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1B15" w14:textId="3A1E3010" w:rsidR="00024FA3" w:rsidRPr="0029519D" w:rsidRDefault="00D24AB8" w:rsidP="0029519D">
      <w:pPr>
        <w:pStyle w:val="Heading1"/>
      </w:pPr>
      <w:r w:rsidRPr="0029519D">
        <w:t>Staff Report to the Public Health Council for a Determination of Need</w:t>
      </w:r>
    </w:p>
    <w:p w14:paraId="468EFD9F" w14:textId="77777777" w:rsidR="009540FB" w:rsidRDefault="009540FB">
      <w:pPr>
        <w:spacing w:line="251" w:lineRule="exact"/>
        <w:rPr>
          <w:rFonts w:asciiTheme="minorHAnsi" w:hAnsiTheme="minorHAnsi"/>
        </w:rPr>
      </w:pPr>
    </w:p>
    <w:p w14:paraId="1236D232" w14:textId="4986069C" w:rsidR="009540FB" w:rsidRPr="009540FB" w:rsidRDefault="009540FB" w:rsidP="0021473D">
      <w:pPr>
        <w:spacing w:line="251" w:lineRule="exact"/>
        <w:ind w:firstLine="720"/>
        <w:rPr>
          <w:rFonts w:asciiTheme="minorHAnsi" w:hAnsiTheme="minorHAnsi"/>
        </w:rPr>
      </w:pPr>
      <w:r w:rsidRPr="009540FB">
        <w:rPr>
          <w:rFonts w:asciiTheme="minorHAnsi" w:hAnsiTheme="minorHAnsi"/>
        </w:rPr>
        <w:t>Applicant Name</w:t>
      </w:r>
      <w:r w:rsidRPr="009540FB">
        <w:rPr>
          <w:rFonts w:asciiTheme="minorHAnsi" w:hAnsiTheme="minorHAnsi"/>
        </w:rPr>
        <w:tab/>
      </w:r>
      <w:r w:rsidR="0021473D">
        <w:rPr>
          <w:rFonts w:asciiTheme="minorHAnsi" w:hAnsiTheme="minorHAnsi"/>
        </w:rPr>
        <w:tab/>
      </w:r>
      <w:r w:rsidR="0021473D">
        <w:rPr>
          <w:rFonts w:asciiTheme="minorHAnsi" w:hAnsiTheme="minorHAnsi"/>
        </w:rPr>
        <w:tab/>
      </w:r>
      <w:r w:rsidRPr="009540FB">
        <w:rPr>
          <w:rFonts w:asciiTheme="minorHAnsi" w:hAnsiTheme="minorHAnsi"/>
        </w:rPr>
        <w:t>Blue Cloud Pediatric Surgery Centers, LLC</w:t>
      </w:r>
    </w:p>
    <w:p w14:paraId="5C2A8F7F" w14:textId="31A607CD" w:rsidR="009540FB" w:rsidRPr="009540FB" w:rsidRDefault="009540FB" w:rsidP="0021473D">
      <w:pPr>
        <w:spacing w:line="251" w:lineRule="exact"/>
        <w:ind w:firstLine="720"/>
        <w:rPr>
          <w:rFonts w:asciiTheme="minorHAnsi" w:hAnsiTheme="minorHAnsi"/>
        </w:rPr>
      </w:pPr>
      <w:r w:rsidRPr="009540FB">
        <w:rPr>
          <w:rFonts w:asciiTheme="minorHAnsi" w:hAnsiTheme="minorHAnsi"/>
        </w:rPr>
        <w:t>Applicant Address</w:t>
      </w:r>
      <w:r w:rsidRPr="009540FB">
        <w:rPr>
          <w:rFonts w:asciiTheme="minorHAnsi" w:hAnsiTheme="minorHAnsi"/>
        </w:rPr>
        <w:tab/>
      </w:r>
      <w:r w:rsidR="0021473D">
        <w:rPr>
          <w:rFonts w:asciiTheme="minorHAnsi" w:hAnsiTheme="minorHAnsi"/>
        </w:rPr>
        <w:tab/>
      </w:r>
      <w:r w:rsidR="0021473D">
        <w:rPr>
          <w:rFonts w:asciiTheme="minorHAnsi" w:hAnsiTheme="minorHAnsi"/>
        </w:rPr>
        <w:tab/>
      </w:r>
      <w:r w:rsidRPr="009540FB">
        <w:rPr>
          <w:rFonts w:asciiTheme="minorHAnsi" w:hAnsiTheme="minorHAnsi"/>
        </w:rPr>
        <w:t>9709 Lakeside Blvd., STE 350</w:t>
      </w:r>
    </w:p>
    <w:p w14:paraId="67CFD1FA" w14:textId="77777777" w:rsidR="009540FB" w:rsidRPr="009540FB" w:rsidRDefault="009540FB" w:rsidP="0021473D">
      <w:pPr>
        <w:spacing w:line="251" w:lineRule="exact"/>
        <w:ind w:left="3600" w:firstLine="720"/>
        <w:rPr>
          <w:rFonts w:asciiTheme="minorHAnsi" w:hAnsiTheme="minorHAnsi"/>
        </w:rPr>
      </w:pPr>
      <w:r w:rsidRPr="009540FB">
        <w:rPr>
          <w:rFonts w:asciiTheme="minorHAnsi" w:hAnsiTheme="minorHAnsi"/>
        </w:rPr>
        <w:t>The Woodlands, TX 77381</w:t>
      </w:r>
    </w:p>
    <w:p w14:paraId="2AB751AB" w14:textId="4A21432F" w:rsidR="009540FB" w:rsidRPr="009540FB" w:rsidRDefault="009540FB" w:rsidP="0021473D">
      <w:pPr>
        <w:spacing w:line="251" w:lineRule="exact"/>
        <w:ind w:firstLine="720"/>
        <w:rPr>
          <w:rFonts w:asciiTheme="minorHAnsi" w:hAnsiTheme="minorHAnsi"/>
        </w:rPr>
      </w:pPr>
      <w:r w:rsidRPr="009540FB">
        <w:rPr>
          <w:rFonts w:asciiTheme="minorHAnsi" w:hAnsiTheme="minorHAnsi"/>
        </w:rPr>
        <w:t>Filing Date</w:t>
      </w:r>
      <w:r w:rsidRPr="009540FB">
        <w:rPr>
          <w:rFonts w:asciiTheme="minorHAnsi" w:hAnsiTheme="minorHAnsi"/>
        </w:rPr>
        <w:tab/>
      </w:r>
      <w:r w:rsidR="0021473D">
        <w:rPr>
          <w:rFonts w:asciiTheme="minorHAnsi" w:hAnsiTheme="minorHAnsi"/>
        </w:rPr>
        <w:tab/>
      </w:r>
      <w:r w:rsidR="0021473D">
        <w:rPr>
          <w:rFonts w:asciiTheme="minorHAnsi" w:hAnsiTheme="minorHAnsi"/>
        </w:rPr>
        <w:tab/>
      </w:r>
      <w:r w:rsidR="0021473D">
        <w:rPr>
          <w:rFonts w:asciiTheme="minorHAnsi" w:hAnsiTheme="minorHAnsi"/>
        </w:rPr>
        <w:tab/>
      </w:r>
      <w:r w:rsidR="001E6C63">
        <w:rPr>
          <w:rFonts w:asciiTheme="minorHAnsi" w:hAnsiTheme="minorHAnsi"/>
        </w:rPr>
        <w:t>July 10, 2026</w:t>
      </w:r>
    </w:p>
    <w:p w14:paraId="55C4CB89" w14:textId="20D9CDAA" w:rsidR="009540FB" w:rsidRPr="009540FB" w:rsidRDefault="009540FB" w:rsidP="0021473D">
      <w:pPr>
        <w:spacing w:line="251" w:lineRule="exact"/>
        <w:ind w:firstLine="720"/>
        <w:rPr>
          <w:rFonts w:asciiTheme="minorHAnsi" w:hAnsiTheme="minorHAnsi"/>
        </w:rPr>
      </w:pPr>
      <w:r w:rsidRPr="009540FB">
        <w:rPr>
          <w:rFonts w:asciiTheme="minorHAnsi" w:hAnsiTheme="minorHAnsi"/>
        </w:rPr>
        <w:t>Type of DoN Application</w:t>
      </w:r>
      <w:r w:rsidRPr="009540FB">
        <w:rPr>
          <w:rFonts w:asciiTheme="minorHAnsi" w:hAnsiTheme="minorHAnsi"/>
        </w:rPr>
        <w:tab/>
      </w:r>
      <w:r w:rsidR="0021473D">
        <w:rPr>
          <w:rFonts w:asciiTheme="minorHAnsi" w:hAnsiTheme="minorHAnsi"/>
        </w:rPr>
        <w:tab/>
      </w:r>
      <w:r w:rsidRPr="009540FB">
        <w:rPr>
          <w:rFonts w:asciiTheme="minorHAnsi" w:hAnsiTheme="minorHAnsi"/>
        </w:rPr>
        <w:t>Transfer of Ownership</w:t>
      </w:r>
    </w:p>
    <w:p w14:paraId="79C12C5E" w14:textId="570CCB22" w:rsidR="009540FB" w:rsidRPr="009540FB" w:rsidRDefault="009540FB" w:rsidP="0021473D">
      <w:pPr>
        <w:spacing w:line="251" w:lineRule="exact"/>
        <w:ind w:firstLine="720"/>
        <w:rPr>
          <w:rFonts w:asciiTheme="minorHAnsi" w:hAnsiTheme="minorHAnsi"/>
        </w:rPr>
      </w:pPr>
      <w:r w:rsidRPr="009540FB">
        <w:rPr>
          <w:rFonts w:asciiTheme="minorHAnsi" w:hAnsiTheme="minorHAnsi"/>
        </w:rPr>
        <w:t>Total Value</w:t>
      </w:r>
      <w:r w:rsidRPr="009540FB">
        <w:rPr>
          <w:rFonts w:asciiTheme="minorHAnsi" w:hAnsiTheme="minorHAnsi"/>
        </w:rPr>
        <w:tab/>
      </w:r>
      <w:r w:rsidR="0021473D">
        <w:rPr>
          <w:rFonts w:asciiTheme="minorHAnsi" w:hAnsiTheme="minorHAnsi"/>
        </w:rPr>
        <w:tab/>
      </w:r>
      <w:r w:rsidR="0021473D">
        <w:rPr>
          <w:rFonts w:asciiTheme="minorHAnsi" w:hAnsiTheme="minorHAnsi"/>
        </w:rPr>
        <w:tab/>
      </w:r>
      <w:r w:rsidR="0021473D">
        <w:rPr>
          <w:rFonts w:asciiTheme="minorHAnsi" w:hAnsiTheme="minorHAnsi"/>
        </w:rPr>
        <w:tab/>
      </w:r>
      <w:r w:rsidRPr="009540FB">
        <w:rPr>
          <w:rFonts w:asciiTheme="minorHAnsi" w:hAnsiTheme="minorHAnsi"/>
        </w:rPr>
        <w:t>$3,800,000.00</w:t>
      </w:r>
    </w:p>
    <w:p w14:paraId="02D01E0B" w14:textId="6E47E443" w:rsidR="009540FB" w:rsidRPr="009540FB" w:rsidRDefault="009540FB" w:rsidP="0021473D">
      <w:pPr>
        <w:spacing w:line="251" w:lineRule="exact"/>
        <w:ind w:firstLine="720"/>
        <w:rPr>
          <w:rFonts w:asciiTheme="minorHAnsi" w:hAnsiTheme="minorHAnsi"/>
        </w:rPr>
      </w:pPr>
      <w:r w:rsidRPr="009540FB">
        <w:rPr>
          <w:rFonts w:asciiTheme="minorHAnsi" w:hAnsiTheme="minorHAnsi"/>
        </w:rPr>
        <w:t xml:space="preserve">Project Number </w:t>
      </w:r>
      <w:r w:rsidRPr="009540FB">
        <w:rPr>
          <w:rFonts w:asciiTheme="minorHAnsi" w:hAnsiTheme="minorHAnsi"/>
        </w:rPr>
        <w:tab/>
      </w:r>
      <w:r w:rsidR="0021473D">
        <w:rPr>
          <w:rFonts w:asciiTheme="minorHAnsi" w:hAnsiTheme="minorHAnsi"/>
        </w:rPr>
        <w:tab/>
      </w:r>
      <w:r w:rsidR="0021473D">
        <w:rPr>
          <w:rFonts w:asciiTheme="minorHAnsi" w:hAnsiTheme="minorHAnsi"/>
        </w:rPr>
        <w:tab/>
      </w:r>
      <w:r w:rsidRPr="009540FB">
        <w:rPr>
          <w:rFonts w:asciiTheme="minorHAnsi" w:hAnsiTheme="minorHAnsi"/>
        </w:rPr>
        <w:t>BCPSC-26040914-TO</w:t>
      </w:r>
    </w:p>
    <w:p w14:paraId="051D4445" w14:textId="1D1202BD" w:rsidR="009540FB" w:rsidRPr="009540FB" w:rsidRDefault="009540FB" w:rsidP="0021473D">
      <w:pPr>
        <w:spacing w:line="251" w:lineRule="exact"/>
        <w:ind w:firstLine="720"/>
        <w:rPr>
          <w:rFonts w:asciiTheme="minorHAnsi" w:hAnsiTheme="minorHAnsi"/>
        </w:rPr>
      </w:pPr>
      <w:r w:rsidRPr="009540FB">
        <w:rPr>
          <w:rFonts w:asciiTheme="minorHAnsi" w:hAnsiTheme="minorHAnsi"/>
        </w:rPr>
        <w:t>Ten Taxpayer Groups</w:t>
      </w:r>
      <w:r w:rsidRPr="009540FB">
        <w:rPr>
          <w:rFonts w:asciiTheme="minorHAnsi" w:hAnsiTheme="minorHAnsi"/>
        </w:rPr>
        <w:tab/>
      </w:r>
      <w:r w:rsidR="00DA7516">
        <w:rPr>
          <w:rFonts w:asciiTheme="minorHAnsi" w:hAnsiTheme="minorHAnsi"/>
        </w:rPr>
        <w:tab/>
      </w:r>
      <w:r w:rsidR="00DA7516">
        <w:rPr>
          <w:rFonts w:asciiTheme="minorHAnsi" w:hAnsiTheme="minorHAnsi"/>
        </w:rPr>
        <w:tab/>
        <w:t xml:space="preserve">None Formed </w:t>
      </w:r>
    </w:p>
    <w:p w14:paraId="4ED0CE5B" w14:textId="77777777" w:rsidR="009540FB" w:rsidRPr="009540FB" w:rsidRDefault="009540FB" w:rsidP="0021473D">
      <w:pPr>
        <w:spacing w:line="251" w:lineRule="exact"/>
        <w:ind w:firstLine="720"/>
        <w:rPr>
          <w:rFonts w:asciiTheme="minorHAnsi" w:hAnsiTheme="minorHAnsi"/>
        </w:rPr>
      </w:pPr>
      <w:r w:rsidRPr="009540FB">
        <w:rPr>
          <w:rFonts w:asciiTheme="minorHAnsi" w:hAnsiTheme="minorHAnsi"/>
        </w:rPr>
        <w:t>Community Health Initiative (CHI)</w:t>
      </w:r>
      <w:r w:rsidRPr="009540FB">
        <w:rPr>
          <w:rFonts w:asciiTheme="minorHAnsi" w:hAnsiTheme="minorHAnsi"/>
        </w:rPr>
        <w:tab/>
        <w:t>Exempt from Factor 6</w:t>
      </w:r>
    </w:p>
    <w:p w14:paraId="3B8947E0" w14:textId="35B85EEC" w:rsidR="009540FB" w:rsidRPr="009540FB" w:rsidRDefault="009540FB" w:rsidP="0021473D">
      <w:pPr>
        <w:spacing w:line="251" w:lineRule="exact"/>
        <w:ind w:firstLine="720"/>
        <w:rPr>
          <w:rFonts w:asciiTheme="minorHAnsi" w:hAnsiTheme="minorHAnsi"/>
        </w:rPr>
      </w:pPr>
      <w:r w:rsidRPr="009540FB">
        <w:rPr>
          <w:rFonts w:asciiTheme="minorHAnsi" w:hAnsiTheme="minorHAnsi"/>
        </w:rPr>
        <w:t>Staff Recommendation</w:t>
      </w:r>
      <w:r w:rsidRPr="009540FB">
        <w:rPr>
          <w:rFonts w:asciiTheme="minorHAnsi" w:hAnsiTheme="minorHAnsi"/>
        </w:rPr>
        <w:tab/>
      </w:r>
      <w:r w:rsidR="0021473D">
        <w:rPr>
          <w:rFonts w:asciiTheme="minorHAnsi" w:hAnsiTheme="minorHAnsi"/>
        </w:rPr>
        <w:tab/>
      </w:r>
      <w:r w:rsidRPr="009540FB">
        <w:rPr>
          <w:rFonts w:asciiTheme="minorHAnsi" w:hAnsiTheme="minorHAnsi"/>
        </w:rPr>
        <w:t xml:space="preserve">Approval with Conditions </w:t>
      </w:r>
    </w:p>
    <w:p w14:paraId="22D387E3" w14:textId="66731E93" w:rsidR="009540FB" w:rsidRDefault="009540FB" w:rsidP="0021473D">
      <w:pPr>
        <w:spacing w:line="251" w:lineRule="exact"/>
        <w:ind w:firstLine="720"/>
        <w:rPr>
          <w:rFonts w:asciiTheme="minorHAnsi" w:hAnsiTheme="minorHAnsi"/>
        </w:rPr>
      </w:pPr>
      <w:r w:rsidRPr="009540FB">
        <w:rPr>
          <w:rFonts w:asciiTheme="minorHAnsi" w:hAnsiTheme="minorHAnsi"/>
        </w:rPr>
        <w:t xml:space="preserve">Public Health Council Meeting </w:t>
      </w:r>
      <w:r w:rsidRPr="009540FB">
        <w:rPr>
          <w:rFonts w:asciiTheme="minorHAnsi" w:hAnsiTheme="minorHAnsi"/>
        </w:rPr>
        <w:tab/>
      </w:r>
      <w:r w:rsidR="007F0F97">
        <w:rPr>
          <w:rFonts w:asciiTheme="minorHAnsi" w:hAnsiTheme="minorHAnsi"/>
        </w:rPr>
        <w:t>November 10</w:t>
      </w:r>
      <w:r w:rsidRPr="009540FB">
        <w:rPr>
          <w:rFonts w:asciiTheme="minorHAnsi" w:hAnsiTheme="minorHAnsi"/>
        </w:rPr>
        <w:t>, 2026</w:t>
      </w:r>
    </w:p>
    <w:p w14:paraId="40450F54" w14:textId="77777777" w:rsidR="009540FB" w:rsidRDefault="009540FB" w:rsidP="009540FB">
      <w:pPr>
        <w:spacing w:line="251" w:lineRule="exact"/>
        <w:rPr>
          <w:rFonts w:asciiTheme="minorHAnsi" w:hAnsiTheme="minorHAnsi"/>
        </w:rPr>
      </w:pPr>
    </w:p>
    <w:p w14:paraId="55517A9C" w14:textId="77777777" w:rsidR="009540FB" w:rsidRPr="00FD1F4E" w:rsidRDefault="009540FB" w:rsidP="009540FB">
      <w:pPr>
        <w:spacing w:line="251" w:lineRule="exact"/>
        <w:jc w:val="center"/>
        <w:rPr>
          <w:rFonts w:asciiTheme="minorHAnsi" w:hAnsiTheme="minorHAnsi"/>
          <w:b/>
          <w:bCs/>
        </w:rPr>
      </w:pPr>
      <w:r w:rsidRPr="00FD1F4E">
        <w:rPr>
          <w:rFonts w:asciiTheme="minorHAnsi" w:hAnsiTheme="minorHAnsi"/>
          <w:b/>
          <w:bCs/>
        </w:rPr>
        <w:t>Project Summary and Regulatory Review</w:t>
      </w:r>
    </w:p>
    <w:p w14:paraId="31D9A251" w14:textId="5ABC6391" w:rsidR="009540FB" w:rsidRPr="009540FB" w:rsidRDefault="009540FB" w:rsidP="37AC545F">
      <w:pPr>
        <w:spacing w:line="251" w:lineRule="exact"/>
        <w:rPr>
          <w:rFonts w:asciiTheme="minorHAnsi" w:hAnsiTheme="minorHAnsi"/>
        </w:rPr>
      </w:pPr>
      <w:r w:rsidRPr="37AC545F">
        <w:rPr>
          <w:rFonts w:asciiTheme="minorHAnsi" w:hAnsiTheme="minorHAnsi"/>
        </w:rPr>
        <w:t>Blue Cloud Pediatric Surgery Centers, LLC (Applicant or Blue Cloud)</w:t>
      </w:r>
      <w:r w:rsidR="00D355B9" w:rsidRPr="37AC545F">
        <w:rPr>
          <w:rFonts w:asciiTheme="minorHAnsi" w:hAnsiTheme="minorHAnsi"/>
        </w:rPr>
        <w:t xml:space="preserve">, with a principal place of business </w:t>
      </w:r>
      <w:r w:rsidR="0095158D" w:rsidRPr="37AC545F">
        <w:rPr>
          <w:rFonts w:asciiTheme="minorHAnsi" w:hAnsiTheme="minorHAnsi"/>
        </w:rPr>
        <w:t>at 9709 Lakeside Blvd., The Woodlands, TX,</w:t>
      </w:r>
      <w:r w:rsidRPr="37AC545F">
        <w:rPr>
          <w:rFonts w:asciiTheme="minorHAnsi" w:hAnsiTheme="minorHAnsi"/>
        </w:rPr>
        <w:t xml:space="preserve"> </w:t>
      </w:r>
      <w:r w:rsidR="00D355B9" w:rsidRPr="37AC545F">
        <w:rPr>
          <w:rFonts w:asciiTheme="minorHAnsi" w:hAnsiTheme="minorHAnsi"/>
        </w:rPr>
        <w:t xml:space="preserve">seeks a Determination of Need (DoN) from the </w:t>
      </w:r>
      <w:r w:rsidR="000C41A2" w:rsidRPr="37AC545F">
        <w:rPr>
          <w:rFonts w:asciiTheme="minorHAnsi" w:hAnsiTheme="minorHAnsi"/>
        </w:rPr>
        <w:t xml:space="preserve">Massachusetts </w:t>
      </w:r>
      <w:r w:rsidR="00D355B9" w:rsidRPr="37AC545F">
        <w:rPr>
          <w:rFonts w:asciiTheme="minorHAnsi" w:hAnsiTheme="minorHAnsi"/>
        </w:rPr>
        <w:t xml:space="preserve">Department of Public Health (Department) </w:t>
      </w:r>
      <w:r w:rsidR="00FD6A91" w:rsidRPr="37AC545F">
        <w:rPr>
          <w:rFonts w:asciiTheme="minorHAnsi" w:hAnsiTheme="minorHAnsi"/>
        </w:rPr>
        <w:t>for the Transfer of Ownership</w:t>
      </w:r>
      <w:r w:rsidRPr="37AC545F">
        <w:rPr>
          <w:rFonts w:asciiTheme="minorHAnsi" w:hAnsiTheme="minorHAnsi"/>
        </w:rPr>
        <w:t xml:space="preserve"> of Northeast Ambulatory Center, Inc. (Northeast), a single specialty pain management ambulatory surgery center (ASC) located at 3 Woodland Road, Stoneham, MA. </w:t>
      </w:r>
      <w:r w:rsidR="00A20E30" w:rsidRPr="37AC545F">
        <w:rPr>
          <w:rFonts w:asciiTheme="minorHAnsi" w:hAnsiTheme="minorHAnsi"/>
        </w:rPr>
        <w:t xml:space="preserve">Through the transaction, </w:t>
      </w:r>
      <w:r w:rsidR="00655889" w:rsidRPr="37AC545F">
        <w:rPr>
          <w:rFonts w:asciiTheme="minorHAnsi" w:hAnsiTheme="minorHAnsi"/>
        </w:rPr>
        <w:t xml:space="preserve">the Applicant </w:t>
      </w:r>
      <w:r w:rsidRPr="37AC545F">
        <w:rPr>
          <w:rFonts w:asciiTheme="minorHAnsi" w:hAnsiTheme="minorHAnsi"/>
        </w:rPr>
        <w:t>will acquire all the equity in Northeast from the Seller</w:t>
      </w:r>
      <w:r w:rsidR="00284FDD" w:rsidRPr="37AC545F">
        <w:rPr>
          <w:rFonts w:asciiTheme="minorHAnsi" w:hAnsiTheme="minorHAnsi"/>
        </w:rPr>
        <w:t>, Dr. Anil Kumar</w:t>
      </w:r>
      <w:r w:rsidRPr="37AC545F">
        <w:rPr>
          <w:rFonts w:asciiTheme="minorHAnsi" w:hAnsiTheme="minorHAnsi"/>
        </w:rPr>
        <w:t xml:space="preserve"> (Proposed Project). The Applicant </w:t>
      </w:r>
      <w:r w:rsidR="5B8874F5" w:rsidRPr="37AC545F">
        <w:rPr>
          <w:rFonts w:asciiTheme="minorHAnsi" w:hAnsiTheme="minorHAnsi"/>
        </w:rPr>
        <w:t>plans</w:t>
      </w:r>
      <w:r w:rsidR="00954B9C" w:rsidRPr="37AC545F">
        <w:rPr>
          <w:rFonts w:asciiTheme="minorHAnsi" w:hAnsiTheme="minorHAnsi"/>
        </w:rPr>
        <w:t xml:space="preserve"> to operate</w:t>
      </w:r>
      <w:r w:rsidRPr="37AC545F">
        <w:rPr>
          <w:rFonts w:asciiTheme="minorHAnsi" w:hAnsiTheme="minorHAnsi"/>
        </w:rPr>
        <w:t xml:space="preserve"> the ASC</w:t>
      </w:r>
      <w:r w:rsidR="00747281" w:rsidRPr="37AC545F">
        <w:rPr>
          <w:rFonts w:asciiTheme="minorHAnsi" w:hAnsiTheme="minorHAnsi"/>
        </w:rPr>
        <w:t xml:space="preserve"> (the Center)</w:t>
      </w:r>
      <w:r w:rsidRPr="37AC545F">
        <w:rPr>
          <w:rFonts w:asciiTheme="minorHAnsi" w:hAnsiTheme="minorHAnsi"/>
        </w:rPr>
        <w:t xml:space="preserve"> </w:t>
      </w:r>
      <w:r w:rsidR="00954B9C" w:rsidRPr="37AC545F">
        <w:rPr>
          <w:rFonts w:asciiTheme="minorHAnsi" w:hAnsiTheme="minorHAnsi"/>
        </w:rPr>
        <w:t>as a single specialty</w:t>
      </w:r>
      <w:r w:rsidR="00655889" w:rsidRPr="37AC545F">
        <w:rPr>
          <w:rFonts w:asciiTheme="minorHAnsi" w:hAnsiTheme="minorHAnsi"/>
        </w:rPr>
        <w:t xml:space="preserve"> ASC</w:t>
      </w:r>
      <w:r w:rsidR="00954B9C" w:rsidRPr="37AC545F">
        <w:rPr>
          <w:rFonts w:asciiTheme="minorHAnsi" w:hAnsiTheme="minorHAnsi"/>
        </w:rPr>
        <w:t xml:space="preserve">, </w:t>
      </w:r>
      <w:r w:rsidRPr="37AC545F">
        <w:rPr>
          <w:rFonts w:asciiTheme="minorHAnsi" w:hAnsiTheme="minorHAnsi"/>
        </w:rPr>
        <w:t>to provide high-acuity dental procedures and surgeries</w:t>
      </w:r>
      <w:r w:rsidR="00753720" w:rsidRPr="37AC545F">
        <w:rPr>
          <w:rFonts w:asciiTheme="minorHAnsi" w:hAnsiTheme="minorHAnsi"/>
        </w:rPr>
        <w:t xml:space="preserve"> (High Acuity Dental Surgeries)</w:t>
      </w:r>
      <w:r w:rsidRPr="37AC545F">
        <w:rPr>
          <w:rFonts w:asciiTheme="minorHAnsi" w:hAnsiTheme="minorHAnsi"/>
        </w:rPr>
        <w:t xml:space="preserve"> for pediatric patients and patients with special healthcare needs. </w:t>
      </w:r>
    </w:p>
    <w:p w14:paraId="0534C9A2" w14:textId="77777777" w:rsidR="009540FB" w:rsidRPr="009540FB" w:rsidRDefault="009540FB" w:rsidP="009540FB">
      <w:pPr>
        <w:spacing w:line="251" w:lineRule="exact"/>
        <w:rPr>
          <w:rFonts w:asciiTheme="minorHAnsi" w:hAnsiTheme="minorHAnsi"/>
        </w:rPr>
      </w:pPr>
    </w:p>
    <w:p w14:paraId="5527F4E9" w14:textId="77777777" w:rsidR="009540FB" w:rsidRPr="009540FB" w:rsidRDefault="009540FB" w:rsidP="009540FB">
      <w:pPr>
        <w:spacing w:line="251" w:lineRule="exact"/>
        <w:rPr>
          <w:rFonts w:asciiTheme="minorHAnsi" w:hAnsiTheme="minorHAnsi"/>
        </w:rPr>
      </w:pPr>
      <w:r w:rsidRPr="009540FB">
        <w:rPr>
          <w:rFonts w:asciiTheme="minorHAnsi" w:hAnsiTheme="minorHAnsi"/>
        </w:rPr>
        <w:t>This Determination of Need (DoN) Application falls within the definition of Transfer of Ownership, which is reviewed under the DoN regulation 105 CMR 100.000. The Department must determine that need exists for a Proposed Project, on the basis of material in the record, where the Applicant makes a clear and convincing demonstration that the Proposed Project meets each DoN Factor set forth within 105 CMR 100.210. A DoN Application for a Transfer of Ownership is subject to factors 1, 2, 3, and 4 of the DoN regulation. This staff report addresses each of the required four factors set forth in the regulation.</w:t>
      </w:r>
    </w:p>
    <w:p w14:paraId="78EB7D29" w14:textId="77777777" w:rsidR="009540FB" w:rsidRPr="009540FB" w:rsidRDefault="009540FB" w:rsidP="009540FB">
      <w:pPr>
        <w:spacing w:line="251" w:lineRule="exact"/>
        <w:rPr>
          <w:rFonts w:asciiTheme="minorHAnsi" w:hAnsiTheme="minorHAnsi"/>
        </w:rPr>
      </w:pPr>
    </w:p>
    <w:p w14:paraId="5E270CFA" w14:textId="7D2D8B05" w:rsidR="009540FB" w:rsidRDefault="009540FB" w:rsidP="004A6936">
      <w:pPr>
        <w:spacing w:line="251" w:lineRule="exact"/>
        <w:rPr>
          <w:rFonts w:asciiTheme="minorHAnsi" w:hAnsiTheme="minorHAnsi"/>
        </w:rPr>
      </w:pPr>
      <w:r w:rsidRPr="004A6936">
        <w:rPr>
          <w:rFonts w:asciiTheme="minorHAnsi" w:hAnsiTheme="minorHAnsi"/>
        </w:rPr>
        <w:t>The Department did not receive any public comments on this DoN application, nor did any Ten Taxpayer Groups (TTGs) form in connection with this DoN application.</w:t>
      </w:r>
    </w:p>
    <w:p w14:paraId="292705CA" w14:textId="77777777" w:rsidR="009540FB" w:rsidRDefault="009540FB">
      <w:pPr>
        <w:spacing w:line="251" w:lineRule="exact"/>
        <w:rPr>
          <w:rFonts w:asciiTheme="minorHAnsi" w:hAnsiTheme="minorHAnsi"/>
        </w:rPr>
      </w:pPr>
    </w:p>
    <w:p w14:paraId="4AF4C98A" w14:textId="77777777" w:rsidR="009540FB" w:rsidRPr="003436F0" w:rsidRDefault="009540FB">
      <w:pPr>
        <w:spacing w:line="251" w:lineRule="exact"/>
        <w:rPr>
          <w:rFonts w:asciiTheme="minorHAnsi" w:hAnsiTheme="minorHAnsi"/>
        </w:rPr>
        <w:sectPr w:rsidR="009540FB" w:rsidRPr="003436F0" w:rsidSect="004C1B7F">
          <w:footerReference w:type="default" r:id="rId8"/>
          <w:type w:val="continuous"/>
          <w:pgSz w:w="12240" w:h="15840"/>
          <w:pgMar w:top="1440" w:right="980" w:bottom="1120" w:left="860" w:header="720" w:footer="937" w:gutter="0"/>
          <w:pgNumType w:start="1"/>
          <w:cols w:space="720"/>
        </w:sectPr>
      </w:pPr>
    </w:p>
    <w:sdt>
      <w:sdtPr>
        <w:rPr>
          <w:rFonts w:ascii="Garamond" w:eastAsia="Garamond" w:hAnsi="Garamond" w:cs="Garamond"/>
          <w:color w:val="auto"/>
          <w:sz w:val="22"/>
          <w:szCs w:val="22"/>
          <w:lang w:bidi="en-US"/>
        </w:rPr>
        <w:id w:val="1248538820"/>
        <w:docPartObj>
          <w:docPartGallery w:val="Table of Contents"/>
          <w:docPartUnique/>
        </w:docPartObj>
      </w:sdtPr>
      <w:sdtEndPr>
        <w:rPr>
          <w:rFonts w:asciiTheme="minorHAnsi" w:eastAsiaTheme="minorEastAsia" w:hAnsiTheme="minorHAnsi" w:cstheme="minorBidi"/>
          <w:b/>
          <w:bCs/>
          <w:sz w:val="24"/>
          <w:szCs w:val="24"/>
          <w:lang w:bidi="ar-SA"/>
        </w:rPr>
      </w:sdtEndPr>
      <w:sdtContent>
        <w:p w14:paraId="7AAE295D" w14:textId="53B6C1CD" w:rsidR="008650F2" w:rsidRDefault="008650F2" w:rsidP="0029519D">
          <w:pPr>
            <w:pStyle w:val="TOCHeading"/>
          </w:pPr>
          <w:r>
            <w:t>Contents</w:t>
          </w:r>
        </w:p>
        <w:p w14:paraId="43E2410E" w14:textId="7798237A" w:rsidR="00D32A34" w:rsidRDefault="008650F2">
          <w:pPr>
            <w:pStyle w:val="TOC1"/>
            <w:tabs>
              <w:tab w:val="right" w:leader="dot" w:pos="10390"/>
            </w:tabs>
            <w:rPr>
              <w:rFonts w:asciiTheme="minorHAnsi" w:eastAsiaTheme="minorEastAsia" w:hAnsiTheme="minorHAnsi" w:cstheme="minorBidi"/>
              <w:noProof/>
              <w:kern w:val="2"/>
              <w14:ligatures w14:val="standardContextual"/>
            </w:rPr>
          </w:pPr>
          <w:r w:rsidRPr="004D5540">
            <w:rPr>
              <w:rFonts w:asciiTheme="minorHAnsi" w:hAnsiTheme="minorHAnsi"/>
            </w:rPr>
            <w:fldChar w:fldCharType="begin"/>
          </w:r>
          <w:r w:rsidRPr="004D5540">
            <w:rPr>
              <w:rFonts w:asciiTheme="minorHAnsi" w:hAnsiTheme="minorHAnsi"/>
            </w:rPr>
            <w:instrText xml:space="preserve"> TOC \o "1-3" \h \z \u </w:instrText>
          </w:r>
          <w:r w:rsidRPr="004D5540">
            <w:rPr>
              <w:rFonts w:asciiTheme="minorHAnsi" w:hAnsiTheme="minorHAnsi"/>
            </w:rPr>
            <w:fldChar w:fldCharType="separate"/>
          </w:r>
          <w:hyperlink w:anchor="_Toc241131185" w:history="1">
            <w:r w:rsidR="00D32A34" w:rsidRPr="00F93180">
              <w:rPr>
                <w:rStyle w:val="Hyperlink"/>
                <w:noProof/>
              </w:rPr>
              <w:t>Applicant Background: Blue Cloud Pediatric Surgery Centers, LLC; and Application Overview</w:t>
            </w:r>
            <w:r w:rsidR="00D32A34">
              <w:rPr>
                <w:noProof/>
                <w:webHidden/>
              </w:rPr>
              <w:tab/>
            </w:r>
            <w:r w:rsidR="00D32A34">
              <w:rPr>
                <w:noProof/>
                <w:webHidden/>
              </w:rPr>
              <w:fldChar w:fldCharType="begin"/>
            </w:r>
            <w:r w:rsidR="00D32A34">
              <w:rPr>
                <w:noProof/>
                <w:webHidden/>
              </w:rPr>
              <w:instrText xml:space="preserve"> PAGEREF _Toc241131185 \h </w:instrText>
            </w:r>
            <w:r w:rsidR="00D32A34">
              <w:rPr>
                <w:noProof/>
                <w:webHidden/>
              </w:rPr>
            </w:r>
            <w:r w:rsidR="00D32A34">
              <w:rPr>
                <w:noProof/>
                <w:webHidden/>
              </w:rPr>
              <w:fldChar w:fldCharType="separate"/>
            </w:r>
            <w:r w:rsidR="00D32A34">
              <w:rPr>
                <w:noProof/>
                <w:webHidden/>
              </w:rPr>
              <w:t>3</w:t>
            </w:r>
            <w:r w:rsidR="00D32A34">
              <w:rPr>
                <w:noProof/>
                <w:webHidden/>
              </w:rPr>
              <w:fldChar w:fldCharType="end"/>
            </w:r>
          </w:hyperlink>
        </w:p>
        <w:p w14:paraId="59E68595" w14:textId="6E0899FA"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86" w:history="1">
            <w:r w:rsidRPr="00F93180">
              <w:rPr>
                <w:rStyle w:val="Hyperlink"/>
                <w:noProof/>
              </w:rPr>
              <w:t>Patient Panel</w:t>
            </w:r>
            <w:r>
              <w:rPr>
                <w:noProof/>
                <w:webHidden/>
              </w:rPr>
              <w:tab/>
            </w:r>
            <w:r>
              <w:rPr>
                <w:noProof/>
                <w:webHidden/>
              </w:rPr>
              <w:fldChar w:fldCharType="begin"/>
            </w:r>
            <w:r>
              <w:rPr>
                <w:noProof/>
                <w:webHidden/>
              </w:rPr>
              <w:instrText xml:space="preserve"> PAGEREF _Toc241131186 \h </w:instrText>
            </w:r>
            <w:r>
              <w:rPr>
                <w:noProof/>
                <w:webHidden/>
              </w:rPr>
            </w:r>
            <w:r>
              <w:rPr>
                <w:noProof/>
                <w:webHidden/>
              </w:rPr>
              <w:fldChar w:fldCharType="separate"/>
            </w:r>
            <w:r>
              <w:rPr>
                <w:noProof/>
                <w:webHidden/>
              </w:rPr>
              <w:t>4</w:t>
            </w:r>
            <w:r>
              <w:rPr>
                <w:noProof/>
                <w:webHidden/>
              </w:rPr>
              <w:fldChar w:fldCharType="end"/>
            </w:r>
          </w:hyperlink>
        </w:p>
        <w:p w14:paraId="7B9F9A9D" w14:textId="5E4C394D"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87" w:history="1">
            <w:r w:rsidRPr="00F93180">
              <w:rPr>
                <w:rStyle w:val="Hyperlink"/>
                <w:noProof/>
              </w:rPr>
              <w:t>Factor 1: a) Patient Panel Need</w:t>
            </w:r>
            <w:r>
              <w:rPr>
                <w:noProof/>
                <w:webHidden/>
              </w:rPr>
              <w:tab/>
            </w:r>
            <w:r>
              <w:rPr>
                <w:noProof/>
                <w:webHidden/>
              </w:rPr>
              <w:fldChar w:fldCharType="begin"/>
            </w:r>
            <w:r>
              <w:rPr>
                <w:noProof/>
                <w:webHidden/>
              </w:rPr>
              <w:instrText xml:space="preserve"> PAGEREF _Toc241131187 \h </w:instrText>
            </w:r>
            <w:r>
              <w:rPr>
                <w:noProof/>
                <w:webHidden/>
              </w:rPr>
            </w:r>
            <w:r>
              <w:rPr>
                <w:noProof/>
                <w:webHidden/>
              </w:rPr>
              <w:fldChar w:fldCharType="separate"/>
            </w:r>
            <w:r>
              <w:rPr>
                <w:noProof/>
                <w:webHidden/>
              </w:rPr>
              <w:t>10</w:t>
            </w:r>
            <w:r>
              <w:rPr>
                <w:noProof/>
                <w:webHidden/>
              </w:rPr>
              <w:fldChar w:fldCharType="end"/>
            </w:r>
          </w:hyperlink>
        </w:p>
        <w:p w14:paraId="34FB720C" w14:textId="6D00232F"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88" w:history="1">
            <w:r w:rsidRPr="00F93180">
              <w:rPr>
                <w:rStyle w:val="Hyperlink"/>
                <w:noProof/>
              </w:rPr>
              <w:t>Factor 1: b) Public health value, improved health outcomes and quality of life; assurances of health equity</w:t>
            </w:r>
            <w:r>
              <w:rPr>
                <w:noProof/>
                <w:webHidden/>
              </w:rPr>
              <w:tab/>
            </w:r>
            <w:r>
              <w:rPr>
                <w:noProof/>
                <w:webHidden/>
              </w:rPr>
              <w:fldChar w:fldCharType="begin"/>
            </w:r>
            <w:r>
              <w:rPr>
                <w:noProof/>
                <w:webHidden/>
              </w:rPr>
              <w:instrText xml:space="preserve"> PAGEREF _Toc241131188 \h </w:instrText>
            </w:r>
            <w:r>
              <w:rPr>
                <w:noProof/>
                <w:webHidden/>
              </w:rPr>
            </w:r>
            <w:r>
              <w:rPr>
                <w:noProof/>
                <w:webHidden/>
              </w:rPr>
              <w:fldChar w:fldCharType="separate"/>
            </w:r>
            <w:r>
              <w:rPr>
                <w:noProof/>
                <w:webHidden/>
              </w:rPr>
              <w:t>16</w:t>
            </w:r>
            <w:r>
              <w:rPr>
                <w:noProof/>
                <w:webHidden/>
              </w:rPr>
              <w:fldChar w:fldCharType="end"/>
            </w:r>
          </w:hyperlink>
        </w:p>
        <w:p w14:paraId="2D52F753" w14:textId="33987622"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89" w:history="1">
            <w:r w:rsidRPr="00F93180">
              <w:rPr>
                <w:rStyle w:val="Hyperlink"/>
                <w:noProof/>
              </w:rPr>
              <w:t>Factor 1: c) Efficiency, Continuity of Care, Coordination of Care</w:t>
            </w:r>
            <w:r>
              <w:rPr>
                <w:noProof/>
                <w:webHidden/>
              </w:rPr>
              <w:tab/>
            </w:r>
            <w:r>
              <w:rPr>
                <w:noProof/>
                <w:webHidden/>
              </w:rPr>
              <w:fldChar w:fldCharType="begin"/>
            </w:r>
            <w:r>
              <w:rPr>
                <w:noProof/>
                <w:webHidden/>
              </w:rPr>
              <w:instrText xml:space="preserve"> PAGEREF _Toc241131189 \h </w:instrText>
            </w:r>
            <w:r>
              <w:rPr>
                <w:noProof/>
                <w:webHidden/>
              </w:rPr>
            </w:r>
            <w:r>
              <w:rPr>
                <w:noProof/>
                <w:webHidden/>
              </w:rPr>
              <w:fldChar w:fldCharType="separate"/>
            </w:r>
            <w:r>
              <w:rPr>
                <w:noProof/>
                <w:webHidden/>
              </w:rPr>
              <w:t>20</w:t>
            </w:r>
            <w:r>
              <w:rPr>
                <w:noProof/>
                <w:webHidden/>
              </w:rPr>
              <w:fldChar w:fldCharType="end"/>
            </w:r>
          </w:hyperlink>
        </w:p>
        <w:p w14:paraId="62E6F122" w14:textId="36F5D25C"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0" w:history="1">
            <w:r w:rsidRPr="00F93180">
              <w:rPr>
                <w:rStyle w:val="Hyperlink"/>
                <w:noProof/>
              </w:rPr>
              <w:t>Factor 1: d) Consultation</w:t>
            </w:r>
            <w:r>
              <w:rPr>
                <w:noProof/>
                <w:webHidden/>
              </w:rPr>
              <w:tab/>
            </w:r>
            <w:r>
              <w:rPr>
                <w:noProof/>
                <w:webHidden/>
              </w:rPr>
              <w:fldChar w:fldCharType="begin"/>
            </w:r>
            <w:r>
              <w:rPr>
                <w:noProof/>
                <w:webHidden/>
              </w:rPr>
              <w:instrText xml:space="preserve"> PAGEREF _Toc241131190 \h </w:instrText>
            </w:r>
            <w:r>
              <w:rPr>
                <w:noProof/>
                <w:webHidden/>
              </w:rPr>
            </w:r>
            <w:r>
              <w:rPr>
                <w:noProof/>
                <w:webHidden/>
              </w:rPr>
              <w:fldChar w:fldCharType="separate"/>
            </w:r>
            <w:r>
              <w:rPr>
                <w:noProof/>
                <w:webHidden/>
              </w:rPr>
              <w:t>21</w:t>
            </w:r>
            <w:r>
              <w:rPr>
                <w:noProof/>
                <w:webHidden/>
              </w:rPr>
              <w:fldChar w:fldCharType="end"/>
            </w:r>
          </w:hyperlink>
        </w:p>
        <w:p w14:paraId="50BD9837" w14:textId="397AAF95"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1" w:history="1">
            <w:r w:rsidRPr="00F93180">
              <w:rPr>
                <w:rStyle w:val="Hyperlink"/>
                <w:noProof/>
              </w:rPr>
              <w:t>Factor 1: e) Evidence of Sound Community Engagement through the Patient Panel</w:t>
            </w:r>
            <w:r>
              <w:rPr>
                <w:noProof/>
                <w:webHidden/>
              </w:rPr>
              <w:tab/>
            </w:r>
            <w:r>
              <w:rPr>
                <w:noProof/>
                <w:webHidden/>
              </w:rPr>
              <w:fldChar w:fldCharType="begin"/>
            </w:r>
            <w:r>
              <w:rPr>
                <w:noProof/>
                <w:webHidden/>
              </w:rPr>
              <w:instrText xml:space="preserve"> PAGEREF _Toc241131191 \h </w:instrText>
            </w:r>
            <w:r>
              <w:rPr>
                <w:noProof/>
                <w:webHidden/>
              </w:rPr>
            </w:r>
            <w:r>
              <w:rPr>
                <w:noProof/>
                <w:webHidden/>
              </w:rPr>
              <w:fldChar w:fldCharType="separate"/>
            </w:r>
            <w:r>
              <w:rPr>
                <w:noProof/>
                <w:webHidden/>
              </w:rPr>
              <w:t>21</w:t>
            </w:r>
            <w:r>
              <w:rPr>
                <w:noProof/>
                <w:webHidden/>
              </w:rPr>
              <w:fldChar w:fldCharType="end"/>
            </w:r>
          </w:hyperlink>
        </w:p>
        <w:p w14:paraId="14856148" w14:textId="722B5E6C"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2" w:history="1">
            <w:r w:rsidRPr="00F93180">
              <w:rPr>
                <w:rStyle w:val="Hyperlink"/>
                <w:noProof/>
              </w:rPr>
              <w:t>Factor 1: f) Competition on price, total medical expenses (TME), costs and other measures of healthcare spending</w:t>
            </w:r>
            <w:r>
              <w:rPr>
                <w:noProof/>
                <w:webHidden/>
              </w:rPr>
              <w:tab/>
            </w:r>
            <w:r>
              <w:rPr>
                <w:noProof/>
                <w:webHidden/>
              </w:rPr>
              <w:fldChar w:fldCharType="begin"/>
            </w:r>
            <w:r>
              <w:rPr>
                <w:noProof/>
                <w:webHidden/>
              </w:rPr>
              <w:instrText xml:space="preserve"> PAGEREF _Toc241131192 \h </w:instrText>
            </w:r>
            <w:r>
              <w:rPr>
                <w:noProof/>
                <w:webHidden/>
              </w:rPr>
            </w:r>
            <w:r>
              <w:rPr>
                <w:noProof/>
                <w:webHidden/>
              </w:rPr>
              <w:fldChar w:fldCharType="separate"/>
            </w:r>
            <w:r>
              <w:rPr>
                <w:noProof/>
                <w:webHidden/>
              </w:rPr>
              <w:t>22</w:t>
            </w:r>
            <w:r>
              <w:rPr>
                <w:noProof/>
                <w:webHidden/>
              </w:rPr>
              <w:fldChar w:fldCharType="end"/>
            </w:r>
          </w:hyperlink>
        </w:p>
        <w:p w14:paraId="5BF1BED4" w14:textId="12DCCA2E"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3" w:history="1">
            <w:r w:rsidRPr="00F93180">
              <w:rPr>
                <w:rStyle w:val="Hyperlink"/>
                <w:noProof/>
              </w:rPr>
              <w:t>Summary, Factor 1</w:t>
            </w:r>
            <w:r>
              <w:rPr>
                <w:noProof/>
                <w:webHidden/>
              </w:rPr>
              <w:tab/>
            </w:r>
            <w:r>
              <w:rPr>
                <w:noProof/>
                <w:webHidden/>
              </w:rPr>
              <w:fldChar w:fldCharType="begin"/>
            </w:r>
            <w:r>
              <w:rPr>
                <w:noProof/>
                <w:webHidden/>
              </w:rPr>
              <w:instrText xml:space="preserve"> PAGEREF _Toc241131193 \h </w:instrText>
            </w:r>
            <w:r>
              <w:rPr>
                <w:noProof/>
                <w:webHidden/>
              </w:rPr>
            </w:r>
            <w:r>
              <w:rPr>
                <w:noProof/>
                <w:webHidden/>
              </w:rPr>
              <w:fldChar w:fldCharType="separate"/>
            </w:r>
            <w:r>
              <w:rPr>
                <w:noProof/>
                <w:webHidden/>
              </w:rPr>
              <w:t>24</w:t>
            </w:r>
            <w:r>
              <w:rPr>
                <w:noProof/>
                <w:webHidden/>
              </w:rPr>
              <w:fldChar w:fldCharType="end"/>
            </w:r>
          </w:hyperlink>
        </w:p>
        <w:p w14:paraId="6432A347" w14:textId="62A31990"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4" w:history="1">
            <w:r w:rsidRPr="00F93180">
              <w:rPr>
                <w:rStyle w:val="Hyperlink"/>
                <w:noProof/>
              </w:rPr>
              <w:t>Factor 2: Cost containment, Improved Public Health Outcomes and Delivery System Transformation</w:t>
            </w:r>
            <w:r>
              <w:rPr>
                <w:noProof/>
                <w:webHidden/>
              </w:rPr>
              <w:tab/>
            </w:r>
            <w:r>
              <w:rPr>
                <w:noProof/>
                <w:webHidden/>
              </w:rPr>
              <w:fldChar w:fldCharType="begin"/>
            </w:r>
            <w:r>
              <w:rPr>
                <w:noProof/>
                <w:webHidden/>
              </w:rPr>
              <w:instrText xml:space="preserve"> PAGEREF _Toc241131194 \h </w:instrText>
            </w:r>
            <w:r>
              <w:rPr>
                <w:noProof/>
                <w:webHidden/>
              </w:rPr>
            </w:r>
            <w:r>
              <w:rPr>
                <w:noProof/>
                <w:webHidden/>
              </w:rPr>
              <w:fldChar w:fldCharType="separate"/>
            </w:r>
            <w:r>
              <w:rPr>
                <w:noProof/>
                <w:webHidden/>
              </w:rPr>
              <w:t>24</w:t>
            </w:r>
            <w:r>
              <w:rPr>
                <w:noProof/>
                <w:webHidden/>
              </w:rPr>
              <w:fldChar w:fldCharType="end"/>
            </w:r>
          </w:hyperlink>
        </w:p>
        <w:p w14:paraId="05AED9F3" w14:textId="160A59BB"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5" w:history="1">
            <w:r w:rsidRPr="00F93180">
              <w:rPr>
                <w:rStyle w:val="Hyperlink"/>
                <w:noProof/>
              </w:rPr>
              <w:t>Summary, Factor 2</w:t>
            </w:r>
            <w:r>
              <w:rPr>
                <w:noProof/>
                <w:webHidden/>
              </w:rPr>
              <w:tab/>
            </w:r>
            <w:r>
              <w:rPr>
                <w:noProof/>
                <w:webHidden/>
              </w:rPr>
              <w:fldChar w:fldCharType="begin"/>
            </w:r>
            <w:r>
              <w:rPr>
                <w:noProof/>
                <w:webHidden/>
              </w:rPr>
              <w:instrText xml:space="preserve"> PAGEREF _Toc241131195 \h </w:instrText>
            </w:r>
            <w:r>
              <w:rPr>
                <w:noProof/>
                <w:webHidden/>
              </w:rPr>
            </w:r>
            <w:r>
              <w:rPr>
                <w:noProof/>
                <w:webHidden/>
              </w:rPr>
              <w:fldChar w:fldCharType="separate"/>
            </w:r>
            <w:r>
              <w:rPr>
                <w:noProof/>
                <w:webHidden/>
              </w:rPr>
              <w:t>25</w:t>
            </w:r>
            <w:r>
              <w:rPr>
                <w:noProof/>
                <w:webHidden/>
              </w:rPr>
              <w:fldChar w:fldCharType="end"/>
            </w:r>
          </w:hyperlink>
        </w:p>
        <w:p w14:paraId="1FEBFC1F" w14:textId="5DA87E83"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6" w:history="1">
            <w:r w:rsidRPr="00F93180">
              <w:rPr>
                <w:rStyle w:val="Hyperlink"/>
                <w:noProof/>
              </w:rPr>
              <w:t>Factor 3: Relevant Licensure/Oversight Compliance</w:t>
            </w:r>
            <w:r>
              <w:rPr>
                <w:noProof/>
                <w:webHidden/>
              </w:rPr>
              <w:tab/>
            </w:r>
            <w:r>
              <w:rPr>
                <w:noProof/>
                <w:webHidden/>
              </w:rPr>
              <w:fldChar w:fldCharType="begin"/>
            </w:r>
            <w:r>
              <w:rPr>
                <w:noProof/>
                <w:webHidden/>
              </w:rPr>
              <w:instrText xml:space="preserve"> PAGEREF _Toc241131196 \h </w:instrText>
            </w:r>
            <w:r>
              <w:rPr>
                <w:noProof/>
                <w:webHidden/>
              </w:rPr>
            </w:r>
            <w:r>
              <w:rPr>
                <w:noProof/>
                <w:webHidden/>
              </w:rPr>
              <w:fldChar w:fldCharType="separate"/>
            </w:r>
            <w:r>
              <w:rPr>
                <w:noProof/>
                <w:webHidden/>
              </w:rPr>
              <w:t>25</w:t>
            </w:r>
            <w:r>
              <w:rPr>
                <w:noProof/>
                <w:webHidden/>
              </w:rPr>
              <w:fldChar w:fldCharType="end"/>
            </w:r>
          </w:hyperlink>
        </w:p>
        <w:p w14:paraId="3B33F79F" w14:textId="3BD863F7"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7" w:history="1">
            <w:r w:rsidRPr="00F93180">
              <w:rPr>
                <w:rStyle w:val="Hyperlink"/>
                <w:noProof/>
              </w:rPr>
              <w:t>Factor 4: Financial Feasibility</w:t>
            </w:r>
            <w:r>
              <w:rPr>
                <w:noProof/>
                <w:webHidden/>
              </w:rPr>
              <w:tab/>
            </w:r>
            <w:r>
              <w:rPr>
                <w:noProof/>
                <w:webHidden/>
              </w:rPr>
              <w:fldChar w:fldCharType="begin"/>
            </w:r>
            <w:r>
              <w:rPr>
                <w:noProof/>
                <w:webHidden/>
              </w:rPr>
              <w:instrText xml:space="preserve"> PAGEREF _Toc241131197 \h </w:instrText>
            </w:r>
            <w:r>
              <w:rPr>
                <w:noProof/>
                <w:webHidden/>
              </w:rPr>
            </w:r>
            <w:r>
              <w:rPr>
                <w:noProof/>
                <w:webHidden/>
              </w:rPr>
              <w:fldChar w:fldCharType="separate"/>
            </w:r>
            <w:r>
              <w:rPr>
                <w:noProof/>
                <w:webHidden/>
              </w:rPr>
              <w:t>25</w:t>
            </w:r>
            <w:r>
              <w:rPr>
                <w:noProof/>
                <w:webHidden/>
              </w:rPr>
              <w:fldChar w:fldCharType="end"/>
            </w:r>
          </w:hyperlink>
        </w:p>
        <w:p w14:paraId="53AF57BE" w14:textId="7D4A1F5F"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8" w:history="1">
            <w:r w:rsidRPr="00F93180">
              <w:rPr>
                <w:rStyle w:val="Hyperlink"/>
                <w:noProof/>
              </w:rPr>
              <w:t>Factor 5: Assessment of the Proposed Project’s Relative Merit - Exempt</w:t>
            </w:r>
            <w:r>
              <w:rPr>
                <w:noProof/>
                <w:webHidden/>
              </w:rPr>
              <w:tab/>
            </w:r>
            <w:r>
              <w:rPr>
                <w:noProof/>
                <w:webHidden/>
              </w:rPr>
              <w:fldChar w:fldCharType="begin"/>
            </w:r>
            <w:r>
              <w:rPr>
                <w:noProof/>
                <w:webHidden/>
              </w:rPr>
              <w:instrText xml:space="preserve"> PAGEREF _Toc241131198 \h </w:instrText>
            </w:r>
            <w:r>
              <w:rPr>
                <w:noProof/>
                <w:webHidden/>
              </w:rPr>
            </w:r>
            <w:r>
              <w:rPr>
                <w:noProof/>
                <w:webHidden/>
              </w:rPr>
              <w:fldChar w:fldCharType="separate"/>
            </w:r>
            <w:r>
              <w:rPr>
                <w:noProof/>
                <w:webHidden/>
              </w:rPr>
              <w:t>29</w:t>
            </w:r>
            <w:r>
              <w:rPr>
                <w:noProof/>
                <w:webHidden/>
              </w:rPr>
              <w:fldChar w:fldCharType="end"/>
            </w:r>
          </w:hyperlink>
        </w:p>
        <w:p w14:paraId="08C5EAB8" w14:textId="391E54D0"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199" w:history="1">
            <w:r w:rsidRPr="00F93180">
              <w:rPr>
                <w:rStyle w:val="Hyperlink"/>
                <w:noProof/>
              </w:rPr>
              <w:t>Factor 6: Fulfillment of DPH Community-based Health Initiatives Guideline - Exempt</w:t>
            </w:r>
            <w:r>
              <w:rPr>
                <w:noProof/>
                <w:webHidden/>
              </w:rPr>
              <w:tab/>
            </w:r>
            <w:r>
              <w:rPr>
                <w:noProof/>
                <w:webHidden/>
              </w:rPr>
              <w:fldChar w:fldCharType="begin"/>
            </w:r>
            <w:r>
              <w:rPr>
                <w:noProof/>
                <w:webHidden/>
              </w:rPr>
              <w:instrText xml:space="preserve"> PAGEREF _Toc241131199 \h </w:instrText>
            </w:r>
            <w:r>
              <w:rPr>
                <w:noProof/>
                <w:webHidden/>
              </w:rPr>
            </w:r>
            <w:r>
              <w:rPr>
                <w:noProof/>
                <w:webHidden/>
              </w:rPr>
              <w:fldChar w:fldCharType="separate"/>
            </w:r>
            <w:r>
              <w:rPr>
                <w:noProof/>
                <w:webHidden/>
              </w:rPr>
              <w:t>29</w:t>
            </w:r>
            <w:r>
              <w:rPr>
                <w:noProof/>
                <w:webHidden/>
              </w:rPr>
              <w:fldChar w:fldCharType="end"/>
            </w:r>
          </w:hyperlink>
        </w:p>
        <w:p w14:paraId="2BCA4E64" w14:textId="6ADA2F87"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200" w:history="1">
            <w:r w:rsidRPr="00F93180">
              <w:rPr>
                <w:rStyle w:val="Hyperlink"/>
                <w:noProof/>
              </w:rPr>
              <w:t>Findings and Recommendations</w:t>
            </w:r>
            <w:r>
              <w:rPr>
                <w:noProof/>
                <w:webHidden/>
              </w:rPr>
              <w:tab/>
            </w:r>
            <w:r>
              <w:rPr>
                <w:noProof/>
                <w:webHidden/>
              </w:rPr>
              <w:fldChar w:fldCharType="begin"/>
            </w:r>
            <w:r>
              <w:rPr>
                <w:noProof/>
                <w:webHidden/>
              </w:rPr>
              <w:instrText xml:space="preserve"> PAGEREF _Toc241131200 \h </w:instrText>
            </w:r>
            <w:r>
              <w:rPr>
                <w:noProof/>
                <w:webHidden/>
              </w:rPr>
            </w:r>
            <w:r>
              <w:rPr>
                <w:noProof/>
                <w:webHidden/>
              </w:rPr>
              <w:fldChar w:fldCharType="separate"/>
            </w:r>
            <w:r>
              <w:rPr>
                <w:noProof/>
                <w:webHidden/>
              </w:rPr>
              <w:t>29</w:t>
            </w:r>
            <w:r>
              <w:rPr>
                <w:noProof/>
                <w:webHidden/>
              </w:rPr>
              <w:fldChar w:fldCharType="end"/>
            </w:r>
          </w:hyperlink>
        </w:p>
        <w:p w14:paraId="0B2E18FD" w14:textId="6EF283CF"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201" w:history="1">
            <w:r w:rsidRPr="00F93180">
              <w:rPr>
                <w:rStyle w:val="Hyperlink"/>
                <w:noProof/>
              </w:rPr>
              <w:t>Other Conditions</w:t>
            </w:r>
            <w:r>
              <w:rPr>
                <w:noProof/>
                <w:webHidden/>
              </w:rPr>
              <w:tab/>
            </w:r>
            <w:r>
              <w:rPr>
                <w:noProof/>
                <w:webHidden/>
              </w:rPr>
              <w:fldChar w:fldCharType="begin"/>
            </w:r>
            <w:r>
              <w:rPr>
                <w:noProof/>
                <w:webHidden/>
              </w:rPr>
              <w:instrText xml:space="preserve"> PAGEREF _Toc241131201 \h </w:instrText>
            </w:r>
            <w:r>
              <w:rPr>
                <w:noProof/>
                <w:webHidden/>
              </w:rPr>
            </w:r>
            <w:r>
              <w:rPr>
                <w:noProof/>
                <w:webHidden/>
              </w:rPr>
              <w:fldChar w:fldCharType="separate"/>
            </w:r>
            <w:r>
              <w:rPr>
                <w:noProof/>
                <w:webHidden/>
              </w:rPr>
              <w:t>29</w:t>
            </w:r>
            <w:r>
              <w:rPr>
                <w:noProof/>
                <w:webHidden/>
              </w:rPr>
              <w:fldChar w:fldCharType="end"/>
            </w:r>
          </w:hyperlink>
        </w:p>
        <w:p w14:paraId="02816068" w14:textId="6323B957"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202" w:history="1">
            <w:r w:rsidRPr="00F93180">
              <w:rPr>
                <w:rStyle w:val="Hyperlink"/>
                <w:noProof/>
                <w:bdr w:val="none" w:sz="0" w:space="0" w:color="auto" w:frame="1"/>
              </w:rPr>
              <w:t>Appendix I: CHARTIS METHODOLOGY</w:t>
            </w:r>
            <w:r>
              <w:rPr>
                <w:noProof/>
                <w:webHidden/>
              </w:rPr>
              <w:tab/>
            </w:r>
            <w:r>
              <w:rPr>
                <w:noProof/>
                <w:webHidden/>
              </w:rPr>
              <w:fldChar w:fldCharType="begin"/>
            </w:r>
            <w:r>
              <w:rPr>
                <w:noProof/>
                <w:webHidden/>
              </w:rPr>
              <w:instrText xml:space="preserve"> PAGEREF _Toc241131202 \h </w:instrText>
            </w:r>
            <w:r>
              <w:rPr>
                <w:noProof/>
                <w:webHidden/>
              </w:rPr>
            </w:r>
            <w:r>
              <w:rPr>
                <w:noProof/>
                <w:webHidden/>
              </w:rPr>
              <w:fldChar w:fldCharType="separate"/>
            </w:r>
            <w:r>
              <w:rPr>
                <w:noProof/>
                <w:webHidden/>
              </w:rPr>
              <w:t>31</w:t>
            </w:r>
            <w:r>
              <w:rPr>
                <w:noProof/>
                <w:webHidden/>
              </w:rPr>
              <w:fldChar w:fldCharType="end"/>
            </w:r>
          </w:hyperlink>
        </w:p>
        <w:p w14:paraId="385C15A0" w14:textId="08BEC041"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203" w:history="1">
            <w:r w:rsidRPr="00F93180">
              <w:rPr>
                <w:rStyle w:val="Hyperlink"/>
                <w:noProof/>
              </w:rPr>
              <w:t>Appendix II: List of Top 20 Cities and Towns in the Applicant’s PSA (Source: ESRI Data 2025)</w:t>
            </w:r>
            <w:r>
              <w:rPr>
                <w:noProof/>
                <w:webHidden/>
              </w:rPr>
              <w:tab/>
            </w:r>
            <w:r>
              <w:rPr>
                <w:noProof/>
                <w:webHidden/>
              </w:rPr>
              <w:fldChar w:fldCharType="begin"/>
            </w:r>
            <w:r>
              <w:rPr>
                <w:noProof/>
                <w:webHidden/>
              </w:rPr>
              <w:instrText xml:space="preserve"> PAGEREF _Toc241131203 \h </w:instrText>
            </w:r>
            <w:r>
              <w:rPr>
                <w:noProof/>
                <w:webHidden/>
              </w:rPr>
            </w:r>
            <w:r>
              <w:rPr>
                <w:noProof/>
                <w:webHidden/>
              </w:rPr>
              <w:fldChar w:fldCharType="separate"/>
            </w:r>
            <w:r>
              <w:rPr>
                <w:noProof/>
                <w:webHidden/>
              </w:rPr>
              <w:t>33</w:t>
            </w:r>
            <w:r>
              <w:rPr>
                <w:noProof/>
                <w:webHidden/>
              </w:rPr>
              <w:fldChar w:fldCharType="end"/>
            </w:r>
          </w:hyperlink>
        </w:p>
        <w:p w14:paraId="3FB67C89" w14:textId="3842D3E0"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204" w:history="1">
            <w:r w:rsidRPr="00F93180">
              <w:rPr>
                <w:rStyle w:val="Hyperlink"/>
                <w:noProof/>
                <w:bdr w:val="none" w:sz="0" w:space="0" w:color="auto" w:frame="1"/>
              </w:rPr>
              <w:t>Appendix III: Required Measures for Annual Reporting</w:t>
            </w:r>
            <w:r>
              <w:rPr>
                <w:noProof/>
                <w:webHidden/>
              </w:rPr>
              <w:tab/>
            </w:r>
            <w:r>
              <w:rPr>
                <w:noProof/>
                <w:webHidden/>
              </w:rPr>
              <w:fldChar w:fldCharType="begin"/>
            </w:r>
            <w:r>
              <w:rPr>
                <w:noProof/>
                <w:webHidden/>
              </w:rPr>
              <w:instrText xml:space="preserve"> PAGEREF _Toc241131204 \h </w:instrText>
            </w:r>
            <w:r>
              <w:rPr>
                <w:noProof/>
                <w:webHidden/>
              </w:rPr>
            </w:r>
            <w:r>
              <w:rPr>
                <w:noProof/>
                <w:webHidden/>
              </w:rPr>
              <w:fldChar w:fldCharType="separate"/>
            </w:r>
            <w:r>
              <w:rPr>
                <w:noProof/>
                <w:webHidden/>
              </w:rPr>
              <w:t>34</w:t>
            </w:r>
            <w:r>
              <w:rPr>
                <w:noProof/>
                <w:webHidden/>
              </w:rPr>
              <w:fldChar w:fldCharType="end"/>
            </w:r>
          </w:hyperlink>
        </w:p>
        <w:p w14:paraId="56D46358" w14:textId="4A584497" w:rsidR="00D32A34" w:rsidRDefault="00D32A34">
          <w:pPr>
            <w:pStyle w:val="TOC1"/>
            <w:tabs>
              <w:tab w:val="right" w:leader="dot" w:pos="10390"/>
            </w:tabs>
            <w:rPr>
              <w:rFonts w:asciiTheme="minorHAnsi" w:eastAsiaTheme="minorEastAsia" w:hAnsiTheme="minorHAnsi" w:cstheme="minorBidi"/>
              <w:noProof/>
              <w:kern w:val="2"/>
              <w14:ligatures w14:val="standardContextual"/>
            </w:rPr>
          </w:pPr>
          <w:hyperlink w:anchor="_Toc241131205" w:history="1">
            <w:r w:rsidRPr="00F93180">
              <w:rPr>
                <w:rStyle w:val="Hyperlink"/>
                <w:noProof/>
              </w:rPr>
              <w:t>REFERENCES</w:t>
            </w:r>
            <w:r>
              <w:rPr>
                <w:noProof/>
                <w:webHidden/>
              </w:rPr>
              <w:tab/>
            </w:r>
            <w:r>
              <w:rPr>
                <w:noProof/>
                <w:webHidden/>
              </w:rPr>
              <w:fldChar w:fldCharType="begin"/>
            </w:r>
            <w:r>
              <w:rPr>
                <w:noProof/>
                <w:webHidden/>
              </w:rPr>
              <w:instrText xml:space="preserve"> PAGEREF _Toc241131205 \h </w:instrText>
            </w:r>
            <w:r>
              <w:rPr>
                <w:noProof/>
                <w:webHidden/>
              </w:rPr>
            </w:r>
            <w:r>
              <w:rPr>
                <w:noProof/>
                <w:webHidden/>
              </w:rPr>
              <w:fldChar w:fldCharType="separate"/>
            </w:r>
            <w:r>
              <w:rPr>
                <w:noProof/>
                <w:webHidden/>
              </w:rPr>
              <w:t>36</w:t>
            </w:r>
            <w:r>
              <w:rPr>
                <w:noProof/>
                <w:webHidden/>
              </w:rPr>
              <w:fldChar w:fldCharType="end"/>
            </w:r>
          </w:hyperlink>
        </w:p>
        <w:p w14:paraId="0675CDB9" w14:textId="2CF3FD10" w:rsidR="008650F2" w:rsidRPr="004D5540" w:rsidRDefault="008650F2">
          <w:pPr>
            <w:rPr>
              <w:rFonts w:asciiTheme="minorHAnsi" w:hAnsiTheme="minorHAnsi"/>
            </w:rPr>
          </w:pPr>
          <w:r w:rsidRPr="004D5540">
            <w:rPr>
              <w:rFonts w:asciiTheme="minorHAnsi" w:hAnsiTheme="minorHAnsi"/>
              <w:b/>
              <w:bCs/>
              <w:noProof/>
            </w:rPr>
            <w:fldChar w:fldCharType="end"/>
          </w:r>
        </w:p>
      </w:sdtContent>
    </w:sdt>
    <w:p w14:paraId="71FF1976" w14:textId="77777777" w:rsidR="00B447F3" w:rsidRPr="003436F0" w:rsidRDefault="00B447F3">
      <w:pPr>
        <w:rPr>
          <w:rFonts w:asciiTheme="minorHAnsi" w:hAnsiTheme="minorHAnsi"/>
        </w:rPr>
        <w:sectPr w:rsidR="00B447F3" w:rsidRPr="003436F0" w:rsidSect="004C1B7F">
          <w:headerReference w:type="even" r:id="rId9"/>
          <w:headerReference w:type="default" r:id="rId10"/>
          <w:headerReference w:type="first" r:id="rId11"/>
          <w:pgSz w:w="12240" w:h="15840"/>
          <w:pgMar w:top="1360" w:right="980" w:bottom="1120" w:left="860" w:header="0" w:footer="937" w:gutter="0"/>
          <w:cols w:space="720"/>
        </w:sectPr>
      </w:pPr>
    </w:p>
    <w:p w14:paraId="6280C006" w14:textId="0B37EC4C" w:rsidR="00B447F3" w:rsidRPr="00923435" w:rsidRDefault="0044729F" w:rsidP="00923435">
      <w:pPr>
        <w:pStyle w:val="Heading2"/>
      </w:pPr>
      <w:bookmarkStart w:id="0" w:name="Background:_Emerson_Endoscopy_and_Digest"/>
      <w:bookmarkStart w:id="1" w:name="_Toc241131185"/>
      <w:bookmarkEnd w:id="0"/>
      <w:r w:rsidRPr="00923435">
        <w:lastRenderedPageBreak/>
        <w:t xml:space="preserve">Applicant </w:t>
      </w:r>
      <w:r w:rsidR="00A4110F" w:rsidRPr="00923435">
        <w:t>Background:</w:t>
      </w:r>
      <w:r w:rsidR="00753452" w:rsidRPr="00923435">
        <w:t xml:space="preserve"> </w:t>
      </w:r>
      <w:r w:rsidRPr="00923435">
        <w:t>Blue Cloud Pediatric Surgery Centers, LLC</w:t>
      </w:r>
      <w:r w:rsidR="00DE2FE1" w:rsidRPr="00923435">
        <w:t xml:space="preserve">; </w:t>
      </w:r>
      <w:r w:rsidR="00A4110F" w:rsidRPr="00923435">
        <w:t>and Application Overview</w:t>
      </w:r>
      <w:bookmarkEnd w:id="1"/>
    </w:p>
    <w:p w14:paraId="32F6900F" w14:textId="21ED00C7" w:rsidR="00B447F3" w:rsidRDefault="00B447F3">
      <w:pPr>
        <w:pStyle w:val="BodyText"/>
        <w:spacing w:before="1"/>
        <w:rPr>
          <w:rFonts w:asciiTheme="minorHAnsi" w:hAnsiTheme="minorHAnsi"/>
        </w:rPr>
      </w:pPr>
    </w:p>
    <w:p w14:paraId="6A4FB42D" w14:textId="71A1821A" w:rsidR="00620D10" w:rsidRDefault="0044729F" w:rsidP="00620D10">
      <w:pPr>
        <w:pStyle w:val="BodyText"/>
        <w:rPr>
          <w:rFonts w:asciiTheme="minorHAnsi" w:hAnsiTheme="minorHAnsi"/>
          <w:b/>
          <w:bCs/>
        </w:rPr>
      </w:pPr>
      <w:r w:rsidRPr="0044729F">
        <w:rPr>
          <w:rFonts w:asciiTheme="minorHAnsi" w:hAnsiTheme="minorHAnsi"/>
          <w:b/>
          <w:bCs/>
        </w:rPr>
        <w:t>Blue Cloud Pediatric Surgery Centers, LLC</w:t>
      </w:r>
    </w:p>
    <w:p w14:paraId="3863C90B" w14:textId="2C2001E9" w:rsidR="008B41D7" w:rsidRDefault="00795211" w:rsidP="37AC545F">
      <w:pPr>
        <w:pStyle w:val="BodyText"/>
        <w:rPr>
          <w:rFonts w:asciiTheme="minorHAnsi" w:hAnsiTheme="minorHAnsi"/>
        </w:rPr>
      </w:pPr>
      <w:r w:rsidRPr="37AC545F">
        <w:rPr>
          <w:rFonts w:asciiTheme="minorHAnsi" w:hAnsiTheme="minorHAnsi"/>
        </w:rPr>
        <w:t>Blue Cloud Pediatric Surgery Centers, LLC</w:t>
      </w:r>
      <w:r w:rsidR="00075494" w:rsidRPr="37AC545F">
        <w:rPr>
          <w:rFonts w:asciiTheme="minorHAnsi" w:hAnsiTheme="minorHAnsi"/>
        </w:rPr>
        <w:t xml:space="preserve"> (Applicant or Blue Cloud)</w:t>
      </w:r>
      <w:r w:rsidR="002D1419" w:rsidRPr="37AC545F">
        <w:rPr>
          <w:rFonts w:asciiTheme="minorHAnsi" w:hAnsiTheme="minorHAnsi"/>
        </w:rPr>
        <w:t>, first established in 201</w:t>
      </w:r>
      <w:r w:rsidR="002D5753" w:rsidRPr="37AC545F">
        <w:rPr>
          <w:rFonts w:asciiTheme="minorHAnsi" w:hAnsiTheme="minorHAnsi"/>
        </w:rPr>
        <w:t>1</w:t>
      </w:r>
      <w:r w:rsidR="002D1419" w:rsidRPr="37AC545F">
        <w:rPr>
          <w:rFonts w:asciiTheme="minorHAnsi" w:hAnsiTheme="minorHAnsi"/>
        </w:rPr>
        <w:t xml:space="preserve">, </w:t>
      </w:r>
      <w:r w:rsidR="00F86D6E" w:rsidRPr="37AC545F">
        <w:rPr>
          <w:rFonts w:asciiTheme="minorHAnsi" w:hAnsiTheme="minorHAnsi"/>
        </w:rPr>
        <w:t xml:space="preserve">is the largest </w:t>
      </w:r>
      <w:r w:rsidR="002D1419" w:rsidRPr="37AC545F">
        <w:rPr>
          <w:rFonts w:asciiTheme="minorHAnsi" w:hAnsiTheme="minorHAnsi"/>
        </w:rPr>
        <w:t>operat</w:t>
      </w:r>
      <w:r w:rsidR="00F86D6E" w:rsidRPr="37AC545F">
        <w:rPr>
          <w:rFonts w:asciiTheme="minorHAnsi" w:hAnsiTheme="minorHAnsi"/>
        </w:rPr>
        <w:t xml:space="preserve">or of </w:t>
      </w:r>
      <w:r w:rsidR="00807B51" w:rsidRPr="37AC545F">
        <w:rPr>
          <w:rFonts w:asciiTheme="minorHAnsi" w:hAnsiTheme="minorHAnsi"/>
        </w:rPr>
        <w:t xml:space="preserve">ambulatory surgery centers (ASCs) </w:t>
      </w:r>
      <w:r w:rsidR="00305EC7" w:rsidRPr="37AC545F">
        <w:rPr>
          <w:rFonts w:asciiTheme="minorHAnsi" w:hAnsiTheme="minorHAnsi"/>
        </w:rPr>
        <w:t xml:space="preserve">for pediatric dental patients </w:t>
      </w:r>
      <w:r w:rsidR="00807B51" w:rsidRPr="37AC545F">
        <w:rPr>
          <w:rFonts w:asciiTheme="minorHAnsi" w:hAnsiTheme="minorHAnsi"/>
        </w:rPr>
        <w:t xml:space="preserve">in </w:t>
      </w:r>
      <w:r w:rsidR="00F86D6E" w:rsidRPr="37AC545F">
        <w:rPr>
          <w:rFonts w:asciiTheme="minorHAnsi" w:hAnsiTheme="minorHAnsi"/>
        </w:rPr>
        <w:t xml:space="preserve">the United States (US), with </w:t>
      </w:r>
      <w:r w:rsidR="009C323B">
        <w:rPr>
          <w:rFonts w:asciiTheme="minorHAnsi" w:hAnsiTheme="minorHAnsi"/>
        </w:rPr>
        <w:t>27 ASCs</w:t>
      </w:r>
      <w:r w:rsidR="009C323B" w:rsidRPr="37AC545F">
        <w:rPr>
          <w:rFonts w:asciiTheme="minorHAnsi" w:hAnsiTheme="minorHAnsi"/>
        </w:rPr>
        <w:t xml:space="preserve"> </w:t>
      </w:r>
      <w:r w:rsidR="00F86D6E" w:rsidRPr="37AC545F">
        <w:rPr>
          <w:rFonts w:asciiTheme="minorHAnsi" w:hAnsiTheme="minorHAnsi"/>
        </w:rPr>
        <w:t xml:space="preserve">in </w:t>
      </w:r>
      <w:r w:rsidR="00807B51" w:rsidRPr="37AC545F">
        <w:rPr>
          <w:rFonts w:asciiTheme="minorHAnsi" w:hAnsiTheme="minorHAnsi"/>
        </w:rPr>
        <w:t xml:space="preserve">15 states. </w:t>
      </w:r>
      <w:r w:rsidR="00515F7D">
        <w:rPr>
          <w:rFonts w:asciiTheme="minorHAnsi" w:hAnsiTheme="minorHAnsi"/>
        </w:rPr>
        <w:t>The Applicant is wholly owned (100</w:t>
      </w:r>
      <w:r w:rsidR="001168E5">
        <w:rPr>
          <w:rFonts w:asciiTheme="minorHAnsi" w:hAnsiTheme="minorHAnsi"/>
        </w:rPr>
        <w:t xml:space="preserve"> percent</w:t>
      </w:r>
      <w:r w:rsidR="00515F7D">
        <w:rPr>
          <w:rFonts w:asciiTheme="minorHAnsi" w:hAnsiTheme="minorHAnsi"/>
        </w:rPr>
        <w:t>) by Benson Parent, LLC</w:t>
      </w:r>
      <w:r w:rsidR="00983100">
        <w:rPr>
          <w:rFonts w:asciiTheme="minorHAnsi" w:hAnsiTheme="minorHAnsi"/>
        </w:rPr>
        <w:t>, which, after a number of passthrough LLCs, is whol</w:t>
      </w:r>
      <w:r w:rsidR="00442172">
        <w:rPr>
          <w:rFonts w:asciiTheme="minorHAnsi" w:hAnsiTheme="minorHAnsi"/>
        </w:rPr>
        <w:t>ly</w:t>
      </w:r>
      <w:r w:rsidR="00983100">
        <w:rPr>
          <w:rFonts w:asciiTheme="minorHAnsi" w:hAnsiTheme="minorHAnsi"/>
        </w:rPr>
        <w:t xml:space="preserve"> owned (100</w:t>
      </w:r>
      <w:r w:rsidR="001168E5">
        <w:rPr>
          <w:rFonts w:asciiTheme="minorHAnsi" w:hAnsiTheme="minorHAnsi"/>
        </w:rPr>
        <w:t xml:space="preserve"> percent</w:t>
      </w:r>
      <w:r w:rsidR="00983100">
        <w:rPr>
          <w:rFonts w:asciiTheme="minorHAnsi" w:hAnsiTheme="minorHAnsi"/>
        </w:rPr>
        <w:t>), by Brave Topco Holdings, LP</w:t>
      </w:r>
      <w:r w:rsidR="00406D05">
        <w:rPr>
          <w:rFonts w:asciiTheme="minorHAnsi" w:hAnsiTheme="minorHAnsi"/>
        </w:rPr>
        <w:t xml:space="preserve">, which includes </w:t>
      </w:r>
      <w:r w:rsidR="00983100">
        <w:rPr>
          <w:rFonts w:asciiTheme="minorHAnsi" w:hAnsiTheme="minorHAnsi"/>
        </w:rPr>
        <w:t>the following members: Great Hill Equity Partners (80.01</w:t>
      </w:r>
      <w:r w:rsidR="001168E5">
        <w:rPr>
          <w:rFonts w:asciiTheme="minorHAnsi" w:hAnsiTheme="minorHAnsi"/>
        </w:rPr>
        <w:t xml:space="preserve"> percent</w:t>
      </w:r>
      <w:r w:rsidR="00983100">
        <w:rPr>
          <w:rFonts w:asciiTheme="minorHAnsi" w:hAnsiTheme="minorHAnsi"/>
        </w:rPr>
        <w:t>), Finback Investment Partners (6.96</w:t>
      </w:r>
      <w:r w:rsidR="001168E5">
        <w:rPr>
          <w:rFonts w:asciiTheme="minorHAnsi" w:hAnsiTheme="minorHAnsi"/>
        </w:rPr>
        <w:t xml:space="preserve"> percent</w:t>
      </w:r>
      <w:r w:rsidR="00983100">
        <w:rPr>
          <w:rFonts w:asciiTheme="minorHAnsi" w:hAnsiTheme="minorHAnsi"/>
        </w:rPr>
        <w:t>), and other individuals, each of whom have less than a 5</w:t>
      </w:r>
      <w:r w:rsidR="001168E5">
        <w:rPr>
          <w:rFonts w:asciiTheme="minorHAnsi" w:hAnsiTheme="minorHAnsi"/>
        </w:rPr>
        <w:t xml:space="preserve"> percent</w:t>
      </w:r>
      <w:r w:rsidR="00983100">
        <w:rPr>
          <w:rFonts w:asciiTheme="minorHAnsi" w:hAnsiTheme="minorHAnsi"/>
        </w:rPr>
        <w:t xml:space="preserve"> ownership interest in Brave Topco Holdings, LP. </w:t>
      </w:r>
      <w:r w:rsidR="002F341E" w:rsidRPr="002F341E">
        <w:rPr>
          <w:rFonts w:asciiTheme="minorHAnsi" w:hAnsiTheme="minorHAnsi"/>
        </w:rPr>
        <w:t>Boston-based private equity firm Great Hill Partners</w:t>
      </w:r>
      <w:r w:rsidR="004B1809">
        <w:rPr>
          <w:rFonts w:asciiTheme="minorHAnsi" w:hAnsiTheme="minorHAnsi"/>
        </w:rPr>
        <w:t>, which</w:t>
      </w:r>
      <w:r w:rsidR="002F341E" w:rsidRPr="002F341E">
        <w:rPr>
          <w:rFonts w:asciiTheme="minorHAnsi" w:hAnsiTheme="minorHAnsi"/>
        </w:rPr>
        <w:t xml:space="preserve"> acquired a majority interest in Blue Cloud</w:t>
      </w:r>
      <w:r w:rsidR="004B1809">
        <w:rPr>
          <w:rFonts w:asciiTheme="minorHAnsi" w:hAnsiTheme="minorHAnsi"/>
        </w:rPr>
        <w:t xml:space="preserve"> in 2025</w:t>
      </w:r>
      <w:r w:rsidR="002F341E" w:rsidRPr="002F341E">
        <w:rPr>
          <w:rFonts w:asciiTheme="minorHAnsi" w:hAnsiTheme="minorHAnsi"/>
          <w:vertAlign w:val="superscript"/>
        </w:rPr>
        <w:endnoteReference w:id="2"/>
      </w:r>
      <w:r w:rsidR="004B1809">
        <w:rPr>
          <w:rFonts w:asciiTheme="minorHAnsi" w:hAnsiTheme="minorHAnsi"/>
        </w:rPr>
        <w:t>,</w:t>
      </w:r>
      <w:r w:rsidR="002F341E" w:rsidRPr="002F341E">
        <w:rPr>
          <w:rFonts w:asciiTheme="minorHAnsi" w:hAnsiTheme="minorHAnsi"/>
        </w:rPr>
        <w:t xml:space="preserve"> provides financial backing and macro-level strategic support to assist Blue Cloud in expanding access to care nationally</w:t>
      </w:r>
      <w:r w:rsidR="00F5077E">
        <w:rPr>
          <w:rFonts w:asciiTheme="minorHAnsi" w:hAnsiTheme="minorHAnsi"/>
        </w:rPr>
        <w:t>,</w:t>
      </w:r>
      <w:r w:rsidR="00CD0A2B">
        <w:rPr>
          <w:rFonts w:asciiTheme="minorHAnsi" w:hAnsiTheme="minorHAnsi"/>
        </w:rPr>
        <w:t xml:space="preserve"> and is supportive of the Applicant’s expansion into Massachusetts</w:t>
      </w:r>
      <w:r w:rsidR="002F341E" w:rsidRPr="002F341E">
        <w:rPr>
          <w:rFonts w:asciiTheme="minorHAnsi" w:hAnsiTheme="minorHAnsi"/>
        </w:rPr>
        <w:t xml:space="preserve">. The Applicant states further that Great Hill Partners approves growth strategy proposals from Blue Cloud, but </w:t>
      </w:r>
      <w:r w:rsidR="005703E7">
        <w:rPr>
          <w:rFonts w:asciiTheme="minorHAnsi" w:hAnsiTheme="minorHAnsi"/>
        </w:rPr>
        <w:t>does not play a role in local operational efforts at each ASC</w:t>
      </w:r>
      <w:r w:rsidR="002F341E" w:rsidRPr="002F341E">
        <w:rPr>
          <w:rFonts w:asciiTheme="minorHAnsi" w:hAnsiTheme="minorHAnsi"/>
        </w:rPr>
        <w:t>.</w:t>
      </w:r>
      <w:r w:rsidR="007E72DA">
        <w:rPr>
          <w:rFonts w:asciiTheme="minorHAnsi" w:hAnsiTheme="minorHAnsi"/>
        </w:rPr>
        <w:t xml:space="preserve"> Finback Invest</w:t>
      </w:r>
      <w:r w:rsidR="003278A2">
        <w:rPr>
          <w:rFonts w:asciiTheme="minorHAnsi" w:hAnsiTheme="minorHAnsi"/>
        </w:rPr>
        <w:t xml:space="preserve">ment Partners provides macro-level strategic support to assist the Applicant in expanding care nationally. </w:t>
      </w:r>
    </w:p>
    <w:p w14:paraId="01A15293" w14:textId="77777777" w:rsidR="008B41D7" w:rsidRDefault="008B41D7" w:rsidP="37AC545F">
      <w:pPr>
        <w:pStyle w:val="BodyText"/>
        <w:rPr>
          <w:rFonts w:asciiTheme="minorHAnsi" w:hAnsiTheme="minorHAnsi"/>
        </w:rPr>
      </w:pPr>
    </w:p>
    <w:p w14:paraId="4B623F93" w14:textId="16D9EA72" w:rsidR="00075494" w:rsidRPr="00075494" w:rsidRDefault="00075494" w:rsidP="37AC545F">
      <w:pPr>
        <w:pStyle w:val="BodyText"/>
        <w:rPr>
          <w:rFonts w:asciiTheme="minorHAnsi" w:hAnsiTheme="minorHAnsi"/>
        </w:rPr>
      </w:pPr>
      <w:r w:rsidRPr="37AC545F">
        <w:rPr>
          <w:rFonts w:asciiTheme="minorHAnsi" w:hAnsiTheme="minorHAnsi"/>
        </w:rPr>
        <w:t>Blue Cloud owns 100</w:t>
      </w:r>
      <w:r w:rsidR="001168E5">
        <w:rPr>
          <w:rFonts w:asciiTheme="minorHAnsi" w:hAnsiTheme="minorHAnsi"/>
        </w:rPr>
        <w:t xml:space="preserve"> percent</w:t>
      </w:r>
      <w:r w:rsidRPr="37AC545F">
        <w:rPr>
          <w:rFonts w:asciiTheme="minorHAnsi" w:hAnsiTheme="minorHAnsi"/>
        </w:rPr>
        <w:t xml:space="preserve"> of the equity interest</w:t>
      </w:r>
      <w:r w:rsidR="002E7E53">
        <w:rPr>
          <w:rFonts w:asciiTheme="minorHAnsi" w:hAnsiTheme="minorHAnsi"/>
        </w:rPr>
        <w:t>s</w:t>
      </w:r>
      <w:r w:rsidRPr="37AC545F">
        <w:rPr>
          <w:rFonts w:asciiTheme="minorHAnsi" w:hAnsiTheme="minorHAnsi"/>
        </w:rPr>
        <w:t xml:space="preserve"> in </w:t>
      </w:r>
      <w:r w:rsidR="005C2460">
        <w:rPr>
          <w:rFonts w:asciiTheme="minorHAnsi" w:hAnsiTheme="minorHAnsi"/>
        </w:rPr>
        <w:t>23</w:t>
      </w:r>
      <w:r w:rsidR="00C8299D" w:rsidRPr="37AC545F">
        <w:rPr>
          <w:rFonts w:asciiTheme="minorHAnsi" w:hAnsiTheme="minorHAnsi"/>
        </w:rPr>
        <w:t xml:space="preserve"> of </w:t>
      </w:r>
      <w:r w:rsidRPr="37AC545F">
        <w:rPr>
          <w:rFonts w:asciiTheme="minorHAnsi" w:hAnsiTheme="minorHAnsi"/>
        </w:rPr>
        <w:t>the</w:t>
      </w:r>
      <w:r w:rsidR="00646153">
        <w:rPr>
          <w:rFonts w:asciiTheme="minorHAnsi" w:hAnsiTheme="minorHAnsi"/>
        </w:rPr>
        <w:t>ir 27</w:t>
      </w:r>
      <w:r w:rsidRPr="37AC545F">
        <w:rPr>
          <w:rFonts w:asciiTheme="minorHAnsi" w:hAnsiTheme="minorHAnsi"/>
        </w:rPr>
        <w:t xml:space="preserve"> ASCs in operation</w:t>
      </w:r>
      <w:r w:rsidR="00C8299D" w:rsidRPr="37AC545F">
        <w:rPr>
          <w:rFonts w:asciiTheme="minorHAnsi" w:hAnsiTheme="minorHAnsi"/>
        </w:rPr>
        <w:t xml:space="preserve">. The remaining four Blue Cloud ASCs </w:t>
      </w:r>
      <w:r w:rsidR="00A647D7" w:rsidRPr="37AC545F">
        <w:rPr>
          <w:rFonts w:asciiTheme="minorHAnsi" w:hAnsiTheme="minorHAnsi"/>
        </w:rPr>
        <w:t>have local minority physician owners.</w:t>
      </w:r>
      <w:r w:rsidR="00646153">
        <w:rPr>
          <w:rFonts w:asciiTheme="minorHAnsi" w:hAnsiTheme="minorHAnsi"/>
        </w:rPr>
        <w:t xml:space="preserve"> Since DoN application submission, the Applicant has added an additional eight ASCs to its organization, and owns 100</w:t>
      </w:r>
      <w:r w:rsidR="001168E5">
        <w:rPr>
          <w:rFonts w:asciiTheme="minorHAnsi" w:hAnsiTheme="minorHAnsi"/>
        </w:rPr>
        <w:t xml:space="preserve"> percent</w:t>
      </w:r>
      <w:r w:rsidR="00646153">
        <w:rPr>
          <w:rFonts w:asciiTheme="minorHAnsi" w:hAnsiTheme="minorHAnsi"/>
        </w:rPr>
        <w:t xml:space="preserve"> equity interest in each of them.</w:t>
      </w:r>
      <w:r w:rsidR="00C519C8">
        <w:rPr>
          <w:rFonts w:asciiTheme="minorHAnsi" w:hAnsiTheme="minorHAnsi"/>
        </w:rPr>
        <w:t xml:space="preserve"> The Applicant states that there are an additional 15 to 18 ASCs in the pipeline across the Midwest, South, and Northeast.</w:t>
      </w:r>
      <w:r w:rsidR="00A647D7" w:rsidRPr="37AC545F">
        <w:rPr>
          <w:rFonts w:asciiTheme="minorHAnsi" w:hAnsiTheme="minorHAnsi"/>
        </w:rPr>
        <w:t xml:space="preserve"> </w:t>
      </w:r>
    </w:p>
    <w:p w14:paraId="01949B69" w14:textId="77777777" w:rsidR="002D5753" w:rsidRDefault="002D5753" w:rsidP="00620D10">
      <w:pPr>
        <w:pStyle w:val="BodyText"/>
        <w:rPr>
          <w:rFonts w:asciiTheme="minorHAnsi" w:hAnsiTheme="minorHAnsi"/>
          <w:shd w:val="clear" w:color="auto" w:fill="FFFF00"/>
        </w:rPr>
      </w:pPr>
    </w:p>
    <w:p w14:paraId="6221B6E1" w14:textId="2582A681" w:rsidR="0044729F" w:rsidRDefault="00DB4583" w:rsidP="00620D10">
      <w:pPr>
        <w:pStyle w:val="BodyText"/>
        <w:rPr>
          <w:rFonts w:asciiTheme="minorHAnsi" w:hAnsiTheme="minorHAnsi"/>
        </w:rPr>
      </w:pPr>
      <w:r>
        <w:rPr>
          <w:rFonts w:asciiTheme="minorHAnsi" w:hAnsiTheme="minorHAnsi"/>
        </w:rPr>
        <w:t xml:space="preserve">The Applicant’s </w:t>
      </w:r>
      <w:r w:rsidR="00AA6D54">
        <w:rPr>
          <w:rFonts w:asciiTheme="minorHAnsi" w:hAnsiTheme="minorHAnsi"/>
        </w:rPr>
        <w:t>state</w:t>
      </w:r>
      <w:r w:rsidR="002A2280">
        <w:rPr>
          <w:rFonts w:asciiTheme="minorHAnsi" w:hAnsiTheme="minorHAnsi"/>
        </w:rPr>
        <w:t>d</w:t>
      </w:r>
      <w:r w:rsidR="00AA6D54">
        <w:rPr>
          <w:rFonts w:asciiTheme="minorHAnsi" w:hAnsiTheme="minorHAnsi"/>
        </w:rPr>
        <w:t xml:space="preserve"> </w:t>
      </w:r>
      <w:r>
        <w:rPr>
          <w:rFonts w:asciiTheme="minorHAnsi" w:hAnsiTheme="minorHAnsi"/>
        </w:rPr>
        <w:t xml:space="preserve">mission is </w:t>
      </w:r>
      <w:r w:rsidR="00AA6D54">
        <w:rPr>
          <w:rFonts w:asciiTheme="minorHAnsi" w:hAnsiTheme="minorHAnsi"/>
        </w:rPr>
        <w:t>“</w:t>
      </w:r>
      <w:r>
        <w:rPr>
          <w:rFonts w:asciiTheme="minorHAnsi" w:hAnsiTheme="minorHAnsi"/>
        </w:rPr>
        <w:t xml:space="preserve">to </w:t>
      </w:r>
      <w:r w:rsidR="00AA6D54">
        <w:rPr>
          <w:rFonts w:asciiTheme="minorHAnsi" w:hAnsiTheme="minorHAnsi"/>
        </w:rPr>
        <w:t>expand access to high</w:t>
      </w:r>
      <w:r w:rsidR="0026141E">
        <w:rPr>
          <w:rFonts w:asciiTheme="minorHAnsi" w:hAnsiTheme="minorHAnsi"/>
        </w:rPr>
        <w:t>-</w:t>
      </w:r>
      <w:r w:rsidR="00AA6D54">
        <w:rPr>
          <w:rFonts w:asciiTheme="minorHAnsi" w:hAnsiTheme="minorHAnsi"/>
        </w:rPr>
        <w:t xml:space="preserve">quality dental care to an underserved and historically overlooked population while reducing costs for both patients and payers.” </w:t>
      </w:r>
      <w:r w:rsidR="00137D1D">
        <w:rPr>
          <w:rFonts w:asciiTheme="minorHAnsi" w:hAnsiTheme="minorHAnsi"/>
        </w:rPr>
        <w:t>The Applicant serves a patient population</w:t>
      </w:r>
      <w:r w:rsidR="001841B3">
        <w:rPr>
          <w:rFonts w:asciiTheme="minorHAnsi" w:hAnsiTheme="minorHAnsi"/>
        </w:rPr>
        <w:t xml:space="preserve"> comprised predominantly of pediatric patients </w:t>
      </w:r>
      <w:r w:rsidR="00137D1D">
        <w:rPr>
          <w:rFonts w:asciiTheme="minorHAnsi" w:hAnsiTheme="minorHAnsi"/>
        </w:rPr>
        <w:t xml:space="preserve">insured through Medicaid, </w:t>
      </w:r>
      <w:r w:rsidR="001841B3">
        <w:rPr>
          <w:rFonts w:asciiTheme="minorHAnsi" w:hAnsiTheme="minorHAnsi"/>
        </w:rPr>
        <w:t xml:space="preserve">the majority of which are under the age of nine, as well as children and adult patients with </w:t>
      </w:r>
      <w:r w:rsidR="001841B3" w:rsidRPr="00714275">
        <w:rPr>
          <w:rFonts w:asciiTheme="minorHAnsi" w:hAnsiTheme="minorHAnsi"/>
        </w:rPr>
        <w:t>special health</w:t>
      </w:r>
      <w:r w:rsidR="0039541F" w:rsidRPr="00714275">
        <w:rPr>
          <w:rFonts w:asciiTheme="minorHAnsi" w:hAnsiTheme="minorHAnsi"/>
        </w:rPr>
        <w:t>care</w:t>
      </w:r>
      <w:r w:rsidR="001841B3" w:rsidRPr="00714275">
        <w:rPr>
          <w:rFonts w:asciiTheme="minorHAnsi" w:hAnsiTheme="minorHAnsi"/>
        </w:rPr>
        <w:t xml:space="preserve"> needs</w:t>
      </w:r>
      <w:r w:rsidR="001841B3">
        <w:rPr>
          <w:rFonts w:asciiTheme="minorHAnsi" w:hAnsiTheme="minorHAnsi"/>
        </w:rPr>
        <w:t xml:space="preserve">. </w:t>
      </w:r>
      <w:r w:rsidR="00FB22F1">
        <w:rPr>
          <w:rFonts w:asciiTheme="minorHAnsi" w:hAnsiTheme="minorHAnsi"/>
        </w:rPr>
        <w:t>Across the Applicant’s ASCs, approximately 94</w:t>
      </w:r>
      <w:r w:rsidR="001168E5" w:rsidRPr="001168E5">
        <w:rPr>
          <w:rFonts w:asciiTheme="minorHAnsi" w:hAnsiTheme="minorHAnsi"/>
        </w:rPr>
        <w:t xml:space="preserve"> percent</w:t>
      </w:r>
      <w:r w:rsidR="00FB22F1">
        <w:rPr>
          <w:rFonts w:asciiTheme="minorHAnsi" w:hAnsiTheme="minorHAnsi"/>
        </w:rPr>
        <w:t xml:space="preserve"> of patients are insured through Medica</w:t>
      </w:r>
      <w:r w:rsidR="00BA2C3C">
        <w:rPr>
          <w:rFonts w:asciiTheme="minorHAnsi" w:hAnsiTheme="minorHAnsi"/>
        </w:rPr>
        <w:t>id</w:t>
      </w:r>
      <w:r w:rsidR="00FB22F1">
        <w:rPr>
          <w:rFonts w:asciiTheme="minorHAnsi" w:hAnsiTheme="minorHAnsi"/>
        </w:rPr>
        <w:t xml:space="preserve"> </w:t>
      </w:r>
      <w:r w:rsidR="00DD2843">
        <w:rPr>
          <w:rFonts w:asciiTheme="minorHAnsi" w:hAnsiTheme="minorHAnsi"/>
        </w:rPr>
        <w:t>or</w:t>
      </w:r>
      <w:r w:rsidR="00FB22F1">
        <w:rPr>
          <w:rFonts w:asciiTheme="minorHAnsi" w:hAnsiTheme="minorHAnsi"/>
        </w:rPr>
        <w:t xml:space="preserve"> the Children’s Health Insurance Program (CHIP). </w:t>
      </w:r>
    </w:p>
    <w:p w14:paraId="28E5BE67" w14:textId="77777777" w:rsidR="00CD52E1" w:rsidRDefault="00CD52E1" w:rsidP="00620D10">
      <w:pPr>
        <w:pStyle w:val="BodyText"/>
        <w:rPr>
          <w:rFonts w:asciiTheme="minorHAnsi" w:hAnsiTheme="minorHAnsi"/>
        </w:rPr>
      </w:pPr>
    </w:p>
    <w:p w14:paraId="21BBF595" w14:textId="073AC07E" w:rsidR="00CD52E1" w:rsidRPr="00CD52E1" w:rsidRDefault="00CD52E1" w:rsidP="00620D10">
      <w:pPr>
        <w:pStyle w:val="BodyText"/>
        <w:rPr>
          <w:rFonts w:asciiTheme="minorHAnsi" w:hAnsiTheme="minorHAnsi"/>
          <w:b/>
          <w:bCs/>
        </w:rPr>
      </w:pPr>
      <w:r w:rsidRPr="00CD52E1">
        <w:rPr>
          <w:rFonts w:asciiTheme="minorHAnsi" w:hAnsiTheme="minorHAnsi"/>
          <w:b/>
          <w:bCs/>
        </w:rPr>
        <w:t xml:space="preserve">Northeast Ambulatory Center, </w:t>
      </w:r>
      <w:r w:rsidR="003F42B7">
        <w:rPr>
          <w:rFonts w:asciiTheme="minorHAnsi" w:hAnsiTheme="minorHAnsi"/>
          <w:b/>
          <w:bCs/>
        </w:rPr>
        <w:t xml:space="preserve">Inc. </w:t>
      </w:r>
    </w:p>
    <w:p w14:paraId="20A598B4" w14:textId="1E625F86" w:rsidR="0044729F" w:rsidRPr="00CD52E1" w:rsidRDefault="00013554" w:rsidP="00620D10">
      <w:pPr>
        <w:pStyle w:val="BodyText"/>
        <w:rPr>
          <w:rFonts w:asciiTheme="minorHAnsi" w:hAnsiTheme="minorHAnsi"/>
        </w:rPr>
      </w:pPr>
      <w:r>
        <w:rPr>
          <w:rFonts w:asciiTheme="minorHAnsi" w:hAnsiTheme="minorHAnsi"/>
        </w:rPr>
        <w:t xml:space="preserve">Northeast Ambulatory Center, </w:t>
      </w:r>
      <w:r w:rsidR="003F42B7">
        <w:rPr>
          <w:rFonts w:asciiTheme="minorHAnsi" w:hAnsiTheme="minorHAnsi"/>
        </w:rPr>
        <w:t>Inc.</w:t>
      </w:r>
      <w:r>
        <w:rPr>
          <w:rFonts w:asciiTheme="minorHAnsi" w:hAnsiTheme="minorHAnsi"/>
        </w:rPr>
        <w:t xml:space="preserve"> (Northeast) </w:t>
      </w:r>
      <w:r w:rsidR="00DA2EF2" w:rsidRPr="00DA2EF2">
        <w:rPr>
          <w:rFonts w:asciiTheme="minorHAnsi" w:hAnsiTheme="minorHAnsi"/>
        </w:rPr>
        <w:t>was established in 1996 as a single specialty pain management ASC</w:t>
      </w:r>
      <w:r w:rsidR="00714275">
        <w:rPr>
          <w:rFonts w:asciiTheme="minorHAnsi" w:hAnsiTheme="minorHAnsi"/>
        </w:rPr>
        <w:t xml:space="preserve"> in Stoneham</w:t>
      </w:r>
      <w:r w:rsidR="00DA2EF2" w:rsidRPr="00DA2EF2">
        <w:rPr>
          <w:rFonts w:asciiTheme="minorHAnsi" w:hAnsiTheme="minorHAnsi"/>
        </w:rPr>
        <w:t>.</w:t>
      </w:r>
      <w:r w:rsidR="00DA2EF2">
        <w:rPr>
          <w:rFonts w:asciiTheme="minorHAnsi" w:hAnsiTheme="minorHAnsi"/>
        </w:rPr>
        <w:t xml:space="preserve"> </w:t>
      </w:r>
      <w:r w:rsidR="00415DAB" w:rsidRPr="00415DAB">
        <w:rPr>
          <w:rFonts w:asciiTheme="minorHAnsi" w:hAnsiTheme="minorHAnsi"/>
        </w:rPr>
        <w:t xml:space="preserve">Northeast has two operating rooms and one treatment </w:t>
      </w:r>
      <w:r w:rsidR="001B4307">
        <w:rPr>
          <w:rFonts w:asciiTheme="minorHAnsi" w:hAnsiTheme="minorHAnsi"/>
        </w:rPr>
        <w:t>room</w:t>
      </w:r>
      <w:r w:rsidR="00415DAB" w:rsidRPr="00415DAB">
        <w:rPr>
          <w:rFonts w:asciiTheme="minorHAnsi" w:hAnsiTheme="minorHAnsi"/>
        </w:rPr>
        <w:t>.</w:t>
      </w:r>
      <w:r w:rsidR="00415DAB">
        <w:rPr>
          <w:rFonts w:asciiTheme="minorHAnsi" w:hAnsiTheme="minorHAnsi"/>
        </w:rPr>
        <w:t xml:space="preserve"> </w:t>
      </w:r>
      <w:r w:rsidR="00DA2EF2">
        <w:rPr>
          <w:rFonts w:asciiTheme="minorHAnsi" w:hAnsiTheme="minorHAnsi"/>
        </w:rPr>
        <w:t xml:space="preserve">Northeast </w:t>
      </w:r>
      <w:r>
        <w:rPr>
          <w:rFonts w:asciiTheme="minorHAnsi" w:hAnsiTheme="minorHAnsi"/>
        </w:rPr>
        <w:t>is owned and operated by an anesthesiologist and pain medicine physician</w:t>
      </w:r>
      <w:r w:rsidR="007B06A5">
        <w:rPr>
          <w:rFonts w:asciiTheme="minorHAnsi" w:hAnsiTheme="minorHAnsi"/>
        </w:rPr>
        <w:t>, Dr. Anil Kumar</w:t>
      </w:r>
      <w:r w:rsidR="00A00537">
        <w:rPr>
          <w:rFonts w:asciiTheme="minorHAnsi" w:hAnsiTheme="minorHAnsi"/>
        </w:rPr>
        <w:t xml:space="preserve"> (Seller)</w:t>
      </w:r>
      <w:r>
        <w:rPr>
          <w:rFonts w:asciiTheme="minorHAnsi" w:hAnsiTheme="minorHAnsi"/>
        </w:rPr>
        <w:t xml:space="preserve">. The ASC </w:t>
      </w:r>
      <w:r w:rsidR="004C00F9">
        <w:rPr>
          <w:rFonts w:asciiTheme="minorHAnsi" w:hAnsiTheme="minorHAnsi"/>
        </w:rPr>
        <w:t xml:space="preserve">currently </w:t>
      </w:r>
      <w:r>
        <w:rPr>
          <w:rFonts w:asciiTheme="minorHAnsi" w:hAnsiTheme="minorHAnsi"/>
        </w:rPr>
        <w:t xml:space="preserve">provides specialized procedures to address chronic pain and promote wellness to patients seen in the Seller’s physician practice. The Applicant states that the Seller has been </w:t>
      </w:r>
      <w:r w:rsidR="00A41823">
        <w:rPr>
          <w:rFonts w:asciiTheme="minorHAnsi" w:hAnsiTheme="minorHAnsi"/>
        </w:rPr>
        <w:t>winding down his practice over the last few years in preparation for his retirement</w:t>
      </w:r>
      <w:r w:rsidR="004C00F9">
        <w:rPr>
          <w:rFonts w:asciiTheme="minorHAnsi" w:hAnsiTheme="minorHAnsi"/>
        </w:rPr>
        <w:t xml:space="preserve"> </w:t>
      </w:r>
      <w:r w:rsidR="00A41823">
        <w:rPr>
          <w:rFonts w:asciiTheme="minorHAnsi" w:hAnsiTheme="minorHAnsi"/>
        </w:rPr>
        <w:t xml:space="preserve">and intends to transfer the ownership of the ASC to the Applicant. </w:t>
      </w:r>
    </w:p>
    <w:p w14:paraId="2ADFA1D8" w14:textId="77777777" w:rsidR="0044729F" w:rsidRPr="00620D10" w:rsidRDefault="0044729F" w:rsidP="00620D10">
      <w:pPr>
        <w:pStyle w:val="BodyText"/>
        <w:rPr>
          <w:rFonts w:asciiTheme="minorHAnsi" w:hAnsiTheme="minorHAnsi"/>
        </w:rPr>
      </w:pPr>
    </w:p>
    <w:p w14:paraId="38015343" w14:textId="2FF6D908" w:rsidR="00B447F3" w:rsidRDefault="00CA3292" w:rsidP="00C316C3">
      <w:pPr>
        <w:pStyle w:val="BodyText"/>
        <w:rPr>
          <w:b/>
          <w:bCs/>
        </w:rPr>
      </w:pPr>
      <w:r>
        <w:rPr>
          <w:b/>
          <w:bCs/>
        </w:rPr>
        <w:t xml:space="preserve">The Proposed Project </w:t>
      </w:r>
    </w:p>
    <w:p w14:paraId="6019DE54" w14:textId="350933F5" w:rsidR="00080B93" w:rsidRDefault="3F5B277A" w:rsidP="000E4731">
      <w:pPr>
        <w:pStyle w:val="BodyText"/>
      </w:pPr>
      <w:r>
        <w:t xml:space="preserve">The Applicant seeks </w:t>
      </w:r>
      <w:r w:rsidR="6D2F2142">
        <w:t>to acquire</w:t>
      </w:r>
      <w:r>
        <w:t xml:space="preserve"> </w:t>
      </w:r>
      <w:r w:rsidR="276BF2EA">
        <w:t>Northeast</w:t>
      </w:r>
      <w:r>
        <w:t xml:space="preserve"> and </w:t>
      </w:r>
      <w:r w:rsidR="6D2F2142">
        <w:t>plans to</w:t>
      </w:r>
      <w:r w:rsidR="26589EAE">
        <w:t xml:space="preserve"> </w:t>
      </w:r>
      <w:r>
        <w:t xml:space="preserve">operate it as a single specialty ASC </w:t>
      </w:r>
      <w:r w:rsidR="50AD82C0">
        <w:t>(the Center)</w:t>
      </w:r>
      <w:r w:rsidR="22E97EE5">
        <w:t xml:space="preserve">. The Applicant intends to shift the Center’s services </w:t>
      </w:r>
      <w:r>
        <w:t>to high-acuity dental procedures and surgeries (High Acuity Dental Surgeries) for pediatric patients and patients with special health</w:t>
      </w:r>
      <w:r w:rsidR="6F5439D6">
        <w:t xml:space="preserve">care </w:t>
      </w:r>
      <w:r>
        <w:lastRenderedPageBreak/>
        <w:t xml:space="preserve">needs who require dental surgery services under </w:t>
      </w:r>
      <w:r w:rsidR="38618907">
        <w:t>G</w:t>
      </w:r>
      <w:r>
        <w:t xml:space="preserve">eneral </w:t>
      </w:r>
      <w:r w:rsidR="38618907">
        <w:t>A</w:t>
      </w:r>
      <w:r>
        <w:t>nesthesia and who are not well-served in an office-based or hospital operating room.</w:t>
      </w:r>
      <w:r w:rsidR="001F2251" w:rsidRPr="0189A51B">
        <w:rPr>
          <w:vertAlign w:val="superscript"/>
        </w:rPr>
        <w:footnoteReference w:id="2"/>
      </w:r>
      <w:r>
        <w:t xml:space="preserve"> </w:t>
      </w:r>
      <w:r w:rsidR="0E620C07">
        <w:t xml:space="preserve">The Proposed Project will not result in an increase in the number of ORs </w:t>
      </w:r>
      <w:r w:rsidR="00F17DC8">
        <w:t>or</w:t>
      </w:r>
      <w:r w:rsidR="0E620C07">
        <w:t xml:space="preserve"> treatment rooms at the Center. </w:t>
      </w:r>
    </w:p>
    <w:p w14:paraId="6B219C3A" w14:textId="77777777" w:rsidR="00080B93" w:rsidRDefault="00080B93" w:rsidP="000E4731">
      <w:pPr>
        <w:pStyle w:val="BodyText"/>
      </w:pPr>
    </w:p>
    <w:p w14:paraId="4BA130CA" w14:textId="7C1CF619" w:rsidR="005E74E7" w:rsidRPr="005E74E7" w:rsidRDefault="0032506C" w:rsidP="005E74E7">
      <w:pPr>
        <w:pStyle w:val="BodyText"/>
      </w:pPr>
      <w:r>
        <w:t>Through the Proposed Project, the Applicant is proposing to open its first ASC in Massachusett</w:t>
      </w:r>
      <w:r w:rsidDel="0032506C">
        <w:t>s</w:t>
      </w:r>
      <w:r w:rsidR="00A020F3">
        <w:t xml:space="preserve"> to provide </w:t>
      </w:r>
      <w:r w:rsidR="00DD1CC1" w:rsidRPr="00DD1CC1">
        <w:t>convenient, timely access to medically necessary High Acuity Dental Surgeries</w:t>
      </w:r>
      <w:r w:rsidR="00DD1CC1" w:rsidRPr="00DD1CC1">
        <w:rPr>
          <w:vertAlign w:val="superscript"/>
        </w:rPr>
        <w:footnoteReference w:id="3"/>
      </w:r>
      <w:r w:rsidR="00A020F3">
        <w:t xml:space="preserve"> to an underserved patient population experiencing unmet need for dental care and facing barriers to accessing such care</w:t>
      </w:r>
      <w:r w:rsidR="0009792D">
        <w:t xml:space="preserve">. </w:t>
      </w:r>
      <w:r w:rsidR="00257858">
        <w:t>The Applicant states that this model replicates what currently occurs at Blue</w:t>
      </w:r>
      <w:r w:rsidR="007F201D">
        <w:t xml:space="preserve"> </w:t>
      </w:r>
      <w:r w:rsidR="00257858">
        <w:t xml:space="preserve">Cloud’s existing ASCs. </w:t>
      </w:r>
      <w:r w:rsidR="005E74E7">
        <w:t>The Applicant expects that the Center will serve a similar patient population as the Applicant’s existing ASCs where 94</w:t>
      </w:r>
      <w:r w:rsidR="001168E5">
        <w:rPr>
          <w:rFonts w:asciiTheme="minorHAnsi" w:hAnsiTheme="minorHAnsi"/>
        </w:rPr>
        <w:t xml:space="preserve"> percent</w:t>
      </w:r>
      <w:r w:rsidR="005E74E7">
        <w:t xml:space="preserve"> of its patient population is insured by Medicaid </w:t>
      </w:r>
      <w:r w:rsidR="00DD2843">
        <w:t>or</w:t>
      </w:r>
      <w:r w:rsidR="005E74E7">
        <w:t xml:space="preserve"> </w:t>
      </w:r>
      <w:r w:rsidR="007B2B82">
        <w:t>C</w:t>
      </w:r>
      <w:r w:rsidR="005E74E7">
        <w:t>HIP.</w:t>
      </w:r>
    </w:p>
    <w:p w14:paraId="682F6087" w14:textId="01D98CD4" w:rsidR="00FF0504" w:rsidRDefault="00FF0504" w:rsidP="00C316C3">
      <w:pPr>
        <w:pStyle w:val="BodyText"/>
      </w:pPr>
    </w:p>
    <w:p w14:paraId="665AFD9A" w14:textId="77777777" w:rsidR="007B32A0" w:rsidRDefault="007B32A0" w:rsidP="00C316C3">
      <w:pPr>
        <w:pStyle w:val="BodyText"/>
      </w:pPr>
    </w:p>
    <w:p w14:paraId="13A627BA" w14:textId="78D628CF" w:rsidR="00B95EA4" w:rsidRDefault="00A4110F" w:rsidP="00923435">
      <w:pPr>
        <w:pStyle w:val="Heading2"/>
      </w:pPr>
      <w:bookmarkStart w:id="2" w:name="_Toc241131186"/>
      <w:r w:rsidRPr="00C776B7">
        <w:t>Patient Panel</w:t>
      </w:r>
      <w:r w:rsidR="00B95EA4">
        <w:rPr>
          <w:rStyle w:val="FootnoteReference"/>
          <w:color w:val="42558C"/>
        </w:rPr>
        <w:footnoteReference w:id="4"/>
      </w:r>
      <w:bookmarkEnd w:id="2"/>
    </w:p>
    <w:p w14:paraId="72329741" w14:textId="77777777" w:rsidR="00EB3401" w:rsidRPr="00B07FD7" w:rsidRDefault="00EB3401" w:rsidP="00EB3401">
      <w:pPr>
        <w:pStyle w:val="BodyText"/>
        <w:spacing w:line="269" w:lineRule="exact"/>
        <w:rPr>
          <w:rFonts w:asciiTheme="minorHAnsi" w:hAnsiTheme="minorHAnsi"/>
          <w:i/>
          <w:iCs/>
        </w:rPr>
      </w:pPr>
      <w:r w:rsidRPr="00B07FD7">
        <w:rPr>
          <w:rFonts w:asciiTheme="minorHAnsi" w:hAnsiTheme="minorHAnsi"/>
          <w:i/>
          <w:iCs/>
        </w:rPr>
        <w:t>Blue Cloud</w:t>
      </w:r>
      <w:r>
        <w:rPr>
          <w:rFonts w:asciiTheme="minorHAnsi" w:hAnsiTheme="minorHAnsi"/>
          <w:i/>
          <w:iCs/>
        </w:rPr>
        <w:t xml:space="preserve"> Patients</w:t>
      </w:r>
    </w:p>
    <w:p w14:paraId="19E19526" w14:textId="4027FAD0" w:rsidR="00EB3401" w:rsidRDefault="00EB3401" w:rsidP="00EB3401">
      <w:pPr>
        <w:pStyle w:val="BodyText"/>
        <w:spacing w:line="269" w:lineRule="exact"/>
        <w:rPr>
          <w:rFonts w:asciiTheme="minorHAnsi" w:hAnsiTheme="minorHAnsi"/>
          <w:bCs/>
        </w:rPr>
      </w:pPr>
      <w:r>
        <w:rPr>
          <w:rFonts w:asciiTheme="minorHAnsi" w:hAnsiTheme="minorHAnsi"/>
        </w:rPr>
        <w:t>The Applicant expects that the Center</w:t>
      </w:r>
      <w:r w:rsidR="001A02A2">
        <w:rPr>
          <w:rFonts w:asciiTheme="minorHAnsi" w:hAnsiTheme="minorHAnsi"/>
        </w:rPr>
        <w:t xml:space="preserve">’s Patient Panel will be consistent with </w:t>
      </w:r>
      <w:r>
        <w:rPr>
          <w:rFonts w:asciiTheme="minorHAnsi" w:hAnsiTheme="minorHAnsi"/>
        </w:rPr>
        <w:t xml:space="preserve">the </w:t>
      </w:r>
      <w:r w:rsidR="00CB4770">
        <w:rPr>
          <w:rFonts w:asciiTheme="minorHAnsi" w:hAnsiTheme="minorHAnsi"/>
        </w:rPr>
        <w:t xml:space="preserve">patient panels across the </w:t>
      </w:r>
      <w:r>
        <w:rPr>
          <w:rFonts w:asciiTheme="minorHAnsi" w:hAnsiTheme="minorHAnsi"/>
        </w:rPr>
        <w:t>Applicant’s existing ASCs. The Applicant states that in calendar year (CY) 2025, it served 67,</w:t>
      </w:r>
      <w:r w:rsidR="0056318E">
        <w:rPr>
          <w:rFonts w:asciiTheme="minorHAnsi" w:hAnsiTheme="minorHAnsi"/>
        </w:rPr>
        <w:t>4</w:t>
      </w:r>
      <w:r>
        <w:rPr>
          <w:rFonts w:asciiTheme="minorHAnsi" w:hAnsiTheme="minorHAnsi"/>
        </w:rPr>
        <w:t>00 unique patients across its 27 ASCs, an increase of 46</w:t>
      </w:r>
      <w:r w:rsidR="001168E5">
        <w:rPr>
          <w:rFonts w:asciiTheme="minorHAnsi" w:hAnsiTheme="minorHAnsi"/>
        </w:rPr>
        <w:t xml:space="preserve"> percent</w:t>
      </w:r>
      <w:r>
        <w:rPr>
          <w:rFonts w:asciiTheme="minorHAnsi" w:hAnsiTheme="minorHAnsi"/>
        </w:rPr>
        <w:t xml:space="preserve"> since CY23. The Applicant attributes the increase</w:t>
      </w:r>
      <w:r w:rsidR="00E4768B">
        <w:rPr>
          <w:rFonts w:asciiTheme="minorHAnsi" w:hAnsiTheme="minorHAnsi"/>
        </w:rPr>
        <w:t xml:space="preserve">, in part, </w:t>
      </w:r>
      <w:r>
        <w:rPr>
          <w:rFonts w:asciiTheme="minorHAnsi" w:hAnsiTheme="minorHAnsi"/>
        </w:rPr>
        <w:t xml:space="preserve">to the addition of new Blue Cloud locations: </w:t>
      </w:r>
      <w:r w:rsidRPr="00871E1D">
        <w:rPr>
          <w:rFonts w:asciiTheme="minorHAnsi" w:hAnsiTheme="minorHAnsi"/>
          <w:bCs/>
        </w:rPr>
        <w:t xml:space="preserve">Blue Cloud added </w:t>
      </w:r>
      <w:r>
        <w:rPr>
          <w:rFonts w:asciiTheme="minorHAnsi" w:hAnsiTheme="minorHAnsi"/>
          <w:bCs/>
        </w:rPr>
        <w:t>five</w:t>
      </w:r>
      <w:r w:rsidRPr="00871E1D">
        <w:rPr>
          <w:rFonts w:asciiTheme="minorHAnsi" w:hAnsiTheme="minorHAnsi"/>
          <w:bCs/>
        </w:rPr>
        <w:t xml:space="preserve"> new ASCs</w:t>
      </w:r>
      <w:r>
        <w:rPr>
          <w:rFonts w:asciiTheme="minorHAnsi" w:hAnsiTheme="minorHAnsi"/>
          <w:bCs/>
        </w:rPr>
        <w:t>, i</w:t>
      </w:r>
      <w:r w:rsidRPr="00871E1D">
        <w:rPr>
          <w:rFonts w:asciiTheme="minorHAnsi" w:hAnsiTheme="minorHAnsi"/>
          <w:bCs/>
        </w:rPr>
        <w:t xml:space="preserve">n </w:t>
      </w:r>
      <w:r>
        <w:rPr>
          <w:rFonts w:asciiTheme="minorHAnsi" w:hAnsiTheme="minorHAnsi"/>
          <w:bCs/>
        </w:rPr>
        <w:t xml:space="preserve">CY24 and another five in </w:t>
      </w:r>
      <w:r w:rsidRPr="00871E1D">
        <w:rPr>
          <w:rFonts w:asciiTheme="minorHAnsi" w:hAnsiTheme="minorHAnsi"/>
          <w:bCs/>
        </w:rPr>
        <w:t>CY25.</w:t>
      </w:r>
    </w:p>
    <w:p w14:paraId="7E238215" w14:textId="77777777" w:rsidR="00EB3401" w:rsidRDefault="00EB3401" w:rsidP="00EB3401">
      <w:pPr>
        <w:pStyle w:val="BodyText"/>
        <w:spacing w:line="269" w:lineRule="exact"/>
        <w:rPr>
          <w:rFonts w:asciiTheme="minorHAnsi" w:hAnsiTheme="minorHAnsi"/>
        </w:rPr>
      </w:pPr>
    </w:p>
    <w:p w14:paraId="33425112" w14:textId="1E041341" w:rsidR="00EB3401" w:rsidRDefault="00EB3401" w:rsidP="00EB3401">
      <w:pPr>
        <w:pStyle w:val="BodyText"/>
        <w:spacing w:line="269" w:lineRule="exact"/>
        <w:rPr>
          <w:rFonts w:asciiTheme="minorHAnsi" w:hAnsiTheme="minorHAnsi"/>
        </w:rPr>
      </w:pPr>
      <w:r w:rsidRPr="00E36A96">
        <w:rPr>
          <w:rFonts w:asciiTheme="minorHAnsi" w:hAnsiTheme="minorHAnsi"/>
        </w:rPr>
        <w:t>The Applicant states that 96</w:t>
      </w:r>
      <w:r w:rsidR="001168E5">
        <w:rPr>
          <w:rFonts w:asciiTheme="minorHAnsi" w:hAnsiTheme="minorHAnsi"/>
        </w:rPr>
        <w:t xml:space="preserve"> percent</w:t>
      </w:r>
      <w:r w:rsidRPr="00E36A96">
        <w:rPr>
          <w:rFonts w:asciiTheme="minorHAnsi" w:hAnsiTheme="minorHAnsi"/>
        </w:rPr>
        <w:t xml:space="preserve"> of its patients are under age 18</w:t>
      </w:r>
      <w:r>
        <w:rPr>
          <w:rFonts w:asciiTheme="minorHAnsi" w:hAnsiTheme="minorHAnsi"/>
        </w:rPr>
        <w:t>;</w:t>
      </w:r>
      <w:r w:rsidRPr="00E36A96">
        <w:rPr>
          <w:rFonts w:asciiTheme="minorHAnsi" w:hAnsiTheme="minorHAnsi"/>
        </w:rPr>
        <w:t xml:space="preserve"> 8</w:t>
      </w:r>
      <w:r w:rsidR="006600A1">
        <w:rPr>
          <w:rFonts w:asciiTheme="minorHAnsi" w:hAnsiTheme="minorHAnsi"/>
        </w:rPr>
        <w:t>8</w:t>
      </w:r>
      <w:r w:rsidR="001168E5">
        <w:rPr>
          <w:rFonts w:asciiTheme="minorHAnsi" w:hAnsiTheme="minorHAnsi"/>
        </w:rPr>
        <w:t xml:space="preserve"> percent</w:t>
      </w:r>
      <w:r w:rsidRPr="00E36A96">
        <w:rPr>
          <w:rFonts w:asciiTheme="minorHAnsi" w:hAnsiTheme="minorHAnsi"/>
        </w:rPr>
        <w:t xml:space="preserve"> are age nine and under, and 11</w:t>
      </w:r>
      <w:r w:rsidR="001168E5">
        <w:rPr>
          <w:rFonts w:asciiTheme="minorHAnsi" w:hAnsiTheme="minorHAnsi"/>
        </w:rPr>
        <w:t xml:space="preserve"> percent</w:t>
      </w:r>
      <w:r w:rsidRPr="00E36A96">
        <w:rPr>
          <w:rFonts w:asciiTheme="minorHAnsi" w:hAnsiTheme="minorHAnsi"/>
        </w:rPr>
        <w:t xml:space="preserve"> are ages 10 to 17 years. </w:t>
      </w:r>
      <w:r>
        <w:rPr>
          <w:rFonts w:asciiTheme="minorHAnsi" w:hAnsiTheme="minorHAnsi"/>
        </w:rPr>
        <w:t>Approximately 42</w:t>
      </w:r>
      <w:r w:rsidR="001168E5">
        <w:rPr>
          <w:rFonts w:asciiTheme="minorHAnsi" w:hAnsiTheme="minorHAnsi"/>
        </w:rPr>
        <w:t xml:space="preserve"> percent</w:t>
      </w:r>
      <w:r>
        <w:rPr>
          <w:rFonts w:asciiTheme="minorHAnsi" w:hAnsiTheme="minorHAnsi"/>
        </w:rPr>
        <w:t xml:space="preserve"> of patients are female and 49</w:t>
      </w:r>
      <w:r w:rsidR="001168E5">
        <w:rPr>
          <w:rFonts w:asciiTheme="minorHAnsi" w:hAnsiTheme="minorHAnsi"/>
        </w:rPr>
        <w:t xml:space="preserve"> percent</w:t>
      </w:r>
      <w:r>
        <w:rPr>
          <w:rFonts w:asciiTheme="minorHAnsi" w:hAnsiTheme="minorHAnsi"/>
        </w:rPr>
        <w:t xml:space="preserve"> are male, with 9</w:t>
      </w:r>
      <w:r w:rsidR="001168E5">
        <w:rPr>
          <w:rFonts w:asciiTheme="minorHAnsi" w:hAnsiTheme="minorHAnsi"/>
        </w:rPr>
        <w:t xml:space="preserve"> percent</w:t>
      </w:r>
      <w:r>
        <w:rPr>
          <w:rFonts w:asciiTheme="minorHAnsi" w:hAnsiTheme="minorHAnsi"/>
        </w:rPr>
        <w:t xml:space="preserve"> of patients not self-identifying their gender. The Applicant states further that 18</w:t>
      </w:r>
      <w:r w:rsidR="001168E5">
        <w:rPr>
          <w:rFonts w:asciiTheme="minorHAnsi" w:hAnsiTheme="minorHAnsi"/>
        </w:rPr>
        <w:t xml:space="preserve"> percent</w:t>
      </w:r>
      <w:r>
        <w:rPr>
          <w:rFonts w:asciiTheme="minorHAnsi" w:hAnsiTheme="minorHAnsi"/>
        </w:rPr>
        <w:t xml:space="preserve"> of the 67,</w:t>
      </w:r>
      <w:r w:rsidR="00E7234F">
        <w:rPr>
          <w:rFonts w:asciiTheme="minorHAnsi" w:hAnsiTheme="minorHAnsi"/>
        </w:rPr>
        <w:t>4</w:t>
      </w:r>
      <w:r>
        <w:rPr>
          <w:rFonts w:asciiTheme="minorHAnsi" w:hAnsiTheme="minorHAnsi"/>
        </w:rPr>
        <w:t>00 patients were children or adults with special healthcare needs, and 4</w:t>
      </w:r>
      <w:r w:rsidR="001168E5">
        <w:rPr>
          <w:rFonts w:asciiTheme="minorHAnsi" w:hAnsiTheme="minorHAnsi"/>
        </w:rPr>
        <w:t xml:space="preserve"> percent</w:t>
      </w:r>
      <w:r>
        <w:rPr>
          <w:rFonts w:asciiTheme="minorHAnsi" w:hAnsiTheme="minorHAnsi"/>
        </w:rPr>
        <w:t xml:space="preserve"> of patients over the age of 18 were adults with special healthcare needs. In addition,</w:t>
      </w:r>
      <w:r w:rsidRPr="00990A5E">
        <w:rPr>
          <w:rFonts w:asciiTheme="minorHAnsi" w:hAnsiTheme="minorHAnsi"/>
        </w:rPr>
        <w:t xml:space="preserve"> 20</w:t>
      </w:r>
      <w:r w:rsidR="001168E5">
        <w:rPr>
          <w:rFonts w:asciiTheme="minorHAnsi" w:hAnsiTheme="minorHAnsi"/>
        </w:rPr>
        <w:t xml:space="preserve"> percent</w:t>
      </w:r>
      <w:r w:rsidRPr="00990A5E">
        <w:rPr>
          <w:rFonts w:asciiTheme="minorHAnsi" w:hAnsiTheme="minorHAnsi"/>
        </w:rPr>
        <w:t xml:space="preserve"> of patients present with one or more behavioral risk factors, the most common being psychosocial (autism, ADHD, and Asperger syndrome), neurological (behavioral challenges, developmental delays, seizures, or psychiatric diagnosis), and neuromuscular (seizures, paralysis, or low muscle tone), in nature.</w:t>
      </w:r>
      <w:r w:rsidRPr="009F3B73">
        <w:rPr>
          <w:rFonts w:asciiTheme="minorHAnsi" w:hAnsiTheme="minorHAnsi"/>
          <w:vertAlign w:val="superscript"/>
        </w:rPr>
        <w:footnoteReference w:id="5"/>
      </w:r>
      <w:r w:rsidRPr="009F3B73">
        <w:rPr>
          <w:rFonts w:asciiTheme="minorHAnsi" w:hAnsiTheme="minorHAnsi"/>
        </w:rPr>
        <w:t xml:space="preserve"> </w:t>
      </w:r>
    </w:p>
    <w:p w14:paraId="122CF9AE" w14:textId="77777777" w:rsidR="00EB3401" w:rsidRDefault="00EB3401" w:rsidP="00EB3401">
      <w:pPr>
        <w:pStyle w:val="BodyText"/>
        <w:spacing w:line="269" w:lineRule="exact"/>
        <w:rPr>
          <w:rFonts w:asciiTheme="minorHAnsi" w:hAnsiTheme="minorHAnsi"/>
        </w:rPr>
      </w:pPr>
    </w:p>
    <w:p w14:paraId="62734F64" w14:textId="46675DFC" w:rsidR="00EB3401" w:rsidRDefault="00EB3401" w:rsidP="00EB3401">
      <w:pPr>
        <w:pStyle w:val="BodyText"/>
        <w:spacing w:line="269" w:lineRule="exact"/>
        <w:rPr>
          <w:rFonts w:asciiTheme="minorHAnsi" w:hAnsiTheme="minorHAnsi"/>
        </w:rPr>
      </w:pPr>
      <w:r>
        <w:rPr>
          <w:rFonts w:asciiTheme="minorHAnsi" w:hAnsiTheme="minorHAnsi"/>
        </w:rPr>
        <w:t>The Applicant does not currently collect race or ethnicity data on its patient population, so this information is not available for its existing patients. The Applicant states that it aims to treat all patients equally and align with MassHealth’s 1115 Waiver Goal</w:t>
      </w:r>
      <w:r w:rsidR="006F1C68">
        <w:rPr>
          <w:rFonts w:asciiTheme="minorHAnsi" w:hAnsiTheme="minorHAnsi"/>
        </w:rPr>
        <w:t>s</w:t>
      </w:r>
      <w:r>
        <w:rPr>
          <w:rFonts w:asciiTheme="minorHAnsi" w:hAnsiTheme="minorHAnsi"/>
        </w:rPr>
        <w:t>, to strengthen innovative care delivery for a pediatric population by focusing on prevention and chronic disease management.</w:t>
      </w:r>
      <w:r>
        <w:rPr>
          <w:rStyle w:val="EndnoteReference"/>
          <w:rFonts w:asciiTheme="minorHAnsi" w:hAnsiTheme="minorHAnsi"/>
        </w:rPr>
        <w:endnoteReference w:id="3"/>
      </w:r>
      <w:r>
        <w:rPr>
          <w:rFonts w:asciiTheme="minorHAnsi" w:hAnsiTheme="minorHAnsi"/>
        </w:rPr>
        <w:t xml:space="preserve"> </w:t>
      </w:r>
      <w:r w:rsidRPr="003D4C0F">
        <w:rPr>
          <w:rFonts w:asciiTheme="minorHAnsi" w:hAnsiTheme="minorHAnsi"/>
        </w:rPr>
        <w:t>The Applicant</w:t>
      </w:r>
      <w:r w:rsidR="00624A1C">
        <w:rPr>
          <w:rFonts w:asciiTheme="minorHAnsi" w:hAnsiTheme="minorHAnsi"/>
        </w:rPr>
        <w:t>’s standard practice model, that the</w:t>
      </w:r>
      <w:r w:rsidR="009F2484">
        <w:rPr>
          <w:rFonts w:asciiTheme="minorHAnsi" w:hAnsiTheme="minorHAnsi"/>
        </w:rPr>
        <w:t xml:space="preserve"> </w:t>
      </w:r>
      <w:r w:rsidR="00624A1C">
        <w:rPr>
          <w:rFonts w:asciiTheme="minorHAnsi" w:hAnsiTheme="minorHAnsi"/>
        </w:rPr>
        <w:t xml:space="preserve">Applicant employs with all their existing ASCs, is to </w:t>
      </w:r>
      <w:r w:rsidRPr="003D4C0F">
        <w:rPr>
          <w:rFonts w:asciiTheme="minorHAnsi" w:hAnsiTheme="minorHAnsi"/>
        </w:rPr>
        <w:t>send representatives to all dental offices and FQHCs within the PSA</w:t>
      </w:r>
      <w:r>
        <w:rPr>
          <w:rFonts w:asciiTheme="minorHAnsi" w:hAnsiTheme="minorHAnsi"/>
        </w:rPr>
        <w:t xml:space="preserve"> on a frequent and recurring basis, and </w:t>
      </w:r>
      <w:r w:rsidRPr="00D819C4">
        <w:rPr>
          <w:rFonts w:asciiTheme="minorHAnsi" w:hAnsiTheme="minorHAnsi"/>
        </w:rPr>
        <w:t>regardless of race, ethnicity, and socioeconomic disparities</w:t>
      </w:r>
      <w:r w:rsidRPr="00F10E34">
        <w:rPr>
          <w:rFonts w:asciiTheme="minorHAnsi" w:hAnsiTheme="minorHAnsi"/>
        </w:rPr>
        <w:t>,</w:t>
      </w:r>
      <w:r w:rsidRPr="00D819C4">
        <w:rPr>
          <w:rFonts w:asciiTheme="minorHAnsi" w:hAnsiTheme="minorHAnsi"/>
        </w:rPr>
        <w:t xml:space="preserve"> </w:t>
      </w:r>
      <w:r>
        <w:rPr>
          <w:rFonts w:asciiTheme="minorHAnsi" w:hAnsiTheme="minorHAnsi"/>
        </w:rPr>
        <w:t xml:space="preserve">to provide education to the dental offices and FHQCs on its services, and on opportunities for collaboration to advance timely, convenient access to care for their patients in the community setting and that is covered by their insurance. The Applicant </w:t>
      </w:r>
      <w:r w:rsidR="00734A78">
        <w:rPr>
          <w:rFonts w:asciiTheme="minorHAnsi" w:hAnsiTheme="minorHAnsi"/>
        </w:rPr>
        <w:t xml:space="preserve">also </w:t>
      </w:r>
      <w:r>
        <w:rPr>
          <w:rFonts w:asciiTheme="minorHAnsi" w:hAnsiTheme="minorHAnsi"/>
        </w:rPr>
        <w:t xml:space="preserve">meets monthly with providers that refer patients to its existing ASCs, and during these meetings, the Applicant uses key performance indicators to review and track </w:t>
      </w:r>
      <w:r w:rsidRPr="6A39CE11">
        <w:rPr>
          <w:rFonts w:asciiTheme="minorHAnsi" w:hAnsiTheme="minorHAnsi"/>
        </w:rPr>
        <w:t>patient</w:t>
      </w:r>
      <w:r>
        <w:rPr>
          <w:rFonts w:asciiTheme="minorHAnsi" w:hAnsiTheme="minorHAnsi"/>
        </w:rPr>
        <w:t xml:space="preserve"> treatment and subsequent care needs, with the goal of supporting continuity of care with the patient’s dental home, evaluating health outcomes, and addressing any questions or concerns. The Applicant plans to use the</w:t>
      </w:r>
      <w:r w:rsidR="00DE4937">
        <w:rPr>
          <w:rFonts w:asciiTheme="minorHAnsi" w:hAnsiTheme="minorHAnsi"/>
        </w:rPr>
        <w:t>se</w:t>
      </w:r>
      <w:r>
        <w:rPr>
          <w:rFonts w:asciiTheme="minorHAnsi" w:hAnsiTheme="minorHAnsi"/>
        </w:rPr>
        <w:t xml:space="preserve"> same process</w:t>
      </w:r>
      <w:r w:rsidR="00DE4937">
        <w:rPr>
          <w:rFonts w:asciiTheme="minorHAnsi" w:hAnsiTheme="minorHAnsi"/>
        </w:rPr>
        <w:t>es</w:t>
      </w:r>
      <w:r>
        <w:rPr>
          <w:rFonts w:asciiTheme="minorHAnsi" w:hAnsiTheme="minorHAnsi"/>
        </w:rPr>
        <w:t xml:space="preserve"> at the Center once it is operational. </w:t>
      </w:r>
      <w:r w:rsidR="00DE4937" w:rsidRPr="00DE4937">
        <w:rPr>
          <w:rFonts w:asciiTheme="minorHAnsi" w:hAnsiTheme="minorHAnsi"/>
        </w:rPr>
        <w:t>The Applicant</w:t>
      </w:r>
      <w:r w:rsidR="00DE4937">
        <w:rPr>
          <w:rFonts w:asciiTheme="minorHAnsi" w:hAnsiTheme="minorHAnsi"/>
        </w:rPr>
        <w:t xml:space="preserve"> </w:t>
      </w:r>
      <w:r w:rsidR="00DE4937" w:rsidRPr="00DE4937">
        <w:rPr>
          <w:rFonts w:asciiTheme="minorHAnsi" w:hAnsiTheme="minorHAnsi"/>
        </w:rPr>
        <w:t xml:space="preserve">expressed interest in meeting with local hospitals in Massachusetts about using their community benefits work to increase access and improve health outcomes of their communities. </w:t>
      </w:r>
      <w:r>
        <w:rPr>
          <w:rFonts w:asciiTheme="minorHAnsi" w:hAnsiTheme="minorHAnsi"/>
        </w:rPr>
        <w:t xml:space="preserve">To monitor equitable access to the Center’s services, as a Condition of approval, the Applicant will be required to report annually on the </w:t>
      </w:r>
      <w:r w:rsidRPr="00DC3BC6">
        <w:rPr>
          <w:rFonts w:asciiTheme="minorHAnsi" w:hAnsiTheme="minorHAnsi"/>
        </w:rPr>
        <w:t>Center’s patients stratified by race, ethnicity, language, zip code of residence, and payer mix.</w:t>
      </w:r>
    </w:p>
    <w:p w14:paraId="7CB99E98" w14:textId="77777777" w:rsidR="00EB3401" w:rsidRDefault="00EB3401" w:rsidP="00EB3401">
      <w:pPr>
        <w:pStyle w:val="BodyText"/>
        <w:spacing w:line="269" w:lineRule="exact"/>
        <w:rPr>
          <w:rFonts w:asciiTheme="minorHAnsi" w:hAnsiTheme="minorHAnsi"/>
        </w:rPr>
      </w:pPr>
    </w:p>
    <w:p w14:paraId="2E55D85B" w14:textId="00E72E91" w:rsidR="00693A34" w:rsidRPr="00693A34" w:rsidRDefault="00EB3401" w:rsidP="00693A34">
      <w:pPr>
        <w:pStyle w:val="BodyText"/>
        <w:spacing w:line="269" w:lineRule="exact"/>
        <w:rPr>
          <w:rFonts w:asciiTheme="minorHAnsi" w:hAnsiTheme="minorHAnsi"/>
          <w:bCs/>
        </w:rPr>
      </w:pPr>
      <w:r>
        <w:rPr>
          <w:rFonts w:asciiTheme="minorHAnsi" w:hAnsiTheme="minorHAnsi"/>
        </w:rPr>
        <w:t xml:space="preserve">Table 1 shows </w:t>
      </w:r>
      <w:r w:rsidRPr="00EA51D3">
        <w:rPr>
          <w:rFonts w:asciiTheme="minorHAnsi" w:hAnsiTheme="minorHAnsi"/>
          <w:bCs/>
        </w:rPr>
        <w:t xml:space="preserve">the most frequently treated High Acuity Dental Surgeries that affiliated dentists provide at </w:t>
      </w:r>
      <w:r>
        <w:rPr>
          <w:rFonts w:asciiTheme="minorHAnsi" w:hAnsiTheme="minorHAnsi"/>
          <w:bCs/>
        </w:rPr>
        <w:t>Blue Cloud</w:t>
      </w:r>
      <w:r w:rsidRPr="00EA51D3">
        <w:rPr>
          <w:rFonts w:asciiTheme="minorHAnsi" w:hAnsiTheme="minorHAnsi"/>
          <w:bCs/>
        </w:rPr>
        <w:t xml:space="preserve"> ASCs.</w:t>
      </w:r>
      <w:r>
        <w:rPr>
          <w:rFonts w:asciiTheme="minorHAnsi" w:hAnsiTheme="minorHAnsi"/>
          <w:bCs/>
        </w:rPr>
        <w:t xml:space="preserve"> </w:t>
      </w:r>
      <w:r w:rsidRPr="00EA51D3">
        <w:rPr>
          <w:rFonts w:asciiTheme="minorHAnsi" w:hAnsiTheme="minorHAnsi"/>
          <w:bCs/>
        </w:rPr>
        <w:t>The total represents the number of procedures done in that year</w:t>
      </w:r>
      <w:r>
        <w:rPr>
          <w:rFonts w:asciiTheme="minorHAnsi" w:hAnsiTheme="minorHAnsi"/>
          <w:bCs/>
        </w:rPr>
        <w:t>, and t</w:t>
      </w:r>
      <w:r w:rsidRPr="00EA51D3">
        <w:rPr>
          <w:rFonts w:asciiTheme="minorHAnsi" w:hAnsiTheme="minorHAnsi"/>
          <w:bCs/>
        </w:rPr>
        <w:t>he frequency represents the number of that procedure per unique patient</w:t>
      </w:r>
      <w:r>
        <w:rPr>
          <w:rFonts w:asciiTheme="minorHAnsi" w:hAnsiTheme="minorHAnsi"/>
          <w:bCs/>
        </w:rPr>
        <w:t xml:space="preserve"> such that </w:t>
      </w:r>
      <w:r w:rsidRPr="00EA51D3">
        <w:rPr>
          <w:rFonts w:asciiTheme="minorHAnsi" w:hAnsiTheme="minorHAnsi"/>
          <w:bCs/>
        </w:rPr>
        <w:t>in 2025</w:t>
      </w:r>
      <w:r>
        <w:rPr>
          <w:rFonts w:asciiTheme="minorHAnsi" w:hAnsiTheme="minorHAnsi"/>
          <w:bCs/>
        </w:rPr>
        <w:t>,</w:t>
      </w:r>
      <w:r w:rsidRPr="00EA51D3">
        <w:rPr>
          <w:rFonts w:asciiTheme="minorHAnsi" w:hAnsiTheme="minorHAnsi"/>
          <w:bCs/>
        </w:rPr>
        <w:t xml:space="preserve"> a unique patient received on average 4.9 crowns and 2.6 teeth extractions.</w:t>
      </w:r>
      <w:r w:rsidR="00693A34" w:rsidRPr="00693A34">
        <w:t xml:space="preserve"> </w:t>
      </w:r>
      <w:r w:rsidR="00693A34" w:rsidRPr="00693A34">
        <w:rPr>
          <w:rFonts w:asciiTheme="minorHAnsi" w:hAnsiTheme="minorHAnsi"/>
          <w:bCs/>
        </w:rPr>
        <w:t xml:space="preserve">The Applicant expects the most frequently treated professional codes across all its ASCs will be substantially similar for the Center. </w:t>
      </w:r>
    </w:p>
    <w:p w14:paraId="1E854B5E" w14:textId="77777777" w:rsidR="00EB3401" w:rsidRPr="00EA51D3" w:rsidRDefault="00EB3401" w:rsidP="00EB3401">
      <w:pPr>
        <w:pStyle w:val="BodyText"/>
        <w:spacing w:line="269" w:lineRule="exact"/>
        <w:rPr>
          <w:rFonts w:asciiTheme="minorHAnsi" w:hAnsiTheme="minorHAnsi"/>
          <w:bCs/>
        </w:rPr>
      </w:pPr>
      <w:r w:rsidRPr="00EA51D3">
        <w:rPr>
          <w:rFonts w:asciiTheme="minorHAnsi" w:hAnsiTheme="minorHAnsi"/>
          <w:bCs/>
        </w:rPr>
        <w:t xml:space="preserve">  </w:t>
      </w:r>
    </w:p>
    <w:p w14:paraId="7AA91B81" w14:textId="3FF216F7" w:rsidR="00EB3401" w:rsidRPr="00A21F23" w:rsidRDefault="00EB3401" w:rsidP="00EB3401">
      <w:pPr>
        <w:pStyle w:val="BodyText"/>
        <w:spacing w:line="269" w:lineRule="exact"/>
        <w:rPr>
          <w:rFonts w:asciiTheme="minorHAnsi" w:hAnsiTheme="minorHAnsi"/>
          <w:b/>
          <w:bCs/>
        </w:rPr>
      </w:pPr>
      <w:r w:rsidRPr="00A21F23">
        <w:rPr>
          <w:rFonts w:asciiTheme="minorHAnsi" w:hAnsiTheme="minorHAnsi"/>
          <w:b/>
          <w:bCs/>
        </w:rPr>
        <w:t>Table 1: Mostly Frequently Treated Professional Procedure Codes at Blue Cloud’s ASCs, 2025</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ostly Frequently Treated Professional Procedure Codes at Blue Cloud’s ASCs, 2025"/>
      </w:tblPr>
      <w:tblGrid>
        <w:gridCol w:w="1505"/>
        <w:gridCol w:w="6389"/>
        <w:gridCol w:w="1011"/>
        <w:gridCol w:w="1260"/>
      </w:tblGrid>
      <w:tr w:rsidR="00EB3401" w:rsidRPr="00FB76FB" w14:paraId="5630EDF5" w14:textId="77777777" w:rsidTr="001B68E3">
        <w:trPr>
          <w:cantSplit/>
          <w:trHeight w:val="310"/>
          <w:tblHeader/>
        </w:trPr>
        <w:tc>
          <w:tcPr>
            <w:tcW w:w="1505" w:type="dxa"/>
            <w:shd w:val="clear" w:color="000000" w:fill="E1EBF7"/>
            <w:noWrap/>
            <w:vAlign w:val="center"/>
            <w:hideMark/>
          </w:tcPr>
          <w:p w14:paraId="44911335" w14:textId="77777777" w:rsidR="00EB3401" w:rsidRPr="00FB76FB" w:rsidRDefault="00EB3401">
            <w:pPr>
              <w:widowControl/>
              <w:autoSpaceDE/>
              <w:autoSpaceDN/>
              <w:jc w:val="center"/>
              <w:rPr>
                <w:rFonts w:eastAsia="Times New Roman" w:cs="Calibri"/>
                <w:b/>
                <w:bCs/>
                <w:color w:val="000000"/>
              </w:rPr>
            </w:pPr>
            <w:r w:rsidRPr="00FB76FB">
              <w:rPr>
                <w:rFonts w:eastAsia="Times New Roman" w:cs="Calibri"/>
                <w:b/>
                <w:bCs/>
                <w:color w:val="000000"/>
              </w:rPr>
              <w:t>Procedure Code</w:t>
            </w:r>
          </w:p>
        </w:tc>
        <w:tc>
          <w:tcPr>
            <w:tcW w:w="6389" w:type="dxa"/>
            <w:shd w:val="clear" w:color="000000" w:fill="E1EBF7"/>
            <w:noWrap/>
            <w:vAlign w:val="center"/>
            <w:hideMark/>
          </w:tcPr>
          <w:p w14:paraId="0C9AAF19" w14:textId="77777777" w:rsidR="00EB3401" w:rsidRPr="00FB76FB" w:rsidRDefault="00EB3401">
            <w:pPr>
              <w:widowControl/>
              <w:autoSpaceDE/>
              <w:autoSpaceDN/>
              <w:jc w:val="center"/>
              <w:rPr>
                <w:rFonts w:eastAsia="Times New Roman" w:cs="Calibri"/>
                <w:b/>
                <w:bCs/>
                <w:color w:val="000000"/>
              </w:rPr>
            </w:pPr>
            <w:r w:rsidRPr="00FB76FB">
              <w:rPr>
                <w:rFonts w:eastAsia="Times New Roman" w:cs="Calibri"/>
                <w:b/>
                <w:bCs/>
                <w:color w:val="000000"/>
              </w:rPr>
              <w:t>Procedure Description</w:t>
            </w:r>
          </w:p>
        </w:tc>
        <w:tc>
          <w:tcPr>
            <w:tcW w:w="1011" w:type="dxa"/>
            <w:shd w:val="clear" w:color="000000" w:fill="E1EBF7"/>
            <w:noWrap/>
            <w:vAlign w:val="center"/>
            <w:hideMark/>
          </w:tcPr>
          <w:p w14:paraId="253C1991" w14:textId="77777777" w:rsidR="00EB3401" w:rsidRPr="00FB76FB" w:rsidRDefault="00EB3401">
            <w:pPr>
              <w:widowControl/>
              <w:autoSpaceDE/>
              <w:autoSpaceDN/>
              <w:jc w:val="center"/>
              <w:rPr>
                <w:rFonts w:eastAsia="Times New Roman" w:cs="Calibri"/>
                <w:b/>
                <w:bCs/>
                <w:color w:val="000000"/>
              </w:rPr>
            </w:pPr>
            <w:r w:rsidRPr="00FB76FB">
              <w:rPr>
                <w:rFonts w:eastAsia="Times New Roman" w:cs="Calibri"/>
                <w:b/>
                <w:bCs/>
                <w:color w:val="000000"/>
              </w:rPr>
              <w:t>Total</w:t>
            </w:r>
          </w:p>
        </w:tc>
        <w:tc>
          <w:tcPr>
            <w:tcW w:w="1260" w:type="dxa"/>
            <w:shd w:val="clear" w:color="000000" w:fill="E1EBF7"/>
            <w:noWrap/>
            <w:vAlign w:val="center"/>
            <w:hideMark/>
          </w:tcPr>
          <w:p w14:paraId="0DAD8E18" w14:textId="77777777" w:rsidR="00EB3401" w:rsidRPr="00FB76FB" w:rsidRDefault="00EB3401">
            <w:pPr>
              <w:widowControl/>
              <w:autoSpaceDE/>
              <w:autoSpaceDN/>
              <w:jc w:val="center"/>
              <w:rPr>
                <w:rFonts w:eastAsia="Times New Roman" w:cs="Calibri"/>
                <w:b/>
                <w:bCs/>
                <w:color w:val="000000"/>
              </w:rPr>
            </w:pPr>
            <w:r w:rsidRPr="00FB76FB">
              <w:rPr>
                <w:rFonts w:eastAsia="Times New Roman" w:cs="Calibri"/>
                <w:b/>
                <w:bCs/>
                <w:color w:val="000000"/>
              </w:rPr>
              <w:t>Frequency</w:t>
            </w:r>
          </w:p>
        </w:tc>
      </w:tr>
      <w:tr w:rsidR="00EB3401" w:rsidRPr="00FB76FB" w14:paraId="656FFD7A" w14:textId="77777777" w:rsidTr="001B68E3">
        <w:trPr>
          <w:cantSplit/>
          <w:trHeight w:val="310"/>
        </w:trPr>
        <w:tc>
          <w:tcPr>
            <w:tcW w:w="1505" w:type="dxa"/>
            <w:noWrap/>
            <w:vAlign w:val="center"/>
            <w:hideMark/>
          </w:tcPr>
          <w:p w14:paraId="2E25B588"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 xml:space="preserve"> D2930 </w:t>
            </w:r>
          </w:p>
        </w:tc>
        <w:tc>
          <w:tcPr>
            <w:tcW w:w="6389" w:type="dxa"/>
            <w:noWrap/>
            <w:vAlign w:val="center"/>
            <w:hideMark/>
          </w:tcPr>
          <w:p w14:paraId="77B200F6" w14:textId="77777777" w:rsidR="00EB3401" w:rsidRPr="00FB76FB" w:rsidRDefault="00EB3401">
            <w:pPr>
              <w:widowControl/>
              <w:autoSpaceDE/>
              <w:autoSpaceDN/>
              <w:rPr>
                <w:rFonts w:eastAsia="Times New Roman" w:cs="Calibri"/>
                <w:color w:val="000000"/>
              </w:rPr>
            </w:pPr>
            <w:r w:rsidRPr="00FB76FB">
              <w:rPr>
                <w:rFonts w:eastAsia="Times New Roman" w:cs="Calibri"/>
                <w:color w:val="000000"/>
              </w:rPr>
              <w:t xml:space="preserve"> prefabricated stainless steel crown - primary tooth </w:t>
            </w:r>
          </w:p>
        </w:tc>
        <w:tc>
          <w:tcPr>
            <w:tcW w:w="1011" w:type="dxa"/>
            <w:noWrap/>
            <w:vAlign w:val="center"/>
            <w:hideMark/>
          </w:tcPr>
          <w:p w14:paraId="02DBE66A"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320,635</w:t>
            </w:r>
          </w:p>
        </w:tc>
        <w:tc>
          <w:tcPr>
            <w:tcW w:w="1260" w:type="dxa"/>
            <w:noWrap/>
            <w:vAlign w:val="center"/>
            <w:hideMark/>
          </w:tcPr>
          <w:p w14:paraId="49232C86"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4.9</w:t>
            </w:r>
          </w:p>
        </w:tc>
      </w:tr>
      <w:tr w:rsidR="00EB3401" w:rsidRPr="00FB76FB" w14:paraId="218A23BF" w14:textId="77777777" w:rsidTr="001B68E3">
        <w:trPr>
          <w:cantSplit/>
          <w:trHeight w:val="310"/>
        </w:trPr>
        <w:tc>
          <w:tcPr>
            <w:tcW w:w="1505" w:type="dxa"/>
            <w:noWrap/>
            <w:vAlign w:val="center"/>
            <w:hideMark/>
          </w:tcPr>
          <w:p w14:paraId="145C1846"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 xml:space="preserve"> D7140 </w:t>
            </w:r>
          </w:p>
        </w:tc>
        <w:tc>
          <w:tcPr>
            <w:tcW w:w="6389" w:type="dxa"/>
            <w:noWrap/>
            <w:vAlign w:val="center"/>
            <w:hideMark/>
          </w:tcPr>
          <w:p w14:paraId="2C1BFEF0" w14:textId="77777777" w:rsidR="00EB3401" w:rsidRPr="00FB76FB" w:rsidRDefault="00EB3401">
            <w:pPr>
              <w:widowControl/>
              <w:autoSpaceDE/>
              <w:autoSpaceDN/>
              <w:rPr>
                <w:rFonts w:eastAsia="Times New Roman" w:cs="Calibri"/>
                <w:color w:val="000000"/>
              </w:rPr>
            </w:pPr>
            <w:r w:rsidRPr="00FB76FB">
              <w:rPr>
                <w:rFonts w:eastAsia="Times New Roman" w:cs="Calibri"/>
                <w:color w:val="000000"/>
              </w:rPr>
              <w:t xml:space="preserve"> extraction, erupted tooth or exposed root (elevation and/or forceps removal) </w:t>
            </w:r>
          </w:p>
        </w:tc>
        <w:tc>
          <w:tcPr>
            <w:tcW w:w="1011" w:type="dxa"/>
            <w:noWrap/>
            <w:vAlign w:val="center"/>
            <w:hideMark/>
          </w:tcPr>
          <w:p w14:paraId="490FF7EE"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169,795</w:t>
            </w:r>
          </w:p>
        </w:tc>
        <w:tc>
          <w:tcPr>
            <w:tcW w:w="1260" w:type="dxa"/>
            <w:noWrap/>
            <w:vAlign w:val="center"/>
            <w:hideMark/>
          </w:tcPr>
          <w:p w14:paraId="04A74EE4"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2.6</w:t>
            </w:r>
          </w:p>
        </w:tc>
      </w:tr>
      <w:tr w:rsidR="00EB3401" w:rsidRPr="00FB76FB" w14:paraId="4373E6E4" w14:textId="77777777" w:rsidTr="001B68E3">
        <w:trPr>
          <w:cantSplit/>
          <w:trHeight w:val="310"/>
        </w:trPr>
        <w:tc>
          <w:tcPr>
            <w:tcW w:w="1505" w:type="dxa"/>
            <w:noWrap/>
            <w:vAlign w:val="center"/>
            <w:hideMark/>
          </w:tcPr>
          <w:p w14:paraId="4B8A2297"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 xml:space="preserve"> D1351 </w:t>
            </w:r>
          </w:p>
        </w:tc>
        <w:tc>
          <w:tcPr>
            <w:tcW w:w="6389" w:type="dxa"/>
            <w:noWrap/>
            <w:vAlign w:val="center"/>
            <w:hideMark/>
          </w:tcPr>
          <w:p w14:paraId="0D5DCA48" w14:textId="77777777" w:rsidR="00EB3401" w:rsidRPr="00FB76FB" w:rsidRDefault="00EB3401">
            <w:pPr>
              <w:widowControl/>
              <w:autoSpaceDE/>
              <w:autoSpaceDN/>
              <w:rPr>
                <w:rFonts w:eastAsia="Times New Roman" w:cs="Calibri"/>
                <w:color w:val="000000"/>
              </w:rPr>
            </w:pPr>
            <w:r w:rsidRPr="00FB76FB">
              <w:rPr>
                <w:rFonts w:eastAsia="Times New Roman" w:cs="Calibri"/>
                <w:color w:val="000000"/>
              </w:rPr>
              <w:t xml:space="preserve"> sealant - per tooth </w:t>
            </w:r>
          </w:p>
        </w:tc>
        <w:tc>
          <w:tcPr>
            <w:tcW w:w="1011" w:type="dxa"/>
            <w:noWrap/>
            <w:vAlign w:val="center"/>
            <w:hideMark/>
          </w:tcPr>
          <w:p w14:paraId="6225F44F"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124,656</w:t>
            </w:r>
          </w:p>
        </w:tc>
        <w:tc>
          <w:tcPr>
            <w:tcW w:w="1260" w:type="dxa"/>
            <w:noWrap/>
            <w:vAlign w:val="center"/>
            <w:hideMark/>
          </w:tcPr>
          <w:p w14:paraId="651A77D4"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1.9</w:t>
            </w:r>
          </w:p>
        </w:tc>
      </w:tr>
      <w:tr w:rsidR="00EB3401" w:rsidRPr="00FB76FB" w14:paraId="46F4F279" w14:textId="77777777" w:rsidTr="001B68E3">
        <w:trPr>
          <w:cantSplit/>
          <w:trHeight w:val="310"/>
        </w:trPr>
        <w:tc>
          <w:tcPr>
            <w:tcW w:w="1505" w:type="dxa"/>
            <w:noWrap/>
            <w:vAlign w:val="center"/>
            <w:hideMark/>
          </w:tcPr>
          <w:p w14:paraId="506DA1BA"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 xml:space="preserve"> D3220 </w:t>
            </w:r>
          </w:p>
        </w:tc>
        <w:tc>
          <w:tcPr>
            <w:tcW w:w="6389" w:type="dxa"/>
            <w:noWrap/>
            <w:vAlign w:val="center"/>
            <w:hideMark/>
          </w:tcPr>
          <w:p w14:paraId="18E241CD" w14:textId="77777777" w:rsidR="00EB3401" w:rsidRPr="00FB76FB" w:rsidRDefault="00EB3401">
            <w:pPr>
              <w:widowControl/>
              <w:autoSpaceDE/>
              <w:autoSpaceDN/>
              <w:rPr>
                <w:rFonts w:eastAsia="Times New Roman" w:cs="Calibri"/>
                <w:color w:val="000000"/>
              </w:rPr>
            </w:pPr>
            <w:r w:rsidRPr="00FB76FB">
              <w:rPr>
                <w:rFonts w:eastAsia="Times New Roman" w:cs="Calibri"/>
                <w:color w:val="000000"/>
              </w:rPr>
              <w:t xml:space="preserve"> therapeutic pulpotomy (excluding final restoration) </w:t>
            </w:r>
          </w:p>
        </w:tc>
        <w:tc>
          <w:tcPr>
            <w:tcW w:w="1011" w:type="dxa"/>
            <w:noWrap/>
            <w:vAlign w:val="center"/>
            <w:hideMark/>
          </w:tcPr>
          <w:p w14:paraId="3B031829"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48,608</w:t>
            </w:r>
          </w:p>
        </w:tc>
        <w:tc>
          <w:tcPr>
            <w:tcW w:w="1260" w:type="dxa"/>
            <w:noWrap/>
            <w:vAlign w:val="center"/>
            <w:hideMark/>
          </w:tcPr>
          <w:p w14:paraId="00C2A9B3"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0.7</w:t>
            </w:r>
          </w:p>
        </w:tc>
      </w:tr>
      <w:tr w:rsidR="00EB3401" w:rsidRPr="00FB76FB" w14:paraId="037CF4D5" w14:textId="77777777" w:rsidTr="001B68E3">
        <w:trPr>
          <w:cantSplit/>
          <w:trHeight w:val="310"/>
        </w:trPr>
        <w:tc>
          <w:tcPr>
            <w:tcW w:w="1505" w:type="dxa"/>
            <w:noWrap/>
            <w:vAlign w:val="center"/>
            <w:hideMark/>
          </w:tcPr>
          <w:p w14:paraId="3E06D982"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 xml:space="preserve"> D2934 </w:t>
            </w:r>
          </w:p>
        </w:tc>
        <w:tc>
          <w:tcPr>
            <w:tcW w:w="6389" w:type="dxa"/>
            <w:noWrap/>
            <w:vAlign w:val="center"/>
            <w:hideMark/>
          </w:tcPr>
          <w:p w14:paraId="27D33575" w14:textId="77777777" w:rsidR="00EB3401" w:rsidRPr="00FB76FB" w:rsidRDefault="00EB3401">
            <w:pPr>
              <w:widowControl/>
              <w:autoSpaceDE/>
              <w:autoSpaceDN/>
              <w:rPr>
                <w:rFonts w:eastAsia="Times New Roman" w:cs="Calibri"/>
                <w:color w:val="000000"/>
              </w:rPr>
            </w:pPr>
            <w:r w:rsidRPr="00FB76FB">
              <w:rPr>
                <w:rFonts w:eastAsia="Times New Roman" w:cs="Calibri"/>
                <w:color w:val="000000"/>
              </w:rPr>
              <w:t xml:space="preserve"> prefabricated esthetic coated stainless steel crown - primary tooth </w:t>
            </w:r>
          </w:p>
        </w:tc>
        <w:tc>
          <w:tcPr>
            <w:tcW w:w="1011" w:type="dxa"/>
            <w:noWrap/>
            <w:vAlign w:val="center"/>
            <w:hideMark/>
          </w:tcPr>
          <w:p w14:paraId="6CB68C30"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32,945</w:t>
            </w:r>
          </w:p>
        </w:tc>
        <w:tc>
          <w:tcPr>
            <w:tcW w:w="1260" w:type="dxa"/>
            <w:noWrap/>
            <w:vAlign w:val="center"/>
            <w:hideMark/>
          </w:tcPr>
          <w:p w14:paraId="322D009A"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0.5</w:t>
            </w:r>
          </w:p>
        </w:tc>
      </w:tr>
      <w:tr w:rsidR="00EB3401" w:rsidRPr="00FB76FB" w14:paraId="0214AF30" w14:textId="77777777" w:rsidTr="001B68E3">
        <w:trPr>
          <w:cantSplit/>
          <w:trHeight w:val="310"/>
        </w:trPr>
        <w:tc>
          <w:tcPr>
            <w:tcW w:w="1505" w:type="dxa"/>
            <w:noWrap/>
            <w:vAlign w:val="center"/>
            <w:hideMark/>
          </w:tcPr>
          <w:p w14:paraId="6BC93D88"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 xml:space="preserve"> D2391 </w:t>
            </w:r>
          </w:p>
        </w:tc>
        <w:tc>
          <w:tcPr>
            <w:tcW w:w="6389" w:type="dxa"/>
            <w:noWrap/>
            <w:vAlign w:val="center"/>
            <w:hideMark/>
          </w:tcPr>
          <w:p w14:paraId="224A866A" w14:textId="77777777" w:rsidR="00EB3401" w:rsidRPr="00FB76FB" w:rsidRDefault="00EB3401">
            <w:pPr>
              <w:widowControl/>
              <w:autoSpaceDE/>
              <w:autoSpaceDN/>
              <w:rPr>
                <w:rFonts w:eastAsia="Times New Roman" w:cs="Calibri"/>
                <w:color w:val="000000"/>
              </w:rPr>
            </w:pPr>
            <w:r w:rsidRPr="00FB76FB">
              <w:rPr>
                <w:rFonts w:eastAsia="Times New Roman" w:cs="Calibri"/>
                <w:color w:val="000000"/>
              </w:rPr>
              <w:t xml:space="preserve"> resin-based composite - one surface, posterior </w:t>
            </w:r>
          </w:p>
        </w:tc>
        <w:tc>
          <w:tcPr>
            <w:tcW w:w="1011" w:type="dxa"/>
            <w:noWrap/>
            <w:vAlign w:val="center"/>
            <w:hideMark/>
          </w:tcPr>
          <w:p w14:paraId="20135BAA"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43,228</w:t>
            </w:r>
          </w:p>
        </w:tc>
        <w:tc>
          <w:tcPr>
            <w:tcW w:w="1260" w:type="dxa"/>
            <w:noWrap/>
            <w:vAlign w:val="center"/>
            <w:hideMark/>
          </w:tcPr>
          <w:p w14:paraId="21B0435B"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0.7</w:t>
            </w:r>
          </w:p>
        </w:tc>
      </w:tr>
      <w:tr w:rsidR="00EB3401" w:rsidRPr="00FB76FB" w14:paraId="2D49F537" w14:textId="77777777" w:rsidTr="001B68E3">
        <w:trPr>
          <w:cantSplit/>
          <w:trHeight w:val="310"/>
        </w:trPr>
        <w:tc>
          <w:tcPr>
            <w:tcW w:w="1505" w:type="dxa"/>
            <w:noWrap/>
            <w:vAlign w:val="center"/>
            <w:hideMark/>
          </w:tcPr>
          <w:p w14:paraId="6E916F98"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 xml:space="preserve"> D2392 </w:t>
            </w:r>
          </w:p>
        </w:tc>
        <w:tc>
          <w:tcPr>
            <w:tcW w:w="6389" w:type="dxa"/>
            <w:noWrap/>
            <w:vAlign w:val="center"/>
            <w:hideMark/>
          </w:tcPr>
          <w:p w14:paraId="5C730C09" w14:textId="77777777" w:rsidR="00EB3401" w:rsidRPr="00FB76FB" w:rsidRDefault="00EB3401">
            <w:pPr>
              <w:widowControl/>
              <w:autoSpaceDE/>
              <w:autoSpaceDN/>
              <w:rPr>
                <w:rFonts w:eastAsia="Times New Roman" w:cs="Calibri"/>
                <w:color w:val="000000"/>
              </w:rPr>
            </w:pPr>
            <w:r w:rsidRPr="00FB76FB">
              <w:rPr>
                <w:rFonts w:eastAsia="Times New Roman" w:cs="Calibri"/>
                <w:color w:val="000000"/>
              </w:rPr>
              <w:t xml:space="preserve"> resin-based composite - two surfaces, posterior </w:t>
            </w:r>
          </w:p>
        </w:tc>
        <w:tc>
          <w:tcPr>
            <w:tcW w:w="1011" w:type="dxa"/>
            <w:noWrap/>
            <w:vAlign w:val="center"/>
            <w:hideMark/>
          </w:tcPr>
          <w:p w14:paraId="44A1A2BD"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36,733</w:t>
            </w:r>
          </w:p>
        </w:tc>
        <w:tc>
          <w:tcPr>
            <w:tcW w:w="1260" w:type="dxa"/>
            <w:noWrap/>
            <w:vAlign w:val="center"/>
            <w:hideMark/>
          </w:tcPr>
          <w:p w14:paraId="07ED14F7" w14:textId="77777777" w:rsidR="00EB3401" w:rsidRPr="00FB76FB" w:rsidRDefault="00EB3401">
            <w:pPr>
              <w:widowControl/>
              <w:autoSpaceDE/>
              <w:autoSpaceDN/>
              <w:jc w:val="center"/>
              <w:rPr>
                <w:rFonts w:eastAsia="Times New Roman" w:cs="Calibri"/>
                <w:color w:val="000000"/>
              </w:rPr>
            </w:pPr>
            <w:r w:rsidRPr="00FB76FB">
              <w:rPr>
                <w:rFonts w:eastAsia="Times New Roman" w:cs="Calibri"/>
                <w:color w:val="000000"/>
              </w:rPr>
              <w:t>0.6</w:t>
            </w:r>
          </w:p>
        </w:tc>
      </w:tr>
    </w:tbl>
    <w:p w14:paraId="7512E420" w14:textId="77777777" w:rsidR="00EB3401" w:rsidRDefault="00EB3401" w:rsidP="00283665"/>
    <w:p w14:paraId="2381489A" w14:textId="77777777" w:rsidR="00834C7D" w:rsidRDefault="00834C7D" w:rsidP="00283665"/>
    <w:p w14:paraId="43B77394" w14:textId="4F2DB9C6" w:rsidR="00021C89" w:rsidRDefault="00E619F6" w:rsidP="00283665">
      <w:pPr>
        <w:rPr>
          <w:b/>
          <w:bCs/>
        </w:rPr>
      </w:pPr>
      <w:r>
        <w:rPr>
          <w:b/>
          <w:bCs/>
        </w:rPr>
        <w:t xml:space="preserve">Defining the </w:t>
      </w:r>
      <w:r w:rsidR="005E13C4" w:rsidRPr="00AD235F">
        <w:rPr>
          <w:b/>
          <w:bCs/>
        </w:rPr>
        <w:t xml:space="preserve">Applicant’s </w:t>
      </w:r>
      <w:r w:rsidR="00021C89">
        <w:rPr>
          <w:b/>
          <w:bCs/>
        </w:rPr>
        <w:t>Patient Panel</w:t>
      </w:r>
    </w:p>
    <w:p w14:paraId="2E39B0C2" w14:textId="4C6411CA" w:rsidR="00D26C0E" w:rsidRDefault="00D26C0E" w:rsidP="00D26C0E">
      <w:r>
        <w:t xml:space="preserve">The Applicant is a new entrant to the Massachusetts healthcare system, and does not have an existing Patient Panel in Massachusetts. Additionally, the Applicant is changing the specialty of the ASC being acquired. Therefore, the Applicant engaged Chartis Healthcare Consulting (Chartis or </w:t>
      </w:r>
      <w:r>
        <w:lastRenderedPageBreak/>
        <w:t>Consultant) to determine the Patient Panel for the Center and need for the Proposed Project, using historic claims data.</w:t>
      </w:r>
      <w:r>
        <w:rPr>
          <w:rStyle w:val="FootnoteReference"/>
        </w:rPr>
        <w:footnoteReference w:id="6"/>
      </w:r>
      <w:r>
        <w:t xml:space="preserve"> </w:t>
      </w:r>
      <w:r w:rsidRPr="00720196">
        <w:t xml:space="preserve">Chartis leveraged claims data from Komodo Health’s closed claims database. </w:t>
      </w:r>
      <w:r>
        <w:t xml:space="preserve">Chartis selected </w:t>
      </w:r>
      <w:r w:rsidRPr="00557A58">
        <w:t xml:space="preserve">Komodo because it is estimated to include </w:t>
      </w:r>
      <w:r>
        <w:t xml:space="preserve">approximately </w:t>
      </w:r>
      <w:r w:rsidRPr="00557A58">
        <w:t>80</w:t>
      </w:r>
      <w:r w:rsidR="001168E5">
        <w:rPr>
          <w:rFonts w:asciiTheme="minorHAnsi" w:hAnsiTheme="minorHAnsi"/>
        </w:rPr>
        <w:t xml:space="preserve"> percent</w:t>
      </w:r>
      <w:r w:rsidRPr="00557A58">
        <w:t xml:space="preserve"> of outpatient claims in Massachusetts.</w:t>
      </w:r>
      <w:r>
        <w:t xml:space="preserve"> </w:t>
      </w:r>
      <w:r w:rsidRPr="00720196">
        <w:t xml:space="preserve">Chartis used 2024 claims data instead of 2025 because there were a number of Medicaid redeterminations in 2025, which the Applicant states resulted in less accurate data. </w:t>
      </w:r>
      <w:r w:rsidRPr="004E6D74">
        <w:t xml:space="preserve">Chartis’s methodology estimates expected procedure volume through a three-stage approach that combines population data with market-based incidence rates to derive utilization. </w:t>
      </w:r>
      <w:r w:rsidRPr="00774366">
        <w:t xml:space="preserve">Chartis’ methodology can be found in Appendix I. </w:t>
      </w:r>
    </w:p>
    <w:p w14:paraId="1EA38E80" w14:textId="77777777" w:rsidR="00021C89" w:rsidRDefault="00021C89" w:rsidP="00283665">
      <w:pPr>
        <w:rPr>
          <w:b/>
          <w:bCs/>
        </w:rPr>
      </w:pPr>
    </w:p>
    <w:p w14:paraId="1B24AEE0" w14:textId="5F28B835" w:rsidR="00C658DC" w:rsidRPr="00021C89" w:rsidRDefault="00021C89" w:rsidP="00021C89">
      <w:pPr>
        <w:pStyle w:val="ListParagraph"/>
        <w:numPr>
          <w:ilvl w:val="0"/>
          <w:numId w:val="17"/>
        </w:numPr>
        <w:rPr>
          <w:i/>
          <w:iCs/>
        </w:rPr>
      </w:pPr>
      <w:r w:rsidRPr="00021C89">
        <w:rPr>
          <w:i/>
          <w:iCs/>
        </w:rPr>
        <w:t xml:space="preserve">Applicant’s </w:t>
      </w:r>
      <w:r w:rsidR="005E13C4" w:rsidRPr="00021C89">
        <w:rPr>
          <w:i/>
          <w:iCs/>
        </w:rPr>
        <w:t>primary service area</w:t>
      </w:r>
      <w:r w:rsidR="00E619F6" w:rsidRPr="00021C89">
        <w:rPr>
          <w:i/>
          <w:iCs/>
        </w:rPr>
        <w:t xml:space="preserve"> (PSA)</w:t>
      </w:r>
      <w:r w:rsidR="005E13C4" w:rsidRPr="00021C89">
        <w:rPr>
          <w:i/>
          <w:iCs/>
        </w:rPr>
        <w:t xml:space="preserve"> </w:t>
      </w:r>
    </w:p>
    <w:p w14:paraId="22C3195B" w14:textId="4567D49A" w:rsidR="00D750D7" w:rsidRDefault="00B90876" w:rsidP="00283665">
      <w:r>
        <w:t>The Applicant i</w:t>
      </w:r>
      <w:r w:rsidR="007C69EA">
        <w:t>dentif</w:t>
      </w:r>
      <w:r>
        <w:t>ied</w:t>
      </w:r>
      <w:r w:rsidR="007C69EA">
        <w:t xml:space="preserve"> the </w:t>
      </w:r>
      <w:r w:rsidR="00AA0D8E">
        <w:t>Center’s</w:t>
      </w:r>
      <w:r w:rsidR="007C69EA">
        <w:t xml:space="preserve"> Patient Panel by age with</w:t>
      </w:r>
      <w:r>
        <w:t>in</w:t>
      </w:r>
      <w:r w:rsidR="007C69EA">
        <w:t xml:space="preserve"> the </w:t>
      </w:r>
      <w:r w:rsidR="008051CF">
        <w:t>Center’s</w:t>
      </w:r>
      <w:r w:rsidR="007C69EA">
        <w:t xml:space="preserve"> primary service area</w:t>
      </w:r>
      <w:r w:rsidR="008051CF">
        <w:t xml:space="preserve"> (PSA)</w:t>
      </w:r>
      <w:r w:rsidR="007C69EA">
        <w:t xml:space="preserve">. </w:t>
      </w:r>
      <w:r w:rsidR="00AE3FF8">
        <w:t xml:space="preserve">The Applicant states that from experience, its patients travel up to 45 </w:t>
      </w:r>
      <w:r w:rsidR="00717F4B">
        <w:t xml:space="preserve">minutes </w:t>
      </w:r>
      <w:r w:rsidR="00AE3FF8">
        <w:t xml:space="preserve">or more for High Acuity Dental Services. As a result, the Applicant estimated that its PSA would be a 15-mile radius from </w:t>
      </w:r>
      <w:r w:rsidR="00C56DD8">
        <w:t>the Center’s</w:t>
      </w:r>
      <w:r w:rsidR="00AE3FF8">
        <w:t xml:space="preserve"> location in Stoneham. Based on the zip codes in the PSA, the Applicant determined that half of </w:t>
      </w:r>
      <w:r w:rsidR="00CD4CBF">
        <w:t>Massachusetts’s</w:t>
      </w:r>
      <w:r w:rsidR="00AE3FF8">
        <w:t xml:space="preserve"> pediatric population ages 0 to 21, reside within its PSA. </w:t>
      </w:r>
      <w:r w:rsidR="00095004" w:rsidRPr="00095004">
        <w:t xml:space="preserve">The Applicant states that the PSA is defined as zip codes starting with 021, 024, 017, 018, </w:t>
      </w:r>
      <w:r w:rsidR="00062035">
        <w:t xml:space="preserve">and </w:t>
      </w:r>
      <w:r w:rsidR="00095004" w:rsidRPr="00095004">
        <w:t xml:space="preserve">019, which represents the market areas within a 45-min radius around Stoneham, MA. Appendix II lists the </w:t>
      </w:r>
      <w:r w:rsidR="00095004">
        <w:t xml:space="preserve">top </w:t>
      </w:r>
      <w:r w:rsidR="00095004" w:rsidRPr="00095004">
        <w:t>cities and towns within the Applicant’s PSA.</w:t>
      </w:r>
      <w:r w:rsidR="00095004">
        <w:t xml:space="preserve"> </w:t>
      </w:r>
      <w:r w:rsidR="00214AD2">
        <w:t xml:space="preserve">Table </w:t>
      </w:r>
      <w:r w:rsidR="0093104F">
        <w:t>2</w:t>
      </w:r>
      <w:r w:rsidR="00214AD2">
        <w:t xml:space="preserve"> shows the </w:t>
      </w:r>
      <w:r w:rsidR="00065CF0">
        <w:t>population by age both</w:t>
      </w:r>
      <w:r w:rsidR="00214AD2">
        <w:t xml:space="preserve"> within </w:t>
      </w:r>
      <w:r w:rsidR="00065CF0">
        <w:t xml:space="preserve">and outside of </w:t>
      </w:r>
      <w:r w:rsidR="00214AD2">
        <w:t>the Applicant’s PSA</w:t>
      </w:r>
      <w:r w:rsidR="00065CF0">
        <w:t>.</w:t>
      </w:r>
      <w:r w:rsidR="00214AD2">
        <w:t xml:space="preserve"> </w:t>
      </w:r>
    </w:p>
    <w:p w14:paraId="58E64F42" w14:textId="77777777" w:rsidR="00D750D7" w:rsidRDefault="00D750D7" w:rsidP="00283665"/>
    <w:p w14:paraId="72D76D49" w14:textId="3B53F934" w:rsidR="0052724D" w:rsidRPr="00A21F23" w:rsidRDefault="0052724D" w:rsidP="00283665">
      <w:pPr>
        <w:rPr>
          <w:b/>
          <w:bCs/>
        </w:rPr>
      </w:pPr>
      <w:r w:rsidRPr="00A21F23">
        <w:rPr>
          <w:b/>
          <w:bCs/>
        </w:rPr>
        <w:t xml:space="preserve">Table </w:t>
      </w:r>
      <w:r w:rsidR="0093104F" w:rsidRPr="00A21F23">
        <w:rPr>
          <w:b/>
          <w:bCs/>
        </w:rPr>
        <w:t>2</w:t>
      </w:r>
      <w:r w:rsidRPr="00A21F23">
        <w:rPr>
          <w:b/>
          <w:bCs/>
        </w:rPr>
        <w:t xml:space="preserve">: </w:t>
      </w:r>
      <w:r w:rsidR="00315D74" w:rsidRPr="00A21F23">
        <w:rPr>
          <w:b/>
          <w:bCs/>
        </w:rPr>
        <w:t xml:space="preserve">Applicant’s </w:t>
      </w:r>
      <w:r w:rsidR="00177D7F" w:rsidRPr="00A21F23">
        <w:rPr>
          <w:b/>
          <w:bCs/>
        </w:rPr>
        <w:t>PSA</w:t>
      </w:r>
      <w:r w:rsidRPr="00A21F23">
        <w:rPr>
          <w:b/>
          <w:bCs/>
        </w:rPr>
        <w:t xml:space="preserve"> by Age</w:t>
      </w:r>
      <w:r w:rsidR="00BA78AE" w:rsidRPr="00A21F23">
        <w:rPr>
          <w:b/>
          <w:bCs/>
        </w:rPr>
        <w:t xml:space="preserve"> (0 to 21)</w:t>
      </w:r>
      <w:r w:rsidR="00901932" w:rsidRPr="00A21F23">
        <w:rPr>
          <w:b/>
          <w:bCs/>
        </w:rPr>
        <w:t>, 2025</w:t>
      </w:r>
      <w:r w:rsidR="009F35A3" w:rsidRPr="00A21F23">
        <w:rPr>
          <w:rStyle w:val="FootnoteReference"/>
          <w:b/>
          <w:bCs/>
        </w:rPr>
        <w:footnoteReference w:id="7"/>
      </w:r>
      <w:r w:rsidR="00243E96" w:rsidRPr="00A21F23">
        <w:rPr>
          <w:b/>
          <w:bCs/>
        </w:rP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pplicant’s PSA by Age (0 to 21), 2025"/>
      </w:tblPr>
      <w:tblGrid>
        <w:gridCol w:w="1784"/>
        <w:gridCol w:w="1006"/>
        <w:gridCol w:w="1024"/>
        <w:gridCol w:w="1188"/>
      </w:tblGrid>
      <w:tr w:rsidR="00243E96" w:rsidRPr="0052724D" w14:paraId="3E050F61" w14:textId="77777777" w:rsidTr="00F73440">
        <w:trPr>
          <w:cantSplit/>
          <w:trHeight w:val="320"/>
          <w:tblHeader/>
        </w:trPr>
        <w:tc>
          <w:tcPr>
            <w:tcW w:w="0" w:type="auto"/>
            <w:shd w:val="clear" w:color="000000" w:fill="DBE5F1"/>
            <w:vAlign w:val="center"/>
            <w:hideMark/>
          </w:tcPr>
          <w:p w14:paraId="31EC3848" w14:textId="54A7BA7A" w:rsidR="00243E96" w:rsidRPr="0052724D" w:rsidRDefault="005E067A" w:rsidP="005E067A">
            <w:pPr>
              <w:widowControl/>
              <w:autoSpaceDE/>
              <w:autoSpaceDN/>
              <w:rPr>
                <w:rFonts w:eastAsia="Times New Roman" w:cs="Calibri"/>
                <w:b/>
                <w:bCs/>
                <w:color w:val="000000"/>
              </w:rPr>
            </w:pPr>
            <w:r>
              <w:rPr>
                <w:rFonts w:eastAsia="Times New Roman" w:cs="Calibri"/>
                <w:b/>
                <w:bCs/>
                <w:color w:val="000000"/>
              </w:rPr>
              <w:t>Location</w:t>
            </w:r>
          </w:p>
        </w:tc>
        <w:tc>
          <w:tcPr>
            <w:tcW w:w="0" w:type="auto"/>
            <w:shd w:val="clear" w:color="000000" w:fill="DBE5F1"/>
            <w:vAlign w:val="center"/>
            <w:hideMark/>
          </w:tcPr>
          <w:p w14:paraId="4E37FBEB" w14:textId="3DBD185E" w:rsidR="00243E96" w:rsidRPr="0052724D" w:rsidRDefault="00243E96" w:rsidP="00417AD7">
            <w:pPr>
              <w:widowControl/>
              <w:autoSpaceDE/>
              <w:autoSpaceDN/>
              <w:jc w:val="center"/>
              <w:rPr>
                <w:rFonts w:eastAsia="Times New Roman" w:cs="Calibri"/>
                <w:b/>
                <w:bCs/>
                <w:color w:val="000000"/>
              </w:rPr>
            </w:pPr>
            <w:r w:rsidRPr="0052724D">
              <w:rPr>
                <w:rFonts w:eastAsia="Times New Roman" w:cs="Calibri"/>
                <w:b/>
                <w:bCs/>
                <w:color w:val="000000"/>
              </w:rPr>
              <w:t>0</w:t>
            </w:r>
            <w:r w:rsidR="00417AD7">
              <w:rPr>
                <w:rFonts w:eastAsia="Times New Roman" w:cs="Calibri"/>
                <w:b/>
                <w:bCs/>
                <w:color w:val="000000"/>
              </w:rPr>
              <w:t xml:space="preserve"> to 10</w:t>
            </w:r>
          </w:p>
        </w:tc>
        <w:tc>
          <w:tcPr>
            <w:tcW w:w="0" w:type="auto"/>
            <w:shd w:val="clear" w:color="000000" w:fill="DBE5F1"/>
            <w:vAlign w:val="center"/>
            <w:hideMark/>
          </w:tcPr>
          <w:p w14:paraId="54C85770" w14:textId="225915AB" w:rsidR="00243E96" w:rsidRPr="0052724D" w:rsidRDefault="00417AD7" w:rsidP="00417AD7">
            <w:pPr>
              <w:widowControl/>
              <w:autoSpaceDE/>
              <w:autoSpaceDN/>
              <w:jc w:val="center"/>
              <w:rPr>
                <w:rFonts w:eastAsia="Times New Roman" w:cs="Calibri"/>
                <w:b/>
                <w:bCs/>
                <w:color w:val="000000"/>
              </w:rPr>
            </w:pPr>
            <w:r>
              <w:rPr>
                <w:rFonts w:eastAsia="Times New Roman" w:cs="Calibri"/>
                <w:b/>
                <w:bCs/>
                <w:color w:val="000000"/>
              </w:rPr>
              <w:t>11 to 21</w:t>
            </w:r>
          </w:p>
        </w:tc>
        <w:tc>
          <w:tcPr>
            <w:tcW w:w="0" w:type="auto"/>
            <w:shd w:val="clear" w:color="000000" w:fill="DBE5F1"/>
            <w:vAlign w:val="center"/>
            <w:hideMark/>
          </w:tcPr>
          <w:p w14:paraId="24CF4133" w14:textId="77777777" w:rsidR="00243E96" w:rsidRPr="0052724D" w:rsidRDefault="00243E96" w:rsidP="00417AD7">
            <w:pPr>
              <w:widowControl/>
              <w:autoSpaceDE/>
              <w:autoSpaceDN/>
              <w:jc w:val="center"/>
              <w:rPr>
                <w:rFonts w:eastAsia="Times New Roman" w:cs="Calibri"/>
                <w:b/>
                <w:bCs/>
                <w:color w:val="000000"/>
              </w:rPr>
            </w:pPr>
            <w:r w:rsidRPr="0052724D">
              <w:rPr>
                <w:rFonts w:eastAsia="Times New Roman" w:cs="Calibri"/>
                <w:b/>
                <w:bCs/>
                <w:color w:val="000000"/>
              </w:rPr>
              <w:t>Total</w:t>
            </w:r>
          </w:p>
        </w:tc>
      </w:tr>
      <w:tr w:rsidR="00243E96" w:rsidRPr="0052724D" w14:paraId="136FDB96" w14:textId="77777777" w:rsidTr="00F73440">
        <w:trPr>
          <w:cantSplit/>
          <w:trHeight w:val="191"/>
        </w:trPr>
        <w:tc>
          <w:tcPr>
            <w:tcW w:w="0" w:type="auto"/>
            <w:vAlign w:val="center"/>
            <w:hideMark/>
          </w:tcPr>
          <w:p w14:paraId="222B412D" w14:textId="6CE9438F" w:rsidR="00243E96" w:rsidRPr="0052724D" w:rsidRDefault="00FD55E6" w:rsidP="0052724D">
            <w:pPr>
              <w:widowControl/>
              <w:autoSpaceDE/>
              <w:autoSpaceDN/>
              <w:rPr>
                <w:rFonts w:eastAsia="Times New Roman" w:cs="Calibri"/>
                <w:color w:val="000000"/>
              </w:rPr>
            </w:pPr>
            <w:r>
              <w:rPr>
                <w:rFonts w:eastAsia="Times New Roman" w:cs="Calibri"/>
                <w:color w:val="000000"/>
              </w:rPr>
              <w:t>PSA</w:t>
            </w:r>
            <w:r w:rsidR="00243E96" w:rsidRPr="0052724D">
              <w:rPr>
                <w:rFonts w:eastAsia="Times New Roman" w:cs="Calibri"/>
                <w:color w:val="000000"/>
              </w:rPr>
              <w:t xml:space="preserve"> </w:t>
            </w:r>
          </w:p>
        </w:tc>
        <w:tc>
          <w:tcPr>
            <w:tcW w:w="0" w:type="auto"/>
            <w:vAlign w:val="center"/>
            <w:hideMark/>
          </w:tcPr>
          <w:p w14:paraId="707013FE"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389,229</w:t>
            </w:r>
          </w:p>
        </w:tc>
        <w:tc>
          <w:tcPr>
            <w:tcW w:w="0" w:type="auto"/>
            <w:vAlign w:val="center"/>
            <w:hideMark/>
          </w:tcPr>
          <w:p w14:paraId="16BBDD67"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480,174</w:t>
            </w:r>
          </w:p>
        </w:tc>
        <w:tc>
          <w:tcPr>
            <w:tcW w:w="0" w:type="auto"/>
            <w:vAlign w:val="center"/>
            <w:hideMark/>
          </w:tcPr>
          <w:p w14:paraId="40298213"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869,403</w:t>
            </w:r>
          </w:p>
        </w:tc>
      </w:tr>
      <w:tr w:rsidR="00243E96" w:rsidRPr="0052724D" w14:paraId="3D880D52" w14:textId="77777777" w:rsidTr="00F73440">
        <w:trPr>
          <w:cantSplit/>
          <w:trHeight w:val="320"/>
        </w:trPr>
        <w:tc>
          <w:tcPr>
            <w:tcW w:w="0" w:type="auto"/>
            <w:vAlign w:val="center"/>
            <w:hideMark/>
          </w:tcPr>
          <w:p w14:paraId="6D42FB17" w14:textId="4A1E870C" w:rsidR="00243E96" w:rsidRPr="0052724D" w:rsidRDefault="00120581" w:rsidP="0052724D">
            <w:pPr>
              <w:widowControl/>
              <w:autoSpaceDE/>
              <w:autoSpaceDN/>
              <w:rPr>
                <w:rFonts w:eastAsia="Times New Roman" w:cs="Calibri"/>
                <w:color w:val="000000"/>
              </w:rPr>
            </w:pPr>
            <w:r>
              <w:rPr>
                <w:rFonts w:eastAsia="Times New Roman" w:cs="Calibri"/>
                <w:color w:val="000000"/>
              </w:rPr>
              <w:t>Outside the PSA</w:t>
            </w:r>
          </w:p>
        </w:tc>
        <w:tc>
          <w:tcPr>
            <w:tcW w:w="0" w:type="auto"/>
            <w:vAlign w:val="center"/>
            <w:hideMark/>
          </w:tcPr>
          <w:p w14:paraId="3DA78CE1"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375,290</w:t>
            </w:r>
          </w:p>
        </w:tc>
        <w:tc>
          <w:tcPr>
            <w:tcW w:w="0" w:type="auto"/>
            <w:vAlign w:val="center"/>
            <w:hideMark/>
          </w:tcPr>
          <w:p w14:paraId="5FD46063"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479,539</w:t>
            </w:r>
          </w:p>
        </w:tc>
        <w:tc>
          <w:tcPr>
            <w:tcW w:w="0" w:type="auto"/>
            <w:vAlign w:val="center"/>
            <w:hideMark/>
          </w:tcPr>
          <w:p w14:paraId="7182AF32"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854,829</w:t>
            </w:r>
          </w:p>
        </w:tc>
      </w:tr>
      <w:tr w:rsidR="00243E96" w:rsidRPr="0052724D" w14:paraId="7C14D4FD" w14:textId="77777777" w:rsidTr="00F73440">
        <w:trPr>
          <w:cantSplit/>
          <w:trHeight w:val="320"/>
        </w:trPr>
        <w:tc>
          <w:tcPr>
            <w:tcW w:w="0" w:type="auto"/>
            <w:vAlign w:val="center"/>
            <w:hideMark/>
          </w:tcPr>
          <w:p w14:paraId="22C71F75" w14:textId="17DF1316" w:rsidR="00243E96" w:rsidRPr="0052724D" w:rsidRDefault="00243E96" w:rsidP="0052724D">
            <w:pPr>
              <w:widowControl/>
              <w:autoSpaceDE/>
              <w:autoSpaceDN/>
              <w:rPr>
                <w:rFonts w:eastAsia="Times New Roman" w:cs="Calibri"/>
                <w:color w:val="000000"/>
              </w:rPr>
            </w:pPr>
            <w:r>
              <w:rPr>
                <w:rFonts w:eastAsia="Times New Roman" w:cs="Calibri"/>
                <w:color w:val="000000"/>
              </w:rPr>
              <w:t xml:space="preserve">Total </w:t>
            </w:r>
          </w:p>
        </w:tc>
        <w:tc>
          <w:tcPr>
            <w:tcW w:w="0" w:type="auto"/>
            <w:vAlign w:val="center"/>
            <w:hideMark/>
          </w:tcPr>
          <w:p w14:paraId="4C0E8160"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764,519</w:t>
            </w:r>
          </w:p>
        </w:tc>
        <w:tc>
          <w:tcPr>
            <w:tcW w:w="0" w:type="auto"/>
            <w:vAlign w:val="center"/>
            <w:hideMark/>
          </w:tcPr>
          <w:p w14:paraId="638630B7"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959,713</w:t>
            </w:r>
          </w:p>
        </w:tc>
        <w:tc>
          <w:tcPr>
            <w:tcW w:w="0" w:type="auto"/>
            <w:vAlign w:val="center"/>
            <w:hideMark/>
          </w:tcPr>
          <w:p w14:paraId="2E07CB73" w14:textId="77777777" w:rsidR="00243E96" w:rsidRPr="0052724D" w:rsidRDefault="00243E96" w:rsidP="00417AD7">
            <w:pPr>
              <w:widowControl/>
              <w:autoSpaceDE/>
              <w:autoSpaceDN/>
              <w:jc w:val="center"/>
              <w:rPr>
                <w:rFonts w:eastAsia="Times New Roman" w:cs="Calibri"/>
                <w:color w:val="000000"/>
              </w:rPr>
            </w:pPr>
            <w:r w:rsidRPr="0052724D">
              <w:rPr>
                <w:rFonts w:eastAsia="Times New Roman" w:cs="Calibri"/>
                <w:color w:val="000000"/>
              </w:rPr>
              <w:t>1,724,232</w:t>
            </w:r>
          </w:p>
        </w:tc>
      </w:tr>
    </w:tbl>
    <w:p w14:paraId="237E8DF9" w14:textId="77777777" w:rsidR="00A979D2" w:rsidRDefault="00A979D2" w:rsidP="00283665"/>
    <w:p w14:paraId="19868717" w14:textId="6F9BE0D7" w:rsidR="000B0B68" w:rsidRDefault="001E7001" w:rsidP="00283665">
      <w:r>
        <w:t xml:space="preserve">Table </w:t>
      </w:r>
      <w:r w:rsidR="0093104F">
        <w:t>3</w:t>
      </w:r>
      <w:r>
        <w:t xml:space="preserve"> show</w:t>
      </w:r>
      <w:r w:rsidR="002B4C23">
        <w:t>s</w:t>
      </w:r>
      <w:r>
        <w:t xml:space="preserve"> the</w:t>
      </w:r>
      <w:r w:rsidR="004A1539">
        <w:t xml:space="preserve"> Applicant’s</w:t>
      </w:r>
      <w:r>
        <w:t xml:space="preserve"> PSA population</w:t>
      </w:r>
      <w:r w:rsidR="00D51E40">
        <w:t xml:space="preserve"> </w:t>
      </w:r>
      <w:r>
        <w:t xml:space="preserve">by gender, and by race/ethnicity. </w:t>
      </w:r>
      <w:r w:rsidR="002E5A41">
        <w:t>The statewide and PSA populations are similar in terms of gender. A higher percent</w:t>
      </w:r>
      <w:r w:rsidR="00D66F68">
        <w:t>age</w:t>
      </w:r>
      <w:r w:rsidR="002E5A41">
        <w:t xml:space="preserve"> of the statewide population identified as white compared to the Applicant’s PSA, and </w:t>
      </w:r>
      <w:r w:rsidR="00855859">
        <w:t xml:space="preserve">a </w:t>
      </w:r>
      <w:r w:rsidR="002E5A41">
        <w:t>higher percent</w:t>
      </w:r>
      <w:r w:rsidR="00D66F68">
        <w:t>age</w:t>
      </w:r>
      <w:r w:rsidR="002E5A41">
        <w:t xml:space="preserve"> of the Applicant’s PSA identified as Hispanic, </w:t>
      </w:r>
      <w:r w:rsidR="00FE667D">
        <w:t>or</w:t>
      </w:r>
      <w:r w:rsidR="002E5A41">
        <w:t xml:space="preserve"> Asian, compared to the statewide population. </w:t>
      </w:r>
    </w:p>
    <w:p w14:paraId="323679D1" w14:textId="77777777" w:rsidR="004A1539" w:rsidRDefault="004A1539" w:rsidP="00283665"/>
    <w:p w14:paraId="29E18727" w14:textId="63A549D1" w:rsidR="008A359F" w:rsidRPr="00A21F23" w:rsidRDefault="008A359F" w:rsidP="00283665">
      <w:r w:rsidRPr="00A21F23">
        <w:rPr>
          <w:b/>
          <w:bCs/>
        </w:rPr>
        <w:t xml:space="preserve">Table </w:t>
      </w:r>
      <w:r w:rsidR="002B4C23" w:rsidRPr="00A21F23">
        <w:rPr>
          <w:b/>
          <w:bCs/>
        </w:rPr>
        <w:t>3</w:t>
      </w:r>
      <w:r w:rsidRPr="00A21F23">
        <w:rPr>
          <w:b/>
          <w:bCs/>
        </w:rPr>
        <w:t xml:space="preserve"> : Population by Gender, 2023</w:t>
      </w:r>
      <w:r w:rsidR="009F35A3" w:rsidRPr="00A21F23">
        <w:rPr>
          <w:rStyle w:val="FootnoteReference"/>
          <w:b/>
          <w:bCs/>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pulation by Gender, 2023"/>
      </w:tblPr>
      <w:tblGrid>
        <w:gridCol w:w="954"/>
        <w:gridCol w:w="1223"/>
        <w:gridCol w:w="753"/>
      </w:tblGrid>
      <w:tr w:rsidR="00FD55E6" w:rsidRPr="00FD55E6" w14:paraId="2DCCECFF" w14:textId="77777777" w:rsidTr="00673A94">
        <w:trPr>
          <w:cantSplit/>
          <w:trHeight w:val="310"/>
          <w:tblHeader/>
        </w:trPr>
        <w:tc>
          <w:tcPr>
            <w:tcW w:w="0" w:type="auto"/>
            <w:shd w:val="clear" w:color="000000" w:fill="DBE5F1"/>
            <w:noWrap/>
            <w:vAlign w:val="center"/>
            <w:hideMark/>
          </w:tcPr>
          <w:p w14:paraId="678B1756" w14:textId="77777777" w:rsidR="00FD55E6" w:rsidRPr="00FD55E6" w:rsidRDefault="00FD55E6" w:rsidP="00FD55E6">
            <w:pPr>
              <w:widowControl/>
              <w:autoSpaceDE/>
              <w:autoSpaceDN/>
              <w:rPr>
                <w:rFonts w:eastAsia="Times New Roman" w:cs="Calibri"/>
                <w:b/>
                <w:bCs/>
                <w:color w:val="000000"/>
              </w:rPr>
            </w:pPr>
            <w:r w:rsidRPr="00FD55E6">
              <w:rPr>
                <w:rFonts w:eastAsia="Times New Roman" w:cs="Calibri"/>
                <w:b/>
                <w:bCs/>
                <w:color w:val="000000"/>
              </w:rPr>
              <w:t>Gender</w:t>
            </w:r>
          </w:p>
        </w:tc>
        <w:tc>
          <w:tcPr>
            <w:tcW w:w="0" w:type="auto"/>
            <w:shd w:val="clear" w:color="000000" w:fill="DBE5F1"/>
            <w:noWrap/>
            <w:vAlign w:val="center"/>
            <w:hideMark/>
          </w:tcPr>
          <w:p w14:paraId="5E0B2977" w14:textId="77777777" w:rsidR="00FD55E6" w:rsidRPr="00FD55E6" w:rsidRDefault="00FD55E6" w:rsidP="00E06CAD">
            <w:pPr>
              <w:widowControl/>
              <w:autoSpaceDE/>
              <w:autoSpaceDN/>
              <w:jc w:val="center"/>
              <w:rPr>
                <w:rFonts w:eastAsia="Times New Roman" w:cs="Calibri"/>
                <w:b/>
                <w:bCs/>
                <w:color w:val="000000"/>
              </w:rPr>
            </w:pPr>
            <w:r w:rsidRPr="00FD55E6">
              <w:rPr>
                <w:rFonts w:eastAsia="Times New Roman" w:cs="Calibri"/>
                <w:b/>
                <w:bCs/>
                <w:color w:val="000000"/>
              </w:rPr>
              <w:t>Statewide</w:t>
            </w:r>
          </w:p>
        </w:tc>
        <w:tc>
          <w:tcPr>
            <w:tcW w:w="0" w:type="auto"/>
            <w:shd w:val="clear" w:color="000000" w:fill="DBE5F1"/>
            <w:noWrap/>
            <w:vAlign w:val="center"/>
            <w:hideMark/>
          </w:tcPr>
          <w:p w14:paraId="6D42914B" w14:textId="77777777" w:rsidR="00FD55E6" w:rsidRPr="00FD55E6" w:rsidRDefault="00FD55E6" w:rsidP="00E06CAD">
            <w:pPr>
              <w:widowControl/>
              <w:autoSpaceDE/>
              <w:autoSpaceDN/>
              <w:jc w:val="center"/>
              <w:rPr>
                <w:rFonts w:eastAsia="Times New Roman" w:cs="Calibri"/>
                <w:b/>
                <w:bCs/>
                <w:color w:val="000000"/>
              </w:rPr>
            </w:pPr>
            <w:r w:rsidRPr="00FD55E6">
              <w:rPr>
                <w:rFonts w:eastAsia="Times New Roman" w:cs="Calibri"/>
                <w:b/>
                <w:bCs/>
                <w:color w:val="000000"/>
              </w:rPr>
              <w:t>PSA</w:t>
            </w:r>
          </w:p>
        </w:tc>
      </w:tr>
      <w:tr w:rsidR="00FD55E6" w:rsidRPr="00FD55E6" w14:paraId="2B7CE656" w14:textId="77777777" w:rsidTr="00673A94">
        <w:trPr>
          <w:cantSplit/>
          <w:trHeight w:val="310"/>
        </w:trPr>
        <w:tc>
          <w:tcPr>
            <w:tcW w:w="0" w:type="auto"/>
            <w:noWrap/>
            <w:vAlign w:val="center"/>
            <w:hideMark/>
          </w:tcPr>
          <w:p w14:paraId="29ACCB21" w14:textId="77777777" w:rsidR="00FD55E6" w:rsidRPr="00FD55E6" w:rsidRDefault="00FD55E6" w:rsidP="00FD55E6">
            <w:pPr>
              <w:widowControl/>
              <w:autoSpaceDE/>
              <w:autoSpaceDN/>
              <w:rPr>
                <w:rFonts w:eastAsia="Times New Roman" w:cs="Calibri"/>
                <w:color w:val="000000"/>
              </w:rPr>
            </w:pPr>
            <w:r w:rsidRPr="00FD55E6">
              <w:rPr>
                <w:rFonts w:eastAsia="Times New Roman" w:cs="Calibri"/>
                <w:color w:val="000000"/>
              </w:rPr>
              <w:t>Female</w:t>
            </w:r>
          </w:p>
        </w:tc>
        <w:tc>
          <w:tcPr>
            <w:tcW w:w="0" w:type="auto"/>
            <w:noWrap/>
            <w:vAlign w:val="center"/>
            <w:hideMark/>
          </w:tcPr>
          <w:p w14:paraId="64F97851" w14:textId="77777777" w:rsidR="00FD55E6" w:rsidRPr="00FD55E6" w:rsidRDefault="00FD55E6" w:rsidP="00E06CAD">
            <w:pPr>
              <w:widowControl/>
              <w:autoSpaceDE/>
              <w:autoSpaceDN/>
              <w:jc w:val="center"/>
              <w:rPr>
                <w:rFonts w:eastAsia="Times New Roman" w:cs="Calibri"/>
                <w:color w:val="000000"/>
              </w:rPr>
            </w:pPr>
            <w:r w:rsidRPr="00FD55E6">
              <w:rPr>
                <w:rFonts w:eastAsia="Times New Roman" w:cs="Calibri"/>
                <w:color w:val="000000"/>
              </w:rPr>
              <w:t>51%</w:t>
            </w:r>
          </w:p>
        </w:tc>
        <w:tc>
          <w:tcPr>
            <w:tcW w:w="0" w:type="auto"/>
            <w:noWrap/>
            <w:vAlign w:val="center"/>
            <w:hideMark/>
          </w:tcPr>
          <w:p w14:paraId="5189B8A1" w14:textId="77777777" w:rsidR="00FD55E6" w:rsidRPr="00FD55E6" w:rsidRDefault="00FD55E6" w:rsidP="00E06CAD">
            <w:pPr>
              <w:widowControl/>
              <w:autoSpaceDE/>
              <w:autoSpaceDN/>
              <w:jc w:val="center"/>
              <w:rPr>
                <w:rFonts w:eastAsia="Times New Roman" w:cs="Calibri"/>
                <w:color w:val="000000"/>
              </w:rPr>
            </w:pPr>
            <w:r w:rsidRPr="00FD55E6">
              <w:rPr>
                <w:rFonts w:eastAsia="Times New Roman" w:cs="Calibri"/>
                <w:color w:val="000000"/>
              </w:rPr>
              <w:t>51%</w:t>
            </w:r>
          </w:p>
        </w:tc>
      </w:tr>
      <w:tr w:rsidR="00FD55E6" w:rsidRPr="00FD55E6" w14:paraId="181C70CD" w14:textId="77777777" w:rsidTr="00673A94">
        <w:trPr>
          <w:cantSplit/>
          <w:trHeight w:val="310"/>
        </w:trPr>
        <w:tc>
          <w:tcPr>
            <w:tcW w:w="0" w:type="auto"/>
            <w:noWrap/>
            <w:vAlign w:val="center"/>
            <w:hideMark/>
          </w:tcPr>
          <w:p w14:paraId="719D2FA8" w14:textId="77777777" w:rsidR="00FD55E6" w:rsidRPr="00FD55E6" w:rsidRDefault="00FD55E6" w:rsidP="00FD55E6">
            <w:pPr>
              <w:widowControl/>
              <w:autoSpaceDE/>
              <w:autoSpaceDN/>
              <w:rPr>
                <w:rFonts w:eastAsia="Times New Roman" w:cs="Calibri"/>
                <w:color w:val="000000"/>
              </w:rPr>
            </w:pPr>
            <w:r w:rsidRPr="00FD55E6">
              <w:rPr>
                <w:rFonts w:eastAsia="Times New Roman" w:cs="Calibri"/>
                <w:color w:val="000000"/>
              </w:rPr>
              <w:t>Male</w:t>
            </w:r>
          </w:p>
        </w:tc>
        <w:tc>
          <w:tcPr>
            <w:tcW w:w="0" w:type="auto"/>
            <w:noWrap/>
            <w:vAlign w:val="center"/>
            <w:hideMark/>
          </w:tcPr>
          <w:p w14:paraId="363A25A3" w14:textId="77777777" w:rsidR="00FD55E6" w:rsidRPr="00FD55E6" w:rsidRDefault="00FD55E6" w:rsidP="00E06CAD">
            <w:pPr>
              <w:widowControl/>
              <w:autoSpaceDE/>
              <w:autoSpaceDN/>
              <w:jc w:val="center"/>
              <w:rPr>
                <w:rFonts w:eastAsia="Times New Roman" w:cs="Calibri"/>
                <w:color w:val="000000"/>
              </w:rPr>
            </w:pPr>
            <w:r w:rsidRPr="00FD55E6">
              <w:rPr>
                <w:rFonts w:eastAsia="Times New Roman" w:cs="Calibri"/>
                <w:color w:val="000000"/>
              </w:rPr>
              <w:t>49%</w:t>
            </w:r>
          </w:p>
        </w:tc>
        <w:tc>
          <w:tcPr>
            <w:tcW w:w="0" w:type="auto"/>
            <w:noWrap/>
            <w:vAlign w:val="center"/>
            <w:hideMark/>
          </w:tcPr>
          <w:p w14:paraId="6FC29D60" w14:textId="77777777" w:rsidR="00FD55E6" w:rsidRPr="00FD55E6" w:rsidRDefault="00FD55E6" w:rsidP="00E06CAD">
            <w:pPr>
              <w:widowControl/>
              <w:autoSpaceDE/>
              <w:autoSpaceDN/>
              <w:jc w:val="center"/>
              <w:rPr>
                <w:rFonts w:eastAsia="Times New Roman" w:cs="Calibri"/>
                <w:color w:val="000000"/>
              </w:rPr>
            </w:pPr>
            <w:r w:rsidRPr="00FD55E6">
              <w:rPr>
                <w:rFonts w:eastAsia="Times New Roman" w:cs="Calibri"/>
                <w:color w:val="000000"/>
              </w:rPr>
              <w:t>49%</w:t>
            </w:r>
          </w:p>
        </w:tc>
      </w:tr>
      <w:tr w:rsidR="00FD55E6" w:rsidRPr="00FD55E6" w14:paraId="53B237AD" w14:textId="77777777" w:rsidTr="00673A94">
        <w:trPr>
          <w:cantSplit/>
          <w:trHeight w:val="310"/>
        </w:trPr>
        <w:tc>
          <w:tcPr>
            <w:tcW w:w="0" w:type="auto"/>
            <w:noWrap/>
            <w:vAlign w:val="bottom"/>
            <w:hideMark/>
          </w:tcPr>
          <w:p w14:paraId="162024F1" w14:textId="77777777" w:rsidR="00FD55E6" w:rsidRPr="00FD55E6" w:rsidRDefault="00FD55E6" w:rsidP="00FD55E6">
            <w:pPr>
              <w:widowControl/>
              <w:autoSpaceDE/>
              <w:autoSpaceDN/>
              <w:rPr>
                <w:rFonts w:eastAsia="Times New Roman" w:cs="Calibri"/>
                <w:color w:val="000000"/>
              </w:rPr>
            </w:pPr>
            <w:r w:rsidRPr="00FD55E6">
              <w:rPr>
                <w:rFonts w:eastAsia="Times New Roman" w:cs="Calibri"/>
                <w:color w:val="000000"/>
              </w:rPr>
              <w:t>Total</w:t>
            </w:r>
          </w:p>
        </w:tc>
        <w:tc>
          <w:tcPr>
            <w:tcW w:w="0" w:type="auto"/>
            <w:noWrap/>
            <w:vAlign w:val="bottom"/>
            <w:hideMark/>
          </w:tcPr>
          <w:p w14:paraId="6A35FB6E" w14:textId="77777777" w:rsidR="00FD55E6" w:rsidRPr="00FD55E6" w:rsidRDefault="00FD55E6" w:rsidP="00E06CAD">
            <w:pPr>
              <w:widowControl/>
              <w:autoSpaceDE/>
              <w:autoSpaceDN/>
              <w:jc w:val="center"/>
              <w:rPr>
                <w:rFonts w:eastAsia="Times New Roman" w:cs="Calibri"/>
                <w:color w:val="000000"/>
              </w:rPr>
            </w:pPr>
            <w:r w:rsidRPr="00FD55E6">
              <w:rPr>
                <w:rFonts w:eastAsia="Times New Roman" w:cs="Calibri"/>
                <w:color w:val="000000"/>
              </w:rPr>
              <w:t>100%</w:t>
            </w:r>
          </w:p>
        </w:tc>
        <w:tc>
          <w:tcPr>
            <w:tcW w:w="0" w:type="auto"/>
            <w:noWrap/>
            <w:vAlign w:val="bottom"/>
            <w:hideMark/>
          </w:tcPr>
          <w:p w14:paraId="33FB888C" w14:textId="77777777" w:rsidR="00FD55E6" w:rsidRPr="00FD55E6" w:rsidRDefault="00FD55E6" w:rsidP="00E06CAD">
            <w:pPr>
              <w:widowControl/>
              <w:autoSpaceDE/>
              <w:autoSpaceDN/>
              <w:jc w:val="center"/>
              <w:rPr>
                <w:rFonts w:eastAsia="Times New Roman" w:cs="Calibri"/>
                <w:color w:val="000000"/>
              </w:rPr>
            </w:pPr>
            <w:r w:rsidRPr="00FD55E6">
              <w:rPr>
                <w:rFonts w:eastAsia="Times New Roman" w:cs="Calibri"/>
                <w:color w:val="000000"/>
              </w:rPr>
              <w:t>100%</w:t>
            </w:r>
          </w:p>
        </w:tc>
      </w:tr>
    </w:tbl>
    <w:p w14:paraId="528ECC92" w14:textId="77777777" w:rsidR="008A359F" w:rsidRDefault="008A359F" w:rsidP="00283665"/>
    <w:p w14:paraId="3CD9E3C4" w14:textId="77777777" w:rsidR="00957164" w:rsidRDefault="00957164" w:rsidP="00283665"/>
    <w:p w14:paraId="475D53BF" w14:textId="429031AE" w:rsidR="00FD55E6" w:rsidRPr="00A21F23" w:rsidRDefault="00FD55E6" w:rsidP="00FD55E6">
      <w:r w:rsidRPr="00A21F23">
        <w:rPr>
          <w:b/>
          <w:bCs/>
        </w:rPr>
        <w:t xml:space="preserve">Table </w:t>
      </w:r>
      <w:r w:rsidR="004A1539" w:rsidRPr="00A21F23">
        <w:rPr>
          <w:b/>
          <w:bCs/>
        </w:rPr>
        <w:t>3</w:t>
      </w:r>
      <w:r w:rsidRPr="00A21F23">
        <w:rPr>
          <w:b/>
          <w:bCs/>
        </w:rPr>
        <w:t>: Population by Race/Ethnicity, 2023</w:t>
      </w:r>
      <w:r w:rsidR="00555B4D" w:rsidRPr="00A21F23">
        <w:rPr>
          <w:rStyle w:val="FootnoteReference"/>
          <w:b/>
          <w:bCs/>
        </w:rPr>
        <w:footnoteReference w:id="9"/>
      </w:r>
    </w:p>
    <w:tbl>
      <w:tblPr>
        <w:tblStyle w:val="TableGrid"/>
        <w:tblW w:w="0" w:type="auto"/>
        <w:tblLook w:val="04A0" w:firstRow="1" w:lastRow="0" w:firstColumn="1" w:lastColumn="0" w:noHBand="0" w:noVBand="1"/>
        <w:tblCaption w:val="Population by Race/Ethnicity, 2023"/>
      </w:tblPr>
      <w:tblGrid>
        <w:gridCol w:w="1811"/>
        <w:gridCol w:w="1223"/>
        <w:gridCol w:w="631"/>
      </w:tblGrid>
      <w:tr w:rsidR="009F35A3" w:rsidRPr="00D5632A" w14:paraId="31D2F954" w14:textId="77777777" w:rsidTr="00673A94">
        <w:trPr>
          <w:cantSplit/>
          <w:trHeight w:val="330"/>
          <w:tblHeader/>
        </w:trPr>
        <w:tc>
          <w:tcPr>
            <w:tcW w:w="0" w:type="auto"/>
            <w:shd w:val="clear" w:color="auto" w:fill="DBE5F1" w:themeFill="accent1" w:themeFillTint="33"/>
            <w:noWrap/>
            <w:hideMark/>
          </w:tcPr>
          <w:p w14:paraId="702FFC7F" w14:textId="77777777" w:rsidR="009F35A3" w:rsidRPr="009F35A3" w:rsidRDefault="009F35A3">
            <w:pPr>
              <w:rPr>
                <w:rFonts w:asciiTheme="minorHAnsi" w:eastAsia="Times New Roman" w:hAnsiTheme="minorHAnsi"/>
                <w:b/>
                <w:bCs/>
              </w:rPr>
            </w:pPr>
            <w:r w:rsidRPr="009F35A3">
              <w:rPr>
                <w:rFonts w:asciiTheme="minorHAnsi" w:eastAsia="Times New Roman" w:hAnsiTheme="minorHAnsi"/>
                <w:b/>
                <w:bCs/>
                <w:color w:val="000000"/>
              </w:rPr>
              <w:t>Race/ Ethnicity</w:t>
            </w:r>
          </w:p>
        </w:tc>
        <w:tc>
          <w:tcPr>
            <w:tcW w:w="0" w:type="auto"/>
            <w:shd w:val="clear" w:color="auto" w:fill="DBE5F1" w:themeFill="accent1" w:themeFillTint="33"/>
            <w:noWrap/>
            <w:hideMark/>
          </w:tcPr>
          <w:p w14:paraId="7BF68487" w14:textId="77777777" w:rsidR="009F35A3" w:rsidRPr="009F35A3" w:rsidRDefault="009F35A3" w:rsidP="009F35A3">
            <w:pPr>
              <w:jc w:val="center"/>
              <w:rPr>
                <w:rFonts w:asciiTheme="minorHAnsi" w:eastAsia="Times New Roman" w:hAnsiTheme="minorHAnsi"/>
                <w:b/>
                <w:bCs/>
                <w:color w:val="000000"/>
              </w:rPr>
            </w:pPr>
            <w:r w:rsidRPr="009F35A3">
              <w:rPr>
                <w:rFonts w:asciiTheme="minorHAnsi" w:eastAsia="Times New Roman" w:hAnsiTheme="minorHAnsi"/>
                <w:b/>
                <w:bCs/>
                <w:color w:val="000000"/>
              </w:rPr>
              <w:t>Statewide</w:t>
            </w:r>
          </w:p>
        </w:tc>
        <w:tc>
          <w:tcPr>
            <w:tcW w:w="0" w:type="auto"/>
            <w:shd w:val="clear" w:color="auto" w:fill="DBE5F1" w:themeFill="accent1" w:themeFillTint="33"/>
            <w:noWrap/>
            <w:hideMark/>
          </w:tcPr>
          <w:p w14:paraId="3B471A91" w14:textId="77777777" w:rsidR="009F35A3" w:rsidRPr="009F35A3" w:rsidRDefault="009F35A3" w:rsidP="009F35A3">
            <w:pPr>
              <w:jc w:val="center"/>
              <w:rPr>
                <w:rFonts w:asciiTheme="minorHAnsi" w:eastAsia="Times New Roman" w:hAnsiTheme="minorHAnsi"/>
                <w:b/>
                <w:bCs/>
                <w:color w:val="000000"/>
              </w:rPr>
            </w:pPr>
            <w:r w:rsidRPr="009F35A3">
              <w:rPr>
                <w:rFonts w:asciiTheme="minorHAnsi" w:eastAsia="Times New Roman" w:hAnsiTheme="minorHAnsi"/>
                <w:b/>
                <w:bCs/>
                <w:color w:val="000000"/>
              </w:rPr>
              <w:t>PSA</w:t>
            </w:r>
          </w:p>
        </w:tc>
      </w:tr>
      <w:tr w:rsidR="009F35A3" w:rsidRPr="00D5632A" w14:paraId="1927AB86" w14:textId="77777777" w:rsidTr="00673A94">
        <w:trPr>
          <w:cantSplit/>
          <w:trHeight w:val="330"/>
        </w:trPr>
        <w:tc>
          <w:tcPr>
            <w:tcW w:w="0" w:type="auto"/>
            <w:noWrap/>
            <w:hideMark/>
          </w:tcPr>
          <w:p w14:paraId="05B3DE64"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White</w:t>
            </w:r>
          </w:p>
        </w:tc>
        <w:tc>
          <w:tcPr>
            <w:tcW w:w="0" w:type="auto"/>
            <w:noWrap/>
            <w:hideMark/>
          </w:tcPr>
          <w:p w14:paraId="606751C2"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65%</w:t>
            </w:r>
          </w:p>
        </w:tc>
        <w:tc>
          <w:tcPr>
            <w:tcW w:w="0" w:type="auto"/>
            <w:noWrap/>
            <w:hideMark/>
          </w:tcPr>
          <w:p w14:paraId="76B8587D"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59%</w:t>
            </w:r>
          </w:p>
        </w:tc>
      </w:tr>
      <w:tr w:rsidR="009F35A3" w:rsidRPr="00D5632A" w14:paraId="5493914D" w14:textId="77777777" w:rsidTr="00673A94">
        <w:trPr>
          <w:cantSplit/>
          <w:trHeight w:val="330"/>
        </w:trPr>
        <w:tc>
          <w:tcPr>
            <w:tcW w:w="0" w:type="auto"/>
            <w:noWrap/>
            <w:hideMark/>
          </w:tcPr>
          <w:p w14:paraId="21EBEDC0"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Hispanic</w:t>
            </w:r>
          </w:p>
        </w:tc>
        <w:tc>
          <w:tcPr>
            <w:tcW w:w="0" w:type="auto"/>
            <w:noWrap/>
            <w:hideMark/>
          </w:tcPr>
          <w:p w14:paraId="730CAFD2"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14%</w:t>
            </w:r>
          </w:p>
        </w:tc>
        <w:tc>
          <w:tcPr>
            <w:tcW w:w="0" w:type="auto"/>
            <w:noWrap/>
            <w:hideMark/>
          </w:tcPr>
          <w:p w14:paraId="48C1F9A9"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16%</w:t>
            </w:r>
          </w:p>
        </w:tc>
      </w:tr>
      <w:tr w:rsidR="009F35A3" w:rsidRPr="00D5632A" w14:paraId="3EA3C44A" w14:textId="77777777" w:rsidTr="00673A94">
        <w:trPr>
          <w:cantSplit/>
          <w:trHeight w:val="330"/>
        </w:trPr>
        <w:tc>
          <w:tcPr>
            <w:tcW w:w="0" w:type="auto"/>
            <w:noWrap/>
            <w:hideMark/>
          </w:tcPr>
          <w:p w14:paraId="3C3A06B2"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Asian</w:t>
            </w:r>
          </w:p>
        </w:tc>
        <w:tc>
          <w:tcPr>
            <w:tcW w:w="0" w:type="auto"/>
            <w:noWrap/>
            <w:hideMark/>
          </w:tcPr>
          <w:p w14:paraId="191FBEB2"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8%</w:t>
            </w:r>
          </w:p>
        </w:tc>
        <w:tc>
          <w:tcPr>
            <w:tcW w:w="0" w:type="auto"/>
            <w:noWrap/>
            <w:hideMark/>
          </w:tcPr>
          <w:p w14:paraId="71E378F2"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12%</w:t>
            </w:r>
          </w:p>
        </w:tc>
      </w:tr>
      <w:tr w:rsidR="009F35A3" w:rsidRPr="00D5632A" w14:paraId="5BEBDE0D" w14:textId="77777777" w:rsidTr="00673A94">
        <w:trPr>
          <w:cantSplit/>
          <w:trHeight w:val="330"/>
        </w:trPr>
        <w:tc>
          <w:tcPr>
            <w:tcW w:w="0" w:type="auto"/>
            <w:noWrap/>
            <w:hideMark/>
          </w:tcPr>
          <w:p w14:paraId="2BAE25C6"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Black</w:t>
            </w:r>
          </w:p>
        </w:tc>
        <w:tc>
          <w:tcPr>
            <w:tcW w:w="0" w:type="auto"/>
            <w:noWrap/>
            <w:hideMark/>
          </w:tcPr>
          <w:p w14:paraId="52EBDD11"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7%</w:t>
            </w:r>
          </w:p>
        </w:tc>
        <w:tc>
          <w:tcPr>
            <w:tcW w:w="0" w:type="auto"/>
            <w:noWrap/>
            <w:hideMark/>
          </w:tcPr>
          <w:p w14:paraId="3D8CC199"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7%</w:t>
            </w:r>
          </w:p>
        </w:tc>
      </w:tr>
      <w:tr w:rsidR="009F35A3" w:rsidRPr="00D5632A" w14:paraId="44E9D382" w14:textId="77777777" w:rsidTr="00673A94">
        <w:trPr>
          <w:cantSplit/>
          <w:trHeight w:val="330"/>
        </w:trPr>
        <w:tc>
          <w:tcPr>
            <w:tcW w:w="0" w:type="auto"/>
            <w:noWrap/>
            <w:hideMark/>
          </w:tcPr>
          <w:p w14:paraId="02B27FE7"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Multiple</w:t>
            </w:r>
          </w:p>
        </w:tc>
        <w:tc>
          <w:tcPr>
            <w:tcW w:w="0" w:type="auto"/>
            <w:noWrap/>
            <w:hideMark/>
          </w:tcPr>
          <w:p w14:paraId="14E178F8"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5%</w:t>
            </w:r>
          </w:p>
        </w:tc>
        <w:tc>
          <w:tcPr>
            <w:tcW w:w="0" w:type="auto"/>
            <w:noWrap/>
            <w:hideMark/>
          </w:tcPr>
          <w:p w14:paraId="28EA707A"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5%</w:t>
            </w:r>
          </w:p>
        </w:tc>
      </w:tr>
      <w:tr w:rsidR="009F35A3" w:rsidRPr="00D5632A" w14:paraId="1FB685F7" w14:textId="77777777" w:rsidTr="00673A94">
        <w:trPr>
          <w:cantSplit/>
          <w:trHeight w:val="330"/>
        </w:trPr>
        <w:tc>
          <w:tcPr>
            <w:tcW w:w="0" w:type="auto"/>
            <w:noWrap/>
            <w:hideMark/>
          </w:tcPr>
          <w:p w14:paraId="5963FE3D"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Other</w:t>
            </w:r>
          </w:p>
        </w:tc>
        <w:tc>
          <w:tcPr>
            <w:tcW w:w="0" w:type="auto"/>
            <w:noWrap/>
            <w:hideMark/>
          </w:tcPr>
          <w:p w14:paraId="6C1D4618"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1%</w:t>
            </w:r>
          </w:p>
        </w:tc>
        <w:tc>
          <w:tcPr>
            <w:tcW w:w="0" w:type="auto"/>
            <w:noWrap/>
            <w:hideMark/>
          </w:tcPr>
          <w:p w14:paraId="3A17020D"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1%</w:t>
            </w:r>
          </w:p>
        </w:tc>
      </w:tr>
      <w:tr w:rsidR="009F35A3" w:rsidRPr="00D5632A" w14:paraId="59755F4F" w14:textId="77777777" w:rsidTr="00673A94">
        <w:trPr>
          <w:cantSplit/>
          <w:trHeight w:val="330"/>
        </w:trPr>
        <w:tc>
          <w:tcPr>
            <w:tcW w:w="0" w:type="auto"/>
            <w:noWrap/>
            <w:hideMark/>
          </w:tcPr>
          <w:p w14:paraId="383E1505"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American Indian</w:t>
            </w:r>
          </w:p>
        </w:tc>
        <w:tc>
          <w:tcPr>
            <w:tcW w:w="0" w:type="auto"/>
            <w:noWrap/>
            <w:hideMark/>
          </w:tcPr>
          <w:p w14:paraId="40B934D0"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0%</w:t>
            </w:r>
          </w:p>
        </w:tc>
        <w:tc>
          <w:tcPr>
            <w:tcW w:w="0" w:type="auto"/>
            <w:noWrap/>
            <w:hideMark/>
          </w:tcPr>
          <w:p w14:paraId="1C2BDACB"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0%</w:t>
            </w:r>
          </w:p>
        </w:tc>
      </w:tr>
      <w:tr w:rsidR="009F35A3" w:rsidRPr="00D5632A" w14:paraId="5687B69A" w14:textId="77777777" w:rsidTr="00673A94">
        <w:trPr>
          <w:cantSplit/>
          <w:trHeight w:val="330"/>
        </w:trPr>
        <w:tc>
          <w:tcPr>
            <w:tcW w:w="0" w:type="auto"/>
            <w:noWrap/>
            <w:hideMark/>
          </w:tcPr>
          <w:p w14:paraId="06D63112" w14:textId="77777777" w:rsidR="009F35A3" w:rsidRPr="009F35A3" w:rsidRDefault="009F35A3">
            <w:pPr>
              <w:rPr>
                <w:rFonts w:asciiTheme="minorHAnsi" w:eastAsia="Times New Roman" w:hAnsiTheme="minorHAnsi"/>
                <w:color w:val="000000"/>
              </w:rPr>
            </w:pPr>
            <w:r w:rsidRPr="009F35A3">
              <w:rPr>
                <w:rFonts w:asciiTheme="minorHAnsi" w:eastAsia="Times New Roman" w:hAnsiTheme="minorHAnsi"/>
                <w:color w:val="000000"/>
              </w:rPr>
              <w:t>Pacific Islander</w:t>
            </w:r>
          </w:p>
        </w:tc>
        <w:tc>
          <w:tcPr>
            <w:tcW w:w="0" w:type="auto"/>
            <w:noWrap/>
            <w:hideMark/>
          </w:tcPr>
          <w:p w14:paraId="62252B12"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0%</w:t>
            </w:r>
          </w:p>
        </w:tc>
        <w:tc>
          <w:tcPr>
            <w:tcW w:w="0" w:type="auto"/>
            <w:noWrap/>
            <w:hideMark/>
          </w:tcPr>
          <w:p w14:paraId="46F23FD5" w14:textId="77777777" w:rsidR="009F35A3" w:rsidRPr="009F35A3" w:rsidRDefault="009F35A3" w:rsidP="009F35A3">
            <w:pPr>
              <w:jc w:val="center"/>
              <w:rPr>
                <w:rFonts w:asciiTheme="minorHAnsi" w:eastAsia="Times New Roman" w:hAnsiTheme="minorHAnsi"/>
                <w:color w:val="000000"/>
              </w:rPr>
            </w:pPr>
            <w:r w:rsidRPr="009F35A3">
              <w:rPr>
                <w:rFonts w:asciiTheme="minorHAnsi" w:eastAsia="Times New Roman" w:hAnsiTheme="minorHAnsi"/>
                <w:color w:val="000000"/>
              </w:rPr>
              <w:t>0%</w:t>
            </w:r>
          </w:p>
        </w:tc>
      </w:tr>
    </w:tbl>
    <w:p w14:paraId="6E750833" w14:textId="77777777" w:rsidR="003B5792" w:rsidRDefault="003B5792" w:rsidP="00283665"/>
    <w:p w14:paraId="182CCB12" w14:textId="246693A3" w:rsidR="009550E8" w:rsidRDefault="00C43ADB" w:rsidP="00283665">
      <w:r>
        <w:t>The Applicant’s consultant</w:t>
      </w:r>
      <w:r w:rsidR="009D6BF8">
        <w:t>, Chartis,</w:t>
      </w:r>
      <w:r>
        <w:t xml:space="preserve"> use</w:t>
      </w:r>
      <w:r w:rsidR="003E44D0">
        <w:t>d</w:t>
      </w:r>
      <w:r>
        <w:t xml:space="preserve"> dat</w:t>
      </w:r>
      <w:r w:rsidR="006A2817">
        <w:t>a</w:t>
      </w:r>
      <w:r>
        <w:t xml:space="preserve"> from the 2024 US Census </w:t>
      </w:r>
      <w:r w:rsidR="00E573CA">
        <w:t xml:space="preserve">Bureau </w:t>
      </w:r>
      <w:r>
        <w:t>American Community Survey to extrapolate the percent of MassHealth pediatric beneficiaries ages 0 to 18 by the state, the Applicant’s PSA, and County level.</w:t>
      </w:r>
      <w:r w:rsidR="00A713D3" w:rsidRPr="775A3383">
        <w:rPr>
          <w:rStyle w:val="EndnoteReference"/>
        </w:rPr>
        <w:endnoteReference w:id="4"/>
      </w:r>
      <w:r>
        <w:t xml:space="preserve"> This is shown in Table </w:t>
      </w:r>
      <w:r w:rsidR="003456FE">
        <w:t>4</w:t>
      </w:r>
      <w:r>
        <w:t xml:space="preserve">. </w:t>
      </w:r>
      <w:r w:rsidR="009C570E">
        <w:t>The Center is located in Middlesex County</w:t>
      </w:r>
      <w:r w:rsidR="0024183F">
        <w:t xml:space="preserve"> where 24</w:t>
      </w:r>
      <w:r w:rsidR="001168E5">
        <w:rPr>
          <w:rFonts w:asciiTheme="minorHAnsi" w:hAnsiTheme="minorHAnsi"/>
        </w:rPr>
        <w:t xml:space="preserve"> percent</w:t>
      </w:r>
      <w:r w:rsidR="0024183F">
        <w:t xml:space="preserve"> of the 0 to 18 population is insured through Medicaid. </w:t>
      </w:r>
      <w:r w:rsidR="009C570E">
        <w:t xml:space="preserve"> </w:t>
      </w:r>
    </w:p>
    <w:p w14:paraId="674EFF1A" w14:textId="77777777" w:rsidR="002E4B55" w:rsidRDefault="002E4B55" w:rsidP="00283665"/>
    <w:p w14:paraId="5F85AD0F" w14:textId="2F543847" w:rsidR="00C43ADB" w:rsidRPr="00A21F23" w:rsidRDefault="002E4B55" w:rsidP="00283665">
      <w:pPr>
        <w:rPr>
          <w:b/>
          <w:bCs/>
        </w:rPr>
      </w:pPr>
      <w:r w:rsidRPr="00A21F23">
        <w:rPr>
          <w:b/>
          <w:bCs/>
        </w:rPr>
        <w:t xml:space="preserve">Table </w:t>
      </w:r>
      <w:r w:rsidR="003456FE" w:rsidRPr="00A21F23">
        <w:rPr>
          <w:b/>
          <w:bCs/>
        </w:rPr>
        <w:t>4</w:t>
      </w:r>
      <w:r w:rsidRPr="00A21F23">
        <w:rPr>
          <w:b/>
          <w:bCs/>
        </w:rPr>
        <w:t>: MassHealth Pediatric Beneficiaries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ssHealth Pediatric Beneficiaries"/>
      </w:tblPr>
      <w:tblGrid>
        <w:gridCol w:w="3504"/>
        <w:gridCol w:w="2048"/>
        <w:gridCol w:w="2065"/>
        <w:gridCol w:w="2193"/>
      </w:tblGrid>
      <w:tr w:rsidR="002E4B55" w:rsidRPr="00FB76FB" w14:paraId="155D981B" w14:textId="77777777" w:rsidTr="002709E0">
        <w:trPr>
          <w:cantSplit/>
          <w:trHeight w:val="46"/>
          <w:tblHeader/>
        </w:trPr>
        <w:tc>
          <w:tcPr>
            <w:tcW w:w="0" w:type="auto"/>
            <w:shd w:val="clear" w:color="auto" w:fill="DBE5F1" w:themeFill="accent1" w:themeFillTint="33"/>
            <w:noWrap/>
            <w:vAlign w:val="center"/>
            <w:hideMark/>
          </w:tcPr>
          <w:p w14:paraId="4BD09F3D" w14:textId="532112B9" w:rsidR="002E4B55" w:rsidRPr="00FB76FB" w:rsidRDefault="002E4B55" w:rsidP="002E4B55">
            <w:pPr>
              <w:widowControl/>
              <w:autoSpaceDE/>
              <w:autoSpaceDN/>
              <w:rPr>
                <w:rFonts w:eastAsia="Times New Roman" w:cs="Calibri"/>
                <w:color w:val="000000"/>
              </w:rPr>
            </w:pPr>
            <w:r w:rsidRPr="00FB76FB">
              <w:rPr>
                <w:rFonts w:eastAsia="Times New Roman" w:cs="Calibri"/>
                <w:color w:val="000000"/>
              </w:rPr>
              <w:t> </w:t>
            </w:r>
            <w:r w:rsidR="00FB76FB" w:rsidRPr="00FB76FB">
              <w:rPr>
                <w:rFonts w:eastAsia="Times New Roman" w:cs="Calibri"/>
                <w:color w:val="000000"/>
              </w:rPr>
              <w:t>-</w:t>
            </w:r>
          </w:p>
        </w:tc>
        <w:tc>
          <w:tcPr>
            <w:tcW w:w="0" w:type="auto"/>
            <w:shd w:val="clear" w:color="auto" w:fill="DBE5F1" w:themeFill="accent1" w:themeFillTint="33"/>
            <w:noWrap/>
            <w:vAlign w:val="center"/>
            <w:hideMark/>
          </w:tcPr>
          <w:p w14:paraId="1D79C3C6" w14:textId="750B7975"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Population 0</w:t>
            </w:r>
            <w:r w:rsidR="008440B1" w:rsidRPr="00FB76FB">
              <w:rPr>
                <w:rFonts w:eastAsia="Times New Roman" w:cs="Calibri"/>
                <w:b/>
                <w:bCs/>
                <w:color w:val="000000"/>
              </w:rPr>
              <w:t xml:space="preserve"> to </w:t>
            </w:r>
            <w:r w:rsidRPr="00FB76FB">
              <w:rPr>
                <w:rFonts w:eastAsia="Times New Roman" w:cs="Calibri"/>
                <w:b/>
                <w:bCs/>
                <w:color w:val="000000"/>
              </w:rPr>
              <w:t>18</w:t>
            </w:r>
          </w:p>
        </w:tc>
        <w:tc>
          <w:tcPr>
            <w:tcW w:w="0" w:type="auto"/>
            <w:shd w:val="clear" w:color="auto" w:fill="DBE5F1" w:themeFill="accent1" w:themeFillTint="33"/>
            <w:vAlign w:val="center"/>
            <w:hideMark/>
          </w:tcPr>
          <w:p w14:paraId="635849E3" w14:textId="77777777"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With Medicaid/means-tested public coverage</w:t>
            </w:r>
          </w:p>
        </w:tc>
        <w:tc>
          <w:tcPr>
            <w:tcW w:w="0" w:type="auto"/>
            <w:shd w:val="clear" w:color="auto" w:fill="DBE5F1" w:themeFill="accent1" w:themeFillTint="33"/>
            <w:noWrap/>
            <w:vAlign w:val="center"/>
            <w:hideMark/>
          </w:tcPr>
          <w:p w14:paraId="01A90457" w14:textId="77777777" w:rsidR="000C75D2" w:rsidRPr="00FB76FB" w:rsidRDefault="000C75D2" w:rsidP="000C75D2">
            <w:pPr>
              <w:widowControl/>
              <w:autoSpaceDE/>
              <w:autoSpaceDN/>
              <w:jc w:val="center"/>
              <w:rPr>
                <w:rFonts w:eastAsia="Times New Roman" w:cs="Calibri"/>
                <w:b/>
                <w:bCs/>
                <w:color w:val="000000"/>
              </w:rPr>
            </w:pPr>
            <w:r w:rsidRPr="00FB76FB">
              <w:rPr>
                <w:rFonts w:eastAsia="Times New Roman" w:cs="Calibri"/>
                <w:b/>
                <w:bCs/>
                <w:color w:val="000000"/>
              </w:rPr>
              <w:t>Percent</w:t>
            </w:r>
            <w:r w:rsidR="002E4B55" w:rsidRPr="00FB76FB">
              <w:rPr>
                <w:rFonts w:eastAsia="Times New Roman" w:cs="Calibri"/>
                <w:b/>
                <w:bCs/>
                <w:color w:val="000000"/>
              </w:rPr>
              <w:t xml:space="preserve"> of </w:t>
            </w:r>
          </w:p>
          <w:p w14:paraId="4D1763D4" w14:textId="2B61E581"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0</w:t>
            </w:r>
            <w:r w:rsidR="008440B1" w:rsidRPr="00FB76FB">
              <w:rPr>
                <w:rFonts w:eastAsia="Times New Roman" w:cs="Calibri"/>
                <w:b/>
                <w:bCs/>
                <w:color w:val="000000"/>
              </w:rPr>
              <w:t xml:space="preserve"> to </w:t>
            </w:r>
            <w:r w:rsidRPr="00FB76FB">
              <w:rPr>
                <w:rFonts w:eastAsia="Times New Roman" w:cs="Calibri"/>
                <w:b/>
                <w:bCs/>
                <w:color w:val="000000"/>
              </w:rPr>
              <w:t>18 on Medicaid</w:t>
            </w:r>
          </w:p>
        </w:tc>
      </w:tr>
      <w:tr w:rsidR="002E4B55" w:rsidRPr="00FB76FB" w14:paraId="50E25BF1" w14:textId="77777777" w:rsidTr="002709E0">
        <w:trPr>
          <w:cantSplit/>
          <w:trHeight w:val="300"/>
        </w:trPr>
        <w:tc>
          <w:tcPr>
            <w:tcW w:w="0" w:type="auto"/>
            <w:noWrap/>
            <w:vAlign w:val="center"/>
            <w:hideMark/>
          </w:tcPr>
          <w:p w14:paraId="42A1005A" w14:textId="77777777" w:rsidR="002E4B55" w:rsidRPr="00FB76FB" w:rsidRDefault="002E4B55" w:rsidP="002E4B55">
            <w:pPr>
              <w:widowControl/>
              <w:autoSpaceDE/>
              <w:autoSpaceDN/>
              <w:rPr>
                <w:rFonts w:eastAsia="Times New Roman" w:cs="Calibri"/>
                <w:b/>
                <w:bCs/>
                <w:color w:val="000000"/>
              </w:rPr>
            </w:pPr>
            <w:r w:rsidRPr="00FB76FB">
              <w:rPr>
                <w:rFonts w:eastAsia="Times New Roman" w:cs="Calibri"/>
                <w:b/>
                <w:bCs/>
                <w:color w:val="000000"/>
              </w:rPr>
              <w:t>Massachusetts</w:t>
            </w:r>
          </w:p>
        </w:tc>
        <w:tc>
          <w:tcPr>
            <w:tcW w:w="0" w:type="auto"/>
            <w:noWrap/>
            <w:vAlign w:val="center"/>
            <w:hideMark/>
          </w:tcPr>
          <w:p w14:paraId="35974D8B" w14:textId="77777777"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1,454,853</w:t>
            </w:r>
          </w:p>
        </w:tc>
        <w:tc>
          <w:tcPr>
            <w:tcW w:w="0" w:type="auto"/>
            <w:noWrap/>
            <w:vAlign w:val="center"/>
            <w:hideMark/>
          </w:tcPr>
          <w:p w14:paraId="0886A6F7" w14:textId="77777777"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416,009</w:t>
            </w:r>
          </w:p>
        </w:tc>
        <w:tc>
          <w:tcPr>
            <w:tcW w:w="0" w:type="auto"/>
            <w:noWrap/>
            <w:vAlign w:val="center"/>
            <w:hideMark/>
          </w:tcPr>
          <w:p w14:paraId="30C00090" w14:textId="77777777"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29%</w:t>
            </w:r>
          </w:p>
        </w:tc>
      </w:tr>
      <w:tr w:rsidR="002E4B55" w:rsidRPr="00FB76FB" w14:paraId="145110D9" w14:textId="77777777" w:rsidTr="002709E0">
        <w:trPr>
          <w:cantSplit/>
          <w:trHeight w:val="300"/>
        </w:trPr>
        <w:tc>
          <w:tcPr>
            <w:tcW w:w="0" w:type="auto"/>
            <w:noWrap/>
            <w:vAlign w:val="center"/>
            <w:hideMark/>
          </w:tcPr>
          <w:p w14:paraId="16EE1F45" w14:textId="77777777" w:rsidR="002E4B55" w:rsidRPr="00FB76FB" w:rsidRDefault="002E4B55" w:rsidP="002E4B55">
            <w:pPr>
              <w:widowControl/>
              <w:autoSpaceDE/>
              <w:autoSpaceDN/>
              <w:rPr>
                <w:rFonts w:eastAsia="Times New Roman" w:cs="Calibri"/>
                <w:b/>
                <w:bCs/>
                <w:color w:val="000000"/>
              </w:rPr>
            </w:pPr>
            <w:r w:rsidRPr="00FB76FB">
              <w:rPr>
                <w:rFonts w:eastAsia="Times New Roman" w:cs="Calibri"/>
                <w:b/>
                <w:bCs/>
                <w:color w:val="000000"/>
              </w:rPr>
              <w:t>PSA total</w:t>
            </w:r>
          </w:p>
        </w:tc>
        <w:tc>
          <w:tcPr>
            <w:tcW w:w="0" w:type="auto"/>
            <w:noWrap/>
            <w:vAlign w:val="center"/>
            <w:hideMark/>
          </w:tcPr>
          <w:p w14:paraId="48325110" w14:textId="77777777"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660,794</w:t>
            </w:r>
          </w:p>
        </w:tc>
        <w:tc>
          <w:tcPr>
            <w:tcW w:w="0" w:type="auto"/>
            <w:noWrap/>
            <w:vAlign w:val="center"/>
            <w:hideMark/>
          </w:tcPr>
          <w:p w14:paraId="4D5CB917" w14:textId="77777777"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198,033</w:t>
            </w:r>
          </w:p>
        </w:tc>
        <w:tc>
          <w:tcPr>
            <w:tcW w:w="0" w:type="auto"/>
            <w:noWrap/>
            <w:vAlign w:val="center"/>
            <w:hideMark/>
          </w:tcPr>
          <w:p w14:paraId="79357EDE" w14:textId="77777777" w:rsidR="002E4B55" w:rsidRPr="00FB76FB" w:rsidRDefault="002E4B55" w:rsidP="000C75D2">
            <w:pPr>
              <w:widowControl/>
              <w:autoSpaceDE/>
              <w:autoSpaceDN/>
              <w:jc w:val="center"/>
              <w:rPr>
                <w:rFonts w:eastAsia="Times New Roman" w:cs="Calibri"/>
                <w:b/>
                <w:bCs/>
                <w:color w:val="000000"/>
              </w:rPr>
            </w:pPr>
            <w:r w:rsidRPr="00FB76FB">
              <w:rPr>
                <w:rFonts w:eastAsia="Times New Roman" w:cs="Calibri"/>
                <w:b/>
                <w:bCs/>
                <w:color w:val="000000"/>
              </w:rPr>
              <w:t>30%</w:t>
            </w:r>
          </w:p>
        </w:tc>
      </w:tr>
      <w:tr w:rsidR="002E4B55" w:rsidRPr="00FB76FB" w14:paraId="111FB895" w14:textId="77777777" w:rsidTr="002709E0">
        <w:trPr>
          <w:cantSplit/>
          <w:trHeight w:val="300"/>
        </w:trPr>
        <w:tc>
          <w:tcPr>
            <w:tcW w:w="0" w:type="auto"/>
            <w:noWrap/>
            <w:vAlign w:val="center"/>
            <w:hideMark/>
          </w:tcPr>
          <w:p w14:paraId="0500149A" w14:textId="77777777" w:rsidR="002E4B55" w:rsidRPr="00FB76FB" w:rsidRDefault="002E4B55" w:rsidP="003A10A0">
            <w:pPr>
              <w:widowControl/>
              <w:autoSpaceDE/>
              <w:autoSpaceDN/>
              <w:rPr>
                <w:rFonts w:eastAsia="Times New Roman" w:cs="Calibri"/>
                <w:i/>
                <w:iCs/>
                <w:color w:val="000000"/>
              </w:rPr>
            </w:pPr>
            <w:r w:rsidRPr="00FB76FB">
              <w:rPr>
                <w:rFonts w:eastAsia="Times New Roman" w:cs="Calibri"/>
                <w:i/>
                <w:iCs/>
                <w:color w:val="000000"/>
              </w:rPr>
              <w:t>Essex County, Massachusetts</w:t>
            </w:r>
          </w:p>
        </w:tc>
        <w:tc>
          <w:tcPr>
            <w:tcW w:w="0" w:type="auto"/>
            <w:noWrap/>
            <w:vAlign w:val="center"/>
            <w:hideMark/>
          </w:tcPr>
          <w:p w14:paraId="6F22FB29"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179,758</w:t>
            </w:r>
          </w:p>
        </w:tc>
        <w:tc>
          <w:tcPr>
            <w:tcW w:w="0" w:type="auto"/>
            <w:noWrap/>
            <w:vAlign w:val="center"/>
            <w:hideMark/>
          </w:tcPr>
          <w:p w14:paraId="2C0A3BF9"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61,485</w:t>
            </w:r>
          </w:p>
        </w:tc>
        <w:tc>
          <w:tcPr>
            <w:tcW w:w="0" w:type="auto"/>
            <w:noWrap/>
            <w:vAlign w:val="center"/>
            <w:hideMark/>
          </w:tcPr>
          <w:p w14:paraId="1FAB7E79"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34%</w:t>
            </w:r>
          </w:p>
        </w:tc>
      </w:tr>
      <w:tr w:rsidR="002E4B55" w:rsidRPr="00FB76FB" w14:paraId="459A095F" w14:textId="77777777" w:rsidTr="002709E0">
        <w:trPr>
          <w:cantSplit/>
          <w:trHeight w:val="300"/>
        </w:trPr>
        <w:tc>
          <w:tcPr>
            <w:tcW w:w="0" w:type="auto"/>
            <w:noWrap/>
            <w:vAlign w:val="center"/>
            <w:hideMark/>
          </w:tcPr>
          <w:p w14:paraId="08F8F0B1" w14:textId="77777777" w:rsidR="002E4B55" w:rsidRPr="00FB76FB" w:rsidRDefault="002E4B55" w:rsidP="003A10A0">
            <w:pPr>
              <w:widowControl/>
              <w:autoSpaceDE/>
              <w:autoSpaceDN/>
              <w:rPr>
                <w:rFonts w:eastAsia="Times New Roman" w:cs="Calibri"/>
                <w:i/>
                <w:iCs/>
                <w:color w:val="000000"/>
              </w:rPr>
            </w:pPr>
            <w:r w:rsidRPr="00FB76FB">
              <w:rPr>
                <w:rFonts w:eastAsia="Times New Roman" w:cs="Calibri"/>
                <w:i/>
                <w:iCs/>
                <w:color w:val="000000"/>
              </w:rPr>
              <w:t>Middlesex County, Massachusetts</w:t>
            </w:r>
          </w:p>
        </w:tc>
        <w:tc>
          <w:tcPr>
            <w:tcW w:w="0" w:type="auto"/>
            <w:noWrap/>
            <w:vAlign w:val="center"/>
            <w:hideMark/>
          </w:tcPr>
          <w:p w14:paraId="5136717E"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340,280</w:t>
            </w:r>
          </w:p>
        </w:tc>
        <w:tc>
          <w:tcPr>
            <w:tcW w:w="0" w:type="auto"/>
            <w:noWrap/>
            <w:vAlign w:val="center"/>
            <w:hideMark/>
          </w:tcPr>
          <w:p w14:paraId="30ACDBA5"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80,194</w:t>
            </w:r>
          </w:p>
        </w:tc>
        <w:tc>
          <w:tcPr>
            <w:tcW w:w="0" w:type="auto"/>
            <w:noWrap/>
            <w:vAlign w:val="center"/>
            <w:hideMark/>
          </w:tcPr>
          <w:p w14:paraId="72731FDB"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24%</w:t>
            </w:r>
          </w:p>
        </w:tc>
      </w:tr>
      <w:tr w:rsidR="002E4B55" w:rsidRPr="00FB76FB" w14:paraId="1DB37F20" w14:textId="77777777" w:rsidTr="002709E0">
        <w:trPr>
          <w:cantSplit/>
          <w:trHeight w:val="300"/>
        </w:trPr>
        <w:tc>
          <w:tcPr>
            <w:tcW w:w="0" w:type="auto"/>
            <w:noWrap/>
            <w:vAlign w:val="center"/>
            <w:hideMark/>
          </w:tcPr>
          <w:p w14:paraId="4166623F" w14:textId="77777777" w:rsidR="002E4B55" w:rsidRPr="00FB76FB" w:rsidRDefault="002E4B55" w:rsidP="003A10A0">
            <w:pPr>
              <w:widowControl/>
              <w:autoSpaceDE/>
              <w:autoSpaceDN/>
              <w:rPr>
                <w:rFonts w:eastAsia="Times New Roman" w:cs="Calibri"/>
                <w:i/>
                <w:iCs/>
                <w:color w:val="000000"/>
              </w:rPr>
            </w:pPr>
            <w:r w:rsidRPr="00FB76FB">
              <w:rPr>
                <w:rFonts w:eastAsia="Times New Roman" w:cs="Calibri"/>
                <w:i/>
                <w:iCs/>
                <w:color w:val="000000"/>
              </w:rPr>
              <w:t>Suffolk County, Massachusetts</w:t>
            </w:r>
          </w:p>
        </w:tc>
        <w:tc>
          <w:tcPr>
            <w:tcW w:w="0" w:type="auto"/>
            <w:noWrap/>
            <w:vAlign w:val="center"/>
            <w:hideMark/>
          </w:tcPr>
          <w:p w14:paraId="0FD3D179"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140,756</w:t>
            </w:r>
          </w:p>
        </w:tc>
        <w:tc>
          <w:tcPr>
            <w:tcW w:w="0" w:type="auto"/>
            <w:noWrap/>
            <w:vAlign w:val="center"/>
            <w:hideMark/>
          </w:tcPr>
          <w:p w14:paraId="4C17C67A"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56,354</w:t>
            </w:r>
          </w:p>
        </w:tc>
        <w:tc>
          <w:tcPr>
            <w:tcW w:w="0" w:type="auto"/>
            <w:noWrap/>
            <w:vAlign w:val="center"/>
            <w:hideMark/>
          </w:tcPr>
          <w:p w14:paraId="47262703" w14:textId="77777777" w:rsidR="002E4B55" w:rsidRPr="00FB76FB" w:rsidRDefault="002E4B55" w:rsidP="000C75D2">
            <w:pPr>
              <w:widowControl/>
              <w:autoSpaceDE/>
              <w:autoSpaceDN/>
              <w:jc w:val="center"/>
              <w:rPr>
                <w:rFonts w:eastAsia="Times New Roman" w:cs="Calibri"/>
                <w:i/>
                <w:iCs/>
                <w:color w:val="000000"/>
              </w:rPr>
            </w:pPr>
            <w:r w:rsidRPr="00FB76FB">
              <w:rPr>
                <w:rFonts w:eastAsia="Times New Roman" w:cs="Calibri"/>
                <w:i/>
                <w:iCs/>
                <w:color w:val="000000"/>
              </w:rPr>
              <w:t>40%</w:t>
            </w:r>
          </w:p>
        </w:tc>
      </w:tr>
    </w:tbl>
    <w:p w14:paraId="71C3E95F" w14:textId="77777777" w:rsidR="00C43ADB" w:rsidRDefault="00C43ADB" w:rsidP="00283665"/>
    <w:p w14:paraId="37DF62E1" w14:textId="77777777" w:rsidR="00440ED7" w:rsidRDefault="00440ED7" w:rsidP="00283665"/>
    <w:p w14:paraId="4B436A98" w14:textId="44FABD4F" w:rsidR="00440ED7" w:rsidRPr="00733439" w:rsidRDefault="00440ED7" w:rsidP="00733439">
      <w:pPr>
        <w:pStyle w:val="ListParagraph"/>
        <w:numPr>
          <w:ilvl w:val="0"/>
          <w:numId w:val="17"/>
        </w:numPr>
        <w:rPr>
          <w:i/>
          <w:iCs/>
        </w:rPr>
      </w:pPr>
      <w:r w:rsidRPr="00733439">
        <w:rPr>
          <w:i/>
          <w:iCs/>
        </w:rPr>
        <w:t xml:space="preserve">Patient Panel Utilization </w:t>
      </w:r>
    </w:p>
    <w:p w14:paraId="579C1E91" w14:textId="77777777" w:rsidR="00320D09" w:rsidRDefault="00320D09" w:rsidP="00283665">
      <w:pPr>
        <w:rPr>
          <w:b/>
          <w:bCs/>
        </w:rPr>
      </w:pPr>
    </w:p>
    <w:p w14:paraId="471E4F73" w14:textId="4226E49A" w:rsidR="00745936" w:rsidRPr="00541C3F" w:rsidRDefault="00013950" w:rsidP="00733439">
      <w:pPr>
        <w:pStyle w:val="ListParagraph"/>
        <w:numPr>
          <w:ilvl w:val="0"/>
          <w:numId w:val="18"/>
        </w:numPr>
        <w:shd w:val="clear" w:color="auto" w:fill="FFFFFF" w:themeFill="background1"/>
        <w:rPr>
          <w:i/>
          <w:iCs/>
        </w:rPr>
      </w:pPr>
      <w:r w:rsidRPr="00541C3F">
        <w:rPr>
          <w:i/>
          <w:iCs/>
        </w:rPr>
        <w:t>PSA Utilization Analysis by Care Setting, Age and Payer</w:t>
      </w:r>
    </w:p>
    <w:p w14:paraId="263CDAF7" w14:textId="11124B48" w:rsidR="002A4659" w:rsidRDefault="002A4659" w:rsidP="002A4659">
      <w:pPr>
        <w:shd w:val="clear" w:color="auto" w:fill="FFFFFF" w:themeFill="background1"/>
      </w:pPr>
      <w:r>
        <w:t xml:space="preserve">Based on claims data, there were </w:t>
      </w:r>
      <w:r w:rsidR="00B51C24">
        <w:t>110,788</w:t>
      </w:r>
      <w:r>
        <w:t xml:space="preserve"> total cases of High Acuity Dental Surgeries performed for individuals ages 21 </w:t>
      </w:r>
      <w:r w:rsidR="00DD443F">
        <w:t xml:space="preserve">and under </w:t>
      </w:r>
      <w:r w:rsidR="00DB1BA9">
        <w:t>within the Applicant’s PSA</w:t>
      </w:r>
      <w:r>
        <w:t xml:space="preserve">, across all </w:t>
      </w:r>
      <w:r w:rsidR="00A42A04">
        <w:t>C</w:t>
      </w:r>
      <w:r>
        <w:t xml:space="preserve">are </w:t>
      </w:r>
      <w:r w:rsidR="00A42A04">
        <w:t>S</w:t>
      </w:r>
      <w:r>
        <w:t xml:space="preserve">ettings. Of the total </w:t>
      </w:r>
      <w:r w:rsidR="00DB1BA9">
        <w:t>110,788</w:t>
      </w:r>
      <w:r>
        <w:t xml:space="preserve"> cases, 4</w:t>
      </w:r>
      <w:r w:rsidR="00061D57">
        <w:t>5</w:t>
      </w:r>
      <w:r w:rsidR="001168E5">
        <w:rPr>
          <w:rFonts w:asciiTheme="minorHAnsi" w:hAnsiTheme="minorHAnsi"/>
        </w:rPr>
        <w:t xml:space="preserve"> percent</w:t>
      </w:r>
      <w:r>
        <w:t xml:space="preserve"> were MassHealth cases, and 5</w:t>
      </w:r>
      <w:r w:rsidR="00061D57">
        <w:t>5</w:t>
      </w:r>
      <w:r w:rsidR="001168E5">
        <w:rPr>
          <w:rFonts w:asciiTheme="minorHAnsi" w:hAnsiTheme="minorHAnsi"/>
        </w:rPr>
        <w:t xml:space="preserve"> percent</w:t>
      </w:r>
      <w:r>
        <w:t xml:space="preserve"> were commercial cases. </w:t>
      </w:r>
      <w:r w:rsidR="00B073CF">
        <w:t>The</w:t>
      </w:r>
      <w:r>
        <w:t xml:space="preserve"> </w:t>
      </w:r>
      <w:r w:rsidR="0083010B">
        <w:t>Applicant notes that the C</w:t>
      </w:r>
      <w:r>
        <w:t xml:space="preserve">are </w:t>
      </w:r>
      <w:r w:rsidR="0083010B">
        <w:t>S</w:t>
      </w:r>
      <w:r>
        <w:t>etting differed significantly</w:t>
      </w:r>
      <w:r w:rsidR="00B073CF">
        <w:t xml:space="preserve"> for commercial and MassHealth cases</w:t>
      </w:r>
      <w:r>
        <w:t>: 67</w:t>
      </w:r>
      <w:r w:rsidR="001168E5">
        <w:rPr>
          <w:rFonts w:asciiTheme="minorHAnsi" w:hAnsiTheme="minorHAnsi"/>
        </w:rPr>
        <w:t xml:space="preserve"> percent</w:t>
      </w:r>
      <w:r>
        <w:t xml:space="preserve"> of commercial cases were performed in a dental office setting, while 60</w:t>
      </w:r>
      <w:r w:rsidR="001168E5">
        <w:rPr>
          <w:rFonts w:asciiTheme="minorHAnsi" w:hAnsiTheme="minorHAnsi"/>
        </w:rPr>
        <w:t xml:space="preserve"> percent</w:t>
      </w:r>
      <w:r>
        <w:t xml:space="preserve"> of MassHealth cases were performed in HOPDs. </w:t>
      </w:r>
      <w:r w:rsidR="001B4C08">
        <w:t>Additionally, a</w:t>
      </w:r>
      <w:r>
        <w:t>pproximately 50</w:t>
      </w:r>
      <w:r w:rsidR="001168E5">
        <w:rPr>
          <w:rFonts w:asciiTheme="minorHAnsi" w:hAnsiTheme="minorHAnsi"/>
        </w:rPr>
        <w:t xml:space="preserve"> percent</w:t>
      </w:r>
      <w:r>
        <w:t xml:space="preserve"> of the MassHealth cases performed in HOPDs were for children ages 0 to 10. This is shown in Table </w:t>
      </w:r>
      <w:r w:rsidR="00C567E4">
        <w:t>5</w:t>
      </w:r>
      <w:r>
        <w:t xml:space="preserve"> below. </w:t>
      </w:r>
    </w:p>
    <w:p w14:paraId="7360E8BE" w14:textId="31946582" w:rsidR="00CB12C1" w:rsidRPr="00534FD2" w:rsidRDefault="00F05832" w:rsidP="00283665">
      <w:pPr>
        <w:rPr>
          <w:b/>
          <w:shd w:val="clear" w:color="auto" w:fill="FFFFFF" w:themeFill="background1"/>
        </w:rPr>
      </w:pPr>
      <w:r w:rsidRPr="00534FD2">
        <w:rPr>
          <w:b/>
          <w:bCs/>
        </w:rPr>
        <w:lastRenderedPageBreak/>
        <w:t xml:space="preserve">Table </w:t>
      </w:r>
      <w:r w:rsidR="00C567E4" w:rsidRPr="00534FD2">
        <w:rPr>
          <w:b/>
          <w:bCs/>
        </w:rPr>
        <w:t>5</w:t>
      </w:r>
      <w:r w:rsidRPr="00534FD2">
        <w:rPr>
          <w:b/>
          <w:bCs/>
        </w:rPr>
        <w:t xml:space="preserve">: </w:t>
      </w:r>
      <w:r w:rsidR="00CB12C1" w:rsidRPr="00534FD2">
        <w:rPr>
          <w:b/>
          <w:bCs/>
        </w:rPr>
        <w:t xml:space="preserve">PSA </w:t>
      </w:r>
      <w:r w:rsidR="00C955D5" w:rsidRPr="00534FD2">
        <w:rPr>
          <w:b/>
          <w:bCs/>
        </w:rPr>
        <w:t>Utilization</w:t>
      </w:r>
      <w:r w:rsidR="00CB12C1" w:rsidRPr="00534FD2">
        <w:rPr>
          <w:b/>
          <w:bCs/>
        </w:rPr>
        <w:t xml:space="preserve"> by Care Setting, Age and Payer</w:t>
      </w:r>
      <w:r w:rsidRPr="00534FD2">
        <w:t xml:space="preserve"> </w:t>
      </w:r>
      <w:r w:rsidR="008D3C83" w:rsidRPr="00534FD2">
        <w:rPr>
          <w:b/>
          <w:bCs/>
        </w:rPr>
        <w:t>based on</w:t>
      </w:r>
      <w:r w:rsidR="008D3C83" w:rsidRPr="00534FD2">
        <w:t xml:space="preserve"> </w:t>
      </w:r>
      <w:r w:rsidRPr="00534FD2">
        <w:rPr>
          <w:b/>
          <w:shd w:val="clear" w:color="auto" w:fill="FFFFFF" w:themeFill="background1"/>
        </w:rPr>
        <w:t>CY2024 Volume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SA Utilization by Care Setting, Age and Payer based on CY2024 Volume"/>
      </w:tblPr>
      <w:tblGrid>
        <w:gridCol w:w="1394"/>
        <w:gridCol w:w="1276"/>
        <w:gridCol w:w="1406"/>
        <w:gridCol w:w="1806"/>
        <w:gridCol w:w="1141"/>
        <w:gridCol w:w="1806"/>
      </w:tblGrid>
      <w:tr w:rsidR="00C35AB8" w:rsidRPr="0007218F" w14:paraId="6994D495" w14:textId="77777777" w:rsidTr="005F03DC">
        <w:trPr>
          <w:cantSplit/>
          <w:trHeight w:val="310"/>
          <w:tblHeader/>
        </w:trPr>
        <w:tc>
          <w:tcPr>
            <w:tcW w:w="0" w:type="auto"/>
            <w:shd w:val="clear" w:color="000000" w:fill="F2F2F2"/>
            <w:vAlign w:val="center"/>
            <w:hideMark/>
          </w:tcPr>
          <w:p w14:paraId="6733A34E" w14:textId="3A7A6E6B" w:rsidR="00C35AB8" w:rsidRPr="0007218F" w:rsidRDefault="00C35AB8" w:rsidP="00C35AB8">
            <w:pPr>
              <w:widowControl/>
              <w:autoSpaceDE/>
              <w:autoSpaceDN/>
              <w:jc w:val="center"/>
              <w:rPr>
                <w:rFonts w:eastAsia="Times New Roman" w:cs="Calibri"/>
                <w:b/>
                <w:bCs/>
                <w:color w:val="000000"/>
              </w:rPr>
            </w:pPr>
            <w:r w:rsidRPr="0007218F">
              <w:rPr>
                <w:rFonts w:eastAsia="Times New Roman" w:cs="Calibri"/>
                <w:b/>
                <w:bCs/>
                <w:color w:val="000000"/>
              </w:rPr>
              <w:t>Setting</w:t>
            </w:r>
          </w:p>
        </w:tc>
        <w:tc>
          <w:tcPr>
            <w:tcW w:w="0" w:type="auto"/>
            <w:shd w:val="clear" w:color="000000" w:fill="F2F2F2"/>
            <w:vAlign w:val="center"/>
            <w:hideMark/>
          </w:tcPr>
          <w:p w14:paraId="430CC60C" w14:textId="05EAD2B8" w:rsidR="00C35AB8" w:rsidRPr="0007218F" w:rsidRDefault="00C35AB8" w:rsidP="00C35AB8">
            <w:pPr>
              <w:widowControl/>
              <w:autoSpaceDE/>
              <w:autoSpaceDN/>
              <w:jc w:val="center"/>
              <w:rPr>
                <w:rFonts w:eastAsia="Times New Roman" w:cs="Calibri"/>
                <w:b/>
                <w:bCs/>
                <w:color w:val="000000"/>
              </w:rPr>
            </w:pPr>
            <w:r w:rsidRPr="0007218F">
              <w:rPr>
                <w:rFonts w:eastAsia="Times New Roman" w:cs="Calibri"/>
                <w:b/>
                <w:bCs/>
                <w:color w:val="000000"/>
              </w:rPr>
              <w:t>Age Group</w:t>
            </w:r>
          </w:p>
        </w:tc>
        <w:tc>
          <w:tcPr>
            <w:tcW w:w="0" w:type="auto"/>
            <w:shd w:val="clear" w:color="000000" w:fill="F2F2F2"/>
            <w:vAlign w:val="center"/>
            <w:hideMark/>
          </w:tcPr>
          <w:p w14:paraId="01CC5917" w14:textId="77777777" w:rsidR="00534FD2" w:rsidRDefault="00534FD2" w:rsidP="00C35AB8">
            <w:pPr>
              <w:widowControl/>
              <w:autoSpaceDE/>
              <w:autoSpaceDN/>
              <w:jc w:val="center"/>
              <w:rPr>
                <w:rFonts w:eastAsia="Times New Roman" w:cs="Calibri"/>
                <w:b/>
                <w:bCs/>
                <w:color w:val="000000"/>
              </w:rPr>
            </w:pPr>
            <w:r w:rsidRPr="0007218F">
              <w:rPr>
                <w:rFonts w:eastAsia="Times New Roman" w:cs="Calibri"/>
                <w:b/>
                <w:bCs/>
                <w:color w:val="000000"/>
              </w:rPr>
              <w:t>Commercial</w:t>
            </w:r>
            <w:r w:rsidRPr="0007218F">
              <w:rPr>
                <w:rFonts w:eastAsia="Times New Roman" w:cs="Calibri"/>
                <w:b/>
                <w:bCs/>
                <w:color w:val="000000"/>
              </w:rPr>
              <w:t xml:space="preserve"> </w:t>
            </w:r>
          </w:p>
          <w:p w14:paraId="5C16849D" w14:textId="1ED23873" w:rsidR="00C35AB8" w:rsidRPr="0007218F" w:rsidRDefault="00C35AB8" w:rsidP="00C35AB8">
            <w:pPr>
              <w:widowControl/>
              <w:autoSpaceDE/>
              <w:autoSpaceDN/>
              <w:jc w:val="center"/>
              <w:rPr>
                <w:rFonts w:eastAsia="Times New Roman" w:cs="Calibri"/>
                <w:b/>
                <w:bCs/>
                <w:color w:val="000000"/>
              </w:rPr>
            </w:pPr>
            <w:r w:rsidRPr="0007218F">
              <w:rPr>
                <w:rFonts w:eastAsia="Times New Roman" w:cs="Calibri"/>
                <w:b/>
                <w:bCs/>
                <w:color w:val="000000"/>
              </w:rPr>
              <w:t>Count</w:t>
            </w:r>
          </w:p>
        </w:tc>
        <w:tc>
          <w:tcPr>
            <w:tcW w:w="0" w:type="auto"/>
            <w:shd w:val="clear" w:color="000000" w:fill="F2F2F2"/>
            <w:vAlign w:val="center"/>
            <w:hideMark/>
          </w:tcPr>
          <w:p w14:paraId="4E5B0F21" w14:textId="77777777" w:rsidR="00534FD2" w:rsidRDefault="00534FD2" w:rsidP="00C35AB8">
            <w:pPr>
              <w:widowControl/>
              <w:autoSpaceDE/>
              <w:autoSpaceDN/>
              <w:jc w:val="center"/>
              <w:rPr>
                <w:rFonts w:eastAsia="Times New Roman" w:cs="Calibri"/>
                <w:b/>
                <w:bCs/>
                <w:color w:val="000000"/>
              </w:rPr>
            </w:pPr>
            <w:r w:rsidRPr="0007218F">
              <w:rPr>
                <w:rFonts w:eastAsia="Times New Roman" w:cs="Calibri"/>
                <w:b/>
                <w:bCs/>
                <w:color w:val="000000"/>
              </w:rPr>
              <w:t xml:space="preserve">Commercial </w:t>
            </w:r>
          </w:p>
          <w:p w14:paraId="66EA5519" w14:textId="03C8EDE5" w:rsidR="00C35AB8" w:rsidRPr="0007218F" w:rsidRDefault="00C35AB8" w:rsidP="00C35AB8">
            <w:pPr>
              <w:widowControl/>
              <w:autoSpaceDE/>
              <w:autoSpaceDN/>
              <w:jc w:val="center"/>
              <w:rPr>
                <w:rFonts w:eastAsia="Times New Roman" w:cs="Calibri"/>
                <w:b/>
                <w:bCs/>
                <w:color w:val="000000"/>
              </w:rPr>
            </w:pPr>
            <w:r>
              <w:rPr>
                <w:rFonts w:eastAsia="Times New Roman" w:cs="Calibri"/>
                <w:b/>
                <w:bCs/>
                <w:color w:val="000000"/>
              </w:rPr>
              <w:t>Percent of Total</w:t>
            </w:r>
          </w:p>
        </w:tc>
        <w:tc>
          <w:tcPr>
            <w:tcW w:w="0" w:type="auto"/>
            <w:shd w:val="clear" w:color="000000" w:fill="F2F2F2"/>
            <w:vAlign w:val="center"/>
            <w:hideMark/>
          </w:tcPr>
          <w:p w14:paraId="7D6260DF" w14:textId="77777777" w:rsidR="00534FD2" w:rsidRDefault="00534FD2" w:rsidP="00C35AB8">
            <w:pPr>
              <w:widowControl/>
              <w:autoSpaceDE/>
              <w:autoSpaceDN/>
              <w:jc w:val="center"/>
              <w:rPr>
                <w:rFonts w:eastAsia="Times New Roman" w:cs="Calibri"/>
                <w:b/>
                <w:bCs/>
                <w:color w:val="000000"/>
              </w:rPr>
            </w:pPr>
            <w:r w:rsidRPr="0007218F">
              <w:rPr>
                <w:rFonts w:eastAsia="Times New Roman" w:cs="Calibri"/>
                <w:b/>
                <w:bCs/>
                <w:color w:val="000000"/>
              </w:rPr>
              <w:t>Medicaid</w:t>
            </w:r>
            <w:r w:rsidRPr="0007218F">
              <w:rPr>
                <w:rFonts w:eastAsia="Times New Roman" w:cs="Calibri"/>
                <w:b/>
                <w:bCs/>
                <w:color w:val="000000"/>
              </w:rPr>
              <w:t xml:space="preserve"> </w:t>
            </w:r>
          </w:p>
          <w:p w14:paraId="46CF86A9" w14:textId="682C0FAD" w:rsidR="00C35AB8" w:rsidRPr="0007218F" w:rsidRDefault="00C35AB8" w:rsidP="00C35AB8">
            <w:pPr>
              <w:widowControl/>
              <w:autoSpaceDE/>
              <w:autoSpaceDN/>
              <w:jc w:val="center"/>
              <w:rPr>
                <w:rFonts w:eastAsia="Times New Roman" w:cs="Calibri"/>
                <w:b/>
                <w:bCs/>
                <w:color w:val="000000"/>
              </w:rPr>
            </w:pPr>
            <w:r w:rsidRPr="0007218F">
              <w:rPr>
                <w:rFonts w:eastAsia="Times New Roman" w:cs="Calibri"/>
                <w:b/>
                <w:bCs/>
                <w:color w:val="000000"/>
              </w:rPr>
              <w:t>Count</w:t>
            </w:r>
          </w:p>
        </w:tc>
        <w:tc>
          <w:tcPr>
            <w:tcW w:w="0" w:type="auto"/>
            <w:shd w:val="clear" w:color="000000" w:fill="F2F2F2"/>
            <w:vAlign w:val="center"/>
            <w:hideMark/>
          </w:tcPr>
          <w:p w14:paraId="0F2495F5" w14:textId="77777777" w:rsidR="00534FD2"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 xml:space="preserve">Medicaid </w:t>
            </w:r>
          </w:p>
          <w:p w14:paraId="226DCE6C" w14:textId="29169F88" w:rsidR="00C35AB8" w:rsidRPr="0007218F" w:rsidRDefault="00C35AB8" w:rsidP="00C35AB8">
            <w:pPr>
              <w:widowControl/>
              <w:autoSpaceDE/>
              <w:autoSpaceDN/>
              <w:jc w:val="center"/>
              <w:rPr>
                <w:rFonts w:eastAsia="Times New Roman" w:cs="Calibri"/>
                <w:b/>
                <w:bCs/>
                <w:color w:val="000000"/>
              </w:rPr>
            </w:pPr>
            <w:r>
              <w:rPr>
                <w:rFonts w:eastAsia="Times New Roman" w:cs="Calibri"/>
                <w:b/>
                <w:bCs/>
                <w:color w:val="000000"/>
              </w:rPr>
              <w:t>Percent of Total</w:t>
            </w:r>
          </w:p>
        </w:tc>
      </w:tr>
      <w:tr w:rsidR="0007218F" w:rsidRPr="0007218F" w14:paraId="7BEAC5BA" w14:textId="77777777" w:rsidTr="005F03DC">
        <w:trPr>
          <w:cantSplit/>
          <w:trHeight w:val="310"/>
        </w:trPr>
        <w:tc>
          <w:tcPr>
            <w:tcW w:w="0" w:type="auto"/>
            <w:vAlign w:val="center"/>
            <w:hideMark/>
          </w:tcPr>
          <w:p w14:paraId="0DAC3FAF" w14:textId="77777777" w:rsidR="0007218F" w:rsidRPr="0007218F" w:rsidRDefault="0007218F" w:rsidP="0007218F">
            <w:pPr>
              <w:widowControl/>
              <w:autoSpaceDE/>
              <w:autoSpaceDN/>
              <w:rPr>
                <w:rFonts w:eastAsia="Times New Roman" w:cs="Calibri"/>
                <w:b/>
                <w:bCs/>
                <w:color w:val="000000"/>
              </w:rPr>
            </w:pPr>
            <w:r w:rsidRPr="0007218F">
              <w:rPr>
                <w:rFonts w:eastAsia="Times New Roman" w:cs="Calibri"/>
                <w:b/>
                <w:bCs/>
                <w:color w:val="000000"/>
              </w:rPr>
              <w:t>ASC</w:t>
            </w:r>
          </w:p>
        </w:tc>
        <w:tc>
          <w:tcPr>
            <w:tcW w:w="0" w:type="auto"/>
            <w:vAlign w:val="center"/>
            <w:hideMark/>
          </w:tcPr>
          <w:p w14:paraId="2413D11A"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0-10</w:t>
            </w:r>
          </w:p>
        </w:tc>
        <w:tc>
          <w:tcPr>
            <w:tcW w:w="0" w:type="auto"/>
            <w:vAlign w:val="center"/>
            <w:hideMark/>
          </w:tcPr>
          <w:p w14:paraId="27499296"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5,027</w:t>
            </w:r>
          </w:p>
        </w:tc>
        <w:tc>
          <w:tcPr>
            <w:tcW w:w="0" w:type="auto"/>
            <w:vAlign w:val="center"/>
            <w:hideMark/>
          </w:tcPr>
          <w:p w14:paraId="4C894A8D"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8.29%</w:t>
            </w:r>
          </w:p>
        </w:tc>
        <w:tc>
          <w:tcPr>
            <w:tcW w:w="0" w:type="auto"/>
            <w:vAlign w:val="center"/>
            <w:hideMark/>
          </w:tcPr>
          <w:p w14:paraId="49FDD6B1"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244</w:t>
            </w:r>
          </w:p>
        </w:tc>
        <w:tc>
          <w:tcPr>
            <w:tcW w:w="0" w:type="auto"/>
            <w:vAlign w:val="center"/>
            <w:hideMark/>
          </w:tcPr>
          <w:p w14:paraId="2A222B7B"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0.49%</w:t>
            </w:r>
          </w:p>
        </w:tc>
      </w:tr>
      <w:tr w:rsidR="0007218F" w:rsidRPr="0007218F" w14:paraId="4D10FB5A" w14:textId="77777777" w:rsidTr="005F03DC">
        <w:trPr>
          <w:cantSplit/>
          <w:trHeight w:val="310"/>
        </w:trPr>
        <w:tc>
          <w:tcPr>
            <w:tcW w:w="0" w:type="auto"/>
            <w:vAlign w:val="center"/>
            <w:hideMark/>
          </w:tcPr>
          <w:p w14:paraId="78B06BAD" w14:textId="0370686E" w:rsidR="0007218F" w:rsidRPr="0007218F" w:rsidRDefault="0007218F" w:rsidP="0007218F">
            <w:pPr>
              <w:widowControl/>
              <w:autoSpaceDE/>
              <w:autoSpaceDN/>
              <w:rPr>
                <w:rFonts w:eastAsia="Times New Roman" w:cs="Calibri"/>
                <w:b/>
                <w:bCs/>
                <w:color w:val="000000"/>
              </w:rPr>
            </w:pPr>
            <w:r w:rsidRPr="0007218F">
              <w:rPr>
                <w:rFonts w:eastAsia="Times New Roman" w:cs="Calibri"/>
                <w:b/>
                <w:bCs/>
                <w:color w:val="000000"/>
              </w:rPr>
              <w:t> </w:t>
            </w:r>
            <w:r w:rsidR="00534FD2" w:rsidRPr="0007218F">
              <w:rPr>
                <w:rFonts w:eastAsia="Times New Roman" w:cs="Calibri"/>
                <w:b/>
                <w:bCs/>
                <w:color w:val="000000"/>
              </w:rPr>
              <w:t>ASC</w:t>
            </w:r>
          </w:p>
        </w:tc>
        <w:tc>
          <w:tcPr>
            <w:tcW w:w="0" w:type="auto"/>
            <w:vAlign w:val="center"/>
            <w:hideMark/>
          </w:tcPr>
          <w:p w14:paraId="231FB679"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11-21</w:t>
            </w:r>
          </w:p>
        </w:tc>
        <w:tc>
          <w:tcPr>
            <w:tcW w:w="0" w:type="auto"/>
            <w:vAlign w:val="center"/>
            <w:hideMark/>
          </w:tcPr>
          <w:p w14:paraId="12A805B8"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361</w:t>
            </w:r>
          </w:p>
        </w:tc>
        <w:tc>
          <w:tcPr>
            <w:tcW w:w="0" w:type="auto"/>
            <w:vAlign w:val="center"/>
            <w:hideMark/>
          </w:tcPr>
          <w:p w14:paraId="52F01B71"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0.60%</w:t>
            </w:r>
          </w:p>
        </w:tc>
        <w:tc>
          <w:tcPr>
            <w:tcW w:w="0" w:type="auto"/>
            <w:vAlign w:val="center"/>
            <w:hideMark/>
          </w:tcPr>
          <w:p w14:paraId="60598F59"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16</w:t>
            </w:r>
          </w:p>
        </w:tc>
        <w:tc>
          <w:tcPr>
            <w:tcW w:w="0" w:type="auto"/>
            <w:vAlign w:val="center"/>
            <w:hideMark/>
          </w:tcPr>
          <w:p w14:paraId="66DD263E"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0.03%</w:t>
            </w:r>
          </w:p>
        </w:tc>
      </w:tr>
      <w:tr w:rsidR="0007218F" w:rsidRPr="0007218F" w14:paraId="29F7D0E2" w14:textId="77777777" w:rsidTr="005F03DC">
        <w:trPr>
          <w:cantSplit/>
          <w:trHeight w:val="310"/>
        </w:trPr>
        <w:tc>
          <w:tcPr>
            <w:tcW w:w="0" w:type="auto"/>
            <w:vAlign w:val="center"/>
            <w:hideMark/>
          </w:tcPr>
          <w:p w14:paraId="1F879BF1" w14:textId="0A62FDBC" w:rsidR="0007218F" w:rsidRPr="0007218F" w:rsidRDefault="0007218F" w:rsidP="0007218F">
            <w:pPr>
              <w:widowControl/>
              <w:autoSpaceDE/>
              <w:autoSpaceDN/>
              <w:rPr>
                <w:rFonts w:eastAsia="Times New Roman" w:cs="Calibri"/>
                <w:b/>
                <w:bCs/>
                <w:color w:val="000000"/>
              </w:rPr>
            </w:pPr>
            <w:r w:rsidRPr="0007218F">
              <w:rPr>
                <w:rFonts w:eastAsia="Times New Roman" w:cs="Calibri"/>
                <w:b/>
                <w:bCs/>
                <w:color w:val="000000"/>
              </w:rPr>
              <w:t> </w:t>
            </w:r>
            <w:r w:rsidR="00534FD2" w:rsidRPr="0007218F">
              <w:rPr>
                <w:rFonts w:eastAsia="Times New Roman" w:cs="Calibri"/>
                <w:b/>
                <w:bCs/>
                <w:color w:val="000000"/>
              </w:rPr>
              <w:t>ASC</w:t>
            </w:r>
          </w:p>
        </w:tc>
        <w:tc>
          <w:tcPr>
            <w:tcW w:w="0" w:type="auto"/>
            <w:vAlign w:val="center"/>
            <w:hideMark/>
          </w:tcPr>
          <w:p w14:paraId="307623C6"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Total</w:t>
            </w:r>
          </w:p>
        </w:tc>
        <w:tc>
          <w:tcPr>
            <w:tcW w:w="0" w:type="auto"/>
            <w:vAlign w:val="center"/>
            <w:hideMark/>
          </w:tcPr>
          <w:p w14:paraId="3F4737C0"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5,388</w:t>
            </w:r>
          </w:p>
        </w:tc>
        <w:tc>
          <w:tcPr>
            <w:tcW w:w="0" w:type="auto"/>
            <w:vAlign w:val="center"/>
            <w:hideMark/>
          </w:tcPr>
          <w:p w14:paraId="2A328BE8"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8.89%</w:t>
            </w:r>
          </w:p>
        </w:tc>
        <w:tc>
          <w:tcPr>
            <w:tcW w:w="0" w:type="auto"/>
            <w:vAlign w:val="center"/>
            <w:hideMark/>
          </w:tcPr>
          <w:p w14:paraId="702DFDDF"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260</w:t>
            </w:r>
          </w:p>
        </w:tc>
        <w:tc>
          <w:tcPr>
            <w:tcW w:w="0" w:type="auto"/>
            <w:vAlign w:val="center"/>
            <w:hideMark/>
          </w:tcPr>
          <w:p w14:paraId="2F7155DD"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0.52%</w:t>
            </w:r>
          </w:p>
        </w:tc>
      </w:tr>
      <w:tr w:rsidR="0007218F" w:rsidRPr="0007218F" w14:paraId="1EA1B8A2" w14:textId="77777777" w:rsidTr="005F03DC">
        <w:trPr>
          <w:cantSplit/>
          <w:trHeight w:val="310"/>
        </w:trPr>
        <w:tc>
          <w:tcPr>
            <w:tcW w:w="0" w:type="auto"/>
            <w:vAlign w:val="center"/>
            <w:hideMark/>
          </w:tcPr>
          <w:p w14:paraId="23154086" w14:textId="77777777" w:rsidR="0007218F" w:rsidRPr="0007218F" w:rsidRDefault="0007218F" w:rsidP="0007218F">
            <w:pPr>
              <w:widowControl/>
              <w:autoSpaceDE/>
              <w:autoSpaceDN/>
              <w:rPr>
                <w:rFonts w:eastAsia="Times New Roman" w:cs="Calibri"/>
                <w:b/>
                <w:bCs/>
                <w:color w:val="000000"/>
              </w:rPr>
            </w:pPr>
            <w:r w:rsidRPr="0007218F">
              <w:rPr>
                <w:rFonts w:eastAsia="Times New Roman" w:cs="Calibri"/>
                <w:b/>
                <w:bCs/>
                <w:color w:val="000000"/>
              </w:rPr>
              <w:t>HOPD</w:t>
            </w:r>
          </w:p>
        </w:tc>
        <w:tc>
          <w:tcPr>
            <w:tcW w:w="0" w:type="auto"/>
            <w:vAlign w:val="center"/>
            <w:hideMark/>
          </w:tcPr>
          <w:p w14:paraId="01592708"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0-10</w:t>
            </w:r>
          </w:p>
        </w:tc>
        <w:tc>
          <w:tcPr>
            <w:tcW w:w="0" w:type="auto"/>
            <w:vAlign w:val="center"/>
            <w:hideMark/>
          </w:tcPr>
          <w:p w14:paraId="543B02EC"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11,139</w:t>
            </w:r>
          </w:p>
        </w:tc>
        <w:tc>
          <w:tcPr>
            <w:tcW w:w="0" w:type="auto"/>
            <w:vAlign w:val="center"/>
            <w:hideMark/>
          </w:tcPr>
          <w:p w14:paraId="76EBE73B"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18.38%</w:t>
            </w:r>
          </w:p>
        </w:tc>
        <w:tc>
          <w:tcPr>
            <w:tcW w:w="0" w:type="auto"/>
            <w:vAlign w:val="center"/>
            <w:hideMark/>
          </w:tcPr>
          <w:p w14:paraId="5312C362"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25,156</w:t>
            </w:r>
          </w:p>
        </w:tc>
        <w:tc>
          <w:tcPr>
            <w:tcW w:w="0" w:type="auto"/>
            <w:vAlign w:val="center"/>
            <w:hideMark/>
          </w:tcPr>
          <w:p w14:paraId="11DE77AC"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50.14%</w:t>
            </w:r>
          </w:p>
        </w:tc>
      </w:tr>
      <w:tr w:rsidR="00534FD2" w:rsidRPr="0007218F" w14:paraId="030C08D2" w14:textId="77777777" w:rsidTr="005F03DC">
        <w:trPr>
          <w:cantSplit/>
          <w:trHeight w:val="310"/>
        </w:trPr>
        <w:tc>
          <w:tcPr>
            <w:tcW w:w="0" w:type="auto"/>
            <w:hideMark/>
          </w:tcPr>
          <w:p w14:paraId="3D34ECB4" w14:textId="188F7DFE" w:rsidR="00534FD2" w:rsidRPr="0007218F" w:rsidRDefault="00534FD2" w:rsidP="00534FD2">
            <w:pPr>
              <w:widowControl/>
              <w:autoSpaceDE/>
              <w:autoSpaceDN/>
              <w:rPr>
                <w:rFonts w:eastAsia="Times New Roman" w:cs="Calibri"/>
                <w:b/>
                <w:bCs/>
                <w:color w:val="000000"/>
              </w:rPr>
            </w:pPr>
            <w:r w:rsidRPr="005B76E0">
              <w:rPr>
                <w:rFonts w:eastAsia="Times New Roman" w:cs="Calibri"/>
                <w:b/>
                <w:bCs/>
                <w:color w:val="000000"/>
              </w:rPr>
              <w:t>HOPD</w:t>
            </w:r>
          </w:p>
        </w:tc>
        <w:tc>
          <w:tcPr>
            <w:tcW w:w="0" w:type="auto"/>
            <w:vAlign w:val="center"/>
            <w:hideMark/>
          </w:tcPr>
          <w:p w14:paraId="326984AA"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11-21</w:t>
            </w:r>
          </w:p>
        </w:tc>
        <w:tc>
          <w:tcPr>
            <w:tcW w:w="0" w:type="auto"/>
            <w:vAlign w:val="center"/>
            <w:hideMark/>
          </w:tcPr>
          <w:p w14:paraId="15134E58"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3,391</w:t>
            </w:r>
          </w:p>
        </w:tc>
        <w:tc>
          <w:tcPr>
            <w:tcW w:w="0" w:type="auto"/>
            <w:vAlign w:val="center"/>
            <w:hideMark/>
          </w:tcPr>
          <w:p w14:paraId="20B13E9E"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5.59%</w:t>
            </w:r>
          </w:p>
        </w:tc>
        <w:tc>
          <w:tcPr>
            <w:tcW w:w="0" w:type="auto"/>
            <w:vAlign w:val="center"/>
            <w:hideMark/>
          </w:tcPr>
          <w:p w14:paraId="4ABBF329"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5,197</w:t>
            </w:r>
          </w:p>
        </w:tc>
        <w:tc>
          <w:tcPr>
            <w:tcW w:w="0" w:type="auto"/>
            <w:vAlign w:val="center"/>
            <w:hideMark/>
          </w:tcPr>
          <w:p w14:paraId="276C5BD7"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10.36%</w:t>
            </w:r>
          </w:p>
        </w:tc>
      </w:tr>
      <w:tr w:rsidR="00534FD2" w:rsidRPr="0007218F" w14:paraId="1C47342C" w14:textId="77777777" w:rsidTr="005F03DC">
        <w:trPr>
          <w:cantSplit/>
          <w:trHeight w:val="310"/>
        </w:trPr>
        <w:tc>
          <w:tcPr>
            <w:tcW w:w="0" w:type="auto"/>
            <w:hideMark/>
          </w:tcPr>
          <w:p w14:paraId="7FBB1F3A" w14:textId="021C80CE" w:rsidR="00534FD2" w:rsidRPr="0007218F" w:rsidRDefault="00534FD2" w:rsidP="00534FD2">
            <w:pPr>
              <w:widowControl/>
              <w:autoSpaceDE/>
              <w:autoSpaceDN/>
              <w:rPr>
                <w:rFonts w:eastAsia="Times New Roman" w:cs="Calibri"/>
                <w:b/>
                <w:bCs/>
                <w:color w:val="000000"/>
              </w:rPr>
            </w:pPr>
            <w:r w:rsidRPr="005B76E0">
              <w:rPr>
                <w:rFonts w:eastAsia="Times New Roman" w:cs="Calibri"/>
                <w:b/>
                <w:bCs/>
                <w:color w:val="000000"/>
              </w:rPr>
              <w:t>HOPD</w:t>
            </w:r>
          </w:p>
        </w:tc>
        <w:tc>
          <w:tcPr>
            <w:tcW w:w="0" w:type="auto"/>
            <w:vAlign w:val="center"/>
            <w:hideMark/>
          </w:tcPr>
          <w:p w14:paraId="48A9E417"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Total</w:t>
            </w:r>
          </w:p>
        </w:tc>
        <w:tc>
          <w:tcPr>
            <w:tcW w:w="0" w:type="auto"/>
            <w:vAlign w:val="center"/>
            <w:hideMark/>
          </w:tcPr>
          <w:p w14:paraId="38A0260A"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14,530</w:t>
            </w:r>
          </w:p>
        </w:tc>
        <w:tc>
          <w:tcPr>
            <w:tcW w:w="0" w:type="auto"/>
            <w:vAlign w:val="center"/>
            <w:hideMark/>
          </w:tcPr>
          <w:p w14:paraId="72E025BF"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23.97%</w:t>
            </w:r>
          </w:p>
        </w:tc>
        <w:tc>
          <w:tcPr>
            <w:tcW w:w="0" w:type="auto"/>
            <w:vAlign w:val="center"/>
            <w:hideMark/>
          </w:tcPr>
          <w:p w14:paraId="1C15019B"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30,353</w:t>
            </w:r>
          </w:p>
        </w:tc>
        <w:tc>
          <w:tcPr>
            <w:tcW w:w="0" w:type="auto"/>
            <w:vAlign w:val="center"/>
            <w:hideMark/>
          </w:tcPr>
          <w:p w14:paraId="6CEB5C77"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60.50%</w:t>
            </w:r>
          </w:p>
        </w:tc>
      </w:tr>
      <w:tr w:rsidR="0007218F" w:rsidRPr="0007218F" w14:paraId="450E6C2B" w14:textId="77777777" w:rsidTr="005F03DC">
        <w:trPr>
          <w:cantSplit/>
          <w:trHeight w:val="310"/>
        </w:trPr>
        <w:tc>
          <w:tcPr>
            <w:tcW w:w="0" w:type="auto"/>
            <w:vAlign w:val="center"/>
            <w:hideMark/>
          </w:tcPr>
          <w:p w14:paraId="72A94809" w14:textId="77777777" w:rsidR="0007218F" w:rsidRPr="0007218F" w:rsidRDefault="0007218F" w:rsidP="0007218F">
            <w:pPr>
              <w:widowControl/>
              <w:autoSpaceDE/>
              <w:autoSpaceDN/>
              <w:rPr>
                <w:rFonts w:eastAsia="Times New Roman" w:cs="Calibri"/>
                <w:b/>
                <w:bCs/>
                <w:color w:val="000000"/>
              </w:rPr>
            </w:pPr>
            <w:r w:rsidRPr="0007218F">
              <w:rPr>
                <w:rFonts w:eastAsia="Times New Roman" w:cs="Calibri"/>
                <w:b/>
                <w:bCs/>
                <w:color w:val="000000"/>
              </w:rPr>
              <w:t>Office</w:t>
            </w:r>
          </w:p>
        </w:tc>
        <w:tc>
          <w:tcPr>
            <w:tcW w:w="0" w:type="auto"/>
            <w:vAlign w:val="center"/>
            <w:hideMark/>
          </w:tcPr>
          <w:p w14:paraId="633D691E"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0-10</w:t>
            </w:r>
          </w:p>
        </w:tc>
        <w:tc>
          <w:tcPr>
            <w:tcW w:w="0" w:type="auto"/>
            <w:vAlign w:val="center"/>
            <w:hideMark/>
          </w:tcPr>
          <w:p w14:paraId="45F69ACF"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11,669</w:t>
            </w:r>
          </w:p>
        </w:tc>
        <w:tc>
          <w:tcPr>
            <w:tcW w:w="0" w:type="auto"/>
            <w:vAlign w:val="center"/>
            <w:hideMark/>
          </w:tcPr>
          <w:p w14:paraId="209DDB28"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19.25%</w:t>
            </w:r>
          </w:p>
        </w:tc>
        <w:tc>
          <w:tcPr>
            <w:tcW w:w="0" w:type="auto"/>
            <w:vAlign w:val="center"/>
            <w:hideMark/>
          </w:tcPr>
          <w:p w14:paraId="62ED4CD8"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5,608</w:t>
            </w:r>
          </w:p>
        </w:tc>
        <w:tc>
          <w:tcPr>
            <w:tcW w:w="0" w:type="auto"/>
            <w:vAlign w:val="center"/>
            <w:hideMark/>
          </w:tcPr>
          <w:p w14:paraId="44A9E6F7" w14:textId="77777777" w:rsidR="0007218F" w:rsidRPr="0007218F" w:rsidRDefault="0007218F" w:rsidP="0007218F">
            <w:pPr>
              <w:widowControl/>
              <w:autoSpaceDE/>
              <w:autoSpaceDN/>
              <w:jc w:val="center"/>
              <w:rPr>
                <w:rFonts w:eastAsia="Times New Roman" w:cs="Calibri"/>
                <w:color w:val="000000"/>
              </w:rPr>
            </w:pPr>
            <w:r w:rsidRPr="0007218F">
              <w:rPr>
                <w:rFonts w:eastAsia="Times New Roman" w:cs="Calibri"/>
                <w:color w:val="000000"/>
              </w:rPr>
              <w:t>11.18%</w:t>
            </w:r>
          </w:p>
        </w:tc>
      </w:tr>
      <w:tr w:rsidR="00534FD2" w:rsidRPr="0007218F" w14:paraId="7AD43581" w14:textId="77777777" w:rsidTr="005F03DC">
        <w:trPr>
          <w:cantSplit/>
          <w:trHeight w:val="310"/>
        </w:trPr>
        <w:tc>
          <w:tcPr>
            <w:tcW w:w="0" w:type="auto"/>
            <w:hideMark/>
          </w:tcPr>
          <w:p w14:paraId="555890AD" w14:textId="52C1ABC3" w:rsidR="00534FD2" w:rsidRPr="0007218F" w:rsidRDefault="00534FD2" w:rsidP="00534FD2">
            <w:pPr>
              <w:widowControl/>
              <w:autoSpaceDE/>
              <w:autoSpaceDN/>
              <w:rPr>
                <w:rFonts w:eastAsia="Times New Roman" w:cs="Calibri"/>
                <w:b/>
                <w:bCs/>
                <w:color w:val="000000"/>
              </w:rPr>
            </w:pPr>
            <w:r w:rsidRPr="004C7822">
              <w:rPr>
                <w:rFonts w:eastAsia="Times New Roman" w:cs="Calibri"/>
                <w:b/>
                <w:bCs/>
                <w:color w:val="000000"/>
              </w:rPr>
              <w:t>Office</w:t>
            </w:r>
          </w:p>
        </w:tc>
        <w:tc>
          <w:tcPr>
            <w:tcW w:w="0" w:type="auto"/>
            <w:vAlign w:val="center"/>
            <w:hideMark/>
          </w:tcPr>
          <w:p w14:paraId="41B31BA2"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11-21</w:t>
            </w:r>
          </w:p>
        </w:tc>
        <w:tc>
          <w:tcPr>
            <w:tcW w:w="0" w:type="auto"/>
            <w:vAlign w:val="center"/>
            <w:hideMark/>
          </w:tcPr>
          <w:p w14:paraId="0F37E714"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29,029</w:t>
            </w:r>
          </w:p>
        </w:tc>
        <w:tc>
          <w:tcPr>
            <w:tcW w:w="0" w:type="auto"/>
            <w:vAlign w:val="center"/>
            <w:hideMark/>
          </w:tcPr>
          <w:p w14:paraId="6EA899D8"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47.89%</w:t>
            </w:r>
          </w:p>
        </w:tc>
        <w:tc>
          <w:tcPr>
            <w:tcW w:w="0" w:type="auto"/>
            <w:vAlign w:val="center"/>
            <w:hideMark/>
          </w:tcPr>
          <w:p w14:paraId="5522DA6B"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13,951</w:t>
            </w:r>
          </w:p>
        </w:tc>
        <w:tc>
          <w:tcPr>
            <w:tcW w:w="0" w:type="auto"/>
            <w:vAlign w:val="center"/>
            <w:hideMark/>
          </w:tcPr>
          <w:p w14:paraId="35222AE4" w14:textId="77777777" w:rsidR="00534FD2" w:rsidRPr="0007218F" w:rsidRDefault="00534FD2" w:rsidP="00534FD2">
            <w:pPr>
              <w:widowControl/>
              <w:autoSpaceDE/>
              <w:autoSpaceDN/>
              <w:jc w:val="center"/>
              <w:rPr>
                <w:rFonts w:eastAsia="Times New Roman" w:cs="Calibri"/>
                <w:color w:val="000000"/>
              </w:rPr>
            </w:pPr>
            <w:r w:rsidRPr="0007218F">
              <w:rPr>
                <w:rFonts w:eastAsia="Times New Roman" w:cs="Calibri"/>
                <w:color w:val="000000"/>
              </w:rPr>
              <w:t>27.81%</w:t>
            </w:r>
          </w:p>
        </w:tc>
      </w:tr>
      <w:tr w:rsidR="00534FD2" w:rsidRPr="0007218F" w14:paraId="4B0951F3" w14:textId="77777777" w:rsidTr="005F03DC">
        <w:trPr>
          <w:cantSplit/>
          <w:trHeight w:val="310"/>
        </w:trPr>
        <w:tc>
          <w:tcPr>
            <w:tcW w:w="0" w:type="auto"/>
            <w:hideMark/>
          </w:tcPr>
          <w:p w14:paraId="3A159D69" w14:textId="45FBC8C2" w:rsidR="00534FD2" w:rsidRPr="0007218F" w:rsidRDefault="00534FD2" w:rsidP="00534FD2">
            <w:pPr>
              <w:widowControl/>
              <w:autoSpaceDE/>
              <w:autoSpaceDN/>
              <w:rPr>
                <w:rFonts w:eastAsia="Times New Roman" w:cs="Calibri"/>
                <w:b/>
                <w:bCs/>
                <w:color w:val="000000"/>
              </w:rPr>
            </w:pPr>
            <w:r w:rsidRPr="004C7822">
              <w:rPr>
                <w:rFonts w:eastAsia="Times New Roman" w:cs="Calibri"/>
                <w:b/>
                <w:bCs/>
                <w:color w:val="000000"/>
              </w:rPr>
              <w:t>Office</w:t>
            </w:r>
          </w:p>
        </w:tc>
        <w:tc>
          <w:tcPr>
            <w:tcW w:w="0" w:type="auto"/>
            <w:vAlign w:val="center"/>
            <w:hideMark/>
          </w:tcPr>
          <w:p w14:paraId="6A448F3F"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Total</w:t>
            </w:r>
          </w:p>
        </w:tc>
        <w:tc>
          <w:tcPr>
            <w:tcW w:w="0" w:type="auto"/>
            <w:vAlign w:val="center"/>
            <w:hideMark/>
          </w:tcPr>
          <w:p w14:paraId="63385660"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40,698</w:t>
            </w:r>
          </w:p>
        </w:tc>
        <w:tc>
          <w:tcPr>
            <w:tcW w:w="0" w:type="auto"/>
            <w:vAlign w:val="center"/>
            <w:hideMark/>
          </w:tcPr>
          <w:p w14:paraId="03568FB3"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67.14%</w:t>
            </w:r>
          </w:p>
        </w:tc>
        <w:tc>
          <w:tcPr>
            <w:tcW w:w="0" w:type="auto"/>
            <w:vAlign w:val="center"/>
            <w:hideMark/>
          </w:tcPr>
          <w:p w14:paraId="2AD36BF1"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19,559</w:t>
            </w:r>
          </w:p>
        </w:tc>
        <w:tc>
          <w:tcPr>
            <w:tcW w:w="0" w:type="auto"/>
            <w:vAlign w:val="center"/>
            <w:hideMark/>
          </w:tcPr>
          <w:p w14:paraId="0BE0D2F2" w14:textId="77777777" w:rsidR="00534FD2" w:rsidRPr="0007218F" w:rsidRDefault="00534FD2" w:rsidP="00534FD2">
            <w:pPr>
              <w:widowControl/>
              <w:autoSpaceDE/>
              <w:autoSpaceDN/>
              <w:jc w:val="center"/>
              <w:rPr>
                <w:rFonts w:eastAsia="Times New Roman" w:cs="Calibri"/>
                <w:b/>
                <w:bCs/>
                <w:color w:val="000000"/>
              </w:rPr>
            </w:pPr>
            <w:r w:rsidRPr="0007218F">
              <w:rPr>
                <w:rFonts w:eastAsia="Times New Roman" w:cs="Calibri"/>
                <w:b/>
                <w:bCs/>
                <w:color w:val="000000"/>
              </w:rPr>
              <w:t>38.98%</w:t>
            </w:r>
          </w:p>
        </w:tc>
      </w:tr>
      <w:tr w:rsidR="0007218F" w:rsidRPr="0007218F" w14:paraId="5F68AEC3" w14:textId="77777777" w:rsidTr="005F03DC">
        <w:trPr>
          <w:cantSplit/>
          <w:trHeight w:val="50"/>
        </w:trPr>
        <w:tc>
          <w:tcPr>
            <w:tcW w:w="0" w:type="auto"/>
            <w:vAlign w:val="center"/>
            <w:hideMark/>
          </w:tcPr>
          <w:p w14:paraId="3F99AE6B" w14:textId="77777777" w:rsidR="0007218F" w:rsidRPr="0007218F" w:rsidRDefault="0007218F" w:rsidP="0007218F">
            <w:pPr>
              <w:widowControl/>
              <w:autoSpaceDE/>
              <w:autoSpaceDN/>
              <w:rPr>
                <w:rFonts w:eastAsia="Times New Roman" w:cs="Calibri"/>
                <w:b/>
                <w:bCs/>
                <w:color w:val="000000"/>
              </w:rPr>
            </w:pPr>
            <w:r w:rsidRPr="0007218F">
              <w:rPr>
                <w:rFonts w:eastAsia="Times New Roman" w:cs="Calibri"/>
                <w:b/>
                <w:bCs/>
                <w:color w:val="000000"/>
              </w:rPr>
              <w:t>Grand Total</w:t>
            </w:r>
          </w:p>
        </w:tc>
        <w:tc>
          <w:tcPr>
            <w:tcW w:w="0" w:type="auto"/>
            <w:vAlign w:val="center"/>
            <w:hideMark/>
          </w:tcPr>
          <w:p w14:paraId="05C5223B"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0-21</w:t>
            </w:r>
          </w:p>
        </w:tc>
        <w:tc>
          <w:tcPr>
            <w:tcW w:w="0" w:type="auto"/>
            <w:vAlign w:val="center"/>
            <w:hideMark/>
          </w:tcPr>
          <w:p w14:paraId="76BEDF5D"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60,616</w:t>
            </w:r>
          </w:p>
        </w:tc>
        <w:tc>
          <w:tcPr>
            <w:tcW w:w="0" w:type="auto"/>
            <w:vAlign w:val="center"/>
            <w:hideMark/>
          </w:tcPr>
          <w:p w14:paraId="138BD9E4"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100.00%</w:t>
            </w:r>
          </w:p>
        </w:tc>
        <w:tc>
          <w:tcPr>
            <w:tcW w:w="0" w:type="auto"/>
            <w:vAlign w:val="center"/>
            <w:hideMark/>
          </w:tcPr>
          <w:p w14:paraId="7732B0E7"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50,172</w:t>
            </w:r>
          </w:p>
        </w:tc>
        <w:tc>
          <w:tcPr>
            <w:tcW w:w="0" w:type="auto"/>
            <w:vAlign w:val="center"/>
            <w:hideMark/>
          </w:tcPr>
          <w:p w14:paraId="6EB98D25" w14:textId="77777777" w:rsidR="0007218F" w:rsidRPr="0007218F" w:rsidRDefault="0007218F" w:rsidP="0007218F">
            <w:pPr>
              <w:widowControl/>
              <w:autoSpaceDE/>
              <w:autoSpaceDN/>
              <w:jc w:val="center"/>
              <w:rPr>
                <w:rFonts w:eastAsia="Times New Roman" w:cs="Calibri"/>
                <w:b/>
                <w:bCs/>
                <w:color w:val="000000"/>
              </w:rPr>
            </w:pPr>
            <w:r w:rsidRPr="0007218F">
              <w:rPr>
                <w:rFonts w:eastAsia="Times New Roman" w:cs="Calibri"/>
                <w:b/>
                <w:bCs/>
                <w:color w:val="000000"/>
              </w:rPr>
              <w:t>100.00%</w:t>
            </w:r>
          </w:p>
        </w:tc>
      </w:tr>
    </w:tbl>
    <w:p w14:paraId="36499B14" w14:textId="77777777" w:rsidR="00F05832" w:rsidRDefault="00F05832" w:rsidP="00283665"/>
    <w:p w14:paraId="709FAFF3" w14:textId="0E7E9A86" w:rsidR="008F5DE6" w:rsidRDefault="004B55A2" w:rsidP="00283665">
      <w:r>
        <w:t xml:space="preserve">The data show that the majority of MassHealth beneficiaries </w:t>
      </w:r>
      <w:r w:rsidR="00DE0BAF">
        <w:t xml:space="preserve">age </w:t>
      </w:r>
      <w:r>
        <w:t xml:space="preserve">21 </w:t>
      </w:r>
      <w:r w:rsidR="00DD443F">
        <w:t xml:space="preserve">and under </w:t>
      </w:r>
      <w:r>
        <w:t xml:space="preserve">in the Applicant’s PSA, are receiving their care in an HOPD, with the majority of these under 21 patients being aged 0 to 10. </w:t>
      </w:r>
    </w:p>
    <w:p w14:paraId="66333B82" w14:textId="77777777" w:rsidR="00C46C31" w:rsidRDefault="00C46C31" w:rsidP="00283665"/>
    <w:p w14:paraId="48E17468" w14:textId="253465A9" w:rsidR="00437F43" w:rsidRDefault="00C46C31" w:rsidP="00283665">
      <w:r w:rsidRPr="00C46C31">
        <w:t xml:space="preserve">Table </w:t>
      </w:r>
      <w:r w:rsidR="00C567E4">
        <w:t>6</w:t>
      </w:r>
      <w:r w:rsidRPr="00C46C31">
        <w:t xml:space="preserve"> </w:t>
      </w:r>
      <w:r w:rsidR="00386D76">
        <w:t>shows</w:t>
      </w:r>
      <w:r w:rsidRPr="00C46C31">
        <w:t xml:space="preserve"> </w:t>
      </w:r>
      <w:r w:rsidR="00386D76">
        <w:t xml:space="preserve">PSA utilization by </w:t>
      </w:r>
      <w:r w:rsidRPr="00C46C31">
        <w:t>Gender</w:t>
      </w:r>
      <w:r w:rsidR="00386D76">
        <w:t xml:space="preserve">, </w:t>
      </w:r>
      <w:r w:rsidRPr="00C46C31">
        <w:t>Care Setting and Payer</w:t>
      </w:r>
      <w:r w:rsidR="00386D76">
        <w:t xml:space="preserve">. </w:t>
      </w:r>
      <w:r w:rsidR="00437F43" w:rsidRPr="00437F43">
        <w:t>There were a higher percent</w:t>
      </w:r>
      <w:r w:rsidR="00E77CCA">
        <w:t>age</w:t>
      </w:r>
      <w:r w:rsidR="00437F43" w:rsidRPr="00437F43">
        <w:t xml:space="preserve"> of males </w:t>
      </w:r>
      <w:r w:rsidR="00437F43">
        <w:t>among</w:t>
      </w:r>
      <w:r w:rsidR="00437F43" w:rsidRPr="00437F43">
        <w:t xml:space="preserve"> </w:t>
      </w:r>
      <w:r w:rsidR="009079A2">
        <w:t>HOPD</w:t>
      </w:r>
      <w:r w:rsidR="00437F43" w:rsidRPr="00437F43">
        <w:t xml:space="preserve"> commercial cases, and </w:t>
      </w:r>
      <w:r w:rsidR="009079A2">
        <w:t>a higher percent</w:t>
      </w:r>
      <w:r w:rsidR="00E77CCA">
        <w:t>age</w:t>
      </w:r>
      <w:r w:rsidR="009079A2">
        <w:t xml:space="preserve"> of females among office-based commercial cases. </w:t>
      </w:r>
      <w:r w:rsidR="009079A2" w:rsidRPr="009079A2">
        <w:t xml:space="preserve">There were a higher percentage of males in </w:t>
      </w:r>
      <w:r w:rsidR="00377E75">
        <w:t>HOPD Medicaid cases</w:t>
      </w:r>
      <w:r w:rsidR="009079A2" w:rsidRPr="009079A2">
        <w:t xml:space="preserve">, and </w:t>
      </w:r>
      <w:r w:rsidR="00DB5F0C">
        <w:t xml:space="preserve">a </w:t>
      </w:r>
      <w:r w:rsidR="00377E75">
        <w:t>higher percentage of female</w:t>
      </w:r>
      <w:r w:rsidR="009A4DB6">
        <w:t xml:space="preserve">s </w:t>
      </w:r>
      <w:r w:rsidR="00377E75">
        <w:t>among office-based</w:t>
      </w:r>
      <w:r w:rsidR="009079A2" w:rsidRPr="009079A2">
        <w:t xml:space="preserve"> Medicaid cases.</w:t>
      </w:r>
    </w:p>
    <w:p w14:paraId="23E3B3AA" w14:textId="77777777" w:rsidR="008A2318" w:rsidRDefault="008A2318" w:rsidP="00283665"/>
    <w:p w14:paraId="7C08EB81" w14:textId="4AECC0F1" w:rsidR="008A2318" w:rsidRPr="002F07EC" w:rsidRDefault="008A2318" w:rsidP="00283665">
      <w:pPr>
        <w:rPr>
          <w:b/>
          <w:bCs/>
        </w:rPr>
      </w:pPr>
      <w:r w:rsidRPr="00112124">
        <w:rPr>
          <w:b/>
          <w:bCs/>
        </w:rPr>
        <w:t xml:space="preserve">Table </w:t>
      </w:r>
      <w:r w:rsidR="00C567E4" w:rsidRPr="00112124">
        <w:rPr>
          <w:b/>
          <w:bCs/>
        </w:rPr>
        <w:t>6</w:t>
      </w:r>
      <w:r w:rsidRPr="00112124">
        <w:rPr>
          <w:b/>
          <w:bCs/>
        </w:rPr>
        <w:t xml:space="preserve">: </w:t>
      </w:r>
      <w:r w:rsidR="00BE4D6A" w:rsidRPr="00112124">
        <w:rPr>
          <w:b/>
          <w:bCs/>
        </w:rPr>
        <w:t xml:space="preserve">PSA </w:t>
      </w:r>
      <w:r w:rsidR="00386D76" w:rsidRPr="00112124">
        <w:rPr>
          <w:b/>
          <w:bCs/>
        </w:rPr>
        <w:t xml:space="preserve">Utilization by </w:t>
      </w:r>
      <w:r w:rsidRPr="00112124">
        <w:rPr>
          <w:b/>
          <w:bCs/>
        </w:rPr>
        <w:t>Gender</w:t>
      </w:r>
      <w:r w:rsidR="00386D76" w:rsidRPr="00112124">
        <w:rPr>
          <w:b/>
          <w:bCs/>
        </w:rPr>
        <w:t>,</w:t>
      </w:r>
      <w:r w:rsidRPr="00112124">
        <w:rPr>
          <w:b/>
          <w:bCs/>
        </w:rPr>
        <w:t xml:space="preserve"> Care Setting and Payer</w:t>
      </w:r>
      <w:r w:rsidR="00CF6C52" w:rsidRPr="002F07EC">
        <w:rPr>
          <w:rStyle w:val="FootnoteReference"/>
          <w:b/>
          <w:bCs/>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SA Utilization by Gender, Care Setting and Payer"/>
      </w:tblPr>
      <w:tblGrid>
        <w:gridCol w:w="927"/>
        <w:gridCol w:w="1406"/>
        <w:gridCol w:w="1406"/>
        <w:gridCol w:w="1141"/>
        <w:gridCol w:w="1141"/>
      </w:tblGrid>
      <w:tr w:rsidR="002F07EC" w:rsidRPr="002F07EC" w14:paraId="31E8653B" w14:textId="77777777" w:rsidTr="005F03DC">
        <w:trPr>
          <w:cantSplit/>
          <w:trHeight w:val="310"/>
          <w:tblHeader/>
        </w:trPr>
        <w:tc>
          <w:tcPr>
            <w:tcW w:w="0" w:type="auto"/>
            <w:shd w:val="clear" w:color="auto" w:fill="F2F2F2" w:themeFill="background1" w:themeFillShade="F2"/>
            <w:noWrap/>
            <w:vAlign w:val="center"/>
          </w:tcPr>
          <w:p w14:paraId="08D55F7E" w14:textId="6CBF6B24" w:rsidR="002F07EC" w:rsidRPr="002F07EC" w:rsidRDefault="00112124" w:rsidP="002F07EC">
            <w:pPr>
              <w:widowControl/>
              <w:autoSpaceDE/>
              <w:autoSpaceDN/>
              <w:rPr>
                <w:rFonts w:eastAsia="Times New Roman" w:cs="Calibri"/>
                <w:b/>
                <w:bCs/>
                <w:color w:val="000000"/>
              </w:rPr>
            </w:pPr>
            <w:r>
              <w:rPr>
                <w:rFonts w:eastAsia="Times New Roman" w:cs="Calibri"/>
                <w:b/>
                <w:bCs/>
                <w:color w:val="000000"/>
              </w:rPr>
              <w:t>-</w:t>
            </w:r>
          </w:p>
        </w:tc>
        <w:tc>
          <w:tcPr>
            <w:tcW w:w="0" w:type="auto"/>
            <w:shd w:val="clear" w:color="auto" w:fill="F2F2F2" w:themeFill="background1" w:themeFillShade="F2"/>
            <w:noWrap/>
          </w:tcPr>
          <w:p w14:paraId="17371809" w14:textId="77777777" w:rsidR="00112124" w:rsidRDefault="00112124" w:rsidP="00BE4D6A">
            <w:pPr>
              <w:widowControl/>
              <w:autoSpaceDE/>
              <w:autoSpaceDN/>
              <w:jc w:val="center"/>
              <w:rPr>
                <w:b/>
                <w:bCs/>
              </w:rPr>
            </w:pPr>
            <w:r w:rsidRPr="002F07EC">
              <w:rPr>
                <w:rFonts w:eastAsia="Times New Roman" w:cs="Calibri"/>
                <w:b/>
                <w:bCs/>
                <w:color w:val="000000"/>
              </w:rPr>
              <w:t>Commercial</w:t>
            </w:r>
            <w:r w:rsidRPr="002F07EC">
              <w:rPr>
                <w:b/>
                <w:bCs/>
              </w:rPr>
              <w:t xml:space="preserve"> </w:t>
            </w:r>
          </w:p>
          <w:p w14:paraId="7CBD0A29" w14:textId="61ABCF28" w:rsidR="002F07EC" w:rsidRPr="002F07EC" w:rsidRDefault="002F07EC" w:rsidP="00BE4D6A">
            <w:pPr>
              <w:widowControl/>
              <w:autoSpaceDE/>
              <w:autoSpaceDN/>
              <w:jc w:val="center"/>
              <w:rPr>
                <w:rFonts w:eastAsia="Times New Roman" w:cs="Calibri"/>
                <w:b/>
                <w:bCs/>
                <w:color w:val="000000"/>
              </w:rPr>
            </w:pPr>
            <w:r w:rsidRPr="002F07EC">
              <w:rPr>
                <w:b/>
                <w:bCs/>
              </w:rPr>
              <w:t>HOPD</w:t>
            </w:r>
          </w:p>
        </w:tc>
        <w:tc>
          <w:tcPr>
            <w:tcW w:w="0" w:type="auto"/>
            <w:shd w:val="clear" w:color="auto" w:fill="F2F2F2" w:themeFill="background1" w:themeFillShade="F2"/>
            <w:noWrap/>
          </w:tcPr>
          <w:p w14:paraId="4BD09EB9" w14:textId="77777777" w:rsidR="00112124" w:rsidRDefault="00112124" w:rsidP="00112124">
            <w:pPr>
              <w:widowControl/>
              <w:autoSpaceDE/>
              <w:autoSpaceDN/>
              <w:jc w:val="center"/>
              <w:rPr>
                <w:b/>
                <w:bCs/>
              </w:rPr>
            </w:pPr>
            <w:r w:rsidRPr="002F07EC">
              <w:rPr>
                <w:rFonts w:eastAsia="Times New Roman" w:cs="Calibri"/>
                <w:b/>
                <w:bCs/>
                <w:color w:val="000000"/>
              </w:rPr>
              <w:t>Commercial</w:t>
            </w:r>
            <w:r w:rsidRPr="002F07EC">
              <w:rPr>
                <w:b/>
                <w:bCs/>
              </w:rPr>
              <w:t xml:space="preserve"> </w:t>
            </w:r>
          </w:p>
          <w:p w14:paraId="7B3BB93B" w14:textId="319B8889" w:rsidR="002F07EC" w:rsidRPr="002F07EC" w:rsidRDefault="002F07EC" w:rsidP="00BE4D6A">
            <w:pPr>
              <w:widowControl/>
              <w:autoSpaceDE/>
              <w:autoSpaceDN/>
              <w:jc w:val="center"/>
              <w:rPr>
                <w:rFonts w:eastAsia="Times New Roman" w:cs="Calibri"/>
                <w:b/>
                <w:bCs/>
                <w:color w:val="000000"/>
              </w:rPr>
            </w:pPr>
            <w:r w:rsidRPr="002F07EC">
              <w:rPr>
                <w:b/>
                <w:bCs/>
              </w:rPr>
              <w:t>Office</w:t>
            </w:r>
          </w:p>
        </w:tc>
        <w:tc>
          <w:tcPr>
            <w:tcW w:w="0" w:type="auto"/>
            <w:shd w:val="clear" w:color="auto" w:fill="F2F2F2" w:themeFill="background1" w:themeFillShade="F2"/>
            <w:noWrap/>
          </w:tcPr>
          <w:p w14:paraId="5A395417" w14:textId="77777777" w:rsidR="00112124" w:rsidRDefault="00112124" w:rsidP="00BE4D6A">
            <w:pPr>
              <w:widowControl/>
              <w:autoSpaceDE/>
              <w:autoSpaceDN/>
              <w:jc w:val="center"/>
              <w:rPr>
                <w:b/>
                <w:bCs/>
              </w:rPr>
            </w:pPr>
            <w:r w:rsidRPr="002F07EC">
              <w:rPr>
                <w:rFonts w:eastAsia="Times New Roman" w:cs="Calibri"/>
                <w:b/>
                <w:bCs/>
                <w:color w:val="000000"/>
              </w:rPr>
              <w:t>Medicaid</w:t>
            </w:r>
            <w:r w:rsidRPr="002F07EC">
              <w:rPr>
                <w:b/>
                <w:bCs/>
              </w:rPr>
              <w:t xml:space="preserve"> </w:t>
            </w:r>
          </w:p>
          <w:p w14:paraId="3D3E13D4" w14:textId="0EB53EDD" w:rsidR="002F07EC" w:rsidRPr="002F07EC" w:rsidRDefault="002F07EC" w:rsidP="00BE4D6A">
            <w:pPr>
              <w:widowControl/>
              <w:autoSpaceDE/>
              <w:autoSpaceDN/>
              <w:jc w:val="center"/>
              <w:rPr>
                <w:rFonts w:eastAsia="Times New Roman" w:cs="Calibri"/>
                <w:b/>
                <w:bCs/>
                <w:color w:val="000000"/>
              </w:rPr>
            </w:pPr>
            <w:r w:rsidRPr="002F07EC">
              <w:rPr>
                <w:b/>
                <w:bCs/>
              </w:rPr>
              <w:t>HOPD</w:t>
            </w:r>
          </w:p>
        </w:tc>
        <w:tc>
          <w:tcPr>
            <w:tcW w:w="0" w:type="auto"/>
            <w:shd w:val="clear" w:color="auto" w:fill="F2F2F2" w:themeFill="background1" w:themeFillShade="F2"/>
            <w:noWrap/>
          </w:tcPr>
          <w:p w14:paraId="401398E9" w14:textId="77777777" w:rsidR="005F03DC" w:rsidRDefault="005F03DC" w:rsidP="005F03DC">
            <w:pPr>
              <w:widowControl/>
              <w:autoSpaceDE/>
              <w:autoSpaceDN/>
              <w:jc w:val="center"/>
              <w:rPr>
                <w:b/>
                <w:bCs/>
              </w:rPr>
            </w:pPr>
            <w:r w:rsidRPr="002F07EC">
              <w:rPr>
                <w:rFonts w:eastAsia="Times New Roman" w:cs="Calibri"/>
                <w:b/>
                <w:bCs/>
                <w:color w:val="000000"/>
              </w:rPr>
              <w:t>Medicaid</w:t>
            </w:r>
            <w:r w:rsidRPr="002F07EC">
              <w:rPr>
                <w:b/>
                <w:bCs/>
              </w:rPr>
              <w:t xml:space="preserve"> </w:t>
            </w:r>
          </w:p>
          <w:p w14:paraId="118B8E8D" w14:textId="28783F9F" w:rsidR="002F07EC" w:rsidRPr="002F07EC" w:rsidRDefault="002F07EC" w:rsidP="00BE4D6A">
            <w:pPr>
              <w:widowControl/>
              <w:autoSpaceDE/>
              <w:autoSpaceDN/>
              <w:jc w:val="center"/>
              <w:rPr>
                <w:rFonts w:eastAsia="Times New Roman" w:cs="Calibri"/>
                <w:b/>
                <w:bCs/>
                <w:color w:val="000000"/>
              </w:rPr>
            </w:pPr>
            <w:r w:rsidRPr="002F07EC">
              <w:rPr>
                <w:b/>
                <w:bCs/>
              </w:rPr>
              <w:t>Office</w:t>
            </w:r>
          </w:p>
        </w:tc>
      </w:tr>
      <w:tr w:rsidR="008A2318" w:rsidRPr="002F07EC" w14:paraId="76998865" w14:textId="77777777" w:rsidTr="005F03DC">
        <w:trPr>
          <w:cantSplit/>
          <w:trHeight w:val="310"/>
        </w:trPr>
        <w:tc>
          <w:tcPr>
            <w:tcW w:w="0" w:type="auto"/>
            <w:noWrap/>
            <w:vAlign w:val="center"/>
            <w:hideMark/>
          </w:tcPr>
          <w:p w14:paraId="48C4F7B0" w14:textId="77777777" w:rsidR="008A2318" w:rsidRPr="002F07EC" w:rsidRDefault="008A2318" w:rsidP="008A2318">
            <w:pPr>
              <w:widowControl/>
              <w:autoSpaceDE/>
              <w:autoSpaceDN/>
              <w:rPr>
                <w:rFonts w:eastAsia="Times New Roman" w:cs="Calibri"/>
                <w:color w:val="000000"/>
              </w:rPr>
            </w:pPr>
            <w:r w:rsidRPr="002F07EC">
              <w:rPr>
                <w:rFonts w:eastAsia="Times New Roman" w:cs="Calibri"/>
                <w:color w:val="000000"/>
              </w:rPr>
              <w:t>Male</w:t>
            </w:r>
          </w:p>
        </w:tc>
        <w:tc>
          <w:tcPr>
            <w:tcW w:w="0" w:type="auto"/>
            <w:noWrap/>
            <w:vAlign w:val="center"/>
            <w:hideMark/>
          </w:tcPr>
          <w:p w14:paraId="475EEA8C"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54%</w:t>
            </w:r>
          </w:p>
        </w:tc>
        <w:tc>
          <w:tcPr>
            <w:tcW w:w="0" w:type="auto"/>
            <w:noWrap/>
            <w:vAlign w:val="center"/>
            <w:hideMark/>
          </w:tcPr>
          <w:p w14:paraId="1F58E9A8"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46%</w:t>
            </w:r>
          </w:p>
        </w:tc>
        <w:tc>
          <w:tcPr>
            <w:tcW w:w="0" w:type="auto"/>
            <w:noWrap/>
            <w:vAlign w:val="center"/>
            <w:hideMark/>
          </w:tcPr>
          <w:p w14:paraId="3108A1FB"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54%</w:t>
            </w:r>
          </w:p>
        </w:tc>
        <w:tc>
          <w:tcPr>
            <w:tcW w:w="0" w:type="auto"/>
            <w:noWrap/>
            <w:vAlign w:val="center"/>
            <w:hideMark/>
          </w:tcPr>
          <w:p w14:paraId="333AECC1"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47%</w:t>
            </w:r>
          </w:p>
        </w:tc>
      </w:tr>
      <w:tr w:rsidR="008A2318" w:rsidRPr="002F07EC" w14:paraId="4A6FD68F" w14:textId="77777777" w:rsidTr="005F03DC">
        <w:trPr>
          <w:cantSplit/>
          <w:trHeight w:val="310"/>
        </w:trPr>
        <w:tc>
          <w:tcPr>
            <w:tcW w:w="0" w:type="auto"/>
            <w:noWrap/>
            <w:vAlign w:val="center"/>
            <w:hideMark/>
          </w:tcPr>
          <w:p w14:paraId="7B127430" w14:textId="77777777" w:rsidR="008A2318" w:rsidRPr="002F07EC" w:rsidRDefault="008A2318" w:rsidP="008A2318">
            <w:pPr>
              <w:widowControl/>
              <w:autoSpaceDE/>
              <w:autoSpaceDN/>
              <w:rPr>
                <w:rFonts w:eastAsia="Times New Roman" w:cs="Calibri"/>
                <w:color w:val="000000"/>
              </w:rPr>
            </w:pPr>
            <w:r w:rsidRPr="002F07EC">
              <w:rPr>
                <w:rFonts w:eastAsia="Times New Roman" w:cs="Calibri"/>
                <w:color w:val="000000"/>
              </w:rPr>
              <w:t>Female</w:t>
            </w:r>
          </w:p>
        </w:tc>
        <w:tc>
          <w:tcPr>
            <w:tcW w:w="0" w:type="auto"/>
            <w:noWrap/>
            <w:vAlign w:val="center"/>
            <w:hideMark/>
          </w:tcPr>
          <w:p w14:paraId="0E004C0D"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46%</w:t>
            </w:r>
          </w:p>
        </w:tc>
        <w:tc>
          <w:tcPr>
            <w:tcW w:w="0" w:type="auto"/>
            <w:noWrap/>
            <w:vAlign w:val="center"/>
            <w:hideMark/>
          </w:tcPr>
          <w:p w14:paraId="3C7256E1"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54%</w:t>
            </w:r>
          </w:p>
        </w:tc>
        <w:tc>
          <w:tcPr>
            <w:tcW w:w="0" w:type="auto"/>
            <w:noWrap/>
            <w:vAlign w:val="center"/>
            <w:hideMark/>
          </w:tcPr>
          <w:p w14:paraId="097BCC82"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46%</w:t>
            </w:r>
          </w:p>
        </w:tc>
        <w:tc>
          <w:tcPr>
            <w:tcW w:w="0" w:type="auto"/>
            <w:noWrap/>
            <w:vAlign w:val="center"/>
            <w:hideMark/>
          </w:tcPr>
          <w:p w14:paraId="6D6157BD"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53%</w:t>
            </w:r>
          </w:p>
        </w:tc>
      </w:tr>
      <w:tr w:rsidR="008A2318" w:rsidRPr="002F07EC" w14:paraId="0BA062CC" w14:textId="77777777" w:rsidTr="005F03DC">
        <w:trPr>
          <w:cantSplit/>
          <w:trHeight w:val="310"/>
        </w:trPr>
        <w:tc>
          <w:tcPr>
            <w:tcW w:w="0" w:type="auto"/>
            <w:noWrap/>
            <w:vAlign w:val="bottom"/>
            <w:hideMark/>
          </w:tcPr>
          <w:p w14:paraId="3F87112D" w14:textId="77777777" w:rsidR="008A2318" w:rsidRPr="002F07EC" w:rsidRDefault="008A2318" w:rsidP="008A2318">
            <w:pPr>
              <w:widowControl/>
              <w:autoSpaceDE/>
              <w:autoSpaceDN/>
              <w:rPr>
                <w:rFonts w:eastAsia="Times New Roman" w:cs="Calibri"/>
                <w:b/>
                <w:bCs/>
                <w:color w:val="000000"/>
              </w:rPr>
            </w:pPr>
            <w:r w:rsidRPr="002F07EC">
              <w:rPr>
                <w:rFonts w:eastAsia="Times New Roman" w:cs="Calibri"/>
                <w:b/>
                <w:bCs/>
                <w:color w:val="000000"/>
              </w:rPr>
              <w:t xml:space="preserve">Total </w:t>
            </w:r>
          </w:p>
        </w:tc>
        <w:tc>
          <w:tcPr>
            <w:tcW w:w="0" w:type="auto"/>
            <w:noWrap/>
            <w:vAlign w:val="bottom"/>
            <w:hideMark/>
          </w:tcPr>
          <w:p w14:paraId="3BAAD466"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100%</w:t>
            </w:r>
          </w:p>
        </w:tc>
        <w:tc>
          <w:tcPr>
            <w:tcW w:w="0" w:type="auto"/>
            <w:noWrap/>
            <w:vAlign w:val="bottom"/>
            <w:hideMark/>
          </w:tcPr>
          <w:p w14:paraId="23A319DC"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100%</w:t>
            </w:r>
          </w:p>
        </w:tc>
        <w:tc>
          <w:tcPr>
            <w:tcW w:w="0" w:type="auto"/>
            <w:noWrap/>
            <w:vAlign w:val="bottom"/>
            <w:hideMark/>
          </w:tcPr>
          <w:p w14:paraId="4323C75E"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100%</w:t>
            </w:r>
          </w:p>
        </w:tc>
        <w:tc>
          <w:tcPr>
            <w:tcW w:w="0" w:type="auto"/>
            <w:noWrap/>
            <w:vAlign w:val="bottom"/>
            <w:hideMark/>
          </w:tcPr>
          <w:p w14:paraId="4EA42EB3" w14:textId="77777777" w:rsidR="008A2318" w:rsidRPr="002F07EC" w:rsidRDefault="008A2318" w:rsidP="00BE4D6A">
            <w:pPr>
              <w:widowControl/>
              <w:autoSpaceDE/>
              <w:autoSpaceDN/>
              <w:jc w:val="center"/>
              <w:rPr>
                <w:rFonts w:eastAsia="Times New Roman" w:cs="Calibri"/>
                <w:color w:val="000000"/>
              </w:rPr>
            </w:pPr>
            <w:r w:rsidRPr="002F07EC">
              <w:rPr>
                <w:rFonts w:eastAsia="Times New Roman" w:cs="Calibri"/>
                <w:color w:val="000000"/>
              </w:rPr>
              <w:t>100%</w:t>
            </w:r>
          </w:p>
        </w:tc>
      </w:tr>
    </w:tbl>
    <w:p w14:paraId="4801EC72" w14:textId="77777777" w:rsidR="008A2318" w:rsidRDefault="008A2318" w:rsidP="00283665"/>
    <w:p w14:paraId="7E56653F" w14:textId="77B2AD0C" w:rsidR="00377E75" w:rsidRDefault="00386D76" w:rsidP="00283665">
      <w:r w:rsidRPr="00386D76">
        <w:t xml:space="preserve">Table </w:t>
      </w:r>
      <w:r w:rsidR="00C567E4">
        <w:t>7</w:t>
      </w:r>
      <w:r w:rsidRPr="00386D76">
        <w:t xml:space="preserve"> show</w:t>
      </w:r>
      <w:r>
        <w:t xml:space="preserve">s PSA utilization by </w:t>
      </w:r>
      <w:r w:rsidRPr="00386D76">
        <w:t>Race/Ethnicity</w:t>
      </w:r>
      <w:r>
        <w:t xml:space="preserve">, </w:t>
      </w:r>
      <w:r w:rsidRPr="00386D76">
        <w:t xml:space="preserve">Care Setting and payer. </w:t>
      </w:r>
      <w:r w:rsidR="00377E75" w:rsidRPr="00377E75">
        <w:t xml:space="preserve">There were a higher percentage of individuals identifying as white among office-based commercial cases, and office-based Medicaid cases; and a higher percentage of individuals identifying as Hispanic, </w:t>
      </w:r>
      <w:r w:rsidR="00D82F0B">
        <w:t>or</w:t>
      </w:r>
      <w:r w:rsidR="00377E75" w:rsidRPr="00377E75">
        <w:t xml:space="preserve"> Black among HOPD commercial and Medicaid cases.</w:t>
      </w:r>
      <w:r w:rsidR="00BD0552">
        <w:t xml:space="preserve"> There were a higher percentage of</w:t>
      </w:r>
      <w:r w:rsidR="00377E75" w:rsidRPr="00377E75">
        <w:t xml:space="preserve"> individuals identifying as Asian or Pacific Islander among </w:t>
      </w:r>
      <w:r w:rsidR="005C7BA1">
        <w:t xml:space="preserve">office-based Medicaid cases, and </w:t>
      </w:r>
      <w:r w:rsidR="00377E75" w:rsidRPr="00377E75">
        <w:t>HOPD commercial cases.</w:t>
      </w:r>
      <w:r w:rsidR="005C7BA1">
        <w:t xml:space="preserve"> </w:t>
      </w:r>
    </w:p>
    <w:p w14:paraId="18EE45F0" w14:textId="77777777" w:rsidR="00377E75" w:rsidRDefault="00377E75" w:rsidP="00283665"/>
    <w:p w14:paraId="06F9D82A" w14:textId="1CA59AD9" w:rsidR="008A2318" w:rsidRPr="001A45C8" w:rsidRDefault="008A2318" w:rsidP="00283665">
      <w:pPr>
        <w:rPr>
          <w:b/>
          <w:bCs/>
        </w:rPr>
      </w:pPr>
      <w:r w:rsidRPr="001A45C8">
        <w:rPr>
          <w:b/>
          <w:bCs/>
        </w:rPr>
        <w:lastRenderedPageBreak/>
        <w:t xml:space="preserve">Table </w:t>
      </w:r>
      <w:r w:rsidR="00C567E4" w:rsidRPr="001A45C8">
        <w:rPr>
          <w:b/>
          <w:bCs/>
        </w:rPr>
        <w:t>7</w:t>
      </w:r>
      <w:r w:rsidRPr="001A45C8">
        <w:rPr>
          <w:b/>
          <w:bCs/>
        </w:rPr>
        <w:t xml:space="preserve">: </w:t>
      </w:r>
      <w:r w:rsidR="00DA6C06" w:rsidRPr="001A45C8">
        <w:rPr>
          <w:b/>
          <w:bCs/>
        </w:rPr>
        <w:t xml:space="preserve">PSA </w:t>
      </w:r>
      <w:r w:rsidRPr="001A45C8">
        <w:rPr>
          <w:b/>
          <w:bCs/>
        </w:rPr>
        <w:t>Race/Ethnicity by Care Setting and Payer</w:t>
      </w:r>
      <w:r w:rsidR="002F7E48" w:rsidRPr="001A45C8">
        <w:rPr>
          <w:rStyle w:val="FootnoteReference"/>
          <w:b/>
          <w:bCs/>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SA Race/Ethnicity by Care Setting and Payer"/>
      </w:tblPr>
      <w:tblGrid>
        <w:gridCol w:w="2523"/>
        <w:gridCol w:w="1406"/>
        <w:gridCol w:w="1406"/>
        <w:gridCol w:w="1141"/>
        <w:gridCol w:w="1141"/>
      </w:tblGrid>
      <w:tr w:rsidR="002F07EC" w:rsidRPr="00CF6C52" w14:paraId="32708188" w14:textId="77777777" w:rsidTr="006C6939">
        <w:trPr>
          <w:cantSplit/>
          <w:trHeight w:val="50"/>
          <w:tblHeader/>
        </w:trPr>
        <w:tc>
          <w:tcPr>
            <w:tcW w:w="0" w:type="auto"/>
            <w:shd w:val="clear" w:color="auto" w:fill="F2F2F2" w:themeFill="background1" w:themeFillShade="F2"/>
            <w:noWrap/>
            <w:vAlign w:val="center"/>
          </w:tcPr>
          <w:p w14:paraId="529C3A40" w14:textId="0C9D8988" w:rsidR="002F07EC" w:rsidRPr="00CF6C52" w:rsidRDefault="006C6939" w:rsidP="002F07EC">
            <w:pPr>
              <w:widowControl/>
              <w:autoSpaceDE/>
              <w:autoSpaceDN/>
              <w:rPr>
                <w:rFonts w:eastAsia="Times New Roman" w:cs="Calibri"/>
                <w:b/>
                <w:bCs/>
                <w:color w:val="000000"/>
              </w:rPr>
            </w:pPr>
            <w:r>
              <w:rPr>
                <w:rFonts w:eastAsia="Times New Roman" w:cs="Calibri"/>
                <w:b/>
                <w:bCs/>
                <w:color w:val="000000"/>
              </w:rPr>
              <w:t>-</w:t>
            </w:r>
          </w:p>
        </w:tc>
        <w:tc>
          <w:tcPr>
            <w:tcW w:w="0" w:type="auto"/>
            <w:shd w:val="clear" w:color="auto" w:fill="F2F2F2" w:themeFill="background1" w:themeFillShade="F2"/>
            <w:noWrap/>
          </w:tcPr>
          <w:p w14:paraId="09136ED0" w14:textId="77777777" w:rsidR="006C6939" w:rsidRDefault="006C6939" w:rsidP="002F07EC">
            <w:pPr>
              <w:widowControl/>
              <w:autoSpaceDE/>
              <w:autoSpaceDN/>
              <w:jc w:val="center"/>
            </w:pPr>
            <w:r w:rsidRPr="002F07EC">
              <w:rPr>
                <w:rFonts w:eastAsia="Times New Roman" w:cs="Calibri"/>
                <w:b/>
                <w:bCs/>
                <w:color w:val="000000"/>
              </w:rPr>
              <w:t>Commercial</w:t>
            </w:r>
            <w:r w:rsidRPr="000219B8">
              <w:t xml:space="preserve"> </w:t>
            </w:r>
          </w:p>
          <w:p w14:paraId="4E738A35" w14:textId="6E6DE5BD" w:rsidR="002F07EC" w:rsidRPr="00CF6C52" w:rsidRDefault="002F07EC" w:rsidP="002F07EC">
            <w:pPr>
              <w:widowControl/>
              <w:autoSpaceDE/>
              <w:autoSpaceDN/>
              <w:jc w:val="center"/>
              <w:rPr>
                <w:rFonts w:eastAsia="Times New Roman" w:cs="Calibri"/>
                <w:color w:val="000000"/>
              </w:rPr>
            </w:pPr>
            <w:r w:rsidRPr="000219B8">
              <w:t>HOPD</w:t>
            </w:r>
          </w:p>
        </w:tc>
        <w:tc>
          <w:tcPr>
            <w:tcW w:w="0" w:type="auto"/>
            <w:shd w:val="clear" w:color="auto" w:fill="F2F2F2" w:themeFill="background1" w:themeFillShade="F2"/>
            <w:noWrap/>
          </w:tcPr>
          <w:p w14:paraId="0B8341B9" w14:textId="77777777" w:rsidR="006C6939" w:rsidRDefault="006C6939" w:rsidP="006C6939">
            <w:pPr>
              <w:widowControl/>
              <w:autoSpaceDE/>
              <w:autoSpaceDN/>
              <w:jc w:val="center"/>
            </w:pPr>
            <w:r w:rsidRPr="002F07EC">
              <w:rPr>
                <w:rFonts w:eastAsia="Times New Roman" w:cs="Calibri"/>
                <w:b/>
                <w:bCs/>
                <w:color w:val="000000"/>
              </w:rPr>
              <w:t>Commercial</w:t>
            </w:r>
            <w:r w:rsidRPr="000219B8">
              <w:t xml:space="preserve"> </w:t>
            </w:r>
          </w:p>
          <w:p w14:paraId="4189EEBE" w14:textId="108B91AF" w:rsidR="002F07EC" w:rsidRPr="00CF6C52" w:rsidRDefault="002F07EC" w:rsidP="002F07EC">
            <w:pPr>
              <w:widowControl/>
              <w:autoSpaceDE/>
              <w:autoSpaceDN/>
              <w:jc w:val="center"/>
              <w:rPr>
                <w:rFonts w:eastAsia="Times New Roman" w:cs="Calibri"/>
                <w:color w:val="000000"/>
              </w:rPr>
            </w:pPr>
            <w:r w:rsidRPr="000219B8">
              <w:t>Office</w:t>
            </w:r>
          </w:p>
        </w:tc>
        <w:tc>
          <w:tcPr>
            <w:tcW w:w="0" w:type="auto"/>
            <w:shd w:val="clear" w:color="auto" w:fill="F2F2F2" w:themeFill="background1" w:themeFillShade="F2"/>
            <w:noWrap/>
          </w:tcPr>
          <w:p w14:paraId="4CCE8A4A" w14:textId="77777777" w:rsidR="006C6939" w:rsidRDefault="006C6939" w:rsidP="002F07EC">
            <w:pPr>
              <w:widowControl/>
              <w:autoSpaceDE/>
              <w:autoSpaceDN/>
              <w:jc w:val="center"/>
            </w:pPr>
            <w:r w:rsidRPr="002F07EC">
              <w:rPr>
                <w:rFonts w:eastAsia="Times New Roman" w:cs="Calibri"/>
                <w:b/>
                <w:bCs/>
                <w:color w:val="000000"/>
              </w:rPr>
              <w:t>Medicaid</w:t>
            </w:r>
            <w:r w:rsidRPr="000219B8">
              <w:t xml:space="preserve"> </w:t>
            </w:r>
          </w:p>
          <w:p w14:paraId="6398C08B" w14:textId="08A21364" w:rsidR="002F07EC" w:rsidRPr="00CF6C52" w:rsidRDefault="002F07EC" w:rsidP="002F07EC">
            <w:pPr>
              <w:widowControl/>
              <w:autoSpaceDE/>
              <w:autoSpaceDN/>
              <w:jc w:val="center"/>
              <w:rPr>
                <w:rFonts w:eastAsia="Times New Roman" w:cs="Calibri"/>
                <w:color w:val="000000"/>
              </w:rPr>
            </w:pPr>
            <w:r w:rsidRPr="000219B8">
              <w:t>HOPD</w:t>
            </w:r>
          </w:p>
        </w:tc>
        <w:tc>
          <w:tcPr>
            <w:tcW w:w="0" w:type="auto"/>
            <w:shd w:val="clear" w:color="auto" w:fill="F2F2F2" w:themeFill="background1" w:themeFillShade="F2"/>
            <w:noWrap/>
          </w:tcPr>
          <w:p w14:paraId="4321F6E0" w14:textId="77777777" w:rsidR="006C6939" w:rsidRDefault="006C6939" w:rsidP="006C6939">
            <w:pPr>
              <w:widowControl/>
              <w:autoSpaceDE/>
              <w:autoSpaceDN/>
              <w:jc w:val="center"/>
            </w:pPr>
            <w:r w:rsidRPr="002F07EC">
              <w:rPr>
                <w:rFonts w:eastAsia="Times New Roman" w:cs="Calibri"/>
                <w:b/>
                <w:bCs/>
                <w:color w:val="000000"/>
              </w:rPr>
              <w:t>Medicaid</w:t>
            </w:r>
            <w:r w:rsidRPr="000219B8">
              <w:t xml:space="preserve"> </w:t>
            </w:r>
          </w:p>
          <w:p w14:paraId="761F864F" w14:textId="792A720D" w:rsidR="002F07EC" w:rsidRPr="00CF6C52" w:rsidRDefault="002F07EC" w:rsidP="002F07EC">
            <w:pPr>
              <w:widowControl/>
              <w:autoSpaceDE/>
              <w:autoSpaceDN/>
              <w:jc w:val="center"/>
              <w:rPr>
                <w:rFonts w:eastAsia="Times New Roman" w:cs="Calibri"/>
                <w:color w:val="000000"/>
              </w:rPr>
            </w:pPr>
            <w:r w:rsidRPr="000219B8">
              <w:t>Office</w:t>
            </w:r>
          </w:p>
        </w:tc>
      </w:tr>
      <w:tr w:rsidR="00CF6C52" w:rsidRPr="00CF6C52" w14:paraId="3BF7EE8D" w14:textId="77777777" w:rsidTr="006C6939">
        <w:trPr>
          <w:cantSplit/>
          <w:trHeight w:val="50"/>
        </w:trPr>
        <w:tc>
          <w:tcPr>
            <w:tcW w:w="0" w:type="auto"/>
            <w:noWrap/>
            <w:vAlign w:val="center"/>
            <w:hideMark/>
          </w:tcPr>
          <w:p w14:paraId="04048C52" w14:textId="77777777" w:rsidR="00CF6C52" w:rsidRPr="002F07EC" w:rsidRDefault="00CF6C52" w:rsidP="00CF6C52">
            <w:pPr>
              <w:widowControl/>
              <w:autoSpaceDE/>
              <w:autoSpaceDN/>
              <w:rPr>
                <w:rFonts w:eastAsia="Times New Roman" w:cs="Calibri"/>
                <w:color w:val="000000"/>
              </w:rPr>
            </w:pPr>
            <w:r w:rsidRPr="002F07EC">
              <w:rPr>
                <w:rFonts w:eastAsia="Times New Roman" w:cs="Calibri"/>
                <w:color w:val="000000"/>
              </w:rPr>
              <w:t>White</w:t>
            </w:r>
          </w:p>
        </w:tc>
        <w:tc>
          <w:tcPr>
            <w:tcW w:w="0" w:type="auto"/>
            <w:noWrap/>
            <w:vAlign w:val="center"/>
            <w:hideMark/>
          </w:tcPr>
          <w:p w14:paraId="3D87D512"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45%</w:t>
            </w:r>
          </w:p>
        </w:tc>
        <w:tc>
          <w:tcPr>
            <w:tcW w:w="0" w:type="auto"/>
            <w:noWrap/>
            <w:vAlign w:val="center"/>
            <w:hideMark/>
          </w:tcPr>
          <w:p w14:paraId="1F05DE9F"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76%</w:t>
            </w:r>
          </w:p>
        </w:tc>
        <w:tc>
          <w:tcPr>
            <w:tcW w:w="0" w:type="auto"/>
            <w:noWrap/>
            <w:vAlign w:val="center"/>
            <w:hideMark/>
          </w:tcPr>
          <w:p w14:paraId="3F3A2D63"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21%</w:t>
            </w:r>
          </w:p>
        </w:tc>
        <w:tc>
          <w:tcPr>
            <w:tcW w:w="0" w:type="auto"/>
            <w:noWrap/>
            <w:vAlign w:val="center"/>
            <w:hideMark/>
          </w:tcPr>
          <w:p w14:paraId="35EC0E93"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36%</w:t>
            </w:r>
          </w:p>
        </w:tc>
      </w:tr>
      <w:tr w:rsidR="00CF6C52" w:rsidRPr="00CF6C52" w14:paraId="15BE5B42" w14:textId="77777777" w:rsidTr="006C6939">
        <w:trPr>
          <w:cantSplit/>
          <w:trHeight w:val="310"/>
        </w:trPr>
        <w:tc>
          <w:tcPr>
            <w:tcW w:w="0" w:type="auto"/>
            <w:noWrap/>
            <w:vAlign w:val="center"/>
            <w:hideMark/>
          </w:tcPr>
          <w:p w14:paraId="31876633" w14:textId="77777777" w:rsidR="00CF6C52" w:rsidRPr="002F07EC" w:rsidRDefault="00CF6C52" w:rsidP="00CF6C52">
            <w:pPr>
              <w:widowControl/>
              <w:autoSpaceDE/>
              <w:autoSpaceDN/>
              <w:rPr>
                <w:rFonts w:eastAsia="Times New Roman" w:cs="Calibri"/>
                <w:color w:val="000000"/>
              </w:rPr>
            </w:pPr>
            <w:r w:rsidRPr="002F07EC">
              <w:rPr>
                <w:rFonts w:eastAsia="Times New Roman" w:cs="Calibri"/>
                <w:color w:val="000000"/>
              </w:rPr>
              <w:t>Hispanic</w:t>
            </w:r>
          </w:p>
        </w:tc>
        <w:tc>
          <w:tcPr>
            <w:tcW w:w="0" w:type="auto"/>
            <w:noWrap/>
            <w:vAlign w:val="center"/>
            <w:hideMark/>
          </w:tcPr>
          <w:p w14:paraId="3268773D"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21%</w:t>
            </w:r>
          </w:p>
        </w:tc>
        <w:tc>
          <w:tcPr>
            <w:tcW w:w="0" w:type="auto"/>
            <w:noWrap/>
            <w:vAlign w:val="center"/>
            <w:hideMark/>
          </w:tcPr>
          <w:p w14:paraId="6CB3284A"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4%</w:t>
            </w:r>
          </w:p>
        </w:tc>
        <w:tc>
          <w:tcPr>
            <w:tcW w:w="0" w:type="auto"/>
            <w:noWrap/>
            <w:vAlign w:val="center"/>
            <w:hideMark/>
          </w:tcPr>
          <w:p w14:paraId="301D8383"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28%</w:t>
            </w:r>
          </w:p>
        </w:tc>
        <w:tc>
          <w:tcPr>
            <w:tcW w:w="0" w:type="auto"/>
            <w:noWrap/>
            <w:vAlign w:val="center"/>
            <w:hideMark/>
          </w:tcPr>
          <w:p w14:paraId="774B1054"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21%</w:t>
            </w:r>
          </w:p>
        </w:tc>
      </w:tr>
      <w:tr w:rsidR="00CF6C52" w:rsidRPr="00CF6C52" w14:paraId="7DDE3E77" w14:textId="77777777" w:rsidTr="006C6939">
        <w:trPr>
          <w:cantSplit/>
          <w:trHeight w:val="310"/>
        </w:trPr>
        <w:tc>
          <w:tcPr>
            <w:tcW w:w="0" w:type="auto"/>
            <w:noWrap/>
            <w:vAlign w:val="center"/>
            <w:hideMark/>
          </w:tcPr>
          <w:p w14:paraId="42BFA674" w14:textId="77777777" w:rsidR="00CF6C52" w:rsidRPr="002F07EC" w:rsidRDefault="00CF6C52" w:rsidP="00CF6C52">
            <w:pPr>
              <w:widowControl/>
              <w:autoSpaceDE/>
              <w:autoSpaceDN/>
              <w:rPr>
                <w:rFonts w:eastAsia="Times New Roman" w:cs="Calibri"/>
                <w:color w:val="000000"/>
              </w:rPr>
            </w:pPr>
            <w:r w:rsidRPr="002F07EC">
              <w:rPr>
                <w:rFonts w:eastAsia="Times New Roman" w:cs="Calibri"/>
                <w:color w:val="000000"/>
              </w:rPr>
              <w:t>Asian or Pacific Islander</w:t>
            </w:r>
          </w:p>
        </w:tc>
        <w:tc>
          <w:tcPr>
            <w:tcW w:w="0" w:type="auto"/>
            <w:noWrap/>
            <w:vAlign w:val="center"/>
            <w:hideMark/>
          </w:tcPr>
          <w:p w14:paraId="4D6181D0"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11%</w:t>
            </w:r>
          </w:p>
        </w:tc>
        <w:tc>
          <w:tcPr>
            <w:tcW w:w="0" w:type="auto"/>
            <w:noWrap/>
            <w:vAlign w:val="center"/>
            <w:hideMark/>
          </w:tcPr>
          <w:p w14:paraId="30BDE1F4"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5%</w:t>
            </w:r>
          </w:p>
        </w:tc>
        <w:tc>
          <w:tcPr>
            <w:tcW w:w="0" w:type="auto"/>
            <w:noWrap/>
            <w:vAlign w:val="center"/>
            <w:hideMark/>
          </w:tcPr>
          <w:p w14:paraId="7F921BDD"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16%</w:t>
            </w:r>
          </w:p>
        </w:tc>
        <w:tc>
          <w:tcPr>
            <w:tcW w:w="0" w:type="auto"/>
            <w:noWrap/>
            <w:vAlign w:val="center"/>
            <w:hideMark/>
          </w:tcPr>
          <w:p w14:paraId="2343DF67"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23%</w:t>
            </w:r>
          </w:p>
        </w:tc>
      </w:tr>
      <w:tr w:rsidR="00CF6C52" w:rsidRPr="00CF6C52" w14:paraId="611FAD02" w14:textId="77777777" w:rsidTr="006C6939">
        <w:trPr>
          <w:cantSplit/>
          <w:trHeight w:val="310"/>
        </w:trPr>
        <w:tc>
          <w:tcPr>
            <w:tcW w:w="0" w:type="auto"/>
            <w:noWrap/>
            <w:vAlign w:val="center"/>
            <w:hideMark/>
          </w:tcPr>
          <w:p w14:paraId="520F6972" w14:textId="77777777" w:rsidR="00CF6C52" w:rsidRPr="002F07EC" w:rsidRDefault="00CF6C52" w:rsidP="00CF6C52">
            <w:pPr>
              <w:widowControl/>
              <w:autoSpaceDE/>
              <w:autoSpaceDN/>
              <w:rPr>
                <w:rFonts w:eastAsia="Times New Roman" w:cs="Calibri"/>
                <w:color w:val="000000"/>
              </w:rPr>
            </w:pPr>
            <w:r w:rsidRPr="002F07EC">
              <w:rPr>
                <w:rFonts w:eastAsia="Times New Roman" w:cs="Calibri"/>
                <w:color w:val="000000"/>
              </w:rPr>
              <w:t>Black</w:t>
            </w:r>
          </w:p>
        </w:tc>
        <w:tc>
          <w:tcPr>
            <w:tcW w:w="0" w:type="auto"/>
            <w:noWrap/>
            <w:vAlign w:val="center"/>
            <w:hideMark/>
          </w:tcPr>
          <w:p w14:paraId="344D0AF7"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9%</w:t>
            </w:r>
          </w:p>
        </w:tc>
        <w:tc>
          <w:tcPr>
            <w:tcW w:w="0" w:type="auto"/>
            <w:noWrap/>
            <w:vAlign w:val="center"/>
            <w:hideMark/>
          </w:tcPr>
          <w:p w14:paraId="0AAA6353"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3%</w:t>
            </w:r>
          </w:p>
        </w:tc>
        <w:tc>
          <w:tcPr>
            <w:tcW w:w="0" w:type="auto"/>
            <w:noWrap/>
            <w:vAlign w:val="center"/>
            <w:hideMark/>
          </w:tcPr>
          <w:p w14:paraId="45B12677"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20%</w:t>
            </w:r>
          </w:p>
        </w:tc>
        <w:tc>
          <w:tcPr>
            <w:tcW w:w="0" w:type="auto"/>
            <w:noWrap/>
            <w:vAlign w:val="center"/>
            <w:hideMark/>
          </w:tcPr>
          <w:p w14:paraId="381D8FBA"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9%</w:t>
            </w:r>
          </w:p>
        </w:tc>
      </w:tr>
      <w:tr w:rsidR="00CF6C52" w:rsidRPr="00CF6C52" w14:paraId="7B332FE2" w14:textId="77777777" w:rsidTr="006C6939">
        <w:trPr>
          <w:cantSplit/>
          <w:trHeight w:val="310"/>
        </w:trPr>
        <w:tc>
          <w:tcPr>
            <w:tcW w:w="0" w:type="auto"/>
            <w:noWrap/>
            <w:vAlign w:val="center"/>
            <w:hideMark/>
          </w:tcPr>
          <w:p w14:paraId="173D08C9" w14:textId="77777777" w:rsidR="00CF6C52" w:rsidRPr="002F07EC" w:rsidRDefault="00CF6C52" w:rsidP="00CF6C52">
            <w:pPr>
              <w:widowControl/>
              <w:autoSpaceDE/>
              <w:autoSpaceDN/>
              <w:rPr>
                <w:rFonts w:eastAsia="Times New Roman" w:cs="Calibri"/>
                <w:color w:val="000000"/>
              </w:rPr>
            </w:pPr>
            <w:r w:rsidRPr="002F07EC">
              <w:rPr>
                <w:rFonts w:eastAsia="Times New Roman" w:cs="Calibri"/>
                <w:color w:val="000000"/>
              </w:rPr>
              <w:t>Other</w:t>
            </w:r>
          </w:p>
        </w:tc>
        <w:tc>
          <w:tcPr>
            <w:tcW w:w="0" w:type="auto"/>
            <w:noWrap/>
            <w:vAlign w:val="center"/>
            <w:hideMark/>
          </w:tcPr>
          <w:p w14:paraId="1B86BF71"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0%</w:t>
            </w:r>
          </w:p>
        </w:tc>
        <w:tc>
          <w:tcPr>
            <w:tcW w:w="0" w:type="auto"/>
            <w:noWrap/>
            <w:vAlign w:val="center"/>
            <w:hideMark/>
          </w:tcPr>
          <w:p w14:paraId="1B6B2347"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0%</w:t>
            </w:r>
          </w:p>
        </w:tc>
        <w:tc>
          <w:tcPr>
            <w:tcW w:w="0" w:type="auto"/>
            <w:noWrap/>
            <w:vAlign w:val="center"/>
            <w:hideMark/>
          </w:tcPr>
          <w:p w14:paraId="78350A5F"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0%</w:t>
            </w:r>
          </w:p>
        </w:tc>
        <w:tc>
          <w:tcPr>
            <w:tcW w:w="0" w:type="auto"/>
            <w:noWrap/>
            <w:vAlign w:val="center"/>
            <w:hideMark/>
          </w:tcPr>
          <w:p w14:paraId="25DBC577"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0%</w:t>
            </w:r>
          </w:p>
        </w:tc>
      </w:tr>
      <w:tr w:rsidR="00CF6C52" w:rsidRPr="00CF6C52" w14:paraId="3048C795" w14:textId="77777777" w:rsidTr="006C6939">
        <w:trPr>
          <w:cantSplit/>
          <w:trHeight w:val="310"/>
        </w:trPr>
        <w:tc>
          <w:tcPr>
            <w:tcW w:w="0" w:type="auto"/>
            <w:noWrap/>
            <w:vAlign w:val="center"/>
            <w:hideMark/>
          </w:tcPr>
          <w:p w14:paraId="75C0E024" w14:textId="77777777" w:rsidR="00CF6C52" w:rsidRPr="002F07EC" w:rsidRDefault="00CF6C52" w:rsidP="00CF6C52">
            <w:pPr>
              <w:widowControl/>
              <w:autoSpaceDE/>
              <w:autoSpaceDN/>
              <w:rPr>
                <w:rFonts w:eastAsia="Times New Roman" w:cs="Calibri"/>
                <w:color w:val="000000"/>
              </w:rPr>
            </w:pPr>
            <w:r w:rsidRPr="002F07EC">
              <w:rPr>
                <w:rFonts w:eastAsia="Times New Roman" w:cs="Calibri"/>
                <w:color w:val="000000"/>
              </w:rPr>
              <w:t>Unknown</w:t>
            </w:r>
          </w:p>
        </w:tc>
        <w:tc>
          <w:tcPr>
            <w:tcW w:w="0" w:type="auto"/>
            <w:noWrap/>
            <w:vAlign w:val="center"/>
            <w:hideMark/>
          </w:tcPr>
          <w:p w14:paraId="0363CCC7"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14%</w:t>
            </w:r>
          </w:p>
        </w:tc>
        <w:tc>
          <w:tcPr>
            <w:tcW w:w="0" w:type="auto"/>
            <w:noWrap/>
            <w:vAlign w:val="center"/>
            <w:hideMark/>
          </w:tcPr>
          <w:p w14:paraId="26B39FF9"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12%</w:t>
            </w:r>
          </w:p>
        </w:tc>
        <w:tc>
          <w:tcPr>
            <w:tcW w:w="0" w:type="auto"/>
            <w:noWrap/>
            <w:vAlign w:val="center"/>
            <w:hideMark/>
          </w:tcPr>
          <w:p w14:paraId="540CD757"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15%</w:t>
            </w:r>
          </w:p>
        </w:tc>
        <w:tc>
          <w:tcPr>
            <w:tcW w:w="0" w:type="auto"/>
            <w:noWrap/>
            <w:vAlign w:val="center"/>
            <w:hideMark/>
          </w:tcPr>
          <w:p w14:paraId="0BAE142D" w14:textId="77777777" w:rsidR="00CF6C52" w:rsidRPr="00CF6C52" w:rsidRDefault="00CF6C52" w:rsidP="002F07EC">
            <w:pPr>
              <w:widowControl/>
              <w:autoSpaceDE/>
              <w:autoSpaceDN/>
              <w:jc w:val="center"/>
              <w:rPr>
                <w:rFonts w:eastAsia="Times New Roman" w:cs="Calibri"/>
                <w:color w:val="000000"/>
              </w:rPr>
            </w:pPr>
            <w:r w:rsidRPr="00CF6C52">
              <w:rPr>
                <w:rFonts w:eastAsia="Times New Roman" w:cs="Calibri"/>
                <w:color w:val="000000"/>
              </w:rPr>
              <w:t>11%</w:t>
            </w:r>
          </w:p>
        </w:tc>
      </w:tr>
      <w:tr w:rsidR="00CF6C52" w:rsidRPr="00CF6C52" w14:paraId="0A15BEDE" w14:textId="77777777" w:rsidTr="006C6939">
        <w:trPr>
          <w:cantSplit/>
          <w:trHeight w:val="310"/>
        </w:trPr>
        <w:tc>
          <w:tcPr>
            <w:tcW w:w="0" w:type="auto"/>
            <w:noWrap/>
            <w:vAlign w:val="center"/>
            <w:hideMark/>
          </w:tcPr>
          <w:p w14:paraId="731D72AC" w14:textId="77777777" w:rsidR="00CF6C52" w:rsidRPr="00CF6C52" w:rsidRDefault="00CF6C52" w:rsidP="00CF6C52">
            <w:pPr>
              <w:widowControl/>
              <w:autoSpaceDE/>
              <w:autoSpaceDN/>
              <w:rPr>
                <w:rFonts w:eastAsia="Times New Roman" w:cs="Calibri"/>
                <w:b/>
                <w:bCs/>
                <w:color w:val="000000"/>
              </w:rPr>
            </w:pPr>
            <w:r w:rsidRPr="00CF6C52">
              <w:rPr>
                <w:rFonts w:eastAsia="Times New Roman" w:cs="Calibri"/>
                <w:b/>
                <w:bCs/>
                <w:color w:val="000000"/>
              </w:rPr>
              <w:t xml:space="preserve">Total </w:t>
            </w:r>
          </w:p>
        </w:tc>
        <w:tc>
          <w:tcPr>
            <w:tcW w:w="0" w:type="auto"/>
            <w:noWrap/>
            <w:vAlign w:val="bottom"/>
            <w:hideMark/>
          </w:tcPr>
          <w:p w14:paraId="4BC51EA1" w14:textId="77777777" w:rsidR="00CF6C52" w:rsidRPr="00CF6C52" w:rsidRDefault="00CF6C52" w:rsidP="002F07EC">
            <w:pPr>
              <w:widowControl/>
              <w:autoSpaceDE/>
              <w:autoSpaceDN/>
              <w:jc w:val="center"/>
              <w:rPr>
                <w:rFonts w:eastAsia="Times New Roman" w:cs="Calibri"/>
                <w:color w:val="000000"/>
                <w:sz w:val="22"/>
                <w:szCs w:val="22"/>
              </w:rPr>
            </w:pPr>
            <w:r w:rsidRPr="00CF6C52">
              <w:rPr>
                <w:rFonts w:eastAsia="Times New Roman" w:cs="Calibri"/>
                <w:color w:val="000000"/>
                <w:sz w:val="22"/>
                <w:szCs w:val="22"/>
              </w:rPr>
              <w:t>100%</w:t>
            </w:r>
          </w:p>
        </w:tc>
        <w:tc>
          <w:tcPr>
            <w:tcW w:w="0" w:type="auto"/>
            <w:noWrap/>
            <w:vAlign w:val="bottom"/>
            <w:hideMark/>
          </w:tcPr>
          <w:p w14:paraId="6434E0ED" w14:textId="77777777" w:rsidR="00CF6C52" w:rsidRPr="00CF6C52" w:rsidRDefault="00CF6C52" w:rsidP="002F07EC">
            <w:pPr>
              <w:widowControl/>
              <w:autoSpaceDE/>
              <w:autoSpaceDN/>
              <w:jc w:val="center"/>
              <w:rPr>
                <w:rFonts w:eastAsia="Times New Roman" w:cs="Calibri"/>
                <w:color w:val="000000"/>
                <w:sz w:val="22"/>
                <w:szCs w:val="22"/>
              </w:rPr>
            </w:pPr>
            <w:r w:rsidRPr="00CF6C52">
              <w:rPr>
                <w:rFonts w:eastAsia="Times New Roman" w:cs="Calibri"/>
                <w:color w:val="000000"/>
                <w:sz w:val="22"/>
                <w:szCs w:val="22"/>
              </w:rPr>
              <w:t>100%</w:t>
            </w:r>
          </w:p>
        </w:tc>
        <w:tc>
          <w:tcPr>
            <w:tcW w:w="0" w:type="auto"/>
            <w:noWrap/>
            <w:vAlign w:val="bottom"/>
            <w:hideMark/>
          </w:tcPr>
          <w:p w14:paraId="5BA5C727" w14:textId="77777777" w:rsidR="00CF6C52" w:rsidRPr="00CF6C52" w:rsidRDefault="00CF6C52" w:rsidP="002F07EC">
            <w:pPr>
              <w:widowControl/>
              <w:autoSpaceDE/>
              <w:autoSpaceDN/>
              <w:jc w:val="center"/>
              <w:rPr>
                <w:rFonts w:eastAsia="Times New Roman" w:cs="Calibri"/>
                <w:color w:val="000000"/>
                <w:sz w:val="22"/>
                <w:szCs w:val="22"/>
              </w:rPr>
            </w:pPr>
            <w:r w:rsidRPr="00CF6C52">
              <w:rPr>
                <w:rFonts w:eastAsia="Times New Roman" w:cs="Calibri"/>
                <w:color w:val="000000"/>
                <w:sz w:val="22"/>
                <w:szCs w:val="22"/>
              </w:rPr>
              <w:t>100%</w:t>
            </w:r>
          </w:p>
        </w:tc>
        <w:tc>
          <w:tcPr>
            <w:tcW w:w="0" w:type="auto"/>
            <w:noWrap/>
            <w:vAlign w:val="bottom"/>
            <w:hideMark/>
          </w:tcPr>
          <w:p w14:paraId="01D601F5" w14:textId="77777777" w:rsidR="00CF6C52" w:rsidRPr="00CF6C52" w:rsidRDefault="00CF6C52" w:rsidP="002F07EC">
            <w:pPr>
              <w:widowControl/>
              <w:autoSpaceDE/>
              <w:autoSpaceDN/>
              <w:jc w:val="center"/>
              <w:rPr>
                <w:rFonts w:eastAsia="Times New Roman" w:cs="Calibri"/>
                <w:color w:val="000000"/>
                <w:sz w:val="22"/>
                <w:szCs w:val="22"/>
              </w:rPr>
            </w:pPr>
            <w:r w:rsidRPr="00CF6C52">
              <w:rPr>
                <w:rFonts w:eastAsia="Times New Roman" w:cs="Calibri"/>
                <w:color w:val="000000"/>
                <w:sz w:val="22"/>
                <w:szCs w:val="22"/>
              </w:rPr>
              <w:t>100%</w:t>
            </w:r>
          </w:p>
        </w:tc>
      </w:tr>
    </w:tbl>
    <w:p w14:paraId="6CAF88B6" w14:textId="77777777" w:rsidR="006D4120" w:rsidRDefault="006D4120" w:rsidP="00283665"/>
    <w:p w14:paraId="46DDED26" w14:textId="3B64BDEE" w:rsidR="008F5DE6" w:rsidRDefault="008F5DE6" w:rsidP="009D5F2F">
      <w:r>
        <w:t xml:space="preserve">The Applicant expects the following top ten cities/towns for its PSA based on utilization: </w:t>
      </w:r>
      <w:r w:rsidR="009D5F2F">
        <w:t>Brighton, Dorchester, Lawrence, Lynn, Malden, Medford, Methuen, Peabody, Quincy, and Revere.</w:t>
      </w:r>
    </w:p>
    <w:p w14:paraId="0786E0B0" w14:textId="77777777" w:rsidR="008F5DE6" w:rsidRDefault="008F5DE6" w:rsidP="009F2D39"/>
    <w:p w14:paraId="5E1608D9" w14:textId="17E714C0" w:rsidR="009F2D39" w:rsidRDefault="009F2D39" w:rsidP="009F2D39">
      <w:r w:rsidRPr="009F2D39">
        <w:t xml:space="preserve">The Applicant cites the challenges of performing </w:t>
      </w:r>
      <w:r w:rsidR="009277AD">
        <w:t>High Acuity Dental Surgeries</w:t>
      </w:r>
      <w:r w:rsidRPr="009F2D39">
        <w:t xml:space="preserve"> in HOPDs, where patients experience long wait times, a more stressful experience for the patient and their parent/caregiver, and higher costs</w:t>
      </w:r>
      <w:r w:rsidR="0034545D">
        <w:t xml:space="preserve">. Specifically, the HOPD setting is typically embedded within a larger hospital campus, </w:t>
      </w:r>
      <w:r w:rsidR="004D671C">
        <w:t>and</w:t>
      </w:r>
      <w:r w:rsidR="0034545D">
        <w:t xml:space="preserve"> the hospital environment can have a higher sensory load, with exposure to sights and sounds of other patients and hospital services, </w:t>
      </w:r>
      <w:r w:rsidR="007655B2">
        <w:t>and</w:t>
      </w:r>
      <w:r w:rsidR="0034545D">
        <w:t xml:space="preserve"> more complex administrative processes</w:t>
      </w:r>
      <w:r w:rsidR="004D671C">
        <w:t>, all of which can heighten anxiety.</w:t>
      </w:r>
      <w:r w:rsidRPr="009F2D39">
        <w:t xml:space="preserve"> </w:t>
      </w:r>
      <w:r w:rsidR="00616D32">
        <w:t>The Applicant also cites the challenges of performing these procedures in</w:t>
      </w:r>
      <w:r w:rsidRPr="009F2D39">
        <w:t xml:space="preserve"> dental offices, which are not designed for high acuity procedures because they have less emergency equipment, limited</w:t>
      </w:r>
      <w:r w:rsidR="002D649B">
        <w:t xml:space="preserve"> life</w:t>
      </w:r>
      <w:r w:rsidRPr="009F2D39">
        <w:t xml:space="preserve"> safety infrastructure and fewer trained staff in the event of complications. Additionally, some children are not able to receive effective care in a regular dental office, even with patience, sedation, and behavior techniques, such as toddlers, who are too young to understand instructions or stay still during treatment, or children with neurological conditions like autism, </w:t>
      </w:r>
      <w:r w:rsidR="00816D32">
        <w:t>a</w:t>
      </w:r>
      <w:r w:rsidRPr="009F2D39">
        <w:t>ttention-deficit/hyperactivity disorder (ADHD), or sensory processing disorders who may become overwhelmed by sounds, lights, or physical sensations during dental visits.</w:t>
      </w:r>
      <w:r w:rsidRPr="009F2D39">
        <w:rPr>
          <w:vertAlign w:val="superscript"/>
        </w:rPr>
        <w:endnoteReference w:id="5"/>
      </w:r>
    </w:p>
    <w:p w14:paraId="3B2835FC" w14:textId="77777777" w:rsidR="009F2D39" w:rsidRPr="006D4120" w:rsidRDefault="009F2D39" w:rsidP="00283665"/>
    <w:p w14:paraId="7A1A7420" w14:textId="14E3AE5F" w:rsidR="00CB12C1" w:rsidRPr="00FE23C6" w:rsidRDefault="00A30A17" w:rsidP="00FE23C6">
      <w:pPr>
        <w:pStyle w:val="ListParagraph"/>
        <w:numPr>
          <w:ilvl w:val="0"/>
          <w:numId w:val="17"/>
        </w:numPr>
        <w:rPr>
          <w:i/>
          <w:iCs/>
        </w:rPr>
      </w:pPr>
      <w:r w:rsidRPr="00FE23C6">
        <w:rPr>
          <w:i/>
          <w:iCs/>
        </w:rPr>
        <w:t xml:space="preserve">Qualitative Analysis of the </w:t>
      </w:r>
      <w:r w:rsidR="00541C3F" w:rsidRPr="00FE23C6">
        <w:rPr>
          <w:i/>
          <w:iCs/>
        </w:rPr>
        <w:t>Center’</w:t>
      </w:r>
      <w:r w:rsidRPr="00FE23C6">
        <w:rPr>
          <w:i/>
          <w:iCs/>
        </w:rPr>
        <w:t>s PSA through outreach and research</w:t>
      </w:r>
    </w:p>
    <w:p w14:paraId="04516AAB" w14:textId="09EB4218" w:rsidR="00CB12C1" w:rsidRDefault="00A73961" w:rsidP="00283665">
      <w:r>
        <w:t xml:space="preserve">Using </w:t>
      </w:r>
      <w:r w:rsidR="00C412CC">
        <w:t xml:space="preserve">2024 </w:t>
      </w:r>
      <w:r>
        <w:t>Census data and publicly available MassHealth data</w:t>
      </w:r>
      <w:r w:rsidR="007944DF">
        <w:rPr>
          <w:rStyle w:val="FootnoteReference"/>
        </w:rPr>
        <w:footnoteReference w:id="12"/>
      </w:r>
      <w:r>
        <w:t>, the Applicant determined that the PSA’s population size is 3,700,000, approximately 213,000 children under age nine are insured through MassHealth, and only 124,000</w:t>
      </w:r>
      <w:r w:rsidR="0066404C">
        <w:t xml:space="preserve"> o</w:t>
      </w:r>
      <w:r w:rsidR="00E70B80">
        <w:t>r</w:t>
      </w:r>
      <w:r w:rsidR="0066404C">
        <w:t xml:space="preserve"> 58</w:t>
      </w:r>
      <w:r w:rsidR="00901C4C">
        <w:rPr>
          <w:rFonts w:asciiTheme="minorHAnsi" w:hAnsiTheme="minorHAnsi"/>
        </w:rPr>
        <w:t xml:space="preserve"> percent</w:t>
      </w:r>
      <w:r>
        <w:t xml:space="preserve"> of these children had a dental visit for any reason. Based on this information, the Applicant concluded that approximately 58</w:t>
      </w:r>
      <w:r w:rsidR="00901C4C">
        <w:rPr>
          <w:rFonts w:asciiTheme="minorHAnsi" w:hAnsiTheme="minorHAnsi"/>
        </w:rPr>
        <w:t xml:space="preserve"> percent</w:t>
      </w:r>
      <w:r>
        <w:t xml:space="preserve"> of children under nine </w:t>
      </w:r>
      <w:r w:rsidR="004B1490">
        <w:t xml:space="preserve">in the Applicant’s proposed PSA, </w:t>
      </w:r>
      <w:r>
        <w:t xml:space="preserve">that are insured through MassHealth are using some form of dental services on an annual basis. </w:t>
      </w:r>
    </w:p>
    <w:p w14:paraId="458F1958" w14:textId="77777777" w:rsidR="00A73961" w:rsidRDefault="00A73961" w:rsidP="00283665"/>
    <w:p w14:paraId="6B2EE70A" w14:textId="6D3AECB8" w:rsidR="00A73961" w:rsidRPr="00FE23C6" w:rsidRDefault="00A73961" w:rsidP="00FE23C6">
      <w:pPr>
        <w:pStyle w:val="ListParagraph"/>
        <w:numPr>
          <w:ilvl w:val="0"/>
          <w:numId w:val="17"/>
        </w:numPr>
        <w:rPr>
          <w:i/>
          <w:iCs/>
        </w:rPr>
      </w:pPr>
      <w:r w:rsidRPr="00FE23C6">
        <w:rPr>
          <w:i/>
          <w:iCs/>
        </w:rPr>
        <w:t xml:space="preserve">Behavioral Risk Factors </w:t>
      </w:r>
    </w:p>
    <w:p w14:paraId="23364C4D" w14:textId="7569E1FA" w:rsidR="00A73961" w:rsidRDefault="008D77EB" w:rsidP="00283665">
      <w:r>
        <w:t xml:space="preserve">Using </w:t>
      </w:r>
      <w:r w:rsidR="00E70B80">
        <w:t>c</w:t>
      </w:r>
      <w:r>
        <w:t xml:space="preserve">laims </w:t>
      </w:r>
      <w:r w:rsidR="00E70B80">
        <w:t>d</w:t>
      </w:r>
      <w:r>
        <w:t>ata, Chartis determined that the primary diagnosis for 94</w:t>
      </w:r>
      <w:r w:rsidR="00901C4C">
        <w:rPr>
          <w:rFonts w:asciiTheme="minorHAnsi" w:hAnsiTheme="minorHAnsi"/>
        </w:rPr>
        <w:t xml:space="preserve"> percent</w:t>
      </w:r>
      <w:r>
        <w:t xml:space="preserve"> of the cases </w:t>
      </w:r>
      <w:r w:rsidR="00C5472A">
        <w:t xml:space="preserve">across all Care Settings </w:t>
      </w:r>
      <w:r>
        <w:t>was impacted teeth</w:t>
      </w:r>
      <w:r w:rsidR="008C05B1">
        <w:t>.</w:t>
      </w:r>
      <w:r w:rsidR="008C05B1" w:rsidRPr="008C05B1">
        <w:t xml:space="preserve"> This is shown in Table </w:t>
      </w:r>
      <w:r w:rsidR="00C567E4">
        <w:t>8</w:t>
      </w:r>
      <w:r w:rsidR="008C05B1" w:rsidRPr="008C05B1">
        <w:t xml:space="preserve">. </w:t>
      </w:r>
      <w:r w:rsidR="008C05B1">
        <w:t xml:space="preserve">However, </w:t>
      </w:r>
      <w:r>
        <w:t xml:space="preserve">the secondary diagnosis </w:t>
      </w:r>
      <w:r>
        <w:lastRenderedPageBreak/>
        <w:t xml:space="preserve">differed by </w:t>
      </w:r>
      <w:r w:rsidR="00CC62F6">
        <w:t>C</w:t>
      </w:r>
      <w:r>
        <w:t xml:space="preserve">are </w:t>
      </w:r>
      <w:r w:rsidR="00CC62F6">
        <w:t>S</w:t>
      </w:r>
      <w:r>
        <w:t xml:space="preserve">etting. </w:t>
      </w:r>
      <w:r w:rsidR="000C74D6">
        <w:t xml:space="preserve">This is shown in </w:t>
      </w:r>
      <w:r w:rsidR="0034697D">
        <w:t>Table</w:t>
      </w:r>
      <w:r w:rsidR="000C74D6">
        <w:t>s</w:t>
      </w:r>
      <w:r w:rsidR="0034697D">
        <w:t xml:space="preserve"> </w:t>
      </w:r>
      <w:r w:rsidR="00C567E4">
        <w:t>9</w:t>
      </w:r>
      <w:r w:rsidR="0034697D">
        <w:t xml:space="preserve"> and </w:t>
      </w:r>
      <w:r w:rsidR="00C567E4">
        <w:t>10</w:t>
      </w:r>
      <w:r w:rsidR="0034697D">
        <w:t xml:space="preserve">. </w:t>
      </w:r>
      <w:r>
        <w:t>The Applicant notes that the top five secondary diagnoses for care delivered in an HOPD for children 0 to 10 and 11 to 21 included behavioral risk factors such as acute stress reaction, autistic disorder, and anxiety disorder (unspecified). For care delivered in a dental office, the top five secondary diagnoses were dental carries (unspecified), disturbances in tooth eruption, developmental odontogenic cysts</w:t>
      </w:r>
      <w:r w:rsidR="00626BCE">
        <w:rPr>
          <w:rStyle w:val="FootnoteReference"/>
        </w:rPr>
        <w:footnoteReference w:id="13"/>
      </w:r>
      <w:r>
        <w:t xml:space="preserve">, and impacted or embedded teeth. </w:t>
      </w:r>
    </w:p>
    <w:p w14:paraId="683991AD" w14:textId="77777777" w:rsidR="008D77EB" w:rsidRDefault="008D77EB" w:rsidP="00283665"/>
    <w:p w14:paraId="4148086D" w14:textId="3BDF7A16" w:rsidR="008D77EB" w:rsidRPr="00D84926" w:rsidRDefault="00C4358D" w:rsidP="00283665">
      <w:pPr>
        <w:rPr>
          <w:b/>
          <w:bCs/>
        </w:rPr>
      </w:pPr>
      <w:r w:rsidRPr="00D84926">
        <w:rPr>
          <w:b/>
          <w:bCs/>
        </w:rPr>
        <w:t xml:space="preserve">Table </w:t>
      </w:r>
      <w:r w:rsidR="00C567E4" w:rsidRPr="00D84926">
        <w:rPr>
          <w:b/>
          <w:bCs/>
        </w:rPr>
        <w:t>8</w:t>
      </w:r>
      <w:r w:rsidRPr="00D84926">
        <w:rPr>
          <w:b/>
          <w:bCs/>
        </w:rPr>
        <w:t>: Primary Diagnosis</w:t>
      </w:r>
      <w:r w:rsidR="004D0E05" w:rsidRPr="00D84926">
        <w:rPr>
          <w:rStyle w:val="FootnoteReference"/>
          <w:b/>
          <w:bCs/>
        </w:rPr>
        <w:footnoteReference w:id="1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8: Primary Diagnosis"/>
      </w:tblPr>
      <w:tblGrid>
        <w:gridCol w:w="1423"/>
        <w:gridCol w:w="1038"/>
        <w:gridCol w:w="3213"/>
        <w:gridCol w:w="2514"/>
      </w:tblGrid>
      <w:tr w:rsidR="00C4358D" w:rsidRPr="00C4358D" w14:paraId="7EB1B384" w14:textId="77777777" w:rsidTr="00D84926">
        <w:trPr>
          <w:cantSplit/>
          <w:trHeight w:val="50"/>
          <w:tblHeader/>
        </w:trPr>
        <w:tc>
          <w:tcPr>
            <w:tcW w:w="0" w:type="auto"/>
            <w:shd w:val="clear" w:color="000000" w:fill="DBE5F1"/>
            <w:vAlign w:val="center"/>
            <w:hideMark/>
          </w:tcPr>
          <w:p w14:paraId="3A61DC56" w14:textId="77777777" w:rsidR="00C4358D" w:rsidRPr="00C4358D" w:rsidRDefault="00C4358D" w:rsidP="00C4358D">
            <w:pPr>
              <w:widowControl/>
              <w:autoSpaceDE/>
              <w:autoSpaceDN/>
              <w:rPr>
                <w:rFonts w:eastAsia="Times New Roman" w:cs="Calibri"/>
                <w:b/>
                <w:bCs/>
                <w:color w:val="000000"/>
              </w:rPr>
            </w:pPr>
            <w:r w:rsidRPr="00C4358D">
              <w:rPr>
                <w:rFonts w:eastAsia="Times New Roman" w:cs="Calibri"/>
                <w:b/>
                <w:bCs/>
                <w:color w:val="000000"/>
              </w:rPr>
              <w:t>HCPCS Code</w:t>
            </w:r>
          </w:p>
        </w:tc>
        <w:tc>
          <w:tcPr>
            <w:tcW w:w="0" w:type="auto"/>
            <w:shd w:val="clear" w:color="000000" w:fill="DBE5F1"/>
            <w:vAlign w:val="center"/>
            <w:hideMark/>
          </w:tcPr>
          <w:p w14:paraId="574EA9FB" w14:textId="77777777" w:rsidR="00C4358D" w:rsidRPr="00C4358D" w:rsidRDefault="00C4358D" w:rsidP="00C4358D">
            <w:pPr>
              <w:widowControl/>
              <w:autoSpaceDE/>
              <w:autoSpaceDN/>
              <w:rPr>
                <w:rFonts w:eastAsia="Times New Roman" w:cs="Calibri"/>
                <w:b/>
                <w:bCs/>
                <w:color w:val="000000"/>
              </w:rPr>
            </w:pPr>
            <w:r w:rsidRPr="00C4358D">
              <w:rPr>
                <w:rFonts w:eastAsia="Times New Roman" w:cs="Calibri"/>
                <w:b/>
                <w:bCs/>
                <w:color w:val="000000"/>
              </w:rPr>
              <w:t>Dx Code</w:t>
            </w:r>
          </w:p>
        </w:tc>
        <w:tc>
          <w:tcPr>
            <w:tcW w:w="0" w:type="auto"/>
            <w:shd w:val="clear" w:color="000000" w:fill="DBE5F1"/>
            <w:vAlign w:val="center"/>
            <w:hideMark/>
          </w:tcPr>
          <w:p w14:paraId="7FDBDABF" w14:textId="77777777" w:rsidR="00C4358D" w:rsidRPr="00C4358D" w:rsidRDefault="00C4358D" w:rsidP="00C4358D">
            <w:pPr>
              <w:widowControl/>
              <w:autoSpaceDE/>
              <w:autoSpaceDN/>
              <w:rPr>
                <w:rFonts w:eastAsia="Times New Roman" w:cs="Calibri"/>
                <w:b/>
                <w:bCs/>
                <w:color w:val="000000"/>
              </w:rPr>
            </w:pPr>
            <w:r w:rsidRPr="00C4358D">
              <w:rPr>
                <w:rFonts w:eastAsia="Times New Roman" w:cs="Calibri"/>
                <w:b/>
                <w:bCs/>
                <w:color w:val="000000"/>
              </w:rPr>
              <w:t>Dx Description</w:t>
            </w:r>
          </w:p>
        </w:tc>
        <w:tc>
          <w:tcPr>
            <w:tcW w:w="0" w:type="auto"/>
            <w:shd w:val="clear" w:color="000000" w:fill="DBE5F1"/>
            <w:vAlign w:val="center"/>
            <w:hideMark/>
          </w:tcPr>
          <w:p w14:paraId="3063C60D" w14:textId="61DD4323" w:rsidR="00C4358D" w:rsidRPr="00C4358D" w:rsidRDefault="001640A9" w:rsidP="00C4358D">
            <w:pPr>
              <w:widowControl/>
              <w:autoSpaceDE/>
              <w:autoSpaceDN/>
              <w:jc w:val="center"/>
              <w:rPr>
                <w:rFonts w:eastAsia="Times New Roman" w:cs="Calibri"/>
                <w:b/>
                <w:bCs/>
                <w:color w:val="000000"/>
              </w:rPr>
            </w:pPr>
            <w:r>
              <w:rPr>
                <w:rFonts w:eastAsia="Times New Roman" w:cs="Calibri"/>
                <w:b/>
                <w:bCs/>
                <w:color w:val="000000"/>
              </w:rPr>
              <w:t>Percent</w:t>
            </w:r>
            <w:r w:rsidR="00C4358D" w:rsidRPr="00C4358D">
              <w:rPr>
                <w:rFonts w:eastAsia="Times New Roman" w:cs="Calibri"/>
                <w:b/>
                <w:bCs/>
                <w:color w:val="000000"/>
              </w:rPr>
              <w:t xml:space="preserve"> with Condition</w:t>
            </w:r>
          </w:p>
        </w:tc>
      </w:tr>
      <w:tr w:rsidR="00C4358D" w:rsidRPr="00C4358D" w14:paraId="78ACF78B" w14:textId="77777777" w:rsidTr="00D84926">
        <w:trPr>
          <w:cantSplit/>
          <w:trHeight w:val="50"/>
        </w:trPr>
        <w:tc>
          <w:tcPr>
            <w:tcW w:w="0" w:type="auto"/>
            <w:vAlign w:val="center"/>
            <w:hideMark/>
          </w:tcPr>
          <w:p w14:paraId="0240C425" w14:textId="77777777"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D9222</w:t>
            </w:r>
          </w:p>
        </w:tc>
        <w:tc>
          <w:tcPr>
            <w:tcW w:w="0" w:type="auto"/>
            <w:vAlign w:val="center"/>
            <w:hideMark/>
          </w:tcPr>
          <w:p w14:paraId="09B17638" w14:textId="77777777"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K011</w:t>
            </w:r>
          </w:p>
        </w:tc>
        <w:tc>
          <w:tcPr>
            <w:tcW w:w="0" w:type="auto"/>
            <w:vAlign w:val="center"/>
            <w:hideMark/>
          </w:tcPr>
          <w:p w14:paraId="7810ED5A" w14:textId="77777777"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Impacted Teeth</w:t>
            </w:r>
          </w:p>
        </w:tc>
        <w:tc>
          <w:tcPr>
            <w:tcW w:w="0" w:type="auto"/>
            <w:vAlign w:val="center"/>
            <w:hideMark/>
          </w:tcPr>
          <w:p w14:paraId="3C6E9092" w14:textId="77777777" w:rsidR="00C4358D" w:rsidRPr="00C4358D" w:rsidRDefault="00C4358D" w:rsidP="00C4358D">
            <w:pPr>
              <w:widowControl/>
              <w:autoSpaceDE/>
              <w:autoSpaceDN/>
              <w:jc w:val="center"/>
              <w:rPr>
                <w:rFonts w:eastAsia="Times New Roman" w:cs="Calibri"/>
                <w:color w:val="000000"/>
              </w:rPr>
            </w:pPr>
            <w:r w:rsidRPr="00C4358D">
              <w:rPr>
                <w:rFonts w:eastAsia="Times New Roman" w:cs="Calibri"/>
                <w:color w:val="000000"/>
              </w:rPr>
              <w:t>94%</w:t>
            </w:r>
          </w:p>
        </w:tc>
      </w:tr>
      <w:tr w:rsidR="00C4358D" w:rsidRPr="00C4358D" w14:paraId="386AD572" w14:textId="77777777" w:rsidTr="00D84926">
        <w:trPr>
          <w:cantSplit/>
          <w:trHeight w:val="50"/>
        </w:trPr>
        <w:tc>
          <w:tcPr>
            <w:tcW w:w="0" w:type="auto"/>
            <w:vAlign w:val="center"/>
            <w:hideMark/>
          </w:tcPr>
          <w:p w14:paraId="1EA18CC7" w14:textId="033AD56F"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 </w:t>
            </w:r>
            <w:r w:rsidR="00D84926">
              <w:rPr>
                <w:rFonts w:eastAsia="Times New Roman" w:cs="Calibri"/>
                <w:color w:val="000000"/>
              </w:rPr>
              <w:t>-</w:t>
            </w:r>
          </w:p>
        </w:tc>
        <w:tc>
          <w:tcPr>
            <w:tcW w:w="0" w:type="auto"/>
            <w:vAlign w:val="center"/>
            <w:hideMark/>
          </w:tcPr>
          <w:p w14:paraId="36A27CBE" w14:textId="77777777"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K006</w:t>
            </w:r>
          </w:p>
        </w:tc>
        <w:tc>
          <w:tcPr>
            <w:tcW w:w="0" w:type="auto"/>
            <w:vAlign w:val="center"/>
            <w:hideMark/>
          </w:tcPr>
          <w:p w14:paraId="129865AF" w14:textId="77777777"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Disturbances in tooth eruption</w:t>
            </w:r>
          </w:p>
        </w:tc>
        <w:tc>
          <w:tcPr>
            <w:tcW w:w="0" w:type="auto"/>
            <w:vAlign w:val="center"/>
            <w:hideMark/>
          </w:tcPr>
          <w:p w14:paraId="7B81AA2F" w14:textId="77777777" w:rsidR="00C4358D" w:rsidRPr="00C4358D" w:rsidRDefault="00C4358D" w:rsidP="00C4358D">
            <w:pPr>
              <w:widowControl/>
              <w:autoSpaceDE/>
              <w:autoSpaceDN/>
              <w:jc w:val="center"/>
              <w:rPr>
                <w:rFonts w:eastAsia="Times New Roman" w:cs="Calibri"/>
                <w:color w:val="000000"/>
              </w:rPr>
            </w:pPr>
            <w:r w:rsidRPr="00C4358D">
              <w:rPr>
                <w:rFonts w:eastAsia="Times New Roman" w:cs="Calibri"/>
                <w:color w:val="000000"/>
              </w:rPr>
              <w:t>3%</w:t>
            </w:r>
          </w:p>
        </w:tc>
      </w:tr>
      <w:tr w:rsidR="00C4358D" w:rsidRPr="00C4358D" w14:paraId="44585430" w14:textId="77777777" w:rsidTr="00D84926">
        <w:trPr>
          <w:cantSplit/>
          <w:trHeight w:val="50"/>
        </w:trPr>
        <w:tc>
          <w:tcPr>
            <w:tcW w:w="0" w:type="auto"/>
            <w:vAlign w:val="center"/>
            <w:hideMark/>
          </w:tcPr>
          <w:p w14:paraId="758B405E" w14:textId="031AA51F"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 </w:t>
            </w:r>
            <w:r w:rsidR="00D84926">
              <w:rPr>
                <w:rFonts w:eastAsia="Times New Roman" w:cs="Calibri"/>
                <w:color w:val="000000"/>
              </w:rPr>
              <w:t>-</w:t>
            </w:r>
          </w:p>
        </w:tc>
        <w:tc>
          <w:tcPr>
            <w:tcW w:w="0" w:type="auto"/>
            <w:vAlign w:val="center"/>
            <w:hideMark/>
          </w:tcPr>
          <w:p w14:paraId="7A313AB3" w14:textId="77777777"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K010</w:t>
            </w:r>
          </w:p>
        </w:tc>
        <w:tc>
          <w:tcPr>
            <w:tcW w:w="0" w:type="auto"/>
            <w:vAlign w:val="center"/>
            <w:hideMark/>
          </w:tcPr>
          <w:p w14:paraId="4DA5DC3D" w14:textId="77777777" w:rsidR="00C4358D" w:rsidRPr="00C4358D" w:rsidRDefault="00C4358D" w:rsidP="00C4358D">
            <w:pPr>
              <w:widowControl/>
              <w:autoSpaceDE/>
              <w:autoSpaceDN/>
              <w:rPr>
                <w:rFonts w:eastAsia="Times New Roman" w:cs="Calibri"/>
                <w:color w:val="000000"/>
              </w:rPr>
            </w:pPr>
            <w:r w:rsidRPr="00C4358D">
              <w:rPr>
                <w:rFonts w:eastAsia="Times New Roman" w:cs="Calibri"/>
                <w:color w:val="000000"/>
              </w:rPr>
              <w:t>Embedded teeth</w:t>
            </w:r>
          </w:p>
        </w:tc>
        <w:tc>
          <w:tcPr>
            <w:tcW w:w="0" w:type="auto"/>
            <w:vAlign w:val="center"/>
            <w:hideMark/>
          </w:tcPr>
          <w:p w14:paraId="6EFEE9B2" w14:textId="77777777" w:rsidR="00C4358D" w:rsidRPr="00C4358D" w:rsidRDefault="00C4358D" w:rsidP="00C4358D">
            <w:pPr>
              <w:widowControl/>
              <w:autoSpaceDE/>
              <w:autoSpaceDN/>
              <w:jc w:val="center"/>
              <w:rPr>
                <w:rFonts w:eastAsia="Times New Roman" w:cs="Calibri"/>
                <w:color w:val="000000"/>
              </w:rPr>
            </w:pPr>
            <w:r w:rsidRPr="00C4358D">
              <w:rPr>
                <w:rFonts w:eastAsia="Times New Roman" w:cs="Calibri"/>
                <w:color w:val="000000"/>
              </w:rPr>
              <w:t>1%</w:t>
            </w:r>
          </w:p>
        </w:tc>
      </w:tr>
    </w:tbl>
    <w:p w14:paraId="3C2B2CD6" w14:textId="77777777" w:rsidR="00A73961" w:rsidRDefault="00A73961" w:rsidP="00283665"/>
    <w:p w14:paraId="39AA7290" w14:textId="075B70CB" w:rsidR="00DA6DA9" w:rsidRPr="00D84926" w:rsidRDefault="0052122D" w:rsidP="00283665">
      <w:pPr>
        <w:rPr>
          <w:b/>
          <w:bCs/>
        </w:rPr>
      </w:pPr>
      <w:r w:rsidRPr="00D84926">
        <w:rPr>
          <w:b/>
          <w:bCs/>
        </w:rPr>
        <w:t xml:space="preserve">Table </w:t>
      </w:r>
      <w:r w:rsidR="00C567E4" w:rsidRPr="00D84926">
        <w:rPr>
          <w:b/>
          <w:bCs/>
        </w:rPr>
        <w:t>9</w:t>
      </w:r>
      <w:r w:rsidRPr="00D84926">
        <w:rPr>
          <w:b/>
          <w:bCs/>
        </w:rPr>
        <w:t>:</w:t>
      </w:r>
      <w:r w:rsidR="00523845" w:rsidRPr="00D84926">
        <w:rPr>
          <w:b/>
          <w:bCs/>
        </w:rPr>
        <w:t xml:space="preserve"> Hospital Outpatient: Top 5 Secondary Diagnoses by Age</w:t>
      </w:r>
      <w:r w:rsidR="004D0E05" w:rsidRPr="00D84926">
        <w:rPr>
          <w:rStyle w:val="FootnoteReference"/>
          <w:b/>
          <w:bCs/>
        </w:rPr>
        <w:footnoteReference w:id="1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Hospital Outpatient: Top 5 Secondary Diagnoses by Age"/>
      </w:tblPr>
      <w:tblGrid>
        <w:gridCol w:w="2136"/>
        <w:gridCol w:w="3138"/>
        <w:gridCol w:w="2268"/>
        <w:gridCol w:w="2268"/>
      </w:tblGrid>
      <w:tr w:rsidR="0052122D" w:rsidRPr="0052122D" w14:paraId="2F01D29D" w14:textId="77777777" w:rsidTr="00D84926">
        <w:trPr>
          <w:cantSplit/>
          <w:trHeight w:val="320"/>
          <w:tblHeader/>
        </w:trPr>
        <w:tc>
          <w:tcPr>
            <w:tcW w:w="0" w:type="auto"/>
            <w:shd w:val="clear" w:color="auto" w:fill="F2F2F2" w:themeFill="background1" w:themeFillShade="F2"/>
            <w:noWrap/>
            <w:vAlign w:val="center"/>
            <w:hideMark/>
          </w:tcPr>
          <w:p w14:paraId="3EE4241D" w14:textId="77777777" w:rsidR="0052122D" w:rsidRPr="0052122D" w:rsidRDefault="0052122D" w:rsidP="0052122D">
            <w:pPr>
              <w:widowControl/>
              <w:autoSpaceDE/>
              <w:autoSpaceDN/>
              <w:rPr>
                <w:rFonts w:eastAsia="Times New Roman" w:cs="Calibri"/>
                <w:b/>
                <w:bCs/>
                <w:color w:val="000000"/>
              </w:rPr>
            </w:pPr>
            <w:r w:rsidRPr="0052122D">
              <w:rPr>
                <w:rFonts w:eastAsia="Times New Roman" w:cs="Calibri"/>
                <w:b/>
                <w:bCs/>
                <w:color w:val="000000"/>
              </w:rPr>
              <w:t>Non-Primary Dx Code</w:t>
            </w:r>
          </w:p>
        </w:tc>
        <w:tc>
          <w:tcPr>
            <w:tcW w:w="0" w:type="auto"/>
            <w:shd w:val="clear" w:color="auto" w:fill="F2F2F2" w:themeFill="background1" w:themeFillShade="F2"/>
            <w:noWrap/>
            <w:vAlign w:val="center"/>
            <w:hideMark/>
          </w:tcPr>
          <w:p w14:paraId="514A303B" w14:textId="77777777" w:rsidR="0052122D" w:rsidRPr="0052122D" w:rsidRDefault="0052122D" w:rsidP="00E70265">
            <w:pPr>
              <w:widowControl/>
              <w:autoSpaceDE/>
              <w:autoSpaceDN/>
              <w:rPr>
                <w:rFonts w:eastAsia="Times New Roman" w:cs="Calibri"/>
                <w:b/>
                <w:bCs/>
                <w:color w:val="000000"/>
              </w:rPr>
            </w:pPr>
            <w:r w:rsidRPr="0052122D">
              <w:rPr>
                <w:rFonts w:eastAsia="Times New Roman" w:cs="Calibri"/>
                <w:b/>
                <w:bCs/>
                <w:color w:val="000000"/>
              </w:rPr>
              <w:t>Non-Primary Dx Description</w:t>
            </w:r>
          </w:p>
        </w:tc>
        <w:tc>
          <w:tcPr>
            <w:tcW w:w="0" w:type="auto"/>
            <w:shd w:val="clear" w:color="auto" w:fill="F2F2F2" w:themeFill="background1" w:themeFillShade="F2"/>
            <w:noWrap/>
            <w:vAlign w:val="center"/>
            <w:hideMark/>
          </w:tcPr>
          <w:p w14:paraId="2682A393" w14:textId="77777777" w:rsidR="00D84926" w:rsidRDefault="00D84926" w:rsidP="00523845">
            <w:pPr>
              <w:widowControl/>
              <w:autoSpaceDE/>
              <w:autoSpaceDN/>
              <w:jc w:val="center"/>
              <w:rPr>
                <w:rFonts w:eastAsia="Times New Roman" w:cs="Calibri"/>
                <w:b/>
                <w:bCs/>
                <w:color w:val="000000"/>
              </w:rPr>
            </w:pPr>
            <w:r>
              <w:rPr>
                <w:rFonts w:eastAsia="Times New Roman" w:cs="Calibri"/>
                <w:b/>
                <w:bCs/>
                <w:color w:val="000000"/>
              </w:rPr>
              <w:t xml:space="preserve">Percent </w:t>
            </w:r>
            <w:r w:rsidRPr="0052122D">
              <w:rPr>
                <w:rFonts w:eastAsia="Times New Roman" w:cs="Calibri"/>
                <w:b/>
                <w:bCs/>
                <w:color w:val="000000"/>
              </w:rPr>
              <w:t>with Condition</w:t>
            </w:r>
            <w:r w:rsidRPr="0052122D">
              <w:rPr>
                <w:rFonts w:eastAsia="Times New Roman" w:cs="Calibri"/>
                <w:b/>
                <w:bCs/>
                <w:color w:val="000000"/>
              </w:rPr>
              <w:t xml:space="preserve"> </w:t>
            </w:r>
          </w:p>
          <w:p w14:paraId="262938BA" w14:textId="0962988A" w:rsidR="0052122D" w:rsidRPr="0052122D" w:rsidRDefault="0052122D" w:rsidP="00523845">
            <w:pPr>
              <w:widowControl/>
              <w:autoSpaceDE/>
              <w:autoSpaceDN/>
              <w:jc w:val="center"/>
              <w:rPr>
                <w:rFonts w:eastAsia="Times New Roman" w:cs="Calibri"/>
                <w:b/>
                <w:bCs/>
                <w:color w:val="000000"/>
              </w:rPr>
            </w:pPr>
            <w:r w:rsidRPr="0052122D">
              <w:rPr>
                <w:rFonts w:eastAsia="Times New Roman" w:cs="Calibri"/>
                <w:b/>
                <w:bCs/>
                <w:color w:val="000000"/>
              </w:rPr>
              <w:t>0 to 10</w:t>
            </w:r>
          </w:p>
        </w:tc>
        <w:tc>
          <w:tcPr>
            <w:tcW w:w="0" w:type="auto"/>
            <w:shd w:val="clear" w:color="auto" w:fill="F2F2F2" w:themeFill="background1" w:themeFillShade="F2"/>
            <w:noWrap/>
            <w:vAlign w:val="center"/>
            <w:hideMark/>
          </w:tcPr>
          <w:p w14:paraId="40F5C6C4" w14:textId="77777777" w:rsidR="00D84926" w:rsidRDefault="00D84926" w:rsidP="00D84926">
            <w:pPr>
              <w:widowControl/>
              <w:autoSpaceDE/>
              <w:autoSpaceDN/>
              <w:jc w:val="center"/>
              <w:rPr>
                <w:rFonts w:eastAsia="Times New Roman" w:cs="Calibri"/>
                <w:b/>
                <w:bCs/>
                <w:color w:val="000000"/>
              </w:rPr>
            </w:pPr>
            <w:r>
              <w:rPr>
                <w:rFonts w:eastAsia="Times New Roman" w:cs="Calibri"/>
                <w:b/>
                <w:bCs/>
                <w:color w:val="000000"/>
              </w:rPr>
              <w:t xml:space="preserve">Percent </w:t>
            </w:r>
            <w:r w:rsidRPr="0052122D">
              <w:rPr>
                <w:rFonts w:eastAsia="Times New Roman" w:cs="Calibri"/>
                <w:b/>
                <w:bCs/>
                <w:color w:val="000000"/>
              </w:rPr>
              <w:t xml:space="preserve">with Condition </w:t>
            </w:r>
          </w:p>
          <w:p w14:paraId="167203A0" w14:textId="77777777" w:rsidR="0052122D" w:rsidRPr="0052122D" w:rsidRDefault="0052122D" w:rsidP="00523845">
            <w:pPr>
              <w:widowControl/>
              <w:autoSpaceDE/>
              <w:autoSpaceDN/>
              <w:jc w:val="center"/>
              <w:rPr>
                <w:rFonts w:eastAsia="Times New Roman" w:cs="Calibri"/>
                <w:b/>
                <w:bCs/>
                <w:color w:val="000000"/>
              </w:rPr>
            </w:pPr>
            <w:r w:rsidRPr="0052122D">
              <w:rPr>
                <w:rFonts w:eastAsia="Times New Roman" w:cs="Calibri"/>
                <w:b/>
                <w:bCs/>
                <w:color w:val="000000"/>
              </w:rPr>
              <w:t>11 to 21</w:t>
            </w:r>
          </w:p>
        </w:tc>
      </w:tr>
      <w:tr w:rsidR="0052122D" w:rsidRPr="0052122D" w14:paraId="4BBEEF14" w14:textId="77777777" w:rsidTr="00D84926">
        <w:trPr>
          <w:cantSplit/>
          <w:trHeight w:val="320"/>
        </w:trPr>
        <w:tc>
          <w:tcPr>
            <w:tcW w:w="0" w:type="auto"/>
            <w:noWrap/>
            <w:vAlign w:val="center"/>
            <w:hideMark/>
          </w:tcPr>
          <w:p w14:paraId="73F9A16E" w14:textId="77777777" w:rsidR="0052122D" w:rsidRPr="0052122D" w:rsidRDefault="0052122D" w:rsidP="00E70265">
            <w:pPr>
              <w:widowControl/>
              <w:autoSpaceDE/>
              <w:autoSpaceDN/>
              <w:rPr>
                <w:rFonts w:eastAsia="Times New Roman" w:cs="Calibri"/>
                <w:color w:val="000000"/>
              </w:rPr>
            </w:pPr>
            <w:r w:rsidRPr="0052122D">
              <w:rPr>
                <w:rFonts w:eastAsia="Times New Roman" w:cs="Calibri"/>
                <w:color w:val="000000"/>
              </w:rPr>
              <w:t>F430</w:t>
            </w:r>
          </w:p>
        </w:tc>
        <w:tc>
          <w:tcPr>
            <w:tcW w:w="0" w:type="auto"/>
            <w:noWrap/>
            <w:vAlign w:val="center"/>
            <w:hideMark/>
          </w:tcPr>
          <w:p w14:paraId="4AB2F557" w14:textId="77777777" w:rsidR="0052122D" w:rsidRPr="0052122D" w:rsidRDefault="0052122D" w:rsidP="0052122D">
            <w:pPr>
              <w:widowControl/>
              <w:autoSpaceDE/>
              <w:autoSpaceDN/>
              <w:rPr>
                <w:rFonts w:eastAsia="Times New Roman" w:cs="Calibri"/>
                <w:color w:val="000000"/>
              </w:rPr>
            </w:pPr>
            <w:r w:rsidRPr="0052122D">
              <w:rPr>
                <w:rFonts w:eastAsia="Times New Roman" w:cs="Calibri"/>
                <w:color w:val="000000"/>
              </w:rPr>
              <w:t>Acute stress reaction</w:t>
            </w:r>
          </w:p>
        </w:tc>
        <w:tc>
          <w:tcPr>
            <w:tcW w:w="0" w:type="auto"/>
            <w:noWrap/>
            <w:vAlign w:val="center"/>
            <w:hideMark/>
          </w:tcPr>
          <w:p w14:paraId="4E7AF886"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28%</w:t>
            </w:r>
          </w:p>
        </w:tc>
        <w:tc>
          <w:tcPr>
            <w:tcW w:w="0" w:type="auto"/>
            <w:noWrap/>
            <w:vAlign w:val="center"/>
            <w:hideMark/>
          </w:tcPr>
          <w:p w14:paraId="5E9D186D"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10%</w:t>
            </w:r>
          </w:p>
        </w:tc>
      </w:tr>
      <w:tr w:rsidR="0052122D" w:rsidRPr="0052122D" w14:paraId="34338A0A" w14:textId="77777777" w:rsidTr="00D84926">
        <w:trPr>
          <w:cantSplit/>
          <w:trHeight w:val="320"/>
        </w:trPr>
        <w:tc>
          <w:tcPr>
            <w:tcW w:w="0" w:type="auto"/>
            <w:noWrap/>
            <w:vAlign w:val="center"/>
            <w:hideMark/>
          </w:tcPr>
          <w:p w14:paraId="76E6B82A" w14:textId="77777777" w:rsidR="0052122D" w:rsidRPr="0052122D" w:rsidRDefault="0052122D" w:rsidP="00E70265">
            <w:pPr>
              <w:widowControl/>
              <w:autoSpaceDE/>
              <w:autoSpaceDN/>
              <w:rPr>
                <w:rFonts w:eastAsia="Times New Roman" w:cs="Calibri"/>
                <w:color w:val="000000"/>
              </w:rPr>
            </w:pPr>
            <w:r w:rsidRPr="0052122D">
              <w:rPr>
                <w:rFonts w:eastAsia="Times New Roman" w:cs="Calibri"/>
                <w:color w:val="000000"/>
              </w:rPr>
              <w:t>F840</w:t>
            </w:r>
          </w:p>
        </w:tc>
        <w:tc>
          <w:tcPr>
            <w:tcW w:w="0" w:type="auto"/>
            <w:noWrap/>
            <w:vAlign w:val="center"/>
            <w:hideMark/>
          </w:tcPr>
          <w:p w14:paraId="0C3424AA" w14:textId="77777777" w:rsidR="0052122D" w:rsidRPr="0052122D" w:rsidRDefault="0052122D" w:rsidP="0052122D">
            <w:pPr>
              <w:widowControl/>
              <w:autoSpaceDE/>
              <w:autoSpaceDN/>
              <w:rPr>
                <w:rFonts w:eastAsia="Times New Roman" w:cs="Calibri"/>
                <w:color w:val="000000"/>
              </w:rPr>
            </w:pPr>
            <w:r w:rsidRPr="0052122D">
              <w:rPr>
                <w:rFonts w:eastAsia="Times New Roman" w:cs="Calibri"/>
                <w:color w:val="000000"/>
              </w:rPr>
              <w:t>Autistic disorder</w:t>
            </w:r>
          </w:p>
        </w:tc>
        <w:tc>
          <w:tcPr>
            <w:tcW w:w="0" w:type="auto"/>
            <w:noWrap/>
            <w:vAlign w:val="center"/>
            <w:hideMark/>
          </w:tcPr>
          <w:p w14:paraId="476F358B"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7%</w:t>
            </w:r>
          </w:p>
        </w:tc>
        <w:tc>
          <w:tcPr>
            <w:tcW w:w="0" w:type="auto"/>
            <w:noWrap/>
            <w:vAlign w:val="center"/>
            <w:hideMark/>
          </w:tcPr>
          <w:p w14:paraId="106600A6"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8%</w:t>
            </w:r>
          </w:p>
        </w:tc>
      </w:tr>
      <w:tr w:rsidR="0052122D" w:rsidRPr="0052122D" w14:paraId="07A4AB54" w14:textId="77777777" w:rsidTr="00D84926">
        <w:trPr>
          <w:cantSplit/>
          <w:trHeight w:val="320"/>
        </w:trPr>
        <w:tc>
          <w:tcPr>
            <w:tcW w:w="0" w:type="auto"/>
            <w:noWrap/>
            <w:vAlign w:val="center"/>
            <w:hideMark/>
          </w:tcPr>
          <w:p w14:paraId="38438224" w14:textId="77777777" w:rsidR="0052122D" w:rsidRPr="0052122D" w:rsidRDefault="0052122D" w:rsidP="00E70265">
            <w:pPr>
              <w:widowControl/>
              <w:autoSpaceDE/>
              <w:autoSpaceDN/>
              <w:rPr>
                <w:rFonts w:eastAsia="Times New Roman" w:cs="Calibri"/>
                <w:color w:val="000000"/>
              </w:rPr>
            </w:pPr>
            <w:r w:rsidRPr="0052122D">
              <w:rPr>
                <w:rFonts w:eastAsia="Times New Roman" w:cs="Calibri"/>
                <w:color w:val="000000"/>
              </w:rPr>
              <w:t>K0510</w:t>
            </w:r>
          </w:p>
        </w:tc>
        <w:tc>
          <w:tcPr>
            <w:tcW w:w="0" w:type="auto"/>
            <w:noWrap/>
            <w:vAlign w:val="center"/>
            <w:hideMark/>
          </w:tcPr>
          <w:p w14:paraId="10E4771F" w14:textId="77777777" w:rsidR="0052122D" w:rsidRPr="0052122D" w:rsidRDefault="0052122D" w:rsidP="0052122D">
            <w:pPr>
              <w:widowControl/>
              <w:autoSpaceDE/>
              <w:autoSpaceDN/>
              <w:rPr>
                <w:rFonts w:eastAsia="Times New Roman" w:cs="Calibri"/>
                <w:color w:val="000000"/>
              </w:rPr>
            </w:pPr>
            <w:r w:rsidRPr="0052122D">
              <w:rPr>
                <w:rFonts w:eastAsia="Times New Roman" w:cs="Calibri"/>
                <w:color w:val="000000"/>
              </w:rPr>
              <w:t>Chronic gingivitis, plaque induced</w:t>
            </w:r>
          </w:p>
        </w:tc>
        <w:tc>
          <w:tcPr>
            <w:tcW w:w="0" w:type="auto"/>
            <w:noWrap/>
            <w:vAlign w:val="center"/>
            <w:hideMark/>
          </w:tcPr>
          <w:p w14:paraId="27BAA426"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6%</w:t>
            </w:r>
          </w:p>
        </w:tc>
        <w:tc>
          <w:tcPr>
            <w:tcW w:w="0" w:type="auto"/>
            <w:noWrap/>
            <w:vAlign w:val="center"/>
            <w:hideMark/>
          </w:tcPr>
          <w:p w14:paraId="3E380F03"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4%</w:t>
            </w:r>
          </w:p>
        </w:tc>
      </w:tr>
      <w:tr w:rsidR="0052122D" w:rsidRPr="0052122D" w14:paraId="09BE8D13" w14:textId="77777777" w:rsidTr="00D84926">
        <w:trPr>
          <w:cantSplit/>
          <w:trHeight w:val="320"/>
        </w:trPr>
        <w:tc>
          <w:tcPr>
            <w:tcW w:w="0" w:type="auto"/>
            <w:noWrap/>
            <w:vAlign w:val="center"/>
            <w:hideMark/>
          </w:tcPr>
          <w:p w14:paraId="534D62B2" w14:textId="77777777" w:rsidR="0052122D" w:rsidRPr="0052122D" w:rsidRDefault="0052122D" w:rsidP="00E70265">
            <w:pPr>
              <w:widowControl/>
              <w:autoSpaceDE/>
              <w:autoSpaceDN/>
              <w:rPr>
                <w:rFonts w:eastAsia="Times New Roman" w:cs="Calibri"/>
                <w:color w:val="000000"/>
              </w:rPr>
            </w:pPr>
            <w:r w:rsidRPr="0052122D">
              <w:rPr>
                <w:rFonts w:eastAsia="Times New Roman" w:cs="Calibri"/>
                <w:color w:val="000000"/>
              </w:rPr>
              <w:t>K029</w:t>
            </w:r>
          </w:p>
        </w:tc>
        <w:tc>
          <w:tcPr>
            <w:tcW w:w="0" w:type="auto"/>
            <w:noWrap/>
            <w:vAlign w:val="center"/>
            <w:hideMark/>
          </w:tcPr>
          <w:p w14:paraId="5AD034CF" w14:textId="77777777" w:rsidR="0052122D" w:rsidRPr="0052122D" w:rsidRDefault="0052122D" w:rsidP="0052122D">
            <w:pPr>
              <w:widowControl/>
              <w:autoSpaceDE/>
              <w:autoSpaceDN/>
              <w:rPr>
                <w:rFonts w:eastAsia="Times New Roman" w:cs="Calibri"/>
                <w:color w:val="000000"/>
              </w:rPr>
            </w:pPr>
            <w:r w:rsidRPr="0052122D">
              <w:rPr>
                <w:rFonts w:eastAsia="Times New Roman" w:cs="Calibri"/>
                <w:color w:val="000000"/>
              </w:rPr>
              <w:t>Dental caries, unspecified</w:t>
            </w:r>
          </w:p>
        </w:tc>
        <w:tc>
          <w:tcPr>
            <w:tcW w:w="0" w:type="auto"/>
            <w:noWrap/>
            <w:vAlign w:val="center"/>
            <w:hideMark/>
          </w:tcPr>
          <w:p w14:paraId="0086C37E"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5%</w:t>
            </w:r>
          </w:p>
        </w:tc>
        <w:tc>
          <w:tcPr>
            <w:tcW w:w="0" w:type="auto"/>
            <w:noWrap/>
            <w:vAlign w:val="center"/>
            <w:hideMark/>
          </w:tcPr>
          <w:p w14:paraId="4D066787"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4%</w:t>
            </w:r>
          </w:p>
        </w:tc>
      </w:tr>
      <w:tr w:rsidR="0052122D" w:rsidRPr="0052122D" w14:paraId="2F39DC01" w14:textId="77777777" w:rsidTr="00D84926">
        <w:trPr>
          <w:cantSplit/>
          <w:trHeight w:val="320"/>
        </w:trPr>
        <w:tc>
          <w:tcPr>
            <w:tcW w:w="0" w:type="auto"/>
            <w:noWrap/>
            <w:vAlign w:val="center"/>
            <w:hideMark/>
          </w:tcPr>
          <w:p w14:paraId="6E36C779" w14:textId="77777777" w:rsidR="0052122D" w:rsidRPr="0052122D" w:rsidRDefault="0052122D" w:rsidP="00E70265">
            <w:pPr>
              <w:widowControl/>
              <w:autoSpaceDE/>
              <w:autoSpaceDN/>
              <w:rPr>
                <w:rFonts w:eastAsia="Times New Roman" w:cs="Calibri"/>
                <w:color w:val="000000"/>
              </w:rPr>
            </w:pPr>
            <w:r w:rsidRPr="0052122D">
              <w:rPr>
                <w:rFonts w:eastAsia="Times New Roman" w:cs="Calibri"/>
                <w:color w:val="000000"/>
              </w:rPr>
              <w:t>F419</w:t>
            </w:r>
          </w:p>
        </w:tc>
        <w:tc>
          <w:tcPr>
            <w:tcW w:w="0" w:type="auto"/>
            <w:noWrap/>
            <w:vAlign w:val="center"/>
            <w:hideMark/>
          </w:tcPr>
          <w:p w14:paraId="468F684A" w14:textId="77777777" w:rsidR="0052122D" w:rsidRPr="0052122D" w:rsidRDefault="0052122D" w:rsidP="0052122D">
            <w:pPr>
              <w:widowControl/>
              <w:autoSpaceDE/>
              <w:autoSpaceDN/>
              <w:rPr>
                <w:rFonts w:eastAsia="Times New Roman" w:cs="Calibri"/>
                <w:color w:val="000000"/>
              </w:rPr>
            </w:pPr>
            <w:r w:rsidRPr="0052122D">
              <w:rPr>
                <w:rFonts w:eastAsia="Times New Roman" w:cs="Calibri"/>
                <w:color w:val="000000"/>
              </w:rPr>
              <w:t>Anxiety disorder, unspecified</w:t>
            </w:r>
          </w:p>
        </w:tc>
        <w:tc>
          <w:tcPr>
            <w:tcW w:w="0" w:type="auto"/>
            <w:noWrap/>
            <w:vAlign w:val="center"/>
            <w:hideMark/>
          </w:tcPr>
          <w:p w14:paraId="06A0B820"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2%</w:t>
            </w:r>
          </w:p>
        </w:tc>
        <w:tc>
          <w:tcPr>
            <w:tcW w:w="0" w:type="auto"/>
            <w:noWrap/>
            <w:vAlign w:val="center"/>
            <w:hideMark/>
          </w:tcPr>
          <w:p w14:paraId="5EC463E9" w14:textId="77777777" w:rsidR="0052122D" w:rsidRPr="0052122D" w:rsidRDefault="0052122D" w:rsidP="00523845">
            <w:pPr>
              <w:widowControl/>
              <w:autoSpaceDE/>
              <w:autoSpaceDN/>
              <w:jc w:val="center"/>
              <w:rPr>
                <w:rFonts w:eastAsia="Times New Roman" w:cs="Calibri"/>
                <w:color w:val="000000"/>
              </w:rPr>
            </w:pPr>
            <w:r w:rsidRPr="0052122D">
              <w:rPr>
                <w:rFonts w:eastAsia="Times New Roman" w:cs="Calibri"/>
                <w:color w:val="000000"/>
              </w:rPr>
              <w:t>4%</w:t>
            </w:r>
          </w:p>
        </w:tc>
      </w:tr>
    </w:tbl>
    <w:p w14:paraId="7C76A177" w14:textId="77777777" w:rsidR="00E37023" w:rsidRDefault="00E37023" w:rsidP="00283665"/>
    <w:p w14:paraId="7D12343C" w14:textId="5A02C435" w:rsidR="00E70265" w:rsidRPr="001A45C8" w:rsidRDefault="00E37023" w:rsidP="00283665">
      <w:pPr>
        <w:rPr>
          <w:b/>
          <w:bCs/>
        </w:rPr>
      </w:pPr>
      <w:r w:rsidRPr="001A45C8">
        <w:rPr>
          <w:b/>
          <w:bCs/>
        </w:rPr>
        <w:t xml:space="preserve">Table </w:t>
      </w:r>
      <w:r w:rsidR="00021185" w:rsidRPr="001A45C8">
        <w:rPr>
          <w:b/>
          <w:bCs/>
        </w:rPr>
        <w:t>1</w:t>
      </w:r>
      <w:r w:rsidR="00C567E4" w:rsidRPr="001A45C8">
        <w:rPr>
          <w:b/>
          <w:bCs/>
        </w:rPr>
        <w:t>0</w:t>
      </w:r>
      <w:r w:rsidRPr="001A45C8">
        <w:rPr>
          <w:b/>
          <w:bCs/>
        </w:rPr>
        <w:t>: Office: Top 5 Secondary Diagnoses</w:t>
      </w:r>
      <w:r w:rsidR="004D0E05" w:rsidRPr="001A45C8">
        <w:rPr>
          <w:rStyle w:val="FootnoteReference"/>
          <w:b/>
          <w:bCs/>
        </w:rPr>
        <w:footnoteReference w:id="1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Office: Top 5 Secondary Diagnoses"/>
      </w:tblPr>
      <w:tblGrid>
        <w:gridCol w:w="2366"/>
        <w:gridCol w:w="3521"/>
        <w:gridCol w:w="2514"/>
      </w:tblGrid>
      <w:tr w:rsidR="0028021D" w:rsidRPr="0028021D" w14:paraId="74387EDE" w14:textId="77777777" w:rsidTr="00D84926">
        <w:trPr>
          <w:cantSplit/>
          <w:trHeight w:val="340"/>
          <w:tblHeader/>
        </w:trPr>
        <w:tc>
          <w:tcPr>
            <w:tcW w:w="0" w:type="auto"/>
            <w:shd w:val="clear" w:color="auto" w:fill="DBE5F1" w:themeFill="accent1" w:themeFillTint="33"/>
            <w:noWrap/>
            <w:vAlign w:val="center"/>
            <w:hideMark/>
          </w:tcPr>
          <w:p w14:paraId="6974F900" w14:textId="77777777" w:rsidR="0028021D" w:rsidRPr="0028021D" w:rsidRDefault="0028021D" w:rsidP="0028021D">
            <w:pPr>
              <w:widowControl/>
              <w:autoSpaceDE/>
              <w:autoSpaceDN/>
              <w:rPr>
                <w:rFonts w:asciiTheme="minorHAnsi" w:eastAsia="Times New Roman" w:hAnsiTheme="minorHAnsi"/>
                <w:b/>
                <w:bCs/>
                <w:color w:val="000000"/>
              </w:rPr>
            </w:pPr>
            <w:r w:rsidRPr="0028021D">
              <w:rPr>
                <w:rFonts w:asciiTheme="minorHAnsi" w:eastAsia="Times New Roman" w:hAnsiTheme="minorHAnsi"/>
                <w:b/>
                <w:bCs/>
                <w:color w:val="000000"/>
              </w:rPr>
              <w:t>Non-Primary Dx Code</w:t>
            </w:r>
          </w:p>
        </w:tc>
        <w:tc>
          <w:tcPr>
            <w:tcW w:w="0" w:type="auto"/>
            <w:shd w:val="clear" w:color="auto" w:fill="DBE5F1" w:themeFill="accent1" w:themeFillTint="33"/>
            <w:noWrap/>
            <w:vAlign w:val="center"/>
            <w:hideMark/>
          </w:tcPr>
          <w:p w14:paraId="47816E3C" w14:textId="77777777" w:rsidR="0028021D" w:rsidRPr="0028021D" w:rsidRDefault="0028021D" w:rsidP="0028021D">
            <w:pPr>
              <w:widowControl/>
              <w:autoSpaceDE/>
              <w:autoSpaceDN/>
              <w:rPr>
                <w:rFonts w:asciiTheme="minorHAnsi" w:eastAsia="Times New Roman" w:hAnsiTheme="minorHAnsi"/>
                <w:b/>
                <w:bCs/>
                <w:color w:val="000000"/>
              </w:rPr>
            </w:pPr>
            <w:r w:rsidRPr="0028021D">
              <w:rPr>
                <w:rFonts w:asciiTheme="minorHAnsi" w:eastAsia="Times New Roman" w:hAnsiTheme="minorHAnsi"/>
                <w:b/>
                <w:bCs/>
                <w:color w:val="000000"/>
              </w:rPr>
              <w:t>Non-Primary Dx Description</w:t>
            </w:r>
          </w:p>
        </w:tc>
        <w:tc>
          <w:tcPr>
            <w:tcW w:w="0" w:type="auto"/>
            <w:shd w:val="clear" w:color="auto" w:fill="DBE5F1" w:themeFill="accent1" w:themeFillTint="33"/>
            <w:noWrap/>
            <w:vAlign w:val="center"/>
            <w:hideMark/>
          </w:tcPr>
          <w:p w14:paraId="4B6EC997" w14:textId="2ECA5AFA" w:rsidR="0028021D" w:rsidRPr="0028021D" w:rsidRDefault="001640A9" w:rsidP="0028021D">
            <w:pPr>
              <w:widowControl/>
              <w:autoSpaceDE/>
              <w:autoSpaceDN/>
              <w:jc w:val="center"/>
              <w:rPr>
                <w:rFonts w:asciiTheme="minorHAnsi" w:eastAsia="Times New Roman" w:hAnsiTheme="minorHAnsi"/>
                <w:b/>
                <w:bCs/>
                <w:color w:val="000000"/>
              </w:rPr>
            </w:pPr>
            <w:r>
              <w:rPr>
                <w:rFonts w:asciiTheme="minorHAnsi" w:eastAsia="Times New Roman" w:hAnsiTheme="minorHAnsi"/>
                <w:b/>
                <w:bCs/>
                <w:color w:val="000000"/>
              </w:rPr>
              <w:t>Percent</w:t>
            </w:r>
            <w:r w:rsidR="0028021D" w:rsidRPr="0028021D">
              <w:rPr>
                <w:rFonts w:asciiTheme="minorHAnsi" w:eastAsia="Times New Roman" w:hAnsiTheme="minorHAnsi"/>
                <w:b/>
                <w:bCs/>
                <w:color w:val="000000"/>
              </w:rPr>
              <w:t xml:space="preserve"> with Condition</w:t>
            </w:r>
          </w:p>
        </w:tc>
      </w:tr>
      <w:tr w:rsidR="0028021D" w:rsidRPr="0028021D" w14:paraId="627255D9" w14:textId="77777777" w:rsidTr="00D84926">
        <w:trPr>
          <w:cantSplit/>
          <w:trHeight w:val="340"/>
        </w:trPr>
        <w:tc>
          <w:tcPr>
            <w:tcW w:w="0" w:type="auto"/>
            <w:noWrap/>
            <w:vAlign w:val="center"/>
            <w:hideMark/>
          </w:tcPr>
          <w:p w14:paraId="366802C2"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K029</w:t>
            </w:r>
          </w:p>
        </w:tc>
        <w:tc>
          <w:tcPr>
            <w:tcW w:w="0" w:type="auto"/>
            <w:noWrap/>
            <w:vAlign w:val="center"/>
            <w:hideMark/>
          </w:tcPr>
          <w:p w14:paraId="4F3EACE9"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Dental caries, unspecified</w:t>
            </w:r>
          </w:p>
        </w:tc>
        <w:tc>
          <w:tcPr>
            <w:tcW w:w="0" w:type="auto"/>
            <w:noWrap/>
            <w:vAlign w:val="center"/>
            <w:hideMark/>
          </w:tcPr>
          <w:p w14:paraId="327C37B8" w14:textId="77777777" w:rsidR="0028021D" w:rsidRPr="0028021D" w:rsidRDefault="0028021D" w:rsidP="0028021D">
            <w:pPr>
              <w:widowControl/>
              <w:autoSpaceDE/>
              <w:autoSpaceDN/>
              <w:jc w:val="center"/>
              <w:rPr>
                <w:rFonts w:asciiTheme="minorHAnsi" w:eastAsia="Times New Roman" w:hAnsiTheme="minorHAnsi"/>
                <w:color w:val="000000"/>
              </w:rPr>
            </w:pPr>
            <w:r w:rsidRPr="0028021D">
              <w:rPr>
                <w:rFonts w:asciiTheme="minorHAnsi" w:eastAsia="Times New Roman" w:hAnsiTheme="minorHAnsi"/>
                <w:color w:val="000000"/>
              </w:rPr>
              <w:t>17%</w:t>
            </w:r>
          </w:p>
        </w:tc>
      </w:tr>
      <w:tr w:rsidR="0028021D" w:rsidRPr="0028021D" w14:paraId="134A23C0" w14:textId="77777777" w:rsidTr="00D84926">
        <w:trPr>
          <w:cantSplit/>
          <w:trHeight w:val="340"/>
        </w:trPr>
        <w:tc>
          <w:tcPr>
            <w:tcW w:w="0" w:type="auto"/>
            <w:noWrap/>
            <w:vAlign w:val="center"/>
            <w:hideMark/>
          </w:tcPr>
          <w:p w14:paraId="57545506"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K006</w:t>
            </w:r>
          </w:p>
        </w:tc>
        <w:tc>
          <w:tcPr>
            <w:tcW w:w="0" w:type="auto"/>
            <w:noWrap/>
            <w:vAlign w:val="center"/>
            <w:hideMark/>
          </w:tcPr>
          <w:p w14:paraId="594EB64C"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Disturbances in tooth eruption</w:t>
            </w:r>
          </w:p>
        </w:tc>
        <w:tc>
          <w:tcPr>
            <w:tcW w:w="0" w:type="auto"/>
            <w:noWrap/>
            <w:vAlign w:val="center"/>
            <w:hideMark/>
          </w:tcPr>
          <w:p w14:paraId="3BB469C3" w14:textId="77777777" w:rsidR="0028021D" w:rsidRPr="0028021D" w:rsidRDefault="0028021D" w:rsidP="0028021D">
            <w:pPr>
              <w:widowControl/>
              <w:autoSpaceDE/>
              <w:autoSpaceDN/>
              <w:jc w:val="center"/>
              <w:rPr>
                <w:rFonts w:asciiTheme="minorHAnsi" w:eastAsia="Times New Roman" w:hAnsiTheme="minorHAnsi"/>
                <w:color w:val="000000"/>
              </w:rPr>
            </w:pPr>
            <w:r w:rsidRPr="0028021D">
              <w:rPr>
                <w:rFonts w:asciiTheme="minorHAnsi" w:eastAsia="Times New Roman" w:hAnsiTheme="minorHAnsi"/>
                <w:color w:val="000000"/>
              </w:rPr>
              <w:t>12%</w:t>
            </w:r>
          </w:p>
        </w:tc>
      </w:tr>
      <w:tr w:rsidR="0028021D" w:rsidRPr="0028021D" w14:paraId="75F2FD99" w14:textId="77777777" w:rsidTr="00D84926">
        <w:trPr>
          <w:cantSplit/>
          <w:trHeight w:val="340"/>
        </w:trPr>
        <w:tc>
          <w:tcPr>
            <w:tcW w:w="0" w:type="auto"/>
            <w:noWrap/>
            <w:vAlign w:val="center"/>
            <w:hideMark/>
          </w:tcPr>
          <w:p w14:paraId="1E4A4249"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K090</w:t>
            </w:r>
          </w:p>
        </w:tc>
        <w:tc>
          <w:tcPr>
            <w:tcW w:w="0" w:type="auto"/>
            <w:noWrap/>
            <w:vAlign w:val="center"/>
            <w:hideMark/>
          </w:tcPr>
          <w:p w14:paraId="21DDB394"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Developmental odontogenic cysts</w:t>
            </w:r>
          </w:p>
        </w:tc>
        <w:tc>
          <w:tcPr>
            <w:tcW w:w="0" w:type="auto"/>
            <w:noWrap/>
            <w:vAlign w:val="center"/>
            <w:hideMark/>
          </w:tcPr>
          <w:p w14:paraId="513EEC10" w14:textId="77777777" w:rsidR="0028021D" w:rsidRPr="0028021D" w:rsidRDefault="0028021D" w:rsidP="0028021D">
            <w:pPr>
              <w:widowControl/>
              <w:autoSpaceDE/>
              <w:autoSpaceDN/>
              <w:jc w:val="center"/>
              <w:rPr>
                <w:rFonts w:asciiTheme="minorHAnsi" w:eastAsia="Times New Roman" w:hAnsiTheme="minorHAnsi"/>
                <w:color w:val="000000"/>
              </w:rPr>
            </w:pPr>
            <w:r w:rsidRPr="0028021D">
              <w:rPr>
                <w:rFonts w:asciiTheme="minorHAnsi" w:eastAsia="Times New Roman" w:hAnsiTheme="minorHAnsi"/>
                <w:color w:val="000000"/>
              </w:rPr>
              <w:t>8%</w:t>
            </w:r>
          </w:p>
        </w:tc>
      </w:tr>
      <w:tr w:rsidR="0028021D" w:rsidRPr="0028021D" w14:paraId="4BA9D2A2" w14:textId="77777777" w:rsidTr="00D84926">
        <w:trPr>
          <w:cantSplit/>
          <w:trHeight w:val="340"/>
        </w:trPr>
        <w:tc>
          <w:tcPr>
            <w:tcW w:w="0" w:type="auto"/>
            <w:noWrap/>
            <w:vAlign w:val="center"/>
            <w:hideMark/>
          </w:tcPr>
          <w:p w14:paraId="05F7C3FB"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K011</w:t>
            </w:r>
          </w:p>
        </w:tc>
        <w:tc>
          <w:tcPr>
            <w:tcW w:w="0" w:type="auto"/>
            <w:noWrap/>
            <w:vAlign w:val="center"/>
            <w:hideMark/>
          </w:tcPr>
          <w:p w14:paraId="0D262F28"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Impacted teeth</w:t>
            </w:r>
          </w:p>
        </w:tc>
        <w:tc>
          <w:tcPr>
            <w:tcW w:w="0" w:type="auto"/>
            <w:noWrap/>
            <w:vAlign w:val="center"/>
            <w:hideMark/>
          </w:tcPr>
          <w:p w14:paraId="0CEBC323" w14:textId="77777777" w:rsidR="0028021D" w:rsidRPr="0028021D" w:rsidRDefault="0028021D" w:rsidP="0028021D">
            <w:pPr>
              <w:widowControl/>
              <w:autoSpaceDE/>
              <w:autoSpaceDN/>
              <w:jc w:val="center"/>
              <w:rPr>
                <w:rFonts w:asciiTheme="minorHAnsi" w:eastAsia="Times New Roman" w:hAnsiTheme="minorHAnsi"/>
                <w:color w:val="000000"/>
              </w:rPr>
            </w:pPr>
            <w:r w:rsidRPr="0028021D">
              <w:rPr>
                <w:rFonts w:asciiTheme="minorHAnsi" w:eastAsia="Times New Roman" w:hAnsiTheme="minorHAnsi"/>
                <w:color w:val="000000"/>
              </w:rPr>
              <w:t>7%</w:t>
            </w:r>
          </w:p>
        </w:tc>
      </w:tr>
      <w:tr w:rsidR="0028021D" w:rsidRPr="0028021D" w14:paraId="4FAE4758" w14:textId="77777777" w:rsidTr="00D84926">
        <w:trPr>
          <w:cantSplit/>
          <w:trHeight w:val="340"/>
        </w:trPr>
        <w:tc>
          <w:tcPr>
            <w:tcW w:w="0" w:type="auto"/>
            <w:noWrap/>
            <w:vAlign w:val="center"/>
            <w:hideMark/>
          </w:tcPr>
          <w:p w14:paraId="4D025E2D"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K010</w:t>
            </w:r>
          </w:p>
        </w:tc>
        <w:tc>
          <w:tcPr>
            <w:tcW w:w="0" w:type="auto"/>
            <w:noWrap/>
            <w:vAlign w:val="center"/>
            <w:hideMark/>
          </w:tcPr>
          <w:p w14:paraId="6EE3CF91" w14:textId="77777777" w:rsidR="0028021D" w:rsidRPr="0028021D" w:rsidRDefault="0028021D" w:rsidP="0028021D">
            <w:pPr>
              <w:widowControl/>
              <w:autoSpaceDE/>
              <w:autoSpaceDN/>
              <w:rPr>
                <w:rFonts w:asciiTheme="minorHAnsi" w:eastAsia="Times New Roman" w:hAnsiTheme="minorHAnsi"/>
                <w:color w:val="000000"/>
              </w:rPr>
            </w:pPr>
            <w:r w:rsidRPr="0028021D">
              <w:rPr>
                <w:rFonts w:asciiTheme="minorHAnsi" w:eastAsia="Times New Roman" w:hAnsiTheme="minorHAnsi"/>
                <w:color w:val="000000"/>
              </w:rPr>
              <w:t>Embedded teeth</w:t>
            </w:r>
          </w:p>
        </w:tc>
        <w:tc>
          <w:tcPr>
            <w:tcW w:w="0" w:type="auto"/>
            <w:noWrap/>
            <w:vAlign w:val="center"/>
            <w:hideMark/>
          </w:tcPr>
          <w:p w14:paraId="349EEB1B" w14:textId="77777777" w:rsidR="0028021D" w:rsidRPr="0028021D" w:rsidRDefault="0028021D" w:rsidP="0028021D">
            <w:pPr>
              <w:widowControl/>
              <w:autoSpaceDE/>
              <w:autoSpaceDN/>
              <w:jc w:val="center"/>
              <w:rPr>
                <w:rFonts w:asciiTheme="minorHAnsi" w:eastAsia="Times New Roman" w:hAnsiTheme="minorHAnsi"/>
                <w:color w:val="000000"/>
              </w:rPr>
            </w:pPr>
            <w:r w:rsidRPr="0028021D">
              <w:rPr>
                <w:rFonts w:asciiTheme="minorHAnsi" w:eastAsia="Times New Roman" w:hAnsiTheme="minorHAnsi"/>
                <w:color w:val="000000"/>
              </w:rPr>
              <w:t>5%</w:t>
            </w:r>
          </w:p>
        </w:tc>
      </w:tr>
    </w:tbl>
    <w:p w14:paraId="49508495" w14:textId="77777777" w:rsidR="004A66E5" w:rsidRDefault="004A66E5" w:rsidP="004A66E5">
      <w:bookmarkStart w:id="3" w:name="Factor_1a:_Patient_Panel_Need"/>
      <w:bookmarkStart w:id="4" w:name="_Toc241131187"/>
      <w:bookmarkEnd w:id="3"/>
    </w:p>
    <w:p w14:paraId="4DCEC9EA" w14:textId="48142EB4" w:rsidR="00FD0171" w:rsidRPr="003436F0" w:rsidRDefault="00FD0171" w:rsidP="00923435">
      <w:pPr>
        <w:pStyle w:val="Heading2"/>
      </w:pPr>
      <w:r>
        <w:t>F</w:t>
      </w:r>
      <w:r w:rsidRPr="003436F0">
        <w:t>actor 1</w:t>
      </w:r>
      <w:r w:rsidR="00460BAC">
        <w:t xml:space="preserve">: </w:t>
      </w:r>
      <w:r w:rsidRPr="003436F0">
        <w:t>a</w:t>
      </w:r>
      <w:r w:rsidR="00460BAC">
        <w:t>)</w:t>
      </w:r>
      <w:r w:rsidRPr="003436F0">
        <w:t xml:space="preserve"> Patient Panel Need</w:t>
      </w:r>
      <w:bookmarkEnd w:id="4"/>
    </w:p>
    <w:p w14:paraId="3F979AE8" w14:textId="77777777" w:rsidR="00FD0171" w:rsidRPr="002760B1" w:rsidRDefault="00FD0171" w:rsidP="002760B1">
      <w:pPr>
        <w:pStyle w:val="BodyText"/>
        <w:spacing w:line="269" w:lineRule="exact"/>
        <w:rPr>
          <w:rFonts w:asciiTheme="minorHAnsi" w:hAnsiTheme="minorHAnsi"/>
        </w:rPr>
      </w:pPr>
      <w:r w:rsidRPr="002760B1">
        <w:rPr>
          <w:rFonts w:asciiTheme="minorHAnsi" w:hAnsiTheme="minorHAnsi"/>
        </w:rPr>
        <w:t>In this section, staff assesses if the Applicant has sufficiently demonstrated need for the Proposed</w:t>
      </w:r>
    </w:p>
    <w:p w14:paraId="1DCC6FC5" w14:textId="40E9C897" w:rsidR="006A2096" w:rsidRDefault="00FD0171" w:rsidP="63803DC5">
      <w:pPr>
        <w:pStyle w:val="BodyText"/>
        <w:spacing w:line="269" w:lineRule="exact"/>
        <w:rPr>
          <w:rFonts w:asciiTheme="minorHAnsi" w:hAnsiTheme="minorHAnsi"/>
        </w:rPr>
      </w:pPr>
      <w:r w:rsidRPr="002760B1">
        <w:rPr>
          <w:rFonts w:asciiTheme="minorHAnsi" w:hAnsiTheme="minorHAnsi"/>
        </w:rPr>
        <w:t>Project components by the Applicant’s Patient Panel.</w:t>
      </w:r>
      <w:r>
        <w:rPr>
          <w:rFonts w:asciiTheme="minorHAnsi" w:hAnsiTheme="minorHAnsi"/>
        </w:rPr>
        <w:t xml:space="preserve"> </w:t>
      </w:r>
      <w:r w:rsidRPr="005925D5">
        <w:rPr>
          <w:rFonts w:asciiTheme="minorHAnsi" w:hAnsiTheme="minorHAnsi"/>
        </w:rPr>
        <w:t xml:space="preserve">The Applicant attributes Patient Panel need for </w:t>
      </w:r>
      <w:r w:rsidR="00FC4668">
        <w:rPr>
          <w:rFonts w:asciiTheme="minorHAnsi" w:hAnsiTheme="minorHAnsi"/>
        </w:rPr>
        <w:t xml:space="preserve">the Center </w:t>
      </w:r>
      <w:r w:rsidRPr="005925D5">
        <w:rPr>
          <w:rFonts w:asciiTheme="minorHAnsi" w:hAnsiTheme="minorHAnsi"/>
        </w:rPr>
        <w:t xml:space="preserve">to the </w:t>
      </w:r>
      <w:r w:rsidR="497C9F6A" w:rsidRPr="63803DC5">
        <w:rPr>
          <w:rFonts w:asciiTheme="minorHAnsi" w:hAnsiTheme="minorHAnsi"/>
        </w:rPr>
        <w:t>need for</w:t>
      </w:r>
      <w:r w:rsidR="006A2096">
        <w:rPr>
          <w:rFonts w:asciiTheme="minorHAnsi" w:hAnsiTheme="minorHAnsi"/>
        </w:rPr>
        <w:t xml:space="preserve"> equitable access to </w:t>
      </w:r>
      <w:r w:rsidR="001D5A76">
        <w:rPr>
          <w:rFonts w:asciiTheme="minorHAnsi" w:hAnsiTheme="minorHAnsi"/>
        </w:rPr>
        <w:t>H</w:t>
      </w:r>
      <w:r w:rsidR="006A2096">
        <w:rPr>
          <w:rFonts w:asciiTheme="minorHAnsi" w:hAnsiTheme="minorHAnsi"/>
        </w:rPr>
        <w:t xml:space="preserve">igh </w:t>
      </w:r>
      <w:r w:rsidR="001D5A76">
        <w:rPr>
          <w:rFonts w:asciiTheme="minorHAnsi" w:hAnsiTheme="minorHAnsi"/>
        </w:rPr>
        <w:t>A</w:t>
      </w:r>
      <w:r w:rsidR="006A2096">
        <w:rPr>
          <w:rFonts w:asciiTheme="minorHAnsi" w:hAnsiTheme="minorHAnsi"/>
        </w:rPr>
        <w:t xml:space="preserve">cuity </w:t>
      </w:r>
      <w:r w:rsidR="001D5A76">
        <w:rPr>
          <w:rFonts w:asciiTheme="minorHAnsi" w:hAnsiTheme="minorHAnsi"/>
        </w:rPr>
        <w:t>D</w:t>
      </w:r>
      <w:r w:rsidR="006A2096">
        <w:rPr>
          <w:rFonts w:asciiTheme="minorHAnsi" w:hAnsiTheme="minorHAnsi"/>
        </w:rPr>
        <w:t xml:space="preserve">ental </w:t>
      </w:r>
      <w:r w:rsidR="001D5A76">
        <w:rPr>
          <w:rFonts w:asciiTheme="minorHAnsi" w:hAnsiTheme="minorHAnsi"/>
        </w:rPr>
        <w:t>Surgeries</w:t>
      </w:r>
      <w:r w:rsidR="00625B72">
        <w:rPr>
          <w:rFonts w:asciiTheme="minorHAnsi" w:hAnsiTheme="minorHAnsi"/>
        </w:rPr>
        <w:t xml:space="preserve"> </w:t>
      </w:r>
      <w:r w:rsidR="00756956">
        <w:rPr>
          <w:rFonts w:asciiTheme="minorHAnsi" w:hAnsiTheme="minorHAnsi"/>
        </w:rPr>
        <w:t xml:space="preserve">in the ASC setting </w:t>
      </w:r>
      <w:r w:rsidR="00FD041A">
        <w:rPr>
          <w:rFonts w:asciiTheme="minorHAnsi" w:hAnsiTheme="minorHAnsi"/>
        </w:rPr>
        <w:t>based on the following:</w:t>
      </w:r>
    </w:p>
    <w:p w14:paraId="044D3EA1" w14:textId="77777777" w:rsidR="00913AC1" w:rsidRPr="00913AC1" w:rsidRDefault="00913AC1" w:rsidP="00A81E6C">
      <w:pPr>
        <w:pStyle w:val="BodyText"/>
        <w:spacing w:line="269" w:lineRule="exact"/>
        <w:rPr>
          <w:rFonts w:asciiTheme="minorHAnsi" w:hAnsiTheme="minorHAnsi"/>
        </w:rPr>
      </w:pPr>
    </w:p>
    <w:p w14:paraId="57977C90" w14:textId="5327F69E" w:rsidR="00FD041A" w:rsidRDefault="00FD041A" w:rsidP="009465A6">
      <w:pPr>
        <w:pStyle w:val="BodyText"/>
        <w:numPr>
          <w:ilvl w:val="0"/>
          <w:numId w:val="24"/>
        </w:numPr>
        <w:rPr>
          <w:rFonts w:asciiTheme="minorHAnsi" w:hAnsiTheme="minorHAnsi"/>
          <w:i/>
          <w:iCs/>
        </w:rPr>
      </w:pPr>
      <w:r>
        <w:rPr>
          <w:rFonts w:asciiTheme="minorHAnsi" w:hAnsiTheme="minorHAnsi"/>
          <w:i/>
          <w:iCs/>
        </w:rPr>
        <w:t>C</w:t>
      </w:r>
      <w:r w:rsidR="00347DE1" w:rsidRPr="00347DE1">
        <w:rPr>
          <w:rFonts w:asciiTheme="minorHAnsi" w:hAnsiTheme="minorHAnsi"/>
          <w:i/>
          <w:iCs/>
        </w:rPr>
        <w:t>linical drivers</w:t>
      </w:r>
      <w:r>
        <w:rPr>
          <w:rFonts w:asciiTheme="minorHAnsi" w:hAnsiTheme="minorHAnsi"/>
          <w:i/>
          <w:iCs/>
        </w:rPr>
        <w:t>;</w:t>
      </w:r>
    </w:p>
    <w:p w14:paraId="6C49A888" w14:textId="3F2CF8F2" w:rsidR="00FD041A" w:rsidRDefault="00FD041A" w:rsidP="009465A6">
      <w:pPr>
        <w:pStyle w:val="BodyText"/>
        <w:numPr>
          <w:ilvl w:val="0"/>
          <w:numId w:val="24"/>
        </w:numPr>
        <w:rPr>
          <w:rFonts w:asciiTheme="minorHAnsi" w:hAnsiTheme="minorHAnsi"/>
          <w:i/>
          <w:iCs/>
        </w:rPr>
      </w:pPr>
      <w:r>
        <w:rPr>
          <w:rFonts w:asciiTheme="minorHAnsi" w:hAnsiTheme="minorHAnsi"/>
          <w:i/>
          <w:iCs/>
        </w:rPr>
        <w:t>C</w:t>
      </w:r>
      <w:r w:rsidR="00347DE1" w:rsidRPr="00347DE1">
        <w:rPr>
          <w:rFonts w:asciiTheme="minorHAnsi" w:hAnsiTheme="minorHAnsi"/>
          <w:i/>
          <w:iCs/>
        </w:rPr>
        <w:t>apacity constraints</w:t>
      </w:r>
      <w:r>
        <w:rPr>
          <w:rFonts w:asciiTheme="minorHAnsi" w:hAnsiTheme="minorHAnsi"/>
          <w:i/>
          <w:iCs/>
        </w:rPr>
        <w:t>;</w:t>
      </w:r>
    </w:p>
    <w:p w14:paraId="2AA77CC3" w14:textId="74920812" w:rsidR="00FD041A" w:rsidRDefault="00FD041A" w:rsidP="009465A6">
      <w:pPr>
        <w:pStyle w:val="BodyText"/>
        <w:numPr>
          <w:ilvl w:val="0"/>
          <w:numId w:val="24"/>
        </w:numPr>
        <w:rPr>
          <w:rFonts w:asciiTheme="minorHAnsi" w:hAnsiTheme="minorHAnsi"/>
          <w:i/>
          <w:iCs/>
        </w:rPr>
      </w:pPr>
      <w:r>
        <w:rPr>
          <w:rFonts w:asciiTheme="minorHAnsi" w:hAnsiTheme="minorHAnsi"/>
          <w:i/>
          <w:iCs/>
        </w:rPr>
        <w:t>W</w:t>
      </w:r>
      <w:r w:rsidR="00347DE1" w:rsidRPr="00347DE1">
        <w:rPr>
          <w:rFonts w:asciiTheme="minorHAnsi" w:hAnsiTheme="minorHAnsi"/>
          <w:i/>
          <w:iCs/>
        </w:rPr>
        <w:t>ait times</w:t>
      </w:r>
      <w:r w:rsidR="00EC14F7">
        <w:rPr>
          <w:rFonts w:asciiTheme="minorHAnsi" w:hAnsiTheme="minorHAnsi"/>
          <w:i/>
          <w:iCs/>
        </w:rPr>
        <w:t>;</w:t>
      </w:r>
    </w:p>
    <w:p w14:paraId="5846F741" w14:textId="1A1DFE5F" w:rsidR="00FD041A" w:rsidRPr="00FD041A" w:rsidRDefault="00FD041A" w:rsidP="009465A6">
      <w:pPr>
        <w:pStyle w:val="BodyText"/>
        <w:numPr>
          <w:ilvl w:val="0"/>
          <w:numId w:val="24"/>
        </w:numPr>
        <w:rPr>
          <w:i/>
          <w:iCs/>
        </w:rPr>
      </w:pPr>
      <w:r w:rsidRPr="00371A84">
        <w:rPr>
          <w:i/>
          <w:iCs/>
        </w:rPr>
        <w:t>Projected Need for High Acuity Dental Surgeries</w:t>
      </w:r>
      <w:r>
        <w:rPr>
          <w:i/>
          <w:iCs/>
        </w:rPr>
        <w:t>; and</w:t>
      </w:r>
      <w:r w:rsidRPr="00371A84">
        <w:rPr>
          <w:i/>
          <w:iCs/>
        </w:rPr>
        <w:t xml:space="preserve"> </w:t>
      </w:r>
    </w:p>
    <w:p w14:paraId="5CB51E55" w14:textId="2D9A2402" w:rsidR="00FD041A" w:rsidRPr="00FD041A" w:rsidRDefault="00FD041A" w:rsidP="009465A6">
      <w:pPr>
        <w:pStyle w:val="BodyText"/>
        <w:numPr>
          <w:ilvl w:val="0"/>
          <w:numId w:val="24"/>
        </w:numPr>
        <w:rPr>
          <w:i/>
          <w:iCs/>
        </w:rPr>
      </w:pPr>
      <w:r w:rsidRPr="00371A84">
        <w:rPr>
          <w:i/>
          <w:iCs/>
        </w:rPr>
        <w:t xml:space="preserve">Projected Utilization </w:t>
      </w:r>
    </w:p>
    <w:p w14:paraId="6E9A712E" w14:textId="6863032E" w:rsidR="006F4E29" w:rsidRDefault="003E2F4A" w:rsidP="001B269A">
      <w:pPr>
        <w:pStyle w:val="BodyText"/>
        <w:numPr>
          <w:ilvl w:val="0"/>
          <w:numId w:val="23"/>
        </w:numPr>
        <w:spacing w:line="269" w:lineRule="exact"/>
        <w:rPr>
          <w:rFonts w:asciiTheme="minorHAnsi" w:hAnsiTheme="minorHAnsi"/>
          <w:i/>
          <w:iCs/>
        </w:rPr>
      </w:pPr>
      <w:r>
        <w:rPr>
          <w:rFonts w:asciiTheme="minorHAnsi" w:hAnsiTheme="minorHAnsi"/>
          <w:i/>
          <w:iCs/>
        </w:rPr>
        <w:t>Clinical Drivers</w:t>
      </w:r>
    </w:p>
    <w:p w14:paraId="3F20C664" w14:textId="30EDDEFF" w:rsidR="007A3CAF" w:rsidRDefault="00A46F0A" w:rsidP="00A81E6C">
      <w:pPr>
        <w:pStyle w:val="BodyText"/>
        <w:spacing w:line="269" w:lineRule="exact"/>
        <w:rPr>
          <w:rFonts w:asciiTheme="minorHAnsi" w:hAnsiTheme="minorHAnsi"/>
        </w:rPr>
      </w:pPr>
      <w:r>
        <w:rPr>
          <w:rFonts w:asciiTheme="minorHAnsi" w:hAnsiTheme="minorHAnsi"/>
        </w:rPr>
        <w:t xml:space="preserve">The Applicant states that oral health has been a state and national priority in recent years. </w:t>
      </w:r>
      <w:r w:rsidR="000D015A">
        <w:rPr>
          <w:rFonts w:asciiTheme="minorHAnsi" w:hAnsiTheme="minorHAnsi"/>
        </w:rPr>
        <w:t xml:space="preserve">The Applicant notes </w:t>
      </w:r>
      <w:r w:rsidR="00CD4656">
        <w:rPr>
          <w:rFonts w:asciiTheme="minorHAnsi" w:hAnsiTheme="minorHAnsi"/>
        </w:rPr>
        <w:t>Healthy</w:t>
      </w:r>
      <w:r w:rsidR="001415AB">
        <w:rPr>
          <w:rFonts w:asciiTheme="minorHAnsi" w:hAnsiTheme="minorHAnsi"/>
        </w:rPr>
        <w:t xml:space="preserve"> </w:t>
      </w:r>
      <w:r w:rsidR="00CD4656">
        <w:rPr>
          <w:rFonts w:asciiTheme="minorHAnsi" w:hAnsiTheme="minorHAnsi"/>
        </w:rPr>
        <w:t>People 2030</w:t>
      </w:r>
      <w:r w:rsidR="001C5ACE">
        <w:rPr>
          <w:rFonts w:asciiTheme="minorHAnsi" w:hAnsiTheme="minorHAnsi"/>
        </w:rPr>
        <w:t xml:space="preserve">, </w:t>
      </w:r>
      <w:r w:rsidR="00E138A3">
        <w:rPr>
          <w:rFonts w:asciiTheme="minorHAnsi" w:hAnsiTheme="minorHAnsi"/>
        </w:rPr>
        <w:t xml:space="preserve">an ongoing federal </w:t>
      </w:r>
      <w:r w:rsidR="001A1654">
        <w:rPr>
          <w:rFonts w:asciiTheme="minorHAnsi" w:hAnsiTheme="minorHAnsi"/>
        </w:rPr>
        <w:t xml:space="preserve">initiative </w:t>
      </w:r>
      <w:r w:rsidR="00E138A3">
        <w:rPr>
          <w:rFonts w:asciiTheme="minorHAnsi" w:hAnsiTheme="minorHAnsi"/>
        </w:rPr>
        <w:t>setting data-driven national objectives to improve health and wellbeing over a ten year period,</w:t>
      </w:r>
      <w:r w:rsidR="00CD4656">
        <w:rPr>
          <w:rFonts w:asciiTheme="minorHAnsi" w:hAnsiTheme="minorHAnsi"/>
        </w:rPr>
        <w:t xml:space="preserve"> </w:t>
      </w:r>
      <w:r w:rsidR="00F63C16">
        <w:rPr>
          <w:rFonts w:asciiTheme="minorHAnsi" w:hAnsiTheme="minorHAnsi"/>
        </w:rPr>
        <w:t>includes</w:t>
      </w:r>
      <w:r w:rsidR="00CD4656">
        <w:rPr>
          <w:rFonts w:asciiTheme="minorHAnsi" w:hAnsiTheme="minorHAnsi"/>
        </w:rPr>
        <w:t xml:space="preserve"> several </w:t>
      </w:r>
      <w:r w:rsidR="00F63C16">
        <w:rPr>
          <w:rFonts w:asciiTheme="minorHAnsi" w:hAnsiTheme="minorHAnsi"/>
        </w:rPr>
        <w:t>objectives to</w:t>
      </w:r>
      <w:r w:rsidR="00CD4656">
        <w:rPr>
          <w:rFonts w:asciiTheme="minorHAnsi" w:hAnsiTheme="minorHAnsi"/>
        </w:rPr>
        <w:t xml:space="preserve"> improv</w:t>
      </w:r>
      <w:r w:rsidR="00D34064">
        <w:rPr>
          <w:rFonts w:asciiTheme="minorHAnsi" w:hAnsiTheme="minorHAnsi"/>
        </w:rPr>
        <w:t>e</w:t>
      </w:r>
      <w:r w:rsidR="00CD4656">
        <w:rPr>
          <w:rFonts w:asciiTheme="minorHAnsi" w:hAnsiTheme="minorHAnsi"/>
        </w:rPr>
        <w:t xml:space="preserve"> child</w:t>
      </w:r>
      <w:r w:rsidR="00293ED2">
        <w:rPr>
          <w:rFonts w:asciiTheme="minorHAnsi" w:hAnsiTheme="minorHAnsi"/>
        </w:rPr>
        <w:t xml:space="preserve"> and adolescent</w:t>
      </w:r>
      <w:r w:rsidR="00CD4656">
        <w:rPr>
          <w:rFonts w:asciiTheme="minorHAnsi" w:hAnsiTheme="minorHAnsi"/>
        </w:rPr>
        <w:t xml:space="preserve"> oral health</w:t>
      </w:r>
      <w:r w:rsidR="00D34064">
        <w:rPr>
          <w:rFonts w:asciiTheme="minorHAnsi" w:hAnsiTheme="minorHAnsi"/>
        </w:rPr>
        <w:t xml:space="preserve"> through increasing access to oral </w:t>
      </w:r>
      <w:r w:rsidR="009B2876">
        <w:rPr>
          <w:rFonts w:asciiTheme="minorHAnsi" w:hAnsiTheme="minorHAnsi"/>
        </w:rPr>
        <w:t>healthcare</w:t>
      </w:r>
      <w:r w:rsidR="00F028FE">
        <w:rPr>
          <w:rFonts w:asciiTheme="minorHAnsi" w:hAnsiTheme="minorHAnsi"/>
        </w:rPr>
        <w:t>.</w:t>
      </w:r>
      <w:r w:rsidR="00411BD6">
        <w:rPr>
          <w:rStyle w:val="EndnoteReference"/>
          <w:rFonts w:asciiTheme="minorHAnsi" w:hAnsiTheme="minorHAnsi"/>
        </w:rPr>
        <w:endnoteReference w:id="6"/>
      </w:r>
      <w:r w:rsidR="000D015A">
        <w:rPr>
          <w:rFonts w:asciiTheme="minorHAnsi" w:hAnsiTheme="minorHAnsi"/>
        </w:rPr>
        <w:t xml:space="preserve"> The Applicant </w:t>
      </w:r>
      <w:r w:rsidR="00FF5DD2">
        <w:rPr>
          <w:rFonts w:asciiTheme="minorHAnsi" w:hAnsiTheme="minorHAnsi"/>
        </w:rPr>
        <w:t>states</w:t>
      </w:r>
      <w:r w:rsidR="00087736">
        <w:rPr>
          <w:rFonts w:asciiTheme="minorHAnsi" w:hAnsiTheme="minorHAnsi"/>
        </w:rPr>
        <w:t xml:space="preserve"> that </w:t>
      </w:r>
      <w:r w:rsidR="000D015A">
        <w:rPr>
          <w:rFonts w:asciiTheme="minorHAnsi" w:hAnsiTheme="minorHAnsi"/>
        </w:rPr>
        <w:t>within the Commonwealth,</w:t>
      </w:r>
      <w:r w:rsidR="006E0AE6">
        <w:rPr>
          <w:rFonts w:asciiTheme="minorHAnsi" w:hAnsiTheme="minorHAnsi"/>
        </w:rPr>
        <w:t xml:space="preserve"> t</w:t>
      </w:r>
      <w:r w:rsidR="00C41335">
        <w:rPr>
          <w:rFonts w:asciiTheme="minorHAnsi" w:hAnsiTheme="minorHAnsi"/>
        </w:rPr>
        <w:t xml:space="preserve">he </w:t>
      </w:r>
      <w:r w:rsidR="008A2A33">
        <w:rPr>
          <w:rFonts w:asciiTheme="minorHAnsi" w:hAnsiTheme="minorHAnsi"/>
        </w:rPr>
        <w:t xml:space="preserve">Department’s Office </w:t>
      </w:r>
      <w:r w:rsidR="0099373F">
        <w:rPr>
          <w:rFonts w:asciiTheme="minorHAnsi" w:hAnsiTheme="minorHAnsi"/>
        </w:rPr>
        <w:t xml:space="preserve">of </w:t>
      </w:r>
      <w:r w:rsidR="00C8064D">
        <w:rPr>
          <w:rFonts w:asciiTheme="minorHAnsi" w:hAnsiTheme="minorHAnsi"/>
        </w:rPr>
        <w:t>O</w:t>
      </w:r>
      <w:r w:rsidR="0099373F">
        <w:rPr>
          <w:rFonts w:asciiTheme="minorHAnsi" w:hAnsiTheme="minorHAnsi"/>
        </w:rPr>
        <w:t xml:space="preserve">ral </w:t>
      </w:r>
      <w:r w:rsidR="00C8064D">
        <w:rPr>
          <w:rFonts w:asciiTheme="minorHAnsi" w:hAnsiTheme="minorHAnsi"/>
        </w:rPr>
        <w:t>H</w:t>
      </w:r>
      <w:r w:rsidR="0099373F">
        <w:rPr>
          <w:rFonts w:asciiTheme="minorHAnsi" w:hAnsiTheme="minorHAnsi"/>
        </w:rPr>
        <w:t>ealth</w:t>
      </w:r>
      <w:r w:rsidR="006E0AE6">
        <w:rPr>
          <w:rFonts w:asciiTheme="minorHAnsi" w:hAnsiTheme="minorHAnsi"/>
        </w:rPr>
        <w:t xml:space="preserve"> has </w:t>
      </w:r>
      <w:r w:rsidR="008D7C8A">
        <w:rPr>
          <w:rFonts w:asciiTheme="minorHAnsi" w:hAnsiTheme="minorHAnsi"/>
        </w:rPr>
        <w:t xml:space="preserve">a vision of </w:t>
      </w:r>
      <w:r w:rsidR="00E641C6">
        <w:rPr>
          <w:rFonts w:asciiTheme="minorHAnsi" w:hAnsiTheme="minorHAnsi"/>
        </w:rPr>
        <w:t>achieving</w:t>
      </w:r>
      <w:r w:rsidR="008D7C8A">
        <w:rPr>
          <w:rFonts w:asciiTheme="minorHAnsi" w:hAnsiTheme="minorHAnsi"/>
        </w:rPr>
        <w:t xml:space="preserve"> health justice for all and</w:t>
      </w:r>
      <w:r w:rsidR="00711AE9">
        <w:rPr>
          <w:rFonts w:asciiTheme="minorHAnsi" w:hAnsiTheme="minorHAnsi"/>
        </w:rPr>
        <w:t xml:space="preserve"> specific goals around surveillance, prevention, access and workforce, and integratio</w:t>
      </w:r>
      <w:r w:rsidR="00757868">
        <w:rPr>
          <w:rFonts w:asciiTheme="minorHAnsi" w:hAnsiTheme="minorHAnsi"/>
        </w:rPr>
        <w:t xml:space="preserve">n. </w:t>
      </w:r>
      <w:r w:rsidR="00024C0C" w:rsidRPr="00024C0C">
        <w:rPr>
          <w:rFonts w:asciiTheme="minorHAnsi" w:hAnsiTheme="minorHAnsi"/>
        </w:rPr>
        <w:t xml:space="preserve">The Applicant cites </w:t>
      </w:r>
      <w:r w:rsidR="00BF47E3">
        <w:rPr>
          <w:rFonts w:asciiTheme="minorHAnsi" w:hAnsiTheme="minorHAnsi"/>
        </w:rPr>
        <w:t xml:space="preserve">the Department’s </w:t>
      </w:r>
      <w:r w:rsidR="00024C0C" w:rsidRPr="00024C0C">
        <w:rPr>
          <w:rFonts w:asciiTheme="minorHAnsi" w:hAnsiTheme="minorHAnsi"/>
        </w:rPr>
        <w:t xml:space="preserve">Office of Oral Health’s </w:t>
      </w:r>
      <w:r w:rsidR="00C81E2C">
        <w:rPr>
          <w:rFonts w:asciiTheme="minorHAnsi" w:hAnsiTheme="minorHAnsi"/>
        </w:rPr>
        <w:t>Massachusetts</w:t>
      </w:r>
      <w:r w:rsidR="00024C0C" w:rsidRPr="00024C0C">
        <w:rPr>
          <w:rFonts w:asciiTheme="minorHAnsi" w:hAnsiTheme="minorHAnsi"/>
        </w:rPr>
        <w:t xml:space="preserve"> </w:t>
      </w:r>
      <w:r w:rsidR="00823C89">
        <w:rPr>
          <w:rFonts w:asciiTheme="minorHAnsi" w:hAnsiTheme="minorHAnsi"/>
        </w:rPr>
        <w:t>O</w:t>
      </w:r>
      <w:r w:rsidR="00024C0C" w:rsidRPr="00024C0C">
        <w:rPr>
          <w:rFonts w:asciiTheme="minorHAnsi" w:hAnsiTheme="minorHAnsi"/>
        </w:rPr>
        <w:t xml:space="preserve">ral </w:t>
      </w:r>
      <w:r w:rsidR="00823C89">
        <w:rPr>
          <w:rFonts w:asciiTheme="minorHAnsi" w:hAnsiTheme="minorHAnsi"/>
        </w:rPr>
        <w:t>H</w:t>
      </w:r>
      <w:r w:rsidR="00024C0C" w:rsidRPr="00024C0C">
        <w:rPr>
          <w:rFonts w:asciiTheme="minorHAnsi" w:hAnsiTheme="minorHAnsi"/>
        </w:rPr>
        <w:t xml:space="preserve">ealth </w:t>
      </w:r>
      <w:r w:rsidR="00823C89">
        <w:rPr>
          <w:rFonts w:asciiTheme="minorHAnsi" w:hAnsiTheme="minorHAnsi"/>
        </w:rPr>
        <w:t>S</w:t>
      </w:r>
      <w:r w:rsidR="00024C0C" w:rsidRPr="00024C0C">
        <w:rPr>
          <w:rFonts w:asciiTheme="minorHAnsi" w:hAnsiTheme="minorHAnsi"/>
        </w:rPr>
        <w:t>eries, stating that oral health for children and adolescents has been a national and state priority, because of documented growing disparities in oral health-related outcomes and access to care.</w:t>
      </w:r>
      <w:r w:rsidR="00024C0C" w:rsidRPr="00024C0C">
        <w:rPr>
          <w:rFonts w:asciiTheme="minorHAnsi" w:hAnsiTheme="minorHAnsi"/>
          <w:vertAlign w:val="superscript"/>
        </w:rPr>
        <w:endnoteReference w:id="7"/>
      </w:r>
      <w:r w:rsidR="00024C0C" w:rsidRPr="00024C0C">
        <w:rPr>
          <w:rFonts w:asciiTheme="minorHAnsi" w:hAnsiTheme="minorHAnsi"/>
        </w:rPr>
        <w:t xml:space="preserve"> The report goes on to state that dental caries and periodontal disease are examples of conditions with significant inequities by race/ethnicity, income, and insurance status.</w:t>
      </w:r>
    </w:p>
    <w:p w14:paraId="7D01BBCF" w14:textId="77777777" w:rsidR="00A41180" w:rsidRDefault="00A41180" w:rsidP="00A81E6C">
      <w:pPr>
        <w:pStyle w:val="BodyText"/>
        <w:spacing w:line="269" w:lineRule="exact"/>
        <w:rPr>
          <w:rFonts w:asciiTheme="minorHAnsi" w:hAnsiTheme="minorHAnsi"/>
        </w:rPr>
      </w:pPr>
    </w:p>
    <w:p w14:paraId="4D0EC155" w14:textId="65D84F40" w:rsidR="00D117F6" w:rsidRDefault="005B47E5" w:rsidP="005B47E5">
      <w:pPr>
        <w:pStyle w:val="BodyText"/>
      </w:pPr>
      <w:r>
        <w:t>The Applicant states that</w:t>
      </w:r>
      <w:r w:rsidR="00A474E3">
        <w:t xml:space="preserve"> while</w:t>
      </w:r>
      <w:r>
        <w:t xml:space="preserve"> dental services are a mandatory Medicaid benefit for children</w:t>
      </w:r>
      <w:r w:rsidR="00905574">
        <w:t xml:space="preserve"> that includes </w:t>
      </w:r>
      <w:r w:rsidR="00905574" w:rsidRPr="00905574">
        <w:t>oral health screening, diagnosis, and treatment services</w:t>
      </w:r>
      <w:r w:rsidR="009321E7">
        <w:rPr>
          <w:rStyle w:val="EndnoteReference"/>
        </w:rPr>
        <w:endnoteReference w:id="8"/>
      </w:r>
      <w:r w:rsidR="000C0D3A" w:rsidRPr="000C0D3A">
        <w:rPr>
          <w:vertAlign w:val="superscript"/>
        </w:rPr>
        <w:t>,</w:t>
      </w:r>
      <w:r w:rsidR="00111810">
        <w:rPr>
          <w:rStyle w:val="FootnoteReference"/>
        </w:rPr>
        <w:footnoteReference w:id="17"/>
      </w:r>
      <w:r w:rsidR="007712EB">
        <w:rPr>
          <w:vertAlign w:val="superscript"/>
        </w:rPr>
        <w:t>,</w:t>
      </w:r>
      <w:r w:rsidR="000C0D3A">
        <w:rPr>
          <w:rStyle w:val="FootnoteReference"/>
        </w:rPr>
        <w:footnoteReference w:id="18"/>
      </w:r>
      <w:r>
        <w:t xml:space="preserve">, Massachusetts has encountered challenges attracting and enrolling enough dental providers to meet the needs of its members, citing an installment of the </w:t>
      </w:r>
      <w:r w:rsidRPr="00290C04">
        <w:t>Massachusetts Oral Health Series</w:t>
      </w:r>
      <w:r w:rsidR="000B1FBE">
        <w:t xml:space="preserve"> </w:t>
      </w:r>
      <w:r w:rsidR="00854C69">
        <w:t>which</w:t>
      </w:r>
      <w:r>
        <w:t xml:space="preserve"> states the availability of insurance and providers who take public insurance plans is one factor contributing to inequities.</w:t>
      </w:r>
      <w:r>
        <w:rPr>
          <w:rStyle w:val="EndnoteReference"/>
        </w:rPr>
        <w:endnoteReference w:id="9"/>
      </w:r>
      <w:r>
        <w:t xml:space="preserve"> The Applicant cites the </w:t>
      </w:r>
      <w:r w:rsidR="008541C2">
        <w:t>Health Policy Commission’s (</w:t>
      </w:r>
      <w:r>
        <w:t>HPC’s</w:t>
      </w:r>
      <w:r w:rsidR="008541C2">
        <w:t>)</w:t>
      </w:r>
      <w:r>
        <w:t xml:space="preserve"> 2021 DataPoints Issue 20, Oral Health Access and Equity in the Commonwealth, </w:t>
      </w:r>
      <w:r w:rsidR="000B64BD">
        <w:t>stating</w:t>
      </w:r>
      <w:r>
        <w:t xml:space="preserve"> that many Massachusetts residents experience challenges accessing high quality and affordable oral </w:t>
      </w:r>
      <w:r w:rsidR="009B2876">
        <w:t>healthcare</w:t>
      </w:r>
      <w:r>
        <w:t>, with one reason being a shortage of dental professionals that care for patients insured through Medicaid.</w:t>
      </w:r>
      <w:r>
        <w:rPr>
          <w:rStyle w:val="EndnoteReference"/>
        </w:rPr>
        <w:endnoteReference w:id="10"/>
      </w:r>
      <w:r>
        <w:t xml:space="preserve"> The report states that there are </w:t>
      </w:r>
      <w:r w:rsidRPr="005E5969">
        <w:t>78 dentists per 100,000 population in Massachusetts</w:t>
      </w:r>
      <w:r w:rsidR="00720713">
        <w:t xml:space="preserve">; </w:t>
      </w:r>
      <w:r>
        <w:t>only</w:t>
      </w:r>
      <w:r w:rsidRPr="005E5969">
        <w:t xml:space="preserve"> 44.8</w:t>
      </w:r>
      <w:r w:rsidR="00B758DF">
        <w:rPr>
          <w:rFonts w:asciiTheme="minorHAnsi" w:hAnsiTheme="minorHAnsi"/>
        </w:rPr>
        <w:t xml:space="preserve"> percent</w:t>
      </w:r>
      <w:r w:rsidRPr="005E5969">
        <w:t xml:space="preserve"> of Massachusetts dentists report that they accept patients covered by MassHealth.</w:t>
      </w:r>
      <w:r>
        <w:rPr>
          <w:rStyle w:val="EndnoteReference"/>
        </w:rPr>
        <w:endnoteReference w:id="11"/>
      </w:r>
      <w:r>
        <w:t xml:space="preserve"> </w:t>
      </w:r>
    </w:p>
    <w:p w14:paraId="220FBF6F" w14:textId="77777777" w:rsidR="00D117F6" w:rsidRDefault="00D117F6" w:rsidP="005B47E5">
      <w:pPr>
        <w:pStyle w:val="BodyText"/>
      </w:pPr>
    </w:p>
    <w:p w14:paraId="01C2FDB5" w14:textId="5B1A1D99" w:rsidR="005B47E5" w:rsidRDefault="00676356" w:rsidP="005B47E5">
      <w:pPr>
        <w:pStyle w:val="BodyText"/>
      </w:pPr>
      <w:r>
        <w:t>Lack of access to dental services for the MassHealth population can create delays in accessing care because of long wait times, which in turn can create more dental issues as conditions worsen</w:t>
      </w:r>
      <w:r w:rsidR="001D5958">
        <w:t xml:space="preserve"> with time. </w:t>
      </w:r>
      <w:r w:rsidR="00003DB4">
        <w:t xml:space="preserve">The </w:t>
      </w:r>
      <w:r w:rsidR="00C82824">
        <w:t xml:space="preserve">DataPoints </w:t>
      </w:r>
      <w:r w:rsidR="00003DB4">
        <w:t xml:space="preserve">Issue also </w:t>
      </w:r>
      <w:r w:rsidR="006D0221">
        <w:t>discussed ED visits</w:t>
      </w:r>
      <w:r w:rsidR="00C055A0">
        <w:t xml:space="preserve"> </w:t>
      </w:r>
      <w:r w:rsidR="006D0221">
        <w:t xml:space="preserve">due to an oral health condition, </w:t>
      </w:r>
      <w:r w:rsidR="00B31F97">
        <w:t xml:space="preserve">and found that </w:t>
      </w:r>
      <w:r w:rsidR="00D64242">
        <w:t>55.1</w:t>
      </w:r>
      <w:r w:rsidR="00B758DF">
        <w:rPr>
          <w:rFonts w:asciiTheme="minorHAnsi" w:hAnsiTheme="minorHAnsi"/>
        </w:rPr>
        <w:t xml:space="preserve"> percent</w:t>
      </w:r>
      <w:r w:rsidR="00D64242">
        <w:t xml:space="preserve"> of the 52,843 ED visits</w:t>
      </w:r>
      <w:r w:rsidR="00046CE6">
        <w:t xml:space="preserve"> (2019)</w:t>
      </w:r>
      <w:r w:rsidR="00D64242">
        <w:t xml:space="preserve"> due to an oral condition </w:t>
      </w:r>
      <w:r w:rsidR="00046CE6">
        <w:t xml:space="preserve">were for non-traumatic dental conditions (NTDCs), </w:t>
      </w:r>
      <w:r w:rsidR="00FA48A6">
        <w:t>and 70</w:t>
      </w:r>
      <w:r w:rsidR="00B758DF">
        <w:rPr>
          <w:rFonts w:asciiTheme="minorHAnsi" w:hAnsiTheme="minorHAnsi"/>
        </w:rPr>
        <w:t xml:space="preserve"> percent</w:t>
      </w:r>
      <w:r w:rsidR="00FA48A6">
        <w:t xml:space="preserve"> of those indicated </w:t>
      </w:r>
      <w:r w:rsidR="00A921C5">
        <w:t>were associated with conditions that could be addressed by a dental provider, potentially indicating a lack of access.</w:t>
      </w:r>
      <w:r w:rsidR="00297F3F" w:rsidRPr="00297F3F">
        <w:rPr>
          <w:vertAlign w:val="superscript"/>
        </w:rPr>
        <w:endnoteReference w:id="12"/>
      </w:r>
      <w:r w:rsidR="00B27B22">
        <w:t xml:space="preserve"> </w:t>
      </w:r>
      <w:r w:rsidR="009D0B09">
        <w:t xml:space="preserve">ED visits for </w:t>
      </w:r>
      <w:r w:rsidR="009D0B09" w:rsidRPr="009D0B09">
        <w:t>NTDCs</w:t>
      </w:r>
      <w:r w:rsidR="009D0B09">
        <w:t xml:space="preserve"> also differed by race, payer, income, and geography, </w:t>
      </w:r>
      <w:r w:rsidR="00C25248">
        <w:t xml:space="preserve">which the report states suggests disparities in access </w:t>
      </w:r>
      <w:r w:rsidR="00CC07E9">
        <w:t>to preventative care and treatment for dental conditions.</w:t>
      </w:r>
      <w:r w:rsidR="00CC07E9" w:rsidRPr="00CC07E9">
        <w:rPr>
          <w:vertAlign w:val="superscript"/>
        </w:rPr>
        <w:endnoteReference w:id="13"/>
      </w:r>
      <w:r w:rsidR="00CC07E9" w:rsidRPr="00CC07E9">
        <w:t xml:space="preserve"> </w:t>
      </w:r>
      <w:r w:rsidR="008B6A63">
        <w:t xml:space="preserve">Additionally, </w:t>
      </w:r>
      <w:r w:rsidR="003E3D4B">
        <w:t xml:space="preserve">EDs aren’t equipped </w:t>
      </w:r>
      <w:r w:rsidR="003E3D4B">
        <w:lastRenderedPageBreak/>
        <w:t xml:space="preserve">to provide comprehensive dental care, with many patients </w:t>
      </w:r>
      <w:r w:rsidR="0001258A">
        <w:t xml:space="preserve">receiving pain and symptom management </w:t>
      </w:r>
      <w:r w:rsidR="00391CC0">
        <w:t>rather than the type of treatment that is provided in a dental office setting.</w:t>
      </w:r>
      <w:r w:rsidR="006D3E3A">
        <w:rPr>
          <w:rStyle w:val="EndnoteReference"/>
        </w:rPr>
        <w:endnoteReference w:id="14"/>
      </w:r>
      <w:r w:rsidR="00391CC0">
        <w:t xml:space="preserve"> </w:t>
      </w:r>
    </w:p>
    <w:p w14:paraId="30DF2C2A" w14:textId="77777777" w:rsidR="00391CC0" w:rsidRDefault="00391CC0" w:rsidP="005B47E5">
      <w:pPr>
        <w:pStyle w:val="BodyText"/>
      </w:pPr>
    </w:p>
    <w:p w14:paraId="721CB880" w14:textId="44A0156C" w:rsidR="00CC72AC" w:rsidRDefault="00CC72AC" w:rsidP="009465A6">
      <w:pPr>
        <w:pStyle w:val="BodyText"/>
        <w:numPr>
          <w:ilvl w:val="0"/>
          <w:numId w:val="23"/>
        </w:numPr>
        <w:rPr>
          <w:i/>
          <w:iCs/>
        </w:rPr>
      </w:pPr>
      <w:r w:rsidRPr="00BF3352">
        <w:rPr>
          <w:i/>
          <w:iCs/>
        </w:rPr>
        <w:t>Capacity</w:t>
      </w:r>
      <w:r w:rsidR="002B388C">
        <w:rPr>
          <w:i/>
          <w:iCs/>
        </w:rPr>
        <w:t xml:space="preserve"> Constrain</w:t>
      </w:r>
      <w:r w:rsidR="008E7554">
        <w:rPr>
          <w:i/>
          <w:iCs/>
        </w:rPr>
        <w:t>ts</w:t>
      </w:r>
    </w:p>
    <w:p w14:paraId="32484476" w14:textId="77777777" w:rsidR="001B269A" w:rsidRPr="00BF3352" w:rsidRDefault="001B269A" w:rsidP="00FD041A">
      <w:pPr>
        <w:pStyle w:val="BodyText"/>
        <w:ind w:left="720"/>
        <w:rPr>
          <w:i/>
          <w:iCs/>
        </w:rPr>
      </w:pPr>
    </w:p>
    <w:p w14:paraId="308BC586" w14:textId="0C2218C8" w:rsidR="005B47E5" w:rsidRPr="006C5336" w:rsidRDefault="005B47E5" w:rsidP="004B0D88">
      <w:pPr>
        <w:pStyle w:val="BodyText"/>
      </w:pPr>
      <w:r>
        <w:t>The Applicant states that through research it also determined that there are only a handful of hospitals with dentists on their medical staff who use their HOPDs to provide High Acuity Dental Surgeries, and there are only a few pediatric dental offices within the Applicant’s PSA who perform High Acuity Dental Surgeries in their office, and on average most providers refer 2.5 cases</w:t>
      </w:r>
      <w:r w:rsidR="00CF754D">
        <w:t xml:space="preserve"> per month</w:t>
      </w:r>
      <w:r>
        <w:t xml:space="preserve"> to dentists who can perform the surgeries in an HOPD.</w:t>
      </w:r>
      <w:r w:rsidR="000D1258" w:rsidRPr="000D1258">
        <w:rPr>
          <w:szCs w:val="20"/>
        </w:rPr>
        <w:t xml:space="preserve"> </w:t>
      </w:r>
      <w:r w:rsidR="00180382">
        <w:t xml:space="preserve">The Applicant identified the following HOPDs as providing High Acuity Dental Surgeries in </w:t>
      </w:r>
      <w:r w:rsidR="002E3CE8">
        <w:t>the Applicant’s</w:t>
      </w:r>
      <w:r w:rsidR="00180382">
        <w:t xml:space="preserve"> PSA: Boston Medical Center, Boston Children’s Hospital, and Franciscan </w:t>
      </w:r>
      <w:r w:rsidR="004444CF">
        <w:t xml:space="preserve">Children’s. </w:t>
      </w:r>
      <w:r w:rsidR="006A0130" w:rsidRPr="006A0130">
        <w:t xml:space="preserve">The Applicant states that it is not aware of any ASCs providing High Acuity Dental Surgeries in the Commonwealth. </w:t>
      </w:r>
      <w:r w:rsidR="001B2DC8" w:rsidRPr="001B2DC8">
        <w:t>The Applicant states that through research it determined that there are 71 pediatric dental offices in the Commonwealth in 2025 that accept MassHealth.</w:t>
      </w:r>
      <w:r w:rsidR="001B2DC8" w:rsidRPr="001B2DC8">
        <w:rPr>
          <w:vertAlign w:val="superscript"/>
        </w:rPr>
        <w:footnoteReference w:id="19"/>
      </w:r>
      <w:r w:rsidR="001B2DC8" w:rsidRPr="001B2DC8">
        <w:t xml:space="preserve"> </w:t>
      </w:r>
      <w:r w:rsidR="00D904F1" w:rsidRPr="00D904F1">
        <w:t>The Applicant identified 47 pediatric dental offices in its PSA, only 12 which offer General Anesthesia.</w:t>
      </w:r>
      <w:r w:rsidR="00D904F1">
        <w:t xml:space="preserve"> </w:t>
      </w:r>
      <w:r w:rsidR="004444CF">
        <w:t xml:space="preserve">The Applicant identified </w:t>
      </w:r>
      <w:r w:rsidR="00931399">
        <w:t>16</w:t>
      </w:r>
      <w:r w:rsidR="004444CF">
        <w:t xml:space="preserve"> dental offices providing High Acuity Dental Surgeries in its PSA.</w:t>
      </w:r>
      <w:r w:rsidR="004444CF">
        <w:rPr>
          <w:rStyle w:val="FootnoteReference"/>
        </w:rPr>
        <w:footnoteReference w:id="20"/>
      </w:r>
      <w:r w:rsidR="004444CF">
        <w:t xml:space="preserve"> </w:t>
      </w:r>
      <w:r>
        <w:t xml:space="preserve">The Applicant explained the reason may </w:t>
      </w:r>
      <w:r w:rsidR="004B5C2F">
        <w:t xml:space="preserve">be </w:t>
      </w:r>
      <w:r>
        <w:t>due to the fact that there are only four mobile general anesthesiology groups within its PSA.</w:t>
      </w:r>
      <w:r>
        <w:rPr>
          <w:rStyle w:val="FootnoteReference"/>
        </w:rPr>
        <w:footnoteReference w:id="21"/>
      </w:r>
      <w:r>
        <w:t xml:space="preserve"> </w:t>
      </w:r>
      <w:r w:rsidR="00E952BD">
        <w:t>The Applicant</w:t>
      </w:r>
      <w:r w:rsidR="009203C4" w:rsidRPr="009203C4">
        <w:t xml:space="preserve"> could not find information on two of them </w:t>
      </w:r>
      <w:r w:rsidR="00E952BD">
        <w:t>and o</w:t>
      </w:r>
      <w:r>
        <w:t>f the two groups</w:t>
      </w:r>
      <w:r w:rsidR="006D737A">
        <w:t xml:space="preserve"> the Applicant identified</w:t>
      </w:r>
      <w:r>
        <w:t xml:space="preserve">, they confirmed that one participates in MassHealth, and </w:t>
      </w:r>
      <w:r w:rsidR="005C6BFC">
        <w:t>t</w:t>
      </w:r>
      <w:r>
        <w:t xml:space="preserve">hat one had three individual providers, and the other only had one individual provider. </w:t>
      </w:r>
      <w:r w:rsidR="001D5958">
        <w:t xml:space="preserve">The Applicant states that many mobile anesthesia providers who work with dentists do not accept MassHealth, and even if the dentist accepts MassHealth, it does not guarantee that the anesthesia for the High Acuity Dental Surgery performed in the dental office is covered by MassHealth. </w:t>
      </w:r>
      <w:r w:rsidR="00562FC6">
        <w:t>The Applicant states that based on its understanding, Ma</w:t>
      </w:r>
      <w:r w:rsidR="00B47891">
        <w:t>s</w:t>
      </w:r>
      <w:r w:rsidR="00562FC6">
        <w:t xml:space="preserve">sHealth </w:t>
      </w:r>
      <w:r w:rsidR="00CA47AF">
        <w:t>covers anesthesia services provided in any care setting, provided the anesthesia provider is enrolled in MassHealth.</w:t>
      </w:r>
      <w:r w:rsidR="00CA47AF">
        <w:rPr>
          <w:rStyle w:val="FootnoteReference"/>
        </w:rPr>
        <w:footnoteReference w:id="22"/>
      </w:r>
      <w:r w:rsidR="00CA47AF" w:rsidRPr="00F475A6">
        <w:rPr>
          <w:vertAlign w:val="superscript"/>
        </w:rPr>
        <w:t xml:space="preserve"> </w:t>
      </w:r>
      <w:r w:rsidR="00135C86">
        <w:t xml:space="preserve">The Applicant asserts that all Anesthesiologists who provide services at the Center will participate in MassHealth. </w:t>
      </w:r>
      <w:r w:rsidR="004B0D88">
        <w:t>To advance equitable access to the Center, as a Condition of approval, the Applicant will certify annually that all physicians and health professionals who practice at the Center are enrolled as participating providers of MassHealth.</w:t>
      </w:r>
    </w:p>
    <w:p w14:paraId="3FDEABD5" w14:textId="77777777" w:rsidR="00554F4F" w:rsidRDefault="00554F4F" w:rsidP="005B47E5">
      <w:pPr>
        <w:pStyle w:val="BodyText"/>
      </w:pPr>
    </w:p>
    <w:p w14:paraId="78A0A83E" w14:textId="3D0143BC" w:rsidR="00371A84" w:rsidRPr="00371A84" w:rsidRDefault="00371A84" w:rsidP="009465A6">
      <w:pPr>
        <w:pStyle w:val="BodyText"/>
        <w:numPr>
          <w:ilvl w:val="0"/>
          <w:numId w:val="23"/>
        </w:numPr>
        <w:rPr>
          <w:i/>
          <w:iCs/>
        </w:rPr>
      </w:pPr>
      <w:r w:rsidRPr="00371A84">
        <w:rPr>
          <w:i/>
          <w:iCs/>
        </w:rPr>
        <w:t>Wait times</w:t>
      </w:r>
    </w:p>
    <w:p w14:paraId="1759C719" w14:textId="77777777" w:rsidR="001B269A" w:rsidRDefault="001B269A" w:rsidP="00371A84">
      <w:pPr>
        <w:pStyle w:val="BodyText"/>
      </w:pPr>
    </w:p>
    <w:p w14:paraId="5F7A4502" w14:textId="5BEE7EC2" w:rsidR="00371A84" w:rsidRDefault="00371A84" w:rsidP="00371A84">
      <w:pPr>
        <w:pStyle w:val="BodyText"/>
      </w:pPr>
      <w:r>
        <w:t xml:space="preserve">The Applicant states that the claims data did not include information on wait times. </w:t>
      </w:r>
      <w:r w:rsidR="00B038C1">
        <w:t xml:space="preserve">Generally, examinations are conducted by the dentist in their respective practice, and then the dentist schedules patients for procedures at the hospital. </w:t>
      </w:r>
      <w:r>
        <w:t xml:space="preserve">The Applicant obtained analytic data on wait times through its own outreach </w:t>
      </w:r>
      <w:r w:rsidR="00387A97">
        <w:t>on</w:t>
      </w:r>
      <w:r>
        <w:t xml:space="preserve"> HOPDs and dental offices. The Applicant learned that wait times at HOPDs are approximately seven months for the preliminary evaluation and six to eight months for the surgery itself. Through anonymous discussions with surgical coordinators at each facility, the Applicant identified the following wait times by facility:  </w:t>
      </w:r>
    </w:p>
    <w:p w14:paraId="70B64CB1" w14:textId="745CE04A" w:rsidR="00371A84" w:rsidRDefault="00371A84" w:rsidP="00371A84">
      <w:pPr>
        <w:pStyle w:val="BodyText"/>
        <w:numPr>
          <w:ilvl w:val="0"/>
          <w:numId w:val="14"/>
        </w:numPr>
      </w:pPr>
      <w:r>
        <w:t>Boston Medical Center: seven-month wait time for new pediatric dental evaluations and six to eight-month wait time for surgery.</w:t>
      </w:r>
      <w:r w:rsidR="00DD4FDF">
        <w:rPr>
          <w:rStyle w:val="FootnoteReference"/>
        </w:rPr>
        <w:footnoteReference w:id="23"/>
      </w:r>
      <w:r>
        <w:t xml:space="preserve"> Three-month wait time for oral surgery. </w:t>
      </w:r>
    </w:p>
    <w:p w14:paraId="1CA922E1" w14:textId="17BBEFD0" w:rsidR="00371A84" w:rsidRDefault="00371A84" w:rsidP="00371A84">
      <w:pPr>
        <w:pStyle w:val="BodyText"/>
        <w:numPr>
          <w:ilvl w:val="0"/>
          <w:numId w:val="14"/>
        </w:numPr>
      </w:pPr>
      <w:r>
        <w:t xml:space="preserve">Boston Children’s Hospital: </w:t>
      </w:r>
      <w:r w:rsidR="00681BE5">
        <w:t>m</w:t>
      </w:r>
      <w:r>
        <w:t xml:space="preserve">ore than a year wait time for dental </w:t>
      </w:r>
      <w:r w:rsidR="007D4F3D">
        <w:t>procedures</w:t>
      </w:r>
      <w:r>
        <w:t>.</w:t>
      </w:r>
    </w:p>
    <w:p w14:paraId="1FABDFE4" w14:textId="77777777" w:rsidR="00371A84" w:rsidRDefault="00371A84" w:rsidP="00371A84">
      <w:pPr>
        <w:pStyle w:val="BodyText"/>
      </w:pPr>
    </w:p>
    <w:p w14:paraId="5D0F95DC" w14:textId="7EAB5336" w:rsidR="00371A84" w:rsidRDefault="00371A84" w:rsidP="00371A84">
      <w:pPr>
        <w:pStyle w:val="BodyText"/>
      </w:pPr>
      <w:r>
        <w:t>The Applicant did not learn the wait times</w:t>
      </w:r>
      <w:r w:rsidRPr="000A09F9">
        <w:t xml:space="preserve"> </w:t>
      </w:r>
      <w:r>
        <w:t xml:space="preserve">at </w:t>
      </w:r>
      <w:r w:rsidRPr="000A09F9">
        <w:t>Franciscan Children’s</w:t>
      </w:r>
      <w:r w:rsidR="001B5CEC">
        <w:t>,</w:t>
      </w:r>
      <w:r>
        <w:t xml:space="preserve"> but </w:t>
      </w:r>
      <w:r w:rsidR="001B5CEC">
        <w:t xml:space="preserve">did </w:t>
      </w:r>
      <w:r>
        <w:t xml:space="preserve">learn that approximately 12 patients a day are treated at the facility. The Applicant was unable to identify wait times from its conversations with dental offices. The Applicant maintains that current wait times could indicate an underrepresentation of true need for additional capacity to provide pediatric </w:t>
      </w:r>
      <w:r w:rsidR="00541463">
        <w:t>patients</w:t>
      </w:r>
      <w:r>
        <w:t xml:space="preserve"> and patients with special </w:t>
      </w:r>
      <w:r w:rsidR="009B2876">
        <w:t>healthcare</w:t>
      </w:r>
      <w:r>
        <w:t xml:space="preserve"> needs with timely access to care. </w:t>
      </w:r>
    </w:p>
    <w:p w14:paraId="60D63EF2" w14:textId="77777777" w:rsidR="00371A84" w:rsidRDefault="00371A84" w:rsidP="005B47E5">
      <w:pPr>
        <w:pStyle w:val="BodyText"/>
      </w:pPr>
    </w:p>
    <w:p w14:paraId="7D256511" w14:textId="2D84BABE" w:rsidR="005B47E5" w:rsidRPr="00371A84" w:rsidRDefault="006F4E29" w:rsidP="009465A6">
      <w:pPr>
        <w:pStyle w:val="BodyText"/>
        <w:numPr>
          <w:ilvl w:val="0"/>
          <w:numId w:val="23"/>
        </w:numPr>
        <w:rPr>
          <w:i/>
          <w:iCs/>
        </w:rPr>
      </w:pPr>
      <w:r w:rsidRPr="00371A84">
        <w:rPr>
          <w:i/>
          <w:iCs/>
        </w:rPr>
        <w:t xml:space="preserve">Projected Need for High Acuity Dental Surgeries </w:t>
      </w:r>
    </w:p>
    <w:p w14:paraId="2C014A22" w14:textId="77777777" w:rsidR="001B269A" w:rsidRDefault="001B269A" w:rsidP="005B47E5">
      <w:pPr>
        <w:pStyle w:val="BodyText"/>
      </w:pPr>
    </w:p>
    <w:p w14:paraId="1EA347A5" w14:textId="64A032BD" w:rsidR="005B47E5" w:rsidRDefault="005B47E5" w:rsidP="005B47E5">
      <w:pPr>
        <w:pStyle w:val="BodyText"/>
      </w:pPr>
      <w:r>
        <w:t>The Applicant’s consultant</w:t>
      </w:r>
      <w:r w:rsidR="00B01E52">
        <w:t>, Chartis,</w:t>
      </w:r>
      <w:r>
        <w:t xml:space="preserve"> projected need for High Acuity Dental Surgeries in </w:t>
      </w:r>
      <w:r w:rsidDel="005B47E5">
        <w:t xml:space="preserve">the </w:t>
      </w:r>
      <w:r>
        <w:t>Applicant’s PSA, using claims data</w:t>
      </w:r>
      <w:r w:rsidR="00F57FDC">
        <w:t xml:space="preserve"> and the methodology set out in Appendix I, which takes the adjusted population and adjusted utilization rates to generate expected volume in each Care Setting, county, and CPT code level. These volumes are then distributed across zip codes and projected forward five years using ESRI population trend data</w:t>
      </w:r>
      <w:r>
        <w:t xml:space="preserve">. This is shown in Table </w:t>
      </w:r>
      <w:r w:rsidR="00C567E4">
        <w:t>1</w:t>
      </w:r>
      <w:r w:rsidR="0093104F">
        <w:t>1</w:t>
      </w:r>
      <w:r>
        <w:t>.</w:t>
      </w:r>
      <w:r>
        <w:rPr>
          <w:rStyle w:val="FootnoteReference"/>
        </w:rPr>
        <w:footnoteReference w:id="24"/>
      </w:r>
      <w:r w:rsidR="00287FDF">
        <w:t xml:space="preserve"> </w:t>
      </w:r>
      <w:r>
        <w:t>The projections showed little growth in volume for all ages and payers between 2024 and 2029, which</w:t>
      </w:r>
      <w:r w:rsidR="00B700B4">
        <w:t xml:space="preserve"> the Applicant explained </w:t>
      </w:r>
      <w:r w:rsidR="0024778C">
        <w:t xml:space="preserve">could be interpreted </w:t>
      </w:r>
      <w:r w:rsidR="00B700B4">
        <w:t>in several ways</w:t>
      </w:r>
      <w:r w:rsidR="006B6127">
        <w:t>:</w:t>
      </w:r>
      <w:r w:rsidR="00B700B4">
        <w:t xml:space="preserve"> the projections could indicate that need for services is stable, and there is no problem accessing services</w:t>
      </w:r>
      <w:r w:rsidR="00287A55">
        <w:t>; h</w:t>
      </w:r>
      <w:r w:rsidR="00B700B4">
        <w:t>owever,</w:t>
      </w:r>
      <w:r>
        <w:t xml:space="preserve"> </w:t>
      </w:r>
      <w:r w:rsidR="00B700B4">
        <w:t xml:space="preserve">the projections </w:t>
      </w:r>
      <w:r w:rsidR="00002C98">
        <w:t xml:space="preserve">may </w:t>
      </w:r>
      <w:r w:rsidR="002B593E">
        <w:t>point to a</w:t>
      </w:r>
      <w:r w:rsidR="00B34277">
        <w:t xml:space="preserve"> system </w:t>
      </w:r>
      <w:r w:rsidR="002B593E">
        <w:t xml:space="preserve">that </w:t>
      </w:r>
      <w:r w:rsidR="00B34277">
        <w:t xml:space="preserve">is </w:t>
      </w:r>
      <w:r w:rsidR="00723013">
        <w:t>already saturated</w:t>
      </w:r>
      <w:r w:rsidR="00CE6D85">
        <w:t xml:space="preserve">, so the increased need is not visible in the projections. </w:t>
      </w:r>
      <w:r w:rsidR="00AC1736">
        <w:t xml:space="preserve"> The Applicant states </w:t>
      </w:r>
      <w:r w:rsidR="007A1F6F">
        <w:t>that</w:t>
      </w:r>
      <w:r w:rsidR="00B676F6">
        <w:t xml:space="preserve"> the claims-based projections only capture services that were billed, and does not account for those </w:t>
      </w:r>
      <w:r w:rsidR="007240CC">
        <w:t xml:space="preserve">individuals </w:t>
      </w:r>
      <w:r w:rsidR="00B676F6">
        <w:t xml:space="preserve">who needed but could not access care, which would mean that </w:t>
      </w:r>
      <w:r w:rsidR="00D90451">
        <w:t xml:space="preserve">an </w:t>
      </w:r>
      <w:r w:rsidR="00B676F6">
        <w:t>increas</w:t>
      </w:r>
      <w:r w:rsidR="00E33C05">
        <w:t>ed</w:t>
      </w:r>
      <w:r w:rsidR="00D90451">
        <w:t xml:space="preserve"> need</w:t>
      </w:r>
      <w:r w:rsidR="00B676F6">
        <w:t xml:space="preserve"> for </w:t>
      </w:r>
      <w:r w:rsidR="00C9393D">
        <w:t>High Acuity Dental Surgeries</w:t>
      </w:r>
      <w:r w:rsidR="00B676F6">
        <w:t xml:space="preserve"> would not be reflected in the projections</w:t>
      </w:r>
      <w:r>
        <w:t xml:space="preserve">. </w:t>
      </w:r>
    </w:p>
    <w:p w14:paraId="05FFAAC4" w14:textId="77777777" w:rsidR="005B47E5" w:rsidRDefault="005B47E5" w:rsidP="005B47E5">
      <w:pPr>
        <w:pStyle w:val="BodyText"/>
      </w:pPr>
    </w:p>
    <w:p w14:paraId="3C46C385" w14:textId="1CF21ADF" w:rsidR="005B47E5" w:rsidRPr="001A45C8" w:rsidRDefault="005B47E5" w:rsidP="005B47E5">
      <w:pPr>
        <w:pStyle w:val="BodyText"/>
        <w:rPr>
          <w:b/>
          <w:bCs/>
        </w:rPr>
      </w:pPr>
      <w:r w:rsidRPr="001A45C8">
        <w:rPr>
          <w:b/>
          <w:bCs/>
        </w:rPr>
        <w:t xml:space="preserve">Table </w:t>
      </w:r>
      <w:r w:rsidR="00C567E4" w:rsidRPr="001A45C8">
        <w:rPr>
          <w:b/>
          <w:bCs/>
        </w:rPr>
        <w:t>1</w:t>
      </w:r>
      <w:r w:rsidR="0093104F" w:rsidRPr="001A45C8">
        <w:rPr>
          <w:b/>
          <w:bCs/>
        </w:rPr>
        <w:t>1</w:t>
      </w:r>
      <w:r w:rsidRPr="001A45C8">
        <w:rPr>
          <w:b/>
          <w:bCs/>
        </w:rPr>
        <w:t xml:space="preserve">: Projected </w:t>
      </w:r>
      <w:r w:rsidR="00ED59A3" w:rsidRPr="001A45C8">
        <w:rPr>
          <w:b/>
          <w:bCs/>
        </w:rPr>
        <w:t>PSA</w:t>
      </w:r>
      <w:r w:rsidRPr="001A45C8">
        <w:rPr>
          <w:b/>
          <w:bCs/>
        </w:rPr>
        <w:t xml:space="preserve"> Volume by </w:t>
      </w:r>
      <w:r w:rsidR="00043991" w:rsidRPr="001A45C8">
        <w:rPr>
          <w:b/>
          <w:bCs/>
        </w:rPr>
        <w:t xml:space="preserve">Care </w:t>
      </w:r>
      <w:r w:rsidRPr="001A45C8">
        <w:rPr>
          <w:b/>
          <w:bCs/>
        </w:rPr>
        <w:t>Setting, Age Group, and Pay</w:t>
      </w:r>
      <w:r w:rsidR="00BA33F6" w:rsidRPr="001A45C8">
        <w:rPr>
          <w:b/>
          <w:bCs/>
        </w:rPr>
        <w:t>e</w:t>
      </w:r>
      <w:r w:rsidRPr="001A45C8">
        <w:rPr>
          <w:b/>
          <w:bCs/>
        </w:rPr>
        <w:t>r, CY</w:t>
      </w:r>
      <w:r w:rsidR="008A421F" w:rsidRPr="001A45C8">
        <w:rPr>
          <w:b/>
          <w:bCs/>
        </w:rPr>
        <w:t>20</w:t>
      </w:r>
      <w:r w:rsidRPr="001A45C8">
        <w:rPr>
          <w:b/>
          <w:bCs/>
        </w:rPr>
        <w:t xml:space="preserve">29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rojected PSA Volume by Care Setting, Age Group, and Payer, CY2029"/>
      </w:tblPr>
      <w:tblGrid>
        <w:gridCol w:w="1394"/>
        <w:gridCol w:w="1276"/>
        <w:gridCol w:w="1532"/>
        <w:gridCol w:w="1532"/>
        <w:gridCol w:w="1532"/>
        <w:gridCol w:w="1532"/>
      </w:tblGrid>
      <w:tr w:rsidR="005B47E5" w:rsidRPr="001F04C2" w14:paraId="763B8128" w14:textId="77777777" w:rsidTr="00D84926">
        <w:trPr>
          <w:cantSplit/>
          <w:trHeight w:val="320"/>
          <w:tblHeader/>
        </w:trPr>
        <w:tc>
          <w:tcPr>
            <w:tcW w:w="0" w:type="auto"/>
            <w:shd w:val="clear" w:color="auto" w:fill="F2F2F2" w:themeFill="background1" w:themeFillShade="F2"/>
            <w:noWrap/>
            <w:vAlign w:val="center"/>
            <w:hideMark/>
          </w:tcPr>
          <w:p w14:paraId="66D2464C" w14:textId="77777777" w:rsidR="005B47E5" w:rsidRPr="006528CF" w:rsidRDefault="005B47E5">
            <w:pPr>
              <w:widowControl/>
              <w:autoSpaceDE/>
              <w:autoSpaceDN/>
              <w:rPr>
                <w:rFonts w:eastAsia="Times New Roman" w:cs="Calibri"/>
                <w:b/>
                <w:bCs/>
                <w:color w:val="000000"/>
              </w:rPr>
            </w:pPr>
            <w:r w:rsidRPr="006528CF">
              <w:rPr>
                <w:rFonts w:eastAsia="Times New Roman" w:cs="Calibri"/>
                <w:b/>
                <w:bCs/>
                <w:color w:val="000000"/>
              </w:rPr>
              <w:t>Setting</w:t>
            </w:r>
          </w:p>
        </w:tc>
        <w:tc>
          <w:tcPr>
            <w:tcW w:w="0" w:type="auto"/>
            <w:shd w:val="clear" w:color="auto" w:fill="F2F2F2" w:themeFill="background1" w:themeFillShade="F2"/>
            <w:noWrap/>
            <w:vAlign w:val="center"/>
            <w:hideMark/>
          </w:tcPr>
          <w:p w14:paraId="2BDFD08A" w14:textId="77777777" w:rsidR="005B47E5" w:rsidRPr="006528CF" w:rsidRDefault="005B47E5">
            <w:pPr>
              <w:widowControl/>
              <w:autoSpaceDE/>
              <w:autoSpaceDN/>
              <w:rPr>
                <w:rFonts w:eastAsia="Times New Roman" w:cs="Calibri"/>
                <w:b/>
                <w:bCs/>
                <w:color w:val="000000"/>
              </w:rPr>
            </w:pPr>
            <w:r w:rsidRPr="006528CF">
              <w:rPr>
                <w:rFonts w:eastAsia="Times New Roman" w:cs="Calibri"/>
                <w:b/>
                <w:bCs/>
                <w:color w:val="000000"/>
              </w:rPr>
              <w:t>Age Group</w:t>
            </w:r>
          </w:p>
        </w:tc>
        <w:tc>
          <w:tcPr>
            <w:tcW w:w="0" w:type="auto"/>
            <w:shd w:val="clear" w:color="auto" w:fill="F2F2F2" w:themeFill="background1" w:themeFillShade="F2"/>
            <w:noWrap/>
            <w:vAlign w:val="center"/>
            <w:hideMark/>
          </w:tcPr>
          <w:p w14:paraId="445E2DED" w14:textId="77777777" w:rsidR="00D43A7D" w:rsidRDefault="00D43A7D">
            <w:pPr>
              <w:widowControl/>
              <w:autoSpaceDE/>
              <w:autoSpaceDN/>
              <w:jc w:val="center"/>
              <w:rPr>
                <w:rFonts w:eastAsia="Times New Roman" w:cs="Calibri"/>
                <w:b/>
                <w:bCs/>
                <w:color w:val="000000"/>
              </w:rPr>
            </w:pPr>
            <w:r w:rsidRPr="001F04C2">
              <w:rPr>
                <w:rFonts w:eastAsia="Times New Roman" w:cs="Calibri"/>
                <w:b/>
                <w:bCs/>
                <w:color w:val="000000"/>
              </w:rPr>
              <w:t>C</w:t>
            </w:r>
            <w:r>
              <w:rPr>
                <w:rFonts w:eastAsia="Times New Roman" w:cs="Calibri"/>
                <w:b/>
                <w:bCs/>
                <w:color w:val="000000"/>
              </w:rPr>
              <w:t>ommercial</w:t>
            </w:r>
            <w:r w:rsidRPr="006528CF">
              <w:rPr>
                <w:rFonts w:eastAsia="Times New Roman" w:cs="Calibri"/>
                <w:b/>
                <w:bCs/>
                <w:color w:val="000000"/>
              </w:rPr>
              <w:t xml:space="preserve"> </w:t>
            </w:r>
          </w:p>
          <w:p w14:paraId="44500C6F" w14:textId="756BD1D7" w:rsidR="005B47E5" w:rsidRPr="006528CF" w:rsidRDefault="005B47E5">
            <w:pPr>
              <w:widowControl/>
              <w:autoSpaceDE/>
              <w:autoSpaceDN/>
              <w:jc w:val="center"/>
              <w:rPr>
                <w:rFonts w:eastAsia="Times New Roman" w:cs="Calibri"/>
                <w:b/>
                <w:bCs/>
                <w:color w:val="000000"/>
              </w:rPr>
            </w:pPr>
            <w:r w:rsidRPr="006528CF">
              <w:rPr>
                <w:rFonts w:eastAsia="Times New Roman" w:cs="Calibri"/>
                <w:b/>
                <w:bCs/>
                <w:color w:val="000000"/>
              </w:rPr>
              <w:t>2024 Volume</w:t>
            </w:r>
          </w:p>
        </w:tc>
        <w:tc>
          <w:tcPr>
            <w:tcW w:w="0" w:type="auto"/>
            <w:shd w:val="clear" w:color="auto" w:fill="F2F2F2" w:themeFill="background1" w:themeFillShade="F2"/>
            <w:noWrap/>
            <w:vAlign w:val="center"/>
            <w:hideMark/>
          </w:tcPr>
          <w:p w14:paraId="0C72ACDB" w14:textId="77777777" w:rsidR="00D43A7D" w:rsidRDefault="00D43A7D">
            <w:pPr>
              <w:widowControl/>
              <w:autoSpaceDE/>
              <w:autoSpaceDN/>
              <w:jc w:val="center"/>
              <w:rPr>
                <w:rFonts w:eastAsia="Times New Roman" w:cs="Calibri"/>
                <w:b/>
                <w:bCs/>
                <w:color w:val="000000"/>
              </w:rPr>
            </w:pPr>
            <w:r w:rsidRPr="001F04C2">
              <w:rPr>
                <w:rFonts w:eastAsia="Times New Roman" w:cs="Calibri"/>
                <w:b/>
                <w:bCs/>
                <w:color w:val="000000"/>
              </w:rPr>
              <w:t>C</w:t>
            </w:r>
            <w:r>
              <w:rPr>
                <w:rFonts w:eastAsia="Times New Roman" w:cs="Calibri"/>
                <w:b/>
                <w:bCs/>
                <w:color w:val="000000"/>
              </w:rPr>
              <w:t>ommercial</w:t>
            </w:r>
            <w:r w:rsidRPr="006528CF">
              <w:rPr>
                <w:rFonts w:eastAsia="Times New Roman" w:cs="Calibri"/>
                <w:b/>
                <w:bCs/>
                <w:color w:val="000000"/>
              </w:rPr>
              <w:t xml:space="preserve"> </w:t>
            </w:r>
          </w:p>
          <w:p w14:paraId="4DF9D10B" w14:textId="051B8965" w:rsidR="005B47E5" w:rsidRPr="006528CF" w:rsidRDefault="005B47E5">
            <w:pPr>
              <w:widowControl/>
              <w:autoSpaceDE/>
              <w:autoSpaceDN/>
              <w:jc w:val="center"/>
              <w:rPr>
                <w:rFonts w:eastAsia="Times New Roman" w:cs="Calibri"/>
                <w:b/>
                <w:bCs/>
                <w:color w:val="000000"/>
              </w:rPr>
            </w:pPr>
            <w:r w:rsidRPr="006528CF">
              <w:rPr>
                <w:rFonts w:eastAsia="Times New Roman" w:cs="Calibri"/>
                <w:b/>
                <w:bCs/>
                <w:color w:val="000000"/>
              </w:rPr>
              <w:t>2029 Volume</w:t>
            </w:r>
          </w:p>
        </w:tc>
        <w:tc>
          <w:tcPr>
            <w:tcW w:w="0" w:type="auto"/>
            <w:shd w:val="clear" w:color="auto" w:fill="F2F2F2" w:themeFill="background1" w:themeFillShade="F2"/>
            <w:noWrap/>
            <w:vAlign w:val="center"/>
            <w:hideMark/>
          </w:tcPr>
          <w:p w14:paraId="598F43E5" w14:textId="77777777" w:rsidR="00D43A7D" w:rsidRDefault="00D43A7D">
            <w:pPr>
              <w:widowControl/>
              <w:autoSpaceDE/>
              <w:autoSpaceDN/>
              <w:jc w:val="center"/>
              <w:rPr>
                <w:rFonts w:eastAsia="Times New Roman" w:cs="Calibri"/>
                <w:b/>
                <w:bCs/>
                <w:color w:val="000000"/>
              </w:rPr>
            </w:pPr>
            <w:r w:rsidRPr="001F04C2">
              <w:rPr>
                <w:rFonts w:eastAsia="Times New Roman" w:cs="Calibri"/>
                <w:b/>
                <w:bCs/>
                <w:color w:val="000000"/>
              </w:rPr>
              <w:t>M</w:t>
            </w:r>
            <w:r>
              <w:rPr>
                <w:rFonts w:eastAsia="Times New Roman" w:cs="Calibri"/>
                <w:b/>
                <w:bCs/>
                <w:color w:val="000000"/>
              </w:rPr>
              <w:t>edicaid</w:t>
            </w:r>
            <w:r w:rsidRPr="006528CF">
              <w:rPr>
                <w:rFonts w:eastAsia="Times New Roman" w:cs="Calibri"/>
                <w:b/>
                <w:bCs/>
                <w:color w:val="000000"/>
              </w:rPr>
              <w:t xml:space="preserve"> </w:t>
            </w:r>
          </w:p>
          <w:p w14:paraId="03D58138" w14:textId="2DE8DDBC" w:rsidR="005B47E5" w:rsidRPr="006528CF" w:rsidRDefault="005B47E5">
            <w:pPr>
              <w:widowControl/>
              <w:autoSpaceDE/>
              <w:autoSpaceDN/>
              <w:jc w:val="center"/>
              <w:rPr>
                <w:rFonts w:eastAsia="Times New Roman" w:cs="Calibri"/>
                <w:b/>
                <w:bCs/>
                <w:color w:val="000000"/>
              </w:rPr>
            </w:pPr>
            <w:r w:rsidRPr="006528CF">
              <w:rPr>
                <w:rFonts w:eastAsia="Times New Roman" w:cs="Calibri"/>
                <w:b/>
                <w:bCs/>
                <w:color w:val="000000"/>
              </w:rPr>
              <w:t>2024 Volume</w:t>
            </w:r>
          </w:p>
        </w:tc>
        <w:tc>
          <w:tcPr>
            <w:tcW w:w="0" w:type="auto"/>
            <w:shd w:val="clear" w:color="auto" w:fill="F2F2F2" w:themeFill="background1" w:themeFillShade="F2"/>
            <w:noWrap/>
            <w:vAlign w:val="center"/>
            <w:hideMark/>
          </w:tcPr>
          <w:p w14:paraId="42CCCDEC" w14:textId="77777777" w:rsidR="00D43A7D" w:rsidRDefault="00D43A7D">
            <w:pPr>
              <w:widowControl/>
              <w:autoSpaceDE/>
              <w:autoSpaceDN/>
              <w:jc w:val="center"/>
              <w:rPr>
                <w:rFonts w:eastAsia="Times New Roman" w:cs="Calibri"/>
                <w:b/>
                <w:bCs/>
                <w:color w:val="000000"/>
              </w:rPr>
            </w:pPr>
            <w:r w:rsidRPr="001F04C2">
              <w:rPr>
                <w:rFonts w:eastAsia="Times New Roman" w:cs="Calibri"/>
                <w:b/>
                <w:bCs/>
                <w:color w:val="000000"/>
              </w:rPr>
              <w:t>M</w:t>
            </w:r>
            <w:r>
              <w:rPr>
                <w:rFonts w:eastAsia="Times New Roman" w:cs="Calibri"/>
                <w:b/>
                <w:bCs/>
                <w:color w:val="000000"/>
              </w:rPr>
              <w:t>edicaid</w:t>
            </w:r>
            <w:r w:rsidRPr="006528CF">
              <w:rPr>
                <w:rFonts w:eastAsia="Times New Roman" w:cs="Calibri"/>
                <w:b/>
                <w:bCs/>
                <w:color w:val="000000"/>
              </w:rPr>
              <w:t xml:space="preserve"> </w:t>
            </w:r>
          </w:p>
          <w:p w14:paraId="30CAFC3D" w14:textId="7AEF20DE" w:rsidR="005B47E5" w:rsidRPr="006528CF" w:rsidRDefault="005B47E5">
            <w:pPr>
              <w:widowControl/>
              <w:autoSpaceDE/>
              <w:autoSpaceDN/>
              <w:jc w:val="center"/>
              <w:rPr>
                <w:rFonts w:eastAsia="Times New Roman" w:cs="Calibri"/>
                <w:b/>
                <w:bCs/>
                <w:color w:val="000000"/>
              </w:rPr>
            </w:pPr>
            <w:r w:rsidRPr="006528CF">
              <w:rPr>
                <w:rFonts w:eastAsia="Times New Roman" w:cs="Calibri"/>
                <w:b/>
                <w:bCs/>
                <w:color w:val="000000"/>
              </w:rPr>
              <w:t>2029 Volume</w:t>
            </w:r>
          </w:p>
        </w:tc>
      </w:tr>
      <w:tr w:rsidR="005B47E5" w:rsidRPr="001F04C2" w14:paraId="532ECA8E" w14:textId="77777777" w:rsidTr="00D84926">
        <w:trPr>
          <w:cantSplit/>
          <w:trHeight w:val="320"/>
        </w:trPr>
        <w:tc>
          <w:tcPr>
            <w:tcW w:w="0" w:type="auto"/>
            <w:noWrap/>
            <w:vAlign w:val="center"/>
            <w:hideMark/>
          </w:tcPr>
          <w:p w14:paraId="63D6C2EE" w14:textId="77777777" w:rsidR="005B47E5" w:rsidRPr="001F04C2" w:rsidRDefault="005B47E5">
            <w:pPr>
              <w:widowControl/>
              <w:autoSpaceDE/>
              <w:autoSpaceDN/>
              <w:rPr>
                <w:rFonts w:eastAsia="Times New Roman" w:cs="Calibri"/>
                <w:b/>
                <w:bCs/>
                <w:color w:val="000000"/>
              </w:rPr>
            </w:pPr>
            <w:r w:rsidRPr="001F04C2">
              <w:rPr>
                <w:rFonts w:eastAsia="Times New Roman" w:cs="Calibri"/>
                <w:b/>
                <w:bCs/>
                <w:color w:val="000000"/>
              </w:rPr>
              <w:t>ASC</w:t>
            </w:r>
          </w:p>
        </w:tc>
        <w:tc>
          <w:tcPr>
            <w:tcW w:w="0" w:type="auto"/>
            <w:noWrap/>
            <w:vAlign w:val="center"/>
            <w:hideMark/>
          </w:tcPr>
          <w:p w14:paraId="410117C7" w14:textId="77777777" w:rsidR="005B47E5" w:rsidRPr="001F04C2" w:rsidRDefault="005B47E5" w:rsidP="00A33C08">
            <w:pPr>
              <w:widowControl/>
              <w:autoSpaceDE/>
              <w:autoSpaceDN/>
              <w:jc w:val="center"/>
              <w:rPr>
                <w:rFonts w:eastAsia="Times New Roman" w:cs="Calibri"/>
                <w:color w:val="000000"/>
              </w:rPr>
            </w:pPr>
            <w:r w:rsidRPr="001F04C2">
              <w:rPr>
                <w:rFonts w:eastAsia="Times New Roman" w:cs="Calibri"/>
                <w:color w:val="000000"/>
              </w:rPr>
              <w:t>0-10</w:t>
            </w:r>
          </w:p>
        </w:tc>
        <w:tc>
          <w:tcPr>
            <w:tcW w:w="0" w:type="auto"/>
            <w:noWrap/>
            <w:vAlign w:val="center"/>
            <w:hideMark/>
          </w:tcPr>
          <w:p w14:paraId="61F9F5AC"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5,027</w:t>
            </w:r>
          </w:p>
        </w:tc>
        <w:tc>
          <w:tcPr>
            <w:tcW w:w="0" w:type="auto"/>
            <w:noWrap/>
            <w:vAlign w:val="center"/>
            <w:hideMark/>
          </w:tcPr>
          <w:p w14:paraId="4D52B328"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4,980</w:t>
            </w:r>
          </w:p>
        </w:tc>
        <w:tc>
          <w:tcPr>
            <w:tcW w:w="0" w:type="auto"/>
            <w:noWrap/>
            <w:vAlign w:val="center"/>
            <w:hideMark/>
          </w:tcPr>
          <w:p w14:paraId="78AFE00B"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244</w:t>
            </w:r>
          </w:p>
        </w:tc>
        <w:tc>
          <w:tcPr>
            <w:tcW w:w="0" w:type="auto"/>
            <w:noWrap/>
            <w:vAlign w:val="center"/>
            <w:hideMark/>
          </w:tcPr>
          <w:p w14:paraId="0E32F006"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244</w:t>
            </w:r>
          </w:p>
        </w:tc>
      </w:tr>
      <w:tr w:rsidR="005B47E5" w:rsidRPr="001F04C2" w14:paraId="5DC36B01" w14:textId="77777777" w:rsidTr="00D84926">
        <w:trPr>
          <w:cantSplit/>
          <w:trHeight w:val="320"/>
        </w:trPr>
        <w:tc>
          <w:tcPr>
            <w:tcW w:w="0" w:type="auto"/>
            <w:vAlign w:val="center"/>
            <w:hideMark/>
          </w:tcPr>
          <w:p w14:paraId="451D8227" w14:textId="49329322" w:rsidR="005B47E5" w:rsidRPr="001F04C2" w:rsidRDefault="00644C0B">
            <w:pPr>
              <w:widowControl/>
              <w:autoSpaceDE/>
              <w:autoSpaceDN/>
              <w:rPr>
                <w:rFonts w:eastAsia="Times New Roman" w:cs="Calibri"/>
                <w:b/>
                <w:bCs/>
                <w:color w:val="000000"/>
              </w:rPr>
            </w:pPr>
            <w:r w:rsidRPr="001F04C2">
              <w:rPr>
                <w:rFonts w:eastAsia="Times New Roman" w:cs="Calibri"/>
                <w:b/>
                <w:bCs/>
                <w:color w:val="000000"/>
              </w:rPr>
              <w:t>ASC</w:t>
            </w:r>
          </w:p>
        </w:tc>
        <w:tc>
          <w:tcPr>
            <w:tcW w:w="0" w:type="auto"/>
            <w:noWrap/>
            <w:vAlign w:val="center"/>
            <w:hideMark/>
          </w:tcPr>
          <w:p w14:paraId="1816E079" w14:textId="77777777" w:rsidR="005B47E5" w:rsidRPr="001F04C2" w:rsidRDefault="005B47E5" w:rsidP="00A33C08">
            <w:pPr>
              <w:widowControl/>
              <w:autoSpaceDE/>
              <w:autoSpaceDN/>
              <w:jc w:val="center"/>
              <w:rPr>
                <w:rFonts w:eastAsia="Times New Roman" w:cs="Calibri"/>
                <w:color w:val="000000"/>
              </w:rPr>
            </w:pPr>
            <w:r w:rsidRPr="001F04C2">
              <w:rPr>
                <w:rFonts w:eastAsia="Times New Roman" w:cs="Calibri"/>
                <w:color w:val="000000"/>
              </w:rPr>
              <w:t>11-21</w:t>
            </w:r>
          </w:p>
        </w:tc>
        <w:tc>
          <w:tcPr>
            <w:tcW w:w="0" w:type="auto"/>
            <w:noWrap/>
            <w:vAlign w:val="center"/>
            <w:hideMark/>
          </w:tcPr>
          <w:p w14:paraId="40AE2E51"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361</w:t>
            </w:r>
          </w:p>
        </w:tc>
        <w:tc>
          <w:tcPr>
            <w:tcW w:w="0" w:type="auto"/>
            <w:noWrap/>
            <w:vAlign w:val="center"/>
            <w:hideMark/>
          </w:tcPr>
          <w:p w14:paraId="7533A147"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358</w:t>
            </w:r>
          </w:p>
        </w:tc>
        <w:tc>
          <w:tcPr>
            <w:tcW w:w="0" w:type="auto"/>
            <w:noWrap/>
            <w:vAlign w:val="center"/>
            <w:hideMark/>
          </w:tcPr>
          <w:p w14:paraId="58BF2869"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16</w:t>
            </w:r>
          </w:p>
        </w:tc>
        <w:tc>
          <w:tcPr>
            <w:tcW w:w="0" w:type="auto"/>
            <w:noWrap/>
            <w:vAlign w:val="center"/>
            <w:hideMark/>
          </w:tcPr>
          <w:p w14:paraId="387E3BA8"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16</w:t>
            </w:r>
          </w:p>
        </w:tc>
      </w:tr>
      <w:tr w:rsidR="005B47E5" w:rsidRPr="001F04C2" w14:paraId="7EF7B7D8" w14:textId="77777777" w:rsidTr="00D84926">
        <w:trPr>
          <w:cantSplit/>
          <w:trHeight w:val="320"/>
        </w:trPr>
        <w:tc>
          <w:tcPr>
            <w:tcW w:w="0" w:type="auto"/>
            <w:vAlign w:val="center"/>
            <w:hideMark/>
          </w:tcPr>
          <w:p w14:paraId="2CECF070" w14:textId="34436AA6" w:rsidR="005B47E5" w:rsidRPr="001F04C2" w:rsidRDefault="00644C0B">
            <w:pPr>
              <w:widowControl/>
              <w:autoSpaceDE/>
              <w:autoSpaceDN/>
              <w:rPr>
                <w:rFonts w:eastAsia="Times New Roman" w:cs="Calibri"/>
                <w:b/>
                <w:bCs/>
                <w:color w:val="000000"/>
              </w:rPr>
            </w:pPr>
            <w:r w:rsidRPr="001F04C2">
              <w:rPr>
                <w:rFonts w:eastAsia="Times New Roman" w:cs="Calibri"/>
                <w:b/>
                <w:bCs/>
                <w:color w:val="000000"/>
              </w:rPr>
              <w:t>ASC</w:t>
            </w:r>
          </w:p>
        </w:tc>
        <w:tc>
          <w:tcPr>
            <w:tcW w:w="0" w:type="auto"/>
            <w:shd w:val="clear" w:color="auto" w:fill="FFFFFF" w:themeFill="background1"/>
            <w:noWrap/>
            <w:vAlign w:val="center"/>
            <w:hideMark/>
          </w:tcPr>
          <w:p w14:paraId="18D0C1D2" w14:textId="77777777" w:rsidR="005B47E5" w:rsidRPr="00A33C08" w:rsidRDefault="005B47E5" w:rsidP="00A33C08">
            <w:pPr>
              <w:widowControl/>
              <w:autoSpaceDE/>
              <w:autoSpaceDN/>
              <w:jc w:val="center"/>
              <w:rPr>
                <w:rFonts w:eastAsia="Times New Roman" w:cs="Calibri"/>
                <w:b/>
                <w:bCs/>
                <w:color w:val="000000"/>
              </w:rPr>
            </w:pPr>
            <w:r w:rsidRPr="00A33C08">
              <w:rPr>
                <w:rFonts w:eastAsia="Times New Roman" w:cs="Calibri"/>
                <w:b/>
                <w:bCs/>
                <w:color w:val="000000"/>
              </w:rPr>
              <w:t>Total</w:t>
            </w:r>
          </w:p>
        </w:tc>
        <w:tc>
          <w:tcPr>
            <w:tcW w:w="0" w:type="auto"/>
            <w:shd w:val="clear" w:color="auto" w:fill="FFFFFF" w:themeFill="background1"/>
            <w:noWrap/>
            <w:vAlign w:val="center"/>
            <w:hideMark/>
          </w:tcPr>
          <w:p w14:paraId="1BA8538F" w14:textId="77777777" w:rsidR="005B47E5" w:rsidRPr="00214142" w:rsidRDefault="005B47E5" w:rsidP="00146AD1">
            <w:pPr>
              <w:widowControl/>
              <w:autoSpaceDE/>
              <w:autoSpaceDN/>
              <w:jc w:val="center"/>
              <w:rPr>
                <w:rFonts w:eastAsia="Times New Roman" w:cs="Calibri"/>
                <w:b/>
                <w:bCs/>
                <w:color w:val="000000"/>
              </w:rPr>
            </w:pPr>
            <w:r w:rsidRPr="00214142">
              <w:rPr>
                <w:rFonts w:eastAsia="Times New Roman" w:cs="Calibri"/>
                <w:b/>
                <w:bCs/>
                <w:color w:val="000000"/>
              </w:rPr>
              <w:t>5,388</w:t>
            </w:r>
          </w:p>
        </w:tc>
        <w:tc>
          <w:tcPr>
            <w:tcW w:w="0" w:type="auto"/>
            <w:shd w:val="clear" w:color="auto" w:fill="FFFFFF" w:themeFill="background1"/>
            <w:noWrap/>
            <w:vAlign w:val="center"/>
            <w:hideMark/>
          </w:tcPr>
          <w:p w14:paraId="239A4641" w14:textId="77777777" w:rsidR="005B47E5" w:rsidRPr="00214142" w:rsidRDefault="005B47E5" w:rsidP="00146AD1">
            <w:pPr>
              <w:widowControl/>
              <w:autoSpaceDE/>
              <w:autoSpaceDN/>
              <w:jc w:val="center"/>
              <w:rPr>
                <w:rFonts w:eastAsia="Times New Roman" w:cs="Calibri"/>
                <w:b/>
                <w:bCs/>
                <w:color w:val="000000"/>
              </w:rPr>
            </w:pPr>
            <w:r w:rsidRPr="00214142">
              <w:rPr>
                <w:rFonts w:eastAsia="Times New Roman" w:cs="Calibri"/>
                <w:b/>
                <w:bCs/>
                <w:color w:val="000000"/>
              </w:rPr>
              <w:t>5,338</w:t>
            </w:r>
          </w:p>
        </w:tc>
        <w:tc>
          <w:tcPr>
            <w:tcW w:w="0" w:type="auto"/>
            <w:shd w:val="clear" w:color="auto" w:fill="FFFFFF" w:themeFill="background1"/>
            <w:noWrap/>
            <w:vAlign w:val="center"/>
            <w:hideMark/>
          </w:tcPr>
          <w:p w14:paraId="7085F304" w14:textId="77777777" w:rsidR="005B47E5" w:rsidRPr="00214142" w:rsidRDefault="005B47E5" w:rsidP="00146AD1">
            <w:pPr>
              <w:widowControl/>
              <w:autoSpaceDE/>
              <w:autoSpaceDN/>
              <w:jc w:val="center"/>
              <w:rPr>
                <w:rFonts w:eastAsia="Times New Roman" w:cs="Calibri"/>
                <w:b/>
                <w:bCs/>
                <w:color w:val="000000"/>
              </w:rPr>
            </w:pPr>
            <w:r w:rsidRPr="00214142">
              <w:rPr>
                <w:rFonts w:eastAsia="Times New Roman" w:cs="Calibri"/>
                <w:b/>
                <w:bCs/>
                <w:color w:val="000000"/>
              </w:rPr>
              <w:t>260</w:t>
            </w:r>
          </w:p>
        </w:tc>
        <w:tc>
          <w:tcPr>
            <w:tcW w:w="0" w:type="auto"/>
            <w:shd w:val="clear" w:color="auto" w:fill="FFFFFF" w:themeFill="background1"/>
            <w:noWrap/>
            <w:vAlign w:val="center"/>
            <w:hideMark/>
          </w:tcPr>
          <w:p w14:paraId="5DC8E4A0" w14:textId="77777777" w:rsidR="005B47E5" w:rsidRPr="00214142" w:rsidRDefault="005B47E5" w:rsidP="00146AD1">
            <w:pPr>
              <w:widowControl/>
              <w:autoSpaceDE/>
              <w:autoSpaceDN/>
              <w:jc w:val="center"/>
              <w:rPr>
                <w:rFonts w:eastAsia="Times New Roman" w:cs="Calibri"/>
                <w:b/>
                <w:bCs/>
                <w:color w:val="000000"/>
              </w:rPr>
            </w:pPr>
            <w:r w:rsidRPr="00214142">
              <w:rPr>
                <w:rFonts w:eastAsia="Times New Roman" w:cs="Calibri"/>
                <w:b/>
                <w:bCs/>
                <w:color w:val="000000"/>
              </w:rPr>
              <w:t>260</w:t>
            </w:r>
          </w:p>
        </w:tc>
      </w:tr>
      <w:tr w:rsidR="005B47E5" w:rsidRPr="001F04C2" w14:paraId="6E9A0E1B" w14:textId="77777777" w:rsidTr="00D84926">
        <w:trPr>
          <w:cantSplit/>
          <w:trHeight w:val="320"/>
        </w:trPr>
        <w:tc>
          <w:tcPr>
            <w:tcW w:w="0" w:type="auto"/>
            <w:noWrap/>
            <w:vAlign w:val="center"/>
            <w:hideMark/>
          </w:tcPr>
          <w:p w14:paraId="0054E4FD" w14:textId="77777777" w:rsidR="005B47E5" w:rsidRPr="001F04C2" w:rsidRDefault="005B47E5">
            <w:pPr>
              <w:widowControl/>
              <w:autoSpaceDE/>
              <w:autoSpaceDN/>
              <w:rPr>
                <w:rFonts w:eastAsia="Times New Roman" w:cs="Calibri"/>
                <w:b/>
                <w:bCs/>
                <w:color w:val="000000"/>
              </w:rPr>
            </w:pPr>
            <w:r w:rsidRPr="001F04C2">
              <w:rPr>
                <w:rFonts w:eastAsia="Times New Roman" w:cs="Calibri"/>
                <w:b/>
                <w:bCs/>
                <w:color w:val="000000"/>
              </w:rPr>
              <w:t>HOPD</w:t>
            </w:r>
          </w:p>
        </w:tc>
        <w:tc>
          <w:tcPr>
            <w:tcW w:w="0" w:type="auto"/>
            <w:noWrap/>
            <w:vAlign w:val="center"/>
            <w:hideMark/>
          </w:tcPr>
          <w:p w14:paraId="53E179C7" w14:textId="77777777" w:rsidR="005B47E5" w:rsidRPr="001F04C2" w:rsidRDefault="005B47E5" w:rsidP="00A33C08">
            <w:pPr>
              <w:widowControl/>
              <w:autoSpaceDE/>
              <w:autoSpaceDN/>
              <w:jc w:val="center"/>
              <w:rPr>
                <w:rFonts w:eastAsia="Times New Roman" w:cs="Calibri"/>
                <w:color w:val="000000"/>
              </w:rPr>
            </w:pPr>
            <w:r w:rsidRPr="001F04C2">
              <w:rPr>
                <w:rFonts w:eastAsia="Times New Roman" w:cs="Calibri"/>
                <w:color w:val="000000"/>
              </w:rPr>
              <w:t>0-10</w:t>
            </w:r>
          </w:p>
        </w:tc>
        <w:tc>
          <w:tcPr>
            <w:tcW w:w="0" w:type="auto"/>
            <w:noWrap/>
            <w:vAlign w:val="center"/>
            <w:hideMark/>
          </w:tcPr>
          <w:p w14:paraId="0C09A628"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11,139</w:t>
            </w:r>
          </w:p>
        </w:tc>
        <w:tc>
          <w:tcPr>
            <w:tcW w:w="0" w:type="auto"/>
            <w:noWrap/>
            <w:vAlign w:val="center"/>
            <w:hideMark/>
          </w:tcPr>
          <w:p w14:paraId="69380CBE"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11,036</w:t>
            </w:r>
          </w:p>
        </w:tc>
        <w:tc>
          <w:tcPr>
            <w:tcW w:w="0" w:type="auto"/>
            <w:noWrap/>
            <w:vAlign w:val="center"/>
            <w:hideMark/>
          </w:tcPr>
          <w:p w14:paraId="264DC86A"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25,156</w:t>
            </w:r>
          </w:p>
        </w:tc>
        <w:tc>
          <w:tcPr>
            <w:tcW w:w="0" w:type="auto"/>
            <w:noWrap/>
            <w:vAlign w:val="center"/>
            <w:hideMark/>
          </w:tcPr>
          <w:p w14:paraId="110E59DC" w14:textId="77777777" w:rsidR="005B47E5" w:rsidRPr="001F04C2" w:rsidRDefault="005B47E5" w:rsidP="00146AD1">
            <w:pPr>
              <w:widowControl/>
              <w:autoSpaceDE/>
              <w:autoSpaceDN/>
              <w:jc w:val="center"/>
              <w:rPr>
                <w:rFonts w:eastAsia="Times New Roman" w:cs="Calibri"/>
                <w:color w:val="000000"/>
              </w:rPr>
            </w:pPr>
            <w:r w:rsidRPr="001F04C2">
              <w:rPr>
                <w:rFonts w:eastAsia="Times New Roman" w:cs="Calibri"/>
                <w:color w:val="000000"/>
              </w:rPr>
              <w:t>25,145</w:t>
            </w:r>
          </w:p>
        </w:tc>
      </w:tr>
      <w:tr w:rsidR="00644C0B" w:rsidRPr="001F04C2" w14:paraId="6C4C8F9B" w14:textId="77777777" w:rsidTr="00D84926">
        <w:trPr>
          <w:cantSplit/>
          <w:trHeight w:val="320"/>
        </w:trPr>
        <w:tc>
          <w:tcPr>
            <w:tcW w:w="0" w:type="auto"/>
            <w:vAlign w:val="center"/>
            <w:hideMark/>
          </w:tcPr>
          <w:p w14:paraId="271C2310" w14:textId="7EF61A3E" w:rsidR="00644C0B" w:rsidRPr="001F04C2" w:rsidRDefault="00644C0B" w:rsidP="00644C0B">
            <w:pPr>
              <w:widowControl/>
              <w:autoSpaceDE/>
              <w:autoSpaceDN/>
              <w:rPr>
                <w:rFonts w:eastAsia="Times New Roman" w:cs="Calibri"/>
                <w:b/>
                <w:bCs/>
                <w:color w:val="000000"/>
              </w:rPr>
            </w:pPr>
            <w:r w:rsidRPr="001F04C2">
              <w:rPr>
                <w:rFonts w:eastAsia="Times New Roman" w:cs="Calibri"/>
                <w:b/>
                <w:bCs/>
                <w:color w:val="000000"/>
              </w:rPr>
              <w:lastRenderedPageBreak/>
              <w:t>HOPD</w:t>
            </w:r>
          </w:p>
        </w:tc>
        <w:tc>
          <w:tcPr>
            <w:tcW w:w="0" w:type="auto"/>
            <w:noWrap/>
            <w:vAlign w:val="center"/>
            <w:hideMark/>
          </w:tcPr>
          <w:p w14:paraId="7D79DD06"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11-21</w:t>
            </w:r>
          </w:p>
        </w:tc>
        <w:tc>
          <w:tcPr>
            <w:tcW w:w="0" w:type="auto"/>
            <w:noWrap/>
            <w:vAlign w:val="center"/>
            <w:hideMark/>
          </w:tcPr>
          <w:p w14:paraId="47212292"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3,391</w:t>
            </w:r>
          </w:p>
        </w:tc>
        <w:tc>
          <w:tcPr>
            <w:tcW w:w="0" w:type="auto"/>
            <w:noWrap/>
            <w:vAlign w:val="center"/>
            <w:hideMark/>
          </w:tcPr>
          <w:p w14:paraId="5D380A63"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3,360</w:t>
            </w:r>
          </w:p>
        </w:tc>
        <w:tc>
          <w:tcPr>
            <w:tcW w:w="0" w:type="auto"/>
            <w:noWrap/>
            <w:vAlign w:val="center"/>
            <w:hideMark/>
          </w:tcPr>
          <w:p w14:paraId="49F35F84"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5,197</w:t>
            </w:r>
          </w:p>
        </w:tc>
        <w:tc>
          <w:tcPr>
            <w:tcW w:w="0" w:type="auto"/>
            <w:noWrap/>
            <w:vAlign w:val="center"/>
            <w:hideMark/>
          </w:tcPr>
          <w:p w14:paraId="18A425D8"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5,195</w:t>
            </w:r>
          </w:p>
        </w:tc>
      </w:tr>
      <w:tr w:rsidR="00644C0B" w:rsidRPr="001F04C2" w14:paraId="695F042B" w14:textId="77777777" w:rsidTr="00D84926">
        <w:trPr>
          <w:cantSplit/>
          <w:trHeight w:val="320"/>
        </w:trPr>
        <w:tc>
          <w:tcPr>
            <w:tcW w:w="0" w:type="auto"/>
            <w:vAlign w:val="center"/>
            <w:hideMark/>
          </w:tcPr>
          <w:p w14:paraId="502E19BB" w14:textId="59AE29C2" w:rsidR="00644C0B" w:rsidRPr="001F04C2" w:rsidRDefault="00644C0B" w:rsidP="00644C0B">
            <w:pPr>
              <w:widowControl/>
              <w:autoSpaceDE/>
              <w:autoSpaceDN/>
              <w:rPr>
                <w:rFonts w:eastAsia="Times New Roman" w:cs="Calibri"/>
                <w:b/>
                <w:bCs/>
                <w:color w:val="000000"/>
              </w:rPr>
            </w:pPr>
            <w:r w:rsidRPr="001F04C2">
              <w:rPr>
                <w:rFonts w:eastAsia="Times New Roman" w:cs="Calibri"/>
                <w:b/>
                <w:bCs/>
                <w:color w:val="000000"/>
              </w:rPr>
              <w:t>HOPD</w:t>
            </w:r>
          </w:p>
        </w:tc>
        <w:tc>
          <w:tcPr>
            <w:tcW w:w="0" w:type="auto"/>
            <w:shd w:val="clear" w:color="auto" w:fill="FFFFFF" w:themeFill="background1"/>
            <w:noWrap/>
            <w:vAlign w:val="center"/>
            <w:hideMark/>
          </w:tcPr>
          <w:p w14:paraId="139DEE7B" w14:textId="77777777" w:rsidR="00644C0B" w:rsidRPr="00A33C08" w:rsidRDefault="00644C0B" w:rsidP="00644C0B">
            <w:pPr>
              <w:widowControl/>
              <w:autoSpaceDE/>
              <w:autoSpaceDN/>
              <w:jc w:val="center"/>
              <w:rPr>
                <w:rFonts w:eastAsia="Times New Roman" w:cs="Calibri"/>
                <w:b/>
                <w:bCs/>
                <w:color w:val="000000"/>
              </w:rPr>
            </w:pPr>
            <w:r w:rsidRPr="00A33C08">
              <w:rPr>
                <w:rFonts w:eastAsia="Times New Roman" w:cs="Calibri"/>
                <w:b/>
                <w:bCs/>
                <w:color w:val="000000"/>
              </w:rPr>
              <w:t>Total</w:t>
            </w:r>
          </w:p>
        </w:tc>
        <w:tc>
          <w:tcPr>
            <w:tcW w:w="0" w:type="auto"/>
            <w:shd w:val="clear" w:color="auto" w:fill="FFFFFF" w:themeFill="background1"/>
            <w:noWrap/>
            <w:vAlign w:val="center"/>
            <w:hideMark/>
          </w:tcPr>
          <w:p w14:paraId="2CD2AC77"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14,530</w:t>
            </w:r>
          </w:p>
        </w:tc>
        <w:tc>
          <w:tcPr>
            <w:tcW w:w="0" w:type="auto"/>
            <w:shd w:val="clear" w:color="auto" w:fill="FFFFFF" w:themeFill="background1"/>
            <w:noWrap/>
            <w:vAlign w:val="center"/>
            <w:hideMark/>
          </w:tcPr>
          <w:p w14:paraId="292F2B85"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14,396</w:t>
            </w:r>
          </w:p>
        </w:tc>
        <w:tc>
          <w:tcPr>
            <w:tcW w:w="0" w:type="auto"/>
            <w:shd w:val="clear" w:color="auto" w:fill="FFFFFF" w:themeFill="background1"/>
            <w:noWrap/>
            <w:vAlign w:val="center"/>
            <w:hideMark/>
          </w:tcPr>
          <w:p w14:paraId="11A56270"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30,353</w:t>
            </w:r>
          </w:p>
        </w:tc>
        <w:tc>
          <w:tcPr>
            <w:tcW w:w="0" w:type="auto"/>
            <w:shd w:val="clear" w:color="auto" w:fill="FFFFFF" w:themeFill="background1"/>
            <w:noWrap/>
            <w:vAlign w:val="center"/>
            <w:hideMark/>
          </w:tcPr>
          <w:p w14:paraId="10BE235B"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30,340</w:t>
            </w:r>
          </w:p>
        </w:tc>
      </w:tr>
      <w:tr w:rsidR="00644C0B" w:rsidRPr="001F04C2" w14:paraId="62C50120" w14:textId="77777777" w:rsidTr="00D84926">
        <w:trPr>
          <w:cantSplit/>
          <w:trHeight w:val="320"/>
        </w:trPr>
        <w:tc>
          <w:tcPr>
            <w:tcW w:w="0" w:type="auto"/>
            <w:noWrap/>
            <w:vAlign w:val="center"/>
            <w:hideMark/>
          </w:tcPr>
          <w:p w14:paraId="4AF6B8B7" w14:textId="50FFCF41" w:rsidR="00644C0B" w:rsidRPr="001F04C2" w:rsidRDefault="00644C0B" w:rsidP="00644C0B">
            <w:pPr>
              <w:widowControl/>
              <w:autoSpaceDE/>
              <w:autoSpaceDN/>
              <w:rPr>
                <w:rFonts w:eastAsia="Times New Roman" w:cs="Calibri"/>
                <w:b/>
                <w:bCs/>
                <w:color w:val="000000"/>
              </w:rPr>
            </w:pPr>
            <w:r>
              <w:rPr>
                <w:rFonts w:eastAsia="Times New Roman" w:cs="Calibri"/>
                <w:b/>
                <w:bCs/>
                <w:color w:val="000000"/>
              </w:rPr>
              <w:t>Office</w:t>
            </w:r>
          </w:p>
          <w:p w14:paraId="7D2FC29B" w14:textId="0984E94C" w:rsidR="00644C0B" w:rsidRPr="001F04C2" w:rsidRDefault="00644C0B" w:rsidP="00644C0B">
            <w:pPr>
              <w:widowControl/>
              <w:autoSpaceDE/>
              <w:autoSpaceDN/>
              <w:rPr>
                <w:rFonts w:eastAsia="Times New Roman" w:cs="Calibri"/>
                <w:b/>
                <w:bCs/>
                <w:color w:val="000000"/>
              </w:rPr>
            </w:pPr>
          </w:p>
        </w:tc>
        <w:tc>
          <w:tcPr>
            <w:tcW w:w="0" w:type="auto"/>
            <w:noWrap/>
            <w:vAlign w:val="center"/>
            <w:hideMark/>
          </w:tcPr>
          <w:p w14:paraId="2C499E1C"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0-10</w:t>
            </w:r>
          </w:p>
        </w:tc>
        <w:tc>
          <w:tcPr>
            <w:tcW w:w="0" w:type="auto"/>
            <w:noWrap/>
            <w:vAlign w:val="center"/>
            <w:hideMark/>
          </w:tcPr>
          <w:p w14:paraId="1F435DEF"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11,669</w:t>
            </w:r>
          </w:p>
        </w:tc>
        <w:tc>
          <w:tcPr>
            <w:tcW w:w="0" w:type="auto"/>
            <w:noWrap/>
            <w:vAlign w:val="center"/>
            <w:hideMark/>
          </w:tcPr>
          <w:p w14:paraId="7677516B"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11,561</w:t>
            </w:r>
          </w:p>
        </w:tc>
        <w:tc>
          <w:tcPr>
            <w:tcW w:w="0" w:type="auto"/>
            <w:noWrap/>
            <w:vAlign w:val="center"/>
            <w:hideMark/>
          </w:tcPr>
          <w:p w14:paraId="5A7B6D88"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5,608</w:t>
            </w:r>
          </w:p>
        </w:tc>
        <w:tc>
          <w:tcPr>
            <w:tcW w:w="0" w:type="auto"/>
            <w:noWrap/>
            <w:vAlign w:val="center"/>
            <w:hideMark/>
          </w:tcPr>
          <w:p w14:paraId="4C25D764"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5,606</w:t>
            </w:r>
          </w:p>
        </w:tc>
      </w:tr>
      <w:tr w:rsidR="00644C0B" w:rsidRPr="001F04C2" w14:paraId="270F1B8F" w14:textId="77777777" w:rsidTr="00D84926">
        <w:trPr>
          <w:cantSplit/>
          <w:trHeight w:val="320"/>
        </w:trPr>
        <w:tc>
          <w:tcPr>
            <w:tcW w:w="0" w:type="auto"/>
            <w:hideMark/>
          </w:tcPr>
          <w:p w14:paraId="3AC914BF" w14:textId="7AFF83D4" w:rsidR="00644C0B" w:rsidRPr="001F04C2" w:rsidRDefault="00644C0B" w:rsidP="00644C0B">
            <w:pPr>
              <w:widowControl/>
              <w:autoSpaceDE/>
              <w:autoSpaceDN/>
              <w:rPr>
                <w:rFonts w:eastAsia="Times New Roman" w:cs="Calibri"/>
                <w:b/>
                <w:bCs/>
                <w:color w:val="000000"/>
              </w:rPr>
            </w:pPr>
            <w:r w:rsidRPr="004E4200">
              <w:rPr>
                <w:rFonts w:eastAsia="Times New Roman" w:cs="Calibri"/>
                <w:b/>
                <w:bCs/>
                <w:color w:val="000000"/>
              </w:rPr>
              <w:t>Office</w:t>
            </w:r>
          </w:p>
        </w:tc>
        <w:tc>
          <w:tcPr>
            <w:tcW w:w="0" w:type="auto"/>
            <w:noWrap/>
            <w:vAlign w:val="center"/>
            <w:hideMark/>
          </w:tcPr>
          <w:p w14:paraId="4F2DC159"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11-21</w:t>
            </w:r>
          </w:p>
        </w:tc>
        <w:tc>
          <w:tcPr>
            <w:tcW w:w="0" w:type="auto"/>
            <w:noWrap/>
            <w:vAlign w:val="center"/>
            <w:hideMark/>
          </w:tcPr>
          <w:p w14:paraId="295F44A2"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29,029</w:t>
            </w:r>
          </w:p>
        </w:tc>
        <w:tc>
          <w:tcPr>
            <w:tcW w:w="0" w:type="auto"/>
            <w:noWrap/>
            <w:vAlign w:val="center"/>
            <w:hideMark/>
          </w:tcPr>
          <w:p w14:paraId="46D8B166"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28,761</w:t>
            </w:r>
          </w:p>
        </w:tc>
        <w:tc>
          <w:tcPr>
            <w:tcW w:w="0" w:type="auto"/>
            <w:noWrap/>
            <w:vAlign w:val="center"/>
            <w:hideMark/>
          </w:tcPr>
          <w:p w14:paraId="021A78E4"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13,951</w:t>
            </w:r>
          </w:p>
        </w:tc>
        <w:tc>
          <w:tcPr>
            <w:tcW w:w="0" w:type="auto"/>
            <w:noWrap/>
            <w:vAlign w:val="center"/>
            <w:hideMark/>
          </w:tcPr>
          <w:p w14:paraId="4C9C6658" w14:textId="77777777" w:rsidR="00644C0B" w:rsidRPr="001F04C2" w:rsidRDefault="00644C0B" w:rsidP="00644C0B">
            <w:pPr>
              <w:widowControl/>
              <w:autoSpaceDE/>
              <w:autoSpaceDN/>
              <w:jc w:val="center"/>
              <w:rPr>
                <w:rFonts w:eastAsia="Times New Roman" w:cs="Calibri"/>
                <w:color w:val="000000"/>
              </w:rPr>
            </w:pPr>
            <w:r w:rsidRPr="001F04C2">
              <w:rPr>
                <w:rFonts w:eastAsia="Times New Roman" w:cs="Calibri"/>
                <w:color w:val="000000"/>
              </w:rPr>
              <w:t>13,945</w:t>
            </w:r>
          </w:p>
        </w:tc>
      </w:tr>
      <w:tr w:rsidR="00644C0B" w:rsidRPr="001F04C2" w14:paraId="2730B637" w14:textId="77777777" w:rsidTr="00D84926">
        <w:trPr>
          <w:cantSplit/>
          <w:trHeight w:val="320"/>
        </w:trPr>
        <w:tc>
          <w:tcPr>
            <w:tcW w:w="0" w:type="auto"/>
            <w:hideMark/>
          </w:tcPr>
          <w:p w14:paraId="09A10269" w14:textId="3771606A" w:rsidR="00644C0B" w:rsidRPr="001F04C2" w:rsidRDefault="00644C0B" w:rsidP="00644C0B">
            <w:pPr>
              <w:widowControl/>
              <w:autoSpaceDE/>
              <w:autoSpaceDN/>
              <w:rPr>
                <w:rFonts w:eastAsia="Times New Roman" w:cs="Calibri"/>
                <w:b/>
                <w:bCs/>
                <w:color w:val="000000"/>
              </w:rPr>
            </w:pPr>
            <w:r w:rsidRPr="004E4200">
              <w:rPr>
                <w:rFonts w:eastAsia="Times New Roman" w:cs="Calibri"/>
                <w:b/>
                <w:bCs/>
                <w:color w:val="000000"/>
              </w:rPr>
              <w:t>Office</w:t>
            </w:r>
          </w:p>
        </w:tc>
        <w:tc>
          <w:tcPr>
            <w:tcW w:w="0" w:type="auto"/>
            <w:shd w:val="clear" w:color="auto" w:fill="FFFFFF" w:themeFill="background1"/>
            <w:noWrap/>
            <w:vAlign w:val="center"/>
            <w:hideMark/>
          </w:tcPr>
          <w:p w14:paraId="00E6383C" w14:textId="77777777" w:rsidR="00644C0B" w:rsidRPr="00A33C08" w:rsidRDefault="00644C0B" w:rsidP="00644C0B">
            <w:pPr>
              <w:widowControl/>
              <w:autoSpaceDE/>
              <w:autoSpaceDN/>
              <w:jc w:val="center"/>
              <w:rPr>
                <w:rFonts w:eastAsia="Times New Roman" w:cs="Calibri"/>
                <w:b/>
                <w:bCs/>
                <w:color w:val="000000"/>
              </w:rPr>
            </w:pPr>
            <w:r w:rsidRPr="00A33C08">
              <w:rPr>
                <w:rFonts w:eastAsia="Times New Roman" w:cs="Calibri"/>
                <w:b/>
                <w:bCs/>
                <w:color w:val="000000"/>
              </w:rPr>
              <w:t>Total</w:t>
            </w:r>
          </w:p>
        </w:tc>
        <w:tc>
          <w:tcPr>
            <w:tcW w:w="0" w:type="auto"/>
            <w:shd w:val="clear" w:color="auto" w:fill="FFFFFF" w:themeFill="background1"/>
            <w:noWrap/>
            <w:vAlign w:val="center"/>
            <w:hideMark/>
          </w:tcPr>
          <w:p w14:paraId="1B081138"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40,698</w:t>
            </w:r>
          </w:p>
        </w:tc>
        <w:tc>
          <w:tcPr>
            <w:tcW w:w="0" w:type="auto"/>
            <w:shd w:val="clear" w:color="auto" w:fill="FFFFFF" w:themeFill="background1"/>
            <w:noWrap/>
            <w:vAlign w:val="center"/>
            <w:hideMark/>
          </w:tcPr>
          <w:p w14:paraId="1F894665"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40,322</w:t>
            </w:r>
          </w:p>
        </w:tc>
        <w:tc>
          <w:tcPr>
            <w:tcW w:w="0" w:type="auto"/>
            <w:shd w:val="clear" w:color="auto" w:fill="FFFFFF" w:themeFill="background1"/>
            <w:noWrap/>
            <w:vAlign w:val="center"/>
            <w:hideMark/>
          </w:tcPr>
          <w:p w14:paraId="705E66BE"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19,559</w:t>
            </w:r>
          </w:p>
        </w:tc>
        <w:tc>
          <w:tcPr>
            <w:tcW w:w="0" w:type="auto"/>
            <w:shd w:val="clear" w:color="auto" w:fill="FFFFFF" w:themeFill="background1"/>
            <w:noWrap/>
            <w:vAlign w:val="center"/>
            <w:hideMark/>
          </w:tcPr>
          <w:p w14:paraId="70988B9B"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19,551</w:t>
            </w:r>
          </w:p>
        </w:tc>
      </w:tr>
      <w:tr w:rsidR="00644C0B" w:rsidRPr="001F04C2" w14:paraId="7C33D225" w14:textId="77777777" w:rsidTr="00D84926">
        <w:trPr>
          <w:cantSplit/>
          <w:trHeight w:val="320"/>
        </w:trPr>
        <w:tc>
          <w:tcPr>
            <w:tcW w:w="0" w:type="auto"/>
            <w:noWrap/>
            <w:vAlign w:val="center"/>
            <w:hideMark/>
          </w:tcPr>
          <w:p w14:paraId="6B65865B" w14:textId="77777777" w:rsidR="00644C0B" w:rsidRPr="00A33C08" w:rsidRDefault="00644C0B" w:rsidP="00644C0B">
            <w:pPr>
              <w:widowControl/>
              <w:autoSpaceDE/>
              <w:autoSpaceDN/>
              <w:rPr>
                <w:rFonts w:eastAsia="Times New Roman" w:cs="Calibri"/>
                <w:b/>
                <w:bCs/>
                <w:color w:val="000000"/>
              </w:rPr>
            </w:pPr>
            <w:r w:rsidRPr="00A33C08">
              <w:rPr>
                <w:rFonts w:eastAsia="Times New Roman" w:cs="Calibri"/>
                <w:b/>
                <w:bCs/>
                <w:color w:val="000000"/>
              </w:rPr>
              <w:t>Grand Total</w:t>
            </w:r>
          </w:p>
        </w:tc>
        <w:tc>
          <w:tcPr>
            <w:tcW w:w="0" w:type="auto"/>
            <w:vAlign w:val="center"/>
          </w:tcPr>
          <w:p w14:paraId="12CB2E08" w14:textId="2329F8E1" w:rsidR="00644C0B" w:rsidRPr="00A33C08" w:rsidRDefault="00644C0B" w:rsidP="00644C0B">
            <w:pPr>
              <w:widowControl/>
              <w:autoSpaceDE/>
              <w:autoSpaceDN/>
              <w:rPr>
                <w:rFonts w:eastAsia="Times New Roman" w:cs="Calibri"/>
                <w:b/>
                <w:bCs/>
                <w:color w:val="000000"/>
              </w:rPr>
            </w:pPr>
            <w:r>
              <w:rPr>
                <w:rFonts w:eastAsia="Times New Roman" w:cs="Calibri"/>
                <w:b/>
                <w:bCs/>
                <w:color w:val="000000"/>
              </w:rPr>
              <w:t>-</w:t>
            </w:r>
          </w:p>
        </w:tc>
        <w:tc>
          <w:tcPr>
            <w:tcW w:w="0" w:type="auto"/>
            <w:noWrap/>
            <w:vAlign w:val="center"/>
            <w:hideMark/>
          </w:tcPr>
          <w:p w14:paraId="17B1986A"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60,616</w:t>
            </w:r>
          </w:p>
        </w:tc>
        <w:tc>
          <w:tcPr>
            <w:tcW w:w="0" w:type="auto"/>
            <w:noWrap/>
            <w:vAlign w:val="center"/>
            <w:hideMark/>
          </w:tcPr>
          <w:p w14:paraId="1330D421"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60,056</w:t>
            </w:r>
          </w:p>
        </w:tc>
        <w:tc>
          <w:tcPr>
            <w:tcW w:w="0" w:type="auto"/>
            <w:noWrap/>
            <w:vAlign w:val="center"/>
            <w:hideMark/>
          </w:tcPr>
          <w:p w14:paraId="5346C39D"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50,172</w:t>
            </w:r>
          </w:p>
        </w:tc>
        <w:tc>
          <w:tcPr>
            <w:tcW w:w="0" w:type="auto"/>
            <w:noWrap/>
            <w:vAlign w:val="center"/>
            <w:hideMark/>
          </w:tcPr>
          <w:p w14:paraId="5CCB3EC4" w14:textId="77777777" w:rsidR="00644C0B" w:rsidRPr="00214142" w:rsidRDefault="00644C0B" w:rsidP="00644C0B">
            <w:pPr>
              <w:widowControl/>
              <w:autoSpaceDE/>
              <w:autoSpaceDN/>
              <w:jc w:val="center"/>
              <w:rPr>
                <w:rFonts w:eastAsia="Times New Roman" w:cs="Calibri"/>
                <w:b/>
                <w:bCs/>
                <w:color w:val="000000"/>
              </w:rPr>
            </w:pPr>
            <w:r w:rsidRPr="00214142">
              <w:rPr>
                <w:rFonts w:eastAsia="Times New Roman" w:cs="Calibri"/>
                <w:b/>
                <w:bCs/>
                <w:color w:val="000000"/>
              </w:rPr>
              <w:t>50,151</w:t>
            </w:r>
          </w:p>
        </w:tc>
      </w:tr>
    </w:tbl>
    <w:p w14:paraId="6B11D9B0" w14:textId="77777777" w:rsidR="005B47E5" w:rsidRDefault="005B47E5" w:rsidP="005B47E5">
      <w:pPr>
        <w:pStyle w:val="BodyText"/>
      </w:pPr>
    </w:p>
    <w:p w14:paraId="0EF5A815" w14:textId="70F08938" w:rsidR="00FF5DFD" w:rsidRDefault="00FF5DFD" w:rsidP="00FF5DFD">
      <w:pPr>
        <w:pStyle w:val="BodyText"/>
      </w:pPr>
      <w:r>
        <w:t xml:space="preserve">The Applicant plans to partner with Federally Qualified Health Centers (FQHCs) in Massachusetts as well as pediatric and general dentists to ensure that only clinically appropriate High Acuity Dental Surgeries are provided at the Center. The Applicant states that MassHealth members often receive their dental care at FQHCs, </w:t>
      </w:r>
      <w:r w:rsidR="00EC06E3">
        <w:t>which</w:t>
      </w:r>
      <w:r>
        <w:t xml:space="preserve"> serve medically underserved areas and populations. FQHCs offer preventative and restorative dental services, but do not perform dental procedures under General Anesthesia. FQHCs refer these procedures to other providers, and tend to refer patients to dentists who can perform services in HOPDs, where the anesthesia claim is covered. The Applicant has established a partnership with the Massachusetts League of Community Health Centers to engage FQHC dental directors and identify </w:t>
      </w:r>
      <w:r w:rsidR="00D72967">
        <w:t xml:space="preserve">FQHC </w:t>
      </w:r>
      <w:r>
        <w:t xml:space="preserve">partners within the Applicant’s PSA, for further outreach upon receipt of required regulatory approvals. </w:t>
      </w:r>
      <w:r w:rsidR="009A21D8">
        <w:t xml:space="preserve">The Applicant plans to work with the Massachusetts League of Community Health Centers and FQHCs </w:t>
      </w:r>
      <w:r w:rsidR="007462F8">
        <w:t xml:space="preserve">to address needs for preventative oral health services and reduce barriers to accessing the Applicant’s services. </w:t>
      </w:r>
      <w:r w:rsidR="00767444">
        <w:t xml:space="preserve">The Applicant will explore similar opportunities within the special healthcare needs community </w:t>
      </w:r>
      <w:r w:rsidR="00610C39">
        <w:t xml:space="preserve">after completion of the DoN regulatory process. </w:t>
      </w:r>
      <w:r w:rsidR="006D5F3D" w:rsidRPr="006D5F3D">
        <w:t>The Applicant expressed interest in pursuing opportunities to work with MassHealth, local boards of health within its PSA, and other health equity focused organizations to promote access.</w:t>
      </w:r>
    </w:p>
    <w:p w14:paraId="013DE022" w14:textId="77777777" w:rsidR="00FF5DFD" w:rsidRDefault="00FF5DFD" w:rsidP="00FF5DFD">
      <w:pPr>
        <w:pStyle w:val="BodyText"/>
      </w:pPr>
    </w:p>
    <w:p w14:paraId="3AD51F7B" w14:textId="56CD225A" w:rsidR="005D1DD1" w:rsidRDefault="00FF5DFD" w:rsidP="00FF5DFD">
      <w:pPr>
        <w:pStyle w:val="BodyText"/>
      </w:pPr>
      <w:r w:rsidRPr="1D93BCA9">
        <w:rPr>
          <w:rFonts w:cs="Calibri"/>
        </w:rPr>
        <w:t xml:space="preserve">The Applicant states that its intended scope of partnership with FQHCs includes the following: (1) referral pathways whereby FQHC patients requiring specialty dental services can be referred to the Applicant and patients requiring ongoing primary/preventative dental care can be referred back to the FQHCs; (2) </w:t>
      </w:r>
      <w:r w:rsidR="00A317AB">
        <w:rPr>
          <w:rFonts w:cs="Calibri"/>
        </w:rPr>
        <w:t>c</w:t>
      </w:r>
      <w:r w:rsidRPr="1D93BCA9">
        <w:rPr>
          <w:rFonts w:cs="Calibri"/>
        </w:rPr>
        <w:t>are coordination encompassing an open bidirectional communication between the Center and FQHCs to support high quality continuity of care for referred patients and remove barriers to care for MassHealth beneficiaries; and (3) community outreach and education through potential joint participation in oral health education initiatives or community events serving the FQHC population.</w:t>
      </w:r>
    </w:p>
    <w:p w14:paraId="5F2CD97E" w14:textId="77777777" w:rsidR="00FF5DFD" w:rsidRDefault="00FF5DFD" w:rsidP="00FF5DFD">
      <w:pPr>
        <w:pStyle w:val="BodyText"/>
      </w:pPr>
    </w:p>
    <w:p w14:paraId="6E0E6E0B" w14:textId="77777777" w:rsidR="00387A97" w:rsidRDefault="00387A97" w:rsidP="00387A97">
      <w:pPr>
        <w:pStyle w:val="BodyText"/>
      </w:pPr>
      <w:r>
        <w:t xml:space="preserve">The Applicant cited several reasons for not partnering with a Massachusetts-based facility on the Proposed Project: (1) limited OR capacity in hospitals and long wait times for booking cases; (2) an ASC is a more appropriate and lower cost setting for these surgeries than an HOPD because patient age and/or disabilities create anxiety and General Anesthesia is necessary; and (3) because there is a limited number of dentists who participate in MassHealth and provide these services, making HOPDs the only access point for High Acuity Dental Surgeries. The Applicant states that its ASC model, which will be implemented through the Proposed Project, is a resource for underserved patients currently referred from dental offices and FQHCs for more specialized treatment because </w:t>
      </w:r>
      <w:r>
        <w:lastRenderedPageBreak/>
        <w:t xml:space="preserve">community dental settings are not able to provide these services for a number of reasons including the provider doesn’t offer High Acuity Dental Surgeries, the patient requires a higher level of care because of their acuity or behavioral needs, MassHealth not covering the anesthesia in a dental office, or the provider doesn’t accept MassHealth. </w:t>
      </w:r>
    </w:p>
    <w:p w14:paraId="0C81E3D7" w14:textId="77777777" w:rsidR="00387A97" w:rsidRDefault="00387A97" w:rsidP="00FF5DFD">
      <w:pPr>
        <w:pStyle w:val="BodyText"/>
      </w:pPr>
    </w:p>
    <w:p w14:paraId="1DB192D8" w14:textId="246EDC18" w:rsidR="00207927" w:rsidRDefault="00207927" w:rsidP="00207927">
      <w:pPr>
        <w:pStyle w:val="BodyText"/>
      </w:pPr>
      <w:r>
        <w:t>The Applicant states that the Proposed Project aligns with MassHealth’s goals as articulated in the 2023 MassHealth RFR for a Dental Third Party Administrator (TPA), which include ensuring member satisfaction by increasing and strengthening the network or active dental providers, including both general dentists and specialists, ensuring community-based access to decrease non-traumatic ED utilization for oral health services, and decreasing racial disparities in oral health outcomes for MassHealth members.</w:t>
      </w:r>
      <w:r>
        <w:rPr>
          <w:rStyle w:val="EndnoteReference"/>
        </w:rPr>
        <w:endnoteReference w:id="15"/>
      </w:r>
      <w:r>
        <w:t xml:space="preserve"> In addition to ensuring members receive cost-effective, quality care by improving patient outcomes and ensuring appropriate care (not just additive services).</w:t>
      </w:r>
      <w:r>
        <w:rPr>
          <w:rStyle w:val="FootnoteReference"/>
        </w:rPr>
        <w:footnoteReference w:id="25"/>
      </w:r>
      <w:r>
        <w:t xml:space="preserve"> </w:t>
      </w:r>
    </w:p>
    <w:p w14:paraId="2ECC2FC0" w14:textId="77777777" w:rsidR="00F0727A" w:rsidRPr="00BF3352" w:rsidRDefault="00F0727A" w:rsidP="005B47E5">
      <w:pPr>
        <w:pStyle w:val="BodyText"/>
      </w:pPr>
    </w:p>
    <w:p w14:paraId="371AD407" w14:textId="38BEF67E" w:rsidR="00371A84" w:rsidRPr="00371A84" w:rsidRDefault="00371A84" w:rsidP="009465A6">
      <w:pPr>
        <w:pStyle w:val="BodyText"/>
        <w:numPr>
          <w:ilvl w:val="0"/>
          <w:numId w:val="23"/>
        </w:numPr>
        <w:rPr>
          <w:i/>
          <w:iCs/>
        </w:rPr>
      </w:pPr>
      <w:r w:rsidRPr="00371A84">
        <w:rPr>
          <w:i/>
          <w:iCs/>
        </w:rPr>
        <w:t xml:space="preserve">Projected Utilization </w:t>
      </w:r>
    </w:p>
    <w:p w14:paraId="717BAB42" w14:textId="77777777" w:rsidR="000A1E83" w:rsidRPr="00E57BCA" w:rsidRDefault="000A1E83" w:rsidP="009465A6">
      <w:pPr>
        <w:pStyle w:val="BodyText"/>
        <w:spacing w:line="269" w:lineRule="exact"/>
        <w:rPr>
          <w:rFonts w:asciiTheme="minorHAnsi" w:hAnsiTheme="minorHAnsi"/>
        </w:rPr>
      </w:pPr>
      <w:r w:rsidRPr="291E7472">
        <w:rPr>
          <w:rFonts w:asciiTheme="minorHAnsi" w:hAnsiTheme="minorHAnsi"/>
        </w:rPr>
        <w:t>Northeast currently has two ORs and one treatment room.</w:t>
      </w:r>
      <w:r w:rsidRPr="291E7472">
        <w:rPr>
          <w:rStyle w:val="FootnoteReference"/>
          <w:rFonts w:asciiTheme="minorHAnsi" w:hAnsiTheme="minorHAnsi"/>
        </w:rPr>
        <w:footnoteReference w:id="26"/>
      </w:r>
      <w:r w:rsidRPr="291E7472">
        <w:rPr>
          <w:rFonts w:asciiTheme="minorHAnsi" w:hAnsiTheme="minorHAnsi"/>
        </w:rPr>
        <w:t xml:space="preserve"> The Applicant plans to use the ORs rather than the treatment room because the treatment room cannot be equipped for the High Acuity Dental Surgeries. The Applicant will acquire the ASC from the retiring physician owner who is looking for a buyer. The Applicant is acquiring the ASC because it is in the greater Boston area inside the Route 128/I-95 belt while still being accessible to North Shore residents. The Applicant determined through market research and metrics from other ASCs, that there was sufficient need to maximize utilization of the two operating rooms within the first five years of operation. The Applicant’s assessment was further reinforced by the need analysis the Applicant conducted with the Applicant’s Consultant, Chartis. </w:t>
      </w:r>
    </w:p>
    <w:p w14:paraId="54816C01" w14:textId="77777777" w:rsidR="000A1E83" w:rsidRDefault="000A1E83" w:rsidP="005B47E5">
      <w:pPr>
        <w:pStyle w:val="BodyText"/>
      </w:pPr>
    </w:p>
    <w:p w14:paraId="4FD08488" w14:textId="27735EA5" w:rsidR="005B47E5" w:rsidRDefault="005B47E5" w:rsidP="005B47E5">
      <w:pPr>
        <w:pStyle w:val="BodyText"/>
      </w:pPr>
      <w:r>
        <w:t xml:space="preserve">The Applicant projected the volume of the Center using internal data, and through examination of the </w:t>
      </w:r>
      <w:r w:rsidR="00966827">
        <w:t>Applicant’s</w:t>
      </w:r>
      <w:r>
        <w:t xml:space="preserve"> other start-up ASCs in similar metropolitan areas, where the Applicant was the first ASC to offer High Acuity Dental Services. This is shown in Table </w:t>
      </w:r>
      <w:r w:rsidR="0093104F">
        <w:t>12</w:t>
      </w:r>
      <w:r>
        <w:t xml:space="preserve">. </w:t>
      </w:r>
      <w:r w:rsidR="00F25239">
        <w:t xml:space="preserve">The Applicant anticipates that </w:t>
      </w:r>
      <w:r w:rsidR="00556393">
        <w:t>the</w:t>
      </w:r>
      <w:r w:rsidR="005615CB">
        <w:t xml:space="preserve"> </w:t>
      </w:r>
      <w:r w:rsidR="00556393">
        <w:t>Center’s</w:t>
      </w:r>
      <w:r w:rsidR="005615CB">
        <w:t xml:space="preserve"> hours of operation to be 6:30am to 4:00pm, Monday through Friday. </w:t>
      </w:r>
      <w:r w:rsidR="000A520D">
        <w:t xml:space="preserve">The Applicant has experienced challenges staffing its existing ASCs outside of normal business hours, but the Applicant </w:t>
      </w:r>
      <w:r w:rsidR="00767E39">
        <w:t>i</w:t>
      </w:r>
      <w:r w:rsidR="000A520D">
        <w:t xml:space="preserve">s exploring ways to extend the hours of the </w:t>
      </w:r>
      <w:r w:rsidR="00C1204B">
        <w:t>Center</w:t>
      </w:r>
      <w:r w:rsidR="000A520D">
        <w:t xml:space="preserve"> into the evening or weekends based on volume and staffing. </w:t>
      </w:r>
      <w:r w:rsidR="004466BA">
        <w:t xml:space="preserve">The projections define Year 1 as beginning on the first month the center can treat patients. Year 1 is projected to begin in 2027. </w:t>
      </w:r>
      <w:r w:rsidR="007D6686">
        <w:t xml:space="preserve">The Applicant expects to be at full capacity by Year 5. </w:t>
      </w:r>
    </w:p>
    <w:p w14:paraId="0D79456D" w14:textId="77777777" w:rsidR="005B47E5" w:rsidRDefault="005B47E5" w:rsidP="005B47E5">
      <w:pPr>
        <w:pStyle w:val="BodyText"/>
      </w:pPr>
    </w:p>
    <w:p w14:paraId="00692F48" w14:textId="5389E03C" w:rsidR="005B47E5" w:rsidRPr="001A45C8" w:rsidRDefault="005B47E5" w:rsidP="005B47E5">
      <w:pPr>
        <w:pStyle w:val="BodyText"/>
        <w:rPr>
          <w:b/>
          <w:bCs/>
        </w:rPr>
      </w:pPr>
      <w:r w:rsidRPr="001A45C8">
        <w:rPr>
          <w:b/>
          <w:bCs/>
        </w:rPr>
        <w:t xml:space="preserve">Table </w:t>
      </w:r>
      <w:r w:rsidR="0093104F" w:rsidRPr="001A45C8">
        <w:rPr>
          <w:b/>
          <w:bCs/>
        </w:rPr>
        <w:t>12</w:t>
      </w:r>
      <w:r w:rsidRPr="001A45C8">
        <w:rPr>
          <w:b/>
          <w:bCs/>
        </w:rPr>
        <w:t>: Projected Utilization at the Center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rojected Utilization at the Center"/>
      </w:tblPr>
      <w:tblGrid>
        <w:gridCol w:w="2947"/>
        <w:gridCol w:w="842"/>
        <w:gridCol w:w="842"/>
        <w:gridCol w:w="842"/>
        <w:gridCol w:w="842"/>
        <w:gridCol w:w="842"/>
      </w:tblGrid>
      <w:tr w:rsidR="005B47E5" w:rsidRPr="006E0775" w14:paraId="4AA39825" w14:textId="77777777" w:rsidTr="00D84926">
        <w:trPr>
          <w:cantSplit/>
          <w:trHeight w:val="320"/>
          <w:tblHeader/>
        </w:trPr>
        <w:tc>
          <w:tcPr>
            <w:tcW w:w="0" w:type="auto"/>
            <w:noWrap/>
            <w:vAlign w:val="bottom"/>
            <w:hideMark/>
          </w:tcPr>
          <w:p w14:paraId="5E4797F9" w14:textId="3D26DE1D" w:rsidR="005B47E5" w:rsidRPr="006E0775" w:rsidRDefault="005B47E5">
            <w:pPr>
              <w:widowControl/>
              <w:autoSpaceDE/>
              <w:autoSpaceDN/>
              <w:rPr>
                <w:rFonts w:ascii="Times New Roman" w:eastAsia="Times New Roman" w:hAnsi="Times New Roman" w:cs="Times New Roman"/>
                <w:color w:val="000000"/>
              </w:rPr>
            </w:pPr>
            <w:r w:rsidRPr="006E0775">
              <w:rPr>
                <w:rFonts w:ascii="Times New Roman" w:eastAsia="Times New Roman" w:hAnsi="Times New Roman" w:cs="Times New Roman"/>
                <w:color w:val="000000"/>
              </w:rPr>
              <w:t> </w:t>
            </w:r>
            <w:r w:rsidR="001A45C8">
              <w:rPr>
                <w:rFonts w:ascii="Times New Roman" w:eastAsia="Times New Roman" w:hAnsi="Times New Roman" w:cs="Times New Roman"/>
                <w:color w:val="000000"/>
              </w:rPr>
              <w:t>-</w:t>
            </w:r>
          </w:p>
        </w:tc>
        <w:tc>
          <w:tcPr>
            <w:tcW w:w="0" w:type="auto"/>
            <w:shd w:val="clear" w:color="auto" w:fill="DBE5F1" w:themeFill="accent1" w:themeFillTint="33"/>
            <w:noWrap/>
            <w:vAlign w:val="center"/>
            <w:hideMark/>
          </w:tcPr>
          <w:p w14:paraId="7B9E1BD9" w14:textId="77777777" w:rsidR="005B47E5" w:rsidRPr="00131C1E" w:rsidRDefault="005B47E5">
            <w:pPr>
              <w:widowControl/>
              <w:autoSpaceDE/>
              <w:autoSpaceDN/>
              <w:jc w:val="center"/>
              <w:rPr>
                <w:rFonts w:eastAsia="Times New Roman" w:cs="Calibri"/>
                <w:b/>
                <w:bCs/>
                <w:color w:val="000000"/>
              </w:rPr>
            </w:pPr>
            <w:r w:rsidRPr="00131C1E">
              <w:rPr>
                <w:rFonts w:eastAsia="Times New Roman" w:cs="Calibri"/>
                <w:b/>
                <w:bCs/>
                <w:color w:val="000000"/>
              </w:rPr>
              <w:t>Year 1</w:t>
            </w:r>
          </w:p>
        </w:tc>
        <w:tc>
          <w:tcPr>
            <w:tcW w:w="0" w:type="auto"/>
            <w:shd w:val="clear" w:color="auto" w:fill="DBE5F1" w:themeFill="accent1" w:themeFillTint="33"/>
            <w:noWrap/>
            <w:vAlign w:val="center"/>
            <w:hideMark/>
          </w:tcPr>
          <w:p w14:paraId="7B9F4DBD" w14:textId="77777777" w:rsidR="005B47E5" w:rsidRPr="00131C1E" w:rsidRDefault="005B47E5">
            <w:pPr>
              <w:widowControl/>
              <w:autoSpaceDE/>
              <w:autoSpaceDN/>
              <w:jc w:val="center"/>
              <w:rPr>
                <w:rFonts w:eastAsia="Times New Roman" w:cs="Calibri"/>
                <w:b/>
                <w:bCs/>
                <w:color w:val="000000"/>
              </w:rPr>
            </w:pPr>
            <w:r w:rsidRPr="00131C1E">
              <w:rPr>
                <w:rFonts w:eastAsia="Times New Roman" w:cs="Calibri"/>
                <w:b/>
                <w:bCs/>
                <w:color w:val="000000"/>
              </w:rPr>
              <w:t>Year 2</w:t>
            </w:r>
          </w:p>
        </w:tc>
        <w:tc>
          <w:tcPr>
            <w:tcW w:w="0" w:type="auto"/>
            <w:shd w:val="clear" w:color="auto" w:fill="DBE5F1" w:themeFill="accent1" w:themeFillTint="33"/>
            <w:noWrap/>
            <w:vAlign w:val="center"/>
            <w:hideMark/>
          </w:tcPr>
          <w:p w14:paraId="297639E2" w14:textId="77777777" w:rsidR="005B47E5" w:rsidRPr="00131C1E" w:rsidRDefault="005B47E5">
            <w:pPr>
              <w:widowControl/>
              <w:autoSpaceDE/>
              <w:autoSpaceDN/>
              <w:jc w:val="center"/>
              <w:rPr>
                <w:rFonts w:eastAsia="Times New Roman" w:cs="Calibri"/>
                <w:b/>
                <w:bCs/>
                <w:color w:val="000000"/>
              </w:rPr>
            </w:pPr>
            <w:r w:rsidRPr="00131C1E">
              <w:rPr>
                <w:rFonts w:eastAsia="Times New Roman" w:cs="Calibri"/>
                <w:b/>
                <w:bCs/>
                <w:color w:val="000000"/>
              </w:rPr>
              <w:t>Year 3</w:t>
            </w:r>
          </w:p>
        </w:tc>
        <w:tc>
          <w:tcPr>
            <w:tcW w:w="0" w:type="auto"/>
            <w:shd w:val="clear" w:color="auto" w:fill="DBE5F1" w:themeFill="accent1" w:themeFillTint="33"/>
            <w:noWrap/>
            <w:vAlign w:val="center"/>
            <w:hideMark/>
          </w:tcPr>
          <w:p w14:paraId="37974E12" w14:textId="77777777" w:rsidR="005B47E5" w:rsidRPr="00131C1E" w:rsidRDefault="005B47E5">
            <w:pPr>
              <w:widowControl/>
              <w:autoSpaceDE/>
              <w:autoSpaceDN/>
              <w:jc w:val="center"/>
              <w:rPr>
                <w:rFonts w:eastAsia="Times New Roman" w:cs="Calibri"/>
                <w:b/>
                <w:bCs/>
                <w:color w:val="000000"/>
              </w:rPr>
            </w:pPr>
            <w:r w:rsidRPr="00131C1E">
              <w:rPr>
                <w:rFonts w:eastAsia="Times New Roman" w:cs="Calibri"/>
                <w:b/>
                <w:bCs/>
                <w:color w:val="000000"/>
              </w:rPr>
              <w:t>Year 4</w:t>
            </w:r>
          </w:p>
        </w:tc>
        <w:tc>
          <w:tcPr>
            <w:tcW w:w="0" w:type="auto"/>
            <w:shd w:val="clear" w:color="auto" w:fill="DBE5F1" w:themeFill="accent1" w:themeFillTint="33"/>
            <w:noWrap/>
            <w:vAlign w:val="center"/>
            <w:hideMark/>
          </w:tcPr>
          <w:p w14:paraId="429AE081" w14:textId="77777777" w:rsidR="005B47E5" w:rsidRPr="00131C1E" w:rsidRDefault="005B47E5">
            <w:pPr>
              <w:widowControl/>
              <w:autoSpaceDE/>
              <w:autoSpaceDN/>
              <w:jc w:val="center"/>
              <w:rPr>
                <w:rFonts w:eastAsia="Times New Roman" w:cs="Calibri"/>
                <w:b/>
                <w:bCs/>
                <w:color w:val="000000"/>
              </w:rPr>
            </w:pPr>
            <w:r w:rsidRPr="00131C1E">
              <w:rPr>
                <w:rFonts w:eastAsia="Times New Roman" w:cs="Calibri"/>
                <w:b/>
                <w:bCs/>
                <w:color w:val="000000"/>
              </w:rPr>
              <w:t>Year 5</w:t>
            </w:r>
          </w:p>
        </w:tc>
      </w:tr>
      <w:tr w:rsidR="005B47E5" w:rsidRPr="006E0775" w14:paraId="0E03C9B6" w14:textId="77777777" w:rsidTr="00D84926">
        <w:trPr>
          <w:cantSplit/>
          <w:trHeight w:val="320"/>
        </w:trPr>
        <w:tc>
          <w:tcPr>
            <w:tcW w:w="0" w:type="auto"/>
            <w:noWrap/>
            <w:vAlign w:val="center"/>
            <w:hideMark/>
          </w:tcPr>
          <w:p w14:paraId="011090C6" w14:textId="77777777" w:rsidR="005B47E5" w:rsidRPr="00026E61" w:rsidRDefault="005B47E5">
            <w:pPr>
              <w:widowControl/>
              <w:autoSpaceDE/>
              <w:autoSpaceDN/>
              <w:rPr>
                <w:rFonts w:eastAsia="Times New Roman" w:cs="Calibri"/>
                <w:color w:val="000000"/>
              </w:rPr>
            </w:pPr>
            <w:r w:rsidRPr="00026E61">
              <w:rPr>
                <w:rFonts w:eastAsia="Times New Roman" w:cs="Calibri"/>
                <w:color w:val="000000"/>
              </w:rPr>
              <w:t>Total OR Days</w:t>
            </w:r>
          </w:p>
        </w:tc>
        <w:tc>
          <w:tcPr>
            <w:tcW w:w="0" w:type="auto"/>
            <w:noWrap/>
            <w:vAlign w:val="center"/>
            <w:hideMark/>
          </w:tcPr>
          <w:p w14:paraId="738E9A6C"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108</w:t>
            </w:r>
          </w:p>
        </w:tc>
        <w:tc>
          <w:tcPr>
            <w:tcW w:w="0" w:type="auto"/>
            <w:noWrap/>
            <w:vAlign w:val="center"/>
            <w:hideMark/>
          </w:tcPr>
          <w:p w14:paraId="40C71EAA"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325</w:t>
            </w:r>
          </w:p>
        </w:tc>
        <w:tc>
          <w:tcPr>
            <w:tcW w:w="0" w:type="auto"/>
            <w:noWrap/>
            <w:vAlign w:val="center"/>
            <w:hideMark/>
          </w:tcPr>
          <w:p w14:paraId="31F047AF"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414</w:t>
            </w:r>
          </w:p>
        </w:tc>
        <w:tc>
          <w:tcPr>
            <w:tcW w:w="0" w:type="auto"/>
            <w:noWrap/>
            <w:vAlign w:val="center"/>
            <w:hideMark/>
          </w:tcPr>
          <w:p w14:paraId="69FADBF0"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449</w:t>
            </w:r>
          </w:p>
        </w:tc>
        <w:tc>
          <w:tcPr>
            <w:tcW w:w="0" w:type="auto"/>
            <w:noWrap/>
            <w:vAlign w:val="center"/>
            <w:hideMark/>
          </w:tcPr>
          <w:p w14:paraId="57D47E72"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486</w:t>
            </w:r>
          </w:p>
        </w:tc>
      </w:tr>
      <w:tr w:rsidR="005B47E5" w:rsidRPr="006E0775" w14:paraId="3A648E49" w14:textId="77777777" w:rsidTr="00D84926">
        <w:trPr>
          <w:cantSplit/>
          <w:trHeight w:val="320"/>
        </w:trPr>
        <w:tc>
          <w:tcPr>
            <w:tcW w:w="0" w:type="auto"/>
            <w:noWrap/>
            <w:vAlign w:val="center"/>
            <w:hideMark/>
          </w:tcPr>
          <w:p w14:paraId="425E0CFB" w14:textId="77777777" w:rsidR="005B47E5" w:rsidRPr="00026E61" w:rsidRDefault="005B47E5">
            <w:pPr>
              <w:widowControl/>
              <w:autoSpaceDE/>
              <w:autoSpaceDN/>
              <w:rPr>
                <w:rFonts w:eastAsia="Times New Roman" w:cs="Calibri"/>
                <w:color w:val="000000"/>
              </w:rPr>
            </w:pPr>
            <w:r w:rsidRPr="00026E61">
              <w:rPr>
                <w:rFonts w:eastAsia="Times New Roman" w:cs="Calibri"/>
                <w:color w:val="000000"/>
              </w:rPr>
              <w:t>OR Utilization</w:t>
            </w:r>
          </w:p>
        </w:tc>
        <w:tc>
          <w:tcPr>
            <w:tcW w:w="0" w:type="auto"/>
            <w:noWrap/>
            <w:vAlign w:val="center"/>
            <w:hideMark/>
          </w:tcPr>
          <w:p w14:paraId="2D24C610"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21%</w:t>
            </w:r>
          </w:p>
        </w:tc>
        <w:tc>
          <w:tcPr>
            <w:tcW w:w="0" w:type="auto"/>
            <w:noWrap/>
            <w:vAlign w:val="center"/>
            <w:hideMark/>
          </w:tcPr>
          <w:p w14:paraId="76CF1539"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64%</w:t>
            </w:r>
          </w:p>
        </w:tc>
        <w:tc>
          <w:tcPr>
            <w:tcW w:w="0" w:type="auto"/>
            <w:noWrap/>
            <w:vAlign w:val="center"/>
            <w:hideMark/>
          </w:tcPr>
          <w:p w14:paraId="016E1B81"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82%</w:t>
            </w:r>
          </w:p>
        </w:tc>
        <w:tc>
          <w:tcPr>
            <w:tcW w:w="0" w:type="auto"/>
            <w:noWrap/>
            <w:vAlign w:val="center"/>
            <w:hideMark/>
          </w:tcPr>
          <w:p w14:paraId="7821D7A3"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89%</w:t>
            </w:r>
          </w:p>
        </w:tc>
        <w:tc>
          <w:tcPr>
            <w:tcW w:w="0" w:type="auto"/>
            <w:noWrap/>
            <w:vAlign w:val="center"/>
            <w:hideMark/>
          </w:tcPr>
          <w:p w14:paraId="455A75C3"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96%</w:t>
            </w:r>
          </w:p>
        </w:tc>
      </w:tr>
      <w:tr w:rsidR="005B47E5" w:rsidRPr="006E0775" w14:paraId="6220BC2F" w14:textId="77777777" w:rsidTr="00D84926">
        <w:trPr>
          <w:cantSplit/>
          <w:trHeight w:val="320"/>
        </w:trPr>
        <w:tc>
          <w:tcPr>
            <w:tcW w:w="0" w:type="auto"/>
            <w:noWrap/>
            <w:vAlign w:val="center"/>
            <w:hideMark/>
          </w:tcPr>
          <w:p w14:paraId="3EB35532" w14:textId="77777777" w:rsidR="005B47E5" w:rsidRPr="006E0775" w:rsidRDefault="005B47E5">
            <w:pPr>
              <w:widowControl/>
              <w:autoSpaceDE/>
              <w:autoSpaceDN/>
              <w:rPr>
                <w:rFonts w:eastAsia="Times New Roman" w:cs="Calibri"/>
                <w:color w:val="000000"/>
              </w:rPr>
            </w:pPr>
            <w:r w:rsidRPr="006E0775">
              <w:rPr>
                <w:rFonts w:eastAsia="Times New Roman" w:cs="Calibri"/>
                <w:color w:val="000000"/>
              </w:rPr>
              <w:t>Pediatric Dental Cases</w:t>
            </w:r>
          </w:p>
        </w:tc>
        <w:tc>
          <w:tcPr>
            <w:tcW w:w="0" w:type="auto"/>
            <w:noWrap/>
            <w:vAlign w:val="center"/>
            <w:hideMark/>
          </w:tcPr>
          <w:p w14:paraId="00D82E5E"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650</w:t>
            </w:r>
          </w:p>
        </w:tc>
        <w:tc>
          <w:tcPr>
            <w:tcW w:w="0" w:type="auto"/>
            <w:noWrap/>
            <w:vAlign w:val="center"/>
            <w:hideMark/>
          </w:tcPr>
          <w:p w14:paraId="00777F67"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1</w:t>
            </w:r>
            <w:r>
              <w:rPr>
                <w:rFonts w:eastAsia="Times New Roman" w:cs="Calibri"/>
                <w:color w:val="000000"/>
              </w:rPr>
              <w:t>,</w:t>
            </w:r>
            <w:r w:rsidRPr="006E0775">
              <w:rPr>
                <w:rFonts w:eastAsia="Times New Roman" w:cs="Calibri"/>
                <w:color w:val="000000"/>
              </w:rPr>
              <w:t>926</w:t>
            </w:r>
          </w:p>
        </w:tc>
        <w:tc>
          <w:tcPr>
            <w:tcW w:w="0" w:type="auto"/>
            <w:noWrap/>
            <w:vAlign w:val="center"/>
            <w:hideMark/>
          </w:tcPr>
          <w:p w14:paraId="035F4F31"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2</w:t>
            </w:r>
            <w:r>
              <w:rPr>
                <w:rFonts w:eastAsia="Times New Roman" w:cs="Calibri"/>
                <w:color w:val="000000"/>
              </w:rPr>
              <w:t>,</w:t>
            </w:r>
            <w:r w:rsidRPr="006E0775">
              <w:rPr>
                <w:rFonts w:eastAsia="Times New Roman" w:cs="Calibri"/>
                <w:color w:val="000000"/>
              </w:rPr>
              <w:t>454</w:t>
            </w:r>
          </w:p>
        </w:tc>
        <w:tc>
          <w:tcPr>
            <w:tcW w:w="0" w:type="auto"/>
            <w:noWrap/>
            <w:vAlign w:val="center"/>
            <w:hideMark/>
          </w:tcPr>
          <w:p w14:paraId="7A6DAF53"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2</w:t>
            </w:r>
            <w:r>
              <w:rPr>
                <w:rFonts w:eastAsia="Times New Roman" w:cs="Calibri"/>
                <w:color w:val="000000"/>
              </w:rPr>
              <w:t>,</w:t>
            </w:r>
            <w:r w:rsidRPr="006E0775">
              <w:rPr>
                <w:rFonts w:eastAsia="Times New Roman" w:cs="Calibri"/>
                <w:color w:val="000000"/>
              </w:rPr>
              <w:t>646</w:t>
            </w:r>
          </w:p>
        </w:tc>
        <w:tc>
          <w:tcPr>
            <w:tcW w:w="0" w:type="auto"/>
            <w:noWrap/>
            <w:vAlign w:val="center"/>
            <w:hideMark/>
          </w:tcPr>
          <w:p w14:paraId="5CEBEE45"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2</w:t>
            </w:r>
            <w:r>
              <w:rPr>
                <w:rFonts w:eastAsia="Times New Roman" w:cs="Calibri"/>
                <w:color w:val="000000"/>
              </w:rPr>
              <w:t>,</w:t>
            </w:r>
            <w:r w:rsidRPr="006E0775">
              <w:rPr>
                <w:rFonts w:eastAsia="Times New Roman" w:cs="Calibri"/>
                <w:color w:val="000000"/>
              </w:rPr>
              <w:t>862</w:t>
            </w:r>
          </w:p>
        </w:tc>
      </w:tr>
      <w:tr w:rsidR="005B47E5" w:rsidRPr="006E0775" w14:paraId="5B834C99" w14:textId="77777777" w:rsidTr="00D84926">
        <w:trPr>
          <w:cantSplit/>
          <w:trHeight w:val="320"/>
        </w:trPr>
        <w:tc>
          <w:tcPr>
            <w:tcW w:w="0" w:type="auto"/>
            <w:noWrap/>
            <w:vAlign w:val="center"/>
            <w:hideMark/>
          </w:tcPr>
          <w:p w14:paraId="1CE03F3A" w14:textId="77777777" w:rsidR="005B47E5" w:rsidRPr="006E0775" w:rsidRDefault="005B47E5">
            <w:pPr>
              <w:widowControl/>
              <w:autoSpaceDE/>
              <w:autoSpaceDN/>
              <w:rPr>
                <w:rFonts w:eastAsia="Times New Roman" w:cs="Calibri"/>
                <w:color w:val="000000"/>
              </w:rPr>
            </w:pPr>
            <w:r w:rsidRPr="006E0775">
              <w:rPr>
                <w:rFonts w:eastAsia="Times New Roman" w:cs="Calibri"/>
                <w:color w:val="000000"/>
              </w:rPr>
              <w:t>Pediatric Oral Surgery Cases</w:t>
            </w:r>
          </w:p>
        </w:tc>
        <w:tc>
          <w:tcPr>
            <w:tcW w:w="0" w:type="auto"/>
            <w:noWrap/>
            <w:vAlign w:val="center"/>
            <w:hideMark/>
          </w:tcPr>
          <w:p w14:paraId="61E659FA"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168</w:t>
            </w:r>
          </w:p>
        </w:tc>
        <w:tc>
          <w:tcPr>
            <w:tcW w:w="0" w:type="auto"/>
            <w:noWrap/>
            <w:vAlign w:val="center"/>
            <w:hideMark/>
          </w:tcPr>
          <w:p w14:paraId="5D16B7B7"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552</w:t>
            </w:r>
          </w:p>
        </w:tc>
        <w:tc>
          <w:tcPr>
            <w:tcW w:w="0" w:type="auto"/>
            <w:noWrap/>
            <w:vAlign w:val="center"/>
            <w:hideMark/>
          </w:tcPr>
          <w:p w14:paraId="4B92D6E6"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706</w:t>
            </w:r>
          </w:p>
        </w:tc>
        <w:tc>
          <w:tcPr>
            <w:tcW w:w="0" w:type="auto"/>
            <w:noWrap/>
            <w:vAlign w:val="center"/>
            <w:hideMark/>
          </w:tcPr>
          <w:p w14:paraId="5B4B1337"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791</w:t>
            </w:r>
          </w:p>
        </w:tc>
        <w:tc>
          <w:tcPr>
            <w:tcW w:w="0" w:type="auto"/>
            <w:noWrap/>
            <w:vAlign w:val="center"/>
            <w:hideMark/>
          </w:tcPr>
          <w:p w14:paraId="6A2D00C4"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851</w:t>
            </w:r>
          </w:p>
        </w:tc>
      </w:tr>
      <w:tr w:rsidR="005B47E5" w:rsidRPr="006E0775" w14:paraId="29C98D3D" w14:textId="77777777" w:rsidTr="00D84926">
        <w:trPr>
          <w:cantSplit/>
          <w:trHeight w:val="320"/>
        </w:trPr>
        <w:tc>
          <w:tcPr>
            <w:tcW w:w="0" w:type="auto"/>
            <w:noWrap/>
            <w:vAlign w:val="center"/>
            <w:hideMark/>
          </w:tcPr>
          <w:p w14:paraId="571E6AEA" w14:textId="77777777" w:rsidR="005B47E5" w:rsidRPr="006E0775" w:rsidRDefault="005B47E5">
            <w:pPr>
              <w:widowControl/>
              <w:autoSpaceDE/>
              <w:autoSpaceDN/>
              <w:ind w:firstLineChars="100" w:firstLine="241"/>
              <w:rPr>
                <w:rFonts w:eastAsia="Times New Roman" w:cs="Calibri"/>
                <w:b/>
                <w:bCs/>
                <w:color w:val="000000"/>
              </w:rPr>
            </w:pPr>
            <w:r w:rsidRPr="006E0775">
              <w:rPr>
                <w:rFonts w:eastAsia="Times New Roman" w:cs="Calibri"/>
                <w:b/>
                <w:bCs/>
                <w:color w:val="000000"/>
              </w:rPr>
              <w:t>Total Cases</w:t>
            </w:r>
          </w:p>
        </w:tc>
        <w:tc>
          <w:tcPr>
            <w:tcW w:w="0" w:type="auto"/>
            <w:noWrap/>
            <w:vAlign w:val="center"/>
            <w:hideMark/>
          </w:tcPr>
          <w:p w14:paraId="44F86AF9"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818</w:t>
            </w:r>
          </w:p>
        </w:tc>
        <w:tc>
          <w:tcPr>
            <w:tcW w:w="0" w:type="auto"/>
            <w:noWrap/>
            <w:vAlign w:val="center"/>
            <w:hideMark/>
          </w:tcPr>
          <w:p w14:paraId="092CB5BE"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2,478</w:t>
            </w:r>
          </w:p>
        </w:tc>
        <w:tc>
          <w:tcPr>
            <w:tcW w:w="0" w:type="auto"/>
            <w:noWrap/>
            <w:vAlign w:val="center"/>
            <w:hideMark/>
          </w:tcPr>
          <w:p w14:paraId="1344E0FD"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3,160</w:t>
            </w:r>
          </w:p>
        </w:tc>
        <w:tc>
          <w:tcPr>
            <w:tcW w:w="0" w:type="auto"/>
            <w:noWrap/>
            <w:vAlign w:val="center"/>
            <w:hideMark/>
          </w:tcPr>
          <w:p w14:paraId="54780EC5"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3,437</w:t>
            </w:r>
          </w:p>
        </w:tc>
        <w:tc>
          <w:tcPr>
            <w:tcW w:w="0" w:type="auto"/>
            <w:noWrap/>
            <w:vAlign w:val="center"/>
            <w:hideMark/>
          </w:tcPr>
          <w:p w14:paraId="1CDB72A3" w14:textId="77777777" w:rsidR="005B47E5" w:rsidRPr="006E0775" w:rsidRDefault="005B47E5">
            <w:pPr>
              <w:widowControl/>
              <w:autoSpaceDE/>
              <w:autoSpaceDN/>
              <w:jc w:val="center"/>
              <w:rPr>
                <w:rFonts w:eastAsia="Times New Roman" w:cs="Calibri"/>
                <w:color w:val="000000"/>
              </w:rPr>
            </w:pPr>
            <w:r w:rsidRPr="006E0775">
              <w:rPr>
                <w:rFonts w:eastAsia="Times New Roman" w:cs="Calibri"/>
                <w:color w:val="000000"/>
              </w:rPr>
              <w:t>3,713</w:t>
            </w:r>
          </w:p>
        </w:tc>
      </w:tr>
    </w:tbl>
    <w:p w14:paraId="5522D452" w14:textId="77777777" w:rsidR="00E641C6" w:rsidRDefault="00E641C6" w:rsidP="00A81E6C">
      <w:pPr>
        <w:pStyle w:val="BodyText"/>
        <w:spacing w:line="269" w:lineRule="exact"/>
        <w:rPr>
          <w:rFonts w:asciiTheme="minorHAnsi" w:hAnsiTheme="minorHAnsi"/>
        </w:rPr>
      </w:pPr>
    </w:p>
    <w:p w14:paraId="06691563" w14:textId="05EC2C62" w:rsidR="00A43195" w:rsidRDefault="006E547F" w:rsidP="00A81E6C">
      <w:pPr>
        <w:pStyle w:val="BodyText"/>
        <w:spacing w:line="269" w:lineRule="exact"/>
        <w:rPr>
          <w:rFonts w:asciiTheme="minorHAnsi" w:hAnsiTheme="minorHAnsi"/>
        </w:rPr>
      </w:pPr>
      <w:r w:rsidRPr="006E547F">
        <w:rPr>
          <w:rFonts w:asciiTheme="minorHAnsi" w:hAnsiTheme="minorHAnsi"/>
        </w:rPr>
        <w:t>The Applicant expects cases to increase each year of operation and to see increase</w:t>
      </w:r>
      <w:r w:rsidR="00B4208D">
        <w:rPr>
          <w:rFonts w:asciiTheme="minorHAnsi" w:hAnsiTheme="minorHAnsi"/>
        </w:rPr>
        <w:t>d</w:t>
      </w:r>
      <w:r w:rsidRPr="006E547F">
        <w:rPr>
          <w:rFonts w:asciiTheme="minorHAnsi" w:hAnsiTheme="minorHAnsi"/>
        </w:rPr>
        <w:t xml:space="preserve"> OR utilization on a month</w:t>
      </w:r>
      <w:r w:rsidR="00715AAB">
        <w:rPr>
          <w:rFonts w:asciiTheme="minorHAnsi" w:hAnsiTheme="minorHAnsi"/>
        </w:rPr>
        <w:t>-</w:t>
      </w:r>
      <w:r w:rsidRPr="006E547F">
        <w:rPr>
          <w:rFonts w:asciiTheme="minorHAnsi" w:hAnsiTheme="minorHAnsi"/>
        </w:rPr>
        <w:t>over</w:t>
      </w:r>
      <w:r w:rsidR="00715AAB">
        <w:rPr>
          <w:rFonts w:asciiTheme="minorHAnsi" w:hAnsiTheme="minorHAnsi"/>
        </w:rPr>
        <w:t>-</w:t>
      </w:r>
      <w:r w:rsidRPr="006E547F">
        <w:rPr>
          <w:rFonts w:asciiTheme="minorHAnsi" w:hAnsiTheme="minorHAnsi"/>
        </w:rPr>
        <w:t xml:space="preserve">month basis as the ASC matures. </w:t>
      </w:r>
      <w:r w:rsidR="00AE51E8">
        <w:rPr>
          <w:rFonts w:asciiTheme="minorHAnsi" w:hAnsiTheme="minorHAnsi"/>
        </w:rPr>
        <w:t>OR utilization is calculated by dividing the number of operating rooms used for treatment by the total number of operating days available to treat a patient.</w:t>
      </w:r>
      <w:r w:rsidR="00B4208D">
        <w:rPr>
          <w:rStyle w:val="FootnoteReference"/>
          <w:rFonts w:asciiTheme="minorHAnsi" w:hAnsiTheme="minorHAnsi"/>
        </w:rPr>
        <w:footnoteReference w:id="27"/>
      </w:r>
      <w:r w:rsidR="00AE51E8">
        <w:rPr>
          <w:rFonts w:asciiTheme="minorHAnsi" w:hAnsiTheme="minorHAnsi"/>
        </w:rPr>
        <w:t xml:space="preserve"> </w:t>
      </w:r>
      <w:r w:rsidR="00C27430">
        <w:rPr>
          <w:rFonts w:asciiTheme="minorHAnsi" w:hAnsiTheme="minorHAnsi"/>
        </w:rPr>
        <w:t xml:space="preserve">The Applicant anticipates wait time from receipt of referral to surgery date at the </w:t>
      </w:r>
      <w:r w:rsidR="00D25947">
        <w:rPr>
          <w:rFonts w:asciiTheme="minorHAnsi" w:hAnsiTheme="minorHAnsi"/>
        </w:rPr>
        <w:t>Center</w:t>
      </w:r>
      <w:r w:rsidR="00C27430">
        <w:rPr>
          <w:rFonts w:asciiTheme="minorHAnsi" w:hAnsiTheme="minorHAnsi"/>
        </w:rPr>
        <w:t xml:space="preserve"> will be two weeks</w:t>
      </w:r>
      <w:r w:rsidR="009C31E0">
        <w:rPr>
          <w:rFonts w:asciiTheme="minorHAnsi" w:hAnsiTheme="minorHAnsi"/>
        </w:rPr>
        <w:t xml:space="preserve"> or less</w:t>
      </w:r>
      <w:r w:rsidR="00C27430">
        <w:rPr>
          <w:rFonts w:asciiTheme="minorHAnsi" w:hAnsiTheme="minorHAnsi"/>
        </w:rPr>
        <w:t xml:space="preserve">. </w:t>
      </w:r>
      <w:r w:rsidR="00F96CFA" w:rsidRPr="00F96CFA">
        <w:rPr>
          <w:rFonts w:asciiTheme="minorHAnsi" w:hAnsiTheme="minorHAnsi"/>
        </w:rPr>
        <w:t>The Center will aim to schedule patients for the same or next day for emergent needs</w:t>
      </w:r>
      <w:r w:rsidR="00F96CFA">
        <w:rPr>
          <w:rFonts w:asciiTheme="minorHAnsi" w:hAnsiTheme="minorHAnsi"/>
        </w:rPr>
        <w:t xml:space="preserve">. </w:t>
      </w:r>
      <w:r w:rsidR="00C9379D">
        <w:rPr>
          <w:rFonts w:asciiTheme="minorHAnsi" w:hAnsiTheme="minorHAnsi"/>
        </w:rPr>
        <w:t>The Applicant anticipates that approximately 94% of the proposed ASC’s patients will be comprised of Medicaid and CHIP beneficiaries</w:t>
      </w:r>
      <w:r w:rsidR="00C1204B">
        <w:rPr>
          <w:rFonts w:asciiTheme="minorHAnsi" w:hAnsiTheme="minorHAnsi"/>
        </w:rPr>
        <w:t xml:space="preserve"> </w:t>
      </w:r>
      <w:r w:rsidR="00C1204B" w:rsidRPr="00C1204B">
        <w:rPr>
          <w:rFonts w:asciiTheme="minorHAnsi" w:hAnsiTheme="minorHAnsi"/>
        </w:rPr>
        <w:t>and that approximately 28% of its referrals at the Center will come from FQHCs.</w:t>
      </w:r>
      <w:r w:rsidR="00A54CFD">
        <w:rPr>
          <w:rFonts w:asciiTheme="minorHAnsi" w:hAnsiTheme="minorHAnsi"/>
        </w:rPr>
        <w:t xml:space="preserve"> In order to demonstrate that the Proposed Project is addressing a need for High Acuity Dental Surgeries for patients insured through Medicaid, as a Condition of approval, the Applicant will report annually on the Center’s payer mix, and whether the Applicant is achieving its goal of Medicaid participation. </w:t>
      </w:r>
    </w:p>
    <w:p w14:paraId="503DDC54" w14:textId="77777777" w:rsidR="00A43195" w:rsidRDefault="00A43195" w:rsidP="00A81E6C">
      <w:pPr>
        <w:pStyle w:val="BodyText"/>
        <w:spacing w:line="269" w:lineRule="exact"/>
        <w:rPr>
          <w:rFonts w:asciiTheme="minorHAnsi" w:hAnsiTheme="minorHAnsi"/>
        </w:rPr>
      </w:pPr>
    </w:p>
    <w:p w14:paraId="01D8E481" w14:textId="16ABBE06" w:rsidR="000575BD" w:rsidRPr="00964A48" w:rsidRDefault="003448C6" w:rsidP="00964A48">
      <w:pPr>
        <w:pStyle w:val="BodyText"/>
        <w:spacing w:line="269" w:lineRule="exact"/>
        <w:rPr>
          <w:rFonts w:asciiTheme="minorHAnsi" w:hAnsiTheme="minorHAnsi"/>
        </w:rPr>
      </w:pPr>
      <w:r>
        <w:rPr>
          <w:rFonts w:asciiTheme="minorHAnsi" w:hAnsiTheme="minorHAnsi"/>
        </w:rPr>
        <w:t xml:space="preserve">Staffing for the </w:t>
      </w:r>
      <w:r w:rsidR="00EB4554">
        <w:rPr>
          <w:rFonts w:asciiTheme="minorHAnsi" w:hAnsiTheme="minorHAnsi"/>
        </w:rPr>
        <w:t>Center</w:t>
      </w:r>
      <w:r>
        <w:rPr>
          <w:rFonts w:asciiTheme="minorHAnsi" w:hAnsiTheme="minorHAnsi"/>
        </w:rPr>
        <w:t xml:space="preserve"> </w:t>
      </w:r>
      <w:r w:rsidR="003332C0">
        <w:rPr>
          <w:rFonts w:asciiTheme="minorHAnsi" w:hAnsiTheme="minorHAnsi"/>
        </w:rPr>
        <w:t>will</w:t>
      </w:r>
      <w:r>
        <w:rPr>
          <w:rFonts w:asciiTheme="minorHAnsi" w:hAnsiTheme="minorHAnsi"/>
        </w:rPr>
        <w:t xml:space="preserve"> include three to four </w:t>
      </w:r>
      <w:r w:rsidRPr="00C1204B">
        <w:rPr>
          <w:rFonts w:asciiTheme="minorHAnsi" w:hAnsiTheme="minorHAnsi"/>
        </w:rPr>
        <w:t>Pediatric Advanced Life Support (PALS)</w:t>
      </w:r>
      <w:r w:rsidR="00076A86" w:rsidRPr="00C1204B">
        <w:rPr>
          <w:rStyle w:val="FootnoteReference"/>
          <w:rFonts w:asciiTheme="minorHAnsi" w:hAnsiTheme="minorHAnsi"/>
        </w:rPr>
        <w:footnoteReference w:id="28"/>
      </w:r>
      <w:r w:rsidR="00F3100F">
        <w:rPr>
          <w:rFonts w:asciiTheme="minorHAnsi" w:hAnsiTheme="minorHAnsi"/>
        </w:rPr>
        <w:t xml:space="preserve"> certified Registered Nurses, two to three pediatric trained anesthesiologists, two to 10 pediatric dentists, two to 10 oral surgeons, two to four dental assistants, a community relations manager, and one to two patient service coordinators. </w:t>
      </w:r>
      <w:r w:rsidR="002960E6">
        <w:rPr>
          <w:rFonts w:asciiTheme="minorHAnsi" w:hAnsiTheme="minorHAnsi"/>
        </w:rPr>
        <w:t xml:space="preserve">The Applicant intends to recruit </w:t>
      </w:r>
      <w:r w:rsidR="00610D9F">
        <w:rPr>
          <w:rFonts w:asciiTheme="minorHAnsi" w:hAnsiTheme="minorHAnsi"/>
        </w:rPr>
        <w:t xml:space="preserve">providers and staff members who are local to the ASC’s PSA and who understand the unique needs of the PSA’s populations. </w:t>
      </w:r>
      <w:r w:rsidR="00C46AD5">
        <w:rPr>
          <w:rFonts w:asciiTheme="minorHAnsi" w:hAnsiTheme="minorHAnsi"/>
        </w:rPr>
        <w:t>The Applicant states that all providers are interviewed and assessed by Blue Cloud’s Chief Medical Office</w:t>
      </w:r>
      <w:r w:rsidR="00ED5896">
        <w:rPr>
          <w:rFonts w:asciiTheme="minorHAnsi" w:hAnsiTheme="minorHAnsi"/>
        </w:rPr>
        <w:t>r</w:t>
      </w:r>
      <w:r w:rsidR="00C46AD5">
        <w:rPr>
          <w:rFonts w:asciiTheme="minorHAnsi" w:hAnsiTheme="minorHAnsi"/>
        </w:rPr>
        <w:t xml:space="preserve"> and Chief Dental Office</w:t>
      </w:r>
      <w:r w:rsidR="00ED5896">
        <w:rPr>
          <w:rFonts w:asciiTheme="minorHAnsi" w:hAnsiTheme="minorHAnsi"/>
        </w:rPr>
        <w:t>r</w:t>
      </w:r>
      <w:r w:rsidR="00C46AD5">
        <w:rPr>
          <w:rFonts w:asciiTheme="minorHAnsi" w:hAnsiTheme="minorHAnsi"/>
        </w:rPr>
        <w:t xml:space="preserve">, to support clinical quality of care and </w:t>
      </w:r>
      <w:r w:rsidR="007B4734">
        <w:rPr>
          <w:rFonts w:asciiTheme="minorHAnsi" w:hAnsiTheme="minorHAnsi"/>
        </w:rPr>
        <w:t xml:space="preserve">to ensure </w:t>
      </w:r>
      <w:r w:rsidR="00C46AD5">
        <w:rPr>
          <w:rFonts w:asciiTheme="minorHAnsi" w:hAnsiTheme="minorHAnsi"/>
        </w:rPr>
        <w:t>that applicants have appropriate experience with pediatric patients, and patients with special healthcare needs.</w:t>
      </w:r>
      <w:r w:rsidR="007240CC">
        <w:rPr>
          <w:rFonts w:asciiTheme="minorHAnsi" w:hAnsiTheme="minorHAnsi"/>
        </w:rPr>
        <w:t xml:space="preserve"> </w:t>
      </w:r>
      <w:r w:rsidR="000575BD">
        <w:t>There is a dental office located in the same complex as the Center, where operating dentists will see the Center’s patients for pre-procedure consultations, which will make access more convenient for patients and parents/caregivers The Applicant states that the dentists at the dental office in the same complex are hired at the dental practice, and will be credentialed to treat patients at the Center. The dental office and all providers will accept MassHealth, and the payer mix will be same payer mix as the Center.</w:t>
      </w:r>
    </w:p>
    <w:p w14:paraId="6AE394D5" w14:textId="77777777" w:rsidR="00360B99" w:rsidRDefault="00360B99" w:rsidP="00C316C3">
      <w:pPr>
        <w:rPr>
          <w:rFonts w:asciiTheme="minorHAnsi" w:hAnsiTheme="minorHAnsi"/>
        </w:rPr>
      </w:pPr>
      <w:bookmarkStart w:id="5" w:name="_cp_change_25"/>
    </w:p>
    <w:bookmarkEnd w:id="5"/>
    <w:p w14:paraId="70D235A0" w14:textId="19482AF2" w:rsidR="001F6F48" w:rsidRPr="000B5840" w:rsidRDefault="003D54ED" w:rsidP="00064E29">
      <w:pPr>
        <w:rPr>
          <w:b/>
          <w:bCs/>
          <w:i/>
          <w:iCs/>
        </w:rPr>
      </w:pPr>
      <w:r w:rsidRPr="003D54ED">
        <w:rPr>
          <w:b/>
          <w:bCs/>
          <w:i/>
          <w:iCs/>
        </w:rPr>
        <w:t>Analysis</w:t>
      </w:r>
    </w:p>
    <w:p w14:paraId="44DF6220" w14:textId="055CF121" w:rsidR="001F6F48" w:rsidRDefault="316B1942" w:rsidP="00C316C3">
      <w:r>
        <w:t>Staff finds that</w:t>
      </w:r>
      <w:r w:rsidR="688B0823">
        <w:t xml:space="preserve"> the Applicant </w:t>
      </w:r>
      <w:r w:rsidR="5891C34B">
        <w:t>has demonstrated need for the Center based on analysis of historical and projected High Acuity Dental Surgeries in the Applicant’s PSA</w:t>
      </w:r>
      <w:r w:rsidR="78624CD4">
        <w:t xml:space="preserve">. </w:t>
      </w:r>
      <w:r w:rsidR="189AD745">
        <w:t xml:space="preserve">The Applicant has also shown a need to increase access to High Acuity Dental Surgeries in the ASC setting for the Applicant’s Patient Panel as a result of current barriers to accessing such care for pediatric patients and for patients with special </w:t>
      </w:r>
      <w:r w:rsidR="63500771">
        <w:t>healthcare</w:t>
      </w:r>
      <w:r w:rsidR="189AD745">
        <w:t xml:space="preserve"> needs. The Applicant has demonstrated that the Center </w:t>
      </w:r>
      <w:r w:rsidR="001D1F3F">
        <w:t xml:space="preserve">has the ability to </w:t>
      </w:r>
      <w:r w:rsidR="189AD745">
        <w:t>increase</w:t>
      </w:r>
      <w:r w:rsidR="30FDC6BA">
        <w:t xml:space="preserve"> timely</w:t>
      </w:r>
      <w:r w:rsidR="189AD745">
        <w:t xml:space="preserve"> access </w:t>
      </w:r>
      <w:r w:rsidR="30FDC6BA">
        <w:t xml:space="preserve">to High Acuity Dental Surgeries </w:t>
      </w:r>
      <w:r w:rsidR="189AD745">
        <w:t xml:space="preserve">for an underserved population, that will be largely insured through </w:t>
      </w:r>
      <w:r w:rsidR="001D1F3F">
        <w:t>Medicaid</w:t>
      </w:r>
      <w:r w:rsidR="189AD745">
        <w:t xml:space="preserve">. </w:t>
      </w:r>
      <w:r w:rsidR="78624CD4">
        <w:t>A</w:t>
      </w:r>
      <w:r>
        <w:t>s a result, Staff finds that</w:t>
      </w:r>
      <w:r w:rsidR="00FB3951">
        <w:t xml:space="preserve"> with</w:t>
      </w:r>
      <w:r>
        <w:t xml:space="preserve"> the</w:t>
      </w:r>
      <w:r w:rsidR="00FB3951">
        <w:t xml:space="preserve"> Other Conditions outlined below</w:t>
      </w:r>
      <w:r w:rsidR="00417EA2">
        <w:t xml:space="preserve"> regarding the Center’s payer mix</w:t>
      </w:r>
      <w:r w:rsidR="009A3C38">
        <w:t xml:space="preserve"> and wait times</w:t>
      </w:r>
      <w:r w:rsidR="00FB3951">
        <w:t>, the</w:t>
      </w:r>
      <w:r>
        <w:t xml:space="preserve"> Proposed Project meets the requirements of Factor 1a.</w:t>
      </w:r>
    </w:p>
    <w:p w14:paraId="32D6B967" w14:textId="77777777" w:rsidR="003A685B" w:rsidRDefault="003A685B" w:rsidP="00C316C3"/>
    <w:p w14:paraId="322BFDDE" w14:textId="77777777" w:rsidR="001963DF" w:rsidRDefault="001963DF" w:rsidP="00C316C3"/>
    <w:p w14:paraId="0ADCD05D" w14:textId="5C692A7F" w:rsidR="00B447F3" w:rsidRPr="003436F0" w:rsidRDefault="305CB7EF" w:rsidP="00923435">
      <w:pPr>
        <w:pStyle w:val="Heading2"/>
      </w:pPr>
      <w:bookmarkStart w:id="6" w:name="_Toc241131188"/>
      <w:r w:rsidRPr="28157CC0">
        <w:t xml:space="preserve">Factor 1: b) Public health value, improved health outcomes and quality of life; </w:t>
      </w:r>
      <w:r w:rsidRPr="28157CC0">
        <w:lastRenderedPageBreak/>
        <w:t>assurances of health equity</w:t>
      </w:r>
      <w:bookmarkEnd w:id="6"/>
    </w:p>
    <w:p w14:paraId="26553C75" w14:textId="77777777" w:rsidR="005535AB" w:rsidRPr="005535AB" w:rsidRDefault="005535AB" w:rsidP="005535AB">
      <w:pPr>
        <w:pStyle w:val="BodyText"/>
        <w:rPr>
          <w:rFonts w:asciiTheme="minorHAnsi" w:hAnsiTheme="minorHAnsi"/>
        </w:rPr>
      </w:pPr>
      <w:r w:rsidRPr="005535AB">
        <w:rPr>
          <w:rFonts w:asciiTheme="minorHAnsi" w:hAnsiTheme="minorHAnsi"/>
        </w:rPr>
        <w:t>For this element of Factor 1, the Applicant must demonstrate that the Proposed Project adds public</w:t>
      </w:r>
    </w:p>
    <w:p w14:paraId="2EFD0954" w14:textId="77777777" w:rsidR="005535AB" w:rsidRPr="005535AB" w:rsidRDefault="005535AB" w:rsidP="005535AB">
      <w:pPr>
        <w:pStyle w:val="BodyText"/>
        <w:rPr>
          <w:rFonts w:asciiTheme="minorHAnsi" w:hAnsiTheme="minorHAnsi"/>
        </w:rPr>
      </w:pPr>
      <w:r w:rsidRPr="005535AB">
        <w:rPr>
          <w:rFonts w:asciiTheme="minorHAnsi" w:hAnsiTheme="minorHAnsi"/>
        </w:rPr>
        <w:t>health value in terms of improved health outcomes and quality of life for the Applicant’s existing</w:t>
      </w:r>
    </w:p>
    <w:p w14:paraId="0821EED9" w14:textId="3C5BB787" w:rsidR="00615885" w:rsidRPr="00E04133" w:rsidRDefault="005535AB" w:rsidP="005535AB">
      <w:pPr>
        <w:pStyle w:val="BodyText"/>
        <w:rPr>
          <w:rFonts w:asciiTheme="minorHAnsi" w:hAnsiTheme="minorHAnsi"/>
        </w:rPr>
      </w:pPr>
      <w:r w:rsidRPr="005535AB">
        <w:rPr>
          <w:rFonts w:asciiTheme="minorHAnsi" w:hAnsiTheme="minorHAnsi"/>
        </w:rPr>
        <w:t>Patient Panel, while providing reasonable assurances of health equity.</w:t>
      </w:r>
    </w:p>
    <w:p w14:paraId="6D810811" w14:textId="77777777" w:rsidR="000271CA" w:rsidRDefault="000271CA" w:rsidP="00C316C3">
      <w:pPr>
        <w:pStyle w:val="BodyText"/>
        <w:rPr>
          <w:rFonts w:asciiTheme="minorHAnsi" w:hAnsiTheme="minorHAnsi"/>
          <w:b/>
          <w:bCs/>
        </w:rPr>
      </w:pPr>
    </w:p>
    <w:p w14:paraId="0B47360A" w14:textId="10001061" w:rsidR="00E04133" w:rsidRDefault="00750186" w:rsidP="00C316C3">
      <w:pPr>
        <w:pStyle w:val="BodyText"/>
        <w:rPr>
          <w:rFonts w:asciiTheme="minorHAnsi" w:hAnsiTheme="minorHAnsi"/>
          <w:b/>
          <w:bCs/>
        </w:rPr>
      </w:pPr>
      <w:r w:rsidRPr="00750186">
        <w:rPr>
          <w:rFonts w:asciiTheme="minorHAnsi" w:hAnsiTheme="minorHAnsi"/>
          <w:b/>
          <w:bCs/>
        </w:rPr>
        <w:t>Public Health Value: Improved Outcomes and Quality of Life</w:t>
      </w:r>
    </w:p>
    <w:p w14:paraId="4D280893" w14:textId="77777777" w:rsidR="00AF1D8A" w:rsidRDefault="00AF1D8A" w:rsidP="00C316C3">
      <w:pPr>
        <w:pStyle w:val="BodyText"/>
      </w:pPr>
    </w:p>
    <w:p w14:paraId="68EB4A66" w14:textId="1D1A7DF8" w:rsidR="00CF7AA4" w:rsidRDefault="009D5DCA" w:rsidP="00C316C3">
      <w:pPr>
        <w:pStyle w:val="BodyText"/>
      </w:pPr>
      <w:r>
        <w:t>Citing Health People 2030, the Applicant states that oral health</w:t>
      </w:r>
      <w:r w:rsidR="008275B4">
        <w:t xml:space="preserve"> is an essential component in overall health, and </w:t>
      </w:r>
      <w:r w:rsidR="00BB039D">
        <w:t>plays a critical role in people’s physical</w:t>
      </w:r>
      <w:r w:rsidR="006B7FFC">
        <w:t xml:space="preserve"> health</w:t>
      </w:r>
      <w:r w:rsidR="00BB039D">
        <w:t>, mental</w:t>
      </w:r>
      <w:r w:rsidR="00EB10C0">
        <w:t xml:space="preserve"> health, and</w:t>
      </w:r>
      <w:r w:rsidR="00BB039D">
        <w:t xml:space="preserve"> social well-being.</w:t>
      </w:r>
      <w:r w:rsidR="00BB039D">
        <w:rPr>
          <w:rStyle w:val="EndnoteReference"/>
        </w:rPr>
        <w:endnoteReference w:id="16"/>
      </w:r>
      <w:r w:rsidR="00E9704D">
        <w:t xml:space="preserve"> </w:t>
      </w:r>
      <w:r w:rsidR="002D3165">
        <w:t xml:space="preserve">While oral health has improved in the United States, disparities in </w:t>
      </w:r>
      <w:r w:rsidR="002C5536">
        <w:t>oral health exist, among adults and children</w:t>
      </w:r>
      <w:r w:rsidR="00C63C59">
        <w:t xml:space="preserve">: </w:t>
      </w:r>
      <w:r w:rsidR="00512F23">
        <w:t xml:space="preserve">children aged six to nine </w:t>
      </w:r>
      <w:r w:rsidR="76FEF1B2">
        <w:t xml:space="preserve">from lower income families </w:t>
      </w:r>
      <w:r w:rsidR="00512F23">
        <w:t xml:space="preserve">had more cavities in their primary or permanent teeth than those from higher income households, and </w:t>
      </w:r>
      <w:r w:rsidR="00A35CFE">
        <w:t>untreated cavities were more common in 12 to 19 year olds from lower income households, than those from higher income households.</w:t>
      </w:r>
      <w:r w:rsidRPr="1D93BCA9">
        <w:rPr>
          <w:rStyle w:val="EndnoteReference"/>
        </w:rPr>
        <w:endnoteReference w:id="17"/>
      </w:r>
      <w:r w:rsidR="00513120">
        <w:t xml:space="preserve"> </w:t>
      </w:r>
      <w:r w:rsidR="00513C83">
        <w:t xml:space="preserve">The teeth are influenced by the nutritional status of the body, and malnutrition </w:t>
      </w:r>
      <w:r w:rsidR="00592410">
        <w:t xml:space="preserve">impacts oral health, </w:t>
      </w:r>
      <w:r w:rsidR="00A8009D">
        <w:t xml:space="preserve">weakening teeth and gums, which can then impact ability to </w:t>
      </w:r>
      <w:r w:rsidR="00EB1297">
        <w:t>chew which can further impact malnutrition.</w:t>
      </w:r>
      <w:r w:rsidRPr="1D93BCA9">
        <w:rPr>
          <w:rStyle w:val="EndnoteReference"/>
        </w:rPr>
        <w:endnoteReference w:id="18"/>
      </w:r>
      <w:r w:rsidR="00592410">
        <w:t xml:space="preserve"> </w:t>
      </w:r>
      <w:r w:rsidR="00640F59">
        <w:t xml:space="preserve">Tooth decay leads to pain, </w:t>
      </w:r>
      <w:r w:rsidR="001353A9">
        <w:t>school absenteeism, difficulty concentrating in school with resultant failure, avoidance of smiling, poor self-esteem, and painful eating leading to poor nutrition</w:t>
      </w:r>
      <w:r w:rsidR="00E32FF4">
        <w:t>.</w:t>
      </w:r>
      <w:r w:rsidRPr="1D93BCA9">
        <w:rPr>
          <w:rStyle w:val="EndnoteReference"/>
        </w:rPr>
        <w:endnoteReference w:id="19"/>
      </w:r>
      <w:r w:rsidR="00E32FF4">
        <w:t xml:space="preserve"> Poor oral health is associated with school absenteeism</w:t>
      </w:r>
      <w:r w:rsidR="00B4345B">
        <w:t>, lower test performance, and difficulty paying attention.</w:t>
      </w:r>
      <w:r w:rsidRPr="1D93BCA9">
        <w:rPr>
          <w:rStyle w:val="EndnoteReference"/>
        </w:rPr>
        <w:endnoteReference w:id="20"/>
      </w:r>
      <w:r w:rsidR="00FD6485">
        <w:t xml:space="preserve"> </w:t>
      </w:r>
    </w:p>
    <w:p w14:paraId="1AE18F77" w14:textId="77777777" w:rsidR="00115AD3" w:rsidRDefault="00115AD3" w:rsidP="006A160F">
      <w:pPr>
        <w:pStyle w:val="BodyText"/>
      </w:pPr>
    </w:p>
    <w:p w14:paraId="3743C3CC" w14:textId="7790F8ED" w:rsidR="00432DCF" w:rsidRDefault="00432DCF" w:rsidP="00432DCF">
      <w:pPr>
        <w:pStyle w:val="BodyText"/>
      </w:pPr>
      <w:r>
        <w:t xml:space="preserve">The dental condition of children with special </w:t>
      </w:r>
      <w:r w:rsidR="009B2876">
        <w:t>healthcare</w:t>
      </w:r>
      <w:r>
        <w:t xml:space="preserve"> needs declines faster than </w:t>
      </w:r>
      <w:r w:rsidR="003603A3">
        <w:t>those without special health care needs</w:t>
      </w:r>
      <w:r>
        <w:t xml:space="preserve"> as they age, with </w:t>
      </w:r>
      <w:r w:rsidR="00947A80" w:rsidRPr="00947A80">
        <w:t xml:space="preserve">children with special </w:t>
      </w:r>
      <w:r w:rsidR="009B2876">
        <w:t>healthcare</w:t>
      </w:r>
      <w:r w:rsidR="00947A80" w:rsidRPr="00947A80">
        <w:t xml:space="preserve"> needs</w:t>
      </w:r>
      <w:r>
        <w:t xml:space="preserve"> experiencing fewer dental fillings, more missing teeth, higher rates of untreated tooth decay and periodontal disease.</w:t>
      </w:r>
      <w:r>
        <w:rPr>
          <w:rStyle w:val="EndnoteReference"/>
        </w:rPr>
        <w:endnoteReference w:id="21"/>
      </w:r>
      <w:r>
        <w:t xml:space="preserve"> Behavioral challenges are a common barrier for </w:t>
      </w:r>
      <w:r w:rsidR="00947A80" w:rsidRPr="00947A80">
        <w:t xml:space="preserve">children with special </w:t>
      </w:r>
      <w:r w:rsidR="009B2876">
        <w:t>healthcare</w:t>
      </w:r>
      <w:r w:rsidR="00947A80" w:rsidRPr="00947A80">
        <w:t xml:space="preserve"> needs</w:t>
      </w:r>
      <w:r w:rsidR="5009DC6D">
        <w:t>. For these patients,</w:t>
      </w:r>
      <w:r w:rsidDel="00432DCF">
        <w:t xml:space="preserve"> </w:t>
      </w:r>
      <w:r>
        <w:t>dental visits are correlated with fear</w:t>
      </w:r>
      <w:r w:rsidR="094CF712">
        <w:t xml:space="preserve"> and</w:t>
      </w:r>
      <w:r>
        <w:t xml:space="preserve"> hypersensitivity to stimuli which can cause extreme stress in dental facilities</w:t>
      </w:r>
      <w:r w:rsidR="006C13B6">
        <w:t>.</w:t>
      </w:r>
      <w:r w:rsidRPr="1D93BCA9">
        <w:rPr>
          <w:vertAlign w:val="superscript"/>
        </w:rPr>
        <w:endnoteReference w:id="22"/>
      </w:r>
      <w:r>
        <w:t xml:space="preserve"> Treatment under </w:t>
      </w:r>
      <w:r w:rsidR="006C13B6">
        <w:t>General Anesthesia</w:t>
      </w:r>
      <w:r>
        <w:t xml:space="preserve"> may be necessary for some </w:t>
      </w:r>
      <w:r w:rsidR="006C13B6">
        <w:t xml:space="preserve">children with special </w:t>
      </w:r>
      <w:r w:rsidR="009B2876">
        <w:t>healthcare</w:t>
      </w:r>
      <w:r w:rsidR="006C13B6">
        <w:t xml:space="preserve"> needs</w:t>
      </w:r>
      <w:r>
        <w:t>.</w:t>
      </w:r>
      <w:r w:rsidRPr="1D93BCA9">
        <w:rPr>
          <w:vertAlign w:val="superscript"/>
        </w:rPr>
        <w:endnoteReference w:id="23"/>
      </w:r>
      <w:r>
        <w:t xml:space="preserve"> Limited access to dental care can also result from a lack of dentists trained to serve </w:t>
      </w:r>
      <w:r w:rsidR="006C13B6">
        <w:t xml:space="preserve">children with special </w:t>
      </w:r>
      <w:r w:rsidR="009B2876">
        <w:t>healthcare</w:t>
      </w:r>
      <w:r w:rsidR="006C13B6">
        <w:t xml:space="preserve"> needs</w:t>
      </w:r>
      <w:r>
        <w:t>.</w:t>
      </w:r>
      <w:r w:rsidRPr="1D93BCA9">
        <w:rPr>
          <w:vertAlign w:val="superscript"/>
        </w:rPr>
        <w:endnoteReference w:id="24"/>
      </w:r>
      <w:r>
        <w:t xml:space="preserve"> Treatment can be costly and time consuming which also pose barriers to accessing care.</w:t>
      </w:r>
      <w:r w:rsidRPr="1D93BCA9">
        <w:rPr>
          <w:vertAlign w:val="superscript"/>
        </w:rPr>
        <w:endnoteReference w:id="25"/>
      </w:r>
      <w:r>
        <w:t xml:space="preserve"> </w:t>
      </w:r>
    </w:p>
    <w:p w14:paraId="36F3850B" w14:textId="77777777" w:rsidR="00432DCF" w:rsidRDefault="00432DCF" w:rsidP="006A160F">
      <w:pPr>
        <w:pStyle w:val="BodyText"/>
      </w:pPr>
    </w:p>
    <w:p w14:paraId="2A9714DE" w14:textId="0D3DFBF8" w:rsidR="00DA606B" w:rsidRDefault="00234D43" w:rsidP="006A160F">
      <w:pPr>
        <w:pStyle w:val="BodyText"/>
      </w:pPr>
      <w:r>
        <w:t xml:space="preserve">Children and youth with developmental disabilities (CYDD), a subset of children with special </w:t>
      </w:r>
      <w:r w:rsidR="009B2876">
        <w:t>healthcare</w:t>
      </w:r>
      <w:r>
        <w:t xml:space="preserve"> needs, </w:t>
      </w:r>
      <w:r w:rsidR="00A8556A">
        <w:t xml:space="preserve">are at increased risk for dental disease, and are more likely </w:t>
      </w:r>
      <w:r w:rsidR="005C7F82">
        <w:t xml:space="preserve">to have unmet oral </w:t>
      </w:r>
      <w:r w:rsidR="009B2876">
        <w:t>healthcare</w:t>
      </w:r>
      <w:r w:rsidR="00E55F8F">
        <w:t xml:space="preserve"> needs than </w:t>
      </w:r>
      <w:r w:rsidR="00EB6AEA">
        <w:t>children without developmental disabilities</w:t>
      </w:r>
      <w:r w:rsidR="00E55F8F">
        <w:t>.</w:t>
      </w:r>
      <w:r w:rsidRPr="1D93BCA9">
        <w:rPr>
          <w:rStyle w:val="EndnoteReference"/>
        </w:rPr>
        <w:endnoteReference w:id="26"/>
      </w:r>
      <w:r w:rsidR="008D5EBC">
        <w:t xml:space="preserve"> Dental care has been cited as one of the greatest unmet needs of CYDD.</w:t>
      </w:r>
      <w:r w:rsidR="00265544" w:rsidRPr="1D93BCA9">
        <w:rPr>
          <w:vertAlign w:val="superscript"/>
        </w:rPr>
        <w:t xml:space="preserve"> </w:t>
      </w:r>
      <w:r w:rsidRPr="1D93BCA9">
        <w:rPr>
          <w:vertAlign w:val="superscript"/>
        </w:rPr>
        <w:endnoteReference w:id="27"/>
      </w:r>
      <w:r w:rsidR="00265544">
        <w:t xml:space="preserve"> </w:t>
      </w:r>
      <w:r w:rsidR="00257F64">
        <w:t xml:space="preserve">CYDD are reported to have poorer oral hygiene than </w:t>
      </w:r>
      <w:r w:rsidR="00AC5F91">
        <w:t>children without development disabilities</w:t>
      </w:r>
      <w:r w:rsidR="00257F64">
        <w:t xml:space="preserve">. </w:t>
      </w:r>
      <w:r w:rsidR="00E90576">
        <w:t xml:space="preserve">Studies have found that even children with special </w:t>
      </w:r>
      <w:r w:rsidR="009B2876">
        <w:t>healthcare</w:t>
      </w:r>
      <w:r w:rsidR="00E90576">
        <w:t xml:space="preserve"> needs that are enrolled in Medicaid have </w:t>
      </w:r>
      <w:r w:rsidR="002C3637">
        <w:t xml:space="preserve">unmet dental needs, with children with special </w:t>
      </w:r>
      <w:r w:rsidR="009B2876">
        <w:t>healthcare</w:t>
      </w:r>
      <w:r w:rsidR="002C3637">
        <w:t xml:space="preserve"> needs </w:t>
      </w:r>
      <w:r w:rsidR="00EC7362">
        <w:t xml:space="preserve">enrolled in Medicaid receiving fewer preventive dental visits than those without special </w:t>
      </w:r>
      <w:r w:rsidR="009B2876">
        <w:t>healthcare</w:t>
      </w:r>
      <w:r w:rsidR="00EC7362">
        <w:t xml:space="preserve"> needs</w:t>
      </w:r>
      <w:r w:rsidR="00C20259">
        <w:t>.</w:t>
      </w:r>
      <w:r w:rsidRPr="1D93BCA9">
        <w:rPr>
          <w:vertAlign w:val="superscript"/>
        </w:rPr>
        <w:endnoteReference w:id="28"/>
      </w:r>
      <w:r w:rsidR="00C20259">
        <w:t xml:space="preserve"> </w:t>
      </w:r>
      <w:r w:rsidR="00EC5CA8">
        <w:t>Barriers to dental care for CYDD include behavioral</w:t>
      </w:r>
      <w:r w:rsidR="00A4768A">
        <w:t xml:space="preserve"> challenges</w:t>
      </w:r>
      <w:r w:rsidR="00AC5F91">
        <w:t xml:space="preserve"> and</w:t>
      </w:r>
      <w:r w:rsidR="00A4768A">
        <w:t xml:space="preserve"> </w:t>
      </w:r>
      <w:r w:rsidR="00CA6BB0">
        <w:t xml:space="preserve">working with oral aversions, as well as nonmedical factors like transportation, geographic access, and </w:t>
      </w:r>
      <w:r w:rsidR="002773B5">
        <w:t>financial barriers due to high out-of-pocket costs.</w:t>
      </w:r>
      <w:r w:rsidRPr="1D93BCA9">
        <w:rPr>
          <w:vertAlign w:val="superscript"/>
        </w:rPr>
        <w:endnoteReference w:id="29"/>
      </w:r>
      <w:r w:rsidR="00265544">
        <w:t xml:space="preserve"> </w:t>
      </w:r>
      <w:r w:rsidR="00EF6749">
        <w:t>A</w:t>
      </w:r>
      <w:r w:rsidR="4F69FA24">
        <w:t xml:space="preserve">dditionally, patients face </w:t>
      </w:r>
      <w:r w:rsidR="00EF6749">
        <w:t>difficulty finding</w:t>
      </w:r>
      <w:r w:rsidR="00627DCF">
        <w:t xml:space="preserve"> facilities and anesthesia providers who are comfortable caring for children with behavioral or medical complexities.</w:t>
      </w:r>
      <w:r w:rsidRPr="1D93BCA9">
        <w:rPr>
          <w:vertAlign w:val="superscript"/>
        </w:rPr>
        <w:endnoteReference w:id="30"/>
      </w:r>
      <w:r w:rsidR="00265544">
        <w:t xml:space="preserve"> </w:t>
      </w:r>
      <w:r w:rsidR="00C07831">
        <w:t xml:space="preserve">Sedation or </w:t>
      </w:r>
      <w:r w:rsidR="002C0C58">
        <w:t>General Anesthesia</w:t>
      </w:r>
      <w:r w:rsidR="00C07831">
        <w:t xml:space="preserve"> may be necessary to </w:t>
      </w:r>
      <w:r w:rsidR="00EF5ADC">
        <w:t xml:space="preserve">render medically </w:t>
      </w:r>
      <w:r w:rsidR="00EF5ADC">
        <w:lastRenderedPageBreak/>
        <w:t xml:space="preserve">necessary care in situations where behavior prevents them from </w:t>
      </w:r>
      <w:r w:rsidR="0033781C">
        <w:t>receipt of needed treatment.</w:t>
      </w:r>
      <w:r w:rsidRPr="1D93BCA9">
        <w:rPr>
          <w:vertAlign w:val="superscript"/>
        </w:rPr>
        <w:endnoteReference w:id="31"/>
      </w:r>
      <w:r w:rsidR="00265544">
        <w:t xml:space="preserve"> </w:t>
      </w:r>
      <w:r w:rsidR="0033781C">
        <w:t xml:space="preserve"> </w:t>
      </w:r>
    </w:p>
    <w:p w14:paraId="4C356174" w14:textId="77777777" w:rsidR="00037352" w:rsidRDefault="00037352" w:rsidP="006A160F">
      <w:pPr>
        <w:pStyle w:val="BodyText"/>
      </w:pPr>
    </w:p>
    <w:p w14:paraId="05675704" w14:textId="6DD2A9DD" w:rsidR="00FD51B2" w:rsidRDefault="00037352" w:rsidP="006A160F">
      <w:pPr>
        <w:pStyle w:val="BodyText"/>
      </w:pPr>
      <w:r>
        <w:t xml:space="preserve">The Applicant states that through the Proposed Project, patients will be able to access medically necessary High Acuity Dental Surgeries in a convenient, community-based setting, which can reduce patients time away from school and parent/caregiver’s time off from work. The Proposed Project will be easily accessible from major highways, and the location will have ample access to free parking. </w:t>
      </w:r>
      <w:r w:rsidR="00425D7D">
        <w:t>The Center’s</w:t>
      </w:r>
      <w:r w:rsidR="0083357B">
        <w:t xml:space="preserve"> environment </w:t>
      </w:r>
      <w:r w:rsidR="00425D7D">
        <w:t xml:space="preserve">will be </w:t>
      </w:r>
      <w:r w:rsidR="0083357B">
        <w:t xml:space="preserve">designed for pediatric </w:t>
      </w:r>
      <w:r w:rsidR="006D187D">
        <w:t xml:space="preserve">patients and patients with special </w:t>
      </w:r>
      <w:r w:rsidR="009B2876">
        <w:t>healthcare</w:t>
      </w:r>
      <w:r w:rsidR="006D187D">
        <w:t xml:space="preserve"> needs</w:t>
      </w:r>
      <w:r w:rsidR="00DC033D">
        <w:t xml:space="preserve"> </w:t>
      </w:r>
      <w:r w:rsidR="00240306">
        <w:t xml:space="preserve">and will </w:t>
      </w:r>
      <w:r w:rsidR="00DC033D">
        <w:t>minimize sensory stimuli and simplif</w:t>
      </w:r>
      <w:r w:rsidR="00342D0E">
        <w:t>y</w:t>
      </w:r>
      <w:r w:rsidR="00DC033D">
        <w:t xml:space="preserve"> workflows, which can reduce stress for patients and their families</w:t>
      </w:r>
      <w:r w:rsidR="0083357B">
        <w:t xml:space="preserve">, and can reduce time required away from school, all of which can improve health outcomes and quality of life, including reducing speech impediments, dietary abnormalities and malnourishment, and increasing self confidence and self-esteem. </w:t>
      </w:r>
      <w:r w:rsidR="009A240D" w:rsidRPr="009A240D" w:rsidDel="00A357F7">
        <w:t xml:space="preserve">The Applicant </w:t>
      </w:r>
      <w:r w:rsidR="009A240D" w:rsidRPr="009A240D">
        <w:t>anticipates wait time from receipt of referral to surgery date at the Center will be two weeks or less, and the same or next day for emergent needs, supporting community access to these services.</w:t>
      </w:r>
    </w:p>
    <w:p w14:paraId="6414372A" w14:textId="77777777" w:rsidR="00D62DA8" w:rsidRDefault="00D62DA8" w:rsidP="006A160F">
      <w:pPr>
        <w:pStyle w:val="BodyText"/>
      </w:pPr>
    </w:p>
    <w:p w14:paraId="14BC20E0" w14:textId="297066F4" w:rsidR="00214C00" w:rsidRDefault="005B3BBE" w:rsidP="006A160F">
      <w:pPr>
        <w:pStyle w:val="BodyText"/>
      </w:pPr>
      <w:r w:rsidRPr="005B3BBE">
        <w:t>The Applicant proposed specific outcome measures</w:t>
      </w:r>
      <w:r>
        <w:t>, including wait times,</w:t>
      </w:r>
      <w:r w:rsidRPr="005B3BBE">
        <w:t xml:space="preserve"> to track the impact of the Proposed Project which staff has reviewed and</w:t>
      </w:r>
      <w:r w:rsidR="000461A1">
        <w:t xml:space="preserve"> updated, and which</w:t>
      </w:r>
      <w:r w:rsidRPr="005B3BBE">
        <w:t xml:space="preserve"> will become a part of the reporting requirements. These measures are shown in Appendix I</w:t>
      </w:r>
      <w:r w:rsidR="009F7D1F">
        <w:t>II</w:t>
      </w:r>
      <w:r w:rsidR="0081425D">
        <w:t>.</w:t>
      </w:r>
    </w:p>
    <w:p w14:paraId="5DD8B91B" w14:textId="77777777" w:rsidR="00683BA7" w:rsidRDefault="00683BA7" w:rsidP="00C316C3">
      <w:pPr>
        <w:pStyle w:val="BodyText"/>
      </w:pPr>
    </w:p>
    <w:p w14:paraId="221DF517" w14:textId="70B789AF" w:rsidR="00B447F3" w:rsidRPr="00932E5D" w:rsidRDefault="00A4110F" w:rsidP="00C316C3">
      <w:pPr>
        <w:rPr>
          <w:rFonts w:asciiTheme="minorHAnsi" w:hAnsiTheme="minorHAnsi"/>
          <w:b/>
          <w:bCs/>
          <w:i/>
          <w:iCs/>
        </w:rPr>
      </w:pPr>
      <w:r w:rsidRPr="00932E5D">
        <w:rPr>
          <w:rFonts w:asciiTheme="minorHAnsi" w:hAnsiTheme="minorHAnsi"/>
          <w:b/>
          <w:bCs/>
          <w:i/>
          <w:iCs/>
        </w:rPr>
        <w:t>Analysis</w:t>
      </w:r>
      <w:r w:rsidR="00303C0E" w:rsidRPr="00932E5D">
        <w:rPr>
          <w:rFonts w:asciiTheme="minorHAnsi" w:hAnsiTheme="minorHAnsi"/>
          <w:b/>
          <w:bCs/>
          <w:i/>
          <w:iCs/>
        </w:rPr>
        <w:t>:</w:t>
      </w:r>
      <w:r w:rsidR="00E04133" w:rsidRPr="00932E5D">
        <w:rPr>
          <w:rFonts w:asciiTheme="minorHAnsi" w:hAnsiTheme="minorHAnsi"/>
          <w:b/>
          <w:bCs/>
          <w:i/>
          <w:iCs/>
        </w:rPr>
        <w:t xml:space="preserve"> </w:t>
      </w:r>
      <w:r w:rsidR="00303C0E" w:rsidRPr="00932E5D">
        <w:rPr>
          <w:rFonts w:asciiTheme="minorHAnsi" w:hAnsiTheme="minorHAnsi"/>
          <w:b/>
          <w:bCs/>
          <w:i/>
          <w:iCs/>
        </w:rPr>
        <w:t>Improved Outcomes and Quality of Life</w:t>
      </w:r>
    </w:p>
    <w:p w14:paraId="70F91D93" w14:textId="162A722F" w:rsidR="00924009" w:rsidRDefault="00333784" w:rsidP="00C316C3">
      <w:r>
        <w:t>Staff finds that</w:t>
      </w:r>
      <w:r w:rsidR="0081425D">
        <w:t xml:space="preserve"> </w:t>
      </w:r>
      <w:r w:rsidR="006E0A1A">
        <w:t>the Proposed Project can improve health outcomes and quality of life for the Patient Panel by increasing timely access to high-quality, convenient, High Acuity Dental Surgeries in a lower cost, clinically appropriate</w:t>
      </w:r>
      <w:r w:rsidR="00660D76">
        <w:t>, patient-centered</w:t>
      </w:r>
      <w:r w:rsidR="006E0A1A">
        <w:t xml:space="preserve"> setting</w:t>
      </w:r>
      <w:r w:rsidR="00A63397">
        <w:t xml:space="preserve">. </w:t>
      </w:r>
      <w:r w:rsidR="00704981">
        <w:t>T</w:t>
      </w:r>
      <w:r w:rsidR="00253E1D">
        <w:t>he Applicant will report annually to the Department on the measure</w:t>
      </w:r>
      <w:r w:rsidR="00213E70">
        <w:t>s</w:t>
      </w:r>
      <w:r w:rsidR="00253E1D">
        <w:t xml:space="preserve"> listed in Appendix I</w:t>
      </w:r>
      <w:r w:rsidR="00821E4D">
        <w:t>II</w:t>
      </w:r>
      <w:r w:rsidR="00253E1D">
        <w:t xml:space="preserve">. </w:t>
      </w:r>
      <w:r>
        <w:t>As a result, Staff finds that the Applicant meets the requirements of Public Health Value: Health Outcomes as part of Factor 1b.</w:t>
      </w:r>
    </w:p>
    <w:p w14:paraId="4CF3CDF9" w14:textId="77777777" w:rsidR="00EE45DE" w:rsidRDefault="00EE45DE" w:rsidP="00C316C3"/>
    <w:p w14:paraId="7E97B2EA" w14:textId="4BFE54E0" w:rsidR="00E04133" w:rsidRPr="00B517EA" w:rsidRDefault="00303C0E" w:rsidP="00C316C3">
      <w:pPr>
        <w:rPr>
          <w:rFonts w:asciiTheme="minorHAnsi" w:hAnsiTheme="minorHAnsi"/>
          <w:b/>
          <w:bCs/>
          <w:i/>
          <w:iCs/>
        </w:rPr>
      </w:pPr>
      <w:r w:rsidRPr="00B517EA">
        <w:rPr>
          <w:rFonts w:asciiTheme="minorHAnsi" w:hAnsiTheme="minorHAnsi"/>
          <w:b/>
          <w:bCs/>
          <w:i/>
          <w:iCs/>
        </w:rPr>
        <w:t xml:space="preserve">Public Health </w:t>
      </w:r>
      <w:r w:rsidR="00F80934" w:rsidRPr="00B517EA">
        <w:rPr>
          <w:rFonts w:asciiTheme="minorHAnsi" w:hAnsiTheme="minorHAnsi"/>
          <w:b/>
          <w:bCs/>
          <w:i/>
          <w:iCs/>
        </w:rPr>
        <w:t>Value: Health</w:t>
      </w:r>
      <w:r w:rsidR="00E04133" w:rsidRPr="00B517EA">
        <w:rPr>
          <w:rFonts w:asciiTheme="minorHAnsi" w:hAnsiTheme="minorHAnsi"/>
          <w:b/>
          <w:bCs/>
          <w:i/>
          <w:iCs/>
        </w:rPr>
        <w:t xml:space="preserve"> Equity</w:t>
      </w:r>
    </w:p>
    <w:p w14:paraId="3A18B83D" w14:textId="77777777" w:rsidR="00C65DDE" w:rsidRDefault="00C65DDE" w:rsidP="00C65DDE">
      <w:pPr>
        <w:rPr>
          <w:rFonts w:cs="Calibri"/>
        </w:rPr>
      </w:pPr>
    </w:p>
    <w:p w14:paraId="6160C6F0" w14:textId="77777777" w:rsidR="00C65DDE" w:rsidRDefault="00C65DDE" w:rsidP="00C65DDE">
      <w:pPr>
        <w:rPr>
          <w:rFonts w:cs="Calibri"/>
        </w:rPr>
      </w:pPr>
      <w:r w:rsidRPr="00455E2C">
        <w:rPr>
          <w:rFonts w:cs="Calibri"/>
        </w:rPr>
        <w:t xml:space="preserve">The following section outlines the Applicant’s processes in place to support equitable access to </w:t>
      </w:r>
      <w:r>
        <w:rPr>
          <w:rFonts w:cs="Calibri"/>
        </w:rPr>
        <w:t>the Center</w:t>
      </w:r>
      <w:r w:rsidRPr="00455E2C">
        <w:rPr>
          <w:rFonts w:cs="Calibri"/>
        </w:rPr>
        <w:t xml:space="preserve">. </w:t>
      </w:r>
    </w:p>
    <w:p w14:paraId="750C444A" w14:textId="77777777" w:rsidR="00EA40E6" w:rsidRDefault="00EA40E6" w:rsidP="00C65DDE">
      <w:pPr>
        <w:rPr>
          <w:rFonts w:cs="Calibri"/>
        </w:rPr>
      </w:pPr>
    </w:p>
    <w:p w14:paraId="7293DF25" w14:textId="2B52085C" w:rsidR="00A25750" w:rsidRPr="00A25750" w:rsidRDefault="00350B21" w:rsidP="00A25750">
      <w:pPr>
        <w:rPr>
          <w:rFonts w:cs="Calibri"/>
        </w:rPr>
      </w:pPr>
      <w:r w:rsidRPr="1D93BCA9">
        <w:rPr>
          <w:rFonts w:cs="Calibri"/>
          <w:b/>
          <w:bCs/>
        </w:rPr>
        <w:t>F</w:t>
      </w:r>
      <w:r w:rsidR="7D6EE113" w:rsidRPr="1D93BCA9">
        <w:rPr>
          <w:rFonts w:cs="Calibri"/>
          <w:b/>
          <w:bCs/>
        </w:rPr>
        <w:t>Q</w:t>
      </w:r>
      <w:r w:rsidRPr="1D93BCA9">
        <w:rPr>
          <w:rFonts w:cs="Calibri"/>
          <w:b/>
          <w:bCs/>
        </w:rPr>
        <w:t>HC Partnership</w:t>
      </w:r>
      <w:r w:rsidRPr="1D93BCA9">
        <w:rPr>
          <w:rFonts w:cs="Calibri"/>
        </w:rPr>
        <w:t xml:space="preserve">: </w:t>
      </w:r>
      <w:r w:rsidR="00A41C83" w:rsidRPr="1D93BCA9">
        <w:rPr>
          <w:rFonts w:cs="Calibri"/>
        </w:rPr>
        <w:t xml:space="preserve">The Applicant will partner with FQHCs that provide care to children who are Medicaid beneficiaries, to provide timely and convenient access to High Acuity Dental Surgeries that are not typically performed at FQHCs. </w:t>
      </w:r>
      <w:r w:rsidR="00A25750" w:rsidRPr="00A25750">
        <w:rPr>
          <w:rFonts w:cs="Calibri"/>
        </w:rPr>
        <w:t>To increase timely and convenient access to High Acuity Dental Surgeries to underserved populations, the Applicant states that it will partner with the following FQHCs : Brookside Community Health Center, CHA Windsor Street Care Center, Charles River Community Health, Fenway Health, Greater Lawrence Family Health Center, Lynn Community Health Center, North Shore Community Health Center, South Boston Community Health Center, South Cove Community Health Center, The Dimock Center, Upham’s Corner Health Center, and Whittier Street Health Center. The Applicant states that it provides and participates in community education initiatives focused on oral health, and that it plans to engage dental offices and FQHCs in its PSA to offer community education programs to their patients.</w:t>
      </w:r>
    </w:p>
    <w:p w14:paraId="3F298979" w14:textId="77777777" w:rsidR="007B35FA" w:rsidRDefault="007B35FA" w:rsidP="00C65DDE">
      <w:pPr>
        <w:rPr>
          <w:rFonts w:cs="Calibri"/>
        </w:rPr>
      </w:pPr>
    </w:p>
    <w:p w14:paraId="5B6D16A1" w14:textId="0FC8B16C" w:rsidR="00B0073A" w:rsidRDefault="00350B21" w:rsidP="00C65DDE">
      <w:pPr>
        <w:rPr>
          <w:rFonts w:cs="Calibri"/>
        </w:rPr>
      </w:pPr>
      <w:r w:rsidRPr="00350B21">
        <w:rPr>
          <w:rFonts w:cs="Calibri"/>
          <w:b/>
          <w:bCs/>
        </w:rPr>
        <w:t>Accessibility</w:t>
      </w:r>
      <w:r>
        <w:rPr>
          <w:rFonts w:cs="Calibri"/>
        </w:rPr>
        <w:t xml:space="preserve">: </w:t>
      </w:r>
      <w:r w:rsidR="005550C0">
        <w:rPr>
          <w:rFonts w:cs="Calibri"/>
        </w:rPr>
        <w:t xml:space="preserve">The Applicant states that it will create a physical and social environment in the </w:t>
      </w:r>
      <w:r w:rsidR="005550C0" w:rsidRPr="00CD4FBD">
        <w:rPr>
          <w:rFonts w:cs="Calibri"/>
        </w:rPr>
        <w:t xml:space="preserve">Center </w:t>
      </w:r>
      <w:r w:rsidR="005550C0">
        <w:rPr>
          <w:rFonts w:cs="Calibri"/>
        </w:rPr>
        <w:lastRenderedPageBreak/>
        <w:t xml:space="preserve">that is focused on its patient population. The Center will be physically accessible, and staff will be trained to assist patients with mobility challenges. </w:t>
      </w:r>
      <w:r w:rsidR="001B177C">
        <w:rPr>
          <w:rFonts w:cs="Calibri"/>
        </w:rPr>
        <w:t xml:space="preserve">The Applicant states that care delivery will be </w:t>
      </w:r>
      <w:r w:rsidR="002F4369">
        <w:rPr>
          <w:rFonts w:cs="Calibri"/>
        </w:rPr>
        <w:t>the</w:t>
      </w:r>
      <w:r w:rsidR="001B177C">
        <w:rPr>
          <w:rFonts w:cs="Calibri"/>
        </w:rPr>
        <w:t xml:space="preserve"> same for all patients, and that the Center’s physical environment is specifically designed for the Application’s patient population</w:t>
      </w:r>
      <w:r w:rsidR="00643F35">
        <w:rPr>
          <w:rFonts w:cs="Calibri"/>
        </w:rPr>
        <w:t>, which includes pediatric patients, and patients with special healthcare needs</w:t>
      </w:r>
      <w:r w:rsidR="001B177C">
        <w:rPr>
          <w:rFonts w:cs="Calibri"/>
        </w:rPr>
        <w:t xml:space="preserve">. </w:t>
      </w:r>
      <w:r w:rsidR="005550C0">
        <w:rPr>
          <w:rFonts w:cs="Calibri"/>
        </w:rPr>
        <w:t xml:space="preserve">The Center’s design will assist with sensory and emotional issues by using larger and quieter spaces with more privacy. </w:t>
      </w:r>
      <w:r w:rsidR="005A54FE">
        <w:rPr>
          <w:rFonts w:cs="Calibri"/>
        </w:rPr>
        <w:t>The Applicant will employ culturally competent staff</w:t>
      </w:r>
      <w:r w:rsidR="001B5AB8">
        <w:rPr>
          <w:rFonts w:cs="Calibri"/>
        </w:rPr>
        <w:t xml:space="preserve"> and staff will be specially trained for interacting with and treating </w:t>
      </w:r>
      <w:r w:rsidR="00664BC9">
        <w:rPr>
          <w:rFonts w:cs="Calibri"/>
        </w:rPr>
        <w:t>the Applicant’s patient population</w:t>
      </w:r>
      <w:r w:rsidR="005A54FE">
        <w:rPr>
          <w:rFonts w:cs="Calibri"/>
        </w:rPr>
        <w:t xml:space="preserve">. </w:t>
      </w:r>
      <w:r w:rsidR="003A501F">
        <w:rPr>
          <w:rFonts w:cs="Calibri"/>
        </w:rPr>
        <w:t xml:space="preserve">The Applicant states that the Center will be centrally located and easily accessible from multiple major highways, and will provide ample free parking. Additionally, the 99 bus stops directly in front of the medical complex, the 132 bus is less than a mile away and connects to the Orange Line, and the Commuter Rail is 1.5 miles away. The Applicant notes that patients who have anesthesia will not be permitted to take public transit post-procedure. </w:t>
      </w:r>
      <w:r w:rsidR="005A54FE">
        <w:rPr>
          <w:rFonts w:cs="Calibri"/>
        </w:rPr>
        <w:t xml:space="preserve">Prior to each scheduled appointment, a patient’s caregiver is asked about transportation arrangements to and from the Center on the day of the High Acuity Surgery. The Applicant works with patients to address their transportation needs, including providing referrals to community resources, </w:t>
      </w:r>
      <w:r w:rsidR="00CB1361">
        <w:rPr>
          <w:rFonts w:cs="Calibri"/>
        </w:rPr>
        <w:t xml:space="preserve">including </w:t>
      </w:r>
      <w:r w:rsidR="00B0073A">
        <w:rPr>
          <w:rFonts w:cs="Calibri"/>
        </w:rPr>
        <w:t>Medicaid transportation services for non-emergency medical appointments</w:t>
      </w:r>
      <w:r w:rsidR="006C2870">
        <w:rPr>
          <w:rFonts w:cs="Calibri"/>
        </w:rPr>
        <w:t xml:space="preserve">, and will utilize transportation assistance, including Uber. </w:t>
      </w:r>
      <w:r w:rsidR="00B0073A">
        <w:rPr>
          <w:rFonts w:cs="Calibri"/>
        </w:rPr>
        <w:t xml:space="preserve"> </w:t>
      </w:r>
    </w:p>
    <w:p w14:paraId="74643499" w14:textId="77777777" w:rsidR="00B0073A" w:rsidRDefault="00B0073A" w:rsidP="00C65DDE">
      <w:pPr>
        <w:rPr>
          <w:rFonts w:cs="Calibri"/>
        </w:rPr>
      </w:pPr>
    </w:p>
    <w:p w14:paraId="2FE644AE" w14:textId="04D3D1B7" w:rsidR="008A78D8" w:rsidRDefault="00350B21" w:rsidP="00C65DDE">
      <w:pPr>
        <w:rPr>
          <w:rFonts w:cs="Calibri"/>
        </w:rPr>
      </w:pPr>
      <w:r w:rsidRPr="00350B21">
        <w:rPr>
          <w:rFonts w:cs="Calibri"/>
          <w:b/>
          <w:bCs/>
        </w:rPr>
        <w:t>Interpreter Services</w:t>
      </w:r>
      <w:r>
        <w:rPr>
          <w:rFonts w:cs="Calibri"/>
        </w:rPr>
        <w:t xml:space="preserve">: </w:t>
      </w:r>
      <w:r w:rsidR="009A342F">
        <w:rPr>
          <w:rFonts w:cs="Calibri"/>
        </w:rPr>
        <w:t xml:space="preserve">Patients will be screened for language-related services prior to the procedure. For all Limited English Proficient (LEP) translation and American Sign Language (ASL) interpretation, services will be provided through qualified language interpretation services providers. </w:t>
      </w:r>
      <w:r w:rsidR="00727F11">
        <w:rPr>
          <w:rFonts w:cs="Calibri"/>
        </w:rPr>
        <w:t>The Applicant states that it uses an interpreter service called Propio, which translate</w:t>
      </w:r>
      <w:r w:rsidR="002A4639">
        <w:rPr>
          <w:rFonts w:cs="Calibri"/>
        </w:rPr>
        <w:t>s</w:t>
      </w:r>
      <w:r w:rsidR="00727F11">
        <w:rPr>
          <w:rFonts w:cs="Calibri"/>
        </w:rPr>
        <w:t xml:space="preserve"> over 300 languages. The Applicant states further that it will use both video</w:t>
      </w:r>
      <w:r w:rsidR="002B7AF6">
        <w:rPr>
          <w:rFonts w:cs="Calibri"/>
        </w:rPr>
        <w:t xml:space="preserve"> and audio functions offered by Proprio. </w:t>
      </w:r>
      <w:r w:rsidR="00EB75AE">
        <w:rPr>
          <w:rFonts w:cs="Calibri"/>
        </w:rPr>
        <w:t xml:space="preserve">The Applicant will provide an in-person interpreter when needed. </w:t>
      </w:r>
      <w:r w:rsidR="009A342F">
        <w:rPr>
          <w:rFonts w:cs="Calibri"/>
        </w:rPr>
        <w:t xml:space="preserve">In-person interpreter services will be provided for patients with hearing impairment. For patients with visual impairment, someone will be available to read printed materials in a location that protects patient privacy. Printed or recorded materials will be provided upon request. </w:t>
      </w:r>
      <w:r w:rsidR="00E14389">
        <w:rPr>
          <w:rFonts w:cs="Calibri"/>
        </w:rPr>
        <w:t xml:space="preserve">Interpreter services will be provided for pre-surgery consultations/examinations. </w:t>
      </w:r>
    </w:p>
    <w:p w14:paraId="1723E41D" w14:textId="77777777" w:rsidR="008A78D8" w:rsidRDefault="008A78D8" w:rsidP="00C65DDE">
      <w:pPr>
        <w:rPr>
          <w:rFonts w:cs="Calibri"/>
        </w:rPr>
      </w:pPr>
    </w:p>
    <w:p w14:paraId="33C48455" w14:textId="6DC56466" w:rsidR="00FD7B18" w:rsidRDefault="00350B21" w:rsidP="005066B5">
      <w:r w:rsidRPr="00350B21">
        <w:rPr>
          <w:b/>
          <w:bCs/>
        </w:rPr>
        <w:t>Affordability</w:t>
      </w:r>
      <w:r>
        <w:t xml:space="preserve">: </w:t>
      </w:r>
      <w:r w:rsidR="008A78D8">
        <w:t xml:space="preserve">The Applicant states that the Proposed Project will support equitable access to High Acuity Dental Surgeries by increasing access to such surgeries in a lower cost setting, thereby increasing affordability for patients. The Applicant cites </w:t>
      </w:r>
      <w:r w:rsidR="008A78D8" w:rsidRPr="005066B5">
        <w:t xml:space="preserve">CHIA’s 2019 Massachusetts Health Insurance </w:t>
      </w:r>
      <w:r w:rsidR="003C3ED3" w:rsidRPr="005066B5">
        <w:t>Survey</w:t>
      </w:r>
      <w:r w:rsidR="00944B7D" w:rsidRPr="005066B5">
        <w:t xml:space="preserve"> </w:t>
      </w:r>
      <w:r w:rsidR="004254DF">
        <w:t xml:space="preserve">which </w:t>
      </w:r>
      <w:r w:rsidR="008A78D8" w:rsidRPr="005066B5">
        <w:t xml:space="preserve">found that </w:t>
      </w:r>
      <w:r w:rsidR="00975631" w:rsidRPr="005066B5">
        <w:t>48.5% of Massachusetts residents reported that their families faced affordability issues</w:t>
      </w:r>
      <w:r w:rsidR="00845C80">
        <w:t>,</w:t>
      </w:r>
      <w:r w:rsidR="00975631" w:rsidRPr="005066B5">
        <w:t xml:space="preserve"> </w:t>
      </w:r>
      <w:r w:rsidR="00593743" w:rsidRPr="005066B5">
        <w:t xml:space="preserve">and </w:t>
      </w:r>
      <w:r w:rsidR="00C868B5" w:rsidRPr="005066B5">
        <w:t xml:space="preserve">Massachusetts residents with lower economic resources or higher </w:t>
      </w:r>
      <w:r w:rsidR="009B2876" w:rsidRPr="005066B5">
        <w:t>healthcare</w:t>
      </w:r>
      <w:r w:rsidR="00C868B5" w:rsidRPr="005066B5">
        <w:t xml:space="preserve"> needs were more likely to report problems paying family medical bills</w:t>
      </w:r>
      <w:r w:rsidR="00A018AB">
        <w:t xml:space="preserve"> in 2019</w:t>
      </w:r>
      <w:r w:rsidR="001460FE" w:rsidRPr="005066B5">
        <w:t>.</w:t>
      </w:r>
      <w:r w:rsidR="00C868B5" w:rsidRPr="005066B5">
        <w:rPr>
          <w:vertAlign w:val="superscript"/>
        </w:rPr>
        <w:endnoteReference w:id="32"/>
      </w:r>
      <w:r w:rsidR="001460FE" w:rsidRPr="005066B5">
        <w:rPr>
          <w:vertAlign w:val="superscript"/>
        </w:rPr>
        <w:t xml:space="preserve"> </w:t>
      </w:r>
      <w:r w:rsidR="005066B5">
        <w:rPr>
          <w:vertAlign w:val="superscript"/>
        </w:rPr>
        <w:t xml:space="preserve"> </w:t>
      </w:r>
      <w:r w:rsidR="00C8616A">
        <w:t>CHIA’s</w:t>
      </w:r>
      <w:r w:rsidR="001460FE">
        <w:t xml:space="preserve"> </w:t>
      </w:r>
      <w:r w:rsidR="007A3730">
        <w:t xml:space="preserve">2025 Survey </w:t>
      </w:r>
      <w:r w:rsidR="001460FE">
        <w:t>states that</w:t>
      </w:r>
      <w:r w:rsidR="001460FE" w:rsidRPr="001460FE">
        <w:t xml:space="preserve"> </w:t>
      </w:r>
      <w:r w:rsidR="00394A1C">
        <w:t>t</w:t>
      </w:r>
      <w:r w:rsidR="00394A1C" w:rsidRPr="00394A1C">
        <w:t xml:space="preserve">he most common types of unmet need for </w:t>
      </w:r>
      <w:r w:rsidR="009B2876">
        <w:t>healthcare</w:t>
      </w:r>
      <w:r w:rsidR="00394A1C" w:rsidRPr="00394A1C">
        <w:t xml:space="preserve"> within the family due to cost were dental care (14.2</w:t>
      </w:r>
      <w:r w:rsidR="00207FB6">
        <w:rPr>
          <w:rFonts w:asciiTheme="minorHAnsi" w:hAnsiTheme="minorHAnsi"/>
        </w:rPr>
        <w:t xml:space="preserve"> percent</w:t>
      </w:r>
      <w:r w:rsidR="00394A1C" w:rsidRPr="00394A1C">
        <w:t>)</w:t>
      </w:r>
      <w:r w:rsidR="00394A1C">
        <w:t>,</w:t>
      </w:r>
      <w:r w:rsidR="00D74D24">
        <w:t xml:space="preserve"> and dental care was one of the most commonly reported</w:t>
      </w:r>
      <w:r w:rsidR="003437C0">
        <w:t xml:space="preserve"> (41.9</w:t>
      </w:r>
      <w:r w:rsidR="00207FB6">
        <w:rPr>
          <w:rFonts w:asciiTheme="minorHAnsi" w:hAnsiTheme="minorHAnsi"/>
        </w:rPr>
        <w:t xml:space="preserve"> percent</w:t>
      </w:r>
      <w:r w:rsidR="003437C0">
        <w:t>)</w:t>
      </w:r>
      <w:r w:rsidR="00D74D24">
        <w:t xml:space="preserve"> </w:t>
      </w:r>
      <w:r w:rsidR="001301F6">
        <w:t>services</w:t>
      </w:r>
      <w:r w:rsidR="000E4B8A">
        <w:t xml:space="preserve"> </w:t>
      </w:r>
      <w:r w:rsidR="003437C0">
        <w:t>(</w:t>
      </w:r>
      <w:r w:rsidR="000E4B8A">
        <w:t>second after medical test o</w:t>
      </w:r>
      <w:r w:rsidR="005E764B">
        <w:t>r</w:t>
      </w:r>
      <w:r w:rsidR="000E4B8A">
        <w:t xml:space="preserve"> procedure, which was 49.2</w:t>
      </w:r>
      <w:r w:rsidR="00207FB6">
        <w:rPr>
          <w:rFonts w:asciiTheme="minorHAnsi" w:hAnsiTheme="minorHAnsi"/>
        </w:rPr>
        <w:t xml:space="preserve"> percent</w:t>
      </w:r>
      <w:r w:rsidR="000E4B8A">
        <w:t>)</w:t>
      </w:r>
      <w:r w:rsidR="001301F6">
        <w:t xml:space="preserve"> that lead to problems paying family medical bills</w:t>
      </w:r>
      <w:r w:rsidR="009F2022">
        <w:t>.</w:t>
      </w:r>
      <w:r w:rsidR="009F2022">
        <w:rPr>
          <w:rStyle w:val="EndnoteReference"/>
          <w:rFonts w:cs="Calibri"/>
        </w:rPr>
        <w:endnoteReference w:id="33"/>
      </w:r>
      <w:r w:rsidR="001301F6">
        <w:t xml:space="preserve"> </w:t>
      </w:r>
      <w:r w:rsidR="0032018B">
        <w:t>The</w:t>
      </w:r>
      <w:r w:rsidR="008A78D8">
        <w:t xml:space="preserve"> HPC</w:t>
      </w:r>
      <w:r w:rsidR="0032018B">
        <w:t xml:space="preserve">’s </w:t>
      </w:r>
      <w:r w:rsidR="00D825EC">
        <w:t xml:space="preserve">2021 Annual </w:t>
      </w:r>
      <w:r w:rsidR="009B2876">
        <w:t>Healthcare</w:t>
      </w:r>
      <w:r w:rsidR="00D825EC">
        <w:t xml:space="preserve"> Cost Trends Report </w:t>
      </w:r>
      <w:r w:rsidR="00090A4B">
        <w:t xml:space="preserve">stated </w:t>
      </w:r>
      <w:r w:rsidR="008A78D8">
        <w:t xml:space="preserve">that </w:t>
      </w:r>
      <w:r w:rsidR="00090A4B">
        <w:t xml:space="preserve">a greater percentage of </w:t>
      </w:r>
      <w:r w:rsidR="008A78D8">
        <w:t>lower-income</w:t>
      </w:r>
      <w:r w:rsidR="005274E6">
        <w:t xml:space="preserve"> commercially insured adults (31.4</w:t>
      </w:r>
      <w:r w:rsidR="00207FB6">
        <w:rPr>
          <w:rFonts w:asciiTheme="minorHAnsi" w:hAnsiTheme="minorHAnsi"/>
        </w:rPr>
        <w:t xml:space="preserve"> percent</w:t>
      </w:r>
      <w:r w:rsidR="005274E6">
        <w:t xml:space="preserve">) went without needed care because of cost than </w:t>
      </w:r>
      <w:r w:rsidR="00026596">
        <w:t>higher-income commercially insured adults (23.1</w:t>
      </w:r>
      <w:r w:rsidR="00207FB6">
        <w:rPr>
          <w:rFonts w:asciiTheme="minorHAnsi" w:hAnsiTheme="minorHAnsi"/>
        </w:rPr>
        <w:t xml:space="preserve"> percent</w:t>
      </w:r>
      <w:r w:rsidR="00026596">
        <w:t>)</w:t>
      </w:r>
      <w:r w:rsidR="008A78D8">
        <w:t>.</w:t>
      </w:r>
      <w:r w:rsidR="00026596">
        <w:rPr>
          <w:rStyle w:val="EndnoteReference"/>
          <w:rFonts w:cs="Calibri"/>
        </w:rPr>
        <w:endnoteReference w:id="34"/>
      </w:r>
      <w:r w:rsidR="008A78D8">
        <w:t xml:space="preserve"> </w:t>
      </w:r>
      <w:r w:rsidR="00726CE2">
        <w:t xml:space="preserve">The Applicant states that mobile anesthesia providers used by dental offices typically don’t participate in Medicaid, so patients pay for the anesthesia out-of-pocket. The Applicant states that </w:t>
      </w:r>
      <w:r w:rsidR="004A40F3">
        <w:t xml:space="preserve">patients typically have lower out-of-pocket cost sharing for High Acuity Dental Surgeries performed in an ASC. </w:t>
      </w:r>
    </w:p>
    <w:p w14:paraId="72A3529D" w14:textId="77777777" w:rsidR="00FD7B18" w:rsidRDefault="00FD7B18" w:rsidP="00C65DDE">
      <w:pPr>
        <w:rPr>
          <w:rFonts w:cs="Calibri"/>
        </w:rPr>
      </w:pPr>
    </w:p>
    <w:p w14:paraId="0507A6F4" w14:textId="75751EE4" w:rsidR="007B61BA" w:rsidRDefault="00FD7B18" w:rsidP="00C65DDE">
      <w:pPr>
        <w:rPr>
          <w:rFonts w:cs="Calibri"/>
        </w:rPr>
      </w:pPr>
      <w:r w:rsidRPr="1D93BCA9">
        <w:rPr>
          <w:rFonts w:cs="Calibri"/>
        </w:rPr>
        <w:t xml:space="preserve">The Applicant plans to explore affiliations with MassHealth ACOs, SCOs, and OneCare plans to strengthen care coordination for pediatric patients with special </w:t>
      </w:r>
      <w:r w:rsidR="00952E9F" w:rsidRPr="1D93BCA9">
        <w:rPr>
          <w:rFonts w:cs="Calibri"/>
        </w:rPr>
        <w:t xml:space="preserve">and complex medical </w:t>
      </w:r>
      <w:r w:rsidRPr="1D93BCA9">
        <w:rPr>
          <w:rFonts w:cs="Calibri"/>
        </w:rPr>
        <w:t xml:space="preserve">needs. </w:t>
      </w:r>
      <w:r w:rsidR="004A40F3" w:rsidRPr="1D93BCA9">
        <w:rPr>
          <w:rFonts w:cs="Calibri"/>
        </w:rPr>
        <w:t xml:space="preserve">The Applicant has a financial assistance policy and works with patients who may have difficulty paying for services. </w:t>
      </w:r>
      <w:r w:rsidR="00973059" w:rsidRPr="1D93BCA9">
        <w:rPr>
          <w:rFonts w:cs="Calibri"/>
        </w:rPr>
        <w:t>The Applicant states that it will accept all insurance including Medicare, Medicaid, and commercial plans; for out-of-pocket expenses not covered by insurance, the Applicant will collect half of the cost up fro</w:t>
      </w:r>
      <w:r w:rsidR="201A4FAF" w:rsidRPr="1D93BCA9">
        <w:rPr>
          <w:rFonts w:cs="Calibri"/>
        </w:rPr>
        <w:t>nt</w:t>
      </w:r>
      <w:r w:rsidR="00973059" w:rsidRPr="1D93BCA9">
        <w:rPr>
          <w:rFonts w:cs="Calibri"/>
        </w:rPr>
        <w:t xml:space="preserve"> and allow the </w:t>
      </w:r>
      <w:r w:rsidR="77AE292F" w:rsidRPr="1D93BCA9">
        <w:rPr>
          <w:rFonts w:cs="Calibri"/>
        </w:rPr>
        <w:t>remainder</w:t>
      </w:r>
      <w:r w:rsidR="00973059" w:rsidRPr="1D93BCA9">
        <w:rPr>
          <w:rFonts w:cs="Calibri"/>
        </w:rPr>
        <w:t xml:space="preserve"> to be paid over a three-month period. The Applicant states that it does not engage collection agencies for nonpayment of outstanding balances. </w:t>
      </w:r>
    </w:p>
    <w:p w14:paraId="42DBC9D1" w14:textId="77777777" w:rsidR="009079DF" w:rsidRDefault="009079DF" w:rsidP="00C65DDE">
      <w:pPr>
        <w:rPr>
          <w:rFonts w:cs="Calibri"/>
        </w:rPr>
      </w:pPr>
    </w:p>
    <w:p w14:paraId="4F867B59" w14:textId="77777777" w:rsidR="00A63397" w:rsidRDefault="00E04133" w:rsidP="00C316C3">
      <w:pPr>
        <w:rPr>
          <w:rFonts w:asciiTheme="minorHAnsi" w:hAnsiTheme="minorHAnsi"/>
          <w:b/>
          <w:bCs/>
          <w:i/>
          <w:iCs/>
        </w:rPr>
      </w:pPr>
      <w:r w:rsidRPr="00B517EA">
        <w:rPr>
          <w:rFonts w:asciiTheme="minorHAnsi" w:hAnsiTheme="minorHAnsi"/>
          <w:b/>
          <w:bCs/>
          <w:i/>
          <w:iCs/>
        </w:rPr>
        <w:t>Analysis</w:t>
      </w:r>
      <w:r w:rsidR="00303C0E" w:rsidRPr="00B517EA">
        <w:rPr>
          <w:rFonts w:asciiTheme="minorHAnsi" w:hAnsiTheme="minorHAnsi"/>
          <w:b/>
          <w:bCs/>
          <w:i/>
          <w:iCs/>
        </w:rPr>
        <w:t>:</w:t>
      </w:r>
      <w:r w:rsidRPr="00B517EA">
        <w:rPr>
          <w:rFonts w:asciiTheme="minorHAnsi" w:hAnsiTheme="minorHAnsi"/>
          <w:b/>
          <w:bCs/>
          <w:i/>
          <w:iCs/>
        </w:rPr>
        <w:t xml:space="preserve"> Health Equity </w:t>
      </w:r>
      <w:bookmarkStart w:id="7" w:name="Factor_1:_c)_Efficiency,_Continuity_of_C"/>
      <w:bookmarkEnd w:id="7"/>
    </w:p>
    <w:p w14:paraId="6923BEF4" w14:textId="292F0951" w:rsidR="00F90CBB" w:rsidRPr="00A63397" w:rsidRDefault="1C48E955" w:rsidP="1D93BCA9">
      <w:pPr>
        <w:rPr>
          <w:rFonts w:asciiTheme="minorHAnsi" w:hAnsiTheme="minorHAnsi"/>
          <w:b/>
          <w:bCs/>
          <w:i/>
          <w:iCs/>
        </w:rPr>
      </w:pPr>
      <w:r>
        <w:t>Staff finds that</w:t>
      </w:r>
      <w:r w:rsidR="67DFE0D9">
        <w:t xml:space="preserve"> </w:t>
      </w:r>
      <w:r>
        <w:t xml:space="preserve">the Applicant sufficiently demonstrated </w:t>
      </w:r>
      <w:r w:rsidR="5A06DAFF">
        <w:t xml:space="preserve">reasonable </w:t>
      </w:r>
      <w:r>
        <w:t xml:space="preserve">efforts to </w:t>
      </w:r>
      <w:r w:rsidR="44715C06">
        <w:t>provide</w:t>
      </w:r>
      <w:r w:rsidR="4AAD2A96">
        <w:t xml:space="preserve"> equitable access to</w:t>
      </w:r>
      <w:r w:rsidR="00352585">
        <w:t xml:space="preserve"> the Center’s</w:t>
      </w:r>
      <w:r w:rsidR="4AAD2A96">
        <w:t xml:space="preserve"> services</w:t>
      </w:r>
      <w:r w:rsidR="00961CF2">
        <w:t xml:space="preserve"> and reduce barriers to accessing High Acuity Dental Surgeries</w:t>
      </w:r>
      <w:r w:rsidR="68D4EB06">
        <w:t xml:space="preserve"> through provision</w:t>
      </w:r>
      <w:r w:rsidR="00961CF2">
        <w:t xml:space="preserve"> in the ASC setting</w:t>
      </w:r>
      <w:r>
        <w:t xml:space="preserve">. As a result, Staff finds that </w:t>
      </w:r>
      <w:r w:rsidR="0069170E">
        <w:t>with the “Other Conditions” listed below regarding the Applicant’s Medicaid participation</w:t>
      </w:r>
      <w:r w:rsidR="00E43C6B">
        <w:t>, FQHC partnerships</w:t>
      </w:r>
      <w:r w:rsidR="002E36AC">
        <w:t xml:space="preserve"> and annual reporting on the Center’s patients</w:t>
      </w:r>
      <w:r w:rsidR="0069170E">
        <w:t xml:space="preserve">, </w:t>
      </w:r>
      <w:r>
        <w:t>the Applicant meets the requirements of the Public Health Value: Health Equity part of Factor 1b.</w:t>
      </w:r>
    </w:p>
    <w:p w14:paraId="364FCEC6" w14:textId="77777777" w:rsidR="00EF0836" w:rsidRPr="00F90CBB" w:rsidRDefault="00EF0836" w:rsidP="00C316C3"/>
    <w:p w14:paraId="4D6A5DD0" w14:textId="18456510" w:rsidR="006B4691" w:rsidRDefault="00A4110F" w:rsidP="00923435">
      <w:pPr>
        <w:pStyle w:val="Heading2"/>
      </w:pPr>
      <w:bookmarkStart w:id="8" w:name="_Toc241131189"/>
      <w:r w:rsidRPr="003436F0">
        <w:t>Factor 1: c) Efficiency, Continuity of Care, Coordination of Care</w:t>
      </w:r>
      <w:bookmarkEnd w:id="8"/>
    </w:p>
    <w:p w14:paraId="5A0A049C" w14:textId="0C851EE7" w:rsidR="00350B21" w:rsidRDefault="49701A81" w:rsidP="00532063">
      <w:r>
        <w:t xml:space="preserve">The Applicant states that the Proposed Project will operate efficiently and effectively by </w:t>
      </w:r>
      <w:r w:rsidR="00483333">
        <w:t xml:space="preserve">ensuring that the relationship between the </w:t>
      </w:r>
      <w:r w:rsidR="001507C8">
        <w:t>Center</w:t>
      </w:r>
      <w:r w:rsidR="00483333">
        <w:t xml:space="preserve"> and the patient’s main dental home is seamless. </w:t>
      </w:r>
      <w:r w:rsidR="00C763EB" w:rsidRPr="00C763EB">
        <w:t>The dental home</w:t>
      </w:r>
      <w:r w:rsidR="00396782">
        <w:t xml:space="preserve"> is</w:t>
      </w:r>
      <w:r w:rsidR="00C763EB" w:rsidRPr="00C763EB">
        <w:t xml:space="preserve"> defined as a place where children and families obtain “accessible, continuous, comprehensive, family centered, coordinated, compassionate, and culturally effective medical care”, with a key aspect being care coordination between dental and medical providers.</w:t>
      </w:r>
      <w:r w:rsidR="00C763EB" w:rsidRPr="00C763EB">
        <w:rPr>
          <w:vertAlign w:val="superscript"/>
        </w:rPr>
        <w:endnoteReference w:id="35"/>
      </w:r>
      <w:r w:rsidR="00C763EB" w:rsidRPr="00C763EB">
        <w:t xml:space="preserve"> </w:t>
      </w:r>
    </w:p>
    <w:p w14:paraId="6C9F5346" w14:textId="77777777" w:rsidR="00350B21" w:rsidRDefault="00350B21" w:rsidP="00532063"/>
    <w:p w14:paraId="49C9BECD" w14:textId="7B42446B" w:rsidR="00F65A17" w:rsidRDefault="00A056C0" w:rsidP="00532063">
      <w:r>
        <w:t xml:space="preserve">The Applicant described what </w:t>
      </w:r>
      <w:r w:rsidR="00E566AD">
        <w:t xml:space="preserve">they </w:t>
      </w:r>
      <w:r>
        <w:t xml:space="preserve">call an </w:t>
      </w:r>
      <w:r w:rsidR="001732D5">
        <w:t>“</w:t>
      </w:r>
      <w:r>
        <w:t>efficient model</w:t>
      </w:r>
      <w:r w:rsidR="001732D5">
        <w:t>”</w:t>
      </w:r>
      <w:r>
        <w:t xml:space="preserve"> for achieving continuity and coordination of care. Patients start with </w:t>
      </w:r>
      <w:r w:rsidR="00263D2A">
        <w:t>a</w:t>
      </w:r>
      <w:r>
        <w:t xml:space="preserve"> referral from the patient’s medical dental home to the Applicant, which can occur through the Applicant’s website, a custom referral link, a faxed referral form or a phone call</w:t>
      </w:r>
      <w:r w:rsidR="00884670">
        <w:t>. W</w:t>
      </w:r>
      <w:r>
        <w:t>ithin 24 hours of the referral the Applicant calls the patient, schedules a pre-treatment exam that is completed by dentists in a practice affiliated with the Applicant, in the same complex. This exam is intended to</w:t>
      </w:r>
      <w:r w:rsidDel="00263E13">
        <w:t xml:space="preserve"> </w:t>
      </w:r>
      <w:r w:rsidR="00263E13">
        <w:t xml:space="preserve">establish the medical necessity of </w:t>
      </w:r>
      <w:r>
        <w:t xml:space="preserve">High Acuity Dental Surgery. The treating dentist will establish a treatment plan at the exam and schedule the surgery. On the day of surgery, the patient is treated </w:t>
      </w:r>
      <w:r w:rsidR="001732D5">
        <w:t xml:space="preserve">in </w:t>
      </w:r>
      <w:r>
        <w:t>a pediatric focused, accredited ASC. Patients are sent back to their dental home after surgery. Post-treatment information is delivered to the patient’s dental home after surgery.</w:t>
      </w:r>
      <w:r w:rsidR="006A2A34">
        <w:t xml:space="preserve"> The Applicant states that less than 1</w:t>
      </w:r>
      <w:r w:rsidR="00207FB6">
        <w:rPr>
          <w:rFonts w:asciiTheme="minorHAnsi" w:hAnsiTheme="minorHAnsi"/>
        </w:rPr>
        <w:t xml:space="preserve"> percent</w:t>
      </w:r>
      <w:r w:rsidR="006A2A34">
        <w:t xml:space="preserve"> of patients experience complications after surgery, and when that does occur, the Applicant will have the patient come back to the ASC for follow-up treatment.</w:t>
      </w:r>
      <w:r w:rsidR="000426D0">
        <w:t xml:space="preserve"> </w:t>
      </w:r>
      <w:r>
        <w:t>The Applicant states that its affiliated dentists doing the surgery do not provide ongoing care to referred patients. Each ASC’s Chief Dental Officer and Chief Medical Officer oversee monthly chart reviews to ensure appropriate documentation and care</w:t>
      </w:r>
      <w:r w:rsidR="006A2A34">
        <w:t>.</w:t>
      </w:r>
    </w:p>
    <w:p w14:paraId="514BEFD5" w14:textId="77777777" w:rsidR="00A056C0" w:rsidRDefault="00A056C0" w:rsidP="00532063"/>
    <w:p w14:paraId="22AB510D" w14:textId="2C86694F" w:rsidR="00D6746F" w:rsidRDefault="00451EAD" w:rsidP="004E388D">
      <w:r>
        <w:t xml:space="preserve">The Applicant states that dental </w:t>
      </w:r>
      <w:r w:rsidR="00AF3F4F">
        <w:t>office</w:t>
      </w:r>
      <w:r w:rsidR="00C8510B">
        <w:t>s</w:t>
      </w:r>
      <w:r w:rsidR="00AF3F4F">
        <w:t xml:space="preserve"> use a </w:t>
      </w:r>
      <w:r w:rsidR="007B4862">
        <w:t>variety</w:t>
      </w:r>
      <w:r w:rsidR="00AF3F4F">
        <w:t xml:space="preserve"> of </w:t>
      </w:r>
      <w:r w:rsidR="00962209">
        <w:t xml:space="preserve">dental electronic medical records (EMRs) </w:t>
      </w:r>
      <w:r w:rsidR="00AF3F4F">
        <w:t>and that these EM</w:t>
      </w:r>
      <w:r w:rsidR="00C8510B">
        <w:t>R</w:t>
      </w:r>
      <w:r w:rsidR="00AF3F4F">
        <w:t xml:space="preserve">s </w:t>
      </w:r>
      <w:r w:rsidR="00962209">
        <w:t xml:space="preserve">have not been designed to be interoperable, and </w:t>
      </w:r>
      <w:r>
        <w:t xml:space="preserve">do not have the same interoperability requirements as other </w:t>
      </w:r>
      <w:r w:rsidR="00C8510B">
        <w:t xml:space="preserve">healthcare </w:t>
      </w:r>
      <w:r>
        <w:t xml:space="preserve">providers. </w:t>
      </w:r>
      <w:r w:rsidR="00AF1165">
        <w:t>The Applicant</w:t>
      </w:r>
      <w:r w:rsidR="00F7525E">
        <w:t xml:space="preserve"> </w:t>
      </w:r>
      <w:r w:rsidR="00AF1165" w:rsidRPr="00AF1165">
        <w:t>uses one portal that will provide consistent, organized, and efficient communication between providers and the Center</w:t>
      </w:r>
      <w:r w:rsidR="00E05164">
        <w:t xml:space="preserve">, and </w:t>
      </w:r>
      <w:r w:rsidR="00E05164">
        <w:lastRenderedPageBreak/>
        <w:t xml:space="preserve">that will help </w:t>
      </w:r>
      <w:r w:rsidR="00AF1165" w:rsidRPr="00AF1165">
        <w:t>to reduce the administrative burden of records between providers.</w:t>
      </w:r>
      <w:r w:rsidR="00AF1165">
        <w:t xml:space="preserve"> </w:t>
      </w:r>
      <w:r w:rsidR="00F53A99">
        <w:t>The Applicant’s EMR</w:t>
      </w:r>
      <w:r w:rsidR="007E6276">
        <w:t>, Open Dental,</w:t>
      </w:r>
      <w:r w:rsidR="00F53A99">
        <w:t xml:space="preserve"> is cloud-based, and accessible through the internet. Providers are able to access their patients’ records post-procedure, in a number of ways, though this EMR. In addition, providers can log into the Applicant’s EMR directly, where they can add/edit patients, upload documents, and download records. The Applicant is also able to generate a copy of the record in PDF format to share with a provider that does not want to use the Applicant’s EMR portal.</w:t>
      </w:r>
      <w:r>
        <w:t xml:space="preserve"> </w:t>
      </w:r>
    </w:p>
    <w:p w14:paraId="7105FE55" w14:textId="77777777" w:rsidR="000271CA" w:rsidRDefault="000271CA" w:rsidP="00C316C3">
      <w:pPr>
        <w:tabs>
          <w:tab w:val="left" w:pos="1390"/>
        </w:tabs>
        <w:rPr>
          <w:rFonts w:asciiTheme="minorHAnsi" w:hAnsiTheme="minorHAnsi"/>
          <w:b/>
          <w:bCs/>
          <w:i/>
          <w:iCs/>
        </w:rPr>
      </w:pPr>
    </w:p>
    <w:p w14:paraId="550AD8B9" w14:textId="0A1F622D" w:rsidR="00B447F3" w:rsidRDefault="00A4110F" w:rsidP="00C316C3">
      <w:pPr>
        <w:tabs>
          <w:tab w:val="left" w:pos="1390"/>
        </w:tabs>
        <w:rPr>
          <w:rFonts w:asciiTheme="minorHAnsi" w:hAnsiTheme="minorHAnsi"/>
          <w:b/>
          <w:bCs/>
          <w:i/>
          <w:iCs/>
        </w:rPr>
      </w:pPr>
      <w:r w:rsidRPr="00F06B37">
        <w:rPr>
          <w:rFonts w:asciiTheme="minorHAnsi" w:hAnsiTheme="minorHAnsi"/>
          <w:b/>
          <w:bCs/>
          <w:i/>
          <w:iCs/>
        </w:rPr>
        <w:t>Analysis</w:t>
      </w:r>
      <w:r w:rsidR="0064204E">
        <w:rPr>
          <w:rFonts w:asciiTheme="minorHAnsi" w:hAnsiTheme="minorHAnsi"/>
          <w:b/>
          <w:bCs/>
          <w:i/>
          <w:iCs/>
        </w:rPr>
        <w:tab/>
      </w:r>
    </w:p>
    <w:p w14:paraId="77887A9C" w14:textId="551DB717" w:rsidR="00006497" w:rsidRDefault="00921F22" w:rsidP="005823A5">
      <w:pPr>
        <w:rPr>
          <w:rFonts w:asciiTheme="minorHAnsi" w:hAnsiTheme="minorHAnsi"/>
        </w:rPr>
      </w:pPr>
      <w:r w:rsidRPr="00921F22">
        <w:rPr>
          <w:rFonts w:asciiTheme="minorHAnsi" w:hAnsiTheme="minorHAnsi"/>
        </w:rPr>
        <w:t>Staff finds that</w:t>
      </w:r>
      <w:r w:rsidR="00225C77" w:rsidRPr="00225C77">
        <w:t xml:space="preserve"> </w:t>
      </w:r>
      <w:r w:rsidR="00225C77">
        <w:t xml:space="preserve">the Applicant’s </w:t>
      </w:r>
      <w:r w:rsidR="00225C77" w:rsidRPr="00225C77">
        <w:rPr>
          <w:rFonts w:asciiTheme="minorHAnsi" w:hAnsiTheme="minorHAnsi"/>
        </w:rPr>
        <w:t>care coordination will continue to contribute to efficiency and continuity,</w:t>
      </w:r>
      <w:r w:rsidR="00225C77">
        <w:rPr>
          <w:rFonts w:asciiTheme="minorHAnsi" w:hAnsiTheme="minorHAnsi"/>
        </w:rPr>
        <w:t xml:space="preserve"> </w:t>
      </w:r>
      <w:r w:rsidR="00225C77" w:rsidRPr="00225C77">
        <w:rPr>
          <w:rFonts w:asciiTheme="minorHAnsi" w:hAnsiTheme="minorHAnsi"/>
        </w:rPr>
        <w:t>and coordination of care</w:t>
      </w:r>
      <w:r w:rsidR="00225C77">
        <w:rPr>
          <w:rFonts w:asciiTheme="minorHAnsi" w:hAnsiTheme="minorHAnsi"/>
        </w:rPr>
        <w:t xml:space="preserve"> for the Applicant’s Patient Panel</w:t>
      </w:r>
      <w:r>
        <w:rPr>
          <w:rFonts w:asciiTheme="minorHAnsi" w:hAnsiTheme="minorHAnsi"/>
        </w:rPr>
        <w:t xml:space="preserve">. </w:t>
      </w:r>
      <w:r w:rsidR="005823A5" w:rsidRPr="005823A5">
        <w:rPr>
          <w:rFonts w:asciiTheme="minorHAnsi" w:hAnsiTheme="minorHAnsi"/>
        </w:rPr>
        <w:t>The Applicant demonstrated appropriate sharing of patient records as well</w:t>
      </w:r>
      <w:r w:rsidR="005823A5">
        <w:rPr>
          <w:rFonts w:asciiTheme="minorHAnsi" w:hAnsiTheme="minorHAnsi"/>
        </w:rPr>
        <w:t xml:space="preserve"> </w:t>
      </w:r>
      <w:r w:rsidR="005823A5" w:rsidRPr="005823A5">
        <w:rPr>
          <w:rFonts w:asciiTheme="minorHAnsi" w:hAnsiTheme="minorHAnsi"/>
        </w:rPr>
        <w:t>as communication with patients and providers to track patient progress and to promote better</w:t>
      </w:r>
      <w:r w:rsidR="005823A5">
        <w:rPr>
          <w:rFonts w:asciiTheme="minorHAnsi" w:hAnsiTheme="minorHAnsi"/>
        </w:rPr>
        <w:t xml:space="preserve"> </w:t>
      </w:r>
      <w:r w:rsidR="005823A5" w:rsidRPr="005823A5">
        <w:rPr>
          <w:rFonts w:asciiTheme="minorHAnsi" w:hAnsiTheme="minorHAnsi"/>
        </w:rPr>
        <w:t xml:space="preserve">health outcomes. </w:t>
      </w:r>
      <w:r w:rsidR="00006497" w:rsidRPr="00006497">
        <w:rPr>
          <w:rFonts w:asciiTheme="minorHAnsi" w:hAnsiTheme="minorHAnsi"/>
        </w:rPr>
        <w:t>As a result, Staff finds that the Proposed Project meets the requirements of Factor 1c.</w:t>
      </w:r>
    </w:p>
    <w:p w14:paraId="47753AFA" w14:textId="77777777" w:rsidR="009758DC" w:rsidRDefault="009758DC" w:rsidP="00C316C3">
      <w:pPr>
        <w:rPr>
          <w:rFonts w:asciiTheme="minorHAnsi" w:hAnsiTheme="minorHAnsi"/>
        </w:rPr>
      </w:pPr>
    </w:p>
    <w:p w14:paraId="51996762" w14:textId="77777777" w:rsidR="00C30A67" w:rsidRPr="00006497" w:rsidRDefault="00C30A67" w:rsidP="00C316C3">
      <w:pPr>
        <w:rPr>
          <w:rFonts w:asciiTheme="minorHAnsi" w:hAnsiTheme="minorHAnsi"/>
        </w:rPr>
      </w:pPr>
    </w:p>
    <w:p w14:paraId="1C366B98" w14:textId="4A874E8F" w:rsidR="00B447F3" w:rsidRPr="003436F0" w:rsidRDefault="00A4110F" w:rsidP="00923435">
      <w:pPr>
        <w:pStyle w:val="Heading2"/>
      </w:pPr>
      <w:bookmarkStart w:id="9" w:name="Factor_1:_d)_Consultation"/>
      <w:bookmarkStart w:id="10" w:name="_Toc241131190"/>
      <w:bookmarkEnd w:id="9"/>
      <w:r w:rsidRPr="003436F0">
        <w:t>Factor 1: d) Consultation</w:t>
      </w:r>
      <w:bookmarkEnd w:id="10"/>
    </w:p>
    <w:p w14:paraId="6ECA67A1" w14:textId="77777777" w:rsidR="00B447F3" w:rsidRDefault="00A4110F" w:rsidP="00C316C3">
      <w:pPr>
        <w:pStyle w:val="BodyText"/>
        <w:ind w:right="484"/>
        <w:jc w:val="both"/>
        <w:rPr>
          <w:rFonts w:asciiTheme="minorHAnsi" w:hAnsiTheme="minorHAnsi"/>
        </w:rPr>
      </w:pPr>
      <w:r w:rsidRPr="003436F0">
        <w:rPr>
          <w:rFonts w:asciiTheme="minorHAnsi" w:hAnsiTheme="minorHAnsi"/>
        </w:rPr>
        <w:t>The Applicant has provided evidence of consultation, both prior to and after the Filing Date, with all government agencies that have licensure, certification, or other regulatory oversight, which has been done and will not be addressed further in this report.</w:t>
      </w:r>
    </w:p>
    <w:p w14:paraId="382D4CD2" w14:textId="77777777" w:rsidR="00350EC1" w:rsidRDefault="00350EC1" w:rsidP="004A66E5"/>
    <w:p w14:paraId="3BE4534C" w14:textId="6B11C073" w:rsidR="00B447F3" w:rsidRPr="003436F0" w:rsidRDefault="00A4110F" w:rsidP="00923435">
      <w:pPr>
        <w:pStyle w:val="Heading2"/>
      </w:pPr>
      <w:bookmarkStart w:id="11" w:name="Factor_1:_e)_Evidence_of_Sound_Community"/>
      <w:bookmarkStart w:id="12" w:name="_Toc241131191"/>
      <w:bookmarkEnd w:id="11"/>
      <w:r w:rsidRPr="003436F0">
        <w:t>Factor 1: e) Evidence of Sound Community Engagement through the Patient Panel</w:t>
      </w:r>
      <w:bookmarkEnd w:id="12"/>
    </w:p>
    <w:p w14:paraId="141CD647" w14:textId="77777777" w:rsidR="00232313" w:rsidRDefault="00232313" w:rsidP="00C316C3">
      <w:pPr>
        <w:pStyle w:val="BodyText"/>
        <w:ind w:right="259"/>
        <w:rPr>
          <w:rFonts w:asciiTheme="minorHAnsi" w:hAnsiTheme="minorHAnsi"/>
        </w:rPr>
      </w:pPr>
    </w:p>
    <w:p w14:paraId="415C51CB" w14:textId="639688C6" w:rsidR="00B447F3" w:rsidRDefault="00A4110F" w:rsidP="00C316C3">
      <w:pPr>
        <w:pStyle w:val="BodyText"/>
        <w:ind w:right="259"/>
        <w:rPr>
          <w:rFonts w:asciiTheme="minorHAnsi" w:hAnsiTheme="minorHAnsi"/>
          <w:position w:val="10"/>
          <w:sz w:val="14"/>
          <w:szCs w:val="14"/>
        </w:rPr>
      </w:pPr>
      <w:r w:rsidRPr="0162C5FD">
        <w:rPr>
          <w:rFonts w:asciiTheme="minorHAnsi" w:hAnsiTheme="minorHAnsi"/>
        </w:rPr>
        <w:t>The Department’s Guideline</w:t>
      </w:r>
      <w:r w:rsidRPr="0162C5FD">
        <w:rPr>
          <w:rFonts w:asciiTheme="minorHAnsi" w:hAnsiTheme="minorHAnsi"/>
          <w:position w:val="10"/>
          <w:sz w:val="14"/>
          <w:szCs w:val="14"/>
        </w:rPr>
        <w:t xml:space="preserve"> </w:t>
      </w:r>
      <w:r w:rsidRPr="0162C5FD">
        <w:rPr>
          <w:rFonts w:asciiTheme="minorHAnsi" w:hAnsiTheme="minorHAnsi"/>
        </w:rPr>
        <w:t>for community engagement defines “community” as the Patient Panel,</w:t>
      </w:r>
      <w:r w:rsidRPr="0162C5FD">
        <w:rPr>
          <w:rFonts w:asciiTheme="minorHAnsi" w:hAnsiTheme="minorHAnsi"/>
          <w:spacing w:val="-3"/>
        </w:rPr>
        <w:t xml:space="preserve"> </w:t>
      </w:r>
      <w:r w:rsidRPr="0162C5FD">
        <w:rPr>
          <w:rFonts w:asciiTheme="minorHAnsi" w:hAnsiTheme="minorHAnsi"/>
        </w:rPr>
        <w:t>and</w:t>
      </w:r>
      <w:r w:rsidRPr="0162C5FD">
        <w:rPr>
          <w:rFonts w:asciiTheme="minorHAnsi" w:hAnsiTheme="minorHAnsi"/>
          <w:spacing w:val="-4"/>
        </w:rPr>
        <w:t xml:space="preserve"> </w:t>
      </w:r>
      <w:r w:rsidRPr="0162C5FD">
        <w:rPr>
          <w:rFonts w:asciiTheme="minorHAnsi" w:hAnsiTheme="minorHAnsi"/>
        </w:rPr>
        <w:t>requires</w:t>
      </w:r>
      <w:r w:rsidRPr="0162C5FD">
        <w:rPr>
          <w:rFonts w:asciiTheme="minorHAnsi" w:hAnsiTheme="minorHAnsi"/>
          <w:spacing w:val="-4"/>
        </w:rPr>
        <w:t xml:space="preserve"> </w:t>
      </w:r>
      <w:r w:rsidRPr="0162C5FD">
        <w:rPr>
          <w:rFonts w:asciiTheme="minorHAnsi" w:hAnsiTheme="minorHAnsi"/>
        </w:rPr>
        <w:t>that</w:t>
      </w:r>
      <w:r w:rsidRPr="0162C5FD">
        <w:rPr>
          <w:rFonts w:asciiTheme="minorHAnsi" w:hAnsiTheme="minorHAnsi"/>
          <w:spacing w:val="-4"/>
        </w:rPr>
        <w:t xml:space="preserve"> </w:t>
      </w:r>
      <w:r w:rsidRPr="0162C5FD">
        <w:rPr>
          <w:rFonts w:asciiTheme="minorHAnsi" w:hAnsiTheme="minorHAnsi"/>
        </w:rPr>
        <w:t>at</w:t>
      </w:r>
      <w:r w:rsidRPr="0162C5FD">
        <w:rPr>
          <w:rFonts w:asciiTheme="minorHAnsi" w:hAnsiTheme="minorHAnsi"/>
          <w:spacing w:val="-5"/>
        </w:rPr>
        <w:t xml:space="preserve"> </w:t>
      </w:r>
      <w:r w:rsidRPr="0162C5FD">
        <w:rPr>
          <w:rFonts w:asciiTheme="minorHAnsi" w:hAnsiTheme="minorHAnsi"/>
        </w:rPr>
        <w:t>minimum,</w:t>
      </w:r>
      <w:r w:rsidRPr="0162C5FD">
        <w:rPr>
          <w:rFonts w:asciiTheme="minorHAnsi" w:hAnsiTheme="minorHAnsi"/>
          <w:spacing w:val="-3"/>
        </w:rPr>
        <w:t xml:space="preserve"> </w:t>
      </w:r>
      <w:r w:rsidRPr="0162C5FD">
        <w:rPr>
          <w:rFonts w:asciiTheme="minorHAnsi" w:hAnsiTheme="minorHAnsi"/>
        </w:rPr>
        <w:t>the</w:t>
      </w:r>
      <w:r w:rsidRPr="0162C5FD">
        <w:rPr>
          <w:rFonts w:asciiTheme="minorHAnsi" w:hAnsiTheme="minorHAnsi"/>
          <w:spacing w:val="-3"/>
        </w:rPr>
        <w:t xml:space="preserve"> </w:t>
      </w:r>
      <w:r w:rsidRPr="0162C5FD">
        <w:rPr>
          <w:rFonts w:asciiTheme="minorHAnsi" w:hAnsiTheme="minorHAnsi"/>
        </w:rPr>
        <w:t>Applicant</w:t>
      </w:r>
      <w:r w:rsidRPr="0162C5FD">
        <w:rPr>
          <w:rFonts w:asciiTheme="minorHAnsi" w:hAnsiTheme="minorHAnsi"/>
          <w:spacing w:val="-5"/>
        </w:rPr>
        <w:t xml:space="preserve"> </w:t>
      </w:r>
      <w:r w:rsidRPr="0162C5FD">
        <w:rPr>
          <w:rFonts w:asciiTheme="minorHAnsi" w:hAnsiTheme="minorHAnsi"/>
        </w:rPr>
        <w:t>must</w:t>
      </w:r>
      <w:r w:rsidRPr="0162C5FD">
        <w:rPr>
          <w:rFonts w:asciiTheme="minorHAnsi" w:hAnsiTheme="minorHAnsi"/>
          <w:spacing w:val="-4"/>
        </w:rPr>
        <w:t xml:space="preserve"> </w:t>
      </w:r>
      <w:r w:rsidRPr="0162C5FD">
        <w:rPr>
          <w:rFonts w:asciiTheme="minorHAnsi" w:hAnsiTheme="minorHAnsi"/>
        </w:rPr>
        <w:t>“consult”</w:t>
      </w:r>
      <w:r w:rsidRPr="0162C5FD">
        <w:rPr>
          <w:rFonts w:asciiTheme="minorHAnsi" w:hAnsiTheme="minorHAnsi"/>
          <w:spacing w:val="-3"/>
        </w:rPr>
        <w:t xml:space="preserve"> </w:t>
      </w:r>
      <w:r w:rsidRPr="0162C5FD">
        <w:rPr>
          <w:rFonts w:asciiTheme="minorHAnsi" w:hAnsiTheme="minorHAnsi"/>
        </w:rPr>
        <w:t>with</w:t>
      </w:r>
      <w:r w:rsidRPr="0162C5FD">
        <w:rPr>
          <w:rFonts w:asciiTheme="minorHAnsi" w:hAnsiTheme="minorHAnsi"/>
          <w:spacing w:val="-3"/>
        </w:rPr>
        <w:t xml:space="preserve"> </w:t>
      </w:r>
      <w:r w:rsidRPr="0162C5FD">
        <w:rPr>
          <w:rFonts w:asciiTheme="minorHAnsi" w:hAnsiTheme="minorHAnsi"/>
        </w:rPr>
        <w:t>groups</w:t>
      </w:r>
      <w:r w:rsidRPr="0162C5FD">
        <w:rPr>
          <w:rFonts w:asciiTheme="minorHAnsi" w:hAnsiTheme="minorHAnsi"/>
          <w:spacing w:val="-5"/>
        </w:rPr>
        <w:t xml:space="preserve"> </w:t>
      </w:r>
      <w:r w:rsidRPr="0162C5FD">
        <w:rPr>
          <w:rFonts w:asciiTheme="minorHAnsi" w:hAnsiTheme="minorHAnsi"/>
        </w:rPr>
        <w:t>representative</w:t>
      </w:r>
      <w:r w:rsidRPr="0162C5FD">
        <w:rPr>
          <w:rFonts w:asciiTheme="minorHAnsi" w:hAnsiTheme="minorHAnsi"/>
          <w:spacing w:val="-2"/>
        </w:rPr>
        <w:t xml:space="preserve"> </w:t>
      </w:r>
      <w:r w:rsidRPr="0162C5FD">
        <w:rPr>
          <w:rFonts w:asciiTheme="minorHAnsi" w:hAnsiTheme="minorHAnsi"/>
        </w:rPr>
        <w:t>of</w:t>
      </w:r>
      <w:r w:rsidRPr="0162C5FD">
        <w:rPr>
          <w:rFonts w:asciiTheme="minorHAnsi" w:hAnsiTheme="minorHAnsi"/>
          <w:spacing w:val="-4"/>
        </w:rPr>
        <w:t xml:space="preserve"> </w:t>
      </w:r>
      <w:r w:rsidRPr="0162C5FD">
        <w:rPr>
          <w:rFonts w:asciiTheme="minorHAnsi" w:hAnsiTheme="minorHAnsi"/>
        </w:rPr>
        <w:t>the Applicant's Patient Panel. Regulations state that efforts in such consultation should consist of engaging “community coalitions statistically representative of the Patient</w:t>
      </w:r>
      <w:r w:rsidRPr="0162C5FD">
        <w:rPr>
          <w:rFonts w:asciiTheme="minorHAnsi" w:hAnsiTheme="minorHAnsi"/>
          <w:spacing w:val="-14"/>
        </w:rPr>
        <w:t xml:space="preserve"> </w:t>
      </w:r>
      <w:r w:rsidRPr="0162C5FD">
        <w:rPr>
          <w:rFonts w:asciiTheme="minorHAnsi" w:hAnsiTheme="minorHAnsi"/>
        </w:rPr>
        <w:t>Panel.”</w:t>
      </w:r>
    </w:p>
    <w:p w14:paraId="68FBA6FA" w14:textId="77777777" w:rsidR="001833D2" w:rsidRDefault="001833D2" w:rsidP="00C316C3">
      <w:pPr>
        <w:pStyle w:val="BodyText"/>
        <w:ind w:right="259"/>
        <w:rPr>
          <w:rFonts w:asciiTheme="minorHAnsi" w:hAnsiTheme="minorHAnsi"/>
          <w:position w:val="10"/>
          <w:sz w:val="14"/>
          <w:szCs w:val="14"/>
        </w:rPr>
      </w:pPr>
    </w:p>
    <w:p w14:paraId="567CBF8C" w14:textId="77777777" w:rsidR="00252BB9" w:rsidRDefault="006E4ADF" w:rsidP="00C316C3">
      <w:r>
        <w:t>To fulfill the community engagement requirement, the Applicant took the actions described below.</w:t>
      </w:r>
    </w:p>
    <w:p w14:paraId="1B0FBF14" w14:textId="77777777" w:rsidR="00F42B90" w:rsidRDefault="00F42B90" w:rsidP="00C316C3"/>
    <w:p w14:paraId="0ACB8758" w14:textId="37AABC40" w:rsidR="00D01A75" w:rsidRDefault="00D01A75" w:rsidP="00C316C3">
      <w:r w:rsidRPr="00D01A75">
        <w:rPr>
          <w:b/>
          <w:bCs/>
        </w:rPr>
        <w:t>Market Study</w:t>
      </w:r>
      <w:r>
        <w:t xml:space="preserve">: </w:t>
      </w:r>
      <w:r w:rsidR="00715BF0">
        <w:t>The Applicant c</w:t>
      </w:r>
      <w:r w:rsidR="00F42B90">
        <w:t>onducted a market study, which included contacting 89 dental offices</w:t>
      </w:r>
      <w:r w:rsidR="00DF57E7">
        <w:t xml:space="preserve">, including </w:t>
      </w:r>
      <w:r w:rsidR="005D2207">
        <w:t>nine</w:t>
      </w:r>
      <w:r w:rsidR="00F42B90">
        <w:t xml:space="preserve"> FQHCs</w:t>
      </w:r>
      <w:r w:rsidR="00A32C4D">
        <w:t xml:space="preserve"> in Massachusetts</w:t>
      </w:r>
      <w:r w:rsidR="00F42B90">
        <w:t xml:space="preserve">, to discuss the need for </w:t>
      </w:r>
      <w:r w:rsidR="00715BF0">
        <w:t>the Applicant’s services</w:t>
      </w:r>
      <w:r w:rsidR="00F42B90">
        <w:t>.</w:t>
      </w:r>
      <w:r w:rsidR="00715BF0">
        <w:t xml:space="preserve"> The Applicant states that</w:t>
      </w:r>
      <w:r w:rsidR="00F42B90">
        <w:t xml:space="preserve"> </w:t>
      </w:r>
      <w:r w:rsidR="00715BF0">
        <w:t>f</w:t>
      </w:r>
      <w:r w:rsidR="00F42B90">
        <w:t xml:space="preserve">eedback was provided on access and long wait times for High Acuity Dental Surgeries, with consensus that the Applicant’s services would improve access to such services in Massachusetts. </w:t>
      </w:r>
    </w:p>
    <w:p w14:paraId="40C1A767" w14:textId="77777777" w:rsidR="00D01A75" w:rsidRDefault="00D01A75" w:rsidP="00C316C3"/>
    <w:p w14:paraId="3B91EDD5" w14:textId="0E74E971" w:rsidR="00F42B90" w:rsidRDefault="00D01A75" w:rsidP="00C316C3">
      <w:r w:rsidRPr="00D01A75">
        <w:rPr>
          <w:b/>
          <w:bCs/>
        </w:rPr>
        <w:t>Virtual Session</w:t>
      </w:r>
      <w:r>
        <w:t xml:space="preserve">: </w:t>
      </w:r>
      <w:r w:rsidR="00F42B90">
        <w:t xml:space="preserve">Leaders from the Applicant held an open virtual </w:t>
      </w:r>
      <w:r w:rsidR="004B24AB">
        <w:t>presentation</w:t>
      </w:r>
      <w:r w:rsidR="00F42B90">
        <w:t xml:space="preserve"> on May 28, 2026. Notice of the meeting was provided to Northeast’s current patients and staff</w:t>
      </w:r>
      <w:r w:rsidR="00D04D8D">
        <w:t>;</w:t>
      </w:r>
      <w:r w:rsidR="00F42B90">
        <w:t xml:space="preserve"> dental and community partners, </w:t>
      </w:r>
      <w:r w:rsidR="00715BF0">
        <w:t>including</w:t>
      </w:r>
      <w:r w:rsidR="00F42B90">
        <w:t xml:space="preserve"> local elected officials</w:t>
      </w:r>
      <w:r w:rsidR="00D04D8D">
        <w:t>;</w:t>
      </w:r>
      <w:r w:rsidR="00F42B90">
        <w:t xml:space="preserve"> 18 FQHCs in the Applicant’s PSA</w:t>
      </w:r>
      <w:r w:rsidR="00D04D8D">
        <w:t xml:space="preserve">; </w:t>
      </w:r>
      <w:r w:rsidR="00F42B90">
        <w:t xml:space="preserve">the Massachusetts League of </w:t>
      </w:r>
      <w:r w:rsidR="00AB7EE1">
        <w:t>Community Health Centers</w:t>
      </w:r>
      <w:r w:rsidR="00D04D8D">
        <w:t>;</w:t>
      </w:r>
      <w:r w:rsidR="00AB7EE1">
        <w:t xml:space="preserve"> The Arc of Massachusetts</w:t>
      </w:r>
      <w:r w:rsidR="00D04D8D">
        <w:t>;</w:t>
      </w:r>
      <w:r w:rsidR="00AB7EE1">
        <w:t xml:space="preserve"> Federation </w:t>
      </w:r>
      <w:r w:rsidR="006279F4">
        <w:t>for</w:t>
      </w:r>
      <w:r w:rsidR="00AB7EE1">
        <w:t xml:space="preserve"> Children with Special Needs, Franciscan Children’s</w:t>
      </w:r>
      <w:r w:rsidR="006279F4">
        <w:t xml:space="preserve"> Hospital</w:t>
      </w:r>
      <w:r w:rsidR="00AB7EE1">
        <w:t xml:space="preserve">, and Massachusetts </w:t>
      </w:r>
      <w:r w:rsidR="00715BF0">
        <w:t>Association</w:t>
      </w:r>
      <w:r w:rsidR="00AB7EE1">
        <w:t xml:space="preserve"> of 766 </w:t>
      </w:r>
      <w:r w:rsidR="00AF22E3">
        <w:t>A</w:t>
      </w:r>
      <w:r w:rsidR="00AB7EE1">
        <w:t xml:space="preserve">pproved </w:t>
      </w:r>
      <w:r w:rsidR="00AF22E3">
        <w:t>P</w:t>
      </w:r>
      <w:r w:rsidR="00AB7EE1">
        <w:t xml:space="preserve">rivate </w:t>
      </w:r>
      <w:r w:rsidR="00AF22E3">
        <w:t>S</w:t>
      </w:r>
      <w:r w:rsidR="00AB7EE1">
        <w:t xml:space="preserve">chools (MAAPS). </w:t>
      </w:r>
      <w:r w:rsidR="00C868A7">
        <w:t>The meeting resulted in no public comments</w:t>
      </w:r>
      <w:r w:rsidR="00AB7EE1">
        <w:t xml:space="preserve">, and the Applicant did not receive any written comments or feedback. </w:t>
      </w:r>
    </w:p>
    <w:p w14:paraId="0F99DDD8" w14:textId="77777777" w:rsidR="00C868A7" w:rsidRDefault="00C868A7" w:rsidP="00C316C3"/>
    <w:p w14:paraId="78BB8951" w14:textId="042ECFFB" w:rsidR="009526B1" w:rsidRDefault="00E80283" w:rsidP="00C316C3">
      <w:r w:rsidRPr="00E80283">
        <w:rPr>
          <w:b/>
          <w:bCs/>
        </w:rPr>
        <w:t>Letters of Support</w:t>
      </w:r>
      <w:r>
        <w:t xml:space="preserve">: </w:t>
      </w:r>
      <w:r w:rsidR="000D3AF4">
        <w:t xml:space="preserve">The Applicant </w:t>
      </w:r>
      <w:r w:rsidR="00E919D7">
        <w:t>s</w:t>
      </w:r>
      <w:r w:rsidR="000D3AF4">
        <w:t xml:space="preserve">poke </w:t>
      </w:r>
      <w:r w:rsidR="008236B3">
        <w:t xml:space="preserve">to </w:t>
      </w:r>
      <w:r w:rsidR="000D3AF4">
        <w:t xml:space="preserve">key state leaders, including </w:t>
      </w:r>
      <w:r w:rsidR="00E14025" w:rsidRPr="00E14025">
        <w:t xml:space="preserve">Keri Discepolo, DDS, MPH, </w:t>
      </w:r>
      <w:r w:rsidR="00E14025" w:rsidRPr="00E14025">
        <w:lastRenderedPageBreak/>
        <w:t>the Chair of Pediatric Dentistry at Boston University Henry M. Goldman School of Dental Medicine</w:t>
      </w:r>
      <w:r w:rsidR="00302B76">
        <w:t>;</w:t>
      </w:r>
      <w:r w:rsidR="00E14025" w:rsidRPr="00E14025">
        <w:t xml:space="preserve"> Todd Grey, Chief Dental Officer at DentaQuest</w:t>
      </w:r>
      <w:r w:rsidR="00302B76">
        <w:t>;</w:t>
      </w:r>
      <w:r w:rsidR="00E14025" w:rsidRPr="00E14025">
        <w:t xml:space="preserve"> and Brian L. Walker, an Executive Fellow at Harvard Business School and Co-Instructor of Innovating in </w:t>
      </w:r>
      <w:r w:rsidR="009B2876">
        <w:t>Healthcare</w:t>
      </w:r>
      <w:r w:rsidR="00E14025" w:rsidRPr="00E14025">
        <w:t xml:space="preserve"> </w:t>
      </w:r>
      <w:r w:rsidR="0089683F">
        <w:t xml:space="preserve">course </w:t>
      </w:r>
      <w:r w:rsidR="00E14025" w:rsidRPr="00E14025">
        <w:t>alongside Professor Regina Herzlinger</w:t>
      </w:r>
      <w:r w:rsidR="00E14025">
        <w:t xml:space="preserve">, all of whom </w:t>
      </w:r>
      <w:r w:rsidR="001C7824">
        <w:t>provided</w:t>
      </w:r>
      <w:r w:rsidR="00E14025">
        <w:t xml:space="preserve"> letters of support for inclusion in the application</w:t>
      </w:r>
      <w:r w:rsidR="001C7824">
        <w:t xml:space="preserve"> submission</w:t>
      </w:r>
      <w:r w:rsidR="00E14025">
        <w:t xml:space="preserve">. The letters </w:t>
      </w:r>
      <w:r w:rsidR="0084751F">
        <w:t xml:space="preserve">stated that the Proposed Project will provide </w:t>
      </w:r>
      <w:r w:rsidR="00BE5266">
        <w:t xml:space="preserve">safe, </w:t>
      </w:r>
      <w:r w:rsidR="00DC7EE9">
        <w:t xml:space="preserve">efficient, </w:t>
      </w:r>
      <w:r w:rsidR="0084751F">
        <w:t xml:space="preserve">timely and convenient access to dental services to an underserved </w:t>
      </w:r>
      <w:r w:rsidR="008D418C">
        <w:t xml:space="preserve">pediatric </w:t>
      </w:r>
      <w:r w:rsidR="0084751F">
        <w:t>population</w:t>
      </w:r>
      <w:r w:rsidR="008D418C">
        <w:t xml:space="preserve"> in a setting that is tailored to their needs</w:t>
      </w:r>
      <w:r w:rsidR="0084751F">
        <w:t xml:space="preserve">, </w:t>
      </w:r>
      <w:r w:rsidR="006B7636">
        <w:t xml:space="preserve">and </w:t>
      </w:r>
      <w:r w:rsidR="00B154F5">
        <w:t xml:space="preserve">through a model focused on serving patients insured through Medicaid and patients with special </w:t>
      </w:r>
      <w:r w:rsidR="009B2876">
        <w:t>healthcare</w:t>
      </w:r>
      <w:r w:rsidR="00B154F5">
        <w:t xml:space="preserve"> needs. The </w:t>
      </w:r>
      <w:r w:rsidR="00825687">
        <w:t>letter</w:t>
      </w:r>
      <w:r w:rsidR="00E14F75">
        <w:t>s</w:t>
      </w:r>
      <w:r w:rsidR="00825687">
        <w:t xml:space="preserve"> affirmed the </w:t>
      </w:r>
      <w:r w:rsidR="00B154F5">
        <w:t xml:space="preserve">benefits of the Proposed Project </w:t>
      </w:r>
      <w:r w:rsidR="00825687">
        <w:t xml:space="preserve">which </w:t>
      </w:r>
      <w:r w:rsidR="00B154F5">
        <w:t xml:space="preserve">include </w:t>
      </w:r>
      <w:r w:rsidR="006B7636">
        <w:t>positive long-term impacts on improving health outcomes and quality of life</w:t>
      </w:r>
      <w:r w:rsidR="00A93B9C">
        <w:t xml:space="preserve">, as well as positive impacts on </w:t>
      </w:r>
      <w:r w:rsidR="00770B81">
        <w:t>the health system, and hospital-base</w:t>
      </w:r>
      <w:r w:rsidR="0087420E">
        <w:t>d</w:t>
      </w:r>
      <w:r w:rsidR="00770B81">
        <w:t xml:space="preserve"> resources. </w:t>
      </w:r>
    </w:p>
    <w:p w14:paraId="6E1B6294" w14:textId="77777777" w:rsidR="00FB2254" w:rsidRDefault="00FB2254" w:rsidP="00C316C3"/>
    <w:p w14:paraId="6D76A4CF" w14:textId="73AE4C15" w:rsidR="00E80283" w:rsidRDefault="00E80283" w:rsidP="00E80283">
      <w:r w:rsidRPr="00E919D7">
        <w:rPr>
          <w:b/>
          <w:bCs/>
        </w:rPr>
        <w:t>Meeting</w:t>
      </w:r>
      <w:r>
        <w:rPr>
          <w:b/>
          <w:bCs/>
        </w:rPr>
        <w:t>s</w:t>
      </w:r>
      <w:r w:rsidRPr="00E919D7">
        <w:rPr>
          <w:b/>
          <w:bCs/>
        </w:rPr>
        <w:t xml:space="preserve"> with Sta</w:t>
      </w:r>
      <w:r>
        <w:rPr>
          <w:b/>
          <w:bCs/>
        </w:rPr>
        <w:t>k</w:t>
      </w:r>
      <w:r w:rsidRPr="00E919D7">
        <w:rPr>
          <w:b/>
          <w:bCs/>
        </w:rPr>
        <w:t>eholders</w:t>
      </w:r>
      <w:r>
        <w:t>: The Applicant states that since the community engagement event, it has met with MassHealth and that the meeting with MassHealth acknowledged the need for the Center’s services, and discussed the limited availability of pediatric ASCs in Massachusetts, including that there is currently only one enrolled pediatric ASC across Massachusetts.</w:t>
      </w:r>
      <w:r>
        <w:rPr>
          <w:rStyle w:val="FootnoteReference"/>
        </w:rPr>
        <w:footnoteReference w:id="29"/>
      </w:r>
      <w:r>
        <w:t xml:space="preserve"> The Applicant has also met with the Massachusetts League of Health Center’s leadership and clinical affairs team. The Applicant plans to provide a presentation on the Center’s offerings and FQHC partnership opportunities to the Mass League’s statewide </w:t>
      </w:r>
      <w:r w:rsidR="0087420E">
        <w:t>D</w:t>
      </w:r>
      <w:r>
        <w:t xml:space="preserve">ental </w:t>
      </w:r>
      <w:r w:rsidR="0087420E">
        <w:t>D</w:t>
      </w:r>
      <w:r>
        <w:t xml:space="preserve">irector this fall. </w:t>
      </w:r>
    </w:p>
    <w:p w14:paraId="1C6F9FB9" w14:textId="77777777" w:rsidR="00CD4FBD" w:rsidRDefault="00CD4FBD" w:rsidP="00E80283"/>
    <w:p w14:paraId="35721FE3" w14:textId="63B71B0A" w:rsidR="00CD4FBD" w:rsidRPr="00CD4FBD" w:rsidRDefault="00CD4FBD" w:rsidP="00CD4FBD">
      <w:r w:rsidRPr="00CD4FBD">
        <w:rPr>
          <w:b/>
          <w:bCs/>
        </w:rPr>
        <w:t>Notice</w:t>
      </w:r>
      <w:r w:rsidRPr="00CD4FBD">
        <w:t>: The Applicant advertised the Proposed Project in the Boston Herald</w:t>
      </w:r>
      <w:r w:rsidR="002D6B13">
        <w:t xml:space="preserve"> on </w:t>
      </w:r>
      <w:r w:rsidR="000C1CC7">
        <w:t>June 19</w:t>
      </w:r>
      <w:r w:rsidR="002D6B13">
        <w:t xml:space="preserve">, 2026 and posted a copy of the legal notice on </w:t>
      </w:r>
      <w:r w:rsidR="00960607">
        <w:t>Northeast’s</w:t>
      </w:r>
      <w:r w:rsidR="002D6B13">
        <w:t xml:space="preserve"> website</w:t>
      </w:r>
      <w:r w:rsidRPr="00CD4FBD">
        <w:t xml:space="preserve">. </w:t>
      </w:r>
    </w:p>
    <w:p w14:paraId="291A352C" w14:textId="77777777" w:rsidR="00E80283" w:rsidRDefault="00E80283" w:rsidP="00C316C3"/>
    <w:p w14:paraId="76F498AF" w14:textId="70ECBCAD" w:rsidR="00FB2254" w:rsidRDefault="00FB2254" w:rsidP="00C316C3">
      <w:r>
        <w:t xml:space="preserve">If approved, the Applicant plans to undertake an in-depth community-wide engagement </w:t>
      </w:r>
      <w:r w:rsidR="00CB0470">
        <w:t xml:space="preserve">campaign, to inform the Patient Panel and local community of the Proposed Project, and after completion of regulatory filings, the Applicant plans to hold an event for the community to mark the re-opening of the Center. </w:t>
      </w:r>
      <w:r w:rsidR="00A34C30">
        <w:t xml:space="preserve">The Applicant </w:t>
      </w:r>
      <w:r w:rsidR="001C4609">
        <w:t xml:space="preserve">states that it </w:t>
      </w:r>
      <w:r w:rsidR="006C345D">
        <w:t>is open to meeting</w:t>
      </w:r>
      <w:r w:rsidR="00A34C30">
        <w:t xml:space="preserve"> with the </w:t>
      </w:r>
      <w:r w:rsidR="00F51F1A">
        <w:t xml:space="preserve">Massachusetts </w:t>
      </w:r>
      <w:r w:rsidR="00A34C30">
        <w:t xml:space="preserve">Department of Developmental Services (DDS), </w:t>
      </w:r>
      <w:r w:rsidR="007932F2">
        <w:t>and</w:t>
      </w:r>
      <w:r w:rsidR="00A34C30">
        <w:t xml:space="preserve"> the Department of Youth Services (DYS)</w:t>
      </w:r>
      <w:r w:rsidR="001C4609">
        <w:t xml:space="preserve"> as well</w:t>
      </w:r>
      <w:r w:rsidR="006C345D">
        <w:t xml:space="preserve">. </w:t>
      </w:r>
    </w:p>
    <w:p w14:paraId="7707E23D" w14:textId="77777777" w:rsidR="006D7595" w:rsidRPr="00556DCC" w:rsidRDefault="006D7595" w:rsidP="00C316C3"/>
    <w:p w14:paraId="1B7CB00F" w14:textId="0E446AC9" w:rsidR="003A7B86" w:rsidRDefault="00A4110F" w:rsidP="00C316C3">
      <w:pPr>
        <w:rPr>
          <w:rFonts w:asciiTheme="minorHAnsi" w:hAnsiTheme="minorHAnsi"/>
          <w:b/>
          <w:bCs/>
          <w:i/>
          <w:iCs/>
        </w:rPr>
      </w:pPr>
      <w:r w:rsidRPr="004D5540">
        <w:rPr>
          <w:rFonts w:asciiTheme="minorHAnsi" w:hAnsiTheme="minorHAnsi"/>
          <w:b/>
          <w:bCs/>
          <w:i/>
          <w:iCs/>
        </w:rPr>
        <w:t>Analysis</w:t>
      </w:r>
    </w:p>
    <w:p w14:paraId="0999036E" w14:textId="3C0EB684" w:rsidR="003346BB" w:rsidRPr="003A7B86" w:rsidRDefault="003346BB" w:rsidP="00C316C3">
      <w:pPr>
        <w:rPr>
          <w:rFonts w:asciiTheme="minorHAnsi" w:hAnsiTheme="minorHAnsi"/>
          <w:b/>
          <w:bCs/>
          <w:i/>
          <w:iCs/>
        </w:rPr>
      </w:pPr>
      <w:r w:rsidRPr="004D5540">
        <w:rPr>
          <w:rFonts w:asciiTheme="minorHAnsi" w:hAnsiTheme="minorHAnsi"/>
        </w:rPr>
        <w:t xml:space="preserve">Staff reviewed the information on the Applicant’s community engagement and finds that </w:t>
      </w:r>
    </w:p>
    <w:p w14:paraId="694BB32B" w14:textId="522F1850" w:rsidR="00D9518F" w:rsidRDefault="003346BB" w:rsidP="00C316C3">
      <w:pPr>
        <w:rPr>
          <w:rFonts w:asciiTheme="minorHAnsi" w:hAnsiTheme="minorHAnsi"/>
        </w:rPr>
      </w:pPr>
      <w:r w:rsidRPr="6A75FF2F">
        <w:rPr>
          <w:rFonts w:asciiTheme="minorHAnsi" w:hAnsiTheme="minorHAnsi"/>
        </w:rPr>
        <w:t>the Applicant has met the required community engagement standard of Consult</w:t>
      </w:r>
      <w:r w:rsidR="003A7B86" w:rsidRPr="6A75FF2F">
        <w:rPr>
          <w:rFonts w:asciiTheme="minorHAnsi" w:hAnsiTheme="minorHAnsi"/>
        </w:rPr>
        <w:t xml:space="preserve"> </w:t>
      </w:r>
      <w:r w:rsidRPr="6A75FF2F">
        <w:rPr>
          <w:rFonts w:asciiTheme="minorHAnsi" w:hAnsiTheme="minorHAnsi"/>
        </w:rPr>
        <w:t>in the planning phase of the Proposed Project.</w:t>
      </w:r>
      <w:r w:rsidR="00D9518F" w:rsidRPr="6A75FF2F">
        <w:rPr>
          <w:rFonts w:asciiTheme="minorHAnsi" w:eastAsia="Times New Roman" w:hAnsiTheme="minorHAnsi"/>
        </w:rPr>
        <w:t xml:space="preserve"> </w:t>
      </w:r>
      <w:r w:rsidR="00D9518F" w:rsidRPr="6A75FF2F">
        <w:rPr>
          <w:rFonts w:asciiTheme="minorHAnsi" w:hAnsiTheme="minorHAnsi"/>
        </w:rPr>
        <w:t>As a result, Staff finds that the Proposed Project meets the requirements of Factor 1e.</w:t>
      </w:r>
    </w:p>
    <w:p w14:paraId="16F0C00D" w14:textId="77777777" w:rsidR="0040211A" w:rsidRDefault="0040211A" w:rsidP="00C316C3">
      <w:pPr>
        <w:rPr>
          <w:rFonts w:asciiTheme="minorHAnsi" w:hAnsiTheme="minorHAnsi"/>
        </w:rPr>
      </w:pPr>
    </w:p>
    <w:p w14:paraId="492417C4" w14:textId="77777777" w:rsidR="0081202D" w:rsidRDefault="0081202D" w:rsidP="00C316C3">
      <w:pPr>
        <w:rPr>
          <w:rFonts w:asciiTheme="minorHAnsi" w:hAnsiTheme="minorHAnsi"/>
        </w:rPr>
      </w:pPr>
    </w:p>
    <w:p w14:paraId="1284B21B" w14:textId="1F875169" w:rsidR="004A2BD8" w:rsidRDefault="00A4110F" w:rsidP="00923435">
      <w:pPr>
        <w:pStyle w:val="Heading2"/>
      </w:pPr>
      <w:bookmarkStart w:id="13" w:name="Factor_1:_f)_Competition_on_price,_total"/>
      <w:bookmarkStart w:id="14" w:name="_Toc241131192"/>
      <w:bookmarkEnd w:id="13"/>
      <w:r w:rsidRPr="00771386">
        <w:t xml:space="preserve">Factor 1: f) Competition on price, total medical expenses (TME), costs and other measures of </w:t>
      </w:r>
      <w:r w:rsidR="009B2876">
        <w:t>healthcare</w:t>
      </w:r>
      <w:r w:rsidRPr="00771386">
        <w:t xml:space="preserve"> spending</w:t>
      </w:r>
      <w:bookmarkEnd w:id="14"/>
    </w:p>
    <w:p w14:paraId="08E52864" w14:textId="77777777" w:rsidR="00A63397" w:rsidRDefault="00A63397" w:rsidP="00C316C3">
      <w:pPr>
        <w:rPr>
          <w:rFonts w:asciiTheme="minorHAnsi" w:hAnsiTheme="minorHAnsi"/>
          <w:b/>
          <w:bCs/>
          <w:i/>
          <w:iCs/>
        </w:rPr>
      </w:pPr>
    </w:p>
    <w:p w14:paraId="0489DEA5" w14:textId="019F88F6" w:rsidR="006F54D0" w:rsidRDefault="0076648E" w:rsidP="1D93BCA9">
      <w:pPr>
        <w:rPr>
          <w:rFonts w:asciiTheme="minorHAnsi" w:hAnsiTheme="minorHAnsi"/>
        </w:rPr>
      </w:pPr>
      <w:r w:rsidRPr="1D93BCA9">
        <w:rPr>
          <w:rFonts w:asciiTheme="minorHAnsi" w:hAnsiTheme="minorHAnsi"/>
        </w:rPr>
        <w:t xml:space="preserve">The Applicant states that the Proposed Project will compete on the basis of price, TME, provider costs, and other </w:t>
      </w:r>
      <w:r w:rsidR="00354A02" w:rsidRPr="1D93BCA9">
        <w:rPr>
          <w:rFonts w:asciiTheme="minorHAnsi" w:hAnsiTheme="minorHAnsi"/>
        </w:rPr>
        <w:t xml:space="preserve">recognized </w:t>
      </w:r>
      <w:r w:rsidR="006D0C0C" w:rsidRPr="1D93BCA9">
        <w:rPr>
          <w:rFonts w:asciiTheme="minorHAnsi" w:hAnsiTheme="minorHAnsi"/>
        </w:rPr>
        <w:t xml:space="preserve">measures of healthcare spending by offering High Acuity Dental Surgeries in a lower-cost setting, and particularly so for patients ages nine and under who are currently being treated in HOPDs. </w:t>
      </w:r>
      <w:r w:rsidR="00B63CA2" w:rsidRPr="1D93BCA9">
        <w:rPr>
          <w:rFonts w:asciiTheme="minorHAnsi" w:hAnsiTheme="minorHAnsi"/>
        </w:rPr>
        <w:t xml:space="preserve">The Applicant cites the HPCs </w:t>
      </w:r>
      <w:r w:rsidR="00B16E88" w:rsidRPr="1D93BCA9">
        <w:rPr>
          <w:rFonts w:asciiTheme="minorHAnsi" w:hAnsiTheme="minorHAnsi"/>
        </w:rPr>
        <w:t>Data Point Series Issue 26, Trends in Ambulatory Surgery Centers in Massachusetts, which states</w:t>
      </w:r>
      <w:r w:rsidR="000C648B" w:rsidRPr="1D93BCA9">
        <w:rPr>
          <w:rFonts w:asciiTheme="minorHAnsi" w:hAnsiTheme="minorHAnsi"/>
        </w:rPr>
        <w:t xml:space="preserve"> “</w:t>
      </w:r>
      <w:r w:rsidR="0059382E" w:rsidRPr="1D93BCA9">
        <w:rPr>
          <w:rFonts w:asciiTheme="minorHAnsi" w:hAnsiTheme="minorHAnsi"/>
        </w:rPr>
        <w:t xml:space="preserve">Both commercial insurers and public </w:t>
      </w:r>
      <w:r w:rsidR="0059382E" w:rsidRPr="1D93BCA9">
        <w:rPr>
          <w:rFonts w:asciiTheme="minorHAnsi" w:hAnsiTheme="minorHAnsi"/>
        </w:rPr>
        <w:lastRenderedPageBreak/>
        <w:t>programs (Medicare and Medicaid) typically pay substantially lower prices for procedures performed in ASCs compared to the same procedures performed in a</w:t>
      </w:r>
      <w:r w:rsidR="00A03ABF" w:rsidRPr="1D93BCA9">
        <w:rPr>
          <w:rFonts w:asciiTheme="minorHAnsi" w:hAnsiTheme="minorHAnsi"/>
        </w:rPr>
        <w:t>n</w:t>
      </w:r>
      <w:r w:rsidR="0059382E" w:rsidRPr="1D93BCA9">
        <w:rPr>
          <w:rFonts w:asciiTheme="minorHAnsi" w:hAnsiTheme="minorHAnsi"/>
        </w:rPr>
        <w:t xml:space="preserve"> HOPD. In addition to lower overall prices, ASCs may offer patients more convenient locations, shorter wait times, and potentially lower cost sharing.”</w:t>
      </w:r>
      <w:r w:rsidRPr="1D93BCA9">
        <w:rPr>
          <w:rStyle w:val="EndnoteReference"/>
          <w:rFonts w:asciiTheme="minorHAnsi" w:hAnsiTheme="minorHAnsi"/>
        </w:rPr>
        <w:endnoteReference w:id="36"/>
      </w:r>
      <w:r w:rsidR="000E6583" w:rsidRPr="1D93BCA9">
        <w:rPr>
          <w:rFonts w:asciiTheme="minorHAnsi" w:hAnsiTheme="minorHAnsi"/>
        </w:rPr>
        <w:t xml:space="preserve"> </w:t>
      </w:r>
    </w:p>
    <w:p w14:paraId="713F6408" w14:textId="77777777" w:rsidR="0025716A" w:rsidRDefault="0025716A" w:rsidP="1D93BCA9">
      <w:pPr>
        <w:rPr>
          <w:rFonts w:asciiTheme="minorHAnsi" w:hAnsiTheme="minorHAnsi"/>
        </w:rPr>
      </w:pPr>
    </w:p>
    <w:p w14:paraId="02D54A19" w14:textId="416B6B30" w:rsidR="0025716A" w:rsidRDefault="0025716A" w:rsidP="0025716A">
      <w:pPr>
        <w:pStyle w:val="BodyText"/>
      </w:pPr>
      <w:r>
        <w:t xml:space="preserve">The Applicant cites an article from Health Affairs on Medicaid Payments and Pediatric Dental Operations by site of care which states that General Anesthesia may be indicated for patients with extensive treatment needs, complex treatment plans, uncooperative behavior, severe anxiety or fear, </w:t>
      </w:r>
      <w:r w:rsidR="00F62F2B">
        <w:t xml:space="preserve">or </w:t>
      </w:r>
      <w:r>
        <w:t>physical or mental challenges, and for patients who are very young.</w:t>
      </w:r>
      <w:r w:rsidRPr="1D93BCA9">
        <w:rPr>
          <w:rStyle w:val="EndnoteReference"/>
        </w:rPr>
        <w:endnoteReference w:id="37"/>
      </w:r>
      <w:r>
        <w:t xml:space="preserve"> This cross sectional study, using Medicaid data from 29 states, compared payments, time from diagnosis to care, and adverse events for 391,628 pediatric surgical procedures</w:t>
      </w:r>
      <w:r w:rsidRPr="1D93BCA9">
        <w:rPr>
          <w:rStyle w:val="FootnoteReference"/>
        </w:rPr>
        <w:footnoteReference w:id="30"/>
      </w:r>
      <w:r>
        <w:t xml:space="preserve"> (2016 to 2020) for dental caries in ASCs and HOPDs paid by Medicaid, and found that compared with HOPD use, ASC use was associated with a shorter time from diagnosis to surgery, lower rates of post-surgery ED visits and hospitalizations, and lower Medicaid payments.</w:t>
      </w:r>
      <w:r w:rsidRPr="1D93BCA9">
        <w:rPr>
          <w:vertAlign w:val="superscript"/>
        </w:rPr>
        <w:endnoteReference w:id="38"/>
      </w:r>
      <w:r w:rsidRPr="1D93BCA9">
        <w:rPr>
          <w:vertAlign w:val="superscript"/>
        </w:rPr>
        <w:t>,</w:t>
      </w:r>
      <w:r w:rsidRPr="1D93BCA9">
        <w:rPr>
          <w:rStyle w:val="FootnoteReference"/>
        </w:rPr>
        <w:footnoteReference w:id="31"/>
      </w:r>
      <w:r>
        <w:t xml:space="preserve"> ASC use was associated with statistically significantly lower mean Medicaid FFS payments. Medicaid would be projected to save $53.6 million if all pediatric surgical procedures for dental caries for the Medicaid FFS population were furnished in ASCs. Assuming similar costs for Medicaid </w:t>
      </w:r>
      <w:r w:rsidR="00B7195E">
        <w:t>managed</w:t>
      </w:r>
      <w:r>
        <w:t xml:space="preserve"> care enrollees, the projected total savings for Medicaid would increase to $171 million.</w:t>
      </w:r>
      <w:r w:rsidRPr="1D93BCA9">
        <w:rPr>
          <w:vertAlign w:val="superscript"/>
        </w:rPr>
        <w:endnoteReference w:id="39"/>
      </w:r>
      <w:r>
        <w:t xml:space="preserve"> Access to timely care has health and quality of life implications, because pain associated with untreated dental caries contributes to decreased quality of life, missed days of school, and poor school performance.</w:t>
      </w:r>
      <w:r w:rsidRPr="1D93BCA9">
        <w:rPr>
          <w:vertAlign w:val="superscript"/>
        </w:rPr>
        <w:endnoteReference w:id="40"/>
      </w:r>
      <w:r>
        <w:t xml:space="preserve"> ASC use decreased the waiting time from diagnosis to surgery by more than one week, without increasing adverse events.</w:t>
      </w:r>
      <w:r w:rsidRPr="1D93BCA9">
        <w:rPr>
          <w:vertAlign w:val="superscript"/>
        </w:rPr>
        <w:endnoteReference w:id="41"/>
      </w:r>
    </w:p>
    <w:p w14:paraId="4C372656" w14:textId="77777777" w:rsidR="00006E0E" w:rsidRDefault="00006E0E" w:rsidP="00C316C3">
      <w:pPr>
        <w:rPr>
          <w:rFonts w:asciiTheme="minorHAnsi" w:hAnsiTheme="minorHAnsi"/>
        </w:rPr>
      </w:pPr>
    </w:p>
    <w:p w14:paraId="2CE9A0C7" w14:textId="3B82BDDD" w:rsidR="00006E0E" w:rsidRDefault="00006E0E" w:rsidP="1D93BCA9">
      <w:pPr>
        <w:rPr>
          <w:rFonts w:asciiTheme="minorHAnsi" w:hAnsiTheme="minorHAnsi"/>
        </w:rPr>
      </w:pPr>
      <w:r w:rsidRPr="1D93BCA9">
        <w:rPr>
          <w:rFonts w:asciiTheme="minorHAnsi" w:hAnsiTheme="minorHAnsi"/>
        </w:rPr>
        <w:t>The Applicant states that on average, HOPD facility fee reimbursement for the High Acuity Dental Surgery is approximately $3,200 and ASC facility fee reimbursement for the same surgery is approximately $1,400, with a savings of approximately $1,800 per case.</w:t>
      </w:r>
      <w:r w:rsidRPr="1D93BCA9">
        <w:rPr>
          <w:rStyle w:val="FootnoteReference"/>
          <w:rFonts w:asciiTheme="minorHAnsi" w:hAnsiTheme="minorHAnsi"/>
        </w:rPr>
        <w:footnoteReference w:id="32"/>
      </w:r>
      <w:r w:rsidRPr="1D93BCA9">
        <w:rPr>
          <w:rFonts w:asciiTheme="minorHAnsi" w:hAnsiTheme="minorHAnsi"/>
        </w:rPr>
        <w:t xml:space="preserve">  The Applicant states that it will perform 3,712 </w:t>
      </w:r>
      <w:r w:rsidR="00DB2472" w:rsidRPr="1D93BCA9">
        <w:rPr>
          <w:rFonts w:asciiTheme="minorHAnsi" w:hAnsiTheme="minorHAnsi"/>
        </w:rPr>
        <w:t xml:space="preserve">cases </w:t>
      </w:r>
      <w:r w:rsidRPr="1D93BCA9">
        <w:rPr>
          <w:rFonts w:asciiTheme="minorHAnsi" w:hAnsiTheme="minorHAnsi"/>
        </w:rPr>
        <w:t xml:space="preserve">in Year 5 of operations, </w:t>
      </w:r>
      <w:r w:rsidR="002D00D1">
        <w:rPr>
          <w:rFonts w:asciiTheme="minorHAnsi" w:hAnsiTheme="minorHAnsi"/>
        </w:rPr>
        <w:t>which</w:t>
      </w:r>
      <w:r w:rsidRPr="1D93BCA9">
        <w:rPr>
          <w:rFonts w:asciiTheme="minorHAnsi" w:hAnsiTheme="minorHAnsi"/>
        </w:rPr>
        <w:t xml:space="preserve"> could r</w:t>
      </w:r>
      <w:r w:rsidR="002D00D1">
        <w:rPr>
          <w:rFonts w:asciiTheme="minorHAnsi" w:hAnsiTheme="minorHAnsi"/>
        </w:rPr>
        <w:t>esult</w:t>
      </w:r>
      <w:r w:rsidRPr="1D93BCA9">
        <w:rPr>
          <w:rFonts w:asciiTheme="minorHAnsi" w:hAnsiTheme="minorHAnsi"/>
        </w:rPr>
        <w:t xml:space="preserve"> </w:t>
      </w:r>
      <w:r w:rsidR="002D00D1">
        <w:rPr>
          <w:rFonts w:asciiTheme="minorHAnsi" w:hAnsiTheme="minorHAnsi"/>
        </w:rPr>
        <w:t>i</w:t>
      </w:r>
      <w:r w:rsidRPr="1D93BCA9">
        <w:rPr>
          <w:rFonts w:asciiTheme="minorHAnsi" w:hAnsiTheme="minorHAnsi"/>
        </w:rPr>
        <w:t>n</w:t>
      </w:r>
      <w:r w:rsidR="00797311">
        <w:rPr>
          <w:rFonts w:asciiTheme="minorHAnsi" w:hAnsiTheme="minorHAnsi"/>
        </w:rPr>
        <w:t xml:space="preserve"> an</w:t>
      </w:r>
      <w:r w:rsidRPr="1D93BCA9">
        <w:rPr>
          <w:rFonts w:asciiTheme="minorHAnsi" w:hAnsiTheme="minorHAnsi"/>
        </w:rPr>
        <w:t xml:space="preserve"> estimated </w:t>
      </w:r>
      <w:r w:rsidR="00797311">
        <w:rPr>
          <w:rFonts w:asciiTheme="minorHAnsi" w:hAnsiTheme="minorHAnsi"/>
        </w:rPr>
        <w:t>$</w:t>
      </w:r>
      <w:r w:rsidRPr="1D93BCA9">
        <w:rPr>
          <w:rFonts w:asciiTheme="minorHAnsi" w:hAnsiTheme="minorHAnsi"/>
        </w:rPr>
        <w:t>6,700,000 in cost savings</w:t>
      </w:r>
      <w:r w:rsidR="00E775F5">
        <w:rPr>
          <w:rFonts w:asciiTheme="minorHAnsi" w:hAnsiTheme="minorHAnsi"/>
        </w:rPr>
        <w:t xml:space="preserve"> for th</w:t>
      </w:r>
      <w:r w:rsidR="00823685">
        <w:rPr>
          <w:rFonts w:asciiTheme="minorHAnsi" w:hAnsiTheme="minorHAnsi"/>
        </w:rPr>
        <w:t>at</w:t>
      </w:r>
      <w:r w:rsidR="00E775F5">
        <w:rPr>
          <w:rFonts w:asciiTheme="minorHAnsi" w:hAnsiTheme="minorHAnsi"/>
        </w:rPr>
        <w:t xml:space="preserve"> year</w:t>
      </w:r>
      <w:r w:rsidRPr="1D93BCA9">
        <w:rPr>
          <w:rFonts w:asciiTheme="minorHAnsi" w:hAnsiTheme="minorHAnsi"/>
        </w:rPr>
        <w:t xml:space="preserve">, </w:t>
      </w:r>
      <w:r w:rsidR="00882C5F">
        <w:rPr>
          <w:rFonts w:asciiTheme="minorHAnsi" w:hAnsiTheme="minorHAnsi"/>
        </w:rPr>
        <w:t>as a</w:t>
      </w:r>
      <w:r w:rsidRPr="1D93BCA9">
        <w:rPr>
          <w:rFonts w:asciiTheme="minorHAnsi" w:hAnsiTheme="minorHAnsi"/>
        </w:rPr>
        <w:t xml:space="preserve"> result </w:t>
      </w:r>
      <w:r w:rsidR="00626A36">
        <w:rPr>
          <w:rFonts w:asciiTheme="minorHAnsi" w:hAnsiTheme="minorHAnsi"/>
        </w:rPr>
        <w:t>of</w:t>
      </w:r>
      <w:r w:rsidR="00626A36" w:rsidRPr="1D93BCA9">
        <w:rPr>
          <w:rFonts w:asciiTheme="minorHAnsi" w:hAnsiTheme="minorHAnsi"/>
        </w:rPr>
        <w:t xml:space="preserve"> the</w:t>
      </w:r>
      <w:r w:rsidRPr="1D93BCA9">
        <w:rPr>
          <w:rFonts w:asciiTheme="minorHAnsi" w:hAnsiTheme="minorHAnsi"/>
        </w:rPr>
        <w:t xml:space="preserve"> surgery</w:t>
      </w:r>
      <w:r w:rsidR="00882C5F">
        <w:rPr>
          <w:rFonts w:asciiTheme="minorHAnsi" w:hAnsiTheme="minorHAnsi"/>
        </w:rPr>
        <w:t xml:space="preserve"> taking place</w:t>
      </w:r>
      <w:r w:rsidRPr="1D93BCA9">
        <w:rPr>
          <w:rFonts w:asciiTheme="minorHAnsi" w:hAnsiTheme="minorHAnsi"/>
        </w:rPr>
        <w:t xml:space="preserve"> in the ASC setting. </w:t>
      </w:r>
    </w:p>
    <w:p w14:paraId="080B8E68" w14:textId="77777777" w:rsidR="0059382E" w:rsidRDefault="0059382E" w:rsidP="00C316C3">
      <w:pPr>
        <w:rPr>
          <w:rFonts w:asciiTheme="minorHAnsi" w:hAnsiTheme="minorHAnsi"/>
        </w:rPr>
      </w:pPr>
    </w:p>
    <w:p w14:paraId="6949BFF6" w14:textId="62D5A488" w:rsidR="00E24708" w:rsidRDefault="002771E9" w:rsidP="1D93BCA9">
      <w:pPr>
        <w:rPr>
          <w:rFonts w:asciiTheme="minorHAnsi" w:hAnsiTheme="minorHAnsi"/>
        </w:rPr>
      </w:pPr>
      <w:r w:rsidRPr="1D93BCA9">
        <w:rPr>
          <w:rFonts w:asciiTheme="minorHAnsi" w:hAnsiTheme="minorHAnsi"/>
        </w:rPr>
        <w:t xml:space="preserve">The Applicant affirms that the Proposed Project is not a replacement for High Acuity Dental Surgeries performed in an HOPD, </w:t>
      </w:r>
      <w:r w:rsidR="00E24708" w:rsidRPr="1D93BCA9">
        <w:rPr>
          <w:rFonts w:asciiTheme="minorHAnsi" w:hAnsiTheme="minorHAnsi"/>
        </w:rPr>
        <w:t xml:space="preserve">stating that not all patients are candidates for surgery outside of the hospital setting, for reasons of medical necessity and for patients with special </w:t>
      </w:r>
      <w:r w:rsidR="009B2876" w:rsidRPr="1D93BCA9">
        <w:rPr>
          <w:rFonts w:asciiTheme="minorHAnsi" w:hAnsiTheme="minorHAnsi"/>
        </w:rPr>
        <w:t>healthcare</w:t>
      </w:r>
      <w:r w:rsidR="00E24708" w:rsidRPr="1D93BCA9">
        <w:rPr>
          <w:rFonts w:asciiTheme="minorHAnsi" w:hAnsiTheme="minorHAnsi"/>
        </w:rPr>
        <w:t xml:space="preserve"> needs.</w:t>
      </w:r>
      <w:r w:rsidRPr="1D93BCA9">
        <w:rPr>
          <w:rFonts w:asciiTheme="minorHAnsi" w:hAnsiTheme="minorHAnsi"/>
          <w:vertAlign w:val="superscript"/>
        </w:rPr>
        <w:endnoteReference w:id="42"/>
      </w:r>
      <w:r w:rsidR="00E24708" w:rsidRPr="1D93BCA9">
        <w:rPr>
          <w:rFonts w:asciiTheme="minorHAnsi" w:hAnsiTheme="minorHAnsi"/>
        </w:rPr>
        <w:t xml:space="preserve"> </w:t>
      </w:r>
      <w:r w:rsidR="00486BB3" w:rsidRPr="1D93BCA9">
        <w:rPr>
          <w:rFonts w:asciiTheme="minorHAnsi" w:hAnsiTheme="minorHAnsi"/>
        </w:rPr>
        <w:t xml:space="preserve">The Applicant </w:t>
      </w:r>
      <w:r w:rsidRPr="1D93BCA9">
        <w:rPr>
          <w:rFonts w:asciiTheme="minorHAnsi" w:hAnsiTheme="minorHAnsi"/>
        </w:rPr>
        <w:t>cit</w:t>
      </w:r>
      <w:r w:rsidR="00486BB3" w:rsidRPr="1D93BCA9">
        <w:rPr>
          <w:rFonts w:asciiTheme="minorHAnsi" w:hAnsiTheme="minorHAnsi"/>
        </w:rPr>
        <w:t>ed</w:t>
      </w:r>
      <w:r w:rsidRPr="1D93BCA9">
        <w:rPr>
          <w:rFonts w:asciiTheme="minorHAnsi" w:hAnsiTheme="minorHAnsi"/>
        </w:rPr>
        <w:t xml:space="preserve"> an article comparing </w:t>
      </w:r>
      <w:r w:rsidR="00E24708" w:rsidRPr="1D93BCA9">
        <w:rPr>
          <w:rFonts w:asciiTheme="minorHAnsi" w:hAnsiTheme="minorHAnsi"/>
        </w:rPr>
        <w:t>pediatric</w:t>
      </w:r>
      <w:r w:rsidR="006002A6" w:rsidRPr="1D93BCA9">
        <w:rPr>
          <w:rFonts w:asciiTheme="minorHAnsi" w:hAnsiTheme="minorHAnsi"/>
        </w:rPr>
        <w:t xml:space="preserve"> patients treated at an ASC versus a hospital operating room</w:t>
      </w:r>
      <w:r w:rsidR="00486BB3" w:rsidRPr="1D93BCA9">
        <w:rPr>
          <w:rFonts w:asciiTheme="minorHAnsi" w:hAnsiTheme="minorHAnsi"/>
        </w:rPr>
        <w:t xml:space="preserve"> which</w:t>
      </w:r>
      <w:r w:rsidR="006002A6" w:rsidRPr="1D93BCA9">
        <w:rPr>
          <w:rFonts w:asciiTheme="minorHAnsi" w:hAnsiTheme="minorHAnsi"/>
        </w:rPr>
        <w:t xml:space="preserve"> states, d</w:t>
      </w:r>
      <w:r w:rsidR="00C606C0" w:rsidRPr="1D93BCA9">
        <w:rPr>
          <w:rFonts w:asciiTheme="minorHAnsi" w:hAnsiTheme="minorHAnsi"/>
        </w:rPr>
        <w:t xml:space="preserve">ental patients may receive treatment under </w:t>
      </w:r>
      <w:r w:rsidR="00E13642" w:rsidRPr="1D93BCA9">
        <w:rPr>
          <w:rFonts w:asciiTheme="minorHAnsi" w:hAnsiTheme="minorHAnsi"/>
        </w:rPr>
        <w:t>G</w:t>
      </w:r>
      <w:r w:rsidR="00C606C0" w:rsidRPr="1D93BCA9">
        <w:rPr>
          <w:rFonts w:asciiTheme="minorHAnsi" w:hAnsiTheme="minorHAnsi"/>
        </w:rPr>
        <w:t xml:space="preserve">eneral </w:t>
      </w:r>
      <w:r w:rsidR="00E13642" w:rsidRPr="1D93BCA9">
        <w:rPr>
          <w:rFonts w:asciiTheme="minorHAnsi" w:hAnsiTheme="minorHAnsi"/>
        </w:rPr>
        <w:t>A</w:t>
      </w:r>
      <w:r w:rsidR="00C606C0" w:rsidRPr="1D93BCA9">
        <w:rPr>
          <w:rFonts w:asciiTheme="minorHAnsi" w:hAnsiTheme="minorHAnsi"/>
        </w:rPr>
        <w:t>nesthesia in different surgical venues: a hospital operating room (HOPD), an ASC, or a dental office with an anesthesia provider</w:t>
      </w:r>
      <w:r w:rsidR="00B653E5" w:rsidRPr="1D93BCA9">
        <w:rPr>
          <w:rFonts w:asciiTheme="minorHAnsi" w:hAnsiTheme="minorHAnsi"/>
        </w:rPr>
        <w:t>.</w:t>
      </w:r>
      <w:r w:rsidRPr="1D93BCA9">
        <w:rPr>
          <w:rFonts w:asciiTheme="minorHAnsi" w:hAnsiTheme="minorHAnsi"/>
          <w:vertAlign w:val="superscript"/>
        </w:rPr>
        <w:endnoteReference w:id="43"/>
      </w:r>
      <w:r w:rsidR="00C606C0" w:rsidRPr="1D93BCA9">
        <w:rPr>
          <w:rFonts w:asciiTheme="minorHAnsi" w:hAnsiTheme="minorHAnsi"/>
        </w:rPr>
        <w:t xml:space="preserve"> </w:t>
      </w:r>
      <w:r w:rsidR="00B653E5" w:rsidRPr="1D93BCA9">
        <w:rPr>
          <w:rFonts w:asciiTheme="minorHAnsi" w:hAnsiTheme="minorHAnsi"/>
        </w:rPr>
        <w:t xml:space="preserve">The HOPD is cited as the “gold standard” but ASCs and </w:t>
      </w:r>
      <w:r w:rsidR="000F6084" w:rsidRPr="1D93BCA9">
        <w:rPr>
          <w:rFonts w:asciiTheme="minorHAnsi" w:hAnsiTheme="minorHAnsi"/>
        </w:rPr>
        <w:t xml:space="preserve">dental offices have the benefit of greater scheduling ease and efficiency, and </w:t>
      </w:r>
      <w:r w:rsidR="00983EEF" w:rsidRPr="1D93BCA9">
        <w:rPr>
          <w:rFonts w:asciiTheme="minorHAnsi" w:hAnsiTheme="minorHAnsi"/>
        </w:rPr>
        <w:t>shorter</w:t>
      </w:r>
      <w:r w:rsidR="000F6084" w:rsidRPr="1D93BCA9">
        <w:rPr>
          <w:rFonts w:asciiTheme="minorHAnsi" w:hAnsiTheme="minorHAnsi"/>
        </w:rPr>
        <w:t xml:space="preserve"> wait times</w:t>
      </w:r>
      <w:r w:rsidR="00983EEF" w:rsidRPr="1D93BCA9">
        <w:rPr>
          <w:rFonts w:asciiTheme="minorHAnsi" w:hAnsiTheme="minorHAnsi"/>
        </w:rPr>
        <w:t xml:space="preserve"> for nonemergency procedures</w:t>
      </w:r>
      <w:r w:rsidR="000F6084" w:rsidRPr="1D93BCA9">
        <w:rPr>
          <w:rFonts w:asciiTheme="minorHAnsi" w:hAnsiTheme="minorHAnsi"/>
        </w:rPr>
        <w:t>.</w:t>
      </w:r>
      <w:r w:rsidR="00983EEF" w:rsidRPr="1D93BCA9">
        <w:rPr>
          <w:rFonts w:asciiTheme="minorHAnsi" w:hAnsiTheme="minorHAnsi"/>
          <w:vertAlign w:val="superscript"/>
        </w:rPr>
        <w:t xml:space="preserve"> </w:t>
      </w:r>
      <w:r w:rsidRPr="1D93BCA9">
        <w:rPr>
          <w:rFonts w:asciiTheme="minorHAnsi" w:hAnsiTheme="minorHAnsi"/>
          <w:vertAlign w:val="superscript"/>
        </w:rPr>
        <w:endnoteReference w:id="44"/>
      </w:r>
      <w:r w:rsidR="00983EEF" w:rsidRPr="1D93BCA9">
        <w:rPr>
          <w:rFonts w:asciiTheme="minorHAnsi" w:hAnsiTheme="minorHAnsi"/>
        </w:rPr>
        <w:t xml:space="preserve"> </w:t>
      </w:r>
      <w:r w:rsidR="006F54D0" w:rsidRPr="1D93BCA9">
        <w:rPr>
          <w:rFonts w:asciiTheme="minorHAnsi" w:hAnsiTheme="minorHAnsi"/>
        </w:rPr>
        <w:t xml:space="preserve">The </w:t>
      </w:r>
      <w:r w:rsidR="00983EEF" w:rsidRPr="1D93BCA9">
        <w:rPr>
          <w:rFonts w:asciiTheme="minorHAnsi" w:hAnsiTheme="minorHAnsi"/>
        </w:rPr>
        <w:t xml:space="preserve">article </w:t>
      </w:r>
      <w:r w:rsidR="00EA2234" w:rsidRPr="1D93BCA9">
        <w:rPr>
          <w:rFonts w:asciiTheme="minorHAnsi" w:hAnsiTheme="minorHAnsi"/>
        </w:rPr>
        <w:t>concludes</w:t>
      </w:r>
      <w:r w:rsidR="00983EEF" w:rsidRPr="1D93BCA9">
        <w:rPr>
          <w:rFonts w:asciiTheme="minorHAnsi" w:hAnsiTheme="minorHAnsi"/>
        </w:rPr>
        <w:t>,</w:t>
      </w:r>
      <w:r w:rsidR="006F54D0" w:rsidRPr="1D93BCA9">
        <w:rPr>
          <w:rFonts w:asciiTheme="minorHAnsi" w:hAnsiTheme="minorHAnsi"/>
        </w:rPr>
        <w:t xml:space="preserve"> </w:t>
      </w:r>
      <w:r w:rsidR="00967226" w:rsidRPr="1D93BCA9">
        <w:rPr>
          <w:rFonts w:asciiTheme="minorHAnsi" w:hAnsiTheme="minorHAnsi"/>
        </w:rPr>
        <w:t xml:space="preserve">“both venues (ASCs and HOPDs) are needed to best address the </w:t>
      </w:r>
      <w:r w:rsidR="00967226" w:rsidRPr="1D93BCA9">
        <w:rPr>
          <w:rFonts w:asciiTheme="minorHAnsi" w:hAnsiTheme="minorHAnsi"/>
        </w:rPr>
        <w:lastRenderedPageBreak/>
        <w:t>needs of pediatric dental patients requiring GA</w:t>
      </w:r>
      <w:r w:rsidR="00AC0A93" w:rsidRPr="1D93BCA9">
        <w:rPr>
          <w:rFonts w:asciiTheme="minorHAnsi" w:hAnsiTheme="minorHAnsi"/>
        </w:rPr>
        <w:t xml:space="preserve"> [General Anesthesia]</w:t>
      </w:r>
      <w:r w:rsidR="00967226" w:rsidRPr="1D93BCA9">
        <w:rPr>
          <w:rFonts w:asciiTheme="minorHAnsi" w:hAnsiTheme="minorHAnsi"/>
        </w:rPr>
        <w:t>. In addition, the data demonstrated that the two-venue model increased access to care by 240</w:t>
      </w:r>
      <w:r w:rsidR="00207FB6">
        <w:rPr>
          <w:rFonts w:asciiTheme="minorHAnsi" w:hAnsiTheme="minorHAnsi"/>
        </w:rPr>
        <w:t xml:space="preserve"> percent</w:t>
      </w:r>
      <w:r w:rsidR="00967226" w:rsidRPr="1D93BCA9">
        <w:rPr>
          <w:rFonts w:asciiTheme="minorHAnsi" w:hAnsiTheme="minorHAnsi"/>
        </w:rPr>
        <w:t xml:space="preserve"> compared with the H-OR–only</w:t>
      </w:r>
      <w:r w:rsidR="005D269B" w:rsidRPr="1D93BCA9">
        <w:rPr>
          <w:rFonts w:asciiTheme="minorHAnsi" w:hAnsiTheme="minorHAnsi"/>
        </w:rPr>
        <w:t xml:space="preserve"> [hospital-only]</w:t>
      </w:r>
      <w:r w:rsidR="00967226" w:rsidRPr="1D93BCA9">
        <w:rPr>
          <w:rFonts w:asciiTheme="minorHAnsi" w:hAnsiTheme="minorHAnsi"/>
        </w:rPr>
        <w:t xml:space="preserve"> model.”</w:t>
      </w:r>
      <w:r w:rsidRPr="1D93BCA9">
        <w:rPr>
          <w:rFonts w:asciiTheme="minorHAnsi" w:hAnsiTheme="minorHAnsi"/>
          <w:vertAlign w:val="superscript"/>
        </w:rPr>
        <w:endnoteReference w:id="45"/>
      </w:r>
      <w:r w:rsidR="00967226" w:rsidRPr="1D93BCA9">
        <w:rPr>
          <w:rFonts w:asciiTheme="minorHAnsi" w:hAnsiTheme="minorHAnsi"/>
        </w:rPr>
        <w:t xml:space="preserve"> </w:t>
      </w:r>
      <w:r w:rsidR="00E24708" w:rsidRPr="1D93BCA9">
        <w:rPr>
          <w:rFonts w:asciiTheme="minorHAnsi" w:hAnsiTheme="minorHAnsi"/>
        </w:rPr>
        <w:t>Additionally, having various sites of care, and increasing ASC capacity means greater capacity in the HOPD</w:t>
      </w:r>
      <w:r w:rsidR="00486BB3" w:rsidRPr="1D93BCA9">
        <w:rPr>
          <w:rFonts w:asciiTheme="minorHAnsi" w:hAnsiTheme="minorHAnsi"/>
        </w:rPr>
        <w:t xml:space="preserve"> </w:t>
      </w:r>
      <w:r w:rsidR="00E24708" w:rsidRPr="1D93BCA9">
        <w:rPr>
          <w:rFonts w:asciiTheme="minorHAnsi" w:hAnsiTheme="minorHAnsi"/>
        </w:rPr>
        <w:t>for patients with higher medical acuity.</w:t>
      </w:r>
      <w:r w:rsidRPr="1D93BCA9">
        <w:rPr>
          <w:rFonts w:asciiTheme="minorHAnsi" w:hAnsiTheme="minorHAnsi"/>
          <w:vertAlign w:val="superscript"/>
        </w:rPr>
        <w:endnoteReference w:id="46"/>
      </w:r>
    </w:p>
    <w:p w14:paraId="2A36C517" w14:textId="77777777" w:rsidR="00DC3BC6" w:rsidRDefault="00DC3BC6" w:rsidP="00E24708">
      <w:pPr>
        <w:rPr>
          <w:rFonts w:asciiTheme="minorHAnsi" w:hAnsiTheme="minorHAnsi"/>
          <w:vertAlign w:val="superscript"/>
        </w:rPr>
      </w:pPr>
    </w:p>
    <w:p w14:paraId="6AF82A6F" w14:textId="5A4B3F25" w:rsidR="00B447F3" w:rsidRDefault="00A4110F" w:rsidP="00C316C3">
      <w:pPr>
        <w:rPr>
          <w:rFonts w:asciiTheme="minorHAnsi" w:hAnsiTheme="minorHAnsi"/>
          <w:b/>
          <w:bCs/>
          <w:i/>
          <w:iCs/>
        </w:rPr>
      </w:pPr>
      <w:r w:rsidRPr="009A0C61">
        <w:rPr>
          <w:rFonts w:asciiTheme="minorHAnsi" w:hAnsiTheme="minorHAnsi"/>
          <w:b/>
          <w:bCs/>
          <w:i/>
          <w:iCs/>
        </w:rPr>
        <w:t>Analysis</w:t>
      </w:r>
    </w:p>
    <w:p w14:paraId="0A7F0A56" w14:textId="20D9FCB9" w:rsidR="002102E6" w:rsidRDefault="47EA00A6" w:rsidP="28157CC0">
      <w:pPr>
        <w:rPr>
          <w:rFonts w:asciiTheme="minorHAnsi" w:hAnsiTheme="minorHAnsi"/>
        </w:rPr>
      </w:pPr>
      <w:r w:rsidRPr="28157CC0">
        <w:rPr>
          <w:rFonts w:asciiTheme="minorHAnsi" w:hAnsiTheme="minorHAnsi"/>
        </w:rPr>
        <w:t xml:space="preserve">Staff finds that, on balance, the requirement that the Proposed Project will likely compete on the basis of price, TME provider costs, and other measures of </w:t>
      </w:r>
      <w:r w:rsidR="009B2876">
        <w:rPr>
          <w:rFonts w:asciiTheme="minorHAnsi" w:hAnsiTheme="minorHAnsi"/>
        </w:rPr>
        <w:t>healthcare</w:t>
      </w:r>
      <w:r w:rsidRPr="28157CC0">
        <w:rPr>
          <w:rFonts w:asciiTheme="minorHAnsi" w:hAnsiTheme="minorHAnsi"/>
        </w:rPr>
        <w:t xml:space="preserve"> spending and therefore, </w:t>
      </w:r>
      <w:r w:rsidR="0E5A8D97" w:rsidRPr="28157CC0">
        <w:rPr>
          <w:rFonts w:asciiTheme="minorHAnsi" w:hAnsiTheme="minorHAnsi"/>
        </w:rPr>
        <w:t>the requirements of Factor 1</w:t>
      </w:r>
      <w:r w:rsidR="00024A9E">
        <w:rPr>
          <w:rFonts w:asciiTheme="minorHAnsi" w:hAnsiTheme="minorHAnsi"/>
        </w:rPr>
        <w:t>(</w:t>
      </w:r>
      <w:r w:rsidR="0E5A8D97" w:rsidRPr="28157CC0">
        <w:rPr>
          <w:rFonts w:asciiTheme="minorHAnsi" w:hAnsiTheme="minorHAnsi"/>
        </w:rPr>
        <w:t>f</w:t>
      </w:r>
      <w:r w:rsidR="00024A9E">
        <w:rPr>
          <w:rFonts w:asciiTheme="minorHAnsi" w:hAnsiTheme="minorHAnsi"/>
        </w:rPr>
        <w:t>)</w:t>
      </w:r>
      <w:r w:rsidR="0E5A8D97" w:rsidRPr="28157CC0">
        <w:rPr>
          <w:rFonts w:asciiTheme="minorHAnsi" w:hAnsiTheme="minorHAnsi"/>
        </w:rPr>
        <w:t xml:space="preserve"> </w:t>
      </w:r>
      <w:r w:rsidRPr="28157CC0">
        <w:rPr>
          <w:rFonts w:asciiTheme="minorHAnsi" w:hAnsiTheme="minorHAnsi"/>
        </w:rPr>
        <w:t>have been met.</w:t>
      </w:r>
    </w:p>
    <w:p w14:paraId="7AF6CC77" w14:textId="77777777" w:rsidR="00F9056B" w:rsidRPr="002102E6" w:rsidRDefault="00F9056B" w:rsidP="00C316C3">
      <w:pPr>
        <w:rPr>
          <w:rFonts w:asciiTheme="minorHAnsi" w:hAnsiTheme="minorHAnsi"/>
        </w:rPr>
      </w:pPr>
    </w:p>
    <w:p w14:paraId="7A94A1AC" w14:textId="5F05B601" w:rsidR="00B447F3" w:rsidRPr="00771386" w:rsidRDefault="0060024E" w:rsidP="00923435">
      <w:pPr>
        <w:pStyle w:val="Heading2"/>
      </w:pPr>
      <w:bookmarkStart w:id="15" w:name="_Toc241131193"/>
      <w:r w:rsidRPr="00771386">
        <w:t>Summary</w:t>
      </w:r>
      <w:r w:rsidR="00A63487">
        <w:t>, Factor 1</w:t>
      </w:r>
      <w:bookmarkEnd w:id="15"/>
      <w:r w:rsidR="00A63487">
        <w:t xml:space="preserve"> </w:t>
      </w:r>
      <w:r w:rsidRPr="00771386">
        <w:t xml:space="preserve"> </w:t>
      </w:r>
    </w:p>
    <w:p w14:paraId="15015229" w14:textId="59F50AAA" w:rsidR="00D47105" w:rsidRDefault="0060024E" w:rsidP="00C316C3">
      <w:pPr>
        <w:rPr>
          <w:rFonts w:asciiTheme="minorHAnsi" w:hAnsiTheme="minorHAnsi"/>
        </w:rPr>
      </w:pPr>
      <w:r w:rsidRPr="0060024E">
        <w:rPr>
          <w:rFonts w:asciiTheme="minorHAnsi" w:hAnsiTheme="minorHAnsi"/>
        </w:rPr>
        <w:t xml:space="preserve">As a result of information provided by the Applicant and additional analysis, staff finds that with the </w:t>
      </w:r>
      <w:r w:rsidR="00E61330">
        <w:rPr>
          <w:rFonts w:asciiTheme="minorHAnsi" w:hAnsiTheme="minorHAnsi"/>
        </w:rPr>
        <w:t xml:space="preserve">“Other </w:t>
      </w:r>
      <w:r w:rsidR="00974F1C">
        <w:rPr>
          <w:rFonts w:asciiTheme="minorHAnsi" w:hAnsiTheme="minorHAnsi"/>
        </w:rPr>
        <w:t>Conditions</w:t>
      </w:r>
      <w:r w:rsidR="00E61330">
        <w:rPr>
          <w:rFonts w:asciiTheme="minorHAnsi" w:hAnsiTheme="minorHAnsi"/>
        </w:rPr>
        <w:t>”</w:t>
      </w:r>
      <w:r w:rsidR="00974F1C">
        <w:rPr>
          <w:rFonts w:asciiTheme="minorHAnsi" w:hAnsiTheme="minorHAnsi"/>
        </w:rPr>
        <w:t xml:space="preserve"> outlined below and </w:t>
      </w:r>
      <w:r w:rsidR="00D961C8">
        <w:rPr>
          <w:rFonts w:asciiTheme="minorHAnsi" w:hAnsiTheme="minorHAnsi"/>
        </w:rPr>
        <w:t xml:space="preserve">the </w:t>
      </w:r>
      <w:r w:rsidRPr="0060024E">
        <w:rPr>
          <w:rFonts w:asciiTheme="minorHAnsi" w:hAnsiTheme="minorHAnsi"/>
        </w:rPr>
        <w:t>standard reporting requirements, the Applicant has demonstrated that the Proposed Project has met Factor 1(a-f).</w:t>
      </w:r>
    </w:p>
    <w:p w14:paraId="158E0F39" w14:textId="77777777" w:rsidR="00970AA3" w:rsidRDefault="00970AA3" w:rsidP="00C316C3">
      <w:pPr>
        <w:rPr>
          <w:rFonts w:asciiTheme="minorHAnsi" w:hAnsiTheme="minorHAnsi"/>
        </w:rPr>
      </w:pPr>
    </w:p>
    <w:p w14:paraId="52918711" w14:textId="77777777" w:rsidR="00E16E63" w:rsidRDefault="00E16E63" w:rsidP="00C316C3">
      <w:pPr>
        <w:rPr>
          <w:rFonts w:asciiTheme="minorHAnsi" w:hAnsiTheme="minorHAnsi"/>
        </w:rPr>
      </w:pPr>
    </w:p>
    <w:p w14:paraId="48C2065F" w14:textId="77777777" w:rsidR="00B447F3" w:rsidRPr="003436F0" w:rsidRDefault="00A4110F" w:rsidP="00923435">
      <w:pPr>
        <w:pStyle w:val="Heading2"/>
      </w:pPr>
      <w:bookmarkStart w:id="16" w:name="Factor_2:_Cost_containment,_Improved_Pub"/>
      <w:bookmarkStart w:id="17" w:name="_Toc241131194"/>
      <w:bookmarkEnd w:id="16"/>
      <w:r w:rsidRPr="003436F0">
        <w:t>Factor 2: Cost containment, Improved Public Health Outcomes and Delivery System Transformation</w:t>
      </w:r>
      <w:bookmarkEnd w:id="17"/>
    </w:p>
    <w:p w14:paraId="1CE0B37B" w14:textId="77777777" w:rsidR="009A0C61" w:rsidRDefault="009A0C61" w:rsidP="00C316C3"/>
    <w:p w14:paraId="7E0AF6BC" w14:textId="77777777" w:rsidR="00B1655A" w:rsidRDefault="00B1655A" w:rsidP="00B1655A">
      <w:r>
        <w:t>For Factor 2 the Applicant must demonstrate that the Proposed Project will meaningfully contribute to the Commonwealth’s goals for cost containment, improved public health outcomes, and delivery</w:t>
      </w:r>
    </w:p>
    <w:p w14:paraId="05A892D2" w14:textId="77777777" w:rsidR="00B1655A" w:rsidRDefault="00B1655A" w:rsidP="00B1655A">
      <w:r>
        <w:t>system transformation beyond the Patient Panel.</w:t>
      </w:r>
    </w:p>
    <w:p w14:paraId="4107EFF8" w14:textId="77777777" w:rsidR="00B1655A" w:rsidRDefault="00B1655A" w:rsidP="00C316C3"/>
    <w:p w14:paraId="567B3969" w14:textId="4051CADF" w:rsidR="00B447F3" w:rsidRDefault="00A4110F" w:rsidP="00C316C3">
      <w:pPr>
        <w:rPr>
          <w:rFonts w:asciiTheme="minorHAnsi" w:hAnsiTheme="minorHAnsi"/>
          <w:b/>
          <w:bCs/>
        </w:rPr>
      </w:pPr>
      <w:r w:rsidRPr="009A0C61">
        <w:rPr>
          <w:rFonts w:asciiTheme="minorHAnsi" w:hAnsiTheme="minorHAnsi"/>
          <w:b/>
          <w:bCs/>
        </w:rPr>
        <w:t>Cost Containment</w:t>
      </w:r>
    </w:p>
    <w:p w14:paraId="3CE2962B" w14:textId="77777777" w:rsidR="006865A9" w:rsidRPr="006865A9" w:rsidRDefault="006865A9" w:rsidP="006865A9">
      <w:pPr>
        <w:pStyle w:val="BodyText"/>
        <w:rPr>
          <w:rFonts w:asciiTheme="minorHAnsi" w:hAnsiTheme="minorHAnsi"/>
        </w:rPr>
      </w:pPr>
      <w:r w:rsidRPr="006865A9">
        <w:rPr>
          <w:rFonts w:asciiTheme="minorHAnsi" w:hAnsiTheme="minorHAnsi"/>
        </w:rPr>
        <w:t>The Proposed Project will meaningfully contribute to the Commonwealth’s goals for cost</w:t>
      </w:r>
    </w:p>
    <w:p w14:paraId="1373CA8E" w14:textId="487FA6F1" w:rsidR="00FA76D2" w:rsidRDefault="006865A9" w:rsidP="006865A9">
      <w:pPr>
        <w:pStyle w:val="BodyText"/>
        <w:rPr>
          <w:rFonts w:asciiTheme="minorHAnsi" w:hAnsiTheme="minorHAnsi"/>
        </w:rPr>
      </w:pPr>
      <w:r w:rsidRPr="006865A9">
        <w:rPr>
          <w:rFonts w:asciiTheme="minorHAnsi" w:hAnsiTheme="minorHAnsi"/>
        </w:rPr>
        <w:t xml:space="preserve">containment by </w:t>
      </w:r>
      <w:r>
        <w:rPr>
          <w:rFonts w:asciiTheme="minorHAnsi" w:hAnsiTheme="minorHAnsi"/>
        </w:rPr>
        <w:t>increasing</w:t>
      </w:r>
      <w:r w:rsidRPr="006865A9">
        <w:rPr>
          <w:rFonts w:asciiTheme="minorHAnsi" w:hAnsiTheme="minorHAnsi"/>
        </w:rPr>
        <w:t xml:space="preserve"> access to </w:t>
      </w:r>
      <w:r>
        <w:rPr>
          <w:rFonts w:asciiTheme="minorHAnsi" w:hAnsiTheme="minorHAnsi"/>
        </w:rPr>
        <w:t>High Acuity Dental Surgeries</w:t>
      </w:r>
      <w:r w:rsidRPr="006865A9">
        <w:rPr>
          <w:rFonts w:asciiTheme="minorHAnsi" w:hAnsiTheme="minorHAnsi"/>
        </w:rPr>
        <w:t xml:space="preserve"> in </w:t>
      </w:r>
      <w:r w:rsidR="00237C66">
        <w:rPr>
          <w:rFonts w:asciiTheme="minorHAnsi" w:hAnsiTheme="minorHAnsi"/>
        </w:rPr>
        <w:t>an</w:t>
      </w:r>
      <w:r w:rsidR="00206A14">
        <w:rPr>
          <w:rFonts w:asciiTheme="minorHAnsi" w:hAnsiTheme="minorHAnsi"/>
        </w:rPr>
        <w:t xml:space="preserve"> appropriate care setting, that is a</w:t>
      </w:r>
      <w:r w:rsidRPr="006865A9">
        <w:rPr>
          <w:rFonts w:asciiTheme="minorHAnsi" w:hAnsiTheme="minorHAnsi"/>
        </w:rPr>
        <w:t xml:space="preserve"> lower cost setting than existing options for the</w:t>
      </w:r>
      <w:r>
        <w:rPr>
          <w:rFonts w:asciiTheme="minorHAnsi" w:hAnsiTheme="minorHAnsi"/>
        </w:rPr>
        <w:t xml:space="preserve"> </w:t>
      </w:r>
      <w:r w:rsidR="00237C66">
        <w:rPr>
          <w:rFonts w:asciiTheme="minorHAnsi" w:hAnsiTheme="minorHAnsi"/>
        </w:rPr>
        <w:t xml:space="preserve">Applicant’s </w:t>
      </w:r>
      <w:r w:rsidRPr="006865A9">
        <w:rPr>
          <w:rFonts w:asciiTheme="minorHAnsi" w:hAnsiTheme="minorHAnsi"/>
        </w:rPr>
        <w:t>Patient Panel</w:t>
      </w:r>
      <w:r w:rsidR="00213FA2">
        <w:rPr>
          <w:rFonts w:asciiTheme="minorHAnsi" w:hAnsiTheme="minorHAnsi"/>
        </w:rPr>
        <w:t xml:space="preserve">. </w:t>
      </w:r>
      <w:r w:rsidR="00237C66">
        <w:rPr>
          <w:rFonts w:asciiTheme="minorHAnsi" w:hAnsiTheme="minorHAnsi"/>
        </w:rPr>
        <w:t xml:space="preserve">As described above, ASCs </w:t>
      </w:r>
      <w:r w:rsidR="000E5C1F">
        <w:rPr>
          <w:rFonts w:asciiTheme="minorHAnsi" w:hAnsiTheme="minorHAnsi"/>
        </w:rPr>
        <w:t xml:space="preserve">compete with HOPDs by </w:t>
      </w:r>
      <w:r w:rsidR="00237C66">
        <w:rPr>
          <w:rFonts w:asciiTheme="minorHAnsi" w:hAnsiTheme="minorHAnsi"/>
        </w:rPr>
        <w:t>provid</w:t>
      </w:r>
      <w:r w:rsidR="000E5C1F">
        <w:rPr>
          <w:rFonts w:asciiTheme="minorHAnsi" w:hAnsiTheme="minorHAnsi"/>
        </w:rPr>
        <w:t>ing</w:t>
      </w:r>
      <w:r w:rsidR="00237C66">
        <w:rPr>
          <w:rFonts w:asciiTheme="minorHAnsi" w:hAnsiTheme="minorHAnsi"/>
        </w:rPr>
        <w:t xml:space="preserve"> high-quality care in a lower cost setting.</w:t>
      </w:r>
      <w:r w:rsidR="000E5C1F">
        <w:rPr>
          <w:rFonts w:asciiTheme="minorHAnsi" w:hAnsiTheme="minorHAnsi"/>
        </w:rPr>
        <w:t xml:space="preserve"> Additionally, ASCs achieve operational efficiency through their streamlined design and operations. </w:t>
      </w:r>
    </w:p>
    <w:p w14:paraId="073D228E" w14:textId="77777777" w:rsidR="00532063" w:rsidRDefault="00532063" w:rsidP="00C316C3">
      <w:pPr>
        <w:pStyle w:val="BodyText"/>
        <w:rPr>
          <w:rFonts w:asciiTheme="minorHAnsi" w:hAnsiTheme="minorHAnsi"/>
        </w:rPr>
      </w:pPr>
    </w:p>
    <w:p w14:paraId="33FC7E4D" w14:textId="26C09E20" w:rsidR="00B447F3" w:rsidRDefault="00A4110F" w:rsidP="00C316C3">
      <w:pPr>
        <w:rPr>
          <w:rFonts w:asciiTheme="minorHAnsi" w:hAnsiTheme="minorHAnsi"/>
          <w:b/>
          <w:bCs/>
          <w:i/>
          <w:iCs/>
        </w:rPr>
      </w:pPr>
      <w:r w:rsidRPr="009A0C61">
        <w:rPr>
          <w:rFonts w:asciiTheme="minorHAnsi" w:hAnsiTheme="minorHAnsi"/>
          <w:b/>
          <w:bCs/>
          <w:i/>
          <w:iCs/>
        </w:rPr>
        <w:t>Analysis: Cost Containment</w:t>
      </w:r>
    </w:p>
    <w:p w14:paraId="6C49AB9B" w14:textId="2B6532A4" w:rsidR="00622C22" w:rsidRPr="00622C22" w:rsidRDefault="4A59A93C" w:rsidP="00622C22">
      <w:pPr>
        <w:pStyle w:val="BodyText"/>
        <w:rPr>
          <w:rFonts w:asciiTheme="minorHAnsi" w:hAnsiTheme="minorHAnsi"/>
        </w:rPr>
      </w:pPr>
      <w:r w:rsidRPr="28157CC0">
        <w:rPr>
          <w:rFonts w:asciiTheme="minorHAnsi" w:hAnsiTheme="minorHAnsi"/>
        </w:rPr>
        <w:t>Staff finds that</w:t>
      </w:r>
      <w:r w:rsidR="00622C22" w:rsidRPr="00622C22">
        <w:t xml:space="preserve"> </w:t>
      </w:r>
      <w:r w:rsidR="00622C22" w:rsidRPr="00622C22">
        <w:rPr>
          <w:rFonts w:asciiTheme="minorHAnsi" w:hAnsiTheme="minorHAnsi"/>
        </w:rPr>
        <w:t>the Applicant demonstrated how the Proposed Project aligns with the</w:t>
      </w:r>
    </w:p>
    <w:p w14:paraId="4E5249FC" w14:textId="0B0E46E0" w:rsidR="00B447F3" w:rsidRPr="00517020" w:rsidRDefault="00622C22" w:rsidP="00622C22">
      <w:pPr>
        <w:pStyle w:val="BodyText"/>
        <w:rPr>
          <w:rFonts w:asciiTheme="minorHAnsi" w:hAnsiTheme="minorHAnsi"/>
        </w:rPr>
      </w:pPr>
      <w:r w:rsidRPr="00622C22">
        <w:rPr>
          <w:rFonts w:asciiTheme="minorHAnsi" w:hAnsiTheme="minorHAnsi"/>
        </w:rPr>
        <w:t xml:space="preserve">Commonwealth’s cost containment goals through the expansion of access to </w:t>
      </w:r>
      <w:r>
        <w:rPr>
          <w:rFonts w:asciiTheme="minorHAnsi" w:hAnsiTheme="minorHAnsi"/>
        </w:rPr>
        <w:t xml:space="preserve">High Acuity Dental Surgeries </w:t>
      </w:r>
      <w:r w:rsidR="0088271D">
        <w:rPr>
          <w:rFonts w:asciiTheme="minorHAnsi" w:hAnsiTheme="minorHAnsi"/>
        </w:rPr>
        <w:t xml:space="preserve">in </w:t>
      </w:r>
      <w:r>
        <w:rPr>
          <w:rFonts w:asciiTheme="minorHAnsi" w:hAnsiTheme="minorHAnsi"/>
        </w:rPr>
        <w:t>a clinically appropriate,</w:t>
      </w:r>
      <w:r w:rsidR="006D21ED">
        <w:rPr>
          <w:rFonts w:asciiTheme="minorHAnsi" w:hAnsiTheme="minorHAnsi"/>
        </w:rPr>
        <w:t xml:space="preserve"> </w:t>
      </w:r>
      <w:r w:rsidRPr="00622C22">
        <w:rPr>
          <w:rFonts w:asciiTheme="minorHAnsi" w:hAnsiTheme="minorHAnsi"/>
        </w:rPr>
        <w:t>lower cost setting.</w:t>
      </w:r>
      <w:r w:rsidR="00AD415C" w:rsidRPr="00AD415C">
        <w:rPr>
          <w:rFonts w:asciiTheme="minorHAnsi" w:hAnsiTheme="minorHAnsi"/>
        </w:rPr>
        <w:t xml:space="preserve"> </w:t>
      </w:r>
      <w:r w:rsidR="7AE78C2B" w:rsidRPr="28157CC0">
        <w:rPr>
          <w:rFonts w:asciiTheme="minorHAnsi" w:hAnsiTheme="minorHAnsi"/>
        </w:rPr>
        <w:t>Therefore, DoN Staff conclude that the Proposed Project will likely meet the cost containment component of Factor 2.</w:t>
      </w:r>
    </w:p>
    <w:p w14:paraId="04479D09" w14:textId="77777777" w:rsidR="00517020" w:rsidRDefault="00517020" w:rsidP="00C316C3">
      <w:pPr>
        <w:pStyle w:val="BodyText"/>
        <w:rPr>
          <w:rFonts w:asciiTheme="minorHAnsi" w:hAnsiTheme="minorHAnsi"/>
          <w:sz w:val="25"/>
        </w:rPr>
      </w:pPr>
    </w:p>
    <w:p w14:paraId="50E0241F" w14:textId="77777777" w:rsidR="00E41D12" w:rsidRDefault="00A4110F" w:rsidP="002A24A4">
      <w:r w:rsidRPr="002A24A4">
        <w:rPr>
          <w:rFonts w:asciiTheme="minorHAnsi" w:hAnsiTheme="minorHAnsi"/>
          <w:b/>
          <w:bCs/>
        </w:rPr>
        <w:t>Improved Public Health Outcomes</w:t>
      </w:r>
    </w:p>
    <w:p w14:paraId="1198F712" w14:textId="39CA2DC9" w:rsidR="006E4733" w:rsidRPr="00E41D12" w:rsidRDefault="00E41D12" w:rsidP="002A24A4">
      <w:r w:rsidRPr="00E41D12">
        <w:t xml:space="preserve">As detailed in Factor 1b, improved access to </w:t>
      </w:r>
      <w:r>
        <w:t>High Acuity Dental Surgeries in the ASC setting</w:t>
      </w:r>
      <w:r w:rsidRPr="00E41D12">
        <w:t xml:space="preserve"> through the Proposed Project has</w:t>
      </w:r>
      <w:r>
        <w:t xml:space="preserve"> </w:t>
      </w:r>
      <w:r w:rsidRPr="00E41D12">
        <w:t xml:space="preserve">the potential to </w:t>
      </w:r>
      <w:r>
        <w:t xml:space="preserve">reduce barriers to accessing such care and </w:t>
      </w:r>
      <w:r w:rsidRPr="00E41D12">
        <w:t>improve health outcomes</w:t>
      </w:r>
      <w:r>
        <w:t xml:space="preserve"> and quality of life for the Applicant’s Patient Panel</w:t>
      </w:r>
      <w:r w:rsidRPr="00E41D12">
        <w:t xml:space="preserve">. </w:t>
      </w:r>
      <w:r w:rsidR="000E5C1F" w:rsidRPr="000E5C1F">
        <w:t>The Center will be designed to meet the specific care needs of the Applicant’s Patient Panel, supporting a patient-centered experience.</w:t>
      </w:r>
      <w:r w:rsidR="00B95888" w:rsidRPr="00B95888">
        <w:t xml:space="preserve"> The Center will use the Applicant’s existing national model to ensure that the Center has appropriate staffing, equipment and supplies to meet the needs of its patients. </w:t>
      </w:r>
      <w:r w:rsidR="000E5C1F" w:rsidRPr="000E5C1F">
        <w:t xml:space="preserve">  </w:t>
      </w:r>
    </w:p>
    <w:p w14:paraId="440D07CB" w14:textId="77777777" w:rsidR="006E4733" w:rsidRPr="005C1E53" w:rsidRDefault="006E4733" w:rsidP="002A24A4"/>
    <w:p w14:paraId="259E9A4D" w14:textId="1B37272B" w:rsidR="00B447F3" w:rsidRPr="009A0C61" w:rsidRDefault="00A4110F" w:rsidP="00C316C3">
      <w:pPr>
        <w:rPr>
          <w:rFonts w:asciiTheme="minorHAnsi" w:hAnsiTheme="minorHAnsi"/>
          <w:b/>
          <w:bCs/>
          <w:i/>
          <w:iCs/>
        </w:rPr>
      </w:pPr>
      <w:r w:rsidRPr="009A0C61">
        <w:rPr>
          <w:rFonts w:asciiTheme="minorHAnsi" w:hAnsiTheme="minorHAnsi"/>
          <w:b/>
          <w:bCs/>
          <w:i/>
          <w:iCs/>
        </w:rPr>
        <w:lastRenderedPageBreak/>
        <w:t>Analysis: Public Health Outcomes</w:t>
      </w:r>
    </w:p>
    <w:p w14:paraId="0F0EDC1B" w14:textId="4DB14627" w:rsidR="00A903C8" w:rsidRDefault="5C2AE65A" w:rsidP="28157CC0">
      <w:pPr>
        <w:pStyle w:val="BodyText"/>
        <w:rPr>
          <w:rFonts w:asciiTheme="minorHAnsi" w:hAnsiTheme="minorHAnsi"/>
        </w:rPr>
      </w:pPr>
      <w:r w:rsidRPr="28157CC0">
        <w:rPr>
          <w:rFonts w:asciiTheme="minorHAnsi" w:hAnsiTheme="minorHAnsi"/>
        </w:rPr>
        <w:t>Staff finds that</w:t>
      </w:r>
      <w:r w:rsidR="00B95888">
        <w:rPr>
          <w:rFonts w:asciiTheme="minorHAnsi" w:hAnsiTheme="minorHAnsi"/>
        </w:rPr>
        <w:t xml:space="preserve"> the Applicant has demonstrated that the Proposed Project can </w:t>
      </w:r>
      <w:r w:rsidR="003C0D42" w:rsidRPr="003C0D42">
        <w:rPr>
          <w:rFonts w:asciiTheme="minorHAnsi" w:hAnsiTheme="minorHAnsi"/>
        </w:rPr>
        <w:t xml:space="preserve">reduce delays in </w:t>
      </w:r>
      <w:r w:rsidR="003C0D42">
        <w:rPr>
          <w:rFonts w:asciiTheme="minorHAnsi" w:hAnsiTheme="minorHAnsi"/>
        </w:rPr>
        <w:t xml:space="preserve">accessing High Acuity Dental Surgeries and </w:t>
      </w:r>
      <w:r w:rsidR="00B95888">
        <w:rPr>
          <w:rFonts w:asciiTheme="minorHAnsi" w:hAnsiTheme="minorHAnsi"/>
        </w:rPr>
        <w:t xml:space="preserve">improve health outcomes and quality of life for the </w:t>
      </w:r>
      <w:r w:rsidR="00B51ABC">
        <w:rPr>
          <w:rFonts w:asciiTheme="minorHAnsi" w:hAnsiTheme="minorHAnsi"/>
        </w:rPr>
        <w:t>Applicant’s Patient Panel</w:t>
      </w:r>
      <w:r w:rsidR="4FDC3106" w:rsidRPr="28157CC0">
        <w:rPr>
          <w:rFonts w:asciiTheme="minorHAnsi" w:hAnsiTheme="minorHAnsi"/>
        </w:rPr>
        <w:t xml:space="preserve">. </w:t>
      </w:r>
      <w:r w:rsidRPr="28157CC0">
        <w:rPr>
          <w:rFonts w:asciiTheme="minorHAnsi" w:hAnsiTheme="minorHAnsi"/>
        </w:rPr>
        <w:t>Therefore, DoN Staff</w:t>
      </w:r>
      <w:r w:rsidRPr="28157CC0" w:rsidDel="00A123C8">
        <w:rPr>
          <w:rFonts w:asciiTheme="minorHAnsi" w:hAnsiTheme="minorHAnsi"/>
        </w:rPr>
        <w:t xml:space="preserve"> </w:t>
      </w:r>
      <w:r w:rsidRPr="28157CC0">
        <w:rPr>
          <w:rFonts w:asciiTheme="minorHAnsi" w:hAnsiTheme="minorHAnsi"/>
        </w:rPr>
        <w:t>conclude that the Proposed Project will likely meet the Public Health Outcomes component of Factor 2.</w:t>
      </w:r>
    </w:p>
    <w:p w14:paraId="451016C6" w14:textId="77777777" w:rsidR="00EE2998" w:rsidRDefault="00EE2998" w:rsidP="00C316C3">
      <w:pPr>
        <w:pStyle w:val="BodyText"/>
        <w:rPr>
          <w:rFonts w:asciiTheme="minorHAnsi" w:hAnsiTheme="minorHAnsi"/>
        </w:rPr>
      </w:pPr>
    </w:p>
    <w:p w14:paraId="5A5B5207" w14:textId="15BDBFAC" w:rsidR="00B447F3" w:rsidRPr="00E71F7C" w:rsidRDefault="00A4110F" w:rsidP="00C316C3">
      <w:pPr>
        <w:rPr>
          <w:rFonts w:asciiTheme="minorHAnsi" w:hAnsiTheme="minorHAnsi"/>
          <w:b/>
          <w:bCs/>
        </w:rPr>
      </w:pPr>
      <w:r w:rsidRPr="00E71F7C">
        <w:rPr>
          <w:rFonts w:asciiTheme="minorHAnsi" w:hAnsiTheme="minorHAnsi"/>
          <w:b/>
          <w:bCs/>
        </w:rPr>
        <w:t>Delivery System Transformation</w:t>
      </w:r>
    </w:p>
    <w:p w14:paraId="329CEC8F" w14:textId="21BA89AC" w:rsidR="007623D1" w:rsidRDefault="005E7C6D" w:rsidP="00C316C3">
      <w:pPr>
        <w:pStyle w:val="BodyText"/>
        <w:rPr>
          <w:rFonts w:asciiTheme="minorHAnsi" w:hAnsiTheme="minorHAnsi"/>
        </w:rPr>
      </w:pPr>
      <w:r>
        <w:rPr>
          <w:rFonts w:asciiTheme="minorHAnsi" w:hAnsiTheme="minorHAnsi"/>
        </w:rPr>
        <w:t xml:space="preserve">The Applicant states that </w:t>
      </w:r>
      <w:r w:rsidR="00175EC8">
        <w:rPr>
          <w:rFonts w:asciiTheme="minorHAnsi" w:hAnsiTheme="minorHAnsi"/>
        </w:rPr>
        <w:t>during the pre-surgery exam</w:t>
      </w:r>
      <w:r>
        <w:rPr>
          <w:rFonts w:asciiTheme="minorHAnsi" w:hAnsiTheme="minorHAnsi"/>
        </w:rPr>
        <w:t>, patients will be evaluated for health needs</w:t>
      </w:r>
      <w:r w:rsidR="002706BF">
        <w:rPr>
          <w:rFonts w:asciiTheme="minorHAnsi" w:hAnsiTheme="minorHAnsi"/>
        </w:rPr>
        <w:t xml:space="preserve">, </w:t>
      </w:r>
      <w:r>
        <w:rPr>
          <w:rFonts w:asciiTheme="minorHAnsi" w:hAnsiTheme="minorHAnsi"/>
        </w:rPr>
        <w:t xml:space="preserve">potential safety concerns </w:t>
      </w:r>
      <w:r w:rsidR="00175EC8" w:rsidRPr="00175EC8">
        <w:rPr>
          <w:rFonts w:asciiTheme="minorHAnsi" w:hAnsiTheme="minorHAnsi"/>
        </w:rPr>
        <w:t xml:space="preserve">and post-operative transportation needs </w:t>
      </w:r>
      <w:r>
        <w:rPr>
          <w:rFonts w:asciiTheme="minorHAnsi" w:hAnsiTheme="minorHAnsi"/>
        </w:rPr>
        <w:t xml:space="preserve">using a Patient Assessment and Health Questionnaire developed to meet the unique needs of the Patient Panel and stored in the EMR. </w:t>
      </w:r>
      <w:r w:rsidR="00517CB0">
        <w:rPr>
          <w:rFonts w:asciiTheme="minorHAnsi" w:hAnsiTheme="minorHAnsi"/>
        </w:rPr>
        <w:t>If any social needs are identified, the Applicant will refer a patient for needed services or support through its partnership with FQH</w:t>
      </w:r>
      <w:r w:rsidR="00C837B8">
        <w:rPr>
          <w:rFonts w:asciiTheme="minorHAnsi" w:hAnsiTheme="minorHAnsi"/>
        </w:rPr>
        <w:t>C</w:t>
      </w:r>
      <w:r w:rsidR="00517CB0">
        <w:rPr>
          <w:rFonts w:asciiTheme="minorHAnsi" w:hAnsiTheme="minorHAnsi"/>
        </w:rPr>
        <w:t>s</w:t>
      </w:r>
      <w:r w:rsidR="00C837B8">
        <w:rPr>
          <w:rFonts w:asciiTheme="minorHAnsi" w:hAnsiTheme="minorHAnsi"/>
        </w:rPr>
        <w:t xml:space="preserve"> and patients</w:t>
      </w:r>
      <w:r w:rsidR="004D0A02">
        <w:rPr>
          <w:rFonts w:asciiTheme="minorHAnsi" w:hAnsiTheme="minorHAnsi"/>
        </w:rPr>
        <w:t>’</w:t>
      </w:r>
      <w:r w:rsidR="00C837B8">
        <w:rPr>
          <w:rFonts w:asciiTheme="minorHAnsi" w:hAnsiTheme="minorHAnsi"/>
        </w:rPr>
        <w:t xml:space="preserve"> dental homes</w:t>
      </w:r>
      <w:r w:rsidR="00517CB0">
        <w:rPr>
          <w:rFonts w:asciiTheme="minorHAnsi" w:hAnsiTheme="minorHAnsi"/>
        </w:rPr>
        <w:t xml:space="preserve">. </w:t>
      </w:r>
      <w:r w:rsidR="00E649AB">
        <w:rPr>
          <w:rFonts w:asciiTheme="minorHAnsi" w:hAnsiTheme="minorHAnsi"/>
        </w:rPr>
        <w:t xml:space="preserve">Additionally, the Applicant’s discharge planning process focuses on a patient’s individualized goals and treatment preferences to support an effective transition for the patient and their family/caregivers from the Center back to their primary dental home. </w:t>
      </w:r>
    </w:p>
    <w:p w14:paraId="492FC46C" w14:textId="77777777" w:rsidR="00FF47FA" w:rsidRDefault="00FF47FA" w:rsidP="00C316C3">
      <w:pPr>
        <w:pStyle w:val="BodyText"/>
        <w:rPr>
          <w:rFonts w:asciiTheme="minorHAnsi" w:hAnsiTheme="minorHAnsi"/>
        </w:rPr>
      </w:pPr>
    </w:p>
    <w:p w14:paraId="070B40EB" w14:textId="77777777" w:rsidR="00B447F3" w:rsidRPr="009A0C61" w:rsidRDefault="00A4110F" w:rsidP="00C316C3">
      <w:pPr>
        <w:rPr>
          <w:rFonts w:asciiTheme="minorHAnsi" w:hAnsiTheme="minorHAnsi"/>
          <w:b/>
          <w:bCs/>
          <w:i/>
          <w:iCs/>
        </w:rPr>
      </w:pPr>
      <w:r w:rsidRPr="009A0C61">
        <w:rPr>
          <w:rFonts w:asciiTheme="minorHAnsi" w:hAnsiTheme="minorHAnsi"/>
          <w:b/>
          <w:bCs/>
          <w:i/>
          <w:iCs/>
        </w:rPr>
        <w:t>Analysis: Delivery System Transformation</w:t>
      </w:r>
    </w:p>
    <w:p w14:paraId="20D413FB" w14:textId="3667A99B" w:rsidR="006E5ABF" w:rsidRDefault="004D0A02" w:rsidP="28157CC0">
      <w:pPr>
        <w:rPr>
          <w:rFonts w:asciiTheme="minorHAnsi" w:hAnsiTheme="minorHAnsi"/>
        </w:rPr>
      </w:pPr>
      <w:r>
        <w:rPr>
          <w:rFonts w:asciiTheme="minorHAnsi" w:hAnsiTheme="minorHAnsi"/>
        </w:rPr>
        <w:t>The Applicant has demonstrated that the Center will have a process in place to screen for social health needs, and provide assistance</w:t>
      </w:r>
      <w:r w:rsidR="00392485">
        <w:rPr>
          <w:rFonts w:asciiTheme="minorHAnsi" w:hAnsiTheme="minorHAnsi"/>
        </w:rPr>
        <w:t xml:space="preserve"> and</w:t>
      </w:r>
      <w:r>
        <w:rPr>
          <w:rFonts w:asciiTheme="minorHAnsi" w:hAnsiTheme="minorHAnsi"/>
        </w:rPr>
        <w:t xml:space="preserve"> referrals for positive screens, including for transportation. </w:t>
      </w:r>
      <w:r w:rsidR="00614347" w:rsidRPr="00614347">
        <w:rPr>
          <w:rFonts w:asciiTheme="minorHAnsi" w:hAnsiTheme="minorHAnsi"/>
        </w:rPr>
        <w:t>Therefore, DoN Staff can conclude that the Proposed Project will likely meet the Delivery System Transformation component of Factor 2.</w:t>
      </w:r>
    </w:p>
    <w:p w14:paraId="58B75DAB" w14:textId="77777777" w:rsidR="005B3BBE" w:rsidRDefault="005B3BBE" w:rsidP="28157CC0">
      <w:pPr>
        <w:rPr>
          <w:rFonts w:asciiTheme="minorHAnsi" w:hAnsiTheme="minorHAnsi"/>
        </w:rPr>
      </w:pPr>
    </w:p>
    <w:p w14:paraId="60BFBCEB" w14:textId="77777777" w:rsidR="001A7803" w:rsidRDefault="001A7803" w:rsidP="00C316C3">
      <w:pPr>
        <w:rPr>
          <w:rFonts w:asciiTheme="minorHAnsi" w:hAnsiTheme="minorHAnsi"/>
        </w:rPr>
      </w:pPr>
    </w:p>
    <w:p w14:paraId="62929AAA" w14:textId="419763CD" w:rsidR="00B447F3" w:rsidRDefault="0037406F" w:rsidP="00923435">
      <w:pPr>
        <w:pStyle w:val="Heading2"/>
      </w:pPr>
      <w:bookmarkStart w:id="18" w:name="_Toc241131195"/>
      <w:r>
        <w:t>Summary</w:t>
      </w:r>
      <w:r w:rsidR="00A63487">
        <w:t>, Factor 2</w:t>
      </w:r>
      <w:bookmarkEnd w:id="18"/>
      <w:r>
        <w:t xml:space="preserve"> </w:t>
      </w:r>
    </w:p>
    <w:p w14:paraId="49BF185E" w14:textId="77777777" w:rsidR="0037406F" w:rsidRPr="0037406F" w:rsidRDefault="0037406F" w:rsidP="00C316C3">
      <w:pPr>
        <w:rPr>
          <w:rFonts w:asciiTheme="minorHAnsi" w:hAnsiTheme="minorHAnsi"/>
        </w:rPr>
      </w:pPr>
      <w:r w:rsidRPr="0037406F">
        <w:rPr>
          <w:rFonts w:asciiTheme="minorHAnsi" w:hAnsiTheme="minorHAnsi"/>
        </w:rPr>
        <w:t>As a result of information provided by the Applicant and additional analysis, staff finds that with</w:t>
      </w:r>
    </w:p>
    <w:p w14:paraId="285765B0" w14:textId="66FF3478" w:rsidR="0037406F" w:rsidRDefault="50DCD95B" w:rsidP="28157CC0">
      <w:pPr>
        <w:rPr>
          <w:rFonts w:asciiTheme="minorHAnsi" w:hAnsiTheme="minorHAnsi"/>
        </w:rPr>
      </w:pPr>
      <w:r w:rsidRPr="28157CC0">
        <w:rPr>
          <w:rFonts w:asciiTheme="minorHAnsi" w:hAnsiTheme="minorHAnsi"/>
        </w:rPr>
        <w:t xml:space="preserve">the </w:t>
      </w:r>
      <w:r w:rsidR="25D2D344" w:rsidRPr="28157CC0">
        <w:rPr>
          <w:rFonts w:asciiTheme="minorHAnsi" w:hAnsiTheme="minorHAnsi"/>
        </w:rPr>
        <w:t>standard reporting conditions, the Applicant demonstrated that the Proposed Project</w:t>
      </w:r>
      <w:r w:rsidR="74B4F20B" w:rsidRPr="28157CC0">
        <w:rPr>
          <w:rFonts w:asciiTheme="minorHAnsi" w:hAnsiTheme="minorHAnsi"/>
        </w:rPr>
        <w:t xml:space="preserve"> </w:t>
      </w:r>
      <w:r w:rsidR="25D2D344" w:rsidRPr="28157CC0">
        <w:rPr>
          <w:rFonts w:asciiTheme="minorHAnsi" w:hAnsiTheme="minorHAnsi"/>
        </w:rPr>
        <w:t>has met Factor 2.</w:t>
      </w:r>
    </w:p>
    <w:p w14:paraId="26EE917E" w14:textId="77777777" w:rsidR="00361238" w:rsidRDefault="00361238" w:rsidP="00C316C3">
      <w:pPr>
        <w:rPr>
          <w:rFonts w:asciiTheme="minorHAnsi" w:hAnsiTheme="minorHAnsi"/>
        </w:rPr>
      </w:pPr>
    </w:p>
    <w:p w14:paraId="0BE36815" w14:textId="77777777" w:rsidR="00B447F3" w:rsidRPr="003436F0" w:rsidRDefault="00A4110F" w:rsidP="00923435">
      <w:pPr>
        <w:pStyle w:val="Heading2"/>
      </w:pPr>
      <w:bookmarkStart w:id="19" w:name="Factor_3:_Relevant_Licensure/Oversight_C"/>
      <w:bookmarkStart w:id="20" w:name="_Toc241131196"/>
      <w:bookmarkEnd w:id="19"/>
      <w:r w:rsidRPr="003436F0">
        <w:t>Factor 3: Relevant Licensure/Oversight Compliance</w:t>
      </w:r>
      <w:bookmarkEnd w:id="20"/>
    </w:p>
    <w:p w14:paraId="01533F5A" w14:textId="16FF34CB" w:rsidR="00B447F3" w:rsidRDefault="305CB7EF" w:rsidP="28157CC0">
      <w:pPr>
        <w:pStyle w:val="BodyText"/>
        <w:ind w:right="321"/>
        <w:rPr>
          <w:rFonts w:asciiTheme="minorHAnsi" w:hAnsiTheme="minorHAnsi"/>
        </w:rPr>
      </w:pPr>
      <w:r w:rsidRPr="28157CC0">
        <w:rPr>
          <w:rFonts w:asciiTheme="minorHAnsi" w:hAnsiTheme="minorHAnsi"/>
        </w:rPr>
        <w:t>The Applicant provided evidence of compliance and good standing with federal, state, and local laws and regulation</w:t>
      </w:r>
      <w:r w:rsidR="5F57E9ED" w:rsidRPr="28157CC0">
        <w:rPr>
          <w:rFonts w:asciiTheme="minorHAnsi" w:hAnsiTheme="minorHAnsi"/>
        </w:rPr>
        <w:t xml:space="preserve">s. This </w:t>
      </w:r>
      <w:r w:rsidRPr="28157CC0">
        <w:rPr>
          <w:rFonts w:asciiTheme="minorHAnsi" w:hAnsiTheme="minorHAnsi"/>
        </w:rPr>
        <w:t>will not be addressed further in this report. As a result of information provided by the Applicant, staff finds the Applicant has reasonably met the standards of Factor 3.</w:t>
      </w:r>
    </w:p>
    <w:p w14:paraId="0F6A597B" w14:textId="77777777" w:rsidR="001750B6" w:rsidRDefault="001750B6" w:rsidP="00C316C3">
      <w:pPr>
        <w:pStyle w:val="BodyText"/>
        <w:ind w:right="321"/>
        <w:rPr>
          <w:rFonts w:asciiTheme="minorHAnsi" w:hAnsiTheme="minorHAnsi"/>
        </w:rPr>
      </w:pPr>
    </w:p>
    <w:p w14:paraId="3DDFCA58" w14:textId="4840B850" w:rsidR="00B447F3" w:rsidRPr="003436F0" w:rsidRDefault="00A4110F" w:rsidP="00923435">
      <w:pPr>
        <w:pStyle w:val="Heading2"/>
      </w:pPr>
      <w:bookmarkStart w:id="21" w:name="Factor_4:_Demonstration_of_Sufficient_Fu"/>
      <w:bookmarkStart w:id="22" w:name="_Toc241131197"/>
      <w:bookmarkEnd w:id="21"/>
      <w:r w:rsidRPr="003436F0">
        <w:t xml:space="preserve">Factor 4: </w:t>
      </w:r>
      <w:r w:rsidR="0076798C">
        <w:t xml:space="preserve">Financial </w:t>
      </w:r>
      <w:r w:rsidR="00AE7940">
        <w:t>Feasibility</w:t>
      </w:r>
      <w:bookmarkEnd w:id="22"/>
    </w:p>
    <w:p w14:paraId="4D625B2C" w14:textId="56C9FA18" w:rsidR="00B447F3" w:rsidRPr="003436F0" w:rsidRDefault="00A4110F" w:rsidP="00725175">
      <w:pPr>
        <w:pStyle w:val="BodyText"/>
        <w:ind w:right="306"/>
        <w:rPr>
          <w:rFonts w:asciiTheme="minorHAnsi" w:hAnsiTheme="minorHAnsi"/>
        </w:rPr>
      </w:pPr>
      <w:r w:rsidRPr="003436F0">
        <w:rPr>
          <w:rFonts w:asciiTheme="minorHAnsi" w:hAnsiTheme="minorHAnsi"/>
        </w:rPr>
        <w:t xml:space="preserve">Under Factor 4, the Applicant must demonstrate that it has sufficient funds available for capital and operating costs necessary to support the Proposed Project without negative effects or consequences to the existing Patient Panel. Documentation sufficient to make such finding must be supported by an analysis conducted by an independent </w:t>
      </w:r>
      <w:r w:rsidR="00A90BE7">
        <w:rPr>
          <w:rFonts w:asciiTheme="minorHAnsi" w:hAnsiTheme="minorHAnsi"/>
        </w:rPr>
        <w:t>certified public accountant (</w:t>
      </w:r>
      <w:r w:rsidRPr="003436F0">
        <w:rPr>
          <w:rFonts w:asciiTheme="minorHAnsi" w:hAnsiTheme="minorHAnsi"/>
        </w:rPr>
        <w:t>CPA</w:t>
      </w:r>
      <w:r w:rsidR="00A90BE7">
        <w:rPr>
          <w:rFonts w:asciiTheme="minorHAnsi" w:hAnsiTheme="minorHAnsi"/>
        </w:rPr>
        <w:t>)</w:t>
      </w:r>
      <w:r w:rsidRPr="003436F0">
        <w:rPr>
          <w:rFonts w:asciiTheme="minorHAnsi" w:hAnsiTheme="minorHAnsi"/>
        </w:rPr>
        <w:t xml:space="preserve">. The Applicant submitted a report performed </w:t>
      </w:r>
      <w:r w:rsidR="00B2636C">
        <w:rPr>
          <w:rFonts w:asciiTheme="minorHAnsi" w:hAnsiTheme="minorHAnsi"/>
        </w:rPr>
        <w:t xml:space="preserve">by </w:t>
      </w:r>
      <w:r w:rsidR="00C459AD">
        <w:rPr>
          <w:rFonts w:asciiTheme="minorHAnsi" w:hAnsiTheme="minorHAnsi"/>
        </w:rPr>
        <w:t>BDO</w:t>
      </w:r>
      <w:r w:rsidR="00DA7D8E">
        <w:rPr>
          <w:rFonts w:asciiTheme="minorHAnsi" w:hAnsiTheme="minorHAnsi"/>
        </w:rPr>
        <w:t xml:space="preserve"> </w:t>
      </w:r>
      <w:r w:rsidRPr="003436F0">
        <w:rPr>
          <w:rFonts w:asciiTheme="minorHAnsi" w:hAnsiTheme="minorHAnsi"/>
        </w:rPr>
        <w:t>(CPA Report).</w:t>
      </w:r>
      <w:r w:rsidR="004466F3">
        <w:rPr>
          <w:rFonts w:asciiTheme="minorHAnsi" w:hAnsiTheme="minorHAnsi"/>
        </w:rPr>
        <w:t xml:space="preserve"> </w:t>
      </w:r>
    </w:p>
    <w:p w14:paraId="51509295" w14:textId="119CD433" w:rsidR="00B447F3" w:rsidRDefault="00B447F3" w:rsidP="00C316C3">
      <w:pPr>
        <w:pStyle w:val="BodyText"/>
        <w:rPr>
          <w:rFonts w:asciiTheme="minorHAnsi" w:hAnsiTheme="minorHAnsi"/>
        </w:rPr>
      </w:pPr>
    </w:p>
    <w:p w14:paraId="777F0109" w14:textId="2149C594" w:rsidR="007E6079" w:rsidRDefault="29DC4F6C" w:rsidP="28157CC0">
      <w:pPr>
        <w:pStyle w:val="BodyText"/>
        <w:rPr>
          <w:rFonts w:asciiTheme="minorHAnsi" w:hAnsiTheme="minorHAnsi"/>
        </w:rPr>
      </w:pPr>
      <w:r w:rsidRPr="28157CC0">
        <w:rPr>
          <w:rFonts w:asciiTheme="minorHAnsi" w:hAnsiTheme="minorHAnsi"/>
        </w:rPr>
        <w:t xml:space="preserve">The CPA analysis included a review of numerous documents </w:t>
      </w:r>
      <w:r w:rsidR="002E0C7F">
        <w:rPr>
          <w:rFonts w:asciiTheme="minorHAnsi" w:hAnsiTheme="minorHAnsi"/>
        </w:rPr>
        <w:t xml:space="preserve">and an analysis of the projected operations of the Center </w:t>
      </w:r>
      <w:r w:rsidRPr="28157CC0">
        <w:rPr>
          <w:rFonts w:asciiTheme="minorHAnsi" w:hAnsiTheme="minorHAnsi"/>
        </w:rPr>
        <w:t>in order to form an opinion as to the reasonableness and feasibility of the projections regarding the Proposed Project.</w:t>
      </w:r>
      <w:r w:rsidR="09D689D9" w:rsidRPr="28157CC0">
        <w:rPr>
          <w:rFonts w:asciiTheme="minorHAnsi" w:hAnsiTheme="minorHAnsi"/>
        </w:rPr>
        <w:t xml:space="preserve"> </w:t>
      </w:r>
      <w:r w:rsidR="095FE5B2" w:rsidRPr="28157CC0">
        <w:rPr>
          <w:rFonts w:asciiTheme="minorHAnsi" w:hAnsiTheme="minorHAnsi"/>
        </w:rPr>
        <w:t xml:space="preserve">The projections are deemed </w:t>
      </w:r>
      <w:r w:rsidR="0C984ED9" w:rsidRPr="28157CC0">
        <w:rPr>
          <w:rFonts w:asciiTheme="minorHAnsi" w:hAnsiTheme="minorHAnsi"/>
        </w:rPr>
        <w:t>r</w:t>
      </w:r>
      <w:r w:rsidR="09D689D9" w:rsidRPr="28157CC0">
        <w:rPr>
          <w:rFonts w:asciiTheme="minorHAnsi" w:hAnsiTheme="minorHAnsi"/>
        </w:rPr>
        <w:t>easonable</w:t>
      </w:r>
      <w:r w:rsidR="0A9A72EC" w:rsidRPr="28157CC0">
        <w:rPr>
          <w:rFonts w:asciiTheme="minorHAnsi" w:hAnsiTheme="minorHAnsi"/>
        </w:rPr>
        <w:t>,</w:t>
      </w:r>
      <w:r w:rsidR="00FF745B">
        <w:rPr>
          <w:rFonts w:asciiTheme="minorHAnsi" w:hAnsiTheme="minorHAnsi"/>
        </w:rPr>
        <w:t xml:space="preserve"> </w:t>
      </w:r>
      <w:r w:rsidR="09D689D9" w:rsidRPr="28157CC0">
        <w:rPr>
          <w:rFonts w:asciiTheme="minorHAnsi" w:hAnsiTheme="minorHAnsi"/>
        </w:rPr>
        <w:t>within the context of this report</w:t>
      </w:r>
      <w:r w:rsidR="12A7FE06" w:rsidRPr="28157CC0">
        <w:rPr>
          <w:rFonts w:asciiTheme="minorHAnsi" w:hAnsiTheme="minorHAnsi"/>
        </w:rPr>
        <w:t>, if they are</w:t>
      </w:r>
      <w:r w:rsidR="004E50A3">
        <w:rPr>
          <w:rFonts w:asciiTheme="minorHAnsi" w:hAnsiTheme="minorHAnsi"/>
        </w:rPr>
        <w:t xml:space="preserve"> </w:t>
      </w:r>
      <w:r w:rsidR="012D5763" w:rsidRPr="28157CC0">
        <w:rPr>
          <w:rFonts w:asciiTheme="minorHAnsi" w:hAnsiTheme="minorHAnsi"/>
        </w:rPr>
        <w:t>supportable and proper</w:t>
      </w:r>
      <w:r w:rsidR="00FF745B">
        <w:rPr>
          <w:rFonts w:asciiTheme="minorHAnsi" w:hAnsiTheme="minorHAnsi"/>
        </w:rPr>
        <w:t xml:space="preserve"> </w:t>
      </w:r>
      <w:r w:rsidR="012D5763" w:rsidRPr="28157CC0">
        <w:rPr>
          <w:rFonts w:asciiTheme="minorHAnsi" w:hAnsiTheme="minorHAnsi"/>
        </w:rPr>
        <w:t xml:space="preserve">given the underlying information. </w:t>
      </w:r>
      <w:r w:rsidR="3EFB719C" w:rsidRPr="28157CC0">
        <w:rPr>
          <w:rFonts w:asciiTheme="minorHAnsi" w:hAnsiTheme="minorHAnsi"/>
        </w:rPr>
        <w:t xml:space="preserve">The </w:t>
      </w:r>
      <w:r w:rsidR="3EFB719C" w:rsidRPr="28157CC0">
        <w:rPr>
          <w:rFonts w:asciiTheme="minorHAnsi" w:hAnsiTheme="minorHAnsi"/>
        </w:rPr>
        <w:lastRenderedPageBreak/>
        <w:t xml:space="preserve">Proposed Project is </w:t>
      </w:r>
      <w:r w:rsidR="00FE6B46" w:rsidRPr="28157CC0">
        <w:rPr>
          <w:rFonts w:asciiTheme="minorHAnsi" w:hAnsiTheme="minorHAnsi"/>
        </w:rPr>
        <w:t>feasible</w:t>
      </w:r>
      <w:r w:rsidR="012D5763" w:rsidRPr="28157CC0">
        <w:rPr>
          <w:rFonts w:asciiTheme="minorHAnsi" w:hAnsiTheme="minorHAnsi"/>
        </w:rPr>
        <w:t xml:space="preserve"> </w:t>
      </w:r>
      <w:r w:rsidR="3E999E48" w:rsidRPr="28157CC0">
        <w:rPr>
          <w:rFonts w:asciiTheme="minorHAnsi" w:hAnsiTheme="minorHAnsi"/>
        </w:rPr>
        <w:t>if,</w:t>
      </w:r>
      <w:r w:rsidR="012D5763" w:rsidRPr="28157CC0">
        <w:rPr>
          <w:rFonts w:asciiTheme="minorHAnsi" w:hAnsiTheme="minorHAnsi"/>
        </w:rPr>
        <w:t xml:space="preserve"> based on the assumptions used, the plan is not likely to result in insufficient funds available for capital and ongoing operating costs necessary to support the Proposed Project without negative impacts o</w:t>
      </w:r>
      <w:r w:rsidR="3C5C26BD" w:rsidRPr="28157CC0">
        <w:rPr>
          <w:rFonts w:asciiTheme="minorHAnsi" w:hAnsiTheme="minorHAnsi"/>
        </w:rPr>
        <w:t>r</w:t>
      </w:r>
      <w:r w:rsidR="012D5763" w:rsidRPr="28157CC0">
        <w:rPr>
          <w:rFonts w:asciiTheme="minorHAnsi" w:hAnsiTheme="minorHAnsi"/>
        </w:rPr>
        <w:t xml:space="preserve"> consequences to </w:t>
      </w:r>
      <w:r w:rsidR="00811FDC">
        <w:rPr>
          <w:rFonts w:asciiTheme="minorHAnsi" w:hAnsiTheme="minorHAnsi"/>
        </w:rPr>
        <w:t>the Applicant’s existing Patient Panel</w:t>
      </w:r>
      <w:r w:rsidR="012D5763" w:rsidRPr="28157CC0">
        <w:rPr>
          <w:rFonts w:asciiTheme="minorHAnsi" w:hAnsiTheme="minorHAnsi"/>
        </w:rPr>
        <w:t>.</w:t>
      </w:r>
    </w:p>
    <w:p w14:paraId="22027425" w14:textId="77777777" w:rsidR="007B3A5E" w:rsidRDefault="007B3A5E" w:rsidP="28157CC0">
      <w:pPr>
        <w:pStyle w:val="BodyText"/>
        <w:rPr>
          <w:rFonts w:asciiTheme="minorHAnsi" w:hAnsiTheme="minorHAnsi"/>
        </w:rPr>
      </w:pPr>
    </w:p>
    <w:p w14:paraId="3DCA145D" w14:textId="0AEB0AD4" w:rsidR="00916F14" w:rsidRDefault="6290250B" w:rsidP="1D93BCA9">
      <w:pPr>
        <w:pStyle w:val="BodyText"/>
        <w:rPr>
          <w:rFonts w:asciiTheme="minorHAnsi" w:hAnsiTheme="minorHAnsi"/>
        </w:rPr>
      </w:pPr>
      <w:r w:rsidRPr="1D93BCA9">
        <w:rPr>
          <w:rFonts w:asciiTheme="minorHAnsi" w:hAnsiTheme="minorHAnsi"/>
        </w:rPr>
        <w:t xml:space="preserve">To arrive at its conclusions, the scope of the CPA </w:t>
      </w:r>
      <w:r w:rsidR="4BEEBB48" w:rsidRPr="1D93BCA9">
        <w:rPr>
          <w:rFonts w:asciiTheme="minorHAnsi" w:hAnsiTheme="minorHAnsi"/>
        </w:rPr>
        <w:t>R</w:t>
      </w:r>
      <w:r w:rsidRPr="1D93BCA9">
        <w:rPr>
          <w:rFonts w:asciiTheme="minorHAnsi" w:hAnsiTheme="minorHAnsi"/>
        </w:rPr>
        <w:t xml:space="preserve">eport is limited to an analysis of the </w:t>
      </w:r>
      <w:r w:rsidR="002F2574">
        <w:rPr>
          <w:rFonts w:asciiTheme="minorHAnsi" w:hAnsiTheme="minorHAnsi"/>
        </w:rPr>
        <w:t>six</w:t>
      </w:r>
      <w:r w:rsidRPr="1D93BCA9">
        <w:rPr>
          <w:rFonts w:asciiTheme="minorHAnsi" w:hAnsiTheme="minorHAnsi"/>
        </w:rPr>
        <w:t xml:space="preserve">-year Projections for the fiscal years ending </w:t>
      </w:r>
      <w:r w:rsidR="00257EFD" w:rsidRPr="1D93BCA9">
        <w:rPr>
          <w:rFonts w:asciiTheme="minorHAnsi" w:hAnsiTheme="minorHAnsi"/>
        </w:rPr>
        <w:t xml:space="preserve">December </w:t>
      </w:r>
      <w:r w:rsidR="008B0AB6" w:rsidRPr="1D93BCA9">
        <w:rPr>
          <w:rFonts w:asciiTheme="minorHAnsi" w:hAnsiTheme="minorHAnsi"/>
        </w:rPr>
        <w:t>31</w:t>
      </w:r>
      <w:r w:rsidR="006A707D" w:rsidRPr="1D93BCA9">
        <w:rPr>
          <w:rFonts w:asciiTheme="minorHAnsi" w:hAnsiTheme="minorHAnsi"/>
        </w:rPr>
        <w:t xml:space="preserve">, </w:t>
      </w:r>
      <w:r w:rsidR="44F2EA15" w:rsidRPr="1D93BCA9">
        <w:rPr>
          <w:rFonts w:asciiTheme="minorHAnsi" w:hAnsiTheme="minorHAnsi"/>
        </w:rPr>
        <w:t>202</w:t>
      </w:r>
      <w:r w:rsidR="00AD07EA" w:rsidRPr="1D93BCA9">
        <w:rPr>
          <w:rFonts w:asciiTheme="minorHAnsi" w:hAnsiTheme="minorHAnsi"/>
        </w:rPr>
        <w:t>6</w:t>
      </w:r>
      <w:r w:rsidRPr="1D93BCA9">
        <w:rPr>
          <w:rFonts w:asciiTheme="minorHAnsi" w:hAnsiTheme="minorHAnsi"/>
        </w:rPr>
        <w:t xml:space="preserve"> through </w:t>
      </w:r>
      <w:r w:rsidR="008B0AB6" w:rsidRPr="1D93BCA9">
        <w:rPr>
          <w:rFonts w:asciiTheme="minorHAnsi" w:hAnsiTheme="minorHAnsi"/>
        </w:rPr>
        <w:t>December 31</w:t>
      </w:r>
      <w:r w:rsidR="006A707D" w:rsidRPr="1D93BCA9">
        <w:rPr>
          <w:rFonts w:asciiTheme="minorHAnsi" w:hAnsiTheme="minorHAnsi"/>
        </w:rPr>
        <w:t xml:space="preserve">, </w:t>
      </w:r>
      <w:r w:rsidRPr="1D93BCA9">
        <w:rPr>
          <w:rFonts w:asciiTheme="minorHAnsi" w:hAnsiTheme="minorHAnsi"/>
        </w:rPr>
        <w:t>20</w:t>
      </w:r>
      <w:r w:rsidR="00794B2B" w:rsidRPr="1D93BCA9">
        <w:rPr>
          <w:rFonts w:asciiTheme="minorHAnsi" w:hAnsiTheme="minorHAnsi"/>
        </w:rPr>
        <w:t>3</w:t>
      </w:r>
      <w:r w:rsidR="008B0AB6" w:rsidRPr="1D93BCA9">
        <w:rPr>
          <w:rFonts w:asciiTheme="minorHAnsi" w:hAnsiTheme="minorHAnsi"/>
        </w:rPr>
        <w:t>1</w:t>
      </w:r>
      <w:r w:rsidR="00660C03" w:rsidRPr="1D93BCA9">
        <w:rPr>
          <w:rFonts w:asciiTheme="minorHAnsi" w:hAnsiTheme="minorHAnsi"/>
        </w:rPr>
        <w:t xml:space="preserve"> (Projection Period)</w:t>
      </w:r>
      <w:r w:rsidRPr="1D93BCA9">
        <w:rPr>
          <w:rFonts w:asciiTheme="minorHAnsi" w:hAnsiTheme="minorHAnsi"/>
        </w:rPr>
        <w:t xml:space="preserve">, prepared </w:t>
      </w:r>
      <w:r w:rsidR="00D24275" w:rsidRPr="1D93BCA9">
        <w:rPr>
          <w:rFonts w:asciiTheme="minorHAnsi" w:hAnsiTheme="minorHAnsi"/>
        </w:rPr>
        <w:t xml:space="preserve">the Management of </w:t>
      </w:r>
      <w:r w:rsidR="008B0AB6" w:rsidRPr="1D93BCA9">
        <w:rPr>
          <w:rFonts w:asciiTheme="minorHAnsi" w:hAnsiTheme="minorHAnsi"/>
        </w:rPr>
        <w:t xml:space="preserve">Blue Cloud </w:t>
      </w:r>
      <w:r w:rsidR="002E0C7F" w:rsidRPr="1D93BCA9">
        <w:rPr>
          <w:rFonts w:asciiTheme="minorHAnsi" w:hAnsiTheme="minorHAnsi"/>
        </w:rPr>
        <w:t>(Management).</w:t>
      </w:r>
      <w:r w:rsidRPr="1D93BCA9">
        <w:rPr>
          <w:rStyle w:val="FootnoteReference"/>
          <w:rFonts w:asciiTheme="minorHAnsi" w:hAnsiTheme="minorHAnsi"/>
        </w:rPr>
        <w:footnoteReference w:id="33"/>
      </w:r>
      <w:r w:rsidR="002E0C7F" w:rsidRPr="1D93BCA9">
        <w:rPr>
          <w:rFonts w:asciiTheme="minorHAnsi" w:hAnsiTheme="minorHAnsi"/>
        </w:rPr>
        <w:t xml:space="preserve"> </w:t>
      </w:r>
    </w:p>
    <w:p w14:paraId="01E7229D" w14:textId="77777777" w:rsidR="009F1476" w:rsidRDefault="009F1476" w:rsidP="00C316C3">
      <w:pPr>
        <w:pStyle w:val="BodyText"/>
        <w:rPr>
          <w:rFonts w:asciiTheme="minorHAnsi" w:hAnsiTheme="minorHAnsi"/>
        </w:rPr>
      </w:pPr>
    </w:p>
    <w:p w14:paraId="72021D92" w14:textId="3FD9C473" w:rsidR="00AB690C" w:rsidRDefault="009F1476" w:rsidP="00C316C3">
      <w:pPr>
        <w:pStyle w:val="BodyText"/>
        <w:rPr>
          <w:rFonts w:asciiTheme="minorHAnsi" w:hAnsiTheme="minorHAnsi"/>
        </w:rPr>
      </w:pPr>
      <w:r>
        <w:rPr>
          <w:rFonts w:asciiTheme="minorHAnsi" w:hAnsiTheme="minorHAnsi"/>
        </w:rPr>
        <w:t>Sources of information used and relied upon in the report:</w:t>
      </w:r>
    </w:p>
    <w:p w14:paraId="376A0434" w14:textId="35BF7CC8" w:rsidR="0008409B" w:rsidRPr="0008409B" w:rsidRDefault="0008409B" w:rsidP="00E533C1">
      <w:pPr>
        <w:pStyle w:val="BodyText"/>
        <w:numPr>
          <w:ilvl w:val="0"/>
          <w:numId w:val="3"/>
        </w:numPr>
        <w:rPr>
          <w:rFonts w:asciiTheme="minorHAnsi" w:hAnsiTheme="minorHAnsi"/>
        </w:rPr>
      </w:pPr>
      <w:r w:rsidRPr="0008409B">
        <w:rPr>
          <w:rFonts w:asciiTheme="minorHAnsi" w:hAnsiTheme="minorHAnsi"/>
        </w:rPr>
        <w:t>Projected Financial Model for Blue Cloud for the periods ending December 31, 2026,</w:t>
      </w:r>
    </w:p>
    <w:p w14:paraId="79301402" w14:textId="2C682EA9" w:rsidR="0008409B" w:rsidRPr="0008409B" w:rsidRDefault="0008409B" w:rsidP="00E533C1">
      <w:pPr>
        <w:pStyle w:val="BodyText"/>
        <w:ind w:left="720"/>
        <w:rPr>
          <w:rFonts w:asciiTheme="minorHAnsi" w:hAnsiTheme="minorHAnsi"/>
        </w:rPr>
      </w:pPr>
      <w:r w:rsidRPr="0008409B">
        <w:rPr>
          <w:rFonts w:asciiTheme="minorHAnsi" w:hAnsiTheme="minorHAnsi"/>
        </w:rPr>
        <w:t>through December 31, 203</w:t>
      </w:r>
      <w:r w:rsidR="00492056">
        <w:rPr>
          <w:rFonts w:asciiTheme="minorHAnsi" w:hAnsiTheme="minorHAnsi"/>
        </w:rPr>
        <w:t>1</w:t>
      </w:r>
      <w:r w:rsidRPr="0008409B">
        <w:rPr>
          <w:rFonts w:asciiTheme="minorHAnsi" w:hAnsiTheme="minorHAnsi"/>
        </w:rPr>
        <w:t>;</w:t>
      </w:r>
    </w:p>
    <w:p w14:paraId="447C77C1" w14:textId="6B1ACCC0" w:rsidR="0008409B" w:rsidRPr="0008409B" w:rsidRDefault="0008409B" w:rsidP="00E533C1">
      <w:pPr>
        <w:pStyle w:val="BodyText"/>
        <w:numPr>
          <w:ilvl w:val="0"/>
          <w:numId w:val="3"/>
        </w:numPr>
        <w:rPr>
          <w:rFonts w:asciiTheme="minorHAnsi" w:hAnsiTheme="minorHAnsi"/>
        </w:rPr>
      </w:pPr>
      <w:r w:rsidRPr="0008409B">
        <w:rPr>
          <w:rFonts w:asciiTheme="minorHAnsi" w:hAnsiTheme="minorHAnsi"/>
        </w:rPr>
        <w:t>Audited Financial Statements for Blue Cloud Pediatric Surgery Centers, LLC and</w:t>
      </w:r>
    </w:p>
    <w:p w14:paraId="760AF7A9" w14:textId="77777777" w:rsidR="0008409B" w:rsidRPr="0008409B" w:rsidRDefault="0008409B" w:rsidP="00383908">
      <w:pPr>
        <w:pStyle w:val="BodyText"/>
        <w:ind w:left="720"/>
        <w:rPr>
          <w:rFonts w:asciiTheme="minorHAnsi" w:hAnsiTheme="minorHAnsi"/>
        </w:rPr>
      </w:pPr>
      <w:r w:rsidRPr="0008409B">
        <w:rPr>
          <w:rFonts w:asciiTheme="minorHAnsi" w:hAnsiTheme="minorHAnsi"/>
        </w:rPr>
        <w:t>Subsidiaries and Affiliates for Fiscal Years Ended December 31, 2023 through</w:t>
      </w:r>
    </w:p>
    <w:p w14:paraId="1DCBF25A" w14:textId="77777777" w:rsidR="0008409B" w:rsidRPr="0008409B" w:rsidRDefault="0008409B" w:rsidP="00E533C1">
      <w:pPr>
        <w:pStyle w:val="BodyText"/>
        <w:ind w:left="720"/>
        <w:rPr>
          <w:rFonts w:asciiTheme="minorHAnsi" w:hAnsiTheme="minorHAnsi"/>
        </w:rPr>
      </w:pPr>
      <w:r w:rsidRPr="0008409B">
        <w:rPr>
          <w:rFonts w:asciiTheme="minorHAnsi" w:hAnsiTheme="minorHAnsi"/>
        </w:rPr>
        <w:t>December 31, 2024;</w:t>
      </w:r>
    </w:p>
    <w:p w14:paraId="341D2629" w14:textId="7E2DC0AF" w:rsidR="0008409B" w:rsidRPr="0008409B" w:rsidRDefault="0008409B" w:rsidP="00E533C1">
      <w:pPr>
        <w:pStyle w:val="BodyText"/>
        <w:numPr>
          <w:ilvl w:val="0"/>
          <w:numId w:val="3"/>
        </w:numPr>
        <w:rPr>
          <w:rFonts w:asciiTheme="minorHAnsi" w:hAnsiTheme="minorHAnsi"/>
        </w:rPr>
      </w:pPr>
      <w:r w:rsidRPr="0008409B">
        <w:rPr>
          <w:rFonts w:asciiTheme="minorHAnsi" w:hAnsiTheme="minorHAnsi"/>
        </w:rPr>
        <w:t>Unaudited Comparative Statement of Revenues and Expenses for Blue Cloud Pediatric</w:t>
      </w:r>
    </w:p>
    <w:p w14:paraId="5D4DC6F6" w14:textId="77777777" w:rsidR="0008409B" w:rsidRPr="0008409B" w:rsidRDefault="0008409B" w:rsidP="007B4C19">
      <w:pPr>
        <w:pStyle w:val="BodyText"/>
        <w:ind w:left="720"/>
        <w:rPr>
          <w:rFonts w:asciiTheme="minorHAnsi" w:hAnsiTheme="minorHAnsi"/>
        </w:rPr>
      </w:pPr>
      <w:r w:rsidRPr="0008409B">
        <w:rPr>
          <w:rFonts w:asciiTheme="minorHAnsi" w:hAnsiTheme="minorHAnsi"/>
        </w:rPr>
        <w:t>Surgery Centers, LLC for the period ended December 31, 2025;</w:t>
      </w:r>
    </w:p>
    <w:p w14:paraId="0BD6C3EE" w14:textId="3C45EFBD" w:rsidR="0008409B" w:rsidRPr="0008409B" w:rsidRDefault="0008409B" w:rsidP="00E533C1">
      <w:pPr>
        <w:pStyle w:val="BodyText"/>
        <w:numPr>
          <w:ilvl w:val="0"/>
          <w:numId w:val="3"/>
        </w:numPr>
        <w:rPr>
          <w:rFonts w:asciiTheme="minorHAnsi" w:hAnsiTheme="minorHAnsi"/>
        </w:rPr>
      </w:pPr>
      <w:r w:rsidRPr="0008409B">
        <w:rPr>
          <w:rFonts w:asciiTheme="minorHAnsi" w:hAnsiTheme="minorHAnsi"/>
        </w:rPr>
        <w:t>Manager’s Monthly Operations Report (“MOR”) as of February 28, 2026;</w:t>
      </w:r>
    </w:p>
    <w:p w14:paraId="49273EE7" w14:textId="620AEA5E" w:rsidR="0008409B" w:rsidRPr="0008409B" w:rsidRDefault="0008409B" w:rsidP="00E533C1">
      <w:pPr>
        <w:pStyle w:val="BodyText"/>
        <w:numPr>
          <w:ilvl w:val="0"/>
          <w:numId w:val="3"/>
        </w:numPr>
        <w:rPr>
          <w:rFonts w:asciiTheme="minorHAnsi" w:hAnsiTheme="minorHAnsi"/>
        </w:rPr>
      </w:pPr>
      <w:r w:rsidRPr="0008409B">
        <w:rPr>
          <w:rFonts w:asciiTheme="minorHAnsi" w:hAnsiTheme="minorHAnsi"/>
        </w:rPr>
        <w:t>Blue Cloud Pediatric Surgery Centers, LLC’s 2026 Budget developed as of January 6,</w:t>
      </w:r>
    </w:p>
    <w:p w14:paraId="01A4FBAA" w14:textId="77777777" w:rsidR="0008409B" w:rsidRPr="0008409B" w:rsidRDefault="0008409B" w:rsidP="00E533C1">
      <w:pPr>
        <w:pStyle w:val="BodyText"/>
        <w:ind w:left="720"/>
        <w:rPr>
          <w:rFonts w:asciiTheme="minorHAnsi" w:hAnsiTheme="minorHAnsi"/>
        </w:rPr>
      </w:pPr>
      <w:r w:rsidRPr="0008409B">
        <w:rPr>
          <w:rFonts w:asciiTheme="minorHAnsi" w:hAnsiTheme="minorHAnsi"/>
        </w:rPr>
        <w:t>2026;</w:t>
      </w:r>
    </w:p>
    <w:p w14:paraId="315750C5" w14:textId="33D2DA51" w:rsidR="0008409B" w:rsidRPr="0008409B" w:rsidRDefault="0008409B" w:rsidP="00E533C1">
      <w:pPr>
        <w:pStyle w:val="BodyText"/>
        <w:numPr>
          <w:ilvl w:val="0"/>
          <w:numId w:val="3"/>
        </w:numPr>
        <w:rPr>
          <w:rFonts w:asciiTheme="minorHAnsi" w:hAnsiTheme="minorHAnsi"/>
        </w:rPr>
      </w:pPr>
      <w:r w:rsidRPr="0008409B">
        <w:rPr>
          <w:rFonts w:asciiTheme="minorHAnsi" w:hAnsiTheme="minorHAnsi"/>
        </w:rPr>
        <w:t>Site Evaluation report prepared by Kadean Construction dated February 19,</w:t>
      </w:r>
      <w:r w:rsidR="00492056">
        <w:rPr>
          <w:rFonts w:asciiTheme="minorHAnsi" w:hAnsiTheme="minorHAnsi"/>
        </w:rPr>
        <w:t xml:space="preserve"> </w:t>
      </w:r>
      <w:r w:rsidRPr="0008409B">
        <w:rPr>
          <w:rFonts w:asciiTheme="minorHAnsi" w:hAnsiTheme="minorHAnsi"/>
        </w:rPr>
        <w:t>2026;</w:t>
      </w:r>
    </w:p>
    <w:p w14:paraId="7DC26F41" w14:textId="16080336" w:rsidR="0008409B" w:rsidRPr="0008409B" w:rsidRDefault="0008409B" w:rsidP="00E533C1">
      <w:pPr>
        <w:pStyle w:val="BodyText"/>
        <w:numPr>
          <w:ilvl w:val="0"/>
          <w:numId w:val="3"/>
        </w:numPr>
        <w:rPr>
          <w:rFonts w:asciiTheme="minorHAnsi" w:hAnsiTheme="minorHAnsi"/>
        </w:rPr>
      </w:pPr>
      <w:r w:rsidRPr="0008409B">
        <w:rPr>
          <w:rFonts w:asciiTheme="minorHAnsi" w:hAnsiTheme="minorHAnsi"/>
        </w:rPr>
        <w:t>Data obtained from Integra Information, A Division of Microbilt Corporation as of April</w:t>
      </w:r>
    </w:p>
    <w:p w14:paraId="27330637" w14:textId="767BF609" w:rsidR="0008409B" w:rsidRPr="0008409B" w:rsidRDefault="0008409B" w:rsidP="00E533C1">
      <w:pPr>
        <w:pStyle w:val="BodyText"/>
        <w:ind w:left="720"/>
        <w:rPr>
          <w:rFonts w:asciiTheme="minorHAnsi" w:hAnsiTheme="minorHAnsi"/>
        </w:rPr>
      </w:pPr>
      <w:r w:rsidRPr="0008409B">
        <w:rPr>
          <w:rFonts w:asciiTheme="minorHAnsi" w:hAnsiTheme="minorHAnsi"/>
        </w:rPr>
        <w:t xml:space="preserve">7, 2026; </w:t>
      </w:r>
    </w:p>
    <w:p w14:paraId="4B0E0A85" w14:textId="50D6E6AA" w:rsidR="0008409B" w:rsidRPr="00CE55D4" w:rsidRDefault="0008409B" w:rsidP="00CE55D4">
      <w:pPr>
        <w:pStyle w:val="BodyText"/>
        <w:numPr>
          <w:ilvl w:val="0"/>
          <w:numId w:val="3"/>
        </w:numPr>
        <w:rPr>
          <w:rFonts w:asciiTheme="minorHAnsi" w:hAnsiTheme="minorHAnsi"/>
        </w:rPr>
      </w:pPr>
      <w:r w:rsidRPr="0008409B">
        <w:rPr>
          <w:rFonts w:asciiTheme="minorHAnsi" w:hAnsiTheme="minorHAnsi"/>
        </w:rPr>
        <w:t>BizMiner Industry Financial Profile 621493: Freestanding Ambulatory Surgical &amp;</w:t>
      </w:r>
      <w:r w:rsidR="00CE55D4">
        <w:rPr>
          <w:rFonts w:asciiTheme="minorHAnsi" w:hAnsiTheme="minorHAnsi"/>
        </w:rPr>
        <w:t xml:space="preserve"> </w:t>
      </w:r>
      <w:r w:rsidRPr="00CE55D4">
        <w:rPr>
          <w:rFonts w:asciiTheme="minorHAnsi" w:hAnsiTheme="minorHAnsi"/>
        </w:rPr>
        <w:t>Emergency Centers, release date December 2024</w:t>
      </w:r>
      <w:r w:rsidR="005503CA" w:rsidRPr="00CE55D4">
        <w:rPr>
          <w:rFonts w:asciiTheme="minorHAnsi" w:hAnsiTheme="minorHAnsi"/>
        </w:rPr>
        <w:t>; and</w:t>
      </w:r>
    </w:p>
    <w:p w14:paraId="3DFCCB02" w14:textId="68BED266" w:rsidR="0008409B" w:rsidRPr="006179BC" w:rsidRDefault="00E533C1" w:rsidP="006179BC">
      <w:pPr>
        <w:pStyle w:val="BodyText"/>
        <w:numPr>
          <w:ilvl w:val="0"/>
          <w:numId w:val="3"/>
        </w:numPr>
        <w:rPr>
          <w:rFonts w:asciiTheme="minorHAnsi" w:hAnsiTheme="minorHAnsi"/>
        </w:rPr>
      </w:pPr>
      <w:r w:rsidRPr="00E533C1">
        <w:rPr>
          <w:rFonts w:asciiTheme="minorHAnsi" w:hAnsiTheme="minorHAnsi"/>
        </w:rPr>
        <w:t>IBISWorld Industry Report 621493: Ambulatory Surgery Centers in the US, dated</w:t>
      </w:r>
      <w:r w:rsidR="006179BC">
        <w:rPr>
          <w:rFonts w:asciiTheme="minorHAnsi" w:hAnsiTheme="minorHAnsi"/>
        </w:rPr>
        <w:t xml:space="preserve"> </w:t>
      </w:r>
      <w:r w:rsidRPr="006179BC">
        <w:rPr>
          <w:rFonts w:asciiTheme="minorHAnsi" w:hAnsiTheme="minorHAnsi"/>
        </w:rPr>
        <w:t>October 2025.</w:t>
      </w:r>
    </w:p>
    <w:p w14:paraId="687A16E7" w14:textId="77777777" w:rsidR="009D3121" w:rsidRDefault="009D3121" w:rsidP="00C316C3">
      <w:pPr>
        <w:pStyle w:val="BodyText"/>
        <w:rPr>
          <w:rFonts w:asciiTheme="minorHAnsi" w:hAnsiTheme="minorHAnsi"/>
        </w:rPr>
      </w:pPr>
    </w:p>
    <w:p w14:paraId="223877A0" w14:textId="36D8B235" w:rsidR="001E2C3A" w:rsidRDefault="001E2C3A" w:rsidP="001E2C3A">
      <w:pPr>
        <w:pStyle w:val="BodyText"/>
        <w:rPr>
          <w:rFonts w:asciiTheme="minorHAnsi" w:hAnsiTheme="minorHAnsi"/>
        </w:rPr>
      </w:pPr>
      <w:r w:rsidRPr="00235CAA">
        <w:rPr>
          <w:rFonts w:asciiTheme="minorHAnsi" w:hAnsiTheme="minorHAnsi"/>
        </w:rPr>
        <w:t xml:space="preserve">The CPA reviewed key metrics falling into three categories: liquidity, </w:t>
      </w:r>
      <w:r w:rsidR="00A65360" w:rsidRPr="00235CAA">
        <w:rPr>
          <w:rFonts w:asciiTheme="minorHAnsi" w:hAnsiTheme="minorHAnsi"/>
        </w:rPr>
        <w:t>profitability</w:t>
      </w:r>
      <w:r w:rsidRPr="00235CAA">
        <w:rPr>
          <w:rFonts w:asciiTheme="minorHAnsi" w:hAnsiTheme="minorHAnsi"/>
        </w:rPr>
        <w:t xml:space="preserve"> and solvency</w:t>
      </w:r>
      <w:r w:rsidR="00B35F2B" w:rsidRPr="00235CAA">
        <w:rPr>
          <w:rFonts w:asciiTheme="minorHAnsi" w:hAnsiTheme="minorHAnsi"/>
        </w:rPr>
        <w:t xml:space="preserve">, comparing the operating results of the Projections to </w:t>
      </w:r>
      <w:r w:rsidR="0074737E" w:rsidRPr="00235CAA">
        <w:rPr>
          <w:rFonts w:asciiTheme="minorHAnsi" w:hAnsiTheme="minorHAnsi"/>
        </w:rPr>
        <w:t>market information from Integra Reports and IBIS World, as well as to the Applicant’s historical performance.</w:t>
      </w:r>
      <w:r w:rsidR="00962ACF" w:rsidRPr="00235CAA">
        <w:rPr>
          <w:rFonts w:asciiTheme="minorHAnsi" w:hAnsiTheme="minorHAnsi"/>
        </w:rPr>
        <w:t xml:space="preserve"> The CPA report provides an overview of how each of the Key Metrics are calculated.</w:t>
      </w:r>
      <w:r w:rsidR="00235CAA">
        <w:rPr>
          <w:rStyle w:val="FootnoteReference"/>
          <w:rFonts w:asciiTheme="minorHAnsi" w:hAnsiTheme="minorHAnsi"/>
        </w:rPr>
        <w:footnoteReference w:id="34"/>
      </w:r>
      <w:r w:rsidR="00962ACF">
        <w:rPr>
          <w:rFonts w:asciiTheme="minorHAnsi" w:hAnsiTheme="minorHAnsi"/>
        </w:rPr>
        <w:t xml:space="preserve"> </w:t>
      </w:r>
    </w:p>
    <w:p w14:paraId="03FCF442" w14:textId="77777777" w:rsidR="0091437D" w:rsidRPr="005B7711" w:rsidRDefault="0091437D" w:rsidP="001E2C3A">
      <w:pPr>
        <w:pStyle w:val="BodyText"/>
        <w:rPr>
          <w:rFonts w:asciiTheme="minorHAnsi" w:hAnsiTheme="minorHAnsi"/>
        </w:rPr>
      </w:pPr>
    </w:p>
    <w:p w14:paraId="5BDDB87A" w14:textId="06801D8D" w:rsidR="00921B6D" w:rsidRDefault="7F5687B1" w:rsidP="007E3B36">
      <w:pPr>
        <w:pStyle w:val="BodyText"/>
        <w:rPr>
          <w:rFonts w:asciiTheme="minorHAnsi" w:hAnsiTheme="minorHAnsi"/>
        </w:rPr>
      </w:pPr>
      <w:r w:rsidRPr="3980F530">
        <w:rPr>
          <w:rFonts w:asciiTheme="minorHAnsi" w:hAnsiTheme="minorHAnsi"/>
          <w:b/>
          <w:bCs/>
        </w:rPr>
        <w:t>Revenues:</w:t>
      </w:r>
      <w:r w:rsidRPr="3980F530">
        <w:rPr>
          <w:rFonts w:asciiTheme="minorHAnsi" w:hAnsiTheme="minorHAnsi"/>
        </w:rPr>
        <w:t xml:space="preserve"> </w:t>
      </w:r>
      <w:r w:rsidR="00100B8F" w:rsidRPr="00100B8F">
        <w:rPr>
          <w:rFonts w:asciiTheme="minorHAnsi" w:hAnsiTheme="minorHAnsi"/>
        </w:rPr>
        <w:t>The CPA Report analyzed the revenue projections for the Proposed Project</w:t>
      </w:r>
      <w:r w:rsidR="00C77604">
        <w:rPr>
          <w:rFonts w:asciiTheme="minorHAnsi" w:hAnsiTheme="minorHAnsi"/>
        </w:rPr>
        <w:t xml:space="preserve">: </w:t>
      </w:r>
      <w:r w:rsidR="00C77604" w:rsidRPr="00C77604">
        <w:rPr>
          <w:rFonts w:asciiTheme="minorHAnsi" w:hAnsiTheme="minorHAnsi"/>
        </w:rPr>
        <w:t>35.</w:t>
      </w:r>
      <w:r w:rsidR="00C735D1">
        <w:rPr>
          <w:rFonts w:asciiTheme="minorHAnsi" w:hAnsiTheme="minorHAnsi"/>
        </w:rPr>
        <w:t>6</w:t>
      </w:r>
      <w:r w:rsidR="00207FB6" w:rsidRPr="00207FB6">
        <w:rPr>
          <w:rFonts w:asciiTheme="minorHAnsi" w:hAnsiTheme="minorHAnsi"/>
        </w:rPr>
        <w:t xml:space="preserve"> percent</w:t>
      </w:r>
      <w:r w:rsidR="00C77604">
        <w:rPr>
          <w:rFonts w:asciiTheme="minorHAnsi" w:hAnsiTheme="minorHAnsi"/>
        </w:rPr>
        <w:t xml:space="preserve"> </w:t>
      </w:r>
      <w:r w:rsidR="00C77604" w:rsidRPr="00C77604">
        <w:rPr>
          <w:rFonts w:asciiTheme="minorHAnsi" w:hAnsiTheme="minorHAnsi"/>
        </w:rPr>
        <w:t>of projected revenue, on average, is derived</w:t>
      </w:r>
      <w:r w:rsidR="00C77604">
        <w:rPr>
          <w:rFonts w:asciiTheme="minorHAnsi" w:hAnsiTheme="minorHAnsi"/>
        </w:rPr>
        <w:t xml:space="preserve"> </w:t>
      </w:r>
      <w:r w:rsidR="00C77604" w:rsidRPr="00C77604">
        <w:rPr>
          <w:rFonts w:asciiTheme="minorHAnsi" w:hAnsiTheme="minorHAnsi"/>
        </w:rPr>
        <w:t xml:space="preserve">from Professional Revenue, </w:t>
      </w:r>
      <w:r w:rsidR="00067B0F">
        <w:rPr>
          <w:rFonts w:asciiTheme="minorHAnsi" w:hAnsiTheme="minorHAnsi"/>
        </w:rPr>
        <w:t xml:space="preserve">which is projected to increase </w:t>
      </w:r>
      <w:r w:rsidR="004E4AC0">
        <w:rPr>
          <w:rFonts w:asciiTheme="minorHAnsi" w:hAnsiTheme="minorHAnsi"/>
        </w:rPr>
        <w:t>between 1</w:t>
      </w:r>
      <w:r w:rsidR="008A3BD3">
        <w:rPr>
          <w:rFonts w:asciiTheme="minorHAnsi" w:hAnsiTheme="minorHAnsi"/>
        </w:rPr>
        <w:t>7</w:t>
      </w:r>
      <w:r w:rsidR="004E4AC0">
        <w:rPr>
          <w:rFonts w:asciiTheme="minorHAnsi" w:hAnsiTheme="minorHAnsi"/>
        </w:rPr>
        <w:t>.</w:t>
      </w:r>
      <w:r w:rsidR="008A3BD3">
        <w:rPr>
          <w:rFonts w:asciiTheme="minorHAnsi" w:hAnsiTheme="minorHAnsi"/>
        </w:rPr>
        <w:t>1</w:t>
      </w:r>
      <w:r w:rsidR="00207FB6" w:rsidRPr="00207FB6">
        <w:rPr>
          <w:rFonts w:asciiTheme="minorHAnsi" w:hAnsiTheme="minorHAnsi"/>
        </w:rPr>
        <w:t xml:space="preserve"> percent</w:t>
      </w:r>
      <w:r w:rsidR="004E4AC0">
        <w:rPr>
          <w:rFonts w:asciiTheme="minorHAnsi" w:hAnsiTheme="minorHAnsi"/>
        </w:rPr>
        <w:t xml:space="preserve"> and 30.4</w:t>
      </w:r>
      <w:r w:rsidR="00207FB6">
        <w:rPr>
          <w:rFonts w:asciiTheme="minorHAnsi" w:hAnsiTheme="minorHAnsi"/>
        </w:rPr>
        <w:t xml:space="preserve"> percent</w:t>
      </w:r>
      <w:r w:rsidR="004E4AC0">
        <w:rPr>
          <w:rFonts w:asciiTheme="minorHAnsi" w:hAnsiTheme="minorHAnsi"/>
        </w:rPr>
        <w:t xml:space="preserve"> annually </w:t>
      </w:r>
      <w:r w:rsidR="00411096">
        <w:rPr>
          <w:rFonts w:asciiTheme="minorHAnsi" w:hAnsiTheme="minorHAnsi"/>
        </w:rPr>
        <w:t xml:space="preserve">over </w:t>
      </w:r>
      <w:r w:rsidR="004E4AC0">
        <w:rPr>
          <w:rFonts w:asciiTheme="minorHAnsi" w:hAnsiTheme="minorHAnsi"/>
        </w:rPr>
        <w:t xml:space="preserve">the Projection Period; </w:t>
      </w:r>
      <w:r w:rsidR="00C77604" w:rsidRPr="00C77604">
        <w:rPr>
          <w:rFonts w:asciiTheme="minorHAnsi" w:hAnsiTheme="minorHAnsi"/>
        </w:rPr>
        <w:t>54.</w:t>
      </w:r>
      <w:r w:rsidR="001B4118">
        <w:rPr>
          <w:rFonts w:asciiTheme="minorHAnsi" w:hAnsiTheme="minorHAnsi"/>
        </w:rPr>
        <w:t>5</w:t>
      </w:r>
      <w:r w:rsidR="00207FB6">
        <w:rPr>
          <w:rFonts w:asciiTheme="minorHAnsi" w:hAnsiTheme="minorHAnsi"/>
        </w:rPr>
        <w:t xml:space="preserve"> percent</w:t>
      </w:r>
      <w:r w:rsidR="00C77604">
        <w:rPr>
          <w:rFonts w:asciiTheme="minorHAnsi" w:hAnsiTheme="minorHAnsi"/>
        </w:rPr>
        <w:t xml:space="preserve"> </w:t>
      </w:r>
      <w:r w:rsidR="00C77604" w:rsidRPr="00C77604">
        <w:rPr>
          <w:rFonts w:asciiTheme="minorHAnsi" w:hAnsiTheme="minorHAnsi"/>
        </w:rPr>
        <w:t>of projected revenue, on average, is derived from</w:t>
      </w:r>
      <w:r w:rsidR="00C77604">
        <w:rPr>
          <w:rFonts w:asciiTheme="minorHAnsi" w:hAnsiTheme="minorHAnsi"/>
        </w:rPr>
        <w:t xml:space="preserve"> </w:t>
      </w:r>
      <w:r w:rsidR="00C77604" w:rsidRPr="00C77604">
        <w:rPr>
          <w:rFonts w:asciiTheme="minorHAnsi" w:hAnsiTheme="minorHAnsi"/>
        </w:rPr>
        <w:t xml:space="preserve">Facility Revenue, </w:t>
      </w:r>
      <w:r w:rsidR="00BC63DF">
        <w:rPr>
          <w:rFonts w:asciiTheme="minorHAnsi" w:hAnsiTheme="minorHAnsi"/>
        </w:rPr>
        <w:t xml:space="preserve">which is projected to increase between </w:t>
      </w:r>
      <w:r w:rsidR="001B4118">
        <w:rPr>
          <w:rFonts w:asciiTheme="minorHAnsi" w:hAnsiTheme="minorHAnsi"/>
        </w:rPr>
        <w:t>18</w:t>
      </w:r>
      <w:r w:rsidR="00BC63DF">
        <w:rPr>
          <w:rFonts w:asciiTheme="minorHAnsi" w:hAnsiTheme="minorHAnsi"/>
        </w:rPr>
        <w:t>.</w:t>
      </w:r>
      <w:r w:rsidR="001B4118">
        <w:rPr>
          <w:rFonts w:asciiTheme="minorHAnsi" w:hAnsiTheme="minorHAnsi"/>
        </w:rPr>
        <w:t>3</w:t>
      </w:r>
      <w:r w:rsidR="00207FB6">
        <w:rPr>
          <w:rFonts w:asciiTheme="minorHAnsi" w:hAnsiTheme="minorHAnsi"/>
        </w:rPr>
        <w:t xml:space="preserve"> percent</w:t>
      </w:r>
      <w:r w:rsidR="00BC63DF">
        <w:rPr>
          <w:rFonts w:asciiTheme="minorHAnsi" w:hAnsiTheme="minorHAnsi"/>
        </w:rPr>
        <w:t xml:space="preserve"> and 44.7</w:t>
      </w:r>
      <w:r w:rsidR="00207FB6">
        <w:rPr>
          <w:rFonts w:asciiTheme="minorHAnsi" w:hAnsiTheme="minorHAnsi"/>
        </w:rPr>
        <w:t xml:space="preserve"> percent</w:t>
      </w:r>
      <w:r w:rsidR="00BC63DF">
        <w:rPr>
          <w:rFonts w:asciiTheme="minorHAnsi" w:hAnsiTheme="minorHAnsi"/>
        </w:rPr>
        <w:t xml:space="preserve"> </w:t>
      </w:r>
      <w:r w:rsidR="00411096">
        <w:rPr>
          <w:rFonts w:asciiTheme="minorHAnsi" w:hAnsiTheme="minorHAnsi"/>
        </w:rPr>
        <w:t xml:space="preserve">over </w:t>
      </w:r>
      <w:r w:rsidR="00BC63DF">
        <w:rPr>
          <w:rFonts w:asciiTheme="minorHAnsi" w:hAnsiTheme="minorHAnsi"/>
        </w:rPr>
        <w:t xml:space="preserve">the Projection Period; </w:t>
      </w:r>
      <w:r w:rsidR="00C77604" w:rsidRPr="00C77604">
        <w:rPr>
          <w:rFonts w:asciiTheme="minorHAnsi" w:hAnsiTheme="minorHAnsi"/>
        </w:rPr>
        <w:t>and 8.7</w:t>
      </w:r>
      <w:r w:rsidR="00207FB6">
        <w:rPr>
          <w:rFonts w:asciiTheme="minorHAnsi" w:hAnsiTheme="minorHAnsi"/>
        </w:rPr>
        <w:t xml:space="preserve"> percent</w:t>
      </w:r>
      <w:r w:rsidR="00C77604">
        <w:rPr>
          <w:rFonts w:asciiTheme="minorHAnsi" w:hAnsiTheme="minorHAnsi"/>
        </w:rPr>
        <w:t xml:space="preserve"> </w:t>
      </w:r>
      <w:r w:rsidR="00C77604" w:rsidRPr="00C77604">
        <w:rPr>
          <w:rFonts w:asciiTheme="minorHAnsi" w:hAnsiTheme="minorHAnsi"/>
        </w:rPr>
        <w:t>of projected revenue, on average, is derived from</w:t>
      </w:r>
      <w:r w:rsidR="00C77604">
        <w:rPr>
          <w:rFonts w:asciiTheme="minorHAnsi" w:hAnsiTheme="minorHAnsi"/>
        </w:rPr>
        <w:t xml:space="preserve"> </w:t>
      </w:r>
      <w:r w:rsidR="00C77604" w:rsidRPr="00C77604">
        <w:rPr>
          <w:rFonts w:asciiTheme="minorHAnsi" w:hAnsiTheme="minorHAnsi"/>
        </w:rPr>
        <w:t>Anesthesia Revenue</w:t>
      </w:r>
      <w:r w:rsidR="00411096">
        <w:rPr>
          <w:rFonts w:asciiTheme="minorHAnsi" w:hAnsiTheme="minorHAnsi"/>
        </w:rPr>
        <w:t xml:space="preserve">, which is projected to increase </w:t>
      </w:r>
      <w:r w:rsidR="001455DA">
        <w:rPr>
          <w:rFonts w:asciiTheme="minorHAnsi" w:hAnsiTheme="minorHAnsi"/>
        </w:rPr>
        <w:t xml:space="preserve">between </w:t>
      </w:r>
      <w:r w:rsidR="001455DA">
        <w:rPr>
          <w:rFonts w:asciiTheme="minorHAnsi" w:hAnsiTheme="minorHAnsi"/>
        </w:rPr>
        <w:lastRenderedPageBreak/>
        <w:t>1</w:t>
      </w:r>
      <w:r w:rsidR="004B6E5C">
        <w:rPr>
          <w:rFonts w:asciiTheme="minorHAnsi" w:hAnsiTheme="minorHAnsi"/>
        </w:rPr>
        <w:t>7</w:t>
      </w:r>
      <w:r w:rsidR="001455DA">
        <w:rPr>
          <w:rFonts w:asciiTheme="minorHAnsi" w:hAnsiTheme="minorHAnsi"/>
        </w:rPr>
        <w:t>.</w:t>
      </w:r>
      <w:r w:rsidR="004B6E5C">
        <w:rPr>
          <w:rFonts w:asciiTheme="minorHAnsi" w:hAnsiTheme="minorHAnsi"/>
        </w:rPr>
        <w:t>1</w:t>
      </w:r>
      <w:r w:rsidR="00207FB6">
        <w:rPr>
          <w:rFonts w:asciiTheme="minorHAnsi" w:hAnsiTheme="minorHAnsi"/>
        </w:rPr>
        <w:t xml:space="preserve"> percent</w:t>
      </w:r>
      <w:r w:rsidR="001455DA">
        <w:rPr>
          <w:rFonts w:asciiTheme="minorHAnsi" w:hAnsiTheme="minorHAnsi"/>
        </w:rPr>
        <w:t xml:space="preserve"> and 43.7</w:t>
      </w:r>
      <w:r w:rsidR="00207FB6">
        <w:rPr>
          <w:rFonts w:asciiTheme="minorHAnsi" w:hAnsiTheme="minorHAnsi"/>
        </w:rPr>
        <w:t xml:space="preserve"> percent</w:t>
      </w:r>
      <w:r w:rsidR="001455DA">
        <w:rPr>
          <w:rFonts w:asciiTheme="minorHAnsi" w:hAnsiTheme="minorHAnsi"/>
        </w:rPr>
        <w:t xml:space="preserve"> over the Projection Period.</w:t>
      </w:r>
      <w:r w:rsidR="00020F05">
        <w:rPr>
          <w:rStyle w:val="FootnoteReference"/>
          <w:rFonts w:asciiTheme="minorHAnsi" w:hAnsiTheme="minorHAnsi"/>
        </w:rPr>
        <w:footnoteReference w:id="35"/>
      </w:r>
      <w:r w:rsidR="001455DA">
        <w:rPr>
          <w:rFonts w:asciiTheme="minorHAnsi" w:hAnsiTheme="minorHAnsi"/>
        </w:rPr>
        <w:t xml:space="preserve"> </w:t>
      </w:r>
      <w:r w:rsidR="00B73B68">
        <w:rPr>
          <w:rFonts w:asciiTheme="minorHAnsi" w:hAnsiTheme="minorHAnsi"/>
        </w:rPr>
        <w:t xml:space="preserve">Projected growth during the Projection Period is expected to be driven by the addition of new centers, both </w:t>
      </w:r>
      <w:r w:rsidR="004E2A5A">
        <w:rPr>
          <w:rFonts w:asciiTheme="minorHAnsi" w:hAnsiTheme="minorHAnsi"/>
        </w:rPr>
        <w:t xml:space="preserve">newly developed locations and acquisitions. Management projects 10 new centers </w:t>
      </w:r>
      <w:r w:rsidR="00030DA2">
        <w:rPr>
          <w:rFonts w:asciiTheme="minorHAnsi" w:hAnsiTheme="minorHAnsi"/>
        </w:rPr>
        <w:t xml:space="preserve">beginning in FY26, which includes one to two acquisitions per year. </w:t>
      </w:r>
      <w:r w:rsidR="00F35848">
        <w:rPr>
          <w:rFonts w:asciiTheme="minorHAnsi" w:hAnsiTheme="minorHAnsi"/>
        </w:rPr>
        <w:t xml:space="preserve">Management notes that the pace of growth is supported by the company’s existing development and operating model, and that </w:t>
      </w:r>
      <w:r w:rsidR="00F43126">
        <w:rPr>
          <w:rFonts w:asciiTheme="minorHAnsi" w:hAnsiTheme="minorHAnsi"/>
        </w:rPr>
        <w:t xml:space="preserve">the main constraint to growth is organizational capacity and not market availability. </w:t>
      </w:r>
      <w:r w:rsidR="007E3B36">
        <w:rPr>
          <w:rFonts w:asciiTheme="minorHAnsi" w:hAnsiTheme="minorHAnsi"/>
        </w:rPr>
        <w:t xml:space="preserve">The CPA Report states </w:t>
      </w:r>
      <w:r w:rsidR="007E3B36" w:rsidRPr="007E3B36">
        <w:rPr>
          <w:rFonts w:asciiTheme="minorHAnsi" w:hAnsiTheme="minorHAnsi"/>
        </w:rPr>
        <w:t>2025 and 2026 center additions are expected to contribute</w:t>
      </w:r>
      <w:r w:rsidR="007E3B36">
        <w:rPr>
          <w:rFonts w:asciiTheme="minorHAnsi" w:hAnsiTheme="minorHAnsi"/>
        </w:rPr>
        <w:t xml:space="preserve"> </w:t>
      </w:r>
      <w:r w:rsidR="007E3B36" w:rsidRPr="007E3B36">
        <w:rPr>
          <w:rFonts w:asciiTheme="minorHAnsi" w:hAnsiTheme="minorHAnsi"/>
        </w:rPr>
        <w:t>approximately $39 million of incremental revenue relative to 2025</w:t>
      </w:r>
      <w:r w:rsidR="007E3B36">
        <w:rPr>
          <w:rFonts w:asciiTheme="minorHAnsi" w:hAnsiTheme="minorHAnsi"/>
        </w:rPr>
        <w:t xml:space="preserve">, and that the </w:t>
      </w:r>
      <w:r w:rsidR="007E3B36" w:rsidRPr="007E3B36">
        <w:rPr>
          <w:rFonts w:asciiTheme="minorHAnsi" w:hAnsiTheme="minorHAnsi"/>
        </w:rPr>
        <w:t>2026</w:t>
      </w:r>
      <w:r w:rsidR="007E3B36">
        <w:rPr>
          <w:rFonts w:asciiTheme="minorHAnsi" w:hAnsiTheme="minorHAnsi"/>
        </w:rPr>
        <w:t xml:space="preserve"> </w:t>
      </w:r>
      <w:r w:rsidR="007E3B36" w:rsidRPr="007E3B36">
        <w:rPr>
          <w:rFonts w:asciiTheme="minorHAnsi" w:hAnsiTheme="minorHAnsi"/>
        </w:rPr>
        <w:t>budget identifies a plan for ten new centers</w:t>
      </w:r>
      <w:r w:rsidR="007E3B36">
        <w:rPr>
          <w:rFonts w:asciiTheme="minorHAnsi" w:hAnsiTheme="minorHAnsi"/>
        </w:rPr>
        <w:t>.</w:t>
      </w:r>
    </w:p>
    <w:p w14:paraId="2624455B" w14:textId="77777777" w:rsidR="00350FFC" w:rsidRDefault="00350FFC" w:rsidP="00350FFC">
      <w:pPr>
        <w:pStyle w:val="BodyText"/>
        <w:rPr>
          <w:rFonts w:asciiTheme="minorHAnsi" w:hAnsiTheme="minorHAnsi"/>
        </w:rPr>
      </w:pPr>
    </w:p>
    <w:p w14:paraId="2E5DB609" w14:textId="301AC5EF" w:rsidR="00400081" w:rsidRDefault="00350FFC" w:rsidP="00751370">
      <w:pPr>
        <w:pStyle w:val="BodyText"/>
        <w:rPr>
          <w:szCs w:val="20"/>
        </w:rPr>
      </w:pPr>
      <w:r>
        <w:rPr>
          <w:rFonts w:asciiTheme="minorHAnsi" w:hAnsiTheme="minorHAnsi"/>
        </w:rPr>
        <w:t>The CPA reviewed</w:t>
      </w:r>
      <w:r w:rsidRPr="00350FFC">
        <w:rPr>
          <w:rFonts w:asciiTheme="minorHAnsi" w:hAnsiTheme="minorHAnsi"/>
        </w:rPr>
        <w:t xml:space="preserve"> the</w:t>
      </w:r>
      <w:r>
        <w:rPr>
          <w:rFonts w:asciiTheme="minorHAnsi" w:hAnsiTheme="minorHAnsi"/>
        </w:rPr>
        <w:t xml:space="preserve"> </w:t>
      </w:r>
      <w:r w:rsidRPr="00350FFC">
        <w:rPr>
          <w:rFonts w:asciiTheme="minorHAnsi" w:hAnsiTheme="minorHAnsi"/>
        </w:rPr>
        <w:t>underlying assumptions used by Blue Cloud in developing its forecast</w:t>
      </w:r>
      <w:r>
        <w:rPr>
          <w:rFonts w:asciiTheme="minorHAnsi" w:hAnsiTheme="minorHAnsi"/>
        </w:rPr>
        <w:t xml:space="preserve"> and </w:t>
      </w:r>
      <w:r w:rsidR="00901CF9">
        <w:rPr>
          <w:rFonts w:asciiTheme="minorHAnsi" w:hAnsiTheme="minorHAnsi"/>
        </w:rPr>
        <w:t xml:space="preserve">found it to be </w:t>
      </w:r>
      <w:r w:rsidR="00901CF9" w:rsidRPr="00901CF9">
        <w:rPr>
          <w:rFonts w:asciiTheme="minorHAnsi" w:hAnsiTheme="minorHAnsi"/>
        </w:rPr>
        <w:t>grounded in the Company’s historical operating performance and</w:t>
      </w:r>
      <w:r w:rsidR="00901CF9">
        <w:rPr>
          <w:rFonts w:asciiTheme="minorHAnsi" w:hAnsiTheme="minorHAnsi"/>
        </w:rPr>
        <w:t xml:space="preserve"> </w:t>
      </w:r>
      <w:r w:rsidR="00901CF9" w:rsidRPr="00901CF9">
        <w:rPr>
          <w:rFonts w:asciiTheme="minorHAnsi" w:hAnsiTheme="minorHAnsi"/>
        </w:rPr>
        <w:t>anticipated market trends.</w:t>
      </w:r>
      <w:r w:rsidR="00751370" w:rsidRPr="00751370">
        <w:t xml:space="preserve"> </w:t>
      </w:r>
      <w:r w:rsidR="00751370" w:rsidRPr="00751370">
        <w:rPr>
          <w:rFonts w:asciiTheme="minorHAnsi" w:hAnsiTheme="minorHAnsi"/>
        </w:rPr>
        <w:t xml:space="preserve">The projected </w:t>
      </w:r>
      <w:r w:rsidR="006E6748">
        <w:rPr>
          <w:rFonts w:asciiTheme="minorHAnsi" w:hAnsiTheme="minorHAnsi"/>
        </w:rPr>
        <w:t>six</w:t>
      </w:r>
      <w:r w:rsidR="00751370" w:rsidRPr="00751370">
        <w:rPr>
          <w:rFonts w:asciiTheme="minorHAnsi" w:hAnsiTheme="minorHAnsi"/>
        </w:rPr>
        <w:t>-year compounded annual growth rate</w:t>
      </w:r>
      <w:r w:rsidR="00751370">
        <w:rPr>
          <w:rFonts w:asciiTheme="minorHAnsi" w:hAnsiTheme="minorHAnsi"/>
        </w:rPr>
        <w:t xml:space="preserve"> </w:t>
      </w:r>
      <w:r w:rsidR="00751370" w:rsidRPr="00751370">
        <w:rPr>
          <w:rFonts w:asciiTheme="minorHAnsi" w:hAnsiTheme="minorHAnsi"/>
        </w:rPr>
        <w:t>(“CAGR”) in total operating revenue from FY25 through F</w:t>
      </w:r>
      <w:r w:rsidR="00751370">
        <w:rPr>
          <w:rFonts w:asciiTheme="minorHAnsi" w:hAnsiTheme="minorHAnsi"/>
        </w:rPr>
        <w:t>Y</w:t>
      </w:r>
      <w:r w:rsidR="00751370" w:rsidRPr="00751370">
        <w:rPr>
          <w:rFonts w:asciiTheme="minorHAnsi" w:hAnsiTheme="minorHAnsi"/>
        </w:rPr>
        <w:t>3</w:t>
      </w:r>
      <w:r w:rsidR="00304811">
        <w:rPr>
          <w:rFonts w:asciiTheme="minorHAnsi" w:hAnsiTheme="minorHAnsi"/>
        </w:rPr>
        <w:t>1</w:t>
      </w:r>
      <w:r w:rsidR="00751370" w:rsidRPr="00751370">
        <w:rPr>
          <w:rFonts w:asciiTheme="minorHAnsi" w:hAnsiTheme="minorHAnsi"/>
        </w:rPr>
        <w:t xml:space="preserve"> is 2</w:t>
      </w:r>
      <w:r w:rsidR="00304811">
        <w:rPr>
          <w:rFonts w:asciiTheme="minorHAnsi" w:hAnsiTheme="minorHAnsi"/>
        </w:rPr>
        <w:t>6</w:t>
      </w:r>
      <w:r w:rsidR="00751370" w:rsidRPr="00751370">
        <w:rPr>
          <w:rFonts w:asciiTheme="minorHAnsi" w:hAnsiTheme="minorHAnsi"/>
        </w:rPr>
        <w:t>.</w:t>
      </w:r>
      <w:r w:rsidR="00304811">
        <w:rPr>
          <w:rFonts w:asciiTheme="minorHAnsi" w:hAnsiTheme="minorHAnsi"/>
        </w:rPr>
        <w:t>1</w:t>
      </w:r>
      <w:r w:rsidR="00207FB6" w:rsidRPr="00207FB6">
        <w:rPr>
          <w:rFonts w:asciiTheme="minorHAnsi" w:hAnsiTheme="minorHAnsi"/>
        </w:rPr>
        <w:t xml:space="preserve"> percent</w:t>
      </w:r>
      <w:r w:rsidR="00751370" w:rsidRPr="00751370">
        <w:rPr>
          <w:rFonts w:asciiTheme="minorHAnsi" w:hAnsiTheme="minorHAnsi"/>
        </w:rPr>
        <w:t xml:space="preserve">, which </w:t>
      </w:r>
      <w:r w:rsidR="00751370">
        <w:rPr>
          <w:rFonts w:asciiTheme="minorHAnsi" w:hAnsiTheme="minorHAnsi"/>
        </w:rPr>
        <w:t xml:space="preserve">the CPA states is </w:t>
      </w:r>
      <w:r w:rsidR="00751370" w:rsidRPr="00751370">
        <w:rPr>
          <w:rFonts w:asciiTheme="minorHAnsi" w:hAnsiTheme="minorHAnsi"/>
        </w:rPr>
        <w:t>below Blue Cloud’s historical revenue CAGR of 39.</w:t>
      </w:r>
      <w:r w:rsidR="00751370">
        <w:rPr>
          <w:rFonts w:asciiTheme="minorHAnsi" w:hAnsiTheme="minorHAnsi"/>
        </w:rPr>
        <w:t>5</w:t>
      </w:r>
      <w:r w:rsidR="00207FB6" w:rsidRPr="00207FB6">
        <w:rPr>
          <w:rFonts w:asciiTheme="minorHAnsi" w:hAnsiTheme="minorHAnsi"/>
        </w:rPr>
        <w:t xml:space="preserve"> percent</w:t>
      </w:r>
      <w:r w:rsidR="00751370" w:rsidRPr="00751370">
        <w:rPr>
          <w:rFonts w:asciiTheme="minorHAnsi" w:hAnsiTheme="minorHAnsi"/>
        </w:rPr>
        <w:t xml:space="preserve"> from FY21 through FY25,</w:t>
      </w:r>
      <w:r w:rsidR="00751370">
        <w:rPr>
          <w:rFonts w:asciiTheme="minorHAnsi" w:hAnsiTheme="minorHAnsi"/>
        </w:rPr>
        <w:t xml:space="preserve"> </w:t>
      </w:r>
      <w:r w:rsidR="00751370" w:rsidRPr="00751370">
        <w:rPr>
          <w:rFonts w:asciiTheme="minorHAnsi" w:hAnsiTheme="minorHAnsi"/>
        </w:rPr>
        <w:t xml:space="preserve">indicating that the forecast reflects a growth outlook that is more moderate than </w:t>
      </w:r>
      <w:r w:rsidR="00751370">
        <w:rPr>
          <w:rFonts w:asciiTheme="minorHAnsi" w:hAnsiTheme="minorHAnsi"/>
        </w:rPr>
        <w:t>Blue Cloud’s</w:t>
      </w:r>
      <w:r w:rsidR="00751370" w:rsidRPr="00751370">
        <w:rPr>
          <w:rFonts w:asciiTheme="minorHAnsi" w:hAnsiTheme="minorHAnsi"/>
        </w:rPr>
        <w:t xml:space="preserve"> recent historical performance</w:t>
      </w:r>
      <w:r w:rsidR="00751370">
        <w:rPr>
          <w:rFonts w:asciiTheme="minorHAnsi" w:hAnsiTheme="minorHAnsi"/>
        </w:rPr>
        <w:t>.</w:t>
      </w:r>
      <w:r w:rsidR="00400081" w:rsidRPr="00400081">
        <w:rPr>
          <w:szCs w:val="20"/>
        </w:rPr>
        <w:t xml:space="preserve"> </w:t>
      </w:r>
    </w:p>
    <w:p w14:paraId="67BE1EE2" w14:textId="77777777" w:rsidR="00400081" w:rsidRDefault="00400081" w:rsidP="00751370">
      <w:pPr>
        <w:pStyle w:val="BodyText"/>
        <w:rPr>
          <w:szCs w:val="20"/>
        </w:rPr>
      </w:pPr>
    </w:p>
    <w:p w14:paraId="19D602D8" w14:textId="7F92037A" w:rsidR="00350FFC" w:rsidRDefault="00400081" w:rsidP="007E3B36">
      <w:pPr>
        <w:pStyle w:val="BodyText"/>
        <w:rPr>
          <w:rFonts w:asciiTheme="minorHAnsi" w:hAnsiTheme="minorHAnsi"/>
        </w:rPr>
      </w:pPr>
      <w:r w:rsidRPr="00400081">
        <w:rPr>
          <w:rFonts w:asciiTheme="minorHAnsi" w:hAnsiTheme="minorHAnsi"/>
        </w:rPr>
        <w:t>Based on this analysis, the CPA concluded that the revenue projected by Management reflects a reasonable estimation of future revenues for the Applicant.</w:t>
      </w:r>
    </w:p>
    <w:p w14:paraId="5D4E7950" w14:textId="3CD731D7" w:rsidR="0021544F" w:rsidRDefault="0021544F" w:rsidP="00C316C3">
      <w:pPr>
        <w:pStyle w:val="BodyText"/>
        <w:rPr>
          <w:rFonts w:asciiTheme="minorHAnsi" w:hAnsiTheme="minorHAnsi"/>
        </w:rPr>
      </w:pPr>
    </w:p>
    <w:p w14:paraId="5D7726A2" w14:textId="1ED9B287" w:rsidR="0084256A" w:rsidRPr="0084256A" w:rsidRDefault="0021544F" w:rsidP="0084256A">
      <w:pPr>
        <w:pStyle w:val="BodyText"/>
        <w:rPr>
          <w:rFonts w:asciiTheme="minorHAnsi" w:hAnsiTheme="minorHAnsi"/>
        </w:rPr>
      </w:pPr>
      <w:r w:rsidRPr="003A7B86">
        <w:rPr>
          <w:rFonts w:asciiTheme="minorHAnsi" w:hAnsiTheme="minorHAnsi"/>
          <w:b/>
          <w:bCs/>
        </w:rPr>
        <w:t>Expenses:</w:t>
      </w:r>
      <w:r w:rsidR="00FD641B">
        <w:rPr>
          <w:rFonts w:asciiTheme="minorHAnsi" w:hAnsiTheme="minorHAnsi"/>
        </w:rPr>
        <w:t xml:space="preserve"> </w:t>
      </w:r>
      <w:r w:rsidR="0084256A" w:rsidRPr="0084256A">
        <w:rPr>
          <w:rFonts w:asciiTheme="minorHAnsi" w:hAnsiTheme="minorHAnsi"/>
        </w:rPr>
        <w:t>The CPA analyzed</w:t>
      </w:r>
      <w:r w:rsidR="0084256A">
        <w:rPr>
          <w:rFonts w:asciiTheme="minorHAnsi" w:hAnsiTheme="minorHAnsi"/>
        </w:rPr>
        <w:t xml:space="preserve"> </w:t>
      </w:r>
      <w:r w:rsidR="0045644F" w:rsidRPr="0045644F">
        <w:rPr>
          <w:rFonts w:asciiTheme="minorHAnsi" w:hAnsiTheme="minorHAnsi"/>
        </w:rPr>
        <w:t xml:space="preserve">clinical expenses and </w:t>
      </w:r>
      <w:r w:rsidR="00BB062B">
        <w:rPr>
          <w:rFonts w:asciiTheme="minorHAnsi" w:hAnsiTheme="minorHAnsi"/>
        </w:rPr>
        <w:t>G</w:t>
      </w:r>
      <w:r w:rsidR="0045644F" w:rsidRPr="0045644F">
        <w:rPr>
          <w:rFonts w:asciiTheme="minorHAnsi" w:hAnsiTheme="minorHAnsi"/>
        </w:rPr>
        <w:t xml:space="preserve">eneral &amp; </w:t>
      </w:r>
      <w:r w:rsidR="00BB062B">
        <w:rPr>
          <w:rFonts w:asciiTheme="minorHAnsi" w:hAnsiTheme="minorHAnsi"/>
        </w:rPr>
        <w:t>A</w:t>
      </w:r>
      <w:r w:rsidR="0045644F" w:rsidRPr="0045644F">
        <w:rPr>
          <w:rFonts w:asciiTheme="minorHAnsi" w:hAnsiTheme="minorHAnsi"/>
        </w:rPr>
        <w:t>dministrative</w:t>
      </w:r>
      <w:r w:rsidR="0084256A">
        <w:rPr>
          <w:rFonts w:asciiTheme="minorHAnsi" w:hAnsiTheme="minorHAnsi"/>
        </w:rPr>
        <w:t xml:space="preserve"> expenses </w:t>
      </w:r>
      <w:r w:rsidR="00693059">
        <w:rPr>
          <w:rFonts w:asciiTheme="minorHAnsi" w:hAnsiTheme="minorHAnsi"/>
        </w:rPr>
        <w:t>f</w:t>
      </w:r>
      <w:r w:rsidR="0084256A" w:rsidRPr="0084256A">
        <w:rPr>
          <w:rFonts w:asciiTheme="minorHAnsi" w:hAnsiTheme="minorHAnsi"/>
        </w:rPr>
        <w:t>or</w:t>
      </w:r>
    </w:p>
    <w:p w14:paraId="603BDFAF" w14:textId="6FD497B7" w:rsidR="00156777" w:rsidRDefault="0084256A" w:rsidP="00EF4FEC">
      <w:pPr>
        <w:pStyle w:val="BodyText"/>
        <w:rPr>
          <w:rFonts w:asciiTheme="minorHAnsi" w:hAnsiTheme="minorHAnsi"/>
        </w:rPr>
      </w:pPr>
      <w:r w:rsidRPr="0084256A">
        <w:rPr>
          <w:rFonts w:asciiTheme="minorHAnsi" w:hAnsiTheme="minorHAnsi"/>
        </w:rPr>
        <w:t>reasonableness and feasibility as related to the Projections</w:t>
      </w:r>
      <w:r w:rsidR="00EF4FEC">
        <w:rPr>
          <w:rFonts w:asciiTheme="minorHAnsi" w:hAnsiTheme="minorHAnsi"/>
        </w:rPr>
        <w:t>. T</w:t>
      </w:r>
      <w:r w:rsidR="00EF4FEC" w:rsidRPr="00EF4FEC">
        <w:rPr>
          <w:rFonts w:asciiTheme="minorHAnsi" w:hAnsiTheme="minorHAnsi"/>
        </w:rPr>
        <w:t>otal operating expense growth, excluding depreciation and</w:t>
      </w:r>
      <w:r w:rsidR="00EF4FEC">
        <w:rPr>
          <w:rFonts w:asciiTheme="minorHAnsi" w:hAnsiTheme="minorHAnsi"/>
        </w:rPr>
        <w:t xml:space="preserve"> </w:t>
      </w:r>
      <w:r w:rsidR="00EF4FEC" w:rsidRPr="00EF4FEC">
        <w:rPr>
          <w:rFonts w:asciiTheme="minorHAnsi" w:hAnsiTheme="minorHAnsi"/>
        </w:rPr>
        <w:t xml:space="preserve">amortization, is estimated to range from </w:t>
      </w:r>
      <w:r w:rsidR="00F41A73">
        <w:rPr>
          <w:rFonts w:asciiTheme="minorHAnsi" w:hAnsiTheme="minorHAnsi"/>
        </w:rPr>
        <w:t>18.2</w:t>
      </w:r>
      <w:r w:rsidR="00207FB6" w:rsidRPr="00207FB6">
        <w:rPr>
          <w:rFonts w:asciiTheme="minorHAnsi" w:hAnsiTheme="minorHAnsi"/>
        </w:rPr>
        <w:t xml:space="preserve"> percent</w:t>
      </w:r>
      <w:r w:rsidR="00EF4FEC" w:rsidRPr="00EF4FEC">
        <w:rPr>
          <w:rFonts w:asciiTheme="minorHAnsi" w:hAnsiTheme="minorHAnsi"/>
        </w:rPr>
        <w:t xml:space="preserve"> to 3</w:t>
      </w:r>
      <w:r w:rsidR="00F41A73">
        <w:rPr>
          <w:rFonts w:asciiTheme="minorHAnsi" w:hAnsiTheme="minorHAnsi"/>
        </w:rPr>
        <w:t>1</w:t>
      </w:r>
      <w:r w:rsidR="00EF4FEC" w:rsidRPr="00EF4FEC">
        <w:rPr>
          <w:rFonts w:asciiTheme="minorHAnsi" w:hAnsiTheme="minorHAnsi"/>
        </w:rPr>
        <w:t>.</w:t>
      </w:r>
      <w:r w:rsidR="00F41A73">
        <w:rPr>
          <w:rFonts w:asciiTheme="minorHAnsi" w:hAnsiTheme="minorHAnsi"/>
        </w:rPr>
        <w:t>1</w:t>
      </w:r>
      <w:r w:rsidR="00207FB6" w:rsidRPr="00207FB6">
        <w:rPr>
          <w:rFonts w:asciiTheme="minorHAnsi" w:hAnsiTheme="minorHAnsi"/>
        </w:rPr>
        <w:t xml:space="preserve"> percent</w:t>
      </w:r>
      <w:r w:rsidR="00EF4FEC">
        <w:rPr>
          <w:rFonts w:asciiTheme="minorHAnsi" w:hAnsiTheme="minorHAnsi"/>
        </w:rPr>
        <w:t xml:space="preserve"> </w:t>
      </w:r>
      <w:r w:rsidR="00EF4FEC" w:rsidRPr="00EF4FEC">
        <w:rPr>
          <w:rFonts w:asciiTheme="minorHAnsi" w:hAnsiTheme="minorHAnsi"/>
        </w:rPr>
        <w:t>from FY26 to FY3</w:t>
      </w:r>
      <w:r w:rsidR="00F41A73">
        <w:rPr>
          <w:rFonts w:asciiTheme="minorHAnsi" w:hAnsiTheme="minorHAnsi"/>
        </w:rPr>
        <w:t>1</w:t>
      </w:r>
      <w:r w:rsidR="00EF4FEC" w:rsidRPr="00EF4FEC">
        <w:rPr>
          <w:rFonts w:asciiTheme="minorHAnsi" w:hAnsiTheme="minorHAnsi"/>
        </w:rPr>
        <w:t xml:space="preserve">, with an average annual growth rate of </w:t>
      </w:r>
      <w:r w:rsidR="00515B6E">
        <w:rPr>
          <w:rFonts w:asciiTheme="minorHAnsi" w:hAnsiTheme="minorHAnsi"/>
        </w:rPr>
        <w:t>25.2</w:t>
      </w:r>
      <w:r w:rsidR="00207FB6" w:rsidRPr="00207FB6">
        <w:rPr>
          <w:rFonts w:asciiTheme="minorHAnsi" w:hAnsiTheme="minorHAnsi"/>
        </w:rPr>
        <w:t xml:space="preserve"> percent</w:t>
      </w:r>
      <w:r w:rsidR="00894514">
        <w:rPr>
          <w:rFonts w:asciiTheme="minorHAnsi" w:hAnsiTheme="minorHAnsi"/>
        </w:rPr>
        <w:t>. The CPA states that t</w:t>
      </w:r>
      <w:r w:rsidR="00EF4FEC" w:rsidRPr="00EF4FEC">
        <w:rPr>
          <w:rFonts w:asciiTheme="minorHAnsi" w:hAnsiTheme="minorHAnsi"/>
        </w:rPr>
        <w:t>he primary driver of these higher</w:t>
      </w:r>
      <w:r w:rsidR="00894514">
        <w:rPr>
          <w:rFonts w:asciiTheme="minorHAnsi" w:hAnsiTheme="minorHAnsi"/>
        </w:rPr>
        <w:t xml:space="preserve"> </w:t>
      </w:r>
      <w:r w:rsidR="00EF4FEC" w:rsidRPr="00EF4FEC">
        <w:rPr>
          <w:rFonts w:asciiTheme="minorHAnsi" w:hAnsiTheme="minorHAnsi"/>
        </w:rPr>
        <w:t>expenses is the projected addition of 10 new centers each year</w:t>
      </w:r>
      <w:r w:rsidR="00894514">
        <w:rPr>
          <w:rFonts w:asciiTheme="minorHAnsi" w:hAnsiTheme="minorHAnsi"/>
        </w:rPr>
        <w:t>.</w:t>
      </w:r>
    </w:p>
    <w:p w14:paraId="2A7596A9" w14:textId="77777777" w:rsidR="001F24C6" w:rsidRDefault="001F24C6" w:rsidP="00EF4FEC">
      <w:pPr>
        <w:pStyle w:val="BodyText"/>
        <w:rPr>
          <w:rFonts w:asciiTheme="minorHAnsi" w:hAnsiTheme="minorHAnsi"/>
        </w:rPr>
      </w:pPr>
    </w:p>
    <w:p w14:paraId="7465F86B" w14:textId="5D54B475" w:rsidR="001F24C6" w:rsidRPr="001F24C6" w:rsidRDefault="001F24C6" w:rsidP="001F24C6">
      <w:pPr>
        <w:pStyle w:val="BodyText"/>
        <w:rPr>
          <w:rFonts w:asciiTheme="minorHAnsi" w:hAnsiTheme="minorHAnsi"/>
        </w:rPr>
      </w:pPr>
      <w:r w:rsidRPr="001F24C6">
        <w:rPr>
          <w:rFonts w:asciiTheme="minorHAnsi" w:hAnsiTheme="minorHAnsi"/>
        </w:rPr>
        <w:t>Management’s budget assumptions include approximately 3</w:t>
      </w:r>
      <w:r w:rsidR="00207FB6" w:rsidRPr="00207FB6">
        <w:rPr>
          <w:rFonts w:asciiTheme="minorHAnsi" w:hAnsiTheme="minorHAnsi"/>
        </w:rPr>
        <w:t xml:space="preserve"> percent</w:t>
      </w:r>
      <w:r w:rsidRPr="001F24C6">
        <w:rPr>
          <w:rFonts w:asciiTheme="minorHAnsi" w:hAnsiTheme="minorHAnsi"/>
        </w:rPr>
        <w:t xml:space="preserve"> annual increases in center</w:t>
      </w:r>
    </w:p>
    <w:p w14:paraId="2EB67C61" w14:textId="0858D9EF" w:rsidR="001F24C6" w:rsidRDefault="001F24C6" w:rsidP="001F24C6">
      <w:pPr>
        <w:pStyle w:val="BodyText"/>
        <w:rPr>
          <w:rFonts w:asciiTheme="minorHAnsi" w:hAnsiTheme="minorHAnsi"/>
        </w:rPr>
      </w:pPr>
      <w:r w:rsidRPr="001F24C6">
        <w:rPr>
          <w:rFonts w:asciiTheme="minorHAnsi" w:hAnsiTheme="minorHAnsi"/>
        </w:rPr>
        <w:t xml:space="preserve">and corporate wages based on recent market conditions. </w:t>
      </w:r>
      <w:r w:rsidR="00F3470E">
        <w:rPr>
          <w:rFonts w:asciiTheme="minorHAnsi" w:hAnsiTheme="minorHAnsi"/>
        </w:rPr>
        <w:t>C</w:t>
      </w:r>
      <w:r w:rsidRPr="001F24C6">
        <w:rPr>
          <w:rFonts w:asciiTheme="minorHAnsi" w:hAnsiTheme="minorHAnsi"/>
        </w:rPr>
        <w:t xml:space="preserve">orporate </w:t>
      </w:r>
      <w:r w:rsidR="00EF15B8">
        <w:rPr>
          <w:rFonts w:asciiTheme="minorHAnsi" w:hAnsiTheme="minorHAnsi"/>
        </w:rPr>
        <w:t>G</w:t>
      </w:r>
      <w:r w:rsidRPr="001F24C6">
        <w:rPr>
          <w:rFonts w:asciiTheme="minorHAnsi" w:hAnsiTheme="minorHAnsi"/>
        </w:rPr>
        <w:t xml:space="preserve">eneral </w:t>
      </w:r>
      <w:r w:rsidR="009F1C2D">
        <w:rPr>
          <w:rFonts w:asciiTheme="minorHAnsi" w:hAnsiTheme="minorHAnsi"/>
        </w:rPr>
        <w:t>&amp;</w:t>
      </w:r>
      <w:r w:rsidR="00F3470E">
        <w:rPr>
          <w:rFonts w:asciiTheme="minorHAnsi" w:hAnsiTheme="minorHAnsi"/>
        </w:rPr>
        <w:t xml:space="preserve"> </w:t>
      </w:r>
      <w:r w:rsidR="00EF15B8">
        <w:rPr>
          <w:rFonts w:asciiTheme="minorHAnsi" w:hAnsiTheme="minorHAnsi"/>
        </w:rPr>
        <w:t>A</w:t>
      </w:r>
      <w:r w:rsidRPr="001F24C6">
        <w:rPr>
          <w:rFonts w:asciiTheme="minorHAnsi" w:hAnsiTheme="minorHAnsi"/>
        </w:rPr>
        <w:t>dministrative expenses are expected to rise as the company expands its support</w:t>
      </w:r>
      <w:r w:rsidR="00F3470E">
        <w:rPr>
          <w:rFonts w:asciiTheme="minorHAnsi" w:hAnsiTheme="minorHAnsi"/>
        </w:rPr>
        <w:t xml:space="preserve"> </w:t>
      </w:r>
      <w:r w:rsidRPr="001F24C6">
        <w:rPr>
          <w:rFonts w:asciiTheme="minorHAnsi" w:hAnsiTheme="minorHAnsi"/>
        </w:rPr>
        <w:t>infrastructure</w:t>
      </w:r>
      <w:r w:rsidR="00F3470E">
        <w:rPr>
          <w:rFonts w:asciiTheme="minorHAnsi" w:hAnsiTheme="minorHAnsi"/>
        </w:rPr>
        <w:t xml:space="preserve">. </w:t>
      </w:r>
      <w:r w:rsidRPr="001F24C6">
        <w:rPr>
          <w:rFonts w:asciiTheme="minorHAnsi" w:hAnsiTheme="minorHAnsi"/>
        </w:rPr>
        <w:t>Management projects that these costs will</w:t>
      </w:r>
      <w:r w:rsidR="00F3470E">
        <w:rPr>
          <w:rFonts w:asciiTheme="minorHAnsi" w:hAnsiTheme="minorHAnsi"/>
        </w:rPr>
        <w:t xml:space="preserve"> </w:t>
      </w:r>
      <w:r w:rsidRPr="001F24C6">
        <w:rPr>
          <w:rFonts w:asciiTheme="minorHAnsi" w:hAnsiTheme="minorHAnsi"/>
        </w:rPr>
        <w:t>decline as a percentage of revenue as the platform scales. Management expects the</w:t>
      </w:r>
      <w:r w:rsidR="00F3470E">
        <w:rPr>
          <w:rFonts w:asciiTheme="minorHAnsi" w:hAnsiTheme="minorHAnsi"/>
        </w:rPr>
        <w:t xml:space="preserve"> </w:t>
      </w:r>
      <w:r w:rsidRPr="001F24C6">
        <w:rPr>
          <w:rFonts w:asciiTheme="minorHAnsi" w:hAnsiTheme="minorHAnsi"/>
        </w:rPr>
        <w:t>pace of expense growth to moderate over time as acquisition activity slows and the business</w:t>
      </w:r>
      <w:r w:rsidR="00F3470E">
        <w:rPr>
          <w:rFonts w:asciiTheme="minorHAnsi" w:hAnsiTheme="minorHAnsi"/>
        </w:rPr>
        <w:t xml:space="preserve"> </w:t>
      </w:r>
      <w:r w:rsidRPr="001F24C6">
        <w:rPr>
          <w:rFonts w:asciiTheme="minorHAnsi" w:hAnsiTheme="minorHAnsi"/>
        </w:rPr>
        <w:t>benefits from greater operating leverage across its existing support infrastructure.</w:t>
      </w:r>
    </w:p>
    <w:p w14:paraId="0E369960" w14:textId="77777777" w:rsidR="000E0134" w:rsidRDefault="000E0134" w:rsidP="00EF4FEC">
      <w:pPr>
        <w:pStyle w:val="BodyText"/>
        <w:rPr>
          <w:rFonts w:asciiTheme="minorHAnsi" w:hAnsiTheme="minorHAnsi"/>
        </w:rPr>
      </w:pPr>
    </w:p>
    <w:p w14:paraId="175BF521" w14:textId="40976E8E" w:rsidR="000E0134" w:rsidRPr="00894514" w:rsidRDefault="000E0134" w:rsidP="000E0134">
      <w:pPr>
        <w:pStyle w:val="BodyText"/>
        <w:rPr>
          <w:rFonts w:asciiTheme="minorHAnsi" w:hAnsiTheme="minorHAnsi"/>
        </w:rPr>
      </w:pPr>
      <w:r>
        <w:rPr>
          <w:rFonts w:asciiTheme="minorHAnsi" w:hAnsiTheme="minorHAnsi"/>
        </w:rPr>
        <w:t>P</w:t>
      </w:r>
      <w:r w:rsidRPr="000E0134">
        <w:rPr>
          <w:rFonts w:asciiTheme="minorHAnsi" w:hAnsiTheme="minorHAnsi"/>
        </w:rPr>
        <w:t>rojected annual growth in operating expenses from FY26 through</w:t>
      </w:r>
      <w:r>
        <w:rPr>
          <w:rFonts w:asciiTheme="minorHAnsi" w:hAnsiTheme="minorHAnsi"/>
        </w:rPr>
        <w:t xml:space="preserve"> </w:t>
      </w:r>
      <w:r w:rsidRPr="000E0134">
        <w:rPr>
          <w:rFonts w:asciiTheme="minorHAnsi" w:hAnsiTheme="minorHAnsi"/>
        </w:rPr>
        <w:t>FY3</w:t>
      </w:r>
      <w:r w:rsidR="008D03F0">
        <w:rPr>
          <w:rFonts w:asciiTheme="minorHAnsi" w:hAnsiTheme="minorHAnsi"/>
        </w:rPr>
        <w:t>1</w:t>
      </w:r>
      <w:r w:rsidRPr="000E0134">
        <w:rPr>
          <w:rFonts w:asciiTheme="minorHAnsi" w:hAnsiTheme="minorHAnsi"/>
        </w:rPr>
        <w:t xml:space="preserve"> is consistent with the historical range of annual growth</w:t>
      </w:r>
      <w:r w:rsidR="00E11503">
        <w:rPr>
          <w:rFonts w:asciiTheme="minorHAnsi" w:hAnsiTheme="minorHAnsi"/>
        </w:rPr>
        <w:t xml:space="preserve"> </w:t>
      </w:r>
      <w:r w:rsidRPr="000E0134">
        <w:rPr>
          <w:rFonts w:asciiTheme="minorHAnsi" w:hAnsiTheme="minorHAnsi"/>
        </w:rPr>
        <w:t>and corresponds to the</w:t>
      </w:r>
      <w:r>
        <w:rPr>
          <w:rFonts w:asciiTheme="minorHAnsi" w:hAnsiTheme="minorHAnsi"/>
        </w:rPr>
        <w:t xml:space="preserve"> </w:t>
      </w:r>
      <w:r w:rsidRPr="000E0134">
        <w:rPr>
          <w:rFonts w:asciiTheme="minorHAnsi" w:hAnsiTheme="minorHAnsi"/>
        </w:rPr>
        <w:t xml:space="preserve">anticipated growth in revenue, as well as the expansion of services and locations. Based </w:t>
      </w:r>
      <w:r w:rsidR="006B68F0">
        <w:rPr>
          <w:rFonts w:asciiTheme="minorHAnsi" w:hAnsiTheme="minorHAnsi"/>
        </w:rPr>
        <w:t xml:space="preserve">on this analysis, the CPA concluded that </w:t>
      </w:r>
      <w:r w:rsidRPr="000E0134">
        <w:rPr>
          <w:rFonts w:asciiTheme="minorHAnsi" w:hAnsiTheme="minorHAnsi"/>
        </w:rPr>
        <w:t>the operating expenses within the Projections reflect</w:t>
      </w:r>
      <w:r w:rsidR="006B68F0">
        <w:rPr>
          <w:rFonts w:asciiTheme="minorHAnsi" w:hAnsiTheme="minorHAnsi"/>
        </w:rPr>
        <w:t xml:space="preserve"> </w:t>
      </w:r>
      <w:r w:rsidRPr="000E0134">
        <w:rPr>
          <w:rFonts w:asciiTheme="minorHAnsi" w:hAnsiTheme="minorHAnsi"/>
        </w:rPr>
        <w:t>reasonable estimation of future expenses of the Applicant.</w:t>
      </w:r>
    </w:p>
    <w:p w14:paraId="04A138D8" w14:textId="77777777" w:rsidR="002D64B8" w:rsidRDefault="002D64B8" w:rsidP="002D64B8">
      <w:pPr>
        <w:pStyle w:val="BodyText"/>
        <w:rPr>
          <w:rFonts w:asciiTheme="minorHAnsi" w:hAnsiTheme="minorHAnsi"/>
        </w:rPr>
      </w:pPr>
    </w:p>
    <w:p w14:paraId="19AA759E" w14:textId="1E2E5ECE" w:rsidR="002D64B8" w:rsidRDefault="002D64B8" w:rsidP="002D64B8">
      <w:pPr>
        <w:pStyle w:val="BodyText"/>
        <w:rPr>
          <w:rFonts w:asciiTheme="minorHAnsi" w:hAnsiTheme="minorHAnsi"/>
        </w:rPr>
      </w:pPr>
      <w:r>
        <w:rPr>
          <w:rFonts w:asciiTheme="minorHAnsi" w:hAnsiTheme="minorHAnsi"/>
        </w:rPr>
        <w:t xml:space="preserve">Based on their analysis, the CPA found the projected pro-forma expenses for the Projection Period to be a reasonable estimation and conservative. </w:t>
      </w:r>
    </w:p>
    <w:p w14:paraId="36C5DE74" w14:textId="77777777" w:rsidR="00A5193D" w:rsidRDefault="00A5193D" w:rsidP="002D64B8">
      <w:pPr>
        <w:pStyle w:val="BodyText"/>
        <w:rPr>
          <w:rFonts w:asciiTheme="minorHAnsi" w:hAnsiTheme="minorHAnsi"/>
        </w:rPr>
      </w:pPr>
    </w:p>
    <w:p w14:paraId="20AAECB6" w14:textId="27E31F7C" w:rsidR="009E1EFC" w:rsidRDefault="00CD46B4" w:rsidP="00CD46B4">
      <w:pPr>
        <w:pStyle w:val="BodyText"/>
        <w:rPr>
          <w:rFonts w:asciiTheme="minorHAnsi" w:hAnsiTheme="minorHAnsi"/>
          <w:b/>
          <w:bCs/>
        </w:rPr>
      </w:pPr>
      <w:r w:rsidRPr="00CD46B4">
        <w:rPr>
          <w:rFonts w:asciiTheme="minorHAnsi" w:hAnsiTheme="minorHAnsi"/>
          <w:b/>
          <w:bCs/>
        </w:rPr>
        <w:t>Capital Expenditures and Proposed Project Financing</w:t>
      </w:r>
      <w:r>
        <w:rPr>
          <w:rFonts w:asciiTheme="minorHAnsi" w:hAnsiTheme="minorHAnsi"/>
          <w:b/>
          <w:bCs/>
        </w:rPr>
        <w:t>:</w:t>
      </w:r>
    </w:p>
    <w:p w14:paraId="6EEEE9B4" w14:textId="4F3F9710" w:rsidR="0072178B" w:rsidRPr="0072178B" w:rsidRDefault="0072178B" w:rsidP="0072178B">
      <w:pPr>
        <w:pStyle w:val="BodyText"/>
        <w:rPr>
          <w:rFonts w:asciiTheme="minorHAnsi" w:hAnsiTheme="minorHAnsi"/>
        </w:rPr>
      </w:pPr>
      <w:r>
        <w:rPr>
          <w:rFonts w:asciiTheme="minorHAnsi" w:hAnsiTheme="minorHAnsi"/>
        </w:rPr>
        <w:t xml:space="preserve">The CPA </w:t>
      </w:r>
      <w:r w:rsidRPr="0072178B">
        <w:rPr>
          <w:rFonts w:asciiTheme="minorHAnsi" w:hAnsiTheme="minorHAnsi"/>
        </w:rPr>
        <w:t>reviewed the project cost information set forth in the Site Evaluation Report prepared by</w:t>
      </w:r>
    </w:p>
    <w:p w14:paraId="3C8F2C64" w14:textId="05C6CB9B" w:rsidR="00CD46B4" w:rsidRDefault="0072178B" w:rsidP="003807A0">
      <w:pPr>
        <w:pStyle w:val="BodyText"/>
        <w:rPr>
          <w:rFonts w:asciiTheme="minorHAnsi" w:hAnsiTheme="minorHAnsi"/>
        </w:rPr>
      </w:pPr>
      <w:r w:rsidRPr="0072178B">
        <w:rPr>
          <w:rFonts w:asciiTheme="minorHAnsi" w:hAnsiTheme="minorHAnsi"/>
        </w:rPr>
        <w:t>Kadean Construction for the Proposed Project</w:t>
      </w:r>
      <w:r>
        <w:rPr>
          <w:rFonts w:asciiTheme="minorHAnsi" w:hAnsiTheme="minorHAnsi"/>
        </w:rPr>
        <w:t xml:space="preserve">, in which Kadean Construction </w:t>
      </w:r>
      <w:r w:rsidRPr="0072178B">
        <w:rPr>
          <w:rFonts w:asciiTheme="minorHAnsi" w:hAnsiTheme="minorHAnsi"/>
        </w:rPr>
        <w:t>estimated a Rough Order</w:t>
      </w:r>
      <w:r>
        <w:rPr>
          <w:rFonts w:asciiTheme="minorHAnsi" w:hAnsiTheme="minorHAnsi"/>
        </w:rPr>
        <w:t xml:space="preserve"> </w:t>
      </w:r>
      <w:r w:rsidRPr="0072178B">
        <w:rPr>
          <w:rFonts w:asciiTheme="minorHAnsi" w:hAnsiTheme="minorHAnsi"/>
        </w:rPr>
        <w:t>of Magnitude (“ROM”) project cost of approximately $2.8 million</w:t>
      </w:r>
      <w:r w:rsidR="00B7792D" w:rsidRPr="00B7792D">
        <w:t xml:space="preserve"> </w:t>
      </w:r>
      <w:r w:rsidR="00B7792D" w:rsidRPr="00B7792D">
        <w:rPr>
          <w:rFonts w:asciiTheme="minorHAnsi" w:hAnsiTheme="minorHAnsi"/>
        </w:rPr>
        <w:t>to update the subject facility to align with Blue Cloud’s pediatric dentistry</w:t>
      </w:r>
      <w:r w:rsidR="00B7792D">
        <w:rPr>
          <w:rFonts w:asciiTheme="minorHAnsi" w:hAnsiTheme="minorHAnsi"/>
        </w:rPr>
        <w:t xml:space="preserve"> </w:t>
      </w:r>
      <w:r w:rsidR="00B7792D" w:rsidRPr="00B7792D">
        <w:rPr>
          <w:rFonts w:asciiTheme="minorHAnsi" w:hAnsiTheme="minorHAnsi"/>
        </w:rPr>
        <w:t xml:space="preserve">ambulatory surgery center model. </w:t>
      </w:r>
      <w:r w:rsidR="00CD551C">
        <w:rPr>
          <w:rFonts w:asciiTheme="minorHAnsi" w:hAnsiTheme="minorHAnsi"/>
        </w:rPr>
        <w:t xml:space="preserve">The CPA found </w:t>
      </w:r>
      <w:r w:rsidR="00CD551C" w:rsidRPr="00CD551C">
        <w:rPr>
          <w:rFonts w:asciiTheme="minorHAnsi" w:hAnsiTheme="minorHAnsi"/>
        </w:rPr>
        <w:t>the ROM estimate</w:t>
      </w:r>
      <w:r w:rsidR="00CD551C">
        <w:rPr>
          <w:rFonts w:asciiTheme="minorHAnsi" w:hAnsiTheme="minorHAnsi"/>
        </w:rPr>
        <w:t xml:space="preserve"> appeared</w:t>
      </w:r>
      <w:r w:rsidR="00CD551C" w:rsidRPr="00CD551C">
        <w:rPr>
          <w:rFonts w:asciiTheme="minorHAnsi" w:hAnsiTheme="minorHAnsi"/>
        </w:rPr>
        <w:t xml:space="preserve"> to reflect the major cost components</w:t>
      </w:r>
      <w:r w:rsidR="00CD551C">
        <w:rPr>
          <w:rFonts w:asciiTheme="minorHAnsi" w:hAnsiTheme="minorHAnsi"/>
        </w:rPr>
        <w:t xml:space="preserve"> </w:t>
      </w:r>
      <w:r w:rsidR="00CD551C" w:rsidRPr="00CD551C">
        <w:rPr>
          <w:rFonts w:asciiTheme="minorHAnsi" w:hAnsiTheme="minorHAnsi"/>
        </w:rPr>
        <w:t>reasonably necessary for the Proposed Project, including architectural and building system</w:t>
      </w:r>
      <w:r w:rsidR="00CD551C">
        <w:rPr>
          <w:rFonts w:asciiTheme="minorHAnsi" w:hAnsiTheme="minorHAnsi"/>
        </w:rPr>
        <w:t xml:space="preserve"> </w:t>
      </w:r>
      <w:r w:rsidR="00CD551C" w:rsidRPr="00CD551C">
        <w:rPr>
          <w:rFonts w:asciiTheme="minorHAnsi" w:hAnsiTheme="minorHAnsi"/>
        </w:rPr>
        <w:t>updates, mechanical, electrical, plumbing, medical gas, emergency power, data and nurse</w:t>
      </w:r>
      <w:r w:rsidR="00CD551C">
        <w:rPr>
          <w:rFonts w:asciiTheme="minorHAnsi" w:hAnsiTheme="minorHAnsi"/>
        </w:rPr>
        <w:t xml:space="preserve"> </w:t>
      </w:r>
      <w:r w:rsidR="00CD551C" w:rsidRPr="00CD551C">
        <w:rPr>
          <w:rFonts w:asciiTheme="minorHAnsi" w:hAnsiTheme="minorHAnsi"/>
        </w:rPr>
        <w:t>call systems, as well as design fees and contingency</w:t>
      </w:r>
      <w:r w:rsidR="00CD551C">
        <w:rPr>
          <w:rFonts w:asciiTheme="minorHAnsi" w:hAnsiTheme="minorHAnsi"/>
        </w:rPr>
        <w:t>, and found</w:t>
      </w:r>
      <w:r w:rsidR="00CD551C" w:rsidRPr="00CD551C">
        <w:rPr>
          <w:rFonts w:asciiTheme="minorHAnsi" w:hAnsiTheme="minorHAnsi"/>
        </w:rPr>
        <w:t xml:space="preserve"> </w:t>
      </w:r>
      <w:r w:rsidR="00CD551C">
        <w:rPr>
          <w:rFonts w:asciiTheme="minorHAnsi" w:hAnsiTheme="minorHAnsi"/>
        </w:rPr>
        <w:t>t</w:t>
      </w:r>
      <w:r w:rsidR="00CD551C" w:rsidRPr="00CD551C">
        <w:rPr>
          <w:rFonts w:asciiTheme="minorHAnsi" w:hAnsiTheme="minorHAnsi"/>
        </w:rPr>
        <w:t>he estimate was developed using</w:t>
      </w:r>
      <w:r w:rsidR="00CD551C">
        <w:rPr>
          <w:rFonts w:asciiTheme="minorHAnsi" w:hAnsiTheme="minorHAnsi"/>
        </w:rPr>
        <w:t xml:space="preserve"> </w:t>
      </w:r>
      <w:r w:rsidR="00CD551C" w:rsidRPr="00CD551C">
        <w:rPr>
          <w:rFonts w:asciiTheme="minorHAnsi" w:hAnsiTheme="minorHAnsi"/>
        </w:rPr>
        <w:t>generally accepted early-stage costing methodologies</w:t>
      </w:r>
      <w:r w:rsidR="00CD551C">
        <w:rPr>
          <w:rFonts w:asciiTheme="minorHAnsi" w:hAnsiTheme="minorHAnsi"/>
        </w:rPr>
        <w:t>.</w:t>
      </w:r>
      <w:r w:rsidR="00643BF5" w:rsidRPr="00643BF5">
        <w:t xml:space="preserve"> </w:t>
      </w:r>
      <w:r w:rsidR="00643BF5">
        <w:rPr>
          <w:rFonts w:asciiTheme="minorHAnsi" w:hAnsiTheme="minorHAnsi"/>
        </w:rPr>
        <w:t>T</w:t>
      </w:r>
      <w:r w:rsidR="00643BF5" w:rsidRPr="00643BF5">
        <w:rPr>
          <w:rFonts w:asciiTheme="minorHAnsi" w:hAnsiTheme="minorHAnsi"/>
        </w:rPr>
        <w:t>he anticipated</w:t>
      </w:r>
      <w:r w:rsidR="00643BF5">
        <w:rPr>
          <w:rFonts w:asciiTheme="minorHAnsi" w:hAnsiTheme="minorHAnsi"/>
        </w:rPr>
        <w:t xml:space="preserve"> </w:t>
      </w:r>
      <w:r w:rsidR="00643BF5" w:rsidRPr="00643BF5">
        <w:rPr>
          <w:rFonts w:asciiTheme="minorHAnsi" w:hAnsiTheme="minorHAnsi"/>
        </w:rPr>
        <w:t>purchase price</w:t>
      </w:r>
      <w:r w:rsidR="003807A0">
        <w:rPr>
          <w:rFonts w:asciiTheme="minorHAnsi" w:hAnsiTheme="minorHAnsi"/>
        </w:rPr>
        <w:t xml:space="preserve"> </w:t>
      </w:r>
      <w:r w:rsidR="003807A0" w:rsidRPr="003807A0">
        <w:rPr>
          <w:rFonts w:asciiTheme="minorHAnsi" w:hAnsiTheme="minorHAnsi"/>
        </w:rPr>
        <w:t>associated with the acquisition of Northeast Ambulatory Center, LLC</w:t>
      </w:r>
      <w:r w:rsidR="00643BF5" w:rsidRPr="00643BF5">
        <w:rPr>
          <w:rFonts w:asciiTheme="minorHAnsi" w:hAnsiTheme="minorHAnsi"/>
        </w:rPr>
        <w:t xml:space="preserve"> is not materially different from the amount typically assumed in the</w:t>
      </w:r>
      <w:r w:rsidR="003807A0">
        <w:rPr>
          <w:rFonts w:asciiTheme="minorHAnsi" w:hAnsiTheme="minorHAnsi"/>
        </w:rPr>
        <w:t xml:space="preserve"> </w:t>
      </w:r>
      <w:r w:rsidR="003807A0" w:rsidRPr="003807A0">
        <w:rPr>
          <w:rFonts w:asciiTheme="minorHAnsi" w:hAnsiTheme="minorHAnsi"/>
        </w:rPr>
        <w:t>Applicant’s budget for ASC acquisitions</w:t>
      </w:r>
      <w:r w:rsidR="003807A0">
        <w:rPr>
          <w:rFonts w:asciiTheme="minorHAnsi" w:hAnsiTheme="minorHAnsi"/>
        </w:rPr>
        <w:t xml:space="preserve"> where </w:t>
      </w:r>
      <w:r w:rsidR="003807A0" w:rsidRPr="003807A0">
        <w:rPr>
          <w:rFonts w:asciiTheme="minorHAnsi" w:hAnsiTheme="minorHAnsi"/>
        </w:rPr>
        <w:t>on average, the Applicant expects to</w:t>
      </w:r>
      <w:r w:rsidR="003807A0">
        <w:rPr>
          <w:rFonts w:asciiTheme="minorHAnsi" w:hAnsiTheme="minorHAnsi"/>
        </w:rPr>
        <w:t xml:space="preserve"> </w:t>
      </w:r>
      <w:r w:rsidR="003807A0" w:rsidRPr="003807A0">
        <w:rPr>
          <w:rFonts w:asciiTheme="minorHAnsi" w:hAnsiTheme="minorHAnsi"/>
        </w:rPr>
        <w:t>spend roughly $3.5 million on average to acquire per center.</w:t>
      </w:r>
      <w:r w:rsidR="003807A0">
        <w:rPr>
          <w:rFonts w:asciiTheme="minorHAnsi" w:hAnsiTheme="minorHAnsi"/>
        </w:rPr>
        <w:t xml:space="preserve"> </w:t>
      </w:r>
    </w:p>
    <w:p w14:paraId="410B9D9B" w14:textId="77777777" w:rsidR="00534BEF" w:rsidRDefault="00534BEF" w:rsidP="003807A0">
      <w:pPr>
        <w:pStyle w:val="BodyText"/>
        <w:rPr>
          <w:rFonts w:asciiTheme="minorHAnsi" w:hAnsiTheme="minorHAnsi"/>
        </w:rPr>
      </w:pPr>
    </w:p>
    <w:p w14:paraId="1BC53A1D" w14:textId="52956489" w:rsidR="00534BEF" w:rsidRDefault="00534BEF" w:rsidP="00D05E06">
      <w:pPr>
        <w:pStyle w:val="BodyText"/>
        <w:rPr>
          <w:rFonts w:asciiTheme="minorHAnsi" w:hAnsiTheme="minorHAnsi"/>
        </w:rPr>
      </w:pPr>
      <w:r>
        <w:rPr>
          <w:rFonts w:asciiTheme="minorHAnsi" w:hAnsiTheme="minorHAnsi"/>
        </w:rPr>
        <w:t>The CPA reviewed the proposed financing of the Proposed Project. B</w:t>
      </w:r>
      <w:r w:rsidRPr="00534BEF">
        <w:rPr>
          <w:rFonts w:asciiTheme="minorHAnsi" w:hAnsiTheme="minorHAnsi"/>
        </w:rPr>
        <w:t>lue Cloud plans to finance the Proposed Project using cash generated from</w:t>
      </w:r>
      <w:r>
        <w:rPr>
          <w:rFonts w:asciiTheme="minorHAnsi" w:hAnsiTheme="minorHAnsi"/>
        </w:rPr>
        <w:t xml:space="preserve"> </w:t>
      </w:r>
      <w:r w:rsidRPr="00534BEF">
        <w:rPr>
          <w:rFonts w:asciiTheme="minorHAnsi" w:hAnsiTheme="minorHAnsi"/>
        </w:rPr>
        <w:t>operations and does not anticipate utilizing long-term project-specific debt to fund the</w:t>
      </w:r>
      <w:r>
        <w:rPr>
          <w:rFonts w:asciiTheme="minorHAnsi" w:hAnsiTheme="minorHAnsi"/>
        </w:rPr>
        <w:t xml:space="preserve"> </w:t>
      </w:r>
      <w:r w:rsidRPr="00534BEF">
        <w:rPr>
          <w:rFonts w:asciiTheme="minorHAnsi" w:hAnsiTheme="minorHAnsi"/>
        </w:rPr>
        <w:t>renovation costs</w:t>
      </w:r>
      <w:r w:rsidR="006123EA">
        <w:rPr>
          <w:rFonts w:asciiTheme="minorHAnsi" w:hAnsiTheme="minorHAnsi"/>
        </w:rPr>
        <w:t xml:space="preserve"> and </w:t>
      </w:r>
      <w:r w:rsidR="006123EA" w:rsidRPr="006123EA">
        <w:rPr>
          <w:rFonts w:asciiTheme="minorHAnsi" w:hAnsiTheme="minorHAnsi"/>
        </w:rPr>
        <w:t>may draw on its revolving line</w:t>
      </w:r>
      <w:r w:rsidR="006123EA">
        <w:rPr>
          <w:rFonts w:asciiTheme="minorHAnsi" w:hAnsiTheme="minorHAnsi"/>
        </w:rPr>
        <w:t xml:space="preserve"> </w:t>
      </w:r>
      <w:r w:rsidR="006123EA" w:rsidRPr="006123EA">
        <w:rPr>
          <w:rFonts w:asciiTheme="minorHAnsi" w:hAnsiTheme="minorHAnsi"/>
        </w:rPr>
        <w:t>of credit for short-term financing needs during the renovation period</w:t>
      </w:r>
      <w:r w:rsidR="006123EA">
        <w:rPr>
          <w:rFonts w:asciiTheme="minorHAnsi" w:hAnsiTheme="minorHAnsi"/>
        </w:rPr>
        <w:t xml:space="preserve">. The CPA determined </w:t>
      </w:r>
      <w:r w:rsidR="006123EA" w:rsidRPr="006123EA">
        <w:rPr>
          <w:rFonts w:asciiTheme="minorHAnsi" w:hAnsiTheme="minorHAnsi"/>
        </w:rPr>
        <w:t>operating cash flows are expected to be sufficient to support the capital</w:t>
      </w:r>
      <w:r w:rsidR="006123EA">
        <w:rPr>
          <w:rFonts w:asciiTheme="minorHAnsi" w:hAnsiTheme="minorHAnsi"/>
        </w:rPr>
        <w:t xml:space="preserve"> </w:t>
      </w:r>
      <w:r w:rsidR="006123EA" w:rsidRPr="006123EA">
        <w:rPr>
          <w:rFonts w:asciiTheme="minorHAnsi" w:hAnsiTheme="minorHAnsi"/>
        </w:rPr>
        <w:t>expenditures associated with the Proposed Project</w:t>
      </w:r>
      <w:r w:rsidR="006123EA">
        <w:rPr>
          <w:rFonts w:asciiTheme="minorHAnsi" w:hAnsiTheme="minorHAnsi"/>
        </w:rPr>
        <w:t>.</w:t>
      </w:r>
      <w:r w:rsidR="00D05E06" w:rsidRPr="00D05E06">
        <w:rPr>
          <w:rFonts w:ascii="CIDFont+F1" w:hAnsi="CIDFont+F1" w:cs="CIDFont+F1"/>
          <w:sz w:val="22"/>
          <w:szCs w:val="22"/>
        </w:rPr>
        <w:t xml:space="preserve"> </w:t>
      </w:r>
      <w:r w:rsidR="00D05E06" w:rsidRPr="00D05E06">
        <w:rPr>
          <w:rFonts w:asciiTheme="minorHAnsi" w:hAnsiTheme="minorHAnsi"/>
        </w:rPr>
        <w:t>Blue Cloud has access to a $50.0 million revolving line of credit,</w:t>
      </w:r>
      <w:r w:rsidR="00D05E06">
        <w:rPr>
          <w:rFonts w:asciiTheme="minorHAnsi" w:hAnsiTheme="minorHAnsi"/>
        </w:rPr>
        <w:t xml:space="preserve"> </w:t>
      </w:r>
      <w:r w:rsidR="00D05E06" w:rsidRPr="00D05E06">
        <w:rPr>
          <w:rFonts w:asciiTheme="minorHAnsi" w:hAnsiTheme="minorHAnsi"/>
        </w:rPr>
        <w:t>which provides additional liquidity and financial flexibility. As of April 2026, approximately</w:t>
      </w:r>
      <w:r w:rsidR="00D05E06">
        <w:rPr>
          <w:rFonts w:asciiTheme="minorHAnsi" w:hAnsiTheme="minorHAnsi"/>
        </w:rPr>
        <w:t xml:space="preserve"> </w:t>
      </w:r>
      <w:r w:rsidR="00D05E06" w:rsidRPr="00D05E06">
        <w:rPr>
          <w:rFonts w:asciiTheme="minorHAnsi" w:hAnsiTheme="minorHAnsi"/>
        </w:rPr>
        <w:t>$1.5 million had been drawn on the line of credit, leaving substantial remaining availability.</w:t>
      </w:r>
    </w:p>
    <w:p w14:paraId="73945D6E" w14:textId="77777777" w:rsidR="00CF189D" w:rsidRDefault="00CF189D" w:rsidP="00D05E06">
      <w:pPr>
        <w:pStyle w:val="BodyText"/>
        <w:rPr>
          <w:rFonts w:asciiTheme="minorHAnsi" w:hAnsiTheme="minorHAnsi"/>
        </w:rPr>
      </w:pPr>
    </w:p>
    <w:p w14:paraId="010F25BB" w14:textId="2B450DD3" w:rsidR="00CF189D" w:rsidRPr="00CD46B4" w:rsidRDefault="00CF189D" w:rsidP="00957EC7">
      <w:pPr>
        <w:pStyle w:val="BodyText"/>
        <w:rPr>
          <w:rFonts w:asciiTheme="minorHAnsi" w:hAnsiTheme="minorHAnsi"/>
        </w:rPr>
      </w:pPr>
      <w:r>
        <w:rPr>
          <w:rFonts w:asciiTheme="minorHAnsi" w:hAnsiTheme="minorHAnsi"/>
        </w:rPr>
        <w:t xml:space="preserve">Based on their analysis, </w:t>
      </w:r>
      <w:r w:rsidR="008F4238">
        <w:rPr>
          <w:rFonts w:asciiTheme="minorHAnsi" w:hAnsiTheme="minorHAnsi"/>
        </w:rPr>
        <w:t>t</w:t>
      </w:r>
      <w:r>
        <w:rPr>
          <w:rFonts w:asciiTheme="minorHAnsi" w:hAnsiTheme="minorHAnsi"/>
        </w:rPr>
        <w:t>he CPA found Blue Cloud’s</w:t>
      </w:r>
      <w:r w:rsidRPr="00CF189D">
        <w:rPr>
          <w:rFonts w:asciiTheme="minorHAnsi" w:hAnsiTheme="minorHAnsi"/>
        </w:rPr>
        <w:t xml:space="preserve"> plan to fund the Proposed Project using</w:t>
      </w:r>
      <w:r w:rsidR="00957EC7">
        <w:rPr>
          <w:rFonts w:asciiTheme="minorHAnsi" w:hAnsiTheme="minorHAnsi"/>
        </w:rPr>
        <w:t xml:space="preserve"> </w:t>
      </w:r>
      <w:r w:rsidRPr="00CF189D">
        <w:rPr>
          <w:rFonts w:asciiTheme="minorHAnsi" w:hAnsiTheme="minorHAnsi"/>
        </w:rPr>
        <w:t>operating cash flows, supplemented by available revolving credit capacity, is reasonable and</w:t>
      </w:r>
      <w:r w:rsidR="00957EC7">
        <w:rPr>
          <w:rFonts w:asciiTheme="minorHAnsi" w:hAnsiTheme="minorHAnsi"/>
        </w:rPr>
        <w:t xml:space="preserve"> </w:t>
      </w:r>
      <w:r w:rsidR="00957EC7" w:rsidRPr="00957EC7">
        <w:rPr>
          <w:rFonts w:asciiTheme="minorHAnsi" w:hAnsiTheme="minorHAnsi"/>
        </w:rPr>
        <w:t>provides sufficient financial flexibility to absorb potential cost variability or timing</w:t>
      </w:r>
      <w:r w:rsidR="00957EC7">
        <w:rPr>
          <w:rFonts w:asciiTheme="minorHAnsi" w:hAnsiTheme="minorHAnsi"/>
        </w:rPr>
        <w:t xml:space="preserve"> </w:t>
      </w:r>
      <w:r w:rsidR="00957EC7" w:rsidRPr="00957EC7">
        <w:rPr>
          <w:rFonts w:asciiTheme="minorHAnsi" w:hAnsiTheme="minorHAnsi"/>
        </w:rPr>
        <w:t>differences during the renovation period.</w:t>
      </w:r>
      <w:r w:rsidR="00957EC7">
        <w:rPr>
          <w:rFonts w:asciiTheme="minorHAnsi" w:hAnsiTheme="minorHAnsi"/>
        </w:rPr>
        <w:t xml:space="preserve"> </w:t>
      </w:r>
    </w:p>
    <w:p w14:paraId="2B521C5A" w14:textId="77777777" w:rsidR="00CD46B4" w:rsidRPr="009E1EFC" w:rsidRDefault="00CD46B4" w:rsidP="00CD46B4">
      <w:pPr>
        <w:pStyle w:val="BodyText"/>
        <w:rPr>
          <w:rFonts w:asciiTheme="minorHAnsi" w:hAnsiTheme="minorHAnsi"/>
          <w:b/>
          <w:bCs/>
        </w:rPr>
      </w:pPr>
    </w:p>
    <w:p w14:paraId="453A4170" w14:textId="4A55CF16" w:rsidR="001923DD" w:rsidRDefault="007C430B" w:rsidP="00C316C3">
      <w:pPr>
        <w:pStyle w:val="BodyText"/>
        <w:rPr>
          <w:rFonts w:asciiTheme="minorHAnsi" w:hAnsiTheme="minorHAnsi"/>
          <w:b/>
          <w:bCs/>
        </w:rPr>
      </w:pPr>
      <w:r w:rsidRPr="003A7B86">
        <w:rPr>
          <w:rFonts w:asciiTheme="minorHAnsi" w:hAnsiTheme="minorHAnsi"/>
          <w:b/>
          <w:bCs/>
        </w:rPr>
        <w:t>CPA’s Conclusion of Feasibility</w:t>
      </w:r>
      <w:r w:rsidR="003B67F5">
        <w:rPr>
          <w:rFonts w:asciiTheme="minorHAnsi" w:hAnsiTheme="minorHAnsi"/>
          <w:b/>
          <w:bCs/>
        </w:rPr>
        <w:t>:</w:t>
      </w:r>
    </w:p>
    <w:p w14:paraId="6BC3FA97" w14:textId="272EF488" w:rsidR="00B90EAA" w:rsidRDefault="00985E31" w:rsidP="004F67F1">
      <w:pPr>
        <w:pStyle w:val="BodyText"/>
        <w:rPr>
          <w:rFonts w:asciiTheme="minorHAnsi" w:hAnsiTheme="minorHAnsi"/>
        </w:rPr>
      </w:pPr>
      <w:r w:rsidRPr="00985E31">
        <w:rPr>
          <w:rFonts w:asciiTheme="minorHAnsi" w:hAnsiTheme="minorHAnsi"/>
        </w:rPr>
        <w:t>As a result of its analysis the CPA states that:</w:t>
      </w:r>
    </w:p>
    <w:p w14:paraId="1C24AC26" w14:textId="63EB3617" w:rsidR="0079571C" w:rsidRPr="0079571C" w:rsidRDefault="0079571C" w:rsidP="0079571C">
      <w:pPr>
        <w:pStyle w:val="BodyText"/>
        <w:ind w:firstLine="720"/>
        <w:rPr>
          <w:rFonts w:asciiTheme="minorHAnsi" w:hAnsiTheme="minorHAnsi"/>
          <w:i/>
          <w:iCs/>
        </w:rPr>
      </w:pPr>
      <w:r>
        <w:rPr>
          <w:rFonts w:asciiTheme="minorHAnsi" w:hAnsiTheme="minorHAnsi"/>
          <w:i/>
          <w:iCs/>
        </w:rPr>
        <w:t>“</w:t>
      </w:r>
      <w:r w:rsidRPr="0079571C">
        <w:rPr>
          <w:rFonts w:asciiTheme="minorHAnsi" w:hAnsiTheme="minorHAnsi"/>
          <w:i/>
          <w:iCs/>
        </w:rPr>
        <w:t>Within the projected financial information, the Projections exhibit a cumulative operating</w:t>
      </w:r>
    </w:p>
    <w:p w14:paraId="45ECFFA0" w14:textId="38B9D989" w:rsidR="0079571C" w:rsidRPr="0079571C" w:rsidRDefault="0079571C" w:rsidP="0079571C">
      <w:pPr>
        <w:pStyle w:val="BodyText"/>
        <w:ind w:firstLine="720"/>
        <w:rPr>
          <w:rFonts w:asciiTheme="minorHAnsi" w:hAnsiTheme="minorHAnsi"/>
          <w:i/>
          <w:iCs/>
        </w:rPr>
      </w:pPr>
      <w:r w:rsidRPr="0079571C">
        <w:rPr>
          <w:rFonts w:asciiTheme="minorHAnsi" w:hAnsiTheme="minorHAnsi"/>
          <w:i/>
          <w:iCs/>
        </w:rPr>
        <w:t>EBITDA surplus of approximately 26.</w:t>
      </w:r>
      <w:r w:rsidR="008F4238">
        <w:rPr>
          <w:rFonts w:asciiTheme="minorHAnsi" w:hAnsiTheme="minorHAnsi"/>
          <w:i/>
          <w:iCs/>
        </w:rPr>
        <w:t>3</w:t>
      </w:r>
      <w:r w:rsidRPr="0079571C">
        <w:rPr>
          <w:rFonts w:asciiTheme="minorHAnsi" w:hAnsiTheme="minorHAnsi"/>
          <w:i/>
          <w:iCs/>
        </w:rPr>
        <w:t xml:space="preserve"> percent of cumulative projected total revenue for the</w:t>
      </w:r>
    </w:p>
    <w:p w14:paraId="30178474" w14:textId="38C0CD17" w:rsidR="0079571C" w:rsidRPr="0079571C" w:rsidRDefault="00CE576A" w:rsidP="0079571C">
      <w:pPr>
        <w:pStyle w:val="BodyText"/>
        <w:ind w:firstLine="720"/>
        <w:rPr>
          <w:rFonts w:asciiTheme="minorHAnsi" w:hAnsiTheme="minorHAnsi"/>
          <w:i/>
          <w:iCs/>
        </w:rPr>
      </w:pPr>
      <w:r>
        <w:rPr>
          <w:rFonts w:asciiTheme="minorHAnsi" w:hAnsiTheme="minorHAnsi"/>
          <w:i/>
          <w:iCs/>
        </w:rPr>
        <w:t>six</w:t>
      </w:r>
      <w:r w:rsidR="0079571C" w:rsidRPr="0079571C">
        <w:rPr>
          <w:rFonts w:asciiTheme="minorHAnsi" w:hAnsiTheme="minorHAnsi"/>
          <w:i/>
          <w:iCs/>
        </w:rPr>
        <w:t xml:space="preserve"> years from FY 2026 through FY 203</w:t>
      </w:r>
      <w:r w:rsidR="008F4238">
        <w:rPr>
          <w:rFonts w:asciiTheme="minorHAnsi" w:hAnsiTheme="minorHAnsi"/>
          <w:i/>
          <w:iCs/>
        </w:rPr>
        <w:t>1</w:t>
      </w:r>
      <w:r w:rsidR="0079571C" w:rsidRPr="0079571C">
        <w:rPr>
          <w:rFonts w:asciiTheme="minorHAnsi" w:hAnsiTheme="minorHAnsi"/>
          <w:i/>
          <w:iCs/>
        </w:rPr>
        <w:t>. Based upon our review of the relevant documents</w:t>
      </w:r>
    </w:p>
    <w:p w14:paraId="62F0FCB4" w14:textId="08D57F9E" w:rsidR="00985E31" w:rsidRPr="0079571C" w:rsidRDefault="0079571C" w:rsidP="0079571C">
      <w:pPr>
        <w:pStyle w:val="BodyText"/>
        <w:ind w:left="720"/>
        <w:rPr>
          <w:rFonts w:asciiTheme="minorHAnsi" w:hAnsiTheme="minorHAnsi"/>
          <w:i/>
          <w:iCs/>
        </w:rPr>
      </w:pPr>
      <w:r w:rsidRPr="0079571C">
        <w:rPr>
          <w:rFonts w:asciiTheme="minorHAnsi" w:hAnsiTheme="minorHAnsi"/>
          <w:i/>
          <w:iCs/>
        </w:rPr>
        <w:t>and analysis of the Projections, we determined the anticipated EBITDA surplus is a reasonable expectation and is based upon feasible financial assumptions. Accordingly, we determined that the Projections are reasonable and feasible, and are not likely to have a negative impact on the patient panel or result in a liquidation of assets of Blue Cloud.</w:t>
      </w:r>
      <w:r>
        <w:rPr>
          <w:rFonts w:asciiTheme="minorHAnsi" w:hAnsiTheme="minorHAnsi"/>
          <w:i/>
          <w:iCs/>
        </w:rPr>
        <w:t>”</w:t>
      </w:r>
    </w:p>
    <w:p w14:paraId="2129E575" w14:textId="77777777" w:rsidR="00A63397" w:rsidRDefault="00A63397" w:rsidP="004F67F1">
      <w:pPr>
        <w:pStyle w:val="BodyText"/>
        <w:rPr>
          <w:rFonts w:asciiTheme="minorHAnsi" w:hAnsiTheme="minorHAnsi"/>
        </w:rPr>
      </w:pPr>
    </w:p>
    <w:p w14:paraId="27C34D59" w14:textId="19642701" w:rsidR="00292567" w:rsidRDefault="00947247" w:rsidP="004F67F1">
      <w:pPr>
        <w:pStyle w:val="BodyText"/>
        <w:rPr>
          <w:rFonts w:asciiTheme="minorHAnsi" w:hAnsiTheme="minorHAnsi"/>
        </w:rPr>
      </w:pPr>
      <w:r>
        <w:rPr>
          <w:rFonts w:asciiTheme="minorHAnsi" w:hAnsiTheme="minorHAnsi"/>
        </w:rPr>
        <w:t>The</w:t>
      </w:r>
      <w:r w:rsidR="00292567">
        <w:rPr>
          <w:rFonts w:asciiTheme="minorHAnsi" w:hAnsiTheme="minorHAnsi"/>
        </w:rPr>
        <w:t xml:space="preserve"> Applicant </w:t>
      </w:r>
      <w:r w:rsidR="0058394E">
        <w:rPr>
          <w:rFonts w:asciiTheme="minorHAnsi" w:hAnsiTheme="minorHAnsi"/>
        </w:rPr>
        <w:t>reported</w:t>
      </w:r>
      <w:r w:rsidR="00292567">
        <w:rPr>
          <w:rFonts w:asciiTheme="minorHAnsi" w:hAnsiTheme="minorHAnsi"/>
        </w:rPr>
        <w:t xml:space="preserve"> that as of December 31, 2025, the date of the Applicant’s most recent financial statement audit, the Applicant’s debt-to-equity </w:t>
      </w:r>
      <w:r w:rsidR="00EB50B3">
        <w:rPr>
          <w:rFonts w:asciiTheme="minorHAnsi" w:hAnsiTheme="minorHAnsi"/>
        </w:rPr>
        <w:t xml:space="preserve">(D/E) </w:t>
      </w:r>
      <w:r w:rsidR="00292567">
        <w:rPr>
          <w:rFonts w:asciiTheme="minorHAnsi" w:hAnsiTheme="minorHAnsi"/>
        </w:rPr>
        <w:t xml:space="preserve">ratio was 0.72 ($240.5M of </w:t>
      </w:r>
      <w:r w:rsidR="00292567">
        <w:rPr>
          <w:rFonts w:asciiTheme="minorHAnsi" w:hAnsiTheme="minorHAnsi"/>
        </w:rPr>
        <w:lastRenderedPageBreak/>
        <w:t>debt/$334M in member equity).</w:t>
      </w:r>
      <w:r w:rsidR="00463022">
        <w:rPr>
          <w:rStyle w:val="FootnoteReference"/>
          <w:rFonts w:asciiTheme="minorHAnsi" w:hAnsiTheme="minorHAnsi"/>
        </w:rPr>
        <w:footnoteReference w:id="36"/>
      </w:r>
      <w:r w:rsidR="00292567">
        <w:rPr>
          <w:rFonts w:asciiTheme="minorHAnsi" w:hAnsiTheme="minorHAnsi"/>
        </w:rPr>
        <w:t xml:space="preserve"> The Applicant states </w:t>
      </w:r>
      <w:r w:rsidR="009940FB">
        <w:rPr>
          <w:rFonts w:asciiTheme="minorHAnsi" w:hAnsiTheme="minorHAnsi"/>
        </w:rPr>
        <w:t>further</w:t>
      </w:r>
      <w:r w:rsidR="00292567">
        <w:rPr>
          <w:rFonts w:asciiTheme="minorHAnsi" w:hAnsiTheme="minorHAnsi"/>
        </w:rPr>
        <w:t xml:space="preserve"> that the current private equity ownership of the Applicant has not received any distributions.</w:t>
      </w:r>
      <w:r w:rsidR="00292567" w:rsidRPr="00292567">
        <w:t xml:space="preserve"> </w:t>
      </w:r>
      <w:r w:rsidR="00292567" w:rsidRPr="00292567">
        <w:rPr>
          <w:rFonts w:asciiTheme="minorHAnsi" w:hAnsiTheme="minorHAnsi"/>
        </w:rPr>
        <w:t xml:space="preserve">The Applicant notes, there are no specific triggers for any private equity owner to receive </w:t>
      </w:r>
      <w:r w:rsidR="00C54840" w:rsidRPr="00292567">
        <w:rPr>
          <w:rFonts w:asciiTheme="minorHAnsi" w:hAnsiTheme="minorHAnsi"/>
        </w:rPr>
        <w:t>distributions</w:t>
      </w:r>
      <w:r w:rsidR="00292567" w:rsidRPr="00292567">
        <w:rPr>
          <w:rFonts w:asciiTheme="minorHAnsi" w:hAnsiTheme="minorHAnsi"/>
        </w:rPr>
        <w:t xml:space="preserve">, </w:t>
      </w:r>
      <w:r w:rsidR="00F265B2">
        <w:rPr>
          <w:rFonts w:asciiTheme="minorHAnsi" w:hAnsiTheme="minorHAnsi"/>
        </w:rPr>
        <w:t>there are</w:t>
      </w:r>
      <w:r w:rsidR="00292567" w:rsidRPr="00292567">
        <w:rPr>
          <w:rFonts w:asciiTheme="minorHAnsi" w:hAnsiTheme="minorHAnsi"/>
        </w:rPr>
        <w:t xml:space="preserve"> no liabilities owed to the private equity owners, and the Applicant’s loan agreements do not have an automatic right to a dividen</w:t>
      </w:r>
      <w:r w:rsidR="0058394E">
        <w:rPr>
          <w:rFonts w:asciiTheme="minorHAnsi" w:hAnsiTheme="minorHAnsi"/>
        </w:rPr>
        <w:t>d</w:t>
      </w:r>
      <w:r w:rsidR="00292567" w:rsidRPr="00292567">
        <w:rPr>
          <w:rFonts w:asciiTheme="minorHAnsi" w:hAnsiTheme="minorHAnsi"/>
        </w:rPr>
        <w:t xml:space="preserve"> re</w:t>
      </w:r>
      <w:r w:rsidR="0058394E">
        <w:rPr>
          <w:rFonts w:asciiTheme="minorHAnsi" w:hAnsiTheme="minorHAnsi"/>
        </w:rPr>
        <w:t>ca</w:t>
      </w:r>
      <w:r w:rsidR="00292567" w:rsidRPr="00292567">
        <w:rPr>
          <w:rFonts w:asciiTheme="minorHAnsi" w:hAnsiTheme="minorHAnsi"/>
        </w:rPr>
        <w:t>pitalization.</w:t>
      </w:r>
      <w:r w:rsidR="00810021">
        <w:rPr>
          <w:rFonts w:asciiTheme="minorHAnsi" w:hAnsiTheme="minorHAnsi"/>
        </w:rPr>
        <w:t xml:space="preserve"> </w:t>
      </w:r>
    </w:p>
    <w:p w14:paraId="53A05991" w14:textId="77777777" w:rsidR="005E51EC" w:rsidRDefault="005E51EC" w:rsidP="004F67F1">
      <w:pPr>
        <w:pStyle w:val="BodyText"/>
        <w:rPr>
          <w:rFonts w:asciiTheme="minorHAnsi" w:hAnsiTheme="minorHAnsi"/>
        </w:rPr>
      </w:pPr>
    </w:p>
    <w:p w14:paraId="400A1F91" w14:textId="77777777" w:rsidR="00292567" w:rsidRPr="004F67F1" w:rsidRDefault="00292567" w:rsidP="004F67F1">
      <w:pPr>
        <w:pStyle w:val="BodyText"/>
        <w:rPr>
          <w:rFonts w:asciiTheme="minorHAnsi" w:hAnsiTheme="minorHAnsi"/>
        </w:rPr>
      </w:pPr>
    </w:p>
    <w:p w14:paraId="6E40EA66" w14:textId="2E3B0600" w:rsidR="00B447F3" w:rsidRPr="009A0C61" w:rsidRDefault="00A4110F" w:rsidP="1D93BCA9">
      <w:pPr>
        <w:pStyle w:val="BodyText"/>
        <w:ind w:left="-144" w:firstLine="144"/>
        <w:rPr>
          <w:rFonts w:asciiTheme="minorHAnsi" w:hAnsiTheme="minorHAnsi"/>
          <w:b/>
          <w:bCs/>
          <w:i/>
          <w:iCs/>
        </w:rPr>
      </w:pPr>
      <w:r w:rsidRPr="1D93BCA9">
        <w:rPr>
          <w:rFonts w:asciiTheme="minorHAnsi" w:hAnsiTheme="minorHAnsi"/>
          <w:b/>
          <w:bCs/>
          <w:i/>
          <w:iCs/>
        </w:rPr>
        <w:t>Analysis</w:t>
      </w:r>
    </w:p>
    <w:p w14:paraId="008F5C5E" w14:textId="0AAA3D75" w:rsidR="009409FB" w:rsidRDefault="00FE3BD6" w:rsidP="005656E3">
      <w:pPr>
        <w:pStyle w:val="BodyText"/>
        <w:rPr>
          <w:rFonts w:asciiTheme="minorHAnsi" w:hAnsiTheme="minorHAnsi"/>
        </w:rPr>
      </w:pPr>
      <w:r w:rsidRPr="00FE3BD6">
        <w:rPr>
          <w:rFonts w:asciiTheme="minorHAnsi" w:hAnsiTheme="minorHAnsi"/>
        </w:rPr>
        <w:t>Staff is satisfied with the CPA’s analysis of the Applicant’s decision to proceed with the Proposed</w:t>
      </w:r>
      <w:r w:rsidR="009409FB">
        <w:rPr>
          <w:rFonts w:asciiTheme="minorHAnsi" w:hAnsiTheme="minorHAnsi"/>
        </w:rPr>
        <w:t xml:space="preserve"> </w:t>
      </w:r>
      <w:r w:rsidR="002608C4">
        <w:rPr>
          <w:rFonts w:asciiTheme="minorHAnsi" w:hAnsiTheme="minorHAnsi"/>
        </w:rPr>
        <w:t>z</w:t>
      </w:r>
    </w:p>
    <w:p w14:paraId="4B2A6DDB" w14:textId="1E8BAA8C" w:rsidR="009409FB" w:rsidRDefault="00FE3BD6" w:rsidP="005656E3">
      <w:pPr>
        <w:pStyle w:val="BodyText"/>
        <w:rPr>
          <w:rFonts w:asciiTheme="minorHAnsi" w:hAnsiTheme="minorHAnsi"/>
        </w:rPr>
      </w:pPr>
      <w:r w:rsidRPr="00FE3BD6">
        <w:rPr>
          <w:rFonts w:asciiTheme="minorHAnsi" w:hAnsiTheme="minorHAnsi"/>
        </w:rPr>
        <w:t>Project. As a result, staff finds the CPA analysis to be acceptable and that the Applicant has met the</w:t>
      </w:r>
    </w:p>
    <w:p w14:paraId="30653C8F" w14:textId="6F1A6D1C" w:rsidR="00FE3BD6" w:rsidRDefault="00FE3BD6" w:rsidP="005656E3">
      <w:pPr>
        <w:pStyle w:val="BodyText"/>
        <w:rPr>
          <w:rFonts w:asciiTheme="minorHAnsi" w:hAnsiTheme="minorHAnsi"/>
        </w:rPr>
      </w:pPr>
      <w:r w:rsidRPr="00FE3BD6">
        <w:rPr>
          <w:rFonts w:asciiTheme="minorHAnsi" w:hAnsiTheme="minorHAnsi"/>
        </w:rPr>
        <w:t>requirements of Factor 4.</w:t>
      </w:r>
    </w:p>
    <w:p w14:paraId="54707BC6" w14:textId="5E01AE3B" w:rsidR="003A7B86" w:rsidRDefault="00A4110F" w:rsidP="00C316C3">
      <w:pPr>
        <w:pStyle w:val="BodyText"/>
        <w:rPr>
          <w:rFonts w:asciiTheme="minorHAnsi" w:hAnsiTheme="minorHAnsi"/>
          <w:sz w:val="21"/>
        </w:rPr>
      </w:pPr>
      <w:r w:rsidRPr="003436F0">
        <w:rPr>
          <w:rFonts w:asciiTheme="minorHAnsi" w:hAnsiTheme="minorHAnsi"/>
          <w:sz w:val="21"/>
        </w:rPr>
        <w:tab/>
      </w:r>
      <w:bookmarkStart w:id="23" w:name="Factor_5:_Assessment_of_the_Proposed_Pro"/>
      <w:bookmarkEnd w:id="23"/>
    </w:p>
    <w:p w14:paraId="39D90124" w14:textId="7FC5A947" w:rsidR="00B447F3" w:rsidRPr="003436F0" w:rsidRDefault="00A4110F" w:rsidP="00923435">
      <w:pPr>
        <w:pStyle w:val="Heading2"/>
      </w:pPr>
      <w:bookmarkStart w:id="24" w:name="_Toc241131198"/>
      <w:r w:rsidRPr="003436F0">
        <w:t>Factor 5: Assessment of the Proposed Project’s Relative Merit</w:t>
      </w:r>
      <w:r w:rsidR="00C93095">
        <w:t xml:space="preserve"> - Exempt</w:t>
      </w:r>
      <w:bookmarkEnd w:id="24"/>
    </w:p>
    <w:p w14:paraId="6D49ACE4" w14:textId="5C919ED9" w:rsidR="00C9338C" w:rsidRPr="001C5AD8" w:rsidRDefault="001C5AD8" w:rsidP="00C316C3">
      <w:pPr>
        <w:pStyle w:val="BodyText"/>
        <w:rPr>
          <w:rFonts w:asciiTheme="minorHAnsi" w:hAnsiTheme="minorHAnsi"/>
          <w:i/>
          <w:iCs/>
        </w:rPr>
      </w:pPr>
      <w:r w:rsidRPr="001C5AD8">
        <w:rPr>
          <w:rFonts w:asciiTheme="minorHAnsi" w:hAnsiTheme="minorHAnsi"/>
          <w:i/>
          <w:iCs/>
        </w:rPr>
        <w:t>Transfers of Ownership are exempt from this factor</w:t>
      </w:r>
    </w:p>
    <w:p w14:paraId="0AF00FB7" w14:textId="77777777" w:rsidR="001C5AD8" w:rsidRDefault="001C5AD8" w:rsidP="00C316C3">
      <w:pPr>
        <w:pStyle w:val="BodyText"/>
        <w:rPr>
          <w:rFonts w:asciiTheme="minorHAnsi" w:hAnsiTheme="minorHAnsi"/>
        </w:rPr>
      </w:pPr>
    </w:p>
    <w:p w14:paraId="23E345B3" w14:textId="16E9E160" w:rsidR="00B447F3" w:rsidRDefault="00A4110F" w:rsidP="00923435">
      <w:pPr>
        <w:pStyle w:val="Heading2"/>
      </w:pPr>
      <w:bookmarkStart w:id="25" w:name="Factor_6:_Fulfillment_of_DPH_Community-b"/>
      <w:bookmarkStart w:id="26" w:name="_Toc241131199"/>
      <w:bookmarkEnd w:id="25"/>
      <w:r w:rsidRPr="003436F0">
        <w:t>Factor 6: Fulfillment of DPH Community-based Health Initiatives Guideline</w:t>
      </w:r>
      <w:r w:rsidR="00C93095">
        <w:t xml:space="preserve"> - Exempt</w:t>
      </w:r>
      <w:bookmarkEnd w:id="26"/>
    </w:p>
    <w:p w14:paraId="3FDFF0CC" w14:textId="2644E561" w:rsidR="00AD1D72" w:rsidRPr="001C5AD8" w:rsidRDefault="001C5AD8" w:rsidP="00C316C3">
      <w:pPr>
        <w:rPr>
          <w:i/>
          <w:iCs/>
        </w:rPr>
      </w:pPr>
      <w:r w:rsidRPr="001C5AD8">
        <w:rPr>
          <w:i/>
          <w:iCs/>
        </w:rPr>
        <w:t>Transfers of Ownership are exempt from this factor</w:t>
      </w:r>
    </w:p>
    <w:p w14:paraId="69A7D2F9" w14:textId="77777777" w:rsidR="0067363D" w:rsidRDefault="0067363D" w:rsidP="00C316C3"/>
    <w:p w14:paraId="5DD29CEB" w14:textId="7E1D779B" w:rsidR="00B447F3" w:rsidRPr="008917DC" w:rsidRDefault="00A4110F" w:rsidP="00923435">
      <w:pPr>
        <w:pStyle w:val="Heading2"/>
      </w:pPr>
      <w:bookmarkStart w:id="27" w:name="_Toc241131200"/>
      <w:r w:rsidRPr="008917DC">
        <w:t>Findings and Recommendations</w:t>
      </w:r>
      <w:bookmarkEnd w:id="27"/>
    </w:p>
    <w:p w14:paraId="427942CC" w14:textId="4C72666E" w:rsidR="00A57CB7" w:rsidRDefault="00A4110F" w:rsidP="6ACB936F">
      <w:pPr>
        <w:pStyle w:val="BodyText"/>
        <w:ind w:right="226"/>
        <w:rPr>
          <w:rFonts w:asciiTheme="minorHAnsi" w:hAnsiTheme="minorHAnsi"/>
        </w:rPr>
      </w:pPr>
      <w:r w:rsidRPr="6ACB936F">
        <w:rPr>
          <w:rFonts w:asciiTheme="minorHAnsi" w:hAnsiTheme="minorHAnsi"/>
        </w:rPr>
        <w:t xml:space="preserve">Based upon a review of the materials submitted, Staff finds that, with the addition of the recommended Conditions detailed below, the Applicant has met each DoN Factor for the Proposed </w:t>
      </w:r>
      <w:r w:rsidR="3A1D917F" w:rsidRPr="6ACB936F">
        <w:rPr>
          <w:rFonts w:asciiTheme="minorHAnsi" w:hAnsiTheme="minorHAnsi"/>
        </w:rPr>
        <w:t>Project and</w:t>
      </w:r>
      <w:r w:rsidRPr="6ACB936F">
        <w:rPr>
          <w:rFonts w:asciiTheme="minorHAnsi" w:hAnsiTheme="minorHAnsi"/>
        </w:rPr>
        <w:t xml:space="preserve"> recommends that the Department approve this Determination of Need, subject to all applicable Standard and Other Conditions.</w:t>
      </w:r>
    </w:p>
    <w:p w14:paraId="0CD23462" w14:textId="23A9888E" w:rsidR="00B447F3" w:rsidRPr="00BF381D" w:rsidRDefault="00A4110F" w:rsidP="00923435">
      <w:pPr>
        <w:pStyle w:val="Heading2"/>
      </w:pPr>
      <w:bookmarkStart w:id="28" w:name="Other_Conditions"/>
      <w:bookmarkStart w:id="29" w:name="_Toc241131201"/>
      <w:bookmarkEnd w:id="28"/>
      <w:r w:rsidRPr="2A027EB2">
        <w:t>Other Conditions</w:t>
      </w:r>
      <w:bookmarkEnd w:id="29"/>
    </w:p>
    <w:p w14:paraId="1267DFAD" w14:textId="134F08F4" w:rsidR="002D4546" w:rsidRDefault="002D4546">
      <w:pPr>
        <w:rPr>
          <w:rFonts w:asciiTheme="minorHAnsi" w:hAnsiTheme="minorHAnsi"/>
        </w:rPr>
      </w:pPr>
    </w:p>
    <w:p w14:paraId="2D754298" w14:textId="7C362A09" w:rsidR="00FB3951" w:rsidRPr="00FB3951" w:rsidRDefault="00FB3951" w:rsidP="00BF3352">
      <w:pPr>
        <w:pStyle w:val="ListParagraph"/>
        <w:numPr>
          <w:ilvl w:val="0"/>
          <w:numId w:val="21"/>
        </w:numPr>
        <w:rPr>
          <w:bdr w:val="none" w:sz="0" w:space="0" w:color="auto" w:frame="1"/>
        </w:rPr>
      </w:pPr>
      <w:r w:rsidRPr="00FB3951">
        <w:rPr>
          <w:b/>
          <w:bCs/>
          <w:bdr w:val="none" w:sz="0" w:space="0" w:color="auto" w:frame="1"/>
        </w:rPr>
        <w:t>Factor 1(a):</w:t>
      </w:r>
      <w:r w:rsidRPr="00FB3951">
        <w:rPr>
          <w:bdr w:val="none" w:sz="0" w:space="0" w:color="auto" w:frame="1"/>
        </w:rPr>
        <w:t xml:space="preserve"> The Department requires the Center to maintain or increase the percentage of Medicaid </w:t>
      </w:r>
      <w:r w:rsidR="00902F31">
        <w:rPr>
          <w:bdr w:val="none" w:sz="0" w:space="0" w:color="auto" w:frame="1"/>
        </w:rPr>
        <w:t xml:space="preserve">beneficiaries </w:t>
      </w:r>
      <w:r w:rsidRPr="00FB3951">
        <w:rPr>
          <w:bdr w:val="none" w:sz="0" w:space="0" w:color="auto" w:frame="1"/>
        </w:rPr>
        <w:t xml:space="preserve">within its Payer Mix as compared with </w:t>
      </w:r>
      <w:r w:rsidR="00902F31">
        <w:rPr>
          <w:bdr w:val="none" w:sz="0" w:space="0" w:color="auto" w:frame="1"/>
        </w:rPr>
        <w:t xml:space="preserve">the </w:t>
      </w:r>
      <w:r w:rsidRPr="00FB3951">
        <w:rPr>
          <w:bdr w:val="none" w:sz="0" w:space="0" w:color="auto" w:frame="1"/>
        </w:rPr>
        <w:t>projected payer</w:t>
      </w:r>
      <w:r w:rsidR="0001017D">
        <w:rPr>
          <w:bdr w:val="none" w:sz="0" w:space="0" w:color="auto" w:frame="1"/>
        </w:rPr>
        <w:t>-</w:t>
      </w:r>
      <w:r w:rsidRPr="00FB3951">
        <w:rPr>
          <w:bdr w:val="none" w:sz="0" w:space="0" w:color="auto" w:frame="1"/>
        </w:rPr>
        <w:t>mix of 90</w:t>
      </w:r>
      <w:r w:rsidR="00207FB6" w:rsidRPr="00207FB6">
        <w:rPr>
          <w:bdr w:val="none" w:sz="0" w:space="0" w:color="auto" w:frame="1"/>
        </w:rPr>
        <w:t xml:space="preserve"> percent</w:t>
      </w:r>
      <w:r w:rsidRPr="00FB3951">
        <w:rPr>
          <w:bdr w:val="none" w:sz="0" w:space="0" w:color="auto" w:frame="1"/>
        </w:rPr>
        <w:t xml:space="preserve"> or greater. If, during the pendency of the DoN, the Department determines that the Medicaid</w:t>
      </w:r>
      <w:r w:rsidR="005147D6">
        <w:rPr>
          <w:bdr w:val="none" w:sz="0" w:space="0" w:color="auto" w:frame="1"/>
        </w:rPr>
        <w:t xml:space="preserve"> </w:t>
      </w:r>
      <w:r w:rsidRPr="00FB3951">
        <w:rPr>
          <w:bdr w:val="none" w:sz="0" w:space="0" w:color="auto" w:frame="1"/>
        </w:rPr>
        <w:t>payer</w:t>
      </w:r>
      <w:r w:rsidR="0001017D">
        <w:rPr>
          <w:bdr w:val="none" w:sz="0" w:space="0" w:color="auto" w:frame="1"/>
        </w:rPr>
        <w:t>-</w:t>
      </w:r>
      <w:r w:rsidRPr="00FB3951">
        <w:rPr>
          <w:bdr w:val="none" w:sz="0" w:space="0" w:color="auto" w:frame="1"/>
        </w:rPr>
        <w:t>mix of the Holder is not meeting this standard or showing a material decrease over the course of the reporting period, the Holder shall submit a plan to the Department detailing its plan to increase its Medicaid payer</w:t>
      </w:r>
      <w:r w:rsidR="0001017D">
        <w:rPr>
          <w:bdr w:val="none" w:sz="0" w:space="0" w:color="auto" w:frame="1"/>
        </w:rPr>
        <w:t>-</w:t>
      </w:r>
      <w:r w:rsidRPr="00FB3951">
        <w:rPr>
          <w:bdr w:val="none" w:sz="0" w:space="0" w:color="auto" w:frame="1"/>
        </w:rPr>
        <w:t>mix. The plan shall be submitted no later than six months after such time as the Department notifies the Holder that such a plan is required. The Holder shall provide, with its annual report to the Department, a report on implementation of said plan to demonstrate measurable progress resulting from its efforts to increase its Medicaid payer</w:t>
      </w:r>
      <w:r w:rsidR="0001017D">
        <w:rPr>
          <w:bdr w:val="none" w:sz="0" w:space="0" w:color="auto" w:frame="1"/>
        </w:rPr>
        <w:t>-</w:t>
      </w:r>
      <w:r w:rsidRPr="00FB3951">
        <w:rPr>
          <w:bdr w:val="none" w:sz="0" w:space="0" w:color="auto" w:frame="1"/>
        </w:rPr>
        <w:t>mix.</w:t>
      </w:r>
    </w:p>
    <w:p w14:paraId="257CE6F6" w14:textId="77777777" w:rsidR="00FB3951" w:rsidRPr="00BF3352" w:rsidRDefault="00FB3951" w:rsidP="00BF3352">
      <w:pPr>
        <w:pStyle w:val="ListParagraph"/>
        <w:ind w:left="720" w:firstLine="0"/>
        <w:rPr>
          <w:bdr w:val="none" w:sz="0" w:space="0" w:color="auto" w:frame="1"/>
        </w:rPr>
      </w:pPr>
    </w:p>
    <w:p w14:paraId="6566D45A" w14:textId="015A1F8E" w:rsidR="00891AE0" w:rsidRPr="00F25101" w:rsidRDefault="00891AE0" w:rsidP="00FB3951">
      <w:pPr>
        <w:pStyle w:val="ListParagraph"/>
        <w:numPr>
          <w:ilvl w:val="0"/>
          <w:numId w:val="21"/>
        </w:numPr>
        <w:rPr>
          <w:b/>
          <w:bCs/>
          <w:bdr w:val="none" w:sz="0" w:space="0" w:color="auto" w:frame="1"/>
        </w:rPr>
      </w:pPr>
      <w:r w:rsidRPr="00BF3352">
        <w:rPr>
          <w:b/>
          <w:bCs/>
          <w:bdr w:val="none" w:sz="0" w:space="0" w:color="auto" w:frame="1"/>
        </w:rPr>
        <w:t xml:space="preserve">Factor 1(a): </w:t>
      </w:r>
      <w:r w:rsidR="00452F08" w:rsidRPr="00BF3352">
        <w:rPr>
          <w:bdr w:val="none" w:sz="0" w:space="0" w:color="auto" w:frame="1"/>
        </w:rPr>
        <w:t xml:space="preserve">The Holder will </w:t>
      </w:r>
      <w:r w:rsidR="00452F08">
        <w:rPr>
          <w:bdr w:val="none" w:sz="0" w:space="0" w:color="auto" w:frame="1"/>
        </w:rPr>
        <w:t>track and report annually on the Center’s average wait times (both emergent and nonemergent</w:t>
      </w:r>
      <w:r w:rsidR="004F67E1">
        <w:rPr>
          <w:bdr w:val="none" w:sz="0" w:space="0" w:color="auto" w:frame="1"/>
        </w:rPr>
        <w:t xml:space="preserve"> cases</w:t>
      </w:r>
      <w:r w:rsidR="00452F08">
        <w:rPr>
          <w:bdr w:val="none" w:sz="0" w:space="0" w:color="auto" w:frame="1"/>
        </w:rPr>
        <w:t xml:space="preserve">). </w:t>
      </w:r>
    </w:p>
    <w:p w14:paraId="402C2457" w14:textId="77777777" w:rsidR="0040729C" w:rsidRPr="00BF3352" w:rsidRDefault="0040729C" w:rsidP="00BF3352">
      <w:pPr>
        <w:pStyle w:val="ListParagraph"/>
        <w:rPr>
          <w:b/>
          <w:bCs/>
          <w:bdr w:val="none" w:sz="0" w:space="0" w:color="auto" w:frame="1"/>
        </w:rPr>
      </w:pPr>
    </w:p>
    <w:p w14:paraId="2AD172C1" w14:textId="04B88293" w:rsidR="0040729C" w:rsidRPr="00BF3352" w:rsidRDefault="0040729C" w:rsidP="00BF3352">
      <w:pPr>
        <w:pStyle w:val="ListParagraph"/>
        <w:ind w:left="720" w:firstLine="0"/>
        <w:rPr>
          <w:bdr w:val="none" w:sz="0" w:space="0" w:color="auto" w:frame="1"/>
        </w:rPr>
      </w:pPr>
      <w:r w:rsidRPr="00BF3352">
        <w:rPr>
          <w:bdr w:val="none" w:sz="0" w:space="0" w:color="auto" w:frame="1"/>
        </w:rPr>
        <w:t xml:space="preserve">The DoN Program shall review the data received in accordance with Condition </w:t>
      </w:r>
      <w:r>
        <w:rPr>
          <w:bdr w:val="none" w:sz="0" w:space="0" w:color="auto" w:frame="1"/>
        </w:rPr>
        <w:t>2</w:t>
      </w:r>
      <w:r w:rsidRPr="00BF3352">
        <w:rPr>
          <w:bdr w:val="none" w:sz="0" w:space="0" w:color="auto" w:frame="1"/>
        </w:rPr>
        <w:t xml:space="preserve">. If the DoN </w:t>
      </w:r>
      <w:r w:rsidRPr="00BF3352">
        <w:rPr>
          <w:bdr w:val="none" w:sz="0" w:space="0" w:color="auto" w:frame="1"/>
        </w:rPr>
        <w:lastRenderedPageBreak/>
        <w:t xml:space="preserve">Program determines </w:t>
      </w:r>
      <w:r w:rsidR="001472AF" w:rsidRPr="001472AF">
        <w:rPr>
          <w:bdr w:val="none" w:sz="0" w:space="0" w:color="auto" w:frame="1"/>
        </w:rPr>
        <w:t>that the Center’s average wait times, show a material increase over the wait times projected in Factor 1a, over the course of the reporting period, the Holder shall provide</w:t>
      </w:r>
      <w:r w:rsidR="007F3007">
        <w:rPr>
          <w:bdr w:val="none" w:sz="0" w:space="0" w:color="auto" w:frame="1"/>
        </w:rPr>
        <w:t xml:space="preserve"> to the Department</w:t>
      </w:r>
      <w:r w:rsidR="001472AF" w:rsidRPr="001472AF">
        <w:rPr>
          <w:bdr w:val="none" w:sz="0" w:space="0" w:color="auto" w:frame="1"/>
        </w:rPr>
        <w:t xml:space="preserve">, </w:t>
      </w:r>
      <w:r w:rsidR="007F3007">
        <w:rPr>
          <w:bdr w:val="none" w:sz="0" w:space="0" w:color="auto" w:frame="1"/>
        </w:rPr>
        <w:t xml:space="preserve">an explanation </w:t>
      </w:r>
      <w:r w:rsidR="001472AF" w:rsidRPr="001472AF">
        <w:rPr>
          <w:bdr w:val="none" w:sz="0" w:space="0" w:color="auto" w:frame="1"/>
        </w:rPr>
        <w:t xml:space="preserve">for the increase in </w:t>
      </w:r>
      <w:r w:rsidR="009B122C">
        <w:rPr>
          <w:bdr w:val="none" w:sz="0" w:space="0" w:color="auto" w:frame="1"/>
        </w:rPr>
        <w:t xml:space="preserve">average </w:t>
      </w:r>
      <w:r w:rsidR="001472AF" w:rsidRPr="001472AF">
        <w:rPr>
          <w:bdr w:val="none" w:sz="0" w:space="0" w:color="auto" w:frame="1"/>
        </w:rPr>
        <w:t xml:space="preserve">wait times, and any progress made on decreasing average wait times. </w:t>
      </w:r>
      <w:r w:rsidRPr="00BF3352">
        <w:rPr>
          <w:bdr w:val="none" w:sz="0" w:space="0" w:color="auto" w:frame="1"/>
        </w:rPr>
        <w:t>After review of the Holder’s explanation, the Department may refer the matter to the Public Health Council for review and consideration of the Holder’s compliance with the DoN approval.</w:t>
      </w:r>
    </w:p>
    <w:p w14:paraId="34ED718A" w14:textId="77777777" w:rsidR="00891AE0" w:rsidRPr="00BF3352" w:rsidRDefault="00891AE0" w:rsidP="00BF3352">
      <w:pPr>
        <w:pStyle w:val="ListParagraph"/>
        <w:rPr>
          <w:b/>
          <w:bdr w:val="none" w:sz="0" w:space="0" w:color="auto" w:frame="1"/>
        </w:rPr>
      </w:pPr>
    </w:p>
    <w:p w14:paraId="5BCF2866" w14:textId="4643F5CE" w:rsidR="00B54A65" w:rsidRPr="00B54A65" w:rsidRDefault="00B54A65" w:rsidP="00BF3352">
      <w:pPr>
        <w:pStyle w:val="ListParagraph"/>
        <w:numPr>
          <w:ilvl w:val="0"/>
          <w:numId w:val="21"/>
        </w:numPr>
        <w:rPr>
          <w:bdr w:val="none" w:sz="0" w:space="0" w:color="auto" w:frame="1"/>
        </w:rPr>
      </w:pPr>
      <w:r w:rsidRPr="00B54A65">
        <w:rPr>
          <w:b/>
          <w:bCs/>
          <w:bdr w:val="none" w:sz="0" w:space="0" w:color="auto" w:frame="1"/>
        </w:rPr>
        <w:t>Factor 1(b):</w:t>
      </w:r>
      <w:r w:rsidRPr="00B54A65">
        <w:rPr>
          <w:bdr w:val="none" w:sz="0" w:space="0" w:color="auto" w:frame="1"/>
        </w:rPr>
        <w:t xml:space="preserve"> In addition to </w:t>
      </w:r>
      <w:r>
        <w:rPr>
          <w:bdr w:val="none" w:sz="0" w:space="0" w:color="auto" w:frame="1"/>
        </w:rPr>
        <w:t>the Center’s</w:t>
      </w:r>
      <w:r w:rsidRPr="00B54A65">
        <w:rPr>
          <w:bdr w:val="none" w:sz="0" w:space="0" w:color="auto" w:frame="1"/>
        </w:rPr>
        <w:t xml:space="preserve"> obligation to participate in MassHealth,</w:t>
      </w:r>
    </w:p>
    <w:p w14:paraId="18B922D6" w14:textId="0C4062C8" w:rsidR="001E5DA1" w:rsidRDefault="00B54A65" w:rsidP="00B54A65">
      <w:pPr>
        <w:pStyle w:val="ListParagraph"/>
        <w:ind w:left="720" w:firstLine="0"/>
        <w:rPr>
          <w:bdr w:val="none" w:sz="0" w:space="0" w:color="auto" w:frame="1"/>
        </w:rPr>
      </w:pPr>
      <w:r w:rsidRPr="00B54A65">
        <w:rPr>
          <w:bdr w:val="none" w:sz="0" w:space="0" w:color="auto" w:frame="1"/>
        </w:rPr>
        <w:t xml:space="preserve">pursuant to 105 CMR 100.310(11), the Holder must certify annually that all </w:t>
      </w:r>
      <w:r w:rsidR="00A66E51">
        <w:rPr>
          <w:bdr w:val="none" w:sz="0" w:space="0" w:color="auto" w:frame="1"/>
        </w:rPr>
        <w:t>dentists</w:t>
      </w:r>
      <w:r w:rsidRPr="00B54A65">
        <w:rPr>
          <w:bdr w:val="none" w:sz="0" w:space="0" w:color="auto" w:frame="1"/>
        </w:rPr>
        <w:t xml:space="preserve"> and</w:t>
      </w:r>
      <w:r w:rsidR="003B5FD8">
        <w:rPr>
          <w:bdr w:val="none" w:sz="0" w:space="0" w:color="auto" w:frame="1"/>
        </w:rPr>
        <w:t xml:space="preserve"> </w:t>
      </w:r>
      <w:r w:rsidRPr="00B54A65">
        <w:rPr>
          <w:bdr w:val="none" w:sz="0" w:space="0" w:color="auto" w:frame="1"/>
        </w:rPr>
        <w:t>health professionals who practice at the facility are enrolled as participating providers of</w:t>
      </w:r>
      <w:r w:rsidR="003B5FD8">
        <w:rPr>
          <w:bdr w:val="none" w:sz="0" w:space="0" w:color="auto" w:frame="1"/>
        </w:rPr>
        <w:t xml:space="preserve"> </w:t>
      </w:r>
      <w:r w:rsidRPr="00B54A65">
        <w:rPr>
          <w:bdr w:val="none" w:sz="0" w:space="0" w:color="auto" w:frame="1"/>
        </w:rPr>
        <w:t>MassHealth to support equitable access to all clinicians at the facility regardless of payer.</w:t>
      </w:r>
    </w:p>
    <w:p w14:paraId="110674F2" w14:textId="77777777" w:rsidR="00E37BA4" w:rsidRPr="00E37BA4" w:rsidRDefault="00E37BA4" w:rsidP="00E37BA4">
      <w:pPr>
        <w:rPr>
          <w:bdr w:val="none" w:sz="0" w:space="0" w:color="auto" w:frame="1"/>
        </w:rPr>
      </w:pPr>
    </w:p>
    <w:p w14:paraId="62425ED1" w14:textId="3AC08391" w:rsidR="0052656D" w:rsidRDefault="00E37BA4">
      <w:pPr>
        <w:pStyle w:val="ListParagraph"/>
        <w:numPr>
          <w:ilvl w:val="0"/>
          <w:numId w:val="21"/>
        </w:numPr>
        <w:rPr>
          <w:bdr w:val="none" w:sz="0" w:space="0" w:color="auto" w:frame="1"/>
        </w:rPr>
      </w:pPr>
      <w:r w:rsidRPr="0052656D">
        <w:rPr>
          <w:b/>
          <w:bCs/>
          <w:bdr w:val="none" w:sz="0" w:space="0" w:color="auto" w:frame="1"/>
        </w:rPr>
        <w:t>Factor 1(b):</w:t>
      </w:r>
      <w:r w:rsidRPr="0052656D">
        <w:rPr>
          <w:bdr w:val="none" w:sz="0" w:space="0" w:color="auto" w:frame="1"/>
        </w:rPr>
        <w:t xml:space="preserve"> </w:t>
      </w:r>
      <w:r w:rsidR="0052656D" w:rsidRPr="0052656D">
        <w:rPr>
          <w:bdr w:val="none" w:sz="0" w:space="0" w:color="auto" w:frame="1"/>
        </w:rPr>
        <w:t>The Holder shall report on the Center’s patients stratified by race, ethnicity, language, zip code of residence, and payer mix.</w:t>
      </w:r>
    </w:p>
    <w:p w14:paraId="52F9F637" w14:textId="77777777" w:rsidR="007850D5" w:rsidRDefault="007850D5" w:rsidP="007850D5">
      <w:pPr>
        <w:rPr>
          <w:bdr w:val="none" w:sz="0" w:space="0" w:color="auto" w:frame="1"/>
        </w:rPr>
      </w:pPr>
    </w:p>
    <w:p w14:paraId="6FB90226" w14:textId="77777777" w:rsidR="00D31910" w:rsidRPr="003B5FD8" w:rsidRDefault="007850D5" w:rsidP="00D31910">
      <w:pPr>
        <w:pStyle w:val="ListParagraph"/>
        <w:numPr>
          <w:ilvl w:val="0"/>
          <w:numId w:val="21"/>
        </w:numPr>
        <w:rPr>
          <w:b/>
          <w:bdr w:val="none" w:sz="0" w:space="0" w:color="auto" w:frame="1"/>
        </w:rPr>
      </w:pPr>
      <w:r w:rsidRPr="00BF3352">
        <w:rPr>
          <w:b/>
          <w:bCs/>
          <w:bdr w:val="none" w:sz="0" w:space="0" w:color="auto" w:frame="1"/>
        </w:rPr>
        <w:t xml:space="preserve">Factor 1(b): </w:t>
      </w:r>
      <w:r w:rsidR="006A799A">
        <w:rPr>
          <w:bdr w:val="none" w:sz="0" w:space="0" w:color="auto" w:frame="1"/>
        </w:rPr>
        <w:t>The Holder will track and report on</w:t>
      </w:r>
      <w:r w:rsidR="00A651CB">
        <w:rPr>
          <w:bdr w:val="none" w:sz="0" w:space="0" w:color="auto" w:frame="1"/>
        </w:rPr>
        <w:t xml:space="preserve"> their efforts to establish partnerships with FQHCs</w:t>
      </w:r>
      <w:r w:rsidR="00E86D06">
        <w:rPr>
          <w:bdr w:val="none" w:sz="0" w:space="0" w:color="auto" w:frame="1"/>
        </w:rPr>
        <w:t xml:space="preserve">, and the progress of such </w:t>
      </w:r>
      <w:r w:rsidR="00403380">
        <w:rPr>
          <w:bdr w:val="none" w:sz="0" w:space="0" w:color="auto" w:frame="1"/>
        </w:rPr>
        <w:t>partnerships</w:t>
      </w:r>
      <w:r w:rsidR="00E86D06">
        <w:rPr>
          <w:bdr w:val="none" w:sz="0" w:space="0" w:color="auto" w:frame="1"/>
        </w:rPr>
        <w:t xml:space="preserve">. </w:t>
      </w:r>
      <w:r w:rsidR="006A799A">
        <w:rPr>
          <w:bdr w:val="none" w:sz="0" w:space="0" w:color="auto" w:frame="1"/>
        </w:rPr>
        <w:t xml:space="preserve"> </w:t>
      </w:r>
    </w:p>
    <w:p w14:paraId="0AD4A840" w14:textId="77777777" w:rsidR="00D31910" w:rsidRPr="003B5FD8" w:rsidRDefault="00D31910" w:rsidP="003B5FD8">
      <w:pPr>
        <w:pStyle w:val="ListParagraph"/>
        <w:rPr>
          <w:b/>
          <w:bdr w:val="none" w:sz="0" w:space="0" w:color="auto" w:frame="1"/>
        </w:rPr>
      </w:pPr>
    </w:p>
    <w:p w14:paraId="5016A8A9" w14:textId="59DE6753" w:rsidR="00BE401C" w:rsidRDefault="00D31910" w:rsidP="003B5FD8">
      <w:pPr>
        <w:pStyle w:val="ListParagraph"/>
        <w:numPr>
          <w:ilvl w:val="0"/>
          <w:numId w:val="21"/>
        </w:numPr>
        <w:rPr>
          <w:bdr w:val="none" w:sz="0" w:space="0" w:color="auto" w:frame="1"/>
        </w:rPr>
      </w:pPr>
      <w:r w:rsidRPr="00964A48">
        <w:rPr>
          <w:b/>
          <w:bCs/>
          <w:bdr w:val="none" w:sz="0" w:space="0" w:color="auto" w:frame="1"/>
        </w:rPr>
        <w:t>Factor 4:</w:t>
      </w:r>
      <w:r w:rsidRPr="00DB5D64">
        <w:rPr>
          <w:bdr w:val="none" w:sz="0" w:space="0" w:color="auto" w:frame="1"/>
        </w:rPr>
        <w:t xml:space="preserve"> The Holder will report</w:t>
      </w:r>
      <w:r w:rsidR="009A60AC">
        <w:rPr>
          <w:bdr w:val="none" w:sz="0" w:space="0" w:color="auto" w:frame="1"/>
        </w:rPr>
        <w:t xml:space="preserve"> </w:t>
      </w:r>
      <w:r w:rsidR="00E104B7">
        <w:rPr>
          <w:bdr w:val="none" w:sz="0" w:space="0" w:color="auto" w:frame="1"/>
        </w:rPr>
        <w:t xml:space="preserve">annually on </w:t>
      </w:r>
      <w:r w:rsidR="00C92D92">
        <w:rPr>
          <w:bdr w:val="none" w:sz="0" w:space="0" w:color="auto" w:frame="1"/>
        </w:rPr>
        <w:t xml:space="preserve">Blue Cloud’s </w:t>
      </w:r>
      <w:r w:rsidRPr="00964A48">
        <w:rPr>
          <w:bdr w:val="none" w:sz="0" w:space="0" w:color="auto" w:frame="1"/>
        </w:rPr>
        <w:t xml:space="preserve">debt-to-equity </w:t>
      </w:r>
      <w:r w:rsidR="00F336E4">
        <w:rPr>
          <w:bdr w:val="none" w:sz="0" w:space="0" w:color="auto" w:frame="1"/>
        </w:rPr>
        <w:t xml:space="preserve">(D/E) </w:t>
      </w:r>
      <w:r w:rsidRPr="00964A48">
        <w:rPr>
          <w:bdr w:val="none" w:sz="0" w:space="0" w:color="auto" w:frame="1"/>
        </w:rPr>
        <w:t xml:space="preserve">ratio. </w:t>
      </w:r>
      <w:r w:rsidR="00B14E49" w:rsidRPr="00DB5D64">
        <w:rPr>
          <w:bdr w:val="none" w:sz="0" w:space="0" w:color="auto" w:frame="1"/>
        </w:rPr>
        <w:t xml:space="preserve">The </w:t>
      </w:r>
      <w:r w:rsidRPr="00964A48">
        <w:rPr>
          <w:bdr w:val="none" w:sz="0" w:space="0" w:color="auto" w:frame="1"/>
        </w:rPr>
        <w:t xml:space="preserve">DoN Program </w:t>
      </w:r>
      <w:r w:rsidR="00BB04A0" w:rsidRPr="00DB5D64">
        <w:rPr>
          <w:bdr w:val="none" w:sz="0" w:space="0" w:color="auto" w:frame="1"/>
        </w:rPr>
        <w:t>shall review the information received from the Holder in accordance with</w:t>
      </w:r>
      <w:r w:rsidR="00DB5D64" w:rsidRPr="00DB5D64">
        <w:rPr>
          <w:bdr w:val="none" w:sz="0" w:space="0" w:color="auto" w:frame="1"/>
        </w:rPr>
        <w:t xml:space="preserve"> </w:t>
      </w:r>
      <w:r w:rsidR="00BB04A0" w:rsidRPr="00DB5D64">
        <w:rPr>
          <w:bdr w:val="none" w:sz="0" w:space="0" w:color="auto" w:frame="1"/>
        </w:rPr>
        <w:t>Condition 6</w:t>
      </w:r>
      <w:r w:rsidR="00D42406" w:rsidRPr="00DB5D64">
        <w:rPr>
          <w:bdr w:val="none" w:sz="0" w:space="0" w:color="auto" w:frame="1"/>
        </w:rPr>
        <w:t xml:space="preserve">. If the DoN Program determines </w:t>
      </w:r>
      <w:r w:rsidR="00E713A2" w:rsidRPr="00DB5D64">
        <w:rPr>
          <w:bdr w:val="none" w:sz="0" w:space="0" w:color="auto" w:frame="1"/>
        </w:rPr>
        <w:t xml:space="preserve">that the Holder’s </w:t>
      </w:r>
      <w:r w:rsidR="00067543">
        <w:rPr>
          <w:bdr w:val="none" w:sz="0" w:space="0" w:color="auto" w:frame="1"/>
        </w:rPr>
        <w:t>D/E</w:t>
      </w:r>
      <w:r w:rsidR="00E713A2" w:rsidRPr="00DB5D64">
        <w:rPr>
          <w:bdr w:val="none" w:sz="0" w:space="0" w:color="auto" w:frame="1"/>
        </w:rPr>
        <w:t xml:space="preserve"> ratio is materially different </w:t>
      </w:r>
      <w:r w:rsidR="000E524F" w:rsidRPr="00DB5D64">
        <w:rPr>
          <w:bdr w:val="none" w:sz="0" w:space="0" w:color="auto" w:frame="1"/>
        </w:rPr>
        <w:t xml:space="preserve">from year-to-year, </w:t>
      </w:r>
      <w:r w:rsidR="0037740C" w:rsidRPr="00DB5D64">
        <w:rPr>
          <w:bdr w:val="none" w:sz="0" w:space="0" w:color="auto" w:frame="1"/>
        </w:rPr>
        <w:t xml:space="preserve">the Holder shall provide the Department with an explanation of such differences. </w:t>
      </w:r>
      <w:r w:rsidR="00B35222" w:rsidRPr="00DB5D64">
        <w:rPr>
          <w:bdr w:val="none" w:sz="0" w:space="0" w:color="auto" w:frame="1"/>
        </w:rPr>
        <w:t xml:space="preserve">After review of the Holder’s justification, the Department may refer the matter back to </w:t>
      </w:r>
      <w:r w:rsidR="00C11588" w:rsidRPr="00DB5D64">
        <w:rPr>
          <w:bdr w:val="none" w:sz="0" w:space="0" w:color="auto" w:frame="1"/>
        </w:rPr>
        <w:t>the Public Health Council for review of the implications of such differences and compliance with the DoN approval.</w:t>
      </w:r>
    </w:p>
    <w:p w14:paraId="266BD1CD" w14:textId="77777777" w:rsidR="00631BC9" w:rsidRDefault="00631BC9">
      <w:pPr>
        <w:rPr>
          <w:b/>
          <w:bCs/>
          <w:color w:val="1F497D" w:themeColor="text2"/>
          <w:sz w:val="28"/>
          <w:szCs w:val="28"/>
          <w:bdr w:val="none" w:sz="0" w:space="0" w:color="auto" w:frame="1"/>
        </w:rPr>
      </w:pPr>
      <w:r>
        <w:rPr>
          <w:color w:val="1F497D" w:themeColor="text2"/>
          <w:bdr w:val="none" w:sz="0" w:space="0" w:color="auto" w:frame="1"/>
        </w:rPr>
        <w:br w:type="page"/>
      </w:r>
    </w:p>
    <w:p w14:paraId="34144623" w14:textId="75B1D4B2" w:rsidR="00955C9C" w:rsidRPr="009C375C" w:rsidRDefault="001E3EDD" w:rsidP="00923435">
      <w:pPr>
        <w:pStyle w:val="Heading2"/>
        <w:rPr>
          <w:bdr w:val="none" w:sz="0" w:space="0" w:color="auto" w:frame="1"/>
        </w:rPr>
      </w:pPr>
      <w:bookmarkStart w:id="30" w:name="_Toc241131202"/>
      <w:r w:rsidRPr="009C375C">
        <w:rPr>
          <w:bdr w:val="none" w:sz="0" w:space="0" w:color="auto" w:frame="1"/>
        </w:rPr>
        <w:lastRenderedPageBreak/>
        <w:t>A</w:t>
      </w:r>
      <w:r w:rsidR="001B131D">
        <w:rPr>
          <w:bdr w:val="none" w:sz="0" w:space="0" w:color="auto" w:frame="1"/>
        </w:rPr>
        <w:t>ppendix</w:t>
      </w:r>
      <w:r w:rsidRPr="009C375C">
        <w:rPr>
          <w:bdr w:val="none" w:sz="0" w:space="0" w:color="auto" w:frame="1"/>
        </w:rPr>
        <w:t xml:space="preserve"> I: </w:t>
      </w:r>
      <w:proofErr w:type="spellStart"/>
      <w:r w:rsidR="00F9285B" w:rsidRPr="009C375C">
        <w:rPr>
          <w:bdr w:val="none" w:sz="0" w:space="0" w:color="auto" w:frame="1"/>
        </w:rPr>
        <w:t>Chartis</w:t>
      </w:r>
      <w:proofErr w:type="spellEnd"/>
      <w:r w:rsidR="00F9285B" w:rsidRPr="009C375C">
        <w:rPr>
          <w:bdr w:val="none" w:sz="0" w:space="0" w:color="auto" w:frame="1"/>
        </w:rPr>
        <w:t xml:space="preserve"> Methodology</w:t>
      </w:r>
      <w:bookmarkEnd w:id="30"/>
    </w:p>
    <w:p w14:paraId="3899FF81" w14:textId="77777777" w:rsidR="006D07BF" w:rsidRDefault="007B4C31" w:rsidP="007B4C31">
      <w:pPr>
        <w:rPr>
          <w:bdr w:val="none" w:sz="0" w:space="0" w:color="auto" w:frame="1"/>
        </w:rPr>
      </w:pPr>
      <w:r w:rsidRPr="007B4C31">
        <w:rPr>
          <w:bdr w:val="none" w:sz="0" w:space="0" w:color="auto" w:frame="1"/>
        </w:rPr>
        <w:t xml:space="preserve">Chartis’s methodology estimates expected procedure volume through a three-stage approach that combines population data with market-based incidence rates to derive utilization. </w:t>
      </w:r>
    </w:p>
    <w:p w14:paraId="1ECA8439" w14:textId="77777777" w:rsidR="006D07BF" w:rsidRDefault="006D07BF" w:rsidP="007B4C31">
      <w:pPr>
        <w:rPr>
          <w:bdr w:val="none" w:sz="0" w:space="0" w:color="auto" w:frame="1"/>
        </w:rPr>
      </w:pPr>
    </w:p>
    <w:p w14:paraId="3EEF0654" w14:textId="355D31D4" w:rsidR="00961D13" w:rsidRDefault="00961D13">
      <w:pPr>
        <w:rPr>
          <w:bdr w:val="none" w:sz="0" w:space="0" w:color="auto" w:frame="1"/>
        </w:rPr>
      </w:pPr>
    </w:p>
    <w:p w14:paraId="57950ED4" w14:textId="77777777" w:rsidR="00961D13" w:rsidRPr="00961D13" w:rsidRDefault="00961D13" w:rsidP="00961D13">
      <w:pPr>
        <w:pStyle w:val="ChartisBodyCopy"/>
        <w:rPr>
          <w:rFonts w:asciiTheme="minorHAnsi" w:eastAsiaTheme="minorEastAsia" w:hAnsiTheme="minorHAnsi" w:cstheme="minorHAnsi"/>
          <w:b/>
          <w:bCs/>
          <w:sz w:val="24"/>
          <w:szCs w:val="24"/>
          <w:lang w:val="en-US"/>
        </w:rPr>
      </w:pPr>
      <w:r w:rsidRPr="00961D13">
        <w:rPr>
          <w:rFonts w:asciiTheme="minorHAnsi" w:eastAsiaTheme="minorEastAsia" w:hAnsiTheme="minorHAnsi" w:cstheme="minorHAnsi"/>
          <w:b/>
          <w:bCs/>
          <w:sz w:val="24"/>
          <w:szCs w:val="24"/>
          <w:lang w:val="en-US"/>
        </w:rPr>
        <w:t xml:space="preserve">Glossary of Terms: </w:t>
      </w:r>
    </w:p>
    <w:p w14:paraId="0C66C5A4"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5DB8EA43" w14:textId="77777777" w:rsidR="00961D13" w:rsidRPr="00F9285B" w:rsidRDefault="00961D13" w:rsidP="00961D13">
      <w:pPr>
        <w:pStyle w:val="ChartisBodyCopy"/>
        <w:rPr>
          <w:rFonts w:asciiTheme="minorHAnsi" w:hAnsiTheme="minorHAnsi" w:cstheme="minorHAnsi"/>
          <w:sz w:val="24"/>
          <w:szCs w:val="24"/>
        </w:rPr>
      </w:pPr>
      <w:r w:rsidRPr="00F9285B">
        <w:rPr>
          <w:rFonts w:asciiTheme="minorHAnsi" w:eastAsiaTheme="minorEastAsia" w:hAnsiTheme="minorHAnsi" w:cstheme="minorHAnsi"/>
          <w:sz w:val="24"/>
          <w:szCs w:val="24"/>
          <w:lang w:val="en-US"/>
        </w:rPr>
        <w:t xml:space="preserve">Utilization Rate: The number of clinical services provided / 1,000 of population eligible to receive the service. </w:t>
      </w:r>
    </w:p>
    <w:p w14:paraId="19FFE356" w14:textId="77777777" w:rsidR="00961D13" w:rsidRPr="00F9285B" w:rsidRDefault="00961D13" w:rsidP="00961D13">
      <w:pPr>
        <w:pStyle w:val="ChartisBodyCopy"/>
        <w:rPr>
          <w:rFonts w:asciiTheme="minorHAnsi" w:eastAsiaTheme="minorEastAsia" w:hAnsiTheme="minorHAnsi" w:cstheme="minorHAnsi"/>
          <w:sz w:val="24"/>
          <w:szCs w:val="24"/>
          <w:lang w:val="en-US"/>
        </w:rPr>
      </w:pPr>
    </w:p>
    <w:p w14:paraId="08C1094D" w14:textId="77777777" w:rsidR="00961D13" w:rsidRPr="00F9285B" w:rsidRDefault="00961D13" w:rsidP="00961D13">
      <w:pPr>
        <w:pStyle w:val="ChartisBodyCopy"/>
        <w:rPr>
          <w:rFonts w:asciiTheme="minorHAnsi" w:hAnsiTheme="minorHAnsi" w:cstheme="minorHAnsi"/>
          <w:sz w:val="24"/>
          <w:szCs w:val="24"/>
        </w:rPr>
      </w:pPr>
      <w:r w:rsidRPr="00F9285B">
        <w:rPr>
          <w:rFonts w:asciiTheme="minorHAnsi" w:eastAsiaTheme="minorEastAsia" w:hAnsiTheme="minorHAnsi" w:cstheme="minorHAnsi"/>
          <w:sz w:val="24"/>
          <w:szCs w:val="24"/>
          <w:lang w:val="en-US"/>
        </w:rPr>
        <w:t>Cohort: A subset of the population aggregated to define groups that utilize a service at different rates.</w:t>
      </w:r>
    </w:p>
    <w:p w14:paraId="708E8525" w14:textId="77777777" w:rsidR="00961D13" w:rsidRPr="00F9285B" w:rsidRDefault="00961D13" w:rsidP="00961D13">
      <w:pPr>
        <w:pStyle w:val="ChartisBodyCopy"/>
        <w:rPr>
          <w:rFonts w:asciiTheme="minorHAnsi" w:eastAsiaTheme="minorEastAsia" w:hAnsiTheme="minorHAnsi" w:cstheme="minorHAnsi"/>
          <w:sz w:val="24"/>
          <w:szCs w:val="24"/>
          <w:lang w:val="en-US"/>
        </w:rPr>
      </w:pPr>
    </w:p>
    <w:p w14:paraId="2696C2CC" w14:textId="77777777" w:rsidR="00961D13" w:rsidRPr="00F9285B" w:rsidRDefault="00961D13" w:rsidP="00961D13">
      <w:pPr>
        <w:pStyle w:val="ChartisBodyCopy"/>
        <w:rPr>
          <w:rFonts w:asciiTheme="minorHAnsi" w:hAnsiTheme="minorHAnsi" w:cstheme="minorHAnsi"/>
          <w:sz w:val="24"/>
          <w:szCs w:val="24"/>
        </w:rPr>
      </w:pPr>
      <w:r w:rsidRPr="00F9285B">
        <w:rPr>
          <w:rFonts w:asciiTheme="minorHAnsi" w:eastAsiaTheme="minorEastAsia" w:hAnsiTheme="minorHAnsi" w:cstheme="minorHAnsi"/>
          <w:sz w:val="24"/>
          <w:szCs w:val="24"/>
          <w:lang w:val="en-US"/>
        </w:rPr>
        <w:t>Demand Estimate: The number of services that will be required by applying the utilization rate from the defined subset cohort from Komodo to the full cohort population per Census/PUMS.</w:t>
      </w:r>
    </w:p>
    <w:p w14:paraId="00BBC462"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3E69A6E3"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763430A6" w14:textId="77777777" w:rsidR="00961D13" w:rsidRPr="00961D13" w:rsidRDefault="00961D13" w:rsidP="00961D13">
      <w:pPr>
        <w:pStyle w:val="ChartisBodyCopy"/>
        <w:rPr>
          <w:rFonts w:asciiTheme="minorHAnsi" w:eastAsiaTheme="minorEastAsia" w:hAnsiTheme="minorHAnsi" w:cstheme="minorHAnsi"/>
          <w:b/>
          <w:bCs/>
          <w:sz w:val="24"/>
          <w:szCs w:val="24"/>
          <w:lang w:val="en-US"/>
        </w:rPr>
      </w:pPr>
      <w:r w:rsidRPr="00961D13">
        <w:rPr>
          <w:rFonts w:asciiTheme="minorHAnsi" w:eastAsiaTheme="minorEastAsia" w:hAnsiTheme="minorHAnsi" w:cstheme="minorHAnsi"/>
          <w:b/>
          <w:bCs/>
          <w:sz w:val="24"/>
          <w:szCs w:val="24"/>
          <w:lang w:val="en-US"/>
        </w:rPr>
        <w:t xml:space="preserve">Demand Estimate Methodology: </w:t>
      </w:r>
    </w:p>
    <w:p w14:paraId="4B3B41F8"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3B5EB610" w14:textId="77777777" w:rsidR="00961D13" w:rsidRPr="00961D13" w:rsidRDefault="00961D13" w:rsidP="00961D13">
      <w:pPr>
        <w:pStyle w:val="ChartisBodyCopy"/>
        <w:rPr>
          <w:rFonts w:asciiTheme="minorHAnsi" w:hAnsiTheme="minorHAnsi" w:cstheme="minorHAnsi"/>
          <w:sz w:val="24"/>
          <w:szCs w:val="24"/>
        </w:rPr>
      </w:pPr>
      <w:r w:rsidRPr="00961D13">
        <w:rPr>
          <w:rFonts w:asciiTheme="minorHAnsi" w:eastAsiaTheme="minorEastAsia" w:hAnsiTheme="minorHAnsi" w:cstheme="minorHAnsi"/>
          <w:sz w:val="24"/>
          <w:szCs w:val="24"/>
          <w:lang w:val="en-US"/>
        </w:rPr>
        <w:t>Step 1: Using statewide census data, define population cohorts by age (&lt;11, 11-21), gender (M|F), and payer (Commercial | Medicaid) — Source Census PUMS Data.</w:t>
      </w:r>
    </w:p>
    <w:p w14:paraId="3B7B5E07"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06D300B2" w14:textId="7EEC28FA" w:rsidR="00961D13" w:rsidRPr="00961D13" w:rsidRDefault="00961D13" w:rsidP="00961D13">
      <w:pPr>
        <w:pStyle w:val="ChartisBodyCopy"/>
        <w:rPr>
          <w:rFonts w:asciiTheme="minorHAnsi" w:hAnsiTheme="minorHAnsi" w:cstheme="minorHAnsi"/>
          <w:sz w:val="24"/>
          <w:szCs w:val="24"/>
        </w:rPr>
      </w:pPr>
      <w:r w:rsidRPr="00961D13">
        <w:rPr>
          <w:rFonts w:asciiTheme="minorHAnsi" w:eastAsiaTheme="minorEastAsia" w:hAnsiTheme="minorHAnsi" w:cstheme="minorHAnsi"/>
          <w:sz w:val="24"/>
          <w:szCs w:val="24"/>
          <w:lang w:val="en-US"/>
        </w:rPr>
        <w:t>Step 2: Using these same cohort definitions, calculate utilization rates (e.g., the number dental procedures using anesthesia per 1,000 population) — Source Komodo Claims Data</w:t>
      </w:r>
      <w:r w:rsidR="008A1A24">
        <w:rPr>
          <w:rStyle w:val="FootnoteReference"/>
          <w:rFonts w:asciiTheme="minorHAnsi" w:eastAsiaTheme="minorEastAsia" w:hAnsiTheme="minorHAnsi" w:cstheme="minorHAnsi"/>
          <w:sz w:val="24"/>
          <w:szCs w:val="24"/>
          <w:lang w:val="en-US"/>
        </w:rPr>
        <w:footnoteReference w:id="37"/>
      </w:r>
      <w:r w:rsidRPr="00961D13">
        <w:rPr>
          <w:rFonts w:asciiTheme="minorHAnsi" w:eastAsiaTheme="minorEastAsia" w:hAnsiTheme="minorHAnsi" w:cstheme="minorHAnsi"/>
          <w:sz w:val="24"/>
          <w:szCs w:val="24"/>
          <w:lang w:val="en-US"/>
        </w:rPr>
        <w:t xml:space="preserve"> </w:t>
      </w:r>
    </w:p>
    <w:p w14:paraId="67CE7172"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75E318DF" w14:textId="77777777" w:rsidR="00961D13" w:rsidRPr="00961D13" w:rsidRDefault="00961D13" w:rsidP="00961D13">
      <w:pPr>
        <w:pStyle w:val="ChartisBodyCopy"/>
        <w:rPr>
          <w:rFonts w:asciiTheme="minorHAnsi" w:hAnsiTheme="minorHAnsi" w:cstheme="minorHAnsi"/>
          <w:sz w:val="24"/>
          <w:szCs w:val="24"/>
        </w:rPr>
      </w:pPr>
      <w:r w:rsidRPr="00961D13">
        <w:rPr>
          <w:rFonts w:asciiTheme="minorHAnsi" w:eastAsiaTheme="minorEastAsia" w:hAnsiTheme="minorHAnsi" w:cstheme="minorHAnsi"/>
          <w:sz w:val="24"/>
          <w:szCs w:val="24"/>
          <w:lang w:val="en-US"/>
        </w:rPr>
        <w:t>Step 3: Make any adjustment required to ensure statistical significance and trim outliers, (e.g., the usable rate applies where member months are &gt; 25, and rates are capped at the 90th percentile).</w:t>
      </w:r>
    </w:p>
    <w:p w14:paraId="243E29E2"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7FD99B24" w14:textId="77777777" w:rsidR="00961D13" w:rsidRPr="00961D13" w:rsidRDefault="00961D13" w:rsidP="00961D13">
      <w:pPr>
        <w:pStyle w:val="ChartisBodyCopy"/>
        <w:rPr>
          <w:rFonts w:asciiTheme="minorHAnsi" w:hAnsiTheme="minorHAnsi" w:cstheme="minorHAnsi"/>
          <w:sz w:val="24"/>
          <w:szCs w:val="24"/>
        </w:rPr>
      </w:pPr>
      <w:r w:rsidRPr="00961D13">
        <w:rPr>
          <w:rFonts w:asciiTheme="minorHAnsi" w:eastAsiaTheme="minorEastAsia" w:hAnsiTheme="minorHAnsi" w:cstheme="minorHAnsi"/>
          <w:sz w:val="24"/>
          <w:szCs w:val="24"/>
          <w:lang w:val="en-US"/>
        </w:rPr>
        <w:t xml:space="preserve">Step 4: Calculate expected volume = Utilization Rate × Population by cohort (e.g., the utilization rate for the cohort </w:t>
      </w:r>
      <w:r w:rsidRPr="00961D13">
        <w:rPr>
          <w:rFonts w:asciiTheme="minorHAnsi" w:eastAsiaTheme="minorEastAsia" w:hAnsiTheme="minorHAnsi" w:cstheme="minorHAnsi"/>
          <w:i/>
          <w:iCs/>
          <w:sz w:val="24"/>
          <w:szCs w:val="24"/>
          <w:lang w:val="en-US"/>
        </w:rPr>
        <w:t>&lt;11, female, commercial</w:t>
      </w:r>
      <w:r w:rsidRPr="00961D13">
        <w:rPr>
          <w:rFonts w:asciiTheme="minorHAnsi" w:eastAsiaTheme="minorEastAsia" w:hAnsiTheme="minorHAnsi" w:cstheme="minorHAnsi"/>
          <w:sz w:val="24"/>
          <w:szCs w:val="24"/>
          <w:lang w:val="en-US"/>
        </w:rPr>
        <w:t xml:space="preserve"> multiplied by the population of </w:t>
      </w:r>
      <w:r w:rsidRPr="00961D13">
        <w:rPr>
          <w:rFonts w:asciiTheme="minorHAnsi" w:eastAsiaTheme="minorEastAsia" w:hAnsiTheme="minorHAnsi" w:cstheme="minorHAnsi"/>
          <w:i/>
          <w:iCs/>
          <w:sz w:val="24"/>
          <w:szCs w:val="24"/>
          <w:lang w:val="en-US"/>
        </w:rPr>
        <w:t>&lt;11, female, commercial</w:t>
      </w:r>
      <w:r w:rsidRPr="00961D13">
        <w:rPr>
          <w:rFonts w:asciiTheme="minorHAnsi" w:eastAsiaTheme="minorEastAsia" w:hAnsiTheme="minorHAnsi" w:cstheme="minorHAnsi"/>
          <w:sz w:val="24"/>
          <w:szCs w:val="24"/>
          <w:lang w:val="en-US"/>
        </w:rPr>
        <w:t xml:space="preserve"> in the target market).  This approach ensures the demand estimate reflects the demographic composition of the target market.  </w:t>
      </w:r>
    </w:p>
    <w:p w14:paraId="5A219E53"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56C3C5DF" w14:textId="77777777" w:rsidR="00961D13" w:rsidRPr="00961D13" w:rsidRDefault="00961D13" w:rsidP="00961D13">
      <w:pPr>
        <w:pStyle w:val="ChartisBodyCopy"/>
        <w:rPr>
          <w:rFonts w:asciiTheme="minorHAnsi" w:eastAsiaTheme="minorEastAsia" w:hAnsiTheme="minorHAnsi" w:cstheme="minorHAnsi"/>
          <w:sz w:val="24"/>
          <w:szCs w:val="24"/>
          <w:lang w:val="en-US"/>
        </w:rPr>
      </w:pPr>
      <w:r w:rsidRPr="00961D13">
        <w:rPr>
          <w:rFonts w:asciiTheme="minorHAnsi" w:eastAsiaTheme="minorEastAsia" w:hAnsiTheme="minorHAnsi" w:cstheme="minorHAnsi"/>
          <w:sz w:val="24"/>
          <w:szCs w:val="24"/>
          <w:lang w:val="en-US"/>
        </w:rPr>
        <w:t xml:space="preserve">Step 5: Expected Volume is generated at the level of County and CPT Code; final volumes are then distributed across zip code. </w:t>
      </w:r>
    </w:p>
    <w:p w14:paraId="2F8ACF2F" w14:textId="77777777" w:rsidR="00961D13" w:rsidRPr="00961D13" w:rsidRDefault="00961D13" w:rsidP="00961D13">
      <w:pPr>
        <w:pStyle w:val="ChartisBodyCopy"/>
        <w:rPr>
          <w:rFonts w:asciiTheme="minorHAnsi" w:eastAsiaTheme="minorEastAsia" w:hAnsiTheme="minorHAnsi" w:cstheme="minorHAnsi"/>
          <w:sz w:val="24"/>
          <w:szCs w:val="24"/>
          <w:lang w:val="en-US"/>
        </w:rPr>
      </w:pPr>
    </w:p>
    <w:p w14:paraId="7B3B0960" w14:textId="77777777" w:rsidR="00961D13" w:rsidRPr="00961D13" w:rsidRDefault="00961D13" w:rsidP="00961D13">
      <w:pPr>
        <w:pStyle w:val="ChartisBodyCopy"/>
        <w:rPr>
          <w:rFonts w:asciiTheme="minorHAnsi" w:hAnsiTheme="minorHAnsi" w:cstheme="minorHAnsi"/>
          <w:sz w:val="24"/>
          <w:szCs w:val="24"/>
        </w:rPr>
      </w:pPr>
      <w:r w:rsidRPr="00961D13">
        <w:rPr>
          <w:rFonts w:asciiTheme="minorHAnsi" w:eastAsiaTheme="minorEastAsia" w:hAnsiTheme="minorHAnsi" w:cstheme="minorHAnsi"/>
          <w:sz w:val="24"/>
          <w:szCs w:val="24"/>
          <w:lang w:val="en-US"/>
        </w:rPr>
        <w:t>Step 6: Volume is projected out 5 years by applying the utilization rates to the population trends by cohort per ESRI Demographics projected population growth by zip code.</w:t>
      </w:r>
    </w:p>
    <w:p w14:paraId="22E396C5" w14:textId="77777777" w:rsidR="00961D13" w:rsidRPr="00961D13" w:rsidRDefault="00961D13" w:rsidP="00961D13">
      <w:pPr>
        <w:pStyle w:val="ChartisBodyCopy"/>
        <w:rPr>
          <w:rFonts w:asciiTheme="minorHAnsi" w:hAnsiTheme="minorHAnsi" w:cstheme="minorHAnsi"/>
          <w:kern w:val="2"/>
          <w14:ligatures w14:val="standardContextual"/>
        </w:rPr>
      </w:pPr>
    </w:p>
    <w:p w14:paraId="101BD6D1" w14:textId="77777777" w:rsidR="00961D13" w:rsidRDefault="00961D13" w:rsidP="00961D13">
      <w:pPr>
        <w:pStyle w:val="ChartisBodyCopy"/>
        <w:rPr>
          <w:rFonts w:asciiTheme="minorHAnsi" w:hAnsiTheme="minorHAnsi" w:cstheme="minorHAnsi"/>
          <w:kern w:val="2"/>
          <w14:ligatures w14:val="standardContextual"/>
        </w:rPr>
      </w:pPr>
    </w:p>
    <w:p w14:paraId="5CE0D702" w14:textId="77777777" w:rsidR="00E93147" w:rsidRPr="00961D13" w:rsidRDefault="00E93147" w:rsidP="00961D13">
      <w:pPr>
        <w:pStyle w:val="ChartisBodyCopy"/>
        <w:rPr>
          <w:rFonts w:asciiTheme="minorHAnsi" w:hAnsiTheme="minorHAnsi" w:cstheme="minorHAnsi"/>
          <w:kern w:val="2"/>
          <w14:ligatures w14:val="standardContextual"/>
        </w:rPr>
      </w:pPr>
    </w:p>
    <w:p w14:paraId="170CBBD6" w14:textId="77777777" w:rsidR="00961D13" w:rsidRDefault="00961D13" w:rsidP="00FA1359">
      <w:pPr>
        <w:jc w:val="center"/>
        <w:rPr>
          <w:b/>
          <w:bCs/>
        </w:rPr>
      </w:pPr>
      <w:r w:rsidRPr="00FA1359">
        <w:rPr>
          <w:b/>
          <w:bCs/>
        </w:rPr>
        <w:t>Demand Estimate Methodology Visual</w:t>
      </w:r>
    </w:p>
    <w:p w14:paraId="0DD1EC4C" w14:textId="77777777" w:rsidR="007E23CA" w:rsidRPr="00563C04" w:rsidRDefault="007E23CA" w:rsidP="007E23CA">
      <w:pPr>
        <w:jc w:val="center"/>
      </w:pPr>
      <w:r w:rsidRPr="00563C04">
        <w:rPr>
          <w:rFonts w:ascii="Segoe UI Emoji" w:hAnsi="Segoe UI Emoji"/>
          <w:color w:val="000000"/>
        </w:rPr>
        <w:t>🏥</w:t>
      </w:r>
    </w:p>
    <w:p w14:paraId="4962DF99" w14:textId="77777777" w:rsidR="007E23CA" w:rsidRPr="00563C04" w:rsidRDefault="007E23CA" w:rsidP="007E23CA">
      <w:pPr>
        <w:jc w:val="center"/>
        <w:rPr>
          <w:color w:val="30465A"/>
        </w:rPr>
      </w:pPr>
      <w:r w:rsidRPr="00563C04">
        <w:rPr>
          <w:b/>
          <w:bCs/>
          <w:color w:val="30465A"/>
        </w:rPr>
        <w:t>Identify Who Uses Dental Services</w:t>
      </w:r>
    </w:p>
    <w:p w14:paraId="7128CF10" w14:textId="77777777" w:rsidR="007E23CA" w:rsidRDefault="007E23CA" w:rsidP="007E23CA">
      <w:pPr>
        <w:spacing w:after="360"/>
        <w:jc w:val="center"/>
        <w:rPr>
          <w:b/>
          <w:bCs/>
          <w:color w:val="30465A"/>
        </w:rPr>
      </w:pPr>
      <w:r w:rsidRPr="00563C04">
        <w:t>Segment the eligible population into cohorts based on age, gender, and payer to understand which groups are most likely to use dental services requiring anesthesia.</w:t>
      </w:r>
      <w:r w:rsidRPr="00563C04">
        <w:br/>
      </w:r>
      <w:r w:rsidRPr="00563C04">
        <w:rPr>
          <w:b/>
          <w:bCs/>
          <w:color w:val="30465A"/>
        </w:rPr>
        <w:t>Output:</w:t>
      </w:r>
      <w:r w:rsidRPr="00563C04">
        <w:rPr>
          <w:color w:val="30465A"/>
        </w:rPr>
        <w:t xml:space="preserve"> Utilization rate by cohort</w:t>
      </w:r>
      <w:r w:rsidRPr="00563C04">
        <w:rPr>
          <w:b/>
          <w:bCs/>
          <w:color w:val="30465A"/>
        </w:rPr>
        <w:t>→</w:t>
      </w:r>
    </w:p>
    <w:p w14:paraId="459C9AE3" w14:textId="77777777" w:rsidR="007E23CA" w:rsidRPr="00563C04" w:rsidRDefault="007E23CA" w:rsidP="007E23CA">
      <w:pPr>
        <w:jc w:val="center"/>
      </w:pPr>
      <w:r w:rsidRPr="00563C04">
        <w:rPr>
          <w:rFonts w:ascii="Segoe UI Emoji" w:hAnsi="Segoe UI Emoji"/>
          <w:color w:val="000000"/>
        </w:rPr>
        <w:t>🧮</w:t>
      </w:r>
    </w:p>
    <w:p w14:paraId="23EEDCE5" w14:textId="77777777" w:rsidR="007E23CA" w:rsidRPr="00563C04" w:rsidRDefault="007E23CA" w:rsidP="007E23CA">
      <w:pPr>
        <w:jc w:val="center"/>
        <w:rPr>
          <w:color w:val="30465A"/>
        </w:rPr>
      </w:pPr>
      <w:r w:rsidRPr="00563C04">
        <w:rPr>
          <w:b/>
          <w:bCs/>
          <w:color w:val="30465A"/>
        </w:rPr>
        <w:t>Size the Demand</w:t>
      </w:r>
    </w:p>
    <w:p w14:paraId="1D9CFC49" w14:textId="77777777" w:rsidR="007E23CA" w:rsidRDefault="007E23CA" w:rsidP="007E23CA">
      <w:pPr>
        <w:jc w:val="center"/>
        <w:rPr>
          <w:b/>
          <w:bCs/>
          <w:color w:val="30465A"/>
        </w:rPr>
      </w:pPr>
      <w:r w:rsidRPr="00563C04">
        <w:t xml:space="preserve">Apply cohort-specific utilization rates to the target-market population to estimate expected dental </w:t>
      </w:r>
      <w:r w:rsidRPr="00563C04">
        <w:rPr>
          <w:color w:val="000000"/>
        </w:rPr>
        <w:t>procedure volume</w:t>
      </w:r>
      <w:r w:rsidRPr="00563C04">
        <w:t xml:space="preserve"> by cohort and CPT code.</w:t>
      </w:r>
      <w:r w:rsidRPr="00F33A66">
        <w:rPr>
          <w:b/>
          <w:bCs/>
          <w:color w:val="30465A"/>
        </w:rPr>
        <w:t xml:space="preserve"> </w:t>
      </w:r>
    </w:p>
    <w:p w14:paraId="2A872DC0" w14:textId="77777777" w:rsidR="007E23CA" w:rsidRPr="00F33A66" w:rsidRDefault="007E23CA" w:rsidP="007E23CA">
      <w:pPr>
        <w:jc w:val="center"/>
        <w:rPr>
          <w:b/>
          <w:bCs/>
          <w:color w:val="30465A"/>
        </w:rPr>
      </w:pPr>
      <w:r w:rsidRPr="00563C04">
        <w:rPr>
          <w:b/>
          <w:bCs/>
          <w:color w:val="30465A"/>
        </w:rPr>
        <w:t>Output:</w:t>
      </w:r>
      <w:r>
        <w:rPr>
          <w:b/>
          <w:bCs/>
          <w:color w:val="30465A"/>
        </w:rPr>
        <w:t xml:space="preserve"> </w:t>
      </w:r>
      <w:r w:rsidRPr="00563C04">
        <w:rPr>
          <w:color w:val="30465A"/>
        </w:rPr>
        <w:t>Expected annual volume</w:t>
      </w:r>
      <w:r w:rsidRPr="00563C04">
        <w:rPr>
          <w:b/>
          <w:bCs/>
          <w:color w:val="30465A"/>
        </w:rPr>
        <w:t>→</w:t>
      </w:r>
    </w:p>
    <w:p w14:paraId="1EF2DF31" w14:textId="77777777" w:rsidR="007E23CA" w:rsidRPr="00563C04" w:rsidRDefault="007E23CA" w:rsidP="007E23CA">
      <w:pPr>
        <w:jc w:val="center"/>
      </w:pPr>
      <w:r w:rsidRPr="00563C04">
        <w:rPr>
          <w:rFonts w:ascii="Segoe UI Emoji" w:hAnsi="Segoe UI Emoji"/>
          <w:color w:val="000000"/>
        </w:rPr>
        <w:t>🗺️</w:t>
      </w:r>
    </w:p>
    <w:p w14:paraId="6669165E" w14:textId="77777777" w:rsidR="007E23CA" w:rsidRPr="00563C04" w:rsidRDefault="007E23CA" w:rsidP="007E23CA">
      <w:pPr>
        <w:jc w:val="center"/>
        <w:rPr>
          <w:color w:val="30465A"/>
        </w:rPr>
      </w:pPr>
      <w:r w:rsidRPr="00563C04">
        <w:rPr>
          <w:b/>
          <w:bCs/>
          <w:color w:val="30465A"/>
        </w:rPr>
        <w:t>Show Where They Live</w:t>
      </w:r>
    </w:p>
    <w:p w14:paraId="688BFD7F" w14:textId="77777777" w:rsidR="007E23CA" w:rsidRPr="00563C04" w:rsidRDefault="007E23CA" w:rsidP="007E23CA">
      <w:pPr>
        <w:spacing w:after="360"/>
        <w:jc w:val="center"/>
      </w:pPr>
      <w:r w:rsidRPr="00563C04">
        <w:t xml:space="preserve">Distribute expected volume from county to zip code to pinpoint where demand is concentrated </w:t>
      </w:r>
      <w:r w:rsidRPr="00563C04">
        <w:rPr>
          <w:color w:val="000000"/>
        </w:rPr>
        <w:t>for</w:t>
      </w:r>
      <w:r w:rsidRPr="00563C04">
        <w:t xml:space="preserve"> planning, access analysis, and facility strategy.</w:t>
      </w:r>
    </w:p>
    <w:p w14:paraId="5D88D9CF" w14:textId="77777777" w:rsidR="007E23CA" w:rsidRPr="00257E0E" w:rsidRDefault="007E23CA" w:rsidP="007E23CA">
      <w:pPr>
        <w:jc w:val="center"/>
        <w:rPr>
          <w:color w:val="30465A"/>
        </w:rPr>
      </w:pPr>
      <w:r w:rsidRPr="00563C04">
        <w:rPr>
          <w:b/>
          <w:bCs/>
          <w:color w:val="30465A"/>
        </w:rPr>
        <w:t>Output:</w:t>
      </w:r>
      <w:r w:rsidRPr="00563C04">
        <w:rPr>
          <w:color w:val="30465A"/>
        </w:rPr>
        <w:t xml:space="preserve"> Demand by zip code</w:t>
      </w:r>
    </w:p>
    <w:p w14:paraId="34B48EAA" w14:textId="77777777" w:rsidR="007E23CA" w:rsidRPr="00FA1359" w:rsidRDefault="007E23CA" w:rsidP="00FA1359">
      <w:pPr>
        <w:jc w:val="center"/>
        <w:rPr>
          <w:b/>
          <w:bCs/>
          <w14:ligatures w14:val="standardContextual"/>
        </w:rPr>
      </w:pPr>
    </w:p>
    <w:p w14:paraId="62CD5A1B" w14:textId="07AF4318" w:rsidR="00E93147" w:rsidRPr="002C688B" w:rsidRDefault="00E93147" w:rsidP="002C688B">
      <w:pPr>
        <w:rPr>
          <w:bdr w:val="none" w:sz="0" w:space="0" w:color="auto" w:frame="1"/>
        </w:rPr>
      </w:pPr>
      <w:r w:rsidRPr="002C688B">
        <w:rPr>
          <w:bdr w:val="none" w:sz="0" w:space="0" w:color="auto" w:frame="1"/>
        </w:rPr>
        <w:t>The utilization distribution across race/ethnicity categories was calculated with sensitivity to payer and Site of Care. These results reflect the underlying distribution seen in Komodo claims data, which has race/ ethnicity values available for 76.5</w:t>
      </w:r>
      <w:r w:rsidR="00207FB6" w:rsidRPr="00207FB6">
        <w:rPr>
          <w:bdr w:val="none" w:sz="0" w:space="0" w:color="auto" w:frame="1"/>
        </w:rPr>
        <w:t xml:space="preserve"> percent</w:t>
      </w:r>
      <w:r w:rsidRPr="002C688B">
        <w:rPr>
          <w:bdr w:val="none" w:sz="0" w:space="0" w:color="auto" w:frame="1"/>
        </w:rPr>
        <w:t xml:space="preserve"> of claims. </w:t>
      </w:r>
    </w:p>
    <w:p w14:paraId="3BFBE3D3" w14:textId="38A55EA3" w:rsidR="00961D13" w:rsidRDefault="00961D13" w:rsidP="00961D13"/>
    <w:p w14:paraId="5B636B69" w14:textId="1FDC87CC" w:rsidR="002C688B" w:rsidRDefault="002C688B">
      <w:pPr>
        <w:rPr>
          <w:bdr w:val="none" w:sz="0" w:space="0" w:color="auto" w:frame="1"/>
        </w:rPr>
      </w:pPr>
      <w:r>
        <w:rPr>
          <w:bdr w:val="none" w:sz="0" w:space="0" w:color="auto" w:frame="1"/>
        </w:rPr>
        <w:br w:type="page"/>
      </w:r>
    </w:p>
    <w:p w14:paraId="280B1583" w14:textId="0A8AA128" w:rsidR="0086424F" w:rsidRDefault="00507877" w:rsidP="00923435">
      <w:pPr>
        <w:pStyle w:val="Heading2"/>
      </w:pPr>
      <w:bookmarkStart w:id="31" w:name="_Toc241131203"/>
      <w:r>
        <w:lastRenderedPageBreak/>
        <w:t>Appendix</w:t>
      </w:r>
      <w:r w:rsidRPr="00BF3352">
        <w:t xml:space="preserve"> I</w:t>
      </w:r>
      <w:r w:rsidR="001E3EDD" w:rsidRPr="00BF3352">
        <w:t>I</w:t>
      </w:r>
      <w:r w:rsidRPr="00BF3352">
        <w:t xml:space="preserve">: </w:t>
      </w:r>
      <w:r w:rsidR="0086424F" w:rsidRPr="00BF3352">
        <w:t xml:space="preserve">List of </w:t>
      </w:r>
      <w:r w:rsidR="00F60605">
        <w:t xml:space="preserve">Top 20 </w:t>
      </w:r>
      <w:r w:rsidR="0086424F" w:rsidRPr="00BF3352">
        <w:t xml:space="preserve">Cities and Towns in the </w:t>
      </w:r>
      <w:r w:rsidR="00F72FAB">
        <w:t xml:space="preserve">Applicant’s </w:t>
      </w:r>
      <w:r w:rsidR="0086424F" w:rsidRPr="00BF3352">
        <w:t xml:space="preserve">PSA </w:t>
      </w:r>
      <w:r w:rsidR="004C5B19" w:rsidRPr="00BF3352">
        <w:t>(</w:t>
      </w:r>
      <w:r w:rsidR="004C5B19" w:rsidRPr="004C5B19">
        <w:t>Source: ESRI Data 2025</w:t>
      </w:r>
      <w:r w:rsidR="004C5B19">
        <w:t>)</w:t>
      </w:r>
      <w:bookmarkEnd w:id="31"/>
    </w:p>
    <w:tbl>
      <w:tblPr>
        <w:tblW w:w="0" w:type="auto"/>
        <w:tblLook w:val="04A0" w:firstRow="1" w:lastRow="0" w:firstColumn="1" w:lastColumn="0" w:noHBand="0" w:noVBand="1"/>
        <w:tblCaption w:val="List of Top 20 Cities and Towns in the Applicant’s PSA"/>
      </w:tblPr>
      <w:tblGrid>
        <w:gridCol w:w="2010"/>
        <w:gridCol w:w="1801"/>
      </w:tblGrid>
      <w:tr w:rsidR="00F60605" w:rsidRPr="004003B7" w14:paraId="63519A23" w14:textId="77777777" w:rsidTr="00D84926">
        <w:trPr>
          <w:cantSplit/>
          <w:trHeight w:val="290"/>
          <w:tblHeader/>
        </w:trPr>
        <w:tc>
          <w:tcPr>
            <w:tcW w:w="0" w:type="auto"/>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4B133F11" w14:textId="7D754BFC" w:rsidR="00F60605" w:rsidRPr="004003B7" w:rsidRDefault="007E23CA" w:rsidP="00F60605">
            <w:pPr>
              <w:widowControl/>
              <w:autoSpaceDE/>
              <w:autoSpaceDN/>
              <w:rPr>
                <w:rFonts w:asciiTheme="minorHAnsi" w:eastAsia="Times New Roman" w:hAnsiTheme="minorHAnsi"/>
                <w:b/>
                <w:bCs/>
                <w:color w:val="000000"/>
              </w:rPr>
            </w:pPr>
            <w:r w:rsidRPr="004003B7">
              <w:rPr>
                <w:rFonts w:asciiTheme="minorHAnsi" w:eastAsia="Times New Roman" w:hAnsiTheme="minorHAnsi"/>
                <w:b/>
                <w:bCs/>
                <w:color w:val="000000"/>
              </w:rPr>
              <w:t>City/Town</w:t>
            </w:r>
          </w:p>
        </w:tc>
        <w:tc>
          <w:tcPr>
            <w:tcW w:w="0" w:type="auto"/>
            <w:tcBorders>
              <w:top w:val="single" w:sz="4" w:space="0" w:color="auto"/>
              <w:left w:val="nil"/>
              <w:bottom w:val="single" w:sz="4" w:space="0" w:color="auto"/>
              <w:right w:val="single" w:sz="4" w:space="0" w:color="auto"/>
            </w:tcBorders>
            <w:shd w:val="clear" w:color="000000" w:fill="DAE9F8"/>
            <w:noWrap/>
            <w:vAlign w:val="center"/>
            <w:hideMark/>
          </w:tcPr>
          <w:p w14:paraId="3C6755C1" w14:textId="12CCDF78" w:rsidR="00F60605" w:rsidRPr="004003B7" w:rsidRDefault="007E23CA" w:rsidP="00F60605">
            <w:pPr>
              <w:widowControl/>
              <w:autoSpaceDE/>
              <w:autoSpaceDN/>
              <w:jc w:val="center"/>
              <w:rPr>
                <w:rFonts w:asciiTheme="minorHAnsi" w:eastAsia="Times New Roman" w:hAnsiTheme="minorHAnsi"/>
                <w:b/>
                <w:bCs/>
                <w:color w:val="000000"/>
              </w:rPr>
            </w:pPr>
            <w:r w:rsidRPr="004003B7">
              <w:rPr>
                <w:rFonts w:asciiTheme="minorHAnsi" w:eastAsia="Times New Roman" w:hAnsiTheme="minorHAnsi"/>
                <w:b/>
                <w:bCs/>
                <w:color w:val="000000"/>
              </w:rPr>
              <w:t xml:space="preserve">Population </w:t>
            </w:r>
            <w:r w:rsidR="00F60605" w:rsidRPr="004003B7">
              <w:rPr>
                <w:rFonts w:asciiTheme="minorHAnsi" w:eastAsia="Times New Roman" w:hAnsiTheme="minorHAnsi"/>
                <w:b/>
                <w:bCs/>
                <w:color w:val="000000"/>
              </w:rPr>
              <w:t>0-21</w:t>
            </w:r>
          </w:p>
        </w:tc>
      </w:tr>
      <w:tr w:rsidR="00F60605" w:rsidRPr="004003B7" w14:paraId="2C5A3BAA"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5B39EBCD"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Lawrence</w:t>
            </w:r>
          </w:p>
        </w:tc>
        <w:tc>
          <w:tcPr>
            <w:tcW w:w="0" w:type="auto"/>
            <w:tcBorders>
              <w:top w:val="nil"/>
              <w:left w:val="nil"/>
              <w:bottom w:val="single" w:sz="4" w:space="0" w:color="auto"/>
              <w:right w:val="single" w:sz="4" w:space="0" w:color="auto"/>
            </w:tcBorders>
            <w:noWrap/>
            <w:vAlign w:val="center"/>
            <w:hideMark/>
          </w:tcPr>
          <w:p w14:paraId="581803E5"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17,111</w:t>
            </w:r>
          </w:p>
        </w:tc>
      </w:tr>
      <w:tr w:rsidR="00F60605" w:rsidRPr="004003B7" w14:paraId="6BC82485"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1CAFA993"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Lynn</w:t>
            </w:r>
          </w:p>
        </w:tc>
        <w:tc>
          <w:tcPr>
            <w:tcW w:w="0" w:type="auto"/>
            <w:tcBorders>
              <w:top w:val="nil"/>
              <w:left w:val="nil"/>
              <w:bottom w:val="single" w:sz="4" w:space="0" w:color="auto"/>
              <w:right w:val="single" w:sz="4" w:space="0" w:color="auto"/>
            </w:tcBorders>
            <w:noWrap/>
            <w:vAlign w:val="center"/>
            <w:hideMark/>
          </w:tcPr>
          <w:p w14:paraId="1A092474"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15,417</w:t>
            </w:r>
          </w:p>
        </w:tc>
      </w:tr>
      <w:tr w:rsidR="00F60605" w:rsidRPr="004003B7" w14:paraId="2693EDB7"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782DECDD"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Revere</w:t>
            </w:r>
          </w:p>
        </w:tc>
        <w:tc>
          <w:tcPr>
            <w:tcW w:w="0" w:type="auto"/>
            <w:tcBorders>
              <w:top w:val="nil"/>
              <w:left w:val="nil"/>
              <w:bottom w:val="single" w:sz="4" w:space="0" w:color="auto"/>
              <w:right w:val="single" w:sz="4" w:space="0" w:color="auto"/>
            </w:tcBorders>
            <w:noWrap/>
            <w:vAlign w:val="center"/>
            <w:hideMark/>
          </w:tcPr>
          <w:p w14:paraId="14E4BF84"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14,811</w:t>
            </w:r>
          </w:p>
        </w:tc>
      </w:tr>
      <w:tr w:rsidR="00F60605" w:rsidRPr="004003B7" w14:paraId="3A506D1D"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14135941"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Malden</w:t>
            </w:r>
          </w:p>
        </w:tc>
        <w:tc>
          <w:tcPr>
            <w:tcW w:w="0" w:type="auto"/>
            <w:tcBorders>
              <w:top w:val="nil"/>
              <w:left w:val="nil"/>
              <w:bottom w:val="single" w:sz="4" w:space="0" w:color="auto"/>
              <w:right w:val="single" w:sz="4" w:space="0" w:color="auto"/>
            </w:tcBorders>
            <w:noWrap/>
            <w:vAlign w:val="center"/>
            <w:hideMark/>
          </w:tcPr>
          <w:p w14:paraId="4553C8F0"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14,117</w:t>
            </w:r>
          </w:p>
        </w:tc>
      </w:tr>
      <w:tr w:rsidR="00F60605" w:rsidRPr="004003B7" w14:paraId="60AC407F"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3A76C7C7"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Everett</w:t>
            </w:r>
          </w:p>
        </w:tc>
        <w:tc>
          <w:tcPr>
            <w:tcW w:w="0" w:type="auto"/>
            <w:tcBorders>
              <w:top w:val="nil"/>
              <w:left w:val="nil"/>
              <w:bottom w:val="single" w:sz="4" w:space="0" w:color="auto"/>
              <w:right w:val="single" w:sz="4" w:space="0" w:color="auto"/>
            </w:tcBorders>
            <w:noWrap/>
            <w:vAlign w:val="center"/>
            <w:hideMark/>
          </w:tcPr>
          <w:p w14:paraId="79DAF9C0"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13,351</w:t>
            </w:r>
          </w:p>
        </w:tc>
      </w:tr>
      <w:tr w:rsidR="00F60605" w:rsidRPr="004003B7" w14:paraId="310A9B43"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4B332AD1"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Methuen</w:t>
            </w:r>
          </w:p>
        </w:tc>
        <w:tc>
          <w:tcPr>
            <w:tcW w:w="0" w:type="auto"/>
            <w:tcBorders>
              <w:top w:val="nil"/>
              <w:left w:val="nil"/>
              <w:bottom w:val="single" w:sz="4" w:space="0" w:color="auto"/>
              <w:right w:val="single" w:sz="4" w:space="0" w:color="auto"/>
            </w:tcBorders>
            <w:noWrap/>
            <w:vAlign w:val="center"/>
            <w:hideMark/>
          </w:tcPr>
          <w:p w14:paraId="04FE763C"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13,315</w:t>
            </w:r>
          </w:p>
        </w:tc>
      </w:tr>
      <w:tr w:rsidR="00F60605" w:rsidRPr="004003B7" w14:paraId="79B4D87B"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7EF32D68"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Dorchester Center</w:t>
            </w:r>
          </w:p>
        </w:tc>
        <w:tc>
          <w:tcPr>
            <w:tcW w:w="0" w:type="auto"/>
            <w:tcBorders>
              <w:top w:val="nil"/>
              <w:left w:val="nil"/>
              <w:bottom w:val="single" w:sz="4" w:space="0" w:color="auto"/>
              <w:right w:val="single" w:sz="4" w:space="0" w:color="auto"/>
            </w:tcBorders>
            <w:noWrap/>
            <w:vAlign w:val="center"/>
            <w:hideMark/>
          </w:tcPr>
          <w:p w14:paraId="5221E757"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13,278</w:t>
            </w:r>
          </w:p>
        </w:tc>
      </w:tr>
      <w:tr w:rsidR="00F60605" w:rsidRPr="004003B7" w14:paraId="31E64F00"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29E1EBC2"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Medford</w:t>
            </w:r>
          </w:p>
        </w:tc>
        <w:tc>
          <w:tcPr>
            <w:tcW w:w="0" w:type="auto"/>
            <w:tcBorders>
              <w:top w:val="nil"/>
              <w:left w:val="nil"/>
              <w:bottom w:val="single" w:sz="4" w:space="0" w:color="auto"/>
              <w:right w:val="single" w:sz="4" w:space="0" w:color="auto"/>
            </w:tcBorders>
            <w:noWrap/>
            <w:vAlign w:val="center"/>
            <w:hideMark/>
          </w:tcPr>
          <w:p w14:paraId="5B1E3BBB"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12,327</w:t>
            </w:r>
          </w:p>
        </w:tc>
      </w:tr>
      <w:tr w:rsidR="00F60605" w:rsidRPr="004003B7" w14:paraId="7C4E6613"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6B717336"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Quincy</w:t>
            </w:r>
          </w:p>
        </w:tc>
        <w:tc>
          <w:tcPr>
            <w:tcW w:w="0" w:type="auto"/>
            <w:tcBorders>
              <w:top w:val="nil"/>
              <w:left w:val="nil"/>
              <w:bottom w:val="single" w:sz="4" w:space="0" w:color="auto"/>
              <w:right w:val="single" w:sz="4" w:space="0" w:color="auto"/>
            </w:tcBorders>
            <w:noWrap/>
            <w:vAlign w:val="center"/>
            <w:hideMark/>
          </w:tcPr>
          <w:p w14:paraId="7A5DD201"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11,738</w:t>
            </w:r>
          </w:p>
        </w:tc>
      </w:tr>
      <w:tr w:rsidR="00F60605" w:rsidRPr="004003B7" w14:paraId="3FB723CE"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66AECE87"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Framingham</w:t>
            </w:r>
          </w:p>
        </w:tc>
        <w:tc>
          <w:tcPr>
            <w:tcW w:w="0" w:type="auto"/>
            <w:tcBorders>
              <w:top w:val="nil"/>
              <w:left w:val="nil"/>
              <w:bottom w:val="single" w:sz="4" w:space="0" w:color="auto"/>
              <w:right w:val="single" w:sz="4" w:space="0" w:color="auto"/>
            </w:tcBorders>
            <w:noWrap/>
            <w:vAlign w:val="center"/>
            <w:hideMark/>
          </w:tcPr>
          <w:p w14:paraId="5B35F2F9"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11,444</w:t>
            </w:r>
          </w:p>
        </w:tc>
      </w:tr>
      <w:tr w:rsidR="00F60605" w:rsidRPr="004003B7" w14:paraId="11F4DB0F"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6FE57E82"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Chelsea</w:t>
            </w:r>
          </w:p>
        </w:tc>
        <w:tc>
          <w:tcPr>
            <w:tcW w:w="0" w:type="auto"/>
            <w:tcBorders>
              <w:top w:val="nil"/>
              <w:left w:val="nil"/>
              <w:bottom w:val="single" w:sz="4" w:space="0" w:color="auto"/>
              <w:right w:val="single" w:sz="4" w:space="0" w:color="auto"/>
            </w:tcBorders>
            <w:noWrap/>
            <w:vAlign w:val="center"/>
            <w:hideMark/>
          </w:tcPr>
          <w:p w14:paraId="523337EA"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11,402</w:t>
            </w:r>
          </w:p>
        </w:tc>
      </w:tr>
      <w:tr w:rsidR="00F60605" w:rsidRPr="004003B7" w14:paraId="467523B7"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79849A20"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Peabody</w:t>
            </w:r>
          </w:p>
        </w:tc>
        <w:tc>
          <w:tcPr>
            <w:tcW w:w="0" w:type="auto"/>
            <w:tcBorders>
              <w:top w:val="nil"/>
              <w:left w:val="nil"/>
              <w:bottom w:val="single" w:sz="4" w:space="0" w:color="auto"/>
              <w:right w:val="single" w:sz="4" w:space="0" w:color="auto"/>
            </w:tcBorders>
            <w:noWrap/>
            <w:vAlign w:val="center"/>
            <w:hideMark/>
          </w:tcPr>
          <w:p w14:paraId="6F19A8FF"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11,280</w:t>
            </w:r>
          </w:p>
        </w:tc>
      </w:tr>
      <w:tr w:rsidR="00F60605" w:rsidRPr="004003B7" w14:paraId="73216E49"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16E7FEAC"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Beverly</w:t>
            </w:r>
          </w:p>
        </w:tc>
        <w:tc>
          <w:tcPr>
            <w:tcW w:w="0" w:type="auto"/>
            <w:tcBorders>
              <w:top w:val="nil"/>
              <w:left w:val="nil"/>
              <w:bottom w:val="single" w:sz="4" w:space="0" w:color="auto"/>
              <w:right w:val="single" w:sz="4" w:space="0" w:color="auto"/>
            </w:tcBorders>
            <w:noWrap/>
            <w:vAlign w:val="center"/>
            <w:hideMark/>
          </w:tcPr>
          <w:p w14:paraId="5D21C222"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11,266</w:t>
            </w:r>
          </w:p>
        </w:tc>
      </w:tr>
      <w:tr w:rsidR="00F60605" w:rsidRPr="004003B7" w14:paraId="071C25FB"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6490E1D9"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Salem</w:t>
            </w:r>
          </w:p>
        </w:tc>
        <w:tc>
          <w:tcPr>
            <w:tcW w:w="0" w:type="auto"/>
            <w:tcBorders>
              <w:top w:val="nil"/>
              <w:left w:val="nil"/>
              <w:bottom w:val="single" w:sz="4" w:space="0" w:color="auto"/>
              <w:right w:val="single" w:sz="4" w:space="0" w:color="auto"/>
            </w:tcBorders>
            <w:noWrap/>
            <w:vAlign w:val="center"/>
            <w:hideMark/>
          </w:tcPr>
          <w:p w14:paraId="25354170"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10,133</w:t>
            </w:r>
          </w:p>
        </w:tc>
      </w:tr>
      <w:tr w:rsidR="00F60605" w:rsidRPr="004003B7" w14:paraId="56FA1C18"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5DE9BBD0"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Marlborough</w:t>
            </w:r>
          </w:p>
        </w:tc>
        <w:tc>
          <w:tcPr>
            <w:tcW w:w="0" w:type="auto"/>
            <w:tcBorders>
              <w:top w:val="nil"/>
              <w:left w:val="nil"/>
              <w:bottom w:val="single" w:sz="4" w:space="0" w:color="auto"/>
              <w:right w:val="single" w:sz="4" w:space="0" w:color="auto"/>
            </w:tcBorders>
            <w:noWrap/>
            <w:vAlign w:val="center"/>
            <w:hideMark/>
          </w:tcPr>
          <w:p w14:paraId="6AD70C27"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10,044</w:t>
            </w:r>
          </w:p>
        </w:tc>
      </w:tr>
      <w:tr w:rsidR="00F60605" w:rsidRPr="004003B7" w14:paraId="61F861A6"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54149C29"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East Boston</w:t>
            </w:r>
          </w:p>
        </w:tc>
        <w:tc>
          <w:tcPr>
            <w:tcW w:w="0" w:type="auto"/>
            <w:tcBorders>
              <w:top w:val="nil"/>
              <w:left w:val="nil"/>
              <w:bottom w:val="single" w:sz="4" w:space="0" w:color="auto"/>
              <w:right w:val="single" w:sz="4" w:space="0" w:color="auto"/>
            </w:tcBorders>
            <w:noWrap/>
            <w:vAlign w:val="center"/>
            <w:hideMark/>
          </w:tcPr>
          <w:p w14:paraId="35B7A9C3"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9,872</w:t>
            </w:r>
          </w:p>
        </w:tc>
      </w:tr>
      <w:tr w:rsidR="00F60605" w:rsidRPr="004003B7" w14:paraId="604D6662"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10C705E8"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Woburn</w:t>
            </w:r>
          </w:p>
        </w:tc>
        <w:tc>
          <w:tcPr>
            <w:tcW w:w="0" w:type="auto"/>
            <w:tcBorders>
              <w:top w:val="nil"/>
              <w:left w:val="nil"/>
              <w:bottom w:val="single" w:sz="4" w:space="0" w:color="auto"/>
              <w:right w:val="single" w:sz="4" w:space="0" w:color="auto"/>
            </w:tcBorders>
            <w:noWrap/>
            <w:vAlign w:val="center"/>
            <w:hideMark/>
          </w:tcPr>
          <w:p w14:paraId="3E3A5EA3"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9,130</w:t>
            </w:r>
          </w:p>
        </w:tc>
      </w:tr>
      <w:tr w:rsidR="00F60605" w:rsidRPr="004003B7" w14:paraId="19E56AD4"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145DAF45"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Brighton</w:t>
            </w:r>
          </w:p>
        </w:tc>
        <w:tc>
          <w:tcPr>
            <w:tcW w:w="0" w:type="auto"/>
            <w:tcBorders>
              <w:top w:val="nil"/>
              <w:left w:val="nil"/>
              <w:bottom w:val="single" w:sz="4" w:space="0" w:color="auto"/>
              <w:right w:val="single" w:sz="4" w:space="0" w:color="auto"/>
            </w:tcBorders>
            <w:noWrap/>
            <w:vAlign w:val="center"/>
            <w:hideMark/>
          </w:tcPr>
          <w:p w14:paraId="6919B298"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6,407</w:t>
            </w:r>
          </w:p>
        </w:tc>
      </w:tr>
      <w:tr w:rsidR="00F60605" w:rsidRPr="004003B7" w14:paraId="020D40DF"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1140194A"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Jamaica Plain</w:t>
            </w:r>
          </w:p>
        </w:tc>
        <w:tc>
          <w:tcPr>
            <w:tcW w:w="0" w:type="auto"/>
            <w:tcBorders>
              <w:top w:val="nil"/>
              <w:left w:val="nil"/>
              <w:bottom w:val="single" w:sz="4" w:space="0" w:color="auto"/>
              <w:right w:val="single" w:sz="4" w:space="0" w:color="auto"/>
            </w:tcBorders>
            <w:noWrap/>
            <w:vAlign w:val="center"/>
            <w:hideMark/>
          </w:tcPr>
          <w:p w14:paraId="6316F04A"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6,365</w:t>
            </w:r>
          </w:p>
        </w:tc>
      </w:tr>
      <w:tr w:rsidR="00F60605" w:rsidRPr="004003B7" w14:paraId="4D5CE534" w14:textId="77777777" w:rsidTr="00D84926">
        <w:trPr>
          <w:cantSplit/>
          <w:trHeight w:val="290"/>
        </w:trPr>
        <w:tc>
          <w:tcPr>
            <w:tcW w:w="0" w:type="auto"/>
            <w:tcBorders>
              <w:top w:val="nil"/>
              <w:left w:val="single" w:sz="4" w:space="0" w:color="auto"/>
              <w:bottom w:val="single" w:sz="4" w:space="0" w:color="auto"/>
              <w:right w:val="single" w:sz="4" w:space="0" w:color="auto"/>
            </w:tcBorders>
            <w:noWrap/>
            <w:vAlign w:val="center"/>
            <w:hideMark/>
          </w:tcPr>
          <w:p w14:paraId="517E5366" w14:textId="77777777" w:rsidR="00F60605" w:rsidRPr="004003B7" w:rsidRDefault="00F60605" w:rsidP="00F60605">
            <w:pPr>
              <w:widowControl/>
              <w:autoSpaceDE/>
              <w:autoSpaceDN/>
              <w:rPr>
                <w:rFonts w:asciiTheme="minorHAnsi" w:eastAsia="Times New Roman" w:hAnsiTheme="minorHAnsi"/>
                <w:color w:val="000000"/>
              </w:rPr>
            </w:pPr>
            <w:r w:rsidRPr="004003B7">
              <w:rPr>
                <w:rFonts w:asciiTheme="minorHAnsi" w:eastAsia="Times New Roman" w:hAnsiTheme="minorHAnsi"/>
                <w:color w:val="000000"/>
              </w:rPr>
              <w:t>South Boston</w:t>
            </w:r>
          </w:p>
        </w:tc>
        <w:tc>
          <w:tcPr>
            <w:tcW w:w="0" w:type="auto"/>
            <w:tcBorders>
              <w:top w:val="nil"/>
              <w:left w:val="nil"/>
              <w:bottom w:val="single" w:sz="4" w:space="0" w:color="auto"/>
              <w:right w:val="single" w:sz="4" w:space="0" w:color="auto"/>
            </w:tcBorders>
            <w:noWrap/>
            <w:vAlign w:val="center"/>
            <w:hideMark/>
          </w:tcPr>
          <w:p w14:paraId="76524639" w14:textId="77777777" w:rsidR="00F60605" w:rsidRPr="004003B7" w:rsidRDefault="00F60605" w:rsidP="00F60605">
            <w:pPr>
              <w:widowControl/>
              <w:autoSpaceDE/>
              <w:autoSpaceDN/>
              <w:jc w:val="center"/>
              <w:rPr>
                <w:rFonts w:asciiTheme="minorHAnsi" w:eastAsia="Times New Roman" w:hAnsiTheme="minorHAnsi"/>
                <w:color w:val="000000"/>
              </w:rPr>
            </w:pPr>
            <w:r w:rsidRPr="004003B7">
              <w:rPr>
                <w:rFonts w:asciiTheme="minorHAnsi" w:eastAsia="Times New Roman" w:hAnsiTheme="minorHAnsi"/>
                <w:color w:val="000000"/>
              </w:rPr>
              <w:t>5,351</w:t>
            </w:r>
          </w:p>
        </w:tc>
      </w:tr>
    </w:tbl>
    <w:p w14:paraId="736B2FC3" w14:textId="77777777" w:rsidR="00F60605" w:rsidRDefault="00F60605" w:rsidP="00A774AB"/>
    <w:p w14:paraId="2A7E2333" w14:textId="77777777" w:rsidR="00F60605" w:rsidRPr="00BF3352" w:rsidRDefault="00F60605" w:rsidP="00361496"/>
    <w:p w14:paraId="1681E1B5" w14:textId="209A2F97" w:rsidR="00507877" w:rsidRPr="00507877" w:rsidRDefault="00507877" w:rsidP="00923435">
      <w:pPr>
        <w:pStyle w:val="Heading2"/>
      </w:pPr>
      <w:bookmarkStart w:id="32" w:name="_Toc241131204"/>
      <w:r w:rsidRPr="00507877">
        <w:rPr>
          <w:bdr w:val="none" w:sz="0" w:space="0" w:color="auto" w:frame="1"/>
        </w:rPr>
        <w:t xml:space="preserve">Appendix </w:t>
      </w:r>
      <w:r w:rsidR="003D4970">
        <w:rPr>
          <w:bdr w:val="none" w:sz="0" w:space="0" w:color="auto" w:frame="1"/>
        </w:rPr>
        <w:t>I</w:t>
      </w:r>
      <w:r w:rsidRPr="00507877">
        <w:rPr>
          <w:bdr w:val="none" w:sz="0" w:space="0" w:color="auto" w:frame="1"/>
        </w:rPr>
        <w:t>I</w:t>
      </w:r>
      <w:r w:rsidR="001E3EDD">
        <w:rPr>
          <w:bdr w:val="none" w:sz="0" w:space="0" w:color="auto" w:frame="1"/>
        </w:rPr>
        <w:t>I</w:t>
      </w:r>
      <w:r w:rsidRPr="00507877">
        <w:rPr>
          <w:bdr w:val="none" w:sz="0" w:space="0" w:color="auto" w:frame="1"/>
        </w:rPr>
        <w:t>: Required Measures for Annual Reporting</w:t>
      </w:r>
      <w:bookmarkEnd w:id="32"/>
      <w:r w:rsidRPr="00507877">
        <w:rPr>
          <w:bdr w:val="none" w:sz="0" w:space="0" w:color="auto" w:frame="1"/>
        </w:rPr>
        <w:t> </w:t>
      </w:r>
    </w:p>
    <w:p w14:paraId="0FBC9447" w14:textId="4A82CE4C" w:rsidR="00507877" w:rsidRDefault="00507877" w:rsidP="00507877">
      <w:pPr>
        <w:rPr>
          <w:rFonts w:eastAsia="Times New Roman" w:cs="Calibri"/>
          <w:color w:val="000000"/>
        </w:rPr>
      </w:pPr>
      <w:r>
        <w:rPr>
          <w:rFonts w:eastAsia="Times New Roman" w:cs="Calibri"/>
          <w:color w:val="000000"/>
          <w:bdr w:val="none" w:sz="0" w:space="0" w:color="auto" w:frame="1"/>
        </w:rPr>
        <w:t>The Holder shall, on an annual basis, commencing with approval of this DoN, and continuing annually for a period of five years after the Project is complete, report on the following data elements, pursuant to 105 CMR 100.310(A)(12). Reporting will include a description of numerators and denominators. </w:t>
      </w:r>
      <w:r w:rsidR="003F19E2" w:rsidRPr="003F19E2">
        <w:rPr>
          <w:rFonts w:eastAsia="Times New Roman" w:cs="Calibri"/>
          <w:color w:val="000000"/>
          <w:bdr w:val="none" w:sz="0" w:space="0" w:color="auto" w:frame="1"/>
        </w:rPr>
        <w:t>If applicable, include baseline data for measures (a year prior to implementation of DoN-approved project).</w:t>
      </w:r>
    </w:p>
    <w:p w14:paraId="375EE198" w14:textId="7C21CB76" w:rsidR="00FC4602" w:rsidRPr="003F19E2" w:rsidRDefault="00507877" w:rsidP="00361496">
      <w:r>
        <w:rPr>
          <w:bdr w:val="none" w:sz="0" w:space="0" w:color="auto" w:frame="1"/>
        </w:rPr>
        <w:t> </w:t>
      </w:r>
    </w:p>
    <w:p w14:paraId="5142F90F" w14:textId="77777777" w:rsidR="00EC7252" w:rsidRPr="00BF762F" w:rsidRDefault="00EC7252" w:rsidP="00C36C84">
      <w:pPr>
        <w:pStyle w:val="ListParagraph"/>
        <w:widowControl/>
        <w:numPr>
          <w:ilvl w:val="0"/>
          <w:numId w:val="5"/>
        </w:numPr>
        <w:autoSpaceDE/>
        <w:autoSpaceDN/>
        <w:spacing w:after="160"/>
        <w:jc w:val="both"/>
        <w:rPr>
          <w:rFonts w:asciiTheme="minorHAnsi" w:hAnsiTheme="minorHAnsi"/>
        </w:rPr>
      </w:pPr>
      <w:r w:rsidRPr="00BF762F">
        <w:rPr>
          <w:rFonts w:asciiTheme="minorHAnsi" w:hAnsiTheme="minorHAnsi"/>
          <w:b/>
        </w:rPr>
        <w:t xml:space="preserve">Clinical Quality – Re-Admission/Re-Treat Rate. </w:t>
      </w:r>
      <w:r w:rsidRPr="00BF762F">
        <w:rPr>
          <w:rFonts w:asciiTheme="minorHAnsi" w:hAnsiTheme="minorHAnsi"/>
        </w:rPr>
        <w:t xml:space="preserve">Surgical site infections can be significant setback to a patient’s recovery. Effective surgical infection prevention programs include systems and processes to reduce risk factors, unnecessary hospitalizations and achieve better health outcomes while lowering costs.  </w:t>
      </w:r>
    </w:p>
    <w:p w14:paraId="1159A406" w14:textId="77777777" w:rsidR="006C7038" w:rsidRPr="005F431C" w:rsidRDefault="006C7038" w:rsidP="00BF3352">
      <w:pPr>
        <w:widowControl/>
        <w:autoSpaceDE/>
        <w:autoSpaceDN/>
        <w:spacing w:after="160"/>
        <w:ind w:left="720"/>
        <w:jc w:val="both"/>
        <w:rPr>
          <w:rFonts w:asciiTheme="minorHAnsi" w:hAnsiTheme="minorHAnsi"/>
        </w:rPr>
      </w:pPr>
      <w:r w:rsidRPr="005F431C">
        <w:rPr>
          <w:rFonts w:asciiTheme="minorHAnsi" w:hAnsiTheme="minorHAnsi"/>
        </w:rPr>
        <w:t>Measure:  The Applicant will report the percentage of patients who  return/re-treat over the total Center admissions. The data will be reported using a Blue Cloud Patient Return form and/or internal incident/adverse event form.</w:t>
      </w:r>
    </w:p>
    <w:p w14:paraId="36F62484" w14:textId="02B19351" w:rsidR="006C7038" w:rsidRPr="005F431C" w:rsidRDefault="009419B2" w:rsidP="00BF3352">
      <w:pPr>
        <w:widowControl/>
        <w:autoSpaceDE/>
        <w:autoSpaceDN/>
        <w:spacing w:after="160"/>
        <w:ind w:left="720"/>
        <w:jc w:val="both"/>
        <w:rPr>
          <w:rFonts w:asciiTheme="minorHAnsi" w:hAnsiTheme="minorHAnsi"/>
        </w:rPr>
      </w:pPr>
      <w:r w:rsidRPr="005F431C">
        <w:rPr>
          <w:rFonts w:asciiTheme="minorHAnsi" w:hAnsiTheme="minorHAnsi"/>
          <w:iCs/>
        </w:rPr>
        <w:t>Monitoring</w:t>
      </w:r>
      <w:r w:rsidR="006C7038" w:rsidRPr="005F431C">
        <w:rPr>
          <w:rFonts w:asciiTheme="minorHAnsi" w:hAnsiTheme="minorHAnsi"/>
          <w:iCs/>
        </w:rPr>
        <w:t>: Completed Patient Return forms will be analyzed and reviewed at quarterly QAPI/MEC meetings as well as at Governing Body meetings.</w:t>
      </w:r>
      <w:r w:rsidR="006C7038" w:rsidRPr="005F431C">
        <w:rPr>
          <w:rFonts w:asciiTheme="minorHAnsi" w:hAnsiTheme="minorHAnsi"/>
          <w:i/>
        </w:rPr>
        <w:t xml:space="preserve"> </w:t>
      </w:r>
      <w:r w:rsidR="006C7038" w:rsidRPr="005F431C">
        <w:rPr>
          <w:rFonts w:asciiTheme="minorHAnsi" w:hAnsiTheme="minorHAnsi"/>
        </w:rPr>
        <w:t xml:space="preserve"> Areas for improvement based on the data collected will result in policy and procedure changes as necessary. </w:t>
      </w:r>
    </w:p>
    <w:p w14:paraId="1BE3A77C" w14:textId="4D7D237A" w:rsidR="006C7038" w:rsidRPr="005F431C" w:rsidRDefault="009419B2" w:rsidP="006C7038">
      <w:pPr>
        <w:pStyle w:val="ListParagraph"/>
        <w:spacing w:after="160"/>
        <w:ind w:left="1080"/>
        <w:jc w:val="both"/>
        <w:rPr>
          <w:rFonts w:asciiTheme="minorHAnsi" w:hAnsiTheme="minorHAnsi"/>
        </w:rPr>
      </w:pPr>
      <w:r w:rsidRPr="005F431C">
        <w:rPr>
          <w:rFonts w:asciiTheme="minorHAnsi" w:hAnsiTheme="minorHAnsi"/>
        </w:rPr>
        <w:lastRenderedPageBreak/>
        <w:t xml:space="preserve">Projections: </w:t>
      </w:r>
      <w:r w:rsidR="006C7038" w:rsidRPr="005F431C">
        <w:rPr>
          <w:rFonts w:asciiTheme="minorHAnsi" w:hAnsiTheme="minorHAnsi"/>
        </w:rPr>
        <w:t>Baseline: &lt;1</w:t>
      </w:r>
      <w:r w:rsidR="00DE3CF6" w:rsidRPr="005F431C">
        <w:rPr>
          <w:rFonts w:asciiTheme="minorHAnsi" w:hAnsiTheme="minorHAnsi"/>
        </w:rPr>
        <w:t xml:space="preserve"> percent</w:t>
      </w:r>
      <w:r w:rsidR="006C7038" w:rsidRPr="005F431C">
        <w:rPr>
          <w:rFonts w:asciiTheme="minorHAnsi" w:hAnsiTheme="minorHAnsi"/>
        </w:rPr>
        <w:tab/>
        <w:t>Year 1: &lt;1</w:t>
      </w:r>
      <w:r w:rsidR="00DE3CF6" w:rsidRPr="005F431C">
        <w:rPr>
          <w:rFonts w:asciiTheme="minorHAnsi" w:hAnsiTheme="minorHAnsi"/>
        </w:rPr>
        <w:t xml:space="preserve"> percent</w:t>
      </w:r>
      <w:r w:rsidR="006C7038" w:rsidRPr="005F431C">
        <w:rPr>
          <w:rFonts w:asciiTheme="minorHAnsi" w:hAnsiTheme="minorHAnsi"/>
        </w:rPr>
        <w:tab/>
        <w:t>Year 2: &lt;1</w:t>
      </w:r>
      <w:r w:rsidR="00DE3CF6" w:rsidRPr="005F431C">
        <w:rPr>
          <w:rFonts w:asciiTheme="minorHAnsi" w:hAnsiTheme="minorHAnsi"/>
        </w:rPr>
        <w:t xml:space="preserve"> percent</w:t>
      </w:r>
      <w:r w:rsidR="006C7038" w:rsidRPr="005F431C">
        <w:rPr>
          <w:rFonts w:asciiTheme="minorHAnsi" w:hAnsiTheme="minorHAnsi"/>
        </w:rPr>
        <w:tab/>
        <w:t>Year 3: &lt;1</w:t>
      </w:r>
      <w:r w:rsidR="00DE3CF6" w:rsidRPr="005F431C">
        <w:rPr>
          <w:rFonts w:asciiTheme="minorHAnsi" w:hAnsiTheme="minorHAnsi"/>
        </w:rPr>
        <w:t xml:space="preserve"> percent</w:t>
      </w:r>
    </w:p>
    <w:p w14:paraId="079CF71F" w14:textId="77777777" w:rsidR="006C7038" w:rsidRPr="00BF762F" w:rsidRDefault="006C7038" w:rsidP="006C7038">
      <w:pPr>
        <w:spacing w:after="160"/>
        <w:jc w:val="both"/>
        <w:rPr>
          <w:rFonts w:asciiTheme="minorHAnsi" w:hAnsiTheme="minorHAnsi"/>
        </w:rPr>
      </w:pPr>
    </w:p>
    <w:p w14:paraId="2BC12725" w14:textId="77777777" w:rsidR="006C7038" w:rsidRPr="00BF762F" w:rsidRDefault="006C7038" w:rsidP="006C7038">
      <w:pPr>
        <w:pStyle w:val="ListParagraph"/>
        <w:numPr>
          <w:ilvl w:val="0"/>
          <w:numId w:val="5"/>
        </w:numPr>
        <w:spacing w:after="160"/>
        <w:contextualSpacing/>
        <w:jc w:val="both"/>
        <w:rPr>
          <w:rFonts w:asciiTheme="minorHAnsi" w:hAnsiTheme="minorHAnsi"/>
          <w:b/>
          <w:bCs/>
        </w:rPr>
      </w:pPr>
      <w:r w:rsidRPr="00BF762F">
        <w:rPr>
          <w:rFonts w:asciiTheme="minorHAnsi" w:hAnsiTheme="minorHAnsi"/>
          <w:b/>
          <w:bCs/>
        </w:rPr>
        <w:t>All Cause Hospital Transfer/Admission (ASC-4)</w:t>
      </w:r>
    </w:p>
    <w:p w14:paraId="2C0789D7" w14:textId="77777777" w:rsidR="006C7038" w:rsidRPr="00BF762F" w:rsidRDefault="006C7038" w:rsidP="00BF762F">
      <w:pPr>
        <w:pStyle w:val="ListParagraph"/>
        <w:spacing w:after="160"/>
        <w:ind w:hanging="220"/>
        <w:jc w:val="both"/>
        <w:rPr>
          <w:rFonts w:asciiTheme="minorHAnsi" w:hAnsiTheme="minorHAnsi"/>
        </w:rPr>
      </w:pPr>
      <w:r w:rsidRPr="00BF762F">
        <w:rPr>
          <w:rFonts w:asciiTheme="minorHAnsi" w:hAnsiTheme="minorHAnsi"/>
        </w:rPr>
        <w:t xml:space="preserve">Ambulatory Surgical Center Quality Reporting Program </w:t>
      </w:r>
    </w:p>
    <w:p w14:paraId="062BE8F2" w14:textId="77777777" w:rsidR="009419B2" w:rsidRPr="005F431C" w:rsidRDefault="006C7038" w:rsidP="00BF3352">
      <w:pPr>
        <w:pStyle w:val="ListParagraph"/>
        <w:ind w:left="936" w:hanging="216"/>
        <w:jc w:val="both"/>
        <w:rPr>
          <w:rFonts w:asciiTheme="minorHAnsi" w:hAnsiTheme="minorHAnsi"/>
        </w:rPr>
      </w:pPr>
      <w:r w:rsidRPr="005F431C">
        <w:rPr>
          <w:rFonts w:asciiTheme="minorHAnsi" w:hAnsiTheme="minorHAnsi"/>
        </w:rPr>
        <w:t>Numerator: Ambulatory Surgery Center (ASC) admissions requiring a hospital transfer or</w:t>
      </w:r>
      <w:r w:rsidR="00F76077" w:rsidRPr="005F431C">
        <w:rPr>
          <w:rFonts w:asciiTheme="minorHAnsi" w:hAnsiTheme="minorHAnsi"/>
        </w:rPr>
        <w:t xml:space="preserve"> </w:t>
      </w:r>
    </w:p>
    <w:p w14:paraId="383FB6F3" w14:textId="342EE5A0" w:rsidR="006C7038" w:rsidRPr="005F431C" w:rsidRDefault="006C7038" w:rsidP="009419B2">
      <w:pPr>
        <w:pStyle w:val="ListParagraph"/>
        <w:ind w:left="936" w:hanging="216"/>
        <w:jc w:val="both"/>
        <w:rPr>
          <w:rFonts w:asciiTheme="minorHAnsi" w:hAnsiTheme="minorHAnsi"/>
        </w:rPr>
      </w:pPr>
      <w:r w:rsidRPr="005F431C">
        <w:rPr>
          <w:rFonts w:asciiTheme="minorHAnsi" w:hAnsiTheme="minorHAnsi"/>
        </w:rPr>
        <w:t>hospital admission upon discharge from the ASC</w:t>
      </w:r>
    </w:p>
    <w:p w14:paraId="76CDD1F8" w14:textId="77777777" w:rsidR="009419B2" w:rsidRPr="005F431C" w:rsidRDefault="009419B2" w:rsidP="00BF3352">
      <w:pPr>
        <w:pStyle w:val="ListParagraph"/>
        <w:ind w:left="936" w:hanging="216"/>
        <w:jc w:val="both"/>
        <w:rPr>
          <w:rFonts w:asciiTheme="minorHAnsi" w:hAnsiTheme="minorHAnsi"/>
        </w:rPr>
      </w:pPr>
    </w:p>
    <w:p w14:paraId="4AC05B91" w14:textId="77777777" w:rsidR="006C7038" w:rsidRPr="005F431C" w:rsidRDefault="006C7038" w:rsidP="00BF3352">
      <w:pPr>
        <w:pStyle w:val="ListParagraph"/>
        <w:spacing w:after="160"/>
        <w:ind w:hanging="220"/>
        <w:jc w:val="both"/>
        <w:rPr>
          <w:rFonts w:asciiTheme="minorHAnsi" w:hAnsiTheme="minorHAnsi"/>
        </w:rPr>
      </w:pPr>
      <w:r w:rsidRPr="005F431C">
        <w:rPr>
          <w:rFonts w:asciiTheme="minorHAnsi" w:hAnsiTheme="minorHAnsi"/>
        </w:rPr>
        <w:t>Denominator: All ASC admissions</w:t>
      </w:r>
    </w:p>
    <w:p w14:paraId="2BAAD016" w14:textId="6E45531E" w:rsidR="00EC7252" w:rsidRPr="00BF762F" w:rsidRDefault="00EC7252" w:rsidP="00371E0F">
      <w:pPr>
        <w:pStyle w:val="pf0"/>
        <w:numPr>
          <w:ilvl w:val="0"/>
          <w:numId w:val="5"/>
        </w:numPr>
        <w:rPr>
          <w:rFonts w:asciiTheme="minorHAnsi" w:hAnsiTheme="minorHAnsi" w:cstheme="minorHAnsi"/>
        </w:rPr>
      </w:pPr>
      <w:r w:rsidRPr="00BF762F">
        <w:rPr>
          <w:rFonts w:asciiTheme="minorHAnsi" w:hAnsiTheme="minorHAnsi" w:cstheme="minorHAnsi"/>
          <w:b/>
        </w:rPr>
        <w:t xml:space="preserve">Patient </w:t>
      </w:r>
      <w:r w:rsidR="00371E0F" w:rsidRPr="00BF762F">
        <w:rPr>
          <w:rFonts w:asciiTheme="minorHAnsi" w:hAnsiTheme="minorHAnsi" w:cstheme="minorHAnsi"/>
          <w:b/>
        </w:rPr>
        <w:t>Satisfaction.</w:t>
      </w:r>
      <w:r w:rsidRPr="00BF762F">
        <w:rPr>
          <w:rFonts w:asciiTheme="minorHAnsi" w:hAnsiTheme="minorHAnsi" w:cstheme="minorHAnsi"/>
          <w:b/>
        </w:rPr>
        <w:t xml:space="preserve">   </w:t>
      </w:r>
      <w:r w:rsidRPr="00BF762F">
        <w:rPr>
          <w:rFonts w:asciiTheme="minorHAnsi" w:hAnsiTheme="minorHAnsi" w:cstheme="minorHAnsi"/>
        </w:rPr>
        <w:t xml:space="preserve">Patients that are satisfied with their care are more likely to seek additional treatment when needed. The Applicant will continue to review patient satisfaction levels with the Center’s surgical services and compare across like facilities and regional benchmarks.  </w:t>
      </w:r>
    </w:p>
    <w:p w14:paraId="52FDA173" w14:textId="77777777" w:rsidR="00EC7252" w:rsidRPr="005F431C" w:rsidRDefault="00EC7252" w:rsidP="00371E0F">
      <w:pPr>
        <w:widowControl/>
        <w:autoSpaceDE/>
        <w:autoSpaceDN/>
        <w:spacing w:after="200" w:line="276" w:lineRule="auto"/>
        <w:ind w:left="720"/>
        <w:jc w:val="both"/>
        <w:rPr>
          <w:rFonts w:asciiTheme="minorHAnsi" w:hAnsiTheme="minorHAnsi"/>
          <w:b/>
        </w:rPr>
      </w:pPr>
      <w:r w:rsidRPr="005F431C">
        <w:rPr>
          <w:rFonts w:asciiTheme="minorHAnsi" w:hAnsiTheme="minorHAnsi"/>
        </w:rPr>
        <w:t>Measure:</w:t>
      </w:r>
      <w:r w:rsidRPr="005F431C">
        <w:rPr>
          <w:rFonts w:asciiTheme="minorHAnsi" w:hAnsiTheme="minorHAnsi"/>
          <w:b/>
        </w:rPr>
        <w:t xml:space="preserve"> </w:t>
      </w:r>
      <w:r w:rsidRPr="005F431C">
        <w:rPr>
          <w:rFonts w:asciiTheme="minorHAnsi" w:hAnsiTheme="minorHAnsi"/>
        </w:rPr>
        <w:t>The Center will use an internal patient satisfaction survey to assess patient satisfaction. Satisfaction scores range from 0-10 with 10 being the highest score. The survey will be provided to all eligible patients after they have completed treatment at the facility.</w:t>
      </w:r>
      <w:r w:rsidRPr="005F431C">
        <w:rPr>
          <w:rFonts w:asciiTheme="minorHAnsi" w:hAnsiTheme="minorHAnsi"/>
          <w:b/>
        </w:rPr>
        <w:t xml:space="preserve"> </w:t>
      </w:r>
    </w:p>
    <w:p w14:paraId="6727A13A" w14:textId="2F014AE0" w:rsidR="00371E0F" w:rsidRPr="005F431C" w:rsidRDefault="00BF762F" w:rsidP="00371E0F">
      <w:pPr>
        <w:widowControl/>
        <w:autoSpaceDE/>
        <w:autoSpaceDN/>
        <w:spacing w:after="200" w:line="276" w:lineRule="auto"/>
        <w:ind w:left="720"/>
        <w:jc w:val="both"/>
        <w:rPr>
          <w:rFonts w:asciiTheme="minorHAnsi" w:hAnsiTheme="minorHAnsi"/>
          <w:b/>
        </w:rPr>
      </w:pPr>
      <w:r w:rsidRPr="005F431C">
        <w:rPr>
          <w:rFonts w:asciiTheme="minorHAnsi" w:hAnsiTheme="minorHAnsi"/>
          <w:bCs/>
          <w:iCs/>
        </w:rPr>
        <w:t>Monitoring</w:t>
      </w:r>
      <w:r w:rsidR="00371E0F" w:rsidRPr="005F431C">
        <w:rPr>
          <w:rFonts w:asciiTheme="minorHAnsi" w:hAnsiTheme="minorHAnsi"/>
          <w:bCs/>
          <w:iCs/>
        </w:rPr>
        <w:t>:</w:t>
      </w:r>
      <w:r w:rsidR="00371E0F" w:rsidRPr="005F431C">
        <w:rPr>
          <w:rFonts w:asciiTheme="minorHAnsi" w:hAnsiTheme="minorHAnsi"/>
          <w:b/>
          <w:i/>
        </w:rPr>
        <w:t xml:space="preserve"> </w:t>
      </w:r>
      <w:r w:rsidR="00371E0F" w:rsidRPr="005F431C">
        <w:rPr>
          <w:rFonts w:asciiTheme="minorHAnsi" w:hAnsiTheme="minorHAnsi"/>
          <w:bCs/>
          <w:iCs/>
        </w:rPr>
        <w:t xml:space="preserve">Completed patient satisfaction survey reports will be reviewed monthly and reported on quarterly during facility/staff/patient safety meetings as well as quarterly during QAPI/MEC and Governing Body meetings. </w:t>
      </w:r>
      <w:r w:rsidR="00371E0F" w:rsidRPr="005F431C">
        <w:rPr>
          <w:rFonts w:asciiTheme="minorHAnsi" w:hAnsiTheme="minorHAnsi"/>
          <w:bCs/>
        </w:rPr>
        <w:t>Areas for improvement based on scores provided will be analyzed, with changes in policy and practice implemented as necessary.  The Applicant will monitor improvements accordingly.</w:t>
      </w:r>
    </w:p>
    <w:p w14:paraId="76610FD9" w14:textId="157B2D19" w:rsidR="00371E0F" w:rsidRPr="005F431C" w:rsidRDefault="00371E0F" w:rsidP="00371E0F">
      <w:pPr>
        <w:pStyle w:val="ListParagraph"/>
        <w:spacing w:after="200" w:line="276" w:lineRule="auto"/>
        <w:ind w:left="1080"/>
        <w:jc w:val="both"/>
        <w:rPr>
          <w:rFonts w:asciiTheme="minorHAnsi" w:hAnsiTheme="minorHAnsi"/>
          <w:b/>
        </w:rPr>
      </w:pPr>
      <w:r w:rsidRPr="005F431C">
        <w:rPr>
          <w:rFonts w:asciiTheme="minorHAnsi" w:hAnsiTheme="minorHAnsi"/>
          <w:bCs/>
        </w:rPr>
        <w:t xml:space="preserve"> </w:t>
      </w:r>
      <w:r w:rsidR="00BF762F" w:rsidRPr="005F431C">
        <w:rPr>
          <w:rFonts w:asciiTheme="minorHAnsi" w:hAnsiTheme="minorHAnsi"/>
          <w:bCs/>
        </w:rPr>
        <w:t>Projections</w:t>
      </w:r>
      <w:r w:rsidR="00BF762F" w:rsidRPr="005F431C">
        <w:rPr>
          <w:rFonts w:asciiTheme="minorHAnsi" w:hAnsiTheme="minorHAnsi"/>
          <w:b/>
        </w:rPr>
        <w:t xml:space="preserve">: </w:t>
      </w:r>
      <w:r w:rsidRPr="005F431C">
        <w:rPr>
          <w:rFonts w:asciiTheme="minorHAnsi" w:hAnsiTheme="minorHAnsi"/>
          <w:bCs/>
        </w:rPr>
        <w:t>Baseline: 9.5/10</w:t>
      </w:r>
      <w:r w:rsidR="00BF762F" w:rsidRPr="005F431C">
        <w:rPr>
          <w:rFonts w:asciiTheme="minorHAnsi" w:hAnsiTheme="minorHAnsi"/>
          <w:bCs/>
        </w:rPr>
        <w:tab/>
      </w:r>
      <w:r w:rsidRPr="005F431C">
        <w:rPr>
          <w:rFonts w:asciiTheme="minorHAnsi" w:hAnsiTheme="minorHAnsi"/>
          <w:bCs/>
        </w:rPr>
        <w:tab/>
        <w:t xml:space="preserve">  Year 1:   9.5/10     Year 2:   9.5/10       Year 3: 9.5/10</w:t>
      </w:r>
    </w:p>
    <w:p w14:paraId="7D9CC044" w14:textId="77777777" w:rsidR="00397A20" w:rsidRPr="00BF762F" w:rsidRDefault="00397A20" w:rsidP="007F338C">
      <w:pPr>
        <w:ind w:left="720"/>
        <w:rPr>
          <w:rFonts w:asciiTheme="minorHAnsi" w:hAnsiTheme="minorHAnsi"/>
        </w:rPr>
      </w:pPr>
    </w:p>
    <w:p w14:paraId="1E3D5F05" w14:textId="037A0594" w:rsidR="00DE40F1" w:rsidRPr="00BF762F" w:rsidRDefault="00DE40F1" w:rsidP="00DE40F1">
      <w:pPr>
        <w:pStyle w:val="ListParagraph"/>
        <w:numPr>
          <w:ilvl w:val="0"/>
          <w:numId w:val="5"/>
        </w:numPr>
        <w:rPr>
          <w:rFonts w:asciiTheme="minorHAnsi" w:hAnsiTheme="minorHAnsi"/>
          <w:b/>
        </w:rPr>
      </w:pPr>
      <w:r w:rsidRPr="00BF762F">
        <w:rPr>
          <w:rFonts w:asciiTheme="minorHAnsi" w:hAnsiTheme="minorHAnsi"/>
          <w:b/>
        </w:rPr>
        <w:t xml:space="preserve">Referrals. </w:t>
      </w:r>
      <w:r w:rsidRPr="00BF762F">
        <w:rPr>
          <w:rFonts w:asciiTheme="minorHAnsi" w:hAnsiTheme="minorHAnsi"/>
        </w:rPr>
        <w:t>The Holder will</w:t>
      </w:r>
      <w:r w:rsidRPr="00BF762F">
        <w:rPr>
          <w:rFonts w:asciiTheme="minorHAnsi" w:hAnsiTheme="minorHAnsi"/>
          <w:b/>
        </w:rPr>
        <w:t xml:space="preserve"> </w:t>
      </w:r>
      <w:r w:rsidR="003A4D61" w:rsidRPr="00BF762F">
        <w:rPr>
          <w:rFonts w:asciiTheme="minorHAnsi" w:hAnsiTheme="minorHAnsi"/>
        </w:rPr>
        <w:t xml:space="preserve">track and report on referral sources (i.e., dental office, FQHC) for the Center’s patients. </w:t>
      </w:r>
    </w:p>
    <w:p w14:paraId="19268B33" w14:textId="77777777" w:rsidR="00945C36" w:rsidRPr="00BF762F" w:rsidRDefault="00945C36" w:rsidP="00945C36">
      <w:pPr>
        <w:pStyle w:val="ListParagraph"/>
        <w:rPr>
          <w:rFonts w:asciiTheme="minorHAnsi" w:hAnsiTheme="minorHAnsi"/>
          <w:b/>
        </w:rPr>
      </w:pPr>
    </w:p>
    <w:p w14:paraId="30932CB3" w14:textId="6B4D5EFD" w:rsidR="00945C36" w:rsidRPr="00BF762F" w:rsidRDefault="00744A50" w:rsidP="00DE40F1">
      <w:pPr>
        <w:pStyle w:val="ListParagraph"/>
        <w:numPr>
          <w:ilvl w:val="0"/>
          <w:numId w:val="5"/>
        </w:numPr>
        <w:rPr>
          <w:rFonts w:asciiTheme="minorHAnsi" w:hAnsiTheme="minorHAnsi"/>
        </w:rPr>
      </w:pPr>
      <w:r w:rsidRPr="00BF762F">
        <w:rPr>
          <w:rFonts w:asciiTheme="minorHAnsi" w:hAnsiTheme="minorHAnsi"/>
        </w:rPr>
        <w:t>The Holder will track and report on the number of Department of Developmental Services (DDS) clients seen at the Center by age cohort (1 to 10), (11 to 21), 22+.</w:t>
      </w:r>
    </w:p>
    <w:p w14:paraId="39FD0CB0" w14:textId="77777777" w:rsidR="00A63397" w:rsidRDefault="00A63397">
      <w:pPr>
        <w:rPr>
          <w:rFonts w:asciiTheme="minorHAnsi" w:hAnsiTheme="minorHAnsi"/>
          <w:b/>
          <w:bCs/>
          <w:color w:val="1F497D" w:themeColor="text2"/>
          <w:sz w:val="28"/>
          <w:szCs w:val="28"/>
        </w:rPr>
      </w:pPr>
    </w:p>
    <w:p w14:paraId="14D8AE18" w14:textId="19137B07" w:rsidR="00885685" w:rsidRDefault="00885685">
      <w:pPr>
        <w:rPr>
          <w:rFonts w:asciiTheme="minorHAnsi" w:hAnsiTheme="minorHAnsi"/>
          <w:b/>
          <w:bCs/>
          <w:color w:val="1F497D" w:themeColor="text2"/>
          <w:sz w:val="28"/>
          <w:szCs w:val="28"/>
        </w:rPr>
      </w:pPr>
      <w:r>
        <w:rPr>
          <w:rFonts w:asciiTheme="minorHAnsi" w:hAnsiTheme="minorHAnsi"/>
          <w:b/>
          <w:bCs/>
          <w:color w:val="1F497D" w:themeColor="text2"/>
          <w:sz w:val="28"/>
          <w:szCs w:val="28"/>
        </w:rPr>
        <w:br w:type="page"/>
      </w:r>
    </w:p>
    <w:p w14:paraId="0306810F" w14:textId="1BC6BF10" w:rsidR="00B447F3" w:rsidRDefault="005F431C" w:rsidP="00923435">
      <w:pPr>
        <w:pStyle w:val="Heading2"/>
      </w:pPr>
      <w:bookmarkStart w:id="33" w:name="_Toc241131205"/>
      <w:r w:rsidRPr="00F80934">
        <w:lastRenderedPageBreak/>
        <w:t>References</w:t>
      </w:r>
      <w:bookmarkEnd w:id="33"/>
    </w:p>
    <w:sectPr w:rsidR="00B447F3">
      <w:headerReference w:type="even" r:id="rId12"/>
      <w:headerReference w:type="default" r:id="rId13"/>
      <w:footerReference w:type="default" r:id="rId14"/>
      <w:headerReference w:type="first" r:id="rId15"/>
      <w:endnotePr>
        <w:numFmt w:val="lowerLetter"/>
      </w:endnotePr>
      <w:pgSz w:w="12240" w:h="15840"/>
      <w:pgMar w:top="1140" w:right="1200" w:bottom="1240" w:left="1220" w:header="0" w:footer="10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E4842" w14:textId="77777777" w:rsidR="00105C2F" w:rsidRDefault="00105C2F">
      <w:r>
        <w:separator/>
      </w:r>
    </w:p>
  </w:endnote>
  <w:endnote w:type="continuationSeparator" w:id="0">
    <w:p w14:paraId="6F4907CF" w14:textId="77777777" w:rsidR="00105C2F" w:rsidRDefault="00105C2F">
      <w:r>
        <w:continuationSeparator/>
      </w:r>
    </w:p>
  </w:endnote>
  <w:endnote w:type="continuationNotice" w:id="1">
    <w:p w14:paraId="03A7B035" w14:textId="77777777" w:rsidR="00105C2F" w:rsidRDefault="00105C2F"/>
  </w:endnote>
  <w:endnote w:id="2">
    <w:p w14:paraId="2A7C64C0" w14:textId="77777777" w:rsidR="002F341E" w:rsidRDefault="002F341E" w:rsidP="002F341E">
      <w:pPr>
        <w:pStyle w:val="EndnoteText"/>
      </w:pPr>
      <w:r>
        <w:rPr>
          <w:rStyle w:val="EndnoteReference"/>
        </w:rPr>
        <w:endnoteRef/>
      </w:r>
      <w:r>
        <w:t xml:space="preserve"> </w:t>
      </w:r>
      <w:hyperlink r:id="rId1" w:history="1">
        <w:r w:rsidRPr="004D7A0E">
          <w:rPr>
            <w:rStyle w:val="Hyperlink"/>
          </w:rPr>
          <w:t>Newitt, P. PE firm acquires majority stake in Blue Cloud. Becker’s ASC Review. August 18, 2025.</w:t>
        </w:r>
      </w:hyperlink>
      <w:r>
        <w:t xml:space="preserve"> </w:t>
      </w:r>
    </w:p>
  </w:endnote>
  <w:endnote w:id="3">
    <w:p w14:paraId="32659F8D" w14:textId="5AAC847E" w:rsidR="00EB3401" w:rsidRDefault="00EB3401" w:rsidP="00EB3401">
      <w:pPr>
        <w:pStyle w:val="EndnoteText"/>
      </w:pPr>
      <w:r>
        <w:rPr>
          <w:rStyle w:val="EndnoteReference"/>
        </w:rPr>
        <w:endnoteRef/>
      </w:r>
      <w:r>
        <w:t xml:space="preserve"> </w:t>
      </w:r>
      <w:hyperlink r:id="rId2" w:history="1">
        <w:r w:rsidRPr="00F018D6">
          <w:rPr>
            <w:rStyle w:val="Hyperlink"/>
          </w:rPr>
          <w:t>MassHealth 1115 Demonstration Progress and Updates. April 2026.</w:t>
        </w:r>
      </w:hyperlink>
      <w:r>
        <w:t xml:space="preserve"> </w:t>
      </w:r>
    </w:p>
  </w:endnote>
  <w:endnote w:id="4">
    <w:p w14:paraId="1141E6A5" w14:textId="12E2ADC5" w:rsidR="00B14AFF" w:rsidRDefault="00B14AFF">
      <w:pPr>
        <w:pStyle w:val="EndnoteText"/>
      </w:pPr>
      <w:r>
        <w:rPr>
          <w:rStyle w:val="EndnoteReference"/>
        </w:rPr>
        <w:endnoteRef/>
      </w:r>
      <w:r>
        <w:t xml:space="preserve"> </w:t>
      </w:r>
      <w:hyperlink r:id="rId3" w:history="1">
        <w:r w:rsidRPr="00B14AFF">
          <w:rPr>
            <w:rStyle w:val="Hyperlink"/>
          </w:rPr>
          <w:t>United State Census Bureau. American Community Survey.</w:t>
        </w:r>
      </w:hyperlink>
      <w:r>
        <w:t xml:space="preserve"> </w:t>
      </w:r>
    </w:p>
  </w:endnote>
  <w:endnote w:id="5">
    <w:p w14:paraId="0E5E623F" w14:textId="77777777" w:rsidR="009F2D39" w:rsidRDefault="009F2D39" w:rsidP="009F2D39">
      <w:pPr>
        <w:pStyle w:val="EndnoteText"/>
      </w:pPr>
      <w:r>
        <w:rPr>
          <w:rStyle w:val="EndnoteReference"/>
        </w:rPr>
        <w:endnoteRef/>
      </w:r>
      <w:r>
        <w:t xml:space="preserve"> </w:t>
      </w:r>
      <w:hyperlink r:id="rId4" w:history="1">
        <w:r w:rsidRPr="00B13563">
          <w:rPr>
            <w:rStyle w:val="Hyperlink"/>
          </w:rPr>
          <w:t xml:space="preserve">Peterson, K. Pediatric Dental Sedation: In-Office Sedation vs. Going to the Operating Room (OR). American Association of Dental Office Management. April 26, 2026. </w:t>
        </w:r>
      </w:hyperlink>
      <w:r>
        <w:t xml:space="preserve"> </w:t>
      </w:r>
    </w:p>
  </w:endnote>
  <w:endnote w:id="6">
    <w:p w14:paraId="0993BA71" w14:textId="1EAD881C" w:rsidR="00411BD6" w:rsidRDefault="00411BD6">
      <w:pPr>
        <w:pStyle w:val="EndnoteText"/>
      </w:pPr>
      <w:r>
        <w:rPr>
          <w:rStyle w:val="EndnoteReference"/>
        </w:rPr>
        <w:endnoteRef/>
      </w:r>
      <w:r>
        <w:t xml:space="preserve"> </w:t>
      </w:r>
      <w:hyperlink r:id="rId5" w:history="1">
        <w:r w:rsidRPr="00C86E13">
          <w:rPr>
            <w:rStyle w:val="Hyperlink"/>
          </w:rPr>
          <w:t>Healthy People 2030. Oral Conditions.</w:t>
        </w:r>
      </w:hyperlink>
      <w:r>
        <w:t xml:space="preserve"> </w:t>
      </w:r>
    </w:p>
  </w:endnote>
  <w:endnote w:id="7">
    <w:p w14:paraId="189D6D42" w14:textId="677EB979" w:rsidR="00024C0C" w:rsidRDefault="00024C0C" w:rsidP="00024C0C">
      <w:pPr>
        <w:pStyle w:val="EndnoteText"/>
      </w:pPr>
      <w:r>
        <w:rPr>
          <w:rStyle w:val="EndnoteReference"/>
        </w:rPr>
        <w:endnoteRef/>
      </w:r>
      <w:r>
        <w:t xml:space="preserve"> </w:t>
      </w:r>
      <w:hyperlink r:id="rId6" w:history="1">
        <w:r w:rsidRPr="00C86E13">
          <w:rPr>
            <w:rStyle w:val="Hyperlink"/>
          </w:rPr>
          <w:t>Massachusetts State Oral Health Series (MOHS). Children and Adolescent Oral Health. October 2021. Massachusetts Department of Public Health.</w:t>
        </w:r>
      </w:hyperlink>
      <w:r>
        <w:t xml:space="preserve"> </w:t>
      </w:r>
    </w:p>
  </w:endnote>
  <w:endnote w:id="8">
    <w:p w14:paraId="6FB7CA80" w14:textId="30DB3E8C" w:rsidR="009321E7" w:rsidRDefault="009321E7">
      <w:pPr>
        <w:pStyle w:val="EndnoteText"/>
      </w:pPr>
      <w:r>
        <w:rPr>
          <w:rStyle w:val="EndnoteReference"/>
        </w:rPr>
        <w:endnoteRef/>
      </w:r>
      <w:r>
        <w:t xml:space="preserve"> </w:t>
      </w:r>
      <w:hyperlink r:id="rId7" w:history="1">
        <w:r w:rsidRPr="00C86E13">
          <w:rPr>
            <w:rStyle w:val="Hyperlink"/>
          </w:rPr>
          <w:t xml:space="preserve">KFF. </w:t>
        </w:r>
        <w:r w:rsidR="00C8315F" w:rsidRPr="00C86E13">
          <w:rPr>
            <w:rStyle w:val="Hyperlink"/>
          </w:rPr>
          <w:t>Hinton E, Paradise J.</w:t>
        </w:r>
        <w:r w:rsidR="00F424E0" w:rsidRPr="00C86E13">
          <w:rPr>
            <w:rStyle w:val="Hyperlink"/>
          </w:rPr>
          <w:t xml:space="preserve"> </w:t>
        </w:r>
        <w:r w:rsidRPr="00C86E13">
          <w:rPr>
            <w:rStyle w:val="Hyperlink"/>
          </w:rPr>
          <w:t>Access to Dental Care in Medicaid: Spotlight on Nonelderly Adults. March 16, 2016.</w:t>
        </w:r>
      </w:hyperlink>
    </w:p>
  </w:endnote>
  <w:endnote w:id="9">
    <w:p w14:paraId="7CA85ABF" w14:textId="2EEF5767" w:rsidR="005B47E5" w:rsidRDefault="005B47E5" w:rsidP="005B47E5">
      <w:pPr>
        <w:pStyle w:val="EndnoteText"/>
      </w:pPr>
      <w:r>
        <w:rPr>
          <w:rStyle w:val="EndnoteReference"/>
        </w:rPr>
        <w:endnoteRef/>
      </w:r>
      <w:r>
        <w:t xml:space="preserve"> </w:t>
      </w:r>
      <w:hyperlink r:id="rId8" w:history="1">
        <w:r w:rsidRPr="00C86E13">
          <w:rPr>
            <w:rStyle w:val="Hyperlink"/>
          </w:rPr>
          <w:t>Massachusetts State Oral Health Series (MOHS). Children and Adolescent Oral Health. October 2021. Massachusetts Department of Public Health.</w:t>
        </w:r>
      </w:hyperlink>
      <w:r w:rsidRPr="00146502">
        <w:t xml:space="preserve"> </w:t>
      </w:r>
    </w:p>
  </w:endnote>
  <w:endnote w:id="10">
    <w:p w14:paraId="73E7E8C8" w14:textId="79234374" w:rsidR="005B47E5" w:rsidRDefault="005B47E5" w:rsidP="005B47E5">
      <w:pPr>
        <w:pStyle w:val="EndnoteText"/>
      </w:pPr>
      <w:r>
        <w:rPr>
          <w:rStyle w:val="EndnoteReference"/>
        </w:rPr>
        <w:endnoteRef/>
      </w:r>
      <w:r>
        <w:t xml:space="preserve"> </w:t>
      </w:r>
      <w:hyperlink r:id="rId9" w:history="1">
        <w:r w:rsidRPr="00F82D15">
          <w:rPr>
            <w:rStyle w:val="Hyperlink"/>
          </w:rPr>
          <w:t xml:space="preserve">Massachusetts Health Policy Commission. </w:t>
        </w:r>
        <w:proofErr w:type="spellStart"/>
        <w:r w:rsidRPr="00F82D15">
          <w:rPr>
            <w:rStyle w:val="Hyperlink"/>
          </w:rPr>
          <w:t>DataPoints</w:t>
        </w:r>
        <w:proofErr w:type="spellEnd"/>
        <w:r w:rsidRPr="00F82D15">
          <w:rPr>
            <w:rStyle w:val="Hyperlink"/>
          </w:rPr>
          <w:t xml:space="preserve"> Issue 20: Oral Health Access and Equity in the Commonwealth. Jul. 14, 2021.</w:t>
        </w:r>
      </w:hyperlink>
      <w:r w:rsidRPr="00E345F9">
        <w:t xml:space="preserve"> </w:t>
      </w:r>
    </w:p>
  </w:endnote>
  <w:endnote w:id="11">
    <w:p w14:paraId="25AFDB05" w14:textId="34AC150E" w:rsidR="005B47E5" w:rsidRDefault="005B47E5" w:rsidP="005B47E5">
      <w:pPr>
        <w:pStyle w:val="EndnoteText"/>
      </w:pPr>
      <w:r>
        <w:rPr>
          <w:rStyle w:val="EndnoteReference"/>
        </w:rPr>
        <w:endnoteRef/>
      </w:r>
      <w:r>
        <w:t xml:space="preserve"> </w:t>
      </w:r>
      <w:hyperlink r:id="rId10" w:history="1">
        <w:r w:rsidRPr="00F82D15">
          <w:rPr>
            <w:rStyle w:val="Hyperlink"/>
          </w:rPr>
          <w:t xml:space="preserve">Massachusetts Health Policy Commission. </w:t>
        </w:r>
        <w:proofErr w:type="spellStart"/>
        <w:r w:rsidRPr="00F82D15">
          <w:rPr>
            <w:rStyle w:val="Hyperlink"/>
          </w:rPr>
          <w:t>DataPoints</w:t>
        </w:r>
        <w:proofErr w:type="spellEnd"/>
        <w:r w:rsidRPr="00F82D15">
          <w:rPr>
            <w:rStyle w:val="Hyperlink"/>
          </w:rPr>
          <w:t xml:space="preserve"> Issue 20: Oral Health Access and Equity in the Commonwealth. Jul. 14, 2021.</w:t>
        </w:r>
      </w:hyperlink>
      <w:r w:rsidRPr="00E345F9">
        <w:t xml:space="preserve"> </w:t>
      </w:r>
    </w:p>
  </w:endnote>
  <w:endnote w:id="12">
    <w:p w14:paraId="5AF58411" w14:textId="71FF351B" w:rsidR="00297F3F" w:rsidRDefault="00297F3F" w:rsidP="00297F3F">
      <w:pPr>
        <w:pStyle w:val="EndnoteText"/>
      </w:pPr>
      <w:r>
        <w:rPr>
          <w:rStyle w:val="EndnoteReference"/>
        </w:rPr>
        <w:endnoteRef/>
      </w:r>
      <w:r>
        <w:t xml:space="preserve"> </w:t>
      </w:r>
      <w:hyperlink r:id="rId11" w:history="1">
        <w:r w:rsidRPr="00F82D15">
          <w:rPr>
            <w:rStyle w:val="Hyperlink"/>
          </w:rPr>
          <w:t xml:space="preserve">Massachusetts Health Policy Commission. </w:t>
        </w:r>
        <w:proofErr w:type="spellStart"/>
        <w:r w:rsidRPr="00F82D15">
          <w:rPr>
            <w:rStyle w:val="Hyperlink"/>
          </w:rPr>
          <w:t>DataPoints</w:t>
        </w:r>
        <w:proofErr w:type="spellEnd"/>
        <w:r w:rsidRPr="00F82D15">
          <w:rPr>
            <w:rStyle w:val="Hyperlink"/>
          </w:rPr>
          <w:t xml:space="preserve"> Issue 20: Oral Health Access and Equity in the Commonwealth. Jul. 14, 2021.</w:t>
        </w:r>
      </w:hyperlink>
      <w:r w:rsidRPr="00E345F9">
        <w:t xml:space="preserve"> </w:t>
      </w:r>
    </w:p>
  </w:endnote>
  <w:endnote w:id="13">
    <w:p w14:paraId="6311C44F" w14:textId="32D869A2" w:rsidR="00CC07E9" w:rsidRDefault="00CC07E9" w:rsidP="00CC07E9">
      <w:pPr>
        <w:pStyle w:val="EndnoteText"/>
      </w:pPr>
      <w:r>
        <w:rPr>
          <w:rStyle w:val="EndnoteReference"/>
        </w:rPr>
        <w:endnoteRef/>
      </w:r>
      <w:r>
        <w:t xml:space="preserve"> </w:t>
      </w:r>
      <w:hyperlink r:id="rId12" w:history="1">
        <w:r w:rsidRPr="00F82D15">
          <w:rPr>
            <w:rStyle w:val="Hyperlink"/>
          </w:rPr>
          <w:t xml:space="preserve">Massachusetts Health Policy Commission. </w:t>
        </w:r>
        <w:proofErr w:type="spellStart"/>
        <w:r w:rsidRPr="00F82D15">
          <w:rPr>
            <w:rStyle w:val="Hyperlink"/>
          </w:rPr>
          <w:t>DataPoints</w:t>
        </w:r>
        <w:proofErr w:type="spellEnd"/>
        <w:r w:rsidRPr="00F82D15">
          <w:rPr>
            <w:rStyle w:val="Hyperlink"/>
          </w:rPr>
          <w:t xml:space="preserve"> Issue 20: Oral Health Access and Equity in the Commonwealth. Jul. 14, 2021.</w:t>
        </w:r>
      </w:hyperlink>
      <w:r w:rsidRPr="00E345F9">
        <w:t xml:space="preserve"> </w:t>
      </w:r>
    </w:p>
  </w:endnote>
  <w:endnote w:id="14">
    <w:p w14:paraId="3B42898A" w14:textId="7ED45583" w:rsidR="006D3E3A" w:rsidRDefault="006D3E3A" w:rsidP="006D3E3A">
      <w:pPr>
        <w:pStyle w:val="EndnoteText"/>
      </w:pPr>
      <w:r>
        <w:rPr>
          <w:rStyle w:val="EndnoteReference"/>
        </w:rPr>
        <w:endnoteRef/>
      </w:r>
      <w:r>
        <w:t xml:space="preserve"> </w:t>
      </w:r>
      <w:hyperlink r:id="rId13" w:history="1">
        <w:r w:rsidRPr="00F82D15">
          <w:rPr>
            <w:rStyle w:val="Hyperlink"/>
          </w:rPr>
          <w:t xml:space="preserve">Massachusetts Health Policy Commission. </w:t>
        </w:r>
        <w:proofErr w:type="spellStart"/>
        <w:r w:rsidRPr="00F82D15">
          <w:rPr>
            <w:rStyle w:val="Hyperlink"/>
          </w:rPr>
          <w:t>DataPoints</w:t>
        </w:r>
        <w:proofErr w:type="spellEnd"/>
        <w:r w:rsidRPr="00F82D15">
          <w:rPr>
            <w:rStyle w:val="Hyperlink"/>
          </w:rPr>
          <w:t xml:space="preserve"> Issue 20: Oral Health Access and Equity in the Commonwealth. Jul. 14, 2021.</w:t>
        </w:r>
      </w:hyperlink>
      <w:r w:rsidRPr="006D3E3A">
        <w:t xml:space="preserve"> </w:t>
      </w:r>
    </w:p>
  </w:endnote>
  <w:endnote w:id="15">
    <w:p w14:paraId="17CD6A8F" w14:textId="4ECA559C" w:rsidR="00207927" w:rsidRPr="00C86E13" w:rsidRDefault="00207927" w:rsidP="00207927">
      <w:pPr>
        <w:pStyle w:val="EndnoteText"/>
      </w:pPr>
      <w:r>
        <w:rPr>
          <w:rStyle w:val="EndnoteReference"/>
        </w:rPr>
        <w:endnoteRef/>
      </w:r>
      <w:r>
        <w:t xml:space="preserve"> </w:t>
      </w:r>
      <w:hyperlink r:id="rId14" w:history="1">
        <w:r w:rsidRPr="00C86E13">
          <w:rPr>
            <w:rStyle w:val="Hyperlink"/>
          </w:rPr>
          <w:t xml:space="preserve">Executive Office of Health and Human Services. </w:t>
        </w:r>
        <w:r w:rsidRPr="00C86E13">
          <w:rPr>
            <w:rStyle w:val="Hyperlink"/>
            <w:bCs/>
          </w:rPr>
          <w:t>Request for Responses (RFR) for a Dental Third-Party Administrator.</w:t>
        </w:r>
        <w:r w:rsidRPr="00C86E13">
          <w:rPr>
            <w:rStyle w:val="Hyperlink"/>
            <w:b/>
          </w:rPr>
          <w:t xml:space="preserve"> </w:t>
        </w:r>
        <w:r w:rsidR="005F431C" w:rsidRPr="00C86E13">
          <w:rPr>
            <w:rStyle w:val="Hyperlink"/>
          </w:rPr>
          <w:t>Issue Date: May</w:t>
        </w:r>
        <w:r w:rsidRPr="00C86E13">
          <w:rPr>
            <w:rStyle w:val="Hyperlink"/>
          </w:rPr>
          <w:t xml:space="preserve"> 17, 2023</w:t>
        </w:r>
      </w:hyperlink>
    </w:p>
  </w:endnote>
  <w:endnote w:id="16">
    <w:p w14:paraId="615DC9EF" w14:textId="1AE288F3" w:rsidR="00AC57DD" w:rsidRDefault="00BB039D">
      <w:pPr>
        <w:pStyle w:val="EndnoteText"/>
      </w:pPr>
      <w:r>
        <w:rPr>
          <w:rStyle w:val="EndnoteReference"/>
        </w:rPr>
        <w:endnoteRef/>
      </w:r>
      <w:r>
        <w:t xml:space="preserve"> </w:t>
      </w:r>
      <w:hyperlink r:id="rId15" w:history="1">
        <w:r w:rsidR="00AC57DD" w:rsidRPr="00C86E13">
          <w:rPr>
            <w:rStyle w:val="Hyperlink"/>
          </w:rPr>
          <w:t xml:space="preserve">Health People 2030. Increase use of the oral </w:t>
        </w:r>
        <w:r w:rsidR="009B2876">
          <w:rPr>
            <w:rStyle w:val="Hyperlink"/>
          </w:rPr>
          <w:t>healthcare</w:t>
        </w:r>
        <w:r w:rsidR="00AC57DD" w:rsidRPr="00C86E13">
          <w:rPr>
            <w:rStyle w:val="Hyperlink"/>
          </w:rPr>
          <w:t xml:space="preserve"> system — OH</w:t>
        </w:r>
        <w:r w:rsidR="00AC57DD" w:rsidRPr="00C86E13">
          <w:rPr>
            <w:rStyle w:val="Hyperlink"/>
            <w:rFonts w:ascii="Cambria Math" w:hAnsi="Cambria Math" w:cs="Cambria Math"/>
          </w:rPr>
          <w:t>‑</w:t>
        </w:r>
        <w:r w:rsidR="00AC57DD" w:rsidRPr="00C86E13">
          <w:rPr>
            <w:rStyle w:val="Hyperlink"/>
          </w:rPr>
          <w:t>08</w:t>
        </w:r>
      </w:hyperlink>
    </w:p>
  </w:endnote>
  <w:endnote w:id="17">
    <w:p w14:paraId="517006C7" w14:textId="34112771" w:rsidR="000A03B6" w:rsidRDefault="002C5536">
      <w:pPr>
        <w:pStyle w:val="EndnoteText"/>
      </w:pPr>
      <w:r>
        <w:rPr>
          <w:rStyle w:val="EndnoteReference"/>
        </w:rPr>
        <w:endnoteRef/>
      </w:r>
      <w:r>
        <w:t xml:space="preserve"> </w:t>
      </w:r>
      <w:hyperlink r:id="rId16" w:history="1">
        <w:r w:rsidR="00944B9E" w:rsidRPr="00C86E13">
          <w:rPr>
            <w:rStyle w:val="Hyperlink"/>
          </w:rPr>
          <w:t>CDC. Health Disparities in Oral Health.</w:t>
        </w:r>
      </w:hyperlink>
      <w:r w:rsidR="00944B9E">
        <w:t xml:space="preserve"> </w:t>
      </w:r>
    </w:p>
  </w:endnote>
  <w:endnote w:id="18">
    <w:p w14:paraId="70B2A674" w14:textId="70D87A35" w:rsidR="00EB1297" w:rsidRDefault="00EB1297">
      <w:pPr>
        <w:pStyle w:val="EndnoteText"/>
      </w:pPr>
      <w:r>
        <w:rPr>
          <w:rStyle w:val="EndnoteReference"/>
        </w:rPr>
        <w:endnoteRef/>
      </w:r>
      <w:r>
        <w:t xml:space="preserve"> </w:t>
      </w:r>
      <w:hyperlink r:id="rId17" w:history="1">
        <w:r w:rsidR="00507C80" w:rsidRPr="000878FD">
          <w:rPr>
            <w:rStyle w:val="Hyperlink"/>
          </w:rPr>
          <w:t xml:space="preserve">Sheetal A, Hiremath VK, Patil AG, </w:t>
        </w:r>
        <w:proofErr w:type="spellStart"/>
        <w:r w:rsidR="00507C80" w:rsidRPr="000878FD">
          <w:rPr>
            <w:rStyle w:val="Hyperlink"/>
          </w:rPr>
          <w:t>Sajjansetty</w:t>
        </w:r>
        <w:proofErr w:type="spellEnd"/>
        <w:r w:rsidR="00507C80" w:rsidRPr="000878FD">
          <w:rPr>
            <w:rStyle w:val="Hyperlink"/>
          </w:rPr>
          <w:t xml:space="preserve"> S, Kumar SR. Malnutrition and its oral outcome - a review. J Clin </w:t>
        </w:r>
        <w:proofErr w:type="spellStart"/>
        <w:r w:rsidR="00507C80" w:rsidRPr="000878FD">
          <w:rPr>
            <w:rStyle w:val="Hyperlink"/>
          </w:rPr>
          <w:t>Diagn</w:t>
        </w:r>
        <w:proofErr w:type="spellEnd"/>
        <w:r w:rsidR="00507C80" w:rsidRPr="000878FD">
          <w:rPr>
            <w:rStyle w:val="Hyperlink"/>
          </w:rPr>
          <w:t xml:space="preserve"> Res. 2013 Jan;7(1):178-80. </w:t>
        </w:r>
        <w:proofErr w:type="spellStart"/>
        <w:r w:rsidR="00507C80" w:rsidRPr="000878FD">
          <w:rPr>
            <w:rStyle w:val="Hyperlink"/>
          </w:rPr>
          <w:t>doi</w:t>
        </w:r>
        <w:proofErr w:type="spellEnd"/>
        <w:r w:rsidR="00507C80" w:rsidRPr="000878FD">
          <w:rPr>
            <w:rStyle w:val="Hyperlink"/>
          </w:rPr>
          <w:t xml:space="preserve">: 10.7860/JCDR/2012/5104.2702. </w:t>
        </w:r>
        <w:proofErr w:type="spellStart"/>
        <w:r w:rsidR="00507C80" w:rsidRPr="000878FD">
          <w:rPr>
            <w:rStyle w:val="Hyperlink"/>
          </w:rPr>
          <w:t>Epub</w:t>
        </w:r>
        <w:proofErr w:type="spellEnd"/>
        <w:r w:rsidR="00507C80" w:rsidRPr="000878FD">
          <w:rPr>
            <w:rStyle w:val="Hyperlink"/>
          </w:rPr>
          <w:t xml:space="preserve"> 2013 Jan 1. PMID: 23449967; PMCID: PMC3576783.</w:t>
        </w:r>
      </w:hyperlink>
    </w:p>
  </w:endnote>
  <w:endnote w:id="19">
    <w:p w14:paraId="1F8E88D5" w14:textId="33B65216" w:rsidR="001353A9" w:rsidRDefault="001353A9" w:rsidP="00AC5A50">
      <w:pPr>
        <w:pStyle w:val="EndnoteText"/>
      </w:pPr>
      <w:r>
        <w:rPr>
          <w:rStyle w:val="EndnoteReference"/>
        </w:rPr>
        <w:endnoteRef/>
      </w:r>
      <w:r>
        <w:t xml:space="preserve"> </w:t>
      </w:r>
      <w:hyperlink r:id="rId18" w:history="1">
        <w:r w:rsidR="00AC5A50" w:rsidRPr="00C86E13">
          <w:rPr>
            <w:rStyle w:val="Hyperlink"/>
          </w:rPr>
          <w:t xml:space="preserve">American Academy of Pediatrics. Oral Health Inequities in Children: The Case for Public Health Measures. </w:t>
        </w:r>
        <w:r w:rsidR="00DA606B" w:rsidRPr="00C86E13">
          <w:rPr>
            <w:rStyle w:val="Hyperlink"/>
          </w:rPr>
          <w:t>G, Rani. June 9, 2023.</w:t>
        </w:r>
      </w:hyperlink>
      <w:r w:rsidR="00DA606B">
        <w:t xml:space="preserve"> </w:t>
      </w:r>
    </w:p>
  </w:endnote>
  <w:endnote w:id="20">
    <w:p w14:paraId="340D7905" w14:textId="32B9F476" w:rsidR="00B4345B" w:rsidRDefault="00B4345B">
      <w:pPr>
        <w:pStyle w:val="EndnoteText"/>
      </w:pPr>
      <w:r>
        <w:rPr>
          <w:rStyle w:val="EndnoteReference"/>
        </w:rPr>
        <w:endnoteRef/>
      </w:r>
      <w:r>
        <w:t xml:space="preserve"> </w:t>
      </w:r>
      <w:hyperlink r:id="rId19" w:history="1">
        <w:r w:rsidR="00976D91" w:rsidRPr="00DC1E0E">
          <w:rPr>
            <w:rStyle w:val="Hyperlink"/>
          </w:rPr>
          <w:t xml:space="preserve">Ruff RR, Habib R, Godín TB, Niederman R. School-based caries prevention and the impact on acute and chronic student absenteeism. J Am Dent Assoc. 2023 Aug;154(8):753-759. </w:t>
        </w:r>
        <w:proofErr w:type="spellStart"/>
        <w:r w:rsidR="00976D91" w:rsidRPr="00DC1E0E">
          <w:rPr>
            <w:rStyle w:val="Hyperlink"/>
          </w:rPr>
          <w:t>doi</w:t>
        </w:r>
        <w:proofErr w:type="spellEnd"/>
        <w:r w:rsidR="00976D91" w:rsidRPr="00DC1E0E">
          <w:rPr>
            <w:rStyle w:val="Hyperlink"/>
          </w:rPr>
          <w:t>: 10.1016/j.adaj.2023.05.007. PMID: 37500236.</w:t>
        </w:r>
      </w:hyperlink>
    </w:p>
  </w:endnote>
  <w:endnote w:id="21">
    <w:p w14:paraId="3DBB49EB" w14:textId="29F7F7E2" w:rsidR="00432DCF" w:rsidRDefault="00432DCF" w:rsidP="00432DCF">
      <w:pPr>
        <w:pStyle w:val="EndnoteText"/>
      </w:pPr>
      <w:r>
        <w:rPr>
          <w:rStyle w:val="EndnoteReference"/>
        </w:rPr>
        <w:endnoteRef/>
      </w:r>
      <w:r>
        <w:t xml:space="preserve"> </w:t>
      </w:r>
      <w:hyperlink r:id="rId20" w:history="1">
        <w:r w:rsidRPr="00C4783F">
          <w:rPr>
            <w:rStyle w:val="Hyperlink"/>
          </w:rPr>
          <w:t xml:space="preserve">Alamri H. Countering the Identified Barriers to Delivered Oral Care for Children With Special Healthcare Needs: A Narrative Review. Cureus. 2024 Aug 23;16(8):e67561. </w:t>
        </w:r>
        <w:proofErr w:type="spellStart"/>
        <w:r w:rsidRPr="00C4783F">
          <w:rPr>
            <w:rStyle w:val="Hyperlink"/>
          </w:rPr>
          <w:t>doi</w:t>
        </w:r>
        <w:proofErr w:type="spellEnd"/>
        <w:r w:rsidRPr="00C4783F">
          <w:rPr>
            <w:rStyle w:val="Hyperlink"/>
          </w:rPr>
          <w:t>: 10.7759/cureus.67561. PMID: 39310384; PMCID: PMC11416710.</w:t>
        </w:r>
      </w:hyperlink>
    </w:p>
  </w:endnote>
  <w:endnote w:id="22">
    <w:p w14:paraId="550F89EC" w14:textId="1DABDA8C" w:rsidR="00432DCF" w:rsidRDefault="00432DCF" w:rsidP="00432DCF">
      <w:pPr>
        <w:pStyle w:val="EndnoteText"/>
      </w:pPr>
      <w:r>
        <w:rPr>
          <w:rStyle w:val="EndnoteReference"/>
        </w:rPr>
        <w:endnoteRef/>
      </w:r>
      <w:r>
        <w:t xml:space="preserve"> </w:t>
      </w:r>
      <w:hyperlink r:id="rId21" w:history="1">
        <w:r w:rsidRPr="00C4783F">
          <w:rPr>
            <w:rStyle w:val="Hyperlink"/>
          </w:rPr>
          <w:t xml:space="preserve">Alamri H. Countering the Identified Barriers to Delivered Oral Care for Children With Special Healthcare Needs: A Narrative Review. Cureus. 2024 Aug 23;16(8):e67561. </w:t>
        </w:r>
        <w:proofErr w:type="spellStart"/>
        <w:r w:rsidRPr="00C4783F">
          <w:rPr>
            <w:rStyle w:val="Hyperlink"/>
          </w:rPr>
          <w:t>doi</w:t>
        </w:r>
        <w:proofErr w:type="spellEnd"/>
        <w:r w:rsidRPr="00C4783F">
          <w:rPr>
            <w:rStyle w:val="Hyperlink"/>
          </w:rPr>
          <w:t>: 10.7759/cureus.67561. PMID: 39310384; PMCID: PMC11416710.</w:t>
        </w:r>
      </w:hyperlink>
    </w:p>
  </w:endnote>
  <w:endnote w:id="23">
    <w:p w14:paraId="502AFC7F" w14:textId="3C8D159C" w:rsidR="00432DCF" w:rsidRDefault="00432DCF" w:rsidP="00432DCF">
      <w:pPr>
        <w:pStyle w:val="EndnoteText"/>
      </w:pPr>
      <w:r>
        <w:rPr>
          <w:rStyle w:val="EndnoteReference"/>
        </w:rPr>
        <w:endnoteRef/>
      </w:r>
      <w:r>
        <w:t xml:space="preserve"> </w:t>
      </w:r>
      <w:hyperlink r:id="rId22" w:history="1">
        <w:r w:rsidRPr="00C4783F">
          <w:rPr>
            <w:rStyle w:val="Hyperlink"/>
          </w:rPr>
          <w:t xml:space="preserve">Alamri H. Countering the Identified Barriers to Delivered Oral Care for Children With Special Healthcare Needs: A Narrative Review. Cureus. 2024 Aug 23;16(8):e67561. </w:t>
        </w:r>
        <w:proofErr w:type="spellStart"/>
        <w:r w:rsidRPr="00C4783F">
          <w:rPr>
            <w:rStyle w:val="Hyperlink"/>
          </w:rPr>
          <w:t>doi</w:t>
        </w:r>
        <w:proofErr w:type="spellEnd"/>
        <w:r w:rsidRPr="00C4783F">
          <w:rPr>
            <w:rStyle w:val="Hyperlink"/>
          </w:rPr>
          <w:t>: 10.7759/cureus.67561. PMID: 39310384; PMCID: PMC11416710.</w:t>
        </w:r>
      </w:hyperlink>
    </w:p>
  </w:endnote>
  <w:endnote w:id="24">
    <w:p w14:paraId="1C258535" w14:textId="2FAF5BF4" w:rsidR="00432DCF" w:rsidRDefault="00432DCF" w:rsidP="00432DCF">
      <w:pPr>
        <w:pStyle w:val="EndnoteText"/>
      </w:pPr>
      <w:r>
        <w:rPr>
          <w:rStyle w:val="EndnoteReference"/>
        </w:rPr>
        <w:endnoteRef/>
      </w:r>
      <w:r>
        <w:t xml:space="preserve"> </w:t>
      </w:r>
      <w:hyperlink r:id="rId23" w:history="1">
        <w:r w:rsidRPr="00C4783F">
          <w:rPr>
            <w:rStyle w:val="Hyperlink"/>
          </w:rPr>
          <w:t xml:space="preserve">Alamri H. Countering the Identified Barriers to Delivered Oral Care for Children With Special Healthcare Needs: A Narrative Review. Cureus. 2024 Aug 23;16(8):e67561. </w:t>
        </w:r>
        <w:proofErr w:type="spellStart"/>
        <w:r w:rsidRPr="00C4783F">
          <w:rPr>
            <w:rStyle w:val="Hyperlink"/>
          </w:rPr>
          <w:t>doi</w:t>
        </w:r>
        <w:proofErr w:type="spellEnd"/>
        <w:r w:rsidRPr="00C4783F">
          <w:rPr>
            <w:rStyle w:val="Hyperlink"/>
          </w:rPr>
          <w:t>: 10.7759/cureus.67561. PMID: 39310384; PMCID: PMC11416710.</w:t>
        </w:r>
      </w:hyperlink>
    </w:p>
  </w:endnote>
  <w:endnote w:id="25">
    <w:p w14:paraId="6673F966" w14:textId="4A738049" w:rsidR="00432DCF" w:rsidRDefault="00432DCF" w:rsidP="00432DCF">
      <w:pPr>
        <w:pStyle w:val="EndnoteText"/>
      </w:pPr>
      <w:r>
        <w:rPr>
          <w:rStyle w:val="EndnoteReference"/>
        </w:rPr>
        <w:endnoteRef/>
      </w:r>
      <w:r>
        <w:t xml:space="preserve"> </w:t>
      </w:r>
      <w:hyperlink r:id="rId24" w:history="1">
        <w:r w:rsidRPr="00C4783F">
          <w:rPr>
            <w:rStyle w:val="Hyperlink"/>
          </w:rPr>
          <w:t xml:space="preserve">Alamri H. Countering the Identified Barriers to Delivered Oral Care for Children With Special Healthcare Needs: A Narrative Review. Cureus. 2024 Aug 23;16(8):e67561. </w:t>
        </w:r>
        <w:proofErr w:type="spellStart"/>
        <w:r w:rsidRPr="00C4783F">
          <w:rPr>
            <w:rStyle w:val="Hyperlink"/>
          </w:rPr>
          <w:t>doi</w:t>
        </w:r>
        <w:proofErr w:type="spellEnd"/>
        <w:r w:rsidRPr="00C4783F">
          <w:rPr>
            <w:rStyle w:val="Hyperlink"/>
          </w:rPr>
          <w:t>: 10.7759/cureus.67561. PMID: 39310384; PMCID: PMC11416710.</w:t>
        </w:r>
      </w:hyperlink>
    </w:p>
  </w:endnote>
  <w:endnote w:id="26">
    <w:p w14:paraId="7B0FB5B3" w14:textId="7FBFCB0D" w:rsidR="000B6FCB" w:rsidRDefault="000B6FCB">
      <w:pPr>
        <w:pStyle w:val="EndnoteText"/>
      </w:pPr>
      <w:r>
        <w:rPr>
          <w:rStyle w:val="EndnoteReference"/>
        </w:rPr>
        <w:endnoteRef/>
      </w:r>
      <w:r>
        <w:t xml:space="preserve"> </w:t>
      </w:r>
      <w:hyperlink r:id="rId25" w:history="1">
        <w:r w:rsidRPr="002320F1">
          <w:rPr>
            <w:rStyle w:val="Hyperlink"/>
          </w:rPr>
          <w:t>Sarvas E, Webb J, Landrigan-</w:t>
        </w:r>
        <w:proofErr w:type="spellStart"/>
        <w:r w:rsidRPr="002320F1">
          <w:rPr>
            <w:rStyle w:val="Hyperlink"/>
          </w:rPr>
          <w:t>Ossar</w:t>
        </w:r>
        <w:proofErr w:type="spellEnd"/>
        <w:r w:rsidRPr="002320F1">
          <w:rPr>
            <w:rStyle w:val="Hyperlink"/>
          </w:rPr>
          <w:t xml:space="preserve"> M, Yin L; </w:t>
        </w:r>
        <w:r w:rsidR="005F431C" w:rsidRPr="002320F1">
          <w:rPr>
            <w:rStyle w:val="Hyperlink"/>
          </w:rPr>
          <w:t>Section On Oral Health; Council On Children With Disabilities; Section On Anesthesiology And Pain Medicine</w:t>
        </w:r>
        <w:r w:rsidRPr="002320F1">
          <w:rPr>
            <w:rStyle w:val="Hyperlink"/>
          </w:rPr>
          <w:t xml:space="preserve">. Oral </w:t>
        </w:r>
        <w:r w:rsidR="009B2876" w:rsidRPr="002320F1">
          <w:rPr>
            <w:rStyle w:val="Hyperlink"/>
          </w:rPr>
          <w:t>Healthcare</w:t>
        </w:r>
        <w:r w:rsidRPr="002320F1">
          <w:rPr>
            <w:rStyle w:val="Hyperlink"/>
          </w:rPr>
          <w:t xml:space="preserve"> for Children and Youth With Developmental Disabilities: Clinical Report. Pediatrics. 2024 Aug 1;154(2):e2024067603. </w:t>
        </w:r>
        <w:proofErr w:type="spellStart"/>
        <w:r w:rsidRPr="002320F1">
          <w:rPr>
            <w:rStyle w:val="Hyperlink"/>
          </w:rPr>
          <w:t>doi</w:t>
        </w:r>
        <w:proofErr w:type="spellEnd"/>
        <w:r w:rsidRPr="002320F1">
          <w:rPr>
            <w:rStyle w:val="Hyperlink"/>
          </w:rPr>
          <w:t>: 10.1542/peds.2024-067603. PMID: 39034828.</w:t>
        </w:r>
      </w:hyperlink>
    </w:p>
  </w:endnote>
  <w:endnote w:id="27">
    <w:p w14:paraId="244E2BC1" w14:textId="04AECF73" w:rsidR="00265544" w:rsidRDefault="00265544" w:rsidP="00265544">
      <w:pPr>
        <w:pStyle w:val="EndnoteText"/>
      </w:pPr>
      <w:r>
        <w:rPr>
          <w:rStyle w:val="EndnoteReference"/>
        </w:rPr>
        <w:endnoteRef/>
      </w:r>
      <w:r>
        <w:t xml:space="preserve"> </w:t>
      </w:r>
      <w:hyperlink r:id="rId26" w:history="1">
        <w:r w:rsidRPr="002320F1">
          <w:rPr>
            <w:rStyle w:val="Hyperlink"/>
          </w:rPr>
          <w:t>Sarvas E, Webb J, Landrigan-</w:t>
        </w:r>
        <w:proofErr w:type="spellStart"/>
        <w:r w:rsidRPr="002320F1">
          <w:rPr>
            <w:rStyle w:val="Hyperlink"/>
          </w:rPr>
          <w:t>Ossar</w:t>
        </w:r>
        <w:proofErr w:type="spellEnd"/>
        <w:r w:rsidRPr="002320F1">
          <w:rPr>
            <w:rStyle w:val="Hyperlink"/>
          </w:rPr>
          <w:t xml:space="preserve"> M, Yin L; </w:t>
        </w:r>
        <w:r w:rsidR="005F431C" w:rsidRPr="002320F1">
          <w:rPr>
            <w:rStyle w:val="Hyperlink"/>
          </w:rPr>
          <w:t>Section On Oral Health; Council On Children With Disabilities; Section On Anesthesiology And Pain Medicine</w:t>
        </w:r>
        <w:r w:rsidRPr="002320F1">
          <w:rPr>
            <w:rStyle w:val="Hyperlink"/>
          </w:rPr>
          <w:t xml:space="preserve">. Oral </w:t>
        </w:r>
        <w:r w:rsidR="009B2876" w:rsidRPr="002320F1">
          <w:rPr>
            <w:rStyle w:val="Hyperlink"/>
          </w:rPr>
          <w:t>Healthcare</w:t>
        </w:r>
        <w:r w:rsidRPr="002320F1">
          <w:rPr>
            <w:rStyle w:val="Hyperlink"/>
          </w:rPr>
          <w:t xml:space="preserve"> for Children and Youth With Developmental Disabilities: Clinical Report. Pediatrics. 2024 Aug 1;154(2):e2024067603. </w:t>
        </w:r>
        <w:proofErr w:type="spellStart"/>
        <w:r w:rsidRPr="002320F1">
          <w:rPr>
            <w:rStyle w:val="Hyperlink"/>
          </w:rPr>
          <w:t>doi</w:t>
        </w:r>
        <w:proofErr w:type="spellEnd"/>
        <w:r w:rsidRPr="002320F1">
          <w:rPr>
            <w:rStyle w:val="Hyperlink"/>
          </w:rPr>
          <w:t>: 10.1542/peds.2024-067603. PMID: 39034828.</w:t>
        </w:r>
      </w:hyperlink>
    </w:p>
  </w:endnote>
  <w:endnote w:id="28">
    <w:p w14:paraId="3DA1CFDC" w14:textId="13DA2569" w:rsidR="00265544" w:rsidRDefault="00265544" w:rsidP="00265544">
      <w:pPr>
        <w:pStyle w:val="EndnoteText"/>
      </w:pPr>
      <w:r>
        <w:rPr>
          <w:rStyle w:val="EndnoteReference"/>
        </w:rPr>
        <w:endnoteRef/>
      </w:r>
      <w:r>
        <w:t xml:space="preserve"> </w:t>
      </w:r>
      <w:hyperlink r:id="rId27" w:history="1">
        <w:r w:rsidRPr="002320F1">
          <w:rPr>
            <w:rStyle w:val="Hyperlink"/>
          </w:rPr>
          <w:t>Sarvas E, Webb J, Landrigan-</w:t>
        </w:r>
        <w:proofErr w:type="spellStart"/>
        <w:r w:rsidRPr="002320F1">
          <w:rPr>
            <w:rStyle w:val="Hyperlink"/>
          </w:rPr>
          <w:t>Ossar</w:t>
        </w:r>
        <w:proofErr w:type="spellEnd"/>
        <w:r w:rsidRPr="002320F1">
          <w:rPr>
            <w:rStyle w:val="Hyperlink"/>
          </w:rPr>
          <w:t xml:space="preserve"> M, Yin L; </w:t>
        </w:r>
        <w:r w:rsidR="005F431C" w:rsidRPr="002320F1">
          <w:rPr>
            <w:rStyle w:val="Hyperlink"/>
          </w:rPr>
          <w:t>Section On Oral Health; Council On Children With Disabilities; Section On Anesthesiology And Pain Medicine</w:t>
        </w:r>
        <w:r w:rsidRPr="002320F1">
          <w:rPr>
            <w:rStyle w:val="Hyperlink"/>
          </w:rPr>
          <w:t xml:space="preserve">. Oral </w:t>
        </w:r>
        <w:r w:rsidR="009B2876" w:rsidRPr="002320F1">
          <w:rPr>
            <w:rStyle w:val="Hyperlink"/>
          </w:rPr>
          <w:t>Healthcare</w:t>
        </w:r>
        <w:r w:rsidRPr="002320F1">
          <w:rPr>
            <w:rStyle w:val="Hyperlink"/>
          </w:rPr>
          <w:t xml:space="preserve"> for Children and Youth With Developmental Disabilities: Clinical Report. Pediatrics. 2024 Aug 1;154(2):e2024067603. </w:t>
        </w:r>
        <w:proofErr w:type="spellStart"/>
        <w:r w:rsidRPr="002320F1">
          <w:rPr>
            <w:rStyle w:val="Hyperlink"/>
          </w:rPr>
          <w:t>doi</w:t>
        </w:r>
        <w:proofErr w:type="spellEnd"/>
        <w:r w:rsidRPr="002320F1">
          <w:rPr>
            <w:rStyle w:val="Hyperlink"/>
          </w:rPr>
          <w:t>: 10.1542/peds.2024-067603. PMID: 39034828.</w:t>
        </w:r>
      </w:hyperlink>
    </w:p>
  </w:endnote>
  <w:endnote w:id="29">
    <w:p w14:paraId="43EBC489" w14:textId="6A3214F3" w:rsidR="00265544" w:rsidRDefault="00265544" w:rsidP="00265544">
      <w:pPr>
        <w:pStyle w:val="EndnoteText"/>
      </w:pPr>
      <w:r>
        <w:rPr>
          <w:rStyle w:val="EndnoteReference"/>
        </w:rPr>
        <w:endnoteRef/>
      </w:r>
      <w:r>
        <w:t xml:space="preserve"> </w:t>
      </w:r>
      <w:hyperlink r:id="rId28" w:history="1">
        <w:r w:rsidRPr="002320F1">
          <w:rPr>
            <w:rStyle w:val="Hyperlink"/>
          </w:rPr>
          <w:t>Sarvas E, Webb J, Landrigan-</w:t>
        </w:r>
        <w:proofErr w:type="spellStart"/>
        <w:r w:rsidRPr="002320F1">
          <w:rPr>
            <w:rStyle w:val="Hyperlink"/>
          </w:rPr>
          <w:t>Ossar</w:t>
        </w:r>
        <w:proofErr w:type="spellEnd"/>
        <w:r w:rsidRPr="002320F1">
          <w:rPr>
            <w:rStyle w:val="Hyperlink"/>
          </w:rPr>
          <w:t xml:space="preserve"> M, Yin L; </w:t>
        </w:r>
        <w:r w:rsidR="005F431C" w:rsidRPr="002320F1">
          <w:rPr>
            <w:rStyle w:val="Hyperlink"/>
          </w:rPr>
          <w:t>Section On Oral Health; Council On Children With Disabilities; Section On Anesthesiology And Pain Medicine</w:t>
        </w:r>
        <w:r w:rsidRPr="002320F1">
          <w:rPr>
            <w:rStyle w:val="Hyperlink"/>
          </w:rPr>
          <w:t xml:space="preserve">. Oral </w:t>
        </w:r>
        <w:r w:rsidR="009B2876" w:rsidRPr="002320F1">
          <w:rPr>
            <w:rStyle w:val="Hyperlink"/>
          </w:rPr>
          <w:t>Healthcare</w:t>
        </w:r>
        <w:r w:rsidRPr="002320F1">
          <w:rPr>
            <w:rStyle w:val="Hyperlink"/>
          </w:rPr>
          <w:t xml:space="preserve"> for Children and Youth With Developmental Disabilities: Clinical Report. Pediatrics. 2024 Aug 1;154(2):e2024067603. </w:t>
        </w:r>
        <w:proofErr w:type="spellStart"/>
        <w:r w:rsidRPr="002320F1">
          <w:rPr>
            <w:rStyle w:val="Hyperlink"/>
          </w:rPr>
          <w:t>doi</w:t>
        </w:r>
        <w:proofErr w:type="spellEnd"/>
        <w:r w:rsidRPr="002320F1">
          <w:rPr>
            <w:rStyle w:val="Hyperlink"/>
          </w:rPr>
          <w:t>: 10.1542/peds.2024-067603. PMID: 39034828.</w:t>
        </w:r>
      </w:hyperlink>
    </w:p>
  </w:endnote>
  <w:endnote w:id="30">
    <w:p w14:paraId="4A2DCF0F" w14:textId="17323E60" w:rsidR="00265544" w:rsidRDefault="00265544" w:rsidP="00265544">
      <w:pPr>
        <w:pStyle w:val="EndnoteText"/>
      </w:pPr>
      <w:r>
        <w:rPr>
          <w:rStyle w:val="EndnoteReference"/>
        </w:rPr>
        <w:endnoteRef/>
      </w:r>
      <w:r>
        <w:t xml:space="preserve"> </w:t>
      </w:r>
      <w:hyperlink r:id="rId29" w:history="1">
        <w:r w:rsidRPr="002320F1">
          <w:rPr>
            <w:rStyle w:val="Hyperlink"/>
          </w:rPr>
          <w:t>Sarvas E, Webb J, Landrigan-</w:t>
        </w:r>
        <w:proofErr w:type="spellStart"/>
        <w:r w:rsidRPr="002320F1">
          <w:rPr>
            <w:rStyle w:val="Hyperlink"/>
          </w:rPr>
          <w:t>Ossar</w:t>
        </w:r>
        <w:proofErr w:type="spellEnd"/>
        <w:r w:rsidRPr="002320F1">
          <w:rPr>
            <w:rStyle w:val="Hyperlink"/>
          </w:rPr>
          <w:t xml:space="preserve"> M, Yin L; </w:t>
        </w:r>
        <w:r w:rsidR="005F431C" w:rsidRPr="002320F1">
          <w:rPr>
            <w:rStyle w:val="Hyperlink"/>
          </w:rPr>
          <w:t>Section On Oral Health; Council On Children With Disabilities; Section On Anesthesiology And Pain Medicine</w:t>
        </w:r>
        <w:r w:rsidRPr="002320F1">
          <w:rPr>
            <w:rStyle w:val="Hyperlink"/>
          </w:rPr>
          <w:t xml:space="preserve">. Oral </w:t>
        </w:r>
        <w:r w:rsidR="009B2876" w:rsidRPr="002320F1">
          <w:rPr>
            <w:rStyle w:val="Hyperlink"/>
          </w:rPr>
          <w:t>Healthcare</w:t>
        </w:r>
        <w:r w:rsidRPr="002320F1">
          <w:rPr>
            <w:rStyle w:val="Hyperlink"/>
          </w:rPr>
          <w:t xml:space="preserve"> for Children and Youth With Developmental Disabilities: Clinical Report. Pediatrics. 2024 Aug 1;154(2):e2024067603. </w:t>
        </w:r>
        <w:proofErr w:type="spellStart"/>
        <w:r w:rsidRPr="002320F1">
          <w:rPr>
            <w:rStyle w:val="Hyperlink"/>
          </w:rPr>
          <w:t>doi</w:t>
        </w:r>
        <w:proofErr w:type="spellEnd"/>
        <w:r w:rsidRPr="002320F1">
          <w:rPr>
            <w:rStyle w:val="Hyperlink"/>
          </w:rPr>
          <w:t>: 10.1542/peds.2024-067603. PMID: 39034828.</w:t>
        </w:r>
      </w:hyperlink>
    </w:p>
  </w:endnote>
  <w:endnote w:id="31">
    <w:p w14:paraId="1B33E42A" w14:textId="0D284F6F" w:rsidR="00265544" w:rsidRDefault="00265544" w:rsidP="00265544">
      <w:pPr>
        <w:pStyle w:val="EndnoteText"/>
      </w:pPr>
      <w:r>
        <w:rPr>
          <w:rStyle w:val="EndnoteReference"/>
        </w:rPr>
        <w:endnoteRef/>
      </w:r>
      <w:r>
        <w:t xml:space="preserve"> </w:t>
      </w:r>
      <w:hyperlink r:id="rId30" w:history="1">
        <w:r w:rsidRPr="002320F1">
          <w:rPr>
            <w:rStyle w:val="Hyperlink"/>
          </w:rPr>
          <w:t>Sarvas E, Webb J, Landrigan-</w:t>
        </w:r>
        <w:proofErr w:type="spellStart"/>
        <w:r w:rsidRPr="002320F1">
          <w:rPr>
            <w:rStyle w:val="Hyperlink"/>
          </w:rPr>
          <w:t>Ossar</w:t>
        </w:r>
        <w:proofErr w:type="spellEnd"/>
        <w:r w:rsidRPr="002320F1">
          <w:rPr>
            <w:rStyle w:val="Hyperlink"/>
          </w:rPr>
          <w:t xml:space="preserve"> M, Yin L; </w:t>
        </w:r>
        <w:r w:rsidR="005F431C" w:rsidRPr="002320F1">
          <w:rPr>
            <w:rStyle w:val="Hyperlink"/>
          </w:rPr>
          <w:t>Section On Oral Health; Council On Children With Disabilities; Section On Anesthesiology And Pain Medicine</w:t>
        </w:r>
        <w:r w:rsidRPr="002320F1">
          <w:rPr>
            <w:rStyle w:val="Hyperlink"/>
          </w:rPr>
          <w:t xml:space="preserve">. Oral </w:t>
        </w:r>
        <w:r w:rsidR="009B2876" w:rsidRPr="002320F1">
          <w:rPr>
            <w:rStyle w:val="Hyperlink"/>
          </w:rPr>
          <w:t>Healthcare</w:t>
        </w:r>
        <w:r w:rsidRPr="002320F1">
          <w:rPr>
            <w:rStyle w:val="Hyperlink"/>
          </w:rPr>
          <w:t xml:space="preserve"> for Children and Youth With Developmental Disabilities: Clinical Report. Pediatrics. 2024 Aug 1;154(2):e2024067603. </w:t>
        </w:r>
        <w:proofErr w:type="spellStart"/>
        <w:r w:rsidRPr="002320F1">
          <w:rPr>
            <w:rStyle w:val="Hyperlink"/>
          </w:rPr>
          <w:t>doi</w:t>
        </w:r>
        <w:proofErr w:type="spellEnd"/>
        <w:r w:rsidRPr="002320F1">
          <w:rPr>
            <w:rStyle w:val="Hyperlink"/>
          </w:rPr>
          <w:t>: 10.1542/peds.2024-067603. PMID: 39034828.</w:t>
        </w:r>
      </w:hyperlink>
    </w:p>
  </w:endnote>
  <w:endnote w:id="32">
    <w:p w14:paraId="077E88DC" w14:textId="0F5BDEDB" w:rsidR="00280975" w:rsidRDefault="00C868B5" w:rsidP="0000237C">
      <w:pPr>
        <w:pStyle w:val="EndnoteText"/>
      </w:pPr>
      <w:r>
        <w:rPr>
          <w:rStyle w:val="EndnoteReference"/>
        </w:rPr>
        <w:endnoteRef/>
      </w:r>
      <w:r>
        <w:t xml:space="preserve"> </w:t>
      </w:r>
      <w:hyperlink r:id="rId31" w:history="1">
        <w:r w:rsidR="0000237C" w:rsidRPr="00C86E13">
          <w:rPr>
            <w:rStyle w:val="Hyperlink"/>
          </w:rPr>
          <w:t>Center for Health Information and Analysis. Findings from the 2019 Massachusetts Health Insurance Survey April 2020.</w:t>
        </w:r>
      </w:hyperlink>
      <w:r w:rsidR="0000237C">
        <w:t xml:space="preserve"> </w:t>
      </w:r>
    </w:p>
  </w:endnote>
  <w:endnote w:id="33">
    <w:p w14:paraId="379CC416" w14:textId="29FDA17E" w:rsidR="009F2022" w:rsidRDefault="009F2022" w:rsidP="009F2022">
      <w:pPr>
        <w:pStyle w:val="EndnoteText"/>
      </w:pPr>
      <w:r>
        <w:rPr>
          <w:rStyle w:val="EndnoteReference"/>
        </w:rPr>
        <w:endnoteRef/>
      </w:r>
      <w:r>
        <w:t xml:space="preserve"> </w:t>
      </w:r>
      <w:hyperlink r:id="rId32" w:history="1">
        <w:r w:rsidRPr="00C86E13">
          <w:rPr>
            <w:rStyle w:val="Hyperlink"/>
          </w:rPr>
          <w:t>Center for Health Information and Analysis. Findings From the 2025 Massachusetts Health Insurance Survey. December 2025.</w:t>
        </w:r>
      </w:hyperlink>
      <w:r>
        <w:t xml:space="preserve"> </w:t>
      </w:r>
    </w:p>
  </w:endnote>
  <w:endnote w:id="34">
    <w:p w14:paraId="0BAE37C5" w14:textId="51FB8735" w:rsidR="00026596" w:rsidRDefault="00026596">
      <w:pPr>
        <w:pStyle w:val="EndnoteText"/>
      </w:pPr>
      <w:r>
        <w:rPr>
          <w:rStyle w:val="EndnoteReference"/>
        </w:rPr>
        <w:endnoteRef/>
      </w:r>
      <w:r>
        <w:t xml:space="preserve"> </w:t>
      </w:r>
      <w:hyperlink r:id="rId33" w:history="1">
        <w:r w:rsidR="00890058" w:rsidRPr="00C86E13">
          <w:rPr>
            <w:rStyle w:val="Hyperlink"/>
          </w:rPr>
          <w:t>Massachusetts Health Policy Commission. 2021 Cost Trends Report. Sept. 2021.</w:t>
        </w:r>
      </w:hyperlink>
      <w:r w:rsidR="00890058" w:rsidRPr="00890058">
        <w:t xml:space="preserve"> </w:t>
      </w:r>
    </w:p>
  </w:endnote>
  <w:endnote w:id="35">
    <w:p w14:paraId="434DBD7E" w14:textId="4A186845" w:rsidR="00C763EB" w:rsidRDefault="00C763EB" w:rsidP="00C763EB">
      <w:pPr>
        <w:pStyle w:val="EndnoteText"/>
      </w:pPr>
      <w:r>
        <w:rPr>
          <w:rStyle w:val="EndnoteReference"/>
        </w:rPr>
        <w:endnoteRef/>
      </w:r>
      <w:r>
        <w:t xml:space="preserve"> </w:t>
      </w:r>
      <w:hyperlink r:id="rId34" w:history="1">
        <w:r w:rsidRPr="00C4783F">
          <w:rPr>
            <w:rStyle w:val="Hyperlink"/>
          </w:rPr>
          <w:t xml:space="preserve">Alamri H. Countering the Identified Barriers to Delivered Oral Care for Children With Special Healthcare Needs: A Narrative Review. Cureus. 2024 Aug 23;16(8):e67561. </w:t>
        </w:r>
        <w:proofErr w:type="spellStart"/>
        <w:r w:rsidRPr="00C4783F">
          <w:rPr>
            <w:rStyle w:val="Hyperlink"/>
          </w:rPr>
          <w:t>doi</w:t>
        </w:r>
        <w:proofErr w:type="spellEnd"/>
        <w:r w:rsidRPr="00C4783F">
          <w:rPr>
            <w:rStyle w:val="Hyperlink"/>
          </w:rPr>
          <w:t>: 10.7759/cureus.67561. PMID: 39310384; PMCID: PMC11416710.</w:t>
        </w:r>
      </w:hyperlink>
    </w:p>
  </w:endnote>
  <w:endnote w:id="36">
    <w:p w14:paraId="294C8BA2" w14:textId="081856EA" w:rsidR="00A66E15" w:rsidRDefault="00A66E15">
      <w:pPr>
        <w:pStyle w:val="EndnoteText"/>
      </w:pPr>
      <w:r>
        <w:rPr>
          <w:rStyle w:val="EndnoteReference"/>
        </w:rPr>
        <w:endnoteRef/>
      </w:r>
      <w:r>
        <w:t xml:space="preserve"> </w:t>
      </w:r>
      <w:hyperlink r:id="rId35" w:history="1">
        <w:r w:rsidRPr="00995229">
          <w:rPr>
            <w:rStyle w:val="Hyperlink"/>
          </w:rPr>
          <w:t xml:space="preserve">Massachusetts Health Policy Commission. </w:t>
        </w:r>
        <w:proofErr w:type="spellStart"/>
        <w:r w:rsidRPr="00995229">
          <w:rPr>
            <w:rStyle w:val="Hyperlink"/>
          </w:rPr>
          <w:t>DataPoints</w:t>
        </w:r>
        <w:proofErr w:type="spellEnd"/>
        <w:r w:rsidRPr="00995229">
          <w:rPr>
            <w:rStyle w:val="Hyperlink"/>
          </w:rPr>
          <w:t xml:space="preserve"> Issue 26: Trends in Ambulatory Surgical Centers in Massachusetts. February 2024.</w:t>
        </w:r>
      </w:hyperlink>
      <w:r w:rsidRPr="00A66E15">
        <w:t xml:space="preserve"> </w:t>
      </w:r>
    </w:p>
  </w:endnote>
  <w:endnote w:id="37">
    <w:p w14:paraId="0399BE7E" w14:textId="31F1E3E4" w:rsidR="0025716A" w:rsidRDefault="0025716A" w:rsidP="0025716A">
      <w:pPr>
        <w:pStyle w:val="EndnoteText"/>
      </w:pPr>
      <w:r>
        <w:rPr>
          <w:rStyle w:val="EndnoteReference"/>
        </w:rPr>
        <w:endnoteRef/>
      </w:r>
      <w:r>
        <w:t xml:space="preserve"> </w:t>
      </w:r>
      <w:hyperlink r:id="rId36" w:history="1">
        <w:r w:rsidRPr="006E276F">
          <w:rPr>
            <w:rStyle w:val="Hyperlink"/>
          </w:rPr>
          <w:t xml:space="preserve">Kranz AM, Zhao X, Munnich E, Lee JY, Whaley C. Medicaid Payments and Outcomes for Pediatric Dental Surgical Procedures by Site of Care. JAMA </w:t>
        </w:r>
        <w:proofErr w:type="spellStart"/>
        <w:r w:rsidRPr="006E276F">
          <w:rPr>
            <w:rStyle w:val="Hyperlink"/>
          </w:rPr>
          <w:t>Netw</w:t>
        </w:r>
        <w:proofErr w:type="spellEnd"/>
        <w:r w:rsidRPr="006E276F">
          <w:rPr>
            <w:rStyle w:val="Hyperlink"/>
          </w:rPr>
          <w:t xml:space="preserve"> Open. 2025 Oct 1;8(10):e2537081. </w:t>
        </w:r>
        <w:proofErr w:type="spellStart"/>
        <w:r w:rsidRPr="006E276F">
          <w:rPr>
            <w:rStyle w:val="Hyperlink"/>
          </w:rPr>
          <w:t>doi</w:t>
        </w:r>
        <w:proofErr w:type="spellEnd"/>
        <w:r w:rsidRPr="006E276F">
          <w:rPr>
            <w:rStyle w:val="Hyperlink"/>
          </w:rPr>
          <w:t>: 10.1001/jamanetworkopen.2025.37081. PMID: 41071549; PMCID: PMC12514629.</w:t>
        </w:r>
      </w:hyperlink>
    </w:p>
  </w:endnote>
  <w:endnote w:id="38">
    <w:p w14:paraId="3C2D9495" w14:textId="01710C26" w:rsidR="0025716A" w:rsidRDefault="0025716A" w:rsidP="0025716A">
      <w:pPr>
        <w:pStyle w:val="EndnoteText"/>
      </w:pPr>
      <w:r>
        <w:rPr>
          <w:rStyle w:val="EndnoteReference"/>
        </w:rPr>
        <w:endnoteRef/>
      </w:r>
      <w:r>
        <w:t xml:space="preserve"> </w:t>
      </w:r>
      <w:hyperlink r:id="rId37" w:history="1">
        <w:r w:rsidRPr="006E276F">
          <w:rPr>
            <w:rStyle w:val="Hyperlink"/>
          </w:rPr>
          <w:t xml:space="preserve">Kranz AM, Zhao X, Munnich E, Lee JY, Whaley C. Medicaid Payments and Outcomes for Pediatric Dental Surgical Procedures by Site of Care. JAMA </w:t>
        </w:r>
        <w:proofErr w:type="spellStart"/>
        <w:r w:rsidRPr="006E276F">
          <w:rPr>
            <w:rStyle w:val="Hyperlink"/>
          </w:rPr>
          <w:t>Netw</w:t>
        </w:r>
        <w:proofErr w:type="spellEnd"/>
        <w:r w:rsidRPr="006E276F">
          <w:rPr>
            <w:rStyle w:val="Hyperlink"/>
          </w:rPr>
          <w:t xml:space="preserve"> Open. 2025 Oct 1;8(10):e2537081. </w:t>
        </w:r>
        <w:proofErr w:type="spellStart"/>
        <w:r w:rsidRPr="006E276F">
          <w:rPr>
            <w:rStyle w:val="Hyperlink"/>
          </w:rPr>
          <w:t>doi</w:t>
        </w:r>
        <w:proofErr w:type="spellEnd"/>
        <w:r w:rsidRPr="006E276F">
          <w:rPr>
            <w:rStyle w:val="Hyperlink"/>
          </w:rPr>
          <w:t>: 10.1001/jamanetworkopen.2025.37081. PMID: 41071549; PMCID: PMC12514629.</w:t>
        </w:r>
      </w:hyperlink>
    </w:p>
  </w:endnote>
  <w:endnote w:id="39">
    <w:p w14:paraId="3BA9E36F" w14:textId="393EC003" w:rsidR="0025716A" w:rsidRDefault="0025716A" w:rsidP="0025716A">
      <w:pPr>
        <w:pStyle w:val="EndnoteText"/>
      </w:pPr>
      <w:r>
        <w:rPr>
          <w:rStyle w:val="EndnoteReference"/>
        </w:rPr>
        <w:endnoteRef/>
      </w:r>
      <w:r>
        <w:t xml:space="preserve"> </w:t>
      </w:r>
      <w:hyperlink r:id="rId38" w:history="1">
        <w:r w:rsidRPr="006E276F">
          <w:rPr>
            <w:rStyle w:val="Hyperlink"/>
          </w:rPr>
          <w:t xml:space="preserve">Kranz AM, Zhao X, Munnich E, Lee JY, Whaley C. Medicaid Payments and Outcomes for Pediatric Dental Surgical Procedures by Site of Care. JAMA </w:t>
        </w:r>
        <w:proofErr w:type="spellStart"/>
        <w:r w:rsidRPr="006E276F">
          <w:rPr>
            <w:rStyle w:val="Hyperlink"/>
          </w:rPr>
          <w:t>Netw</w:t>
        </w:r>
        <w:proofErr w:type="spellEnd"/>
        <w:r w:rsidRPr="006E276F">
          <w:rPr>
            <w:rStyle w:val="Hyperlink"/>
          </w:rPr>
          <w:t xml:space="preserve"> Open. 2025 Oct 1;8(10):e2537081. </w:t>
        </w:r>
        <w:proofErr w:type="spellStart"/>
        <w:r w:rsidRPr="006E276F">
          <w:rPr>
            <w:rStyle w:val="Hyperlink"/>
          </w:rPr>
          <w:t>doi</w:t>
        </w:r>
        <w:proofErr w:type="spellEnd"/>
        <w:r w:rsidRPr="006E276F">
          <w:rPr>
            <w:rStyle w:val="Hyperlink"/>
          </w:rPr>
          <w:t>: 10.1001/jamanetworkopen.2025.37081. PMID: 41071549; PMCID: PMC12514629.</w:t>
        </w:r>
      </w:hyperlink>
    </w:p>
  </w:endnote>
  <w:endnote w:id="40">
    <w:p w14:paraId="7F86E1DA" w14:textId="1E373902" w:rsidR="0025716A" w:rsidRDefault="0025716A" w:rsidP="0025716A">
      <w:pPr>
        <w:pStyle w:val="EndnoteText"/>
      </w:pPr>
      <w:r>
        <w:rPr>
          <w:rStyle w:val="EndnoteReference"/>
        </w:rPr>
        <w:endnoteRef/>
      </w:r>
      <w:r>
        <w:t xml:space="preserve"> </w:t>
      </w:r>
      <w:hyperlink r:id="rId39" w:history="1">
        <w:r w:rsidRPr="006E276F">
          <w:rPr>
            <w:rStyle w:val="Hyperlink"/>
          </w:rPr>
          <w:t xml:space="preserve">Kranz AM, Zhao X, Munnich E, Lee JY, Whaley C. Medicaid Payments and Outcomes for Pediatric Dental Surgical Procedures by Site of Care. JAMA </w:t>
        </w:r>
        <w:proofErr w:type="spellStart"/>
        <w:r w:rsidRPr="006E276F">
          <w:rPr>
            <w:rStyle w:val="Hyperlink"/>
          </w:rPr>
          <w:t>Netw</w:t>
        </w:r>
        <w:proofErr w:type="spellEnd"/>
        <w:r w:rsidRPr="006E276F">
          <w:rPr>
            <w:rStyle w:val="Hyperlink"/>
          </w:rPr>
          <w:t xml:space="preserve"> Open. 2025 Oct 1;8(10):e2537081. </w:t>
        </w:r>
        <w:proofErr w:type="spellStart"/>
        <w:r w:rsidRPr="006E276F">
          <w:rPr>
            <w:rStyle w:val="Hyperlink"/>
          </w:rPr>
          <w:t>doi</w:t>
        </w:r>
        <w:proofErr w:type="spellEnd"/>
        <w:r w:rsidRPr="006E276F">
          <w:rPr>
            <w:rStyle w:val="Hyperlink"/>
          </w:rPr>
          <w:t>: 10.1001/jamanetworkopen.2025.37081. PMID: 41071549; PMCID: PMC12514629.</w:t>
        </w:r>
      </w:hyperlink>
    </w:p>
  </w:endnote>
  <w:endnote w:id="41">
    <w:p w14:paraId="749361CD" w14:textId="7951B453" w:rsidR="0025716A" w:rsidRDefault="0025716A" w:rsidP="0025716A">
      <w:pPr>
        <w:pStyle w:val="EndnoteText"/>
      </w:pPr>
      <w:r>
        <w:rPr>
          <w:rStyle w:val="EndnoteReference"/>
        </w:rPr>
        <w:endnoteRef/>
      </w:r>
      <w:r>
        <w:t xml:space="preserve"> </w:t>
      </w:r>
      <w:hyperlink r:id="rId40" w:history="1">
        <w:r w:rsidRPr="006E276F">
          <w:rPr>
            <w:rStyle w:val="Hyperlink"/>
          </w:rPr>
          <w:t xml:space="preserve">Kranz AM, Zhao X, Munnich E, Lee JY, Whaley C. Medicaid Payments and Outcomes for Pediatric Dental Surgical Procedures by Site of Care. JAMA </w:t>
        </w:r>
        <w:proofErr w:type="spellStart"/>
        <w:r w:rsidRPr="006E276F">
          <w:rPr>
            <w:rStyle w:val="Hyperlink"/>
          </w:rPr>
          <w:t>Netw</w:t>
        </w:r>
        <w:proofErr w:type="spellEnd"/>
        <w:r w:rsidRPr="006E276F">
          <w:rPr>
            <w:rStyle w:val="Hyperlink"/>
          </w:rPr>
          <w:t xml:space="preserve"> Open. 2025 Oct 1;8(10):e2537081. </w:t>
        </w:r>
        <w:proofErr w:type="spellStart"/>
        <w:r w:rsidRPr="006E276F">
          <w:rPr>
            <w:rStyle w:val="Hyperlink"/>
          </w:rPr>
          <w:t>doi</w:t>
        </w:r>
        <w:proofErr w:type="spellEnd"/>
        <w:r w:rsidRPr="006E276F">
          <w:rPr>
            <w:rStyle w:val="Hyperlink"/>
          </w:rPr>
          <w:t>: 10.1001/jamanetworkopen.2025.37081. PMID: 41071549; PMCID: PMC12514629.</w:t>
        </w:r>
      </w:hyperlink>
    </w:p>
  </w:endnote>
  <w:endnote w:id="42">
    <w:p w14:paraId="59E40AE3" w14:textId="33A734B1" w:rsidR="00E24708" w:rsidRDefault="00E24708" w:rsidP="00E24708">
      <w:pPr>
        <w:pStyle w:val="EndnoteText"/>
      </w:pPr>
      <w:r>
        <w:rPr>
          <w:rStyle w:val="EndnoteReference"/>
        </w:rPr>
        <w:endnoteRef/>
      </w:r>
      <w:r>
        <w:t xml:space="preserve"> </w:t>
      </w:r>
      <w:hyperlink r:id="rId41" w:history="1">
        <w:r w:rsidRPr="009C6D13">
          <w:rPr>
            <w:rStyle w:val="Hyperlink"/>
          </w:rPr>
          <w:t xml:space="preserve">Douglas P, Sheller B, Nelson T, Velan E, Scott JM. Comparison of Pediatric Dentistry Under General Anesthesia in a Surgery Center vs a Hospital. </w:t>
        </w:r>
        <w:proofErr w:type="spellStart"/>
        <w:r w:rsidRPr="009C6D13">
          <w:rPr>
            <w:rStyle w:val="Hyperlink"/>
          </w:rPr>
          <w:t>Anesth</w:t>
        </w:r>
        <w:proofErr w:type="spellEnd"/>
        <w:r w:rsidRPr="009C6D13">
          <w:rPr>
            <w:rStyle w:val="Hyperlink"/>
          </w:rPr>
          <w:t xml:space="preserve"> Prog. 2022 Dec 1;69(4):3-8. </w:t>
        </w:r>
        <w:proofErr w:type="spellStart"/>
        <w:r w:rsidRPr="009C6D13">
          <w:rPr>
            <w:rStyle w:val="Hyperlink"/>
          </w:rPr>
          <w:t>doi</w:t>
        </w:r>
        <w:proofErr w:type="spellEnd"/>
        <w:r w:rsidRPr="009C6D13">
          <w:rPr>
            <w:rStyle w:val="Hyperlink"/>
          </w:rPr>
          <w:t>: 10.2344/anpr-69-02-07. PMID: 36534778; PMCID: PMC9773414.</w:t>
        </w:r>
      </w:hyperlink>
    </w:p>
  </w:endnote>
  <w:endnote w:id="43">
    <w:p w14:paraId="61FAC14F" w14:textId="6D8C9517" w:rsidR="00C606C0" w:rsidRDefault="00C606C0" w:rsidP="00C606C0">
      <w:pPr>
        <w:pStyle w:val="EndnoteText"/>
      </w:pPr>
      <w:r>
        <w:rPr>
          <w:rStyle w:val="EndnoteReference"/>
        </w:rPr>
        <w:endnoteRef/>
      </w:r>
      <w:r>
        <w:t xml:space="preserve"> </w:t>
      </w:r>
      <w:hyperlink r:id="rId42" w:history="1">
        <w:r w:rsidRPr="009C6D13">
          <w:rPr>
            <w:rStyle w:val="Hyperlink"/>
          </w:rPr>
          <w:t xml:space="preserve">Douglas P, Sheller B, Nelson T, Velan E, Scott JM. Comparison of Pediatric Dentistry Under General Anesthesia in a Surgery Center vs a Hospital. </w:t>
        </w:r>
        <w:proofErr w:type="spellStart"/>
        <w:r w:rsidRPr="009C6D13">
          <w:rPr>
            <w:rStyle w:val="Hyperlink"/>
          </w:rPr>
          <w:t>Anesth</w:t>
        </w:r>
        <w:proofErr w:type="spellEnd"/>
        <w:r w:rsidRPr="009C6D13">
          <w:rPr>
            <w:rStyle w:val="Hyperlink"/>
          </w:rPr>
          <w:t xml:space="preserve"> Prog. 2022 Dec 1;69(4):3-8. </w:t>
        </w:r>
        <w:proofErr w:type="spellStart"/>
        <w:r w:rsidRPr="009C6D13">
          <w:rPr>
            <w:rStyle w:val="Hyperlink"/>
          </w:rPr>
          <w:t>doi</w:t>
        </w:r>
        <w:proofErr w:type="spellEnd"/>
        <w:r w:rsidRPr="009C6D13">
          <w:rPr>
            <w:rStyle w:val="Hyperlink"/>
          </w:rPr>
          <w:t>: 10.2344/anpr-69-02-07. PMID: 36534778; PMCID: PMC9773414.</w:t>
        </w:r>
      </w:hyperlink>
    </w:p>
  </w:endnote>
  <w:endnote w:id="44">
    <w:p w14:paraId="6B379E6B" w14:textId="4CCD28A9" w:rsidR="00983EEF" w:rsidRDefault="00983EEF" w:rsidP="00983EEF">
      <w:pPr>
        <w:pStyle w:val="EndnoteText"/>
      </w:pPr>
      <w:r>
        <w:rPr>
          <w:rStyle w:val="EndnoteReference"/>
        </w:rPr>
        <w:endnoteRef/>
      </w:r>
      <w:r>
        <w:t xml:space="preserve"> </w:t>
      </w:r>
      <w:hyperlink r:id="rId43" w:history="1">
        <w:r w:rsidRPr="009C6D13">
          <w:rPr>
            <w:rStyle w:val="Hyperlink"/>
          </w:rPr>
          <w:t xml:space="preserve">Douglas P, Sheller B, Nelson T, Velan E, Scott JM. Comparison of Pediatric Dentistry Under General Anesthesia in a Surgery Center vs a Hospital. </w:t>
        </w:r>
        <w:proofErr w:type="spellStart"/>
        <w:r w:rsidRPr="009C6D13">
          <w:rPr>
            <w:rStyle w:val="Hyperlink"/>
          </w:rPr>
          <w:t>Anesth</w:t>
        </w:r>
        <w:proofErr w:type="spellEnd"/>
        <w:r w:rsidRPr="009C6D13">
          <w:rPr>
            <w:rStyle w:val="Hyperlink"/>
          </w:rPr>
          <w:t xml:space="preserve"> Prog. 2022 Dec 1;69(4):3-8. </w:t>
        </w:r>
        <w:proofErr w:type="spellStart"/>
        <w:r w:rsidRPr="009C6D13">
          <w:rPr>
            <w:rStyle w:val="Hyperlink"/>
          </w:rPr>
          <w:t>doi</w:t>
        </w:r>
        <w:proofErr w:type="spellEnd"/>
        <w:r w:rsidRPr="009C6D13">
          <w:rPr>
            <w:rStyle w:val="Hyperlink"/>
          </w:rPr>
          <w:t>: 10.2344/anpr-69-02-07. PMID: 36534778; PMCID: PMC9773414.</w:t>
        </w:r>
      </w:hyperlink>
    </w:p>
  </w:endnote>
  <w:endnote w:id="45">
    <w:p w14:paraId="1E8AC89A" w14:textId="463232BE" w:rsidR="00967226" w:rsidRDefault="00967226" w:rsidP="00967226">
      <w:pPr>
        <w:pStyle w:val="EndnoteText"/>
      </w:pPr>
      <w:r>
        <w:rPr>
          <w:rStyle w:val="EndnoteReference"/>
        </w:rPr>
        <w:endnoteRef/>
      </w:r>
      <w:r>
        <w:t xml:space="preserve"> </w:t>
      </w:r>
      <w:hyperlink r:id="rId44" w:history="1">
        <w:r w:rsidRPr="009C6D13">
          <w:rPr>
            <w:rStyle w:val="Hyperlink"/>
          </w:rPr>
          <w:t xml:space="preserve">Douglas P, Sheller B, Nelson T, Velan E, Scott JM. Comparison of Pediatric Dentistry Under General Anesthesia in a Surgery Center vs a Hospital. </w:t>
        </w:r>
        <w:proofErr w:type="spellStart"/>
        <w:r w:rsidRPr="009C6D13">
          <w:rPr>
            <w:rStyle w:val="Hyperlink"/>
          </w:rPr>
          <w:t>Anesth</w:t>
        </w:r>
        <w:proofErr w:type="spellEnd"/>
        <w:r w:rsidRPr="009C6D13">
          <w:rPr>
            <w:rStyle w:val="Hyperlink"/>
          </w:rPr>
          <w:t xml:space="preserve"> Prog. 2022 Dec 1;69(4):3-8. </w:t>
        </w:r>
        <w:proofErr w:type="spellStart"/>
        <w:r w:rsidRPr="009C6D13">
          <w:rPr>
            <w:rStyle w:val="Hyperlink"/>
          </w:rPr>
          <w:t>doi</w:t>
        </w:r>
        <w:proofErr w:type="spellEnd"/>
        <w:r w:rsidRPr="009C6D13">
          <w:rPr>
            <w:rStyle w:val="Hyperlink"/>
          </w:rPr>
          <w:t>: 10.2344/anpr-69-02-07. PMID: 36534778; PMCID: PMC9773414.</w:t>
        </w:r>
      </w:hyperlink>
    </w:p>
  </w:endnote>
  <w:endnote w:id="46">
    <w:p w14:paraId="7CF8A0BF" w14:textId="44665B01" w:rsidR="00E24708" w:rsidRDefault="00E24708" w:rsidP="00E24708">
      <w:pPr>
        <w:pStyle w:val="EndnoteText"/>
      </w:pPr>
      <w:r>
        <w:rPr>
          <w:rStyle w:val="EndnoteReference"/>
        </w:rPr>
        <w:endnoteRef/>
      </w:r>
      <w:r>
        <w:t xml:space="preserve"> </w:t>
      </w:r>
      <w:hyperlink r:id="rId45" w:history="1">
        <w:r w:rsidRPr="009C6D13">
          <w:rPr>
            <w:rStyle w:val="Hyperlink"/>
          </w:rPr>
          <w:t xml:space="preserve">Douglas P, Sheller B, Nelson T, Velan E, Scott JM. Comparison of Pediatric Dentistry Under General Anesthesia in a Surgery Center vs a Hospital. </w:t>
        </w:r>
        <w:proofErr w:type="spellStart"/>
        <w:r w:rsidRPr="009C6D13">
          <w:rPr>
            <w:rStyle w:val="Hyperlink"/>
          </w:rPr>
          <w:t>Anesth</w:t>
        </w:r>
        <w:proofErr w:type="spellEnd"/>
        <w:r w:rsidRPr="009C6D13">
          <w:rPr>
            <w:rStyle w:val="Hyperlink"/>
          </w:rPr>
          <w:t xml:space="preserve"> Prog. 2022 Dec 1;69(4):3-8. </w:t>
        </w:r>
        <w:proofErr w:type="spellStart"/>
        <w:r w:rsidRPr="009C6D13">
          <w:rPr>
            <w:rStyle w:val="Hyperlink"/>
          </w:rPr>
          <w:t>doi</w:t>
        </w:r>
        <w:proofErr w:type="spellEnd"/>
        <w:r w:rsidRPr="009C6D13">
          <w:rPr>
            <w:rStyle w:val="Hyperlink"/>
          </w:rPr>
          <w:t>: 10.2344/anpr-69-02-07. PMID: 36534778; PMCID: PMC9773414.</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686666"/>
      <w:docPartObj>
        <w:docPartGallery w:val="Page Numbers (Bottom of Page)"/>
        <w:docPartUnique/>
      </w:docPartObj>
    </w:sdtPr>
    <w:sdtEndPr>
      <w:rPr>
        <w:noProof/>
      </w:rPr>
    </w:sdtEndPr>
    <w:sdtContent>
      <w:p w14:paraId="33F2B301" w14:textId="60F5CC32" w:rsidR="00C61393" w:rsidRDefault="00C613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E3A007" w14:textId="304B2947" w:rsidR="00E54588" w:rsidRDefault="00E54588">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573723"/>
      <w:docPartObj>
        <w:docPartGallery w:val="Page Numbers (Bottom of Page)"/>
        <w:docPartUnique/>
      </w:docPartObj>
    </w:sdtPr>
    <w:sdtEndPr>
      <w:rPr>
        <w:noProof/>
      </w:rPr>
    </w:sdtEndPr>
    <w:sdtContent>
      <w:p w14:paraId="16AC19D4" w14:textId="7895C2B1" w:rsidR="00E54588" w:rsidRDefault="00E54588">
        <w:pPr>
          <w:pStyle w:val="Footer"/>
          <w:jc w:val="center"/>
        </w:pPr>
        <w:r w:rsidRPr="00542854">
          <w:rPr>
            <w:rFonts w:asciiTheme="minorHAnsi" w:hAnsiTheme="minorHAnsi"/>
          </w:rPr>
          <w:fldChar w:fldCharType="begin"/>
        </w:r>
        <w:r w:rsidRPr="00542854">
          <w:rPr>
            <w:rFonts w:asciiTheme="minorHAnsi" w:hAnsiTheme="minorHAnsi"/>
          </w:rPr>
          <w:instrText xml:space="preserve"> PAGE   \* MERGEFORMAT </w:instrText>
        </w:r>
        <w:r w:rsidRPr="00542854">
          <w:rPr>
            <w:rFonts w:asciiTheme="minorHAnsi" w:hAnsiTheme="minorHAnsi"/>
          </w:rPr>
          <w:fldChar w:fldCharType="separate"/>
        </w:r>
        <w:r w:rsidRPr="00542854">
          <w:rPr>
            <w:rFonts w:asciiTheme="minorHAnsi" w:hAnsiTheme="minorHAnsi"/>
            <w:noProof/>
          </w:rPr>
          <w:t>2</w:t>
        </w:r>
        <w:r w:rsidRPr="00542854">
          <w:rPr>
            <w:rFonts w:asciiTheme="minorHAnsi" w:hAnsiTheme="minorHAnsi"/>
            <w:noProof/>
          </w:rPr>
          <w:fldChar w:fldCharType="end"/>
        </w:r>
      </w:p>
    </w:sdtContent>
  </w:sdt>
  <w:p w14:paraId="525B5754" w14:textId="78558AD7" w:rsidR="00E54588" w:rsidRPr="00542854" w:rsidRDefault="00E54588" w:rsidP="00542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FBE5B" w14:textId="77777777" w:rsidR="00105C2F" w:rsidRDefault="00105C2F">
      <w:r>
        <w:separator/>
      </w:r>
    </w:p>
  </w:footnote>
  <w:footnote w:type="continuationSeparator" w:id="0">
    <w:p w14:paraId="6E86B2D1" w14:textId="77777777" w:rsidR="00105C2F" w:rsidRDefault="00105C2F">
      <w:r>
        <w:continuationSeparator/>
      </w:r>
    </w:p>
  </w:footnote>
  <w:footnote w:type="continuationNotice" w:id="1">
    <w:p w14:paraId="12C02F8D" w14:textId="77777777" w:rsidR="00105C2F" w:rsidRDefault="00105C2F"/>
  </w:footnote>
  <w:footnote w:id="2">
    <w:p w14:paraId="126C1CD1" w14:textId="54763FAA" w:rsidR="007D7B62" w:rsidRDefault="007D7B62" w:rsidP="007D7B62">
      <w:pPr>
        <w:pStyle w:val="FootnoteText"/>
      </w:pPr>
      <w:r>
        <w:rPr>
          <w:rStyle w:val="FootnoteReference"/>
        </w:rPr>
        <w:footnoteRef/>
      </w:r>
      <w:r>
        <w:t xml:space="preserve"> The</w:t>
      </w:r>
      <w:r w:rsidRPr="008D36DC">
        <w:t xml:space="preserve"> American Academy of Pediatrics and the Maternal and Child Health Bureau</w:t>
      </w:r>
      <w:r>
        <w:t xml:space="preserve"> defines c</w:t>
      </w:r>
      <w:r w:rsidRPr="008D36DC">
        <w:t xml:space="preserve">hildren with special </w:t>
      </w:r>
      <w:r w:rsidR="009B2876">
        <w:t>healthcare</w:t>
      </w:r>
      <w:r w:rsidRPr="008D36DC">
        <w:t xml:space="preserve"> needs </w:t>
      </w:r>
      <w:r>
        <w:t>as “</w:t>
      </w:r>
      <w:r w:rsidRPr="008D36DC">
        <w:t xml:space="preserve">those who have or are at increased risk for a chronic physical, developmental, behavioral, or emotional condition and who also require health and related services of a type or amount beyond that required by children generally.” (McPherson M, Arango P, Fox HB, A new definition of children with special </w:t>
      </w:r>
      <w:r w:rsidR="009B2876">
        <w:t>healthcare</w:t>
      </w:r>
      <w:r w:rsidRPr="008D36DC">
        <w:t xml:space="preserve"> needs. Pediatrics 1998; 102:137-140)</w:t>
      </w:r>
    </w:p>
  </w:footnote>
  <w:footnote w:id="3">
    <w:p w14:paraId="09D54A63" w14:textId="77777777" w:rsidR="00DD1CC1" w:rsidRDefault="00DD1CC1" w:rsidP="00DD1CC1">
      <w:pPr>
        <w:pStyle w:val="FootnoteText"/>
      </w:pPr>
      <w:r>
        <w:rPr>
          <w:rStyle w:val="FootnoteReference"/>
        </w:rPr>
        <w:footnoteRef/>
      </w:r>
      <w:r>
        <w:t xml:space="preserve"> </w:t>
      </w:r>
      <w:r w:rsidRPr="00080B93">
        <w:t xml:space="preserve">Medically necessary care is defined by the American Academy of Pediatric Dentistry (AAPD) as “the reasonable and essential diagnostic, preventive, and treatment services and follow-up care as determined by qualified </w:t>
      </w:r>
      <w:r>
        <w:t>healthcare</w:t>
      </w:r>
      <w:r w:rsidRPr="00080B93">
        <w:t xml:space="preserve"> providers in treating any condition, disease injury, or congenital or developmental malformation to promote optimal health, growth, and development.”</w:t>
      </w:r>
    </w:p>
  </w:footnote>
  <w:footnote w:id="4">
    <w:p w14:paraId="43F1E1DC" w14:textId="114F51D1" w:rsidR="00B95EA4" w:rsidRPr="002B07BF" w:rsidRDefault="00B95EA4">
      <w:pPr>
        <w:pStyle w:val="FootnoteText"/>
        <w:rPr>
          <w:rFonts w:asciiTheme="minorHAnsi" w:hAnsiTheme="minorHAnsi"/>
        </w:rPr>
      </w:pPr>
      <w:r w:rsidRPr="002B07BF">
        <w:rPr>
          <w:rStyle w:val="FootnoteReference"/>
          <w:rFonts w:asciiTheme="minorHAnsi" w:hAnsiTheme="minorHAnsi"/>
        </w:rPr>
        <w:footnoteRef/>
      </w:r>
      <w:r w:rsidRPr="002B07BF">
        <w:rPr>
          <w:rFonts w:asciiTheme="minorHAnsi" w:hAnsiTheme="minorHAnsi"/>
        </w:rPr>
        <w:t xml:space="preserve"> As defined in 105 CMR 100.100, Patient Panel is the total of the individual patients regardless of payer, including those patients seen within an emergency department(s) if applicable, seen over the course of the most recent complete 36-month period by the Applicant or Holder. Patient Panel also means: (1) If the Applicant or Holder has no Patient Panel itself, the Patient Panel includes the Patient Panel of the </w:t>
      </w:r>
      <w:r w:rsidR="009B2876">
        <w:rPr>
          <w:rFonts w:asciiTheme="minorHAnsi" w:hAnsiTheme="minorHAnsi"/>
        </w:rPr>
        <w:t>healthcare</w:t>
      </w:r>
      <w:r w:rsidRPr="002B07BF">
        <w:rPr>
          <w:rFonts w:asciiTheme="minorHAnsi" w:hAnsiTheme="minorHAnsi"/>
        </w:rPr>
        <w:t xml:space="preserve"> facilities affiliated with the Applicant; or (2) If the Proposed Project is for a new facility and there is no existing Patient Panel, Patient Panel means the anticipated patients; or (3) In the case of a Transfer of Ownership, Patient Panel also includes the Patient Panel of the Entity to be acquired.</w:t>
      </w:r>
    </w:p>
  </w:footnote>
  <w:footnote w:id="5">
    <w:p w14:paraId="44A96A73" w14:textId="77777777" w:rsidR="00EB3401" w:rsidRDefault="00EB3401" w:rsidP="00EB3401">
      <w:pPr>
        <w:pStyle w:val="FootnoteText"/>
      </w:pPr>
      <w:r>
        <w:rPr>
          <w:rStyle w:val="FootnoteReference"/>
        </w:rPr>
        <w:footnoteRef/>
      </w:r>
      <w:r>
        <w:t xml:space="preserve"> </w:t>
      </w:r>
      <w:r w:rsidRPr="00976606">
        <w:t>The Applicant states that Blue Cloud began collecting detailed behavioral health risk factor data in 2024, and that the data for 2024 is based on a partial year starting in April 2024. The data will not align with the unique patient data.</w:t>
      </w:r>
    </w:p>
  </w:footnote>
  <w:footnote w:id="6">
    <w:p w14:paraId="763ED27F" w14:textId="77777777" w:rsidR="00D26C0E" w:rsidRDefault="00D26C0E" w:rsidP="00D26C0E">
      <w:pPr>
        <w:pStyle w:val="FootnoteText"/>
      </w:pPr>
      <w:r>
        <w:rPr>
          <w:rStyle w:val="FootnoteReference"/>
        </w:rPr>
        <w:footnoteRef/>
      </w:r>
      <w:r>
        <w:t xml:space="preserve"> The Applicant notes that they </w:t>
      </w:r>
      <w:r w:rsidRPr="00E6237C">
        <w:t xml:space="preserve">made two requests to </w:t>
      </w:r>
      <w:r>
        <w:t xml:space="preserve">the </w:t>
      </w:r>
      <w:r w:rsidRPr="00E6237C">
        <w:t>Center for Health Information Analysis (CHIA) to receive access to historic claims data from the Massachusetts All-Payer Claims Database (APCD) for the needs analysis; however, the APCD has a very specific basis on which non-government entities can request access to the data. Both of the Applicant’s requests were rejected because the Applicant is not a Massachusetts provider.</w:t>
      </w:r>
    </w:p>
  </w:footnote>
  <w:footnote w:id="7">
    <w:p w14:paraId="3C5D3EE0" w14:textId="11465226" w:rsidR="009F35A3" w:rsidRDefault="009F35A3">
      <w:pPr>
        <w:pStyle w:val="FootnoteText"/>
      </w:pPr>
      <w:r>
        <w:rPr>
          <w:rStyle w:val="FootnoteReference"/>
        </w:rPr>
        <w:footnoteRef/>
      </w:r>
      <w:r>
        <w:t xml:space="preserve"> </w:t>
      </w:r>
      <w:r w:rsidR="00555B4D">
        <w:t xml:space="preserve">Source: </w:t>
      </w:r>
      <w:r w:rsidRPr="009F35A3">
        <w:t>ESRI Data, 2025</w:t>
      </w:r>
      <w:r w:rsidR="00555B4D">
        <w:t>.</w:t>
      </w:r>
    </w:p>
  </w:footnote>
  <w:footnote w:id="8">
    <w:p w14:paraId="5D7CA995" w14:textId="50F129D6" w:rsidR="009F35A3" w:rsidRDefault="009F35A3">
      <w:pPr>
        <w:pStyle w:val="FootnoteText"/>
      </w:pPr>
      <w:r>
        <w:rPr>
          <w:rStyle w:val="FootnoteReference"/>
        </w:rPr>
        <w:footnoteRef/>
      </w:r>
      <w:r>
        <w:t xml:space="preserve"> </w:t>
      </w:r>
      <w:r w:rsidR="00555B4D" w:rsidRPr="00555B4D">
        <w:t>Source: ESRI Data</w:t>
      </w:r>
      <w:r w:rsidR="0065456B">
        <w:t>,</w:t>
      </w:r>
      <w:r w:rsidR="00555B4D" w:rsidRPr="00555B4D">
        <w:t xml:space="preserve"> 2025.</w:t>
      </w:r>
    </w:p>
  </w:footnote>
  <w:footnote w:id="9">
    <w:p w14:paraId="54343273" w14:textId="4EDECC62" w:rsidR="00555B4D" w:rsidRDefault="00555B4D">
      <w:pPr>
        <w:pStyle w:val="FootnoteText"/>
      </w:pPr>
      <w:r>
        <w:rPr>
          <w:rStyle w:val="FootnoteReference"/>
        </w:rPr>
        <w:footnoteRef/>
      </w:r>
      <w:r>
        <w:t xml:space="preserve"> </w:t>
      </w:r>
      <w:r w:rsidRPr="00555B4D">
        <w:t>Source: ESRI Data</w:t>
      </w:r>
      <w:r w:rsidR="0065456B">
        <w:t>,</w:t>
      </w:r>
      <w:r w:rsidRPr="00555B4D">
        <w:t xml:space="preserve"> 2025.</w:t>
      </w:r>
    </w:p>
  </w:footnote>
  <w:footnote w:id="10">
    <w:p w14:paraId="4E6540BA" w14:textId="53E75DF1" w:rsidR="00CF6C52" w:rsidRDefault="00CF6C52" w:rsidP="002F7E48">
      <w:pPr>
        <w:pStyle w:val="FootnoteText"/>
      </w:pPr>
      <w:r>
        <w:rPr>
          <w:rStyle w:val="FootnoteReference"/>
        </w:rPr>
        <w:footnoteRef/>
      </w:r>
      <w:r>
        <w:t xml:space="preserve"> </w:t>
      </w:r>
      <w:r w:rsidR="002F7E48">
        <w:t>ASC excluded due to volume &lt;11. Source: Komodo Claims Data 2024.</w:t>
      </w:r>
    </w:p>
  </w:footnote>
  <w:footnote w:id="11">
    <w:p w14:paraId="55563D30" w14:textId="66478A1F" w:rsidR="002F7E48" w:rsidRDefault="002F7E48" w:rsidP="002F07EC">
      <w:pPr>
        <w:pStyle w:val="FootnoteText"/>
      </w:pPr>
      <w:r>
        <w:rPr>
          <w:rStyle w:val="FootnoteReference"/>
        </w:rPr>
        <w:footnoteRef/>
      </w:r>
      <w:r>
        <w:t xml:space="preserve"> </w:t>
      </w:r>
      <w:r w:rsidR="002F07EC">
        <w:t>ASC excluded due to volume &lt;11. Source: Komodo Claims Data 2024.</w:t>
      </w:r>
    </w:p>
  </w:footnote>
  <w:footnote w:id="12">
    <w:p w14:paraId="5D9DA0DD" w14:textId="751A74D1" w:rsidR="007944DF" w:rsidRDefault="007944DF">
      <w:pPr>
        <w:pStyle w:val="FootnoteText"/>
      </w:pPr>
      <w:r>
        <w:rPr>
          <w:rStyle w:val="FootnoteReference"/>
        </w:rPr>
        <w:footnoteRef/>
      </w:r>
      <w:r>
        <w:t xml:space="preserve"> The Applicant states that </w:t>
      </w:r>
      <w:r w:rsidRPr="007944DF">
        <w:t>Blue Cloud data was sourced from US Census and MassHealth, who reported Medicaid dental utilization</w:t>
      </w:r>
      <w:r w:rsidR="00D640ED">
        <w:t xml:space="preserve"> from</w:t>
      </w:r>
      <w:r w:rsidRPr="007944DF">
        <w:t xml:space="preserve"> 2018</w:t>
      </w:r>
      <w:r w:rsidR="00D640ED">
        <w:t xml:space="preserve"> to </w:t>
      </w:r>
      <w:r w:rsidRPr="007944DF">
        <w:t>2020 amongst Medicaid beneficiaries.</w:t>
      </w:r>
    </w:p>
  </w:footnote>
  <w:footnote w:id="13">
    <w:p w14:paraId="47C9CB8A" w14:textId="0988272F" w:rsidR="00626BCE" w:rsidRDefault="00626BCE">
      <w:pPr>
        <w:pStyle w:val="FootnoteText"/>
      </w:pPr>
      <w:r>
        <w:rPr>
          <w:rStyle w:val="FootnoteReference"/>
        </w:rPr>
        <w:footnoteRef/>
      </w:r>
      <w:r>
        <w:t xml:space="preserve"> </w:t>
      </w:r>
      <w:r w:rsidR="00C9078F">
        <w:t>C</w:t>
      </w:r>
      <w:r w:rsidR="007F132A" w:rsidRPr="007F132A">
        <w:t>losed sacs containing air, fluid, or soft material. They form in both the hard and soft tissues of the mouth, face, or jaw and can cause irritation and pain.</w:t>
      </w:r>
    </w:p>
  </w:footnote>
  <w:footnote w:id="14">
    <w:p w14:paraId="4C662B9E" w14:textId="490126B8" w:rsidR="004D0E05" w:rsidRDefault="004D0E05">
      <w:pPr>
        <w:pStyle w:val="FootnoteText"/>
      </w:pPr>
      <w:r>
        <w:rPr>
          <w:rStyle w:val="FootnoteReference"/>
        </w:rPr>
        <w:footnoteRef/>
      </w:r>
      <w:r>
        <w:t xml:space="preserve"> </w:t>
      </w:r>
      <w:r w:rsidRPr="004D0E05">
        <w:t>Source</w:t>
      </w:r>
      <w:r>
        <w:t xml:space="preserve">: </w:t>
      </w:r>
      <w:r w:rsidRPr="004D0E05">
        <w:t>Komodo Claims Data 2024</w:t>
      </w:r>
      <w:r>
        <w:t>.</w:t>
      </w:r>
      <w:r w:rsidRPr="004D0E05">
        <w:t>  </w:t>
      </w:r>
    </w:p>
  </w:footnote>
  <w:footnote w:id="15">
    <w:p w14:paraId="7D32247C" w14:textId="4D3AF4F9" w:rsidR="004D0E05" w:rsidRDefault="004D0E05">
      <w:pPr>
        <w:pStyle w:val="FootnoteText"/>
      </w:pPr>
      <w:r>
        <w:rPr>
          <w:rStyle w:val="FootnoteReference"/>
        </w:rPr>
        <w:footnoteRef/>
      </w:r>
      <w:r>
        <w:t xml:space="preserve"> </w:t>
      </w:r>
      <w:r w:rsidRPr="004D0E05">
        <w:t>Source</w:t>
      </w:r>
      <w:r>
        <w:t xml:space="preserve">: </w:t>
      </w:r>
      <w:r w:rsidRPr="004D0E05">
        <w:t>Komodo Claims Data 2024</w:t>
      </w:r>
      <w:r>
        <w:t>.</w:t>
      </w:r>
      <w:r w:rsidRPr="004D0E05">
        <w:t>  </w:t>
      </w:r>
    </w:p>
  </w:footnote>
  <w:footnote w:id="16">
    <w:p w14:paraId="21DBC3BA" w14:textId="3C0EFCEC" w:rsidR="004D0E05" w:rsidRDefault="004D0E05">
      <w:pPr>
        <w:pStyle w:val="FootnoteText"/>
      </w:pPr>
      <w:r>
        <w:rPr>
          <w:rStyle w:val="FootnoteReference"/>
        </w:rPr>
        <w:footnoteRef/>
      </w:r>
      <w:r>
        <w:t xml:space="preserve"> </w:t>
      </w:r>
      <w:r w:rsidRPr="004D0E05">
        <w:t>Source</w:t>
      </w:r>
      <w:r>
        <w:t xml:space="preserve">: </w:t>
      </w:r>
      <w:r w:rsidRPr="004D0E05">
        <w:t>Komodo Claims Data 2024</w:t>
      </w:r>
      <w:r>
        <w:t>.</w:t>
      </w:r>
      <w:r w:rsidRPr="004D0E05">
        <w:t>  </w:t>
      </w:r>
    </w:p>
  </w:footnote>
  <w:footnote w:id="17">
    <w:p w14:paraId="40382605" w14:textId="7B86E199" w:rsidR="00111810" w:rsidRDefault="00111810" w:rsidP="007712EB">
      <w:pPr>
        <w:pStyle w:val="FootnoteText"/>
      </w:pPr>
      <w:r>
        <w:rPr>
          <w:rStyle w:val="FootnoteReference"/>
        </w:rPr>
        <w:footnoteRef/>
      </w:r>
      <w:r>
        <w:t xml:space="preserve"> </w:t>
      </w:r>
      <w:hyperlink r:id="rId1" w:history="1">
        <w:r w:rsidR="007712EB" w:rsidRPr="00FB76FB">
          <w:rPr>
            <w:rStyle w:val="Hyperlink"/>
          </w:rPr>
          <w:t>Commonwealth of Massachusetts MassHealth Provider Manual Series. Freestanding Ambulatory Surgery Center Manual</w:t>
        </w:r>
      </w:hyperlink>
    </w:p>
  </w:footnote>
  <w:footnote w:id="18">
    <w:p w14:paraId="78905BF3" w14:textId="79021E06" w:rsidR="000C0D3A" w:rsidRDefault="000C0D3A">
      <w:pPr>
        <w:pStyle w:val="FootnoteText"/>
      </w:pPr>
      <w:r>
        <w:rPr>
          <w:rStyle w:val="FootnoteReference"/>
        </w:rPr>
        <w:footnoteRef/>
      </w:r>
      <w:r>
        <w:t xml:space="preserve"> </w:t>
      </w:r>
      <w:r w:rsidRPr="000C0D3A">
        <w:t xml:space="preserve">MassHealth provides all Medically Necessary dental services for MassHealth members under age 21, including preventive, emergency, diagnostic, restorative, orthodontic, periodontic, prosthodontic, endodontic, </w:t>
      </w:r>
      <w:proofErr w:type="spellStart"/>
      <w:r w:rsidRPr="000C0D3A">
        <w:t>exodontic</w:t>
      </w:r>
      <w:proofErr w:type="spellEnd"/>
      <w:r w:rsidRPr="000C0D3A">
        <w:t xml:space="preserve"> and surgical services.</w:t>
      </w:r>
    </w:p>
  </w:footnote>
  <w:footnote w:id="19">
    <w:p w14:paraId="487EAF9F" w14:textId="05D8F588" w:rsidR="001B2DC8" w:rsidRDefault="001B2DC8" w:rsidP="001B2DC8">
      <w:pPr>
        <w:pStyle w:val="FootnoteText"/>
      </w:pPr>
      <w:r>
        <w:rPr>
          <w:rStyle w:val="FootnoteReference"/>
        </w:rPr>
        <w:footnoteRef/>
      </w:r>
      <w:r>
        <w:t xml:space="preserve"> The Applicant states that it contacted all 71 pediatric dental offices and spoke with 43 of the </w:t>
      </w:r>
      <w:r w:rsidR="006B62E1">
        <w:t>71 pediatric dental offices</w:t>
      </w:r>
      <w:r>
        <w:t>.</w:t>
      </w:r>
    </w:p>
  </w:footnote>
  <w:footnote w:id="20">
    <w:p w14:paraId="531CF1B1" w14:textId="12BCC285" w:rsidR="004444CF" w:rsidRDefault="004444CF">
      <w:pPr>
        <w:pStyle w:val="FootnoteText"/>
      </w:pPr>
      <w:r>
        <w:rPr>
          <w:rStyle w:val="FootnoteReference"/>
        </w:rPr>
        <w:footnoteRef/>
      </w:r>
      <w:r>
        <w:t xml:space="preserve"> The list of dental offices includes: </w:t>
      </w:r>
      <w:r w:rsidR="00931399">
        <w:t xml:space="preserve">Broad Smiles Pediatric Dentistry and Orthodontics in Lynn; </w:t>
      </w:r>
      <w:r w:rsidR="002C4824" w:rsidRPr="002C4824">
        <w:t xml:space="preserve"> </w:t>
      </w:r>
      <w:r w:rsidR="001C527C">
        <w:t xml:space="preserve">Broad Smiles Pediatric Dentistry in Lynnfield; South Shore Pediatric Dentistry in Weymouth; Brockton Pediatric Dentistry &amp; Orthodontics in Brockton; Awesome Kids Teeth in Framingham; </w:t>
      </w:r>
      <w:r w:rsidR="002C4824" w:rsidRPr="002C4824">
        <w:t xml:space="preserve">Cambridge Pediatric Dental Associates in Cambridge; David S Gould DDS in Brockton; </w:t>
      </w:r>
      <w:proofErr w:type="spellStart"/>
      <w:r w:rsidR="002C4824" w:rsidRPr="002C4824">
        <w:t>Dentisty</w:t>
      </w:r>
      <w:proofErr w:type="spellEnd"/>
      <w:r w:rsidR="002C4824" w:rsidRPr="002C4824">
        <w:t xml:space="preserve"> for Children in Weymouth; Norwell Pediatric Dentistry, LLC in Norwell; Everett Smiles Pediatric Dentistry and Orthodontics in Everett; Everett-Chelsea Children’s Dental in Chelsea; Growing Smile Pediatric Dentistry and Braces in Peabody; Revere Pediatric Dentistry in Revere; </w:t>
      </w:r>
      <w:proofErr w:type="spellStart"/>
      <w:r w:rsidR="002C4824" w:rsidRPr="002C4824">
        <w:t>Smileland</w:t>
      </w:r>
      <w:proofErr w:type="spellEnd"/>
      <w:r w:rsidR="002C4824" w:rsidRPr="002C4824">
        <w:t xml:space="preserve"> Pediatric Dentistry &amp; Braces of Malden in Malden; </w:t>
      </w:r>
      <w:proofErr w:type="spellStart"/>
      <w:r w:rsidR="001C527C">
        <w:t>Sugabug</w:t>
      </w:r>
      <w:proofErr w:type="spellEnd"/>
      <w:r w:rsidR="001C527C">
        <w:t xml:space="preserve"> Dental Suite, PC in Chelmsford; and Lowell Dentistry for Children in Lowell. </w:t>
      </w:r>
    </w:p>
  </w:footnote>
  <w:footnote w:id="21">
    <w:p w14:paraId="343C3594" w14:textId="355430CD" w:rsidR="005B47E5" w:rsidRDefault="005B47E5" w:rsidP="005B47E5">
      <w:pPr>
        <w:pStyle w:val="FootnoteText"/>
      </w:pPr>
      <w:r>
        <w:rPr>
          <w:rStyle w:val="FootnoteReference"/>
        </w:rPr>
        <w:footnoteRef/>
      </w:r>
      <w:r>
        <w:t xml:space="preserve"> </w:t>
      </w:r>
      <w:r w:rsidR="000E38ED" w:rsidRPr="000E38ED">
        <w:t>America Anesthesia Partners</w:t>
      </w:r>
      <w:r w:rsidR="000E38ED">
        <w:t xml:space="preserve">, </w:t>
      </w:r>
      <w:r w:rsidRPr="00031499">
        <w:t>McCarthy Anesthesiology, LLC,</w:t>
      </w:r>
      <w:r w:rsidR="000E38ED" w:rsidRPr="000E38ED">
        <w:t xml:space="preserve"> </w:t>
      </w:r>
      <w:r w:rsidRPr="00031499">
        <w:t xml:space="preserve">Northeast Dental Anesthesia Associates, </w:t>
      </w:r>
      <w:r w:rsidR="000E38ED">
        <w:t xml:space="preserve">and </w:t>
      </w:r>
      <w:r w:rsidRPr="00031499">
        <w:t>Pediatric Dental Anesthesia Associates.</w:t>
      </w:r>
    </w:p>
  </w:footnote>
  <w:footnote w:id="22">
    <w:p w14:paraId="034E179C" w14:textId="652F4EEB" w:rsidR="00CA47AF" w:rsidRDefault="00CA47AF">
      <w:pPr>
        <w:pStyle w:val="FootnoteText"/>
      </w:pPr>
      <w:r>
        <w:rPr>
          <w:rStyle w:val="FootnoteReference"/>
        </w:rPr>
        <w:footnoteRef/>
      </w:r>
      <w:r>
        <w:t xml:space="preserve"> </w:t>
      </w:r>
      <w:hyperlink r:id="rId2" w:history="1">
        <w:r w:rsidR="00CF0FAA" w:rsidRPr="003D5219">
          <w:rPr>
            <w:rStyle w:val="Hyperlink"/>
          </w:rPr>
          <w:t xml:space="preserve">101 CMR 316(3)(a): Payment rates are used to pay for surgical </w:t>
        </w:r>
        <w:r w:rsidR="001168E5" w:rsidRPr="003D5219">
          <w:rPr>
            <w:rStyle w:val="Hyperlink"/>
          </w:rPr>
          <w:t>and</w:t>
        </w:r>
        <w:r w:rsidR="00CF0FAA" w:rsidRPr="003D5219">
          <w:rPr>
            <w:rStyle w:val="Hyperlink"/>
          </w:rPr>
          <w:t xml:space="preserve"> anesthesia services to patients in private medical office, freestanding ASC, licensed clinic, hospital, or other inpatient or outpatient facility or department, or other appropriate setting by an individual eligible provider, when an eligible provider bills for the medical services rendered and no other payment method applies.</w:t>
        </w:r>
        <w:r w:rsidR="007A605F" w:rsidRPr="003D5219">
          <w:rPr>
            <w:rStyle w:val="Hyperlink"/>
          </w:rPr>
          <w:t xml:space="preserve"> </w:t>
        </w:r>
      </w:hyperlink>
    </w:p>
  </w:footnote>
  <w:footnote w:id="23">
    <w:p w14:paraId="2A157DE8" w14:textId="30EBC503" w:rsidR="00DD4FDF" w:rsidRDefault="00DD4FDF">
      <w:pPr>
        <w:pStyle w:val="FootnoteText"/>
      </w:pPr>
      <w:r>
        <w:rPr>
          <w:rStyle w:val="FootnoteReference"/>
        </w:rPr>
        <w:footnoteRef/>
      </w:r>
      <w:r>
        <w:t xml:space="preserve"> This wait time is similar for non-emergent cases, based on the Applicant’s experience in other markets. </w:t>
      </w:r>
    </w:p>
  </w:footnote>
  <w:footnote w:id="24">
    <w:p w14:paraId="04E02F22" w14:textId="1ADF2650" w:rsidR="005B47E5" w:rsidRDefault="005B47E5" w:rsidP="005B47E5">
      <w:pPr>
        <w:pStyle w:val="FootnoteText"/>
      </w:pPr>
      <w:r>
        <w:rPr>
          <w:rStyle w:val="FootnoteReference"/>
        </w:rPr>
        <w:footnoteRef/>
      </w:r>
      <w:r>
        <w:t xml:space="preserve"> </w:t>
      </w:r>
      <w:r w:rsidRPr="00FF7958">
        <w:t xml:space="preserve">Source: Utilization rates via 2024 Komodo closed claims. Population data via PUMS </w:t>
      </w:r>
      <w:r w:rsidR="000B1245">
        <w:t xml:space="preserve">(2024) </w:t>
      </w:r>
      <w:r w:rsidRPr="00FF7958">
        <w:t>and ESRI demographic data</w:t>
      </w:r>
      <w:r w:rsidR="000B1245">
        <w:t xml:space="preserve"> (2024)</w:t>
      </w:r>
      <w:r>
        <w:t>.</w:t>
      </w:r>
    </w:p>
  </w:footnote>
  <w:footnote w:id="25">
    <w:p w14:paraId="6E784A75" w14:textId="77777777" w:rsidR="00207927" w:rsidRDefault="00207927" w:rsidP="00207927">
      <w:pPr>
        <w:pStyle w:val="FootnoteText"/>
      </w:pPr>
      <w:r>
        <w:rPr>
          <w:rStyle w:val="FootnoteReference"/>
        </w:rPr>
        <w:footnoteRef/>
      </w:r>
      <w:r>
        <w:t xml:space="preserve"> </w:t>
      </w:r>
      <w:proofErr w:type="spellStart"/>
      <w:r w:rsidRPr="00782DE3">
        <w:t>DentaQuest</w:t>
      </w:r>
      <w:proofErr w:type="spellEnd"/>
      <w:r w:rsidRPr="00782DE3">
        <w:t xml:space="preserve"> became MassHealth’s dental program third-party administrator (TPA) on February 1, 2026.</w:t>
      </w:r>
    </w:p>
  </w:footnote>
  <w:footnote w:id="26">
    <w:p w14:paraId="478E0EB7" w14:textId="77777777" w:rsidR="000A1E83" w:rsidRDefault="000A1E83" w:rsidP="000A1E83">
      <w:pPr>
        <w:pStyle w:val="FootnoteText"/>
      </w:pPr>
      <w:r>
        <w:rPr>
          <w:rStyle w:val="FootnoteReference"/>
        </w:rPr>
        <w:footnoteRef/>
      </w:r>
      <w:r>
        <w:t xml:space="preserve"> The Applicant states that the difference between an OR and treatment room is largely driven by state regulations which differ nationally. Treatment rooms often are not plumbed for medical gases needed for anesthesia machines and the room sizes can be much smaller than a licensed operating room. </w:t>
      </w:r>
    </w:p>
  </w:footnote>
  <w:footnote w:id="27">
    <w:p w14:paraId="3C0840E9" w14:textId="30FBE5BF" w:rsidR="00B4208D" w:rsidRDefault="00B4208D">
      <w:pPr>
        <w:pStyle w:val="FootnoteText"/>
      </w:pPr>
      <w:r>
        <w:rPr>
          <w:rStyle w:val="FootnoteReference"/>
        </w:rPr>
        <w:footnoteRef/>
      </w:r>
      <w:r>
        <w:t xml:space="preserve"> </w:t>
      </w:r>
      <w:r w:rsidRPr="00B4208D">
        <w:t>For example, the proposed ASC has two ORs, and if there are 21 business days in a month, the ASC has 42 OR days available to treat a patient. If the proposed ASC uses 21 OR days in a month (1 OR per business day to treat a patient), then OR utilization is at 50</w:t>
      </w:r>
      <w:r w:rsidR="00B758DF" w:rsidRPr="00B758DF">
        <w:t xml:space="preserve"> percent</w:t>
      </w:r>
      <w:r w:rsidRPr="00B4208D">
        <w:t xml:space="preserve"> capacity for that month (21 ORs used/42 ORs available).</w:t>
      </w:r>
    </w:p>
  </w:footnote>
  <w:footnote w:id="28">
    <w:p w14:paraId="79968CD3" w14:textId="77777777" w:rsidR="00076A86" w:rsidRDefault="00076A86">
      <w:pPr>
        <w:pStyle w:val="FootnoteText"/>
      </w:pPr>
      <w:r>
        <w:rPr>
          <w:rStyle w:val="FootnoteReference"/>
        </w:rPr>
        <w:footnoteRef/>
      </w:r>
      <w:r>
        <w:t xml:space="preserve"> </w:t>
      </w:r>
      <w:r w:rsidRPr="00076A86">
        <w:t>PALS is a certification program that trains healthcare workers on how to respond to cardiorespiratory emergencies (e.g., shock and cardiac arrest) in infants and children.</w:t>
      </w:r>
    </w:p>
  </w:footnote>
  <w:footnote w:id="29">
    <w:p w14:paraId="7B9D9281" w14:textId="77777777" w:rsidR="00E80283" w:rsidRDefault="00E80283" w:rsidP="00E80283">
      <w:pPr>
        <w:pStyle w:val="FootnoteText"/>
      </w:pPr>
      <w:r>
        <w:rPr>
          <w:rStyle w:val="FootnoteReference"/>
        </w:rPr>
        <w:footnoteRef/>
      </w:r>
      <w:r>
        <w:t xml:space="preserve"> The Applicant states that </w:t>
      </w:r>
      <w:r w:rsidRPr="00625F2F">
        <w:t>MassHealth did not disclose the name of the one (1) enrolled pediatric ASC.</w:t>
      </w:r>
    </w:p>
  </w:footnote>
  <w:footnote w:id="30">
    <w:p w14:paraId="4A8DA7B0" w14:textId="77777777" w:rsidR="0025716A" w:rsidRDefault="0025716A" w:rsidP="0025716A">
      <w:pPr>
        <w:pStyle w:val="FootnoteText"/>
      </w:pPr>
      <w:r>
        <w:rPr>
          <w:rStyle w:val="FootnoteReference"/>
        </w:rPr>
        <w:footnoteRef/>
      </w:r>
      <w:r>
        <w:t xml:space="preserve"> Children 18 years of age and younger. </w:t>
      </w:r>
    </w:p>
  </w:footnote>
  <w:footnote w:id="31">
    <w:p w14:paraId="3766F38A" w14:textId="77777777" w:rsidR="0025716A" w:rsidRDefault="0025716A" w:rsidP="0025716A">
      <w:pPr>
        <w:pStyle w:val="FootnoteText"/>
      </w:pPr>
      <w:r>
        <w:rPr>
          <w:rStyle w:val="FootnoteReference"/>
        </w:rPr>
        <w:footnoteRef/>
      </w:r>
      <w:r>
        <w:t xml:space="preserve"> Total Medicaid payment was calculated by summing all fee-for-service (FFS) paid amounts on the date of the procedure. This was calculated only for FFS procedures due to concerns about inaccurate and missing information on procedures paid via managed care.</w:t>
      </w:r>
    </w:p>
  </w:footnote>
  <w:footnote w:id="32">
    <w:p w14:paraId="0B004D2F" w14:textId="588BA249" w:rsidR="00910610" w:rsidRDefault="00910610">
      <w:pPr>
        <w:pStyle w:val="FootnoteText"/>
      </w:pPr>
      <w:r>
        <w:rPr>
          <w:rStyle w:val="FootnoteReference"/>
        </w:rPr>
        <w:footnoteRef/>
      </w:r>
      <w:r w:rsidR="00AB75EE">
        <w:t xml:space="preserve"> Source: </w:t>
      </w:r>
      <w:r w:rsidR="00AB75EE" w:rsidRPr="00AB75EE">
        <w:t>2025 CMS.gov, Physician Fee Schedule National Payment Amount File  that compares CTP G0330 (facility and technical fees for dental rehabilitation procedures in an operating room).</w:t>
      </w:r>
      <w:r w:rsidR="00AB75EE">
        <w:t xml:space="preserve"> </w:t>
      </w:r>
      <w:r w:rsidR="00AB75EE" w:rsidRPr="00AB75EE">
        <w:t>The 2026 pricing in the Physician Fee Schedule National Payment Amount File for this CPT Code is $3,387 for an HOPD and $1,480 for an ASC, a difference of $1,907.</w:t>
      </w:r>
    </w:p>
  </w:footnote>
  <w:footnote w:id="33">
    <w:p w14:paraId="3AC25009" w14:textId="18AF22A0" w:rsidR="008B0AB6" w:rsidRDefault="008B0AB6">
      <w:pPr>
        <w:pStyle w:val="FootnoteText"/>
      </w:pPr>
      <w:r>
        <w:rPr>
          <w:rStyle w:val="FootnoteReference"/>
        </w:rPr>
        <w:footnoteRef/>
      </w:r>
      <w:r>
        <w:t xml:space="preserve"> </w:t>
      </w:r>
      <w:r w:rsidR="00F711AC" w:rsidRPr="00F711AC">
        <w:t>The Applicant’s fiscal year is defined as January 1 through December 31</w:t>
      </w:r>
      <w:r w:rsidR="00F711AC">
        <w:t xml:space="preserve">. </w:t>
      </w:r>
    </w:p>
  </w:footnote>
  <w:footnote w:id="34">
    <w:p w14:paraId="32397B63" w14:textId="2F009EED" w:rsidR="00235CAA" w:rsidRDefault="00235CAA" w:rsidP="00235CAA">
      <w:pPr>
        <w:pStyle w:val="FootnoteText"/>
      </w:pPr>
      <w:r>
        <w:rPr>
          <w:rStyle w:val="FootnoteReference"/>
        </w:rPr>
        <w:footnoteRef/>
      </w:r>
      <w:r>
        <w:t xml:space="preserve"> Profitability metrics are used to assist in the evaluation of Management’s performance in how efficiently resources are utilized. Liquidity metrics, including common ratios such as “days of available cash and investments on hand”, measure the quality and adequacy of assets to meet current obligations as they come due. Solvency metrics measure the company’s ability to take on and service debt obligations.</w:t>
      </w:r>
    </w:p>
  </w:footnote>
  <w:footnote w:id="35">
    <w:p w14:paraId="78DB4057" w14:textId="6E28BCB1" w:rsidR="00020F05" w:rsidRDefault="00020F05" w:rsidP="00020F05">
      <w:pPr>
        <w:pStyle w:val="FootnoteText"/>
      </w:pPr>
      <w:r>
        <w:rPr>
          <w:rStyle w:val="FootnoteReference"/>
        </w:rPr>
        <w:footnoteRef/>
      </w:r>
      <w:r>
        <w:t xml:space="preserve"> Professional and Anesthesia Revenue are generated by professional entities affiliated with the Applicant. These revenues are included for purposes of the consolidation of the Applicant’s financial statements.</w:t>
      </w:r>
    </w:p>
  </w:footnote>
  <w:footnote w:id="36">
    <w:p w14:paraId="0E2656F6" w14:textId="2B7A82BA" w:rsidR="00463022" w:rsidRDefault="00463022">
      <w:pPr>
        <w:pStyle w:val="FootnoteText"/>
      </w:pPr>
      <w:r>
        <w:rPr>
          <w:rStyle w:val="FootnoteReference"/>
        </w:rPr>
        <w:footnoteRef/>
      </w:r>
      <w:r>
        <w:t xml:space="preserve"> The debt-to-equity</w:t>
      </w:r>
      <w:r w:rsidR="003346F1">
        <w:t xml:space="preserve"> (D/E)</w:t>
      </w:r>
      <w:r>
        <w:t xml:space="preserve"> ratio </w:t>
      </w:r>
      <w:r w:rsidR="00BD4CD4">
        <w:t>calculates</w:t>
      </w:r>
      <w:r w:rsidR="00BD4CD4" w:rsidRPr="00BD4CD4">
        <w:t xml:space="preserve"> a company’s total liabilities and shareholder equity </w:t>
      </w:r>
      <w:r w:rsidR="00BD4CD4">
        <w:t>to</w:t>
      </w:r>
      <w:r w:rsidR="00BD4CD4" w:rsidRPr="00BD4CD4">
        <w:t xml:space="preserve"> evaluate its reliance on debt</w:t>
      </w:r>
      <w:r w:rsidR="00C05040">
        <w:t xml:space="preserve">, with a higher </w:t>
      </w:r>
      <w:r w:rsidR="00B519FE">
        <w:t>D/E</w:t>
      </w:r>
      <w:r w:rsidR="00C05040">
        <w:t xml:space="preserve"> ratio, indicating greater financial risk. </w:t>
      </w:r>
      <w:r w:rsidR="00D238DA">
        <w:t xml:space="preserve">A value below one indicates that a company </w:t>
      </w:r>
      <w:r w:rsidR="00D238DA" w:rsidRPr="00D238DA">
        <w:t>uses less debt than shareholders’ equity to finance its operations.</w:t>
      </w:r>
      <w:r w:rsidR="00E261EA">
        <w:t xml:space="preserve"> </w:t>
      </w:r>
      <w:r w:rsidR="00B519FE">
        <w:t>D/E ratios vary by industry</w:t>
      </w:r>
      <w:r w:rsidR="00092C34">
        <w:t xml:space="preserve">, comparing companies in the same industry is </w:t>
      </w:r>
      <w:r w:rsidR="00EE497A">
        <w:t>more useful</w:t>
      </w:r>
      <w:r w:rsidR="00092C34">
        <w:t xml:space="preserve">. </w:t>
      </w:r>
      <w:r w:rsidR="00F9285B">
        <w:t xml:space="preserve">Source: </w:t>
      </w:r>
      <w:hyperlink r:id="rId3" w:history="1">
        <w:r w:rsidR="00F9285B" w:rsidRPr="00F9285B">
          <w:rPr>
            <w:rStyle w:val="Hyperlink"/>
          </w:rPr>
          <w:t>Debt-to-Equity (D/E) Ratio Formula and How to Interpret It</w:t>
        </w:r>
        <w:r w:rsidR="00017E6C" w:rsidRPr="00F9285B">
          <w:rPr>
            <w:rStyle w:val="Hyperlink"/>
          </w:rPr>
          <w:t xml:space="preserve"> </w:t>
        </w:r>
      </w:hyperlink>
    </w:p>
  </w:footnote>
  <w:footnote w:id="37">
    <w:p w14:paraId="44ECF3DC" w14:textId="38269EB6" w:rsidR="008A1A24" w:rsidRDefault="008A1A24">
      <w:pPr>
        <w:pStyle w:val="FootnoteText"/>
      </w:pPr>
      <w:r>
        <w:rPr>
          <w:rStyle w:val="FootnoteReference"/>
        </w:rPr>
        <w:footnoteRef/>
      </w:r>
      <w:r>
        <w:t xml:space="preserve"> </w:t>
      </w:r>
      <w:r w:rsidR="00F9285B" w:rsidRPr="008A1A24">
        <w:t>Komodo was</w:t>
      </w:r>
      <w:r w:rsidRPr="008A1A24">
        <w:t xml:space="preserve"> selected because it is estimated to include ~80</w:t>
      </w:r>
      <w:r w:rsidR="001168E5" w:rsidRPr="001168E5">
        <w:t xml:space="preserve"> percent</w:t>
      </w:r>
      <w:r w:rsidRPr="008A1A24">
        <w:t xml:space="preserve"> of outpatient claims in Massachusetts.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6E92" w14:textId="2FB467ED" w:rsidR="00EC4637" w:rsidRDefault="00EC4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65"/>
      <w:gridCol w:w="3465"/>
      <w:gridCol w:w="3465"/>
    </w:tblGrid>
    <w:tr w:rsidR="1A2CFF01" w14:paraId="4540EB51" w14:textId="77777777" w:rsidTr="1A2CFF01">
      <w:trPr>
        <w:trHeight w:val="300"/>
      </w:trPr>
      <w:tc>
        <w:tcPr>
          <w:tcW w:w="3465" w:type="dxa"/>
        </w:tcPr>
        <w:p w14:paraId="7A44C071" w14:textId="07143871" w:rsidR="1A2CFF01" w:rsidRDefault="1A2CFF01" w:rsidP="1A2CFF01">
          <w:pPr>
            <w:pStyle w:val="Header"/>
            <w:ind w:left="-115"/>
          </w:pPr>
        </w:p>
      </w:tc>
      <w:tc>
        <w:tcPr>
          <w:tcW w:w="3465" w:type="dxa"/>
        </w:tcPr>
        <w:p w14:paraId="53272F70" w14:textId="47809EF2" w:rsidR="1A2CFF01" w:rsidRDefault="1A2CFF01" w:rsidP="1A2CFF01">
          <w:pPr>
            <w:pStyle w:val="Header"/>
            <w:jc w:val="center"/>
          </w:pPr>
        </w:p>
      </w:tc>
      <w:tc>
        <w:tcPr>
          <w:tcW w:w="3465" w:type="dxa"/>
        </w:tcPr>
        <w:p w14:paraId="6A6DFE3D" w14:textId="0F8686AE" w:rsidR="1A2CFF01" w:rsidRDefault="1A2CFF01" w:rsidP="1A2CFF01">
          <w:pPr>
            <w:pStyle w:val="Header"/>
            <w:ind w:right="-115"/>
            <w:jc w:val="right"/>
          </w:pPr>
        </w:p>
      </w:tc>
    </w:tr>
  </w:tbl>
  <w:p w14:paraId="2C549112" w14:textId="3703A93E" w:rsidR="1A2CFF01" w:rsidRDefault="1A2CFF01" w:rsidP="1A2CFF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48AEC" w14:textId="4BE873EF" w:rsidR="00EC4637" w:rsidRDefault="00EC46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913E" w14:textId="37DD8990" w:rsidR="00E54588" w:rsidRDefault="00E545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7A5E" w14:textId="48F32284" w:rsidR="00E54588" w:rsidRDefault="00E545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6555" w14:textId="22808791" w:rsidR="00E54588" w:rsidRDefault="00E54588">
    <w:pPr>
      <w:pStyle w:val="Header"/>
    </w:pPr>
  </w:p>
</w:hdr>
</file>

<file path=word/intelligence2.xml><?xml version="1.0" encoding="utf-8"?>
<int2:intelligence xmlns:int2="http://schemas.microsoft.com/office/intelligence/2020/intelligence" xmlns:oel="http://schemas.microsoft.com/office/2019/extlst">
  <int2:observations>
    <int2:textHash int2:hashCode="FXOcqJK+9PPsZh" int2:id="WI5LvmmN">
      <int2:state int2:value="Rejected" int2:type="LegacyProofing"/>
    </int2:textHash>
    <int2:textHash int2:hashCode="BzvN8B/rJ5tKx/" int2:id="axrM9OZY">
      <int2:state int2:value="Rejected" int2:type="LegacyProofing"/>
    </int2:textHash>
    <int2:textHash int2:hashCode="MrGydln25631a1" int2:id="cTAHSydM">
      <int2:state int2:value="Rejected" int2:type="LegacyProofing"/>
    </int2:textHash>
    <int2:textHash int2:hashCode="Hx5n5f2yXS5c0Y" int2:id="g8x8b5mZ">
      <int2:state int2:value="Rejected" int2:type="LegacyProofing"/>
    </int2:textHash>
    <int2:textHash int2:hashCode="H0RIRLHKYWAJwr" int2:id="ye4Axkz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081"/>
    <w:multiLevelType w:val="hybridMultilevel"/>
    <w:tmpl w:val="B58675BC"/>
    <w:lvl w:ilvl="0" w:tplc="0A1A040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E15C8"/>
    <w:multiLevelType w:val="hybridMultilevel"/>
    <w:tmpl w:val="21A07B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C3792"/>
    <w:multiLevelType w:val="hybridMultilevel"/>
    <w:tmpl w:val="DE7497A0"/>
    <w:lvl w:ilvl="0" w:tplc="DFAA12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05680"/>
    <w:multiLevelType w:val="hybridMultilevel"/>
    <w:tmpl w:val="91C6FDD8"/>
    <w:lvl w:ilvl="0" w:tplc="F5DED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B0146F"/>
    <w:multiLevelType w:val="hybridMultilevel"/>
    <w:tmpl w:val="C97AC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BC59F4"/>
    <w:multiLevelType w:val="hybridMultilevel"/>
    <w:tmpl w:val="5D18F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0C2CA5"/>
    <w:multiLevelType w:val="hybridMultilevel"/>
    <w:tmpl w:val="0BDC6ED6"/>
    <w:lvl w:ilvl="0" w:tplc="E49E01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EA360A"/>
    <w:multiLevelType w:val="hybridMultilevel"/>
    <w:tmpl w:val="B0927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040E80"/>
    <w:multiLevelType w:val="hybridMultilevel"/>
    <w:tmpl w:val="CFFE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9C1E0B"/>
    <w:multiLevelType w:val="hybridMultilevel"/>
    <w:tmpl w:val="2DB02516"/>
    <w:lvl w:ilvl="0" w:tplc="C1C8BF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386430"/>
    <w:multiLevelType w:val="hybridMultilevel"/>
    <w:tmpl w:val="D93EB406"/>
    <w:lvl w:ilvl="0" w:tplc="BA2838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B671AA"/>
    <w:multiLevelType w:val="hybridMultilevel"/>
    <w:tmpl w:val="BE50AFFC"/>
    <w:lvl w:ilvl="0" w:tplc="D56644EC">
      <w:start w:val="1"/>
      <w:numFmt w:val="decimal"/>
      <w:lvlText w:val="%1."/>
      <w:lvlJc w:val="left"/>
      <w:pPr>
        <w:ind w:left="720" w:hanging="360"/>
      </w:pPr>
      <w:rPr>
        <w:rFonts w:hint="default"/>
        <w:b/>
        <w:b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DE26EE"/>
    <w:multiLevelType w:val="hybridMultilevel"/>
    <w:tmpl w:val="6974FB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690A25"/>
    <w:multiLevelType w:val="hybridMultilevel"/>
    <w:tmpl w:val="E9B422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89205B"/>
    <w:multiLevelType w:val="hybridMultilevel"/>
    <w:tmpl w:val="F8268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84F8B"/>
    <w:multiLevelType w:val="hybridMultilevel"/>
    <w:tmpl w:val="31FA92C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054678"/>
    <w:multiLevelType w:val="hybridMultilevel"/>
    <w:tmpl w:val="67C8C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51F49"/>
    <w:multiLevelType w:val="hybridMultilevel"/>
    <w:tmpl w:val="91C6FDD8"/>
    <w:lvl w:ilvl="0" w:tplc="F5DED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3744B2"/>
    <w:multiLevelType w:val="hybridMultilevel"/>
    <w:tmpl w:val="2FD6A3CC"/>
    <w:lvl w:ilvl="0" w:tplc="04AEED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5817E8"/>
    <w:multiLevelType w:val="hybridMultilevel"/>
    <w:tmpl w:val="8F6EF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B03328"/>
    <w:multiLevelType w:val="hybridMultilevel"/>
    <w:tmpl w:val="591C0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B73CB0"/>
    <w:multiLevelType w:val="hybridMultilevel"/>
    <w:tmpl w:val="91C6FDD8"/>
    <w:lvl w:ilvl="0" w:tplc="F5DED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3677B5E"/>
    <w:multiLevelType w:val="hybridMultilevel"/>
    <w:tmpl w:val="B19093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F81433"/>
    <w:multiLevelType w:val="hybridMultilevel"/>
    <w:tmpl w:val="AA0E6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3296653">
    <w:abstractNumId w:val="19"/>
  </w:num>
  <w:num w:numId="2" w16cid:durableId="645089849">
    <w:abstractNumId w:val="8"/>
  </w:num>
  <w:num w:numId="3" w16cid:durableId="1037124096">
    <w:abstractNumId w:val="7"/>
  </w:num>
  <w:num w:numId="4" w16cid:durableId="1611011621">
    <w:abstractNumId w:val="20"/>
  </w:num>
  <w:num w:numId="5" w16cid:durableId="254411071">
    <w:abstractNumId w:val="10"/>
  </w:num>
  <w:num w:numId="6" w16cid:durableId="1597707134">
    <w:abstractNumId w:val="21"/>
  </w:num>
  <w:num w:numId="7" w16cid:durableId="556940076">
    <w:abstractNumId w:val="3"/>
  </w:num>
  <w:num w:numId="8" w16cid:durableId="1335762990">
    <w:abstractNumId w:val="17"/>
  </w:num>
  <w:num w:numId="9" w16cid:durableId="1138297690">
    <w:abstractNumId w:val="5"/>
  </w:num>
  <w:num w:numId="10" w16cid:durableId="549264421">
    <w:abstractNumId w:val="12"/>
  </w:num>
  <w:num w:numId="11" w16cid:durableId="1546092179">
    <w:abstractNumId w:val="13"/>
  </w:num>
  <w:num w:numId="12" w16cid:durableId="987712375">
    <w:abstractNumId w:val="9"/>
  </w:num>
  <w:num w:numId="13" w16cid:durableId="2052684325">
    <w:abstractNumId w:val="1"/>
  </w:num>
  <w:num w:numId="14" w16cid:durableId="1170677686">
    <w:abstractNumId w:val="16"/>
  </w:num>
  <w:num w:numId="15" w16cid:durableId="2070570082">
    <w:abstractNumId w:val="14"/>
  </w:num>
  <w:num w:numId="16" w16cid:durableId="1284921779">
    <w:abstractNumId w:val="4"/>
  </w:num>
  <w:num w:numId="17" w16cid:durableId="1971134237">
    <w:abstractNumId w:val="23"/>
  </w:num>
  <w:num w:numId="18" w16cid:durableId="2075201946">
    <w:abstractNumId w:val="6"/>
  </w:num>
  <w:num w:numId="19" w16cid:durableId="744375469">
    <w:abstractNumId w:val="0"/>
  </w:num>
  <w:num w:numId="20" w16cid:durableId="1147431147">
    <w:abstractNumId w:val="11"/>
  </w:num>
  <w:num w:numId="21" w16cid:durableId="1978803985">
    <w:abstractNumId w:val="18"/>
  </w:num>
  <w:num w:numId="22" w16cid:durableId="1652754704">
    <w:abstractNumId w:val="22"/>
  </w:num>
  <w:num w:numId="23" w16cid:durableId="70080982">
    <w:abstractNumId w:val="2"/>
  </w:num>
  <w:num w:numId="24" w16cid:durableId="1085763384">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7F3"/>
    <w:rsid w:val="00000362"/>
    <w:rsid w:val="000003FF"/>
    <w:rsid w:val="00000430"/>
    <w:rsid w:val="0000071C"/>
    <w:rsid w:val="00000975"/>
    <w:rsid w:val="00001040"/>
    <w:rsid w:val="000012A3"/>
    <w:rsid w:val="00001374"/>
    <w:rsid w:val="00001390"/>
    <w:rsid w:val="00001564"/>
    <w:rsid w:val="0000168E"/>
    <w:rsid w:val="00001815"/>
    <w:rsid w:val="0000237C"/>
    <w:rsid w:val="000027EC"/>
    <w:rsid w:val="00002947"/>
    <w:rsid w:val="00002C98"/>
    <w:rsid w:val="00003299"/>
    <w:rsid w:val="00003423"/>
    <w:rsid w:val="000039A4"/>
    <w:rsid w:val="00003AA5"/>
    <w:rsid w:val="00003B76"/>
    <w:rsid w:val="00003DB4"/>
    <w:rsid w:val="000040CE"/>
    <w:rsid w:val="000040D9"/>
    <w:rsid w:val="00004181"/>
    <w:rsid w:val="00004439"/>
    <w:rsid w:val="000046FE"/>
    <w:rsid w:val="000047EA"/>
    <w:rsid w:val="00004A11"/>
    <w:rsid w:val="0000517F"/>
    <w:rsid w:val="00005253"/>
    <w:rsid w:val="000052DC"/>
    <w:rsid w:val="000055EA"/>
    <w:rsid w:val="0000566A"/>
    <w:rsid w:val="000056AD"/>
    <w:rsid w:val="00005944"/>
    <w:rsid w:val="00005A10"/>
    <w:rsid w:val="00005E2A"/>
    <w:rsid w:val="00006021"/>
    <w:rsid w:val="000060CB"/>
    <w:rsid w:val="00006146"/>
    <w:rsid w:val="00006497"/>
    <w:rsid w:val="000068A9"/>
    <w:rsid w:val="00006E0E"/>
    <w:rsid w:val="0000711B"/>
    <w:rsid w:val="000071D8"/>
    <w:rsid w:val="00007308"/>
    <w:rsid w:val="00007482"/>
    <w:rsid w:val="000074B6"/>
    <w:rsid w:val="000074CF"/>
    <w:rsid w:val="000076FA"/>
    <w:rsid w:val="00007959"/>
    <w:rsid w:val="00007EEC"/>
    <w:rsid w:val="0001017D"/>
    <w:rsid w:val="0001020F"/>
    <w:rsid w:val="000102D3"/>
    <w:rsid w:val="000107D7"/>
    <w:rsid w:val="000109F2"/>
    <w:rsid w:val="00010CF5"/>
    <w:rsid w:val="000114E2"/>
    <w:rsid w:val="00011511"/>
    <w:rsid w:val="000119D3"/>
    <w:rsid w:val="00011B77"/>
    <w:rsid w:val="00011C25"/>
    <w:rsid w:val="00011C94"/>
    <w:rsid w:val="00011D83"/>
    <w:rsid w:val="0001258A"/>
    <w:rsid w:val="000125D9"/>
    <w:rsid w:val="0001293E"/>
    <w:rsid w:val="00012AF8"/>
    <w:rsid w:val="0001311B"/>
    <w:rsid w:val="00013251"/>
    <w:rsid w:val="00013554"/>
    <w:rsid w:val="00013926"/>
    <w:rsid w:val="00013950"/>
    <w:rsid w:val="0001395E"/>
    <w:rsid w:val="00013C7D"/>
    <w:rsid w:val="00013F9A"/>
    <w:rsid w:val="00014053"/>
    <w:rsid w:val="00014696"/>
    <w:rsid w:val="000148AA"/>
    <w:rsid w:val="00014E94"/>
    <w:rsid w:val="00014FC2"/>
    <w:rsid w:val="0001503E"/>
    <w:rsid w:val="00015070"/>
    <w:rsid w:val="00015491"/>
    <w:rsid w:val="00015683"/>
    <w:rsid w:val="00015AD7"/>
    <w:rsid w:val="000161C6"/>
    <w:rsid w:val="000162B4"/>
    <w:rsid w:val="00016354"/>
    <w:rsid w:val="0001693E"/>
    <w:rsid w:val="00016A95"/>
    <w:rsid w:val="00016B4E"/>
    <w:rsid w:val="0001712D"/>
    <w:rsid w:val="000171EC"/>
    <w:rsid w:val="00017230"/>
    <w:rsid w:val="0001744B"/>
    <w:rsid w:val="00017697"/>
    <w:rsid w:val="00017883"/>
    <w:rsid w:val="00017C14"/>
    <w:rsid w:val="00017E6C"/>
    <w:rsid w:val="00017EDE"/>
    <w:rsid w:val="000201AF"/>
    <w:rsid w:val="000201E3"/>
    <w:rsid w:val="00020544"/>
    <w:rsid w:val="00020647"/>
    <w:rsid w:val="00020688"/>
    <w:rsid w:val="00020D91"/>
    <w:rsid w:val="00020EE5"/>
    <w:rsid w:val="00020F05"/>
    <w:rsid w:val="00020F56"/>
    <w:rsid w:val="00021185"/>
    <w:rsid w:val="00021538"/>
    <w:rsid w:val="00021683"/>
    <w:rsid w:val="000217BB"/>
    <w:rsid w:val="00021BA7"/>
    <w:rsid w:val="00021C87"/>
    <w:rsid w:val="00021C89"/>
    <w:rsid w:val="000221AA"/>
    <w:rsid w:val="00022A07"/>
    <w:rsid w:val="00022B9F"/>
    <w:rsid w:val="00022FAB"/>
    <w:rsid w:val="00022FD2"/>
    <w:rsid w:val="0002354B"/>
    <w:rsid w:val="00023560"/>
    <w:rsid w:val="00024390"/>
    <w:rsid w:val="00024403"/>
    <w:rsid w:val="000244B9"/>
    <w:rsid w:val="000249C5"/>
    <w:rsid w:val="00024A9E"/>
    <w:rsid w:val="00024B03"/>
    <w:rsid w:val="00024B39"/>
    <w:rsid w:val="00024B3F"/>
    <w:rsid w:val="00024C0C"/>
    <w:rsid w:val="00024C58"/>
    <w:rsid w:val="00024C68"/>
    <w:rsid w:val="00024CF5"/>
    <w:rsid w:val="00024FA3"/>
    <w:rsid w:val="00025D23"/>
    <w:rsid w:val="00025EBC"/>
    <w:rsid w:val="000261A7"/>
    <w:rsid w:val="00026291"/>
    <w:rsid w:val="00026596"/>
    <w:rsid w:val="0002683C"/>
    <w:rsid w:val="0002693B"/>
    <w:rsid w:val="00026D52"/>
    <w:rsid w:val="00026E61"/>
    <w:rsid w:val="00027161"/>
    <w:rsid w:val="000271CA"/>
    <w:rsid w:val="00027B81"/>
    <w:rsid w:val="00027BA7"/>
    <w:rsid w:val="000300C9"/>
    <w:rsid w:val="00030471"/>
    <w:rsid w:val="000305CE"/>
    <w:rsid w:val="000307C1"/>
    <w:rsid w:val="0003095A"/>
    <w:rsid w:val="0003096E"/>
    <w:rsid w:val="0003098F"/>
    <w:rsid w:val="00030B46"/>
    <w:rsid w:val="00030DA2"/>
    <w:rsid w:val="00030E3F"/>
    <w:rsid w:val="00031023"/>
    <w:rsid w:val="00031499"/>
    <w:rsid w:val="00031546"/>
    <w:rsid w:val="0003160D"/>
    <w:rsid w:val="00031818"/>
    <w:rsid w:val="00031A5E"/>
    <w:rsid w:val="00031B37"/>
    <w:rsid w:val="00031C68"/>
    <w:rsid w:val="0003231C"/>
    <w:rsid w:val="000324C0"/>
    <w:rsid w:val="000324FB"/>
    <w:rsid w:val="000327C1"/>
    <w:rsid w:val="000327F1"/>
    <w:rsid w:val="0003285A"/>
    <w:rsid w:val="0003285C"/>
    <w:rsid w:val="00032DA2"/>
    <w:rsid w:val="00032DEB"/>
    <w:rsid w:val="0003302C"/>
    <w:rsid w:val="00033155"/>
    <w:rsid w:val="0003348F"/>
    <w:rsid w:val="00033544"/>
    <w:rsid w:val="000336C2"/>
    <w:rsid w:val="000337B2"/>
    <w:rsid w:val="00033874"/>
    <w:rsid w:val="00033CFA"/>
    <w:rsid w:val="00033EE4"/>
    <w:rsid w:val="00034104"/>
    <w:rsid w:val="00034430"/>
    <w:rsid w:val="00034A83"/>
    <w:rsid w:val="00035015"/>
    <w:rsid w:val="000359AD"/>
    <w:rsid w:val="00035D1F"/>
    <w:rsid w:val="00036659"/>
    <w:rsid w:val="000369FE"/>
    <w:rsid w:val="00036AC0"/>
    <w:rsid w:val="00036AD3"/>
    <w:rsid w:val="00036F01"/>
    <w:rsid w:val="00037206"/>
    <w:rsid w:val="00037352"/>
    <w:rsid w:val="0003739A"/>
    <w:rsid w:val="00037684"/>
    <w:rsid w:val="000376F2"/>
    <w:rsid w:val="00037A1C"/>
    <w:rsid w:val="00037A8F"/>
    <w:rsid w:val="00037F18"/>
    <w:rsid w:val="00040284"/>
    <w:rsid w:val="000403B7"/>
    <w:rsid w:val="00040660"/>
    <w:rsid w:val="0004083A"/>
    <w:rsid w:val="00040960"/>
    <w:rsid w:val="00040BA1"/>
    <w:rsid w:val="000413D2"/>
    <w:rsid w:val="00041433"/>
    <w:rsid w:val="000415C7"/>
    <w:rsid w:val="00041766"/>
    <w:rsid w:val="00041E86"/>
    <w:rsid w:val="00042198"/>
    <w:rsid w:val="000423D7"/>
    <w:rsid w:val="00042491"/>
    <w:rsid w:val="00042500"/>
    <w:rsid w:val="000426D0"/>
    <w:rsid w:val="00042846"/>
    <w:rsid w:val="00042863"/>
    <w:rsid w:val="00042966"/>
    <w:rsid w:val="00042B14"/>
    <w:rsid w:val="00042BEA"/>
    <w:rsid w:val="00043096"/>
    <w:rsid w:val="0004320F"/>
    <w:rsid w:val="00043618"/>
    <w:rsid w:val="00043639"/>
    <w:rsid w:val="000437AE"/>
    <w:rsid w:val="000438EF"/>
    <w:rsid w:val="00043991"/>
    <w:rsid w:val="00043B95"/>
    <w:rsid w:val="00043CAE"/>
    <w:rsid w:val="00043CBB"/>
    <w:rsid w:val="00044385"/>
    <w:rsid w:val="00044442"/>
    <w:rsid w:val="000444EC"/>
    <w:rsid w:val="00045032"/>
    <w:rsid w:val="0004524A"/>
    <w:rsid w:val="00045409"/>
    <w:rsid w:val="000455EE"/>
    <w:rsid w:val="00045C9C"/>
    <w:rsid w:val="000461A1"/>
    <w:rsid w:val="000461AA"/>
    <w:rsid w:val="000463A1"/>
    <w:rsid w:val="00046522"/>
    <w:rsid w:val="00046530"/>
    <w:rsid w:val="000466AD"/>
    <w:rsid w:val="000469FA"/>
    <w:rsid w:val="00046A14"/>
    <w:rsid w:val="00046AE5"/>
    <w:rsid w:val="00046CE6"/>
    <w:rsid w:val="00046D96"/>
    <w:rsid w:val="000471B1"/>
    <w:rsid w:val="000471D4"/>
    <w:rsid w:val="00047382"/>
    <w:rsid w:val="00047B25"/>
    <w:rsid w:val="00047C0E"/>
    <w:rsid w:val="00050168"/>
    <w:rsid w:val="0005038D"/>
    <w:rsid w:val="000509B2"/>
    <w:rsid w:val="00050BA7"/>
    <w:rsid w:val="00050C17"/>
    <w:rsid w:val="00050F22"/>
    <w:rsid w:val="00050F90"/>
    <w:rsid w:val="0005114C"/>
    <w:rsid w:val="000519FB"/>
    <w:rsid w:val="00051A3B"/>
    <w:rsid w:val="00051C7D"/>
    <w:rsid w:val="00051D0A"/>
    <w:rsid w:val="0005221C"/>
    <w:rsid w:val="0005255E"/>
    <w:rsid w:val="00052966"/>
    <w:rsid w:val="000529FA"/>
    <w:rsid w:val="00052B24"/>
    <w:rsid w:val="000530BA"/>
    <w:rsid w:val="00053367"/>
    <w:rsid w:val="0005359C"/>
    <w:rsid w:val="00053822"/>
    <w:rsid w:val="00053A7C"/>
    <w:rsid w:val="00053AE2"/>
    <w:rsid w:val="00053B7B"/>
    <w:rsid w:val="0005427D"/>
    <w:rsid w:val="00054309"/>
    <w:rsid w:val="00054502"/>
    <w:rsid w:val="000545AE"/>
    <w:rsid w:val="000547A5"/>
    <w:rsid w:val="00054E4A"/>
    <w:rsid w:val="000552FC"/>
    <w:rsid w:val="0005545F"/>
    <w:rsid w:val="00055603"/>
    <w:rsid w:val="00055649"/>
    <w:rsid w:val="000558B4"/>
    <w:rsid w:val="00055984"/>
    <w:rsid w:val="00055D2A"/>
    <w:rsid w:val="00055E02"/>
    <w:rsid w:val="00055E31"/>
    <w:rsid w:val="00055E56"/>
    <w:rsid w:val="00056155"/>
    <w:rsid w:val="00056189"/>
    <w:rsid w:val="0005675F"/>
    <w:rsid w:val="00056976"/>
    <w:rsid w:val="00056BEA"/>
    <w:rsid w:val="00056D52"/>
    <w:rsid w:val="00056D64"/>
    <w:rsid w:val="00056F79"/>
    <w:rsid w:val="00057259"/>
    <w:rsid w:val="00057583"/>
    <w:rsid w:val="00057595"/>
    <w:rsid w:val="000575BD"/>
    <w:rsid w:val="00057F2D"/>
    <w:rsid w:val="000602A3"/>
    <w:rsid w:val="00060409"/>
    <w:rsid w:val="000604E8"/>
    <w:rsid w:val="00060C7E"/>
    <w:rsid w:val="00060D97"/>
    <w:rsid w:val="00061BB7"/>
    <w:rsid w:val="00061D05"/>
    <w:rsid w:val="00061D57"/>
    <w:rsid w:val="00061DFF"/>
    <w:rsid w:val="00061F58"/>
    <w:rsid w:val="00062035"/>
    <w:rsid w:val="00062C14"/>
    <w:rsid w:val="00062CEC"/>
    <w:rsid w:val="000631E7"/>
    <w:rsid w:val="0006323D"/>
    <w:rsid w:val="000635D6"/>
    <w:rsid w:val="0006368F"/>
    <w:rsid w:val="00063D95"/>
    <w:rsid w:val="00063F0A"/>
    <w:rsid w:val="00063F51"/>
    <w:rsid w:val="000641F9"/>
    <w:rsid w:val="000646BE"/>
    <w:rsid w:val="0006476D"/>
    <w:rsid w:val="00064843"/>
    <w:rsid w:val="00064C37"/>
    <w:rsid w:val="00064C4D"/>
    <w:rsid w:val="00064D1C"/>
    <w:rsid w:val="00064D23"/>
    <w:rsid w:val="00064E29"/>
    <w:rsid w:val="00065794"/>
    <w:rsid w:val="0006589B"/>
    <w:rsid w:val="00065BCA"/>
    <w:rsid w:val="00065C77"/>
    <w:rsid w:val="00065C85"/>
    <w:rsid w:val="00065CF0"/>
    <w:rsid w:val="00065DCC"/>
    <w:rsid w:val="0006603E"/>
    <w:rsid w:val="00066130"/>
    <w:rsid w:val="000663A3"/>
    <w:rsid w:val="0006651A"/>
    <w:rsid w:val="00066630"/>
    <w:rsid w:val="00066A91"/>
    <w:rsid w:val="00066B0F"/>
    <w:rsid w:val="00066B6D"/>
    <w:rsid w:val="00066CE9"/>
    <w:rsid w:val="00066F3E"/>
    <w:rsid w:val="00067375"/>
    <w:rsid w:val="000673D1"/>
    <w:rsid w:val="00067543"/>
    <w:rsid w:val="000675C5"/>
    <w:rsid w:val="00067B08"/>
    <w:rsid w:val="00067B0F"/>
    <w:rsid w:val="00067F7F"/>
    <w:rsid w:val="00070132"/>
    <w:rsid w:val="000708E6"/>
    <w:rsid w:val="0007094F"/>
    <w:rsid w:val="00070A3D"/>
    <w:rsid w:val="00070D17"/>
    <w:rsid w:val="00071268"/>
    <w:rsid w:val="0007128D"/>
    <w:rsid w:val="00071841"/>
    <w:rsid w:val="000718D3"/>
    <w:rsid w:val="00071B40"/>
    <w:rsid w:val="00071C0B"/>
    <w:rsid w:val="00071E79"/>
    <w:rsid w:val="00071EED"/>
    <w:rsid w:val="00072084"/>
    <w:rsid w:val="0007216B"/>
    <w:rsid w:val="00072182"/>
    <w:rsid w:val="0007218F"/>
    <w:rsid w:val="00072550"/>
    <w:rsid w:val="000725C4"/>
    <w:rsid w:val="00072992"/>
    <w:rsid w:val="00072D0F"/>
    <w:rsid w:val="000737F7"/>
    <w:rsid w:val="000739BE"/>
    <w:rsid w:val="00073C62"/>
    <w:rsid w:val="000741C3"/>
    <w:rsid w:val="000742CC"/>
    <w:rsid w:val="00074506"/>
    <w:rsid w:val="000746D1"/>
    <w:rsid w:val="00074A48"/>
    <w:rsid w:val="000752F6"/>
    <w:rsid w:val="00075494"/>
    <w:rsid w:val="00075703"/>
    <w:rsid w:val="0007577A"/>
    <w:rsid w:val="00075BF7"/>
    <w:rsid w:val="00076200"/>
    <w:rsid w:val="00076366"/>
    <w:rsid w:val="000763FB"/>
    <w:rsid w:val="0007652C"/>
    <w:rsid w:val="000766E1"/>
    <w:rsid w:val="0007688F"/>
    <w:rsid w:val="000769AC"/>
    <w:rsid w:val="00076A86"/>
    <w:rsid w:val="00076F75"/>
    <w:rsid w:val="000774E0"/>
    <w:rsid w:val="00077815"/>
    <w:rsid w:val="00077D80"/>
    <w:rsid w:val="00077DD8"/>
    <w:rsid w:val="00077EC2"/>
    <w:rsid w:val="00077F55"/>
    <w:rsid w:val="00077F9A"/>
    <w:rsid w:val="000807FA"/>
    <w:rsid w:val="00080B93"/>
    <w:rsid w:val="00080DD9"/>
    <w:rsid w:val="00080EF8"/>
    <w:rsid w:val="00080F2E"/>
    <w:rsid w:val="00080FDB"/>
    <w:rsid w:val="00081033"/>
    <w:rsid w:val="000815A4"/>
    <w:rsid w:val="00081A2A"/>
    <w:rsid w:val="00081DD3"/>
    <w:rsid w:val="00081E8D"/>
    <w:rsid w:val="00082065"/>
    <w:rsid w:val="00082320"/>
    <w:rsid w:val="0008234D"/>
    <w:rsid w:val="00082526"/>
    <w:rsid w:val="00082726"/>
    <w:rsid w:val="00082745"/>
    <w:rsid w:val="00082760"/>
    <w:rsid w:val="000828D4"/>
    <w:rsid w:val="0008299B"/>
    <w:rsid w:val="00082CDA"/>
    <w:rsid w:val="00082DDC"/>
    <w:rsid w:val="00082DF3"/>
    <w:rsid w:val="00082FF8"/>
    <w:rsid w:val="00083471"/>
    <w:rsid w:val="00083E4A"/>
    <w:rsid w:val="0008409B"/>
    <w:rsid w:val="000843B4"/>
    <w:rsid w:val="000844D7"/>
    <w:rsid w:val="000848B1"/>
    <w:rsid w:val="00084942"/>
    <w:rsid w:val="00084ABF"/>
    <w:rsid w:val="00084CF7"/>
    <w:rsid w:val="000856DA"/>
    <w:rsid w:val="0008576A"/>
    <w:rsid w:val="000857DB"/>
    <w:rsid w:val="00085802"/>
    <w:rsid w:val="00085A1B"/>
    <w:rsid w:val="00085A6F"/>
    <w:rsid w:val="00085E95"/>
    <w:rsid w:val="00085F0E"/>
    <w:rsid w:val="000861A2"/>
    <w:rsid w:val="00086B64"/>
    <w:rsid w:val="00086DA4"/>
    <w:rsid w:val="00086DB3"/>
    <w:rsid w:val="00086E4F"/>
    <w:rsid w:val="00086E6C"/>
    <w:rsid w:val="000875CA"/>
    <w:rsid w:val="0008760A"/>
    <w:rsid w:val="0008771E"/>
    <w:rsid w:val="00087736"/>
    <w:rsid w:val="00087741"/>
    <w:rsid w:val="00087827"/>
    <w:rsid w:val="0008786C"/>
    <w:rsid w:val="000878FD"/>
    <w:rsid w:val="00087A2A"/>
    <w:rsid w:val="00087B6B"/>
    <w:rsid w:val="00087F88"/>
    <w:rsid w:val="00090122"/>
    <w:rsid w:val="0009069D"/>
    <w:rsid w:val="00090817"/>
    <w:rsid w:val="000908C8"/>
    <w:rsid w:val="00090A4B"/>
    <w:rsid w:val="00090E9E"/>
    <w:rsid w:val="00091004"/>
    <w:rsid w:val="000910A7"/>
    <w:rsid w:val="00091131"/>
    <w:rsid w:val="0009121E"/>
    <w:rsid w:val="00091302"/>
    <w:rsid w:val="00091921"/>
    <w:rsid w:val="00091B0D"/>
    <w:rsid w:val="00091DAC"/>
    <w:rsid w:val="00091E27"/>
    <w:rsid w:val="000920E4"/>
    <w:rsid w:val="00092107"/>
    <w:rsid w:val="000923A9"/>
    <w:rsid w:val="00092412"/>
    <w:rsid w:val="0009248E"/>
    <w:rsid w:val="0009275D"/>
    <w:rsid w:val="00092916"/>
    <w:rsid w:val="00092C34"/>
    <w:rsid w:val="00092CCB"/>
    <w:rsid w:val="00092D59"/>
    <w:rsid w:val="00092ED5"/>
    <w:rsid w:val="00092F0D"/>
    <w:rsid w:val="000930F1"/>
    <w:rsid w:val="0009338B"/>
    <w:rsid w:val="00093632"/>
    <w:rsid w:val="000941EB"/>
    <w:rsid w:val="00094718"/>
    <w:rsid w:val="00094DB4"/>
    <w:rsid w:val="00094DBE"/>
    <w:rsid w:val="00095004"/>
    <w:rsid w:val="00095307"/>
    <w:rsid w:val="0009544D"/>
    <w:rsid w:val="00095463"/>
    <w:rsid w:val="000954C3"/>
    <w:rsid w:val="000954E5"/>
    <w:rsid w:val="00095920"/>
    <w:rsid w:val="000959B1"/>
    <w:rsid w:val="00095E13"/>
    <w:rsid w:val="00095FBB"/>
    <w:rsid w:val="000962B8"/>
    <w:rsid w:val="00096344"/>
    <w:rsid w:val="00096584"/>
    <w:rsid w:val="00096813"/>
    <w:rsid w:val="000969A6"/>
    <w:rsid w:val="000971D6"/>
    <w:rsid w:val="0009748F"/>
    <w:rsid w:val="000977C2"/>
    <w:rsid w:val="0009792D"/>
    <w:rsid w:val="0009799B"/>
    <w:rsid w:val="00097A6E"/>
    <w:rsid w:val="00097A92"/>
    <w:rsid w:val="00097F77"/>
    <w:rsid w:val="000A03B6"/>
    <w:rsid w:val="000A03F4"/>
    <w:rsid w:val="000A07B7"/>
    <w:rsid w:val="000A09F9"/>
    <w:rsid w:val="000A0EFC"/>
    <w:rsid w:val="000A12F1"/>
    <w:rsid w:val="000A14A4"/>
    <w:rsid w:val="000A14B8"/>
    <w:rsid w:val="000A1583"/>
    <w:rsid w:val="000A1594"/>
    <w:rsid w:val="000A180C"/>
    <w:rsid w:val="000A1814"/>
    <w:rsid w:val="000A1875"/>
    <w:rsid w:val="000A1C03"/>
    <w:rsid w:val="000A1C53"/>
    <w:rsid w:val="000A1E26"/>
    <w:rsid w:val="000A1E83"/>
    <w:rsid w:val="000A2040"/>
    <w:rsid w:val="000A20C5"/>
    <w:rsid w:val="000A2D42"/>
    <w:rsid w:val="000A3081"/>
    <w:rsid w:val="000A3098"/>
    <w:rsid w:val="000A3598"/>
    <w:rsid w:val="000A36B7"/>
    <w:rsid w:val="000A396D"/>
    <w:rsid w:val="000A43CF"/>
    <w:rsid w:val="000A4495"/>
    <w:rsid w:val="000A44D4"/>
    <w:rsid w:val="000A4A1F"/>
    <w:rsid w:val="000A520D"/>
    <w:rsid w:val="000A5243"/>
    <w:rsid w:val="000A5454"/>
    <w:rsid w:val="000A56CE"/>
    <w:rsid w:val="000A5711"/>
    <w:rsid w:val="000A5823"/>
    <w:rsid w:val="000A5EB1"/>
    <w:rsid w:val="000A6048"/>
    <w:rsid w:val="000A6578"/>
    <w:rsid w:val="000A6B5E"/>
    <w:rsid w:val="000A6D20"/>
    <w:rsid w:val="000A6FA8"/>
    <w:rsid w:val="000A701E"/>
    <w:rsid w:val="000A70AC"/>
    <w:rsid w:val="000A77AE"/>
    <w:rsid w:val="000A7D5F"/>
    <w:rsid w:val="000A7F78"/>
    <w:rsid w:val="000B0033"/>
    <w:rsid w:val="000B01ED"/>
    <w:rsid w:val="000B04BE"/>
    <w:rsid w:val="000B0613"/>
    <w:rsid w:val="000B0676"/>
    <w:rsid w:val="000B0A71"/>
    <w:rsid w:val="000B0B68"/>
    <w:rsid w:val="000B0F49"/>
    <w:rsid w:val="000B113A"/>
    <w:rsid w:val="000B11FC"/>
    <w:rsid w:val="000B1245"/>
    <w:rsid w:val="000B15ED"/>
    <w:rsid w:val="000B1DE2"/>
    <w:rsid w:val="000B1FBE"/>
    <w:rsid w:val="000B20C7"/>
    <w:rsid w:val="000B2364"/>
    <w:rsid w:val="000B23B4"/>
    <w:rsid w:val="000B2808"/>
    <w:rsid w:val="000B28B6"/>
    <w:rsid w:val="000B2EBF"/>
    <w:rsid w:val="000B3105"/>
    <w:rsid w:val="000B36AA"/>
    <w:rsid w:val="000B3935"/>
    <w:rsid w:val="000B3F6C"/>
    <w:rsid w:val="000B4027"/>
    <w:rsid w:val="000B42AA"/>
    <w:rsid w:val="000B46A2"/>
    <w:rsid w:val="000B4947"/>
    <w:rsid w:val="000B4CC6"/>
    <w:rsid w:val="000B51E2"/>
    <w:rsid w:val="000B522B"/>
    <w:rsid w:val="000B5230"/>
    <w:rsid w:val="000B5405"/>
    <w:rsid w:val="000B5465"/>
    <w:rsid w:val="000B55CB"/>
    <w:rsid w:val="000B5840"/>
    <w:rsid w:val="000B5D59"/>
    <w:rsid w:val="000B5F7C"/>
    <w:rsid w:val="000B63C8"/>
    <w:rsid w:val="000B64BD"/>
    <w:rsid w:val="000B69B5"/>
    <w:rsid w:val="000B6A59"/>
    <w:rsid w:val="000B6B61"/>
    <w:rsid w:val="000B6FCB"/>
    <w:rsid w:val="000B769E"/>
    <w:rsid w:val="000B7919"/>
    <w:rsid w:val="000B7B27"/>
    <w:rsid w:val="000B7B7C"/>
    <w:rsid w:val="000B7F42"/>
    <w:rsid w:val="000C0092"/>
    <w:rsid w:val="000C0193"/>
    <w:rsid w:val="000C03D1"/>
    <w:rsid w:val="000C04AB"/>
    <w:rsid w:val="000C055A"/>
    <w:rsid w:val="000C07EF"/>
    <w:rsid w:val="000C0834"/>
    <w:rsid w:val="000C0973"/>
    <w:rsid w:val="000C0B80"/>
    <w:rsid w:val="000C0C14"/>
    <w:rsid w:val="000C0C27"/>
    <w:rsid w:val="000C0D3A"/>
    <w:rsid w:val="000C0DA7"/>
    <w:rsid w:val="000C0ED5"/>
    <w:rsid w:val="000C0EE8"/>
    <w:rsid w:val="000C110F"/>
    <w:rsid w:val="000C14DE"/>
    <w:rsid w:val="000C1CC7"/>
    <w:rsid w:val="000C20FE"/>
    <w:rsid w:val="000C2CBC"/>
    <w:rsid w:val="000C2DF7"/>
    <w:rsid w:val="000C3028"/>
    <w:rsid w:val="000C3052"/>
    <w:rsid w:val="000C30AC"/>
    <w:rsid w:val="000C3411"/>
    <w:rsid w:val="000C34C0"/>
    <w:rsid w:val="000C34EC"/>
    <w:rsid w:val="000C35E9"/>
    <w:rsid w:val="000C377B"/>
    <w:rsid w:val="000C37B0"/>
    <w:rsid w:val="000C3A7E"/>
    <w:rsid w:val="000C3AAA"/>
    <w:rsid w:val="000C3BA3"/>
    <w:rsid w:val="000C3CE8"/>
    <w:rsid w:val="000C3EE1"/>
    <w:rsid w:val="000C3FB8"/>
    <w:rsid w:val="000C4064"/>
    <w:rsid w:val="000C4191"/>
    <w:rsid w:val="000C41A2"/>
    <w:rsid w:val="000C42AC"/>
    <w:rsid w:val="000C4998"/>
    <w:rsid w:val="000C4B9F"/>
    <w:rsid w:val="000C4FCD"/>
    <w:rsid w:val="000C5004"/>
    <w:rsid w:val="000C50EF"/>
    <w:rsid w:val="000C5442"/>
    <w:rsid w:val="000C5458"/>
    <w:rsid w:val="000C576B"/>
    <w:rsid w:val="000C5B51"/>
    <w:rsid w:val="000C5D09"/>
    <w:rsid w:val="000C5E8C"/>
    <w:rsid w:val="000C648B"/>
    <w:rsid w:val="000C673D"/>
    <w:rsid w:val="000C6C18"/>
    <w:rsid w:val="000C6E88"/>
    <w:rsid w:val="000C7075"/>
    <w:rsid w:val="000C72EE"/>
    <w:rsid w:val="000C74AF"/>
    <w:rsid w:val="000C74D6"/>
    <w:rsid w:val="000C75D2"/>
    <w:rsid w:val="000C76C1"/>
    <w:rsid w:val="000C77A9"/>
    <w:rsid w:val="000C78BD"/>
    <w:rsid w:val="000C7C17"/>
    <w:rsid w:val="000C7D31"/>
    <w:rsid w:val="000C7FBA"/>
    <w:rsid w:val="000D015A"/>
    <w:rsid w:val="000D0172"/>
    <w:rsid w:val="000D028F"/>
    <w:rsid w:val="000D032B"/>
    <w:rsid w:val="000D0AD0"/>
    <w:rsid w:val="000D0CDE"/>
    <w:rsid w:val="000D10FB"/>
    <w:rsid w:val="000D1127"/>
    <w:rsid w:val="000D1258"/>
    <w:rsid w:val="000D12A2"/>
    <w:rsid w:val="000D161B"/>
    <w:rsid w:val="000D16C7"/>
    <w:rsid w:val="000D1764"/>
    <w:rsid w:val="000D191B"/>
    <w:rsid w:val="000D1B73"/>
    <w:rsid w:val="000D1D07"/>
    <w:rsid w:val="000D1D51"/>
    <w:rsid w:val="000D1E80"/>
    <w:rsid w:val="000D23F5"/>
    <w:rsid w:val="000D244C"/>
    <w:rsid w:val="000D2D03"/>
    <w:rsid w:val="000D2F4F"/>
    <w:rsid w:val="000D32C7"/>
    <w:rsid w:val="000D330F"/>
    <w:rsid w:val="000D33CE"/>
    <w:rsid w:val="000D3AF4"/>
    <w:rsid w:val="000D3C1E"/>
    <w:rsid w:val="000D3C6B"/>
    <w:rsid w:val="000D45B7"/>
    <w:rsid w:val="000D463B"/>
    <w:rsid w:val="000D4AD9"/>
    <w:rsid w:val="000D4DE8"/>
    <w:rsid w:val="000D4E2B"/>
    <w:rsid w:val="000D4FFC"/>
    <w:rsid w:val="000D4FFE"/>
    <w:rsid w:val="000D569B"/>
    <w:rsid w:val="000D570A"/>
    <w:rsid w:val="000D578B"/>
    <w:rsid w:val="000D5986"/>
    <w:rsid w:val="000D5B30"/>
    <w:rsid w:val="000D5C97"/>
    <w:rsid w:val="000D5D93"/>
    <w:rsid w:val="000D5E2F"/>
    <w:rsid w:val="000D6DAC"/>
    <w:rsid w:val="000D7297"/>
    <w:rsid w:val="000D742C"/>
    <w:rsid w:val="000D7625"/>
    <w:rsid w:val="000D77F4"/>
    <w:rsid w:val="000D7BD9"/>
    <w:rsid w:val="000D7CE5"/>
    <w:rsid w:val="000D7D90"/>
    <w:rsid w:val="000D7D9C"/>
    <w:rsid w:val="000D7E1C"/>
    <w:rsid w:val="000D7E77"/>
    <w:rsid w:val="000E00EA"/>
    <w:rsid w:val="000E0134"/>
    <w:rsid w:val="000E025A"/>
    <w:rsid w:val="000E02E9"/>
    <w:rsid w:val="000E033F"/>
    <w:rsid w:val="000E03E4"/>
    <w:rsid w:val="000E0613"/>
    <w:rsid w:val="000E0EA4"/>
    <w:rsid w:val="000E10F4"/>
    <w:rsid w:val="000E1A42"/>
    <w:rsid w:val="000E1B6B"/>
    <w:rsid w:val="000E205D"/>
    <w:rsid w:val="000E20D6"/>
    <w:rsid w:val="000E2374"/>
    <w:rsid w:val="000E2527"/>
    <w:rsid w:val="000E274F"/>
    <w:rsid w:val="000E29AF"/>
    <w:rsid w:val="000E2A31"/>
    <w:rsid w:val="000E2B07"/>
    <w:rsid w:val="000E2CF0"/>
    <w:rsid w:val="000E2F92"/>
    <w:rsid w:val="000E3255"/>
    <w:rsid w:val="000E38ED"/>
    <w:rsid w:val="000E3E53"/>
    <w:rsid w:val="000E3F18"/>
    <w:rsid w:val="000E4109"/>
    <w:rsid w:val="000E41B7"/>
    <w:rsid w:val="000E45D2"/>
    <w:rsid w:val="000E468D"/>
    <w:rsid w:val="000E4731"/>
    <w:rsid w:val="000E488A"/>
    <w:rsid w:val="000E4B8A"/>
    <w:rsid w:val="000E4C43"/>
    <w:rsid w:val="000E4CDA"/>
    <w:rsid w:val="000E4DFD"/>
    <w:rsid w:val="000E4F11"/>
    <w:rsid w:val="000E524F"/>
    <w:rsid w:val="000E52BE"/>
    <w:rsid w:val="000E5B35"/>
    <w:rsid w:val="000E5B9F"/>
    <w:rsid w:val="000E5C1F"/>
    <w:rsid w:val="000E5EB0"/>
    <w:rsid w:val="000E5EE1"/>
    <w:rsid w:val="000E5FA3"/>
    <w:rsid w:val="000E6046"/>
    <w:rsid w:val="000E6583"/>
    <w:rsid w:val="000E65F5"/>
    <w:rsid w:val="000E6825"/>
    <w:rsid w:val="000E6A28"/>
    <w:rsid w:val="000E6F72"/>
    <w:rsid w:val="000E72F2"/>
    <w:rsid w:val="000E76AC"/>
    <w:rsid w:val="000E786F"/>
    <w:rsid w:val="000E78D4"/>
    <w:rsid w:val="000E7B25"/>
    <w:rsid w:val="000E7BC1"/>
    <w:rsid w:val="000E7BEE"/>
    <w:rsid w:val="000E7EBF"/>
    <w:rsid w:val="000F0382"/>
    <w:rsid w:val="000F0825"/>
    <w:rsid w:val="000F0D05"/>
    <w:rsid w:val="000F0F0F"/>
    <w:rsid w:val="000F0F20"/>
    <w:rsid w:val="000F0F61"/>
    <w:rsid w:val="000F13C7"/>
    <w:rsid w:val="000F14CA"/>
    <w:rsid w:val="000F1587"/>
    <w:rsid w:val="000F1879"/>
    <w:rsid w:val="000F206F"/>
    <w:rsid w:val="000F20B9"/>
    <w:rsid w:val="000F22C6"/>
    <w:rsid w:val="000F240A"/>
    <w:rsid w:val="000F27FF"/>
    <w:rsid w:val="000F29D6"/>
    <w:rsid w:val="000F2A52"/>
    <w:rsid w:val="000F2D1C"/>
    <w:rsid w:val="000F2E2F"/>
    <w:rsid w:val="000F359D"/>
    <w:rsid w:val="000F3B31"/>
    <w:rsid w:val="000F3C45"/>
    <w:rsid w:val="000F4026"/>
    <w:rsid w:val="000F4096"/>
    <w:rsid w:val="000F440C"/>
    <w:rsid w:val="000F4557"/>
    <w:rsid w:val="000F4F04"/>
    <w:rsid w:val="000F4F3A"/>
    <w:rsid w:val="000F5123"/>
    <w:rsid w:val="000F51E1"/>
    <w:rsid w:val="000F52F0"/>
    <w:rsid w:val="000F552B"/>
    <w:rsid w:val="000F5AA4"/>
    <w:rsid w:val="000F5F6E"/>
    <w:rsid w:val="000F6029"/>
    <w:rsid w:val="000F6084"/>
    <w:rsid w:val="000F6331"/>
    <w:rsid w:val="000F66D5"/>
    <w:rsid w:val="000F68E2"/>
    <w:rsid w:val="000F6DD3"/>
    <w:rsid w:val="000F736F"/>
    <w:rsid w:val="000F738D"/>
    <w:rsid w:val="000F7593"/>
    <w:rsid w:val="000F75B5"/>
    <w:rsid w:val="000F7AC6"/>
    <w:rsid w:val="000F7CEB"/>
    <w:rsid w:val="000F7F41"/>
    <w:rsid w:val="00100015"/>
    <w:rsid w:val="001003A4"/>
    <w:rsid w:val="001003D7"/>
    <w:rsid w:val="0010045A"/>
    <w:rsid w:val="00100602"/>
    <w:rsid w:val="001006C9"/>
    <w:rsid w:val="00100775"/>
    <w:rsid w:val="001007C7"/>
    <w:rsid w:val="001008D4"/>
    <w:rsid w:val="00100940"/>
    <w:rsid w:val="00100B8F"/>
    <w:rsid w:val="00100DE7"/>
    <w:rsid w:val="00100DFB"/>
    <w:rsid w:val="0010111E"/>
    <w:rsid w:val="001013F2"/>
    <w:rsid w:val="001015E0"/>
    <w:rsid w:val="00101CAF"/>
    <w:rsid w:val="00101ED7"/>
    <w:rsid w:val="001020AD"/>
    <w:rsid w:val="00102189"/>
    <w:rsid w:val="0010224F"/>
    <w:rsid w:val="0010234E"/>
    <w:rsid w:val="00102401"/>
    <w:rsid w:val="00102549"/>
    <w:rsid w:val="001026F5"/>
    <w:rsid w:val="00102755"/>
    <w:rsid w:val="00102A07"/>
    <w:rsid w:val="00102B15"/>
    <w:rsid w:val="00102DA2"/>
    <w:rsid w:val="00103800"/>
    <w:rsid w:val="00103999"/>
    <w:rsid w:val="00103D3A"/>
    <w:rsid w:val="00104263"/>
    <w:rsid w:val="00104541"/>
    <w:rsid w:val="0010461C"/>
    <w:rsid w:val="00104ACF"/>
    <w:rsid w:val="00104C48"/>
    <w:rsid w:val="00104E52"/>
    <w:rsid w:val="00104F23"/>
    <w:rsid w:val="001054AB"/>
    <w:rsid w:val="001056CE"/>
    <w:rsid w:val="001058CC"/>
    <w:rsid w:val="001058DA"/>
    <w:rsid w:val="001059FE"/>
    <w:rsid w:val="00105C2F"/>
    <w:rsid w:val="00105FFF"/>
    <w:rsid w:val="00106188"/>
    <w:rsid w:val="0010642C"/>
    <w:rsid w:val="00106520"/>
    <w:rsid w:val="00106BE6"/>
    <w:rsid w:val="00106C50"/>
    <w:rsid w:val="001070C5"/>
    <w:rsid w:val="00107178"/>
    <w:rsid w:val="00107D2E"/>
    <w:rsid w:val="00107DF5"/>
    <w:rsid w:val="0011002C"/>
    <w:rsid w:val="00110125"/>
    <w:rsid w:val="00110360"/>
    <w:rsid w:val="00110728"/>
    <w:rsid w:val="00110AA2"/>
    <w:rsid w:val="00110C5E"/>
    <w:rsid w:val="00110D88"/>
    <w:rsid w:val="001114AF"/>
    <w:rsid w:val="00111507"/>
    <w:rsid w:val="001115A6"/>
    <w:rsid w:val="00111751"/>
    <w:rsid w:val="00111754"/>
    <w:rsid w:val="00111810"/>
    <w:rsid w:val="00111D5A"/>
    <w:rsid w:val="00111DD8"/>
    <w:rsid w:val="00111E1D"/>
    <w:rsid w:val="00112124"/>
    <w:rsid w:val="00112332"/>
    <w:rsid w:val="00112420"/>
    <w:rsid w:val="00112670"/>
    <w:rsid w:val="00112BC7"/>
    <w:rsid w:val="00112D27"/>
    <w:rsid w:val="00112D45"/>
    <w:rsid w:val="001131F6"/>
    <w:rsid w:val="0011328C"/>
    <w:rsid w:val="00113569"/>
    <w:rsid w:val="00113681"/>
    <w:rsid w:val="00113825"/>
    <w:rsid w:val="00113A07"/>
    <w:rsid w:val="00113F04"/>
    <w:rsid w:val="001140D7"/>
    <w:rsid w:val="0011441E"/>
    <w:rsid w:val="00114475"/>
    <w:rsid w:val="001144F8"/>
    <w:rsid w:val="001148FA"/>
    <w:rsid w:val="00114AD3"/>
    <w:rsid w:val="00114CFC"/>
    <w:rsid w:val="00114E4D"/>
    <w:rsid w:val="00115011"/>
    <w:rsid w:val="00115156"/>
    <w:rsid w:val="0011521C"/>
    <w:rsid w:val="00115290"/>
    <w:rsid w:val="0011542A"/>
    <w:rsid w:val="00115622"/>
    <w:rsid w:val="00115754"/>
    <w:rsid w:val="00115A66"/>
    <w:rsid w:val="00115AA9"/>
    <w:rsid w:val="00115AD3"/>
    <w:rsid w:val="00115CBD"/>
    <w:rsid w:val="00115EDD"/>
    <w:rsid w:val="00116237"/>
    <w:rsid w:val="00116379"/>
    <w:rsid w:val="00116589"/>
    <w:rsid w:val="0011682E"/>
    <w:rsid w:val="001168D6"/>
    <w:rsid w:val="001168E5"/>
    <w:rsid w:val="001169EF"/>
    <w:rsid w:val="00116B87"/>
    <w:rsid w:val="00116FAB"/>
    <w:rsid w:val="001174C6"/>
    <w:rsid w:val="001177D3"/>
    <w:rsid w:val="0011793A"/>
    <w:rsid w:val="00117E42"/>
    <w:rsid w:val="001200CB"/>
    <w:rsid w:val="00120581"/>
    <w:rsid w:val="0012088F"/>
    <w:rsid w:val="00120946"/>
    <w:rsid w:val="00120992"/>
    <w:rsid w:val="00121158"/>
    <w:rsid w:val="001214D7"/>
    <w:rsid w:val="001215E2"/>
    <w:rsid w:val="00121754"/>
    <w:rsid w:val="00121DB5"/>
    <w:rsid w:val="00121E55"/>
    <w:rsid w:val="00121F46"/>
    <w:rsid w:val="001221DA"/>
    <w:rsid w:val="0012245E"/>
    <w:rsid w:val="001226EE"/>
    <w:rsid w:val="00122858"/>
    <w:rsid w:val="00122D1F"/>
    <w:rsid w:val="00122D44"/>
    <w:rsid w:val="00122ED2"/>
    <w:rsid w:val="00122F47"/>
    <w:rsid w:val="001231ED"/>
    <w:rsid w:val="00123B1F"/>
    <w:rsid w:val="00123C43"/>
    <w:rsid w:val="00123DA0"/>
    <w:rsid w:val="00123E4C"/>
    <w:rsid w:val="00124042"/>
    <w:rsid w:val="00124049"/>
    <w:rsid w:val="00124080"/>
    <w:rsid w:val="001241EA"/>
    <w:rsid w:val="00124299"/>
    <w:rsid w:val="00124600"/>
    <w:rsid w:val="0012464C"/>
    <w:rsid w:val="0012475A"/>
    <w:rsid w:val="0012478D"/>
    <w:rsid w:val="0012479B"/>
    <w:rsid w:val="00124BE4"/>
    <w:rsid w:val="00124D67"/>
    <w:rsid w:val="00124D81"/>
    <w:rsid w:val="00125078"/>
    <w:rsid w:val="00125092"/>
    <w:rsid w:val="00125272"/>
    <w:rsid w:val="00125620"/>
    <w:rsid w:val="00125679"/>
    <w:rsid w:val="00125A2A"/>
    <w:rsid w:val="00125EFD"/>
    <w:rsid w:val="00126445"/>
    <w:rsid w:val="00126AF9"/>
    <w:rsid w:val="00126BB7"/>
    <w:rsid w:val="00126DAB"/>
    <w:rsid w:val="00127518"/>
    <w:rsid w:val="001275F2"/>
    <w:rsid w:val="00127972"/>
    <w:rsid w:val="00127B5C"/>
    <w:rsid w:val="00127F9B"/>
    <w:rsid w:val="00127FAB"/>
    <w:rsid w:val="00127FE0"/>
    <w:rsid w:val="0013001C"/>
    <w:rsid w:val="00130069"/>
    <w:rsid w:val="001301F6"/>
    <w:rsid w:val="00130798"/>
    <w:rsid w:val="00130848"/>
    <w:rsid w:val="00130B5B"/>
    <w:rsid w:val="001311CD"/>
    <w:rsid w:val="00131992"/>
    <w:rsid w:val="00131C1E"/>
    <w:rsid w:val="00131E45"/>
    <w:rsid w:val="00131EE6"/>
    <w:rsid w:val="00131FCB"/>
    <w:rsid w:val="00131FDF"/>
    <w:rsid w:val="001326BD"/>
    <w:rsid w:val="00132866"/>
    <w:rsid w:val="001329C3"/>
    <w:rsid w:val="00132B88"/>
    <w:rsid w:val="00132E79"/>
    <w:rsid w:val="001330AE"/>
    <w:rsid w:val="00133407"/>
    <w:rsid w:val="001335F6"/>
    <w:rsid w:val="00133974"/>
    <w:rsid w:val="00133B83"/>
    <w:rsid w:val="00133DBF"/>
    <w:rsid w:val="00133E2E"/>
    <w:rsid w:val="0013447D"/>
    <w:rsid w:val="00134655"/>
    <w:rsid w:val="00134AD4"/>
    <w:rsid w:val="0013510E"/>
    <w:rsid w:val="00135217"/>
    <w:rsid w:val="00135313"/>
    <w:rsid w:val="001353A9"/>
    <w:rsid w:val="00135548"/>
    <w:rsid w:val="001355B1"/>
    <w:rsid w:val="00135A1F"/>
    <w:rsid w:val="00135C86"/>
    <w:rsid w:val="001361B5"/>
    <w:rsid w:val="00136282"/>
    <w:rsid w:val="001362AF"/>
    <w:rsid w:val="001365A8"/>
    <w:rsid w:val="0013663C"/>
    <w:rsid w:val="00136685"/>
    <w:rsid w:val="0013680F"/>
    <w:rsid w:val="00136AB4"/>
    <w:rsid w:val="00136B80"/>
    <w:rsid w:val="00136DE9"/>
    <w:rsid w:val="00136E9F"/>
    <w:rsid w:val="00136F85"/>
    <w:rsid w:val="00137165"/>
    <w:rsid w:val="00137646"/>
    <w:rsid w:val="00137B14"/>
    <w:rsid w:val="00137CFF"/>
    <w:rsid w:val="00137D1D"/>
    <w:rsid w:val="00137FFE"/>
    <w:rsid w:val="001401CD"/>
    <w:rsid w:val="001405CA"/>
    <w:rsid w:val="00140D74"/>
    <w:rsid w:val="00141059"/>
    <w:rsid w:val="001410CE"/>
    <w:rsid w:val="00141333"/>
    <w:rsid w:val="00141478"/>
    <w:rsid w:val="001415AB"/>
    <w:rsid w:val="0014172F"/>
    <w:rsid w:val="0014187F"/>
    <w:rsid w:val="00141C27"/>
    <w:rsid w:val="00141D80"/>
    <w:rsid w:val="00141E53"/>
    <w:rsid w:val="00141F7B"/>
    <w:rsid w:val="001423CE"/>
    <w:rsid w:val="001426FB"/>
    <w:rsid w:val="00142743"/>
    <w:rsid w:val="001428DB"/>
    <w:rsid w:val="00142902"/>
    <w:rsid w:val="00142AEC"/>
    <w:rsid w:val="00142C5D"/>
    <w:rsid w:val="00142E90"/>
    <w:rsid w:val="00143408"/>
    <w:rsid w:val="001436B2"/>
    <w:rsid w:val="001437DD"/>
    <w:rsid w:val="001437FF"/>
    <w:rsid w:val="00143B53"/>
    <w:rsid w:val="00143E9A"/>
    <w:rsid w:val="00144018"/>
    <w:rsid w:val="00144066"/>
    <w:rsid w:val="001441EC"/>
    <w:rsid w:val="001447E7"/>
    <w:rsid w:val="0014492C"/>
    <w:rsid w:val="00144BB3"/>
    <w:rsid w:val="00144CFF"/>
    <w:rsid w:val="00144F33"/>
    <w:rsid w:val="001450E1"/>
    <w:rsid w:val="001455DA"/>
    <w:rsid w:val="001456AF"/>
    <w:rsid w:val="001456BF"/>
    <w:rsid w:val="00145C00"/>
    <w:rsid w:val="00145C27"/>
    <w:rsid w:val="00145D15"/>
    <w:rsid w:val="00145D22"/>
    <w:rsid w:val="00145D96"/>
    <w:rsid w:val="00145FC8"/>
    <w:rsid w:val="001460FE"/>
    <w:rsid w:val="001462EF"/>
    <w:rsid w:val="001464BC"/>
    <w:rsid w:val="00146502"/>
    <w:rsid w:val="00146775"/>
    <w:rsid w:val="00146AD1"/>
    <w:rsid w:val="00146C02"/>
    <w:rsid w:val="00146D02"/>
    <w:rsid w:val="00146EA5"/>
    <w:rsid w:val="001472AF"/>
    <w:rsid w:val="0014770F"/>
    <w:rsid w:val="00147947"/>
    <w:rsid w:val="00147A05"/>
    <w:rsid w:val="00150161"/>
    <w:rsid w:val="001501FD"/>
    <w:rsid w:val="001507C8"/>
    <w:rsid w:val="00150868"/>
    <w:rsid w:val="001508F6"/>
    <w:rsid w:val="00150EBC"/>
    <w:rsid w:val="0015163B"/>
    <w:rsid w:val="00151752"/>
    <w:rsid w:val="00151EB5"/>
    <w:rsid w:val="00152349"/>
    <w:rsid w:val="00152438"/>
    <w:rsid w:val="00152688"/>
    <w:rsid w:val="00152791"/>
    <w:rsid w:val="0015287B"/>
    <w:rsid w:val="00152FE2"/>
    <w:rsid w:val="00153272"/>
    <w:rsid w:val="001532EF"/>
    <w:rsid w:val="001537CE"/>
    <w:rsid w:val="00153805"/>
    <w:rsid w:val="001539B2"/>
    <w:rsid w:val="00153B2E"/>
    <w:rsid w:val="00153CBD"/>
    <w:rsid w:val="00153CE8"/>
    <w:rsid w:val="0015401B"/>
    <w:rsid w:val="001541F7"/>
    <w:rsid w:val="001544EC"/>
    <w:rsid w:val="001546D5"/>
    <w:rsid w:val="001548D3"/>
    <w:rsid w:val="00154936"/>
    <w:rsid w:val="00154953"/>
    <w:rsid w:val="00155279"/>
    <w:rsid w:val="00155454"/>
    <w:rsid w:val="001559E8"/>
    <w:rsid w:val="00155AB3"/>
    <w:rsid w:val="00155B14"/>
    <w:rsid w:val="00155BC2"/>
    <w:rsid w:val="00155BFB"/>
    <w:rsid w:val="00155D09"/>
    <w:rsid w:val="00155FE9"/>
    <w:rsid w:val="001562AA"/>
    <w:rsid w:val="001563C6"/>
    <w:rsid w:val="001564CD"/>
    <w:rsid w:val="00156566"/>
    <w:rsid w:val="00156777"/>
    <w:rsid w:val="00156820"/>
    <w:rsid w:val="0015682E"/>
    <w:rsid w:val="001569F9"/>
    <w:rsid w:val="0015702B"/>
    <w:rsid w:val="001572CA"/>
    <w:rsid w:val="0015763A"/>
    <w:rsid w:val="00157C45"/>
    <w:rsid w:val="00160144"/>
    <w:rsid w:val="0016022A"/>
    <w:rsid w:val="0016030E"/>
    <w:rsid w:val="001605E6"/>
    <w:rsid w:val="00160B81"/>
    <w:rsid w:val="00160D9E"/>
    <w:rsid w:val="00160F06"/>
    <w:rsid w:val="001611C9"/>
    <w:rsid w:val="001613B6"/>
    <w:rsid w:val="00161776"/>
    <w:rsid w:val="001618D0"/>
    <w:rsid w:val="00161A2A"/>
    <w:rsid w:val="00161B5D"/>
    <w:rsid w:val="00162146"/>
    <w:rsid w:val="00162713"/>
    <w:rsid w:val="00162BA6"/>
    <w:rsid w:val="00162E9F"/>
    <w:rsid w:val="00163AD2"/>
    <w:rsid w:val="00163C55"/>
    <w:rsid w:val="00163DF5"/>
    <w:rsid w:val="001640A9"/>
    <w:rsid w:val="00164181"/>
    <w:rsid w:val="0016430B"/>
    <w:rsid w:val="001643BC"/>
    <w:rsid w:val="00164493"/>
    <w:rsid w:val="00164569"/>
    <w:rsid w:val="001648E9"/>
    <w:rsid w:val="001649FD"/>
    <w:rsid w:val="00164E8D"/>
    <w:rsid w:val="00165203"/>
    <w:rsid w:val="001652FF"/>
    <w:rsid w:val="001655AD"/>
    <w:rsid w:val="001656D2"/>
    <w:rsid w:val="00165CF1"/>
    <w:rsid w:val="00165F12"/>
    <w:rsid w:val="00165F50"/>
    <w:rsid w:val="00166147"/>
    <w:rsid w:val="001664DA"/>
    <w:rsid w:val="00166FDC"/>
    <w:rsid w:val="00167374"/>
    <w:rsid w:val="0016758C"/>
    <w:rsid w:val="00167881"/>
    <w:rsid w:val="00167A2F"/>
    <w:rsid w:val="00167B71"/>
    <w:rsid w:val="00167B8D"/>
    <w:rsid w:val="00167CA0"/>
    <w:rsid w:val="00167D29"/>
    <w:rsid w:val="001701FC"/>
    <w:rsid w:val="0017025B"/>
    <w:rsid w:val="001702E8"/>
    <w:rsid w:val="001706CF"/>
    <w:rsid w:val="00170B16"/>
    <w:rsid w:val="00170C81"/>
    <w:rsid w:val="00170EFB"/>
    <w:rsid w:val="00171032"/>
    <w:rsid w:val="0017137A"/>
    <w:rsid w:val="001713FE"/>
    <w:rsid w:val="00171671"/>
    <w:rsid w:val="00171B0A"/>
    <w:rsid w:val="00171B15"/>
    <w:rsid w:val="001720FC"/>
    <w:rsid w:val="00172258"/>
    <w:rsid w:val="00172552"/>
    <w:rsid w:val="0017257B"/>
    <w:rsid w:val="00172667"/>
    <w:rsid w:val="00172730"/>
    <w:rsid w:val="00173034"/>
    <w:rsid w:val="00173148"/>
    <w:rsid w:val="001732D5"/>
    <w:rsid w:val="00173675"/>
    <w:rsid w:val="00173E0A"/>
    <w:rsid w:val="001749CD"/>
    <w:rsid w:val="00174CAA"/>
    <w:rsid w:val="00174FA5"/>
    <w:rsid w:val="00174FAB"/>
    <w:rsid w:val="001750B6"/>
    <w:rsid w:val="00175164"/>
    <w:rsid w:val="001751AC"/>
    <w:rsid w:val="00175422"/>
    <w:rsid w:val="00175AD0"/>
    <w:rsid w:val="00175B7E"/>
    <w:rsid w:val="00175CD6"/>
    <w:rsid w:val="00175CEE"/>
    <w:rsid w:val="00175D63"/>
    <w:rsid w:val="00175E4A"/>
    <w:rsid w:val="00175EC8"/>
    <w:rsid w:val="00175FE4"/>
    <w:rsid w:val="00176165"/>
    <w:rsid w:val="001764E2"/>
    <w:rsid w:val="001765B4"/>
    <w:rsid w:val="001768CD"/>
    <w:rsid w:val="00176AA1"/>
    <w:rsid w:val="00176B14"/>
    <w:rsid w:val="00176B29"/>
    <w:rsid w:val="00177076"/>
    <w:rsid w:val="00177292"/>
    <w:rsid w:val="001773D3"/>
    <w:rsid w:val="00177638"/>
    <w:rsid w:val="00177D16"/>
    <w:rsid w:val="00177D7F"/>
    <w:rsid w:val="0018000E"/>
    <w:rsid w:val="00180184"/>
    <w:rsid w:val="00180382"/>
    <w:rsid w:val="00180387"/>
    <w:rsid w:val="00180472"/>
    <w:rsid w:val="0018074F"/>
    <w:rsid w:val="0018077D"/>
    <w:rsid w:val="00180857"/>
    <w:rsid w:val="0018093E"/>
    <w:rsid w:val="00180984"/>
    <w:rsid w:val="00180C4E"/>
    <w:rsid w:val="00180E53"/>
    <w:rsid w:val="00180F86"/>
    <w:rsid w:val="0018117F"/>
    <w:rsid w:val="001814E8"/>
    <w:rsid w:val="00181683"/>
    <w:rsid w:val="0018186C"/>
    <w:rsid w:val="0018198E"/>
    <w:rsid w:val="00181B62"/>
    <w:rsid w:val="00181CD3"/>
    <w:rsid w:val="00182A00"/>
    <w:rsid w:val="00182A77"/>
    <w:rsid w:val="00182CF1"/>
    <w:rsid w:val="001832B1"/>
    <w:rsid w:val="001833C9"/>
    <w:rsid w:val="001833D2"/>
    <w:rsid w:val="00183762"/>
    <w:rsid w:val="0018388C"/>
    <w:rsid w:val="00183E45"/>
    <w:rsid w:val="00183F26"/>
    <w:rsid w:val="00184147"/>
    <w:rsid w:val="001841B3"/>
    <w:rsid w:val="00184315"/>
    <w:rsid w:val="0018438C"/>
    <w:rsid w:val="00184773"/>
    <w:rsid w:val="001849C6"/>
    <w:rsid w:val="00184BFF"/>
    <w:rsid w:val="00184F38"/>
    <w:rsid w:val="00184FE6"/>
    <w:rsid w:val="001852B6"/>
    <w:rsid w:val="0018557E"/>
    <w:rsid w:val="00185725"/>
    <w:rsid w:val="001857C3"/>
    <w:rsid w:val="001858BC"/>
    <w:rsid w:val="00185A89"/>
    <w:rsid w:val="00185ADD"/>
    <w:rsid w:val="00185C2D"/>
    <w:rsid w:val="00186215"/>
    <w:rsid w:val="00186539"/>
    <w:rsid w:val="00186685"/>
    <w:rsid w:val="00186884"/>
    <w:rsid w:val="00186D81"/>
    <w:rsid w:val="001871E5"/>
    <w:rsid w:val="00187499"/>
    <w:rsid w:val="0018781A"/>
    <w:rsid w:val="00187B1C"/>
    <w:rsid w:val="00187D7A"/>
    <w:rsid w:val="00187FCD"/>
    <w:rsid w:val="00187FE7"/>
    <w:rsid w:val="0019039C"/>
    <w:rsid w:val="001903CF"/>
    <w:rsid w:val="00190FE4"/>
    <w:rsid w:val="00191389"/>
    <w:rsid w:val="00191500"/>
    <w:rsid w:val="00191786"/>
    <w:rsid w:val="00191C34"/>
    <w:rsid w:val="00191D1C"/>
    <w:rsid w:val="00191D8D"/>
    <w:rsid w:val="00191E94"/>
    <w:rsid w:val="00192095"/>
    <w:rsid w:val="001922AD"/>
    <w:rsid w:val="001922DA"/>
    <w:rsid w:val="001923DD"/>
    <w:rsid w:val="00192423"/>
    <w:rsid w:val="00192A85"/>
    <w:rsid w:val="00192CDA"/>
    <w:rsid w:val="0019323A"/>
    <w:rsid w:val="00193407"/>
    <w:rsid w:val="0019358A"/>
    <w:rsid w:val="00193594"/>
    <w:rsid w:val="00193839"/>
    <w:rsid w:val="00193BB2"/>
    <w:rsid w:val="00193BF2"/>
    <w:rsid w:val="00193FED"/>
    <w:rsid w:val="001940F1"/>
    <w:rsid w:val="001945A7"/>
    <w:rsid w:val="00194B41"/>
    <w:rsid w:val="00194F23"/>
    <w:rsid w:val="00195271"/>
    <w:rsid w:val="001955DA"/>
    <w:rsid w:val="00195973"/>
    <w:rsid w:val="00195B61"/>
    <w:rsid w:val="001962A8"/>
    <w:rsid w:val="001963DF"/>
    <w:rsid w:val="00196451"/>
    <w:rsid w:val="00196492"/>
    <w:rsid w:val="001965FD"/>
    <w:rsid w:val="00196D6D"/>
    <w:rsid w:val="00196F26"/>
    <w:rsid w:val="00196FB6"/>
    <w:rsid w:val="00197269"/>
    <w:rsid w:val="0019757E"/>
    <w:rsid w:val="001976A1"/>
    <w:rsid w:val="00197A8D"/>
    <w:rsid w:val="00197CD4"/>
    <w:rsid w:val="00197CEF"/>
    <w:rsid w:val="00197D67"/>
    <w:rsid w:val="001A02A2"/>
    <w:rsid w:val="001A05F5"/>
    <w:rsid w:val="001A0F04"/>
    <w:rsid w:val="001A164D"/>
    <w:rsid w:val="001A1654"/>
    <w:rsid w:val="001A1747"/>
    <w:rsid w:val="001A193D"/>
    <w:rsid w:val="001A197D"/>
    <w:rsid w:val="001A1ACE"/>
    <w:rsid w:val="001A1C32"/>
    <w:rsid w:val="001A1C6A"/>
    <w:rsid w:val="001A1F87"/>
    <w:rsid w:val="001A217E"/>
    <w:rsid w:val="001A2230"/>
    <w:rsid w:val="001A27B1"/>
    <w:rsid w:val="001A284B"/>
    <w:rsid w:val="001A28DF"/>
    <w:rsid w:val="001A2E86"/>
    <w:rsid w:val="001A313B"/>
    <w:rsid w:val="001A3434"/>
    <w:rsid w:val="001A3537"/>
    <w:rsid w:val="001A3DE0"/>
    <w:rsid w:val="001A3F37"/>
    <w:rsid w:val="001A4002"/>
    <w:rsid w:val="001A40DD"/>
    <w:rsid w:val="001A45C8"/>
    <w:rsid w:val="001A4725"/>
    <w:rsid w:val="001A5080"/>
    <w:rsid w:val="001A5256"/>
    <w:rsid w:val="001A5377"/>
    <w:rsid w:val="001A5737"/>
    <w:rsid w:val="001A58ED"/>
    <w:rsid w:val="001A5C4E"/>
    <w:rsid w:val="001A5D31"/>
    <w:rsid w:val="001A62BE"/>
    <w:rsid w:val="001A64BA"/>
    <w:rsid w:val="001A64C6"/>
    <w:rsid w:val="001A671F"/>
    <w:rsid w:val="001A6F21"/>
    <w:rsid w:val="001A6F35"/>
    <w:rsid w:val="001A702C"/>
    <w:rsid w:val="001A7051"/>
    <w:rsid w:val="001A7518"/>
    <w:rsid w:val="001A7803"/>
    <w:rsid w:val="001A7C8D"/>
    <w:rsid w:val="001B021B"/>
    <w:rsid w:val="001B02AF"/>
    <w:rsid w:val="001B0588"/>
    <w:rsid w:val="001B06A4"/>
    <w:rsid w:val="001B07E0"/>
    <w:rsid w:val="001B08AF"/>
    <w:rsid w:val="001B0B79"/>
    <w:rsid w:val="001B0CAA"/>
    <w:rsid w:val="001B118D"/>
    <w:rsid w:val="001B131D"/>
    <w:rsid w:val="001B177C"/>
    <w:rsid w:val="001B1A77"/>
    <w:rsid w:val="001B1ABB"/>
    <w:rsid w:val="001B1D07"/>
    <w:rsid w:val="001B2003"/>
    <w:rsid w:val="001B2267"/>
    <w:rsid w:val="001B2311"/>
    <w:rsid w:val="001B2408"/>
    <w:rsid w:val="001B2585"/>
    <w:rsid w:val="001B2630"/>
    <w:rsid w:val="001B269A"/>
    <w:rsid w:val="001B27A8"/>
    <w:rsid w:val="001B2879"/>
    <w:rsid w:val="001B2AA1"/>
    <w:rsid w:val="001B2AA4"/>
    <w:rsid w:val="001B2DB3"/>
    <w:rsid w:val="001B2DC8"/>
    <w:rsid w:val="001B3B97"/>
    <w:rsid w:val="001B3D0D"/>
    <w:rsid w:val="001B4118"/>
    <w:rsid w:val="001B4307"/>
    <w:rsid w:val="001B4808"/>
    <w:rsid w:val="001B4B1E"/>
    <w:rsid w:val="001B4C08"/>
    <w:rsid w:val="001B4EF4"/>
    <w:rsid w:val="001B4FEF"/>
    <w:rsid w:val="001B5343"/>
    <w:rsid w:val="001B5381"/>
    <w:rsid w:val="001B54BB"/>
    <w:rsid w:val="001B5919"/>
    <w:rsid w:val="001B59ED"/>
    <w:rsid w:val="001B5AB8"/>
    <w:rsid w:val="001B5AD9"/>
    <w:rsid w:val="001B5B2C"/>
    <w:rsid w:val="001B5BF7"/>
    <w:rsid w:val="001B5CEC"/>
    <w:rsid w:val="001B60C0"/>
    <w:rsid w:val="001B611E"/>
    <w:rsid w:val="001B62E2"/>
    <w:rsid w:val="001B64FD"/>
    <w:rsid w:val="001B68E3"/>
    <w:rsid w:val="001B71E1"/>
    <w:rsid w:val="001B72E3"/>
    <w:rsid w:val="001B758B"/>
    <w:rsid w:val="001B7AA1"/>
    <w:rsid w:val="001C00E1"/>
    <w:rsid w:val="001C0520"/>
    <w:rsid w:val="001C070D"/>
    <w:rsid w:val="001C0917"/>
    <w:rsid w:val="001C0B5C"/>
    <w:rsid w:val="001C0C31"/>
    <w:rsid w:val="001C10A9"/>
    <w:rsid w:val="001C10E8"/>
    <w:rsid w:val="001C1343"/>
    <w:rsid w:val="001C13CF"/>
    <w:rsid w:val="001C14C6"/>
    <w:rsid w:val="001C1A36"/>
    <w:rsid w:val="001C2423"/>
    <w:rsid w:val="001C2A61"/>
    <w:rsid w:val="001C2EF1"/>
    <w:rsid w:val="001C2F2E"/>
    <w:rsid w:val="001C2FF9"/>
    <w:rsid w:val="001C31D4"/>
    <w:rsid w:val="001C367B"/>
    <w:rsid w:val="001C38C4"/>
    <w:rsid w:val="001C39EC"/>
    <w:rsid w:val="001C3D29"/>
    <w:rsid w:val="001C414D"/>
    <w:rsid w:val="001C41CA"/>
    <w:rsid w:val="001C4609"/>
    <w:rsid w:val="001C464B"/>
    <w:rsid w:val="001C4714"/>
    <w:rsid w:val="001C4A18"/>
    <w:rsid w:val="001C4DAE"/>
    <w:rsid w:val="001C4E91"/>
    <w:rsid w:val="001C527C"/>
    <w:rsid w:val="001C556F"/>
    <w:rsid w:val="001C5646"/>
    <w:rsid w:val="001C5891"/>
    <w:rsid w:val="001C58DC"/>
    <w:rsid w:val="001C5ACE"/>
    <w:rsid w:val="001C5AD8"/>
    <w:rsid w:val="001C5C21"/>
    <w:rsid w:val="001C5F95"/>
    <w:rsid w:val="001C6071"/>
    <w:rsid w:val="001C65DC"/>
    <w:rsid w:val="001C660A"/>
    <w:rsid w:val="001C67AD"/>
    <w:rsid w:val="001C692A"/>
    <w:rsid w:val="001C6C8B"/>
    <w:rsid w:val="001C6C8D"/>
    <w:rsid w:val="001C6DE6"/>
    <w:rsid w:val="001C6ED1"/>
    <w:rsid w:val="001C6FFE"/>
    <w:rsid w:val="001C7216"/>
    <w:rsid w:val="001C7217"/>
    <w:rsid w:val="001C77AA"/>
    <w:rsid w:val="001C7824"/>
    <w:rsid w:val="001C785D"/>
    <w:rsid w:val="001C7B0C"/>
    <w:rsid w:val="001C7E95"/>
    <w:rsid w:val="001C7FC0"/>
    <w:rsid w:val="001D01D0"/>
    <w:rsid w:val="001D01DF"/>
    <w:rsid w:val="001D02F1"/>
    <w:rsid w:val="001D0540"/>
    <w:rsid w:val="001D07DF"/>
    <w:rsid w:val="001D0841"/>
    <w:rsid w:val="001D090E"/>
    <w:rsid w:val="001D09DF"/>
    <w:rsid w:val="001D0DF5"/>
    <w:rsid w:val="001D0EEC"/>
    <w:rsid w:val="001D15AE"/>
    <w:rsid w:val="001D167D"/>
    <w:rsid w:val="001D1925"/>
    <w:rsid w:val="001D1BCC"/>
    <w:rsid w:val="001D1E8E"/>
    <w:rsid w:val="001D1F3F"/>
    <w:rsid w:val="001D22E9"/>
    <w:rsid w:val="001D2435"/>
    <w:rsid w:val="001D2457"/>
    <w:rsid w:val="001D26BE"/>
    <w:rsid w:val="001D2A0B"/>
    <w:rsid w:val="001D2FD2"/>
    <w:rsid w:val="001D3374"/>
    <w:rsid w:val="001D3644"/>
    <w:rsid w:val="001D369B"/>
    <w:rsid w:val="001D378F"/>
    <w:rsid w:val="001D3B5F"/>
    <w:rsid w:val="001D3C23"/>
    <w:rsid w:val="001D3CCF"/>
    <w:rsid w:val="001D3CD6"/>
    <w:rsid w:val="001D3D35"/>
    <w:rsid w:val="001D3D7C"/>
    <w:rsid w:val="001D3E72"/>
    <w:rsid w:val="001D4109"/>
    <w:rsid w:val="001D4247"/>
    <w:rsid w:val="001D467B"/>
    <w:rsid w:val="001D4C1A"/>
    <w:rsid w:val="001D4C75"/>
    <w:rsid w:val="001D4DDB"/>
    <w:rsid w:val="001D4F77"/>
    <w:rsid w:val="001D50A8"/>
    <w:rsid w:val="001D528B"/>
    <w:rsid w:val="001D52C3"/>
    <w:rsid w:val="001D5363"/>
    <w:rsid w:val="001D54AE"/>
    <w:rsid w:val="001D5617"/>
    <w:rsid w:val="001D5958"/>
    <w:rsid w:val="001D5A76"/>
    <w:rsid w:val="001D5E1B"/>
    <w:rsid w:val="001D65FA"/>
    <w:rsid w:val="001D6951"/>
    <w:rsid w:val="001D6CC0"/>
    <w:rsid w:val="001D6F2E"/>
    <w:rsid w:val="001D70FC"/>
    <w:rsid w:val="001D755B"/>
    <w:rsid w:val="001D7995"/>
    <w:rsid w:val="001D7F80"/>
    <w:rsid w:val="001E03E0"/>
    <w:rsid w:val="001E067F"/>
    <w:rsid w:val="001E075C"/>
    <w:rsid w:val="001E082D"/>
    <w:rsid w:val="001E0AEF"/>
    <w:rsid w:val="001E0DD2"/>
    <w:rsid w:val="001E15C2"/>
    <w:rsid w:val="001E16D3"/>
    <w:rsid w:val="001E1812"/>
    <w:rsid w:val="001E1B4C"/>
    <w:rsid w:val="001E1C66"/>
    <w:rsid w:val="001E1E09"/>
    <w:rsid w:val="001E1FB2"/>
    <w:rsid w:val="001E2344"/>
    <w:rsid w:val="001E25BB"/>
    <w:rsid w:val="001E25D9"/>
    <w:rsid w:val="001E27F2"/>
    <w:rsid w:val="001E2C3A"/>
    <w:rsid w:val="001E2C53"/>
    <w:rsid w:val="001E2CE1"/>
    <w:rsid w:val="001E2DC5"/>
    <w:rsid w:val="001E2E85"/>
    <w:rsid w:val="001E32FA"/>
    <w:rsid w:val="001E3952"/>
    <w:rsid w:val="001E3C0A"/>
    <w:rsid w:val="001E3E87"/>
    <w:rsid w:val="001E3EDD"/>
    <w:rsid w:val="001E3F3D"/>
    <w:rsid w:val="001E40B7"/>
    <w:rsid w:val="001E4113"/>
    <w:rsid w:val="001E4448"/>
    <w:rsid w:val="001E4BD2"/>
    <w:rsid w:val="001E4BD4"/>
    <w:rsid w:val="001E4DC3"/>
    <w:rsid w:val="001E4F7D"/>
    <w:rsid w:val="001E5158"/>
    <w:rsid w:val="001E5284"/>
    <w:rsid w:val="001E5718"/>
    <w:rsid w:val="001E57BF"/>
    <w:rsid w:val="001E5A18"/>
    <w:rsid w:val="001E5B27"/>
    <w:rsid w:val="001E5DA1"/>
    <w:rsid w:val="001E5F94"/>
    <w:rsid w:val="001E6432"/>
    <w:rsid w:val="001E64AF"/>
    <w:rsid w:val="001E652E"/>
    <w:rsid w:val="001E6948"/>
    <w:rsid w:val="001E6A0B"/>
    <w:rsid w:val="001E6B15"/>
    <w:rsid w:val="001E6C63"/>
    <w:rsid w:val="001E6E58"/>
    <w:rsid w:val="001E6F19"/>
    <w:rsid w:val="001E7001"/>
    <w:rsid w:val="001E7041"/>
    <w:rsid w:val="001E70B5"/>
    <w:rsid w:val="001E77CA"/>
    <w:rsid w:val="001E7810"/>
    <w:rsid w:val="001E788A"/>
    <w:rsid w:val="001E7899"/>
    <w:rsid w:val="001E78D2"/>
    <w:rsid w:val="001E7D6F"/>
    <w:rsid w:val="001E7E18"/>
    <w:rsid w:val="001E7EB4"/>
    <w:rsid w:val="001F04C2"/>
    <w:rsid w:val="001F05FB"/>
    <w:rsid w:val="001F07AE"/>
    <w:rsid w:val="001F0A1B"/>
    <w:rsid w:val="001F0EE7"/>
    <w:rsid w:val="001F0FC0"/>
    <w:rsid w:val="001F11F1"/>
    <w:rsid w:val="001F19FF"/>
    <w:rsid w:val="001F204B"/>
    <w:rsid w:val="001F2251"/>
    <w:rsid w:val="001F23EA"/>
    <w:rsid w:val="001F23EB"/>
    <w:rsid w:val="001F24C6"/>
    <w:rsid w:val="001F29E5"/>
    <w:rsid w:val="001F2B70"/>
    <w:rsid w:val="001F2BE3"/>
    <w:rsid w:val="001F2DAE"/>
    <w:rsid w:val="001F316A"/>
    <w:rsid w:val="001F3289"/>
    <w:rsid w:val="001F32E4"/>
    <w:rsid w:val="001F353C"/>
    <w:rsid w:val="001F3653"/>
    <w:rsid w:val="001F3687"/>
    <w:rsid w:val="001F36E2"/>
    <w:rsid w:val="001F3884"/>
    <w:rsid w:val="001F3C29"/>
    <w:rsid w:val="001F4949"/>
    <w:rsid w:val="001F4ACE"/>
    <w:rsid w:val="001F4CFD"/>
    <w:rsid w:val="001F4D78"/>
    <w:rsid w:val="001F4EB1"/>
    <w:rsid w:val="001F5734"/>
    <w:rsid w:val="001F5A84"/>
    <w:rsid w:val="001F6062"/>
    <w:rsid w:val="001F65C4"/>
    <w:rsid w:val="001F6B29"/>
    <w:rsid w:val="001F6C6F"/>
    <w:rsid w:val="001F6D06"/>
    <w:rsid w:val="001F6F48"/>
    <w:rsid w:val="001F73CC"/>
    <w:rsid w:val="001F7616"/>
    <w:rsid w:val="001F780F"/>
    <w:rsid w:val="001F790B"/>
    <w:rsid w:val="001F7A72"/>
    <w:rsid w:val="001F7AAA"/>
    <w:rsid w:val="001F7B0A"/>
    <w:rsid w:val="001F7B9F"/>
    <w:rsid w:val="001F7E9F"/>
    <w:rsid w:val="002008DF"/>
    <w:rsid w:val="002010BD"/>
    <w:rsid w:val="00201324"/>
    <w:rsid w:val="00201601"/>
    <w:rsid w:val="00201647"/>
    <w:rsid w:val="00201736"/>
    <w:rsid w:val="0020226D"/>
    <w:rsid w:val="00202700"/>
    <w:rsid w:val="0020277F"/>
    <w:rsid w:val="00202997"/>
    <w:rsid w:val="0020299C"/>
    <w:rsid w:val="00202A08"/>
    <w:rsid w:val="00202F28"/>
    <w:rsid w:val="002033FF"/>
    <w:rsid w:val="002034BC"/>
    <w:rsid w:val="00203513"/>
    <w:rsid w:val="00203683"/>
    <w:rsid w:val="0020377F"/>
    <w:rsid w:val="00203819"/>
    <w:rsid w:val="00203868"/>
    <w:rsid w:val="00203941"/>
    <w:rsid w:val="002039FF"/>
    <w:rsid w:val="00203B02"/>
    <w:rsid w:val="00203F9A"/>
    <w:rsid w:val="00204617"/>
    <w:rsid w:val="002052AE"/>
    <w:rsid w:val="0020587C"/>
    <w:rsid w:val="002058BC"/>
    <w:rsid w:val="00205C9D"/>
    <w:rsid w:val="00205F07"/>
    <w:rsid w:val="00205FC9"/>
    <w:rsid w:val="00206889"/>
    <w:rsid w:val="002068CE"/>
    <w:rsid w:val="00206A14"/>
    <w:rsid w:val="00206B14"/>
    <w:rsid w:val="00206C37"/>
    <w:rsid w:val="00206D24"/>
    <w:rsid w:val="00206E59"/>
    <w:rsid w:val="0020702F"/>
    <w:rsid w:val="002073EF"/>
    <w:rsid w:val="002074A3"/>
    <w:rsid w:val="002075EE"/>
    <w:rsid w:val="002076B6"/>
    <w:rsid w:val="0020772D"/>
    <w:rsid w:val="00207927"/>
    <w:rsid w:val="00207AEA"/>
    <w:rsid w:val="00207B57"/>
    <w:rsid w:val="00207FB6"/>
    <w:rsid w:val="002102E6"/>
    <w:rsid w:val="00210333"/>
    <w:rsid w:val="00210581"/>
    <w:rsid w:val="00210C9D"/>
    <w:rsid w:val="002115C6"/>
    <w:rsid w:val="00211B85"/>
    <w:rsid w:val="00211C59"/>
    <w:rsid w:val="002125CC"/>
    <w:rsid w:val="002128E7"/>
    <w:rsid w:val="00212CC4"/>
    <w:rsid w:val="00212DC0"/>
    <w:rsid w:val="00212E62"/>
    <w:rsid w:val="00212ED5"/>
    <w:rsid w:val="00212F48"/>
    <w:rsid w:val="00213293"/>
    <w:rsid w:val="00213690"/>
    <w:rsid w:val="002137D1"/>
    <w:rsid w:val="00213B69"/>
    <w:rsid w:val="00213CD0"/>
    <w:rsid w:val="00213E70"/>
    <w:rsid w:val="00213FA2"/>
    <w:rsid w:val="00214091"/>
    <w:rsid w:val="00214142"/>
    <w:rsid w:val="002141B4"/>
    <w:rsid w:val="002144AC"/>
    <w:rsid w:val="00214511"/>
    <w:rsid w:val="00214549"/>
    <w:rsid w:val="0021473D"/>
    <w:rsid w:val="002147A4"/>
    <w:rsid w:val="0021482F"/>
    <w:rsid w:val="00214AD2"/>
    <w:rsid w:val="00214B2D"/>
    <w:rsid w:val="00214C00"/>
    <w:rsid w:val="00214D65"/>
    <w:rsid w:val="00214F75"/>
    <w:rsid w:val="002150C2"/>
    <w:rsid w:val="0021528C"/>
    <w:rsid w:val="0021544F"/>
    <w:rsid w:val="002156ED"/>
    <w:rsid w:val="00215D16"/>
    <w:rsid w:val="00215DCE"/>
    <w:rsid w:val="00216302"/>
    <w:rsid w:val="0021636E"/>
    <w:rsid w:val="002164C5"/>
    <w:rsid w:val="002164EA"/>
    <w:rsid w:val="00216973"/>
    <w:rsid w:val="00216CBE"/>
    <w:rsid w:val="00216D41"/>
    <w:rsid w:val="00216DFF"/>
    <w:rsid w:val="00216E1D"/>
    <w:rsid w:val="00216E35"/>
    <w:rsid w:val="00216E90"/>
    <w:rsid w:val="0021783C"/>
    <w:rsid w:val="00217943"/>
    <w:rsid w:val="00217A5D"/>
    <w:rsid w:val="00217C72"/>
    <w:rsid w:val="00217D9F"/>
    <w:rsid w:val="00220606"/>
    <w:rsid w:val="002206DB"/>
    <w:rsid w:val="00220783"/>
    <w:rsid w:val="00220A2B"/>
    <w:rsid w:val="00220A41"/>
    <w:rsid w:val="00220B6E"/>
    <w:rsid w:val="002210F2"/>
    <w:rsid w:val="00221231"/>
    <w:rsid w:val="00221331"/>
    <w:rsid w:val="00221A80"/>
    <w:rsid w:val="00221F25"/>
    <w:rsid w:val="0022200E"/>
    <w:rsid w:val="00222328"/>
    <w:rsid w:val="002225F1"/>
    <w:rsid w:val="002228B2"/>
    <w:rsid w:val="00222B3C"/>
    <w:rsid w:val="00223257"/>
    <w:rsid w:val="002233F9"/>
    <w:rsid w:val="0022418B"/>
    <w:rsid w:val="002241D0"/>
    <w:rsid w:val="0022448E"/>
    <w:rsid w:val="0022460F"/>
    <w:rsid w:val="00224B5F"/>
    <w:rsid w:val="00224E05"/>
    <w:rsid w:val="00224E97"/>
    <w:rsid w:val="0022573A"/>
    <w:rsid w:val="002257FC"/>
    <w:rsid w:val="00225800"/>
    <w:rsid w:val="00225AC4"/>
    <w:rsid w:val="00225C77"/>
    <w:rsid w:val="00225F70"/>
    <w:rsid w:val="00226035"/>
    <w:rsid w:val="002261D7"/>
    <w:rsid w:val="0022622A"/>
    <w:rsid w:val="0022645D"/>
    <w:rsid w:val="0022679E"/>
    <w:rsid w:val="00226D67"/>
    <w:rsid w:val="00226F04"/>
    <w:rsid w:val="00226F5D"/>
    <w:rsid w:val="00227540"/>
    <w:rsid w:val="0022755A"/>
    <w:rsid w:val="0022792C"/>
    <w:rsid w:val="00227936"/>
    <w:rsid w:val="00227D5A"/>
    <w:rsid w:val="00230238"/>
    <w:rsid w:val="00230B0E"/>
    <w:rsid w:val="00230B1D"/>
    <w:rsid w:val="00230BC1"/>
    <w:rsid w:val="00230E7C"/>
    <w:rsid w:val="002313D9"/>
    <w:rsid w:val="00231813"/>
    <w:rsid w:val="00231A4B"/>
    <w:rsid w:val="00231B44"/>
    <w:rsid w:val="00231D84"/>
    <w:rsid w:val="00231FBF"/>
    <w:rsid w:val="00232015"/>
    <w:rsid w:val="002320F1"/>
    <w:rsid w:val="0023215B"/>
    <w:rsid w:val="00232313"/>
    <w:rsid w:val="002323F8"/>
    <w:rsid w:val="002325AA"/>
    <w:rsid w:val="0023287A"/>
    <w:rsid w:val="00233278"/>
    <w:rsid w:val="00233362"/>
    <w:rsid w:val="002335B9"/>
    <w:rsid w:val="00233FE3"/>
    <w:rsid w:val="002343FA"/>
    <w:rsid w:val="002345E5"/>
    <w:rsid w:val="00234800"/>
    <w:rsid w:val="0023488B"/>
    <w:rsid w:val="00234C52"/>
    <w:rsid w:val="00234D43"/>
    <w:rsid w:val="00234F7C"/>
    <w:rsid w:val="00234F7D"/>
    <w:rsid w:val="0023503C"/>
    <w:rsid w:val="00235196"/>
    <w:rsid w:val="00235226"/>
    <w:rsid w:val="002352C4"/>
    <w:rsid w:val="00235323"/>
    <w:rsid w:val="00235724"/>
    <w:rsid w:val="00235903"/>
    <w:rsid w:val="00235B3E"/>
    <w:rsid w:val="00235BA2"/>
    <w:rsid w:val="00235CAA"/>
    <w:rsid w:val="00235F91"/>
    <w:rsid w:val="0023607C"/>
    <w:rsid w:val="00236081"/>
    <w:rsid w:val="00236234"/>
    <w:rsid w:val="0023644A"/>
    <w:rsid w:val="002364B4"/>
    <w:rsid w:val="00236A77"/>
    <w:rsid w:val="00236D84"/>
    <w:rsid w:val="00236E7F"/>
    <w:rsid w:val="0023704F"/>
    <w:rsid w:val="00237369"/>
    <w:rsid w:val="00237372"/>
    <w:rsid w:val="00237706"/>
    <w:rsid w:val="00237AA7"/>
    <w:rsid w:val="00237C4E"/>
    <w:rsid w:val="00237C66"/>
    <w:rsid w:val="00237CE6"/>
    <w:rsid w:val="00240115"/>
    <w:rsid w:val="00240306"/>
    <w:rsid w:val="00240381"/>
    <w:rsid w:val="0024127C"/>
    <w:rsid w:val="00241603"/>
    <w:rsid w:val="002416AE"/>
    <w:rsid w:val="0024183F"/>
    <w:rsid w:val="00241F64"/>
    <w:rsid w:val="002423EB"/>
    <w:rsid w:val="00242904"/>
    <w:rsid w:val="00242B83"/>
    <w:rsid w:val="002431F9"/>
    <w:rsid w:val="002435F5"/>
    <w:rsid w:val="0024380D"/>
    <w:rsid w:val="00243E96"/>
    <w:rsid w:val="0024400B"/>
    <w:rsid w:val="00244224"/>
    <w:rsid w:val="002443C0"/>
    <w:rsid w:val="00244597"/>
    <w:rsid w:val="00244699"/>
    <w:rsid w:val="00244853"/>
    <w:rsid w:val="00244983"/>
    <w:rsid w:val="002449C0"/>
    <w:rsid w:val="00244D1F"/>
    <w:rsid w:val="00244E51"/>
    <w:rsid w:val="00245288"/>
    <w:rsid w:val="00245696"/>
    <w:rsid w:val="00245992"/>
    <w:rsid w:val="00245C06"/>
    <w:rsid w:val="00245CE6"/>
    <w:rsid w:val="00246153"/>
    <w:rsid w:val="002463BF"/>
    <w:rsid w:val="00246636"/>
    <w:rsid w:val="00246778"/>
    <w:rsid w:val="002467AB"/>
    <w:rsid w:val="00246805"/>
    <w:rsid w:val="00246BFC"/>
    <w:rsid w:val="00246C6D"/>
    <w:rsid w:val="00246C6F"/>
    <w:rsid w:val="00246F7D"/>
    <w:rsid w:val="002470BE"/>
    <w:rsid w:val="002471F3"/>
    <w:rsid w:val="002472F0"/>
    <w:rsid w:val="0024732C"/>
    <w:rsid w:val="00247384"/>
    <w:rsid w:val="0024767B"/>
    <w:rsid w:val="0024778C"/>
    <w:rsid w:val="00247B83"/>
    <w:rsid w:val="00247C96"/>
    <w:rsid w:val="00247CBF"/>
    <w:rsid w:val="00247D26"/>
    <w:rsid w:val="00247DE9"/>
    <w:rsid w:val="002502C8"/>
    <w:rsid w:val="002504E4"/>
    <w:rsid w:val="002505E0"/>
    <w:rsid w:val="002509F3"/>
    <w:rsid w:val="00250AF0"/>
    <w:rsid w:val="00250CCF"/>
    <w:rsid w:val="00250E19"/>
    <w:rsid w:val="00250FC3"/>
    <w:rsid w:val="00251035"/>
    <w:rsid w:val="00251335"/>
    <w:rsid w:val="0025164F"/>
    <w:rsid w:val="00251BF9"/>
    <w:rsid w:val="00251FB9"/>
    <w:rsid w:val="002521BB"/>
    <w:rsid w:val="002521C4"/>
    <w:rsid w:val="00252BB9"/>
    <w:rsid w:val="00252F7A"/>
    <w:rsid w:val="00253294"/>
    <w:rsid w:val="0025342C"/>
    <w:rsid w:val="0025383D"/>
    <w:rsid w:val="002538EB"/>
    <w:rsid w:val="002538FB"/>
    <w:rsid w:val="00253E1D"/>
    <w:rsid w:val="00254008"/>
    <w:rsid w:val="0025400E"/>
    <w:rsid w:val="002543E1"/>
    <w:rsid w:val="00254CC1"/>
    <w:rsid w:val="00254E27"/>
    <w:rsid w:val="00254EEC"/>
    <w:rsid w:val="0025543B"/>
    <w:rsid w:val="00255562"/>
    <w:rsid w:val="00255641"/>
    <w:rsid w:val="002557B4"/>
    <w:rsid w:val="002558F0"/>
    <w:rsid w:val="002559B2"/>
    <w:rsid w:val="00255CC8"/>
    <w:rsid w:val="00255E68"/>
    <w:rsid w:val="002561BE"/>
    <w:rsid w:val="00256400"/>
    <w:rsid w:val="00256475"/>
    <w:rsid w:val="00256600"/>
    <w:rsid w:val="0025663F"/>
    <w:rsid w:val="002568BC"/>
    <w:rsid w:val="00256D48"/>
    <w:rsid w:val="00257165"/>
    <w:rsid w:val="0025716A"/>
    <w:rsid w:val="0025738C"/>
    <w:rsid w:val="00257858"/>
    <w:rsid w:val="002578FE"/>
    <w:rsid w:val="00257EFD"/>
    <w:rsid w:val="00257F64"/>
    <w:rsid w:val="002600B8"/>
    <w:rsid w:val="002603A6"/>
    <w:rsid w:val="002606C6"/>
    <w:rsid w:val="002608C4"/>
    <w:rsid w:val="00260E74"/>
    <w:rsid w:val="00260EC4"/>
    <w:rsid w:val="002613CE"/>
    <w:rsid w:val="0026141E"/>
    <w:rsid w:val="002615E2"/>
    <w:rsid w:val="002616CA"/>
    <w:rsid w:val="002616F5"/>
    <w:rsid w:val="00261B78"/>
    <w:rsid w:val="00261D54"/>
    <w:rsid w:val="00261DB0"/>
    <w:rsid w:val="00262421"/>
    <w:rsid w:val="00262891"/>
    <w:rsid w:val="00262E0E"/>
    <w:rsid w:val="00262E2F"/>
    <w:rsid w:val="00262F69"/>
    <w:rsid w:val="002630DB"/>
    <w:rsid w:val="00263331"/>
    <w:rsid w:val="00263386"/>
    <w:rsid w:val="002634A6"/>
    <w:rsid w:val="00263755"/>
    <w:rsid w:val="00263CF4"/>
    <w:rsid w:val="00263D2A"/>
    <w:rsid w:val="00263D80"/>
    <w:rsid w:val="00263E13"/>
    <w:rsid w:val="0026442D"/>
    <w:rsid w:val="00264625"/>
    <w:rsid w:val="00264D0A"/>
    <w:rsid w:val="00265300"/>
    <w:rsid w:val="0026535F"/>
    <w:rsid w:val="00265544"/>
    <w:rsid w:val="0026599A"/>
    <w:rsid w:val="00265BEB"/>
    <w:rsid w:val="00265BF5"/>
    <w:rsid w:val="00265C4A"/>
    <w:rsid w:val="00265C6D"/>
    <w:rsid w:val="0026623A"/>
    <w:rsid w:val="002662A4"/>
    <w:rsid w:val="002663CF"/>
    <w:rsid w:val="00266511"/>
    <w:rsid w:val="002665B4"/>
    <w:rsid w:val="00266676"/>
    <w:rsid w:val="002669C4"/>
    <w:rsid w:val="00266A34"/>
    <w:rsid w:val="00266B02"/>
    <w:rsid w:val="00266B1E"/>
    <w:rsid w:val="00266D99"/>
    <w:rsid w:val="00266E79"/>
    <w:rsid w:val="002670A5"/>
    <w:rsid w:val="0026761D"/>
    <w:rsid w:val="00267866"/>
    <w:rsid w:val="0026786E"/>
    <w:rsid w:val="00267A6A"/>
    <w:rsid w:val="00267A93"/>
    <w:rsid w:val="00267BCF"/>
    <w:rsid w:val="00267CFF"/>
    <w:rsid w:val="00267D18"/>
    <w:rsid w:val="00267F9A"/>
    <w:rsid w:val="002700F3"/>
    <w:rsid w:val="00270113"/>
    <w:rsid w:val="002706BF"/>
    <w:rsid w:val="002706D3"/>
    <w:rsid w:val="002709E0"/>
    <w:rsid w:val="00271251"/>
    <w:rsid w:val="00271665"/>
    <w:rsid w:val="00271851"/>
    <w:rsid w:val="00271B3A"/>
    <w:rsid w:val="00271DC6"/>
    <w:rsid w:val="00271E4A"/>
    <w:rsid w:val="00271EE7"/>
    <w:rsid w:val="00271F15"/>
    <w:rsid w:val="00272095"/>
    <w:rsid w:val="00272233"/>
    <w:rsid w:val="002723FA"/>
    <w:rsid w:val="00272C6B"/>
    <w:rsid w:val="00272D2E"/>
    <w:rsid w:val="00272D3B"/>
    <w:rsid w:val="00273190"/>
    <w:rsid w:val="0027319A"/>
    <w:rsid w:val="0027320E"/>
    <w:rsid w:val="002732B5"/>
    <w:rsid w:val="002732E5"/>
    <w:rsid w:val="002734D6"/>
    <w:rsid w:val="002736E1"/>
    <w:rsid w:val="00273CBA"/>
    <w:rsid w:val="00273EB0"/>
    <w:rsid w:val="00273EB3"/>
    <w:rsid w:val="00274031"/>
    <w:rsid w:val="002740CE"/>
    <w:rsid w:val="002743D9"/>
    <w:rsid w:val="00274893"/>
    <w:rsid w:val="00274BBF"/>
    <w:rsid w:val="00274E32"/>
    <w:rsid w:val="00274E98"/>
    <w:rsid w:val="00274F7C"/>
    <w:rsid w:val="0027575D"/>
    <w:rsid w:val="002758B0"/>
    <w:rsid w:val="00275B12"/>
    <w:rsid w:val="00275BAD"/>
    <w:rsid w:val="002760B1"/>
    <w:rsid w:val="00276365"/>
    <w:rsid w:val="0027639C"/>
    <w:rsid w:val="00276A75"/>
    <w:rsid w:val="00276C2E"/>
    <w:rsid w:val="00276D12"/>
    <w:rsid w:val="00277031"/>
    <w:rsid w:val="002770F0"/>
    <w:rsid w:val="002771E9"/>
    <w:rsid w:val="00277346"/>
    <w:rsid w:val="00277354"/>
    <w:rsid w:val="002773B5"/>
    <w:rsid w:val="0027781F"/>
    <w:rsid w:val="0027799C"/>
    <w:rsid w:val="00277B90"/>
    <w:rsid w:val="00277CED"/>
    <w:rsid w:val="00277E4A"/>
    <w:rsid w:val="00277EAB"/>
    <w:rsid w:val="00277EC4"/>
    <w:rsid w:val="0028005A"/>
    <w:rsid w:val="00280076"/>
    <w:rsid w:val="0028021D"/>
    <w:rsid w:val="00280266"/>
    <w:rsid w:val="0028047D"/>
    <w:rsid w:val="00280620"/>
    <w:rsid w:val="00280975"/>
    <w:rsid w:val="00280E3B"/>
    <w:rsid w:val="002810AA"/>
    <w:rsid w:val="00281373"/>
    <w:rsid w:val="00281472"/>
    <w:rsid w:val="002814BB"/>
    <w:rsid w:val="002819D0"/>
    <w:rsid w:val="00281B32"/>
    <w:rsid w:val="00282153"/>
    <w:rsid w:val="00282190"/>
    <w:rsid w:val="0028282F"/>
    <w:rsid w:val="0028289A"/>
    <w:rsid w:val="002828D2"/>
    <w:rsid w:val="0028308B"/>
    <w:rsid w:val="002831D4"/>
    <w:rsid w:val="0028348D"/>
    <w:rsid w:val="00283665"/>
    <w:rsid w:val="00283BD0"/>
    <w:rsid w:val="00283BDB"/>
    <w:rsid w:val="00283E5F"/>
    <w:rsid w:val="0028412A"/>
    <w:rsid w:val="002841AC"/>
    <w:rsid w:val="0028427B"/>
    <w:rsid w:val="00284312"/>
    <w:rsid w:val="00284392"/>
    <w:rsid w:val="0028496B"/>
    <w:rsid w:val="00284A56"/>
    <w:rsid w:val="00284DBC"/>
    <w:rsid w:val="00284E90"/>
    <w:rsid w:val="00284E95"/>
    <w:rsid w:val="00284FDD"/>
    <w:rsid w:val="0028518A"/>
    <w:rsid w:val="002852DB"/>
    <w:rsid w:val="0028573E"/>
    <w:rsid w:val="002859F8"/>
    <w:rsid w:val="00285C78"/>
    <w:rsid w:val="00285C94"/>
    <w:rsid w:val="00285CA4"/>
    <w:rsid w:val="00285D07"/>
    <w:rsid w:val="0028600D"/>
    <w:rsid w:val="00286061"/>
    <w:rsid w:val="0028622B"/>
    <w:rsid w:val="00286427"/>
    <w:rsid w:val="00286524"/>
    <w:rsid w:val="002867BE"/>
    <w:rsid w:val="002868FE"/>
    <w:rsid w:val="00286C2A"/>
    <w:rsid w:val="00286D6A"/>
    <w:rsid w:val="002872B8"/>
    <w:rsid w:val="00287525"/>
    <w:rsid w:val="002875B7"/>
    <w:rsid w:val="00287A55"/>
    <w:rsid w:val="00287F68"/>
    <w:rsid w:val="00287F9A"/>
    <w:rsid w:val="00287FAA"/>
    <w:rsid w:val="00287FDF"/>
    <w:rsid w:val="0029006D"/>
    <w:rsid w:val="00290124"/>
    <w:rsid w:val="00290279"/>
    <w:rsid w:val="00290336"/>
    <w:rsid w:val="0029071C"/>
    <w:rsid w:val="00290761"/>
    <w:rsid w:val="0029089C"/>
    <w:rsid w:val="00290A66"/>
    <w:rsid w:val="00290BF6"/>
    <w:rsid w:val="00290C04"/>
    <w:rsid w:val="00290C2B"/>
    <w:rsid w:val="00290DBB"/>
    <w:rsid w:val="00290F34"/>
    <w:rsid w:val="002910FE"/>
    <w:rsid w:val="002913CA"/>
    <w:rsid w:val="002914EF"/>
    <w:rsid w:val="002916B1"/>
    <w:rsid w:val="002919A6"/>
    <w:rsid w:val="00291A84"/>
    <w:rsid w:val="00291ADC"/>
    <w:rsid w:val="00291C87"/>
    <w:rsid w:val="00291DAA"/>
    <w:rsid w:val="00291F1F"/>
    <w:rsid w:val="00292037"/>
    <w:rsid w:val="002921A7"/>
    <w:rsid w:val="00292567"/>
    <w:rsid w:val="0029273F"/>
    <w:rsid w:val="00292A9A"/>
    <w:rsid w:val="00293387"/>
    <w:rsid w:val="00293753"/>
    <w:rsid w:val="00293844"/>
    <w:rsid w:val="00293ED2"/>
    <w:rsid w:val="00293FE5"/>
    <w:rsid w:val="002946A5"/>
    <w:rsid w:val="00294C24"/>
    <w:rsid w:val="00294DAA"/>
    <w:rsid w:val="00294E2F"/>
    <w:rsid w:val="00294F35"/>
    <w:rsid w:val="0029519D"/>
    <w:rsid w:val="002953EC"/>
    <w:rsid w:val="0029565C"/>
    <w:rsid w:val="00295C57"/>
    <w:rsid w:val="00296032"/>
    <w:rsid w:val="002960B8"/>
    <w:rsid w:val="002960E6"/>
    <w:rsid w:val="00296333"/>
    <w:rsid w:val="00296895"/>
    <w:rsid w:val="00296B60"/>
    <w:rsid w:val="00296C47"/>
    <w:rsid w:val="00296CBB"/>
    <w:rsid w:val="00296CBD"/>
    <w:rsid w:val="00296D38"/>
    <w:rsid w:val="00296EBD"/>
    <w:rsid w:val="00296F85"/>
    <w:rsid w:val="00297096"/>
    <w:rsid w:val="002976C1"/>
    <w:rsid w:val="002976C3"/>
    <w:rsid w:val="002976C5"/>
    <w:rsid w:val="00297926"/>
    <w:rsid w:val="00297C7E"/>
    <w:rsid w:val="00297F3F"/>
    <w:rsid w:val="00297F6D"/>
    <w:rsid w:val="002A0038"/>
    <w:rsid w:val="002A0646"/>
    <w:rsid w:val="002A0709"/>
    <w:rsid w:val="002A0752"/>
    <w:rsid w:val="002A09C6"/>
    <w:rsid w:val="002A0FFC"/>
    <w:rsid w:val="002A124D"/>
    <w:rsid w:val="002A1297"/>
    <w:rsid w:val="002A1504"/>
    <w:rsid w:val="002A156A"/>
    <w:rsid w:val="002A17CB"/>
    <w:rsid w:val="002A1C1D"/>
    <w:rsid w:val="002A1CB9"/>
    <w:rsid w:val="002A1D7E"/>
    <w:rsid w:val="002A2018"/>
    <w:rsid w:val="002A217F"/>
    <w:rsid w:val="002A2280"/>
    <w:rsid w:val="002A22BD"/>
    <w:rsid w:val="002A24A4"/>
    <w:rsid w:val="002A24E9"/>
    <w:rsid w:val="002A29FD"/>
    <w:rsid w:val="002A2B2F"/>
    <w:rsid w:val="002A2B6A"/>
    <w:rsid w:val="002A2C71"/>
    <w:rsid w:val="002A2FB6"/>
    <w:rsid w:val="002A3030"/>
    <w:rsid w:val="002A3657"/>
    <w:rsid w:val="002A37AB"/>
    <w:rsid w:val="002A395B"/>
    <w:rsid w:val="002A3C8D"/>
    <w:rsid w:val="002A3CA3"/>
    <w:rsid w:val="002A3EAD"/>
    <w:rsid w:val="002A3ECE"/>
    <w:rsid w:val="002A453D"/>
    <w:rsid w:val="002A4553"/>
    <w:rsid w:val="002A4575"/>
    <w:rsid w:val="002A4639"/>
    <w:rsid w:val="002A4659"/>
    <w:rsid w:val="002A4713"/>
    <w:rsid w:val="002A47E0"/>
    <w:rsid w:val="002A48A8"/>
    <w:rsid w:val="002A4CBF"/>
    <w:rsid w:val="002A4EA1"/>
    <w:rsid w:val="002A4EA9"/>
    <w:rsid w:val="002A5150"/>
    <w:rsid w:val="002A5618"/>
    <w:rsid w:val="002A5665"/>
    <w:rsid w:val="002A56D5"/>
    <w:rsid w:val="002A5CA8"/>
    <w:rsid w:val="002A5E19"/>
    <w:rsid w:val="002A602D"/>
    <w:rsid w:val="002A63A7"/>
    <w:rsid w:val="002A647D"/>
    <w:rsid w:val="002A667A"/>
    <w:rsid w:val="002A68FA"/>
    <w:rsid w:val="002A6C16"/>
    <w:rsid w:val="002A6C1C"/>
    <w:rsid w:val="002A6DAC"/>
    <w:rsid w:val="002A6DFB"/>
    <w:rsid w:val="002A6F29"/>
    <w:rsid w:val="002A7499"/>
    <w:rsid w:val="002A7827"/>
    <w:rsid w:val="002A7A4B"/>
    <w:rsid w:val="002A7D4C"/>
    <w:rsid w:val="002A7E76"/>
    <w:rsid w:val="002B046D"/>
    <w:rsid w:val="002B0755"/>
    <w:rsid w:val="002B07BF"/>
    <w:rsid w:val="002B09E2"/>
    <w:rsid w:val="002B0B2F"/>
    <w:rsid w:val="002B0CBF"/>
    <w:rsid w:val="002B0EC4"/>
    <w:rsid w:val="002B195C"/>
    <w:rsid w:val="002B1B50"/>
    <w:rsid w:val="002B1BF9"/>
    <w:rsid w:val="002B1FB2"/>
    <w:rsid w:val="002B22BB"/>
    <w:rsid w:val="002B257F"/>
    <w:rsid w:val="002B27CF"/>
    <w:rsid w:val="002B29EB"/>
    <w:rsid w:val="002B2AF8"/>
    <w:rsid w:val="002B2C4D"/>
    <w:rsid w:val="002B320E"/>
    <w:rsid w:val="002B3369"/>
    <w:rsid w:val="002B3662"/>
    <w:rsid w:val="002B388C"/>
    <w:rsid w:val="002B3A2D"/>
    <w:rsid w:val="002B3CC3"/>
    <w:rsid w:val="002B3E0C"/>
    <w:rsid w:val="002B3ED6"/>
    <w:rsid w:val="002B3FAD"/>
    <w:rsid w:val="002B4060"/>
    <w:rsid w:val="002B40A5"/>
    <w:rsid w:val="002B443F"/>
    <w:rsid w:val="002B4557"/>
    <w:rsid w:val="002B4655"/>
    <w:rsid w:val="002B4747"/>
    <w:rsid w:val="002B49CE"/>
    <w:rsid w:val="002B4A0E"/>
    <w:rsid w:val="002B4C23"/>
    <w:rsid w:val="002B4CB2"/>
    <w:rsid w:val="002B4CD6"/>
    <w:rsid w:val="002B4D55"/>
    <w:rsid w:val="002B4D90"/>
    <w:rsid w:val="002B511A"/>
    <w:rsid w:val="002B593E"/>
    <w:rsid w:val="002B5D24"/>
    <w:rsid w:val="002B5F4B"/>
    <w:rsid w:val="002B6502"/>
    <w:rsid w:val="002B66DB"/>
    <w:rsid w:val="002B7032"/>
    <w:rsid w:val="002B71B7"/>
    <w:rsid w:val="002B781C"/>
    <w:rsid w:val="002B7845"/>
    <w:rsid w:val="002B795B"/>
    <w:rsid w:val="002B7AF6"/>
    <w:rsid w:val="002B7D29"/>
    <w:rsid w:val="002B7E73"/>
    <w:rsid w:val="002B7F1A"/>
    <w:rsid w:val="002C0180"/>
    <w:rsid w:val="002C01E2"/>
    <w:rsid w:val="002C02BB"/>
    <w:rsid w:val="002C0446"/>
    <w:rsid w:val="002C0A96"/>
    <w:rsid w:val="002C0ADB"/>
    <w:rsid w:val="002C0B7B"/>
    <w:rsid w:val="002C0B8C"/>
    <w:rsid w:val="002C0C58"/>
    <w:rsid w:val="002C1535"/>
    <w:rsid w:val="002C16E8"/>
    <w:rsid w:val="002C16FE"/>
    <w:rsid w:val="002C170F"/>
    <w:rsid w:val="002C1786"/>
    <w:rsid w:val="002C1E76"/>
    <w:rsid w:val="002C1E81"/>
    <w:rsid w:val="002C1ED0"/>
    <w:rsid w:val="002C2294"/>
    <w:rsid w:val="002C26A2"/>
    <w:rsid w:val="002C2891"/>
    <w:rsid w:val="002C2B67"/>
    <w:rsid w:val="002C2BFA"/>
    <w:rsid w:val="002C2C9C"/>
    <w:rsid w:val="002C2D1C"/>
    <w:rsid w:val="002C2D77"/>
    <w:rsid w:val="002C2EBE"/>
    <w:rsid w:val="002C2FB6"/>
    <w:rsid w:val="002C3398"/>
    <w:rsid w:val="002C3637"/>
    <w:rsid w:val="002C37A3"/>
    <w:rsid w:val="002C37D3"/>
    <w:rsid w:val="002C38FD"/>
    <w:rsid w:val="002C3CAE"/>
    <w:rsid w:val="002C3D4F"/>
    <w:rsid w:val="002C3DB6"/>
    <w:rsid w:val="002C41B0"/>
    <w:rsid w:val="002C4427"/>
    <w:rsid w:val="002C4756"/>
    <w:rsid w:val="002C4824"/>
    <w:rsid w:val="002C4A5F"/>
    <w:rsid w:val="002C5082"/>
    <w:rsid w:val="002C508D"/>
    <w:rsid w:val="002C5103"/>
    <w:rsid w:val="002C52D4"/>
    <w:rsid w:val="002C5536"/>
    <w:rsid w:val="002C5566"/>
    <w:rsid w:val="002C5670"/>
    <w:rsid w:val="002C596F"/>
    <w:rsid w:val="002C5C6A"/>
    <w:rsid w:val="002C5EB9"/>
    <w:rsid w:val="002C63E9"/>
    <w:rsid w:val="002C688B"/>
    <w:rsid w:val="002C69F9"/>
    <w:rsid w:val="002C6D9A"/>
    <w:rsid w:val="002C6E72"/>
    <w:rsid w:val="002C6F0E"/>
    <w:rsid w:val="002C6F27"/>
    <w:rsid w:val="002C756D"/>
    <w:rsid w:val="002C771B"/>
    <w:rsid w:val="002C7948"/>
    <w:rsid w:val="002C794C"/>
    <w:rsid w:val="002C7D41"/>
    <w:rsid w:val="002C7DA0"/>
    <w:rsid w:val="002D00D1"/>
    <w:rsid w:val="002D044B"/>
    <w:rsid w:val="002D0A84"/>
    <w:rsid w:val="002D0B6A"/>
    <w:rsid w:val="002D1419"/>
    <w:rsid w:val="002D14DD"/>
    <w:rsid w:val="002D151F"/>
    <w:rsid w:val="002D1886"/>
    <w:rsid w:val="002D1958"/>
    <w:rsid w:val="002D1CC6"/>
    <w:rsid w:val="002D1D7B"/>
    <w:rsid w:val="002D1EE4"/>
    <w:rsid w:val="002D1F2A"/>
    <w:rsid w:val="002D20E9"/>
    <w:rsid w:val="002D2420"/>
    <w:rsid w:val="002D2637"/>
    <w:rsid w:val="002D2911"/>
    <w:rsid w:val="002D297B"/>
    <w:rsid w:val="002D2B6B"/>
    <w:rsid w:val="002D3165"/>
    <w:rsid w:val="002D31BB"/>
    <w:rsid w:val="002D3606"/>
    <w:rsid w:val="002D3611"/>
    <w:rsid w:val="002D3644"/>
    <w:rsid w:val="002D3B42"/>
    <w:rsid w:val="002D3F98"/>
    <w:rsid w:val="002D4072"/>
    <w:rsid w:val="002D4164"/>
    <w:rsid w:val="002D426A"/>
    <w:rsid w:val="002D4546"/>
    <w:rsid w:val="002D49C1"/>
    <w:rsid w:val="002D5753"/>
    <w:rsid w:val="002D5AEC"/>
    <w:rsid w:val="002D5BB8"/>
    <w:rsid w:val="002D5BE1"/>
    <w:rsid w:val="002D5C02"/>
    <w:rsid w:val="002D5C51"/>
    <w:rsid w:val="002D6029"/>
    <w:rsid w:val="002D60C6"/>
    <w:rsid w:val="002D649B"/>
    <w:rsid w:val="002D64B8"/>
    <w:rsid w:val="002D66B3"/>
    <w:rsid w:val="002D67C9"/>
    <w:rsid w:val="002D67DB"/>
    <w:rsid w:val="002D694C"/>
    <w:rsid w:val="002D6B02"/>
    <w:rsid w:val="002D6B13"/>
    <w:rsid w:val="002D6EDE"/>
    <w:rsid w:val="002D72A4"/>
    <w:rsid w:val="002D73F6"/>
    <w:rsid w:val="002D7543"/>
    <w:rsid w:val="002D771A"/>
    <w:rsid w:val="002E0AA4"/>
    <w:rsid w:val="002E0C7F"/>
    <w:rsid w:val="002E0ED9"/>
    <w:rsid w:val="002E14A5"/>
    <w:rsid w:val="002E17E1"/>
    <w:rsid w:val="002E1AE0"/>
    <w:rsid w:val="002E1BCE"/>
    <w:rsid w:val="002E1C8F"/>
    <w:rsid w:val="002E1FE7"/>
    <w:rsid w:val="002E24AB"/>
    <w:rsid w:val="002E25B8"/>
    <w:rsid w:val="002E2680"/>
    <w:rsid w:val="002E2B02"/>
    <w:rsid w:val="002E2B52"/>
    <w:rsid w:val="002E305A"/>
    <w:rsid w:val="002E3234"/>
    <w:rsid w:val="002E36AC"/>
    <w:rsid w:val="002E3806"/>
    <w:rsid w:val="002E38F1"/>
    <w:rsid w:val="002E395F"/>
    <w:rsid w:val="002E3BAE"/>
    <w:rsid w:val="002E3CE8"/>
    <w:rsid w:val="002E3D1A"/>
    <w:rsid w:val="002E40DC"/>
    <w:rsid w:val="002E44C0"/>
    <w:rsid w:val="002E459A"/>
    <w:rsid w:val="002E45B5"/>
    <w:rsid w:val="002E4B55"/>
    <w:rsid w:val="002E4CB5"/>
    <w:rsid w:val="002E4F3B"/>
    <w:rsid w:val="002E53CC"/>
    <w:rsid w:val="002E5742"/>
    <w:rsid w:val="002E5847"/>
    <w:rsid w:val="002E58B2"/>
    <w:rsid w:val="002E5A41"/>
    <w:rsid w:val="002E5FAB"/>
    <w:rsid w:val="002E6020"/>
    <w:rsid w:val="002E6076"/>
    <w:rsid w:val="002E617F"/>
    <w:rsid w:val="002E623C"/>
    <w:rsid w:val="002E6682"/>
    <w:rsid w:val="002E6792"/>
    <w:rsid w:val="002E6E51"/>
    <w:rsid w:val="002E6EC3"/>
    <w:rsid w:val="002E6F4E"/>
    <w:rsid w:val="002E6F86"/>
    <w:rsid w:val="002E6F98"/>
    <w:rsid w:val="002E76B1"/>
    <w:rsid w:val="002E7789"/>
    <w:rsid w:val="002E7806"/>
    <w:rsid w:val="002E7899"/>
    <w:rsid w:val="002E7AB2"/>
    <w:rsid w:val="002E7D69"/>
    <w:rsid w:val="002E7E53"/>
    <w:rsid w:val="002F02EE"/>
    <w:rsid w:val="002F0392"/>
    <w:rsid w:val="002F07EC"/>
    <w:rsid w:val="002F08C6"/>
    <w:rsid w:val="002F0A1F"/>
    <w:rsid w:val="002F0AAB"/>
    <w:rsid w:val="002F0C9C"/>
    <w:rsid w:val="002F105F"/>
    <w:rsid w:val="002F1494"/>
    <w:rsid w:val="002F155A"/>
    <w:rsid w:val="002F16A5"/>
    <w:rsid w:val="002F2075"/>
    <w:rsid w:val="002F2344"/>
    <w:rsid w:val="002F238C"/>
    <w:rsid w:val="002F2574"/>
    <w:rsid w:val="002F2707"/>
    <w:rsid w:val="002F2AA2"/>
    <w:rsid w:val="002F2C44"/>
    <w:rsid w:val="002F2DEB"/>
    <w:rsid w:val="002F3133"/>
    <w:rsid w:val="002F3331"/>
    <w:rsid w:val="002F33A6"/>
    <w:rsid w:val="002F341E"/>
    <w:rsid w:val="002F35A0"/>
    <w:rsid w:val="002F3686"/>
    <w:rsid w:val="002F39BB"/>
    <w:rsid w:val="002F3AF0"/>
    <w:rsid w:val="002F3D60"/>
    <w:rsid w:val="002F41CA"/>
    <w:rsid w:val="002F4369"/>
    <w:rsid w:val="002F45A3"/>
    <w:rsid w:val="002F4902"/>
    <w:rsid w:val="002F49CF"/>
    <w:rsid w:val="002F4E48"/>
    <w:rsid w:val="002F5269"/>
    <w:rsid w:val="002F56DA"/>
    <w:rsid w:val="002F5D83"/>
    <w:rsid w:val="002F6000"/>
    <w:rsid w:val="002F6152"/>
    <w:rsid w:val="002F6B55"/>
    <w:rsid w:val="002F6F8A"/>
    <w:rsid w:val="002F6FD3"/>
    <w:rsid w:val="002F7016"/>
    <w:rsid w:val="002F703F"/>
    <w:rsid w:val="002F70DE"/>
    <w:rsid w:val="002F7157"/>
    <w:rsid w:val="002F7199"/>
    <w:rsid w:val="002F7410"/>
    <w:rsid w:val="002F7601"/>
    <w:rsid w:val="002F784B"/>
    <w:rsid w:val="002F7D33"/>
    <w:rsid w:val="002F7E48"/>
    <w:rsid w:val="0030019D"/>
    <w:rsid w:val="003001B6"/>
    <w:rsid w:val="0030045E"/>
    <w:rsid w:val="003006CC"/>
    <w:rsid w:val="003007A6"/>
    <w:rsid w:val="00300A2F"/>
    <w:rsid w:val="00300A42"/>
    <w:rsid w:val="00300B97"/>
    <w:rsid w:val="00300BEB"/>
    <w:rsid w:val="00300D44"/>
    <w:rsid w:val="003010A2"/>
    <w:rsid w:val="00301250"/>
    <w:rsid w:val="00301278"/>
    <w:rsid w:val="00301709"/>
    <w:rsid w:val="00301848"/>
    <w:rsid w:val="00301D9F"/>
    <w:rsid w:val="0030282E"/>
    <w:rsid w:val="00302A52"/>
    <w:rsid w:val="00302B76"/>
    <w:rsid w:val="00302F45"/>
    <w:rsid w:val="00302F7F"/>
    <w:rsid w:val="00303323"/>
    <w:rsid w:val="00303426"/>
    <w:rsid w:val="00303512"/>
    <w:rsid w:val="00303C0E"/>
    <w:rsid w:val="00303D73"/>
    <w:rsid w:val="00303E85"/>
    <w:rsid w:val="00303FEA"/>
    <w:rsid w:val="003040BF"/>
    <w:rsid w:val="00304599"/>
    <w:rsid w:val="00304637"/>
    <w:rsid w:val="00304811"/>
    <w:rsid w:val="00304A94"/>
    <w:rsid w:val="00304C19"/>
    <w:rsid w:val="00304C88"/>
    <w:rsid w:val="00304CF3"/>
    <w:rsid w:val="00304DFC"/>
    <w:rsid w:val="00305449"/>
    <w:rsid w:val="0030553E"/>
    <w:rsid w:val="003055AC"/>
    <w:rsid w:val="00305B02"/>
    <w:rsid w:val="00305EC7"/>
    <w:rsid w:val="0030603A"/>
    <w:rsid w:val="00306249"/>
    <w:rsid w:val="0030630B"/>
    <w:rsid w:val="003066B0"/>
    <w:rsid w:val="00307C3E"/>
    <w:rsid w:val="00307C7F"/>
    <w:rsid w:val="00307E43"/>
    <w:rsid w:val="0031061A"/>
    <w:rsid w:val="00310B52"/>
    <w:rsid w:val="00310EA4"/>
    <w:rsid w:val="0031101A"/>
    <w:rsid w:val="00311138"/>
    <w:rsid w:val="003112E0"/>
    <w:rsid w:val="00311321"/>
    <w:rsid w:val="003118E1"/>
    <w:rsid w:val="00312161"/>
    <w:rsid w:val="0031235D"/>
    <w:rsid w:val="003124F7"/>
    <w:rsid w:val="0031250D"/>
    <w:rsid w:val="00312952"/>
    <w:rsid w:val="003129F2"/>
    <w:rsid w:val="00312D4A"/>
    <w:rsid w:val="00313902"/>
    <w:rsid w:val="00313E8E"/>
    <w:rsid w:val="00313EE0"/>
    <w:rsid w:val="00313FF1"/>
    <w:rsid w:val="00314086"/>
    <w:rsid w:val="003149A8"/>
    <w:rsid w:val="00314B12"/>
    <w:rsid w:val="00314E0C"/>
    <w:rsid w:val="003151AE"/>
    <w:rsid w:val="0031526D"/>
    <w:rsid w:val="003152CB"/>
    <w:rsid w:val="00315372"/>
    <w:rsid w:val="0031551E"/>
    <w:rsid w:val="0031589A"/>
    <w:rsid w:val="0031596B"/>
    <w:rsid w:val="00315996"/>
    <w:rsid w:val="00315D74"/>
    <w:rsid w:val="003164D8"/>
    <w:rsid w:val="0031693D"/>
    <w:rsid w:val="003169EC"/>
    <w:rsid w:val="00316A5E"/>
    <w:rsid w:val="00316DFF"/>
    <w:rsid w:val="0031703B"/>
    <w:rsid w:val="00317101"/>
    <w:rsid w:val="003171AE"/>
    <w:rsid w:val="0031730D"/>
    <w:rsid w:val="003173ED"/>
    <w:rsid w:val="003175B6"/>
    <w:rsid w:val="00317A20"/>
    <w:rsid w:val="00317B32"/>
    <w:rsid w:val="00320058"/>
    <w:rsid w:val="003200E8"/>
    <w:rsid w:val="0032018B"/>
    <w:rsid w:val="00320235"/>
    <w:rsid w:val="00320290"/>
    <w:rsid w:val="003202BC"/>
    <w:rsid w:val="003205A0"/>
    <w:rsid w:val="003206CD"/>
    <w:rsid w:val="003207C7"/>
    <w:rsid w:val="0032082F"/>
    <w:rsid w:val="0032096D"/>
    <w:rsid w:val="00320D09"/>
    <w:rsid w:val="00320E0C"/>
    <w:rsid w:val="00321205"/>
    <w:rsid w:val="0032122A"/>
    <w:rsid w:val="003214C5"/>
    <w:rsid w:val="00321631"/>
    <w:rsid w:val="00321E23"/>
    <w:rsid w:val="00321E3A"/>
    <w:rsid w:val="00322172"/>
    <w:rsid w:val="003225E1"/>
    <w:rsid w:val="00322612"/>
    <w:rsid w:val="00322E7D"/>
    <w:rsid w:val="00322EAF"/>
    <w:rsid w:val="003230C6"/>
    <w:rsid w:val="003231BF"/>
    <w:rsid w:val="00323864"/>
    <w:rsid w:val="003238AC"/>
    <w:rsid w:val="00323A82"/>
    <w:rsid w:val="00323B7A"/>
    <w:rsid w:val="00323CD7"/>
    <w:rsid w:val="00323CE5"/>
    <w:rsid w:val="00323E80"/>
    <w:rsid w:val="00323FF2"/>
    <w:rsid w:val="0032435F"/>
    <w:rsid w:val="00324863"/>
    <w:rsid w:val="00324988"/>
    <w:rsid w:val="00324B36"/>
    <w:rsid w:val="00324BF8"/>
    <w:rsid w:val="00324D79"/>
    <w:rsid w:val="00324E21"/>
    <w:rsid w:val="00324F27"/>
    <w:rsid w:val="0032505A"/>
    <w:rsid w:val="0032506C"/>
    <w:rsid w:val="003251FA"/>
    <w:rsid w:val="003252C5"/>
    <w:rsid w:val="003252E7"/>
    <w:rsid w:val="00325315"/>
    <w:rsid w:val="003254FF"/>
    <w:rsid w:val="003255F8"/>
    <w:rsid w:val="003256FC"/>
    <w:rsid w:val="00325919"/>
    <w:rsid w:val="003259C5"/>
    <w:rsid w:val="00325B51"/>
    <w:rsid w:val="00325CD6"/>
    <w:rsid w:val="0032617A"/>
    <w:rsid w:val="0032644D"/>
    <w:rsid w:val="0032680B"/>
    <w:rsid w:val="00326F35"/>
    <w:rsid w:val="00326F56"/>
    <w:rsid w:val="00327190"/>
    <w:rsid w:val="00327659"/>
    <w:rsid w:val="003278A2"/>
    <w:rsid w:val="00327A58"/>
    <w:rsid w:val="00327C48"/>
    <w:rsid w:val="00327F4A"/>
    <w:rsid w:val="00327F71"/>
    <w:rsid w:val="003302D5"/>
    <w:rsid w:val="00330525"/>
    <w:rsid w:val="0033075B"/>
    <w:rsid w:val="0033077F"/>
    <w:rsid w:val="00331084"/>
    <w:rsid w:val="003310EC"/>
    <w:rsid w:val="00331251"/>
    <w:rsid w:val="003314ED"/>
    <w:rsid w:val="00331836"/>
    <w:rsid w:val="0033186F"/>
    <w:rsid w:val="003318E6"/>
    <w:rsid w:val="00331AB4"/>
    <w:rsid w:val="00331BD8"/>
    <w:rsid w:val="00331BFA"/>
    <w:rsid w:val="00331FB5"/>
    <w:rsid w:val="00331FCF"/>
    <w:rsid w:val="00332046"/>
    <w:rsid w:val="003320C4"/>
    <w:rsid w:val="0033213D"/>
    <w:rsid w:val="00332172"/>
    <w:rsid w:val="00332238"/>
    <w:rsid w:val="00332497"/>
    <w:rsid w:val="00332A68"/>
    <w:rsid w:val="00332A97"/>
    <w:rsid w:val="00332E1E"/>
    <w:rsid w:val="00332FD8"/>
    <w:rsid w:val="003332C0"/>
    <w:rsid w:val="0033344A"/>
    <w:rsid w:val="003334F4"/>
    <w:rsid w:val="00333586"/>
    <w:rsid w:val="00333784"/>
    <w:rsid w:val="00333AD9"/>
    <w:rsid w:val="00333BF7"/>
    <w:rsid w:val="003343E1"/>
    <w:rsid w:val="00334508"/>
    <w:rsid w:val="003345E6"/>
    <w:rsid w:val="003346BB"/>
    <w:rsid w:val="003346F1"/>
    <w:rsid w:val="0033478B"/>
    <w:rsid w:val="00334A00"/>
    <w:rsid w:val="00334B6E"/>
    <w:rsid w:val="00334EE6"/>
    <w:rsid w:val="00335037"/>
    <w:rsid w:val="003353C7"/>
    <w:rsid w:val="00335D0A"/>
    <w:rsid w:val="00335E2B"/>
    <w:rsid w:val="00335ED3"/>
    <w:rsid w:val="00335F57"/>
    <w:rsid w:val="00335F59"/>
    <w:rsid w:val="003366F4"/>
    <w:rsid w:val="003366FF"/>
    <w:rsid w:val="00336A35"/>
    <w:rsid w:val="00336DBA"/>
    <w:rsid w:val="00337083"/>
    <w:rsid w:val="003372EF"/>
    <w:rsid w:val="00337446"/>
    <w:rsid w:val="0033746F"/>
    <w:rsid w:val="00337568"/>
    <w:rsid w:val="0033781C"/>
    <w:rsid w:val="00337853"/>
    <w:rsid w:val="00337FA3"/>
    <w:rsid w:val="00337FDD"/>
    <w:rsid w:val="00340107"/>
    <w:rsid w:val="00340422"/>
    <w:rsid w:val="00340460"/>
    <w:rsid w:val="0034063F"/>
    <w:rsid w:val="0034065B"/>
    <w:rsid w:val="00340822"/>
    <w:rsid w:val="00340993"/>
    <w:rsid w:val="00340C56"/>
    <w:rsid w:val="00340F16"/>
    <w:rsid w:val="0034134A"/>
    <w:rsid w:val="003416B6"/>
    <w:rsid w:val="00341794"/>
    <w:rsid w:val="00341858"/>
    <w:rsid w:val="00342138"/>
    <w:rsid w:val="003422A8"/>
    <w:rsid w:val="00342571"/>
    <w:rsid w:val="003428AE"/>
    <w:rsid w:val="00342A5C"/>
    <w:rsid w:val="00342B2F"/>
    <w:rsid w:val="00342C30"/>
    <w:rsid w:val="00342D0E"/>
    <w:rsid w:val="00342EA3"/>
    <w:rsid w:val="00342EA8"/>
    <w:rsid w:val="00343506"/>
    <w:rsid w:val="003436F0"/>
    <w:rsid w:val="00343767"/>
    <w:rsid w:val="003437C0"/>
    <w:rsid w:val="00343991"/>
    <w:rsid w:val="00343A45"/>
    <w:rsid w:val="00343D5D"/>
    <w:rsid w:val="00343D81"/>
    <w:rsid w:val="00343EC9"/>
    <w:rsid w:val="003445C2"/>
    <w:rsid w:val="003445C6"/>
    <w:rsid w:val="003448C6"/>
    <w:rsid w:val="00344C62"/>
    <w:rsid w:val="00344FCD"/>
    <w:rsid w:val="003452AA"/>
    <w:rsid w:val="00345425"/>
    <w:rsid w:val="0034545D"/>
    <w:rsid w:val="003454BB"/>
    <w:rsid w:val="003456FE"/>
    <w:rsid w:val="00346113"/>
    <w:rsid w:val="003461D7"/>
    <w:rsid w:val="003466D6"/>
    <w:rsid w:val="0034697D"/>
    <w:rsid w:val="003469C0"/>
    <w:rsid w:val="00346AE3"/>
    <w:rsid w:val="00346BA2"/>
    <w:rsid w:val="00346EB0"/>
    <w:rsid w:val="00346F78"/>
    <w:rsid w:val="00347486"/>
    <w:rsid w:val="00347541"/>
    <w:rsid w:val="003477B6"/>
    <w:rsid w:val="003477CF"/>
    <w:rsid w:val="00347957"/>
    <w:rsid w:val="00347973"/>
    <w:rsid w:val="003479FC"/>
    <w:rsid w:val="00347AE3"/>
    <w:rsid w:val="00347B95"/>
    <w:rsid w:val="00347D1F"/>
    <w:rsid w:val="00347DE1"/>
    <w:rsid w:val="00347F2C"/>
    <w:rsid w:val="00347FF6"/>
    <w:rsid w:val="00350007"/>
    <w:rsid w:val="0035010F"/>
    <w:rsid w:val="0035040F"/>
    <w:rsid w:val="00350889"/>
    <w:rsid w:val="00350A13"/>
    <w:rsid w:val="00350B21"/>
    <w:rsid w:val="00350EC1"/>
    <w:rsid w:val="00350FFC"/>
    <w:rsid w:val="00351066"/>
    <w:rsid w:val="003512D4"/>
    <w:rsid w:val="003514A5"/>
    <w:rsid w:val="0035159E"/>
    <w:rsid w:val="003515AC"/>
    <w:rsid w:val="003515BF"/>
    <w:rsid w:val="003516C7"/>
    <w:rsid w:val="003516CC"/>
    <w:rsid w:val="003519F3"/>
    <w:rsid w:val="00351D24"/>
    <w:rsid w:val="00352585"/>
    <w:rsid w:val="003525BD"/>
    <w:rsid w:val="003529EF"/>
    <w:rsid w:val="00352A08"/>
    <w:rsid w:val="00352C05"/>
    <w:rsid w:val="003530C2"/>
    <w:rsid w:val="00353827"/>
    <w:rsid w:val="0035384A"/>
    <w:rsid w:val="00353990"/>
    <w:rsid w:val="00353D19"/>
    <w:rsid w:val="00353FF9"/>
    <w:rsid w:val="0035401E"/>
    <w:rsid w:val="003540E4"/>
    <w:rsid w:val="00354332"/>
    <w:rsid w:val="003547DB"/>
    <w:rsid w:val="00354A02"/>
    <w:rsid w:val="00354CD8"/>
    <w:rsid w:val="00355421"/>
    <w:rsid w:val="003556BC"/>
    <w:rsid w:val="0035599B"/>
    <w:rsid w:val="00355E11"/>
    <w:rsid w:val="00355E62"/>
    <w:rsid w:val="0035653B"/>
    <w:rsid w:val="003565CA"/>
    <w:rsid w:val="003565D3"/>
    <w:rsid w:val="003567E6"/>
    <w:rsid w:val="00356C21"/>
    <w:rsid w:val="00356E0A"/>
    <w:rsid w:val="00356E83"/>
    <w:rsid w:val="003575B6"/>
    <w:rsid w:val="0035774F"/>
    <w:rsid w:val="00357A40"/>
    <w:rsid w:val="00357AED"/>
    <w:rsid w:val="00357C2C"/>
    <w:rsid w:val="00357DD1"/>
    <w:rsid w:val="00357F21"/>
    <w:rsid w:val="003601A8"/>
    <w:rsid w:val="003603A3"/>
    <w:rsid w:val="00360571"/>
    <w:rsid w:val="003606AF"/>
    <w:rsid w:val="00360888"/>
    <w:rsid w:val="00360B54"/>
    <w:rsid w:val="00360B99"/>
    <w:rsid w:val="0036100F"/>
    <w:rsid w:val="0036110B"/>
    <w:rsid w:val="00361238"/>
    <w:rsid w:val="00361496"/>
    <w:rsid w:val="003614C0"/>
    <w:rsid w:val="00361558"/>
    <w:rsid w:val="003615CB"/>
    <w:rsid w:val="0036182F"/>
    <w:rsid w:val="0036193E"/>
    <w:rsid w:val="00361980"/>
    <w:rsid w:val="00361BFD"/>
    <w:rsid w:val="00361E48"/>
    <w:rsid w:val="00362066"/>
    <w:rsid w:val="0036220B"/>
    <w:rsid w:val="00362295"/>
    <w:rsid w:val="00362392"/>
    <w:rsid w:val="003627AF"/>
    <w:rsid w:val="003627CF"/>
    <w:rsid w:val="00362A49"/>
    <w:rsid w:val="0036330F"/>
    <w:rsid w:val="00363590"/>
    <w:rsid w:val="00363607"/>
    <w:rsid w:val="00363CC3"/>
    <w:rsid w:val="00364160"/>
    <w:rsid w:val="00364236"/>
    <w:rsid w:val="0036448C"/>
    <w:rsid w:val="003644AD"/>
    <w:rsid w:val="00364841"/>
    <w:rsid w:val="003648DE"/>
    <w:rsid w:val="00364B50"/>
    <w:rsid w:val="00364BBB"/>
    <w:rsid w:val="00364D5F"/>
    <w:rsid w:val="00364D6E"/>
    <w:rsid w:val="00365435"/>
    <w:rsid w:val="00365592"/>
    <w:rsid w:val="0036573F"/>
    <w:rsid w:val="0036582C"/>
    <w:rsid w:val="003659BC"/>
    <w:rsid w:val="00365C4D"/>
    <w:rsid w:val="00365F2C"/>
    <w:rsid w:val="00365FF9"/>
    <w:rsid w:val="00366030"/>
    <w:rsid w:val="00366132"/>
    <w:rsid w:val="0036617F"/>
    <w:rsid w:val="003661DD"/>
    <w:rsid w:val="003664C2"/>
    <w:rsid w:val="00366575"/>
    <w:rsid w:val="0036670D"/>
    <w:rsid w:val="00366A5B"/>
    <w:rsid w:val="00366DDE"/>
    <w:rsid w:val="00366FFF"/>
    <w:rsid w:val="0036744B"/>
    <w:rsid w:val="0036750E"/>
    <w:rsid w:val="003677E8"/>
    <w:rsid w:val="00367AFA"/>
    <w:rsid w:val="00367BEC"/>
    <w:rsid w:val="00367EC6"/>
    <w:rsid w:val="003700FA"/>
    <w:rsid w:val="00370486"/>
    <w:rsid w:val="003704B0"/>
    <w:rsid w:val="003708C8"/>
    <w:rsid w:val="003708FC"/>
    <w:rsid w:val="00371150"/>
    <w:rsid w:val="00371224"/>
    <w:rsid w:val="00371784"/>
    <w:rsid w:val="00371864"/>
    <w:rsid w:val="0037199A"/>
    <w:rsid w:val="003719B8"/>
    <w:rsid w:val="00371A84"/>
    <w:rsid w:val="00371B78"/>
    <w:rsid w:val="00371E0F"/>
    <w:rsid w:val="00371EFE"/>
    <w:rsid w:val="003724EA"/>
    <w:rsid w:val="0037285E"/>
    <w:rsid w:val="00372AA7"/>
    <w:rsid w:val="00372D1C"/>
    <w:rsid w:val="00372ECD"/>
    <w:rsid w:val="003733A9"/>
    <w:rsid w:val="003734DB"/>
    <w:rsid w:val="00373A1A"/>
    <w:rsid w:val="00373B26"/>
    <w:rsid w:val="00373C0B"/>
    <w:rsid w:val="00373E5D"/>
    <w:rsid w:val="00373E65"/>
    <w:rsid w:val="00373EF2"/>
    <w:rsid w:val="00373F1F"/>
    <w:rsid w:val="0037406F"/>
    <w:rsid w:val="00374406"/>
    <w:rsid w:val="003744DC"/>
    <w:rsid w:val="00374542"/>
    <w:rsid w:val="003745A2"/>
    <w:rsid w:val="00374A5A"/>
    <w:rsid w:val="00374D6B"/>
    <w:rsid w:val="00374DEC"/>
    <w:rsid w:val="003750DF"/>
    <w:rsid w:val="003755B1"/>
    <w:rsid w:val="003755F4"/>
    <w:rsid w:val="0037572F"/>
    <w:rsid w:val="00375B0B"/>
    <w:rsid w:val="00375DBA"/>
    <w:rsid w:val="00375E9B"/>
    <w:rsid w:val="00376134"/>
    <w:rsid w:val="00376417"/>
    <w:rsid w:val="003767A8"/>
    <w:rsid w:val="003767C5"/>
    <w:rsid w:val="00376947"/>
    <w:rsid w:val="00376A20"/>
    <w:rsid w:val="00376A9F"/>
    <w:rsid w:val="00376C09"/>
    <w:rsid w:val="00376CC3"/>
    <w:rsid w:val="003770AF"/>
    <w:rsid w:val="003770B8"/>
    <w:rsid w:val="00377186"/>
    <w:rsid w:val="0037740C"/>
    <w:rsid w:val="0037780E"/>
    <w:rsid w:val="00377B70"/>
    <w:rsid w:val="00377D33"/>
    <w:rsid w:val="00377E75"/>
    <w:rsid w:val="00380115"/>
    <w:rsid w:val="00380514"/>
    <w:rsid w:val="0038075F"/>
    <w:rsid w:val="003807A0"/>
    <w:rsid w:val="003807DF"/>
    <w:rsid w:val="00380A1B"/>
    <w:rsid w:val="00380A22"/>
    <w:rsid w:val="00380B05"/>
    <w:rsid w:val="00380B0A"/>
    <w:rsid w:val="00380BCC"/>
    <w:rsid w:val="00380D3A"/>
    <w:rsid w:val="00380F85"/>
    <w:rsid w:val="00380FCF"/>
    <w:rsid w:val="00381088"/>
    <w:rsid w:val="003817DE"/>
    <w:rsid w:val="00381BA1"/>
    <w:rsid w:val="00381E30"/>
    <w:rsid w:val="00381EF3"/>
    <w:rsid w:val="0038234C"/>
    <w:rsid w:val="00382481"/>
    <w:rsid w:val="00382717"/>
    <w:rsid w:val="00382AEA"/>
    <w:rsid w:val="00382D3D"/>
    <w:rsid w:val="00382D80"/>
    <w:rsid w:val="00382EB6"/>
    <w:rsid w:val="00383023"/>
    <w:rsid w:val="00383310"/>
    <w:rsid w:val="00383590"/>
    <w:rsid w:val="003838CE"/>
    <w:rsid w:val="00383908"/>
    <w:rsid w:val="00383C06"/>
    <w:rsid w:val="003841A5"/>
    <w:rsid w:val="0038474C"/>
    <w:rsid w:val="0038482A"/>
    <w:rsid w:val="00384DBF"/>
    <w:rsid w:val="00385254"/>
    <w:rsid w:val="003853E8"/>
    <w:rsid w:val="00385414"/>
    <w:rsid w:val="00385546"/>
    <w:rsid w:val="00385665"/>
    <w:rsid w:val="00385D02"/>
    <w:rsid w:val="00385EFB"/>
    <w:rsid w:val="0038672F"/>
    <w:rsid w:val="00386928"/>
    <w:rsid w:val="003869F8"/>
    <w:rsid w:val="00386D27"/>
    <w:rsid w:val="00386D76"/>
    <w:rsid w:val="00386FC2"/>
    <w:rsid w:val="00386FD0"/>
    <w:rsid w:val="00386FD2"/>
    <w:rsid w:val="003872E9"/>
    <w:rsid w:val="00387328"/>
    <w:rsid w:val="003873F2"/>
    <w:rsid w:val="00387439"/>
    <w:rsid w:val="0038744E"/>
    <w:rsid w:val="003876EF"/>
    <w:rsid w:val="00387A97"/>
    <w:rsid w:val="00387AD5"/>
    <w:rsid w:val="00387CD8"/>
    <w:rsid w:val="00387D29"/>
    <w:rsid w:val="00387FD2"/>
    <w:rsid w:val="00390075"/>
    <w:rsid w:val="003903F6"/>
    <w:rsid w:val="00390471"/>
    <w:rsid w:val="0039089B"/>
    <w:rsid w:val="00390BAF"/>
    <w:rsid w:val="00390F6A"/>
    <w:rsid w:val="00391027"/>
    <w:rsid w:val="003914BC"/>
    <w:rsid w:val="003915D6"/>
    <w:rsid w:val="00391645"/>
    <w:rsid w:val="003916AA"/>
    <w:rsid w:val="00391B36"/>
    <w:rsid w:val="00391CC0"/>
    <w:rsid w:val="00391DAB"/>
    <w:rsid w:val="00391FAE"/>
    <w:rsid w:val="00391FB3"/>
    <w:rsid w:val="0039208F"/>
    <w:rsid w:val="00392266"/>
    <w:rsid w:val="00392395"/>
    <w:rsid w:val="00392426"/>
    <w:rsid w:val="00392485"/>
    <w:rsid w:val="003926CF"/>
    <w:rsid w:val="003926FE"/>
    <w:rsid w:val="00392CD6"/>
    <w:rsid w:val="00393026"/>
    <w:rsid w:val="003931B1"/>
    <w:rsid w:val="003931CF"/>
    <w:rsid w:val="003931DE"/>
    <w:rsid w:val="003931F2"/>
    <w:rsid w:val="003934FF"/>
    <w:rsid w:val="003937D9"/>
    <w:rsid w:val="00393C02"/>
    <w:rsid w:val="00393D3D"/>
    <w:rsid w:val="00393DBE"/>
    <w:rsid w:val="00393FDB"/>
    <w:rsid w:val="00394146"/>
    <w:rsid w:val="00394750"/>
    <w:rsid w:val="003947BE"/>
    <w:rsid w:val="00394A0F"/>
    <w:rsid w:val="00394A1C"/>
    <w:rsid w:val="0039526F"/>
    <w:rsid w:val="00395338"/>
    <w:rsid w:val="0039541F"/>
    <w:rsid w:val="0039564F"/>
    <w:rsid w:val="003959C1"/>
    <w:rsid w:val="00395CB8"/>
    <w:rsid w:val="00395F54"/>
    <w:rsid w:val="00396013"/>
    <w:rsid w:val="00396183"/>
    <w:rsid w:val="003961B3"/>
    <w:rsid w:val="003962AD"/>
    <w:rsid w:val="0039634E"/>
    <w:rsid w:val="0039669F"/>
    <w:rsid w:val="00396782"/>
    <w:rsid w:val="003967FE"/>
    <w:rsid w:val="00396AB7"/>
    <w:rsid w:val="00396B86"/>
    <w:rsid w:val="00396D1A"/>
    <w:rsid w:val="00397273"/>
    <w:rsid w:val="0039737A"/>
    <w:rsid w:val="003975C1"/>
    <w:rsid w:val="003976F9"/>
    <w:rsid w:val="00397769"/>
    <w:rsid w:val="00397857"/>
    <w:rsid w:val="003979CA"/>
    <w:rsid w:val="00397A20"/>
    <w:rsid w:val="00397B60"/>
    <w:rsid w:val="00397D65"/>
    <w:rsid w:val="00397EE7"/>
    <w:rsid w:val="003A020A"/>
    <w:rsid w:val="003A02CB"/>
    <w:rsid w:val="003A0ED1"/>
    <w:rsid w:val="003A10A0"/>
    <w:rsid w:val="003A1600"/>
    <w:rsid w:val="003A1671"/>
    <w:rsid w:val="003A175F"/>
    <w:rsid w:val="003A185A"/>
    <w:rsid w:val="003A1998"/>
    <w:rsid w:val="003A1BCE"/>
    <w:rsid w:val="003A1DB5"/>
    <w:rsid w:val="003A237E"/>
    <w:rsid w:val="003A2495"/>
    <w:rsid w:val="003A2837"/>
    <w:rsid w:val="003A28A7"/>
    <w:rsid w:val="003A2C01"/>
    <w:rsid w:val="003A3844"/>
    <w:rsid w:val="003A3AAB"/>
    <w:rsid w:val="003A3B5E"/>
    <w:rsid w:val="003A3CE1"/>
    <w:rsid w:val="003A4547"/>
    <w:rsid w:val="003A48B0"/>
    <w:rsid w:val="003A4CBF"/>
    <w:rsid w:val="003A4D61"/>
    <w:rsid w:val="003A4F09"/>
    <w:rsid w:val="003A501F"/>
    <w:rsid w:val="003A50D3"/>
    <w:rsid w:val="003A5548"/>
    <w:rsid w:val="003A57C2"/>
    <w:rsid w:val="003A5B6A"/>
    <w:rsid w:val="003A5D9E"/>
    <w:rsid w:val="003A5E3B"/>
    <w:rsid w:val="003A6509"/>
    <w:rsid w:val="003A685B"/>
    <w:rsid w:val="003A6A6E"/>
    <w:rsid w:val="003A6EB3"/>
    <w:rsid w:val="003A7084"/>
    <w:rsid w:val="003A71DC"/>
    <w:rsid w:val="003A730C"/>
    <w:rsid w:val="003A74C6"/>
    <w:rsid w:val="003A78F8"/>
    <w:rsid w:val="003A7A0B"/>
    <w:rsid w:val="003A7B86"/>
    <w:rsid w:val="003A7C56"/>
    <w:rsid w:val="003A7D73"/>
    <w:rsid w:val="003B005C"/>
    <w:rsid w:val="003B063D"/>
    <w:rsid w:val="003B0B96"/>
    <w:rsid w:val="003B0CF5"/>
    <w:rsid w:val="003B0F7E"/>
    <w:rsid w:val="003B1343"/>
    <w:rsid w:val="003B18AB"/>
    <w:rsid w:val="003B1A7D"/>
    <w:rsid w:val="003B1B83"/>
    <w:rsid w:val="003B1C3E"/>
    <w:rsid w:val="003B2331"/>
    <w:rsid w:val="003B2C12"/>
    <w:rsid w:val="003B2D03"/>
    <w:rsid w:val="003B32C5"/>
    <w:rsid w:val="003B35E2"/>
    <w:rsid w:val="003B38C6"/>
    <w:rsid w:val="003B3A82"/>
    <w:rsid w:val="003B3DA5"/>
    <w:rsid w:val="003B3DC6"/>
    <w:rsid w:val="003B3E29"/>
    <w:rsid w:val="003B487D"/>
    <w:rsid w:val="003B48D3"/>
    <w:rsid w:val="003B4C6E"/>
    <w:rsid w:val="003B4E72"/>
    <w:rsid w:val="003B4FDC"/>
    <w:rsid w:val="003B5792"/>
    <w:rsid w:val="003B5F65"/>
    <w:rsid w:val="003B5FD8"/>
    <w:rsid w:val="003B606E"/>
    <w:rsid w:val="003B60A2"/>
    <w:rsid w:val="003B6113"/>
    <w:rsid w:val="003B6263"/>
    <w:rsid w:val="003B63C7"/>
    <w:rsid w:val="003B675F"/>
    <w:rsid w:val="003B678D"/>
    <w:rsid w:val="003B67F5"/>
    <w:rsid w:val="003B68E0"/>
    <w:rsid w:val="003B6E59"/>
    <w:rsid w:val="003B72DA"/>
    <w:rsid w:val="003B75A3"/>
    <w:rsid w:val="003B7FB3"/>
    <w:rsid w:val="003B7FF8"/>
    <w:rsid w:val="003C024B"/>
    <w:rsid w:val="003C0D42"/>
    <w:rsid w:val="003C11C4"/>
    <w:rsid w:val="003C122C"/>
    <w:rsid w:val="003C178F"/>
    <w:rsid w:val="003C1BDC"/>
    <w:rsid w:val="003C1D27"/>
    <w:rsid w:val="003C20D1"/>
    <w:rsid w:val="003C22AC"/>
    <w:rsid w:val="003C274B"/>
    <w:rsid w:val="003C2867"/>
    <w:rsid w:val="003C28CC"/>
    <w:rsid w:val="003C2ED8"/>
    <w:rsid w:val="003C2EE2"/>
    <w:rsid w:val="003C329C"/>
    <w:rsid w:val="003C3554"/>
    <w:rsid w:val="003C360F"/>
    <w:rsid w:val="003C3A18"/>
    <w:rsid w:val="003C3ED3"/>
    <w:rsid w:val="003C405C"/>
    <w:rsid w:val="003C407D"/>
    <w:rsid w:val="003C40A4"/>
    <w:rsid w:val="003C4236"/>
    <w:rsid w:val="003C42F0"/>
    <w:rsid w:val="003C4516"/>
    <w:rsid w:val="003C49A5"/>
    <w:rsid w:val="003C51C4"/>
    <w:rsid w:val="003C5392"/>
    <w:rsid w:val="003C54E8"/>
    <w:rsid w:val="003C5517"/>
    <w:rsid w:val="003C5D20"/>
    <w:rsid w:val="003C6119"/>
    <w:rsid w:val="003C62AC"/>
    <w:rsid w:val="003C660D"/>
    <w:rsid w:val="003C756D"/>
    <w:rsid w:val="003C795F"/>
    <w:rsid w:val="003C7965"/>
    <w:rsid w:val="003C7A91"/>
    <w:rsid w:val="003C7D84"/>
    <w:rsid w:val="003C7E48"/>
    <w:rsid w:val="003D0301"/>
    <w:rsid w:val="003D031C"/>
    <w:rsid w:val="003D040F"/>
    <w:rsid w:val="003D055F"/>
    <w:rsid w:val="003D08A1"/>
    <w:rsid w:val="003D0D03"/>
    <w:rsid w:val="003D0D77"/>
    <w:rsid w:val="003D0EA6"/>
    <w:rsid w:val="003D1042"/>
    <w:rsid w:val="003D1076"/>
    <w:rsid w:val="003D1924"/>
    <w:rsid w:val="003D1BFB"/>
    <w:rsid w:val="003D225C"/>
    <w:rsid w:val="003D25C1"/>
    <w:rsid w:val="003D2657"/>
    <w:rsid w:val="003D29CC"/>
    <w:rsid w:val="003D300F"/>
    <w:rsid w:val="003D333B"/>
    <w:rsid w:val="003D34D7"/>
    <w:rsid w:val="003D3641"/>
    <w:rsid w:val="003D3A29"/>
    <w:rsid w:val="003D3BA6"/>
    <w:rsid w:val="003D41EA"/>
    <w:rsid w:val="003D4320"/>
    <w:rsid w:val="003D46F1"/>
    <w:rsid w:val="003D4970"/>
    <w:rsid w:val="003D4AFF"/>
    <w:rsid w:val="003D4B02"/>
    <w:rsid w:val="003D4C0F"/>
    <w:rsid w:val="003D5219"/>
    <w:rsid w:val="003D525E"/>
    <w:rsid w:val="003D54ED"/>
    <w:rsid w:val="003D59E8"/>
    <w:rsid w:val="003D600D"/>
    <w:rsid w:val="003D6209"/>
    <w:rsid w:val="003D627F"/>
    <w:rsid w:val="003D6687"/>
    <w:rsid w:val="003D68B2"/>
    <w:rsid w:val="003D6AD2"/>
    <w:rsid w:val="003D6D3C"/>
    <w:rsid w:val="003D6EFA"/>
    <w:rsid w:val="003D7035"/>
    <w:rsid w:val="003D73DD"/>
    <w:rsid w:val="003D7897"/>
    <w:rsid w:val="003D78B3"/>
    <w:rsid w:val="003D7CED"/>
    <w:rsid w:val="003D7F0C"/>
    <w:rsid w:val="003E026B"/>
    <w:rsid w:val="003E03FE"/>
    <w:rsid w:val="003E044B"/>
    <w:rsid w:val="003E0979"/>
    <w:rsid w:val="003E0D3F"/>
    <w:rsid w:val="003E0D7E"/>
    <w:rsid w:val="003E0E46"/>
    <w:rsid w:val="003E0F70"/>
    <w:rsid w:val="003E10B0"/>
    <w:rsid w:val="003E17D6"/>
    <w:rsid w:val="003E1B03"/>
    <w:rsid w:val="003E1B80"/>
    <w:rsid w:val="003E1C4C"/>
    <w:rsid w:val="003E28C8"/>
    <w:rsid w:val="003E2D72"/>
    <w:rsid w:val="003E2EAC"/>
    <w:rsid w:val="003E2F4A"/>
    <w:rsid w:val="003E30FD"/>
    <w:rsid w:val="003E322E"/>
    <w:rsid w:val="003E33AB"/>
    <w:rsid w:val="003E3400"/>
    <w:rsid w:val="003E343B"/>
    <w:rsid w:val="003E379C"/>
    <w:rsid w:val="003E3C6A"/>
    <w:rsid w:val="003E3D4B"/>
    <w:rsid w:val="003E3EDF"/>
    <w:rsid w:val="003E445D"/>
    <w:rsid w:val="003E446B"/>
    <w:rsid w:val="003E44D0"/>
    <w:rsid w:val="003E4BB0"/>
    <w:rsid w:val="003E4CAA"/>
    <w:rsid w:val="003E4F69"/>
    <w:rsid w:val="003E5589"/>
    <w:rsid w:val="003E55CD"/>
    <w:rsid w:val="003E55D8"/>
    <w:rsid w:val="003E5A68"/>
    <w:rsid w:val="003E5CA2"/>
    <w:rsid w:val="003E5FD4"/>
    <w:rsid w:val="003E6520"/>
    <w:rsid w:val="003E6A59"/>
    <w:rsid w:val="003E6AA9"/>
    <w:rsid w:val="003E6C4A"/>
    <w:rsid w:val="003E6DA1"/>
    <w:rsid w:val="003E6EF3"/>
    <w:rsid w:val="003E6F65"/>
    <w:rsid w:val="003E6FE6"/>
    <w:rsid w:val="003E7092"/>
    <w:rsid w:val="003E7178"/>
    <w:rsid w:val="003E7249"/>
    <w:rsid w:val="003E726D"/>
    <w:rsid w:val="003E72A4"/>
    <w:rsid w:val="003E7521"/>
    <w:rsid w:val="003E79A2"/>
    <w:rsid w:val="003E7A4D"/>
    <w:rsid w:val="003E7B76"/>
    <w:rsid w:val="003E7BD7"/>
    <w:rsid w:val="003F03BC"/>
    <w:rsid w:val="003F046D"/>
    <w:rsid w:val="003F0595"/>
    <w:rsid w:val="003F0675"/>
    <w:rsid w:val="003F0A3A"/>
    <w:rsid w:val="003F0BF4"/>
    <w:rsid w:val="003F0C88"/>
    <w:rsid w:val="003F0D63"/>
    <w:rsid w:val="003F10CD"/>
    <w:rsid w:val="003F1403"/>
    <w:rsid w:val="003F18C3"/>
    <w:rsid w:val="003F19E2"/>
    <w:rsid w:val="003F1B88"/>
    <w:rsid w:val="003F1BA3"/>
    <w:rsid w:val="003F24CC"/>
    <w:rsid w:val="003F24D7"/>
    <w:rsid w:val="003F26DE"/>
    <w:rsid w:val="003F2912"/>
    <w:rsid w:val="003F2A12"/>
    <w:rsid w:val="003F2D2B"/>
    <w:rsid w:val="003F2DA8"/>
    <w:rsid w:val="003F3000"/>
    <w:rsid w:val="003F30CA"/>
    <w:rsid w:val="003F3118"/>
    <w:rsid w:val="003F3136"/>
    <w:rsid w:val="003F38A2"/>
    <w:rsid w:val="003F391F"/>
    <w:rsid w:val="003F3BE0"/>
    <w:rsid w:val="003F3D2A"/>
    <w:rsid w:val="003F3DAF"/>
    <w:rsid w:val="003F3F13"/>
    <w:rsid w:val="003F42B7"/>
    <w:rsid w:val="003F442B"/>
    <w:rsid w:val="003F47E2"/>
    <w:rsid w:val="003F485A"/>
    <w:rsid w:val="003F4BC0"/>
    <w:rsid w:val="003F4C84"/>
    <w:rsid w:val="003F516E"/>
    <w:rsid w:val="003F51C7"/>
    <w:rsid w:val="003F5216"/>
    <w:rsid w:val="003F554B"/>
    <w:rsid w:val="003F57EB"/>
    <w:rsid w:val="003F585C"/>
    <w:rsid w:val="003F587B"/>
    <w:rsid w:val="003F5A47"/>
    <w:rsid w:val="003F5A59"/>
    <w:rsid w:val="003F61C3"/>
    <w:rsid w:val="003F650F"/>
    <w:rsid w:val="003F6A05"/>
    <w:rsid w:val="003F6C81"/>
    <w:rsid w:val="003F7014"/>
    <w:rsid w:val="003F72E2"/>
    <w:rsid w:val="003F769D"/>
    <w:rsid w:val="003F7ED8"/>
    <w:rsid w:val="00400081"/>
    <w:rsid w:val="004003B7"/>
    <w:rsid w:val="00400546"/>
    <w:rsid w:val="00400584"/>
    <w:rsid w:val="00400935"/>
    <w:rsid w:val="0040096E"/>
    <w:rsid w:val="00400D28"/>
    <w:rsid w:val="00400FF4"/>
    <w:rsid w:val="004014D0"/>
    <w:rsid w:val="004015C1"/>
    <w:rsid w:val="004016D1"/>
    <w:rsid w:val="00401736"/>
    <w:rsid w:val="00401BDA"/>
    <w:rsid w:val="00401CDB"/>
    <w:rsid w:val="0040200B"/>
    <w:rsid w:val="004020BF"/>
    <w:rsid w:val="0040211A"/>
    <w:rsid w:val="00402B3C"/>
    <w:rsid w:val="00402C71"/>
    <w:rsid w:val="00402E48"/>
    <w:rsid w:val="00403380"/>
    <w:rsid w:val="00403DE8"/>
    <w:rsid w:val="0040459D"/>
    <w:rsid w:val="004045E3"/>
    <w:rsid w:val="0040474F"/>
    <w:rsid w:val="00404860"/>
    <w:rsid w:val="00404B11"/>
    <w:rsid w:val="004051C4"/>
    <w:rsid w:val="004053CB"/>
    <w:rsid w:val="004053CE"/>
    <w:rsid w:val="004053DF"/>
    <w:rsid w:val="00405646"/>
    <w:rsid w:val="00405CE2"/>
    <w:rsid w:val="00405D25"/>
    <w:rsid w:val="00405F28"/>
    <w:rsid w:val="00406541"/>
    <w:rsid w:val="00406612"/>
    <w:rsid w:val="00406642"/>
    <w:rsid w:val="0040668D"/>
    <w:rsid w:val="00406702"/>
    <w:rsid w:val="00406D05"/>
    <w:rsid w:val="00406DC4"/>
    <w:rsid w:val="00406E6C"/>
    <w:rsid w:val="00406EE8"/>
    <w:rsid w:val="004070AC"/>
    <w:rsid w:val="00407230"/>
    <w:rsid w:val="0040729C"/>
    <w:rsid w:val="00407376"/>
    <w:rsid w:val="00407492"/>
    <w:rsid w:val="004078A0"/>
    <w:rsid w:val="0040792D"/>
    <w:rsid w:val="00407D11"/>
    <w:rsid w:val="00407D63"/>
    <w:rsid w:val="00407E15"/>
    <w:rsid w:val="004101D5"/>
    <w:rsid w:val="00410493"/>
    <w:rsid w:val="004106D9"/>
    <w:rsid w:val="00410D9D"/>
    <w:rsid w:val="00410DF1"/>
    <w:rsid w:val="00411096"/>
    <w:rsid w:val="004111F1"/>
    <w:rsid w:val="00411AC8"/>
    <w:rsid w:val="00411BD6"/>
    <w:rsid w:val="00411FD4"/>
    <w:rsid w:val="00411FDC"/>
    <w:rsid w:val="004128E4"/>
    <w:rsid w:val="0041293D"/>
    <w:rsid w:val="00412EAD"/>
    <w:rsid w:val="00413010"/>
    <w:rsid w:val="004130C0"/>
    <w:rsid w:val="00413201"/>
    <w:rsid w:val="004133D6"/>
    <w:rsid w:val="004135AE"/>
    <w:rsid w:val="00413EBB"/>
    <w:rsid w:val="004140A8"/>
    <w:rsid w:val="00414103"/>
    <w:rsid w:val="0041465D"/>
    <w:rsid w:val="00414789"/>
    <w:rsid w:val="004147F2"/>
    <w:rsid w:val="00414AFF"/>
    <w:rsid w:val="00414F24"/>
    <w:rsid w:val="00415001"/>
    <w:rsid w:val="004150CF"/>
    <w:rsid w:val="00415118"/>
    <w:rsid w:val="00415268"/>
    <w:rsid w:val="004152D8"/>
    <w:rsid w:val="00415C4D"/>
    <w:rsid w:val="00415DAB"/>
    <w:rsid w:val="00415E8F"/>
    <w:rsid w:val="00416063"/>
    <w:rsid w:val="004162D6"/>
    <w:rsid w:val="00416456"/>
    <w:rsid w:val="00416655"/>
    <w:rsid w:val="00416737"/>
    <w:rsid w:val="004168C0"/>
    <w:rsid w:val="00416EC1"/>
    <w:rsid w:val="00417332"/>
    <w:rsid w:val="00417429"/>
    <w:rsid w:val="00417461"/>
    <w:rsid w:val="004179C0"/>
    <w:rsid w:val="00417AD7"/>
    <w:rsid w:val="00417BCA"/>
    <w:rsid w:val="00417E7D"/>
    <w:rsid w:val="00417EA2"/>
    <w:rsid w:val="004201A3"/>
    <w:rsid w:val="00420FFA"/>
    <w:rsid w:val="004210B4"/>
    <w:rsid w:val="004214A7"/>
    <w:rsid w:val="00421507"/>
    <w:rsid w:val="0042173C"/>
    <w:rsid w:val="0042188A"/>
    <w:rsid w:val="00421A66"/>
    <w:rsid w:val="00421AB8"/>
    <w:rsid w:val="00421CB2"/>
    <w:rsid w:val="00421D28"/>
    <w:rsid w:val="004221B3"/>
    <w:rsid w:val="0042229E"/>
    <w:rsid w:val="0042260C"/>
    <w:rsid w:val="00422684"/>
    <w:rsid w:val="004226B5"/>
    <w:rsid w:val="00422811"/>
    <w:rsid w:val="004231A3"/>
    <w:rsid w:val="004233EA"/>
    <w:rsid w:val="004235BC"/>
    <w:rsid w:val="0042380A"/>
    <w:rsid w:val="00423888"/>
    <w:rsid w:val="00423FB7"/>
    <w:rsid w:val="0042428F"/>
    <w:rsid w:val="004247EC"/>
    <w:rsid w:val="00424CD9"/>
    <w:rsid w:val="00424E8B"/>
    <w:rsid w:val="00424F6B"/>
    <w:rsid w:val="0042514A"/>
    <w:rsid w:val="0042523C"/>
    <w:rsid w:val="0042534F"/>
    <w:rsid w:val="004254DF"/>
    <w:rsid w:val="0042551C"/>
    <w:rsid w:val="004257D2"/>
    <w:rsid w:val="004257D5"/>
    <w:rsid w:val="00425883"/>
    <w:rsid w:val="00425999"/>
    <w:rsid w:val="00425C2F"/>
    <w:rsid w:val="00425D7D"/>
    <w:rsid w:val="00425E48"/>
    <w:rsid w:val="00425FC1"/>
    <w:rsid w:val="004262E8"/>
    <w:rsid w:val="004266A8"/>
    <w:rsid w:val="00426AF4"/>
    <w:rsid w:val="00426BC4"/>
    <w:rsid w:val="00426E38"/>
    <w:rsid w:val="00427254"/>
    <w:rsid w:val="004272E2"/>
    <w:rsid w:val="0042761F"/>
    <w:rsid w:val="0042782A"/>
    <w:rsid w:val="0043015D"/>
    <w:rsid w:val="004309B1"/>
    <w:rsid w:val="00430D37"/>
    <w:rsid w:val="00430D46"/>
    <w:rsid w:val="00430FEC"/>
    <w:rsid w:val="004313B3"/>
    <w:rsid w:val="00431632"/>
    <w:rsid w:val="0043199A"/>
    <w:rsid w:val="00431C36"/>
    <w:rsid w:val="00431C7A"/>
    <w:rsid w:val="00431FBE"/>
    <w:rsid w:val="004325E1"/>
    <w:rsid w:val="004326CE"/>
    <w:rsid w:val="00432760"/>
    <w:rsid w:val="00432DCF"/>
    <w:rsid w:val="00432ECD"/>
    <w:rsid w:val="00432F06"/>
    <w:rsid w:val="00433429"/>
    <w:rsid w:val="004336CF"/>
    <w:rsid w:val="00433952"/>
    <w:rsid w:val="00433A7B"/>
    <w:rsid w:val="00433A95"/>
    <w:rsid w:val="00433ABF"/>
    <w:rsid w:val="00433DF0"/>
    <w:rsid w:val="00433FAE"/>
    <w:rsid w:val="0043408E"/>
    <w:rsid w:val="0043419C"/>
    <w:rsid w:val="00434387"/>
    <w:rsid w:val="004345F9"/>
    <w:rsid w:val="004348CA"/>
    <w:rsid w:val="00434EAD"/>
    <w:rsid w:val="00435096"/>
    <w:rsid w:val="0043577A"/>
    <w:rsid w:val="00435865"/>
    <w:rsid w:val="00435B83"/>
    <w:rsid w:val="00435F6C"/>
    <w:rsid w:val="00435FB4"/>
    <w:rsid w:val="0043604C"/>
    <w:rsid w:val="00436140"/>
    <w:rsid w:val="0043626A"/>
    <w:rsid w:val="00436608"/>
    <w:rsid w:val="00436849"/>
    <w:rsid w:val="00436982"/>
    <w:rsid w:val="00436FFA"/>
    <w:rsid w:val="00437675"/>
    <w:rsid w:val="004379A4"/>
    <w:rsid w:val="00437F43"/>
    <w:rsid w:val="00437FAE"/>
    <w:rsid w:val="004401CB"/>
    <w:rsid w:val="004401F9"/>
    <w:rsid w:val="00440ED7"/>
    <w:rsid w:val="00441031"/>
    <w:rsid w:val="004412D8"/>
    <w:rsid w:val="0044151D"/>
    <w:rsid w:val="004416AA"/>
    <w:rsid w:val="004417A8"/>
    <w:rsid w:val="004419EA"/>
    <w:rsid w:val="00441E49"/>
    <w:rsid w:val="00442020"/>
    <w:rsid w:val="00442106"/>
    <w:rsid w:val="00442172"/>
    <w:rsid w:val="0044224E"/>
    <w:rsid w:val="00442327"/>
    <w:rsid w:val="00442504"/>
    <w:rsid w:val="004427EC"/>
    <w:rsid w:val="004428A2"/>
    <w:rsid w:val="00442B9B"/>
    <w:rsid w:val="00442BBD"/>
    <w:rsid w:val="00442BF8"/>
    <w:rsid w:val="004431CD"/>
    <w:rsid w:val="004432D6"/>
    <w:rsid w:val="00443354"/>
    <w:rsid w:val="004433D5"/>
    <w:rsid w:val="004434B0"/>
    <w:rsid w:val="00443658"/>
    <w:rsid w:val="0044378F"/>
    <w:rsid w:val="004437E0"/>
    <w:rsid w:val="004438F0"/>
    <w:rsid w:val="00443ACF"/>
    <w:rsid w:val="00443EFF"/>
    <w:rsid w:val="004442F8"/>
    <w:rsid w:val="00444396"/>
    <w:rsid w:val="004444CF"/>
    <w:rsid w:val="00444864"/>
    <w:rsid w:val="004449AF"/>
    <w:rsid w:val="00444A28"/>
    <w:rsid w:val="00444B95"/>
    <w:rsid w:val="00444D85"/>
    <w:rsid w:val="00445242"/>
    <w:rsid w:val="004452ED"/>
    <w:rsid w:val="0044574C"/>
    <w:rsid w:val="004458F9"/>
    <w:rsid w:val="00445926"/>
    <w:rsid w:val="00445A9C"/>
    <w:rsid w:val="00445AE5"/>
    <w:rsid w:val="00445D29"/>
    <w:rsid w:val="00445E48"/>
    <w:rsid w:val="00445EF8"/>
    <w:rsid w:val="004466BA"/>
    <w:rsid w:val="004466F3"/>
    <w:rsid w:val="00446719"/>
    <w:rsid w:val="004469FF"/>
    <w:rsid w:val="00446BEF"/>
    <w:rsid w:val="0044729F"/>
    <w:rsid w:val="00447503"/>
    <w:rsid w:val="00447786"/>
    <w:rsid w:val="00447A78"/>
    <w:rsid w:val="00447F31"/>
    <w:rsid w:val="00451146"/>
    <w:rsid w:val="0045128B"/>
    <w:rsid w:val="00451650"/>
    <w:rsid w:val="00451796"/>
    <w:rsid w:val="0045179B"/>
    <w:rsid w:val="004517EE"/>
    <w:rsid w:val="00451895"/>
    <w:rsid w:val="00451EAD"/>
    <w:rsid w:val="00452085"/>
    <w:rsid w:val="0045219D"/>
    <w:rsid w:val="00452289"/>
    <w:rsid w:val="004526EB"/>
    <w:rsid w:val="004527B1"/>
    <w:rsid w:val="00452EC6"/>
    <w:rsid w:val="00452F08"/>
    <w:rsid w:val="00452F41"/>
    <w:rsid w:val="00453270"/>
    <w:rsid w:val="0045370D"/>
    <w:rsid w:val="00453A45"/>
    <w:rsid w:val="00453D68"/>
    <w:rsid w:val="00453E28"/>
    <w:rsid w:val="004544E3"/>
    <w:rsid w:val="00454741"/>
    <w:rsid w:val="0045483C"/>
    <w:rsid w:val="00454A9B"/>
    <w:rsid w:val="00454D66"/>
    <w:rsid w:val="00454EE3"/>
    <w:rsid w:val="00454FDD"/>
    <w:rsid w:val="004551A1"/>
    <w:rsid w:val="0045537C"/>
    <w:rsid w:val="0045545E"/>
    <w:rsid w:val="004558B1"/>
    <w:rsid w:val="00455E2C"/>
    <w:rsid w:val="00456180"/>
    <w:rsid w:val="00456286"/>
    <w:rsid w:val="0045628E"/>
    <w:rsid w:val="0045644F"/>
    <w:rsid w:val="00456752"/>
    <w:rsid w:val="00456A71"/>
    <w:rsid w:val="00456D7F"/>
    <w:rsid w:val="004571BC"/>
    <w:rsid w:val="00457240"/>
    <w:rsid w:val="0045771F"/>
    <w:rsid w:val="00457B7A"/>
    <w:rsid w:val="00457F6E"/>
    <w:rsid w:val="00460061"/>
    <w:rsid w:val="00460097"/>
    <w:rsid w:val="00460407"/>
    <w:rsid w:val="004604F2"/>
    <w:rsid w:val="004607D6"/>
    <w:rsid w:val="004609EF"/>
    <w:rsid w:val="00460A6A"/>
    <w:rsid w:val="00460B8B"/>
    <w:rsid w:val="00460BAC"/>
    <w:rsid w:val="0046146E"/>
    <w:rsid w:val="00461887"/>
    <w:rsid w:val="00461B08"/>
    <w:rsid w:val="00461C3E"/>
    <w:rsid w:val="00462187"/>
    <w:rsid w:val="0046240C"/>
    <w:rsid w:val="004624CE"/>
    <w:rsid w:val="00462599"/>
    <w:rsid w:val="00462A53"/>
    <w:rsid w:val="00462AAD"/>
    <w:rsid w:val="00462B2E"/>
    <w:rsid w:val="00462D0C"/>
    <w:rsid w:val="00462E11"/>
    <w:rsid w:val="00463022"/>
    <w:rsid w:val="004630B5"/>
    <w:rsid w:val="0046328A"/>
    <w:rsid w:val="0046371A"/>
    <w:rsid w:val="004638F5"/>
    <w:rsid w:val="00463BE0"/>
    <w:rsid w:val="00463C0D"/>
    <w:rsid w:val="00463CC4"/>
    <w:rsid w:val="00463E99"/>
    <w:rsid w:val="00463F9A"/>
    <w:rsid w:val="00463FC0"/>
    <w:rsid w:val="00464006"/>
    <w:rsid w:val="004642AC"/>
    <w:rsid w:val="0046448E"/>
    <w:rsid w:val="004645DA"/>
    <w:rsid w:val="0046469D"/>
    <w:rsid w:val="00464968"/>
    <w:rsid w:val="00464A07"/>
    <w:rsid w:val="00464AB5"/>
    <w:rsid w:val="00464B08"/>
    <w:rsid w:val="00464C42"/>
    <w:rsid w:val="00465241"/>
    <w:rsid w:val="004653BF"/>
    <w:rsid w:val="00465402"/>
    <w:rsid w:val="0046557B"/>
    <w:rsid w:val="004655DF"/>
    <w:rsid w:val="00465ADE"/>
    <w:rsid w:val="00465B56"/>
    <w:rsid w:val="00465EEC"/>
    <w:rsid w:val="00466183"/>
    <w:rsid w:val="004667AF"/>
    <w:rsid w:val="00466C8C"/>
    <w:rsid w:val="00466DF4"/>
    <w:rsid w:val="00466E20"/>
    <w:rsid w:val="00467060"/>
    <w:rsid w:val="004670B3"/>
    <w:rsid w:val="004677BD"/>
    <w:rsid w:val="00470016"/>
    <w:rsid w:val="00470353"/>
    <w:rsid w:val="00470543"/>
    <w:rsid w:val="00470564"/>
    <w:rsid w:val="004707B9"/>
    <w:rsid w:val="00470B8C"/>
    <w:rsid w:val="00470E9B"/>
    <w:rsid w:val="004715B6"/>
    <w:rsid w:val="00471D4F"/>
    <w:rsid w:val="004720C5"/>
    <w:rsid w:val="00472386"/>
    <w:rsid w:val="004726E7"/>
    <w:rsid w:val="00472933"/>
    <w:rsid w:val="00472A60"/>
    <w:rsid w:val="00472AB5"/>
    <w:rsid w:val="00472B8B"/>
    <w:rsid w:val="0047339C"/>
    <w:rsid w:val="004735DF"/>
    <w:rsid w:val="0047366C"/>
    <w:rsid w:val="004736AF"/>
    <w:rsid w:val="00473A6C"/>
    <w:rsid w:val="00473DCD"/>
    <w:rsid w:val="00473DEC"/>
    <w:rsid w:val="0047427B"/>
    <w:rsid w:val="00474427"/>
    <w:rsid w:val="00474659"/>
    <w:rsid w:val="0047475C"/>
    <w:rsid w:val="004752DD"/>
    <w:rsid w:val="00475657"/>
    <w:rsid w:val="00475B8D"/>
    <w:rsid w:val="00475DB8"/>
    <w:rsid w:val="00476147"/>
    <w:rsid w:val="00476248"/>
    <w:rsid w:val="004762C5"/>
    <w:rsid w:val="00476B50"/>
    <w:rsid w:val="00476E1C"/>
    <w:rsid w:val="00477107"/>
    <w:rsid w:val="0047730D"/>
    <w:rsid w:val="00477433"/>
    <w:rsid w:val="0047754F"/>
    <w:rsid w:val="00477558"/>
    <w:rsid w:val="004776C2"/>
    <w:rsid w:val="00477718"/>
    <w:rsid w:val="004778ED"/>
    <w:rsid w:val="00477917"/>
    <w:rsid w:val="00477C9B"/>
    <w:rsid w:val="00477EE4"/>
    <w:rsid w:val="004804CB"/>
    <w:rsid w:val="00480635"/>
    <w:rsid w:val="00480799"/>
    <w:rsid w:val="004807A2"/>
    <w:rsid w:val="00480CA0"/>
    <w:rsid w:val="00480E47"/>
    <w:rsid w:val="004813DC"/>
    <w:rsid w:val="00481520"/>
    <w:rsid w:val="00481547"/>
    <w:rsid w:val="00481785"/>
    <w:rsid w:val="00481F95"/>
    <w:rsid w:val="00482998"/>
    <w:rsid w:val="00482AFC"/>
    <w:rsid w:val="00483315"/>
    <w:rsid w:val="00483333"/>
    <w:rsid w:val="004834C1"/>
    <w:rsid w:val="004834FE"/>
    <w:rsid w:val="00483C4C"/>
    <w:rsid w:val="00483C98"/>
    <w:rsid w:val="00483DEF"/>
    <w:rsid w:val="00483E77"/>
    <w:rsid w:val="00484263"/>
    <w:rsid w:val="00484356"/>
    <w:rsid w:val="00484480"/>
    <w:rsid w:val="0048470A"/>
    <w:rsid w:val="004847DA"/>
    <w:rsid w:val="00484A50"/>
    <w:rsid w:val="00484BF4"/>
    <w:rsid w:val="00484DC0"/>
    <w:rsid w:val="004850F3"/>
    <w:rsid w:val="0048531E"/>
    <w:rsid w:val="0048569F"/>
    <w:rsid w:val="0048578F"/>
    <w:rsid w:val="004857CB"/>
    <w:rsid w:val="0048584E"/>
    <w:rsid w:val="00485921"/>
    <w:rsid w:val="00485970"/>
    <w:rsid w:val="00485D1B"/>
    <w:rsid w:val="00485E33"/>
    <w:rsid w:val="00485FCF"/>
    <w:rsid w:val="00486144"/>
    <w:rsid w:val="004861E2"/>
    <w:rsid w:val="004863CD"/>
    <w:rsid w:val="00486829"/>
    <w:rsid w:val="00486B1D"/>
    <w:rsid w:val="00486BB3"/>
    <w:rsid w:val="0048761C"/>
    <w:rsid w:val="004877B6"/>
    <w:rsid w:val="0048785F"/>
    <w:rsid w:val="00487FB3"/>
    <w:rsid w:val="00490018"/>
    <w:rsid w:val="00490113"/>
    <w:rsid w:val="0049045A"/>
    <w:rsid w:val="0049075C"/>
    <w:rsid w:val="004908B6"/>
    <w:rsid w:val="0049095C"/>
    <w:rsid w:val="004909E6"/>
    <w:rsid w:val="00490BF3"/>
    <w:rsid w:val="004911B6"/>
    <w:rsid w:val="004911C7"/>
    <w:rsid w:val="004916F6"/>
    <w:rsid w:val="00491A03"/>
    <w:rsid w:val="00492056"/>
    <w:rsid w:val="00492268"/>
    <w:rsid w:val="00492817"/>
    <w:rsid w:val="00492A35"/>
    <w:rsid w:val="00492BA9"/>
    <w:rsid w:val="00492D3E"/>
    <w:rsid w:val="00493028"/>
    <w:rsid w:val="00493466"/>
    <w:rsid w:val="00493561"/>
    <w:rsid w:val="00493856"/>
    <w:rsid w:val="00493941"/>
    <w:rsid w:val="00494834"/>
    <w:rsid w:val="004949E8"/>
    <w:rsid w:val="00494CF4"/>
    <w:rsid w:val="00494DAB"/>
    <w:rsid w:val="00494EE0"/>
    <w:rsid w:val="004953E3"/>
    <w:rsid w:val="004958B2"/>
    <w:rsid w:val="00495A57"/>
    <w:rsid w:val="00495CD6"/>
    <w:rsid w:val="00495FD1"/>
    <w:rsid w:val="00496007"/>
    <w:rsid w:val="00496083"/>
    <w:rsid w:val="0049674E"/>
    <w:rsid w:val="004967D3"/>
    <w:rsid w:val="004967DD"/>
    <w:rsid w:val="0049690C"/>
    <w:rsid w:val="00496C38"/>
    <w:rsid w:val="00497265"/>
    <w:rsid w:val="00497329"/>
    <w:rsid w:val="004975B1"/>
    <w:rsid w:val="004975FA"/>
    <w:rsid w:val="00497E18"/>
    <w:rsid w:val="00497E80"/>
    <w:rsid w:val="00497E83"/>
    <w:rsid w:val="00497EFA"/>
    <w:rsid w:val="004A028D"/>
    <w:rsid w:val="004A03F2"/>
    <w:rsid w:val="004A0A98"/>
    <w:rsid w:val="004A0C6C"/>
    <w:rsid w:val="004A0FD9"/>
    <w:rsid w:val="004A1209"/>
    <w:rsid w:val="004A120C"/>
    <w:rsid w:val="004A1321"/>
    <w:rsid w:val="004A1473"/>
    <w:rsid w:val="004A1539"/>
    <w:rsid w:val="004A156E"/>
    <w:rsid w:val="004A15E1"/>
    <w:rsid w:val="004A1716"/>
    <w:rsid w:val="004A1BA8"/>
    <w:rsid w:val="004A2BB1"/>
    <w:rsid w:val="004A2BD8"/>
    <w:rsid w:val="004A2E7E"/>
    <w:rsid w:val="004A2F98"/>
    <w:rsid w:val="004A3364"/>
    <w:rsid w:val="004A349B"/>
    <w:rsid w:val="004A3957"/>
    <w:rsid w:val="004A3AE2"/>
    <w:rsid w:val="004A3DDC"/>
    <w:rsid w:val="004A40F3"/>
    <w:rsid w:val="004A4199"/>
    <w:rsid w:val="004A49D1"/>
    <w:rsid w:val="004A4CA9"/>
    <w:rsid w:val="004A4E02"/>
    <w:rsid w:val="004A4ED7"/>
    <w:rsid w:val="004A5132"/>
    <w:rsid w:val="004A513E"/>
    <w:rsid w:val="004A516F"/>
    <w:rsid w:val="004A5A0B"/>
    <w:rsid w:val="004A6021"/>
    <w:rsid w:val="004A63DA"/>
    <w:rsid w:val="004A648D"/>
    <w:rsid w:val="004A66E5"/>
    <w:rsid w:val="004A67EB"/>
    <w:rsid w:val="004A684B"/>
    <w:rsid w:val="004A6936"/>
    <w:rsid w:val="004A6A00"/>
    <w:rsid w:val="004A6E87"/>
    <w:rsid w:val="004A72CB"/>
    <w:rsid w:val="004A74C8"/>
    <w:rsid w:val="004A75BD"/>
    <w:rsid w:val="004A76DE"/>
    <w:rsid w:val="004A7AB6"/>
    <w:rsid w:val="004A7D72"/>
    <w:rsid w:val="004A7ED3"/>
    <w:rsid w:val="004B0087"/>
    <w:rsid w:val="004B05C1"/>
    <w:rsid w:val="004B0D18"/>
    <w:rsid w:val="004B0D88"/>
    <w:rsid w:val="004B0DA1"/>
    <w:rsid w:val="004B0DE6"/>
    <w:rsid w:val="004B0E8A"/>
    <w:rsid w:val="004B0FAF"/>
    <w:rsid w:val="004B13DF"/>
    <w:rsid w:val="004B1490"/>
    <w:rsid w:val="004B1809"/>
    <w:rsid w:val="004B187E"/>
    <w:rsid w:val="004B24AB"/>
    <w:rsid w:val="004B257D"/>
    <w:rsid w:val="004B2A51"/>
    <w:rsid w:val="004B2D3C"/>
    <w:rsid w:val="004B2EB8"/>
    <w:rsid w:val="004B3692"/>
    <w:rsid w:val="004B373C"/>
    <w:rsid w:val="004B37CA"/>
    <w:rsid w:val="004B3820"/>
    <w:rsid w:val="004B3AA5"/>
    <w:rsid w:val="004B3B4B"/>
    <w:rsid w:val="004B3CCC"/>
    <w:rsid w:val="004B40DF"/>
    <w:rsid w:val="004B4206"/>
    <w:rsid w:val="004B43FD"/>
    <w:rsid w:val="004B4794"/>
    <w:rsid w:val="004B4B9B"/>
    <w:rsid w:val="004B4CE8"/>
    <w:rsid w:val="004B4ECF"/>
    <w:rsid w:val="004B501C"/>
    <w:rsid w:val="004B5483"/>
    <w:rsid w:val="004B55A2"/>
    <w:rsid w:val="004B5699"/>
    <w:rsid w:val="004B5799"/>
    <w:rsid w:val="004B598A"/>
    <w:rsid w:val="004B5B1F"/>
    <w:rsid w:val="004B5C2F"/>
    <w:rsid w:val="004B5FD0"/>
    <w:rsid w:val="004B618A"/>
    <w:rsid w:val="004B64BA"/>
    <w:rsid w:val="004B6AC5"/>
    <w:rsid w:val="004B6B28"/>
    <w:rsid w:val="004B6B54"/>
    <w:rsid w:val="004B6E5C"/>
    <w:rsid w:val="004B6E85"/>
    <w:rsid w:val="004B6F51"/>
    <w:rsid w:val="004B6FF7"/>
    <w:rsid w:val="004B70B2"/>
    <w:rsid w:val="004B7140"/>
    <w:rsid w:val="004B71AF"/>
    <w:rsid w:val="004B7260"/>
    <w:rsid w:val="004B734A"/>
    <w:rsid w:val="004B7576"/>
    <w:rsid w:val="004B75A7"/>
    <w:rsid w:val="004B7A40"/>
    <w:rsid w:val="004C00F9"/>
    <w:rsid w:val="004C0213"/>
    <w:rsid w:val="004C0225"/>
    <w:rsid w:val="004C03E3"/>
    <w:rsid w:val="004C0401"/>
    <w:rsid w:val="004C0625"/>
    <w:rsid w:val="004C07F7"/>
    <w:rsid w:val="004C0887"/>
    <w:rsid w:val="004C09CC"/>
    <w:rsid w:val="004C0BD1"/>
    <w:rsid w:val="004C0EF8"/>
    <w:rsid w:val="004C11EA"/>
    <w:rsid w:val="004C19E0"/>
    <w:rsid w:val="004C1B7F"/>
    <w:rsid w:val="004C1EE2"/>
    <w:rsid w:val="004C23C0"/>
    <w:rsid w:val="004C2988"/>
    <w:rsid w:val="004C2A82"/>
    <w:rsid w:val="004C2BB0"/>
    <w:rsid w:val="004C3088"/>
    <w:rsid w:val="004C3311"/>
    <w:rsid w:val="004C3B4E"/>
    <w:rsid w:val="004C3CC1"/>
    <w:rsid w:val="004C3F77"/>
    <w:rsid w:val="004C40D6"/>
    <w:rsid w:val="004C4108"/>
    <w:rsid w:val="004C43EA"/>
    <w:rsid w:val="004C46CB"/>
    <w:rsid w:val="004C49A9"/>
    <w:rsid w:val="004C4DF4"/>
    <w:rsid w:val="004C4F92"/>
    <w:rsid w:val="004C50B2"/>
    <w:rsid w:val="004C531A"/>
    <w:rsid w:val="004C538C"/>
    <w:rsid w:val="004C54FB"/>
    <w:rsid w:val="004C5625"/>
    <w:rsid w:val="004C5B19"/>
    <w:rsid w:val="004C5D6B"/>
    <w:rsid w:val="004C5DF5"/>
    <w:rsid w:val="004C5FF7"/>
    <w:rsid w:val="004C60A7"/>
    <w:rsid w:val="004C60C5"/>
    <w:rsid w:val="004C65CD"/>
    <w:rsid w:val="004C6687"/>
    <w:rsid w:val="004C669A"/>
    <w:rsid w:val="004C67EF"/>
    <w:rsid w:val="004C77C4"/>
    <w:rsid w:val="004C789D"/>
    <w:rsid w:val="004C7C0D"/>
    <w:rsid w:val="004C7D83"/>
    <w:rsid w:val="004C7E52"/>
    <w:rsid w:val="004D0055"/>
    <w:rsid w:val="004D0479"/>
    <w:rsid w:val="004D04D4"/>
    <w:rsid w:val="004D0739"/>
    <w:rsid w:val="004D08DB"/>
    <w:rsid w:val="004D08EA"/>
    <w:rsid w:val="004D0A02"/>
    <w:rsid w:val="004D0A4A"/>
    <w:rsid w:val="004D0B0E"/>
    <w:rsid w:val="004D0D95"/>
    <w:rsid w:val="004D0E05"/>
    <w:rsid w:val="004D0EB2"/>
    <w:rsid w:val="004D144F"/>
    <w:rsid w:val="004D1866"/>
    <w:rsid w:val="004D1989"/>
    <w:rsid w:val="004D1BC3"/>
    <w:rsid w:val="004D213C"/>
    <w:rsid w:val="004D247A"/>
    <w:rsid w:val="004D2603"/>
    <w:rsid w:val="004D2684"/>
    <w:rsid w:val="004D26F2"/>
    <w:rsid w:val="004D27E2"/>
    <w:rsid w:val="004D29F2"/>
    <w:rsid w:val="004D2A96"/>
    <w:rsid w:val="004D2BFB"/>
    <w:rsid w:val="004D2C87"/>
    <w:rsid w:val="004D3661"/>
    <w:rsid w:val="004D37BC"/>
    <w:rsid w:val="004D396B"/>
    <w:rsid w:val="004D3A11"/>
    <w:rsid w:val="004D3AAF"/>
    <w:rsid w:val="004D3C40"/>
    <w:rsid w:val="004D3FAE"/>
    <w:rsid w:val="004D4041"/>
    <w:rsid w:val="004D40A4"/>
    <w:rsid w:val="004D45DD"/>
    <w:rsid w:val="004D46B2"/>
    <w:rsid w:val="004D4834"/>
    <w:rsid w:val="004D4D44"/>
    <w:rsid w:val="004D532F"/>
    <w:rsid w:val="004D5540"/>
    <w:rsid w:val="004D5586"/>
    <w:rsid w:val="004D5F73"/>
    <w:rsid w:val="004D5FA0"/>
    <w:rsid w:val="004D5FA2"/>
    <w:rsid w:val="004D6240"/>
    <w:rsid w:val="004D62F3"/>
    <w:rsid w:val="004D654A"/>
    <w:rsid w:val="004D66AE"/>
    <w:rsid w:val="004D671C"/>
    <w:rsid w:val="004D67AC"/>
    <w:rsid w:val="004D67C9"/>
    <w:rsid w:val="004D69D6"/>
    <w:rsid w:val="004D6AB6"/>
    <w:rsid w:val="004D6DD0"/>
    <w:rsid w:val="004D743B"/>
    <w:rsid w:val="004D743D"/>
    <w:rsid w:val="004D74B1"/>
    <w:rsid w:val="004D77ED"/>
    <w:rsid w:val="004D78FE"/>
    <w:rsid w:val="004D7A0E"/>
    <w:rsid w:val="004D7B08"/>
    <w:rsid w:val="004E00A8"/>
    <w:rsid w:val="004E03E6"/>
    <w:rsid w:val="004E03EE"/>
    <w:rsid w:val="004E09EC"/>
    <w:rsid w:val="004E11D6"/>
    <w:rsid w:val="004E1268"/>
    <w:rsid w:val="004E12CA"/>
    <w:rsid w:val="004E12FC"/>
    <w:rsid w:val="004E1C38"/>
    <w:rsid w:val="004E1C6F"/>
    <w:rsid w:val="004E1CDA"/>
    <w:rsid w:val="004E1D9F"/>
    <w:rsid w:val="004E1E99"/>
    <w:rsid w:val="004E205D"/>
    <w:rsid w:val="004E23C1"/>
    <w:rsid w:val="004E26FF"/>
    <w:rsid w:val="004E27F9"/>
    <w:rsid w:val="004E2A5A"/>
    <w:rsid w:val="004E2CA6"/>
    <w:rsid w:val="004E2E8D"/>
    <w:rsid w:val="004E32F5"/>
    <w:rsid w:val="004E388D"/>
    <w:rsid w:val="004E38BC"/>
    <w:rsid w:val="004E40BA"/>
    <w:rsid w:val="004E41C2"/>
    <w:rsid w:val="004E4513"/>
    <w:rsid w:val="004E4A39"/>
    <w:rsid w:val="004E4AC0"/>
    <w:rsid w:val="004E4BC8"/>
    <w:rsid w:val="004E4C2B"/>
    <w:rsid w:val="004E4EA3"/>
    <w:rsid w:val="004E50A3"/>
    <w:rsid w:val="004E5A18"/>
    <w:rsid w:val="004E5F9C"/>
    <w:rsid w:val="004E6213"/>
    <w:rsid w:val="004E639D"/>
    <w:rsid w:val="004E6C3F"/>
    <w:rsid w:val="004E6D16"/>
    <w:rsid w:val="004E6D74"/>
    <w:rsid w:val="004E6E39"/>
    <w:rsid w:val="004E73C0"/>
    <w:rsid w:val="004E740F"/>
    <w:rsid w:val="004E7444"/>
    <w:rsid w:val="004E7482"/>
    <w:rsid w:val="004E7502"/>
    <w:rsid w:val="004E759A"/>
    <w:rsid w:val="004E7949"/>
    <w:rsid w:val="004E799F"/>
    <w:rsid w:val="004E7B5A"/>
    <w:rsid w:val="004E7FEC"/>
    <w:rsid w:val="004F01FA"/>
    <w:rsid w:val="004F0271"/>
    <w:rsid w:val="004F02F0"/>
    <w:rsid w:val="004F048A"/>
    <w:rsid w:val="004F0500"/>
    <w:rsid w:val="004F0518"/>
    <w:rsid w:val="004F0805"/>
    <w:rsid w:val="004F0A83"/>
    <w:rsid w:val="004F0AD5"/>
    <w:rsid w:val="004F0C59"/>
    <w:rsid w:val="004F0C60"/>
    <w:rsid w:val="004F1ADC"/>
    <w:rsid w:val="004F2079"/>
    <w:rsid w:val="004F2208"/>
    <w:rsid w:val="004F259E"/>
    <w:rsid w:val="004F2891"/>
    <w:rsid w:val="004F28C3"/>
    <w:rsid w:val="004F29D2"/>
    <w:rsid w:val="004F2DCD"/>
    <w:rsid w:val="004F2FE6"/>
    <w:rsid w:val="004F33FB"/>
    <w:rsid w:val="004F395A"/>
    <w:rsid w:val="004F39B5"/>
    <w:rsid w:val="004F3CDE"/>
    <w:rsid w:val="004F3E90"/>
    <w:rsid w:val="004F4132"/>
    <w:rsid w:val="004F41C2"/>
    <w:rsid w:val="004F420A"/>
    <w:rsid w:val="004F441D"/>
    <w:rsid w:val="004F4580"/>
    <w:rsid w:val="004F4834"/>
    <w:rsid w:val="004F48AB"/>
    <w:rsid w:val="004F4B72"/>
    <w:rsid w:val="004F4C2F"/>
    <w:rsid w:val="004F4DF6"/>
    <w:rsid w:val="004F5161"/>
    <w:rsid w:val="004F567F"/>
    <w:rsid w:val="004F5CAD"/>
    <w:rsid w:val="004F6079"/>
    <w:rsid w:val="004F617D"/>
    <w:rsid w:val="004F62F6"/>
    <w:rsid w:val="004F6643"/>
    <w:rsid w:val="004F67E1"/>
    <w:rsid w:val="004F67F1"/>
    <w:rsid w:val="004F6975"/>
    <w:rsid w:val="004F6CE4"/>
    <w:rsid w:val="004F6D17"/>
    <w:rsid w:val="004F6E56"/>
    <w:rsid w:val="004F7398"/>
    <w:rsid w:val="004F76AC"/>
    <w:rsid w:val="004F7745"/>
    <w:rsid w:val="004F779A"/>
    <w:rsid w:val="004F7BBD"/>
    <w:rsid w:val="004F7DE2"/>
    <w:rsid w:val="0050004C"/>
    <w:rsid w:val="005006D3"/>
    <w:rsid w:val="00500B0B"/>
    <w:rsid w:val="00500D9D"/>
    <w:rsid w:val="00500F37"/>
    <w:rsid w:val="00501304"/>
    <w:rsid w:val="00501936"/>
    <w:rsid w:val="00501938"/>
    <w:rsid w:val="005019AB"/>
    <w:rsid w:val="00501D91"/>
    <w:rsid w:val="00501DE5"/>
    <w:rsid w:val="00502500"/>
    <w:rsid w:val="0050253A"/>
    <w:rsid w:val="0050254D"/>
    <w:rsid w:val="00502D87"/>
    <w:rsid w:val="00502F41"/>
    <w:rsid w:val="005035BA"/>
    <w:rsid w:val="00503EC5"/>
    <w:rsid w:val="00503EE5"/>
    <w:rsid w:val="0050408F"/>
    <w:rsid w:val="005049A0"/>
    <w:rsid w:val="00504ACD"/>
    <w:rsid w:val="00504F1E"/>
    <w:rsid w:val="00504FDB"/>
    <w:rsid w:val="00505038"/>
    <w:rsid w:val="005051DE"/>
    <w:rsid w:val="00505240"/>
    <w:rsid w:val="00505518"/>
    <w:rsid w:val="00505B9B"/>
    <w:rsid w:val="00505DDB"/>
    <w:rsid w:val="00505E0E"/>
    <w:rsid w:val="00506569"/>
    <w:rsid w:val="005065BD"/>
    <w:rsid w:val="005066B5"/>
    <w:rsid w:val="00506EBE"/>
    <w:rsid w:val="00506F5C"/>
    <w:rsid w:val="005072A3"/>
    <w:rsid w:val="00507369"/>
    <w:rsid w:val="0050749D"/>
    <w:rsid w:val="005075D3"/>
    <w:rsid w:val="00507617"/>
    <w:rsid w:val="00507877"/>
    <w:rsid w:val="00507A67"/>
    <w:rsid w:val="00507B82"/>
    <w:rsid w:val="00507C80"/>
    <w:rsid w:val="00507D85"/>
    <w:rsid w:val="00507EAD"/>
    <w:rsid w:val="00507F83"/>
    <w:rsid w:val="0051010D"/>
    <w:rsid w:val="005104EF"/>
    <w:rsid w:val="005106C4"/>
    <w:rsid w:val="00510BF7"/>
    <w:rsid w:val="00510CE5"/>
    <w:rsid w:val="00510E85"/>
    <w:rsid w:val="00510ECA"/>
    <w:rsid w:val="005115A0"/>
    <w:rsid w:val="00511BAB"/>
    <w:rsid w:val="00511D44"/>
    <w:rsid w:val="00511F60"/>
    <w:rsid w:val="005121EB"/>
    <w:rsid w:val="0051227C"/>
    <w:rsid w:val="005124FF"/>
    <w:rsid w:val="0051250C"/>
    <w:rsid w:val="005126E8"/>
    <w:rsid w:val="00512754"/>
    <w:rsid w:val="005127A4"/>
    <w:rsid w:val="00512992"/>
    <w:rsid w:val="00512A7E"/>
    <w:rsid w:val="00512F23"/>
    <w:rsid w:val="00513120"/>
    <w:rsid w:val="005132A8"/>
    <w:rsid w:val="005133E3"/>
    <w:rsid w:val="005137D7"/>
    <w:rsid w:val="00513904"/>
    <w:rsid w:val="00513C33"/>
    <w:rsid w:val="00513C83"/>
    <w:rsid w:val="00513D1D"/>
    <w:rsid w:val="00513DC1"/>
    <w:rsid w:val="00513EE1"/>
    <w:rsid w:val="00514003"/>
    <w:rsid w:val="00514203"/>
    <w:rsid w:val="00514519"/>
    <w:rsid w:val="005145D1"/>
    <w:rsid w:val="005147D6"/>
    <w:rsid w:val="00514DB8"/>
    <w:rsid w:val="00514E62"/>
    <w:rsid w:val="00515079"/>
    <w:rsid w:val="0051560E"/>
    <w:rsid w:val="005157A2"/>
    <w:rsid w:val="005157FA"/>
    <w:rsid w:val="005158AA"/>
    <w:rsid w:val="00515B6E"/>
    <w:rsid w:val="00515F7D"/>
    <w:rsid w:val="005164D5"/>
    <w:rsid w:val="005166A1"/>
    <w:rsid w:val="0051679F"/>
    <w:rsid w:val="00516963"/>
    <w:rsid w:val="005169FF"/>
    <w:rsid w:val="00516B16"/>
    <w:rsid w:val="00516FBE"/>
    <w:rsid w:val="00517020"/>
    <w:rsid w:val="00517045"/>
    <w:rsid w:val="005173E5"/>
    <w:rsid w:val="0051764E"/>
    <w:rsid w:val="0051766E"/>
    <w:rsid w:val="00517742"/>
    <w:rsid w:val="0051788C"/>
    <w:rsid w:val="00517CB0"/>
    <w:rsid w:val="00517D80"/>
    <w:rsid w:val="00517E6A"/>
    <w:rsid w:val="005200F4"/>
    <w:rsid w:val="00520B51"/>
    <w:rsid w:val="00520C0B"/>
    <w:rsid w:val="00520C5A"/>
    <w:rsid w:val="00520D5A"/>
    <w:rsid w:val="00520DD5"/>
    <w:rsid w:val="0052122D"/>
    <w:rsid w:val="005213A5"/>
    <w:rsid w:val="005213B3"/>
    <w:rsid w:val="00521562"/>
    <w:rsid w:val="0052168E"/>
    <w:rsid w:val="005216FC"/>
    <w:rsid w:val="00521A21"/>
    <w:rsid w:val="00521BEE"/>
    <w:rsid w:val="00521F17"/>
    <w:rsid w:val="00521F72"/>
    <w:rsid w:val="00521F76"/>
    <w:rsid w:val="00522218"/>
    <w:rsid w:val="0052223B"/>
    <w:rsid w:val="00522395"/>
    <w:rsid w:val="005223F6"/>
    <w:rsid w:val="0052264A"/>
    <w:rsid w:val="0052273D"/>
    <w:rsid w:val="00522764"/>
    <w:rsid w:val="0052288C"/>
    <w:rsid w:val="005228FB"/>
    <w:rsid w:val="0052292B"/>
    <w:rsid w:val="00523344"/>
    <w:rsid w:val="0052366B"/>
    <w:rsid w:val="00523845"/>
    <w:rsid w:val="00523C79"/>
    <w:rsid w:val="00523FAB"/>
    <w:rsid w:val="005245EF"/>
    <w:rsid w:val="00524B34"/>
    <w:rsid w:val="00524BA9"/>
    <w:rsid w:val="00524CFC"/>
    <w:rsid w:val="00524EC6"/>
    <w:rsid w:val="00524ECC"/>
    <w:rsid w:val="00524F99"/>
    <w:rsid w:val="005250F6"/>
    <w:rsid w:val="0052511A"/>
    <w:rsid w:val="00525268"/>
    <w:rsid w:val="00525390"/>
    <w:rsid w:val="005257DB"/>
    <w:rsid w:val="005258F1"/>
    <w:rsid w:val="00525C89"/>
    <w:rsid w:val="00525DA7"/>
    <w:rsid w:val="00525EE0"/>
    <w:rsid w:val="0052656D"/>
    <w:rsid w:val="005265DE"/>
    <w:rsid w:val="005267C0"/>
    <w:rsid w:val="00526D05"/>
    <w:rsid w:val="00526D7B"/>
    <w:rsid w:val="00526E6F"/>
    <w:rsid w:val="0052724D"/>
    <w:rsid w:val="005274E6"/>
    <w:rsid w:val="00527533"/>
    <w:rsid w:val="005275ED"/>
    <w:rsid w:val="00527828"/>
    <w:rsid w:val="00527863"/>
    <w:rsid w:val="005278AB"/>
    <w:rsid w:val="00527C90"/>
    <w:rsid w:val="00527D04"/>
    <w:rsid w:val="00527EED"/>
    <w:rsid w:val="00530135"/>
    <w:rsid w:val="0053032B"/>
    <w:rsid w:val="00530A1F"/>
    <w:rsid w:val="00530D2E"/>
    <w:rsid w:val="00530FCA"/>
    <w:rsid w:val="005310B8"/>
    <w:rsid w:val="005310DF"/>
    <w:rsid w:val="005311DE"/>
    <w:rsid w:val="00531505"/>
    <w:rsid w:val="00531642"/>
    <w:rsid w:val="00531651"/>
    <w:rsid w:val="00531AA5"/>
    <w:rsid w:val="00531DFC"/>
    <w:rsid w:val="00532063"/>
    <w:rsid w:val="005320DB"/>
    <w:rsid w:val="0053235F"/>
    <w:rsid w:val="00532E89"/>
    <w:rsid w:val="00532EE9"/>
    <w:rsid w:val="00532FDA"/>
    <w:rsid w:val="00533186"/>
    <w:rsid w:val="00533D5B"/>
    <w:rsid w:val="005341ED"/>
    <w:rsid w:val="00534304"/>
    <w:rsid w:val="005343B8"/>
    <w:rsid w:val="0053489B"/>
    <w:rsid w:val="00534BEF"/>
    <w:rsid w:val="00534FD2"/>
    <w:rsid w:val="005352A3"/>
    <w:rsid w:val="00535377"/>
    <w:rsid w:val="00535851"/>
    <w:rsid w:val="00535AB7"/>
    <w:rsid w:val="00535FF5"/>
    <w:rsid w:val="0053658F"/>
    <w:rsid w:val="00536641"/>
    <w:rsid w:val="0053665F"/>
    <w:rsid w:val="00536920"/>
    <w:rsid w:val="00536D16"/>
    <w:rsid w:val="00536D4F"/>
    <w:rsid w:val="00536D97"/>
    <w:rsid w:val="00537183"/>
    <w:rsid w:val="00537865"/>
    <w:rsid w:val="0053786F"/>
    <w:rsid w:val="00537950"/>
    <w:rsid w:val="00540032"/>
    <w:rsid w:val="00540205"/>
    <w:rsid w:val="00540980"/>
    <w:rsid w:val="005409AA"/>
    <w:rsid w:val="00541102"/>
    <w:rsid w:val="005412CF"/>
    <w:rsid w:val="0054139B"/>
    <w:rsid w:val="00541463"/>
    <w:rsid w:val="00541C3F"/>
    <w:rsid w:val="00541E31"/>
    <w:rsid w:val="005420EC"/>
    <w:rsid w:val="00542208"/>
    <w:rsid w:val="005425FC"/>
    <w:rsid w:val="0054269B"/>
    <w:rsid w:val="00542854"/>
    <w:rsid w:val="00542912"/>
    <w:rsid w:val="00542E21"/>
    <w:rsid w:val="005432A3"/>
    <w:rsid w:val="00543724"/>
    <w:rsid w:val="00543939"/>
    <w:rsid w:val="00543BEC"/>
    <w:rsid w:val="0054454B"/>
    <w:rsid w:val="00544633"/>
    <w:rsid w:val="00544862"/>
    <w:rsid w:val="00544A00"/>
    <w:rsid w:val="00544B7D"/>
    <w:rsid w:val="00544E2B"/>
    <w:rsid w:val="00544F61"/>
    <w:rsid w:val="0054545D"/>
    <w:rsid w:val="0054578A"/>
    <w:rsid w:val="00545791"/>
    <w:rsid w:val="005457CE"/>
    <w:rsid w:val="00545814"/>
    <w:rsid w:val="0054594F"/>
    <w:rsid w:val="00545BBC"/>
    <w:rsid w:val="0054606A"/>
    <w:rsid w:val="0054626E"/>
    <w:rsid w:val="005463FA"/>
    <w:rsid w:val="00546468"/>
    <w:rsid w:val="00546731"/>
    <w:rsid w:val="0054678A"/>
    <w:rsid w:val="00546904"/>
    <w:rsid w:val="0054693E"/>
    <w:rsid w:val="00546BF1"/>
    <w:rsid w:val="00546FFD"/>
    <w:rsid w:val="005472E2"/>
    <w:rsid w:val="0054745C"/>
    <w:rsid w:val="00547476"/>
    <w:rsid w:val="005478B6"/>
    <w:rsid w:val="005478F4"/>
    <w:rsid w:val="0054798B"/>
    <w:rsid w:val="00547B43"/>
    <w:rsid w:val="00547DEA"/>
    <w:rsid w:val="00547EB5"/>
    <w:rsid w:val="005500AB"/>
    <w:rsid w:val="0055026B"/>
    <w:rsid w:val="005502FA"/>
    <w:rsid w:val="005503CA"/>
    <w:rsid w:val="005507C9"/>
    <w:rsid w:val="0055081E"/>
    <w:rsid w:val="005508A2"/>
    <w:rsid w:val="00550A8A"/>
    <w:rsid w:val="00550D25"/>
    <w:rsid w:val="00550D7C"/>
    <w:rsid w:val="00550F71"/>
    <w:rsid w:val="00551004"/>
    <w:rsid w:val="005511F7"/>
    <w:rsid w:val="00551786"/>
    <w:rsid w:val="00551828"/>
    <w:rsid w:val="005518B6"/>
    <w:rsid w:val="005519FF"/>
    <w:rsid w:val="00551E06"/>
    <w:rsid w:val="00551EA0"/>
    <w:rsid w:val="00551FA5"/>
    <w:rsid w:val="0055200C"/>
    <w:rsid w:val="005521E8"/>
    <w:rsid w:val="00552348"/>
    <w:rsid w:val="005526E9"/>
    <w:rsid w:val="00552B39"/>
    <w:rsid w:val="00552BBF"/>
    <w:rsid w:val="00552FF6"/>
    <w:rsid w:val="00553172"/>
    <w:rsid w:val="00553201"/>
    <w:rsid w:val="00553413"/>
    <w:rsid w:val="005535AB"/>
    <w:rsid w:val="005535C9"/>
    <w:rsid w:val="00553BB2"/>
    <w:rsid w:val="00553BB3"/>
    <w:rsid w:val="00553BE8"/>
    <w:rsid w:val="00554121"/>
    <w:rsid w:val="005544EC"/>
    <w:rsid w:val="005547AE"/>
    <w:rsid w:val="00554949"/>
    <w:rsid w:val="0055498D"/>
    <w:rsid w:val="005549C1"/>
    <w:rsid w:val="00554B28"/>
    <w:rsid w:val="00554E13"/>
    <w:rsid w:val="00554F4F"/>
    <w:rsid w:val="00554F57"/>
    <w:rsid w:val="00555007"/>
    <w:rsid w:val="0055500E"/>
    <w:rsid w:val="005550C0"/>
    <w:rsid w:val="00555128"/>
    <w:rsid w:val="005551BF"/>
    <w:rsid w:val="005552C6"/>
    <w:rsid w:val="005555E7"/>
    <w:rsid w:val="00555720"/>
    <w:rsid w:val="00555B4D"/>
    <w:rsid w:val="00555B59"/>
    <w:rsid w:val="00555F74"/>
    <w:rsid w:val="00556393"/>
    <w:rsid w:val="0055647D"/>
    <w:rsid w:val="005566AF"/>
    <w:rsid w:val="00556BE3"/>
    <w:rsid w:val="00556CB8"/>
    <w:rsid w:val="00556DB3"/>
    <w:rsid w:val="00556DCC"/>
    <w:rsid w:val="005570A5"/>
    <w:rsid w:val="00557540"/>
    <w:rsid w:val="005576A4"/>
    <w:rsid w:val="005576E4"/>
    <w:rsid w:val="005579B2"/>
    <w:rsid w:val="005579CE"/>
    <w:rsid w:val="00557A58"/>
    <w:rsid w:val="00557ABD"/>
    <w:rsid w:val="00557BDD"/>
    <w:rsid w:val="00557C25"/>
    <w:rsid w:val="005605A1"/>
    <w:rsid w:val="00560643"/>
    <w:rsid w:val="00560BCD"/>
    <w:rsid w:val="0056146C"/>
    <w:rsid w:val="005615CB"/>
    <w:rsid w:val="005617B1"/>
    <w:rsid w:val="005619F8"/>
    <w:rsid w:val="00561ACA"/>
    <w:rsid w:val="00561B92"/>
    <w:rsid w:val="00561D94"/>
    <w:rsid w:val="005621ED"/>
    <w:rsid w:val="00562796"/>
    <w:rsid w:val="0056288E"/>
    <w:rsid w:val="00562AAD"/>
    <w:rsid w:val="00562FC6"/>
    <w:rsid w:val="0056318E"/>
    <w:rsid w:val="0056331A"/>
    <w:rsid w:val="00563470"/>
    <w:rsid w:val="00563993"/>
    <w:rsid w:val="00563A86"/>
    <w:rsid w:val="00563BD8"/>
    <w:rsid w:val="00563D74"/>
    <w:rsid w:val="005640B5"/>
    <w:rsid w:val="00564181"/>
    <w:rsid w:val="0056421F"/>
    <w:rsid w:val="00564C68"/>
    <w:rsid w:val="00565210"/>
    <w:rsid w:val="00565402"/>
    <w:rsid w:val="00565581"/>
    <w:rsid w:val="0056568D"/>
    <w:rsid w:val="005656E3"/>
    <w:rsid w:val="00565804"/>
    <w:rsid w:val="00565A8A"/>
    <w:rsid w:val="00565C27"/>
    <w:rsid w:val="00565C5D"/>
    <w:rsid w:val="00565FD0"/>
    <w:rsid w:val="005661BE"/>
    <w:rsid w:val="005667D9"/>
    <w:rsid w:val="00566E85"/>
    <w:rsid w:val="00566E94"/>
    <w:rsid w:val="00566F12"/>
    <w:rsid w:val="0056715F"/>
    <w:rsid w:val="0056759D"/>
    <w:rsid w:val="00567818"/>
    <w:rsid w:val="00567B12"/>
    <w:rsid w:val="00567E77"/>
    <w:rsid w:val="0057003F"/>
    <w:rsid w:val="00570246"/>
    <w:rsid w:val="005703AF"/>
    <w:rsid w:val="005703E7"/>
    <w:rsid w:val="005705AB"/>
    <w:rsid w:val="00570632"/>
    <w:rsid w:val="005706C1"/>
    <w:rsid w:val="00570876"/>
    <w:rsid w:val="00570A50"/>
    <w:rsid w:val="00570CAC"/>
    <w:rsid w:val="005710B9"/>
    <w:rsid w:val="0057142E"/>
    <w:rsid w:val="00571960"/>
    <w:rsid w:val="00571DAF"/>
    <w:rsid w:val="00571EAC"/>
    <w:rsid w:val="00571EDB"/>
    <w:rsid w:val="00571EEE"/>
    <w:rsid w:val="00572602"/>
    <w:rsid w:val="0057298D"/>
    <w:rsid w:val="00572C76"/>
    <w:rsid w:val="0057341C"/>
    <w:rsid w:val="00573952"/>
    <w:rsid w:val="00573955"/>
    <w:rsid w:val="00573B28"/>
    <w:rsid w:val="00573C97"/>
    <w:rsid w:val="00573CAD"/>
    <w:rsid w:val="00573CE8"/>
    <w:rsid w:val="00573D24"/>
    <w:rsid w:val="00573D78"/>
    <w:rsid w:val="00573EB3"/>
    <w:rsid w:val="00573F73"/>
    <w:rsid w:val="00574422"/>
    <w:rsid w:val="00574D3B"/>
    <w:rsid w:val="00574DFF"/>
    <w:rsid w:val="00575099"/>
    <w:rsid w:val="005755A9"/>
    <w:rsid w:val="00575AB4"/>
    <w:rsid w:val="00575F12"/>
    <w:rsid w:val="0057602C"/>
    <w:rsid w:val="00576E19"/>
    <w:rsid w:val="00576EE9"/>
    <w:rsid w:val="00577070"/>
    <w:rsid w:val="0057715F"/>
    <w:rsid w:val="005772F4"/>
    <w:rsid w:val="005774E3"/>
    <w:rsid w:val="005774EA"/>
    <w:rsid w:val="005775C0"/>
    <w:rsid w:val="00577898"/>
    <w:rsid w:val="005779E3"/>
    <w:rsid w:val="00577D2B"/>
    <w:rsid w:val="00577F47"/>
    <w:rsid w:val="00580300"/>
    <w:rsid w:val="005804B1"/>
    <w:rsid w:val="00580854"/>
    <w:rsid w:val="00580891"/>
    <w:rsid w:val="005808E3"/>
    <w:rsid w:val="005811C7"/>
    <w:rsid w:val="00581489"/>
    <w:rsid w:val="00581E3A"/>
    <w:rsid w:val="005823A5"/>
    <w:rsid w:val="00582776"/>
    <w:rsid w:val="005827A3"/>
    <w:rsid w:val="00582A88"/>
    <w:rsid w:val="00582B62"/>
    <w:rsid w:val="00582CA8"/>
    <w:rsid w:val="00582E1B"/>
    <w:rsid w:val="00582F4E"/>
    <w:rsid w:val="00583149"/>
    <w:rsid w:val="00583519"/>
    <w:rsid w:val="00583753"/>
    <w:rsid w:val="00583903"/>
    <w:rsid w:val="0058394E"/>
    <w:rsid w:val="00583ABE"/>
    <w:rsid w:val="00584040"/>
    <w:rsid w:val="0058408F"/>
    <w:rsid w:val="00584308"/>
    <w:rsid w:val="00584387"/>
    <w:rsid w:val="005843A9"/>
    <w:rsid w:val="00584CEA"/>
    <w:rsid w:val="00584EAF"/>
    <w:rsid w:val="00584FC6"/>
    <w:rsid w:val="00585060"/>
    <w:rsid w:val="0058541F"/>
    <w:rsid w:val="005854FC"/>
    <w:rsid w:val="0058571B"/>
    <w:rsid w:val="0058578B"/>
    <w:rsid w:val="005859AF"/>
    <w:rsid w:val="00585B57"/>
    <w:rsid w:val="00585B90"/>
    <w:rsid w:val="00585BD7"/>
    <w:rsid w:val="00585CF7"/>
    <w:rsid w:val="00585EAE"/>
    <w:rsid w:val="0058606E"/>
    <w:rsid w:val="00586073"/>
    <w:rsid w:val="00586867"/>
    <w:rsid w:val="00586A7B"/>
    <w:rsid w:val="00586B7A"/>
    <w:rsid w:val="00586CE2"/>
    <w:rsid w:val="00586D3F"/>
    <w:rsid w:val="00586D54"/>
    <w:rsid w:val="00586E2E"/>
    <w:rsid w:val="00586F8F"/>
    <w:rsid w:val="00587527"/>
    <w:rsid w:val="00587763"/>
    <w:rsid w:val="005877B8"/>
    <w:rsid w:val="00587A05"/>
    <w:rsid w:val="00587C9E"/>
    <w:rsid w:val="00590172"/>
    <w:rsid w:val="00590339"/>
    <w:rsid w:val="005903B6"/>
    <w:rsid w:val="005903C0"/>
    <w:rsid w:val="00590438"/>
    <w:rsid w:val="0059086E"/>
    <w:rsid w:val="00590B1B"/>
    <w:rsid w:val="00591136"/>
    <w:rsid w:val="00591A1F"/>
    <w:rsid w:val="00591BD1"/>
    <w:rsid w:val="00591FCD"/>
    <w:rsid w:val="00592083"/>
    <w:rsid w:val="00592410"/>
    <w:rsid w:val="005925D5"/>
    <w:rsid w:val="005927A9"/>
    <w:rsid w:val="005933A0"/>
    <w:rsid w:val="00593410"/>
    <w:rsid w:val="00593439"/>
    <w:rsid w:val="00593525"/>
    <w:rsid w:val="0059370C"/>
    <w:rsid w:val="00593743"/>
    <w:rsid w:val="005937EE"/>
    <w:rsid w:val="0059382E"/>
    <w:rsid w:val="005939C4"/>
    <w:rsid w:val="00593A2B"/>
    <w:rsid w:val="00593BA9"/>
    <w:rsid w:val="00593DCB"/>
    <w:rsid w:val="00593EAE"/>
    <w:rsid w:val="00593FCB"/>
    <w:rsid w:val="00594802"/>
    <w:rsid w:val="0059480C"/>
    <w:rsid w:val="00595144"/>
    <w:rsid w:val="0059519D"/>
    <w:rsid w:val="00595787"/>
    <w:rsid w:val="00595B72"/>
    <w:rsid w:val="00595BA0"/>
    <w:rsid w:val="00595FBB"/>
    <w:rsid w:val="00596098"/>
    <w:rsid w:val="0059627C"/>
    <w:rsid w:val="00596289"/>
    <w:rsid w:val="005963DE"/>
    <w:rsid w:val="00596D13"/>
    <w:rsid w:val="00596D2A"/>
    <w:rsid w:val="00596ED2"/>
    <w:rsid w:val="00596F91"/>
    <w:rsid w:val="00597432"/>
    <w:rsid w:val="005976C6"/>
    <w:rsid w:val="005978E5"/>
    <w:rsid w:val="00597BD8"/>
    <w:rsid w:val="00597BE9"/>
    <w:rsid w:val="005A01E2"/>
    <w:rsid w:val="005A01EF"/>
    <w:rsid w:val="005A0393"/>
    <w:rsid w:val="005A073D"/>
    <w:rsid w:val="005A0A54"/>
    <w:rsid w:val="005A0F74"/>
    <w:rsid w:val="005A1505"/>
    <w:rsid w:val="005A1601"/>
    <w:rsid w:val="005A184A"/>
    <w:rsid w:val="005A1B7E"/>
    <w:rsid w:val="005A1BF9"/>
    <w:rsid w:val="005A1BFF"/>
    <w:rsid w:val="005A1C61"/>
    <w:rsid w:val="005A2009"/>
    <w:rsid w:val="005A20EC"/>
    <w:rsid w:val="005A2796"/>
    <w:rsid w:val="005A29AE"/>
    <w:rsid w:val="005A2A02"/>
    <w:rsid w:val="005A2D76"/>
    <w:rsid w:val="005A2E27"/>
    <w:rsid w:val="005A38F6"/>
    <w:rsid w:val="005A3944"/>
    <w:rsid w:val="005A3970"/>
    <w:rsid w:val="005A3C46"/>
    <w:rsid w:val="005A3E15"/>
    <w:rsid w:val="005A3F2F"/>
    <w:rsid w:val="005A4429"/>
    <w:rsid w:val="005A4AA4"/>
    <w:rsid w:val="005A4B2A"/>
    <w:rsid w:val="005A4DA7"/>
    <w:rsid w:val="005A54FE"/>
    <w:rsid w:val="005A5AE7"/>
    <w:rsid w:val="005A5DB8"/>
    <w:rsid w:val="005A5F18"/>
    <w:rsid w:val="005A6034"/>
    <w:rsid w:val="005A61C5"/>
    <w:rsid w:val="005A6238"/>
    <w:rsid w:val="005A6564"/>
    <w:rsid w:val="005A65A8"/>
    <w:rsid w:val="005A684A"/>
    <w:rsid w:val="005A6A69"/>
    <w:rsid w:val="005A6B7A"/>
    <w:rsid w:val="005A6BB9"/>
    <w:rsid w:val="005A6D03"/>
    <w:rsid w:val="005A6F08"/>
    <w:rsid w:val="005A70BC"/>
    <w:rsid w:val="005A71DE"/>
    <w:rsid w:val="005A722A"/>
    <w:rsid w:val="005A7E6D"/>
    <w:rsid w:val="005A7F3A"/>
    <w:rsid w:val="005B02DC"/>
    <w:rsid w:val="005B0714"/>
    <w:rsid w:val="005B072C"/>
    <w:rsid w:val="005B0AB3"/>
    <w:rsid w:val="005B0C31"/>
    <w:rsid w:val="005B0CD1"/>
    <w:rsid w:val="005B118E"/>
    <w:rsid w:val="005B1236"/>
    <w:rsid w:val="005B1301"/>
    <w:rsid w:val="005B140F"/>
    <w:rsid w:val="005B1A2B"/>
    <w:rsid w:val="005B1AD0"/>
    <w:rsid w:val="005B1DD3"/>
    <w:rsid w:val="005B2239"/>
    <w:rsid w:val="005B2D45"/>
    <w:rsid w:val="005B2E47"/>
    <w:rsid w:val="005B2F78"/>
    <w:rsid w:val="005B35D1"/>
    <w:rsid w:val="005B3BBE"/>
    <w:rsid w:val="005B3D16"/>
    <w:rsid w:val="005B3D17"/>
    <w:rsid w:val="005B3E0B"/>
    <w:rsid w:val="005B446D"/>
    <w:rsid w:val="005B4568"/>
    <w:rsid w:val="005B473F"/>
    <w:rsid w:val="005B47E5"/>
    <w:rsid w:val="005B4F30"/>
    <w:rsid w:val="005B51A4"/>
    <w:rsid w:val="005B5504"/>
    <w:rsid w:val="005B5770"/>
    <w:rsid w:val="005B58E2"/>
    <w:rsid w:val="005B5A15"/>
    <w:rsid w:val="005B5A72"/>
    <w:rsid w:val="005B5CA3"/>
    <w:rsid w:val="005B5CD8"/>
    <w:rsid w:val="005B5EC8"/>
    <w:rsid w:val="005B6318"/>
    <w:rsid w:val="005B642B"/>
    <w:rsid w:val="005B6585"/>
    <w:rsid w:val="005B6694"/>
    <w:rsid w:val="005B67F9"/>
    <w:rsid w:val="005B6904"/>
    <w:rsid w:val="005B6CEB"/>
    <w:rsid w:val="005B6E13"/>
    <w:rsid w:val="005B6F5C"/>
    <w:rsid w:val="005B70E2"/>
    <w:rsid w:val="005B7555"/>
    <w:rsid w:val="005B7711"/>
    <w:rsid w:val="005B77F9"/>
    <w:rsid w:val="005B7C6F"/>
    <w:rsid w:val="005C02C6"/>
    <w:rsid w:val="005C0634"/>
    <w:rsid w:val="005C06F8"/>
    <w:rsid w:val="005C0936"/>
    <w:rsid w:val="005C10E3"/>
    <w:rsid w:val="005C13A0"/>
    <w:rsid w:val="005C189C"/>
    <w:rsid w:val="005C1A5B"/>
    <w:rsid w:val="005C1B02"/>
    <w:rsid w:val="005C1DA3"/>
    <w:rsid w:val="005C1E53"/>
    <w:rsid w:val="005C1E7B"/>
    <w:rsid w:val="005C23A3"/>
    <w:rsid w:val="005C2460"/>
    <w:rsid w:val="005C2915"/>
    <w:rsid w:val="005C2A75"/>
    <w:rsid w:val="005C2B9F"/>
    <w:rsid w:val="005C2DE2"/>
    <w:rsid w:val="005C3084"/>
    <w:rsid w:val="005C320F"/>
    <w:rsid w:val="005C33C9"/>
    <w:rsid w:val="005C3478"/>
    <w:rsid w:val="005C3537"/>
    <w:rsid w:val="005C38B5"/>
    <w:rsid w:val="005C39A9"/>
    <w:rsid w:val="005C3DF4"/>
    <w:rsid w:val="005C3E55"/>
    <w:rsid w:val="005C43E4"/>
    <w:rsid w:val="005C47DF"/>
    <w:rsid w:val="005C4822"/>
    <w:rsid w:val="005C5C64"/>
    <w:rsid w:val="005C5D2E"/>
    <w:rsid w:val="005C5F13"/>
    <w:rsid w:val="005C5F39"/>
    <w:rsid w:val="005C626A"/>
    <w:rsid w:val="005C63D8"/>
    <w:rsid w:val="005C6633"/>
    <w:rsid w:val="005C68E9"/>
    <w:rsid w:val="005C6AD6"/>
    <w:rsid w:val="005C6B23"/>
    <w:rsid w:val="005C6BFC"/>
    <w:rsid w:val="005C6D44"/>
    <w:rsid w:val="005C713E"/>
    <w:rsid w:val="005C7168"/>
    <w:rsid w:val="005C78C5"/>
    <w:rsid w:val="005C7908"/>
    <w:rsid w:val="005C7B45"/>
    <w:rsid w:val="005C7BA1"/>
    <w:rsid w:val="005C7DE6"/>
    <w:rsid w:val="005C7F82"/>
    <w:rsid w:val="005D0176"/>
    <w:rsid w:val="005D0203"/>
    <w:rsid w:val="005D0619"/>
    <w:rsid w:val="005D0625"/>
    <w:rsid w:val="005D0682"/>
    <w:rsid w:val="005D0B83"/>
    <w:rsid w:val="005D114A"/>
    <w:rsid w:val="005D15A7"/>
    <w:rsid w:val="005D1D77"/>
    <w:rsid w:val="005D1DD1"/>
    <w:rsid w:val="005D1FEA"/>
    <w:rsid w:val="005D21C9"/>
    <w:rsid w:val="005D2207"/>
    <w:rsid w:val="005D22B9"/>
    <w:rsid w:val="005D238A"/>
    <w:rsid w:val="005D245C"/>
    <w:rsid w:val="005D248D"/>
    <w:rsid w:val="005D269B"/>
    <w:rsid w:val="005D2914"/>
    <w:rsid w:val="005D2A7D"/>
    <w:rsid w:val="005D2A97"/>
    <w:rsid w:val="005D2C83"/>
    <w:rsid w:val="005D2D0F"/>
    <w:rsid w:val="005D2DED"/>
    <w:rsid w:val="005D2E58"/>
    <w:rsid w:val="005D31DC"/>
    <w:rsid w:val="005D3286"/>
    <w:rsid w:val="005D32BC"/>
    <w:rsid w:val="005D33DE"/>
    <w:rsid w:val="005D3537"/>
    <w:rsid w:val="005D364F"/>
    <w:rsid w:val="005D3AF6"/>
    <w:rsid w:val="005D3FED"/>
    <w:rsid w:val="005D413E"/>
    <w:rsid w:val="005D43A7"/>
    <w:rsid w:val="005D4864"/>
    <w:rsid w:val="005D4953"/>
    <w:rsid w:val="005D49C3"/>
    <w:rsid w:val="005D4AE8"/>
    <w:rsid w:val="005D4ECE"/>
    <w:rsid w:val="005D4FD3"/>
    <w:rsid w:val="005D54E0"/>
    <w:rsid w:val="005D5504"/>
    <w:rsid w:val="005D580E"/>
    <w:rsid w:val="005D584E"/>
    <w:rsid w:val="005D5C80"/>
    <w:rsid w:val="005D61E2"/>
    <w:rsid w:val="005D62FB"/>
    <w:rsid w:val="005D6489"/>
    <w:rsid w:val="005D69A0"/>
    <w:rsid w:val="005D69BE"/>
    <w:rsid w:val="005D6A8C"/>
    <w:rsid w:val="005D6B84"/>
    <w:rsid w:val="005D6D13"/>
    <w:rsid w:val="005D7367"/>
    <w:rsid w:val="005D743E"/>
    <w:rsid w:val="005D74F9"/>
    <w:rsid w:val="005D7C4C"/>
    <w:rsid w:val="005E067A"/>
    <w:rsid w:val="005E06AD"/>
    <w:rsid w:val="005E06D8"/>
    <w:rsid w:val="005E079E"/>
    <w:rsid w:val="005E0A54"/>
    <w:rsid w:val="005E1196"/>
    <w:rsid w:val="005E12A8"/>
    <w:rsid w:val="005E13C4"/>
    <w:rsid w:val="005E14A4"/>
    <w:rsid w:val="005E18FF"/>
    <w:rsid w:val="005E1D9C"/>
    <w:rsid w:val="005E2156"/>
    <w:rsid w:val="005E2168"/>
    <w:rsid w:val="005E23DA"/>
    <w:rsid w:val="005E24AC"/>
    <w:rsid w:val="005E24CB"/>
    <w:rsid w:val="005E2811"/>
    <w:rsid w:val="005E28E6"/>
    <w:rsid w:val="005E2A57"/>
    <w:rsid w:val="005E2B76"/>
    <w:rsid w:val="005E31AF"/>
    <w:rsid w:val="005E3432"/>
    <w:rsid w:val="005E34BA"/>
    <w:rsid w:val="005E383C"/>
    <w:rsid w:val="005E3963"/>
    <w:rsid w:val="005E39A9"/>
    <w:rsid w:val="005E40D1"/>
    <w:rsid w:val="005E457A"/>
    <w:rsid w:val="005E4FBB"/>
    <w:rsid w:val="005E51EC"/>
    <w:rsid w:val="005E521C"/>
    <w:rsid w:val="005E5568"/>
    <w:rsid w:val="005E58EA"/>
    <w:rsid w:val="005E5969"/>
    <w:rsid w:val="005E5B47"/>
    <w:rsid w:val="005E5E5C"/>
    <w:rsid w:val="005E605A"/>
    <w:rsid w:val="005E69C9"/>
    <w:rsid w:val="005E6EFD"/>
    <w:rsid w:val="005E71AA"/>
    <w:rsid w:val="005E74E7"/>
    <w:rsid w:val="005E74ED"/>
    <w:rsid w:val="005E764B"/>
    <w:rsid w:val="005E7C6D"/>
    <w:rsid w:val="005F003E"/>
    <w:rsid w:val="005F0127"/>
    <w:rsid w:val="005F025C"/>
    <w:rsid w:val="005F03DC"/>
    <w:rsid w:val="005F0750"/>
    <w:rsid w:val="005F0ABF"/>
    <w:rsid w:val="005F1085"/>
    <w:rsid w:val="005F1298"/>
    <w:rsid w:val="005F134C"/>
    <w:rsid w:val="005F150A"/>
    <w:rsid w:val="005F15B6"/>
    <w:rsid w:val="005F163F"/>
    <w:rsid w:val="005F1791"/>
    <w:rsid w:val="005F1A0F"/>
    <w:rsid w:val="005F1A9D"/>
    <w:rsid w:val="005F1C78"/>
    <w:rsid w:val="005F1DC8"/>
    <w:rsid w:val="005F240A"/>
    <w:rsid w:val="005F25B3"/>
    <w:rsid w:val="005F2642"/>
    <w:rsid w:val="005F2B4C"/>
    <w:rsid w:val="005F2FFC"/>
    <w:rsid w:val="005F322F"/>
    <w:rsid w:val="005F338E"/>
    <w:rsid w:val="005F3508"/>
    <w:rsid w:val="005F3800"/>
    <w:rsid w:val="005F3847"/>
    <w:rsid w:val="005F3C6E"/>
    <w:rsid w:val="005F3E36"/>
    <w:rsid w:val="005F3E64"/>
    <w:rsid w:val="005F3E8D"/>
    <w:rsid w:val="005F3F1F"/>
    <w:rsid w:val="005F40AD"/>
    <w:rsid w:val="005F431C"/>
    <w:rsid w:val="005F4678"/>
    <w:rsid w:val="005F486D"/>
    <w:rsid w:val="005F4D20"/>
    <w:rsid w:val="005F4EF7"/>
    <w:rsid w:val="005F50AF"/>
    <w:rsid w:val="005F50C5"/>
    <w:rsid w:val="005F5474"/>
    <w:rsid w:val="005F5610"/>
    <w:rsid w:val="005F5AED"/>
    <w:rsid w:val="005F5B17"/>
    <w:rsid w:val="005F5B1A"/>
    <w:rsid w:val="005F5C9F"/>
    <w:rsid w:val="005F5D72"/>
    <w:rsid w:val="005F61E8"/>
    <w:rsid w:val="005F6396"/>
    <w:rsid w:val="005F662F"/>
    <w:rsid w:val="005F6639"/>
    <w:rsid w:val="005F6734"/>
    <w:rsid w:val="005F6814"/>
    <w:rsid w:val="005F6F6F"/>
    <w:rsid w:val="005F7280"/>
    <w:rsid w:val="005F739E"/>
    <w:rsid w:val="005F74BF"/>
    <w:rsid w:val="005F77AA"/>
    <w:rsid w:val="005F7F11"/>
    <w:rsid w:val="00600214"/>
    <w:rsid w:val="0060024E"/>
    <w:rsid w:val="006002A6"/>
    <w:rsid w:val="00600763"/>
    <w:rsid w:val="0060091D"/>
    <w:rsid w:val="006009C5"/>
    <w:rsid w:val="006009F0"/>
    <w:rsid w:val="00600BDF"/>
    <w:rsid w:val="00600CA9"/>
    <w:rsid w:val="00600DE2"/>
    <w:rsid w:val="00600F2B"/>
    <w:rsid w:val="00601308"/>
    <w:rsid w:val="006014F3"/>
    <w:rsid w:val="00601538"/>
    <w:rsid w:val="006015FE"/>
    <w:rsid w:val="00601742"/>
    <w:rsid w:val="00601967"/>
    <w:rsid w:val="0060196C"/>
    <w:rsid w:val="00601E3D"/>
    <w:rsid w:val="006022C5"/>
    <w:rsid w:val="00602319"/>
    <w:rsid w:val="00602562"/>
    <w:rsid w:val="006025B3"/>
    <w:rsid w:val="00602B1E"/>
    <w:rsid w:val="00602C1C"/>
    <w:rsid w:val="00602C5F"/>
    <w:rsid w:val="00602C86"/>
    <w:rsid w:val="00602CA6"/>
    <w:rsid w:val="00602DD3"/>
    <w:rsid w:val="00602E7D"/>
    <w:rsid w:val="006030A0"/>
    <w:rsid w:val="006030C6"/>
    <w:rsid w:val="00603101"/>
    <w:rsid w:val="00603189"/>
    <w:rsid w:val="006038B0"/>
    <w:rsid w:val="0060418D"/>
    <w:rsid w:val="006042DA"/>
    <w:rsid w:val="0060453E"/>
    <w:rsid w:val="00604683"/>
    <w:rsid w:val="006046CD"/>
    <w:rsid w:val="00604E18"/>
    <w:rsid w:val="00604FFF"/>
    <w:rsid w:val="006051DF"/>
    <w:rsid w:val="006056DD"/>
    <w:rsid w:val="0060576B"/>
    <w:rsid w:val="00605782"/>
    <w:rsid w:val="00605908"/>
    <w:rsid w:val="00605AC9"/>
    <w:rsid w:val="00605B2D"/>
    <w:rsid w:val="00605B7C"/>
    <w:rsid w:val="00606192"/>
    <w:rsid w:val="006066D6"/>
    <w:rsid w:val="00606CA7"/>
    <w:rsid w:val="00606DFC"/>
    <w:rsid w:val="00606EB6"/>
    <w:rsid w:val="00607570"/>
    <w:rsid w:val="00607776"/>
    <w:rsid w:val="0060799C"/>
    <w:rsid w:val="00610289"/>
    <w:rsid w:val="00610305"/>
    <w:rsid w:val="00610AA8"/>
    <w:rsid w:val="00610C33"/>
    <w:rsid w:val="00610C39"/>
    <w:rsid w:val="00610D20"/>
    <w:rsid w:val="00610D9F"/>
    <w:rsid w:val="00610F1B"/>
    <w:rsid w:val="00611038"/>
    <w:rsid w:val="0061120F"/>
    <w:rsid w:val="00611262"/>
    <w:rsid w:val="006116FC"/>
    <w:rsid w:val="00611BAA"/>
    <w:rsid w:val="006123EA"/>
    <w:rsid w:val="00612493"/>
    <w:rsid w:val="006125C6"/>
    <w:rsid w:val="00612678"/>
    <w:rsid w:val="0061268B"/>
    <w:rsid w:val="0061270A"/>
    <w:rsid w:val="006128E9"/>
    <w:rsid w:val="00612AD7"/>
    <w:rsid w:val="00612B03"/>
    <w:rsid w:val="00612B9A"/>
    <w:rsid w:val="00612D5E"/>
    <w:rsid w:val="0061328B"/>
    <w:rsid w:val="00613576"/>
    <w:rsid w:val="006136D9"/>
    <w:rsid w:val="00613795"/>
    <w:rsid w:val="006137F7"/>
    <w:rsid w:val="00613839"/>
    <w:rsid w:val="00613927"/>
    <w:rsid w:val="00613BEC"/>
    <w:rsid w:val="00613DAC"/>
    <w:rsid w:val="0061414A"/>
    <w:rsid w:val="0061422B"/>
    <w:rsid w:val="00614347"/>
    <w:rsid w:val="0061444C"/>
    <w:rsid w:val="006144D0"/>
    <w:rsid w:val="00614886"/>
    <w:rsid w:val="00614CA6"/>
    <w:rsid w:val="00614CCA"/>
    <w:rsid w:val="00614EB6"/>
    <w:rsid w:val="00615885"/>
    <w:rsid w:val="00615A00"/>
    <w:rsid w:val="00615EFA"/>
    <w:rsid w:val="00616078"/>
    <w:rsid w:val="00616388"/>
    <w:rsid w:val="00616638"/>
    <w:rsid w:val="0061670B"/>
    <w:rsid w:val="006167AE"/>
    <w:rsid w:val="0061699F"/>
    <w:rsid w:val="00616D32"/>
    <w:rsid w:val="00617253"/>
    <w:rsid w:val="00617795"/>
    <w:rsid w:val="006179BC"/>
    <w:rsid w:val="00617D11"/>
    <w:rsid w:val="00617DF1"/>
    <w:rsid w:val="00617DFC"/>
    <w:rsid w:val="00617EF9"/>
    <w:rsid w:val="0062009D"/>
    <w:rsid w:val="00620172"/>
    <w:rsid w:val="006202F4"/>
    <w:rsid w:val="0062064D"/>
    <w:rsid w:val="00620699"/>
    <w:rsid w:val="006206BF"/>
    <w:rsid w:val="006208E3"/>
    <w:rsid w:val="00620ACD"/>
    <w:rsid w:val="00620AEB"/>
    <w:rsid w:val="00620B23"/>
    <w:rsid w:val="00620D10"/>
    <w:rsid w:val="00620F2C"/>
    <w:rsid w:val="0062115A"/>
    <w:rsid w:val="0062167C"/>
    <w:rsid w:val="00621708"/>
    <w:rsid w:val="00621766"/>
    <w:rsid w:val="006220B5"/>
    <w:rsid w:val="006220F0"/>
    <w:rsid w:val="006221D3"/>
    <w:rsid w:val="00622A1A"/>
    <w:rsid w:val="00622C22"/>
    <w:rsid w:val="00622D1C"/>
    <w:rsid w:val="006235B7"/>
    <w:rsid w:val="006236C6"/>
    <w:rsid w:val="00623A76"/>
    <w:rsid w:val="00623D6C"/>
    <w:rsid w:val="00623E08"/>
    <w:rsid w:val="00623E51"/>
    <w:rsid w:val="0062427B"/>
    <w:rsid w:val="006242C9"/>
    <w:rsid w:val="0062459B"/>
    <w:rsid w:val="0062459D"/>
    <w:rsid w:val="00624648"/>
    <w:rsid w:val="0062478E"/>
    <w:rsid w:val="006247E5"/>
    <w:rsid w:val="00624A1C"/>
    <w:rsid w:val="00624F3C"/>
    <w:rsid w:val="006255ED"/>
    <w:rsid w:val="00625640"/>
    <w:rsid w:val="00625B72"/>
    <w:rsid w:val="00625EB8"/>
    <w:rsid w:val="00625F2F"/>
    <w:rsid w:val="0062631B"/>
    <w:rsid w:val="00626A36"/>
    <w:rsid w:val="00626BCE"/>
    <w:rsid w:val="00626DBF"/>
    <w:rsid w:val="00626E18"/>
    <w:rsid w:val="006270A9"/>
    <w:rsid w:val="0062735C"/>
    <w:rsid w:val="00627584"/>
    <w:rsid w:val="0062759C"/>
    <w:rsid w:val="00627994"/>
    <w:rsid w:val="006279F4"/>
    <w:rsid w:val="00627C70"/>
    <w:rsid w:val="00627DCF"/>
    <w:rsid w:val="00627F23"/>
    <w:rsid w:val="006303AF"/>
    <w:rsid w:val="00630428"/>
    <w:rsid w:val="0063081B"/>
    <w:rsid w:val="00630ACB"/>
    <w:rsid w:val="00630F4B"/>
    <w:rsid w:val="0063104C"/>
    <w:rsid w:val="006318FA"/>
    <w:rsid w:val="00631BC9"/>
    <w:rsid w:val="0063232C"/>
    <w:rsid w:val="00632D6E"/>
    <w:rsid w:val="006332F4"/>
    <w:rsid w:val="00633560"/>
    <w:rsid w:val="00633FFA"/>
    <w:rsid w:val="006341F0"/>
    <w:rsid w:val="0063434F"/>
    <w:rsid w:val="00634862"/>
    <w:rsid w:val="006348B6"/>
    <w:rsid w:val="00634B79"/>
    <w:rsid w:val="00634BB8"/>
    <w:rsid w:val="00635116"/>
    <w:rsid w:val="0063511D"/>
    <w:rsid w:val="006354F0"/>
    <w:rsid w:val="006355C1"/>
    <w:rsid w:val="006358C7"/>
    <w:rsid w:val="00635EB3"/>
    <w:rsid w:val="00635EF4"/>
    <w:rsid w:val="006360AB"/>
    <w:rsid w:val="00636114"/>
    <w:rsid w:val="00636178"/>
    <w:rsid w:val="0063630D"/>
    <w:rsid w:val="006364CB"/>
    <w:rsid w:val="006367A8"/>
    <w:rsid w:val="00636810"/>
    <w:rsid w:val="00636829"/>
    <w:rsid w:val="0063687D"/>
    <w:rsid w:val="0063698B"/>
    <w:rsid w:val="00636B62"/>
    <w:rsid w:val="00636BAC"/>
    <w:rsid w:val="00636C8D"/>
    <w:rsid w:val="00637129"/>
    <w:rsid w:val="0063737E"/>
    <w:rsid w:val="006377F6"/>
    <w:rsid w:val="00637979"/>
    <w:rsid w:val="00637BDB"/>
    <w:rsid w:val="00637C96"/>
    <w:rsid w:val="00637DEF"/>
    <w:rsid w:val="006404E5"/>
    <w:rsid w:val="00640B05"/>
    <w:rsid w:val="00640F59"/>
    <w:rsid w:val="00640F5E"/>
    <w:rsid w:val="00641105"/>
    <w:rsid w:val="006411A6"/>
    <w:rsid w:val="00641843"/>
    <w:rsid w:val="00641B19"/>
    <w:rsid w:val="00641E08"/>
    <w:rsid w:val="0064204E"/>
    <w:rsid w:val="006426F1"/>
    <w:rsid w:val="0064271C"/>
    <w:rsid w:val="006427D9"/>
    <w:rsid w:val="00642821"/>
    <w:rsid w:val="0064283E"/>
    <w:rsid w:val="0064297E"/>
    <w:rsid w:val="00642F9F"/>
    <w:rsid w:val="0064312D"/>
    <w:rsid w:val="00643185"/>
    <w:rsid w:val="006433B4"/>
    <w:rsid w:val="0064346B"/>
    <w:rsid w:val="00643BF5"/>
    <w:rsid w:val="00643F35"/>
    <w:rsid w:val="006440B4"/>
    <w:rsid w:val="006440ED"/>
    <w:rsid w:val="00644388"/>
    <w:rsid w:val="00644814"/>
    <w:rsid w:val="00644819"/>
    <w:rsid w:val="00644AFD"/>
    <w:rsid w:val="00644C0B"/>
    <w:rsid w:val="00644DBC"/>
    <w:rsid w:val="00644FB2"/>
    <w:rsid w:val="00645259"/>
    <w:rsid w:val="006452C9"/>
    <w:rsid w:val="00645573"/>
    <w:rsid w:val="0064582C"/>
    <w:rsid w:val="006458BA"/>
    <w:rsid w:val="00645BA7"/>
    <w:rsid w:val="00645C1D"/>
    <w:rsid w:val="00645E3A"/>
    <w:rsid w:val="00645E53"/>
    <w:rsid w:val="00646153"/>
    <w:rsid w:val="006462DA"/>
    <w:rsid w:val="0064661A"/>
    <w:rsid w:val="006468B4"/>
    <w:rsid w:val="006468C1"/>
    <w:rsid w:val="00646B03"/>
    <w:rsid w:val="00646C50"/>
    <w:rsid w:val="00647014"/>
    <w:rsid w:val="00647767"/>
    <w:rsid w:val="00647770"/>
    <w:rsid w:val="006477F8"/>
    <w:rsid w:val="00647898"/>
    <w:rsid w:val="00647A04"/>
    <w:rsid w:val="00647B0D"/>
    <w:rsid w:val="00647B9B"/>
    <w:rsid w:val="00647DD8"/>
    <w:rsid w:val="00650012"/>
    <w:rsid w:val="006500A6"/>
    <w:rsid w:val="006504AA"/>
    <w:rsid w:val="00650511"/>
    <w:rsid w:val="00650744"/>
    <w:rsid w:val="00651034"/>
    <w:rsid w:val="006510EE"/>
    <w:rsid w:val="0065158C"/>
    <w:rsid w:val="006517F3"/>
    <w:rsid w:val="0065188D"/>
    <w:rsid w:val="00651928"/>
    <w:rsid w:val="0065192D"/>
    <w:rsid w:val="00651968"/>
    <w:rsid w:val="00651C64"/>
    <w:rsid w:val="00651E4F"/>
    <w:rsid w:val="00652161"/>
    <w:rsid w:val="006524A3"/>
    <w:rsid w:val="006528CF"/>
    <w:rsid w:val="00652EE2"/>
    <w:rsid w:val="00653C45"/>
    <w:rsid w:val="00653FB1"/>
    <w:rsid w:val="0065456B"/>
    <w:rsid w:val="00654598"/>
    <w:rsid w:val="0065462E"/>
    <w:rsid w:val="0065467D"/>
    <w:rsid w:val="006547C6"/>
    <w:rsid w:val="00654D50"/>
    <w:rsid w:val="00654DFD"/>
    <w:rsid w:val="00654E19"/>
    <w:rsid w:val="00654F39"/>
    <w:rsid w:val="006552DB"/>
    <w:rsid w:val="00655889"/>
    <w:rsid w:val="00655944"/>
    <w:rsid w:val="00655A29"/>
    <w:rsid w:val="00655A5A"/>
    <w:rsid w:val="00655B51"/>
    <w:rsid w:val="00655BD5"/>
    <w:rsid w:val="00655CB5"/>
    <w:rsid w:val="00655EE2"/>
    <w:rsid w:val="00656035"/>
    <w:rsid w:val="006567C9"/>
    <w:rsid w:val="00656883"/>
    <w:rsid w:val="00656A23"/>
    <w:rsid w:val="00656BA3"/>
    <w:rsid w:val="00656E47"/>
    <w:rsid w:val="00656E96"/>
    <w:rsid w:val="00657082"/>
    <w:rsid w:val="0065710D"/>
    <w:rsid w:val="0065717E"/>
    <w:rsid w:val="006572FE"/>
    <w:rsid w:val="0065778D"/>
    <w:rsid w:val="00657797"/>
    <w:rsid w:val="006578EB"/>
    <w:rsid w:val="00657C18"/>
    <w:rsid w:val="00657E58"/>
    <w:rsid w:val="00657FC8"/>
    <w:rsid w:val="0066003E"/>
    <w:rsid w:val="006600A1"/>
    <w:rsid w:val="00660260"/>
    <w:rsid w:val="006607CB"/>
    <w:rsid w:val="00660C03"/>
    <w:rsid w:val="00660D76"/>
    <w:rsid w:val="006614D6"/>
    <w:rsid w:val="006618CF"/>
    <w:rsid w:val="0066190F"/>
    <w:rsid w:val="00661AEF"/>
    <w:rsid w:val="00661B42"/>
    <w:rsid w:val="00661E84"/>
    <w:rsid w:val="0066204E"/>
    <w:rsid w:val="0066240C"/>
    <w:rsid w:val="00662C83"/>
    <w:rsid w:val="00662CF1"/>
    <w:rsid w:val="00662FB8"/>
    <w:rsid w:val="0066325E"/>
    <w:rsid w:val="006635C6"/>
    <w:rsid w:val="0066375A"/>
    <w:rsid w:val="00663B2C"/>
    <w:rsid w:val="00663C1D"/>
    <w:rsid w:val="00663C60"/>
    <w:rsid w:val="00663EFE"/>
    <w:rsid w:val="0066404C"/>
    <w:rsid w:val="00664582"/>
    <w:rsid w:val="006646D7"/>
    <w:rsid w:val="00664A8F"/>
    <w:rsid w:val="00664BC9"/>
    <w:rsid w:val="00664CE6"/>
    <w:rsid w:val="00665159"/>
    <w:rsid w:val="006651EA"/>
    <w:rsid w:val="006651FC"/>
    <w:rsid w:val="00665220"/>
    <w:rsid w:val="00665242"/>
    <w:rsid w:val="00665490"/>
    <w:rsid w:val="006654B8"/>
    <w:rsid w:val="00665870"/>
    <w:rsid w:val="00665F5E"/>
    <w:rsid w:val="0066602B"/>
    <w:rsid w:val="00666086"/>
    <w:rsid w:val="006664DF"/>
    <w:rsid w:val="00666F77"/>
    <w:rsid w:val="006670A1"/>
    <w:rsid w:val="0066714F"/>
    <w:rsid w:val="006671DF"/>
    <w:rsid w:val="006675B4"/>
    <w:rsid w:val="00667704"/>
    <w:rsid w:val="00667E23"/>
    <w:rsid w:val="0067044F"/>
    <w:rsid w:val="006704E5"/>
    <w:rsid w:val="006704ED"/>
    <w:rsid w:val="0067062B"/>
    <w:rsid w:val="00670659"/>
    <w:rsid w:val="00670BD7"/>
    <w:rsid w:val="00670D6C"/>
    <w:rsid w:val="00671048"/>
    <w:rsid w:val="00671366"/>
    <w:rsid w:val="006713BD"/>
    <w:rsid w:val="00671492"/>
    <w:rsid w:val="006717F9"/>
    <w:rsid w:val="00671BC5"/>
    <w:rsid w:val="00671BF4"/>
    <w:rsid w:val="006720AC"/>
    <w:rsid w:val="00672117"/>
    <w:rsid w:val="0067216A"/>
    <w:rsid w:val="006728F8"/>
    <w:rsid w:val="00672963"/>
    <w:rsid w:val="00672DE4"/>
    <w:rsid w:val="00673097"/>
    <w:rsid w:val="00673133"/>
    <w:rsid w:val="0067322A"/>
    <w:rsid w:val="006734CF"/>
    <w:rsid w:val="006734E5"/>
    <w:rsid w:val="006735C8"/>
    <w:rsid w:val="006735CC"/>
    <w:rsid w:val="0067363D"/>
    <w:rsid w:val="006736DA"/>
    <w:rsid w:val="00673A45"/>
    <w:rsid w:val="00673A94"/>
    <w:rsid w:val="00673A99"/>
    <w:rsid w:val="00673AD2"/>
    <w:rsid w:val="00673B20"/>
    <w:rsid w:val="00673D99"/>
    <w:rsid w:val="0067458F"/>
    <w:rsid w:val="006745B0"/>
    <w:rsid w:val="006745CE"/>
    <w:rsid w:val="00674684"/>
    <w:rsid w:val="006746FB"/>
    <w:rsid w:val="00674779"/>
    <w:rsid w:val="006748C8"/>
    <w:rsid w:val="00674C89"/>
    <w:rsid w:val="00674DBA"/>
    <w:rsid w:val="00674FEB"/>
    <w:rsid w:val="006751F5"/>
    <w:rsid w:val="00675630"/>
    <w:rsid w:val="006757CD"/>
    <w:rsid w:val="0067588B"/>
    <w:rsid w:val="00675BE6"/>
    <w:rsid w:val="00675FC5"/>
    <w:rsid w:val="006760A8"/>
    <w:rsid w:val="0067615F"/>
    <w:rsid w:val="00676356"/>
    <w:rsid w:val="0067639A"/>
    <w:rsid w:val="006763E6"/>
    <w:rsid w:val="006764B0"/>
    <w:rsid w:val="0067660A"/>
    <w:rsid w:val="006769DC"/>
    <w:rsid w:val="006769DD"/>
    <w:rsid w:val="00676A28"/>
    <w:rsid w:val="00676AF4"/>
    <w:rsid w:val="00677100"/>
    <w:rsid w:val="00677289"/>
    <w:rsid w:val="00677404"/>
    <w:rsid w:val="00680426"/>
    <w:rsid w:val="0068060C"/>
    <w:rsid w:val="00680F72"/>
    <w:rsid w:val="006810F1"/>
    <w:rsid w:val="00681181"/>
    <w:rsid w:val="006819A6"/>
    <w:rsid w:val="00681BE5"/>
    <w:rsid w:val="00681D1B"/>
    <w:rsid w:val="00681EDE"/>
    <w:rsid w:val="00682187"/>
    <w:rsid w:val="0068229A"/>
    <w:rsid w:val="00682690"/>
    <w:rsid w:val="006828D8"/>
    <w:rsid w:val="00682E31"/>
    <w:rsid w:val="00682E87"/>
    <w:rsid w:val="00683115"/>
    <w:rsid w:val="00683160"/>
    <w:rsid w:val="0068335F"/>
    <w:rsid w:val="0068372B"/>
    <w:rsid w:val="00683BA7"/>
    <w:rsid w:val="00683C36"/>
    <w:rsid w:val="00683D20"/>
    <w:rsid w:val="00684178"/>
    <w:rsid w:val="006841CF"/>
    <w:rsid w:val="00684290"/>
    <w:rsid w:val="006845DB"/>
    <w:rsid w:val="0068475E"/>
    <w:rsid w:val="006847CF"/>
    <w:rsid w:val="006849D3"/>
    <w:rsid w:val="0068510B"/>
    <w:rsid w:val="006854B1"/>
    <w:rsid w:val="00685BC2"/>
    <w:rsid w:val="00685D77"/>
    <w:rsid w:val="00685F38"/>
    <w:rsid w:val="00686022"/>
    <w:rsid w:val="00686081"/>
    <w:rsid w:val="006861F1"/>
    <w:rsid w:val="00686357"/>
    <w:rsid w:val="00686577"/>
    <w:rsid w:val="006865A9"/>
    <w:rsid w:val="006866FF"/>
    <w:rsid w:val="00686C20"/>
    <w:rsid w:val="00687091"/>
    <w:rsid w:val="006870F7"/>
    <w:rsid w:val="006873DC"/>
    <w:rsid w:val="006874E3"/>
    <w:rsid w:val="00687838"/>
    <w:rsid w:val="00687EED"/>
    <w:rsid w:val="00690331"/>
    <w:rsid w:val="0069058D"/>
    <w:rsid w:val="00690B5A"/>
    <w:rsid w:val="00690C6E"/>
    <w:rsid w:val="00690E80"/>
    <w:rsid w:val="00691404"/>
    <w:rsid w:val="0069170E"/>
    <w:rsid w:val="00691882"/>
    <w:rsid w:val="00691FEB"/>
    <w:rsid w:val="006921F9"/>
    <w:rsid w:val="00692376"/>
    <w:rsid w:val="0069261A"/>
    <w:rsid w:val="006926BE"/>
    <w:rsid w:val="0069277C"/>
    <w:rsid w:val="006929D6"/>
    <w:rsid w:val="00692A6F"/>
    <w:rsid w:val="00692B7C"/>
    <w:rsid w:val="00692B9D"/>
    <w:rsid w:val="00692FB5"/>
    <w:rsid w:val="00693059"/>
    <w:rsid w:val="0069387F"/>
    <w:rsid w:val="00693A34"/>
    <w:rsid w:val="00693D82"/>
    <w:rsid w:val="00693DE2"/>
    <w:rsid w:val="0069408A"/>
    <w:rsid w:val="006943D6"/>
    <w:rsid w:val="006943D7"/>
    <w:rsid w:val="006944D2"/>
    <w:rsid w:val="00694686"/>
    <w:rsid w:val="00694881"/>
    <w:rsid w:val="00694B5A"/>
    <w:rsid w:val="00694C1D"/>
    <w:rsid w:val="00694CE6"/>
    <w:rsid w:val="00694D67"/>
    <w:rsid w:val="00694E26"/>
    <w:rsid w:val="00694F86"/>
    <w:rsid w:val="00695046"/>
    <w:rsid w:val="00695586"/>
    <w:rsid w:val="00695769"/>
    <w:rsid w:val="00695A55"/>
    <w:rsid w:val="00695AA6"/>
    <w:rsid w:val="00695ABC"/>
    <w:rsid w:val="00695AE3"/>
    <w:rsid w:val="00695BAC"/>
    <w:rsid w:val="00695C13"/>
    <w:rsid w:val="00695EF5"/>
    <w:rsid w:val="00695F2D"/>
    <w:rsid w:val="006960D3"/>
    <w:rsid w:val="0069617D"/>
    <w:rsid w:val="0069648C"/>
    <w:rsid w:val="0069651D"/>
    <w:rsid w:val="00696D38"/>
    <w:rsid w:val="006970AB"/>
    <w:rsid w:val="00697135"/>
    <w:rsid w:val="006971C3"/>
    <w:rsid w:val="006971D0"/>
    <w:rsid w:val="00697240"/>
    <w:rsid w:val="006972AB"/>
    <w:rsid w:val="0069738A"/>
    <w:rsid w:val="00697421"/>
    <w:rsid w:val="0069745B"/>
    <w:rsid w:val="00697A06"/>
    <w:rsid w:val="00697A4E"/>
    <w:rsid w:val="00697A63"/>
    <w:rsid w:val="00697B84"/>
    <w:rsid w:val="006A0086"/>
    <w:rsid w:val="006A0130"/>
    <w:rsid w:val="006A0305"/>
    <w:rsid w:val="006A03CF"/>
    <w:rsid w:val="006A0475"/>
    <w:rsid w:val="006A0662"/>
    <w:rsid w:val="006A0890"/>
    <w:rsid w:val="006A0DAA"/>
    <w:rsid w:val="006A1030"/>
    <w:rsid w:val="006A12BD"/>
    <w:rsid w:val="006A12E6"/>
    <w:rsid w:val="006A12E8"/>
    <w:rsid w:val="006A160F"/>
    <w:rsid w:val="006A16CD"/>
    <w:rsid w:val="006A173E"/>
    <w:rsid w:val="006A2096"/>
    <w:rsid w:val="006A212D"/>
    <w:rsid w:val="006A27A3"/>
    <w:rsid w:val="006A2817"/>
    <w:rsid w:val="006A2A34"/>
    <w:rsid w:val="006A2B8D"/>
    <w:rsid w:val="006A2DD1"/>
    <w:rsid w:val="006A31B8"/>
    <w:rsid w:val="006A3224"/>
    <w:rsid w:val="006A3412"/>
    <w:rsid w:val="006A34A2"/>
    <w:rsid w:val="006A3A89"/>
    <w:rsid w:val="006A3C80"/>
    <w:rsid w:val="006A3D98"/>
    <w:rsid w:val="006A3F74"/>
    <w:rsid w:val="006A4268"/>
    <w:rsid w:val="006A4536"/>
    <w:rsid w:val="006A4FE1"/>
    <w:rsid w:val="006A52F1"/>
    <w:rsid w:val="006A577F"/>
    <w:rsid w:val="006A63EA"/>
    <w:rsid w:val="006A663A"/>
    <w:rsid w:val="006A6BA3"/>
    <w:rsid w:val="006A6DC2"/>
    <w:rsid w:val="006A707D"/>
    <w:rsid w:val="006A712A"/>
    <w:rsid w:val="006A720F"/>
    <w:rsid w:val="006A799A"/>
    <w:rsid w:val="006A79E0"/>
    <w:rsid w:val="006A7FC4"/>
    <w:rsid w:val="006B0068"/>
    <w:rsid w:val="006B02D7"/>
    <w:rsid w:val="006B06EF"/>
    <w:rsid w:val="006B08A3"/>
    <w:rsid w:val="006B0C3E"/>
    <w:rsid w:val="006B0CDA"/>
    <w:rsid w:val="006B0EC1"/>
    <w:rsid w:val="006B0FE7"/>
    <w:rsid w:val="006B0FF0"/>
    <w:rsid w:val="006B1332"/>
    <w:rsid w:val="006B144B"/>
    <w:rsid w:val="006B18E3"/>
    <w:rsid w:val="006B191C"/>
    <w:rsid w:val="006B1A14"/>
    <w:rsid w:val="006B1AFD"/>
    <w:rsid w:val="006B1B37"/>
    <w:rsid w:val="006B1EAD"/>
    <w:rsid w:val="006B2185"/>
    <w:rsid w:val="006B2282"/>
    <w:rsid w:val="006B22D2"/>
    <w:rsid w:val="006B2599"/>
    <w:rsid w:val="006B3393"/>
    <w:rsid w:val="006B3BB3"/>
    <w:rsid w:val="006B3F04"/>
    <w:rsid w:val="006B40A0"/>
    <w:rsid w:val="006B41FD"/>
    <w:rsid w:val="006B43A7"/>
    <w:rsid w:val="006B4651"/>
    <w:rsid w:val="006B4691"/>
    <w:rsid w:val="006B4718"/>
    <w:rsid w:val="006B478D"/>
    <w:rsid w:val="006B4914"/>
    <w:rsid w:val="006B4B1D"/>
    <w:rsid w:val="006B4BE4"/>
    <w:rsid w:val="006B55A9"/>
    <w:rsid w:val="006B5665"/>
    <w:rsid w:val="006B57FB"/>
    <w:rsid w:val="006B5B54"/>
    <w:rsid w:val="006B5B7E"/>
    <w:rsid w:val="006B5B9F"/>
    <w:rsid w:val="006B5C84"/>
    <w:rsid w:val="006B6127"/>
    <w:rsid w:val="006B62E1"/>
    <w:rsid w:val="006B63A4"/>
    <w:rsid w:val="006B68F0"/>
    <w:rsid w:val="006B6BC9"/>
    <w:rsid w:val="006B70C1"/>
    <w:rsid w:val="006B7636"/>
    <w:rsid w:val="006B79E2"/>
    <w:rsid w:val="006B7A87"/>
    <w:rsid w:val="006B7E18"/>
    <w:rsid w:val="006B7F9B"/>
    <w:rsid w:val="006B7FFC"/>
    <w:rsid w:val="006C0133"/>
    <w:rsid w:val="006C014C"/>
    <w:rsid w:val="006C018A"/>
    <w:rsid w:val="006C0267"/>
    <w:rsid w:val="006C033B"/>
    <w:rsid w:val="006C06F6"/>
    <w:rsid w:val="006C0E61"/>
    <w:rsid w:val="006C13B6"/>
    <w:rsid w:val="006C1A28"/>
    <w:rsid w:val="006C1E99"/>
    <w:rsid w:val="006C1F0F"/>
    <w:rsid w:val="006C20E0"/>
    <w:rsid w:val="006C25A5"/>
    <w:rsid w:val="006C2681"/>
    <w:rsid w:val="006C2811"/>
    <w:rsid w:val="006C2870"/>
    <w:rsid w:val="006C299C"/>
    <w:rsid w:val="006C32DC"/>
    <w:rsid w:val="006C345D"/>
    <w:rsid w:val="006C358A"/>
    <w:rsid w:val="006C3C3B"/>
    <w:rsid w:val="006C3E17"/>
    <w:rsid w:val="006C3E62"/>
    <w:rsid w:val="006C4303"/>
    <w:rsid w:val="006C4547"/>
    <w:rsid w:val="006C4B00"/>
    <w:rsid w:val="006C4B04"/>
    <w:rsid w:val="006C4BBA"/>
    <w:rsid w:val="006C4D22"/>
    <w:rsid w:val="006C4FDA"/>
    <w:rsid w:val="006C531B"/>
    <w:rsid w:val="006C5336"/>
    <w:rsid w:val="006C56C4"/>
    <w:rsid w:val="006C57FC"/>
    <w:rsid w:val="006C5ADC"/>
    <w:rsid w:val="006C5B18"/>
    <w:rsid w:val="006C5ED6"/>
    <w:rsid w:val="006C6939"/>
    <w:rsid w:val="006C6A66"/>
    <w:rsid w:val="006C6B2C"/>
    <w:rsid w:val="006C6F18"/>
    <w:rsid w:val="006C7038"/>
    <w:rsid w:val="006C7340"/>
    <w:rsid w:val="006C7B34"/>
    <w:rsid w:val="006C7F1F"/>
    <w:rsid w:val="006D011B"/>
    <w:rsid w:val="006D0182"/>
    <w:rsid w:val="006D0221"/>
    <w:rsid w:val="006D02C9"/>
    <w:rsid w:val="006D0341"/>
    <w:rsid w:val="006D07A4"/>
    <w:rsid w:val="006D07BF"/>
    <w:rsid w:val="006D0819"/>
    <w:rsid w:val="006D0826"/>
    <w:rsid w:val="006D0932"/>
    <w:rsid w:val="006D0C0C"/>
    <w:rsid w:val="006D0CC3"/>
    <w:rsid w:val="006D0F78"/>
    <w:rsid w:val="006D0FA9"/>
    <w:rsid w:val="006D1166"/>
    <w:rsid w:val="006D1496"/>
    <w:rsid w:val="006D187D"/>
    <w:rsid w:val="006D18A3"/>
    <w:rsid w:val="006D1B02"/>
    <w:rsid w:val="006D1BFA"/>
    <w:rsid w:val="006D1D1F"/>
    <w:rsid w:val="006D205E"/>
    <w:rsid w:val="006D21ED"/>
    <w:rsid w:val="006D26ED"/>
    <w:rsid w:val="006D275F"/>
    <w:rsid w:val="006D28D1"/>
    <w:rsid w:val="006D2ACD"/>
    <w:rsid w:val="006D2C06"/>
    <w:rsid w:val="006D2F6B"/>
    <w:rsid w:val="006D3164"/>
    <w:rsid w:val="006D35F7"/>
    <w:rsid w:val="006D37A6"/>
    <w:rsid w:val="006D37A9"/>
    <w:rsid w:val="006D380F"/>
    <w:rsid w:val="006D399E"/>
    <w:rsid w:val="006D3BDD"/>
    <w:rsid w:val="006D3D2A"/>
    <w:rsid w:val="006D3D32"/>
    <w:rsid w:val="006D3E3A"/>
    <w:rsid w:val="006D3F3D"/>
    <w:rsid w:val="006D4120"/>
    <w:rsid w:val="006D4173"/>
    <w:rsid w:val="006D452D"/>
    <w:rsid w:val="006D45D6"/>
    <w:rsid w:val="006D4A0A"/>
    <w:rsid w:val="006D4BEB"/>
    <w:rsid w:val="006D51AD"/>
    <w:rsid w:val="006D5548"/>
    <w:rsid w:val="006D578C"/>
    <w:rsid w:val="006D57A4"/>
    <w:rsid w:val="006D584E"/>
    <w:rsid w:val="006D5918"/>
    <w:rsid w:val="006D5939"/>
    <w:rsid w:val="006D5DE7"/>
    <w:rsid w:val="006D5F3D"/>
    <w:rsid w:val="006D5FFA"/>
    <w:rsid w:val="006D60EC"/>
    <w:rsid w:val="006D6185"/>
    <w:rsid w:val="006D61AD"/>
    <w:rsid w:val="006D62D6"/>
    <w:rsid w:val="006D63BD"/>
    <w:rsid w:val="006D67C9"/>
    <w:rsid w:val="006D6EB4"/>
    <w:rsid w:val="006D6F30"/>
    <w:rsid w:val="006D737A"/>
    <w:rsid w:val="006D756A"/>
    <w:rsid w:val="006D7595"/>
    <w:rsid w:val="006D7724"/>
    <w:rsid w:val="006D7782"/>
    <w:rsid w:val="006D79AA"/>
    <w:rsid w:val="006D7D58"/>
    <w:rsid w:val="006D7DE6"/>
    <w:rsid w:val="006D7ED7"/>
    <w:rsid w:val="006E0775"/>
    <w:rsid w:val="006E082C"/>
    <w:rsid w:val="006E09C1"/>
    <w:rsid w:val="006E0A08"/>
    <w:rsid w:val="006E0A1A"/>
    <w:rsid w:val="006E0A38"/>
    <w:rsid w:val="006E0AE6"/>
    <w:rsid w:val="006E1106"/>
    <w:rsid w:val="006E12A8"/>
    <w:rsid w:val="006E1891"/>
    <w:rsid w:val="006E1B30"/>
    <w:rsid w:val="006E1FA2"/>
    <w:rsid w:val="006E214D"/>
    <w:rsid w:val="006E2281"/>
    <w:rsid w:val="006E233D"/>
    <w:rsid w:val="006E276F"/>
    <w:rsid w:val="006E27CD"/>
    <w:rsid w:val="006E2A26"/>
    <w:rsid w:val="006E2B14"/>
    <w:rsid w:val="006E2B62"/>
    <w:rsid w:val="006E2F65"/>
    <w:rsid w:val="006E31CD"/>
    <w:rsid w:val="006E3406"/>
    <w:rsid w:val="006E3894"/>
    <w:rsid w:val="006E38BF"/>
    <w:rsid w:val="006E3D17"/>
    <w:rsid w:val="006E3D4D"/>
    <w:rsid w:val="006E3F41"/>
    <w:rsid w:val="006E44A0"/>
    <w:rsid w:val="006E46CC"/>
    <w:rsid w:val="006E4733"/>
    <w:rsid w:val="006E4809"/>
    <w:rsid w:val="006E49C3"/>
    <w:rsid w:val="006E4ADF"/>
    <w:rsid w:val="006E4C92"/>
    <w:rsid w:val="006E4D39"/>
    <w:rsid w:val="006E4F1F"/>
    <w:rsid w:val="006E5100"/>
    <w:rsid w:val="006E547F"/>
    <w:rsid w:val="006E5643"/>
    <w:rsid w:val="006E5767"/>
    <w:rsid w:val="006E591C"/>
    <w:rsid w:val="006E5994"/>
    <w:rsid w:val="006E5ABF"/>
    <w:rsid w:val="006E5B46"/>
    <w:rsid w:val="006E5BB1"/>
    <w:rsid w:val="006E5F00"/>
    <w:rsid w:val="006E62E3"/>
    <w:rsid w:val="006E6748"/>
    <w:rsid w:val="006E6F46"/>
    <w:rsid w:val="006E6FC5"/>
    <w:rsid w:val="006E7488"/>
    <w:rsid w:val="006E75D6"/>
    <w:rsid w:val="006E7627"/>
    <w:rsid w:val="006E78BA"/>
    <w:rsid w:val="006E7B12"/>
    <w:rsid w:val="006E7B9B"/>
    <w:rsid w:val="006E7BC2"/>
    <w:rsid w:val="006E7C81"/>
    <w:rsid w:val="006E7D52"/>
    <w:rsid w:val="006E7FAC"/>
    <w:rsid w:val="006F01CC"/>
    <w:rsid w:val="006F0B6F"/>
    <w:rsid w:val="006F1711"/>
    <w:rsid w:val="006F1C68"/>
    <w:rsid w:val="006F1D7D"/>
    <w:rsid w:val="006F1DEC"/>
    <w:rsid w:val="006F2049"/>
    <w:rsid w:val="006F24D4"/>
    <w:rsid w:val="006F26E3"/>
    <w:rsid w:val="006F2857"/>
    <w:rsid w:val="006F29EC"/>
    <w:rsid w:val="006F29F7"/>
    <w:rsid w:val="006F2BED"/>
    <w:rsid w:val="006F2C18"/>
    <w:rsid w:val="006F2D9B"/>
    <w:rsid w:val="006F2E42"/>
    <w:rsid w:val="006F311E"/>
    <w:rsid w:val="006F31C7"/>
    <w:rsid w:val="006F3408"/>
    <w:rsid w:val="006F351D"/>
    <w:rsid w:val="006F3593"/>
    <w:rsid w:val="006F363B"/>
    <w:rsid w:val="006F3785"/>
    <w:rsid w:val="006F3AD3"/>
    <w:rsid w:val="006F3CAA"/>
    <w:rsid w:val="006F4106"/>
    <w:rsid w:val="006F4182"/>
    <w:rsid w:val="006F43B9"/>
    <w:rsid w:val="006F45B1"/>
    <w:rsid w:val="006F4E29"/>
    <w:rsid w:val="006F4F85"/>
    <w:rsid w:val="006F50E5"/>
    <w:rsid w:val="006F54D0"/>
    <w:rsid w:val="006F583B"/>
    <w:rsid w:val="006F5F37"/>
    <w:rsid w:val="006F5F8F"/>
    <w:rsid w:val="006F6202"/>
    <w:rsid w:val="006F64BC"/>
    <w:rsid w:val="006F6CAD"/>
    <w:rsid w:val="006F6D19"/>
    <w:rsid w:val="006F6D29"/>
    <w:rsid w:val="006F7398"/>
    <w:rsid w:val="006F7464"/>
    <w:rsid w:val="006F751E"/>
    <w:rsid w:val="006F7967"/>
    <w:rsid w:val="006F7A85"/>
    <w:rsid w:val="006F7DBD"/>
    <w:rsid w:val="006F7E0C"/>
    <w:rsid w:val="006F7E2D"/>
    <w:rsid w:val="0070042A"/>
    <w:rsid w:val="007006DE"/>
    <w:rsid w:val="00700721"/>
    <w:rsid w:val="00700C56"/>
    <w:rsid w:val="00700D38"/>
    <w:rsid w:val="00700D93"/>
    <w:rsid w:val="00700DD7"/>
    <w:rsid w:val="00700EF2"/>
    <w:rsid w:val="0070119E"/>
    <w:rsid w:val="00701349"/>
    <w:rsid w:val="00701383"/>
    <w:rsid w:val="00701924"/>
    <w:rsid w:val="00701BA5"/>
    <w:rsid w:val="00701FDF"/>
    <w:rsid w:val="007027C0"/>
    <w:rsid w:val="00702962"/>
    <w:rsid w:val="00702A70"/>
    <w:rsid w:val="007036F8"/>
    <w:rsid w:val="007039F7"/>
    <w:rsid w:val="00703B11"/>
    <w:rsid w:val="007043C2"/>
    <w:rsid w:val="00704468"/>
    <w:rsid w:val="007045E5"/>
    <w:rsid w:val="007045FE"/>
    <w:rsid w:val="007046B7"/>
    <w:rsid w:val="00704887"/>
    <w:rsid w:val="00704899"/>
    <w:rsid w:val="00704981"/>
    <w:rsid w:val="00704C7E"/>
    <w:rsid w:val="00705016"/>
    <w:rsid w:val="00705090"/>
    <w:rsid w:val="0070528C"/>
    <w:rsid w:val="007052A2"/>
    <w:rsid w:val="00705454"/>
    <w:rsid w:val="00705913"/>
    <w:rsid w:val="00705AB5"/>
    <w:rsid w:val="00705C83"/>
    <w:rsid w:val="007069B6"/>
    <w:rsid w:val="00706ACB"/>
    <w:rsid w:val="00706E39"/>
    <w:rsid w:val="00706E5C"/>
    <w:rsid w:val="007074E3"/>
    <w:rsid w:val="007075B4"/>
    <w:rsid w:val="00707934"/>
    <w:rsid w:val="00707985"/>
    <w:rsid w:val="00707C38"/>
    <w:rsid w:val="00707C6E"/>
    <w:rsid w:val="00707C7C"/>
    <w:rsid w:val="00710181"/>
    <w:rsid w:val="007103A2"/>
    <w:rsid w:val="007103CD"/>
    <w:rsid w:val="0071073D"/>
    <w:rsid w:val="00710927"/>
    <w:rsid w:val="00710AD2"/>
    <w:rsid w:val="00710E79"/>
    <w:rsid w:val="00710EC2"/>
    <w:rsid w:val="00710FA2"/>
    <w:rsid w:val="00711040"/>
    <w:rsid w:val="00711544"/>
    <w:rsid w:val="00711589"/>
    <w:rsid w:val="007119F1"/>
    <w:rsid w:val="00711AE9"/>
    <w:rsid w:val="00711B68"/>
    <w:rsid w:val="00711B85"/>
    <w:rsid w:val="00711D9F"/>
    <w:rsid w:val="00711E50"/>
    <w:rsid w:val="00711F84"/>
    <w:rsid w:val="00712097"/>
    <w:rsid w:val="007122A4"/>
    <w:rsid w:val="0071263E"/>
    <w:rsid w:val="00712C8F"/>
    <w:rsid w:val="00712E27"/>
    <w:rsid w:val="00712F3E"/>
    <w:rsid w:val="00712FD6"/>
    <w:rsid w:val="00713370"/>
    <w:rsid w:val="007133A9"/>
    <w:rsid w:val="0071398A"/>
    <w:rsid w:val="0071422C"/>
    <w:rsid w:val="00714275"/>
    <w:rsid w:val="007143F5"/>
    <w:rsid w:val="007144C0"/>
    <w:rsid w:val="00714831"/>
    <w:rsid w:val="00714965"/>
    <w:rsid w:val="00714FA1"/>
    <w:rsid w:val="0071504D"/>
    <w:rsid w:val="00715246"/>
    <w:rsid w:val="00715252"/>
    <w:rsid w:val="00715260"/>
    <w:rsid w:val="007152F3"/>
    <w:rsid w:val="00715A7E"/>
    <w:rsid w:val="00715AAB"/>
    <w:rsid w:val="00715BF0"/>
    <w:rsid w:val="00715F7D"/>
    <w:rsid w:val="007163A5"/>
    <w:rsid w:val="007163BC"/>
    <w:rsid w:val="00716549"/>
    <w:rsid w:val="00716B66"/>
    <w:rsid w:val="007172B6"/>
    <w:rsid w:val="007178EF"/>
    <w:rsid w:val="00717F4B"/>
    <w:rsid w:val="00720196"/>
    <w:rsid w:val="00720471"/>
    <w:rsid w:val="0072048A"/>
    <w:rsid w:val="00720684"/>
    <w:rsid w:val="00720713"/>
    <w:rsid w:val="00720860"/>
    <w:rsid w:val="00720960"/>
    <w:rsid w:val="00720A57"/>
    <w:rsid w:val="00720D75"/>
    <w:rsid w:val="00720D76"/>
    <w:rsid w:val="00721704"/>
    <w:rsid w:val="0072178B"/>
    <w:rsid w:val="00721844"/>
    <w:rsid w:val="00721FB3"/>
    <w:rsid w:val="0072228A"/>
    <w:rsid w:val="007222BD"/>
    <w:rsid w:val="007222DA"/>
    <w:rsid w:val="007224D3"/>
    <w:rsid w:val="007228AF"/>
    <w:rsid w:val="00722AC6"/>
    <w:rsid w:val="00722C10"/>
    <w:rsid w:val="00723013"/>
    <w:rsid w:val="00723272"/>
    <w:rsid w:val="0072362E"/>
    <w:rsid w:val="00723DAA"/>
    <w:rsid w:val="00723DD1"/>
    <w:rsid w:val="007240CC"/>
    <w:rsid w:val="007241A7"/>
    <w:rsid w:val="0072439C"/>
    <w:rsid w:val="007243BD"/>
    <w:rsid w:val="00724870"/>
    <w:rsid w:val="00724CA2"/>
    <w:rsid w:val="00724D8A"/>
    <w:rsid w:val="00725175"/>
    <w:rsid w:val="0072522B"/>
    <w:rsid w:val="007252A1"/>
    <w:rsid w:val="0072555F"/>
    <w:rsid w:val="00725586"/>
    <w:rsid w:val="007258A8"/>
    <w:rsid w:val="00725904"/>
    <w:rsid w:val="00725EDD"/>
    <w:rsid w:val="0072612C"/>
    <w:rsid w:val="00726541"/>
    <w:rsid w:val="007266A1"/>
    <w:rsid w:val="0072688C"/>
    <w:rsid w:val="007269C5"/>
    <w:rsid w:val="00726CE2"/>
    <w:rsid w:val="00726D60"/>
    <w:rsid w:val="00727018"/>
    <w:rsid w:val="00727793"/>
    <w:rsid w:val="007279A7"/>
    <w:rsid w:val="00727BCC"/>
    <w:rsid w:val="00727F11"/>
    <w:rsid w:val="00727FFE"/>
    <w:rsid w:val="00730051"/>
    <w:rsid w:val="00730656"/>
    <w:rsid w:val="00730658"/>
    <w:rsid w:val="007309A0"/>
    <w:rsid w:val="00730A2A"/>
    <w:rsid w:val="00730BB2"/>
    <w:rsid w:val="00730E9C"/>
    <w:rsid w:val="00731479"/>
    <w:rsid w:val="00731678"/>
    <w:rsid w:val="0073167A"/>
    <w:rsid w:val="00731A49"/>
    <w:rsid w:val="007326F6"/>
    <w:rsid w:val="007328CD"/>
    <w:rsid w:val="00732918"/>
    <w:rsid w:val="007331C6"/>
    <w:rsid w:val="00733344"/>
    <w:rsid w:val="00733439"/>
    <w:rsid w:val="00733F54"/>
    <w:rsid w:val="007340D3"/>
    <w:rsid w:val="007342D6"/>
    <w:rsid w:val="0073444C"/>
    <w:rsid w:val="007347DF"/>
    <w:rsid w:val="007349B1"/>
    <w:rsid w:val="00734A78"/>
    <w:rsid w:val="00734C9F"/>
    <w:rsid w:val="00734F42"/>
    <w:rsid w:val="00734F67"/>
    <w:rsid w:val="007350CC"/>
    <w:rsid w:val="007352BC"/>
    <w:rsid w:val="0073536F"/>
    <w:rsid w:val="0073549D"/>
    <w:rsid w:val="00735B4A"/>
    <w:rsid w:val="00735E7D"/>
    <w:rsid w:val="00735ED0"/>
    <w:rsid w:val="00735EF3"/>
    <w:rsid w:val="00735F46"/>
    <w:rsid w:val="00736252"/>
    <w:rsid w:val="00736456"/>
    <w:rsid w:val="00736584"/>
    <w:rsid w:val="00736888"/>
    <w:rsid w:val="0073709E"/>
    <w:rsid w:val="0073751D"/>
    <w:rsid w:val="007375BE"/>
    <w:rsid w:val="00737873"/>
    <w:rsid w:val="00737B05"/>
    <w:rsid w:val="00737BF0"/>
    <w:rsid w:val="00737D57"/>
    <w:rsid w:val="00737D90"/>
    <w:rsid w:val="00740910"/>
    <w:rsid w:val="0074099E"/>
    <w:rsid w:val="00740AAF"/>
    <w:rsid w:val="00740B4F"/>
    <w:rsid w:val="00740D6A"/>
    <w:rsid w:val="00740ECE"/>
    <w:rsid w:val="007410AE"/>
    <w:rsid w:val="00741175"/>
    <w:rsid w:val="00741343"/>
    <w:rsid w:val="007413A0"/>
    <w:rsid w:val="00741427"/>
    <w:rsid w:val="007415E1"/>
    <w:rsid w:val="007417E0"/>
    <w:rsid w:val="00741CFE"/>
    <w:rsid w:val="00741E76"/>
    <w:rsid w:val="00742084"/>
    <w:rsid w:val="0074262D"/>
    <w:rsid w:val="007429F5"/>
    <w:rsid w:val="00742A21"/>
    <w:rsid w:val="00742CF0"/>
    <w:rsid w:val="00742D4A"/>
    <w:rsid w:val="00742E48"/>
    <w:rsid w:val="0074366D"/>
    <w:rsid w:val="00743A23"/>
    <w:rsid w:val="00743A5F"/>
    <w:rsid w:val="00743AD6"/>
    <w:rsid w:val="00743B8B"/>
    <w:rsid w:val="007441C0"/>
    <w:rsid w:val="007442AB"/>
    <w:rsid w:val="007444DD"/>
    <w:rsid w:val="00744800"/>
    <w:rsid w:val="00744917"/>
    <w:rsid w:val="00744A50"/>
    <w:rsid w:val="00744C78"/>
    <w:rsid w:val="0074526E"/>
    <w:rsid w:val="00745342"/>
    <w:rsid w:val="00745936"/>
    <w:rsid w:val="007459B2"/>
    <w:rsid w:val="00745BEF"/>
    <w:rsid w:val="00745ECC"/>
    <w:rsid w:val="00746150"/>
    <w:rsid w:val="007462F8"/>
    <w:rsid w:val="00747281"/>
    <w:rsid w:val="0074737E"/>
    <w:rsid w:val="00747A64"/>
    <w:rsid w:val="00747B54"/>
    <w:rsid w:val="00747CD4"/>
    <w:rsid w:val="00747D3B"/>
    <w:rsid w:val="00747EE3"/>
    <w:rsid w:val="00747F86"/>
    <w:rsid w:val="0075003E"/>
    <w:rsid w:val="00750186"/>
    <w:rsid w:val="00750708"/>
    <w:rsid w:val="007507F2"/>
    <w:rsid w:val="00750AC7"/>
    <w:rsid w:val="00750D91"/>
    <w:rsid w:val="00750E29"/>
    <w:rsid w:val="0075114D"/>
    <w:rsid w:val="007511E7"/>
    <w:rsid w:val="00751291"/>
    <w:rsid w:val="007512C0"/>
    <w:rsid w:val="00751370"/>
    <w:rsid w:val="0075182D"/>
    <w:rsid w:val="0075190E"/>
    <w:rsid w:val="00751963"/>
    <w:rsid w:val="00751A86"/>
    <w:rsid w:val="00751F7D"/>
    <w:rsid w:val="00752199"/>
    <w:rsid w:val="00752352"/>
    <w:rsid w:val="007523C2"/>
    <w:rsid w:val="00752DC2"/>
    <w:rsid w:val="007530FD"/>
    <w:rsid w:val="00753452"/>
    <w:rsid w:val="007535D7"/>
    <w:rsid w:val="00753720"/>
    <w:rsid w:val="007538DB"/>
    <w:rsid w:val="00753DA3"/>
    <w:rsid w:val="00753EC8"/>
    <w:rsid w:val="00753F44"/>
    <w:rsid w:val="00753FE3"/>
    <w:rsid w:val="00754052"/>
    <w:rsid w:val="007540D5"/>
    <w:rsid w:val="00754302"/>
    <w:rsid w:val="0075445F"/>
    <w:rsid w:val="00754BEA"/>
    <w:rsid w:val="00755DA0"/>
    <w:rsid w:val="0075631E"/>
    <w:rsid w:val="00756554"/>
    <w:rsid w:val="007565DD"/>
    <w:rsid w:val="0075665D"/>
    <w:rsid w:val="007567AD"/>
    <w:rsid w:val="00756956"/>
    <w:rsid w:val="007569BD"/>
    <w:rsid w:val="0075702B"/>
    <w:rsid w:val="00757071"/>
    <w:rsid w:val="0075710D"/>
    <w:rsid w:val="00757530"/>
    <w:rsid w:val="00757792"/>
    <w:rsid w:val="00757868"/>
    <w:rsid w:val="00757B54"/>
    <w:rsid w:val="00757D7F"/>
    <w:rsid w:val="00757EC3"/>
    <w:rsid w:val="00760628"/>
    <w:rsid w:val="00760689"/>
    <w:rsid w:val="0076073E"/>
    <w:rsid w:val="00760A66"/>
    <w:rsid w:val="00760E00"/>
    <w:rsid w:val="00760E4F"/>
    <w:rsid w:val="00761705"/>
    <w:rsid w:val="00761959"/>
    <w:rsid w:val="00761A0F"/>
    <w:rsid w:val="00761A5E"/>
    <w:rsid w:val="00761C67"/>
    <w:rsid w:val="00762103"/>
    <w:rsid w:val="007623D1"/>
    <w:rsid w:val="00762545"/>
    <w:rsid w:val="00762610"/>
    <w:rsid w:val="0076278D"/>
    <w:rsid w:val="0076282B"/>
    <w:rsid w:val="00763295"/>
    <w:rsid w:val="00763621"/>
    <w:rsid w:val="00763A0D"/>
    <w:rsid w:val="00763A9C"/>
    <w:rsid w:val="00763BE4"/>
    <w:rsid w:val="00763C63"/>
    <w:rsid w:val="00763F08"/>
    <w:rsid w:val="00763FE1"/>
    <w:rsid w:val="00764201"/>
    <w:rsid w:val="0076441D"/>
    <w:rsid w:val="00764595"/>
    <w:rsid w:val="0076509E"/>
    <w:rsid w:val="007655B2"/>
    <w:rsid w:val="00765803"/>
    <w:rsid w:val="00765D9C"/>
    <w:rsid w:val="0076610F"/>
    <w:rsid w:val="00766270"/>
    <w:rsid w:val="0076644B"/>
    <w:rsid w:val="0076648E"/>
    <w:rsid w:val="00766A7A"/>
    <w:rsid w:val="00766CD8"/>
    <w:rsid w:val="00767444"/>
    <w:rsid w:val="007677A5"/>
    <w:rsid w:val="007678FE"/>
    <w:rsid w:val="0076798C"/>
    <w:rsid w:val="007679EA"/>
    <w:rsid w:val="00767D04"/>
    <w:rsid w:val="00767E39"/>
    <w:rsid w:val="00767E7F"/>
    <w:rsid w:val="00770056"/>
    <w:rsid w:val="007700F3"/>
    <w:rsid w:val="00770186"/>
    <w:rsid w:val="00770384"/>
    <w:rsid w:val="0077071D"/>
    <w:rsid w:val="0077094D"/>
    <w:rsid w:val="00770A7F"/>
    <w:rsid w:val="00770B81"/>
    <w:rsid w:val="00770C33"/>
    <w:rsid w:val="00771173"/>
    <w:rsid w:val="0077129A"/>
    <w:rsid w:val="007712EB"/>
    <w:rsid w:val="00771352"/>
    <w:rsid w:val="00771386"/>
    <w:rsid w:val="00771432"/>
    <w:rsid w:val="007716D8"/>
    <w:rsid w:val="00771BCB"/>
    <w:rsid w:val="00772087"/>
    <w:rsid w:val="00772127"/>
    <w:rsid w:val="0077225C"/>
    <w:rsid w:val="00772295"/>
    <w:rsid w:val="0077266C"/>
    <w:rsid w:val="0077283C"/>
    <w:rsid w:val="00772B3A"/>
    <w:rsid w:val="007734A2"/>
    <w:rsid w:val="007734C0"/>
    <w:rsid w:val="0077377A"/>
    <w:rsid w:val="007737A3"/>
    <w:rsid w:val="00773A85"/>
    <w:rsid w:val="00773AFF"/>
    <w:rsid w:val="00773E2F"/>
    <w:rsid w:val="00773FA1"/>
    <w:rsid w:val="00774170"/>
    <w:rsid w:val="00774366"/>
    <w:rsid w:val="00774448"/>
    <w:rsid w:val="007749FE"/>
    <w:rsid w:val="00774AA7"/>
    <w:rsid w:val="00774C2A"/>
    <w:rsid w:val="00775093"/>
    <w:rsid w:val="007755FB"/>
    <w:rsid w:val="007758D5"/>
    <w:rsid w:val="00775D28"/>
    <w:rsid w:val="00775D6C"/>
    <w:rsid w:val="00775ECC"/>
    <w:rsid w:val="00775F0D"/>
    <w:rsid w:val="007762C6"/>
    <w:rsid w:val="00776798"/>
    <w:rsid w:val="00776908"/>
    <w:rsid w:val="00776DC4"/>
    <w:rsid w:val="00777206"/>
    <w:rsid w:val="00777480"/>
    <w:rsid w:val="0077772E"/>
    <w:rsid w:val="007778D1"/>
    <w:rsid w:val="00777BB2"/>
    <w:rsid w:val="007800DA"/>
    <w:rsid w:val="00780238"/>
    <w:rsid w:val="007803C1"/>
    <w:rsid w:val="007803D8"/>
    <w:rsid w:val="00780843"/>
    <w:rsid w:val="00780906"/>
    <w:rsid w:val="007809BB"/>
    <w:rsid w:val="0078119F"/>
    <w:rsid w:val="0078136B"/>
    <w:rsid w:val="0078137A"/>
    <w:rsid w:val="00781868"/>
    <w:rsid w:val="0078193F"/>
    <w:rsid w:val="00781B61"/>
    <w:rsid w:val="00782966"/>
    <w:rsid w:val="00782A0D"/>
    <w:rsid w:val="00782DE3"/>
    <w:rsid w:val="00782E73"/>
    <w:rsid w:val="0078340E"/>
    <w:rsid w:val="00783519"/>
    <w:rsid w:val="007836C6"/>
    <w:rsid w:val="007837DB"/>
    <w:rsid w:val="00783B72"/>
    <w:rsid w:val="00783F01"/>
    <w:rsid w:val="00783FB2"/>
    <w:rsid w:val="00784057"/>
    <w:rsid w:val="007847CE"/>
    <w:rsid w:val="00784A47"/>
    <w:rsid w:val="00784BC4"/>
    <w:rsid w:val="00784D61"/>
    <w:rsid w:val="00784E42"/>
    <w:rsid w:val="007850D5"/>
    <w:rsid w:val="0078560A"/>
    <w:rsid w:val="007857C5"/>
    <w:rsid w:val="00786126"/>
    <w:rsid w:val="00786245"/>
    <w:rsid w:val="0078631A"/>
    <w:rsid w:val="007864D6"/>
    <w:rsid w:val="007867F9"/>
    <w:rsid w:val="007868B9"/>
    <w:rsid w:val="00786C04"/>
    <w:rsid w:val="00786EE2"/>
    <w:rsid w:val="007872A7"/>
    <w:rsid w:val="007872F1"/>
    <w:rsid w:val="00787681"/>
    <w:rsid w:val="0078770B"/>
    <w:rsid w:val="0079003E"/>
    <w:rsid w:val="0079069E"/>
    <w:rsid w:val="00790735"/>
    <w:rsid w:val="007907CE"/>
    <w:rsid w:val="007908AB"/>
    <w:rsid w:val="00790A81"/>
    <w:rsid w:val="00790F2D"/>
    <w:rsid w:val="007915F7"/>
    <w:rsid w:val="007918A0"/>
    <w:rsid w:val="007919EE"/>
    <w:rsid w:val="00791AC2"/>
    <w:rsid w:val="00791BBA"/>
    <w:rsid w:val="00791BE1"/>
    <w:rsid w:val="00791D0E"/>
    <w:rsid w:val="00791D26"/>
    <w:rsid w:val="00791DBD"/>
    <w:rsid w:val="00791F15"/>
    <w:rsid w:val="00791F27"/>
    <w:rsid w:val="00792235"/>
    <w:rsid w:val="007924C2"/>
    <w:rsid w:val="007924E3"/>
    <w:rsid w:val="0079266D"/>
    <w:rsid w:val="00792B08"/>
    <w:rsid w:val="00792B21"/>
    <w:rsid w:val="00792EE6"/>
    <w:rsid w:val="00792F7C"/>
    <w:rsid w:val="00793162"/>
    <w:rsid w:val="007932F2"/>
    <w:rsid w:val="00793634"/>
    <w:rsid w:val="007936AF"/>
    <w:rsid w:val="00793807"/>
    <w:rsid w:val="00793B6E"/>
    <w:rsid w:val="00793C0C"/>
    <w:rsid w:val="007940CF"/>
    <w:rsid w:val="007943C5"/>
    <w:rsid w:val="007944DF"/>
    <w:rsid w:val="0079466B"/>
    <w:rsid w:val="00794829"/>
    <w:rsid w:val="007948A7"/>
    <w:rsid w:val="00794952"/>
    <w:rsid w:val="00794B2B"/>
    <w:rsid w:val="00794B68"/>
    <w:rsid w:val="00794BEF"/>
    <w:rsid w:val="00795211"/>
    <w:rsid w:val="00795465"/>
    <w:rsid w:val="007955F4"/>
    <w:rsid w:val="00795707"/>
    <w:rsid w:val="0079571C"/>
    <w:rsid w:val="007957F6"/>
    <w:rsid w:val="007959DB"/>
    <w:rsid w:val="00796149"/>
    <w:rsid w:val="00796180"/>
    <w:rsid w:val="007965AC"/>
    <w:rsid w:val="007966E8"/>
    <w:rsid w:val="00796C80"/>
    <w:rsid w:val="00797311"/>
    <w:rsid w:val="007977B9"/>
    <w:rsid w:val="00797A0E"/>
    <w:rsid w:val="00797D5D"/>
    <w:rsid w:val="00797E9F"/>
    <w:rsid w:val="007A0122"/>
    <w:rsid w:val="007A019C"/>
    <w:rsid w:val="007A03F6"/>
    <w:rsid w:val="007A053E"/>
    <w:rsid w:val="007A07EE"/>
    <w:rsid w:val="007A0B1F"/>
    <w:rsid w:val="007A0DF4"/>
    <w:rsid w:val="007A0FB5"/>
    <w:rsid w:val="007A10F6"/>
    <w:rsid w:val="007A172E"/>
    <w:rsid w:val="007A17FA"/>
    <w:rsid w:val="007A1817"/>
    <w:rsid w:val="007A196A"/>
    <w:rsid w:val="007A1F6F"/>
    <w:rsid w:val="007A214A"/>
    <w:rsid w:val="007A243C"/>
    <w:rsid w:val="007A2809"/>
    <w:rsid w:val="007A283C"/>
    <w:rsid w:val="007A2862"/>
    <w:rsid w:val="007A2991"/>
    <w:rsid w:val="007A3290"/>
    <w:rsid w:val="007A3730"/>
    <w:rsid w:val="007A37CE"/>
    <w:rsid w:val="007A39A5"/>
    <w:rsid w:val="007A3CAF"/>
    <w:rsid w:val="007A3D73"/>
    <w:rsid w:val="007A3F6B"/>
    <w:rsid w:val="007A4263"/>
    <w:rsid w:val="007A4831"/>
    <w:rsid w:val="007A48F7"/>
    <w:rsid w:val="007A4D29"/>
    <w:rsid w:val="007A4E4C"/>
    <w:rsid w:val="007A5043"/>
    <w:rsid w:val="007A5876"/>
    <w:rsid w:val="007A589F"/>
    <w:rsid w:val="007A5A8F"/>
    <w:rsid w:val="007A5BB1"/>
    <w:rsid w:val="007A5CB4"/>
    <w:rsid w:val="007A605F"/>
    <w:rsid w:val="007A637D"/>
    <w:rsid w:val="007A678F"/>
    <w:rsid w:val="007A679E"/>
    <w:rsid w:val="007A6884"/>
    <w:rsid w:val="007A6C82"/>
    <w:rsid w:val="007A773E"/>
    <w:rsid w:val="007A7768"/>
    <w:rsid w:val="007A77E8"/>
    <w:rsid w:val="007A7F84"/>
    <w:rsid w:val="007A7F88"/>
    <w:rsid w:val="007B04E2"/>
    <w:rsid w:val="007B05DC"/>
    <w:rsid w:val="007B06A5"/>
    <w:rsid w:val="007B06A8"/>
    <w:rsid w:val="007B08B8"/>
    <w:rsid w:val="007B0918"/>
    <w:rsid w:val="007B09E6"/>
    <w:rsid w:val="007B0ED4"/>
    <w:rsid w:val="007B113D"/>
    <w:rsid w:val="007B13E2"/>
    <w:rsid w:val="007B1553"/>
    <w:rsid w:val="007B17E2"/>
    <w:rsid w:val="007B19A6"/>
    <w:rsid w:val="007B1A04"/>
    <w:rsid w:val="007B1BAD"/>
    <w:rsid w:val="007B1DA8"/>
    <w:rsid w:val="007B1EEF"/>
    <w:rsid w:val="007B2255"/>
    <w:rsid w:val="007B2506"/>
    <w:rsid w:val="007B270A"/>
    <w:rsid w:val="007B2870"/>
    <w:rsid w:val="007B2AF7"/>
    <w:rsid w:val="007B2AFA"/>
    <w:rsid w:val="007B2B45"/>
    <w:rsid w:val="007B2B82"/>
    <w:rsid w:val="007B3165"/>
    <w:rsid w:val="007B3241"/>
    <w:rsid w:val="007B32A0"/>
    <w:rsid w:val="007B35FA"/>
    <w:rsid w:val="007B3A5E"/>
    <w:rsid w:val="007B3A86"/>
    <w:rsid w:val="007B3B21"/>
    <w:rsid w:val="007B3C43"/>
    <w:rsid w:val="007B3DB0"/>
    <w:rsid w:val="007B3FD2"/>
    <w:rsid w:val="007B4554"/>
    <w:rsid w:val="007B4734"/>
    <w:rsid w:val="007B4862"/>
    <w:rsid w:val="007B48DD"/>
    <w:rsid w:val="007B494E"/>
    <w:rsid w:val="007B4A0C"/>
    <w:rsid w:val="007B4B6A"/>
    <w:rsid w:val="007B4BB3"/>
    <w:rsid w:val="007B4C19"/>
    <w:rsid w:val="007B4C31"/>
    <w:rsid w:val="007B4EDC"/>
    <w:rsid w:val="007B5448"/>
    <w:rsid w:val="007B555E"/>
    <w:rsid w:val="007B58AF"/>
    <w:rsid w:val="007B596E"/>
    <w:rsid w:val="007B5A7D"/>
    <w:rsid w:val="007B5BE5"/>
    <w:rsid w:val="007B5C2D"/>
    <w:rsid w:val="007B5D29"/>
    <w:rsid w:val="007B611F"/>
    <w:rsid w:val="007B61BA"/>
    <w:rsid w:val="007B66CA"/>
    <w:rsid w:val="007B691A"/>
    <w:rsid w:val="007B69CE"/>
    <w:rsid w:val="007B7034"/>
    <w:rsid w:val="007B7064"/>
    <w:rsid w:val="007B728D"/>
    <w:rsid w:val="007B7429"/>
    <w:rsid w:val="007B75E9"/>
    <w:rsid w:val="007B7635"/>
    <w:rsid w:val="007B76AC"/>
    <w:rsid w:val="007B7727"/>
    <w:rsid w:val="007B783D"/>
    <w:rsid w:val="007B7C7E"/>
    <w:rsid w:val="007B7C88"/>
    <w:rsid w:val="007B7D83"/>
    <w:rsid w:val="007B7DDD"/>
    <w:rsid w:val="007B7F74"/>
    <w:rsid w:val="007B7FA9"/>
    <w:rsid w:val="007C0E1E"/>
    <w:rsid w:val="007C0EFC"/>
    <w:rsid w:val="007C10F4"/>
    <w:rsid w:val="007C12F9"/>
    <w:rsid w:val="007C1320"/>
    <w:rsid w:val="007C134C"/>
    <w:rsid w:val="007C172C"/>
    <w:rsid w:val="007C1AB4"/>
    <w:rsid w:val="007C1D99"/>
    <w:rsid w:val="007C1E2E"/>
    <w:rsid w:val="007C1E87"/>
    <w:rsid w:val="007C217E"/>
    <w:rsid w:val="007C2399"/>
    <w:rsid w:val="007C252E"/>
    <w:rsid w:val="007C253D"/>
    <w:rsid w:val="007C258D"/>
    <w:rsid w:val="007C25B6"/>
    <w:rsid w:val="007C27F9"/>
    <w:rsid w:val="007C28CF"/>
    <w:rsid w:val="007C2B61"/>
    <w:rsid w:val="007C302D"/>
    <w:rsid w:val="007C322F"/>
    <w:rsid w:val="007C3255"/>
    <w:rsid w:val="007C34A0"/>
    <w:rsid w:val="007C3554"/>
    <w:rsid w:val="007C3700"/>
    <w:rsid w:val="007C3C41"/>
    <w:rsid w:val="007C3EC4"/>
    <w:rsid w:val="007C3ED5"/>
    <w:rsid w:val="007C430B"/>
    <w:rsid w:val="007C456F"/>
    <w:rsid w:val="007C47E7"/>
    <w:rsid w:val="007C4BC5"/>
    <w:rsid w:val="007C4C7D"/>
    <w:rsid w:val="007C5516"/>
    <w:rsid w:val="007C5720"/>
    <w:rsid w:val="007C587F"/>
    <w:rsid w:val="007C5A7B"/>
    <w:rsid w:val="007C5AC4"/>
    <w:rsid w:val="007C5CAE"/>
    <w:rsid w:val="007C5D5A"/>
    <w:rsid w:val="007C5E57"/>
    <w:rsid w:val="007C622B"/>
    <w:rsid w:val="007C6364"/>
    <w:rsid w:val="007C6412"/>
    <w:rsid w:val="007C672C"/>
    <w:rsid w:val="007C6844"/>
    <w:rsid w:val="007C69EA"/>
    <w:rsid w:val="007C6B38"/>
    <w:rsid w:val="007C6F44"/>
    <w:rsid w:val="007C708A"/>
    <w:rsid w:val="007C7104"/>
    <w:rsid w:val="007C71A1"/>
    <w:rsid w:val="007C71CC"/>
    <w:rsid w:val="007C73F9"/>
    <w:rsid w:val="007C73FB"/>
    <w:rsid w:val="007C7704"/>
    <w:rsid w:val="007C7CE2"/>
    <w:rsid w:val="007D0240"/>
    <w:rsid w:val="007D02F7"/>
    <w:rsid w:val="007D091A"/>
    <w:rsid w:val="007D0931"/>
    <w:rsid w:val="007D0CC0"/>
    <w:rsid w:val="007D0F64"/>
    <w:rsid w:val="007D100D"/>
    <w:rsid w:val="007D159C"/>
    <w:rsid w:val="007D15C3"/>
    <w:rsid w:val="007D19CD"/>
    <w:rsid w:val="007D19F9"/>
    <w:rsid w:val="007D1C1D"/>
    <w:rsid w:val="007D1E75"/>
    <w:rsid w:val="007D1ED9"/>
    <w:rsid w:val="007D1FC8"/>
    <w:rsid w:val="007D2071"/>
    <w:rsid w:val="007D238C"/>
    <w:rsid w:val="007D2B05"/>
    <w:rsid w:val="007D2E42"/>
    <w:rsid w:val="007D3137"/>
    <w:rsid w:val="007D31A7"/>
    <w:rsid w:val="007D3294"/>
    <w:rsid w:val="007D3370"/>
    <w:rsid w:val="007D341D"/>
    <w:rsid w:val="007D3870"/>
    <w:rsid w:val="007D3991"/>
    <w:rsid w:val="007D399B"/>
    <w:rsid w:val="007D3A40"/>
    <w:rsid w:val="007D3BC7"/>
    <w:rsid w:val="007D3DB5"/>
    <w:rsid w:val="007D3DF7"/>
    <w:rsid w:val="007D3E05"/>
    <w:rsid w:val="007D3ECF"/>
    <w:rsid w:val="007D406B"/>
    <w:rsid w:val="007D45A6"/>
    <w:rsid w:val="007D4F2B"/>
    <w:rsid w:val="007D4F3D"/>
    <w:rsid w:val="007D51D8"/>
    <w:rsid w:val="007D51EE"/>
    <w:rsid w:val="007D5359"/>
    <w:rsid w:val="007D5594"/>
    <w:rsid w:val="007D5A21"/>
    <w:rsid w:val="007D5C9E"/>
    <w:rsid w:val="007D5D0E"/>
    <w:rsid w:val="007D5E71"/>
    <w:rsid w:val="007D6189"/>
    <w:rsid w:val="007D6686"/>
    <w:rsid w:val="007D6BFD"/>
    <w:rsid w:val="007D6CBE"/>
    <w:rsid w:val="007D6EC4"/>
    <w:rsid w:val="007D716A"/>
    <w:rsid w:val="007D7272"/>
    <w:rsid w:val="007D75FD"/>
    <w:rsid w:val="007D7B62"/>
    <w:rsid w:val="007D7B67"/>
    <w:rsid w:val="007E02ED"/>
    <w:rsid w:val="007E05BE"/>
    <w:rsid w:val="007E097C"/>
    <w:rsid w:val="007E0986"/>
    <w:rsid w:val="007E0AA8"/>
    <w:rsid w:val="007E109B"/>
    <w:rsid w:val="007E1695"/>
    <w:rsid w:val="007E1B05"/>
    <w:rsid w:val="007E1FD7"/>
    <w:rsid w:val="007E1FF0"/>
    <w:rsid w:val="007E22CF"/>
    <w:rsid w:val="007E23CA"/>
    <w:rsid w:val="007E2427"/>
    <w:rsid w:val="007E245A"/>
    <w:rsid w:val="007E2639"/>
    <w:rsid w:val="007E2B1C"/>
    <w:rsid w:val="007E2D3B"/>
    <w:rsid w:val="007E3064"/>
    <w:rsid w:val="007E33C8"/>
    <w:rsid w:val="007E351D"/>
    <w:rsid w:val="007E3B36"/>
    <w:rsid w:val="007E41F4"/>
    <w:rsid w:val="007E42FB"/>
    <w:rsid w:val="007E4EAD"/>
    <w:rsid w:val="007E4F05"/>
    <w:rsid w:val="007E5130"/>
    <w:rsid w:val="007E5290"/>
    <w:rsid w:val="007E54B4"/>
    <w:rsid w:val="007E5785"/>
    <w:rsid w:val="007E57AF"/>
    <w:rsid w:val="007E5C33"/>
    <w:rsid w:val="007E6079"/>
    <w:rsid w:val="007E6276"/>
    <w:rsid w:val="007E6372"/>
    <w:rsid w:val="007E66D5"/>
    <w:rsid w:val="007E690E"/>
    <w:rsid w:val="007E69CF"/>
    <w:rsid w:val="007E6B4F"/>
    <w:rsid w:val="007E6BC5"/>
    <w:rsid w:val="007E716A"/>
    <w:rsid w:val="007E7197"/>
    <w:rsid w:val="007E72DA"/>
    <w:rsid w:val="007E779B"/>
    <w:rsid w:val="007E78E7"/>
    <w:rsid w:val="007E7A25"/>
    <w:rsid w:val="007E7DF4"/>
    <w:rsid w:val="007E7E7B"/>
    <w:rsid w:val="007F00D8"/>
    <w:rsid w:val="007F076E"/>
    <w:rsid w:val="007F0DE4"/>
    <w:rsid w:val="007F0DE7"/>
    <w:rsid w:val="007F0F97"/>
    <w:rsid w:val="007F0FB4"/>
    <w:rsid w:val="007F1242"/>
    <w:rsid w:val="007F132A"/>
    <w:rsid w:val="007F14E4"/>
    <w:rsid w:val="007F14EC"/>
    <w:rsid w:val="007F1625"/>
    <w:rsid w:val="007F162C"/>
    <w:rsid w:val="007F179A"/>
    <w:rsid w:val="007F1A7A"/>
    <w:rsid w:val="007F1C79"/>
    <w:rsid w:val="007F201D"/>
    <w:rsid w:val="007F219E"/>
    <w:rsid w:val="007F2509"/>
    <w:rsid w:val="007F2802"/>
    <w:rsid w:val="007F2994"/>
    <w:rsid w:val="007F2EF6"/>
    <w:rsid w:val="007F3007"/>
    <w:rsid w:val="007F338C"/>
    <w:rsid w:val="007F352F"/>
    <w:rsid w:val="007F367D"/>
    <w:rsid w:val="007F3BB3"/>
    <w:rsid w:val="007F3DCA"/>
    <w:rsid w:val="007F3E3C"/>
    <w:rsid w:val="007F3E59"/>
    <w:rsid w:val="007F420E"/>
    <w:rsid w:val="007F46F5"/>
    <w:rsid w:val="007F4B94"/>
    <w:rsid w:val="007F4E6E"/>
    <w:rsid w:val="007F4F3F"/>
    <w:rsid w:val="007F53B8"/>
    <w:rsid w:val="007F53BC"/>
    <w:rsid w:val="007F54CA"/>
    <w:rsid w:val="007F5660"/>
    <w:rsid w:val="007F5824"/>
    <w:rsid w:val="007F5AE9"/>
    <w:rsid w:val="007F61E9"/>
    <w:rsid w:val="007F63FA"/>
    <w:rsid w:val="007F643C"/>
    <w:rsid w:val="007F6446"/>
    <w:rsid w:val="007F671D"/>
    <w:rsid w:val="007F685B"/>
    <w:rsid w:val="007F6B21"/>
    <w:rsid w:val="007F6F2B"/>
    <w:rsid w:val="007F72FC"/>
    <w:rsid w:val="007F75EF"/>
    <w:rsid w:val="007F7862"/>
    <w:rsid w:val="007F799F"/>
    <w:rsid w:val="007F7A34"/>
    <w:rsid w:val="007F7AA9"/>
    <w:rsid w:val="007F7E12"/>
    <w:rsid w:val="00800271"/>
    <w:rsid w:val="00800293"/>
    <w:rsid w:val="008003B7"/>
    <w:rsid w:val="0080044E"/>
    <w:rsid w:val="00800C89"/>
    <w:rsid w:val="00800F23"/>
    <w:rsid w:val="00800FF7"/>
    <w:rsid w:val="00801331"/>
    <w:rsid w:val="008013A3"/>
    <w:rsid w:val="00801858"/>
    <w:rsid w:val="008019E7"/>
    <w:rsid w:val="00801A1D"/>
    <w:rsid w:val="00801A40"/>
    <w:rsid w:val="00802284"/>
    <w:rsid w:val="008025C5"/>
    <w:rsid w:val="0080294A"/>
    <w:rsid w:val="00802B11"/>
    <w:rsid w:val="00802FF6"/>
    <w:rsid w:val="00803306"/>
    <w:rsid w:val="00803473"/>
    <w:rsid w:val="00803A2A"/>
    <w:rsid w:val="00803A3D"/>
    <w:rsid w:val="00803BDA"/>
    <w:rsid w:val="00803D62"/>
    <w:rsid w:val="0080471A"/>
    <w:rsid w:val="00804A95"/>
    <w:rsid w:val="00804AD0"/>
    <w:rsid w:val="00804BF3"/>
    <w:rsid w:val="00804E2F"/>
    <w:rsid w:val="00804FA0"/>
    <w:rsid w:val="00804FBD"/>
    <w:rsid w:val="008051CF"/>
    <w:rsid w:val="00805338"/>
    <w:rsid w:val="008059E9"/>
    <w:rsid w:val="00805E6E"/>
    <w:rsid w:val="00805E8D"/>
    <w:rsid w:val="008063CA"/>
    <w:rsid w:val="00806433"/>
    <w:rsid w:val="008064F5"/>
    <w:rsid w:val="00806885"/>
    <w:rsid w:val="008068C4"/>
    <w:rsid w:val="00806A09"/>
    <w:rsid w:val="00806B64"/>
    <w:rsid w:val="00806D2D"/>
    <w:rsid w:val="008071AB"/>
    <w:rsid w:val="00807328"/>
    <w:rsid w:val="0080773C"/>
    <w:rsid w:val="008077F8"/>
    <w:rsid w:val="008078C7"/>
    <w:rsid w:val="00807AB9"/>
    <w:rsid w:val="00807B51"/>
    <w:rsid w:val="00807D72"/>
    <w:rsid w:val="00807E52"/>
    <w:rsid w:val="00810021"/>
    <w:rsid w:val="008101BB"/>
    <w:rsid w:val="00810240"/>
    <w:rsid w:val="00810331"/>
    <w:rsid w:val="0081047A"/>
    <w:rsid w:val="008106BC"/>
    <w:rsid w:val="00810807"/>
    <w:rsid w:val="00810960"/>
    <w:rsid w:val="00810A8A"/>
    <w:rsid w:val="00810BDF"/>
    <w:rsid w:val="00810FA8"/>
    <w:rsid w:val="00811181"/>
    <w:rsid w:val="00811473"/>
    <w:rsid w:val="00811EC8"/>
    <w:rsid w:val="00811FDC"/>
    <w:rsid w:val="0081202D"/>
    <w:rsid w:val="00812043"/>
    <w:rsid w:val="00812684"/>
    <w:rsid w:val="00812824"/>
    <w:rsid w:val="00812AA8"/>
    <w:rsid w:val="008130F5"/>
    <w:rsid w:val="00813348"/>
    <w:rsid w:val="0081340E"/>
    <w:rsid w:val="00813507"/>
    <w:rsid w:val="00813755"/>
    <w:rsid w:val="00813968"/>
    <w:rsid w:val="008139A8"/>
    <w:rsid w:val="00813CA3"/>
    <w:rsid w:val="0081425D"/>
    <w:rsid w:val="00814436"/>
    <w:rsid w:val="00814C96"/>
    <w:rsid w:val="00814CD2"/>
    <w:rsid w:val="00814D3D"/>
    <w:rsid w:val="00814F78"/>
    <w:rsid w:val="00815132"/>
    <w:rsid w:val="00815678"/>
    <w:rsid w:val="00815709"/>
    <w:rsid w:val="008157B2"/>
    <w:rsid w:val="00815DDA"/>
    <w:rsid w:val="00815E4E"/>
    <w:rsid w:val="00816058"/>
    <w:rsid w:val="00816065"/>
    <w:rsid w:val="008163B5"/>
    <w:rsid w:val="00816609"/>
    <w:rsid w:val="00816A06"/>
    <w:rsid w:val="00816D2A"/>
    <w:rsid w:val="00816D32"/>
    <w:rsid w:val="00816D8F"/>
    <w:rsid w:val="00816F9D"/>
    <w:rsid w:val="00817068"/>
    <w:rsid w:val="008172A3"/>
    <w:rsid w:val="008177C3"/>
    <w:rsid w:val="00817888"/>
    <w:rsid w:val="00820071"/>
    <w:rsid w:val="008201A7"/>
    <w:rsid w:val="0082031F"/>
    <w:rsid w:val="00820492"/>
    <w:rsid w:val="00820608"/>
    <w:rsid w:val="008208BC"/>
    <w:rsid w:val="008209A1"/>
    <w:rsid w:val="008209E3"/>
    <w:rsid w:val="00820A85"/>
    <w:rsid w:val="00820D72"/>
    <w:rsid w:val="00820D83"/>
    <w:rsid w:val="00820E95"/>
    <w:rsid w:val="00821171"/>
    <w:rsid w:val="008212D0"/>
    <w:rsid w:val="008214EE"/>
    <w:rsid w:val="0082196B"/>
    <w:rsid w:val="008219D6"/>
    <w:rsid w:val="00821A00"/>
    <w:rsid w:val="00821C75"/>
    <w:rsid w:val="00821E4D"/>
    <w:rsid w:val="00821F1B"/>
    <w:rsid w:val="00822787"/>
    <w:rsid w:val="00822B15"/>
    <w:rsid w:val="00823387"/>
    <w:rsid w:val="0082353F"/>
    <w:rsid w:val="00823685"/>
    <w:rsid w:val="008236B3"/>
    <w:rsid w:val="00823720"/>
    <w:rsid w:val="00823B26"/>
    <w:rsid w:val="00823C89"/>
    <w:rsid w:val="00824292"/>
    <w:rsid w:val="00824420"/>
    <w:rsid w:val="008246D3"/>
    <w:rsid w:val="00824CC0"/>
    <w:rsid w:val="00824DAC"/>
    <w:rsid w:val="00824E4E"/>
    <w:rsid w:val="00825221"/>
    <w:rsid w:val="00825404"/>
    <w:rsid w:val="00825687"/>
    <w:rsid w:val="008256E6"/>
    <w:rsid w:val="008256F4"/>
    <w:rsid w:val="00825874"/>
    <w:rsid w:val="00825929"/>
    <w:rsid w:val="00825DC2"/>
    <w:rsid w:val="00825F54"/>
    <w:rsid w:val="00826086"/>
    <w:rsid w:val="00826342"/>
    <w:rsid w:val="00826866"/>
    <w:rsid w:val="00826C7D"/>
    <w:rsid w:val="00826CEF"/>
    <w:rsid w:val="00826CFE"/>
    <w:rsid w:val="00826DED"/>
    <w:rsid w:val="008275AA"/>
    <w:rsid w:val="008275B4"/>
    <w:rsid w:val="00827BB5"/>
    <w:rsid w:val="00827DDC"/>
    <w:rsid w:val="00827FE3"/>
    <w:rsid w:val="0083001E"/>
    <w:rsid w:val="008300AA"/>
    <w:rsid w:val="0083010B"/>
    <w:rsid w:val="008301E2"/>
    <w:rsid w:val="008307D9"/>
    <w:rsid w:val="00830AFB"/>
    <w:rsid w:val="00830B8D"/>
    <w:rsid w:val="00830DCA"/>
    <w:rsid w:val="00831060"/>
    <w:rsid w:val="008315AC"/>
    <w:rsid w:val="00831B5A"/>
    <w:rsid w:val="00831C39"/>
    <w:rsid w:val="00831D2B"/>
    <w:rsid w:val="0083213F"/>
    <w:rsid w:val="00832222"/>
    <w:rsid w:val="008322CC"/>
    <w:rsid w:val="0083253B"/>
    <w:rsid w:val="008325A9"/>
    <w:rsid w:val="008332FC"/>
    <w:rsid w:val="00833529"/>
    <w:rsid w:val="0083357B"/>
    <w:rsid w:val="0083377D"/>
    <w:rsid w:val="00833825"/>
    <w:rsid w:val="00833C78"/>
    <w:rsid w:val="00833DDE"/>
    <w:rsid w:val="00833F22"/>
    <w:rsid w:val="008341CE"/>
    <w:rsid w:val="00834409"/>
    <w:rsid w:val="008344ED"/>
    <w:rsid w:val="00834708"/>
    <w:rsid w:val="00834AFD"/>
    <w:rsid w:val="00834BCC"/>
    <w:rsid w:val="00834C7D"/>
    <w:rsid w:val="00834CF0"/>
    <w:rsid w:val="00834EF0"/>
    <w:rsid w:val="00835583"/>
    <w:rsid w:val="00835C70"/>
    <w:rsid w:val="00835FD6"/>
    <w:rsid w:val="008364E1"/>
    <w:rsid w:val="0083720B"/>
    <w:rsid w:val="0083725A"/>
    <w:rsid w:val="008372CE"/>
    <w:rsid w:val="008373F2"/>
    <w:rsid w:val="008375E2"/>
    <w:rsid w:val="0083763F"/>
    <w:rsid w:val="00837933"/>
    <w:rsid w:val="00837E40"/>
    <w:rsid w:val="00837EFA"/>
    <w:rsid w:val="00837FB3"/>
    <w:rsid w:val="00840165"/>
    <w:rsid w:val="00840281"/>
    <w:rsid w:val="00840476"/>
    <w:rsid w:val="008407EC"/>
    <w:rsid w:val="00840841"/>
    <w:rsid w:val="008409BB"/>
    <w:rsid w:val="00840E38"/>
    <w:rsid w:val="00840F30"/>
    <w:rsid w:val="00840FAD"/>
    <w:rsid w:val="00841173"/>
    <w:rsid w:val="008413C2"/>
    <w:rsid w:val="00841BA4"/>
    <w:rsid w:val="00841C82"/>
    <w:rsid w:val="00841CB1"/>
    <w:rsid w:val="00842018"/>
    <w:rsid w:val="008424DF"/>
    <w:rsid w:val="0084256A"/>
    <w:rsid w:val="00842A27"/>
    <w:rsid w:val="00842D24"/>
    <w:rsid w:val="00843167"/>
    <w:rsid w:val="00843274"/>
    <w:rsid w:val="0084351A"/>
    <w:rsid w:val="00843889"/>
    <w:rsid w:val="00843975"/>
    <w:rsid w:val="00843DA4"/>
    <w:rsid w:val="008440B1"/>
    <w:rsid w:val="008445FD"/>
    <w:rsid w:val="0084498B"/>
    <w:rsid w:val="008449E5"/>
    <w:rsid w:val="00844AF7"/>
    <w:rsid w:val="00844C8C"/>
    <w:rsid w:val="0084514D"/>
    <w:rsid w:val="00845182"/>
    <w:rsid w:val="008454C1"/>
    <w:rsid w:val="00845B7B"/>
    <w:rsid w:val="00845C80"/>
    <w:rsid w:val="00845D28"/>
    <w:rsid w:val="0084603F"/>
    <w:rsid w:val="00846126"/>
    <w:rsid w:val="008465C5"/>
    <w:rsid w:val="008465ED"/>
    <w:rsid w:val="00846950"/>
    <w:rsid w:val="00846BFF"/>
    <w:rsid w:val="00846C5D"/>
    <w:rsid w:val="00846DB7"/>
    <w:rsid w:val="00846F63"/>
    <w:rsid w:val="00846FB4"/>
    <w:rsid w:val="0084722B"/>
    <w:rsid w:val="0084751F"/>
    <w:rsid w:val="0084771F"/>
    <w:rsid w:val="008478DB"/>
    <w:rsid w:val="00847B67"/>
    <w:rsid w:val="00847E8B"/>
    <w:rsid w:val="00847EC6"/>
    <w:rsid w:val="008500A0"/>
    <w:rsid w:val="008501FF"/>
    <w:rsid w:val="008505CB"/>
    <w:rsid w:val="008505FA"/>
    <w:rsid w:val="00850643"/>
    <w:rsid w:val="00850725"/>
    <w:rsid w:val="00850955"/>
    <w:rsid w:val="00850B6D"/>
    <w:rsid w:val="00850BD6"/>
    <w:rsid w:val="00850E56"/>
    <w:rsid w:val="0085111E"/>
    <w:rsid w:val="00851410"/>
    <w:rsid w:val="008515CA"/>
    <w:rsid w:val="00851A7A"/>
    <w:rsid w:val="0085200A"/>
    <w:rsid w:val="0085204E"/>
    <w:rsid w:val="00852462"/>
    <w:rsid w:val="0085296B"/>
    <w:rsid w:val="00852C18"/>
    <w:rsid w:val="00853409"/>
    <w:rsid w:val="008538BB"/>
    <w:rsid w:val="00853B7C"/>
    <w:rsid w:val="00853B9D"/>
    <w:rsid w:val="00853C8D"/>
    <w:rsid w:val="00853D8C"/>
    <w:rsid w:val="008540E4"/>
    <w:rsid w:val="00854175"/>
    <w:rsid w:val="008541C2"/>
    <w:rsid w:val="00854268"/>
    <w:rsid w:val="008542BD"/>
    <w:rsid w:val="008543A9"/>
    <w:rsid w:val="00854438"/>
    <w:rsid w:val="00854A6B"/>
    <w:rsid w:val="00854BEF"/>
    <w:rsid w:val="00854C3D"/>
    <w:rsid w:val="00854C69"/>
    <w:rsid w:val="00854D24"/>
    <w:rsid w:val="00854DDB"/>
    <w:rsid w:val="00854F91"/>
    <w:rsid w:val="00854FF9"/>
    <w:rsid w:val="00855433"/>
    <w:rsid w:val="00855859"/>
    <w:rsid w:val="00855D32"/>
    <w:rsid w:val="00856257"/>
    <w:rsid w:val="00856342"/>
    <w:rsid w:val="00856487"/>
    <w:rsid w:val="008567B5"/>
    <w:rsid w:val="00856B6C"/>
    <w:rsid w:val="00856C7D"/>
    <w:rsid w:val="00856FDC"/>
    <w:rsid w:val="00857101"/>
    <w:rsid w:val="0085713F"/>
    <w:rsid w:val="008573C2"/>
    <w:rsid w:val="008574A9"/>
    <w:rsid w:val="00857AD2"/>
    <w:rsid w:val="00857C36"/>
    <w:rsid w:val="00857C40"/>
    <w:rsid w:val="00857CD3"/>
    <w:rsid w:val="008602FA"/>
    <w:rsid w:val="00860336"/>
    <w:rsid w:val="00860495"/>
    <w:rsid w:val="0086051A"/>
    <w:rsid w:val="00860C5E"/>
    <w:rsid w:val="00860CDD"/>
    <w:rsid w:val="00860FA2"/>
    <w:rsid w:val="0086101C"/>
    <w:rsid w:val="00861D9D"/>
    <w:rsid w:val="00861E2C"/>
    <w:rsid w:val="00861ED5"/>
    <w:rsid w:val="0086243A"/>
    <w:rsid w:val="00862784"/>
    <w:rsid w:val="008627F9"/>
    <w:rsid w:val="008628D2"/>
    <w:rsid w:val="00862B42"/>
    <w:rsid w:val="00862D45"/>
    <w:rsid w:val="008630ED"/>
    <w:rsid w:val="00863587"/>
    <w:rsid w:val="008635EB"/>
    <w:rsid w:val="0086371E"/>
    <w:rsid w:val="00863AFE"/>
    <w:rsid w:val="00863C8F"/>
    <w:rsid w:val="00863DDE"/>
    <w:rsid w:val="008641C1"/>
    <w:rsid w:val="0086424F"/>
    <w:rsid w:val="008643C3"/>
    <w:rsid w:val="0086448E"/>
    <w:rsid w:val="00864AB6"/>
    <w:rsid w:val="00864C6B"/>
    <w:rsid w:val="0086502D"/>
    <w:rsid w:val="00865051"/>
    <w:rsid w:val="008650F2"/>
    <w:rsid w:val="00865220"/>
    <w:rsid w:val="008654AF"/>
    <w:rsid w:val="00865760"/>
    <w:rsid w:val="00865793"/>
    <w:rsid w:val="008657AA"/>
    <w:rsid w:val="00865B93"/>
    <w:rsid w:val="00865BCE"/>
    <w:rsid w:val="00865D9A"/>
    <w:rsid w:val="00866332"/>
    <w:rsid w:val="00866673"/>
    <w:rsid w:val="00866946"/>
    <w:rsid w:val="00866B94"/>
    <w:rsid w:val="00866C2F"/>
    <w:rsid w:val="0086741D"/>
    <w:rsid w:val="008675E7"/>
    <w:rsid w:val="00867AB0"/>
    <w:rsid w:val="00867ED8"/>
    <w:rsid w:val="00867F28"/>
    <w:rsid w:val="00867F9E"/>
    <w:rsid w:val="008700BE"/>
    <w:rsid w:val="00870222"/>
    <w:rsid w:val="008704F6"/>
    <w:rsid w:val="0087050B"/>
    <w:rsid w:val="008705F9"/>
    <w:rsid w:val="008706D4"/>
    <w:rsid w:val="00870755"/>
    <w:rsid w:val="0087083A"/>
    <w:rsid w:val="008709A8"/>
    <w:rsid w:val="00870A6D"/>
    <w:rsid w:val="00870C11"/>
    <w:rsid w:val="00870C56"/>
    <w:rsid w:val="00870D08"/>
    <w:rsid w:val="0087127D"/>
    <w:rsid w:val="008713E7"/>
    <w:rsid w:val="00871586"/>
    <w:rsid w:val="00871893"/>
    <w:rsid w:val="00871AB7"/>
    <w:rsid w:val="00871D12"/>
    <w:rsid w:val="00871E1D"/>
    <w:rsid w:val="00871F82"/>
    <w:rsid w:val="008720DF"/>
    <w:rsid w:val="008728FD"/>
    <w:rsid w:val="00872ACB"/>
    <w:rsid w:val="00872C4E"/>
    <w:rsid w:val="00872CB9"/>
    <w:rsid w:val="00872FFC"/>
    <w:rsid w:val="0087301D"/>
    <w:rsid w:val="00873041"/>
    <w:rsid w:val="008731CC"/>
    <w:rsid w:val="00873502"/>
    <w:rsid w:val="00873966"/>
    <w:rsid w:val="008739AB"/>
    <w:rsid w:val="00873D79"/>
    <w:rsid w:val="00873E86"/>
    <w:rsid w:val="0087419F"/>
    <w:rsid w:val="008741BC"/>
    <w:rsid w:val="0087420E"/>
    <w:rsid w:val="00874B17"/>
    <w:rsid w:val="00874BD0"/>
    <w:rsid w:val="008751FC"/>
    <w:rsid w:val="0087521D"/>
    <w:rsid w:val="008753EF"/>
    <w:rsid w:val="008753F1"/>
    <w:rsid w:val="008756D9"/>
    <w:rsid w:val="00875800"/>
    <w:rsid w:val="008758B4"/>
    <w:rsid w:val="00875975"/>
    <w:rsid w:val="00875A72"/>
    <w:rsid w:val="00875B90"/>
    <w:rsid w:val="00876040"/>
    <w:rsid w:val="0087609E"/>
    <w:rsid w:val="00876410"/>
    <w:rsid w:val="008764FD"/>
    <w:rsid w:val="00877176"/>
    <w:rsid w:val="0087730E"/>
    <w:rsid w:val="00877956"/>
    <w:rsid w:val="008779FD"/>
    <w:rsid w:val="00877D21"/>
    <w:rsid w:val="00877D8A"/>
    <w:rsid w:val="00880532"/>
    <w:rsid w:val="0088053D"/>
    <w:rsid w:val="0088094E"/>
    <w:rsid w:val="00880ABF"/>
    <w:rsid w:val="00880BA5"/>
    <w:rsid w:val="00880C1E"/>
    <w:rsid w:val="0088135F"/>
    <w:rsid w:val="008813DE"/>
    <w:rsid w:val="00881663"/>
    <w:rsid w:val="00881A32"/>
    <w:rsid w:val="00882269"/>
    <w:rsid w:val="008822DC"/>
    <w:rsid w:val="008822E2"/>
    <w:rsid w:val="0088271D"/>
    <w:rsid w:val="00882748"/>
    <w:rsid w:val="00882C5F"/>
    <w:rsid w:val="0088315D"/>
    <w:rsid w:val="008834AA"/>
    <w:rsid w:val="008836F4"/>
    <w:rsid w:val="00883B2E"/>
    <w:rsid w:val="00883C8A"/>
    <w:rsid w:val="008840CA"/>
    <w:rsid w:val="00884250"/>
    <w:rsid w:val="00884337"/>
    <w:rsid w:val="00884563"/>
    <w:rsid w:val="00884670"/>
    <w:rsid w:val="00884B7A"/>
    <w:rsid w:val="00884FD4"/>
    <w:rsid w:val="00884FEC"/>
    <w:rsid w:val="00885328"/>
    <w:rsid w:val="008854C6"/>
    <w:rsid w:val="00885685"/>
    <w:rsid w:val="00885AE3"/>
    <w:rsid w:val="00885B07"/>
    <w:rsid w:val="00885C59"/>
    <w:rsid w:val="00885C7B"/>
    <w:rsid w:val="008868EF"/>
    <w:rsid w:val="00886A37"/>
    <w:rsid w:val="00886DFA"/>
    <w:rsid w:val="00886EE6"/>
    <w:rsid w:val="00886F48"/>
    <w:rsid w:val="00887137"/>
    <w:rsid w:val="00887261"/>
    <w:rsid w:val="00887D15"/>
    <w:rsid w:val="00887E4E"/>
    <w:rsid w:val="00890058"/>
    <w:rsid w:val="00890404"/>
    <w:rsid w:val="008904C2"/>
    <w:rsid w:val="00890B06"/>
    <w:rsid w:val="00890B4B"/>
    <w:rsid w:val="00890B5E"/>
    <w:rsid w:val="008910FF"/>
    <w:rsid w:val="008911CE"/>
    <w:rsid w:val="00891587"/>
    <w:rsid w:val="008916DC"/>
    <w:rsid w:val="008917DC"/>
    <w:rsid w:val="0089189A"/>
    <w:rsid w:val="00891AE0"/>
    <w:rsid w:val="0089209E"/>
    <w:rsid w:val="0089218E"/>
    <w:rsid w:val="00892503"/>
    <w:rsid w:val="008927C4"/>
    <w:rsid w:val="00892C23"/>
    <w:rsid w:val="008932EC"/>
    <w:rsid w:val="008933AA"/>
    <w:rsid w:val="008935AF"/>
    <w:rsid w:val="00893A49"/>
    <w:rsid w:val="00893BB6"/>
    <w:rsid w:val="00893CF2"/>
    <w:rsid w:val="00893DB9"/>
    <w:rsid w:val="00893DE0"/>
    <w:rsid w:val="00893EE2"/>
    <w:rsid w:val="00894021"/>
    <w:rsid w:val="0089410F"/>
    <w:rsid w:val="008944FB"/>
    <w:rsid w:val="00894514"/>
    <w:rsid w:val="00894B6F"/>
    <w:rsid w:val="00894C1B"/>
    <w:rsid w:val="00895777"/>
    <w:rsid w:val="00895890"/>
    <w:rsid w:val="00895908"/>
    <w:rsid w:val="00895913"/>
    <w:rsid w:val="00895A7D"/>
    <w:rsid w:val="00895CFC"/>
    <w:rsid w:val="00895DD5"/>
    <w:rsid w:val="0089600C"/>
    <w:rsid w:val="00896124"/>
    <w:rsid w:val="00896201"/>
    <w:rsid w:val="008964B3"/>
    <w:rsid w:val="0089655E"/>
    <w:rsid w:val="00896621"/>
    <w:rsid w:val="0089683D"/>
    <w:rsid w:val="0089683F"/>
    <w:rsid w:val="00896A27"/>
    <w:rsid w:val="00896AED"/>
    <w:rsid w:val="00896C55"/>
    <w:rsid w:val="00896D27"/>
    <w:rsid w:val="008970E4"/>
    <w:rsid w:val="0089718F"/>
    <w:rsid w:val="00897198"/>
    <w:rsid w:val="008971CB"/>
    <w:rsid w:val="00897927"/>
    <w:rsid w:val="00897A48"/>
    <w:rsid w:val="008A00EB"/>
    <w:rsid w:val="008A0926"/>
    <w:rsid w:val="008A0E60"/>
    <w:rsid w:val="008A103C"/>
    <w:rsid w:val="008A1048"/>
    <w:rsid w:val="008A10D7"/>
    <w:rsid w:val="008A1674"/>
    <w:rsid w:val="008A1909"/>
    <w:rsid w:val="008A1935"/>
    <w:rsid w:val="008A19C5"/>
    <w:rsid w:val="008A1A24"/>
    <w:rsid w:val="008A1BA6"/>
    <w:rsid w:val="008A200C"/>
    <w:rsid w:val="008A22C4"/>
    <w:rsid w:val="008A230A"/>
    <w:rsid w:val="008A2318"/>
    <w:rsid w:val="008A269C"/>
    <w:rsid w:val="008A26CE"/>
    <w:rsid w:val="008A2A33"/>
    <w:rsid w:val="008A2BCC"/>
    <w:rsid w:val="008A2C57"/>
    <w:rsid w:val="008A2D3C"/>
    <w:rsid w:val="008A2EA8"/>
    <w:rsid w:val="008A3110"/>
    <w:rsid w:val="008A359F"/>
    <w:rsid w:val="008A3658"/>
    <w:rsid w:val="008A383B"/>
    <w:rsid w:val="008A397D"/>
    <w:rsid w:val="008A3ABD"/>
    <w:rsid w:val="008A3BD3"/>
    <w:rsid w:val="008A3DC4"/>
    <w:rsid w:val="008A3DC5"/>
    <w:rsid w:val="008A421F"/>
    <w:rsid w:val="008A439F"/>
    <w:rsid w:val="008A460B"/>
    <w:rsid w:val="008A4616"/>
    <w:rsid w:val="008A4644"/>
    <w:rsid w:val="008A47B8"/>
    <w:rsid w:val="008A4E91"/>
    <w:rsid w:val="008A50E0"/>
    <w:rsid w:val="008A50F0"/>
    <w:rsid w:val="008A514F"/>
    <w:rsid w:val="008A537D"/>
    <w:rsid w:val="008A53EC"/>
    <w:rsid w:val="008A561C"/>
    <w:rsid w:val="008A5847"/>
    <w:rsid w:val="008A5AA5"/>
    <w:rsid w:val="008A5E86"/>
    <w:rsid w:val="008A5F70"/>
    <w:rsid w:val="008A618E"/>
    <w:rsid w:val="008A691E"/>
    <w:rsid w:val="008A693E"/>
    <w:rsid w:val="008A6C65"/>
    <w:rsid w:val="008A6F7B"/>
    <w:rsid w:val="008A711C"/>
    <w:rsid w:val="008A71FF"/>
    <w:rsid w:val="008A78D8"/>
    <w:rsid w:val="008A79FF"/>
    <w:rsid w:val="008A7C00"/>
    <w:rsid w:val="008B086C"/>
    <w:rsid w:val="008B0A94"/>
    <w:rsid w:val="008B0AB6"/>
    <w:rsid w:val="008B0B47"/>
    <w:rsid w:val="008B0F58"/>
    <w:rsid w:val="008B0FA2"/>
    <w:rsid w:val="008B1158"/>
    <w:rsid w:val="008B11F7"/>
    <w:rsid w:val="008B125A"/>
    <w:rsid w:val="008B1406"/>
    <w:rsid w:val="008B1945"/>
    <w:rsid w:val="008B21E5"/>
    <w:rsid w:val="008B228C"/>
    <w:rsid w:val="008B2AA0"/>
    <w:rsid w:val="008B2C35"/>
    <w:rsid w:val="008B2D67"/>
    <w:rsid w:val="008B2E4D"/>
    <w:rsid w:val="008B2EB4"/>
    <w:rsid w:val="008B3732"/>
    <w:rsid w:val="008B3B9B"/>
    <w:rsid w:val="008B3D47"/>
    <w:rsid w:val="008B3DAD"/>
    <w:rsid w:val="008B3DE7"/>
    <w:rsid w:val="008B41D7"/>
    <w:rsid w:val="008B425B"/>
    <w:rsid w:val="008B42DA"/>
    <w:rsid w:val="008B458A"/>
    <w:rsid w:val="008B532C"/>
    <w:rsid w:val="008B533F"/>
    <w:rsid w:val="008B541A"/>
    <w:rsid w:val="008B55A5"/>
    <w:rsid w:val="008B5796"/>
    <w:rsid w:val="008B58B0"/>
    <w:rsid w:val="008B5B6B"/>
    <w:rsid w:val="008B5C15"/>
    <w:rsid w:val="008B608C"/>
    <w:rsid w:val="008B60F3"/>
    <w:rsid w:val="008B61D8"/>
    <w:rsid w:val="008B62C2"/>
    <w:rsid w:val="008B62FF"/>
    <w:rsid w:val="008B6467"/>
    <w:rsid w:val="008B672E"/>
    <w:rsid w:val="008B6A63"/>
    <w:rsid w:val="008B6F93"/>
    <w:rsid w:val="008B70BD"/>
    <w:rsid w:val="008B7136"/>
    <w:rsid w:val="008B728D"/>
    <w:rsid w:val="008B72E1"/>
    <w:rsid w:val="008B74AE"/>
    <w:rsid w:val="008B760C"/>
    <w:rsid w:val="008B7703"/>
    <w:rsid w:val="008B77E6"/>
    <w:rsid w:val="008B7837"/>
    <w:rsid w:val="008B785A"/>
    <w:rsid w:val="008B7C17"/>
    <w:rsid w:val="008B7D1E"/>
    <w:rsid w:val="008C00AD"/>
    <w:rsid w:val="008C0129"/>
    <w:rsid w:val="008C05B1"/>
    <w:rsid w:val="008C0A19"/>
    <w:rsid w:val="008C0B79"/>
    <w:rsid w:val="008C0CAF"/>
    <w:rsid w:val="008C0D3D"/>
    <w:rsid w:val="008C1382"/>
    <w:rsid w:val="008C1653"/>
    <w:rsid w:val="008C173F"/>
    <w:rsid w:val="008C19F5"/>
    <w:rsid w:val="008C1B29"/>
    <w:rsid w:val="008C1D1D"/>
    <w:rsid w:val="008C1FBD"/>
    <w:rsid w:val="008C22AC"/>
    <w:rsid w:val="008C2370"/>
    <w:rsid w:val="008C2598"/>
    <w:rsid w:val="008C25A7"/>
    <w:rsid w:val="008C2647"/>
    <w:rsid w:val="008C316F"/>
    <w:rsid w:val="008C328D"/>
    <w:rsid w:val="008C3B84"/>
    <w:rsid w:val="008C3D69"/>
    <w:rsid w:val="008C4052"/>
    <w:rsid w:val="008C4760"/>
    <w:rsid w:val="008C49DD"/>
    <w:rsid w:val="008C4AC0"/>
    <w:rsid w:val="008C4F5F"/>
    <w:rsid w:val="008C4FC9"/>
    <w:rsid w:val="008C50E3"/>
    <w:rsid w:val="008C54F6"/>
    <w:rsid w:val="008C57A5"/>
    <w:rsid w:val="008C57CD"/>
    <w:rsid w:val="008C5868"/>
    <w:rsid w:val="008C59DB"/>
    <w:rsid w:val="008C5C35"/>
    <w:rsid w:val="008C5C59"/>
    <w:rsid w:val="008C5EFB"/>
    <w:rsid w:val="008C61B4"/>
    <w:rsid w:val="008C650B"/>
    <w:rsid w:val="008C68EF"/>
    <w:rsid w:val="008C6923"/>
    <w:rsid w:val="008C69B3"/>
    <w:rsid w:val="008C6BE2"/>
    <w:rsid w:val="008C6E74"/>
    <w:rsid w:val="008C73C7"/>
    <w:rsid w:val="008C7883"/>
    <w:rsid w:val="008D00BC"/>
    <w:rsid w:val="008D0276"/>
    <w:rsid w:val="008D03F0"/>
    <w:rsid w:val="008D0569"/>
    <w:rsid w:val="008D08A4"/>
    <w:rsid w:val="008D10EB"/>
    <w:rsid w:val="008D1461"/>
    <w:rsid w:val="008D17AA"/>
    <w:rsid w:val="008D17D9"/>
    <w:rsid w:val="008D1838"/>
    <w:rsid w:val="008D189C"/>
    <w:rsid w:val="008D1B8B"/>
    <w:rsid w:val="008D1C39"/>
    <w:rsid w:val="008D1C88"/>
    <w:rsid w:val="008D2022"/>
    <w:rsid w:val="008D25BB"/>
    <w:rsid w:val="008D292F"/>
    <w:rsid w:val="008D2AF6"/>
    <w:rsid w:val="008D2BE4"/>
    <w:rsid w:val="008D2D55"/>
    <w:rsid w:val="008D2F86"/>
    <w:rsid w:val="008D3256"/>
    <w:rsid w:val="008D3276"/>
    <w:rsid w:val="008D36DC"/>
    <w:rsid w:val="008D3785"/>
    <w:rsid w:val="008D3C07"/>
    <w:rsid w:val="008D3C83"/>
    <w:rsid w:val="008D3D20"/>
    <w:rsid w:val="008D3EED"/>
    <w:rsid w:val="008D401D"/>
    <w:rsid w:val="008D4077"/>
    <w:rsid w:val="008D418C"/>
    <w:rsid w:val="008D46EA"/>
    <w:rsid w:val="008D4A3E"/>
    <w:rsid w:val="008D4D8A"/>
    <w:rsid w:val="008D4E33"/>
    <w:rsid w:val="008D4E4E"/>
    <w:rsid w:val="008D50C1"/>
    <w:rsid w:val="008D541D"/>
    <w:rsid w:val="008D57CF"/>
    <w:rsid w:val="008D5B97"/>
    <w:rsid w:val="008D5C00"/>
    <w:rsid w:val="008D5D6D"/>
    <w:rsid w:val="008D5EBC"/>
    <w:rsid w:val="008D63C5"/>
    <w:rsid w:val="008D681D"/>
    <w:rsid w:val="008D69EA"/>
    <w:rsid w:val="008D6A68"/>
    <w:rsid w:val="008D6E5D"/>
    <w:rsid w:val="008D6E7B"/>
    <w:rsid w:val="008D72F0"/>
    <w:rsid w:val="008D75E1"/>
    <w:rsid w:val="008D7645"/>
    <w:rsid w:val="008D77EB"/>
    <w:rsid w:val="008D7A1C"/>
    <w:rsid w:val="008D7C8A"/>
    <w:rsid w:val="008D7DAD"/>
    <w:rsid w:val="008E040D"/>
    <w:rsid w:val="008E0933"/>
    <w:rsid w:val="008E1077"/>
    <w:rsid w:val="008E1644"/>
    <w:rsid w:val="008E223D"/>
    <w:rsid w:val="008E2675"/>
    <w:rsid w:val="008E26B4"/>
    <w:rsid w:val="008E29E6"/>
    <w:rsid w:val="008E2B9B"/>
    <w:rsid w:val="008E2C4A"/>
    <w:rsid w:val="008E2DA9"/>
    <w:rsid w:val="008E336A"/>
    <w:rsid w:val="008E38E3"/>
    <w:rsid w:val="008E3928"/>
    <w:rsid w:val="008E395E"/>
    <w:rsid w:val="008E3967"/>
    <w:rsid w:val="008E3C3E"/>
    <w:rsid w:val="008E3D64"/>
    <w:rsid w:val="008E4188"/>
    <w:rsid w:val="008E425E"/>
    <w:rsid w:val="008E455F"/>
    <w:rsid w:val="008E45E4"/>
    <w:rsid w:val="008E4649"/>
    <w:rsid w:val="008E4650"/>
    <w:rsid w:val="008E46FE"/>
    <w:rsid w:val="008E478A"/>
    <w:rsid w:val="008E48AE"/>
    <w:rsid w:val="008E4A4D"/>
    <w:rsid w:val="008E4CB3"/>
    <w:rsid w:val="008E5180"/>
    <w:rsid w:val="008E5724"/>
    <w:rsid w:val="008E5AF1"/>
    <w:rsid w:val="008E5CD6"/>
    <w:rsid w:val="008E6204"/>
    <w:rsid w:val="008E624D"/>
    <w:rsid w:val="008E62C0"/>
    <w:rsid w:val="008E6618"/>
    <w:rsid w:val="008E6684"/>
    <w:rsid w:val="008E669A"/>
    <w:rsid w:val="008E6C55"/>
    <w:rsid w:val="008E6D9B"/>
    <w:rsid w:val="008E6DFE"/>
    <w:rsid w:val="008E6EB6"/>
    <w:rsid w:val="008E73BA"/>
    <w:rsid w:val="008E7554"/>
    <w:rsid w:val="008E796E"/>
    <w:rsid w:val="008E79FD"/>
    <w:rsid w:val="008E7B1C"/>
    <w:rsid w:val="008E7D40"/>
    <w:rsid w:val="008E7D5C"/>
    <w:rsid w:val="008E7E4A"/>
    <w:rsid w:val="008E7F24"/>
    <w:rsid w:val="008F0318"/>
    <w:rsid w:val="008F06ED"/>
    <w:rsid w:val="008F0B4C"/>
    <w:rsid w:val="008F1E59"/>
    <w:rsid w:val="008F21B2"/>
    <w:rsid w:val="008F25C5"/>
    <w:rsid w:val="008F2781"/>
    <w:rsid w:val="008F28C1"/>
    <w:rsid w:val="008F355A"/>
    <w:rsid w:val="008F3957"/>
    <w:rsid w:val="008F416A"/>
    <w:rsid w:val="008F4238"/>
    <w:rsid w:val="008F4283"/>
    <w:rsid w:val="008F4C23"/>
    <w:rsid w:val="008F5176"/>
    <w:rsid w:val="008F5310"/>
    <w:rsid w:val="008F54DD"/>
    <w:rsid w:val="008F5B33"/>
    <w:rsid w:val="008F5B77"/>
    <w:rsid w:val="008F5DE6"/>
    <w:rsid w:val="008F5F55"/>
    <w:rsid w:val="008F5FA5"/>
    <w:rsid w:val="008F6147"/>
    <w:rsid w:val="008F6536"/>
    <w:rsid w:val="008F657C"/>
    <w:rsid w:val="008F6958"/>
    <w:rsid w:val="008F6F78"/>
    <w:rsid w:val="008F7007"/>
    <w:rsid w:val="008F732C"/>
    <w:rsid w:val="008F75CA"/>
    <w:rsid w:val="008F76A9"/>
    <w:rsid w:val="008F774A"/>
    <w:rsid w:val="008F7910"/>
    <w:rsid w:val="008F7BAE"/>
    <w:rsid w:val="008F7BEE"/>
    <w:rsid w:val="008F7DB8"/>
    <w:rsid w:val="008F7DDE"/>
    <w:rsid w:val="009002F9"/>
    <w:rsid w:val="009002FB"/>
    <w:rsid w:val="009004D2"/>
    <w:rsid w:val="009005BD"/>
    <w:rsid w:val="00900623"/>
    <w:rsid w:val="00900864"/>
    <w:rsid w:val="009015B8"/>
    <w:rsid w:val="00901932"/>
    <w:rsid w:val="00901C4C"/>
    <w:rsid w:val="00901CF9"/>
    <w:rsid w:val="00901D36"/>
    <w:rsid w:val="00901D59"/>
    <w:rsid w:val="0090204D"/>
    <w:rsid w:val="009020A2"/>
    <w:rsid w:val="00902145"/>
    <w:rsid w:val="0090255E"/>
    <w:rsid w:val="0090275E"/>
    <w:rsid w:val="00902822"/>
    <w:rsid w:val="00902E9D"/>
    <w:rsid w:val="00902F0F"/>
    <w:rsid w:val="00902F31"/>
    <w:rsid w:val="0090311E"/>
    <w:rsid w:val="00903241"/>
    <w:rsid w:val="009032CD"/>
    <w:rsid w:val="009033DE"/>
    <w:rsid w:val="009034A4"/>
    <w:rsid w:val="009048B2"/>
    <w:rsid w:val="009048CB"/>
    <w:rsid w:val="00904A7E"/>
    <w:rsid w:val="00905139"/>
    <w:rsid w:val="009051AF"/>
    <w:rsid w:val="009054D5"/>
    <w:rsid w:val="00905574"/>
    <w:rsid w:val="009059F5"/>
    <w:rsid w:val="00906141"/>
    <w:rsid w:val="009061F0"/>
    <w:rsid w:val="009064F8"/>
    <w:rsid w:val="0090676E"/>
    <w:rsid w:val="0090684E"/>
    <w:rsid w:val="00907164"/>
    <w:rsid w:val="009071C8"/>
    <w:rsid w:val="0090727A"/>
    <w:rsid w:val="00907682"/>
    <w:rsid w:val="009079A2"/>
    <w:rsid w:val="009079A7"/>
    <w:rsid w:val="009079DF"/>
    <w:rsid w:val="00907DE4"/>
    <w:rsid w:val="009100E6"/>
    <w:rsid w:val="0091013C"/>
    <w:rsid w:val="00910376"/>
    <w:rsid w:val="00910530"/>
    <w:rsid w:val="00910610"/>
    <w:rsid w:val="00910780"/>
    <w:rsid w:val="00910C81"/>
    <w:rsid w:val="00910CF1"/>
    <w:rsid w:val="00910D42"/>
    <w:rsid w:val="00910FEC"/>
    <w:rsid w:val="00910FF4"/>
    <w:rsid w:val="009114D3"/>
    <w:rsid w:val="00911526"/>
    <w:rsid w:val="009115D9"/>
    <w:rsid w:val="00911795"/>
    <w:rsid w:val="009118BB"/>
    <w:rsid w:val="00911E0D"/>
    <w:rsid w:val="00911E7E"/>
    <w:rsid w:val="00912196"/>
    <w:rsid w:val="0091241E"/>
    <w:rsid w:val="00912976"/>
    <w:rsid w:val="00912C9E"/>
    <w:rsid w:val="009134BF"/>
    <w:rsid w:val="00913738"/>
    <w:rsid w:val="00913A92"/>
    <w:rsid w:val="00913AC1"/>
    <w:rsid w:val="00913D18"/>
    <w:rsid w:val="00913F4D"/>
    <w:rsid w:val="00914061"/>
    <w:rsid w:val="009141B9"/>
    <w:rsid w:val="0091437D"/>
    <w:rsid w:val="009149F2"/>
    <w:rsid w:val="00914C77"/>
    <w:rsid w:val="00914CEC"/>
    <w:rsid w:val="0091506C"/>
    <w:rsid w:val="00915290"/>
    <w:rsid w:val="009152EF"/>
    <w:rsid w:val="009156CF"/>
    <w:rsid w:val="00915ACA"/>
    <w:rsid w:val="00915ED5"/>
    <w:rsid w:val="00915F05"/>
    <w:rsid w:val="00916674"/>
    <w:rsid w:val="0091682B"/>
    <w:rsid w:val="00916895"/>
    <w:rsid w:val="009168D5"/>
    <w:rsid w:val="00916ACE"/>
    <w:rsid w:val="00916BDC"/>
    <w:rsid w:val="00916F14"/>
    <w:rsid w:val="00917219"/>
    <w:rsid w:val="0091735F"/>
    <w:rsid w:val="00917570"/>
    <w:rsid w:val="00917B6B"/>
    <w:rsid w:val="00917D0C"/>
    <w:rsid w:val="00917D7E"/>
    <w:rsid w:val="00917DB9"/>
    <w:rsid w:val="00917ECA"/>
    <w:rsid w:val="009200D2"/>
    <w:rsid w:val="00920201"/>
    <w:rsid w:val="00920273"/>
    <w:rsid w:val="009203C4"/>
    <w:rsid w:val="00920412"/>
    <w:rsid w:val="00920644"/>
    <w:rsid w:val="00920713"/>
    <w:rsid w:val="009209DB"/>
    <w:rsid w:val="00920C58"/>
    <w:rsid w:val="00920F74"/>
    <w:rsid w:val="0092121B"/>
    <w:rsid w:val="00921727"/>
    <w:rsid w:val="00921749"/>
    <w:rsid w:val="00921B6D"/>
    <w:rsid w:val="00921F22"/>
    <w:rsid w:val="00921F95"/>
    <w:rsid w:val="00922025"/>
    <w:rsid w:val="009226EB"/>
    <w:rsid w:val="00922780"/>
    <w:rsid w:val="0092294A"/>
    <w:rsid w:val="00922C92"/>
    <w:rsid w:val="00922CE5"/>
    <w:rsid w:val="00923435"/>
    <w:rsid w:val="009235CF"/>
    <w:rsid w:val="00923734"/>
    <w:rsid w:val="00923B4B"/>
    <w:rsid w:val="00923BA8"/>
    <w:rsid w:val="00923CC4"/>
    <w:rsid w:val="00924009"/>
    <w:rsid w:val="009245A7"/>
    <w:rsid w:val="00924D39"/>
    <w:rsid w:val="00924E1F"/>
    <w:rsid w:val="00924F9B"/>
    <w:rsid w:val="009257B6"/>
    <w:rsid w:val="00925C32"/>
    <w:rsid w:val="00925FA3"/>
    <w:rsid w:val="009260C4"/>
    <w:rsid w:val="009260D3"/>
    <w:rsid w:val="009265C7"/>
    <w:rsid w:val="00926778"/>
    <w:rsid w:val="009267A0"/>
    <w:rsid w:val="00926B08"/>
    <w:rsid w:val="00926B5E"/>
    <w:rsid w:val="00926F39"/>
    <w:rsid w:val="00927023"/>
    <w:rsid w:val="009273BD"/>
    <w:rsid w:val="00927419"/>
    <w:rsid w:val="009277AD"/>
    <w:rsid w:val="0092789B"/>
    <w:rsid w:val="009279EF"/>
    <w:rsid w:val="00927B89"/>
    <w:rsid w:val="00927F16"/>
    <w:rsid w:val="009300EC"/>
    <w:rsid w:val="00930312"/>
    <w:rsid w:val="00930D72"/>
    <w:rsid w:val="00930D81"/>
    <w:rsid w:val="0093104F"/>
    <w:rsid w:val="00931384"/>
    <w:rsid w:val="00931399"/>
    <w:rsid w:val="009314BC"/>
    <w:rsid w:val="00931923"/>
    <w:rsid w:val="00931D81"/>
    <w:rsid w:val="00931F43"/>
    <w:rsid w:val="009321E7"/>
    <w:rsid w:val="00932489"/>
    <w:rsid w:val="00932B13"/>
    <w:rsid w:val="00932D71"/>
    <w:rsid w:val="00932E5D"/>
    <w:rsid w:val="0093311D"/>
    <w:rsid w:val="009335C8"/>
    <w:rsid w:val="00933A74"/>
    <w:rsid w:val="00933EE7"/>
    <w:rsid w:val="00934820"/>
    <w:rsid w:val="009354A7"/>
    <w:rsid w:val="009355E3"/>
    <w:rsid w:val="009357E0"/>
    <w:rsid w:val="00935B92"/>
    <w:rsid w:val="00935CA8"/>
    <w:rsid w:val="00935D49"/>
    <w:rsid w:val="00936046"/>
    <w:rsid w:val="009361B9"/>
    <w:rsid w:val="00936BBE"/>
    <w:rsid w:val="00936F46"/>
    <w:rsid w:val="009376F3"/>
    <w:rsid w:val="009378FA"/>
    <w:rsid w:val="00937B65"/>
    <w:rsid w:val="00937C46"/>
    <w:rsid w:val="00940983"/>
    <w:rsid w:val="009409FB"/>
    <w:rsid w:val="009413D5"/>
    <w:rsid w:val="009414DA"/>
    <w:rsid w:val="009419B2"/>
    <w:rsid w:val="00941B8A"/>
    <w:rsid w:val="00941D2D"/>
    <w:rsid w:val="0094204A"/>
    <w:rsid w:val="009422B4"/>
    <w:rsid w:val="00942346"/>
    <w:rsid w:val="00942665"/>
    <w:rsid w:val="00942871"/>
    <w:rsid w:val="009428CF"/>
    <w:rsid w:val="00942B17"/>
    <w:rsid w:val="00942DA7"/>
    <w:rsid w:val="00942E52"/>
    <w:rsid w:val="00943100"/>
    <w:rsid w:val="009434BB"/>
    <w:rsid w:val="009434C3"/>
    <w:rsid w:val="009435A3"/>
    <w:rsid w:val="0094376C"/>
    <w:rsid w:val="00943843"/>
    <w:rsid w:val="00943BDB"/>
    <w:rsid w:val="00943FE7"/>
    <w:rsid w:val="00944067"/>
    <w:rsid w:val="0094434E"/>
    <w:rsid w:val="0094458E"/>
    <w:rsid w:val="009448DF"/>
    <w:rsid w:val="009449D5"/>
    <w:rsid w:val="00944AB3"/>
    <w:rsid w:val="00944B7D"/>
    <w:rsid w:val="00944B9E"/>
    <w:rsid w:val="00944D68"/>
    <w:rsid w:val="00944F73"/>
    <w:rsid w:val="0094572D"/>
    <w:rsid w:val="00945931"/>
    <w:rsid w:val="009459DB"/>
    <w:rsid w:val="00945C36"/>
    <w:rsid w:val="00946414"/>
    <w:rsid w:val="009465A6"/>
    <w:rsid w:val="00946601"/>
    <w:rsid w:val="00947247"/>
    <w:rsid w:val="009476D4"/>
    <w:rsid w:val="00947954"/>
    <w:rsid w:val="00947970"/>
    <w:rsid w:val="00947A2E"/>
    <w:rsid w:val="00947A80"/>
    <w:rsid w:val="00947C3C"/>
    <w:rsid w:val="00947C3D"/>
    <w:rsid w:val="00947C4F"/>
    <w:rsid w:val="00947C52"/>
    <w:rsid w:val="00947FDE"/>
    <w:rsid w:val="009501B9"/>
    <w:rsid w:val="0095048E"/>
    <w:rsid w:val="00950D92"/>
    <w:rsid w:val="0095137D"/>
    <w:rsid w:val="0095149D"/>
    <w:rsid w:val="0095158D"/>
    <w:rsid w:val="009515E1"/>
    <w:rsid w:val="009516C1"/>
    <w:rsid w:val="0095183D"/>
    <w:rsid w:val="00951A7D"/>
    <w:rsid w:val="00951B4F"/>
    <w:rsid w:val="00951C0E"/>
    <w:rsid w:val="00951CEE"/>
    <w:rsid w:val="009520C9"/>
    <w:rsid w:val="00952276"/>
    <w:rsid w:val="00952293"/>
    <w:rsid w:val="00952444"/>
    <w:rsid w:val="00952562"/>
    <w:rsid w:val="00952676"/>
    <w:rsid w:val="009526B1"/>
    <w:rsid w:val="00952B6F"/>
    <w:rsid w:val="00952E01"/>
    <w:rsid w:val="00952E9F"/>
    <w:rsid w:val="009532CD"/>
    <w:rsid w:val="009533C5"/>
    <w:rsid w:val="009533D4"/>
    <w:rsid w:val="00953AC0"/>
    <w:rsid w:val="00953CFC"/>
    <w:rsid w:val="00953E5D"/>
    <w:rsid w:val="00953EAE"/>
    <w:rsid w:val="009540FB"/>
    <w:rsid w:val="00954199"/>
    <w:rsid w:val="00954429"/>
    <w:rsid w:val="0095445D"/>
    <w:rsid w:val="009545F4"/>
    <w:rsid w:val="00954B9C"/>
    <w:rsid w:val="00954D9B"/>
    <w:rsid w:val="009550E8"/>
    <w:rsid w:val="009551C7"/>
    <w:rsid w:val="00955235"/>
    <w:rsid w:val="00955A04"/>
    <w:rsid w:val="00955C8F"/>
    <w:rsid w:val="00955C9C"/>
    <w:rsid w:val="00955D83"/>
    <w:rsid w:val="00956074"/>
    <w:rsid w:val="00956102"/>
    <w:rsid w:val="00956249"/>
    <w:rsid w:val="0095624F"/>
    <w:rsid w:val="00956800"/>
    <w:rsid w:val="00957079"/>
    <w:rsid w:val="00957164"/>
    <w:rsid w:val="009573D8"/>
    <w:rsid w:val="009574AD"/>
    <w:rsid w:val="00957505"/>
    <w:rsid w:val="009577FC"/>
    <w:rsid w:val="00957EC7"/>
    <w:rsid w:val="0096014C"/>
    <w:rsid w:val="00960607"/>
    <w:rsid w:val="00960869"/>
    <w:rsid w:val="00960947"/>
    <w:rsid w:val="00960AC5"/>
    <w:rsid w:val="009617E9"/>
    <w:rsid w:val="00961CF2"/>
    <w:rsid w:val="00961D13"/>
    <w:rsid w:val="00962113"/>
    <w:rsid w:val="009621DC"/>
    <w:rsid w:val="00962209"/>
    <w:rsid w:val="00962340"/>
    <w:rsid w:val="00962A6D"/>
    <w:rsid w:val="00962ACF"/>
    <w:rsid w:val="00962FAD"/>
    <w:rsid w:val="009631CD"/>
    <w:rsid w:val="009632E2"/>
    <w:rsid w:val="0096331E"/>
    <w:rsid w:val="009633F7"/>
    <w:rsid w:val="009634CC"/>
    <w:rsid w:val="0096360E"/>
    <w:rsid w:val="0096416C"/>
    <w:rsid w:val="009645CF"/>
    <w:rsid w:val="00964A48"/>
    <w:rsid w:val="00964FA7"/>
    <w:rsid w:val="009651BD"/>
    <w:rsid w:val="00965275"/>
    <w:rsid w:val="00965320"/>
    <w:rsid w:val="00965398"/>
    <w:rsid w:val="009656A5"/>
    <w:rsid w:val="00965BFB"/>
    <w:rsid w:val="0096637B"/>
    <w:rsid w:val="009665EF"/>
    <w:rsid w:val="009666A5"/>
    <w:rsid w:val="00966827"/>
    <w:rsid w:val="00966F63"/>
    <w:rsid w:val="00967226"/>
    <w:rsid w:val="009673C7"/>
    <w:rsid w:val="00967711"/>
    <w:rsid w:val="009677F2"/>
    <w:rsid w:val="0096787A"/>
    <w:rsid w:val="00967893"/>
    <w:rsid w:val="009678E8"/>
    <w:rsid w:val="00967900"/>
    <w:rsid w:val="0096799D"/>
    <w:rsid w:val="00967AB3"/>
    <w:rsid w:val="00967CE7"/>
    <w:rsid w:val="00967D67"/>
    <w:rsid w:val="00970386"/>
    <w:rsid w:val="0097039F"/>
    <w:rsid w:val="0097043B"/>
    <w:rsid w:val="009707C9"/>
    <w:rsid w:val="00970AA3"/>
    <w:rsid w:val="00970B66"/>
    <w:rsid w:val="00970C5E"/>
    <w:rsid w:val="00970E9A"/>
    <w:rsid w:val="00971363"/>
    <w:rsid w:val="00971DF9"/>
    <w:rsid w:val="00971FE7"/>
    <w:rsid w:val="00972076"/>
    <w:rsid w:val="0097250F"/>
    <w:rsid w:val="009727E6"/>
    <w:rsid w:val="009728E5"/>
    <w:rsid w:val="00972A2D"/>
    <w:rsid w:val="00972B63"/>
    <w:rsid w:val="00972D0E"/>
    <w:rsid w:val="00973059"/>
    <w:rsid w:val="009737D1"/>
    <w:rsid w:val="00973992"/>
    <w:rsid w:val="009739B1"/>
    <w:rsid w:val="00973B7C"/>
    <w:rsid w:val="00973FF9"/>
    <w:rsid w:val="00974077"/>
    <w:rsid w:val="00974101"/>
    <w:rsid w:val="00974181"/>
    <w:rsid w:val="00974382"/>
    <w:rsid w:val="00974594"/>
    <w:rsid w:val="00974740"/>
    <w:rsid w:val="00974774"/>
    <w:rsid w:val="00974C1A"/>
    <w:rsid w:val="00974C36"/>
    <w:rsid w:val="00974D0E"/>
    <w:rsid w:val="00974DCE"/>
    <w:rsid w:val="00974E7C"/>
    <w:rsid w:val="00974F1C"/>
    <w:rsid w:val="0097513C"/>
    <w:rsid w:val="009751E0"/>
    <w:rsid w:val="009752AA"/>
    <w:rsid w:val="00975631"/>
    <w:rsid w:val="009757B5"/>
    <w:rsid w:val="009758DC"/>
    <w:rsid w:val="00975CB2"/>
    <w:rsid w:val="009761C2"/>
    <w:rsid w:val="00976297"/>
    <w:rsid w:val="00976606"/>
    <w:rsid w:val="00976617"/>
    <w:rsid w:val="00976693"/>
    <w:rsid w:val="009766C0"/>
    <w:rsid w:val="009766C1"/>
    <w:rsid w:val="009769AB"/>
    <w:rsid w:val="00976B65"/>
    <w:rsid w:val="00976D26"/>
    <w:rsid w:val="00976D91"/>
    <w:rsid w:val="00976EAB"/>
    <w:rsid w:val="0097703A"/>
    <w:rsid w:val="009770BA"/>
    <w:rsid w:val="00977190"/>
    <w:rsid w:val="009773E8"/>
    <w:rsid w:val="009774CE"/>
    <w:rsid w:val="0097752A"/>
    <w:rsid w:val="00977605"/>
    <w:rsid w:val="00977636"/>
    <w:rsid w:val="00977728"/>
    <w:rsid w:val="00977936"/>
    <w:rsid w:val="00977A77"/>
    <w:rsid w:val="00977AE2"/>
    <w:rsid w:val="00977C24"/>
    <w:rsid w:val="00977D55"/>
    <w:rsid w:val="00980C00"/>
    <w:rsid w:val="00980D98"/>
    <w:rsid w:val="00980FF2"/>
    <w:rsid w:val="009811C5"/>
    <w:rsid w:val="0098149B"/>
    <w:rsid w:val="009814F3"/>
    <w:rsid w:val="00981689"/>
    <w:rsid w:val="009818F4"/>
    <w:rsid w:val="00981DA8"/>
    <w:rsid w:val="00981E09"/>
    <w:rsid w:val="00981E2A"/>
    <w:rsid w:val="00981F18"/>
    <w:rsid w:val="00981FF1"/>
    <w:rsid w:val="00982C9B"/>
    <w:rsid w:val="00983068"/>
    <w:rsid w:val="009830AB"/>
    <w:rsid w:val="00983100"/>
    <w:rsid w:val="0098312E"/>
    <w:rsid w:val="00983A04"/>
    <w:rsid w:val="00983C60"/>
    <w:rsid w:val="00983EEF"/>
    <w:rsid w:val="00983F27"/>
    <w:rsid w:val="00983FF2"/>
    <w:rsid w:val="00984061"/>
    <w:rsid w:val="00984180"/>
    <w:rsid w:val="00984239"/>
    <w:rsid w:val="00984471"/>
    <w:rsid w:val="009845AA"/>
    <w:rsid w:val="00984727"/>
    <w:rsid w:val="00984E58"/>
    <w:rsid w:val="00984EB3"/>
    <w:rsid w:val="00985353"/>
    <w:rsid w:val="0098575C"/>
    <w:rsid w:val="00985910"/>
    <w:rsid w:val="00985956"/>
    <w:rsid w:val="00985D21"/>
    <w:rsid w:val="00985E31"/>
    <w:rsid w:val="0098633F"/>
    <w:rsid w:val="0098641B"/>
    <w:rsid w:val="00986499"/>
    <w:rsid w:val="0098656D"/>
    <w:rsid w:val="009865E3"/>
    <w:rsid w:val="00986933"/>
    <w:rsid w:val="00986D0D"/>
    <w:rsid w:val="00986E97"/>
    <w:rsid w:val="00987144"/>
    <w:rsid w:val="00987223"/>
    <w:rsid w:val="00987398"/>
    <w:rsid w:val="0098760A"/>
    <w:rsid w:val="009876B1"/>
    <w:rsid w:val="00987931"/>
    <w:rsid w:val="00987A49"/>
    <w:rsid w:val="00987B96"/>
    <w:rsid w:val="00987C52"/>
    <w:rsid w:val="00987D5E"/>
    <w:rsid w:val="00987FB4"/>
    <w:rsid w:val="00990208"/>
    <w:rsid w:val="00990285"/>
    <w:rsid w:val="0099044B"/>
    <w:rsid w:val="009906E5"/>
    <w:rsid w:val="0099077B"/>
    <w:rsid w:val="00990798"/>
    <w:rsid w:val="00990939"/>
    <w:rsid w:val="00990A5E"/>
    <w:rsid w:val="00990B9A"/>
    <w:rsid w:val="00990BB1"/>
    <w:rsid w:val="00990CB8"/>
    <w:rsid w:val="0099107B"/>
    <w:rsid w:val="00991391"/>
    <w:rsid w:val="0099148D"/>
    <w:rsid w:val="00991798"/>
    <w:rsid w:val="00991A67"/>
    <w:rsid w:val="00991DB2"/>
    <w:rsid w:val="00991E82"/>
    <w:rsid w:val="0099210B"/>
    <w:rsid w:val="0099236C"/>
    <w:rsid w:val="009924AC"/>
    <w:rsid w:val="00992531"/>
    <w:rsid w:val="0099267A"/>
    <w:rsid w:val="009928B9"/>
    <w:rsid w:val="00992BB8"/>
    <w:rsid w:val="00992C15"/>
    <w:rsid w:val="009932EA"/>
    <w:rsid w:val="00993586"/>
    <w:rsid w:val="0099359B"/>
    <w:rsid w:val="00993611"/>
    <w:rsid w:val="0099373F"/>
    <w:rsid w:val="00993877"/>
    <w:rsid w:val="0099399F"/>
    <w:rsid w:val="00993C22"/>
    <w:rsid w:val="00993D0B"/>
    <w:rsid w:val="00993EFD"/>
    <w:rsid w:val="00993FFB"/>
    <w:rsid w:val="009940FB"/>
    <w:rsid w:val="009942D5"/>
    <w:rsid w:val="009948E1"/>
    <w:rsid w:val="00994B41"/>
    <w:rsid w:val="00994B62"/>
    <w:rsid w:val="00994BAB"/>
    <w:rsid w:val="00994BDE"/>
    <w:rsid w:val="00994E4E"/>
    <w:rsid w:val="00994F0B"/>
    <w:rsid w:val="00995229"/>
    <w:rsid w:val="00995250"/>
    <w:rsid w:val="0099582D"/>
    <w:rsid w:val="00995BB1"/>
    <w:rsid w:val="00995DE7"/>
    <w:rsid w:val="00995E23"/>
    <w:rsid w:val="00995F1B"/>
    <w:rsid w:val="00995FDE"/>
    <w:rsid w:val="00996036"/>
    <w:rsid w:val="00996355"/>
    <w:rsid w:val="009963FF"/>
    <w:rsid w:val="009968E3"/>
    <w:rsid w:val="00996AC9"/>
    <w:rsid w:val="00996D80"/>
    <w:rsid w:val="00996E84"/>
    <w:rsid w:val="00996F85"/>
    <w:rsid w:val="0099701F"/>
    <w:rsid w:val="00997415"/>
    <w:rsid w:val="009975D7"/>
    <w:rsid w:val="009975E3"/>
    <w:rsid w:val="00997741"/>
    <w:rsid w:val="00997A5E"/>
    <w:rsid w:val="00997D43"/>
    <w:rsid w:val="00997DE8"/>
    <w:rsid w:val="00997E75"/>
    <w:rsid w:val="00997F4F"/>
    <w:rsid w:val="009A01E1"/>
    <w:rsid w:val="009A04A5"/>
    <w:rsid w:val="009A0577"/>
    <w:rsid w:val="009A05C2"/>
    <w:rsid w:val="009A0B03"/>
    <w:rsid w:val="009A0C61"/>
    <w:rsid w:val="009A0D17"/>
    <w:rsid w:val="009A0F8F"/>
    <w:rsid w:val="009A108A"/>
    <w:rsid w:val="009A1304"/>
    <w:rsid w:val="009A14A2"/>
    <w:rsid w:val="009A1542"/>
    <w:rsid w:val="009A1A5F"/>
    <w:rsid w:val="009A1E11"/>
    <w:rsid w:val="009A1F15"/>
    <w:rsid w:val="009A201C"/>
    <w:rsid w:val="009A21D8"/>
    <w:rsid w:val="009A220F"/>
    <w:rsid w:val="009A22B8"/>
    <w:rsid w:val="009A240D"/>
    <w:rsid w:val="009A2429"/>
    <w:rsid w:val="009A24F1"/>
    <w:rsid w:val="009A28E6"/>
    <w:rsid w:val="009A291F"/>
    <w:rsid w:val="009A2E44"/>
    <w:rsid w:val="009A342F"/>
    <w:rsid w:val="009A34F9"/>
    <w:rsid w:val="009A355D"/>
    <w:rsid w:val="009A37E8"/>
    <w:rsid w:val="009A3C38"/>
    <w:rsid w:val="009A3D66"/>
    <w:rsid w:val="009A3FCC"/>
    <w:rsid w:val="009A41D6"/>
    <w:rsid w:val="009A47CA"/>
    <w:rsid w:val="009A48FB"/>
    <w:rsid w:val="009A4DB6"/>
    <w:rsid w:val="009A4FB8"/>
    <w:rsid w:val="009A51A1"/>
    <w:rsid w:val="009A52CA"/>
    <w:rsid w:val="009A542B"/>
    <w:rsid w:val="009A5679"/>
    <w:rsid w:val="009A59A6"/>
    <w:rsid w:val="009A59DD"/>
    <w:rsid w:val="009A5B60"/>
    <w:rsid w:val="009A5C4F"/>
    <w:rsid w:val="009A5CC9"/>
    <w:rsid w:val="009A5D04"/>
    <w:rsid w:val="009A5EF2"/>
    <w:rsid w:val="009A60A1"/>
    <w:rsid w:val="009A60AC"/>
    <w:rsid w:val="009A60B3"/>
    <w:rsid w:val="009A6202"/>
    <w:rsid w:val="009A6856"/>
    <w:rsid w:val="009A6B37"/>
    <w:rsid w:val="009A707F"/>
    <w:rsid w:val="009A71E0"/>
    <w:rsid w:val="009A7278"/>
    <w:rsid w:val="009A73FF"/>
    <w:rsid w:val="009A74E8"/>
    <w:rsid w:val="009A7777"/>
    <w:rsid w:val="009A7B24"/>
    <w:rsid w:val="009B08F1"/>
    <w:rsid w:val="009B0AB1"/>
    <w:rsid w:val="009B0CA4"/>
    <w:rsid w:val="009B0D9B"/>
    <w:rsid w:val="009B0D9F"/>
    <w:rsid w:val="009B122C"/>
    <w:rsid w:val="009B12DB"/>
    <w:rsid w:val="009B19AD"/>
    <w:rsid w:val="009B1BFB"/>
    <w:rsid w:val="009B1E4F"/>
    <w:rsid w:val="009B23DC"/>
    <w:rsid w:val="009B2758"/>
    <w:rsid w:val="009B2793"/>
    <w:rsid w:val="009B2876"/>
    <w:rsid w:val="009B2921"/>
    <w:rsid w:val="009B2D17"/>
    <w:rsid w:val="009B321A"/>
    <w:rsid w:val="009B32E2"/>
    <w:rsid w:val="009B35C5"/>
    <w:rsid w:val="009B36F3"/>
    <w:rsid w:val="009B36FE"/>
    <w:rsid w:val="009B37C2"/>
    <w:rsid w:val="009B3CEF"/>
    <w:rsid w:val="009B3D42"/>
    <w:rsid w:val="009B3DDF"/>
    <w:rsid w:val="009B3EB2"/>
    <w:rsid w:val="009B4169"/>
    <w:rsid w:val="009B430F"/>
    <w:rsid w:val="009B4A6E"/>
    <w:rsid w:val="009B4B22"/>
    <w:rsid w:val="009B56D6"/>
    <w:rsid w:val="009B588F"/>
    <w:rsid w:val="009B5AFC"/>
    <w:rsid w:val="009B5B13"/>
    <w:rsid w:val="009B5C40"/>
    <w:rsid w:val="009B5E78"/>
    <w:rsid w:val="009B5F15"/>
    <w:rsid w:val="009B5F17"/>
    <w:rsid w:val="009B6048"/>
    <w:rsid w:val="009B64E5"/>
    <w:rsid w:val="009B6561"/>
    <w:rsid w:val="009B660D"/>
    <w:rsid w:val="009B6701"/>
    <w:rsid w:val="009B69BD"/>
    <w:rsid w:val="009B6C38"/>
    <w:rsid w:val="009B7245"/>
    <w:rsid w:val="009B744E"/>
    <w:rsid w:val="009B752C"/>
    <w:rsid w:val="009B75DE"/>
    <w:rsid w:val="009B7EE2"/>
    <w:rsid w:val="009B7F4E"/>
    <w:rsid w:val="009C0453"/>
    <w:rsid w:val="009C0562"/>
    <w:rsid w:val="009C07CC"/>
    <w:rsid w:val="009C0A4A"/>
    <w:rsid w:val="009C105B"/>
    <w:rsid w:val="009C10C4"/>
    <w:rsid w:val="009C12D4"/>
    <w:rsid w:val="009C13D3"/>
    <w:rsid w:val="009C141D"/>
    <w:rsid w:val="009C146C"/>
    <w:rsid w:val="009C1599"/>
    <w:rsid w:val="009C1658"/>
    <w:rsid w:val="009C1962"/>
    <w:rsid w:val="009C1969"/>
    <w:rsid w:val="009C1DD1"/>
    <w:rsid w:val="009C2AA9"/>
    <w:rsid w:val="009C2BDD"/>
    <w:rsid w:val="009C30D0"/>
    <w:rsid w:val="009C31E0"/>
    <w:rsid w:val="009C323B"/>
    <w:rsid w:val="009C375C"/>
    <w:rsid w:val="009C3805"/>
    <w:rsid w:val="009C3C74"/>
    <w:rsid w:val="009C4059"/>
    <w:rsid w:val="009C40A9"/>
    <w:rsid w:val="009C4429"/>
    <w:rsid w:val="009C4462"/>
    <w:rsid w:val="009C4585"/>
    <w:rsid w:val="009C4C40"/>
    <w:rsid w:val="009C4D4E"/>
    <w:rsid w:val="009C5187"/>
    <w:rsid w:val="009C5637"/>
    <w:rsid w:val="009C570E"/>
    <w:rsid w:val="009C5A6D"/>
    <w:rsid w:val="009C5BF1"/>
    <w:rsid w:val="009C5D7C"/>
    <w:rsid w:val="009C5E7F"/>
    <w:rsid w:val="009C5F13"/>
    <w:rsid w:val="009C618A"/>
    <w:rsid w:val="009C6385"/>
    <w:rsid w:val="009C63A6"/>
    <w:rsid w:val="009C68DC"/>
    <w:rsid w:val="009C68F1"/>
    <w:rsid w:val="009C69B6"/>
    <w:rsid w:val="009C69BB"/>
    <w:rsid w:val="009C6BC3"/>
    <w:rsid w:val="009C6D13"/>
    <w:rsid w:val="009C6DF2"/>
    <w:rsid w:val="009C71A1"/>
    <w:rsid w:val="009C7AF7"/>
    <w:rsid w:val="009C7F16"/>
    <w:rsid w:val="009D07A4"/>
    <w:rsid w:val="009D089F"/>
    <w:rsid w:val="009D0B09"/>
    <w:rsid w:val="009D0FBA"/>
    <w:rsid w:val="009D1013"/>
    <w:rsid w:val="009D13FA"/>
    <w:rsid w:val="009D1430"/>
    <w:rsid w:val="009D149A"/>
    <w:rsid w:val="009D16A3"/>
    <w:rsid w:val="009D1BC6"/>
    <w:rsid w:val="009D20F1"/>
    <w:rsid w:val="009D210C"/>
    <w:rsid w:val="009D2143"/>
    <w:rsid w:val="009D2616"/>
    <w:rsid w:val="009D26F7"/>
    <w:rsid w:val="009D2A52"/>
    <w:rsid w:val="009D2A5E"/>
    <w:rsid w:val="009D2A98"/>
    <w:rsid w:val="009D2A9E"/>
    <w:rsid w:val="009D2D3F"/>
    <w:rsid w:val="009D3121"/>
    <w:rsid w:val="009D3122"/>
    <w:rsid w:val="009D319E"/>
    <w:rsid w:val="009D3612"/>
    <w:rsid w:val="009D3855"/>
    <w:rsid w:val="009D3B51"/>
    <w:rsid w:val="009D3CB0"/>
    <w:rsid w:val="009D44C2"/>
    <w:rsid w:val="009D4545"/>
    <w:rsid w:val="009D45F2"/>
    <w:rsid w:val="009D4655"/>
    <w:rsid w:val="009D465C"/>
    <w:rsid w:val="009D46B7"/>
    <w:rsid w:val="009D4738"/>
    <w:rsid w:val="009D4763"/>
    <w:rsid w:val="009D49E4"/>
    <w:rsid w:val="009D51B3"/>
    <w:rsid w:val="009D51CA"/>
    <w:rsid w:val="009D53A5"/>
    <w:rsid w:val="009D57E4"/>
    <w:rsid w:val="009D5ABD"/>
    <w:rsid w:val="009D5DCA"/>
    <w:rsid w:val="009D5F2F"/>
    <w:rsid w:val="009D6090"/>
    <w:rsid w:val="009D6183"/>
    <w:rsid w:val="009D61E0"/>
    <w:rsid w:val="009D61FD"/>
    <w:rsid w:val="009D6362"/>
    <w:rsid w:val="009D649C"/>
    <w:rsid w:val="009D673B"/>
    <w:rsid w:val="009D69D5"/>
    <w:rsid w:val="009D6BF8"/>
    <w:rsid w:val="009D6FBD"/>
    <w:rsid w:val="009D7176"/>
    <w:rsid w:val="009D7549"/>
    <w:rsid w:val="009D7696"/>
    <w:rsid w:val="009D76B5"/>
    <w:rsid w:val="009D7A5B"/>
    <w:rsid w:val="009D7C86"/>
    <w:rsid w:val="009DD6EC"/>
    <w:rsid w:val="009E01E5"/>
    <w:rsid w:val="009E034A"/>
    <w:rsid w:val="009E0B36"/>
    <w:rsid w:val="009E0B49"/>
    <w:rsid w:val="009E11D1"/>
    <w:rsid w:val="009E1327"/>
    <w:rsid w:val="009E1569"/>
    <w:rsid w:val="009E1763"/>
    <w:rsid w:val="009E1ACB"/>
    <w:rsid w:val="009E1AF4"/>
    <w:rsid w:val="009E1EFC"/>
    <w:rsid w:val="009E204F"/>
    <w:rsid w:val="009E2149"/>
    <w:rsid w:val="009E21C7"/>
    <w:rsid w:val="009E221A"/>
    <w:rsid w:val="009E246B"/>
    <w:rsid w:val="009E260D"/>
    <w:rsid w:val="009E28DD"/>
    <w:rsid w:val="009E366C"/>
    <w:rsid w:val="009E3784"/>
    <w:rsid w:val="009E3AEC"/>
    <w:rsid w:val="009E3BA9"/>
    <w:rsid w:val="009E3EAD"/>
    <w:rsid w:val="009E3EFC"/>
    <w:rsid w:val="009E42A9"/>
    <w:rsid w:val="009E433A"/>
    <w:rsid w:val="009E43B4"/>
    <w:rsid w:val="009E45D4"/>
    <w:rsid w:val="009E46A7"/>
    <w:rsid w:val="009E47D7"/>
    <w:rsid w:val="009E4BE8"/>
    <w:rsid w:val="009E4DCC"/>
    <w:rsid w:val="009E4E22"/>
    <w:rsid w:val="009E50C2"/>
    <w:rsid w:val="009E50F0"/>
    <w:rsid w:val="009E5354"/>
    <w:rsid w:val="009E5358"/>
    <w:rsid w:val="009E5714"/>
    <w:rsid w:val="009E581D"/>
    <w:rsid w:val="009E5C31"/>
    <w:rsid w:val="009E5D99"/>
    <w:rsid w:val="009E600A"/>
    <w:rsid w:val="009E61C8"/>
    <w:rsid w:val="009E628A"/>
    <w:rsid w:val="009E6502"/>
    <w:rsid w:val="009E683E"/>
    <w:rsid w:val="009E6C83"/>
    <w:rsid w:val="009E7165"/>
    <w:rsid w:val="009E746B"/>
    <w:rsid w:val="009E79B5"/>
    <w:rsid w:val="009E7A78"/>
    <w:rsid w:val="009F01F8"/>
    <w:rsid w:val="009F0607"/>
    <w:rsid w:val="009F0778"/>
    <w:rsid w:val="009F07D9"/>
    <w:rsid w:val="009F0FE9"/>
    <w:rsid w:val="009F1476"/>
    <w:rsid w:val="009F1C16"/>
    <w:rsid w:val="009F1C2D"/>
    <w:rsid w:val="009F2022"/>
    <w:rsid w:val="009F2206"/>
    <w:rsid w:val="009F2282"/>
    <w:rsid w:val="009F2484"/>
    <w:rsid w:val="009F248C"/>
    <w:rsid w:val="009F2579"/>
    <w:rsid w:val="009F29D2"/>
    <w:rsid w:val="009F2D39"/>
    <w:rsid w:val="009F2EA9"/>
    <w:rsid w:val="009F35A3"/>
    <w:rsid w:val="009F3A7B"/>
    <w:rsid w:val="009F3B05"/>
    <w:rsid w:val="009F3B73"/>
    <w:rsid w:val="009F3C4B"/>
    <w:rsid w:val="009F45C3"/>
    <w:rsid w:val="009F4729"/>
    <w:rsid w:val="009F494F"/>
    <w:rsid w:val="009F4C0A"/>
    <w:rsid w:val="009F4FE3"/>
    <w:rsid w:val="009F535A"/>
    <w:rsid w:val="009F53B6"/>
    <w:rsid w:val="009F54AB"/>
    <w:rsid w:val="009F589F"/>
    <w:rsid w:val="009F5AC0"/>
    <w:rsid w:val="009F5BED"/>
    <w:rsid w:val="009F5C0D"/>
    <w:rsid w:val="009F5C19"/>
    <w:rsid w:val="009F5DCE"/>
    <w:rsid w:val="009F5E6B"/>
    <w:rsid w:val="009F603D"/>
    <w:rsid w:val="009F60D9"/>
    <w:rsid w:val="009F6E55"/>
    <w:rsid w:val="009F7195"/>
    <w:rsid w:val="009F728C"/>
    <w:rsid w:val="009F7809"/>
    <w:rsid w:val="009F7C4F"/>
    <w:rsid w:val="009F7C66"/>
    <w:rsid w:val="009F7C90"/>
    <w:rsid w:val="009F7D1F"/>
    <w:rsid w:val="009F7F6F"/>
    <w:rsid w:val="00A00246"/>
    <w:rsid w:val="00A00537"/>
    <w:rsid w:val="00A00A0F"/>
    <w:rsid w:val="00A00B29"/>
    <w:rsid w:val="00A00EF6"/>
    <w:rsid w:val="00A01375"/>
    <w:rsid w:val="00A013E9"/>
    <w:rsid w:val="00A01630"/>
    <w:rsid w:val="00A016ED"/>
    <w:rsid w:val="00A018AB"/>
    <w:rsid w:val="00A01978"/>
    <w:rsid w:val="00A0203A"/>
    <w:rsid w:val="00A020F3"/>
    <w:rsid w:val="00A02259"/>
    <w:rsid w:val="00A02408"/>
    <w:rsid w:val="00A02459"/>
    <w:rsid w:val="00A026EB"/>
    <w:rsid w:val="00A02968"/>
    <w:rsid w:val="00A02F78"/>
    <w:rsid w:val="00A02F9B"/>
    <w:rsid w:val="00A032FF"/>
    <w:rsid w:val="00A034A0"/>
    <w:rsid w:val="00A038D7"/>
    <w:rsid w:val="00A03ABF"/>
    <w:rsid w:val="00A03F6E"/>
    <w:rsid w:val="00A04176"/>
    <w:rsid w:val="00A04784"/>
    <w:rsid w:val="00A048C8"/>
    <w:rsid w:val="00A0493D"/>
    <w:rsid w:val="00A04B5D"/>
    <w:rsid w:val="00A04BD8"/>
    <w:rsid w:val="00A04CDD"/>
    <w:rsid w:val="00A056C0"/>
    <w:rsid w:val="00A059CE"/>
    <w:rsid w:val="00A05C68"/>
    <w:rsid w:val="00A05CAD"/>
    <w:rsid w:val="00A06437"/>
    <w:rsid w:val="00A06AB0"/>
    <w:rsid w:val="00A06D62"/>
    <w:rsid w:val="00A06DA8"/>
    <w:rsid w:val="00A07068"/>
    <w:rsid w:val="00A0739F"/>
    <w:rsid w:val="00A07573"/>
    <w:rsid w:val="00A07633"/>
    <w:rsid w:val="00A0775E"/>
    <w:rsid w:val="00A07929"/>
    <w:rsid w:val="00A07933"/>
    <w:rsid w:val="00A07BEA"/>
    <w:rsid w:val="00A07CF1"/>
    <w:rsid w:val="00A07E66"/>
    <w:rsid w:val="00A07FEB"/>
    <w:rsid w:val="00A1005E"/>
    <w:rsid w:val="00A10266"/>
    <w:rsid w:val="00A10A0F"/>
    <w:rsid w:val="00A10B3B"/>
    <w:rsid w:val="00A10BF3"/>
    <w:rsid w:val="00A10C91"/>
    <w:rsid w:val="00A10DFA"/>
    <w:rsid w:val="00A11172"/>
    <w:rsid w:val="00A11247"/>
    <w:rsid w:val="00A112E6"/>
    <w:rsid w:val="00A116E3"/>
    <w:rsid w:val="00A1181F"/>
    <w:rsid w:val="00A1197F"/>
    <w:rsid w:val="00A11D7D"/>
    <w:rsid w:val="00A12392"/>
    <w:rsid w:val="00A123C8"/>
    <w:rsid w:val="00A123FC"/>
    <w:rsid w:val="00A12604"/>
    <w:rsid w:val="00A128CE"/>
    <w:rsid w:val="00A13291"/>
    <w:rsid w:val="00A13355"/>
    <w:rsid w:val="00A134B6"/>
    <w:rsid w:val="00A137E2"/>
    <w:rsid w:val="00A1380A"/>
    <w:rsid w:val="00A1392D"/>
    <w:rsid w:val="00A13B68"/>
    <w:rsid w:val="00A145BA"/>
    <w:rsid w:val="00A147F7"/>
    <w:rsid w:val="00A14863"/>
    <w:rsid w:val="00A14C37"/>
    <w:rsid w:val="00A1500E"/>
    <w:rsid w:val="00A150DF"/>
    <w:rsid w:val="00A151CC"/>
    <w:rsid w:val="00A152A9"/>
    <w:rsid w:val="00A15508"/>
    <w:rsid w:val="00A157EE"/>
    <w:rsid w:val="00A1609F"/>
    <w:rsid w:val="00A16213"/>
    <w:rsid w:val="00A16272"/>
    <w:rsid w:val="00A1650D"/>
    <w:rsid w:val="00A166A6"/>
    <w:rsid w:val="00A1683D"/>
    <w:rsid w:val="00A16CF7"/>
    <w:rsid w:val="00A16D12"/>
    <w:rsid w:val="00A1704C"/>
    <w:rsid w:val="00A17311"/>
    <w:rsid w:val="00A17359"/>
    <w:rsid w:val="00A17379"/>
    <w:rsid w:val="00A17704"/>
    <w:rsid w:val="00A1771A"/>
    <w:rsid w:val="00A1792B"/>
    <w:rsid w:val="00A17DB3"/>
    <w:rsid w:val="00A17E76"/>
    <w:rsid w:val="00A17EE1"/>
    <w:rsid w:val="00A17F43"/>
    <w:rsid w:val="00A17F58"/>
    <w:rsid w:val="00A202BF"/>
    <w:rsid w:val="00A20E30"/>
    <w:rsid w:val="00A20F8D"/>
    <w:rsid w:val="00A212A7"/>
    <w:rsid w:val="00A21577"/>
    <w:rsid w:val="00A21711"/>
    <w:rsid w:val="00A218ED"/>
    <w:rsid w:val="00A21A47"/>
    <w:rsid w:val="00A21F23"/>
    <w:rsid w:val="00A22051"/>
    <w:rsid w:val="00A2207E"/>
    <w:rsid w:val="00A221BA"/>
    <w:rsid w:val="00A225FB"/>
    <w:rsid w:val="00A22F3E"/>
    <w:rsid w:val="00A2358B"/>
    <w:rsid w:val="00A236E1"/>
    <w:rsid w:val="00A238D9"/>
    <w:rsid w:val="00A23FB9"/>
    <w:rsid w:val="00A247C3"/>
    <w:rsid w:val="00A2480C"/>
    <w:rsid w:val="00A24987"/>
    <w:rsid w:val="00A24AFD"/>
    <w:rsid w:val="00A24D7B"/>
    <w:rsid w:val="00A24E46"/>
    <w:rsid w:val="00A24F88"/>
    <w:rsid w:val="00A24F8F"/>
    <w:rsid w:val="00A24FB4"/>
    <w:rsid w:val="00A25454"/>
    <w:rsid w:val="00A254C8"/>
    <w:rsid w:val="00A25750"/>
    <w:rsid w:val="00A257B8"/>
    <w:rsid w:val="00A25850"/>
    <w:rsid w:val="00A258D9"/>
    <w:rsid w:val="00A258DF"/>
    <w:rsid w:val="00A2594F"/>
    <w:rsid w:val="00A25D6E"/>
    <w:rsid w:val="00A25DEB"/>
    <w:rsid w:val="00A25F95"/>
    <w:rsid w:val="00A26031"/>
    <w:rsid w:val="00A26114"/>
    <w:rsid w:val="00A26251"/>
    <w:rsid w:val="00A26585"/>
    <w:rsid w:val="00A26766"/>
    <w:rsid w:val="00A26800"/>
    <w:rsid w:val="00A268E8"/>
    <w:rsid w:val="00A269CC"/>
    <w:rsid w:val="00A270B3"/>
    <w:rsid w:val="00A27166"/>
    <w:rsid w:val="00A277CF"/>
    <w:rsid w:val="00A277F0"/>
    <w:rsid w:val="00A2786D"/>
    <w:rsid w:val="00A27A78"/>
    <w:rsid w:val="00A27D4D"/>
    <w:rsid w:val="00A27E1E"/>
    <w:rsid w:val="00A27F57"/>
    <w:rsid w:val="00A30003"/>
    <w:rsid w:val="00A302F4"/>
    <w:rsid w:val="00A30980"/>
    <w:rsid w:val="00A30A17"/>
    <w:rsid w:val="00A30B80"/>
    <w:rsid w:val="00A30B9F"/>
    <w:rsid w:val="00A30BE6"/>
    <w:rsid w:val="00A30F3D"/>
    <w:rsid w:val="00A30FDD"/>
    <w:rsid w:val="00A31212"/>
    <w:rsid w:val="00A31279"/>
    <w:rsid w:val="00A314CF"/>
    <w:rsid w:val="00A315F5"/>
    <w:rsid w:val="00A31735"/>
    <w:rsid w:val="00A317AB"/>
    <w:rsid w:val="00A31A9D"/>
    <w:rsid w:val="00A31B5A"/>
    <w:rsid w:val="00A32119"/>
    <w:rsid w:val="00A32314"/>
    <w:rsid w:val="00A327FA"/>
    <w:rsid w:val="00A32995"/>
    <w:rsid w:val="00A32C4D"/>
    <w:rsid w:val="00A32E07"/>
    <w:rsid w:val="00A32F7D"/>
    <w:rsid w:val="00A33019"/>
    <w:rsid w:val="00A332EB"/>
    <w:rsid w:val="00A339DB"/>
    <w:rsid w:val="00A33C08"/>
    <w:rsid w:val="00A33CA3"/>
    <w:rsid w:val="00A34333"/>
    <w:rsid w:val="00A34781"/>
    <w:rsid w:val="00A347DA"/>
    <w:rsid w:val="00A34936"/>
    <w:rsid w:val="00A34C30"/>
    <w:rsid w:val="00A34D2D"/>
    <w:rsid w:val="00A34EEB"/>
    <w:rsid w:val="00A35139"/>
    <w:rsid w:val="00A35231"/>
    <w:rsid w:val="00A352ED"/>
    <w:rsid w:val="00A354AA"/>
    <w:rsid w:val="00A3554B"/>
    <w:rsid w:val="00A357F7"/>
    <w:rsid w:val="00A35872"/>
    <w:rsid w:val="00A35959"/>
    <w:rsid w:val="00A35CFE"/>
    <w:rsid w:val="00A35DDE"/>
    <w:rsid w:val="00A35E8D"/>
    <w:rsid w:val="00A35ECC"/>
    <w:rsid w:val="00A360DC"/>
    <w:rsid w:val="00A361F5"/>
    <w:rsid w:val="00A3658E"/>
    <w:rsid w:val="00A36823"/>
    <w:rsid w:val="00A36907"/>
    <w:rsid w:val="00A370CD"/>
    <w:rsid w:val="00A370EA"/>
    <w:rsid w:val="00A3743A"/>
    <w:rsid w:val="00A374A8"/>
    <w:rsid w:val="00A37BEB"/>
    <w:rsid w:val="00A37D4F"/>
    <w:rsid w:val="00A37E11"/>
    <w:rsid w:val="00A40159"/>
    <w:rsid w:val="00A40BE4"/>
    <w:rsid w:val="00A40C35"/>
    <w:rsid w:val="00A40DDD"/>
    <w:rsid w:val="00A4110F"/>
    <w:rsid w:val="00A41180"/>
    <w:rsid w:val="00A417B0"/>
    <w:rsid w:val="00A417CE"/>
    <w:rsid w:val="00A41823"/>
    <w:rsid w:val="00A41BCD"/>
    <w:rsid w:val="00A41C83"/>
    <w:rsid w:val="00A424E5"/>
    <w:rsid w:val="00A42809"/>
    <w:rsid w:val="00A42A04"/>
    <w:rsid w:val="00A42A91"/>
    <w:rsid w:val="00A42BC9"/>
    <w:rsid w:val="00A42C27"/>
    <w:rsid w:val="00A42C5E"/>
    <w:rsid w:val="00A43195"/>
    <w:rsid w:val="00A4342F"/>
    <w:rsid w:val="00A4348D"/>
    <w:rsid w:val="00A43D78"/>
    <w:rsid w:val="00A43FF9"/>
    <w:rsid w:val="00A4407F"/>
    <w:rsid w:val="00A44129"/>
    <w:rsid w:val="00A4413A"/>
    <w:rsid w:val="00A4454E"/>
    <w:rsid w:val="00A4485F"/>
    <w:rsid w:val="00A448CB"/>
    <w:rsid w:val="00A44CF4"/>
    <w:rsid w:val="00A45198"/>
    <w:rsid w:val="00A4519A"/>
    <w:rsid w:val="00A451BD"/>
    <w:rsid w:val="00A454E1"/>
    <w:rsid w:val="00A45E7F"/>
    <w:rsid w:val="00A45F54"/>
    <w:rsid w:val="00A462B2"/>
    <w:rsid w:val="00A46326"/>
    <w:rsid w:val="00A463B4"/>
    <w:rsid w:val="00A46521"/>
    <w:rsid w:val="00A4672F"/>
    <w:rsid w:val="00A4677F"/>
    <w:rsid w:val="00A46B37"/>
    <w:rsid w:val="00A46DF5"/>
    <w:rsid w:val="00A46E31"/>
    <w:rsid w:val="00A46F0A"/>
    <w:rsid w:val="00A470DB"/>
    <w:rsid w:val="00A47424"/>
    <w:rsid w:val="00A474E3"/>
    <w:rsid w:val="00A4768A"/>
    <w:rsid w:val="00A47A14"/>
    <w:rsid w:val="00A47BA6"/>
    <w:rsid w:val="00A503F4"/>
    <w:rsid w:val="00A50EF2"/>
    <w:rsid w:val="00A5193D"/>
    <w:rsid w:val="00A519A4"/>
    <w:rsid w:val="00A521C2"/>
    <w:rsid w:val="00A52301"/>
    <w:rsid w:val="00A5281F"/>
    <w:rsid w:val="00A5288A"/>
    <w:rsid w:val="00A52970"/>
    <w:rsid w:val="00A52B52"/>
    <w:rsid w:val="00A53422"/>
    <w:rsid w:val="00A534EF"/>
    <w:rsid w:val="00A538C7"/>
    <w:rsid w:val="00A539DA"/>
    <w:rsid w:val="00A53A46"/>
    <w:rsid w:val="00A53A9B"/>
    <w:rsid w:val="00A53BD8"/>
    <w:rsid w:val="00A54248"/>
    <w:rsid w:val="00A543F8"/>
    <w:rsid w:val="00A54B8C"/>
    <w:rsid w:val="00A54BB8"/>
    <w:rsid w:val="00A54CFD"/>
    <w:rsid w:val="00A550AE"/>
    <w:rsid w:val="00A55210"/>
    <w:rsid w:val="00A555E8"/>
    <w:rsid w:val="00A55653"/>
    <w:rsid w:val="00A55787"/>
    <w:rsid w:val="00A5588C"/>
    <w:rsid w:val="00A5596D"/>
    <w:rsid w:val="00A56284"/>
    <w:rsid w:val="00A567D7"/>
    <w:rsid w:val="00A56801"/>
    <w:rsid w:val="00A56823"/>
    <w:rsid w:val="00A568FB"/>
    <w:rsid w:val="00A57124"/>
    <w:rsid w:val="00A578A8"/>
    <w:rsid w:val="00A57AB0"/>
    <w:rsid w:val="00A57CB7"/>
    <w:rsid w:val="00A601A1"/>
    <w:rsid w:val="00A602B9"/>
    <w:rsid w:val="00A6045F"/>
    <w:rsid w:val="00A60522"/>
    <w:rsid w:val="00A60834"/>
    <w:rsid w:val="00A6088C"/>
    <w:rsid w:val="00A6092E"/>
    <w:rsid w:val="00A60C1B"/>
    <w:rsid w:val="00A60D5D"/>
    <w:rsid w:val="00A61099"/>
    <w:rsid w:val="00A6134B"/>
    <w:rsid w:val="00A616A3"/>
    <w:rsid w:val="00A616DA"/>
    <w:rsid w:val="00A61B19"/>
    <w:rsid w:val="00A61CE0"/>
    <w:rsid w:val="00A6204B"/>
    <w:rsid w:val="00A62180"/>
    <w:rsid w:val="00A6285C"/>
    <w:rsid w:val="00A6287F"/>
    <w:rsid w:val="00A629C2"/>
    <w:rsid w:val="00A62BAF"/>
    <w:rsid w:val="00A62C7B"/>
    <w:rsid w:val="00A62E7B"/>
    <w:rsid w:val="00A63386"/>
    <w:rsid w:val="00A63397"/>
    <w:rsid w:val="00A63487"/>
    <w:rsid w:val="00A6397F"/>
    <w:rsid w:val="00A63ABF"/>
    <w:rsid w:val="00A63DC9"/>
    <w:rsid w:val="00A63F68"/>
    <w:rsid w:val="00A640FA"/>
    <w:rsid w:val="00A641A4"/>
    <w:rsid w:val="00A6429A"/>
    <w:rsid w:val="00A6464A"/>
    <w:rsid w:val="00A647D7"/>
    <w:rsid w:val="00A649D7"/>
    <w:rsid w:val="00A64BC4"/>
    <w:rsid w:val="00A64C5A"/>
    <w:rsid w:val="00A64C88"/>
    <w:rsid w:val="00A64F55"/>
    <w:rsid w:val="00A651CB"/>
    <w:rsid w:val="00A65360"/>
    <w:rsid w:val="00A657AA"/>
    <w:rsid w:val="00A657B5"/>
    <w:rsid w:val="00A6591A"/>
    <w:rsid w:val="00A6595D"/>
    <w:rsid w:val="00A65E39"/>
    <w:rsid w:val="00A663CC"/>
    <w:rsid w:val="00A6645E"/>
    <w:rsid w:val="00A669DB"/>
    <w:rsid w:val="00A66E15"/>
    <w:rsid w:val="00A66E51"/>
    <w:rsid w:val="00A671AB"/>
    <w:rsid w:val="00A67367"/>
    <w:rsid w:val="00A673DA"/>
    <w:rsid w:val="00A67666"/>
    <w:rsid w:val="00A6774F"/>
    <w:rsid w:val="00A67BC3"/>
    <w:rsid w:val="00A67E6C"/>
    <w:rsid w:val="00A67EA6"/>
    <w:rsid w:val="00A70617"/>
    <w:rsid w:val="00A7075F"/>
    <w:rsid w:val="00A70C04"/>
    <w:rsid w:val="00A70E2B"/>
    <w:rsid w:val="00A712D0"/>
    <w:rsid w:val="00A713D3"/>
    <w:rsid w:val="00A71417"/>
    <w:rsid w:val="00A714B5"/>
    <w:rsid w:val="00A717FE"/>
    <w:rsid w:val="00A7198D"/>
    <w:rsid w:val="00A71B0D"/>
    <w:rsid w:val="00A71C63"/>
    <w:rsid w:val="00A723BD"/>
    <w:rsid w:val="00A729D6"/>
    <w:rsid w:val="00A72F6C"/>
    <w:rsid w:val="00A72F71"/>
    <w:rsid w:val="00A73156"/>
    <w:rsid w:val="00A73961"/>
    <w:rsid w:val="00A739D4"/>
    <w:rsid w:val="00A73AAB"/>
    <w:rsid w:val="00A73CFE"/>
    <w:rsid w:val="00A741E3"/>
    <w:rsid w:val="00A741FF"/>
    <w:rsid w:val="00A7421C"/>
    <w:rsid w:val="00A743AC"/>
    <w:rsid w:val="00A743FD"/>
    <w:rsid w:val="00A744CA"/>
    <w:rsid w:val="00A747BF"/>
    <w:rsid w:val="00A7494E"/>
    <w:rsid w:val="00A75037"/>
    <w:rsid w:val="00A756FA"/>
    <w:rsid w:val="00A758D3"/>
    <w:rsid w:val="00A75AF7"/>
    <w:rsid w:val="00A75C39"/>
    <w:rsid w:val="00A75DAC"/>
    <w:rsid w:val="00A75EF6"/>
    <w:rsid w:val="00A76A5E"/>
    <w:rsid w:val="00A76D7B"/>
    <w:rsid w:val="00A76F18"/>
    <w:rsid w:val="00A770BF"/>
    <w:rsid w:val="00A77161"/>
    <w:rsid w:val="00A774AB"/>
    <w:rsid w:val="00A77C70"/>
    <w:rsid w:val="00A77E00"/>
    <w:rsid w:val="00A77FC3"/>
    <w:rsid w:val="00A8009D"/>
    <w:rsid w:val="00A802BE"/>
    <w:rsid w:val="00A8064D"/>
    <w:rsid w:val="00A80812"/>
    <w:rsid w:val="00A80CF1"/>
    <w:rsid w:val="00A80E7B"/>
    <w:rsid w:val="00A80FFC"/>
    <w:rsid w:val="00A813A4"/>
    <w:rsid w:val="00A81487"/>
    <w:rsid w:val="00A815CA"/>
    <w:rsid w:val="00A817F4"/>
    <w:rsid w:val="00A8183C"/>
    <w:rsid w:val="00A81980"/>
    <w:rsid w:val="00A81C30"/>
    <w:rsid w:val="00A81DEA"/>
    <w:rsid w:val="00A81E6C"/>
    <w:rsid w:val="00A81EFA"/>
    <w:rsid w:val="00A823BD"/>
    <w:rsid w:val="00A8255A"/>
    <w:rsid w:val="00A82857"/>
    <w:rsid w:val="00A82A7C"/>
    <w:rsid w:val="00A83198"/>
    <w:rsid w:val="00A832A6"/>
    <w:rsid w:val="00A834F4"/>
    <w:rsid w:val="00A836C4"/>
    <w:rsid w:val="00A8376E"/>
    <w:rsid w:val="00A837D5"/>
    <w:rsid w:val="00A8385D"/>
    <w:rsid w:val="00A844DD"/>
    <w:rsid w:val="00A84AA4"/>
    <w:rsid w:val="00A84AC5"/>
    <w:rsid w:val="00A84B32"/>
    <w:rsid w:val="00A84C48"/>
    <w:rsid w:val="00A85157"/>
    <w:rsid w:val="00A85166"/>
    <w:rsid w:val="00A8537F"/>
    <w:rsid w:val="00A854BE"/>
    <w:rsid w:val="00A8556A"/>
    <w:rsid w:val="00A858BC"/>
    <w:rsid w:val="00A85B7D"/>
    <w:rsid w:val="00A85CE4"/>
    <w:rsid w:val="00A85D6C"/>
    <w:rsid w:val="00A85DDA"/>
    <w:rsid w:val="00A86127"/>
    <w:rsid w:val="00A86332"/>
    <w:rsid w:val="00A86374"/>
    <w:rsid w:val="00A867E8"/>
    <w:rsid w:val="00A8694E"/>
    <w:rsid w:val="00A86B88"/>
    <w:rsid w:val="00A86DCA"/>
    <w:rsid w:val="00A87115"/>
    <w:rsid w:val="00A871A9"/>
    <w:rsid w:val="00A871B7"/>
    <w:rsid w:val="00A87264"/>
    <w:rsid w:val="00A8765A"/>
    <w:rsid w:val="00A8791D"/>
    <w:rsid w:val="00A87BF6"/>
    <w:rsid w:val="00A87F8B"/>
    <w:rsid w:val="00A9036C"/>
    <w:rsid w:val="00A903C8"/>
    <w:rsid w:val="00A906DD"/>
    <w:rsid w:val="00A9073F"/>
    <w:rsid w:val="00A90BE7"/>
    <w:rsid w:val="00A90CA2"/>
    <w:rsid w:val="00A9100C"/>
    <w:rsid w:val="00A910D7"/>
    <w:rsid w:val="00A914AD"/>
    <w:rsid w:val="00A9165A"/>
    <w:rsid w:val="00A9173A"/>
    <w:rsid w:val="00A91970"/>
    <w:rsid w:val="00A91A33"/>
    <w:rsid w:val="00A91B1B"/>
    <w:rsid w:val="00A91E9D"/>
    <w:rsid w:val="00A91F8C"/>
    <w:rsid w:val="00A921C5"/>
    <w:rsid w:val="00A92944"/>
    <w:rsid w:val="00A92953"/>
    <w:rsid w:val="00A92D4D"/>
    <w:rsid w:val="00A92DA3"/>
    <w:rsid w:val="00A92EB5"/>
    <w:rsid w:val="00A930F0"/>
    <w:rsid w:val="00A9310C"/>
    <w:rsid w:val="00A93705"/>
    <w:rsid w:val="00A93B9C"/>
    <w:rsid w:val="00A93CDA"/>
    <w:rsid w:val="00A93DA1"/>
    <w:rsid w:val="00A93E94"/>
    <w:rsid w:val="00A93F2C"/>
    <w:rsid w:val="00A93FE5"/>
    <w:rsid w:val="00A94129"/>
    <w:rsid w:val="00A943FF"/>
    <w:rsid w:val="00A94562"/>
    <w:rsid w:val="00A94CC8"/>
    <w:rsid w:val="00A95016"/>
    <w:rsid w:val="00A950E7"/>
    <w:rsid w:val="00A9524E"/>
    <w:rsid w:val="00A95291"/>
    <w:rsid w:val="00A952A3"/>
    <w:rsid w:val="00A953FB"/>
    <w:rsid w:val="00A954A0"/>
    <w:rsid w:val="00A956EE"/>
    <w:rsid w:val="00A958E0"/>
    <w:rsid w:val="00A95C6E"/>
    <w:rsid w:val="00A95E16"/>
    <w:rsid w:val="00A960BB"/>
    <w:rsid w:val="00A962E5"/>
    <w:rsid w:val="00A965B5"/>
    <w:rsid w:val="00A965E5"/>
    <w:rsid w:val="00A9698D"/>
    <w:rsid w:val="00A96A6B"/>
    <w:rsid w:val="00A972D5"/>
    <w:rsid w:val="00A979D2"/>
    <w:rsid w:val="00A97FE1"/>
    <w:rsid w:val="00AA01D1"/>
    <w:rsid w:val="00AA024B"/>
    <w:rsid w:val="00AA0A0B"/>
    <w:rsid w:val="00AA0D2E"/>
    <w:rsid w:val="00AA0D8E"/>
    <w:rsid w:val="00AA0FD2"/>
    <w:rsid w:val="00AA12E2"/>
    <w:rsid w:val="00AA1441"/>
    <w:rsid w:val="00AA16D0"/>
    <w:rsid w:val="00AA1ACA"/>
    <w:rsid w:val="00AA1F78"/>
    <w:rsid w:val="00AA2699"/>
    <w:rsid w:val="00AA296F"/>
    <w:rsid w:val="00AA2A1F"/>
    <w:rsid w:val="00AA2A45"/>
    <w:rsid w:val="00AA2A8E"/>
    <w:rsid w:val="00AA2A94"/>
    <w:rsid w:val="00AA2B39"/>
    <w:rsid w:val="00AA2ECF"/>
    <w:rsid w:val="00AA2F07"/>
    <w:rsid w:val="00AA2F18"/>
    <w:rsid w:val="00AA347F"/>
    <w:rsid w:val="00AA36AF"/>
    <w:rsid w:val="00AA3938"/>
    <w:rsid w:val="00AA3DA4"/>
    <w:rsid w:val="00AA4298"/>
    <w:rsid w:val="00AA435D"/>
    <w:rsid w:val="00AA45DB"/>
    <w:rsid w:val="00AA4614"/>
    <w:rsid w:val="00AA4747"/>
    <w:rsid w:val="00AA4896"/>
    <w:rsid w:val="00AA4962"/>
    <w:rsid w:val="00AA4981"/>
    <w:rsid w:val="00AA4ACE"/>
    <w:rsid w:val="00AA4B48"/>
    <w:rsid w:val="00AA4D4C"/>
    <w:rsid w:val="00AA4E55"/>
    <w:rsid w:val="00AA526B"/>
    <w:rsid w:val="00AA528B"/>
    <w:rsid w:val="00AA5401"/>
    <w:rsid w:val="00AA56E3"/>
    <w:rsid w:val="00AA5950"/>
    <w:rsid w:val="00AA5F6F"/>
    <w:rsid w:val="00AA5F8A"/>
    <w:rsid w:val="00AA6261"/>
    <w:rsid w:val="00AA66C3"/>
    <w:rsid w:val="00AA66DA"/>
    <w:rsid w:val="00AA6D54"/>
    <w:rsid w:val="00AA6F89"/>
    <w:rsid w:val="00AA714F"/>
    <w:rsid w:val="00AA7391"/>
    <w:rsid w:val="00AA7472"/>
    <w:rsid w:val="00AA7533"/>
    <w:rsid w:val="00AA7727"/>
    <w:rsid w:val="00AA7DB7"/>
    <w:rsid w:val="00AB060C"/>
    <w:rsid w:val="00AB0842"/>
    <w:rsid w:val="00AB09B7"/>
    <w:rsid w:val="00AB0EB7"/>
    <w:rsid w:val="00AB13F6"/>
    <w:rsid w:val="00AB150C"/>
    <w:rsid w:val="00AB17F5"/>
    <w:rsid w:val="00AB1C71"/>
    <w:rsid w:val="00AB1C7B"/>
    <w:rsid w:val="00AB1E03"/>
    <w:rsid w:val="00AB1E27"/>
    <w:rsid w:val="00AB1E4B"/>
    <w:rsid w:val="00AB2152"/>
    <w:rsid w:val="00AB228A"/>
    <w:rsid w:val="00AB22D4"/>
    <w:rsid w:val="00AB233D"/>
    <w:rsid w:val="00AB2392"/>
    <w:rsid w:val="00AB2397"/>
    <w:rsid w:val="00AB247C"/>
    <w:rsid w:val="00AB25F2"/>
    <w:rsid w:val="00AB2780"/>
    <w:rsid w:val="00AB29E5"/>
    <w:rsid w:val="00AB2F11"/>
    <w:rsid w:val="00AB3252"/>
    <w:rsid w:val="00AB3667"/>
    <w:rsid w:val="00AB385A"/>
    <w:rsid w:val="00AB3927"/>
    <w:rsid w:val="00AB3ECD"/>
    <w:rsid w:val="00AB4300"/>
    <w:rsid w:val="00AB441E"/>
    <w:rsid w:val="00AB49A2"/>
    <w:rsid w:val="00AB4D73"/>
    <w:rsid w:val="00AB4DB3"/>
    <w:rsid w:val="00AB5150"/>
    <w:rsid w:val="00AB5991"/>
    <w:rsid w:val="00AB5ED0"/>
    <w:rsid w:val="00AB6164"/>
    <w:rsid w:val="00AB668A"/>
    <w:rsid w:val="00AB690C"/>
    <w:rsid w:val="00AB6C76"/>
    <w:rsid w:val="00AB6F49"/>
    <w:rsid w:val="00AB6FBA"/>
    <w:rsid w:val="00AB7392"/>
    <w:rsid w:val="00AB75EE"/>
    <w:rsid w:val="00AB760F"/>
    <w:rsid w:val="00AB7726"/>
    <w:rsid w:val="00AB79DD"/>
    <w:rsid w:val="00AB79EC"/>
    <w:rsid w:val="00AB7A55"/>
    <w:rsid w:val="00AB7CC6"/>
    <w:rsid w:val="00AB7E1B"/>
    <w:rsid w:val="00AB7EE1"/>
    <w:rsid w:val="00AB7FC7"/>
    <w:rsid w:val="00AC010C"/>
    <w:rsid w:val="00AC0658"/>
    <w:rsid w:val="00AC0A7B"/>
    <w:rsid w:val="00AC0A93"/>
    <w:rsid w:val="00AC0AB2"/>
    <w:rsid w:val="00AC0B5C"/>
    <w:rsid w:val="00AC0D02"/>
    <w:rsid w:val="00AC0E2C"/>
    <w:rsid w:val="00AC0FF9"/>
    <w:rsid w:val="00AC115A"/>
    <w:rsid w:val="00AC1736"/>
    <w:rsid w:val="00AC1E3C"/>
    <w:rsid w:val="00AC2086"/>
    <w:rsid w:val="00AC2610"/>
    <w:rsid w:val="00AC2C8E"/>
    <w:rsid w:val="00AC2F15"/>
    <w:rsid w:val="00AC30F5"/>
    <w:rsid w:val="00AC324E"/>
    <w:rsid w:val="00AC340A"/>
    <w:rsid w:val="00AC3593"/>
    <w:rsid w:val="00AC3601"/>
    <w:rsid w:val="00AC39A5"/>
    <w:rsid w:val="00AC42B5"/>
    <w:rsid w:val="00AC4617"/>
    <w:rsid w:val="00AC46D2"/>
    <w:rsid w:val="00AC48BD"/>
    <w:rsid w:val="00AC4BFE"/>
    <w:rsid w:val="00AC4C98"/>
    <w:rsid w:val="00AC55FD"/>
    <w:rsid w:val="00AC5754"/>
    <w:rsid w:val="00AC57DD"/>
    <w:rsid w:val="00AC58FA"/>
    <w:rsid w:val="00AC5A50"/>
    <w:rsid w:val="00AC5AD3"/>
    <w:rsid w:val="00AC5E06"/>
    <w:rsid w:val="00AC5F42"/>
    <w:rsid w:val="00AC5F66"/>
    <w:rsid w:val="00AC5F91"/>
    <w:rsid w:val="00AC635D"/>
    <w:rsid w:val="00AC638E"/>
    <w:rsid w:val="00AC657D"/>
    <w:rsid w:val="00AC68EF"/>
    <w:rsid w:val="00AC7014"/>
    <w:rsid w:val="00AC710F"/>
    <w:rsid w:val="00AC715B"/>
    <w:rsid w:val="00AC7197"/>
    <w:rsid w:val="00AC738E"/>
    <w:rsid w:val="00AC766F"/>
    <w:rsid w:val="00AC7796"/>
    <w:rsid w:val="00AC79AC"/>
    <w:rsid w:val="00AC7E5B"/>
    <w:rsid w:val="00AC7ED0"/>
    <w:rsid w:val="00AD0034"/>
    <w:rsid w:val="00AD00A8"/>
    <w:rsid w:val="00AD016C"/>
    <w:rsid w:val="00AD0310"/>
    <w:rsid w:val="00AD05A7"/>
    <w:rsid w:val="00AD07CE"/>
    <w:rsid w:val="00AD07EA"/>
    <w:rsid w:val="00AD098C"/>
    <w:rsid w:val="00AD0A34"/>
    <w:rsid w:val="00AD0A92"/>
    <w:rsid w:val="00AD0AF1"/>
    <w:rsid w:val="00AD0EE3"/>
    <w:rsid w:val="00AD0FD7"/>
    <w:rsid w:val="00AD1274"/>
    <w:rsid w:val="00AD1393"/>
    <w:rsid w:val="00AD18DA"/>
    <w:rsid w:val="00AD19BB"/>
    <w:rsid w:val="00AD1A85"/>
    <w:rsid w:val="00AD1B13"/>
    <w:rsid w:val="00AD1C30"/>
    <w:rsid w:val="00AD1C94"/>
    <w:rsid w:val="00AD1D55"/>
    <w:rsid w:val="00AD1D72"/>
    <w:rsid w:val="00AD1E57"/>
    <w:rsid w:val="00AD1F5C"/>
    <w:rsid w:val="00AD217D"/>
    <w:rsid w:val="00AD235F"/>
    <w:rsid w:val="00AD2473"/>
    <w:rsid w:val="00AD25C0"/>
    <w:rsid w:val="00AD2690"/>
    <w:rsid w:val="00AD2727"/>
    <w:rsid w:val="00AD27F3"/>
    <w:rsid w:val="00AD289A"/>
    <w:rsid w:val="00AD2A82"/>
    <w:rsid w:val="00AD2C25"/>
    <w:rsid w:val="00AD2D28"/>
    <w:rsid w:val="00AD2D3E"/>
    <w:rsid w:val="00AD396F"/>
    <w:rsid w:val="00AD3970"/>
    <w:rsid w:val="00AD39B4"/>
    <w:rsid w:val="00AD3E50"/>
    <w:rsid w:val="00AD415C"/>
    <w:rsid w:val="00AD4373"/>
    <w:rsid w:val="00AD4399"/>
    <w:rsid w:val="00AD43C4"/>
    <w:rsid w:val="00AD496E"/>
    <w:rsid w:val="00AD4AF9"/>
    <w:rsid w:val="00AD4BD3"/>
    <w:rsid w:val="00AD4D78"/>
    <w:rsid w:val="00AD4E92"/>
    <w:rsid w:val="00AD5131"/>
    <w:rsid w:val="00AD56FE"/>
    <w:rsid w:val="00AD585E"/>
    <w:rsid w:val="00AD5903"/>
    <w:rsid w:val="00AD5A5F"/>
    <w:rsid w:val="00AD5DA1"/>
    <w:rsid w:val="00AD5DDA"/>
    <w:rsid w:val="00AD5DF4"/>
    <w:rsid w:val="00AD5E90"/>
    <w:rsid w:val="00AD5FBE"/>
    <w:rsid w:val="00AD6045"/>
    <w:rsid w:val="00AD61B5"/>
    <w:rsid w:val="00AD61D0"/>
    <w:rsid w:val="00AD6406"/>
    <w:rsid w:val="00AD6685"/>
    <w:rsid w:val="00AD6786"/>
    <w:rsid w:val="00AD6903"/>
    <w:rsid w:val="00AD6A58"/>
    <w:rsid w:val="00AD6B12"/>
    <w:rsid w:val="00AD6B50"/>
    <w:rsid w:val="00AD6C43"/>
    <w:rsid w:val="00AD6E37"/>
    <w:rsid w:val="00AD7105"/>
    <w:rsid w:val="00AD716F"/>
    <w:rsid w:val="00AD757B"/>
    <w:rsid w:val="00AD7678"/>
    <w:rsid w:val="00AD776D"/>
    <w:rsid w:val="00AD77C9"/>
    <w:rsid w:val="00AD7A8E"/>
    <w:rsid w:val="00AD7B55"/>
    <w:rsid w:val="00AD7BDA"/>
    <w:rsid w:val="00AD7D22"/>
    <w:rsid w:val="00AE03F3"/>
    <w:rsid w:val="00AE0713"/>
    <w:rsid w:val="00AE0790"/>
    <w:rsid w:val="00AE085B"/>
    <w:rsid w:val="00AE0DE9"/>
    <w:rsid w:val="00AE0EF1"/>
    <w:rsid w:val="00AE1109"/>
    <w:rsid w:val="00AE136F"/>
    <w:rsid w:val="00AE1427"/>
    <w:rsid w:val="00AE1434"/>
    <w:rsid w:val="00AE1463"/>
    <w:rsid w:val="00AE17A3"/>
    <w:rsid w:val="00AE17E0"/>
    <w:rsid w:val="00AE180A"/>
    <w:rsid w:val="00AE19AC"/>
    <w:rsid w:val="00AE1B8F"/>
    <w:rsid w:val="00AE207B"/>
    <w:rsid w:val="00AE20E9"/>
    <w:rsid w:val="00AE2658"/>
    <w:rsid w:val="00AE272D"/>
    <w:rsid w:val="00AE2A21"/>
    <w:rsid w:val="00AE2C07"/>
    <w:rsid w:val="00AE2F11"/>
    <w:rsid w:val="00AE3162"/>
    <w:rsid w:val="00AE32A9"/>
    <w:rsid w:val="00AE33B7"/>
    <w:rsid w:val="00AE38A8"/>
    <w:rsid w:val="00AE3A4B"/>
    <w:rsid w:val="00AE3A52"/>
    <w:rsid w:val="00AE3D4E"/>
    <w:rsid w:val="00AE3DB2"/>
    <w:rsid w:val="00AE3E8C"/>
    <w:rsid w:val="00AE3FF8"/>
    <w:rsid w:val="00AE4361"/>
    <w:rsid w:val="00AE4402"/>
    <w:rsid w:val="00AE4445"/>
    <w:rsid w:val="00AE44FE"/>
    <w:rsid w:val="00AE4631"/>
    <w:rsid w:val="00AE4701"/>
    <w:rsid w:val="00AE49A4"/>
    <w:rsid w:val="00AE49C1"/>
    <w:rsid w:val="00AE4C0B"/>
    <w:rsid w:val="00AE4DCE"/>
    <w:rsid w:val="00AE4F95"/>
    <w:rsid w:val="00AE4FCA"/>
    <w:rsid w:val="00AE515E"/>
    <w:rsid w:val="00AE51E8"/>
    <w:rsid w:val="00AE5A39"/>
    <w:rsid w:val="00AE5B68"/>
    <w:rsid w:val="00AE5E01"/>
    <w:rsid w:val="00AE61A8"/>
    <w:rsid w:val="00AE6354"/>
    <w:rsid w:val="00AE677A"/>
    <w:rsid w:val="00AE69F1"/>
    <w:rsid w:val="00AE6AF4"/>
    <w:rsid w:val="00AE6DD2"/>
    <w:rsid w:val="00AE7159"/>
    <w:rsid w:val="00AE78D5"/>
    <w:rsid w:val="00AE7940"/>
    <w:rsid w:val="00AE7B86"/>
    <w:rsid w:val="00AE7F52"/>
    <w:rsid w:val="00AF0074"/>
    <w:rsid w:val="00AF02F1"/>
    <w:rsid w:val="00AF0917"/>
    <w:rsid w:val="00AF0A89"/>
    <w:rsid w:val="00AF0B0F"/>
    <w:rsid w:val="00AF0C99"/>
    <w:rsid w:val="00AF0F1A"/>
    <w:rsid w:val="00AF1165"/>
    <w:rsid w:val="00AF1195"/>
    <w:rsid w:val="00AF13D9"/>
    <w:rsid w:val="00AF141E"/>
    <w:rsid w:val="00AF1BF4"/>
    <w:rsid w:val="00AF1D8A"/>
    <w:rsid w:val="00AF20F5"/>
    <w:rsid w:val="00AF22E3"/>
    <w:rsid w:val="00AF262C"/>
    <w:rsid w:val="00AF27F8"/>
    <w:rsid w:val="00AF29F1"/>
    <w:rsid w:val="00AF2E8D"/>
    <w:rsid w:val="00AF2ED5"/>
    <w:rsid w:val="00AF335B"/>
    <w:rsid w:val="00AF34CA"/>
    <w:rsid w:val="00AF37EC"/>
    <w:rsid w:val="00AF39E5"/>
    <w:rsid w:val="00AF3CA9"/>
    <w:rsid w:val="00AF3F4F"/>
    <w:rsid w:val="00AF4016"/>
    <w:rsid w:val="00AF406B"/>
    <w:rsid w:val="00AF40FE"/>
    <w:rsid w:val="00AF43F8"/>
    <w:rsid w:val="00AF45AF"/>
    <w:rsid w:val="00AF46AA"/>
    <w:rsid w:val="00AF4705"/>
    <w:rsid w:val="00AF4928"/>
    <w:rsid w:val="00AF4CB2"/>
    <w:rsid w:val="00AF4F82"/>
    <w:rsid w:val="00AF5454"/>
    <w:rsid w:val="00AF5627"/>
    <w:rsid w:val="00AF56A7"/>
    <w:rsid w:val="00AF5856"/>
    <w:rsid w:val="00AF58F0"/>
    <w:rsid w:val="00AF59EC"/>
    <w:rsid w:val="00AF6013"/>
    <w:rsid w:val="00AF608F"/>
    <w:rsid w:val="00AF6248"/>
    <w:rsid w:val="00AF6536"/>
    <w:rsid w:val="00AF6584"/>
    <w:rsid w:val="00AF66D5"/>
    <w:rsid w:val="00AF6A08"/>
    <w:rsid w:val="00AF6A0D"/>
    <w:rsid w:val="00AF6AE1"/>
    <w:rsid w:val="00AF6CA4"/>
    <w:rsid w:val="00AF7704"/>
    <w:rsid w:val="00AF7776"/>
    <w:rsid w:val="00AF7DA7"/>
    <w:rsid w:val="00AF7E86"/>
    <w:rsid w:val="00B00314"/>
    <w:rsid w:val="00B0073A"/>
    <w:rsid w:val="00B007CC"/>
    <w:rsid w:val="00B00FDD"/>
    <w:rsid w:val="00B01207"/>
    <w:rsid w:val="00B0173C"/>
    <w:rsid w:val="00B017EE"/>
    <w:rsid w:val="00B01E52"/>
    <w:rsid w:val="00B01F09"/>
    <w:rsid w:val="00B02383"/>
    <w:rsid w:val="00B02545"/>
    <w:rsid w:val="00B02768"/>
    <w:rsid w:val="00B0290A"/>
    <w:rsid w:val="00B029EB"/>
    <w:rsid w:val="00B02BB7"/>
    <w:rsid w:val="00B02D3C"/>
    <w:rsid w:val="00B034B8"/>
    <w:rsid w:val="00B03553"/>
    <w:rsid w:val="00B038C1"/>
    <w:rsid w:val="00B03C38"/>
    <w:rsid w:val="00B03F6F"/>
    <w:rsid w:val="00B04291"/>
    <w:rsid w:val="00B043D7"/>
    <w:rsid w:val="00B04683"/>
    <w:rsid w:val="00B0473F"/>
    <w:rsid w:val="00B04E89"/>
    <w:rsid w:val="00B0531F"/>
    <w:rsid w:val="00B0541A"/>
    <w:rsid w:val="00B0577D"/>
    <w:rsid w:val="00B05859"/>
    <w:rsid w:val="00B05AB7"/>
    <w:rsid w:val="00B0610F"/>
    <w:rsid w:val="00B06306"/>
    <w:rsid w:val="00B06505"/>
    <w:rsid w:val="00B06713"/>
    <w:rsid w:val="00B06B56"/>
    <w:rsid w:val="00B07203"/>
    <w:rsid w:val="00B07269"/>
    <w:rsid w:val="00B072F6"/>
    <w:rsid w:val="00B073CF"/>
    <w:rsid w:val="00B07450"/>
    <w:rsid w:val="00B0759B"/>
    <w:rsid w:val="00B079F1"/>
    <w:rsid w:val="00B07FD7"/>
    <w:rsid w:val="00B10189"/>
    <w:rsid w:val="00B106C6"/>
    <w:rsid w:val="00B107AF"/>
    <w:rsid w:val="00B108C8"/>
    <w:rsid w:val="00B10B5F"/>
    <w:rsid w:val="00B10E8B"/>
    <w:rsid w:val="00B1103D"/>
    <w:rsid w:val="00B1109F"/>
    <w:rsid w:val="00B11219"/>
    <w:rsid w:val="00B1134B"/>
    <w:rsid w:val="00B11775"/>
    <w:rsid w:val="00B11790"/>
    <w:rsid w:val="00B118DA"/>
    <w:rsid w:val="00B1191D"/>
    <w:rsid w:val="00B11A8A"/>
    <w:rsid w:val="00B11C15"/>
    <w:rsid w:val="00B11EDC"/>
    <w:rsid w:val="00B11F4E"/>
    <w:rsid w:val="00B127FB"/>
    <w:rsid w:val="00B129E5"/>
    <w:rsid w:val="00B131F1"/>
    <w:rsid w:val="00B13529"/>
    <w:rsid w:val="00B13563"/>
    <w:rsid w:val="00B13925"/>
    <w:rsid w:val="00B13E95"/>
    <w:rsid w:val="00B13ECF"/>
    <w:rsid w:val="00B13EE9"/>
    <w:rsid w:val="00B13F8B"/>
    <w:rsid w:val="00B140B1"/>
    <w:rsid w:val="00B14371"/>
    <w:rsid w:val="00B1442E"/>
    <w:rsid w:val="00B1449B"/>
    <w:rsid w:val="00B14AD9"/>
    <w:rsid w:val="00B14AFF"/>
    <w:rsid w:val="00B14E49"/>
    <w:rsid w:val="00B15070"/>
    <w:rsid w:val="00B15180"/>
    <w:rsid w:val="00B15222"/>
    <w:rsid w:val="00B154F5"/>
    <w:rsid w:val="00B15840"/>
    <w:rsid w:val="00B15A05"/>
    <w:rsid w:val="00B15B25"/>
    <w:rsid w:val="00B15F23"/>
    <w:rsid w:val="00B16057"/>
    <w:rsid w:val="00B1616B"/>
    <w:rsid w:val="00B16280"/>
    <w:rsid w:val="00B1655A"/>
    <w:rsid w:val="00B1658B"/>
    <w:rsid w:val="00B16600"/>
    <w:rsid w:val="00B167D1"/>
    <w:rsid w:val="00B16CF2"/>
    <w:rsid w:val="00B16E88"/>
    <w:rsid w:val="00B17037"/>
    <w:rsid w:val="00B170CA"/>
    <w:rsid w:val="00B171BD"/>
    <w:rsid w:val="00B17207"/>
    <w:rsid w:val="00B1753C"/>
    <w:rsid w:val="00B17B8C"/>
    <w:rsid w:val="00B17CEB"/>
    <w:rsid w:val="00B202F0"/>
    <w:rsid w:val="00B205C6"/>
    <w:rsid w:val="00B20895"/>
    <w:rsid w:val="00B20ABA"/>
    <w:rsid w:val="00B2112F"/>
    <w:rsid w:val="00B212BE"/>
    <w:rsid w:val="00B2141B"/>
    <w:rsid w:val="00B214EE"/>
    <w:rsid w:val="00B215E1"/>
    <w:rsid w:val="00B216D6"/>
    <w:rsid w:val="00B2197B"/>
    <w:rsid w:val="00B219D7"/>
    <w:rsid w:val="00B21A08"/>
    <w:rsid w:val="00B21B41"/>
    <w:rsid w:val="00B21DDC"/>
    <w:rsid w:val="00B21E40"/>
    <w:rsid w:val="00B221A8"/>
    <w:rsid w:val="00B224BB"/>
    <w:rsid w:val="00B226C1"/>
    <w:rsid w:val="00B2287D"/>
    <w:rsid w:val="00B22902"/>
    <w:rsid w:val="00B229A7"/>
    <w:rsid w:val="00B229CC"/>
    <w:rsid w:val="00B22B04"/>
    <w:rsid w:val="00B22B47"/>
    <w:rsid w:val="00B22B81"/>
    <w:rsid w:val="00B22D80"/>
    <w:rsid w:val="00B22E62"/>
    <w:rsid w:val="00B23070"/>
    <w:rsid w:val="00B233A8"/>
    <w:rsid w:val="00B23423"/>
    <w:rsid w:val="00B2352E"/>
    <w:rsid w:val="00B2355A"/>
    <w:rsid w:val="00B23678"/>
    <w:rsid w:val="00B23732"/>
    <w:rsid w:val="00B23835"/>
    <w:rsid w:val="00B23B95"/>
    <w:rsid w:val="00B23D19"/>
    <w:rsid w:val="00B23E15"/>
    <w:rsid w:val="00B24019"/>
    <w:rsid w:val="00B240FA"/>
    <w:rsid w:val="00B24349"/>
    <w:rsid w:val="00B248B6"/>
    <w:rsid w:val="00B2492A"/>
    <w:rsid w:val="00B24A3A"/>
    <w:rsid w:val="00B24AA4"/>
    <w:rsid w:val="00B24BEA"/>
    <w:rsid w:val="00B24D99"/>
    <w:rsid w:val="00B24EC7"/>
    <w:rsid w:val="00B24F86"/>
    <w:rsid w:val="00B259C9"/>
    <w:rsid w:val="00B25CFB"/>
    <w:rsid w:val="00B25D6B"/>
    <w:rsid w:val="00B26069"/>
    <w:rsid w:val="00B2636C"/>
    <w:rsid w:val="00B26658"/>
    <w:rsid w:val="00B266DD"/>
    <w:rsid w:val="00B267D2"/>
    <w:rsid w:val="00B26A31"/>
    <w:rsid w:val="00B26B83"/>
    <w:rsid w:val="00B26DB4"/>
    <w:rsid w:val="00B270C9"/>
    <w:rsid w:val="00B277C4"/>
    <w:rsid w:val="00B279C7"/>
    <w:rsid w:val="00B27B22"/>
    <w:rsid w:val="00B27CD4"/>
    <w:rsid w:val="00B27EC5"/>
    <w:rsid w:val="00B27ECD"/>
    <w:rsid w:val="00B30027"/>
    <w:rsid w:val="00B30033"/>
    <w:rsid w:val="00B30153"/>
    <w:rsid w:val="00B30458"/>
    <w:rsid w:val="00B3047D"/>
    <w:rsid w:val="00B304ED"/>
    <w:rsid w:val="00B30941"/>
    <w:rsid w:val="00B309A5"/>
    <w:rsid w:val="00B30BB1"/>
    <w:rsid w:val="00B30DB1"/>
    <w:rsid w:val="00B3167F"/>
    <w:rsid w:val="00B31845"/>
    <w:rsid w:val="00B31DA0"/>
    <w:rsid w:val="00B31F97"/>
    <w:rsid w:val="00B32728"/>
    <w:rsid w:val="00B32B1F"/>
    <w:rsid w:val="00B32B3F"/>
    <w:rsid w:val="00B32C5C"/>
    <w:rsid w:val="00B32CA0"/>
    <w:rsid w:val="00B32D84"/>
    <w:rsid w:val="00B3344E"/>
    <w:rsid w:val="00B34277"/>
    <w:rsid w:val="00B342B0"/>
    <w:rsid w:val="00B342CA"/>
    <w:rsid w:val="00B343AC"/>
    <w:rsid w:val="00B34457"/>
    <w:rsid w:val="00B34AFD"/>
    <w:rsid w:val="00B34D0B"/>
    <w:rsid w:val="00B34E38"/>
    <w:rsid w:val="00B34FBA"/>
    <w:rsid w:val="00B35222"/>
    <w:rsid w:val="00B35397"/>
    <w:rsid w:val="00B35594"/>
    <w:rsid w:val="00B35655"/>
    <w:rsid w:val="00B358E0"/>
    <w:rsid w:val="00B35A6C"/>
    <w:rsid w:val="00B35EEE"/>
    <w:rsid w:val="00B35F16"/>
    <w:rsid w:val="00B35F2B"/>
    <w:rsid w:val="00B35F78"/>
    <w:rsid w:val="00B36095"/>
    <w:rsid w:val="00B3616C"/>
    <w:rsid w:val="00B36694"/>
    <w:rsid w:val="00B36706"/>
    <w:rsid w:val="00B36735"/>
    <w:rsid w:val="00B36A5F"/>
    <w:rsid w:val="00B36CD2"/>
    <w:rsid w:val="00B36E1E"/>
    <w:rsid w:val="00B36F42"/>
    <w:rsid w:val="00B37049"/>
    <w:rsid w:val="00B3704C"/>
    <w:rsid w:val="00B37052"/>
    <w:rsid w:val="00B37388"/>
    <w:rsid w:val="00B374AB"/>
    <w:rsid w:val="00B37D41"/>
    <w:rsid w:val="00B40174"/>
    <w:rsid w:val="00B401F3"/>
    <w:rsid w:val="00B4026E"/>
    <w:rsid w:val="00B402EA"/>
    <w:rsid w:val="00B408E7"/>
    <w:rsid w:val="00B40F86"/>
    <w:rsid w:val="00B41233"/>
    <w:rsid w:val="00B412CE"/>
    <w:rsid w:val="00B41306"/>
    <w:rsid w:val="00B41698"/>
    <w:rsid w:val="00B4172F"/>
    <w:rsid w:val="00B419BF"/>
    <w:rsid w:val="00B41E6A"/>
    <w:rsid w:val="00B4208D"/>
    <w:rsid w:val="00B426A7"/>
    <w:rsid w:val="00B42AE6"/>
    <w:rsid w:val="00B42DCC"/>
    <w:rsid w:val="00B42FE8"/>
    <w:rsid w:val="00B4345B"/>
    <w:rsid w:val="00B436F3"/>
    <w:rsid w:val="00B438BB"/>
    <w:rsid w:val="00B43C33"/>
    <w:rsid w:val="00B43D4D"/>
    <w:rsid w:val="00B442DB"/>
    <w:rsid w:val="00B44357"/>
    <w:rsid w:val="00B44430"/>
    <w:rsid w:val="00B446DA"/>
    <w:rsid w:val="00B447A1"/>
    <w:rsid w:val="00B447F3"/>
    <w:rsid w:val="00B44C04"/>
    <w:rsid w:val="00B44C09"/>
    <w:rsid w:val="00B44CA8"/>
    <w:rsid w:val="00B44E1D"/>
    <w:rsid w:val="00B4520C"/>
    <w:rsid w:val="00B4584E"/>
    <w:rsid w:val="00B45B7E"/>
    <w:rsid w:val="00B45D59"/>
    <w:rsid w:val="00B45DF1"/>
    <w:rsid w:val="00B45DF5"/>
    <w:rsid w:val="00B45F83"/>
    <w:rsid w:val="00B4657F"/>
    <w:rsid w:val="00B467DC"/>
    <w:rsid w:val="00B469AD"/>
    <w:rsid w:val="00B46C73"/>
    <w:rsid w:val="00B46CFC"/>
    <w:rsid w:val="00B46F91"/>
    <w:rsid w:val="00B470E8"/>
    <w:rsid w:val="00B4715B"/>
    <w:rsid w:val="00B47557"/>
    <w:rsid w:val="00B47821"/>
    <w:rsid w:val="00B47891"/>
    <w:rsid w:val="00B4789A"/>
    <w:rsid w:val="00B478F8"/>
    <w:rsid w:val="00B479A0"/>
    <w:rsid w:val="00B47B18"/>
    <w:rsid w:val="00B47CCF"/>
    <w:rsid w:val="00B50500"/>
    <w:rsid w:val="00B50DFC"/>
    <w:rsid w:val="00B5100D"/>
    <w:rsid w:val="00B51569"/>
    <w:rsid w:val="00B5174C"/>
    <w:rsid w:val="00B517AF"/>
    <w:rsid w:val="00B517EA"/>
    <w:rsid w:val="00B519FE"/>
    <w:rsid w:val="00B51A9A"/>
    <w:rsid w:val="00B51ABC"/>
    <w:rsid w:val="00B51C24"/>
    <w:rsid w:val="00B51CBD"/>
    <w:rsid w:val="00B51D7F"/>
    <w:rsid w:val="00B51FFC"/>
    <w:rsid w:val="00B524E5"/>
    <w:rsid w:val="00B525DE"/>
    <w:rsid w:val="00B52722"/>
    <w:rsid w:val="00B52750"/>
    <w:rsid w:val="00B52789"/>
    <w:rsid w:val="00B5292D"/>
    <w:rsid w:val="00B52A21"/>
    <w:rsid w:val="00B52B49"/>
    <w:rsid w:val="00B532B5"/>
    <w:rsid w:val="00B534D5"/>
    <w:rsid w:val="00B5386A"/>
    <w:rsid w:val="00B53878"/>
    <w:rsid w:val="00B53BAF"/>
    <w:rsid w:val="00B53E7C"/>
    <w:rsid w:val="00B5405F"/>
    <w:rsid w:val="00B5425C"/>
    <w:rsid w:val="00B547D6"/>
    <w:rsid w:val="00B54A65"/>
    <w:rsid w:val="00B54B28"/>
    <w:rsid w:val="00B5501B"/>
    <w:rsid w:val="00B555C1"/>
    <w:rsid w:val="00B55763"/>
    <w:rsid w:val="00B558E9"/>
    <w:rsid w:val="00B55A3F"/>
    <w:rsid w:val="00B55B4B"/>
    <w:rsid w:val="00B55EC2"/>
    <w:rsid w:val="00B561ED"/>
    <w:rsid w:val="00B56389"/>
    <w:rsid w:val="00B5639C"/>
    <w:rsid w:val="00B563D5"/>
    <w:rsid w:val="00B56426"/>
    <w:rsid w:val="00B5666F"/>
    <w:rsid w:val="00B56BC8"/>
    <w:rsid w:val="00B56BFA"/>
    <w:rsid w:val="00B56E4C"/>
    <w:rsid w:val="00B5760A"/>
    <w:rsid w:val="00B57AD7"/>
    <w:rsid w:val="00B57D2F"/>
    <w:rsid w:val="00B60046"/>
    <w:rsid w:val="00B60109"/>
    <w:rsid w:val="00B6053B"/>
    <w:rsid w:val="00B60541"/>
    <w:rsid w:val="00B607C7"/>
    <w:rsid w:val="00B60930"/>
    <w:rsid w:val="00B60A8C"/>
    <w:rsid w:val="00B60C27"/>
    <w:rsid w:val="00B60C9E"/>
    <w:rsid w:val="00B60EFE"/>
    <w:rsid w:val="00B613C0"/>
    <w:rsid w:val="00B61785"/>
    <w:rsid w:val="00B618F8"/>
    <w:rsid w:val="00B61C30"/>
    <w:rsid w:val="00B61C88"/>
    <w:rsid w:val="00B61D85"/>
    <w:rsid w:val="00B620D9"/>
    <w:rsid w:val="00B62103"/>
    <w:rsid w:val="00B623CA"/>
    <w:rsid w:val="00B623D7"/>
    <w:rsid w:val="00B62441"/>
    <w:rsid w:val="00B6245C"/>
    <w:rsid w:val="00B62597"/>
    <w:rsid w:val="00B62715"/>
    <w:rsid w:val="00B6319D"/>
    <w:rsid w:val="00B6354E"/>
    <w:rsid w:val="00B635E3"/>
    <w:rsid w:val="00B6368F"/>
    <w:rsid w:val="00B6384F"/>
    <w:rsid w:val="00B63A5C"/>
    <w:rsid w:val="00B63BCC"/>
    <w:rsid w:val="00B63CA2"/>
    <w:rsid w:val="00B6402A"/>
    <w:rsid w:val="00B6460A"/>
    <w:rsid w:val="00B64619"/>
    <w:rsid w:val="00B649AB"/>
    <w:rsid w:val="00B653E5"/>
    <w:rsid w:val="00B658AA"/>
    <w:rsid w:val="00B65A1E"/>
    <w:rsid w:val="00B6638A"/>
    <w:rsid w:val="00B664D1"/>
    <w:rsid w:val="00B6651B"/>
    <w:rsid w:val="00B6699B"/>
    <w:rsid w:val="00B66EBD"/>
    <w:rsid w:val="00B6703A"/>
    <w:rsid w:val="00B6753B"/>
    <w:rsid w:val="00B676C7"/>
    <w:rsid w:val="00B676F6"/>
    <w:rsid w:val="00B67D88"/>
    <w:rsid w:val="00B67DC0"/>
    <w:rsid w:val="00B67F99"/>
    <w:rsid w:val="00B700B4"/>
    <w:rsid w:val="00B70B4A"/>
    <w:rsid w:val="00B70E84"/>
    <w:rsid w:val="00B70E9C"/>
    <w:rsid w:val="00B71110"/>
    <w:rsid w:val="00B71141"/>
    <w:rsid w:val="00B71282"/>
    <w:rsid w:val="00B71287"/>
    <w:rsid w:val="00B7148E"/>
    <w:rsid w:val="00B7195E"/>
    <w:rsid w:val="00B71AA5"/>
    <w:rsid w:val="00B71C1C"/>
    <w:rsid w:val="00B71D45"/>
    <w:rsid w:val="00B71E9B"/>
    <w:rsid w:val="00B71F1F"/>
    <w:rsid w:val="00B7232F"/>
    <w:rsid w:val="00B725C6"/>
    <w:rsid w:val="00B72881"/>
    <w:rsid w:val="00B730B1"/>
    <w:rsid w:val="00B735D6"/>
    <w:rsid w:val="00B737DE"/>
    <w:rsid w:val="00B73814"/>
    <w:rsid w:val="00B73870"/>
    <w:rsid w:val="00B738FC"/>
    <w:rsid w:val="00B739F5"/>
    <w:rsid w:val="00B73A33"/>
    <w:rsid w:val="00B73B68"/>
    <w:rsid w:val="00B746A3"/>
    <w:rsid w:val="00B746FA"/>
    <w:rsid w:val="00B74BE8"/>
    <w:rsid w:val="00B74CD9"/>
    <w:rsid w:val="00B752CA"/>
    <w:rsid w:val="00B753AB"/>
    <w:rsid w:val="00B758C1"/>
    <w:rsid w:val="00B758DF"/>
    <w:rsid w:val="00B758F9"/>
    <w:rsid w:val="00B75D07"/>
    <w:rsid w:val="00B75FDA"/>
    <w:rsid w:val="00B76023"/>
    <w:rsid w:val="00B7633B"/>
    <w:rsid w:val="00B7647C"/>
    <w:rsid w:val="00B76C24"/>
    <w:rsid w:val="00B76F71"/>
    <w:rsid w:val="00B76FA7"/>
    <w:rsid w:val="00B77080"/>
    <w:rsid w:val="00B775A4"/>
    <w:rsid w:val="00B77612"/>
    <w:rsid w:val="00B7762D"/>
    <w:rsid w:val="00B7775F"/>
    <w:rsid w:val="00B77832"/>
    <w:rsid w:val="00B7792D"/>
    <w:rsid w:val="00B77F09"/>
    <w:rsid w:val="00B77F93"/>
    <w:rsid w:val="00B801E4"/>
    <w:rsid w:val="00B80A0D"/>
    <w:rsid w:val="00B80BFB"/>
    <w:rsid w:val="00B81289"/>
    <w:rsid w:val="00B812BD"/>
    <w:rsid w:val="00B815B7"/>
    <w:rsid w:val="00B81A3F"/>
    <w:rsid w:val="00B81AA6"/>
    <w:rsid w:val="00B81BC7"/>
    <w:rsid w:val="00B81CFB"/>
    <w:rsid w:val="00B81DBD"/>
    <w:rsid w:val="00B82034"/>
    <w:rsid w:val="00B820CC"/>
    <w:rsid w:val="00B82244"/>
    <w:rsid w:val="00B82314"/>
    <w:rsid w:val="00B8232F"/>
    <w:rsid w:val="00B82406"/>
    <w:rsid w:val="00B826A3"/>
    <w:rsid w:val="00B82931"/>
    <w:rsid w:val="00B82CB0"/>
    <w:rsid w:val="00B82DC2"/>
    <w:rsid w:val="00B83833"/>
    <w:rsid w:val="00B83D44"/>
    <w:rsid w:val="00B83D49"/>
    <w:rsid w:val="00B842E1"/>
    <w:rsid w:val="00B8445D"/>
    <w:rsid w:val="00B848DA"/>
    <w:rsid w:val="00B84974"/>
    <w:rsid w:val="00B84D7C"/>
    <w:rsid w:val="00B84F41"/>
    <w:rsid w:val="00B858DA"/>
    <w:rsid w:val="00B859EC"/>
    <w:rsid w:val="00B85A8D"/>
    <w:rsid w:val="00B85BCD"/>
    <w:rsid w:val="00B85EF2"/>
    <w:rsid w:val="00B860E8"/>
    <w:rsid w:val="00B86247"/>
    <w:rsid w:val="00B86264"/>
    <w:rsid w:val="00B86385"/>
    <w:rsid w:val="00B863A1"/>
    <w:rsid w:val="00B86920"/>
    <w:rsid w:val="00B869E0"/>
    <w:rsid w:val="00B86BE6"/>
    <w:rsid w:val="00B87487"/>
    <w:rsid w:val="00B87883"/>
    <w:rsid w:val="00B87981"/>
    <w:rsid w:val="00B87CC1"/>
    <w:rsid w:val="00B9001B"/>
    <w:rsid w:val="00B90104"/>
    <w:rsid w:val="00B90590"/>
    <w:rsid w:val="00B905A5"/>
    <w:rsid w:val="00B90876"/>
    <w:rsid w:val="00B90EAA"/>
    <w:rsid w:val="00B90F0F"/>
    <w:rsid w:val="00B90F5F"/>
    <w:rsid w:val="00B910E4"/>
    <w:rsid w:val="00B91261"/>
    <w:rsid w:val="00B91360"/>
    <w:rsid w:val="00B913E7"/>
    <w:rsid w:val="00B9172E"/>
    <w:rsid w:val="00B91A2A"/>
    <w:rsid w:val="00B925C9"/>
    <w:rsid w:val="00B926A1"/>
    <w:rsid w:val="00B928A9"/>
    <w:rsid w:val="00B92DF4"/>
    <w:rsid w:val="00B9307B"/>
    <w:rsid w:val="00B939DF"/>
    <w:rsid w:val="00B93D41"/>
    <w:rsid w:val="00B93D8F"/>
    <w:rsid w:val="00B93E6B"/>
    <w:rsid w:val="00B9407E"/>
    <w:rsid w:val="00B942E8"/>
    <w:rsid w:val="00B9463D"/>
    <w:rsid w:val="00B94662"/>
    <w:rsid w:val="00B948FA"/>
    <w:rsid w:val="00B94A89"/>
    <w:rsid w:val="00B94B0C"/>
    <w:rsid w:val="00B94B6A"/>
    <w:rsid w:val="00B94D32"/>
    <w:rsid w:val="00B94D3F"/>
    <w:rsid w:val="00B94D49"/>
    <w:rsid w:val="00B95149"/>
    <w:rsid w:val="00B957FE"/>
    <w:rsid w:val="00B95888"/>
    <w:rsid w:val="00B95DBB"/>
    <w:rsid w:val="00B95EA4"/>
    <w:rsid w:val="00B9635B"/>
    <w:rsid w:val="00B9641E"/>
    <w:rsid w:val="00B965BF"/>
    <w:rsid w:val="00B97685"/>
    <w:rsid w:val="00B97931"/>
    <w:rsid w:val="00B9798D"/>
    <w:rsid w:val="00B97A8C"/>
    <w:rsid w:val="00BA0482"/>
    <w:rsid w:val="00BA0667"/>
    <w:rsid w:val="00BA066C"/>
    <w:rsid w:val="00BA0B00"/>
    <w:rsid w:val="00BA0D02"/>
    <w:rsid w:val="00BA1053"/>
    <w:rsid w:val="00BA122A"/>
    <w:rsid w:val="00BA15E3"/>
    <w:rsid w:val="00BA1617"/>
    <w:rsid w:val="00BA1638"/>
    <w:rsid w:val="00BA176C"/>
    <w:rsid w:val="00BA19E8"/>
    <w:rsid w:val="00BA1B61"/>
    <w:rsid w:val="00BA1CDD"/>
    <w:rsid w:val="00BA1F7C"/>
    <w:rsid w:val="00BA2260"/>
    <w:rsid w:val="00BA26F4"/>
    <w:rsid w:val="00BA2C3C"/>
    <w:rsid w:val="00BA2E0F"/>
    <w:rsid w:val="00BA33F6"/>
    <w:rsid w:val="00BA4086"/>
    <w:rsid w:val="00BA409F"/>
    <w:rsid w:val="00BA4212"/>
    <w:rsid w:val="00BA4522"/>
    <w:rsid w:val="00BA4F94"/>
    <w:rsid w:val="00BA5085"/>
    <w:rsid w:val="00BA517B"/>
    <w:rsid w:val="00BA543C"/>
    <w:rsid w:val="00BA545F"/>
    <w:rsid w:val="00BA54EA"/>
    <w:rsid w:val="00BA5687"/>
    <w:rsid w:val="00BA5741"/>
    <w:rsid w:val="00BA58A7"/>
    <w:rsid w:val="00BA5C42"/>
    <w:rsid w:val="00BA5C9F"/>
    <w:rsid w:val="00BA61A0"/>
    <w:rsid w:val="00BA637A"/>
    <w:rsid w:val="00BA667B"/>
    <w:rsid w:val="00BA6915"/>
    <w:rsid w:val="00BA6C57"/>
    <w:rsid w:val="00BA6E68"/>
    <w:rsid w:val="00BA6E88"/>
    <w:rsid w:val="00BA7022"/>
    <w:rsid w:val="00BA70BF"/>
    <w:rsid w:val="00BA7312"/>
    <w:rsid w:val="00BA74ED"/>
    <w:rsid w:val="00BA756C"/>
    <w:rsid w:val="00BA78AE"/>
    <w:rsid w:val="00BA7B51"/>
    <w:rsid w:val="00BA7C6B"/>
    <w:rsid w:val="00BA7C91"/>
    <w:rsid w:val="00BA7CCE"/>
    <w:rsid w:val="00BA7DB9"/>
    <w:rsid w:val="00BB0065"/>
    <w:rsid w:val="00BB02CE"/>
    <w:rsid w:val="00BB039D"/>
    <w:rsid w:val="00BB04A0"/>
    <w:rsid w:val="00BB062B"/>
    <w:rsid w:val="00BB0971"/>
    <w:rsid w:val="00BB0973"/>
    <w:rsid w:val="00BB0AE2"/>
    <w:rsid w:val="00BB0B67"/>
    <w:rsid w:val="00BB0BE7"/>
    <w:rsid w:val="00BB0DE8"/>
    <w:rsid w:val="00BB0E53"/>
    <w:rsid w:val="00BB0FDE"/>
    <w:rsid w:val="00BB11D2"/>
    <w:rsid w:val="00BB14A4"/>
    <w:rsid w:val="00BB18AE"/>
    <w:rsid w:val="00BB198C"/>
    <w:rsid w:val="00BB1B19"/>
    <w:rsid w:val="00BB1E56"/>
    <w:rsid w:val="00BB1E5B"/>
    <w:rsid w:val="00BB20AF"/>
    <w:rsid w:val="00BB2273"/>
    <w:rsid w:val="00BB24A9"/>
    <w:rsid w:val="00BB2712"/>
    <w:rsid w:val="00BB2760"/>
    <w:rsid w:val="00BB30B1"/>
    <w:rsid w:val="00BB31F7"/>
    <w:rsid w:val="00BB350E"/>
    <w:rsid w:val="00BB3AC7"/>
    <w:rsid w:val="00BB3CEF"/>
    <w:rsid w:val="00BB3E21"/>
    <w:rsid w:val="00BB41E6"/>
    <w:rsid w:val="00BB49F0"/>
    <w:rsid w:val="00BB4A29"/>
    <w:rsid w:val="00BB4A6A"/>
    <w:rsid w:val="00BB5048"/>
    <w:rsid w:val="00BB5368"/>
    <w:rsid w:val="00BB55A5"/>
    <w:rsid w:val="00BB55D4"/>
    <w:rsid w:val="00BB5ACE"/>
    <w:rsid w:val="00BB5BAD"/>
    <w:rsid w:val="00BB5E02"/>
    <w:rsid w:val="00BB6241"/>
    <w:rsid w:val="00BB66C0"/>
    <w:rsid w:val="00BB6828"/>
    <w:rsid w:val="00BB6D17"/>
    <w:rsid w:val="00BB6D92"/>
    <w:rsid w:val="00BB74DB"/>
    <w:rsid w:val="00BC07B7"/>
    <w:rsid w:val="00BC0C38"/>
    <w:rsid w:val="00BC0CDC"/>
    <w:rsid w:val="00BC0E92"/>
    <w:rsid w:val="00BC16B4"/>
    <w:rsid w:val="00BC233C"/>
    <w:rsid w:val="00BC2535"/>
    <w:rsid w:val="00BC2548"/>
    <w:rsid w:val="00BC25B6"/>
    <w:rsid w:val="00BC29E7"/>
    <w:rsid w:val="00BC2AC4"/>
    <w:rsid w:val="00BC36A5"/>
    <w:rsid w:val="00BC3901"/>
    <w:rsid w:val="00BC399C"/>
    <w:rsid w:val="00BC3C49"/>
    <w:rsid w:val="00BC4155"/>
    <w:rsid w:val="00BC42AE"/>
    <w:rsid w:val="00BC448D"/>
    <w:rsid w:val="00BC44BE"/>
    <w:rsid w:val="00BC49CB"/>
    <w:rsid w:val="00BC4B44"/>
    <w:rsid w:val="00BC5214"/>
    <w:rsid w:val="00BC5268"/>
    <w:rsid w:val="00BC5720"/>
    <w:rsid w:val="00BC5B30"/>
    <w:rsid w:val="00BC5C36"/>
    <w:rsid w:val="00BC5E5B"/>
    <w:rsid w:val="00BC5F05"/>
    <w:rsid w:val="00BC60F3"/>
    <w:rsid w:val="00BC6183"/>
    <w:rsid w:val="00BC61DC"/>
    <w:rsid w:val="00BC622E"/>
    <w:rsid w:val="00BC62BB"/>
    <w:rsid w:val="00BC63DF"/>
    <w:rsid w:val="00BC6508"/>
    <w:rsid w:val="00BC6923"/>
    <w:rsid w:val="00BC6ADA"/>
    <w:rsid w:val="00BC6E48"/>
    <w:rsid w:val="00BC6F86"/>
    <w:rsid w:val="00BC74C9"/>
    <w:rsid w:val="00BC7AAA"/>
    <w:rsid w:val="00BC7C5C"/>
    <w:rsid w:val="00BC7D68"/>
    <w:rsid w:val="00BC7E68"/>
    <w:rsid w:val="00BC7ED0"/>
    <w:rsid w:val="00BD018A"/>
    <w:rsid w:val="00BD0270"/>
    <w:rsid w:val="00BD0552"/>
    <w:rsid w:val="00BD08CB"/>
    <w:rsid w:val="00BD0932"/>
    <w:rsid w:val="00BD15F0"/>
    <w:rsid w:val="00BD1AA1"/>
    <w:rsid w:val="00BD1B29"/>
    <w:rsid w:val="00BD1BAC"/>
    <w:rsid w:val="00BD2A66"/>
    <w:rsid w:val="00BD2FAD"/>
    <w:rsid w:val="00BD2FAE"/>
    <w:rsid w:val="00BD325D"/>
    <w:rsid w:val="00BD376E"/>
    <w:rsid w:val="00BD37C3"/>
    <w:rsid w:val="00BD38F4"/>
    <w:rsid w:val="00BD3F29"/>
    <w:rsid w:val="00BD3FF2"/>
    <w:rsid w:val="00BD4093"/>
    <w:rsid w:val="00BD4153"/>
    <w:rsid w:val="00BD457D"/>
    <w:rsid w:val="00BD4590"/>
    <w:rsid w:val="00BD485A"/>
    <w:rsid w:val="00BD4977"/>
    <w:rsid w:val="00BD49F5"/>
    <w:rsid w:val="00BD4CD4"/>
    <w:rsid w:val="00BD507D"/>
    <w:rsid w:val="00BD50F9"/>
    <w:rsid w:val="00BD55CA"/>
    <w:rsid w:val="00BD60AE"/>
    <w:rsid w:val="00BD611A"/>
    <w:rsid w:val="00BD6255"/>
    <w:rsid w:val="00BD63F1"/>
    <w:rsid w:val="00BD65A3"/>
    <w:rsid w:val="00BD673C"/>
    <w:rsid w:val="00BD6825"/>
    <w:rsid w:val="00BD6924"/>
    <w:rsid w:val="00BD6B56"/>
    <w:rsid w:val="00BD6E41"/>
    <w:rsid w:val="00BD6E6F"/>
    <w:rsid w:val="00BD6FC5"/>
    <w:rsid w:val="00BD751B"/>
    <w:rsid w:val="00BD788C"/>
    <w:rsid w:val="00BD78E1"/>
    <w:rsid w:val="00BD7A71"/>
    <w:rsid w:val="00BD7CC9"/>
    <w:rsid w:val="00BD7E6F"/>
    <w:rsid w:val="00BE0304"/>
    <w:rsid w:val="00BE0328"/>
    <w:rsid w:val="00BE0377"/>
    <w:rsid w:val="00BE0C5E"/>
    <w:rsid w:val="00BE0C72"/>
    <w:rsid w:val="00BE0F41"/>
    <w:rsid w:val="00BE1029"/>
    <w:rsid w:val="00BE17FF"/>
    <w:rsid w:val="00BE18A3"/>
    <w:rsid w:val="00BE18D0"/>
    <w:rsid w:val="00BE1AFA"/>
    <w:rsid w:val="00BE1E22"/>
    <w:rsid w:val="00BE23D0"/>
    <w:rsid w:val="00BE2D31"/>
    <w:rsid w:val="00BE31F1"/>
    <w:rsid w:val="00BE35AB"/>
    <w:rsid w:val="00BE3738"/>
    <w:rsid w:val="00BE374B"/>
    <w:rsid w:val="00BE3B71"/>
    <w:rsid w:val="00BE3DA8"/>
    <w:rsid w:val="00BE401C"/>
    <w:rsid w:val="00BE4171"/>
    <w:rsid w:val="00BE4228"/>
    <w:rsid w:val="00BE45CA"/>
    <w:rsid w:val="00BE4699"/>
    <w:rsid w:val="00BE4B3F"/>
    <w:rsid w:val="00BE4D6A"/>
    <w:rsid w:val="00BE4DD3"/>
    <w:rsid w:val="00BE507C"/>
    <w:rsid w:val="00BE5266"/>
    <w:rsid w:val="00BE5326"/>
    <w:rsid w:val="00BE58BB"/>
    <w:rsid w:val="00BE5B5C"/>
    <w:rsid w:val="00BE5F13"/>
    <w:rsid w:val="00BE5F94"/>
    <w:rsid w:val="00BE5FE8"/>
    <w:rsid w:val="00BE631B"/>
    <w:rsid w:val="00BE6453"/>
    <w:rsid w:val="00BE64A6"/>
    <w:rsid w:val="00BE6860"/>
    <w:rsid w:val="00BE6AE9"/>
    <w:rsid w:val="00BE6B30"/>
    <w:rsid w:val="00BE722D"/>
    <w:rsid w:val="00BE738A"/>
    <w:rsid w:val="00BEE444"/>
    <w:rsid w:val="00BF0259"/>
    <w:rsid w:val="00BF0759"/>
    <w:rsid w:val="00BF0B1B"/>
    <w:rsid w:val="00BF1007"/>
    <w:rsid w:val="00BF102B"/>
    <w:rsid w:val="00BF11E7"/>
    <w:rsid w:val="00BF1262"/>
    <w:rsid w:val="00BF1377"/>
    <w:rsid w:val="00BF13E6"/>
    <w:rsid w:val="00BF13FD"/>
    <w:rsid w:val="00BF1555"/>
    <w:rsid w:val="00BF1602"/>
    <w:rsid w:val="00BF184F"/>
    <w:rsid w:val="00BF1BBE"/>
    <w:rsid w:val="00BF1DAB"/>
    <w:rsid w:val="00BF2464"/>
    <w:rsid w:val="00BF2498"/>
    <w:rsid w:val="00BF29FE"/>
    <w:rsid w:val="00BF2BCE"/>
    <w:rsid w:val="00BF2C9F"/>
    <w:rsid w:val="00BF2F94"/>
    <w:rsid w:val="00BF2FE0"/>
    <w:rsid w:val="00BF3352"/>
    <w:rsid w:val="00BF381D"/>
    <w:rsid w:val="00BF3B49"/>
    <w:rsid w:val="00BF3C1E"/>
    <w:rsid w:val="00BF40BE"/>
    <w:rsid w:val="00BF415D"/>
    <w:rsid w:val="00BF43A6"/>
    <w:rsid w:val="00BF4428"/>
    <w:rsid w:val="00BF44EF"/>
    <w:rsid w:val="00BF45F8"/>
    <w:rsid w:val="00BF47E3"/>
    <w:rsid w:val="00BF4AE4"/>
    <w:rsid w:val="00BF4D14"/>
    <w:rsid w:val="00BF4E53"/>
    <w:rsid w:val="00BF4E5D"/>
    <w:rsid w:val="00BF4EEB"/>
    <w:rsid w:val="00BF4F3D"/>
    <w:rsid w:val="00BF53BE"/>
    <w:rsid w:val="00BF54CB"/>
    <w:rsid w:val="00BF579A"/>
    <w:rsid w:val="00BF57FB"/>
    <w:rsid w:val="00BF5832"/>
    <w:rsid w:val="00BF59AA"/>
    <w:rsid w:val="00BF5EB2"/>
    <w:rsid w:val="00BF6326"/>
    <w:rsid w:val="00BF637C"/>
    <w:rsid w:val="00BF64B9"/>
    <w:rsid w:val="00BF697D"/>
    <w:rsid w:val="00BF6AA8"/>
    <w:rsid w:val="00BF6AE4"/>
    <w:rsid w:val="00BF6D2B"/>
    <w:rsid w:val="00BF6D44"/>
    <w:rsid w:val="00BF71EC"/>
    <w:rsid w:val="00BF71EE"/>
    <w:rsid w:val="00BF71F1"/>
    <w:rsid w:val="00BF75CF"/>
    <w:rsid w:val="00BF762F"/>
    <w:rsid w:val="00C0009F"/>
    <w:rsid w:val="00C00695"/>
    <w:rsid w:val="00C0089B"/>
    <w:rsid w:val="00C009B2"/>
    <w:rsid w:val="00C00C6D"/>
    <w:rsid w:val="00C00F6F"/>
    <w:rsid w:val="00C0152F"/>
    <w:rsid w:val="00C015F4"/>
    <w:rsid w:val="00C01824"/>
    <w:rsid w:val="00C01A64"/>
    <w:rsid w:val="00C01F0E"/>
    <w:rsid w:val="00C0220F"/>
    <w:rsid w:val="00C023E0"/>
    <w:rsid w:val="00C02727"/>
    <w:rsid w:val="00C027A0"/>
    <w:rsid w:val="00C0299E"/>
    <w:rsid w:val="00C02B5C"/>
    <w:rsid w:val="00C02D09"/>
    <w:rsid w:val="00C02D17"/>
    <w:rsid w:val="00C02FFA"/>
    <w:rsid w:val="00C0309E"/>
    <w:rsid w:val="00C03119"/>
    <w:rsid w:val="00C03252"/>
    <w:rsid w:val="00C03314"/>
    <w:rsid w:val="00C035BF"/>
    <w:rsid w:val="00C035E5"/>
    <w:rsid w:val="00C03619"/>
    <w:rsid w:val="00C03709"/>
    <w:rsid w:val="00C03944"/>
    <w:rsid w:val="00C03C3A"/>
    <w:rsid w:val="00C03DD1"/>
    <w:rsid w:val="00C04109"/>
    <w:rsid w:val="00C0430A"/>
    <w:rsid w:val="00C0444A"/>
    <w:rsid w:val="00C04657"/>
    <w:rsid w:val="00C049EA"/>
    <w:rsid w:val="00C04B6B"/>
    <w:rsid w:val="00C04DC3"/>
    <w:rsid w:val="00C05040"/>
    <w:rsid w:val="00C05467"/>
    <w:rsid w:val="00C055A0"/>
    <w:rsid w:val="00C058DB"/>
    <w:rsid w:val="00C059FD"/>
    <w:rsid w:val="00C05B1B"/>
    <w:rsid w:val="00C05D1D"/>
    <w:rsid w:val="00C06105"/>
    <w:rsid w:val="00C0633B"/>
    <w:rsid w:val="00C06354"/>
    <w:rsid w:val="00C063EB"/>
    <w:rsid w:val="00C063F4"/>
    <w:rsid w:val="00C0661A"/>
    <w:rsid w:val="00C0662E"/>
    <w:rsid w:val="00C06740"/>
    <w:rsid w:val="00C069AE"/>
    <w:rsid w:val="00C06A28"/>
    <w:rsid w:val="00C06A5E"/>
    <w:rsid w:val="00C06BA7"/>
    <w:rsid w:val="00C06D25"/>
    <w:rsid w:val="00C06DD4"/>
    <w:rsid w:val="00C06ED1"/>
    <w:rsid w:val="00C07464"/>
    <w:rsid w:val="00C07519"/>
    <w:rsid w:val="00C077AF"/>
    <w:rsid w:val="00C077B8"/>
    <w:rsid w:val="00C07831"/>
    <w:rsid w:val="00C078F5"/>
    <w:rsid w:val="00C07AD6"/>
    <w:rsid w:val="00C07B4B"/>
    <w:rsid w:val="00C07B8A"/>
    <w:rsid w:val="00C105D0"/>
    <w:rsid w:val="00C10639"/>
    <w:rsid w:val="00C10C85"/>
    <w:rsid w:val="00C10F76"/>
    <w:rsid w:val="00C11157"/>
    <w:rsid w:val="00C111F0"/>
    <w:rsid w:val="00C11272"/>
    <w:rsid w:val="00C11588"/>
    <w:rsid w:val="00C11710"/>
    <w:rsid w:val="00C1187E"/>
    <w:rsid w:val="00C11B0E"/>
    <w:rsid w:val="00C11FD6"/>
    <w:rsid w:val="00C1204B"/>
    <w:rsid w:val="00C12102"/>
    <w:rsid w:val="00C12281"/>
    <w:rsid w:val="00C12649"/>
    <w:rsid w:val="00C12671"/>
    <w:rsid w:val="00C126A2"/>
    <w:rsid w:val="00C129A6"/>
    <w:rsid w:val="00C12AFE"/>
    <w:rsid w:val="00C12B58"/>
    <w:rsid w:val="00C1304F"/>
    <w:rsid w:val="00C13075"/>
    <w:rsid w:val="00C13082"/>
    <w:rsid w:val="00C1331F"/>
    <w:rsid w:val="00C13457"/>
    <w:rsid w:val="00C1367D"/>
    <w:rsid w:val="00C13705"/>
    <w:rsid w:val="00C1378C"/>
    <w:rsid w:val="00C138A7"/>
    <w:rsid w:val="00C13965"/>
    <w:rsid w:val="00C13CE6"/>
    <w:rsid w:val="00C1417E"/>
    <w:rsid w:val="00C1419A"/>
    <w:rsid w:val="00C14382"/>
    <w:rsid w:val="00C14518"/>
    <w:rsid w:val="00C1469D"/>
    <w:rsid w:val="00C146D8"/>
    <w:rsid w:val="00C14743"/>
    <w:rsid w:val="00C149B2"/>
    <w:rsid w:val="00C14ADC"/>
    <w:rsid w:val="00C14B5D"/>
    <w:rsid w:val="00C14D49"/>
    <w:rsid w:val="00C15158"/>
    <w:rsid w:val="00C15283"/>
    <w:rsid w:val="00C15389"/>
    <w:rsid w:val="00C1560A"/>
    <w:rsid w:val="00C15AFB"/>
    <w:rsid w:val="00C15F61"/>
    <w:rsid w:val="00C15FD4"/>
    <w:rsid w:val="00C16288"/>
    <w:rsid w:val="00C16485"/>
    <w:rsid w:val="00C165DF"/>
    <w:rsid w:val="00C16752"/>
    <w:rsid w:val="00C1697C"/>
    <w:rsid w:val="00C16A0D"/>
    <w:rsid w:val="00C16F76"/>
    <w:rsid w:val="00C17476"/>
    <w:rsid w:val="00C17691"/>
    <w:rsid w:val="00C20259"/>
    <w:rsid w:val="00C2093F"/>
    <w:rsid w:val="00C20A00"/>
    <w:rsid w:val="00C20CFF"/>
    <w:rsid w:val="00C2110A"/>
    <w:rsid w:val="00C21377"/>
    <w:rsid w:val="00C2152E"/>
    <w:rsid w:val="00C21790"/>
    <w:rsid w:val="00C21B18"/>
    <w:rsid w:val="00C21BD0"/>
    <w:rsid w:val="00C21C57"/>
    <w:rsid w:val="00C22482"/>
    <w:rsid w:val="00C2266C"/>
    <w:rsid w:val="00C22930"/>
    <w:rsid w:val="00C23130"/>
    <w:rsid w:val="00C23175"/>
    <w:rsid w:val="00C231A3"/>
    <w:rsid w:val="00C23705"/>
    <w:rsid w:val="00C23B10"/>
    <w:rsid w:val="00C23FB6"/>
    <w:rsid w:val="00C24098"/>
    <w:rsid w:val="00C24823"/>
    <w:rsid w:val="00C249D9"/>
    <w:rsid w:val="00C24B26"/>
    <w:rsid w:val="00C24CED"/>
    <w:rsid w:val="00C2500A"/>
    <w:rsid w:val="00C25248"/>
    <w:rsid w:val="00C25644"/>
    <w:rsid w:val="00C25651"/>
    <w:rsid w:val="00C25850"/>
    <w:rsid w:val="00C25859"/>
    <w:rsid w:val="00C25AFC"/>
    <w:rsid w:val="00C25B2B"/>
    <w:rsid w:val="00C25E4D"/>
    <w:rsid w:val="00C26425"/>
    <w:rsid w:val="00C26BC0"/>
    <w:rsid w:val="00C26DEA"/>
    <w:rsid w:val="00C26DEF"/>
    <w:rsid w:val="00C26FE9"/>
    <w:rsid w:val="00C27010"/>
    <w:rsid w:val="00C27221"/>
    <w:rsid w:val="00C27430"/>
    <w:rsid w:val="00C2752E"/>
    <w:rsid w:val="00C27D00"/>
    <w:rsid w:val="00C27EAC"/>
    <w:rsid w:val="00C27F77"/>
    <w:rsid w:val="00C302D8"/>
    <w:rsid w:val="00C3039B"/>
    <w:rsid w:val="00C305A7"/>
    <w:rsid w:val="00C30802"/>
    <w:rsid w:val="00C30A3A"/>
    <w:rsid w:val="00C30A67"/>
    <w:rsid w:val="00C316C3"/>
    <w:rsid w:val="00C3197A"/>
    <w:rsid w:val="00C319AE"/>
    <w:rsid w:val="00C31FFB"/>
    <w:rsid w:val="00C320F5"/>
    <w:rsid w:val="00C3218C"/>
    <w:rsid w:val="00C321BC"/>
    <w:rsid w:val="00C32C7D"/>
    <w:rsid w:val="00C32C92"/>
    <w:rsid w:val="00C32EA6"/>
    <w:rsid w:val="00C33448"/>
    <w:rsid w:val="00C3355C"/>
    <w:rsid w:val="00C335DC"/>
    <w:rsid w:val="00C336DD"/>
    <w:rsid w:val="00C336DF"/>
    <w:rsid w:val="00C33988"/>
    <w:rsid w:val="00C342AA"/>
    <w:rsid w:val="00C342D7"/>
    <w:rsid w:val="00C343E9"/>
    <w:rsid w:val="00C343F9"/>
    <w:rsid w:val="00C347B2"/>
    <w:rsid w:val="00C34D29"/>
    <w:rsid w:val="00C350F8"/>
    <w:rsid w:val="00C354A7"/>
    <w:rsid w:val="00C3577D"/>
    <w:rsid w:val="00C35AB8"/>
    <w:rsid w:val="00C35CF8"/>
    <w:rsid w:val="00C35E86"/>
    <w:rsid w:val="00C35EEA"/>
    <w:rsid w:val="00C35FF5"/>
    <w:rsid w:val="00C36316"/>
    <w:rsid w:val="00C363F2"/>
    <w:rsid w:val="00C3683E"/>
    <w:rsid w:val="00C3687E"/>
    <w:rsid w:val="00C36C84"/>
    <w:rsid w:val="00C37040"/>
    <w:rsid w:val="00C376EB"/>
    <w:rsid w:val="00C37AAF"/>
    <w:rsid w:val="00C37FFE"/>
    <w:rsid w:val="00C404F7"/>
    <w:rsid w:val="00C40539"/>
    <w:rsid w:val="00C40597"/>
    <w:rsid w:val="00C406F7"/>
    <w:rsid w:val="00C4079B"/>
    <w:rsid w:val="00C4084D"/>
    <w:rsid w:val="00C409CE"/>
    <w:rsid w:val="00C412CC"/>
    <w:rsid w:val="00C41335"/>
    <w:rsid w:val="00C41604"/>
    <w:rsid w:val="00C41776"/>
    <w:rsid w:val="00C41EB7"/>
    <w:rsid w:val="00C41FEE"/>
    <w:rsid w:val="00C4205E"/>
    <w:rsid w:val="00C42268"/>
    <w:rsid w:val="00C42729"/>
    <w:rsid w:val="00C42800"/>
    <w:rsid w:val="00C42A5B"/>
    <w:rsid w:val="00C42DD7"/>
    <w:rsid w:val="00C430B0"/>
    <w:rsid w:val="00C4318B"/>
    <w:rsid w:val="00C43202"/>
    <w:rsid w:val="00C43255"/>
    <w:rsid w:val="00C43506"/>
    <w:rsid w:val="00C4358D"/>
    <w:rsid w:val="00C43ADB"/>
    <w:rsid w:val="00C44354"/>
    <w:rsid w:val="00C44863"/>
    <w:rsid w:val="00C448B6"/>
    <w:rsid w:val="00C449DB"/>
    <w:rsid w:val="00C44A44"/>
    <w:rsid w:val="00C44CAB"/>
    <w:rsid w:val="00C44F1F"/>
    <w:rsid w:val="00C45194"/>
    <w:rsid w:val="00C451AC"/>
    <w:rsid w:val="00C458C2"/>
    <w:rsid w:val="00C459AB"/>
    <w:rsid w:val="00C459AD"/>
    <w:rsid w:val="00C459DC"/>
    <w:rsid w:val="00C45AB5"/>
    <w:rsid w:val="00C45C33"/>
    <w:rsid w:val="00C45C4D"/>
    <w:rsid w:val="00C45EE5"/>
    <w:rsid w:val="00C460A5"/>
    <w:rsid w:val="00C468F9"/>
    <w:rsid w:val="00C46A3B"/>
    <w:rsid w:val="00C46AD5"/>
    <w:rsid w:val="00C46C31"/>
    <w:rsid w:val="00C4783F"/>
    <w:rsid w:val="00C47DE5"/>
    <w:rsid w:val="00C503B6"/>
    <w:rsid w:val="00C50690"/>
    <w:rsid w:val="00C5074C"/>
    <w:rsid w:val="00C50B72"/>
    <w:rsid w:val="00C51092"/>
    <w:rsid w:val="00C511A0"/>
    <w:rsid w:val="00C515CE"/>
    <w:rsid w:val="00C51765"/>
    <w:rsid w:val="00C517D3"/>
    <w:rsid w:val="00C519C8"/>
    <w:rsid w:val="00C51BA0"/>
    <w:rsid w:val="00C51BB9"/>
    <w:rsid w:val="00C52055"/>
    <w:rsid w:val="00C52575"/>
    <w:rsid w:val="00C52C65"/>
    <w:rsid w:val="00C536BF"/>
    <w:rsid w:val="00C53832"/>
    <w:rsid w:val="00C53CEC"/>
    <w:rsid w:val="00C53D86"/>
    <w:rsid w:val="00C53D99"/>
    <w:rsid w:val="00C53EB6"/>
    <w:rsid w:val="00C54308"/>
    <w:rsid w:val="00C5448B"/>
    <w:rsid w:val="00C5452E"/>
    <w:rsid w:val="00C5465B"/>
    <w:rsid w:val="00C5472A"/>
    <w:rsid w:val="00C54840"/>
    <w:rsid w:val="00C54FE6"/>
    <w:rsid w:val="00C55518"/>
    <w:rsid w:val="00C5590A"/>
    <w:rsid w:val="00C55B3F"/>
    <w:rsid w:val="00C55B8B"/>
    <w:rsid w:val="00C55BD7"/>
    <w:rsid w:val="00C55C3C"/>
    <w:rsid w:val="00C55D1A"/>
    <w:rsid w:val="00C55DD1"/>
    <w:rsid w:val="00C55F6B"/>
    <w:rsid w:val="00C567E4"/>
    <w:rsid w:val="00C569FB"/>
    <w:rsid w:val="00C56DD8"/>
    <w:rsid w:val="00C576BA"/>
    <w:rsid w:val="00C5785D"/>
    <w:rsid w:val="00C57C34"/>
    <w:rsid w:val="00C606C0"/>
    <w:rsid w:val="00C60DDA"/>
    <w:rsid w:val="00C6118C"/>
    <w:rsid w:val="00C61393"/>
    <w:rsid w:val="00C61460"/>
    <w:rsid w:val="00C61475"/>
    <w:rsid w:val="00C614D5"/>
    <w:rsid w:val="00C61532"/>
    <w:rsid w:val="00C615CB"/>
    <w:rsid w:val="00C61856"/>
    <w:rsid w:val="00C61A20"/>
    <w:rsid w:val="00C61B5D"/>
    <w:rsid w:val="00C61D05"/>
    <w:rsid w:val="00C61DAE"/>
    <w:rsid w:val="00C621B1"/>
    <w:rsid w:val="00C62302"/>
    <w:rsid w:val="00C6279A"/>
    <w:rsid w:val="00C6289E"/>
    <w:rsid w:val="00C6292E"/>
    <w:rsid w:val="00C62CAE"/>
    <w:rsid w:val="00C62E01"/>
    <w:rsid w:val="00C62E82"/>
    <w:rsid w:val="00C62EE8"/>
    <w:rsid w:val="00C63011"/>
    <w:rsid w:val="00C63129"/>
    <w:rsid w:val="00C63916"/>
    <w:rsid w:val="00C63A75"/>
    <w:rsid w:val="00C63B91"/>
    <w:rsid w:val="00C63B99"/>
    <w:rsid w:val="00C63C59"/>
    <w:rsid w:val="00C63D09"/>
    <w:rsid w:val="00C642B9"/>
    <w:rsid w:val="00C6458C"/>
    <w:rsid w:val="00C645DC"/>
    <w:rsid w:val="00C6465E"/>
    <w:rsid w:val="00C646D2"/>
    <w:rsid w:val="00C64850"/>
    <w:rsid w:val="00C648B9"/>
    <w:rsid w:val="00C6496B"/>
    <w:rsid w:val="00C64A91"/>
    <w:rsid w:val="00C64C14"/>
    <w:rsid w:val="00C64D6E"/>
    <w:rsid w:val="00C64FC3"/>
    <w:rsid w:val="00C65707"/>
    <w:rsid w:val="00C657B9"/>
    <w:rsid w:val="00C658DC"/>
    <w:rsid w:val="00C658E7"/>
    <w:rsid w:val="00C65983"/>
    <w:rsid w:val="00C65A94"/>
    <w:rsid w:val="00C65B79"/>
    <w:rsid w:val="00C65CBA"/>
    <w:rsid w:val="00C65DDE"/>
    <w:rsid w:val="00C65E08"/>
    <w:rsid w:val="00C65E82"/>
    <w:rsid w:val="00C66299"/>
    <w:rsid w:val="00C66526"/>
    <w:rsid w:val="00C667BF"/>
    <w:rsid w:val="00C66870"/>
    <w:rsid w:val="00C66987"/>
    <w:rsid w:val="00C66C5C"/>
    <w:rsid w:val="00C66D0C"/>
    <w:rsid w:val="00C6711B"/>
    <w:rsid w:val="00C67648"/>
    <w:rsid w:val="00C67AA5"/>
    <w:rsid w:val="00C67F24"/>
    <w:rsid w:val="00C67FA1"/>
    <w:rsid w:val="00C70005"/>
    <w:rsid w:val="00C70421"/>
    <w:rsid w:val="00C704D6"/>
    <w:rsid w:val="00C70763"/>
    <w:rsid w:val="00C70785"/>
    <w:rsid w:val="00C707E1"/>
    <w:rsid w:val="00C70AD4"/>
    <w:rsid w:val="00C70C85"/>
    <w:rsid w:val="00C70EE9"/>
    <w:rsid w:val="00C711BF"/>
    <w:rsid w:val="00C7136E"/>
    <w:rsid w:val="00C7188A"/>
    <w:rsid w:val="00C71B1F"/>
    <w:rsid w:val="00C71BF4"/>
    <w:rsid w:val="00C71E41"/>
    <w:rsid w:val="00C721FC"/>
    <w:rsid w:val="00C725EC"/>
    <w:rsid w:val="00C72967"/>
    <w:rsid w:val="00C72C49"/>
    <w:rsid w:val="00C72F7B"/>
    <w:rsid w:val="00C73046"/>
    <w:rsid w:val="00C73047"/>
    <w:rsid w:val="00C7331D"/>
    <w:rsid w:val="00C7331F"/>
    <w:rsid w:val="00C735D1"/>
    <w:rsid w:val="00C73A1E"/>
    <w:rsid w:val="00C73AFF"/>
    <w:rsid w:val="00C73BED"/>
    <w:rsid w:val="00C73DCA"/>
    <w:rsid w:val="00C73EF1"/>
    <w:rsid w:val="00C7413A"/>
    <w:rsid w:val="00C742A4"/>
    <w:rsid w:val="00C74509"/>
    <w:rsid w:val="00C74908"/>
    <w:rsid w:val="00C74D3C"/>
    <w:rsid w:val="00C75067"/>
    <w:rsid w:val="00C7573A"/>
    <w:rsid w:val="00C7574E"/>
    <w:rsid w:val="00C759E2"/>
    <w:rsid w:val="00C76240"/>
    <w:rsid w:val="00C763EB"/>
    <w:rsid w:val="00C764F5"/>
    <w:rsid w:val="00C765A9"/>
    <w:rsid w:val="00C76878"/>
    <w:rsid w:val="00C76A0C"/>
    <w:rsid w:val="00C76CFB"/>
    <w:rsid w:val="00C774A3"/>
    <w:rsid w:val="00C775CA"/>
    <w:rsid w:val="00C77604"/>
    <w:rsid w:val="00C776B7"/>
    <w:rsid w:val="00C776D4"/>
    <w:rsid w:val="00C7782C"/>
    <w:rsid w:val="00C778B3"/>
    <w:rsid w:val="00C77982"/>
    <w:rsid w:val="00C77CA9"/>
    <w:rsid w:val="00C77DF6"/>
    <w:rsid w:val="00C77F6B"/>
    <w:rsid w:val="00C77FF3"/>
    <w:rsid w:val="00C804A6"/>
    <w:rsid w:val="00C8064D"/>
    <w:rsid w:val="00C806D0"/>
    <w:rsid w:val="00C807D9"/>
    <w:rsid w:val="00C809FF"/>
    <w:rsid w:val="00C80FDD"/>
    <w:rsid w:val="00C81013"/>
    <w:rsid w:val="00C811A1"/>
    <w:rsid w:val="00C8131C"/>
    <w:rsid w:val="00C813D6"/>
    <w:rsid w:val="00C81794"/>
    <w:rsid w:val="00C81A14"/>
    <w:rsid w:val="00C81BBC"/>
    <w:rsid w:val="00C81C5E"/>
    <w:rsid w:val="00C81E2C"/>
    <w:rsid w:val="00C826C9"/>
    <w:rsid w:val="00C82824"/>
    <w:rsid w:val="00C8299D"/>
    <w:rsid w:val="00C82B00"/>
    <w:rsid w:val="00C82EEF"/>
    <w:rsid w:val="00C82F38"/>
    <w:rsid w:val="00C82FD2"/>
    <w:rsid w:val="00C830DE"/>
    <w:rsid w:val="00C8315F"/>
    <w:rsid w:val="00C83649"/>
    <w:rsid w:val="00C837B8"/>
    <w:rsid w:val="00C838B7"/>
    <w:rsid w:val="00C83EBB"/>
    <w:rsid w:val="00C840D4"/>
    <w:rsid w:val="00C84214"/>
    <w:rsid w:val="00C84280"/>
    <w:rsid w:val="00C842CB"/>
    <w:rsid w:val="00C843BF"/>
    <w:rsid w:val="00C848A1"/>
    <w:rsid w:val="00C84A04"/>
    <w:rsid w:val="00C8510B"/>
    <w:rsid w:val="00C855A4"/>
    <w:rsid w:val="00C856C6"/>
    <w:rsid w:val="00C85804"/>
    <w:rsid w:val="00C85CE7"/>
    <w:rsid w:val="00C85E59"/>
    <w:rsid w:val="00C85EA6"/>
    <w:rsid w:val="00C85EED"/>
    <w:rsid w:val="00C85F75"/>
    <w:rsid w:val="00C85FC4"/>
    <w:rsid w:val="00C8616A"/>
    <w:rsid w:val="00C86178"/>
    <w:rsid w:val="00C86578"/>
    <w:rsid w:val="00C86650"/>
    <w:rsid w:val="00C868A7"/>
    <w:rsid w:val="00C868B5"/>
    <w:rsid w:val="00C8696B"/>
    <w:rsid w:val="00C86AD5"/>
    <w:rsid w:val="00C86D64"/>
    <w:rsid w:val="00C86E13"/>
    <w:rsid w:val="00C8722F"/>
    <w:rsid w:val="00C87351"/>
    <w:rsid w:val="00C8735C"/>
    <w:rsid w:val="00C87365"/>
    <w:rsid w:val="00C8750A"/>
    <w:rsid w:val="00C876CC"/>
    <w:rsid w:val="00C87732"/>
    <w:rsid w:val="00C87B0A"/>
    <w:rsid w:val="00C900A9"/>
    <w:rsid w:val="00C90655"/>
    <w:rsid w:val="00C9078F"/>
    <w:rsid w:val="00C91421"/>
    <w:rsid w:val="00C91472"/>
    <w:rsid w:val="00C91686"/>
    <w:rsid w:val="00C9175F"/>
    <w:rsid w:val="00C91807"/>
    <w:rsid w:val="00C91C05"/>
    <w:rsid w:val="00C91F74"/>
    <w:rsid w:val="00C92631"/>
    <w:rsid w:val="00C926F4"/>
    <w:rsid w:val="00C929D0"/>
    <w:rsid w:val="00C92B17"/>
    <w:rsid w:val="00C92BA7"/>
    <w:rsid w:val="00C92D92"/>
    <w:rsid w:val="00C92E23"/>
    <w:rsid w:val="00C93003"/>
    <w:rsid w:val="00C93095"/>
    <w:rsid w:val="00C9338C"/>
    <w:rsid w:val="00C9362D"/>
    <w:rsid w:val="00C9364A"/>
    <w:rsid w:val="00C936C7"/>
    <w:rsid w:val="00C9379D"/>
    <w:rsid w:val="00C93860"/>
    <w:rsid w:val="00C9393D"/>
    <w:rsid w:val="00C93E91"/>
    <w:rsid w:val="00C93F1E"/>
    <w:rsid w:val="00C94109"/>
    <w:rsid w:val="00C94288"/>
    <w:rsid w:val="00C942E6"/>
    <w:rsid w:val="00C9443B"/>
    <w:rsid w:val="00C9492E"/>
    <w:rsid w:val="00C94D7F"/>
    <w:rsid w:val="00C94EF5"/>
    <w:rsid w:val="00C9526E"/>
    <w:rsid w:val="00C95354"/>
    <w:rsid w:val="00C955D5"/>
    <w:rsid w:val="00C95793"/>
    <w:rsid w:val="00C9588C"/>
    <w:rsid w:val="00C95979"/>
    <w:rsid w:val="00C95B15"/>
    <w:rsid w:val="00C95BC6"/>
    <w:rsid w:val="00C96054"/>
    <w:rsid w:val="00C96206"/>
    <w:rsid w:val="00C962ED"/>
    <w:rsid w:val="00C96304"/>
    <w:rsid w:val="00C9630E"/>
    <w:rsid w:val="00C96A8B"/>
    <w:rsid w:val="00C96AF4"/>
    <w:rsid w:val="00C96DE7"/>
    <w:rsid w:val="00C97129"/>
    <w:rsid w:val="00C97327"/>
    <w:rsid w:val="00C974ED"/>
    <w:rsid w:val="00C975E1"/>
    <w:rsid w:val="00C9760B"/>
    <w:rsid w:val="00C97BBE"/>
    <w:rsid w:val="00C97C9C"/>
    <w:rsid w:val="00C97ED8"/>
    <w:rsid w:val="00C97EDD"/>
    <w:rsid w:val="00CA007B"/>
    <w:rsid w:val="00CA015A"/>
    <w:rsid w:val="00CA0394"/>
    <w:rsid w:val="00CA090F"/>
    <w:rsid w:val="00CA0E92"/>
    <w:rsid w:val="00CA1222"/>
    <w:rsid w:val="00CA18B4"/>
    <w:rsid w:val="00CA1B99"/>
    <w:rsid w:val="00CA246F"/>
    <w:rsid w:val="00CA29D5"/>
    <w:rsid w:val="00CA3048"/>
    <w:rsid w:val="00CA30F2"/>
    <w:rsid w:val="00CA3292"/>
    <w:rsid w:val="00CA34DC"/>
    <w:rsid w:val="00CA35B7"/>
    <w:rsid w:val="00CA36A9"/>
    <w:rsid w:val="00CA3BEE"/>
    <w:rsid w:val="00CA3C22"/>
    <w:rsid w:val="00CA3C80"/>
    <w:rsid w:val="00CA47AF"/>
    <w:rsid w:val="00CA4897"/>
    <w:rsid w:val="00CA4966"/>
    <w:rsid w:val="00CA4DCD"/>
    <w:rsid w:val="00CA5168"/>
    <w:rsid w:val="00CA522E"/>
    <w:rsid w:val="00CA5280"/>
    <w:rsid w:val="00CA52C4"/>
    <w:rsid w:val="00CA5488"/>
    <w:rsid w:val="00CA5513"/>
    <w:rsid w:val="00CA55B4"/>
    <w:rsid w:val="00CA55DD"/>
    <w:rsid w:val="00CA55FB"/>
    <w:rsid w:val="00CA55FD"/>
    <w:rsid w:val="00CA56AB"/>
    <w:rsid w:val="00CA57BC"/>
    <w:rsid w:val="00CA58F4"/>
    <w:rsid w:val="00CA58F7"/>
    <w:rsid w:val="00CA5965"/>
    <w:rsid w:val="00CA63C7"/>
    <w:rsid w:val="00CA655D"/>
    <w:rsid w:val="00CA6668"/>
    <w:rsid w:val="00CA67F3"/>
    <w:rsid w:val="00CA680A"/>
    <w:rsid w:val="00CA6BB0"/>
    <w:rsid w:val="00CA6DD1"/>
    <w:rsid w:val="00CA6F11"/>
    <w:rsid w:val="00CA7596"/>
    <w:rsid w:val="00CA77EA"/>
    <w:rsid w:val="00CA798E"/>
    <w:rsid w:val="00CA7B37"/>
    <w:rsid w:val="00CA7CDE"/>
    <w:rsid w:val="00CA7E89"/>
    <w:rsid w:val="00CA7EEC"/>
    <w:rsid w:val="00CB006B"/>
    <w:rsid w:val="00CB021D"/>
    <w:rsid w:val="00CB0470"/>
    <w:rsid w:val="00CB087E"/>
    <w:rsid w:val="00CB0922"/>
    <w:rsid w:val="00CB0B16"/>
    <w:rsid w:val="00CB0F2F"/>
    <w:rsid w:val="00CB1030"/>
    <w:rsid w:val="00CB10EB"/>
    <w:rsid w:val="00CB1244"/>
    <w:rsid w:val="00CB12C1"/>
    <w:rsid w:val="00CB1361"/>
    <w:rsid w:val="00CB15CC"/>
    <w:rsid w:val="00CB162A"/>
    <w:rsid w:val="00CB166B"/>
    <w:rsid w:val="00CB1A28"/>
    <w:rsid w:val="00CB1BA3"/>
    <w:rsid w:val="00CB21DB"/>
    <w:rsid w:val="00CB2231"/>
    <w:rsid w:val="00CB2461"/>
    <w:rsid w:val="00CB25C7"/>
    <w:rsid w:val="00CB28E3"/>
    <w:rsid w:val="00CB2936"/>
    <w:rsid w:val="00CB2B1D"/>
    <w:rsid w:val="00CB2BC5"/>
    <w:rsid w:val="00CB2D39"/>
    <w:rsid w:val="00CB31AD"/>
    <w:rsid w:val="00CB3253"/>
    <w:rsid w:val="00CB32FA"/>
    <w:rsid w:val="00CB3380"/>
    <w:rsid w:val="00CB354E"/>
    <w:rsid w:val="00CB37AA"/>
    <w:rsid w:val="00CB3AAC"/>
    <w:rsid w:val="00CB3BD4"/>
    <w:rsid w:val="00CB3D13"/>
    <w:rsid w:val="00CB3EF8"/>
    <w:rsid w:val="00CB425D"/>
    <w:rsid w:val="00CB42E6"/>
    <w:rsid w:val="00CB4579"/>
    <w:rsid w:val="00CB4770"/>
    <w:rsid w:val="00CB4AFE"/>
    <w:rsid w:val="00CB4B07"/>
    <w:rsid w:val="00CB4C02"/>
    <w:rsid w:val="00CB4C90"/>
    <w:rsid w:val="00CB5099"/>
    <w:rsid w:val="00CB5170"/>
    <w:rsid w:val="00CB54F3"/>
    <w:rsid w:val="00CB58E4"/>
    <w:rsid w:val="00CB5C3F"/>
    <w:rsid w:val="00CB5F1B"/>
    <w:rsid w:val="00CB6291"/>
    <w:rsid w:val="00CB6336"/>
    <w:rsid w:val="00CB635D"/>
    <w:rsid w:val="00CB64D5"/>
    <w:rsid w:val="00CB69E4"/>
    <w:rsid w:val="00CB6CC7"/>
    <w:rsid w:val="00CB6D9A"/>
    <w:rsid w:val="00CB6F18"/>
    <w:rsid w:val="00CB6F7B"/>
    <w:rsid w:val="00CB72B7"/>
    <w:rsid w:val="00CB772F"/>
    <w:rsid w:val="00CB7956"/>
    <w:rsid w:val="00CB7C42"/>
    <w:rsid w:val="00CB7FE8"/>
    <w:rsid w:val="00CB7FFE"/>
    <w:rsid w:val="00CC044C"/>
    <w:rsid w:val="00CC07E9"/>
    <w:rsid w:val="00CC0821"/>
    <w:rsid w:val="00CC0E7D"/>
    <w:rsid w:val="00CC0E9A"/>
    <w:rsid w:val="00CC155F"/>
    <w:rsid w:val="00CC15D2"/>
    <w:rsid w:val="00CC19F5"/>
    <w:rsid w:val="00CC1D1B"/>
    <w:rsid w:val="00CC1D8F"/>
    <w:rsid w:val="00CC212A"/>
    <w:rsid w:val="00CC214D"/>
    <w:rsid w:val="00CC21E2"/>
    <w:rsid w:val="00CC2750"/>
    <w:rsid w:val="00CC29D3"/>
    <w:rsid w:val="00CC2E63"/>
    <w:rsid w:val="00CC2ECD"/>
    <w:rsid w:val="00CC2FCA"/>
    <w:rsid w:val="00CC3500"/>
    <w:rsid w:val="00CC3771"/>
    <w:rsid w:val="00CC385E"/>
    <w:rsid w:val="00CC39BA"/>
    <w:rsid w:val="00CC4023"/>
    <w:rsid w:val="00CC42D8"/>
    <w:rsid w:val="00CC4470"/>
    <w:rsid w:val="00CC4688"/>
    <w:rsid w:val="00CC4885"/>
    <w:rsid w:val="00CC496B"/>
    <w:rsid w:val="00CC496D"/>
    <w:rsid w:val="00CC4A12"/>
    <w:rsid w:val="00CC4A91"/>
    <w:rsid w:val="00CC5074"/>
    <w:rsid w:val="00CC52D3"/>
    <w:rsid w:val="00CC52D6"/>
    <w:rsid w:val="00CC5440"/>
    <w:rsid w:val="00CC5524"/>
    <w:rsid w:val="00CC5A62"/>
    <w:rsid w:val="00CC5AFF"/>
    <w:rsid w:val="00CC5B4A"/>
    <w:rsid w:val="00CC626A"/>
    <w:rsid w:val="00CC62F6"/>
    <w:rsid w:val="00CC6520"/>
    <w:rsid w:val="00CC699E"/>
    <w:rsid w:val="00CC69EB"/>
    <w:rsid w:val="00CC6AB0"/>
    <w:rsid w:val="00CC6E5C"/>
    <w:rsid w:val="00CC6E88"/>
    <w:rsid w:val="00CC6F47"/>
    <w:rsid w:val="00CC7284"/>
    <w:rsid w:val="00CC72AC"/>
    <w:rsid w:val="00CC76CD"/>
    <w:rsid w:val="00CC76F8"/>
    <w:rsid w:val="00CC7A37"/>
    <w:rsid w:val="00CC7E15"/>
    <w:rsid w:val="00CC7E18"/>
    <w:rsid w:val="00CD009D"/>
    <w:rsid w:val="00CD0561"/>
    <w:rsid w:val="00CD05C3"/>
    <w:rsid w:val="00CD07E3"/>
    <w:rsid w:val="00CD095F"/>
    <w:rsid w:val="00CD0A2B"/>
    <w:rsid w:val="00CD1617"/>
    <w:rsid w:val="00CD1675"/>
    <w:rsid w:val="00CD1D38"/>
    <w:rsid w:val="00CD1EDB"/>
    <w:rsid w:val="00CD1FBC"/>
    <w:rsid w:val="00CD224F"/>
    <w:rsid w:val="00CD22D6"/>
    <w:rsid w:val="00CD2496"/>
    <w:rsid w:val="00CD2644"/>
    <w:rsid w:val="00CD2AE0"/>
    <w:rsid w:val="00CD2C35"/>
    <w:rsid w:val="00CD2FB4"/>
    <w:rsid w:val="00CD3036"/>
    <w:rsid w:val="00CD35D1"/>
    <w:rsid w:val="00CD35E1"/>
    <w:rsid w:val="00CD3CF2"/>
    <w:rsid w:val="00CD3D1C"/>
    <w:rsid w:val="00CD3D47"/>
    <w:rsid w:val="00CD3DC0"/>
    <w:rsid w:val="00CD3DD3"/>
    <w:rsid w:val="00CD3EBB"/>
    <w:rsid w:val="00CD41DA"/>
    <w:rsid w:val="00CD446F"/>
    <w:rsid w:val="00CD44E2"/>
    <w:rsid w:val="00CD460A"/>
    <w:rsid w:val="00CD4656"/>
    <w:rsid w:val="00CD46B4"/>
    <w:rsid w:val="00CD46DF"/>
    <w:rsid w:val="00CD4CBF"/>
    <w:rsid w:val="00CD4D0F"/>
    <w:rsid w:val="00CD4FBD"/>
    <w:rsid w:val="00CD4FC2"/>
    <w:rsid w:val="00CD52E1"/>
    <w:rsid w:val="00CD53C4"/>
    <w:rsid w:val="00CD5436"/>
    <w:rsid w:val="00CD551C"/>
    <w:rsid w:val="00CD5571"/>
    <w:rsid w:val="00CD5818"/>
    <w:rsid w:val="00CD5971"/>
    <w:rsid w:val="00CD5A24"/>
    <w:rsid w:val="00CD5E06"/>
    <w:rsid w:val="00CD5E67"/>
    <w:rsid w:val="00CD5FF1"/>
    <w:rsid w:val="00CD6107"/>
    <w:rsid w:val="00CD6312"/>
    <w:rsid w:val="00CD643D"/>
    <w:rsid w:val="00CD6542"/>
    <w:rsid w:val="00CD65B2"/>
    <w:rsid w:val="00CD6674"/>
    <w:rsid w:val="00CD69D7"/>
    <w:rsid w:val="00CD6CD7"/>
    <w:rsid w:val="00CD707E"/>
    <w:rsid w:val="00CD724A"/>
    <w:rsid w:val="00CD72CF"/>
    <w:rsid w:val="00CD749C"/>
    <w:rsid w:val="00CD7863"/>
    <w:rsid w:val="00CD7927"/>
    <w:rsid w:val="00CD7A31"/>
    <w:rsid w:val="00CD7E96"/>
    <w:rsid w:val="00CE01E8"/>
    <w:rsid w:val="00CE0315"/>
    <w:rsid w:val="00CE04FF"/>
    <w:rsid w:val="00CE06BB"/>
    <w:rsid w:val="00CE09A0"/>
    <w:rsid w:val="00CE09F7"/>
    <w:rsid w:val="00CE0B4F"/>
    <w:rsid w:val="00CE0D03"/>
    <w:rsid w:val="00CE1224"/>
    <w:rsid w:val="00CE12FA"/>
    <w:rsid w:val="00CE1C0B"/>
    <w:rsid w:val="00CE1CA2"/>
    <w:rsid w:val="00CE1CD0"/>
    <w:rsid w:val="00CE1DE4"/>
    <w:rsid w:val="00CE1E70"/>
    <w:rsid w:val="00CE208B"/>
    <w:rsid w:val="00CE20EE"/>
    <w:rsid w:val="00CE2258"/>
    <w:rsid w:val="00CE2757"/>
    <w:rsid w:val="00CE2956"/>
    <w:rsid w:val="00CE300D"/>
    <w:rsid w:val="00CE3037"/>
    <w:rsid w:val="00CE31BD"/>
    <w:rsid w:val="00CE3216"/>
    <w:rsid w:val="00CE326A"/>
    <w:rsid w:val="00CE3921"/>
    <w:rsid w:val="00CE39BA"/>
    <w:rsid w:val="00CE3A9A"/>
    <w:rsid w:val="00CE3AB9"/>
    <w:rsid w:val="00CE43B9"/>
    <w:rsid w:val="00CE4569"/>
    <w:rsid w:val="00CE4AA5"/>
    <w:rsid w:val="00CE4F2C"/>
    <w:rsid w:val="00CE5360"/>
    <w:rsid w:val="00CE54A8"/>
    <w:rsid w:val="00CE55D4"/>
    <w:rsid w:val="00CE5698"/>
    <w:rsid w:val="00CE5706"/>
    <w:rsid w:val="00CE576A"/>
    <w:rsid w:val="00CE5852"/>
    <w:rsid w:val="00CE58E4"/>
    <w:rsid w:val="00CE5C90"/>
    <w:rsid w:val="00CE5C94"/>
    <w:rsid w:val="00CE5DA7"/>
    <w:rsid w:val="00CE64CA"/>
    <w:rsid w:val="00CE65A8"/>
    <w:rsid w:val="00CE6628"/>
    <w:rsid w:val="00CE6B63"/>
    <w:rsid w:val="00CE6C51"/>
    <w:rsid w:val="00CE6D85"/>
    <w:rsid w:val="00CE728F"/>
    <w:rsid w:val="00CE7359"/>
    <w:rsid w:val="00CE7473"/>
    <w:rsid w:val="00CE74A8"/>
    <w:rsid w:val="00CE77CD"/>
    <w:rsid w:val="00CE78E3"/>
    <w:rsid w:val="00CE7A0F"/>
    <w:rsid w:val="00CF035F"/>
    <w:rsid w:val="00CF0471"/>
    <w:rsid w:val="00CF0490"/>
    <w:rsid w:val="00CF06FC"/>
    <w:rsid w:val="00CF08F6"/>
    <w:rsid w:val="00CF0AD7"/>
    <w:rsid w:val="00CF0CFB"/>
    <w:rsid w:val="00CF0E54"/>
    <w:rsid w:val="00CF0FAA"/>
    <w:rsid w:val="00CF116F"/>
    <w:rsid w:val="00CF126A"/>
    <w:rsid w:val="00CF1743"/>
    <w:rsid w:val="00CF1768"/>
    <w:rsid w:val="00CF189D"/>
    <w:rsid w:val="00CF1BB3"/>
    <w:rsid w:val="00CF2097"/>
    <w:rsid w:val="00CF2134"/>
    <w:rsid w:val="00CF2BEA"/>
    <w:rsid w:val="00CF2CA0"/>
    <w:rsid w:val="00CF2CB0"/>
    <w:rsid w:val="00CF2DA4"/>
    <w:rsid w:val="00CF31A3"/>
    <w:rsid w:val="00CF3427"/>
    <w:rsid w:val="00CF3CE2"/>
    <w:rsid w:val="00CF3F78"/>
    <w:rsid w:val="00CF4053"/>
    <w:rsid w:val="00CF4107"/>
    <w:rsid w:val="00CF41AA"/>
    <w:rsid w:val="00CF4717"/>
    <w:rsid w:val="00CF4DF0"/>
    <w:rsid w:val="00CF4ECF"/>
    <w:rsid w:val="00CF4F2B"/>
    <w:rsid w:val="00CF517C"/>
    <w:rsid w:val="00CF5507"/>
    <w:rsid w:val="00CF57F2"/>
    <w:rsid w:val="00CF59AC"/>
    <w:rsid w:val="00CF5C21"/>
    <w:rsid w:val="00CF5CCC"/>
    <w:rsid w:val="00CF5CF3"/>
    <w:rsid w:val="00CF5D8D"/>
    <w:rsid w:val="00CF5DCE"/>
    <w:rsid w:val="00CF5F0F"/>
    <w:rsid w:val="00CF618A"/>
    <w:rsid w:val="00CF66FF"/>
    <w:rsid w:val="00CF6738"/>
    <w:rsid w:val="00CF675C"/>
    <w:rsid w:val="00CF6C52"/>
    <w:rsid w:val="00CF6C70"/>
    <w:rsid w:val="00CF6DAC"/>
    <w:rsid w:val="00CF6E96"/>
    <w:rsid w:val="00CF754D"/>
    <w:rsid w:val="00CF7A33"/>
    <w:rsid w:val="00CF7AA4"/>
    <w:rsid w:val="00CF7B89"/>
    <w:rsid w:val="00D00019"/>
    <w:rsid w:val="00D000E3"/>
    <w:rsid w:val="00D00128"/>
    <w:rsid w:val="00D0056A"/>
    <w:rsid w:val="00D00714"/>
    <w:rsid w:val="00D0086C"/>
    <w:rsid w:val="00D00959"/>
    <w:rsid w:val="00D00A60"/>
    <w:rsid w:val="00D00BE1"/>
    <w:rsid w:val="00D00E13"/>
    <w:rsid w:val="00D00FF6"/>
    <w:rsid w:val="00D010B3"/>
    <w:rsid w:val="00D01232"/>
    <w:rsid w:val="00D018B6"/>
    <w:rsid w:val="00D01951"/>
    <w:rsid w:val="00D01A75"/>
    <w:rsid w:val="00D01B44"/>
    <w:rsid w:val="00D0295B"/>
    <w:rsid w:val="00D02B65"/>
    <w:rsid w:val="00D02B96"/>
    <w:rsid w:val="00D02C53"/>
    <w:rsid w:val="00D02CC4"/>
    <w:rsid w:val="00D02D8E"/>
    <w:rsid w:val="00D030E4"/>
    <w:rsid w:val="00D03135"/>
    <w:rsid w:val="00D031F0"/>
    <w:rsid w:val="00D03419"/>
    <w:rsid w:val="00D03433"/>
    <w:rsid w:val="00D034DA"/>
    <w:rsid w:val="00D03992"/>
    <w:rsid w:val="00D03CF8"/>
    <w:rsid w:val="00D041D6"/>
    <w:rsid w:val="00D04710"/>
    <w:rsid w:val="00D04B1D"/>
    <w:rsid w:val="00D04C48"/>
    <w:rsid w:val="00D04D8D"/>
    <w:rsid w:val="00D052B3"/>
    <w:rsid w:val="00D0538C"/>
    <w:rsid w:val="00D058D1"/>
    <w:rsid w:val="00D05922"/>
    <w:rsid w:val="00D05A08"/>
    <w:rsid w:val="00D05A12"/>
    <w:rsid w:val="00D05D25"/>
    <w:rsid w:val="00D05D89"/>
    <w:rsid w:val="00D05E06"/>
    <w:rsid w:val="00D05E1E"/>
    <w:rsid w:val="00D06285"/>
    <w:rsid w:val="00D06361"/>
    <w:rsid w:val="00D063FE"/>
    <w:rsid w:val="00D0695C"/>
    <w:rsid w:val="00D06C41"/>
    <w:rsid w:val="00D06F15"/>
    <w:rsid w:val="00D06FF8"/>
    <w:rsid w:val="00D0771B"/>
    <w:rsid w:val="00D079C2"/>
    <w:rsid w:val="00D07A4B"/>
    <w:rsid w:val="00D07B2D"/>
    <w:rsid w:val="00D07C6D"/>
    <w:rsid w:val="00D07E10"/>
    <w:rsid w:val="00D07E67"/>
    <w:rsid w:val="00D1046B"/>
    <w:rsid w:val="00D107D8"/>
    <w:rsid w:val="00D1091F"/>
    <w:rsid w:val="00D1093D"/>
    <w:rsid w:val="00D10B92"/>
    <w:rsid w:val="00D10D88"/>
    <w:rsid w:val="00D11266"/>
    <w:rsid w:val="00D1152E"/>
    <w:rsid w:val="00D117F6"/>
    <w:rsid w:val="00D11B93"/>
    <w:rsid w:val="00D11C14"/>
    <w:rsid w:val="00D11C70"/>
    <w:rsid w:val="00D11D08"/>
    <w:rsid w:val="00D122B7"/>
    <w:rsid w:val="00D122C4"/>
    <w:rsid w:val="00D1240B"/>
    <w:rsid w:val="00D129AF"/>
    <w:rsid w:val="00D12A9C"/>
    <w:rsid w:val="00D12C21"/>
    <w:rsid w:val="00D12D33"/>
    <w:rsid w:val="00D12F2A"/>
    <w:rsid w:val="00D135DB"/>
    <w:rsid w:val="00D13698"/>
    <w:rsid w:val="00D137E7"/>
    <w:rsid w:val="00D13D2C"/>
    <w:rsid w:val="00D13D6F"/>
    <w:rsid w:val="00D14213"/>
    <w:rsid w:val="00D14426"/>
    <w:rsid w:val="00D14663"/>
    <w:rsid w:val="00D14780"/>
    <w:rsid w:val="00D14890"/>
    <w:rsid w:val="00D14942"/>
    <w:rsid w:val="00D1512F"/>
    <w:rsid w:val="00D15812"/>
    <w:rsid w:val="00D15B46"/>
    <w:rsid w:val="00D15D48"/>
    <w:rsid w:val="00D160AF"/>
    <w:rsid w:val="00D1617A"/>
    <w:rsid w:val="00D161CF"/>
    <w:rsid w:val="00D1643D"/>
    <w:rsid w:val="00D16524"/>
    <w:rsid w:val="00D16799"/>
    <w:rsid w:val="00D16E7E"/>
    <w:rsid w:val="00D16F6E"/>
    <w:rsid w:val="00D17341"/>
    <w:rsid w:val="00D17473"/>
    <w:rsid w:val="00D174A6"/>
    <w:rsid w:val="00D177E9"/>
    <w:rsid w:val="00D178F2"/>
    <w:rsid w:val="00D2052B"/>
    <w:rsid w:val="00D20967"/>
    <w:rsid w:val="00D20EA5"/>
    <w:rsid w:val="00D211A2"/>
    <w:rsid w:val="00D21409"/>
    <w:rsid w:val="00D2155E"/>
    <w:rsid w:val="00D215DB"/>
    <w:rsid w:val="00D21607"/>
    <w:rsid w:val="00D21871"/>
    <w:rsid w:val="00D21B47"/>
    <w:rsid w:val="00D21D94"/>
    <w:rsid w:val="00D21F82"/>
    <w:rsid w:val="00D22133"/>
    <w:rsid w:val="00D22242"/>
    <w:rsid w:val="00D2229D"/>
    <w:rsid w:val="00D2271C"/>
    <w:rsid w:val="00D22A2D"/>
    <w:rsid w:val="00D22A6A"/>
    <w:rsid w:val="00D22A6D"/>
    <w:rsid w:val="00D22CF8"/>
    <w:rsid w:val="00D22EB0"/>
    <w:rsid w:val="00D230AF"/>
    <w:rsid w:val="00D231BD"/>
    <w:rsid w:val="00D23351"/>
    <w:rsid w:val="00D238DA"/>
    <w:rsid w:val="00D23FE2"/>
    <w:rsid w:val="00D24009"/>
    <w:rsid w:val="00D24275"/>
    <w:rsid w:val="00D247D1"/>
    <w:rsid w:val="00D24A5B"/>
    <w:rsid w:val="00D24AB8"/>
    <w:rsid w:val="00D24C87"/>
    <w:rsid w:val="00D24E51"/>
    <w:rsid w:val="00D24F04"/>
    <w:rsid w:val="00D2585D"/>
    <w:rsid w:val="00D25947"/>
    <w:rsid w:val="00D25DE2"/>
    <w:rsid w:val="00D261F4"/>
    <w:rsid w:val="00D26563"/>
    <w:rsid w:val="00D266AD"/>
    <w:rsid w:val="00D26924"/>
    <w:rsid w:val="00D26BE4"/>
    <w:rsid w:val="00D26C0E"/>
    <w:rsid w:val="00D27205"/>
    <w:rsid w:val="00D272C9"/>
    <w:rsid w:val="00D27350"/>
    <w:rsid w:val="00D2747B"/>
    <w:rsid w:val="00D275A0"/>
    <w:rsid w:val="00D275D3"/>
    <w:rsid w:val="00D27816"/>
    <w:rsid w:val="00D27A6B"/>
    <w:rsid w:val="00D27B42"/>
    <w:rsid w:val="00D27C42"/>
    <w:rsid w:val="00D3001F"/>
    <w:rsid w:val="00D30137"/>
    <w:rsid w:val="00D304B6"/>
    <w:rsid w:val="00D305A6"/>
    <w:rsid w:val="00D30800"/>
    <w:rsid w:val="00D30951"/>
    <w:rsid w:val="00D30FAA"/>
    <w:rsid w:val="00D31910"/>
    <w:rsid w:val="00D319C2"/>
    <w:rsid w:val="00D31AC3"/>
    <w:rsid w:val="00D32093"/>
    <w:rsid w:val="00D322F2"/>
    <w:rsid w:val="00D32342"/>
    <w:rsid w:val="00D32681"/>
    <w:rsid w:val="00D328C1"/>
    <w:rsid w:val="00D32931"/>
    <w:rsid w:val="00D32A34"/>
    <w:rsid w:val="00D32BF1"/>
    <w:rsid w:val="00D33009"/>
    <w:rsid w:val="00D331AA"/>
    <w:rsid w:val="00D33CB9"/>
    <w:rsid w:val="00D33DE5"/>
    <w:rsid w:val="00D34064"/>
    <w:rsid w:val="00D34946"/>
    <w:rsid w:val="00D34D95"/>
    <w:rsid w:val="00D34D9E"/>
    <w:rsid w:val="00D34EC2"/>
    <w:rsid w:val="00D34FC5"/>
    <w:rsid w:val="00D3515D"/>
    <w:rsid w:val="00D351B5"/>
    <w:rsid w:val="00D3526B"/>
    <w:rsid w:val="00D35305"/>
    <w:rsid w:val="00D355B9"/>
    <w:rsid w:val="00D35788"/>
    <w:rsid w:val="00D359E7"/>
    <w:rsid w:val="00D35C1F"/>
    <w:rsid w:val="00D35F27"/>
    <w:rsid w:val="00D36373"/>
    <w:rsid w:val="00D364F3"/>
    <w:rsid w:val="00D367EE"/>
    <w:rsid w:val="00D3681D"/>
    <w:rsid w:val="00D3689B"/>
    <w:rsid w:val="00D36AC5"/>
    <w:rsid w:val="00D36B13"/>
    <w:rsid w:val="00D36E8D"/>
    <w:rsid w:val="00D36F6B"/>
    <w:rsid w:val="00D37380"/>
    <w:rsid w:val="00D373D5"/>
    <w:rsid w:val="00D37685"/>
    <w:rsid w:val="00D3770B"/>
    <w:rsid w:val="00D377E6"/>
    <w:rsid w:val="00D40228"/>
    <w:rsid w:val="00D4032C"/>
    <w:rsid w:val="00D40655"/>
    <w:rsid w:val="00D40C67"/>
    <w:rsid w:val="00D40E15"/>
    <w:rsid w:val="00D41000"/>
    <w:rsid w:val="00D410D8"/>
    <w:rsid w:val="00D41357"/>
    <w:rsid w:val="00D41782"/>
    <w:rsid w:val="00D41808"/>
    <w:rsid w:val="00D419FF"/>
    <w:rsid w:val="00D41A9B"/>
    <w:rsid w:val="00D41BDD"/>
    <w:rsid w:val="00D41CBB"/>
    <w:rsid w:val="00D41DE3"/>
    <w:rsid w:val="00D41DF7"/>
    <w:rsid w:val="00D41E14"/>
    <w:rsid w:val="00D42406"/>
    <w:rsid w:val="00D42BB7"/>
    <w:rsid w:val="00D42DC7"/>
    <w:rsid w:val="00D42F31"/>
    <w:rsid w:val="00D42F49"/>
    <w:rsid w:val="00D42F79"/>
    <w:rsid w:val="00D431A7"/>
    <w:rsid w:val="00D436E0"/>
    <w:rsid w:val="00D43A7D"/>
    <w:rsid w:val="00D449B9"/>
    <w:rsid w:val="00D44BE4"/>
    <w:rsid w:val="00D44D91"/>
    <w:rsid w:val="00D44E65"/>
    <w:rsid w:val="00D44F9D"/>
    <w:rsid w:val="00D4517C"/>
    <w:rsid w:val="00D451AE"/>
    <w:rsid w:val="00D453DD"/>
    <w:rsid w:val="00D45548"/>
    <w:rsid w:val="00D4557B"/>
    <w:rsid w:val="00D4564E"/>
    <w:rsid w:val="00D4579B"/>
    <w:rsid w:val="00D458AF"/>
    <w:rsid w:val="00D459C1"/>
    <w:rsid w:val="00D46220"/>
    <w:rsid w:val="00D465FA"/>
    <w:rsid w:val="00D46627"/>
    <w:rsid w:val="00D4669A"/>
    <w:rsid w:val="00D46B9F"/>
    <w:rsid w:val="00D46F3F"/>
    <w:rsid w:val="00D46F61"/>
    <w:rsid w:val="00D47105"/>
    <w:rsid w:val="00D477DF"/>
    <w:rsid w:val="00D47860"/>
    <w:rsid w:val="00D47B87"/>
    <w:rsid w:val="00D47CCB"/>
    <w:rsid w:val="00D50210"/>
    <w:rsid w:val="00D504AB"/>
    <w:rsid w:val="00D5090B"/>
    <w:rsid w:val="00D50957"/>
    <w:rsid w:val="00D51251"/>
    <w:rsid w:val="00D5134D"/>
    <w:rsid w:val="00D51E40"/>
    <w:rsid w:val="00D51ED2"/>
    <w:rsid w:val="00D52842"/>
    <w:rsid w:val="00D52D7B"/>
    <w:rsid w:val="00D52ED4"/>
    <w:rsid w:val="00D535D7"/>
    <w:rsid w:val="00D539BA"/>
    <w:rsid w:val="00D545DE"/>
    <w:rsid w:val="00D545F0"/>
    <w:rsid w:val="00D546F0"/>
    <w:rsid w:val="00D54774"/>
    <w:rsid w:val="00D54E08"/>
    <w:rsid w:val="00D55189"/>
    <w:rsid w:val="00D5534C"/>
    <w:rsid w:val="00D55393"/>
    <w:rsid w:val="00D55AE6"/>
    <w:rsid w:val="00D55B51"/>
    <w:rsid w:val="00D55BF5"/>
    <w:rsid w:val="00D55C1F"/>
    <w:rsid w:val="00D55DBD"/>
    <w:rsid w:val="00D56134"/>
    <w:rsid w:val="00D56143"/>
    <w:rsid w:val="00D56232"/>
    <w:rsid w:val="00D562A7"/>
    <w:rsid w:val="00D5653F"/>
    <w:rsid w:val="00D566C0"/>
    <w:rsid w:val="00D56796"/>
    <w:rsid w:val="00D567BF"/>
    <w:rsid w:val="00D56830"/>
    <w:rsid w:val="00D56988"/>
    <w:rsid w:val="00D56BAD"/>
    <w:rsid w:val="00D56D11"/>
    <w:rsid w:val="00D56E09"/>
    <w:rsid w:val="00D56E5F"/>
    <w:rsid w:val="00D57165"/>
    <w:rsid w:val="00D5719D"/>
    <w:rsid w:val="00D57622"/>
    <w:rsid w:val="00D576F2"/>
    <w:rsid w:val="00D57746"/>
    <w:rsid w:val="00D578A3"/>
    <w:rsid w:val="00D57C35"/>
    <w:rsid w:val="00D57C54"/>
    <w:rsid w:val="00D57CD2"/>
    <w:rsid w:val="00D601E2"/>
    <w:rsid w:val="00D601E9"/>
    <w:rsid w:val="00D60383"/>
    <w:rsid w:val="00D608FC"/>
    <w:rsid w:val="00D60C30"/>
    <w:rsid w:val="00D6105B"/>
    <w:rsid w:val="00D61166"/>
    <w:rsid w:val="00D61B1C"/>
    <w:rsid w:val="00D62162"/>
    <w:rsid w:val="00D62264"/>
    <w:rsid w:val="00D628A1"/>
    <w:rsid w:val="00D62A13"/>
    <w:rsid w:val="00D62BDC"/>
    <w:rsid w:val="00D62C86"/>
    <w:rsid w:val="00D62DA8"/>
    <w:rsid w:val="00D62E3C"/>
    <w:rsid w:val="00D6324B"/>
    <w:rsid w:val="00D63283"/>
    <w:rsid w:val="00D632CF"/>
    <w:rsid w:val="00D63627"/>
    <w:rsid w:val="00D6363A"/>
    <w:rsid w:val="00D64096"/>
    <w:rsid w:val="00D640ED"/>
    <w:rsid w:val="00D641FA"/>
    <w:rsid w:val="00D64242"/>
    <w:rsid w:val="00D64343"/>
    <w:rsid w:val="00D643A1"/>
    <w:rsid w:val="00D643DA"/>
    <w:rsid w:val="00D644B3"/>
    <w:rsid w:val="00D644F5"/>
    <w:rsid w:val="00D64616"/>
    <w:rsid w:val="00D646DA"/>
    <w:rsid w:val="00D64920"/>
    <w:rsid w:val="00D64A4F"/>
    <w:rsid w:val="00D64B7D"/>
    <w:rsid w:val="00D64CD4"/>
    <w:rsid w:val="00D64E04"/>
    <w:rsid w:val="00D65211"/>
    <w:rsid w:val="00D6546E"/>
    <w:rsid w:val="00D65567"/>
    <w:rsid w:val="00D65664"/>
    <w:rsid w:val="00D65D05"/>
    <w:rsid w:val="00D65DF3"/>
    <w:rsid w:val="00D65E5F"/>
    <w:rsid w:val="00D65F5D"/>
    <w:rsid w:val="00D660A0"/>
    <w:rsid w:val="00D662AE"/>
    <w:rsid w:val="00D66594"/>
    <w:rsid w:val="00D6686C"/>
    <w:rsid w:val="00D6689A"/>
    <w:rsid w:val="00D66903"/>
    <w:rsid w:val="00D66C78"/>
    <w:rsid w:val="00D66D89"/>
    <w:rsid w:val="00D66E58"/>
    <w:rsid w:val="00D66F68"/>
    <w:rsid w:val="00D671A0"/>
    <w:rsid w:val="00D67252"/>
    <w:rsid w:val="00D6746F"/>
    <w:rsid w:val="00D67708"/>
    <w:rsid w:val="00D67844"/>
    <w:rsid w:val="00D678C2"/>
    <w:rsid w:val="00D67BB7"/>
    <w:rsid w:val="00D67D31"/>
    <w:rsid w:val="00D704DA"/>
    <w:rsid w:val="00D70AD9"/>
    <w:rsid w:val="00D71240"/>
    <w:rsid w:val="00D71940"/>
    <w:rsid w:val="00D719EC"/>
    <w:rsid w:val="00D71A1A"/>
    <w:rsid w:val="00D71FEB"/>
    <w:rsid w:val="00D724AF"/>
    <w:rsid w:val="00D726CF"/>
    <w:rsid w:val="00D72967"/>
    <w:rsid w:val="00D72C56"/>
    <w:rsid w:val="00D733BB"/>
    <w:rsid w:val="00D73846"/>
    <w:rsid w:val="00D73B51"/>
    <w:rsid w:val="00D74108"/>
    <w:rsid w:val="00D74186"/>
    <w:rsid w:val="00D748EB"/>
    <w:rsid w:val="00D74B1A"/>
    <w:rsid w:val="00D74C39"/>
    <w:rsid w:val="00D74C42"/>
    <w:rsid w:val="00D74D24"/>
    <w:rsid w:val="00D74D4C"/>
    <w:rsid w:val="00D74FDA"/>
    <w:rsid w:val="00D750D7"/>
    <w:rsid w:val="00D7556F"/>
    <w:rsid w:val="00D75837"/>
    <w:rsid w:val="00D7586D"/>
    <w:rsid w:val="00D75B1F"/>
    <w:rsid w:val="00D7654F"/>
    <w:rsid w:val="00D765F0"/>
    <w:rsid w:val="00D7664B"/>
    <w:rsid w:val="00D76761"/>
    <w:rsid w:val="00D767A3"/>
    <w:rsid w:val="00D76994"/>
    <w:rsid w:val="00D76AA1"/>
    <w:rsid w:val="00D76DC2"/>
    <w:rsid w:val="00D76DFE"/>
    <w:rsid w:val="00D76ED2"/>
    <w:rsid w:val="00D76ED5"/>
    <w:rsid w:val="00D773DB"/>
    <w:rsid w:val="00D7740C"/>
    <w:rsid w:val="00D777C0"/>
    <w:rsid w:val="00D77AF6"/>
    <w:rsid w:val="00D77C5C"/>
    <w:rsid w:val="00D800A9"/>
    <w:rsid w:val="00D80402"/>
    <w:rsid w:val="00D804C5"/>
    <w:rsid w:val="00D80969"/>
    <w:rsid w:val="00D80D0D"/>
    <w:rsid w:val="00D81437"/>
    <w:rsid w:val="00D815BE"/>
    <w:rsid w:val="00D81722"/>
    <w:rsid w:val="00D817C2"/>
    <w:rsid w:val="00D819C4"/>
    <w:rsid w:val="00D81ED3"/>
    <w:rsid w:val="00D82335"/>
    <w:rsid w:val="00D825EC"/>
    <w:rsid w:val="00D82CE5"/>
    <w:rsid w:val="00D82F0B"/>
    <w:rsid w:val="00D836DE"/>
    <w:rsid w:val="00D83711"/>
    <w:rsid w:val="00D83A02"/>
    <w:rsid w:val="00D83A44"/>
    <w:rsid w:val="00D83BA9"/>
    <w:rsid w:val="00D83D08"/>
    <w:rsid w:val="00D8408D"/>
    <w:rsid w:val="00D842DB"/>
    <w:rsid w:val="00D842EC"/>
    <w:rsid w:val="00D84579"/>
    <w:rsid w:val="00D845C0"/>
    <w:rsid w:val="00D84701"/>
    <w:rsid w:val="00D84926"/>
    <w:rsid w:val="00D84964"/>
    <w:rsid w:val="00D849EE"/>
    <w:rsid w:val="00D85030"/>
    <w:rsid w:val="00D85091"/>
    <w:rsid w:val="00D851CB"/>
    <w:rsid w:val="00D854FF"/>
    <w:rsid w:val="00D85538"/>
    <w:rsid w:val="00D8561A"/>
    <w:rsid w:val="00D8561F"/>
    <w:rsid w:val="00D85A5D"/>
    <w:rsid w:val="00D85B13"/>
    <w:rsid w:val="00D85B64"/>
    <w:rsid w:val="00D85BD9"/>
    <w:rsid w:val="00D86043"/>
    <w:rsid w:val="00D8614D"/>
    <w:rsid w:val="00D863FD"/>
    <w:rsid w:val="00D86467"/>
    <w:rsid w:val="00D86478"/>
    <w:rsid w:val="00D8662F"/>
    <w:rsid w:val="00D86C8B"/>
    <w:rsid w:val="00D86E48"/>
    <w:rsid w:val="00D874E9"/>
    <w:rsid w:val="00D87851"/>
    <w:rsid w:val="00D87ADF"/>
    <w:rsid w:val="00D87B32"/>
    <w:rsid w:val="00D902B5"/>
    <w:rsid w:val="00D903DC"/>
    <w:rsid w:val="00D90451"/>
    <w:rsid w:val="00D904D9"/>
    <w:rsid w:val="00D904F1"/>
    <w:rsid w:val="00D9075E"/>
    <w:rsid w:val="00D9082E"/>
    <w:rsid w:val="00D9086C"/>
    <w:rsid w:val="00D908C0"/>
    <w:rsid w:val="00D90EEC"/>
    <w:rsid w:val="00D91047"/>
    <w:rsid w:val="00D91048"/>
    <w:rsid w:val="00D9126C"/>
    <w:rsid w:val="00D91406"/>
    <w:rsid w:val="00D917CD"/>
    <w:rsid w:val="00D917D6"/>
    <w:rsid w:val="00D91938"/>
    <w:rsid w:val="00D91B94"/>
    <w:rsid w:val="00D91C80"/>
    <w:rsid w:val="00D91C9D"/>
    <w:rsid w:val="00D91ED3"/>
    <w:rsid w:val="00D922B8"/>
    <w:rsid w:val="00D9245A"/>
    <w:rsid w:val="00D92493"/>
    <w:rsid w:val="00D925EE"/>
    <w:rsid w:val="00D92604"/>
    <w:rsid w:val="00D92A60"/>
    <w:rsid w:val="00D92A79"/>
    <w:rsid w:val="00D92D76"/>
    <w:rsid w:val="00D92E38"/>
    <w:rsid w:val="00D92E3A"/>
    <w:rsid w:val="00D92FF4"/>
    <w:rsid w:val="00D92FF9"/>
    <w:rsid w:val="00D93304"/>
    <w:rsid w:val="00D936A2"/>
    <w:rsid w:val="00D93D42"/>
    <w:rsid w:val="00D940A7"/>
    <w:rsid w:val="00D9417C"/>
    <w:rsid w:val="00D94350"/>
    <w:rsid w:val="00D9439F"/>
    <w:rsid w:val="00D94537"/>
    <w:rsid w:val="00D94547"/>
    <w:rsid w:val="00D94A2D"/>
    <w:rsid w:val="00D94ACF"/>
    <w:rsid w:val="00D94B6C"/>
    <w:rsid w:val="00D94B94"/>
    <w:rsid w:val="00D94CFC"/>
    <w:rsid w:val="00D950DA"/>
    <w:rsid w:val="00D9518F"/>
    <w:rsid w:val="00D95286"/>
    <w:rsid w:val="00D9579C"/>
    <w:rsid w:val="00D957C6"/>
    <w:rsid w:val="00D95997"/>
    <w:rsid w:val="00D95A15"/>
    <w:rsid w:val="00D95FFD"/>
    <w:rsid w:val="00D961C8"/>
    <w:rsid w:val="00D9672C"/>
    <w:rsid w:val="00D967F5"/>
    <w:rsid w:val="00D96A95"/>
    <w:rsid w:val="00D96BAF"/>
    <w:rsid w:val="00D979A6"/>
    <w:rsid w:val="00D97A58"/>
    <w:rsid w:val="00D97F19"/>
    <w:rsid w:val="00D97FBD"/>
    <w:rsid w:val="00D97FF3"/>
    <w:rsid w:val="00DA0035"/>
    <w:rsid w:val="00DA0484"/>
    <w:rsid w:val="00DA063C"/>
    <w:rsid w:val="00DA06B8"/>
    <w:rsid w:val="00DA06C9"/>
    <w:rsid w:val="00DA0756"/>
    <w:rsid w:val="00DA0E47"/>
    <w:rsid w:val="00DA0EFB"/>
    <w:rsid w:val="00DA13EA"/>
    <w:rsid w:val="00DA1CA1"/>
    <w:rsid w:val="00DA1F94"/>
    <w:rsid w:val="00DA2085"/>
    <w:rsid w:val="00DA2317"/>
    <w:rsid w:val="00DA236F"/>
    <w:rsid w:val="00DA23AD"/>
    <w:rsid w:val="00DA2482"/>
    <w:rsid w:val="00DA2750"/>
    <w:rsid w:val="00DA2B1A"/>
    <w:rsid w:val="00DA2C38"/>
    <w:rsid w:val="00DA2CE4"/>
    <w:rsid w:val="00DA2EF2"/>
    <w:rsid w:val="00DA2F0D"/>
    <w:rsid w:val="00DA38D4"/>
    <w:rsid w:val="00DA3959"/>
    <w:rsid w:val="00DA3E02"/>
    <w:rsid w:val="00DA416F"/>
    <w:rsid w:val="00DA42FC"/>
    <w:rsid w:val="00DA430B"/>
    <w:rsid w:val="00DA4416"/>
    <w:rsid w:val="00DA4F3B"/>
    <w:rsid w:val="00DA53B9"/>
    <w:rsid w:val="00DA5473"/>
    <w:rsid w:val="00DA562D"/>
    <w:rsid w:val="00DA5A13"/>
    <w:rsid w:val="00DA5F5A"/>
    <w:rsid w:val="00DA606B"/>
    <w:rsid w:val="00DA65EF"/>
    <w:rsid w:val="00DA681A"/>
    <w:rsid w:val="00DA6C06"/>
    <w:rsid w:val="00DA6C48"/>
    <w:rsid w:val="00DA6D0A"/>
    <w:rsid w:val="00DA6DA9"/>
    <w:rsid w:val="00DA6FC3"/>
    <w:rsid w:val="00DA7005"/>
    <w:rsid w:val="00DA748B"/>
    <w:rsid w:val="00DA7516"/>
    <w:rsid w:val="00DA7669"/>
    <w:rsid w:val="00DA7696"/>
    <w:rsid w:val="00DA79A6"/>
    <w:rsid w:val="00DA7BEC"/>
    <w:rsid w:val="00DA7C87"/>
    <w:rsid w:val="00DA7D8E"/>
    <w:rsid w:val="00DB0334"/>
    <w:rsid w:val="00DB052B"/>
    <w:rsid w:val="00DB071F"/>
    <w:rsid w:val="00DB0749"/>
    <w:rsid w:val="00DB0837"/>
    <w:rsid w:val="00DB09B0"/>
    <w:rsid w:val="00DB14F3"/>
    <w:rsid w:val="00DB159B"/>
    <w:rsid w:val="00DB1926"/>
    <w:rsid w:val="00DB1A30"/>
    <w:rsid w:val="00DB1A84"/>
    <w:rsid w:val="00DB1BA9"/>
    <w:rsid w:val="00DB1E03"/>
    <w:rsid w:val="00DB1EF9"/>
    <w:rsid w:val="00DB20A4"/>
    <w:rsid w:val="00DB2298"/>
    <w:rsid w:val="00DB23AD"/>
    <w:rsid w:val="00DB2472"/>
    <w:rsid w:val="00DB27D2"/>
    <w:rsid w:val="00DB27EB"/>
    <w:rsid w:val="00DB3005"/>
    <w:rsid w:val="00DB3A57"/>
    <w:rsid w:val="00DB3D06"/>
    <w:rsid w:val="00DB3DBB"/>
    <w:rsid w:val="00DB3FCC"/>
    <w:rsid w:val="00DB42AA"/>
    <w:rsid w:val="00DB42AD"/>
    <w:rsid w:val="00DB4583"/>
    <w:rsid w:val="00DB460C"/>
    <w:rsid w:val="00DB4629"/>
    <w:rsid w:val="00DB4803"/>
    <w:rsid w:val="00DB49F7"/>
    <w:rsid w:val="00DB4FB3"/>
    <w:rsid w:val="00DB5141"/>
    <w:rsid w:val="00DB51BC"/>
    <w:rsid w:val="00DB5271"/>
    <w:rsid w:val="00DB5309"/>
    <w:rsid w:val="00DB56A4"/>
    <w:rsid w:val="00DB58CF"/>
    <w:rsid w:val="00DB5D64"/>
    <w:rsid w:val="00DB5DBD"/>
    <w:rsid w:val="00DB5E4E"/>
    <w:rsid w:val="00DB5F0C"/>
    <w:rsid w:val="00DB5F98"/>
    <w:rsid w:val="00DB5FE6"/>
    <w:rsid w:val="00DB606F"/>
    <w:rsid w:val="00DB6071"/>
    <w:rsid w:val="00DB62B1"/>
    <w:rsid w:val="00DB63DB"/>
    <w:rsid w:val="00DB6430"/>
    <w:rsid w:val="00DB680B"/>
    <w:rsid w:val="00DB6CB2"/>
    <w:rsid w:val="00DB6DB0"/>
    <w:rsid w:val="00DB71E7"/>
    <w:rsid w:val="00DB781B"/>
    <w:rsid w:val="00DB793B"/>
    <w:rsid w:val="00DC0057"/>
    <w:rsid w:val="00DC033D"/>
    <w:rsid w:val="00DC04DC"/>
    <w:rsid w:val="00DC054F"/>
    <w:rsid w:val="00DC061A"/>
    <w:rsid w:val="00DC0926"/>
    <w:rsid w:val="00DC0E27"/>
    <w:rsid w:val="00DC0E6F"/>
    <w:rsid w:val="00DC17F3"/>
    <w:rsid w:val="00DC1DA7"/>
    <w:rsid w:val="00DC1E0E"/>
    <w:rsid w:val="00DC1F14"/>
    <w:rsid w:val="00DC2099"/>
    <w:rsid w:val="00DC2340"/>
    <w:rsid w:val="00DC25A1"/>
    <w:rsid w:val="00DC2884"/>
    <w:rsid w:val="00DC292E"/>
    <w:rsid w:val="00DC2B25"/>
    <w:rsid w:val="00DC2B94"/>
    <w:rsid w:val="00DC3008"/>
    <w:rsid w:val="00DC3109"/>
    <w:rsid w:val="00DC3219"/>
    <w:rsid w:val="00DC3964"/>
    <w:rsid w:val="00DC3AC9"/>
    <w:rsid w:val="00DC3BC6"/>
    <w:rsid w:val="00DC3C7E"/>
    <w:rsid w:val="00DC3CA7"/>
    <w:rsid w:val="00DC3EE8"/>
    <w:rsid w:val="00DC46D1"/>
    <w:rsid w:val="00DC47DE"/>
    <w:rsid w:val="00DC488D"/>
    <w:rsid w:val="00DC49EC"/>
    <w:rsid w:val="00DC4ACD"/>
    <w:rsid w:val="00DC509F"/>
    <w:rsid w:val="00DC521B"/>
    <w:rsid w:val="00DC556F"/>
    <w:rsid w:val="00DC568C"/>
    <w:rsid w:val="00DC594E"/>
    <w:rsid w:val="00DC59CC"/>
    <w:rsid w:val="00DC5BAE"/>
    <w:rsid w:val="00DC5E23"/>
    <w:rsid w:val="00DC6071"/>
    <w:rsid w:val="00DC6356"/>
    <w:rsid w:val="00DC66BD"/>
    <w:rsid w:val="00DC69F4"/>
    <w:rsid w:val="00DC6E74"/>
    <w:rsid w:val="00DC75F7"/>
    <w:rsid w:val="00DC75F9"/>
    <w:rsid w:val="00DC78B9"/>
    <w:rsid w:val="00DC7902"/>
    <w:rsid w:val="00DC7966"/>
    <w:rsid w:val="00DC79E4"/>
    <w:rsid w:val="00DC7E8A"/>
    <w:rsid w:val="00DC7ED4"/>
    <w:rsid w:val="00DC7EE9"/>
    <w:rsid w:val="00DC7FB1"/>
    <w:rsid w:val="00DD0151"/>
    <w:rsid w:val="00DD03C4"/>
    <w:rsid w:val="00DD0469"/>
    <w:rsid w:val="00DD047E"/>
    <w:rsid w:val="00DD04A6"/>
    <w:rsid w:val="00DD04D0"/>
    <w:rsid w:val="00DD0536"/>
    <w:rsid w:val="00DD08C6"/>
    <w:rsid w:val="00DD08C9"/>
    <w:rsid w:val="00DD0942"/>
    <w:rsid w:val="00DD0A48"/>
    <w:rsid w:val="00DD0CE0"/>
    <w:rsid w:val="00DD0EA7"/>
    <w:rsid w:val="00DD10B1"/>
    <w:rsid w:val="00DD17C8"/>
    <w:rsid w:val="00DD1942"/>
    <w:rsid w:val="00DD1B00"/>
    <w:rsid w:val="00DD1B33"/>
    <w:rsid w:val="00DD1CC1"/>
    <w:rsid w:val="00DD1D4A"/>
    <w:rsid w:val="00DD20A1"/>
    <w:rsid w:val="00DD21D8"/>
    <w:rsid w:val="00DD22BA"/>
    <w:rsid w:val="00DD256F"/>
    <w:rsid w:val="00DD2843"/>
    <w:rsid w:val="00DD28BC"/>
    <w:rsid w:val="00DD2AE2"/>
    <w:rsid w:val="00DD2C33"/>
    <w:rsid w:val="00DD2E75"/>
    <w:rsid w:val="00DD2EAC"/>
    <w:rsid w:val="00DD2FEE"/>
    <w:rsid w:val="00DD31C8"/>
    <w:rsid w:val="00DD3296"/>
    <w:rsid w:val="00DD35AC"/>
    <w:rsid w:val="00DD35F1"/>
    <w:rsid w:val="00DD3650"/>
    <w:rsid w:val="00DD36CD"/>
    <w:rsid w:val="00DD39C5"/>
    <w:rsid w:val="00DD3B1D"/>
    <w:rsid w:val="00DD3F55"/>
    <w:rsid w:val="00DD41CA"/>
    <w:rsid w:val="00DD443F"/>
    <w:rsid w:val="00DD4500"/>
    <w:rsid w:val="00DD4918"/>
    <w:rsid w:val="00DD4AE4"/>
    <w:rsid w:val="00DD4BFD"/>
    <w:rsid w:val="00DD4DD0"/>
    <w:rsid w:val="00DD4DE1"/>
    <w:rsid w:val="00DD4EAE"/>
    <w:rsid w:val="00DD4FDF"/>
    <w:rsid w:val="00DD56AA"/>
    <w:rsid w:val="00DD594A"/>
    <w:rsid w:val="00DD5E66"/>
    <w:rsid w:val="00DD5E6F"/>
    <w:rsid w:val="00DD5E8B"/>
    <w:rsid w:val="00DD5F14"/>
    <w:rsid w:val="00DD6047"/>
    <w:rsid w:val="00DD674E"/>
    <w:rsid w:val="00DD6EAF"/>
    <w:rsid w:val="00DD7CAE"/>
    <w:rsid w:val="00DD7E89"/>
    <w:rsid w:val="00DE058A"/>
    <w:rsid w:val="00DE0702"/>
    <w:rsid w:val="00DE08E1"/>
    <w:rsid w:val="00DE0BAF"/>
    <w:rsid w:val="00DE0DB6"/>
    <w:rsid w:val="00DE0F50"/>
    <w:rsid w:val="00DE133E"/>
    <w:rsid w:val="00DE1435"/>
    <w:rsid w:val="00DE180F"/>
    <w:rsid w:val="00DE1814"/>
    <w:rsid w:val="00DE18AE"/>
    <w:rsid w:val="00DE195A"/>
    <w:rsid w:val="00DE1C74"/>
    <w:rsid w:val="00DE2067"/>
    <w:rsid w:val="00DE2111"/>
    <w:rsid w:val="00DE2170"/>
    <w:rsid w:val="00DE2865"/>
    <w:rsid w:val="00DE291C"/>
    <w:rsid w:val="00DE2948"/>
    <w:rsid w:val="00DE2995"/>
    <w:rsid w:val="00DE29E6"/>
    <w:rsid w:val="00DE2C2C"/>
    <w:rsid w:val="00DE2ECF"/>
    <w:rsid w:val="00DE2FE1"/>
    <w:rsid w:val="00DE301D"/>
    <w:rsid w:val="00DE3244"/>
    <w:rsid w:val="00DE335E"/>
    <w:rsid w:val="00DE33E0"/>
    <w:rsid w:val="00DE34D4"/>
    <w:rsid w:val="00DE3594"/>
    <w:rsid w:val="00DE3A1B"/>
    <w:rsid w:val="00DE3ADD"/>
    <w:rsid w:val="00DE3C6D"/>
    <w:rsid w:val="00DE3CF6"/>
    <w:rsid w:val="00DE4041"/>
    <w:rsid w:val="00DE40F1"/>
    <w:rsid w:val="00DE4134"/>
    <w:rsid w:val="00DE491E"/>
    <w:rsid w:val="00DE4937"/>
    <w:rsid w:val="00DE498A"/>
    <w:rsid w:val="00DE4A58"/>
    <w:rsid w:val="00DE4B67"/>
    <w:rsid w:val="00DE4E4F"/>
    <w:rsid w:val="00DE4ED4"/>
    <w:rsid w:val="00DE53A4"/>
    <w:rsid w:val="00DE5668"/>
    <w:rsid w:val="00DE57BE"/>
    <w:rsid w:val="00DE590F"/>
    <w:rsid w:val="00DE5A7B"/>
    <w:rsid w:val="00DE5B64"/>
    <w:rsid w:val="00DE5C16"/>
    <w:rsid w:val="00DE5EAC"/>
    <w:rsid w:val="00DE5EC8"/>
    <w:rsid w:val="00DE5F30"/>
    <w:rsid w:val="00DE626B"/>
    <w:rsid w:val="00DE62CC"/>
    <w:rsid w:val="00DE6573"/>
    <w:rsid w:val="00DE66E4"/>
    <w:rsid w:val="00DE67C0"/>
    <w:rsid w:val="00DE68D9"/>
    <w:rsid w:val="00DE6953"/>
    <w:rsid w:val="00DE6B0E"/>
    <w:rsid w:val="00DE71E0"/>
    <w:rsid w:val="00DE74D9"/>
    <w:rsid w:val="00DE7604"/>
    <w:rsid w:val="00DE7792"/>
    <w:rsid w:val="00DE7ADB"/>
    <w:rsid w:val="00DE7D2B"/>
    <w:rsid w:val="00DE7DEA"/>
    <w:rsid w:val="00DE7E2D"/>
    <w:rsid w:val="00DF03D3"/>
    <w:rsid w:val="00DF057C"/>
    <w:rsid w:val="00DF06D8"/>
    <w:rsid w:val="00DF0866"/>
    <w:rsid w:val="00DF09D3"/>
    <w:rsid w:val="00DF0B37"/>
    <w:rsid w:val="00DF0D13"/>
    <w:rsid w:val="00DF0D4B"/>
    <w:rsid w:val="00DF0F5B"/>
    <w:rsid w:val="00DF1079"/>
    <w:rsid w:val="00DF1185"/>
    <w:rsid w:val="00DF121A"/>
    <w:rsid w:val="00DF125F"/>
    <w:rsid w:val="00DF144C"/>
    <w:rsid w:val="00DF15F8"/>
    <w:rsid w:val="00DF196F"/>
    <w:rsid w:val="00DF19FE"/>
    <w:rsid w:val="00DF1AC3"/>
    <w:rsid w:val="00DF1D36"/>
    <w:rsid w:val="00DF1EA5"/>
    <w:rsid w:val="00DF1F22"/>
    <w:rsid w:val="00DF1F38"/>
    <w:rsid w:val="00DF24A9"/>
    <w:rsid w:val="00DF2A4B"/>
    <w:rsid w:val="00DF2B7E"/>
    <w:rsid w:val="00DF2F11"/>
    <w:rsid w:val="00DF2F54"/>
    <w:rsid w:val="00DF3149"/>
    <w:rsid w:val="00DF31A8"/>
    <w:rsid w:val="00DF3259"/>
    <w:rsid w:val="00DF3973"/>
    <w:rsid w:val="00DF39BD"/>
    <w:rsid w:val="00DF3C57"/>
    <w:rsid w:val="00DF3C72"/>
    <w:rsid w:val="00DF4002"/>
    <w:rsid w:val="00DF4333"/>
    <w:rsid w:val="00DF43C4"/>
    <w:rsid w:val="00DF4452"/>
    <w:rsid w:val="00DF4A9C"/>
    <w:rsid w:val="00DF4EB7"/>
    <w:rsid w:val="00DF50AA"/>
    <w:rsid w:val="00DF5179"/>
    <w:rsid w:val="00DF5365"/>
    <w:rsid w:val="00DF54B0"/>
    <w:rsid w:val="00DF57E7"/>
    <w:rsid w:val="00DF5B66"/>
    <w:rsid w:val="00DF5BD2"/>
    <w:rsid w:val="00DF5E86"/>
    <w:rsid w:val="00DF605F"/>
    <w:rsid w:val="00DF623D"/>
    <w:rsid w:val="00DF635F"/>
    <w:rsid w:val="00DF6603"/>
    <w:rsid w:val="00DF67B7"/>
    <w:rsid w:val="00DF6828"/>
    <w:rsid w:val="00DF6864"/>
    <w:rsid w:val="00DF6A9A"/>
    <w:rsid w:val="00DF6B6C"/>
    <w:rsid w:val="00DF6FCC"/>
    <w:rsid w:val="00DF701E"/>
    <w:rsid w:val="00DF70DE"/>
    <w:rsid w:val="00DF711E"/>
    <w:rsid w:val="00DF7BBD"/>
    <w:rsid w:val="00DF7D08"/>
    <w:rsid w:val="00DF7EAA"/>
    <w:rsid w:val="00E0051E"/>
    <w:rsid w:val="00E007A5"/>
    <w:rsid w:val="00E008CA"/>
    <w:rsid w:val="00E00A6A"/>
    <w:rsid w:val="00E00CA4"/>
    <w:rsid w:val="00E01029"/>
    <w:rsid w:val="00E01078"/>
    <w:rsid w:val="00E010C2"/>
    <w:rsid w:val="00E01154"/>
    <w:rsid w:val="00E01656"/>
    <w:rsid w:val="00E01702"/>
    <w:rsid w:val="00E017DC"/>
    <w:rsid w:val="00E0189F"/>
    <w:rsid w:val="00E01FC8"/>
    <w:rsid w:val="00E02130"/>
    <w:rsid w:val="00E02371"/>
    <w:rsid w:val="00E0261C"/>
    <w:rsid w:val="00E028C4"/>
    <w:rsid w:val="00E02DE7"/>
    <w:rsid w:val="00E03133"/>
    <w:rsid w:val="00E031A6"/>
    <w:rsid w:val="00E033A7"/>
    <w:rsid w:val="00E03A49"/>
    <w:rsid w:val="00E03ADB"/>
    <w:rsid w:val="00E03BE9"/>
    <w:rsid w:val="00E03E05"/>
    <w:rsid w:val="00E03F29"/>
    <w:rsid w:val="00E04133"/>
    <w:rsid w:val="00E0413F"/>
    <w:rsid w:val="00E04146"/>
    <w:rsid w:val="00E041C9"/>
    <w:rsid w:val="00E046BC"/>
    <w:rsid w:val="00E04711"/>
    <w:rsid w:val="00E04C2C"/>
    <w:rsid w:val="00E05164"/>
    <w:rsid w:val="00E053DC"/>
    <w:rsid w:val="00E0605B"/>
    <w:rsid w:val="00E06229"/>
    <w:rsid w:val="00E063A7"/>
    <w:rsid w:val="00E06852"/>
    <w:rsid w:val="00E06913"/>
    <w:rsid w:val="00E06B20"/>
    <w:rsid w:val="00E06CAD"/>
    <w:rsid w:val="00E06E91"/>
    <w:rsid w:val="00E06EC8"/>
    <w:rsid w:val="00E06EE8"/>
    <w:rsid w:val="00E070A1"/>
    <w:rsid w:val="00E076FF"/>
    <w:rsid w:val="00E0799F"/>
    <w:rsid w:val="00E104B7"/>
    <w:rsid w:val="00E10740"/>
    <w:rsid w:val="00E10DA2"/>
    <w:rsid w:val="00E10F58"/>
    <w:rsid w:val="00E10FD1"/>
    <w:rsid w:val="00E11094"/>
    <w:rsid w:val="00E11503"/>
    <w:rsid w:val="00E115ED"/>
    <w:rsid w:val="00E11827"/>
    <w:rsid w:val="00E11A36"/>
    <w:rsid w:val="00E12208"/>
    <w:rsid w:val="00E1263D"/>
    <w:rsid w:val="00E12B8A"/>
    <w:rsid w:val="00E12BDE"/>
    <w:rsid w:val="00E12F88"/>
    <w:rsid w:val="00E13232"/>
    <w:rsid w:val="00E1337A"/>
    <w:rsid w:val="00E13642"/>
    <w:rsid w:val="00E138A3"/>
    <w:rsid w:val="00E13A80"/>
    <w:rsid w:val="00E13EA2"/>
    <w:rsid w:val="00E14025"/>
    <w:rsid w:val="00E14389"/>
    <w:rsid w:val="00E145AB"/>
    <w:rsid w:val="00E1481F"/>
    <w:rsid w:val="00E148A1"/>
    <w:rsid w:val="00E149DD"/>
    <w:rsid w:val="00E14B05"/>
    <w:rsid w:val="00E14F75"/>
    <w:rsid w:val="00E1595B"/>
    <w:rsid w:val="00E15AD4"/>
    <w:rsid w:val="00E15DD2"/>
    <w:rsid w:val="00E1633F"/>
    <w:rsid w:val="00E16479"/>
    <w:rsid w:val="00E16B46"/>
    <w:rsid w:val="00E16E63"/>
    <w:rsid w:val="00E16E9C"/>
    <w:rsid w:val="00E17A6F"/>
    <w:rsid w:val="00E17A86"/>
    <w:rsid w:val="00E17BCB"/>
    <w:rsid w:val="00E200AC"/>
    <w:rsid w:val="00E200C0"/>
    <w:rsid w:val="00E20333"/>
    <w:rsid w:val="00E2050E"/>
    <w:rsid w:val="00E207FF"/>
    <w:rsid w:val="00E209A6"/>
    <w:rsid w:val="00E215D7"/>
    <w:rsid w:val="00E21671"/>
    <w:rsid w:val="00E21892"/>
    <w:rsid w:val="00E21944"/>
    <w:rsid w:val="00E219BB"/>
    <w:rsid w:val="00E21A78"/>
    <w:rsid w:val="00E21EB8"/>
    <w:rsid w:val="00E2243B"/>
    <w:rsid w:val="00E22451"/>
    <w:rsid w:val="00E225AC"/>
    <w:rsid w:val="00E226B3"/>
    <w:rsid w:val="00E227EE"/>
    <w:rsid w:val="00E2281F"/>
    <w:rsid w:val="00E22954"/>
    <w:rsid w:val="00E22E87"/>
    <w:rsid w:val="00E22FD3"/>
    <w:rsid w:val="00E2311F"/>
    <w:rsid w:val="00E23358"/>
    <w:rsid w:val="00E23712"/>
    <w:rsid w:val="00E23804"/>
    <w:rsid w:val="00E2394E"/>
    <w:rsid w:val="00E23DC0"/>
    <w:rsid w:val="00E2450F"/>
    <w:rsid w:val="00E2464E"/>
    <w:rsid w:val="00E24708"/>
    <w:rsid w:val="00E2480E"/>
    <w:rsid w:val="00E24B53"/>
    <w:rsid w:val="00E24CBB"/>
    <w:rsid w:val="00E250D5"/>
    <w:rsid w:val="00E25336"/>
    <w:rsid w:val="00E25472"/>
    <w:rsid w:val="00E254FA"/>
    <w:rsid w:val="00E25839"/>
    <w:rsid w:val="00E25B24"/>
    <w:rsid w:val="00E25CF6"/>
    <w:rsid w:val="00E25D7C"/>
    <w:rsid w:val="00E25E47"/>
    <w:rsid w:val="00E25EBA"/>
    <w:rsid w:val="00E261EA"/>
    <w:rsid w:val="00E2626A"/>
    <w:rsid w:val="00E26948"/>
    <w:rsid w:val="00E26DD2"/>
    <w:rsid w:val="00E26E0E"/>
    <w:rsid w:val="00E2717A"/>
    <w:rsid w:val="00E272B8"/>
    <w:rsid w:val="00E274CB"/>
    <w:rsid w:val="00E278AA"/>
    <w:rsid w:val="00E278FF"/>
    <w:rsid w:val="00E279A8"/>
    <w:rsid w:val="00E27B51"/>
    <w:rsid w:val="00E27B7C"/>
    <w:rsid w:val="00E27F87"/>
    <w:rsid w:val="00E300D6"/>
    <w:rsid w:val="00E3028D"/>
    <w:rsid w:val="00E3078C"/>
    <w:rsid w:val="00E309F6"/>
    <w:rsid w:val="00E311C6"/>
    <w:rsid w:val="00E31277"/>
    <w:rsid w:val="00E312CB"/>
    <w:rsid w:val="00E31438"/>
    <w:rsid w:val="00E314CD"/>
    <w:rsid w:val="00E31F7B"/>
    <w:rsid w:val="00E31FA2"/>
    <w:rsid w:val="00E31FC4"/>
    <w:rsid w:val="00E32356"/>
    <w:rsid w:val="00E32A36"/>
    <w:rsid w:val="00E32FF4"/>
    <w:rsid w:val="00E339F8"/>
    <w:rsid w:val="00E339FC"/>
    <w:rsid w:val="00E33BEF"/>
    <w:rsid w:val="00E33C05"/>
    <w:rsid w:val="00E33D16"/>
    <w:rsid w:val="00E345F9"/>
    <w:rsid w:val="00E34843"/>
    <w:rsid w:val="00E348CA"/>
    <w:rsid w:val="00E34BB4"/>
    <w:rsid w:val="00E34E24"/>
    <w:rsid w:val="00E3506C"/>
    <w:rsid w:val="00E356B7"/>
    <w:rsid w:val="00E35922"/>
    <w:rsid w:val="00E35E1A"/>
    <w:rsid w:val="00E36129"/>
    <w:rsid w:val="00E3635E"/>
    <w:rsid w:val="00E363A8"/>
    <w:rsid w:val="00E364C1"/>
    <w:rsid w:val="00E3667D"/>
    <w:rsid w:val="00E366F5"/>
    <w:rsid w:val="00E3673D"/>
    <w:rsid w:val="00E368CC"/>
    <w:rsid w:val="00E36A96"/>
    <w:rsid w:val="00E36BDE"/>
    <w:rsid w:val="00E36C41"/>
    <w:rsid w:val="00E36FD0"/>
    <w:rsid w:val="00E37023"/>
    <w:rsid w:val="00E3765A"/>
    <w:rsid w:val="00E376BE"/>
    <w:rsid w:val="00E378BD"/>
    <w:rsid w:val="00E37BA4"/>
    <w:rsid w:val="00E37E40"/>
    <w:rsid w:val="00E37EDE"/>
    <w:rsid w:val="00E401A0"/>
    <w:rsid w:val="00E405CA"/>
    <w:rsid w:val="00E406D2"/>
    <w:rsid w:val="00E40969"/>
    <w:rsid w:val="00E40A6E"/>
    <w:rsid w:val="00E40F6F"/>
    <w:rsid w:val="00E41286"/>
    <w:rsid w:val="00E4153C"/>
    <w:rsid w:val="00E416F5"/>
    <w:rsid w:val="00E417F5"/>
    <w:rsid w:val="00E41A9A"/>
    <w:rsid w:val="00E41D12"/>
    <w:rsid w:val="00E41E46"/>
    <w:rsid w:val="00E4204C"/>
    <w:rsid w:val="00E426EA"/>
    <w:rsid w:val="00E42873"/>
    <w:rsid w:val="00E428D0"/>
    <w:rsid w:val="00E42AB6"/>
    <w:rsid w:val="00E43477"/>
    <w:rsid w:val="00E43C6B"/>
    <w:rsid w:val="00E440DF"/>
    <w:rsid w:val="00E4412E"/>
    <w:rsid w:val="00E448DD"/>
    <w:rsid w:val="00E44AED"/>
    <w:rsid w:val="00E44B50"/>
    <w:rsid w:val="00E44D7E"/>
    <w:rsid w:val="00E45046"/>
    <w:rsid w:val="00E450EB"/>
    <w:rsid w:val="00E45166"/>
    <w:rsid w:val="00E451D1"/>
    <w:rsid w:val="00E451D5"/>
    <w:rsid w:val="00E454F1"/>
    <w:rsid w:val="00E4592B"/>
    <w:rsid w:val="00E45BA6"/>
    <w:rsid w:val="00E4630F"/>
    <w:rsid w:val="00E464AB"/>
    <w:rsid w:val="00E4675F"/>
    <w:rsid w:val="00E469E8"/>
    <w:rsid w:val="00E46AFC"/>
    <w:rsid w:val="00E46B8F"/>
    <w:rsid w:val="00E46C34"/>
    <w:rsid w:val="00E47053"/>
    <w:rsid w:val="00E470E7"/>
    <w:rsid w:val="00E471DC"/>
    <w:rsid w:val="00E4768B"/>
    <w:rsid w:val="00E476ED"/>
    <w:rsid w:val="00E4772E"/>
    <w:rsid w:val="00E47794"/>
    <w:rsid w:val="00E47944"/>
    <w:rsid w:val="00E47B96"/>
    <w:rsid w:val="00E47BF3"/>
    <w:rsid w:val="00E47E23"/>
    <w:rsid w:val="00E50082"/>
    <w:rsid w:val="00E503DB"/>
    <w:rsid w:val="00E50993"/>
    <w:rsid w:val="00E5108F"/>
    <w:rsid w:val="00E51194"/>
    <w:rsid w:val="00E515A7"/>
    <w:rsid w:val="00E51853"/>
    <w:rsid w:val="00E518DD"/>
    <w:rsid w:val="00E51CAC"/>
    <w:rsid w:val="00E5220F"/>
    <w:rsid w:val="00E52460"/>
    <w:rsid w:val="00E52BA3"/>
    <w:rsid w:val="00E52D4D"/>
    <w:rsid w:val="00E52EEA"/>
    <w:rsid w:val="00E533C1"/>
    <w:rsid w:val="00E5368E"/>
    <w:rsid w:val="00E53921"/>
    <w:rsid w:val="00E53A86"/>
    <w:rsid w:val="00E5436E"/>
    <w:rsid w:val="00E54588"/>
    <w:rsid w:val="00E5470F"/>
    <w:rsid w:val="00E54E78"/>
    <w:rsid w:val="00E55095"/>
    <w:rsid w:val="00E55147"/>
    <w:rsid w:val="00E556F3"/>
    <w:rsid w:val="00E5574F"/>
    <w:rsid w:val="00E55850"/>
    <w:rsid w:val="00E55D93"/>
    <w:rsid w:val="00E55EAD"/>
    <w:rsid w:val="00E55F87"/>
    <w:rsid w:val="00E55F8F"/>
    <w:rsid w:val="00E56333"/>
    <w:rsid w:val="00E566AD"/>
    <w:rsid w:val="00E56766"/>
    <w:rsid w:val="00E56A20"/>
    <w:rsid w:val="00E56BC4"/>
    <w:rsid w:val="00E5721F"/>
    <w:rsid w:val="00E57365"/>
    <w:rsid w:val="00E573CA"/>
    <w:rsid w:val="00E57827"/>
    <w:rsid w:val="00E57986"/>
    <w:rsid w:val="00E57ABD"/>
    <w:rsid w:val="00E57BCA"/>
    <w:rsid w:val="00E57BF6"/>
    <w:rsid w:val="00E57F72"/>
    <w:rsid w:val="00E57F78"/>
    <w:rsid w:val="00E6034A"/>
    <w:rsid w:val="00E60694"/>
    <w:rsid w:val="00E607C4"/>
    <w:rsid w:val="00E607DB"/>
    <w:rsid w:val="00E60FA8"/>
    <w:rsid w:val="00E61131"/>
    <w:rsid w:val="00E6128A"/>
    <w:rsid w:val="00E61330"/>
    <w:rsid w:val="00E61426"/>
    <w:rsid w:val="00E616F3"/>
    <w:rsid w:val="00E619F6"/>
    <w:rsid w:val="00E61A3B"/>
    <w:rsid w:val="00E61CC3"/>
    <w:rsid w:val="00E620C4"/>
    <w:rsid w:val="00E6237C"/>
    <w:rsid w:val="00E62B3B"/>
    <w:rsid w:val="00E62DD3"/>
    <w:rsid w:val="00E6341C"/>
    <w:rsid w:val="00E634AE"/>
    <w:rsid w:val="00E63567"/>
    <w:rsid w:val="00E636D8"/>
    <w:rsid w:val="00E63A79"/>
    <w:rsid w:val="00E63C5B"/>
    <w:rsid w:val="00E641C6"/>
    <w:rsid w:val="00E641EB"/>
    <w:rsid w:val="00E6448D"/>
    <w:rsid w:val="00E644E2"/>
    <w:rsid w:val="00E645C4"/>
    <w:rsid w:val="00E64638"/>
    <w:rsid w:val="00E646B2"/>
    <w:rsid w:val="00E648CD"/>
    <w:rsid w:val="00E64913"/>
    <w:rsid w:val="00E649AB"/>
    <w:rsid w:val="00E64B30"/>
    <w:rsid w:val="00E64F64"/>
    <w:rsid w:val="00E655C8"/>
    <w:rsid w:val="00E65CFC"/>
    <w:rsid w:val="00E65E85"/>
    <w:rsid w:val="00E65F1D"/>
    <w:rsid w:val="00E65F86"/>
    <w:rsid w:val="00E66C2D"/>
    <w:rsid w:val="00E66FF8"/>
    <w:rsid w:val="00E672B1"/>
    <w:rsid w:val="00E672E2"/>
    <w:rsid w:val="00E67396"/>
    <w:rsid w:val="00E67861"/>
    <w:rsid w:val="00E67935"/>
    <w:rsid w:val="00E67A22"/>
    <w:rsid w:val="00E67A8D"/>
    <w:rsid w:val="00E67AA9"/>
    <w:rsid w:val="00E67B31"/>
    <w:rsid w:val="00E67B83"/>
    <w:rsid w:val="00E67D27"/>
    <w:rsid w:val="00E67F0F"/>
    <w:rsid w:val="00E7023F"/>
    <w:rsid w:val="00E70265"/>
    <w:rsid w:val="00E70894"/>
    <w:rsid w:val="00E70B38"/>
    <w:rsid w:val="00E70B80"/>
    <w:rsid w:val="00E70E1B"/>
    <w:rsid w:val="00E70EC3"/>
    <w:rsid w:val="00E70EE2"/>
    <w:rsid w:val="00E713A2"/>
    <w:rsid w:val="00E71478"/>
    <w:rsid w:val="00E71AD8"/>
    <w:rsid w:val="00E71B49"/>
    <w:rsid w:val="00E71C79"/>
    <w:rsid w:val="00E71E98"/>
    <w:rsid w:val="00E71F7C"/>
    <w:rsid w:val="00E72058"/>
    <w:rsid w:val="00E72309"/>
    <w:rsid w:val="00E7234F"/>
    <w:rsid w:val="00E72449"/>
    <w:rsid w:val="00E7284B"/>
    <w:rsid w:val="00E72B16"/>
    <w:rsid w:val="00E72C74"/>
    <w:rsid w:val="00E7304E"/>
    <w:rsid w:val="00E73147"/>
    <w:rsid w:val="00E731FD"/>
    <w:rsid w:val="00E73384"/>
    <w:rsid w:val="00E73677"/>
    <w:rsid w:val="00E738B2"/>
    <w:rsid w:val="00E73A6E"/>
    <w:rsid w:val="00E73BB4"/>
    <w:rsid w:val="00E73F36"/>
    <w:rsid w:val="00E73FF4"/>
    <w:rsid w:val="00E745CE"/>
    <w:rsid w:val="00E74647"/>
    <w:rsid w:val="00E74780"/>
    <w:rsid w:val="00E7497D"/>
    <w:rsid w:val="00E74CC2"/>
    <w:rsid w:val="00E74D24"/>
    <w:rsid w:val="00E74D84"/>
    <w:rsid w:val="00E75B6F"/>
    <w:rsid w:val="00E75D43"/>
    <w:rsid w:val="00E75E31"/>
    <w:rsid w:val="00E76024"/>
    <w:rsid w:val="00E7621F"/>
    <w:rsid w:val="00E764BE"/>
    <w:rsid w:val="00E7652D"/>
    <w:rsid w:val="00E76569"/>
    <w:rsid w:val="00E76601"/>
    <w:rsid w:val="00E767B6"/>
    <w:rsid w:val="00E76815"/>
    <w:rsid w:val="00E7685C"/>
    <w:rsid w:val="00E76866"/>
    <w:rsid w:val="00E76F47"/>
    <w:rsid w:val="00E7733C"/>
    <w:rsid w:val="00E773E8"/>
    <w:rsid w:val="00E775F5"/>
    <w:rsid w:val="00E7776C"/>
    <w:rsid w:val="00E77ADE"/>
    <w:rsid w:val="00E77CCA"/>
    <w:rsid w:val="00E77D2C"/>
    <w:rsid w:val="00E77DD1"/>
    <w:rsid w:val="00E77F27"/>
    <w:rsid w:val="00E80039"/>
    <w:rsid w:val="00E800ED"/>
    <w:rsid w:val="00E80195"/>
    <w:rsid w:val="00E80283"/>
    <w:rsid w:val="00E803A2"/>
    <w:rsid w:val="00E804D1"/>
    <w:rsid w:val="00E808EC"/>
    <w:rsid w:val="00E809D8"/>
    <w:rsid w:val="00E80ABA"/>
    <w:rsid w:val="00E80AE1"/>
    <w:rsid w:val="00E81214"/>
    <w:rsid w:val="00E81739"/>
    <w:rsid w:val="00E81FDD"/>
    <w:rsid w:val="00E8205D"/>
    <w:rsid w:val="00E8211B"/>
    <w:rsid w:val="00E82245"/>
    <w:rsid w:val="00E8237B"/>
    <w:rsid w:val="00E8239F"/>
    <w:rsid w:val="00E82462"/>
    <w:rsid w:val="00E825FA"/>
    <w:rsid w:val="00E8276B"/>
    <w:rsid w:val="00E82C67"/>
    <w:rsid w:val="00E83146"/>
    <w:rsid w:val="00E831BA"/>
    <w:rsid w:val="00E83222"/>
    <w:rsid w:val="00E83296"/>
    <w:rsid w:val="00E83366"/>
    <w:rsid w:val="00E83685"/>
    <w:rsid w:val="00E83764"/>
    <w:rsid w:val="00E837E4"/>
    <w:rsid w:val="00E83801"/>
    <w:rsid w:val="00E83823"/>
    <w:rsid w:val="00E8396A"/>
    <w:rsid w:val="00E83AA2"/>
    <w:rsid w:val="00E843DA"/>
    <w:rsid w:val="00E8453D"/>
    <w:rsid w:val="00E8494D"/>
    <w:rsid w:val="00E849A0"/>
    <w:rsid w:val="00E850B8"/>
    <w:rsid w:val="00E85105"/>
    <w:rsid w:val="00E85195"/>
    <w:rsid w:val="00E853B6"/>
    <w:rsid w:val="00E85522"/>
    <w:rsid w:val="00E85852"/>
    <w:rsid w:val="00E859CA"/>
    <w:rsid w:val="00E85CBD"/>
    <w:rsid w:val="00E85D5E"/>
    <w:rsid w:val="00E8612D"/>
    <w:rsid w:val="00E86836"/>
    <w:rsid w:val="00E8686E"/>
    <w:rsid w:val="00E86A27"/>
    <w:rsid w:val="00E86D06"/>
    <w:rsid w:val="00E86E8D"/>
    <w:rsid w:val="00E870E5"/>
    <w:rsid w:val="00E873C3"/>
    <w:rsid w:val="00E87628"/>
    <w:rsid w:val="00E87629"/>
    <w:rsid w:val="00E87D05"/>
    <w:rsid w:val="00E87DA1"/>
    <w:rsid w:val="00E87ECD"/>
    <w:rsid w:val="00E902E1"/>
    <w:rsid w:val="00E90409"/>
    <w:rsid w:val="00E90426"/>
    <w:rsid w:val="00E90576"/>
    <w:rsid w:val="00E90798"/>
    <w:rsid w:val="00E90DD2"/>
    <w:rsid w:val="00E9165D"/>
    <w:rsid w:val="00E916D0"/>
    <w:rsid w:val="00E916D3"/>
    <w:rsid w:val="00E918B6"/>
    <w:rsid w:val="00E9199C"/>
    <w:rsid w:val="00E919D7"/>
    <w:rsid w:val="00E91FCD"/>
    <w:rsid w:val="00E92714"/>
    <w:rsid w:val="00E92878"/>
    <w:rsid w:val="00E928BF"/>
    <w:rsid w:val="00E92905"/>
    <w:rsid w:val="00E92B10"/>
    <w:rsid w:val="00E92E8E"/>
    <w:rsid w:val="00E92F4A"/>
    <w:rsid w:val="00E93147"/>
    <w:rsid w:val="00E9356E"/>
    <w:rsid w:val="00E936D6"/>
    <w:rsid w:val="00E93AD7"/>
    <w:rsid w:val="00E93BCD"/>
    <w:rsid w:val="00E93DA1"/>
    <w:rsid w:val="00E93FAE"/>
    <w:rsid w:val="00E9403B"/>
    <w:rsid w:val="00E940C6"/>
    <w:rsid w:val="00E941F8"/>
    <w:rsid w:val="00E94384"/>
    <w:rsid w:val="00E94544"/>
    <w:rsid w:val="00E9455D"/>
    <w:rsid w:val="00E9473A"/>
    <w:rsid w:val="00E949C9"/>
    <w:rsid w:val="00E94A13"/>
    <w:rsid w:val="00E94DAC"/>
    <w:rsid w:val="00E94EDE"/>
    <w:rsid w:val="00E950EC"/>
    <w:rsid w:val="00E952BD"/>
    <w:rsid w:val="00E9574B"/>
    <w:rsid w:val="00E9579A"/>
    <w:rsid w:val="00E95AFF"/>
    <w:rsid w:val="00E95B58"/>
    <w:rsid w:val="00E95C57"/>
    <w:rsid w:val="00E95C73"/>
    <w:rsid w:val="00E95EB9"/>
    <w:rsid w:val="00E96173"/>
    <w:rsid w:val="00E969C5"/>
    <w:rsid w:val="00E96B7D"/>
    <w:rsid w:val="00E96F24"/>
    <w:rsid w:val="00E9704D"/>
    <w:rsid w:val="00E97072"/>
    <w:rsid w:val="00E97433"/>
    <w:rsid w:val="00E97818"/>
    <w:rsid w:val="00E9795E"/>
    <w:rsid w:val="00E97C99"/>
    <w:rsid w:val="00E97D30"/>
    <w:rsid w:val="00E97E34"/>
    <w:rsid w:val="00EA0075"/>
    <w:rsid w:val="00EA00C5"/>
    <w:rsid w:val="00EA0190"/>
    <w:rsid w:val="00EA021F"/>
    <w:rsid w:val="00EA068A"/>
    <w:rsid w:val="00EA06D0"/>
    <w:rsid w:val="00EA08D3"/>
    <w:rsid w:val="00EA090F"/>
    <w:rsid w:val="00EA0A89"/>
    <w:rsid w:val="00EA0E5D"/>
    <w:rsid w:val="00EA0F42"/>
    <w:rsid w:val="00EA123A"/>
    <w:rsid w:val="00EA1240"/>
    <w:rsid w:val="00EA1300"/>
    <w:rsid w:val="00EA1474"/>
    <w:rsid w:val="00EA1565"/>
    <w:rsid w:val="00EA15D1"/>
    <w:rsid w:val="00EA1677"/>
    <w:rsid w:val="00EA178F"/>
    <w:rsid w:val="00EA19D5"/>
    <w:rsid w:val="00EA1A83"/>
    <w:rsid w:val="00EA1B08"/>
    <w:rsid w:val="00EA1F19"/>
    <w:rsid w:val="00EA2196"/>
    <w:rsid w:val="00EA2234"/>
    <w:rsid w:val="00EA224C"/>
    <w:rsid w:val="00EA2277"/>
    <w:rsid w:val="00EA2334"/>
    <w:rsid w:val="00EA2340"/>
    <w:rsid w:val="00EA26D1"/>
    <w:rsid w:val="00EA281E"/>
    <w:rsid w:val="00EA2909"/>
    <w:rsid w:val="00EA2989"/>
    <w:rsid w:val="00EA2A93"/>
    <w:rsid w:val="00EA2B62"/>
    <w:rsid w:val="00EA2CB3"/>
    <w:rsid w:val="00EA2FF9"/>
    <w:rsid w:val="00EA3155"/>
    <w:rsid w:val="00EA3390"/>
    <w:rsid w:val="00EA3847"/>
    <w:rsid w:val="00EA39EC"/>
    <w:rsid w:val="00EA3C65"/>
    <w:rsid w:val="00EA3C7E"/>
    <w:rsid w:val="00EA3C86"/>
    <w:rsid w:val="00EA3D2C"/>
    <w:rsid w:val="00EA3D64"/>
    <w:rsid w:val="00EA40E6"/>
    <w:rsid w:val="00EA485F"/>
    <w:rsid w:val="00EA4C0C"/>
    <w:rsid w:val="00EA50A9"/>
    <w:rsid w:val="00EA51D3"/>
    <w:rsid w:val="00EA529C"/>
    <w:rsid w:val="00EA5323"/>
    <w:rsid w:val="00EA54AF"/>
    <w:rsid w:val="00EA54C7"/>
    <w:rsid w:val="00EA57FB"/>
    <w:rsid w:val="00EA5B99"/>
    <w:rsid w:val="00EA5D9D"/>
    <w:rsid w:val="00EA7231"/>
    <w:rsid w:val="00EA72BD"/>
    <w:rsid w:val="00EA752E"/>
    <w:rsid w:val="00EA757D"/>
    <w:rsid w:val="00EA7CA3"/>
    <w:rsid w:val="00EA7E8B"/>
    <w:rsid w:val="00EB0A53"/>
    <w:rsid w:val="00EB0DD4"/>
    <w:rsid w:val="00EB10C0"/>
    <w:rsid w:val="00EB1297"/>
    <w:rsid w:val="00EB157F"/>
    <w:rsid w:val="00EB1878"/>
    <w:rsid w:val="00EB2141"/>
    <w:rsid w:val="00EB22D2"/>
    <w:rsid w:val="00EB242E"/>
    <w:rsid w:val="00EB253A"/>
    <w:rsid w:val="00EB26D5"/>
    <w:rsid w:val="00EB2ACF"/>
    <w:rsid w:val="00EB2B18"/>
    <w:rsid w:val="00EB2B81"/>
    <w:rsid w:val="00EB2C2F"/>
    <w:rsid w:val="00EB2C33"/>
    <w:rsid w:val="00EB2C9E"/>
    <w:rsid w:val="00EB3401"/>
    <w:rsid w:val="00EB35A9"/>
    <w:rsid w:val="00EB3784"/>
    <w:rsid w:val="00EB37AD"/>
    <w:rsid w:val="00EB3A58"/>
    <w:rsid w:val="00EB3E1F"/>
    <w:rsid w:val="00EB3E45"/>
    <w:rsid w:val="00EB3E75"/>
    <w:rsid w:val="00EB3F33"/>
    <w:rsid w:val="00EB3FFE"/>
    <w:rsid w:val="00EB41AB"/>
    <w:rsid w:val="00EB4554"/>
    <w:rsid w:val="00EB47FD"/>
    <w:rsid w:val="00EB48C6"/>
    <w:rsid w:val="00EB4B44"/>
    <w:rsid w:val="00EB4BBB"/>
    <w:rsid w:val="00EB4CB3"/>
    <w:rsid w:val="00EB50B3"/>
    <w:rsid w:val="00EB5332"/>
    <w:rsid w:val="00EB5435"/>
    <w:rsid w:val="00EB55C6"/>
    <w:rsid w:val="00EB5A14"/>
    <w:rsid w:val="00EB5A50"/>
    <w:rsid w:val="00EB5C80"/>
    <w:rsid w:val="00EB6956"/>
    <w:rsid w:val="00EB6AEA"/>
    <w:rsid w:val="00EB6CBA"/>
    <w:rsid w:val="00EB6F15"/>
    <w:rsid w:val="00EB6F1C"/>
    <w:rsid w:val="00EB705A"/>
    <w:rsid w:val="00EB707C"/>
    <w:rsid w:val="00EB7144"/>
    <w:rsid w:val="00EB72CD"/>
    <w:rsid w:val="00EB734B"/>
    <w:rsid w:val="00EB74D5"/>
    <w:rsid w:val="00EB75AE"/>
    <w:rsid w:val="00EB7CE1"/>
    <w:rsid w:val="00EB7DB8"/>
    <w:rsid w:val="00EC000B"/>
    <w:rsid w:val="00EC0108"/>
    <w:rsid w:val="00EC051E"/>
    <w:rsid w:val="00EC06E3"/>
    <w:rsid w:val="00EC08B6"/>
    <w:rsid w:val="00EC0913"/>
    <w:rsid w:val="00EC0B2E"/>
    <w:rsid w:val="00EC0CC9"/>
    <w:rsid w:val="00EC1149"/>
    <w:rsid w:val="00EC145F"/>
    <w:rsid w:val="00EC14F7"/>
    <w:rsid w:val="00EC1855"/>
    <w:rsid w:val="00EC19D6"/>
    <w:rsid w:val="00EC1C98"/>
    <w:rsid w:val="00EC201C"/>
    <w:rsid w:val="00EC2822"/>
    <w:rsid w:val="00EC2923"/>
    <w:rsid w:val="00EC2E80"/>
    <w:rsid w:val="00EC2FD7"/>
    <w:rsid w:val="00EC30F0"/>
    <w:rsid w:val="00EC316D"/>
    <w:rsid w:val="00EC32E4"/>
    <w:rsid w:val="00EC347C"/>
    <w:rsid w:val="00EC3948"/>
    <w:rsid w:val="00EC3E10"/>
    <w:rsid w:val="00EC3E3D"/>
    <w:rsid w:val="00EC414F"/>
    <w:rsid w:val="00EC444A"/>
    <w:rsid w:val="00EC457E"/>
    <w:rsid w:val="00EC4605"/>
    <w:rsid w:val="00EC4637"/>
    <w:rsid w:val="00EC46C0"/>
    <w:rsid w:val="00EC536C"/>
    <w:rsid w:val="00EC553D"/>
    <w:rsid w:val="00EC56A4"/>
    <w:rsid w:val="00EC56BA"/>
    <w:rsid w:val="00EC592C"/>
    <w:rsid w:val="00EC594A"/>
    <w:rsid w:val="00EC5C64"/>
    <w:rsid w:val="00EC5CA8"/>
    <w:rsid w:val="00EC5FD8"/>
    <w:rsid w:val="00EC649B"/>
    <w:rsid w:val="00EC664E"/>
    <w:rsid w:val="00EC6822"/>
    <w:rsid w:val="00EC6889"/>
    <w:rsid w:val="00EC69E4"/>
    <w:rsid w:val="00EC6C56"/>
    <w:rsid w:val="00EC709F"/>
    <w:rsid w:val="00EC70F8"/>
    <w:rsid w:val="00EC7252"/>
    <w:rsid w:val="00EC7362"/>
    <w:rsid w:val="00EC752D"/>
    <w:rsid w:val="00EC75E1"/>
    <w:rsid w:val="00EC76E8"/>
    <w:rsid w:val="00EC7B82"/>
    <w:rsid w:val="00ED033B"/>
    <w:rsid w:val="00ED0399"/>
    <w:rsid w:val="00ED03A0"/>
    <w:rsid w:val="00ED047E"/>
    <w:rsid w:val="00ED06F6"/>
    <w:rsid w:val="00ED093B"/>
    <w:rsid w:val="00ED09EF"/>
    <w:rsid w:val="00ED0A92"/>
    <w:rsid w:val="00ED0F31"/>
    <w:rsid w:val="00ED0F8D"/>
    <w:rsid w:val="00ED104D"/>
    <w:rsid w:val="00ED10DC"/>
    <w:rsid w:val="00ED1693"/>
    <w:rsid w:val="00ED172F"/>
    <w:rsid w:val="00ED1732"/>
    <w:rsid w:val="00ED1833"/>
    <w:rsid w:val="00ED18BD"/>
    <w:rsid w:val="00ED1E03"/>
    <w:rsid w:val="00ED1FC1"/>
    <w:rsid w:val="00ED218B"/>
    <w:rsid w:val="00ED220A"/>
    <w:rsid w:val="00ED2395"/>
    <w:rsid w:val="00ED275F"/>
    <w:rsid w:val="00ED2777"/>
    <w:rsid w:val="00ED2BEF"/>
    <w:rsid w:val="00ED2CD5"/>
    <w:rsid w:val="00ED2E91"/>
    <w:rsid w:val="00ED2FD8"/>
    <w:rsid w:val="00ED3062"/>
    <w:rsid w:val="00ED348F"/>
    <w:rsid w:val="00ED349D"/>
    <w:rsid w:val="00ED35C0"/>
    <w:rsid w:val="00ED370D"/>
    <w:rsid w:val="00ED3EC2"/>
    <w:rsid w:val="00ED4066"/>
    <w:rsid w:val="00ED4505"/>
    <w:rsid w:val="00ED45DE"/>
    <w:rsid w:val="00ED4E7E"/>
    <w:rsid w:val="00ED501A"/>
    <w:rsid w:val="00ED50FC"/>
    <w:rsid w:val="00ED5146"/>
    <w:rsid w:val="00ED5372"/>
    <w:rsid w:val="00ED54C2"/>
    <w:rsid w:val="00ED5647"/>
    <w:rsid w:val="00ED5882"/>
    <w:rsid w:val="00ED5896"/>
    <w:rsid w:val="00ED59A3"/>
    <w:rsid w:val="00ED5A75"/>
    <w:rsid w:val="00ED5CCD"/>
    <w:rsid w:val="00ED5DDD"/>
    <w:rsid w:val="00ED5F01"/>
    <w:rsid w:val="00ED61AB"/>
    <w:rsid w:val="00ED6254"/>
    <w:rsid w:val="00ED629E"/>
    <w:rsid w:val="00ED70BA"/>
    <w:rsid w:val="00ED713A"/>
    <w:rsid w:val="00ED7479"/>
    <w:rsid w:val="00ED7520"/>
    <w:rsid w:val="00ED7608"/>
    <w:rsid w:val="00ED790D"/>
    <w:rsid w:val="00ED7C0E"/>
    <w:rsid w:val="00ED7F54"/>
    <w:rsid w:val="00EE0170"/>
    <w:rsid w:val="00EE01C0"/>
    <w:rsid w:val="00EE02B2"/>
    <w:rsid w:val="00EE037A"/>
    <w:rsid w:val="00EE088A"/>
    <w:rsid w:val="00EE0D64"/>
    <w:rsid w:val="00EE155C"/>
    <w:rsid w:val="00EE1671"/>
    <w:rsid w:val="00EE16BC"/>
    <w:rsid w:val="00EE1BB9"/>
    <w:rsid w:val="00EE1D0F"/>
    <w:rsid w:val="00EE1E0D"/>
    <w:rsid w:val="00EE1E8A"/>
    <w:rsid w:val="00EE1FEB"/>
    <w:rsid w:val="00EE20E2"/>
    <w:rsid w:val="00EE2118"/>
    <w:rsid w:val="00EE221A"/>
    <w:rsid w:val="00EE241D"/>
    <w:rsid w:val="00EE2421"/>
    <w:rsid w:val="00EE275B"/>
    <w:rsid w:val="00EE2998"/>
    <w:rsid w:val="00EE2BF5"/>
    <w:rsid w:val="00EE2E72"/>
    <w:rsid w:val="00EE308C"/>
    <w:rsid w:val="00EE3355"/>
    <w:rsid w:val="00EE335C"/>
    <w:rsid w:val="00EE3896"/>
    <w:rsid w:val="00EE39E5"/>
    <w:rsid w:val="00EE3B2B"/>
    <w:rsid w:val="00EE3BC3"/>
    <w:rsid w:val="00EE3EE9"/>
    <w:rsid w:val="00EE40C5"/>
    <w:rsid w:val="00EE45DE"/>
    <w:rsid w:val="00EE497A"/>
    <w:rsid w:val="00EE4B74"/>
    <w:rsid w:val="00EE4EE1"/>
    <w:rsid w:val="00EE4FEE"/>
    <w:rsid w:val="00EE580E"/>
    <w:rsid w:val="00EE586A"/>
    <w:rsid w:val="00EE5AB2"/>
    <w:rsid w:val="00EE5CEC"/>
    <w:rsid w:val="00EE5D20"/>
    <w:rsid w:val="00EE5EAF"/>
    <w:rsid w:val="00EE5EC0"/>
    <w:rsid w:val="00EE6008"/>
    <w:rsid w:val="00EE6303"/>
    <w:rsid w:val="00EE648F"/>
    <w:rsid w:val="00EE65A3"/>
    <w:rsid w:val="00EE661B"/>
    <w:rsid w:val="00EE6893"/>
    <w:rsid w:val="00EE6C0C"/>
    <w:rsid w:val="00EE6EBA"/>
    <w:rsid w:val="00EE731A"/>
    <w:rsid w:val="00EE742B"/>
    <w:rsid w:val="00EE74D0"/>
    <w:rsid w:val="00EE762E"/>
    <w:rsid w:val="00EE7929"/>
    <w:rsid w:val="00EE79A3"/>
    <w:rsid w:val="00EF0018"/>
    <w:rsid w:val="00EF014E"/>
    <w:rsid w:val="00EF0836"/>
    <w:rsid w:val="00EF08CA"/>
    <w:rsid w:val="00EF097D"/>
    <w:rsid w:val="00EF0AA9"/>
    <w:rsid w:val="00EF0BB2"/>
    <w:rsid w:val="00EF0C3D"/>
    <w:rsid w:val="00EF0D5A"/>
    <w:rsid w:val="00EF0E05"/>
    <w:rsid w:val="00EF0E4B"/>
    <w:rsid w:val="00EF0E8F"/>
    <w:rsid w:val="00EF1255"/>
    <w:rsid w:val="00EF15B8"/>
    <w:rsid w:val="00EF1990"/>
    <w:rsid w:val="00EF1D3E"/>
    <w:rsid w:val="00EF1D4A"/>
    <w:rsid w:val="00EF1DBA"/>
    <w:rsid w:val="00EF1E42"/>
    <w:rsid w:val="00EF206F"/>
    <w:rsid w:val="00EF2457"/>
    <w:rsid w:val="00EF24A6"/>
    <w:rsid w:val="00EF2D1A"/>
    <w:rsid w:val="00EF2EC7"/>
    <w:rsid w:val="00EF35F5"/>
    <w:rsid w:val="00EF3771"/>
    <w:rsid w:val="00EF3A26"/>
    <w:rsid w:val="00EF3BB9"/>
    <w:rsid w:val="00EF3CB4"/>
    <w:rsid w:val="00EF413E"/>
    <w:rsid w:val="00EF41DA"/>
    <w:rsid w:val="00EF4254"/>
    <w:rsid w:val="00EF4941"/>
    <w:rsid w:val="00EF499B"/>
    <w:rsid w:val="00EF4BC5"/>
    <w:rsid w:val="00EF4FEC"/>
    <w:rsid w:val="00EF5168"/>
    <w:rsid w:val="00EF5706"/>
    <w:rsid w:val="00EF5AA6"/>
    <w:rsid w:val="00EF5ADC"/>
    <w:rsid w:val="00EF5D09"/>
    <w:rsid w:val="00EF5E00"/>
    <w:rsid w:val="00EF5EAF"/>
    <w:rsid w:val="00EF61E0"/>
    <w:rsid w:val="00EF6457"/>
    <w:rsid w:val="00EF64AC"/>
    <w:rsid w:val="00EF6749"/>
    <w:rsid w:val="00EF6808"/>
    <w:rsid w:val="00EF6CBA"/>
    <w:rsid w:val="00EF6CF5"/>
    <w:rsid w:val="00EF6D20"/>
    <w:rsid w:val="00EF6DF5"/>
    <w:rsid w:val="00EF6EAA"/>
    <w:rsid w:val="00EF7633"/>
    <w:rsid w:val="00EF77A8"/>
    <w:rsid w:val="00EF7836"/>
    <w:rsid w:val="00EF79CC"/>
    <w:rsid w:val="00EF7B2E"/>
    <w:rsid w:val="00EF7E5F"/>
    <w:rsid w:val="00EF7F5E"/>
    <w:rsid w:val="00F000F9"/>
    <w:rsid w:val="00F002B0"/>
    <w:rsid w:val="00F004CF"/>
    <w:rsid w:val="00F00665"/>
    <w:rsid w:val="00F006B8"/>
    <w:rsid w:val="00F00765"/>
    <w:rsid w:val="00F0092D"/>
    <w:rsid w:val="00F00987"/>
    <w:rsid w:val="00F00AE6"/>
    <w:rsid w:val="00F00D32"/>
    <w:rsid w:val="00F00DB6"/>
    <w:rsid w:val="00F010C0"/>
    <w:rsid w:val="00F018D6"/>
    <w:rsid w:val="00F01DFB"/>
    <w:rsid w:val="00F01E3B"/>
    <w:rsid w:val="00F021DE"/>
    <w:rsid w:val="00F022DC"/>
    <w:rsid w:val="00F022E0"/>
    <w:rsid w:val="00F024BB"/>
    <w:rsid w:val="00F028FE"/>
    <w:rsid w:val="00F02B86"/>
    <w:rsid w:val="00F03250"/>
    <w:rsid w:val="00F0338C"/>
    <w:rsid w:val="00F035A6"/>
    <w:rsid w:val="00F038E8"/>
    <w:rsid w:val="00F03E40"/>
    <w:rsid w:val="00F04440"/>
    <w:rsid w:val="00F0462C"/>
    <w:rsid w:val="00F0476C"/>
    <w:rsid w:val="00F047ED"/>
    <w:rsid w:val="00F04ADF"/>
    <w:rsid w:val="00F04B8E"/>
    <w:rsid w:val="00F04D86"/>
    <w:rsid w:val="00F05068"/>
    <w:rsid w:val="00F05216"/>
    <w:rsid w:val="00F05561"/>
    <w:rsid w:val="00F055AD"/>
    <w:rsid w:val="00F056FA"/>
    <w:rsid w:val="00F0573F"/>
    <w:rsid w:val="00F05832"/>
    <w:rsid w:val="00F05862"/>
    <w:rsid w:val="00F05AD0"/>
    <w:rsid w:val="00F05B77"/>
    <w:rsid w:val="00F05EF9"/>
    <w:rsid w:val="00F05F44"/>
    <w:rsid w:val="00F06007"/>
    <w:rsid w:val="00F06770"/>
    <w:rsid w:val="00F06861"/>
    <w:rsid w:val="00F06927"/>
    <w:rsid w:val="00F06B37"/>
    <w:rsid w:val="00F0727A"/>
    <w:rsid w:val="00F07326"/>
    <w:rsid w:val="00F07418"/>
    <w:rsid w:val="00F07787"/>
    <w:rsid w:val="00F078D9"/>
    <w:rsid w:val="00F07F21"/>
    <w:rsid w:val="00F103C2"/>
    <w:rsid w:val="00F1040E"/>
    <w:rsid w:val="00F104AE"/>
    <w:rsid w:val="00F1053B"/>
    <w:rsid w:val="00F106A2"/>
    <w:rsid w:val="00F106B3"/>
    <w:rsid w:val="00F106EE"/>
    <w:rsid w:val="00F10E34"/>
    <w:rsid w:val="00F10F95"/>
    <w:rsid w:val="00F11089"/>
    <w:rsid w:val="00F1117D"/>
    <w:rsid w:val="00F11339"/>
    <w:rsid w:val="00F114E4"/>
    <w:rsid w:val="00F11947"/>
    <w:rsid w:val="00F11FA3"/>
    <w:rsid w:val="00F12676"/>
    <w:rsid w:val="00F126FC"/>
    <w:rsid w:val="00F1276F"/>
    <w:rsid w:val="00F12AA9"/>
    <w:rsid w:val="00F12BBB"/>
    <w:rsid w:val="00F132CE"/>
    <w:rsid w:val="00F139D4"/>
    <w:rsid w:val="00F13A62"/>
    <w:rsid w:val="00F13ABD"/>
    <w:rsid w:val="00F13C01"/>
    <w:rsid w:val="00F13CF2"/>
    <w:rsid w:val="00F13D74"/>
    <w:rsid w:val="00F140A8"/>
    <w:rsid w:val="00F145D4"/>
    <w:rsid w:val="00F1489D"/>
    <w:rsid w:val="00F14E05"/>
    <w:rsid w:val="00F14F16"/>
    <w:rsid w:val="00F15227"/>
    <w:rsid w:val="00F15351"/>
    <w:rsid w:val="00F15471"/>
    <w:rsid w:val="00F154E4"/>
    <w:rsid w:val="00F1572B"/>
    <w:rsid w:val="00F15B9E"/>
    <w:rsid w:val="00F15D4E"/>
    <w:rsid w:val="00F15F33"/>
    <w:rsid w:val="00F160FA"/>
    <w:rsid w:val="00F1620A"/>
    <w:rsid w:val="00F164BC"/>
    <w:rsid w:val="00F16A3E"/>
    <w:rsid w:val="00F16B7C"/>
    <w:rsid w:val="00F16C19"/>
    <w:rsid w:val="00F16D54"/>
    <w:rsid w:val="00F16DCE"/>
    <w:rsid w:val="00F172E1"/>
    <w:rsid w:val="00F173E5"/>
    <w:rsid w:val="00F17CD6"/>
    <w:rsid w:val="00F17CEF"/>
    <w:rsid w:val="00F17D1D"/>
    <w:rsid w:val="00F17D5B"/>
    <w:rsid w:val="00F17DC8"/>
    <w:rsid w:val="00F2067D"/>
    <w:rsid w:val="00F207B0"/>
    <w:rsid w:val="00F20A7B"/>
    <w:rsid w:val="00F20B11"/>
    <w:rsid w:val="00F20B94"/>
    <w:rsid w:val="00F20E72"/>
    <w:rsid w:val="00F211F8"/>
    <w:rsid w:val="00F21328"/>
    <w:rsid w:val="00F21330"/>
    <w:rsid w:val="00F21470"/>
    <w:rsid w:val="00F21481"/>
    <w:rsid w:val="00F21674"/>
    <w:rsid w:val="00F216D4"/>
    <w:rsid w:val="00F21917"/>
    <w:rsid w:val="00F21952"/>
    <w:rsid w:val="00F21ED9"/>
    <w:rsid w:val="00F22022"/>
    <w:rsid w:val="00F224F7"/>
    <w:rsid w:val="00F22752"/>
    <w:rsid w:val="00F2277B"/>
    <w:rsid w:val="00F22A1F"/>
    <w:rsid w:val="00F22E21"/>
    <w:rsid w:val="00F2318E"/>
    <w:rsid w:val="00F2375B"/>
    <w:rsid w:val="00F23936"/>
    <w:rsid w:val="00F23BD5"/>
    <w:rsid w:val="00F23C85"/>
    <w:rsid w:val="00F23ECD"/>
    <w:rsid w:val="00F240D8"/>
    <w:rsid w:val="00F24607"/>
    <w:rsid w:val="00F24666"/>
    <w:rsid w:val="00F24696"/>
    <w:rsid w:val="00F246CB"/>
    <w:rsid w:val="00F2471C"/>
    <w:rsid w:val="00F248A9"/>
    <w:rsid w:val="00F24A51"/>
    <w:rsid w:val="00F24B05"/>
    <w:rsid w:val="00F24BFB"/>
    <w:rsid w:val="00F25101"/>
    <w:rsid w:val="00F2514B"/>
    <w:rsid w:val="00F25239"/>
    <w:rsid w:val="00F253C6"/>
    <w:rsid w:val="00F25405"/>
    <w:rsid w:val="00F25693"/>
    <w:rsid w:val="00F25729"/>
    <w:rsid w:val="00F25960"/>
    <w:rsid w:val="00F25A33"/>
    <w:rsid w:val="00F25A71"/>
    <w:rsid w:val="00F265B2"/>
    <w:rsid w:val="00F265E7"/>
    <w:rsid w:val="00F26600"/>
    <w:rsid w:val="00F266CD"/>
    <w:rsid w:val="00F26782"/>
    <w:rsid w:val="00F26AF8"/>
    <w:rsid w:val="00F300E1"/>
    <w:rsid w:val="00F302BC"/>
    <w:rsid w:val="00F302FD"/>
    <w:rsid w:val="00F30419"/>
    <w:rsid w:val="00F30601"/>
    <w:rsid w:val="00F30621"/>
    <w:rsid w:val="00F30F78"/>
    <w:rsid w:val="00F3100F"/>
    <w:rsid w:val="00F3113C"/>
    <w:rsid w:val="00F31710"/>
    <w:rsid w:val="00F319BD"/>
    <w:rsid w:val="00F31C35"/>
    <w:rsid w:val="00F31DCB"/>
    <w:rsid w:val="00F32593"/>
    <w:rsid w:val="00F325ED"/>
    <w:rsid w:val="00F3271B"/>
    <w:rsid w:val="00F32B02"/>
    <w:rsid w:val="00F3300C"/>
    <w:rsid w:val="00F3340B"/>
    <w:rsid w:val="00F33489"/>
    <w:rsid w:val="00F33571"/>
    <w:rsid w:val="00F336E4"/>
    <w:rsid w:val="00F337EA"/>
    <w:rsid w:val="00F3388E"/>
    <w:rsid w:val="00F338D3"/>
    <w:rsid w:val="00F33BFE"/>
    <w:rsid w:val="00F33F7A"/>
    <w:rsid w:val="00F345F2"/>
    <w:rsid w:val="00F3470E"/>
    <w:rsid w:val="00F34775"/>
    <w:rsid w:val="00F34937"/>
    <w:rsid w:val="00F34D6A"/>
    <w:rsid w:val="00F35121"/>
    <w:rsid w:val="00F35711"/>
    <w:rsid w:val="00F35848"/>
    <w:rsid w:val="00F35A41"/>
    <w:rsid w:val="00F35F41"/>
    <w:rsid w:val="00F36060"/>
    <w:rsid w:val="00F365D1"/>
    <w:rsid w:val="00F36825"/>
    <w:rsid w:val="00F3682C"/>
    <w:rsid w:val="00F37140"/>
    <w:rsid w:val="00F371EB"/>
    <w:rsid w:val="00F375DF"/>
    <w:rsid w:val="00F37701"/>
    <w:rsid w:val="00F37911"/>
    <w:rsid w:val="00F37B53"/>
    <w:rsid w:val="00F37CB0"/>
    <w:rsid w:val="00F37D2B"/>
    <w:rsid w:val="00F37DE6"/>
    <w:rsid w:val="00F37E1D"/>
    <w:rsid w:val="00F37F41"/>
    <w:rsid w:val="00F37FF9"/>
    <w:rsid w:val="00F408DD"/>
    <w:rsid w:val="00F4097A"/>
    <w:rsid w:val="00F40A82"/>
    <w:rsid w:val="00F40C8C"/>
    <w:rsid w:val="00F40CCC"/>
    <w:rsid w:val="00F40E34"/>
    <w:rsid w:val="00F40F01"/>
    <w:rsid w:val="00F412B8"/>
    <w:rsid w:val="00F416B7"/>
    <w:rsid w:val="00F41703"/>
    <w:rsid w:val="00F41775"/>
    <w:rsid w:val="00F41807"/>
    <w:rsid w:val="00F41A73"/>
    <w:rsid w:val="00F41FDB"/>
    <w:rsid w:val="00F420D2"/>
    <w:rsid w:val="00F42374"/>
    <w:rsid w:val="00F424BA"/>
    <w:rsid w:val="00F424E0"/>
    <w:rsid w:val="00F42A52"/>
    <w:rsid w:val="00F42B41"/>
    <w:rsid w:val="00F42B90"/>
    <w:rsid w:val="00F42E27"/>
    <w:rsid w:val="00F43126"/>
    <w:rsid w:val="00F431F3"/>
    <w:rsid w:val="00F43413"/>
    <w:rsid w:val="00F4360D"/>
    <w:rsid w:val="00F437B4"/>
    <w:rsid w:val="00F43816"/>
    <w:rsid w:val="00F43D07"/>
    <w:rsid w:val="00F43FCB"/>
    <w:rsid w:val="00F43FF9"/>
    <w:rsid w:val="00F44296"/>
    <w:rsid w:val="00F442FD"/>
    <w:rsid w:val="00F4442D"/>
    <w:rsid w:val="00F44509"/>
    <w:rsid w:val="00F4464D"/>
    <w:rsid w:val="00F4472A"/>
    <w:rsid w:val="00F44CD5"/>
    <w:rsid w:val="00F44D7A"/>
    <w:rsid w:val="00F44D9D"/>
    <w:rsid w:val="00F44F77"/>
    <w:rsid w:val="00F451FF"/>
    <w:rsid w:val="00F45221"/>
    <w:rsid w:val="00F45436"/>
    <w:rsid w:val="00F45BE0"/>
    <w:rsid w:val="00F45E12"/>
    <w:rsid w:val="00F45E2F"/>
    <w:rsid w:val="00F45FAB"/>
    <w:rsid w:val="00F45FBE"/>
    <w:rsid w:val="00F45FD3"/>
    <w:rsid w:val="00F46136"/>
    <w:rsid w:val="00F4629A"/>
    <w:rsid w:val="00F47333"/>
    <w:rsid w:val="00F475A6"/>
    <w:rsid w:val="00F476C6"/>
    <w:rsid w:val="00F477E6"/>
    <w:rsid w:val="00F4799B"/>
    <w:rsid w:val="00F50678"/>
    <w:rsid w:val="00F50679"/>
    <w:rsid w:val="00F5077E"/>
    <w:rsid w:val="00F5089D"/>
    <w:rsid w:val="00F50B47"/>
    <w:rsid w:val="00F50B7B"/>
    <w:rsid w:val="00F50DF8"/>
    <w:rsid w:val="00F50FD2"/>
    <w:rsid w:val="00F51333"/>
    <w:rsid w:val="00F519DD"/>
    <w:rsid w:val="00F51F1A"/>
    <w:rsid w:val="00F5209E"/>
    <w:rsid w:val="00F520A9"/>
    <w:rsid w:val="00F52342"/>
    <w:rsid w:val="00F52430"/>
    <w:rsid w:val="00F52836"/>
    <w:rsid w:val="00F52839"/>
    <w:rsid w:val="00F52B0A"/>
    <w:rsid w:val="00F52CBF"/>
    <w:rsid w:val="00F52CFB"/>
    <w:rsid w:val="00F52F9A"/>
    <w:rsid w:val="00F5304B"/>
    <w:rsid w:val="00F532A4"/>
    <w:rsid w:val="00F5348F"/>
    <w:rsid w:val="00F53A30"/>
    <w:rsid w:val="00F53A99"/>
    <w:rsid w:val="00F53C44"/>
    <w:rsid w:val="00F54666"/>
    <w:rsid w:val="00F54C3C"/>
    <w:rsid w:val="00F54CE8"/>
    <w:rsid w:val="00F551A8"/>
    <w:rsid w:val="00F5527C"/>
    <w:rsid w:val="00F55AD6"/>
    <w:rsid w:val="00F55D1F"/>
    <w:rsid w:val="00F55E21"/>
    <w:rsid w:val="00F55FA0"/>
    <w:rsid w:val="00F563BC"/>
    <w:rsid w:val="00F566BE"/>
    <w:rsid w:val="00F56C9E"/>
    <w:rsid w:val="00F56CDE"/>
    <w:rsid w:val="00F56E28"/>
    <w:rsid w:val="00F5741A"/>
    <w:rsid w:val="00F5753B"/>
    <w:rsid w:val="00F57618"/>
    <w:rsid w:val="00F577F7"/>
    <w:rsid w:val="00F57821"/>
    <w:rsid w:val="00F57E3B"/>
    <w:rsid w:val="00F57FDC"/>
    <w:rsid w:val="00F601A5"/>
    <w:rsid w:val="00F60368"/>
    <w:rsid w:val="00F60416"/>
    <w:rsid w:val="00F60533"/>
    <w:rsid w:val="00F60605"/>
    <w:rsid w:val="00F6085F"/>
    <w:rsid w:val="00F612BB"/>
    <w:rsid w:val="00F613A5"/>
    <w:rsid w:val="00F61429"/>
    <w:rsid w:val="00F617FA"/>
    <w:rsid w:val="00F61A29"/>
    <w:rsid w:val="00F61B02"/>
    <w:rsid w:val="00F61B7B"/>
    <w:rsid w:val="00F620F0"/>
    <w:rsid w:val="00F621EF"/>
    <w:rsid w:val="00F6231A"/>
    <w:rsid w:val="00F6261C"/>
    <w:rsid w:val="00F6267B"/>
    <w:rsid w:val="00F62A69"/>
    <w:rsid w:val="00F62F2B"/>
    <w:rsid w:val="00F63020"/>
    <w:rsid w:val="00F637D0"/>
    <w:rsid w:val="00F63924"/>
    <w:rsid w:val="00F63AEA"/>
    <w:rsid w:val="00F63B2E"/>
    <w:rsid w:val="00F63C16"/>
    <w:rsid w:val="00F63D55"/>
    <w:rsid w:val="00F63DE1"/>
    <w:rsid w:val="00F642EB"/>
    <w:rsid w:val="00F64813"/>
    <w:rsid w:val="00F64B8D"/>
    <w:rsid w:val="00F64D06"/>
    <w:rsid w:val="00F65024"/>
    <w:rsid w:val="00F6537E"/>
    <w:rsid w:val="00F6544F"/>
    <w:rsid w:val="00F654FF"/>
    <w:rsid w:val="00F65A17"/>
    <w:rsid w:val="00F65C12"/>
    <w:rsid w:val="00F65CBE"/>
    <w:rsid w:val="00F65D64"/>
    <w:rsid w:val="00F65DB1"/>
    <w:rsid w:val="00F66132"/>
    <w:rsid w:val="00F66199"/>
    <w:rsid w:val="00F6655D"/>
    <w:rsid w:val="00F66852"/>
    <w:rsid w:val="00F66AE7"/>
    <w:rsid w:val="00F66E26"/>
    <w:rsid w:val="00F66E61"/>
    <w:rsid w:val="00F671D2"/>
    <w:rsid w:val="00F671EE"/>
    <w:rsid w:val="00F675BB"/>
    <w:rsid w:val="00F678CB"/>
    <w:rsid w:val="00F67AEE"/>
    <w:rsid w:val="00F67C50"/>
    <w:rsid w:val="00F67DE0"/>
    <w:rsid w:val="00F7033D"/>
    <w:rsid w:val="00F70404"/>
    <w:rsid w:val="00F70B33"/>
    <w:rsid w:val="00F70DE5"/>
    <w:rsid w:val="00F70EEA"/>
    <w:rsid w:val="00F70F39"/>
    <w:rsid w:val="00F70F65"/>
    <w:rsid w:val="00F70FBA"/>
    <w:rsid w:val="00F711AC"/>
    <w:rsid w:val="00F712E2"/>
    <w:rsid w:val="00F7133A"/>
    <w:rsid w:val="00F71357"/>
    <w:rsid w:val="00F713E1"/>
    <w:rsid w:val="00F71498"/>
    <w:rsid w:val="00F71590"/>
    <w:rsid w:val="00F715CB"/>
    <w:rsid w:val="00F7174E"/>
    <w:rsid w:val="00F718D5"/>
    <w:rsid w:val="00F71999"/>
    <w:rsid w:val="00F71F5C"/>
    <w:rsid w:val="00F72C61"/>
    <w:rsid w:val="00F72D63"/>
    <w:rsid w:val="00F72E3A"/>
    <w:rsid w:val="00F72FAB"/>
    <w:rsid w:val="00F7303B"/>
    <w:rsid w:val="00F7326D"/>
    <w:rsid w:val="00F73440"/>
    <w:rsid w:val="00F73592"/>
    <w:rsid w:val="00F73B7B"/>
    <w:rsid w:val="00F73DDB"/>
    <w:rsid w:val="00F73E78"/>
    <w:rsid w:val="00F7400B"/>
    <w:rsid w:val="00F74120"/>
    <w:rsid w:val="00F74248"/>
    <w:rsid w:val="00F743AD"/>
    <w:rsid w:val="00F74CA4"/>
    <w:rsid w:val="00F74DD7"/>
    <w:rsid w:val="00F74E95"/>
    <w:rsid w:val="00F75002"/>
    <w:rsid w:val="00F7525E"/>
    <w:rsid w:val="00F7529B"/>
    <w:rsid w:val="00F755A7"/>
    <w:rsid w:val="00F7560B"/>
    <w:rsid w:val="00F757A3"/>
    <w:rsid w:val="00F759CD"/>
    <w:rsid w:val="00F75A51"/>
    <w:rsid w:val="00F75CDA"/>
    <w:rsid w:val="00F75D12"/>
    <w:rsid w:val="00F75F3D"/>
    <w:rsid w:val="00F76077"/>
    <w:rsid w:val="00F76096"/>
    <w:rsid w:val="00F7611B"/>
    <w:rsid w:val="00F761DC"/>
    <w:rsid w:val="00F765C8"/>
    <w:rsid w:val="00F76913"/>
    <w:rsid w:val="00F76AB4"/>
    <w:rsid w:val="00F76B9D"/>
    <w:rsid w:val="00F76BD5"/>
    <w:rsid w:val="00F76F92"/>
    <w:rsid w:val="00F7704D"/>
    <w:rsid w:val="00F77187"/>
    <w:rsid w:val="00F771C4"/>
    <w:rsid w:val="00F77773"/>
    <w:rsid w:val="00F8013F"/>
    <w:rsid w:val="00F8017B"/>
    <w:rsid w:val="00F801BD"/>
    <w:rsid w:val="00F80934"/>
    <w:rsid w:val="00F80AE4"/>
    <w:rsid w:val="00F80F54"/>
    <w:rsid w:val="00F81054"/>
    <w:rsid w:val="00F81148"/>
    <w:rsid w:val="00F8120A"/>
    <w:rsid w:val="00F8130F"/>
    <w:rsid w:val="00F8142B"/>
    <w:rsid w:val="00F814E1"/>
    <w:rsid w:val="00F81A8D"/>
    <w:rsid w:val="00F81B50"/>
    <w:rsid w:val="00F81BC6"/>
    <w:rsid w:val="00F81D26"/>
    <w:rsid w:val="00F8205F"/>
    <w:rsid w:val="00F8210C"/>
    <w:rsid w:val="00F8257C"/>
    <w:rsid w:val="00F829F8"/>
    <w:rsid w:val="00F82BD8"/>
    <w:rsid w:val="00F82CFC"/>
    <w:rsid w:val="00F82D15"/>
    <w:rsid w:val="00F833DA"/>
    <w:rsid w:val="00F83A86"/>
    <w:rsid w:val="00F83C80"/>
    <w:rsid w:val="00F83EEF"/>
    <w:rsid w:val="00F8419C"/>
    <w:rsid w:val="00F84276"/>
    <w:rsid w:val="00F84572"/>
    <w:rsid w:val="00F84876"/>
    <w:rsid w:val="00F84D22"/>
    <w:rsid w:val="00F84D62"/>
    <w:rsid w:val="00F85354"/>
    <w:rsid w:val="00F853E9"/>
    <w:rsid w:val="00F85CED"/>
    <w:rsid w:val="00F865B2"/>
    <w:rsid w:val="00F86682"/>
    <w:rsid w:val="00F86D6E"/>
    <w:rsid w:val="00F86EF9"/>
    <w:rsid w:val="00F87238"/>
    <w:rsid w:val="00F8733D"/>
    <w:rsid w:val="00F87469"/>
    <w:rsid w:val="00F8787C"/>
    <w:rsid w:val="00F87DC9"/>
    <w:rsid w:val="00F87DD3"/>
    <w:rsid w:val="00F903EB"/>
    <w:rsid w:val="00F9056B"/>
    <w:rsid w:val="00F90612"/>
    <w:rsid w:val="00F908C9"/>
    <w:rsid w:val="00F909AC"/>
    <w:rsid w:val="00F90CBB"/>
    <w:rsid w:val="00F90CDA"/>
    <w:rsid w:val="00F915DE"/>
    <w:rsid w:val="00F91AA2"/>
    <w:rsid w:val="00F91C76"/>
    <w:rsid w:val="00F921BD"/>
    <w:rsid w:val="00F92528"/>
    <w:rsid w:val="00F92681"/>
    <w:rsid w:val="00F92690"/>
    <w:rsid w:val="00F9285B"/>
    <w:rsid w:val="00F929EA"/>
    <w:rsid w:val="00F929F3"/>
    <w:rsid w:val="00F92AC2"/>
    <w:rsid w:val="00F92C18"/>
    <w:rsid w:val="00F93003"/>
    <w:rsid w:val="00F930CD"/>
    <w:rsid w:val="00F932CB"/>
    <w:rsid w:val="00F934A5"/>
    <w:rsid w:val="00F93613"/>
    <w:rsid w:val="00F938CB"/>
    <w:rsid w:val="00F939C5"/>
    <w:rsid w:val="00F9404C"/>
    <w:rsid w:val="00F941B3"/>
    <w:rsid w:val="00F946B1"/>
    <w:rsid w:val="00F947A7"/>
    <w:rsid w:val="00F949D8"/>
    <w:rsid w:val="00F95402"/>
    <w:rsid w:val="00F9571E"/>
    <w:rsid w:val="00F95ADD"/>
    <w:rsid w:val="00F9618C"/>
    <w:rsid w:val="00F9636B"/>
    <w:rsid w:val="00F96B9E"/>
    <w:rsid w:val="00F96CFA"/>
    <w:rsid w:val="00F96EA6"/>
    <w:rsid w:val="00F972A7"/>
    <w:rsid w:val="00F97873"/>
    <w:rsid w:val="00F97A95"/>
    <w:rsid w:val="00F97F0E"/>
    <w:rsid w:val="00FA00C2"/>
    <w:rsid w:val="00FA0406"/>
    <w:rsid w:val="00FA08EC"/>
    <w:rsid w:val="00FA0C20"/>
    <w:rsid w:val="00FA0CD3"/>
    <w:rsid w:val="00FA0E8B"/>
    <w:rsid w:val="00FA103F"/>
    <w:rsid w:val="00FA1090"/>
    <w:rsid w:val="00FA1197"/>
    <w:rsid w:val="00FA11E0"/>
    <w:rsid w:val="00FA1359"/>
    <w:rsid w:val="00FA15D8"/>
    <w:rsid w:val="00FA161D"/>
    <w:rsid w:val="00FA173D"/>
    <w:rsid w:val="00FA195C"/>
    <w:rsid w:val="00FA1985"/>
    <w:rsid w:val="00FA1B45"/>
    <w:rsid w:val="00FA1D07"/>
    <w:rsid w:val="00FA1EE9"/>
    <w:rsid w:val="00FA2308"/>
    <w:rsid w:val="00FA2313"/>
    <w:rsid w:val="00FA2333"/>
    <w:rsid w:val="00FA2464"/>
    <w:rsid w:val="00FA2882"/>
    <w:rsid w:val="00FA29BF"/>
    <w:rsid w:val="00FA2AB5"/>
    <w:rsid w:val="00FA2C4E"/>
    <w:rsid w:val="00FA2CF8"/>
    <w:rsid w:val="00FA2F27"/>
    <w:rsid w:val="00FA3296"/>
    <w:rsid w:val="00FA32A8"/>
    <w:rsid w:val="00FA342E"/>
    <w:rsid w:val="00FA3444"/>
    <w:rsid w:val="00FA363C"/>
    <w:rsid w:val="00FA36C8"/>
    <w:rsid w:val="00FA3AA3"/>
    <w:rsid w:val="00FA3BB4"/>
    <w:rsid w:val="00FA3CF4"/>
    <w:rsid w:val="00FA426B"/>
    <w:rsid w:val="00FA442E"/>
    <w:rsid w:val="00FA4444"/>
    <w:rsid w:val="00FA48A6"/>
    <w:rsid w:val="00FA497D"/>
    <w:rsid w:val="00FA4B88"/>
    <w:rsid w:val="00FA540B"/>
    <w:rsid w:val="00FA55C1"/>
    <w:rsid w:val="00FA58FB"/>
    <w:rsid w:val="00FA5BB6"/>
    <w:rsid w:val="00FA5CB4"/>
    <w:rsid w:val="00FA5CB8"/>
    <w:rsid w:val="00FA5DB2"/>
    <w:rsid w:val="00FA63D2"/>
    <w:rsid w:val="00FA6497"/>
    <w:rsid w:val="00FA6684"/>
    <w:rsid w:val="00FA67B1"/>
    <w:rsid w:val="00FA6936"/>
    <w:rsid w:val="00FA73A3"/>
    <w:rsid w:val="00FA7574"/>
    <w:rsid w:val="00FA76D2"/>
    <w:rsid w:val="00FA777B"/>
    <w:rsid w:val="00FA7935"/>
    <w:rsid w:val="00FA7A3A"/>
    <w:rsid w:val="00FA7BEF"/>
    <w:rsid w:val="00FA7C59"/>
    <w:rsid w:val="00FA7C85"/>
    <w:rsid w:val="00FA7CCC"/>
    <w:rsid w:val="00FB01C6"/>
    <w:rsid w:val="00FB06B9"/>
    <w:rsid w:val="00FB084B"/>
    <w:rsid w:val="00FB0D30"/>
    <w:rsid w:val="00FB0E65"/>
    <w:rsid w:val="00FB11EE"/>
    <w:rsid w:val="00FB12BF"/>
    <w:rsid w:val="00FB1573"/>
    <w:rsid w:val="00FB18E1"/>
    <w:rsid w:val="00FB19C1"/>
    <w:rsid w:val="00FB1C61"/>
    <w:rsid w:val="00FB20C6"/>
    <w:rsid w:val="00FB2254"/>
    <w:rsid w:val="00FB22F1"/>
    <w:rsid w:val="00FB2AAA"/>
    <w:rsid w:val="00FB2D6A"/>
    <w:rsid w:val="00FB3067"/>
    <w:rsid w:val="00FB3207"/>
    <w:rsid w:val="00FB3533"/>
    <w:rsid w:val="00FB3951"/>
    <w:rsid w:val="00FB3B45"/>
    <w:rsid w:val="00FB3B96"/>
    <w:rsid w:val="00FB3F61"/>
    <w:rsid w:val="00FB3FAF"/>
    <w:rsid w:val="00FB3FD6"/>
    <w:rsid w:val="00FB4211"/>
    <w:rsid w:val="00FB4230"/>
    <w:rsid w:val="00FB457F"/>
    <w:rsid w:val="00FB4AE6"/>
    <w:rsid w:val="00FB4BA9"/>
    <w:rsid w:val="00FB4C06"/>
    <w:rsid w:val="00FB4D2A"/>
    <w:rsid w:val="00FB4E47"/>
    <w:rsid w:val="00FB4F59"/>
    <w:rsid w:val="00FB4FB5"/>
    <w:rsid w:val="00FB5399"/>
    <w:rsid w:val="00FB55E4"/>
    <w:rsid w:val="00FB582D"/>
    <w:rsid w:val="00FB5955"/>
    <w:rsid w:val="00FB59F1"/>
    <w:rsid w:val="00FB5B38"/>
    <w:rsid w:val="00FB5FA3"/>
    <w:rsid w:val="00FB64E8"/>
    <w:rsid w:val="00FB6546"/>
    <w:rsid w:val="00FB6D68"/>
    <w:rsid w:val="00FB6DBF"/>
    <w:rsid w:val="00FB6E5E"/>
    <w:rsid w:val="00FB7506"/>
    <w:rsid w:val="00FB76FB"/>
    <w:rsid w:val="00FB781B"/>
    <w:rsid w:val="00FB7C6D"/>
    <w:rsid w:val="00FB7F8F"/>
    <w:rsid w:val="00FB7FBA"/>
    <w:rsid w:val="00FC0111"/>
    <w:rsid w:val="00FC019C"/>
    <w:rsid w:val="00FC07E1"/>
    <w:rsid w:val="00FC0D92"/>
    <w:rsid w:val="00FC0E91"/>
    <w:rsid w:val="00FC1055"/>
    <w:rsid w:val="00FC1456"/>
    <w:rsid w:val="00FC1905"/>
    <w:rsid w:val="00FC1C82"/>
    <w:rsid w:val="00FC1F0D"/>
    <w:rsid w:val="00FC235F"/>
    <w:rsid w:val="00FC23CC"/>
    <w:rsid w:val="00FC2C2E"/>
    <w:rsid w:val="00FC34BB"/>
    <w:rsid w:val="00FC35ED"/>
    <w:rsid w:val="00FC3BE1"/>
    <w:rsid w:val="00FC3BEA"/>
    <w:rsid w:val="00FC3E83"/>
    <w:rsid w:val="00FC4190"/>
    <w:rsid w:val="00FC41DA"/>
    <w:rsid w:val="00FC42DE"/>
    <w:rsid w:val="00FC432F"/>
    <w:rsid w:val="00FC4405"/>
    <w:rsid w:val="00FC44FA"/>
    <w:rsid w:val="00FC459F"/>
    <w:rsid w:val="00FC4602"/>
    <w:rsid w:val="00FC4668"/>
    <w:rsid w:val="00FC4D7A"/>
    <w:rsid w:val="00FC5277"/>
    <w:rsid w:val="00FC53E2"/>
    <w:rsid w:val="00FC56CB"/>
    <w:rsid w:val="00FC57B8"/>
    <w:rsid w:val="00FC5B6C"/>
    <w:rsid w:val="00FC65FD"/>
    <w:rsid w:val="00FC6D75"/>
    <w:rsid w:val="00FC6DBC"/>
    <w:rsid w:val="00FC6F01"/>
    <w:rsid w:val="00FC6F89"/>
    <w:rsid w:val="00FC6FE3"/>
    <w:rsid w:val="00FC703A"/>
    <w:rsid w:val="00FC70D8"/>
    <w:rsid w:val="00FC711C"/>
    <w:rsid w:val="00FC71F6"/>
    <w:rsid w:val="00FC7526"/>
    <w:rsid w:val="00FC75AF"/>
    <w:rsid w:val="00FC7691"/>
    <w:rsid w:val="00FC7AB7"/>
    <w:rsid w:val="00FC7DDA"/>
    <w:rsid w:val="00FD0171"/>
    <w:rsid w:val="00FD041A"/>
    <w:rsid w:val="00FD05EE"/>
    <w:rsid w:val="00FD0625"/>
    <w:rsid w:val="00FD074D"/>
    <w:rsid w:val="00FD0B6C"/>
    <w:rsid w:val="00FD0DB4"/>
    <w:rsid w:val="00FD0DC4"/>
    <w:rsid w:val="00FD0F4E"/>
    <w:rsid w:val="00FD0F93"/>
    <w:rsid w:val="00FD12F6"/>
    <w:rsid w:val="00FD1524"/>
    <w:rsid w:val="00FD1894"/>
    <w:rsid w:val="00FD18BA"/>
    <w:rsid w:val="00FD1E22"/>
    <w:rsid w:val="00FD1E7B"/>
    <w:rsid w:val="00FD1F4E"/>
    <w:rsid w:val="00FD1F6C"/>
    <w:rsid w:val="00FD2207"/>
    <w:rsid w:val="00FD2913"/>
    <w:rsid w:val="00FD29D3"/>
    <w:rsid w:val="00FD31DE"/>
    <w:rsid w:val="00FD3539"/>
    <w:rsid w:val="00FD3A87"/>
    <w:rsid w:val="00FD3BBE"/>
    <w:rsid w:val="00FD3D5B"/>
    <w:rsid w:val="00FD3D6F"/>
    <w:rsid w:val="00FD41F1"/>
    <w:rsid w:val="00FD42DC"/>
    <w:rsid w:val="00FD44A8"/>
    <w:rsid w:val="00FD475A"/>
    <w:rsid w:val="00FD481F"/>
    <w:rsid w:val="00FD4858"/>
    <w:rsid w:val="00FD4949"/>
    <w:rsid w:val="00FD49F3"/>
    <w:rsid w:val="00FD4A3E"/>
    <w:rsid w:val="00FD4D9F"/>
    <w:rsid w:val="00FD4F90"/>
    <w:rsid w:val="00FD4FDF"/>
    <w:rsid w:val="00FD514B"/>
    <w:rsid w:val="00FD51B2"/>
    <w:rsid w:val="00FD51B7"/>
    <w:rsid w:val="00FD55E6"/>
    <w:rsid w:val="00FD5712"/>
    <w:rsid w:val="00FD5D47"/>
    <w:rsid w:val="00FD641B"/>
    <w:rsid w:val="00FD6485"/>
    <w:rsid w:val="00FD6A91"/>
    <w:rsid w:val="00FD6B03"/>
    <w:rsid w:val="00FD6ED4"/>
    <w:rsid w:val="00FD6F17"/>
    <w:rsid w:val="00FD71F6"/>
    <w:rsid w:val="00FD732D"/>
    <w:rsid w:val="00FD7414"/>
    <w:rsid w:val="00FD7612"/>
    <w:rsid w:val="00FD76FF"/>
    <w:rsid w:val="00FD7765"/>
    <w:rsid w:val="00FD7B18"/>
    <w:rsid w:val="00FD7BA4"/>
    <w:rsid w:val="00FD7D8B"/>
    <w:rsid w:val="00FE014C"/>
    <w:rsid w:val="00FE022A"/>
    <w:rsid w:val="00FE04F4"/>
    <w:rsid w:val="00FE0598"/>
    <w:rsid w:val="00FE06D6"/>
    <w:rsid w:val="00FE1391"/>
    <w:rsid w:val="00FE147A"/>
    <w:rsid w:val="00FE1571"/>
    <w:rsid w:val="00FE15AB"/>
    <w:rsid w:val="00FE17D7"/>
    <w:rsid w:val="00FE1874"/>
    <w:rsid w:val="00FE195F"/>
    <w:rsid w:val="00FE21B0"/>
    <w:rsid w:val="00FE23C6"/>
    <w:rsid w:val="00FE274A"/>
    <w:rsid w:val="00FE27CA"/>
    <w:rsid w:val="00FE281E"/>
    <w:rsid w:val="00FE28FE"/>
    <w:rsid w:val="00FE2D41"/>
    <w:rsid w:val="00FE30D1"/>
    <w:rsid w:val="00FE339C"/>
    <w:rsid w:val="00FE34E1"/>
    <w:rsid w:val="00FE35F6"/>
    <w:rsid w:val="00FE3B34"/>
    <w:rsid w:val="00FE3BD6"/>
    <w:rsid w:val="00FE3DC1"/>
    <w:rsid w:val="00FE408D"/>
    <w:rsid w:val="00FE41F9"/>
    <w:rsid w:val="00FE47D6"/>
    <w:rsid w:val="00FE495C"/>
    <w:rsid w:val="00FE4967"/>
    <w:rsid w:val="00FE4AB1"/>
    <w:rsid w:val="00FE4B1F"/>
    <w:rsid w:val="00FE4CBB"/>
    <w:rsid w:val="00FE4D03"/>
    <w:rsid w:val="00FE4E9B"/>
    <w:rsid w:val="00FE54AC"/>
    <w:rsid w:val="00FE5852"/>
    <w:rsid w:val="00FE59F6"/>
    <w:rsid w:val="00FE5CF9"/>
    <w:rsid w:val="00FE63EF"/>
    <w:rsid w:val="00FE667D"/>
    <w:rsid w:val="00FE69E2"/>
    <w:rsid w:val="00FE6B46"/>
    <w:rsid w:val="00FE6E75"/>
    <w:rsid w:val="00FE6F47"/>
    <w:rsid w:val="00FE77BA"/>
    <w:rsid w:val="00FE7914"/>
    <w:rsid w:val="00FE7915"/>
    <w:rsid w:val="00FE7984"/>
    <w:rsid w:val="00FE7F34"/>
    <w:rsid w:val="00FF014B"/>
    <w:rsid w:val="00FF035D"/>
    <w:rsid w:val="00FF0504"/>
    <w:rsid w:val="00FF07EE"/>
    <w:rsid w:val="00FF0A39"/>
    <w:rsid w:val="00FF0AD2"/>
    <w:rsid w:val="00FF0B49"/>
    <w:rsid w:val="00FF0E9D"/>
    <w:rsid w:val="00FF1C0E"/>
    <w:rsid w:val="00FF1D01"/>
    <w:rsid w:val="00FF1DAF"/>
    <w:rsid w:val="00FF1E98"/>
    <w:rsid w:val="00FF213D"/>
    <w:rsid w:val="00FF2392"/>
    <w:rsid w:val="00FF2659"/>
    <w:rsid w:val="00FF2768"/>
    <w:rsid w:val="00FF2E63"/>
    <w:rsid w:val="00FF2EB7"/>
    <w:rsid w:val="00FF3026"/>
    <w:rsid w:val="00FF31A6"/>
    <w:rsid w:val="00FF337A"/>
    <w:rsid w:val="00FF381D"/>
    <w:rsid w:val="00FF3A5A"/>
    <w:rsid w:val="00FF3B18"/>
    <w:rsid w:val="00FF3BCD"/>
    <w:rsid w:val="00FF3BD4"/>
    <w:rsid w:val="00FF400A"/>
    <w:rsid w:val="00FF4338"/>
    <w:rsid w:val="00FF47FA"/>
    <w:rsid w:val="00FF4B5F"/>
    <w:rsid w:val="00FF4B99"/>
    <w:rsid w:val="00FF4EFC"/>
    <w:rsid w:val="00FF5127"/>
    <w:rsid w:val="00FF5559"/>
    <w:rsid w:val="00FF57C7"/>
    <w:rsid w:val="00FF5D40"/>
    <w:rsid w:val="00FF5DD2"/>
    <w:rsid w:val="00FF5DFD"/>
    <w:rsid w:val="00FF6593"/>
    <w:rsid w:val="00FF668E"/>
    <w:rsid w:val="00FF6A6B"/>
    <w:rsid w:val="00FF6B7D"/>
    <w:rsid w:val="00FF6CCF"/>
    <w:rsid w:val="00FF6DA9"/>
    <w:rsid w:val="00FF6E90"/>
    <w:rsid w:val="00FF6EE8"/>
    <w:rsid w:val="00FF745B"/>
    <w:rsid w:val="00FF74AC"/>
    <w:rsid w:val="00FF7958"/>
    <w:rsid w:val="00FF7A17"/>
    <w:rsid w:val="00FF7BFE"/>
    <w:rsid w:val="00FF7C89"/>
    <w:rsid w:val="00FF7F9F"/>
    <w:rsid w:val="010A9FAF"/>
    <w:rsid w:val="01165DEC"/>
    <w:rsid w:val="012D5763"/>
    <w:rsid w:val="0134DD4C"/>
    <w:rsid w:val="0145833C"/>
    <w:rsid w:val="014816B9"/>
    <w:rsid w:val="0162C5FD"/>
    <w:rsid w:val="01682276"/>
    <w:rsid w:val="0189A51B"/>
    <w:rsid w:val="019CB35E"/>
    <w:rsid w:val="01AB1A0D"/>
    <w:rsid w:val="01D21C43"/>
    <w:rsid w:val="01DE67D4"/>
    <w:rsid w:val="01ED6DF6"/>
    <w:rsid w:val="01EFDE8A"/>
    <w:rsid w:val="021B7C69"/>
    <w:rsid w:val="021F78BA"/>
    <w:rsid w:val="0223AD6D"/>
    <w:rsid w:val="022FA68B"/>
    <w:rsid w:val="0237A919"/>
    <w:rsid w:val="0273B8C3"/>
    <w:rsid w:val="02751246"/>
    <w:rsid w:val="02B44D60"/>
    <w:rsid w:val="02C31334"/>
    <w:rsid w:val="02C5BB41"/>
    <w:rsid w:val="032BB871"/>
    <w:rsid w:val="037B8F7F"/>
    <w:rsid w:val="03D0E7E5"/>
    <w:rsid w:val="0419DF90"/>
    <w:rsid w:val="042064BE"/>
    <w:rsid w:val="0469EA89"/>
    <w:rsid w:val="0477365B"/>
    <w:rsid w:val="047901A0"/>
    <w:rsid w:val="04D88A85"/>
    <w:rsid w:val="04DC5F7A"/>
    <w:rsid w:val="04E6C271"/>
    <w:rsid w:val="04F0B357"/>
    <w:rsid w:val="050B41B6"/>
    <w:rsid w:val="0513B411"/>
    <w:rsid w:val="051B1B3C"/>
    <w:rsid w:val="05949124"/>
    <w:rsid w:val="05BD10E8"/>
    <w:rsid w:val="05D95214"/>
    <w:rsid w:val="06233206"/>
    <w:rsid w:val="064322A1"/>
    <w:rsid w:val="064693E1"/>
    <w:rsid w:val="06878C7A"/>
    <w:rsid w:val="0692B114"/>
    <w:rsid w:val="06A2866F"/>
    <w:rsid w:val="06CEF33D"/>
    <w:rsid w:val="06CF307D"/>
    <w:rsid w:val="06E132B3"/>
    <w:rsid w:val="06E93860"/>
    <w:rsid w:val="07160C2A"/>
    <w:rsid w:val="07161D58"/>
    <w:rsid w:val="071FB7B5"/>
    <w:rsid w:val="0729C295"/>
    <w:rsid w:val="075BB8D5"/>
    <w:rsid w:val="0778935E"/>
    <w:rsid w:val="0786A077"/>
    <w:rsid w:val="07BEAB16"/>
    <w:rsid w:val="07C12A31"/>
    <w:rsid w:val="07CA19A5"/>
    <w:rsid w:val="084383A8"/>
    <w:rsid w:val="0853E702"/>
    <w:rsid w:val="087D5769"/>
    <w:rsid w:val="08952DE7"/>
    <w:rsid w:val="08B81B52"/>
    <w:rsid w:val="08E95C1E"/>
    <w:rsid w:val="0922BF24"/>
    <w:rsid w:val="09394777"/>
    <w:rsid w:val="09417DDF"/>
    <w:rsid w:val="0942F227"/>
    <w:rsid w:val="094CF712"/>
    <w:rsid w:val="095FE5B2"/>
    <w:rsid w:val="097B7EBA"/>
    <w:rsid w:val="0989D840"/>
    <w:rsid w:val="098B5600"/>
    <w:rsid w:val="09918C4D"/>
    <w:rsid w:val="09D689D9"/>
    <w:rsid w:val="09DD2FBC"/>
    <w:rsid w:val="09F553B7"/>
    <w:rsid w:val="0A04CAFC"/>
    <w:rsid w:val="0A0A490A"/>
    <w:rsid w:val="0A0E07E0"/>
    <w:rsid w:val="0A2398AC"/>
    <w:rsid w:val="0A49B00A"/>
    <w:rsid w:val="0A83D679"/>
    <w:rsid w:val="0A8FB66F"/>
    <w:rsid w:val="0A9A72EC"/>
    <w:rsid w:val="0AB941E4"/>
    <w:rsid w:val="0AD8A233"/>
    <w:rsid w:val="0AFEC8EA"/>
    <w:rsid w:val="0B07C9FD"/>
    <w:rsid w:val="0B28B17E"/>
    <w:rsid w:val="0B3BBA7F"/>
    <w:rsid w:val="0B52CAF6"/>
    <w:rsid w:val="0B8D3E5C"/>
    <w:rsid w:val="0BA1085E"/>
    <w:rsid w:val="0BA50C44"/>
    <w:rsid w:val="0BCA03EB"/>
    <w:rsid w:val="0BCD3686"/>
    <w:rsid w:val="0BED6A73"/>
    <w:rsid w:val="0BEE577F"/>
    <w:rsid w:val="0C3BFAB0"/>
    <w:rsid w:val="0C56A49D"/>
    <w:rsid w:val="0C6E9618"/>
    <w:rsid w:val="0C984ED9"/>
    <w:rsid w:val="0CB62952"/>
    <w:rsid w:val="0CD6C381"/>
    <w:rsid w:val="0D042E61"/>
    <w:rsid w:val="0D0B5D09"/>
    <w:rsid w:val="0D2C8040"/>
    <w:rsid w:val="0D379B23"/>
    <w:rsid w:val="0D3F5F36"/>
    <w:rsid w:val="0D6D3294"/>
    <w:rsid w:val="0D91549B"/>
    <w:rsid w:val="0D943642"/>
    <w:rsid w:val="0DCC7CA0"/>
    <w:rsid w:val="0DE613B0"/>
    <w:rsid w:val="0E2D65D3"/>
    <w:rsid w:val="0E5A8D97"/>
    <w:rsid w:val="0E6208EE"/>
    <w:rsid w:val="0E620C07"/>
    <w:rsid w:val="0E670AD7"/>
    <w:rsid w:val="0E6AEC50"/>
    <w:rsid w:val="0E743F22"/>
    <w:rsid w:val="0E8C5547"/>
    <w:rsid w:val="0E95802A"/>
    <w:rsid w:val="0ECBED89"/>
    <w:rsid w:val="0F546FC7"/>
    <w:rsid w:val="0F6A8896"/>
    <w:rsid w:val="0F7D5E78"/>
    <w:rsid w:val="0F8396A5"/>
    <w:rsid w:val="0FA58A77"/>
    <w:rsid w:val="0FAE0AD7"/>
    <w:rsid w:val="0FB04589"/>
    <w:rsid w:val="0FD53DE4"/>
    <w:rsid w:val="101BEAE9"/>
    <w:rsid w:val="102825A8"/>
    <w:rsid w:val="102D9AF7"/>
    <w:rsid w:val="10334E2B"/>
    <w:rsid w:val="10345157"/>
    <w:rsid w:val="10481C02"/>
    <w:rsid w:val="10734F16"/>
    <w:rsid w:val="10762DCE"/>
    <w:rsid w:val="10C5DB9A"/>
    <w:rsid w:val="10C9F021"/>
    <w:rsid w:val="10F417DF"/>
    <w:rsid w:val="10FA4CB8"/>
    <w:rsid w:val="10FDA60A"/>
    <w:rsid w:val="113CCAB6"/>
    <w:rsid w:val="1149CE5B"/>
    <w:rsid w:val="114A473E"/>
    <w:rsid w:val="114E4526"/>
    <w:rsid w:val="11650A2B"/>
    <w:rsid w:val="117D3D65"/>
    <w:rsid w:val="1199E892"/>
    <w:rsid w:val="11A74849"/>
    <w:rsid w:val="11F6091B"/>
    <w:rsid w:val="122602C7"/>
    <w:rsid w:val="1244AF13"/>
    <w:rsid w:val="125656F4"/>
    <w:rsid w:val="125B9A57"/>
    <w:rsid w:val="12854994"/>
    <w:rsid w:val="12986752"/>
    <w:rsid w:val="12A7FE06"/>
    <w:rsid w:val="12AE4A0A"/>
    <w:rsid w:val="12BB6A62"/>
    <w:rsid w:val="13001B84"/>
    <w:rsid w:val="13064368"/>
    <w:rsid w:val="131707BA"/>
    <w:rsid w:val="131C09CC"/>
    <w:rsid w:val="13308616"/>
    <w:rsid w:val="13463F96"/>
    <w:rsid w:val="136DF629"/>
    <w:rsid w:val="136F520D"/>
    <w:rsid w:val="136FB41D"/>
    <w:rsid w:val="139B6E43"/>
    <w:rsid w:val="13D099C6"/>
    <w:rsid w:val="14013C8B"/>
    <w:rsid w:val="140380C6"/>
    <w:rsid w:val="1419D058"/>
    <w:rsid w:val="1420E4C5"/>
    <w:rsid w:val="142DEA38"/>
    <w:rsid w:val="142EDBE5"/>
    <w:rsid w:val="143A59B4"/>
    <w:rsid w:val="143E8243"/>
    <w:rsid w:val="144A75D6"/>
    <w:rsid w:val="14F7A37F"/>
    <w:rsid w:val="1506C19B"/>
    <w:rsid w:val="151DF70F"/>
    <w:rsid w:val="15589AA4"/>
    <w:rsid w:val="15776BF1"/>
    <w:rsid w:val="1585843C"/>
    <w:rsid w:val="15871DB1"/>
    <w:rsid w:val="158D3E56"/>
    <w:rsid w:val="158DEEE7"/>
    <w:rsid w:val="159BD651"/>
    <w:rsid w:val="159D9932"/>
    <w:rsid w:val="15A75D7C"/>
    <w:rsid w:val="15CFAC23"/>
    <w:rsid w:val="15E0CAE0"/>
    <w:rsid w:val="15E50A23"/>
    <w:rsid w:val="15E80C08"/>
    <w:rsid w:val="15FB4F11"/>
    <w:rsid w:val="15FFD180"/>
    <w:rsid w:val="1645BBB5"/>
    <w:rsid w:val="16558A9C"/>
    <w:rsid w:val="1659C768"/>
    <w:rsid w:val="16701360"/>
    <w:rsid w:val="16927FF5"/>
    <w:rsid w:val="16D355DB"/>
    <w:rsid w:val="16D3E9AA"/>
    <w:rsid w:val="16E17DC1"/>
    <w:rsid w:val="16FAFD3A"/>
    <w:rsid w:val="16FDB65D"/>
    <w:rsid w:val="170B6FE1"/>
    <w:rsid w:val="1713D12D"/>
    <w:rsid w:val="17739725"/>
    <w:rsid w:val="17758E81"/>
    <w:rsid w:val="17810872"/>
    <w:rsid w:val="17C0F2EA"/>
    <w:rsid w:val="17D067E0"/>
    <w:rsid w:val="17D14E54"/>
    <w:rsid w:val="17DC3094"/>
    <w:rsid w:val="180DB085"/>
    <w:rsid w:val="180F2189"/>
    <w:rsid w:val="1848B6AF"/>
    <w:rsid w:val="187509AA"/>
    <w:rsid w:val="1878E58F"/>
    <w:rsid w:val="189474E2"/>
    <w:rsid w:val="189AD745"/>
    <w:rsid w:val="18C31B2E"/>
    <w:rsid w:val="18CE672E"/>
    <w:rsid w:val="190A828A"/>
    <w:rsid w:val="1916EAF1"/>
    <w:rsid w:val="1922285B"/>
    <w:rsid w:val="198E93B2"/>
    <w:rsid w:val="199314AA"/>
    <w:rsid w:val="199430D9"/>
    <w:rsid w:val="199C38A1"/>
    <w:rsid w:val="19A76FF1"/>
    <w:rsid w:val="19CA379A"/>
    <w:rsid w:val="19DC5825"/>
    <w:rsid w:val="19DFCC7E"/>
    <w:rsid w:val="19FC8015"/>
    <w:rsid w:val="1A2CFF01"/>
    <w:rsid w:val="1A5E432C"/>
    <w:rsid w:val="1A90B016"/>
    <w:rsid w:val="1A932036"/>
    <w:rsid w:val="1AC97DA3"/>
    <w:rsid w:val="1ACF2D25"/>
    <w:rsid w:val="1AE81B98"/>
    <w:rsid w:val="1B1921F9"/>
    <w:rsid w:val="1B1C3C30"/>
    <w:rsid w:val="1B1CCC74"/>
    <w:rsid w:val="1B2E2F17"/>
    <w:rsid w:val="1B75EAF4"/>
    <w:rsid w:val="1B9E6B3E"/>
    <w:rsid w:val="1B9F1F7B"/>
    <w:rsid w:val="1BC8CF62"/>
    <w:rsid w:val="1BEFCE5B"/>
    <w:rsid w:val="1C03B193"/>
    <w:rsid w:val="1C1021E7"/>
    <w:rsid w:val="1C48E955"/>
    <w:rsid w:val="1CC41BA4"/>
    <w:rsid w:val="1CC8CE55"/>
    <w:rsid w:val="1CF743C7"/>
    <w:rsid w:val="1D703F7E"/>
    <w:rsid w:val="1D72B9EC"/>
    <w:rsid w:val="1D93BCA9"/>
    <w:rsid w:val="1D9C3F39"/>
    <w:rsid w:val="1DA1722A"/>
    <w:rsid w:val="1DBF733A"/>
    <w:rsid w:val="1DF909E2"/>
    <w:rsid w:val="1E0F1186"/>
    <w:rsid w:val="1E10B02A"/>
    <w:rsid w:val="1E278EE1"/>
    <w:rsid w:val="1E29C842"/>
    <w:rsid w:val="1E50D28A"/>
    <w:rsid w:val="1E7A8881"/>
    <w:rsid w:val="1EAB39ED"/>
    <w:rsid w:val="1EF3C17A"/>
    <w:rsid w:val="1F0CDA4A"/>
    <w:rsid w:val="1F322EA1"/>
    <w:rsid w:val="1F348E8A"/>
    <w:rsid w:val="1F36F014"/>
    <w:rsid w:val="1F619F32"/>
    <w:rsid w:val="1F7C4C76"/>
    <w:rsid w:val="1F7E307E"/>
    <w:rsid w:val="1F9CDDB0"/>
    <w:rsid w:val="1FA936DA"/>
    <w:rsid w:val="1FDCADC9"/>
    <w:rsid w:val="20149B17"/>
    <w:rsid w:val="201A4FAF"/>
    <w:rsid w:val="2032A4D5"/>
    <w:rsid w:val="203570F0"/>
    <w:rsid w:val="2043E7FE"/>
    <w:rsid w:val="20908DD6"/>
    <w:rsid w:val="20A39270"/>
    <w:rsid w:val="20E4F27A"/>
    <w:rsid w:val="2102685D"/>
    <w:rsid w:val="211516D5"/>
    <w:rsid w:val="2117EFDD"/>
    <w:rsid w:val="2149E683"/>
    <w:rsid w:val="214C1A32"/>
    <w:rsid w:val="2151F5A4"/>
    <w:rsid w:val="219154AA"/>
    <w:rsid w:val="21AA0C7F"/>
    <w:rsid w:val="21AB53BB"/>
    <w:rsid w:val="21AD3337"/>
    <w:rsid w:val="21BFA180"/>
    <w:rsid w:val="21C309DA"/>
    <w:rsid w:val="21DA68DB"/>
    <w:rsid w:val="21DF5DC2"/>
    <w:rsid w:val="21F4EC44"/>
    <w:rsid w:val="22090F29"/>
    <w:rsid w:val="2217BD0B"/>
    <w:rsid w:val="223859DA"/>
    <w:rsid w:val="224CBA23"/>
    <w:rsid w:val="22547CD7"/>
    <w:rsid w:val="2256D11C"/>
    <w:rsid w:val="2282732B"/>
    <w:rsid w:val="228D6313"/>
    <w:rsid w:val="229D187E"/>
    <w:rsid w:val="229DD08F"/>
    <w:rsid w:val="22BEBCBB"/>
    <w:rsid w:val="22D2DC0C"/>
    <w:rsid w:val="22E97EE5"/>
    <w:rsid w:val="2306BFB8"/>
    <w:rsid w:val="2314A3BA"/>
    <w:rsid w:val="23202AF3"/>
    <w:rsid w:val="233CFAB5"/>
    <w:rsid w:val="233FAA64"/>
    <w:rsid w:val="235093C3"/>
    <w:rsid w:val="235C9793"/>
    <w:rsid w:val="236D4CE7"/>
    <w:rsid w:val="2372E535"/>
    <w:rsid w:val="237A6AC3"/>
    <w:rsid w:val="239B5C3A"/>
    <w:rsid w:val="23A5A584"/>
    <w:rsid w:val="23B610AC"/>
    <w:rsid w:val="23B74542"/>
    <w:rsid w:val="23D95B13"/>
    <w:rsid w:val="240C7BAF"/>
    <w:rsid w:val="242C6FA9"/>
    <w:rsid w:val="2444A99D"/>
    <w:rsid w:val="24A06A60"/>
    <w:rsid w:val="24A8E4E1"/>
    <w:rsid w:val="24B38BB6"/>
    <w:rsid w:val="24BCE855"/>
    <w:rsid w:val="24D63011"/>
    <w:rsid w:val="24F8825B"/>
    <w:rsid w:val="2507A45C"/>
    <w:rsid w:val="253581F3"/>
    <w:rsid w:val="256416CF"/>
    <w:rsid w:val="259D4B95"/>
    <w:rsid w:val="25B8B993"/>
    <w:rsid w:val="25D2D344"/>
    <w:rsid w:val="25DD6A11"/>
    <w:rsid w:val="260431F2"/>
    <w:rsid w:val="261F8499"/>
    <w:rsid w:val="2656F63E"/>
    <w:rsid w:val="26589EAE"/>
    <w:rsid w:val="2662A0FA"/>
    <w:rsid w:val="2672801D"/>
    <w:rsid w:val="2686A7C4"/>
    <w:rsid w:val="269C2D1C"/>
    <w:rsid w:val="26BE69AF"/>
    <w:rsid w:val="26ED1A9D"/>
    <w:rsid w:val="270F3044"/>
    <w:rsid w:val="272A505D"/>
    <w:rsid w:val="273C6C5E"/>
    <w:rsid w:val="27413B94"/>
    <w:rsid w:val="2750DB21"/>
    <w:rsid w:val="276BF2EA"/>
    <w:rsid w:val="277218F3"/>
    <w:rsid w:val="279C4E37"/>
    <w:rsid w:val="27D134ED"/>
    <w:rsid w:val="27F11228"/>
    <w:rsid w:val="27F76D24"/>
    <w:rsid w:val="280DD427"/>
    <w:rsid w:val="2810302F"/>
    <w:rsid w:val="28157CC0"/>
    <w:rsid w:val="28174E29"/>
    <w:rsid w:val="28245F03"/>
    <w:rsid w:val="2843156D"/>
    <w:rsid w:val="286010E8"/>
    <w:rsid w:val="2885B897"/>
    <w:rsid w:val="28AD7E20"/>
    <w:rsid w:val="28BDCF1B"/>
    <w:rsid w:val="28D4A28F"/>
    <w:rsid w:val="28D9EFD8"/>
    <w:rsid w:val="28E162E4"/>
    <w:rsid w:val="28F686D0"/>
    <w:rsid w:val="291CECA0"/>
    <w:rsid w:val="291E7472"/>
    <w:rsid w:val="29319C6F"/>
    <w:rsid w:val="29652E36"/>
    <w:rsid w:val="297DEF19"/>
    <w:rsid w:val="29957181"/>
    <w:rsid w:val="29CA6377"/>
    <w:rsid w:val="29DC4F6C"/>
    <w:rsid w:val="2A027EB2"/>
    <w:rsid w:val="2A050529"/>
    <w:rsid w:val="2A3D4381"/>
    <w:rsid w:val="2A5B1A9F"/>
    <w:rsid w:val="2AA34D6C"/>
    <w:rsid w:val="2AAA3950"/>
    <w:rsid w:val="2AB0838E"/>
    <w:rsid w:val="2ABD9851"/>
    <w:rsid w:val="2AE74594"/>
    <w:rsid w:val="2B3B7761"/>
    <w:rsid w:val="2B56B2AA"/>
    <w:rsid w:val="2B675529"/>
    <w:rsid w:val="2B68F375"/>
    <w:rsid w:val="2BCFB093"/>
    <w:rsid w:val="2C1FE4A7"/>
    <w:rsid w:val="2C33C2C1"/>
    <w:rsid w:val="2C3FEF20"/>
    <w:rsid w:val="2C6B2BDC"/>
    <w:rsid w:val="2C70DA79"/>
    <w:rsid w:val="2C72BF2B"/>
    <w:rsid w:val="2C97D54E"/>
    <w:rsid w:val="2CA02AB3"/>
    <w:rsid w:val="2CB3FAF5"/>
    <w:rsid w:val="2CB5BC91"/>
    <w:rsid w:val="2CC8F987"/>
    <w:rsid w:val="2CD163D3"/>
    <w:rsid w:val="2D038763"/>
    <w:rsid w:val="2D1A3521"/>
    <w:rsid w:val="2D202273"/>
    <w:rsid w:val="2D300B67"/>
    <w:rsid w:val="2D5C6525"/>
    <w:rsid w:val="2D6F567A"/>
    <w:rsid w:val="2D739C68"/>
    <w:rsid w:val="2D744950"/>
    <w:rsid w:val="2D93AE68"/>
    <w:rsid w:val="2D9E52C7"/>
    <w:rsid w:val="2DC9ADA2"/>
    <w:rsid w:val="2DD25682"/>
    <w:rsid w:val="2DD6D149"/>
    <w:rsid w:val="2DEEF2E7"/>
    <w:rsid w:val="2DF22C2A"/>
    <w:rsid w:val="2DF9BC04"/>
    <w:rsid w:val="2E0E8F8C"/>
    <w:rsid w:val="2E191E96"/>
    <w:rsid w:val="2E413B32"/>
    <w:rsid w:val="2E63A37E"/>
    <w:rsid w:val="2E706B61"/>
    <w:rsid w:val="2E7C69D4"/>
    <w:rsid w:val="2E7CFED0"/>
    <w:rsid w:val="2E8334B9"/>
    <w:rsid w:val="2E85B62E"/>
    <w:rsid w:val="2EA32C66"/>
    <w:rsid w:val="2EAB181A"/>
    <w:rsid w:val="2EB53909"/>
    <w:rsid w:val="2EB87948"/>
    <w:rsid w:val="2EF90CF3"/>
    <w:rsid w:val="2F176113"/>
    <w:rsid w:val="2F25A973"/>
    <w:rsid w:val="2F38D6D4"/>
    <w:rsid w:val="2F407672"/>
    <w:rsid w:val="2F57C3FD"/>
    <w:rsid w:val="2F6C6C40"/>
    <w:rsid w:val="2F7DFDFE"/>
    <w:rsid w:val="2F81965E"/>
    <w:rsid w:val="2F921170"/>
    <w:rsid w:val="2FB368BF"/>
    <w:rsid w:val="2FF01C79"/>
    <w:rsid w:val="30124077"/>
    <w:rsid w:val="3023C1BF"/>
    <w:rsid w:val="30275DC6"/>
    <w:rsid w:val="302F5C80"/>
    <w:rsid w:val="303C1EEE"/>
    <w:rsid w:val="305CB7EF"/>
    <w:rsid w:val="30B69EA9"/>
    <w:rsid w:val="30BB1FB6"/>
    <w:rsid w:val="30FDC6BA"/>
    <w:rsid w:val="30FDF0FF"/>
    <w:rsid w:val="3106F9A3"/>
    <w:rsid w:val="310DD77C"/>
    <w:rsid w:val="311F98CC"/>
    <w:rsid w:val="31413F78"/>
    <w:rsid w:val="3146304E"/>
    <w:rsid w:val="3147B474"/>
    <w:rsid w:val="31681C2B"/>
    <w:rsid w:val="316B1942"/>
    <w:rsid w:val="3179B472"/>
    <w:rsid w:val="319A87C0"/>
    <w:rsid w:val="319E3525"/>
    <w:rsid w:val="31B31C78"/>
    <w:rsid w:val="31D73BA2"/>
    <w:rsid w:val="31FB57F8"/>
    <w:rsid w:val="321C3CE7"/>
    <w:rsid w:val="3221DC8D"/>
    <w:rsid w:val="32265BCB"/>
    <w:rsid w:val="323090A3"/>
    <w:rsid w:val="325B4DE1"/>
    <w:rsid w:val="325E6C21"/>
    <w:rsid w:val="3260C0CF"/>
    <w:rsid w:val="3262D457"/>
    <w:rsid w:val="32EF544F"/>
    <w:rsid w:val="330D7819"/>
    <w:rsid w:val="332FE238"/>
    <w:rsid w:val="33348706"/>
    <w:rsid w:val="33354E35"/>
    <w:rsid w:val="334CE08A"/>
    <w:rsid w:val="3379EE9C"/>
    <w:rsid w:val="339D8AD8"/>
    <w:rsid w:val="339F2BB7"/>
    <w:rsid w:val="33B8A90D"/>
    <w:rsid w:val="33BF8237"/>
    <w:rsid w:val="34199236"/>
    <w:rsid w:val="345012FC"/>
    <w:rsid w:val="3484D41F"/>
    <w:rsid w:val="348BB935"/>
    <w:rsid w:val="34C053F4"/>
    <w:rsid w:val="34D62C13"/>
    <w:rsid w:val="351677C8"/>
    <w:rsid w:val="35292C75"/>
    <w:rsid w:val="3538C702"/>
    <w:rsid w:val="3544FD83"/>
    <w:rsid w:val="356B3820"/>
    <w:rsid w:val="35810E3D"/>
    <w:rsid w:val="35A41955"/>
    <w:rsid w:val="35A723CE"/>
    <w:rsid w:val="35E16A0E"/>
    <w:rsid w:val="35E43245"/>
    <w:rsid w:val="363FB644"/>
    <w:rsid w:val="365FE38F"/>
    <w:rsid w:val="366A55CC"/>
    <w:rsid w:val="368F5F84"/>
    <w:rsid w:val="369EF11A"/>
    <w:rsid w:val="36A198C6"/>
    <w:rsid w:val="36A29968"/>
    <w:rsid w:val="36A367D1"/>
    <w:rsid w:val="36A774F4"/>
    <w:rsid w:val="36B7FC80"/>
    <w:rsid w:val="36BD326D"/>
    <w:rsid w:val="36C8E06D"/>
    <w:rsid w:val="36DAED75"/>
    <w:rsid w:val="3703DA00"/>
    <w:rsid w:val="37382284"/>
    <w:rsid w:val="37551247"/>
    <w:rsid w:val="37637B43"/>
    <w:rsid w:val="3769DD0B"/>
    <w:rsid w:val="377B17AA"/>
    <w:rsid w:val="3780B948"/>
    <w:rsid w:val="37842DD2"/>
    <w:rsid w:val="37889AD6"/>
    <w:rsid w:val="37896067"/>
    <w:rsid w:val="378E7B7B"/>
    <w:rsid w:val="37A90BBE"/>
    <w:rsid w:val="37AC545F"/>
    <w:rsid w:val="37B95544"/>
    <w:rsid w:val="37DC153E"/>
    <w:rsid w:val="37E7C34D"/>
    <w:rsid w:val="38160C18"/>
    <w:rsid w:val="38191FD2"/>
    <w:rsid w:val="382C42DB"/>
    <w:rsid w:val="383E69C9"/>
    <w:rsid w:val="3859F00E"/>
    <w:rsid w:val="385FB5F8"/>
    <w:rsid w:val="38618907"/>
    <w:rsid w:val="386D9B7E"/>
    <w:rsid w:val="38709144"/>
    <w:rsid w:val="388C5D23"/>
    <w:rsid w:val="3895CDFA"/>
    <w:rsid w:val="38A52557"/>
    <w:rsid w:val="38C185C0"/>
    <w:rsid w:val="38C29A62"/>
    <w:rsid w:val="38D45C28"/>
    <w:rsid w:val="38F470AF"/>
    <w:rsid w:val="3902DABC"/>
    <w:rsid w:val="3904A323"/>
    <w:rsid w:val="393B25EA"/>
    <w:rsid w:val="396758B4"/>
    <w:rsid w:val="3980F530"/>
    <w:rsid w:val="39A11EE6"/>
    <w:rsid w:val="39AA5A21"/>
    <w:rsid w:val="39F0B1D7"/>
    <w:rsid w:val="39FF9E9C"/>
    <w:rsid w:val="3A033899"/>
    <w:rsid w:val="3A0413D2"/>
    <w:rsid w:val="3A1D917F"/>
    <w:rsid w:val="3A213173"/>
    <w:rsid w:val="3A3C0E9E"/>
    <w:rsid w:val="3A528D82"/>
    <w:rsid w:val="3A63DB24"/>
    <w:rsid w:val="3A6884A6"/>
    <w:rsid w:val="3A74FD66"/>
    <w:rsid w:val="3A8D3F9A"/>
    <w:rsid w:val="3A9B9101"/>
    <w:rsid w:val="3AAE30AA"/>
    <w:rsid w:val="3AB7B459"/>
    <w:rsid w:val="3ABCF7AB"/>
    <w:rsid w:val="3AC11C55"/>
    <w:rsid w:val="3B2EF856"/>
    <w:rsid w:val="3B2FCD9C"/>
    <w:rsid w:val="3B35080D"/>
    <w:rsid w:val="3B3773B8"/>
    <w:rsid w:val="3B3E5A5B"/>
    <w:rsid w:val="3B4C8C84"/>
    <w:rsid w:val="3B6149E8"/>
    <w:rsid w:val="3B638639"/>
    <w:rsid w:val="3B9AF80A"/>
    <w:rsid w:val="3BA2755E"/>
    <w:rsid w:val="3BB07B3F"/>
    <w:rsid w:val="3BC7A7CF"/>
    <w:rsid w:val="3BC7B307"/>
    <w:rsid w:val="3BE854E8"/>
    <w:rsid w:val="3C0E0EF9"/>
    <w:rsid w:val="3C33016B"/>
    <w:rsid w:val="3C34AD3B"/>
    <w:rsid w:val="3C370FE3"/>
    <w:rsid w:val="3C3F1E13"/>
    <w:rsid w:val="3C5C26BD"/>
    <w:rsid w:val="3C8FF73F"/>
    <w:rsid w:val="3CC06EF3"/>
    <w:rsid w:val="3CD0227F"/>
    <w:rsid w:val="3D013B36"/>
    <w:rsid w:val="3D2AFC16"/>
    <w:rsid w:val="3D489884"/>
    <w:rsid w:val="3D6A5E93"/>
    <w:rsid w:val="3D6B6FF1"/>
    <w:rsid w:val="3D75EFE8"/>
    <w:rsid w:val="3DA33978"/>
    <w:rsid w:val="3DCCFFD0"/>
    <w:rsid w:val="3DE2B752"/>
    <w:rsid w:val="3DE487FC"/>
    <w:rsid w:val="3DF00E31"/>
    <w:rsid w:val="3E02282B"/>
    <w:rsid w:val="3E268915"/>
    <w:rsid w:val="3E2DE746"/>
    <w:rsid w:val="3E4AC006"/>
    <w:rsid w:val="3E6491D7"/>
    <w:rsid w:val="3E66AB69"/>
    <w:rsid w:val="3E83EA3D"/>
    <w:rsid w:val="3E999E48"/>
    <w:rsid w:val="3E99A140"/>
    <w:rsid w:val="3EB73D4E"/>
    <w:rsid w:val="3EE468E5"/>
    <w:rsid w:val="3EFB719C"/>
    <w:rsid w:val="3F14CC27"/>
    <w:rsid w:val="3F201C51"/>
    <w:rsid w:val="3F2C9E3B"/>
    <w:rsid w:val="3F35518A"/>
    <w:rsid w:val="3F5760F4"/>
    <w:rsid w:val="3F5B277A"/>
    <w:rsid w:val="3F675EA7"/>
    <w:rsid w:val="3F6D8189"/>
    <w:rsid w:val="3F7A7A4C"/>
    <w:rsid w:val="3FBD7F54"/>
    <w:rsid w:val="3FC0C7CB"/>
    <w:rsid w:val="3FC224D5"/>
    <w:rsid w:val="3FD15E61"/>
    <w:rsid w:val="3FECB2E6"/>
    <w:rsid w:val="40259A19"/>
    <w:rsid w:val="40457D71"/>
    <w:rsid w:val="40505EC7"/>
    <w:rsid w:val="406FE733"/>
    <w:rsid w:val="40706681"/>
    <w:rsid w:val="407DBC63"/>
    <w:rsid w:val="408E2FD8"/>
    <w:rsid w:val="40E2CC30"/>
    <w:rsid w:val="40E9FAA6"/>
    <w:rsid w:val="41175EE2"/>
    <w:rsid w:val="41626BD6"/>
    <w:rsid w:val="417AD9BB"/>
    <w:rsid w:val="4187BC42"/>
    <w:rsid w:val="419E2A81"/>
    <w:rsid w:val="41A8958E"/>
    <w:rsid w:val="41E2D7F0"/>
    <w:rsid w:val="41F15ADC"/>
    <w:rsid w:val="41F3791D"/>
    <w:rsid w:val="41F84429"/>
    <w:rsid w:val="421837BD"/>
    <w:rsid w:val="421EA031"/>
    <w:rsid w:val="4236148B"/>
    <w:rsid w:val="42401C21"/>
    <w:rsid w:val="4263929F"/>
    <w:rsid w:val="42A792A0"/>
    <w:rsid w:val="42C6B00E"/>
    <w:rsid w:val="42D38882"/>
    <w:rsid w:val="431EE0DB"/>
    <w:rsid w:val="4349702C"/>
    <w:rsid w:val="4355C381"/>
    <w:rsid w:val="4358B185"/>
    <w:rsid w:val="438EBB08"/>
    <w:rsid w:val="439C4B62"/>
    <w:rsid w:val="43A6C2D9"/>
    <w:rsid w:val="43BD325A"/>
    <w:rsid w:val="43E0337C"/>
    <w:rsid w:val="43E997FB"/>
    <w:rsid w:val="43F02E9A"/>
    <w:rsid w:val="43F04AE8"/>
    <w:rsid w:val="43F15ABA"/>
    <w:rsid w:val="43F69854"/>
    <w:rsid w:val="444EF952"/>
    <w:rsid w:val="445F9F87"/>
    <w:rsid w:val="44715C06"/>
    <w:rsid w:val="44847EDC"/>
    <w:rsid w:val="4497192E"/>
    <w:rsid w:val="44B059CB"/>
    <w:rsid w:val="44BEA0CB"/>
    <w:rsid w:val="44CA06C2"/>
    <w:rsid w:val="44F14022"/>
    <w:rsid w:val="44F2EA15"/>
    <w:rsid w:val="44F7A78A"/>
    <w:rsid w:val="4514318D"/>
    <w:rsid w:val="45462DB7"/>
    <w:rsid w:val="45700562"/>
    <w:rsid w:val="4579C3A1"/>
    <w:rsid w:val="457A99E7"/>
    <w:rsid w:val="460034A5"/>
    <w:rsid w:val="4623901D"/>
    <w:rsid w:val="46571EEA"/>
    <w:rsid w:val="467271DA"/>
    <w:rsid w:val="46838797"/>
    <w:rsid w:val="468ACB37"/>
    <w:rsid w:val="46D60A18"/>
    <w:rsid w:val="46F21154"/>
    <w:rsid w:val="470985AF"/>
    <w:rsid w:val="470ADF28"/>
    <w:rsid w:val="4725F62E"/>
    <w:rsid w:val="4727B23B"/>
    <w:rsid w:val="4730770F"/>
    <w:rsid w:val="473D8054"/>
    <w:rsid w:val="478417B7"/>
    <w:rsid w:val="47C3B949"/>
    <w:rsid w:val="47D635B4"/>
    <w:rsid w:val="47E94D8B"/>
    <w:rsid w:val="47EA00A6"/>
    <w:rsid w:val="47F8225B"/>
    <w:rsid w:val="47F94033"/>
    <w:rsid w:val="48515C47"/>
    <w:rsid w:val="4873CD87"/>
    <w:rsid w:val="4893D54F"/>
    <w:rsid w:val="4896F3D3"/>
    <w:rsid w:val="48C7AB4D"/>
    <w:rsid w:val="48D782F0"/>
    <w:rsid w:val="48E0590C"/>
    <w:rsid w:val="48F8084B"/>
    <w:rsid w:val="490C4646"/>
    <w:rsid w:val="492C305B"/>
    <w:rsid w:val="492ED74C"/>
    <w:rsid w:val="4930E6DF"/>
    <w:rsid w:val="493D2F4C"/>
    <w:rsid w:val="49701A81"/>
    <w:rsid w:val="497C9F6A"/>
    <w:rsid w:val="49872AED"/>
    <w:rsid w:val="49ABBAC6"/>
    <w:rsid w:val="49B9949A"/>
    <w:rsid w:val="49EE17BD"/>
    <w:rsid w:val="49F2D80E"/>
    <w:rsid w:val="4A067CA5"/>
    <w:rsid w:val="4A1B5B59"/>
    <w:rsid w:val="4A23A348"/>
    <w:rsid w:val="4A2890B9"/>
    <w:rsid w:val="4A388DC4"/>
    <w:rsid w:val="4A59A93C"/>
    <w:rsid w:val="4A60B83A"/>
    <w:rsid w:val="4A633C1C"/>
    <w:rsid w:val="4A845B57"/>
    <w:rsid w:val="4A8F050A"/>
    <w:rsid w:val="4AAD2A96"/>
    <w:rsid w:val="4ACD7675"/>
    <w:rsid w:val="4AF23053"/>
    <w:rsid w:val="4B228E0D"/>
    <w:rsid w:val="4B3C646D"/>
    <w:rsid w:val="4B56E702"/>
    <w:rsid w:val="4B59D848"/>
    <w:rsid w:val="4B68D54E"/>
    <w:rsid w:val="4BA241BA"/>
    <w:rsid w:val="4BAC0C87"/>
    <w:rsid w:val="4BC9EFD7"/>
    <w:rsid w:val="4BEEBB48"/>
    <w:rsid w:val="4C05E003"/>
    <w:rsid w:val="4C1D87C3"/>
    <w:rsid w:val="4C4BC0F5"/>
    <w:rsid w:val="4C6EC888"/>
    <w:rsid w:val="4C7D279B"/>
    <w:rsid w:val="4C9A3196"/>
    <w:rsid w:val="4CC93102"/>
    <w:rsid w:val="4CD2085E"/>
    <w:rsid w:val="4CDC4FB1"/>
    <w:rsid w:val="4D2A8315"/>
    <w:rsid w:val="4D69EFC3"/>
    <w:rsid w:val="4D735177"/>
    <w:rsid w:val="4D76748A"/>
    <w:rsid w:val="4D77EF2B"/>
    <w:rsid w:val="4D7A61FE"/>
    <w:rsid w:val="4D86179D"/>
    <w:rsid w:val="4D992F63"/>
    <w:rsid w:val="4DEB7F76"/>
    <w:rsid w:val="4DFFAF27"/>
    <w:rsid w:val="4E197A6F"/>
    <w:rsid w:val="4E56E4CC"/>
    <w:rsid w:val="4E6131A3"/>
    <w:rsid w:val="4EA62435"/>
    <w:rsid w:val="4EAC3FDE"/>
    <w:rsid w:val="4ECCEDE3"/>
    <w:rsid w:val="4ED21429"/>
    <w:rsid w:val="4ED4AA62"/>
    <w:rsid w:val="4EDD97EC"/>
    <w:rsid w:val="4EE66897"/>
    <w:rsid w:val="4F0B8541"/>
    <w:rsid w:val="4F1D1CCC"/>
    <w:rsid w:val="4F1EC124"/>
    <w:rsid w:val="4F2EE6D7"/>
    <w:rsid w:val="4F30B7D1"/>
    <w:rsid w:val="4F403947"/>
    <w:rsid w:val="4F5A1337"/>
    <w:rsid w:val="4F69FA24"/>
    <w:rsid w:val="4F73395F"/>
    <w:rsid w:val="4F9D77DB"/>
    <w:rsid w:val="4FA490F2"/>
    <w:rsid w:val="4FB8EA06"/>
    <w:rsid w:val="4FC630B5"/>
    <w:rsid w:val="4FC85E12"/>
    <w:rsid w:val="4FDC3106"/>
    <w:rsid w:val="4FEA1BF1"/>
    <w:rsid w:val="4FF70A70"/>
    <w:rsid w:val="4FFE156C"/>
    <w:rsid w:val="5009DC6D"/>
    <w:rsid w:val="50342936"/>
    <w:rsid w:val="50626571"/>
    <w:rsid w:val="5082DB89"/>
    <w:rsid w:val="508CF97D"/>
    <w:rsid w:val="5091DEE0"/>
    <w:rsid w:val="50AD82C0"/>
    <w:rsid w:val="50C3ED80"/>
    <w:rsid w:val="50DCD95B"/>
    <w:rsid w:val="510397F4"/>
    <w:rsid w:val="5111E12A"/>
    <w:rsid w:val="5123B305"/>
    <w:rsid w:val="5131CFB0"/>
    <w:rsid w:val="515162E5"/>
    <w:rsid w:val="516CAD51"/>
    <w:rsid w:val="5176E82F"/>
    <w:rsid w:val="517E9D3C"/>
    <w:rsid w:val="51972DB5"/>
    <w:rsid w:val="519B8310"/>
    <w:rsid w:val="51ACF33D"/>
    <w:rsid w:val="51EB53FA"/>
    <w:rsid w:val="51EC36CC"/>
    <w:rsid w:val="52162CCB"/>
    <w:rsid w:val="521D89B9"/>
    <w:rsid w:val="523B4FC1"/>
    <w:rsid w:val="5291A929"/>
    <w:rsid w:val="529260FF"/>
    <w:rsid w:val="52ABAC4E"/>
    <w:rsid w:val="52CA9A73"/>
    <w:rsid w:val="52EF98F2"/>
    <w:rsid w:val="52F1AF7C"/>
    <w:rsid w:val="52F38800"/>
    <w:rsid w:val="531FD97F"/>
    <w:rsid w:val="5342D9DE"/>
    <w:rsid w:val="5348F737"/>
    <w:rsid w:val="534DC1C7"/>
    <w:rsid w:val="5350CFA5"/>
    <w:rsid w:val="5350ED59"/>
    <w:rsid w:val="5354F8F0"/>
    <w:rsid w:val="53580C32"/>
    <w:rsid w:val="535C1B57"/>
    <w:rsid w:val="53843CB3"/>
    <w:rsid w:val="5387A69E"/>
    <w:rsid w:val="539D039A"/>
    <w:rsid w:val="53C60DB1"/>
    <w:rsid w:val="540304BC"/>
    <w:rsid w:val="540CAB80"/>
    <w:rsid w:val="54818736"/>
    <w:rsid w:val="5492B9E5"/>
    <w:rsid w:val="54B220D7"/>
    <w:rsid w:val="54C629F1"/>
    <w:rsid w:val="54C84BFB"/>
    <w:rsid w:val="54CDB204"/>
    <w:rsid w:val="55088E3F"/>
    <w:rsid w:val="552151D5"/>
    <w:rsid w:val="5575220E"/>
    <w:rsid w:val="557B915B"/>
    <w:rsid w:val="557E5C3E"/>
    <w:rsid w:val="55BC7CD4"/>
    <w:rsid w:val="55C0DFA4"/>
    <w:rsid w:val="55C520E9"/>
    <w:rsid w:val="55CA01C1"/>
    <w:rsid w:val="55D851FF"/>
    <w:rsid w:val="56367992"/>
    <w:rsid w:val="5646FF53"/>
    <w:rsid w:val="567AE0EE"/>
    <w:rsid w:val="567EFE14"/>
    <w:rsid w:val="56EE72C1"/>
    <w:rsid w:val="570CD469"/>
    <w:rsid w:val="5731829D"/>
    <w:rsid w:val="575CEB86"/>
    <w:rsid w:val="57888976"/>
    <w:rsid w:val="57A151CA"/>
    <w:rsid w:val="57C2B261"/>
    <w:rsid w:val="58257C5F"/>
    <w:rsid w:val="58509A41"/>
    <w:rsid w:val="5891C34B"/>
    <w:rsid w:val="58946570"/>
    <w:rsid w:val="58956444"/>
    <w:rsid w:val="5898256F"/>
    <w:rsid w:val="589EEDE0"/>
    <w:rsid w:val="58A40738"/>
    <w:rsid w:val="58AD1906"/>
    <w:rsid w:val="58CCAE8C"/>
    <w:rsid w:val="58CDBAE1"/>
    <w:rsid w:val="591FE37D"/>
    <w:rsid w:val="594F784A"/>
    <w:rsid w:val="596D8B5F"/>
    <w:rsid w:val="596E3FCE"/>
    <w:rsid w:val="5983C4A0"/>
    <w:rsid w:val="598852FC"/>
    <w:rsid w:val="599D6FA9"/>
    <w:rsid w:val="59B67AA5"/>
    <w:rsid w:val="59F072FF"/>
    <w:rsid w:val="5A06DAFF"/>
    <w:rsid w:val="5A4A0725"/>
    <w:rsid w:val="5A6160F7"/>
    <w:rsid w:val="5A9D6722"/>
    <w:rsid w:val="5AA4EBA2"/>
    <w:rsid w:val="5AA5FAD6"/>
    <w:rsid w:val="5AAB729E"/>
    <w:rsid w:val="5AB53A7B"/>
    <w:rsid w:val="5AE360E4"/>
    <w:rsid w:val="5B171526"/>
    <w:rsid w:val="5B781B75"/>
    <w:rsid w:val="5B8874F5"/>
    <w:rsid w:val="5B91649D"/>
    <w:rsid w:val="5B91AF2D"/>
    <w:rsid w:val="5B9BED7F"/>
    <w:rsid w:val="5BB2935F"/>
    <w:rsid w:val="5BB5B798"/>
    <w:rsid w:val="5BE109FE"/>
    <w:rsid w:val="5C2AE65A"/>
    <w:rsid w:val="5C408505"/>
    <w:rsid w:val="5C56BB66"/>
    <w:rsid w:val="5C76218F"/>
    <w:rsid w:val="5CB1FF28"/>
    <w:rsid w:val="5CB78A6A"/>
    <w:rsid w:val="5CC225D5"/>
    <w:rsid w:val="5CCF6934"/>
    <w:rsid w:val="5D066D87"/>
    <w:rsid w:val="5D32CDD7"/>
    <w:rsid w:val="5D439A27"/>
    <w:rsid w:val="5D8420DC"/>
    <w:rsid w:val="5E03C5C6"/>
    <w:rsid w:val="5E1D9C37"/>
    <w:rsid w:val="5E3CBF08"/>
    <w:rsid w:val="5E3DBDA8"/>
    <w:rsid w:val="5E5033E1"/>
    <w:rsid w:val="5E518FDD"/>
    <w:rsid w:val="5E5322C2"/>
    <w:rsid w:val="5E68C48C"/>
    <w:rsid w:val="5E7A476F"/>
    <w:rsid w:val="5E936C2C"/>
    <w:rsid w:val="5E96870F"/>
    <w:rsid w:val="5EAABD1F"/>
    <w:rsid w:val="5EB1F941"/>
    <w:rsid w:val="5EB2BDA6"/>
    <w:rsid w:val="5EB7E796"/>
    <w:rsid w:val="5EBF38B8"/>
    <w:rsid w:val="5EF0BC3D"/>
    <w:rsid w:val="5F1AE873"/>
    <w:rsid w:val="5F1B3489"/>
    <w:rsid w:val="5F1F8AB7"/>
    <w:rsid w:val="5F57E9ED"/>
    <w:rsid w:val="5F5E776C"/>
    <w:rsid w:val="5F935266"/>
    <w:rsid w:val="5FA0F9E9"/>
    <w:rsid w:val="5FA3BB2C"/>
    <w:rsid w:val="5FC1442E"/>
    <w:rsid w:val="5FCFBC5A"/>
    <w:rsid w:val="5FDB0A7E"/>
    <w:rsid w:val="5FDE07D9"/>
    <w:rsid w:val="5FEA3363"/>
    <w:rsid w:val="5FF1BA2C"/>
    <w:rsid w:val="5FFD3467"/>
    <w:rsid w:val="5FFE922D"/>
    <w:rsid w:val="6041939F"/>
    <w:rsid w:val="605F22AD"/>
    <w:rsid w:val="6064054A"/>
    <w:rsid w:val="60BFAFCB"/>
    <w:rsid w:val="61042EBC"/>
    <w:rsid w:val="6117FD89"/>
    <w:rsid w:val="616A4585"/>
    <w:rsid w:val="617397D1"/>
    <w:rsid w:val="618180AD"/>
    <w:rsid w:val="6187D467"/>
    <w:rsid w:val="61921D60"/>
    <w:rsid w:val="61A355DE"/>
    <w:rsid w:val="61C1E34C"/>
    <w:rsid w:val="61E903FF"/>
    <w:rsid w:val="61ECF932"/>
    <w:rsid w:val="623084C3"/>
    <w:rsid w:val="624376B7"/>
    <w:rsid w:val="6248277A"/>
    <w:rsid w:val="6250434A"/>
    <w:rsid w:val="627C0357"/>
    <w:rsid w:val="6290250B"/>
    <w:rsid w:val="62B3AA01"/>
    <w:rsid w:val="62BB4FC3"/>
    <w:rsid w:val="62BC9E5D"/>
    <w:rsid w:val="62C0818A"/>
    <w:rsid w:val="62F850EB"/>
    <w:rsid w:val="6300F8B9"/>
    <w:rsid w:val="6315DFD7"/>
    <w:rsid w:val="631A3CE2"/>
    <w:rsid w:val="63219880"/>
    <w:rsid w:val="632C12B1"/>
    <w:rsid w:val="632C3472"/>
    <w:rsid w:val="632C9211"/>
    <w:rsid w:val="63500771"/>
    <w:rsid w:val="63740A53"/>
    <w:rsid w:val="63803DC5"/>
    <w:rsid w:val="63844988"/>
    <w:rsid w:val="63DCEECA"/>
    <w:rsid w:val="63EA3E56"/>
    <w:rsid w:val="6410CF93"/>
    <w:rsid w:val="64235EB6"/>
    <w:rsid w:val="642CE20C"/>
    <w:rsid w:val="6431C170"/>
    <w:rsid w:val="64365DE3"/>
    <w:rsid w:val="6445D3B6"/>
    <w:rsid w:val="6445F8A6"/>
    <w:rsid w:val="64487286"/>
    <w:rsid w:val="64621704"/>
    <w:rsid w:val="647830B8"/>
    <w:rsid w:val="648C885F"/>
    <w:rsid w:val="64AA8F7E"/>
    <w:rsid w:val="64D5BDF9"/>
    <w:rsid w:val="64D713B6"/>
    <w:rsid w:val="65032203"/>
    <w:rsid w:val="6509F378"/>
    <w:rsid w:val="6523D51B"/>
    <w:rsid w:val="655E68B3"/>
    <w:rsid w:val="6584B1A4"/>
    <w:rsid w:val="65A39EDB"/>
    <w:rsid w:val="65BE7F9F"/>
    <w:rsid w:val="65DF2DCF"/>
    <w:rsid w:val="6629521B"/>
    <w:rsid w:val="6640F73C"/>
    <w:rsid w:val="665BDDAC"/>
    <w:rsid w:val="66A4A818"/>
    <w:rsid w:val="66BCCF29"/>
    <w:rsid w:val="66D00BB9"/>
    <w:rsid w:val="66DB67F7"/>
    <w:rsid w:val="66E89BD2"/>
    <w:rsid w:val="66F1C26E"/>
    <w:rsid w:val="672C294C"/>
    <w:rsid w:val="67443A1D"/>
    <w:rsid w:val="6752A319"/>
    <w:rsid w:val="6754029F"/>
    <w:rsid w:val="6765D500"/>
    <w:rsid w:val="6766EB8C"/>
    <w:rsid w:val="678A7A10"/>
    <w:rsid w:val="67A0F8F0"/>
    <w:rsid w:val="67AFFF99"/>
    <w:rsid w:val="67C1B276"/>
    <w:rsid w:val="67C407EA"/>
    <w:rsid w:val="67DFE0D9"/>
    <w:rsid w:val="681E5A6A"/>
    <w:rsid w:val="683E78A0"/>
    <w:rsid w:val="68418C70"/>
    <w:rsid w:val="687E65E2"/>
    <w:rsid w:val="688B0823"/>
    <w:rsid w:val="68A0432F"/>
    <w:rsid w:val="68BA25F2"/>
    <w:rsid w:val="68C13CEF"/>
    <w:rsid w:val="68CEF5E8"/>
    <w:rsid w:val="68D4EB06"/>
    <w:rsid w:val="68EA1404"/>
    <w:rsid w:val="6909E60A"/>
    <w:rsid w:val="691FB3D3"/>
    <w:rsid w:val="691FE9C3"/>
    <w:rsid w:val="695486A4"/>
    <w:rsid w:val="69B0D584"/>
    <w:rsid w:val="69CA18C6"/>
    <w:rsid w:val="69FD2571"/>
    <w:rsid w:val="69FD6210"/>
    <w:rsid w:val="6A39CE11"/>
    <w:rsid w:val="6A4E6404"/>
    <w:rsid w:val="6A6B6702"/>
    <w:rsid w:val="6A75FF2F"/>
    <w:rsid w:val="6A9716B1"/>
    <w:rsid w:val="6A9FE216"/>
    <w:rsid w:val="6AA8CF63"/>
    <w:rsid w:val="6ACB936F"/>
    <w:rsid w:val="6ADA84D6"/>
    <w:rsid w:val="6AE5D396"/>
    <w:rsid w:val="6B0B807E"/>
    <w:rsid w:val="6B7071B8"/>
    <w:rsid w:val="6B80F2E6"/>
    <w:rsid w:val="6B8451DC"/>
    <w:rsid w:val="6B895985"/>
    <w:rsid w:val="6B8A8AD1"/>
    <w:rsid w:val="6B9472F0"/>
    <w:rsid w:val="6B9C19DA"/>
    <w:rsid w:val="6C155EFC"/>
    <w:rsid w:val="6C273439"/>
    <w:rsid w:val="6C2AFAFB"/>
    <w:rsid w:val="6C3D7F90"/>
    <w:rsid w:val="6C59067B"/>
    <w:rsid w:val="6C5DF5F0"/>
    <w:rsid w:val="6C6CD2CC"/>
    <w:rsid w:val="6C8C4C06"/>
    <w:rsid w:val="6CB0EAF4"/>
    <w:rsid w:val="6CB136FD"/>
    <w:rsid w:val="6CC657E5"/>
    <w:rsid w:val="6D02726C"/>
    <w:rsid w:val="6D1A4A95"/>
    <w:rsid w:val="6D1C8446"/>
    <w:rsid w:val="6D206744"/>
    <w:rsid w:val="6D2F2142"/>
    <w:rsid w:val="6D4C66E6"/>
    <w:rsid w:val="6D603376"/>
    <w:rsid w:val="6D62A95A"/>
    <w:rsid w:val="6D7D5D38"/>
    <w:rsid w:val="6DAC8634"/>
    <w:rsid w:val="6DEAD55D"/>
    <w:rsid w:val="6E02F548"/>
    <w:rsid w:val="6E0393D7"/>
    <w:rsid w:val="6E497F93"/>
    <w:rsid w:val="6E5A5AD0"/>
    <w:rsid w:val="6E702288"/>
    <w:rsid w:val="6EA367A4"/>
    <w:rsid w:val="6EBEAE7C"/>
    <w:rsid w:val="6EE641F5"/>
    <w:rsid w:val="6EFE172D"/>
    <w:rsid w:val="6F166E6C"/>
    <w:rsid w:val="6F17BF3A"/>
    <w:rsid w:val="6F3A62BB"/>
    <w:rsid w:val="6F3C6C39"/>
    <w:rsid w:val="6F5439D6"/>
    <w:rsid w:val="6F76AACD"/>
    <w:rsid w:val="6F885497"/>
    <w:rsid w:val="6FCF1FE3"/>
    <w:rsid w:val="70036DD6"/>
    <w:rsid w:val="704A4004"/>
    <w:rsid w:val="708F3D4E"/>
    <w:rsid w:val="70C78BFC"/>
    <w:rsid w:val="70CC1A1E"/>
    <w:rsid w:val="713ED651"/>
    <w:rsid w:val="7142C279"/>
    <w:rsid w:val="714AF2AF"/>
    <w:rsid w:val="715499F1"/>
    <w:rsid w:val="717CF5BD"/>
    <w:rsid w:val="71A7C34A"/>
    <w:rsid w:val="71BB157D"/>
    <w:rsid w:val="71C99060"/>
    <w:rsid w:val="71CB5C0E"/>
    <w:rsid w:val="71CD92D9"/>
    <w:rsid w:val="71D7A4FA"/>
    <w:rsid w:val="71F17042"/>
    <w:rsid w:val="722E97E6"/>
    <w:rsid w:val="72408929"/>
    <w:rsid w:val="726BD175"/>
    <w:rsid w:val="726F1768"/>
    <w:rsid w:val="7291BBDC"/>
    <w:rsid w:val="729DA0BC"/>
    <w:rsid w:val="72C60AA7"/>
    <w:rsid w:val="731F0F65"/>
    <w:rsid w:val="734393AB"/>
    <w:rsid w:val="734905B1"/>
    <w:rsid w:val="73642953"/>
    <w:rsid w:val="737B31DE"/>
    <w:rsid w:val="738A1DAB"/>
    <w:rsid w:val="73976C39"/>
    <w:rsid w:val="739C8C9D"/>
    <w:rsid w:val="73A609E1"/>
    <w:rsid w:val="7404066F"/>
    <w:rsid w:val="74169109"/>
    <w:rsid w:val="74531EAF"/>
    <w:rsid w:val="7454A596"/>
    <w:rsid w:val="74735F82"/>
    <w:rsid w:val="7491B4B9"/>
    <w:rsid w:val="74B4F20B"/>
    <w:rsid w:val="74C70E08"/>
    <w:rsid w:val="74CE470D"/>
    <w:rsid w:val="74DBC48E"/>
    <w:rsid w:val="74EBD1B4"/>
    <w:rsid w:val="74FD924E"/>
    <w:rsid w:val="7524CD4B"/>
    <w:rsid w:val="753F7338"/>
    <w:rsid w:val="75CC9F69"/>
    <w:rsid w:val="75ED168B"/>
    <w:rsid w:val="75FCDCF0"/>
    <w:rsid w:val="760E28BE"/>
    <w:rsid w:val="76115F58"/>
    <w:rsid w:val="76457CE3"/>
    <w:rsid w:val="76502772"/>
    <w:rsid w:val="76676297"/>
    <w:rsid w:val="769BBFFD"/>
    <w:rsid w:val="76A4CDE3"/>
    <w:rsid w:val="76C7B999"/>
    <w:rsid w:val="76FEF1B2"/>
    <w:rsid w:val="770F071F"/>
    <w:rsid w:val="77104A0A"/>
    <w:rsid w:val="7728F82E"/>
    <w:rsid w:val="7752FC10"/>
    <w:rsid w:val="775A3383"/>
    <w:rsid w:val="776A5A7D"/>
    <w:rsid w:val="776EF760"/>
    <w:rsid w:val="77A1A963"/>
    <w:rsid w:val="77AAAB42"/>
    <w:rsid w:val="77AE292F"/>
    <w:rsid w:val="77DA0DE3"/>
    <w:rsid w:val="77DDA979"/>
    <w:rsid w:val="77DE73AC"/>
    <w:rsid w:val="77E93B63"/>
    <w:rsid w:val="77F94BA7"/>
    <w:rsid w:val="78075866"/>
    <w:rsid w:val="78624CD4"/>
    <w:rsid w:val="78965249"/>
    <w:rsid w:val="78991791"/>
    <w:rsid w:val="78A486DE"/>
    <w:rsid w:val="78A7829E"/>
    <w:rsid w:val="78DD2800"/>
    <w:rsid w:val="79193722"/>
    <w:rsid w:val="7927178A"/>
    <w:rsid w:val="794AF816"/>
    <w:rsid w:val="795FD843"/>
    <w:rsid w:val="798270CC"/>
    <w:rsid w:val="798F1B19"/>
    <w:rsid w:val="7999B5AE"/>
    <w:rsid w:val="79B2E683"/>
    <w:rsid w:val="79DFB5B2"/>
    <w:rsid w:val="7A0D75C9"/>
    <w:rsid w:val="7A1E6E5E"/>
    <w:rsid w:val="7A300C50"/>
    <w:rsid w:val="7A4CB98E"/>
    <w:rsid w:val="7A61631D"/>
    <w:rsid w:val="7A7AA860"/>
    <w:rsid w:val="7A9261AB"/>
    <w:rsid w:val="7AA2E1EE"/>
    <w:rsid w:val="7AA69822"/>
    <w:rsid w:val="7AC88B00"/>
    <w:rsid w:val="7AC8F2C4"/>
    <w:rsid w:val="7AE78C2B"/>
    <w:rsid w:val="7AE9A4BF"/>
    <w:rsid w:val="7B1AB96C"/>
    <w:rsid w:val="7B24953A"/>
    <w:rsid w:val="7B3B268E"/>
    <w:rsid w:val="7B6FDBA2"/>
    <w:rsid w:val="7BCF7ACD"/>
    <w:rsid w:val="7BD67821"/>
    <w:rsid w:val="7C04080A"/>
    <w:rsid w:val="7C08709F"/>
    <w:rsid w:val="7C0E6939"/>
    <w:rsid w:val="7C1E7182"/>
    <w:rsid w:val="7C5A5CBC"/>
    <w:rsid w:val="7C63CE16"/>
    <w:rsid w:val="7C941E97"/>
    <w:rsid w:val="7CAB533B"/>
    <w:rsid w:val="7CAC91DA"/>
    <w:rsid w:val="7CE5C06C"/>
    <w:rsid w:val="7CFC692A"/>
    <w:rsid w:val="7D0DA451"/>
    <w:rsid w:val="7D1540EF"/>
    <w:rsid w:val="7D311E5C"/>
    <w:rsid w:val="7D31A1E8"/>
    <w:rsid w:val="7D39C951"/>
    <w:rsid w:val="7D4087B1"/>
    <w:rsid w:val="7D6EE113"/>
    <w:rsid w:val="7D75B12E"/>
    <w:rsid w:val="7DBF207D"/>
    <w:rsid w:val="7DC195F5"/>
    <w:rsid w:val="7DC6FA09"/>
    <w:rsid w:val="7E04238F"/>
    <w:rsid w:val="7E11C710"/>
    <w:rsid w:val="7E1B2D45"/>
    <w:rsid w:val="7E206854"/>
    <w:rsid w:val="7E32346F"/>
    <w:rsid w:val="7E43B121"/>
    <w:rsid w:val="7E784BD0"/>
    <w:rsid w:val="7EA43440"/>
    <w:rsid w:val="7EAF0893"/>
    <w:rsid w:val="7F5687B1"/>
    <w:rsid w:val="7F5C9DDA"/>
    <w:rsid w:val="7F604B0D"/>
    <w:rsid w:val="7F67311F"/>
    <w:rsid w:val="7F824A12"/>
    <w:rsid w:val="7F8CF323"/>
    <w:rsid w:val="7FBF1E87"/>
    <w:rsid w:val="7FC055E8"/>
    <w:rsid w:val="7FC52215"/>
    <w:rsid w:val="7FF67F1F"/>
    <w:rsid w:val="7FFEE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CB8E6"/>
  <w15:docId w15:val="{F3FF14AD-1B0D-43AA-9896-A1F8E1BC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4"/>
        <w:szCs w:val="24"/>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6B5"/>
  </w:style>
  <w:style w:type="paragraph" w:styleId="Heading1">
    <w:name w:val="heading 1"/>
    <w:basedOn w:val="Normal"/>
    <w:link w:val="Heading1Char"/>
    <w:uiPriority w:val="9"/>
    <w:qFormat/>
    <w:rsid w:val="0029519D"/>
    <w:pPr>
      <w:shd w:val="clear" w:color="auto" w:fill="DBE5F1" w:themeFill="accent1" w:themeFillTint="33"/>
      <w:spacing w:line="251" w:lineRule="exact"/>
      <w:ind w:left="2160" w:right="2480"/>
      <w:jc w:val="center"/>
      <w:outlineLvl w:val="0"/>
    </w:pPr>
    <w:rPr>
      <w:rFonts w:asciiTheme="minorHAnsi" w:hAnsiTheme="minorHAnsi"/>
      <w:b/>
      <w:bCs/>
    </w:rPr>
  </w:style>
  <w:style w:type="paragraph" w:styleId="Heading2">
    <w:name w:val="heading 2"/>
    <w:basedOn w:val="Heading1"/>
    <w:uiPriority w:val="9"/>
    <w:unhideWhenUsed/>
    <w:qFormat/>
    <w:rsid w:val="00923435"/>
    <w:pPr>
      <w:shd w:val="clear" w:color="auto" w:fill="auto"/>
      <w:ind w:left="0" w:right="10"/>
      <w:jc w:val="left"/>
      <w:outlineLvl w:val="1"/>
    </w:pPr>
    <w:rPr>
      <w:color w:val="1F497D"/>
      <w:sz w:val="28"/>
      <w:szCs w:val="28"/>
    </w:rPr>
  </w:style>
  <w:style w:type="paragraph" w:styleId="Heading3">
    <w:name w:val="heading 3"/>
    <w:basedOn w:val="Normal"/>
    <w:uiPriority w:val="9"/>
    <w:unhideWhenUsed/>
    <w:qFormat/>
    <w:pPr>
      <w:spacing w:line="279" w:lineRule="exact"/>
      <w:ind w:left="220"/>
      <w:outlineLvl w:val="2"/>
    </w:pPr>
    <w:rPr>
      <w:sz w:val="25"/>
      <w:szCs w:val="25"/>
    </w:rPr>
  </w:style>
  <w:style w:type="paragraph" w:styleId="Heading4">
    <w:name w:val="heading 4"/>
    <w:basedOn w:val="Normal"/>
    <w:uiPriority w:val="9"/>
    <w:unhideWhenUsed/>
    <w:qFormat/>
    <w:pPr>
      <w:spacing w:line="269" w:lineRule="exact"/>
      <w:ind w:left="2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6"/>
      <w:ind w:left="220"/>
    </w:pPr>
  </w:style>
  <w:style w:type="paragraph" w:styleId="BodyText">
    <w:name w:val="Body Text"/>
    <w:basedOn w:val="Normal"/>
    <w:link w:val="BodyTextChar"/>
    <w:uiPriority w:val="1"/>
    <w:qFormat/>
  </w:style>
  <w:style w:type="paragraph" w:styleId="ListParagraph">
    <w:name w:val="List Paragraph"/>
    <w:basedOn w:val="Normal"/>
    <w:link w:val="ListParagraphChar"/>
    <w:uiPriority w:val="34"/>
    <w:qFormat/>
    <w:pPr>
      <w:ind w:left="940" w:hanging="360"/>
    </w:pPr>
  </w:style>
  <w:style w:type="paragraph" w:customStyle="1" w:styleId="TableParagraph">
    <w:name w:val="Table Paragraph"/>
    <w:basedOn w:val="Normal"/>
    <w:uiPriority w:val="1"/>
    <w:qFormat/>
    <w:pPr>
      <w:ind w:left="107"/>
    </w:pPr>
  </w:style>
  <w:style w:type="paragraph" w:styleId="NoSpacing">
    <w:name w:val="No Spacing"/>
    <w:uiPriority w:val="1"/>
    <w:qFormat/>
    <w:rsid w:val="00DE2FE1"/>
    <w:rPr>
      <w:rFonts w:ascii="Garamond" w:eastAsia="Garamond" w:hAnsi="Garamond" w:cs="Garamond"/>
      <w:lang w:bidi="en-US"/>
    </w:rPr>
  </w:style>
  <w:style w:type="paragraph" w:styleId="FootnoteText">
    <w:name w:val="footnote text"/>
    <w:basedOn w:val="Normal"/>
    <w:link w:val="FootnoteTextChar"/>
    <w:uiPriority w:val="99"/>
    <w:unhideWhenUsed/>
    <w:rsid w:val="00C249D9"/>
    <w:rPr>
      <w:sz w:val="20"/>
    </w:rPr>
  </w:style>
  <w:style w:type="character" w:customStyle="1" w:styleId="FootnoteTextChar">
    <w:name w:val="Footnote Text Char"/>
    <w:basedOn w:val="DefaultParagraphFont"/>
    <w:link w:val="FootnoteText"/>
    <w:uiPriority w:val="99"/>
    <w:rsid w:val="00C249D9"/>
    <w:rPr>
      <w:rFonts w:ascii="Garamond" w:eastAsia="Garamond" w:hAnsi="Garamond" w:cs="Garamond"/>
      <w:sz w:val="20"/>
      <w:szCs w:val="20"/>
      <w:lang w:bidi="en-US"/>
    </w:rPr>
  </w:style>
  <w:style w:type="character" w:styleId="FootnoteReference">
    <w:name w:val="footnote reference"/>
    <w:basedOn w:val="DefaultParagraphFont"/>
    <w:uiPriority w:val="99"/>
    <w:unhideWhenUsed/>
    <w:rsid w:val="00C249D9"/>
    <w:rPr>
      <w:vertAlign w:val="superscript"/>
    </w:rPr>
  </w:style>
  <w:style w:type="character" w:styleId="Hyperlink">
    <w:name w:val="Hyperlink"/>
    <w:basedOn w:val="DefaultParagraphFont"/>
    <w:uiPriority w:val="99"/>
    <w:unhideWhenUsed/>
    <w:rsid w:val="0088053D"/>
    <w:rPr>
      <w:color w:val="0000FF" w:themeColor="hyperlink"/>
      <w:u w:val="single"/>
    </w:rPr>
  </w:style>
  <w:style w:type="character" w:styleId="UnresolvedMention">
    <w:name w:val="Unresolved Mention"/>
    <w:basedOn w:val="DefaultParagraphFont"/>
    <w:uiPriority w:val="99"/>
    <w:semiHidden/>
    <w:unhideWhenUsed/>
    <w:rsid w:val="0088053D"/>
    <w:rPr>
      <w:color w:val="605E5C"/>
      <w:shd w:val="clear" w:color="auto" w:fill="E1DFDD"/>
    </w:rPr>
  </w:style>
  <w:style w:type="table" w:styleId="TableGrid">
    <w:name w:val="Table Grid"/>
    <w:basedOn w:val="TableNormal"/>
    <w:uiPriority w:val="39"/>
    <w:rsid w:val="00D35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6332"/>
    <w:rPr>
      <w:sz w:val="16"/>
      <w:szCs w:val="16"/>
    </w:rPr>
  </w:style>
  <w:style w:type="paragraph" w:styleId="CommentText">
    <w:name w:val="annotation text"/>
    <w:basedOn w:val="Normal"/>
    <w:link w:val="CommentTextChar"/>
    <w:uiPriority w:val="99"/>
    <w:unhideWhenUsed/>
    <w:rsid w:val="00866332"/>
    <w:rPr>
      <w:sz w:val="20"/>
    </w:rPr>
  </w:style>
  <w:style w:type="character" w:customStyle="1" w:styleId="CommentTextChar">
    <w:name w:val="Comment Text Char"/>
    <w:basedOn w:val="DefaultParagraphFont"/>
    <w:link w:val="CommentText"/>
    <w:uiPriority w:val="99"/>
    <w:rsid w:val="00866332"/>
    <w:rPr>
      <w:rFonts w:ascii="Garamond" w:eastAsia="Garamond" w:hAnsi="Garamond" w:cs="Garamond"/>
      <w:sz w:val="20"/>
      <w:szCs w:val="20"/>
      <w:lang w:bidi="en-US"/>
    </w:rPr>
  </w:style>
  <w:style w:type="paragraph" w:styleId="CommentSubject">
    <w:name w:val="annotation subject"/>
    <w:basedOn w:val="CommentText"/>
    <w:next w:val="CommentText"/>
    <w:link w:val="CommentSubjectChar"/>
    <w:uiPriority w:val="99"/>
    <w:semiHidden/>
    <w:unhideWhenUsed/>
    <w:rsid w:val="00866332"/>
    <w:rPr>
      <w:b/>
      <w:bCs/>
    </w:rPr>
  </w:style>
  <w:style w:type="character" w:customStyle="1" w:styleId="CommentSubjectChar">
    <w:name w:val="Comment Subject Char"/>
    <w:basedOn w:val="CommentTextChar"/>
    <w:link w:val="CommentSubject"/>
    <w:uiPriority w:val="99"/>
    <w:semiHidden/>
    <w:rsid w:val="00866332"/>
    <w:rPr>
      <w:rFonts w:ascii="Garamond" w:eastAsia="Garamond" w:hAnsi="Garamond" w:cs="Garamond"/>
      <w:b/>
      <w:bCs/>
      <w:sz w:val="20"/>
      <w:szCs w:val="20"/>
      <w:lang w:bidi="en-US"/>
    </w:rPr>
  </w:style>
  <w:style w:type="paragraph" w:styleId="BalloonText">
    <w:name w:val="Balloon Text"/>
    <w:basedOn w:val="Normal"/>
    <w:link w:val="BalloonTextChar"/>
    <w:uiPriority w:val="99"/>
    <w:semiHidden/>
    <w:unhideWhenUsed/>
    <w:rsid w:val="008663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332"/>
    <w:rPr>
      <w:rFonts w:ascii="Segoe UI" w:eastAsia="Garamond" w:hAnsi="Segoe UI" w:cs="Segoe UI"/>
      <w:sz w:val="18"/>
      <w:szCs w:val="18"/>
      <w:lang w:bidi="en-US"/>
    </w:rPr>
  </w:style>
  <w:style w:type="paragraph" w:styleId="Header">
    <w:name w:val="header"/>
    <w:basedOn w:val="Normal"/>
    <w:link w:val="HeaderChar"/>
    <w:uiPriority w:val="99"/>
    <w:unhideWhenUsed/>
    <w:rsid w:val="00AB0EB7"/>
    <w:pPr>
      <w:tabs>
        <w:tab w:val="center" w:pos="4680"/>
        <w:tab w:val="right" w:pos="9360"/>
      </w:tabs>
    </w:pPr>
  </w:style>
  <w:style w:type="character" w:customStyle="1" w:styleId="HeaderChar">
    <w:name w:val="Header Char"/>
    <w:basedOn w:val="DefaultParagraphFont"/>
    <w:link w:val="Header"/>
    <w:uiPriority w:val="99"/>
    <w:rsid w:val="00AB0EB7"/>
    <w:rPr>
      <w:rFonts w:ascii="Garamond" w:eastAsia="Garamond" w:hAnsi="Garamond" w:cs="Garamond"/>
      <w:lang w:bidi="en-US"/>
    </w:rPr>
  </w:style>
  <w:style w:type="paragraph" w:styleId="Footer">
    <w:name w:val="footer"/>
    <w:basedOn w:val="Normal"/>
    <w:link w:val="FooterChar"/>
    <w:uiPriority w:val="99"/>
    <w:unhideWhenUsed/>
    <w:rsid w:val="00AB0EB7"/>
    <w:pPr>
      <w:tabs>
        <w:tab w:val="center" w:pos="4680"/>
        <w:tab w:val="right" w:pos="9360"/>
      </w:tabs>
    </w:pPr>
  </w:style>
  <w:style w:type="character" w:customStyle="1" w:styleId="FooterChar">
    <w:name w:val="Footer Char"/>
    <w:basedOn w:val="DefaultParagraphFont"/>
    <w:link w:val="Footer"/>
    <w:uiPriority w:val="99"/>
    <w:rsid w:val="00AB0EB7"/>
    <w:rPr>
      <w:rFonts w:ascii="Garamond" w:eastAsia="Garamond" w:hAnsi="Garamond" w:cs="Garamond"/>
      <w:lang w:bidi="en-US"/>
    </w:rPr>
  </w:style>
  <w:style w:type="paragraph" w:styleId="EndnoteText">
    <w:name w:val="endnote text"/>
    <w:basedOn w:val="Normal"/>
    <w:link w:val="EndnoteTextChar"/>
    <w:uiPriority w:val="99"/>
    <w:unhideWhenUsed/>
    <w:rsid w:val="00690C6E"/>
    <w:rPr>
      <w:sz w:val="20"/>
    </w:rPr>
  </w:style>
  <w:style w:type="character" w:customStyle="1" w:styleId="EndnoteTextChar">
    <w:name w:val="Endnote Text Char"/>
    <w:basedOn w:val="DefaultParagraphFont"/>
    <w:link w:val="EndnoteText"/>
    <w:uiPriority w:val="99"/>
    <w:rsid w:val="00690C6E"/>
    <w:rPr>
      <w:rFonts w:ascii="Garamond" w:eastAsia="Garamond" w:hAnsi="Garamond" w:cs="Garamond"/>
      <w:sz w:val="20"/>
      <w:szCs w:val="20"/>
      <w:lang w:bidi="en-US"/>
    </w:rPr>
  </w:style>
  <w:style w:type="character" w:styleId="EndnoteReference">
    <w:name w:val="endnote reference"/>
    <w:basedOn w:val="DefaultParagraphFont"/>
    <w:uiPriority w:val="99"/>
    <w:semiHidden/>
    <w:unhideWhenUsed/>
    <w:rsid w:val="00690C6E"/>
    <w:rPr>
      <w:vertAlign w:val="superscript"/>
    </w:rPr>
  </w:style>
  <w:style w:type="paragraph" w:styleId="TOCHeading">
    <w:name w:val="TOC Heading"/>
    <w:basedOn w:val="Heading1"/>
    <w:next w:val="Normal"/>
    <w:uiPriority w:val="39"/>
    <w:unhideWhenUsed/>
    <w:qFormat/>
    <w:rsid w:val="008650F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8650F2"/>
    <w:pPr>
      <w:spacing w:after="100"/>
      <w:ind w:left="220"/>
    </w:pPr>
  </w:style>
  <w:style w:type="paragraph" w:styleId="TOC3">
    <w:name w:val="toc 3"/>
    <w:basedOn w:val="Normal"/>
    <w:next w:val="Normal"/>
    <w:autoRedefine/>
    <w:uiPriority w:val="39"/>
    <w:unhideWhenUsed/>
    <w:rsid w:val="008650F2"/>
    <w:pPr>
      <w:spacing w:after="100"/>
      <w:ind w:left="440"/>
    </w:pPr>
  </w:style>
  <w:style w:type="character" w:customStyle="1" w:styleId="BodyTextChar">
    <w:name w:val="Body Text Char"/>
    <w:basedOn w:val="DefaultParagraphFont"/>
    <w:link w:val="BodyText"/>
    <w:uiPriority w:val="1"/>
    <w:rsid w:val="00B129E5"/>
    <w:rPr>
      <w:rFonts w:ascii="Garamond" w:eastAsia="Garamond" w:hAnsi="Garamond" w:cs="Garamond"/>
      <w:sz w:val="24"/>
      <w:szCs w:val="24"/>
      <w:lang w:bidi="en-US"/>
    </w:rPr>
  </w:style>
  <w:style w:type="paragraph" w:customStyle="1" w:styleId="paragraph">
    <w:name w:val="paragraph"/>
    <w:basedOn w:val="Normal"/>
    <w:rsid w:val="00F92C18"/>
    <w:pPr>
      <w:widowControl/>
      <w:autoSpaceDE/>
      <w:autoSpaceDN/>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F92C18"/>
  </w:style>
  <w:style w:type="character" w:customStyle="1" w:styleId="normaltextrun">
    <w:name w:val="normaltextrun"/>
    <w:basedOn w:val="DefaultParagraphFont"/>
    <w:rsid w:val="00F92C18"/>
  </w:style>
  <w:style w:type="paragraph" w:styleId="Revision">
    <w:name w:val="Revision"/>
    <w:hidden/>
    <w:uiPriority w:val="99"/>
    <w:semiHidden/>
    <w:rsid w:val="00915F05"/>
    <w:pPr>
      <w:widowControl/>
      <w:autoSpaceDE/>
      <w:autoSpaceDN/>
    </w:pPr>
  </w:style>
  <w:style w:type="paragraph" w:customStyle="1" w:styleId="footnotedescription">
    <w:name w:val="footnote description"/>
    <w:next w:val="Normal"/>
    <w:link w:val="footnotedescriptionChar"/>
    <w:hidden/>
    <w:rsid w:val="00210581"/>
    <w:pPr>
      <w:widowControl/>
      <w:autoSpaceDE/>
      <w:autoSpaceDN/>
      <w:spacing w:line="246" w:lineRule="auto"/>
    </w:pPr>
    <w:rPr>
      <w:rFonts w:eastAsia="Calibri" w:cs="Calibri"/>
      <w:color w:val="000000"/>
      <w:kern w:val="2"/>
      <w:sz w:val="18"/>
    </w:rPr>
  </w:style>
  <w:style w:type="character" w:customStyle="1" w:styleId="footnotedescriptionChar">
    <w:name w:val="footnote description Char"/>
    <w:link w:val="footnotedescription"/>
    <w:rsid w:val="00210581"/>
    <w:rPr>
      <w:rFonts w:eastAsia="Calibri" w:cs="Calibri"/>
      <w:color w:val="000000"/>
      <w:kern w:val="2"/>
      <w:sz w:val="18"/>
      <w:szCs w:val="24"/>
    </w:rPr>
  </w:style>
  <w:style w:type="paragraph" w:customStyle="1" w:styleId="Default">
    <w:name w:val="Default"/>
    <w:rsid w:val="00AB690C"/>
    <w:pPr>
      <w:widowControl/>
      <w:adjustRightInd w:val="0"/>
    </w:pPr>
    <w:rPr>
      <w:rFonts w:ascii="Times New Roman" w:hAnsi="Times New Roman" w:cs="Times New Roman"/>
      <w:color w:val="000000"/>
    </w:rPr>
  </w:style>
  <w:style w:type="table" w:customStyle="1" w:styleId="TableGrid1">
    <w:name w:val="Table Grid1"/>
    <w:basedOn w:val="TableNormal"/>
    <w:next w:val="TableGrid"/>
    <w:uiPriority w:val="59"/>
    <w:rsid w:val="00E37EDE"/>
    <w:pPr>
      <w:widowControl/>
      <w:autoSpaceDE/>
      <w:autoSpaceDN/>
    </w:pPr>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12A2"/>
    <w:pPr>
      <w:widowControl/>
      <w:autoSpaceDE/>
      <w:autoSpaceDN/>
    </w:pPr>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008CA"/>
    <w:pPr>
      <w:widowControl/>
      <w:autoSpaceDE/>
      <w:autoSpaceDN/>
    </w:pPr>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20333"/>
    <w:pPr>
      <w:widowControl/>
      <w:autoSpaceDE/>
      <w:autoSpaceDN/>
    </w:pPr>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9D4738"/>
    <w:rPr>
      <w:color w:val="2B579A"/>
      <w:shd w:val="clear" w:color="auto" w:fill="E1DFDD"/>
    </w:rPr>
  </w:style>
  <w:style w:type="paragraph" w:styleId="NormalWeb">
    <w:name w:val="Normal (Web)"/>
    <w:basedOn w:val="Normal"/>
    <w:uiPriority w:val="99"/>
    <w:semiHidden/>
    <w:unhideWhenUsed/>
    <w:rsid w:val="005A0F74"/>
    <w:rPr>
      <w:rFonts w:ascii="Times New Roman" w:hAnsi="Times New Roman" w:cs="Times New Roman"/>
    </w:rPr>
  </w:style>
  <w:style w:type="character" w:styleId="FollowedHyperlink">
    <w:name w:val="FollowedHyperlink"/>
    <w:basedOn w:val="DefaultParagraphFont"/>
    <w:uiPriority w:val="99"/>
    <w:semiHidden/>
    <w:unhideWhenUsed/>
    <w:rsid w:val="003206CD"/>
    <w:rPr>
      <w:color w:val="800080" w:themeColor="followedHyperlink"/>
      <w:u w:val="single"/>
    </w:rPr>
  </w:style>
  <w:style w:type="character" w:customStyle="1" w:styleId="ListParagraphChar">
    <w:name w:val="List Paragraph Char"/>
    <w:basedOn w:val="DefaultParagraphFont"/>
    <w:link w:val="ListParagraph"/>
    <w:uiPriority w:val="34"/>
    <w:rsid w:val="00EC7252"/>
  </w:style>
  <w:style w:type="character" w:customStyle="1" w:styleId="Heading1Char">
    <w:name w:val="Heading 1 Char"/>
    <w:basedOn w:val="DefaultParagraphFont"/>
    <w:link w:val="Heading1"/>
    <w:uiPriority w:val="9"/>
    <w:rsid w:val="0029519D"/>
    <w:rPr>
      <w:rFonts w:asciiTheme="minorHAnsi" w:hAnsiTheme="minorHAnsi"/>
      <w:b/>
      <w:bCs/>
      <w:shd w:val="clear" w:color="auto" w:fill="DBE5F1" w:themeFill="accent1" w:themeFillTint="33"/>
    </w:rPr>
  </w:style>
  <w:style w:type="paragraph" w:customStyle="1" w:styleId="ChartisBodyCopy">
    <w:name w:val="Chartis Body Copy"/>
    <w:link w:val="ChartisBodyCopyChar"/>
    <w:qFormat/>
    <w:rsid w:val="00961D13"/>
    <w:pPr>
      <w:widowControl/>
      <w:autoSpaceDE/>
      <w:autoSpaceDN/>
      <w:spacing w:line="259" w:lineRule="auto"/>
    </w:pPr>
    <w:rPr>
      <w:rFonts w:ascii="Segoe UI" w:eastAsia="Times New Roman" w:hAnsi="Segoe UI" w:cs="Segoe UI"/>
      <w:sz w:val="22"/>
      <w:szCs w:val="22"/>
      <w:lang w:val="en"/>
    </w:rPr>
  </w:style>
  <w:style w:type="character" w:customStyle="1" w:styleId="ChartisBodyCopyChar">
    <w:name w:val="Chartis Body Copy Char"/>
    <w:basedOn w:val="DefaultParagraphFont"/>
    <w:link w:val="ChartisBodyCopy"/>
    <w:rsid w:val="00961D13"/>
    <w:rPr>
      <w:rFonts w:ascii="Segoe UI" w:eastAsia="Times New Roman" w:hAnsi="Segoe UI" w:cs="Segoe UI"/>
      <w:sz w:val="22"/>
      <w:szCs w:val="22"/>
      <w:lang w:val="en"/>
    </w:rPr>
  </w:style>
  <w:style w:type="paragraph" w:customStyle="1" w:styleId="pf0">
    <w:name w:val="pf0"/>
    <w:basedOn w:val="Normal"/>
    <w:rsid w:val="004345F9"/>
    <w:pPr>
      <w:widowControl/>
      <w:autoSpaceDE/>
      <w:autoSpaceDN/>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4345F9"/>
    <w:rPr>
      <w:rFonts w:ascii="Segoe UI" w:hAnsi="Segoe UI" w:cs="Segoe UI" w:hint="default"/>
      <w:b/>
      <w:bCs/>
      <w:sz w:val="18"/>
      <w:szCs w:val="18"/>
    </w:rPr>
  </w:style>
  <w:style w:type="character" w:customStyle="1" w:styleId="cf11">
    <w:name w:val="cf11"/>
    <w:basedOn w:val="DefaultParagraphFont"/>
    <w:rsid w:val="004345F9"/>
    <w:rPr>
      <w:rFonts w:ascii="Segoe UI" w:hAnsi="Segoe UI" w:cs="Segoe UI" w:hint="default"/>
      <w:sz w:val="18"/>
      <w:szCs w:val="18"/>
    </w:rPr>
  </w:style>
  <w:style w:type="character" w:customStyle="1" w:styleId="cf21">
    <w:name w:val="cf21"/>
    <w:basedOn w:val="DefaultParagraphFont"/>
    <w:rsid w:val="004345F9"/>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63">
      <w:bodyDiv w:val="1"/>
      <w:marLeft w:val="0"/>
      <w:marRight w:val="0"/>
      <w:marTop w:val="0"/>
      <w:marBottom w:val="0"/>
      <w:divBdr>
        <w:top w:val="none" w:sz="0" w:space="0" w:color="auto"/>
        <w:left w:val="none" w:sz="0" w:space="0" w:color="auto"/>
        <w:bottom w:val="none" w:sz="0" w:space="0" w:color="auto"/>
        <w:right w:val="none" w:sz="0" w:space="0" w:color="auto"/>
      </w:divBdr>
    </w:div>
    <w:div w:id="5712261">
      <w:bodyDiv w:val="1"/>
      <w:marLeft w:val="0"/>
      <w:marRight w:val="0"/>
      <w:marTop w:val="0"/>
      <w:marBottom w:val="0"/>
      <w:divBdr>
        <w:top w:val="none" w:sz="0" w:space="0" w:color="auto"/>
        <w:left w:val="none" w:sz="0" w:space="0" w:color="auto"/>
        <w:bottom w:val="none" w:sz="0" w:space="0" w:color="auto"/>
        <w:right w:val="none" w:sz="0" w:space="0" w:color="auto"/>
      </w:divBdr>
    </w:div>
    <w:div w:id="63649101">
      <w:bodyDiv w:val="1"/>
      <w:marLeft w:val="0"/>
      <w:marRight w:val="0"/>
      <w:marTop w:val="0"/>
      <w:marBottom w:val="0"/>
      <w:divBdr>
        <w:top w:val="none" w:sz="0" w:space="0" w:color="auto"/>
        <w:left w:val="none" w:sz="0" w:space="0" w:color="auto"/>
        <w:bottom w:val="none" w:sz="0" w:space="0" w:color="auto"/>
        <w:right w:val="none" w:sz="0" w:space="0" w:color="auto"/>
      </w:divBdr>
    </w:div>
    <w:div w:id="68161237">
      <w:bodyDiv w:val="1"/>
      <w:marLeft w:val="0"/>
      <w:marRight w:val="0"/>
      <w:marTop w:val="0"/>
      <w:marBottom w:val="0"/>
      <w:divBdr>
        <w:top w:val="none" w:sz="0" w:space="0" w:color="auto"/>
        <w:left w:val="none" w:sz="0" w:space="0" w:color="auto"/>
        <w:bottom w:val="none" w:sz="0" w:space="0" w:color="auto"/>
        <w:right w:val="none" w:sz="0" w:space="0" w:color="auto"/>
      </w:divBdr>
    </w:div>
    <w:div w:id="78717580">
      <w:bodyDiv w:val="1"/>
      <w:marLeft w:val="0"/>
      <w:marRight w:val="0"/>
      <w:marTop w:val="0"/>
      <w:marBottom w:val="0"/>
      <w:divBdr>
        <w:top w:val="none" w:sz="0" w:space="0" w:color="auto"/>
        <w:left w:val="none" w:sz="0" w:space="0" w:color="auto"/>
        <w:bottom w:val="none" w:sz="0" w:space="0" w:color="auto"/>
        <w:right w:val="none" w:sz="0" w:space="0" w:color="auto"/>
      </w:divBdr>
    </w:div>
    <w:div w:id="121307873">
      <w:bodyDiv w:val="1"/>
      <w:marLeft w:val="0"/>
      <w:marRight w:val="0"/>
      <w:marTop w:val="0"/>
      <w:marBottom w:val="0"/>
      <w:divBdr>
        <w:top w:val="none" w:sz="0" w:space="0" w:color="auto"/>
        <w:left w:val="none" w:sz="0" w:space="0" w:color="auto"/>
        <w:bottom w:val="none" w:sz="0" w:space="0" w:color="auto"/>
        <w:right w:val="none" w:sz="0" w:space="0" w:color="auto"/>
      </w:divBdr>
    </w:div>
    <w:div w:id="161045577">
      <w:bodyDiv w:val="1"/>
      <w:marLeft w:val="0"/>
      <w:marRight w:val="0"/>
      <w:marTop w:val="0"/>
      <w:marBottom w:val="0"/>
      <w:divBdr>
        <w:top w:val="none" w:sz="0" w:space="0" w:color="auto"/>
        <w:left w:val="none" w:sz="0" w:space="0" w:color="auto"/>
        <w:bottom w:val="none" w:sz="0" w:space="0" w:color="auto"/>
        <w:right w:val="none" w:sz="0" w:space="0" w:color="auto"/>
      </w:divBdr>
    </w:div>
    <w:div w:id="174271434">
      <w:bodyDiv w:val="1"/>
      <w:marLeft w:val="0"/>
      <w:marRight w:val="0"/>
      <w:marTop w:val="0"/>
      <w:marBottom w:val="0"/>
      <w:divBdr>
        <w:top w:val="none" w:sz="0" w:space="0" w:color="auto"/>
        <w:left w:val="none" w:sz="0" w:space="0" w:color="auto"/>
        <w:bottom w:val="none" w:sz="0" w:space="0" w:color="auto"/>
        <w:right w:val="none" w:sz="0" w:space="0" w:color="auto"/>
      </w:divBdr>
    </w:div>
    <w:div w:id="198864495">
      <w:bodyDiv w:val="1"/>
      <w:marLeft w:val="0"/>
      <w:marRight w:val="0"/>
      <w:marTop w:val="0"/>
      <w:marBottom w:val="0"/>
      <w:divBdr>
        <w:top w:val="none" w:sz="0" w:space="0" w:color="auto"/>
        <w:left w:val="none" w:sz="0" w:space="0" w:color="auto"/>
        <w:bottom w:val="none" w:sz="0" w:space="0" w:color="auto"/>
        <w:right w:val="none" w:sz="0" w:space="0" w:color="auto"/>
      </w:divBdr>
      <w:divsChild>
        <w:div w:id="1376850412">
          <w:marLeft w:val="0"/>
          <w:marRight w:val="0"/>
          <w:marTop w:val="0"/>
          <w:marBottom w:val="0"/>
          <w:divBdr>
            <w:top w:val="none" w:sz="0" w:space="0" w:color="auto"/>
            <w:left w:val="none" w:sz="0" w:space="0" w:color="auto"/>
            <w:bottom w:val="none" w:sz="0" w:space="0" w:color="auto"/>
            <w:right w:val="none" w:sz="0" w:space="0" w:color="auto"/>
          </w:divBdr>
        </w:div>
        <w:div w:id="2006086450">
          <w:marLeft w:val="0"/>
          <w:marRight w:val="0"/>
          <w:marTop w:val="0"/>
          <w:marBottom w:val="0"/>
          <w:divBdr>
            <w:top w:val="none" w:sz="0" w:space="0" w:color="auto"/>
            <w:left w:val="none" w:sz="0" w:space="0" w:color="auto"/>
            <w:bottom w:val="none" w:sz="0" w:space="0" w:color="auto"/>
            <w:right w:val="none" w:sz="0" w:space="0" w:color="auto"/>
          </w:divBdr>
        </w:div>
        <w:div w:id="2138445277">
          <w:marLeft w:val="0"/>
          <w:marRight w:val="0"/>
          <w:marTop w:val="0"/>
          <w:marBottom w:val="0"/>
          <w:divBdr>
            <w:top w:val="none" w:sz="0" w:space="0" w:color="auto"/>
            <w:left w:val="none" w:sz="0" w:space="0" w:color="auto"/>
            <w:bottom w:val="none" w:sz="0" w:space="0" w:color="auto"/>
            <w:right w:val="none" w:sz="0" w:space="0" w:color="auto"/>
          </w:divBdr>
        </w:div>
      </w:divsChild>
    </w:div>
    <w:div w:id="255405176">
      <w:bodyDiv w:val="1"/>
      <w:marLeft w:val="0"/>
      <w:marRight w:val="0"/>
      <w:marTop w:val="0"/>
      <w:marBottom w:val="0"/>
      <w:divBdr>
        <w:top w:val="none" w:sz="0" w:space="0" w:color="auto"/>
        <w:left w:val="none" w:sz="0" w:space="0" w:color="auto"/>
        <w:bottom w:val="none" w:sz="0" w:space="0" w:color="auto"/>
        <w:right w:val="none" w:sz="0" w:space="0" w:color="auto"/>
      </w:divBdr>
    </w:div>
    <w:div w:id="282732558">
      <w:bodyDiv w:val="1"/>
      <w:marLeft w:val="0"/>
      <w:marRight w:val="0"/>
      <w:marTop w:val="0"/>
      <w:marBottom w:val="0"/>
      <w:divBdr>
        <w:top w:val="none" w:sz="0" w:space="0" w:color="auto"/>
        <w:left w:val="none" w:sz="0" w:space="0" w:color="auto"/>
        <w:bottom w:val="none" w:sz="0" w:space="0" w:color="auto"/>
        <w:right w:val="none" w:sz="0" w:space="0" w:color="auto"/>
      </w:divBdr>
    </w:div>
    <w:div w:id="303314932">
      <w:bodyDiv w:val="1"/>
      <w:marLeft w:val="0"/>
      <w:marRight w:val="0"/>
      <w:marTop w:val="0"/>
      <w:marBottom w:val="0"/>
      <w:divBdr>
        <w:top w:val="none" w:sz="0" w:space="0" w:color="auto"/>
        <w:left w:val="none" w:sz="0" w:space="0" w:color="auto"/>
        <w:bottom w:val="none" w:sz="0" w:space="0" w:color="auto"/>
        <w:right w:val="none" w:sz="0" w:space="0" w:color="auto"/>
      </w:divBdr>
    </w:div>
    <w:div w:id="327443692">
      <w:bodyDiv w:val="1"/>
      <w:marLeft w:val="0"/>
      <w:marRight w:val="0"/>
      <w:marTop w:val="0"/>
      <w:marBottom w:val="0"/>
      <w:divBdr>
        <w:top w:val="none" w:sz="0" w:space="0" w:color="auto"/>
        <w:left w:val="none" w:sz="0" w:space="0" w:color="auto"/>
        <w:bottom w:val="none" w:sz="0" w:space="0" w:color="auto"/>
        <w:right w:val="none" w:sz="0" w:space="0" w:color="auto"/>
      </w:divBdr>
    </w:div>
    <w:div w:id="398132983">
      <w:bodyDiv w:val="1"/>
      <w:marLeft w:val="0"/>
      <w:marRight w:val="0"/>
      <w:marTop w:val="0"/>
      <w:marBottom w:val="0"/>
      <w:divBdr>
        <w:top w:val="none" w:sz="0" w:space="0" w:color="auto"/>
        <w:left w:val="none" w:sz="0" w:space="0" w:color="auto"/>
        <w:bottom w:val="none" w:sz="0" w:space="0" w:color="auto"/>
        <w:right w:val="none" w:sz="0" w:space="0" w:color="auto"/>
      </w:divBdr>
    </w:div>
    <w:div w:id="414472400">
      <w:bodyDiv w:val="1"/>
      <w:marLeft w:val="0"/>
      <w:marRight w:val="0"/>
      <w:marTop w:val="0"/>
      <w:marBottom w:val="0"/>
      <w:divBdr>
        <w:top w:val="none" w:sz="0" w:space="0" w:color="auto"/>
        <w:left w:val="none" w:sz="0" w:space="0" w:color="auto"/>
        <w:bottom w:val="none" w:sz="0" w:space="0" w:color="auto"/>
        <w:right w:val="none" w:sz="0" w:space="0" w:color="auto"/>
      </w:divBdr>
    </w:div>
    <w:div w:id="432824882">
      <w:bodyDiv w:val="1"/>
      <w:marLeft w:val="0"/>
      <w:marRight w:val="0"/>
      <w:marTop w:val="0"/>
      <w:marBottom w:val="0"/>
      <w:divBdr>
        <w:top w:val="none" w:sz="0" w:space="0" w:color="auto"/>
        <w:left w:val="none" w:sz="0" w:space="0" w:color="auto"/>
        <w:bottom w:val="none" w:sz="0" w:space="0" w:color="auto"/>
        <w:right w:val="none" w:sz="0" w:space="0" w:color="auto"/>
      </w:divBdr>
    </w:div>
    <w:div w:id="497380690">
      <w:bodyDiv w:val="1"/>
      <w:marLeft w:val="0"/>
      <w:marRight w:val="0"/>
      <w:marTop w:val="0"/>
      <w:marBottom w:val="0"/>
      <w:divBdr>
        <w:top w:val="none" w:sz="0" w:space="0" w:color="auto"/>
        <w:left w:val="none" w:sz="0" w:space="0" w:color="auto"/>
        <w:bottom w:val="none" w:sz="0" w:space="0" w:color="auto"/>
        <w:right w:val="none" w:sz="0" w:space="0" w:color="auto"/>
      </w:divBdr>
    </w:div>
    <w:div w:id="510994376">
      <w:bodyDiv w:val="1"/>
      <w:marLeft w:val="0"/>
      <w:marRight w:val="0"/>
      <w:marTop w:val="0"/>
      <w:marBottom w:val="0"/>
      <w:divBdr>
        <w:top w:val="none" w:sz="0" w:space="0" w:color="auto"/>
        <w:left w:val="none" w:sz="0" w:space="0" w:color="auto"/>
        <w:bottom w:val="none" w:sz="0" w:space="0" w:color="auto"/>
        <w:right w:val="none" w:sz="0" w:space="0" w:color="auto"/>
      </w:divBdr>
      <w:divsChild>
        <w:div w:id="367724422">
          <w:marLeft w:val="0"/>
          <w:marRight w:val="0"/>
          <w:marTop w:val="0"/>
          <w:marBottom w:val="0"/>
          <w:divBdr>
            <w:top w:val="none" w:sz="0" w:space="0" w:color="auto"/>
            <w:left w:val="none" w:sz="0" w:space="0" w:color="auto"/>
            <w:bottom w:val="none" w:sz="0" w:space="0" w:color="auto"/>
            <w:right w:val="none" w:sz="0" w:space="0" w:color="auto"/>
          </w:divBdr>
        </w:div>
        <w:div w:id="1372412321">
          <w:marLeft w:val="0"/>
          <w:marRight w:val="0"/>
          <w:marTop w:val="0"/>
          <w:marBottom w:val="0"/>
          <w:divBdr>
            <w:top w:val="none" w:sz="0" w:space="0" w:color="auto"/>
            <w:left w:val="none" w:sz="0" w:space="0" w:color="auto"/>
            <w:bottom w:val="none" w:sz="0" w:space="0" w:color="auto"/>
            <w:right w:val="none" w:sz="0" w:space="0" w:color="auto"/>
          </w:divBdr>
        </w:div>
      </w:divsChild>
    </w:div>
    <w:div w:id="551309561">
      <w:bodyDiv w:val="1"/>
      <w:marLeft w:val="0"/>
      <w:marRight w:val="0"/>
      <w:marTop w:val="0"/>
      <w:marBottom w:val="0"/>
      <w:divBdr>
        <w:top w:val="none" w:sz="0" w:space="0" w:color="auto"/>
        <w:left w:val="none" w:sz="0" w:space="0" w:color="auto"/>
        <w:bottom w:val="none" w:sz="0" w:space="0" w:color="auto"/>
        <w:right w:val="none" w:sz="0" w:space="0" w:color="auto"/>
      </w:divBdr>
    </w:div>
    <w:div w:id="696662024">
      <w:bodyDiv w:val="1"/>
      <w:marLeft w:val="0"/>
      <w:marRight w:val="0"/>
      <w:marTop w:val="0"/>
      <w:marBottom w:val="0"/>
      <w:divBdr>
        <w:top w:val="none" w:sz="0" w:space="0" w:color="auto"/>
        <w:left w:val="none" w:sz="0" w:space="0" w:color="auto"/>
        <w:bottom w:val="none" w:sz="0" w:space="0" w:color="auto"/>
        <w:right w:val="none" w:sz="0" w:space="0" w:color="auto"/>
      </w:divBdr>
    </w:div>
    <w:div w:id="809173158">
      <w:bodyDiv w:val="1"/>
      <w:marLeft w:val="0"/>
      <w:marRight w:val="0"/>
      <w:marTop w:val="0"/>
      <w:marBottom w:val="0"/>
      <w:divBdr>
        <w:top w:val="none" w:sz="0" w:space="0" w:color="auto"/>
        <w:left w:val="none" w:sz="0" w:space="0" w:color="auto"/>
        <w:bottom w:val="none" w:sz="0" w:space="0" w:color="auto"/>
        <w:right w:val="none" w:sz="0" w:space="0" w:color="auto"/>
      </w:divBdr>
    </w:div>
    <w:div w:id="839851681">
      <w:bodyDiv w:val="1"/>
      <w:marLeft w:val="0"/>
      <w:marRight w:val="0"/>
      <w:marTop w:val="0"/>
      <w:marBottom w:val="0"/>
      <w:divBdr>
        <w:top w:val="none" w:sz="0" w:space="0" w:color="auto"/>
        <w:left w:val="none" w:sz="0" w:space="0" w:color="auto"/>
        <w:bottom w:val="none" w:sz="0" w:space="0" w:color="auto"/>
        <w:right w:val="none" w:sz="0" w:space="0" w:color="auto"/>
      </w:divBdr>
    </w:div>
    <w:div w:id="871192039">
      <w:bodyDiv w:val="1"/>
      <w:marLeft w:val="0"/>
      <w:marRight w:val="0"/>
      <w:marTop w:val="0"/>
      <w:marBottom w:val="0"/>
      <w:divBdr>
        <w:top w:val="none" w:sz="0" w:space="0" w:color="auto"/>
        <w:left w:val="none" w:sz="0" w:space="0" w:color="auto"/>
        <w:bottom w:val="none" w:sz="0" w:space="0" w:color="auto"/>
        <w:right w:val="none" w:sz="0" w:space="0" w:color="auto"/>
      </w:divBdr>
    </w:div>
    <w:div w:id="1020203049">
      <w:bodyDiv w:val="1"/>
      <w:marLeft w:val="0"/>
      <w:marRight w:val="0"/>
      <w:marTop w:val="0"/>
      <w:marBottom w:val="0"/>
      <w:divBdr>
        <w:top w:val="none" w:sz="0" w:space="0" w:color="auto"/>
        <w:left w:val="none" w:sz="0" w:space="0" w:color="auto"/>
        <w:bottom w:val="none" w:sz="0" w:space="0" w:color="auto"/>
        <w:right w:val="none" w:sz="0" w:space="0" w:color="auto"/>
      </w:divBdr>
      <w:divsChild>
        <w:div w:id="195775998">
          <w:marLeft w:val="0"/>
          <w:marRight w:val="0"/>
          <w:marTop w:val="0"/>
          <w:marBottom w:val="0"/>
          <w:divBdr>
            <w:top w:val="none" w:sz="0" w:space="0" w:color="auto"/>
            <w:left w:val="none" w:sz="0" w:space="0" w:color="auto"/>
            <w:bottom w:val="none" w:sz="0" w:space="0" w:color="auto"/>
            <w:right w:val="none" w:sz="0" w:space="0" w:color="auto"/>
          </w:divBdr>
        </w:div>
        <w:div w:id="324018283">
          <w:marLeft w:val="0"/>
          <w:marRight w:val="0"/>
          <w:marTop w:val="0"/>
          <w:marBottom w:val="0"/>
          <w:divBdr>
            <w:top w:val="none" w:sz="0" w:space="0" w:color="auto"/>
            <w:left w:val="none" w:sz="0" w:space="0" w:color="auto"/>
            <w:bottom w:val="none" w:sz="0" w:space="0" w:color="auto"/>
            <w:right w:val="none" w:sz="0" w:space="0" w:color="auto"/>
          </w:divBdr>
        </w:div>
        <w:div w:id="534973843">
          <w:marLeft w:val="0"/>
          <w:marRight w:val="0"/>
          <w:marTop w:val="0"/>
          <w:marBottom w:val="0"/>
          <w:divBdr>
            <w:top w:val="none" w:sz="0" w:space="0" w:color="auto"/>
            <w:left w:val="none" w:sz="0" w:space="0" w:color="auto"/>
            <w:bottom w:val="none" w:sz="0" w:space="0" w:color="auto"/>
            <w:right w:val="none" w:sz="0" w:space="0" w:color="auto"/>
          </w:divBdr>
        </w:div>
        <w:div w:id="812017426">
          <w:marLeft w:val="0"/>
          <w:marRight w:val="0"/>
          <w:marTop w:val="0"/>
          <w:marBottom w:val="0"/>
          <w:divBdr>
            <w:top w:val="none" w:sz="0" w:space="0" w:color="auto"/>
            <w:left w:val="none" w:sz="0" w:space="0" w:color="auto"/>
            <w:bottom w:val="none" w:sz="0" w:space="0" w:color="auto"/>
            <w:right w:val="none" w:sz="0" w:space="0" w:color="auto"/>
          </w:divBdr>
        </w:div>
        <w:div w:id="922449652">
          <w:marLeft w:val="0"/>
          <w:marRight w:val="0"/>
          <w:marTop w:val="0"/>
          <w:marBottom w:val="0"/>
          <w:divBdr>
            <w:top w:val="none" w:sz="0" w:space="0" w:color="auto"/>
            <w:left w:val="none" w:sz="0" w:space="0" w:color="auto"/>
            <w:bottom w:val="none" w:sz="0" w:space="0" w:color="auto"/>
            <w:right w:val="none" w:sz="0" w:space="0" w:color="auto"/>
          </w:divBdr>
        </w:div>
        <w:div w:id="971128961">
          <w:marLeft w:val="0"/>
          <w:marRight w:val="0"/>
          <w:marTop w:val="0"/>
          <w:marBottom w:val="0"/>
          <w:divBdr>
            <w:top w:val="none" w:sz="0" w:space="0" w:color="auto"/>
            <w:left w:val="none" w:sz="0" w:space="0" w:color="auto"/>
            <w:bottom w:val="none" w:sz="0" w:space="0" w:color="auto"/>
            <w:right w:val="none" w:sz="0" w:space="0" w:color="auto"/>
          </w:divBdr>
        </w:div>
        <w:div w:id="1099329178">
          <w:marLeft w:val="0"/>
          <w:marRight w:val="0"/>
          <w:marTop w:val="0"/>
          <w:marBottom w:val="0"/>
          <w:divBdr>
            <w:top w:val="none" w:sz="0" w:space="0" w:color="auto"/>
            <w:left w:val="none" w:sz="0" w:space="0" w:color="auto"/>
            <w:bottom w:val="none" w:sz="0" w:space="0" w:color="auto"/>
            <w:right w:val="none" w:sz="0" w:space="0" w:color="auto"/>
          </w:divBdr>
        </w:div>
        <w:div w:id="1106388281">
          <w:marLeft w:val="0"/>
          <w:marRight w:val="0"/>
          <w:marTop w:val="0"/>
          <w:marBottom w:val="0"/>
          <w:divBdr>
            <w:top w:val="none" w:sz="0" w:space="0" w:color="auto"/>
            <w:left w:val="none" w:sz="0" w:space="0" w:color="auto"/>
            <w:bottom w:val="none" w:sz="0" w:space="0" w:color="auto"/>
            <w:right w:val="none" w:sz="0" w:space="0" w:color="auto"/>
          </w:divBdr>
        </w:div>
      </w:divsChild>
    </w:div>
    <w:div w:id="1026637579">
      <w:bodyDiv w:val="1"/>
      <w:marLeft w:val="0"/>
      <w:marRight w:val="0"/>
      <w:marTop w:val="0"/>
      <w:marBottom w:val="0"/>
      <w:divBdr>
        <w:top w:val="none" w:sz="0" w:space="0" w:color="auto"/>
        <w:left w:val="none" w:sz="0" w:space="0" w:color="auto"/>
        <w:bottom w:val="none" w:sz="0" w:space="0" w:color="auto"/>
        <w:right w:val="none" w:sz="0" w:space="0" w:color="auto"/>
      </w:divBdr>
    </w:div>
    <w:div w:id="1032270907">
      <w:bodyDiv w:val="1"/>
      <w:marLeft w:val="0"/>
      <w:marRight w:val="0"/>
      <w:marTop w:val="0"/>
      <w:marBottom w:val="0"/>
      <w:divBdr>
        <w:top w:val="none" w:sz="0" w:space="0" w:color="auto"/>
        <w:left w:val="none" w:sz="0" w:space="0" w:color="auto"/>
        <w:bottom w:val="none" w:sz="0" w:space="0" w:color="auto"/>
        <w:right w:val="none" w:sz="0" w:space="0" w:color="auto"/>
      </w:divBdr>
    </w:div>
    <w:div w:id="1038360665">
      <w:bodyDiv w:val="1"/>
      <w:marLeft w:val="0"/>
      <w:marRight w:val="0"/>
      <w:marTop w:val="0"/>
      <w:marBottom w:val="0"/>
      <w:divBdr>
        <w:top w:val="none" w:sz="0" w:space="0" w:color="auto"/>
        <w:left w:val="none" w:sz="0" w:space="0" w:color="auto"/>
        <w:bottom w:val="none" w:sz="0" w:space="0" w:color="auto"/>
        <w:right w:val="none" w:sz="0" w:space="0" w:color="auto"/>
      </w:divBdr>
    </w:div>
    <w:div w:id="1058550134">
      <w:bodyDiv w:val="1"/>
      <w:marLeft w:val="0"/>
      <w:marRight w:val="0"/>
      <w:marTop w:val="0"/>
      <w:marBottom w:val="0"/>
      <w:divBdr>
        <w:top w:val="none" w:sz="0" w:space="0" w:color="auto"/>
        <w:left w:val="none" w:sz="0" w:space="0" w:color="auto"/>
        <w:bottom w:val="none" w:sz="0" w:space="0" w:color="auto"/>
        <w:right w:val="none" w:sz="0" w:space="0" w:color="auto"/>
      </w:divBdr>
    </w:div>
    <w:div w:id="1069688739">
      <w:bodyDiv w:val="1"/>
      <w:marLeft w:val="0"/>
      <w:marRight w:val="0"/>
      <w:marTop w:val="0"/>
      <w:marBottom w:val="0"/>
      <w:divBdr>
        <w:top w:val="none" w:sz="0" w:space="0" w:color="auto"/>
        <w:left w:val="none" w:sz="0" w:space="0" w:color="auto"/>
        <w:bottom w:val="none" w:sz="0" w:space="0" w:color="auto"/>
        <w:right w:val="none" w:sz="0" w:space="0" w:color="auto"/>
      </w:divBdr>
    </w:div>
    <w:div w:id="1110786032">
      <w:bodyDiv w:val="1"/>
      <w:marLeft w:val="0"/>
      <w:marRight w:val="0"/>
      <w:marTop w:val="0"/>
      <w:marBottom w:val="0"/>
      <w:divBdr>
        <w:top w:val="none" w:sz="0" w:space="0" w:color="auto"/>
        <w:left w:val="none" w:sz="0" w:space="0" w:color="auto"/>
        <w:bottom w:val="none" w:sz="0" w:space="0" w:color="auto"/>
        <w:right w:val="none" w:sz="0" w:space="0" w:color="auto"/>
      </w:divBdr>
    </w:div>
    <w:div w:id="1149857025">
      <w:bodyDiv w:val="1"/>
      <w:marLeft w:val="0"/>
      <w:marRight w:val="0"/>
      <w:marTop w:val="0"/>
      <w:marBottom w:val="0"/>
      <w:divBdr>
        <w:top w:val="none" w:sz="0" w:space="0" w:color="auto"/>
        <w:left w:val="none" w:sz="0" w:space="0" w:color="auto"/>
        <w:bottom w:val="none" w:sz="0" w:space="0" w:color="auto"/>
        <w:right w:val="none" w:sz="0" w:space="0" w:color="auto"/>
      </w:divBdr>
    </w:div>
    <w:div w:id="1171678461">
      <w:bodyDiv w:val="1"/>
      <w:marLeft w:val="0"/>
      <w:marRight w:val="0"/>
      <w:marTop w:val="0"/>
      <w:marBottom w:val="0"/>
      <w:divBdr>
        <w:top w:val="none" w:sz="0" w:space="0" w:color="auto"/>
        <w:left w:val="none" w:sz="0" w:space="0" w:color="auto"/>
        <w:bottom w:val="none" w:sz="0" w:space="0" w:color="auto"/>
        <w:right w:val="none" w:sz="0" w:space="0" w:color="auto"/>
      </w:divBdr>
    </w:div>
    <w:div w:id="1179932650">
      <w:bodyDiv w:val="1"/>
      <w:marLeft w:val="0"/>
      <w:marRight w:val="0"/>
      <w:marTop w:val="0"/>
      <w:marBottom w:val="0"/>
      <w:divBdr>
        <w:top w:val="none" w:sz="0" w:space="0" w:color="auto"/>
        <w:left w:val="none" w:sz="0" w:space="0" w:color="auto"/>
        <w:bottom w:val="none" w:sz="0" w:space="0" w:color="auto"/>
        <w:right w:val="none" w:sz="0" w:space="0" w:color="auto"/>
      </w:divBdr>
    </w:div>
    <w:div w:id="1221945957">
      <w:bodyDiv w:val="1"/>
      <w:marLeft w:val="0"/>
      <w:marRight w:val="0"/>
      <w:marTop w:val="0"/>
      <w:marBottom w:val="0"/>
      <w:divBdr>
        <w:top w:val="none" w:sz="0" w:space="0" w:color="auto"/>
        <w:left w:val="none" w:sz="0" w:space="0" w:color="auto"/>
        <w:bottom w:val="none" w:sz="0" w:space="0" w:color="auto"/>
        <w:right w:val="none" w:sz="0" w:space="0" w:color="auto"/>
      </w:divBdr>
    </w:div>
    <w:div w:id="1286154112">
      <w:bodyDiv w:val="1"/>
      <w:marLeft w:val="0"/>
      <w:marRight w:val="0"/>
      <w:marTop w:val="0"/>
      <w:marBottom w:val="0"/>
      <w:divBdr>
        <w:top w:val="none" w:sz="0" w:space="0" w:color="auto"/>
        <w:left w:val="none" w:sz="0" w:space="0" w:color="auto"/>
        <w:bottom w:val="none" w:sz="0" w:space="0" w:color="auto"/>
        <w:right w:val="none" w:sz="0" w:space="0" w:color="auto"/>
      </w:divBdr>
    </w:div>
    <w:div w:id="1296450339">
      <w:bodyDiv w:val="1"/>
      <w:marLeft w:val="0"/>
      <w:marRight w:val="0"/>
      <w:marTop w:val="0"/>
      <w:marBottom w:val="0"/>
      <w:divBdr>
        <w:top w:val="none" w:sz="0" w:space="0" w:color="auto"/>
        <w:left w:val="none" w:sz="0" w:space="0" w:color="auto"/>
        <w:bottom w:val="none" w:sz="0" w:space="0" w:color="auto"/>
        <w:right w:val="none" w:sz="0" w:space="0" w:color="auto"/>
      </w:divBdr>
    </w:div>
    <w:div w:id="1417246391">
      <w:bodyDiv w:val="1"/>
      <w:marLeft w:val="0"/>
      <w:marRight w:val="0"/>
      <w:marTop w:val="0"/>
      <w:marBottom w:val="0"/>
      <w:divBdr>
        <w:top w:val="none" w:sz="0" w:space="0" w:color="auto"/>
        <w:left w:val="none" w:sz="0" w:space="0" w:color="auto"/>
        <w:bottom w:val="none" w:sz="0" w:space="0" w:color="auto"/>
        <w:right w:val="none" w:sz="0" w:space="0" w:color="auto"/>
      </w:divBdr>
    </w:div>
    <w:div w:id="1432240106">
      <w:bodyDiv w:val="1"/>
      <w:marLeft w:val="0"/>
      <w:marRight w:val="0"/>
      <w:marTop w:val="0"/>
      <w:marBottom w:val="0"/>
      <w:divBdr>
        <w:top w:val="none" w:sz="0" w:space="0" w:color="auto"/>
        <w:left w:val="none" w:sz="0" w:space="0" w:color="auto"/>
        <w:bottom w:val="none" w:sz="0" w:space="0" w:color="auto"/>
        <w:right w:val="none" w:sz="0" w:space="0" w:color="auto"/>
      </w:divBdr>
    </w:div>
    <w:div w:id="1446997336">
      <w:bodyDiv w:val="1"/>
      <w:marLeft w:val="0"/>
      <w:marRight w:val="0"/>
      <w:marTop w:val="0"/>
      <w:marBottom w:val="0"/>
      <w:divBdr>
        <w:top w:val="none" w:sz="0" w:space="0" w:color="auto"/>
        <w:left w:val="none" w:sz="0" w:space="0" w:color="auto"/>
        <w:bottom w:val="none" w:sz="0" w:space="0" w:color="auto"/>
        <w:right w:val="none" w:sz="0" w:space="0" w:color="auto"/>
      </w:divBdr>
    </w:div>
    <w:div w:id="1467358543">
      <w:bodyDiv w:val="1"/>
      <w:marLeft w:val="0"/>
      <w:marRight w:val="0"/>
      <w:marTop w:val="0"/>
      <w:marBottom w:val="0"/>
      <w:divBdr>
        <w:top w:val="none" w:sz="0" w:space="0" w:color="auto"/>
        <w:left w:val="none" w:sz="0" w:space="0" w:color="auto"/>
        <w:bottom w:val="none" w:sz="0" w:space="0" w:color="auto"/>
        <w:right w:val="none" w:sz="0" w:space="0" w:color="auto"/>
      </w:divBdr>
    </w:div>
    <w:div w:id="1508447980">
      <w:bodyDiv w:val="1"/>
      <w:marLeft w:val="0"/>
      <w:marRight w:val="0"/>
      <w:marTop w:val="0"/>
      <w:marBottom w:val="0"/>
      <w:divBdr>
        <w:top w:val="none" w:sz="0" w:space="0" w:color="auto"/>
        <w:left w:val="none" w:sz="0" w:space="0" w:color="auto"/>
        <w:bottom w:val="none" w:sz="0" w:space="0" w:color="auto"/>
        <w:right w:val="none" w:sz="0" w:space="0" w:color="auto"/>
      </w:divBdr>
    </w:div>
    <w:div w:id="1519124840">
      <w:bodyDiv w:val="1"/>
      <w:marLeft w:val="0"/>
      <w:marRight w:val="0"/>
      <w:marTop w:val="0"/>
      <w:marBottom w:val="0"/>
      <w:divBdr>
        <w:top w:val="none" w:sz="0" w:space="0" w:color="auto"/>
        <w:left w:val="none" w:sz="0" w:space="0" w:color="auto"/>
        <w:bottom w:val="none" w:sz="0" w:space="0" w:color="auto"/>
        <w:right w:val="none" w:sz="0" w:space="0" w:color="auto"/>
      </w:divBdr>
    </w:div>
    <w:div w:id="1574508776">
      <w:bodyDiv w:val="1"/>
      <w:marLeft w:val="0"/>
      <w:marRight w:val="0"/>
      <w:marTop w:val="0"/>
      <w:marBottom w:val="0"/>
      <w:divBdr>
        <w:top w:val="none" w:sz="0" w:space="0" w:color="auto"/>
        <w:left w:val="none" w:sz="0" w:space="0" w:color="auto"/>
        <w:bottom w:val="none" w:sz="0" w:space="0" w:color="auto"/>
        <w:right w:val="none" w:sz="0" w:space="0" w:color="auto"/>
      </w:divBdr>
    </w:div>
    <w:div w:id="1623269225">
      <w:bodyDiv w:val="1"/>
      <w:marLeft w:val="0"/>
      <w:marRight w:val="0"/>
      <w:marTop w:val="0"/>
      <w:marBottom w:val="0"/>
      <w:divBdr>
        <w:top w:val="none" w:sz="0" w:space="0" w:color="auto"/>
        <w:left w:val="none" w:sz="0" w:space="0" w:color="auto"/>
        <w:bottom w:val="none" w:sz="0" w:space="0" w:color="auto"/>
        <w:right w:val="none" w:sz="0" w:space="0" w:color="auto"/>
      </w:divBdr>
    </w:div>
    <w:div w:id="1626080939">
      <w:bodyDiv w:val="1"/>
      <w:marLeft w:val="0"/>
      <w:marRight w:val="0"/>
      <w:marTop w:val="0"/>
      <w:marBottom w:val="0"/>
      <w:divBdr>
        <w:top w:val="none" w:sz="0" w:space="0" w:color="auto"/>
        <w:left w:val="none" w:sz="0" w:space="0" w:color="auto"/>
        <w:bottom w:val="none" w:sz="0" w:space="0" w:color="auto"/>
        <w:right w:val="none" w:sz="0" w:space="0" w:color="auto"/>
      </w:divBdr>
    </w:div>
    <w:div w:id="1642421933">
      <w:bodyDiv w:val="1"/>
      <w:marLeft w:val="0"/>
      <w:marRight w:val="0"/>
      <w:marTop w:val="0"/>
      <w:marBottom w:val="0"/>
      <w:divBdr>
        <w:top w:val="none" w:sz="0" w:space="0" w:color="auto"/>
        <w:left w:val="none" w:sz="0" w:space="0" w:color="auto"/>
        <w:bottom w:val="none" w:sz="0" w:space="0" w:color="auto"/>
        <w:right w:val="none" w:sz="0" w:space="0" w:color="auto"/>
      </w:divBdr>
    </w:div>
    <w:div w:id="1751192507">
      <w:bodyDiv w:val="1"/>
      <w:marLeft w:val="0"/>
      <w:marRight w:val="0"/>
      <w:marTop w:val="0"/>
      <w:marBottom w:val="0"/>
      <w:divBdr>
        <w:top w:val="none" w:sz="0" w:space="0" w:color="auto"/>
        <w:left w:val="none" w:sz="0" w:space="0" w:color="auto"/>
        <w:bottom w:val="none" w:sz="0" w:space="0" w:color="auto"/>
        <w:right w:val="none" w:sz="0" w:space="0" w:color="auto"/>
      </w:divBdr>
    </w:div>
    <w:div w:id="1768381437">
      <w:bodyDiv w:val="1"/>
      <w:marLeft w:val="0"/>
      <w:marRight w:val="0"/>
      <w:marTop w:val="0"/>
      <w:marBottom w:val="0"/>
      <w:divBdr>
        <w:top w:val="none" w:sz="0" w:space="0" w:color="auto"/>
        <w:left w:val="none" w:sz="0" w:space="0" w:color="auto"/>
        <w:bottom w:val="none" w:sz="0" w:space="0" w:color="auto"/>
        <w:right w:val="none" w:sz="0" w:space="0" w:color="auto"/>
      </w:divBdr>
    </w:div>
    <w:div w:id="1829247772">
      <w:bodyDiv w:val="1"/>
      <w:marLeft w:val="0"/>
      <w:marRight w:val="0"/>
      <w:marTop w:val="0"/>
      <w:marBottom w:val="0"/>
      <w:divBdr>
        <w:top w:val="none" w:sz="0" w:space="0" w:color="auto"/>
        <w:left w:val="none" w:sz="0" w:space="0" w:color="auto"/>
        <w:bottom w:val="none" w:sz="0" w:space="0" w:color="auto"/>
        <w:right w:val="none" w:sz="0" w:space="0" w:color="auto"/>
      </w:divBdr>
    </w:div>
    <w:div w:id="1858229454">
      <w:bodyDiv w:val="1"/>
      <w:marLeft w:val="0"/>
      <w:marRight w:val="0"/>
      <w:marTop w:val="0"/>
      <w:marBottom w:val="0"/>
      <w:divBdr>
        <w:top w:val="none" w:sz="0" w:space="0" w:color="auto"/>
        <w:left w:val="none" w:sz="0" w:space="0" w:color="auto"/>
        <w:bottom w:val="none" w:sz="0" w:space="0" w:color="auto"/>
        <w:right w:val="none" w:sz="0" w:space="0" w:color="auto"/>
      </w:divBdr>
    </w:div>
    <w:div w:id="1876624013">
      <w:bodyDiv w:val="1"/>
      <w:marLeft w:val="0"/>
      <w:marRight w:val="0"/>
      <w:marTop w:val="0"/>
      <w:marBottom w:val="0"/>
      <w:divBdr>
        <w:top w:val="none" w:sz="0" w:space="0" w:color="auto"/>
        <w:left w:val="none" w:sz="0" w:space="0" w:color="auto"/>
        <w:bottom w:val="none" w:sz="0" w:space="0" w:color="auto"/>
        <w:right w:val="none" w:sz="0" w:space="0" w:color="auto"/>
      </w:divBdr>
      <w:divsChild>
        <w:div w:id="61560601">
          <w:marLeft w:val="0"/>
          <w:marRight w:val="0"/>
          <w:marTop w:val="0"/>
          <w:marBottom w:val="0"/>
          <w:divBdr>
            <w:top w:val="none" w:sz="0" w:space="0" w:color="auto"/>
            <w:left w:val="none" w:sz="0" w:space="0" w:color="auto"/>
            <w:bottom w:val="none" w:sz="0" w:space="0" w:color="auto"/>
            <w:right w:val="none" w:sz="0" w:space="0" w:color="auto"/>
          </w:divBdr>
        </w:div>
        <w:div w:id="90861829">
          <w:marLeft w:val="0"/>
          <w:marRight w:val="0"/>
          <w:marTop w:val="0"/>
          <w:marBottom w:val="0"/>
          <w:divBdr>
            <w:top w:val="none" w:sz="0" w:space="0" w:color="auto"/>
            <w:left w:val="none" w:sz="0" w:space="0" w:color="auto"/>
            <w:bottom w:val="none" w:sz="0" w:space="0" w:color="auto"/>
            <w:right w:val="none" w:sz="0" w:space="0" w:color="auto"/>
          </w:divBdr>
        </w:div>
        <w:div w:id="145438607">
          <w:marLeft w:val="0"/>
          <w:marRight w:val="0"/>
          <w:marTop w:val="0"/>
          <w:marBottom w:val="0"/>
          <w:divBdr>
            <w:top w:val="none" w:sz="0" w:space="0" w:color="auto"/>
            <w:left w:val="none" w:sz="0" w:space="0" w:color="auto"/>
            <w:bottom w:val="none" w:sz="0" w:space="0" w:color="auto"/>
            <w:right w:val="none" w:sz="0" w:space="0" w:color="auto"/>
          </w:divBdr>
        </w:div>
        <w:div w:id="379520144">
          <w:marLeft w:val="0"/>
          <w:marRight w:val="0"/>
          <w:marTop w:val="0"/>
          <w:marBottom w:val="0"/>
          <w:divBdr>
            <w:top w:val="none" w:sz="0" w:space="0" w:color="auto"/>
            <w:left w:val="none" w:sz="0" w:space="0" w:color="auto"/>
            <w:bottom w:val="none" w:sz="0" w:space="0" w:color="auto"/>
            <w:right w:val="none" w:sz="0" w:space="0" w:color="auto"/>
          </w:divBdr>
        </w:div>
        <w:div w:id="678194016">
          <w:marLeft w:val="0"/>
          <w:marRight w:val="0"/>
          <w:marTop w:val="0"/>
          <w:marBottom w:val="0"/>
          <w:divBdr>
            <w:top w:val="none" w:sz="0" w:space="0" w:color="auto"/>
            <w:left w:val="none" w:sz="0" w:space="0" w:color="auto"/>
            <w:bottom w:val="none" w:sz="0" w:space="0" w:color="auto"/>
            <w:right w:val="none" w:sz="0" w:space="0" w:color="auto"/>
          </w:divBdr>
        </w:div>
        <w:div w:id="768158775">
          <w:marLeft w:val="0"/>
          <w:marRight w:val="0"/>
          <w:marTop w:val="0"/>
          <w:marBottom w:val="0"/>
          <w:divBdr>
            <w:top w:val="none" w:sz="0" w:space="0" w:color="auto"/>
            <w:left w:val="none" w:sz="0" w:space="0" w:color="auto"/>
            <w:bottom w:val="none" w:sz="0" w:space="0" w:color="auto"/>
            <w:right w:val="none" w:sz="0" w:space="0" w:color="auto"/>
          </w:divBdr>
        </w:div>
        <w:div w:id="1315573544">
          <w:marLeft w:val="0"/>
          <w:marRight w:val="0"/>
          <w:marTop w:val="0"/>
          <w:marBottom w:val="0"/>
          <w:divBdr>
            <w:top w:val="none" w:sz="0" w:space="0" w:color="auto"/>
            <w:left w:val="none" w:sz="0" w:space="0" w:color="auto"/>
            <w:bottom w:val="none" w:sz="0" w:space="0" w:color="auto"/>
            <w:right w:val="none" w:sz="0" w:space="0" w:color="auto"/>
          </w:divBdr>
        </w:div>
        <w:div w:id="1328941484">
          <w:marLeft w:val="0"/>
          <w:marRight w:val="0"/>
          <w:marTop w:val="0"/>
          <w:marBottom w:val="0"/>
          <w:divBdr>
            <w:top w:val="none" w:sz="0" w:space="0" w:color="auto"/>
            <w:left w:val="none" w:sz="0" w:space="0" w:color="auto"/>
            <w:bottom w:val="none" w:sz="0" w:space="0" w:color="auto"/>
            <w:right w:val="none" w:sz="0" w:space="0" w:color="auto"/>
          </w:divBdr>
        </w:div>
        <w:div w:id="1931153723">
          <w:marLeft w:val="0"/>
          <w:marRight w:val="0"/>
          <w:marTop w:val="0"/>
          <w:marBottom w:val="0"/>
          <w:divBdr>
            <w:top w:val="none" w:sz="0" w:space="0" w:color="auto"/>
            <w:left w:val="none" w:sz="0" w:space="0" w:color="auto"/>
            <w:bottom w:val="none" w:sz="0" w:space="0" w:color="auto"/>
            <w:right w:val="none" w:sz="0" w:space="0" w:color="auto"/>
          </w:divBdr>
        </w:div>
        <w:div w:id="2128155615">
          <w:marLeft w:val="0"/>
          <w:marRight w:val="0"/>
          <w:marTop w:val="0"/>
          <w:marBottom w:val="0"/>
          <w:divBdr>
            <w:top w:val="none" w:sz="0" w:space="0" w:color="auto"/>
            <w:left w:val="none" w:sz="0" w:space="0" w:color="auto"/>
            <w:bottom w:val="none" w:sz="0" w:space="0" w:color="auto"/>
            <w:right w:val="none" w:sz="0" w:space="0" w:color="auto"/>
          </w:divBdr>
        </w:div>
      </w:divsChild>
    </w:div>
    <w:div w:id="1892885440">
      <w:bodyDiv w:val="1"/>
      <w:marLeft w:val="0"/>
      <w:marRight w:val="0"/>
      <w:marTop w:val="0"/>
      <w:marBottom w:val="0"/>
      <w:divBdr>
        <w:top w:val="none" w:sz="0" w:space="0" w:color="auto"/>
        <w:left w:val="none" w:sz="0" w:space="0" w:color="auto"/>
        <w:bottom w:val="none" w:sz="0" w:space="0" w:color="auto"/>
        <w:right w:val="none" w:sz="0" w:space="0" w:color="auto"/>
      </w:divBdr>
    </w:div>
    <w:div w:id="1900240668">
      <w:bodyDiv w:val="1"/>
      <w:marLeft w:val="0"/>
      <w:marRight w:val="0"/>
      <w:marTop w:val="0"/>
      <w:marBottom w:val="0"/>
      <w:divBdr>
        <w:top w:val="none" w:sz="0" w:space="0" w:color="auto"/>
        <w:left w:val="none" w:sz="0" w:space="0" w:color="auto"/>
        <w:bottom w:val="none" w:sz="0" w:space="0" w:color="auto"/>
        <w:right w:val="none" w:sz="0" w:space="0" w:color="auto"/>
      </w:divBdr>
    </w:div>
    <w:div w:id="1902711792">
      <w:bodyDiv w:val="1"/>
      <w:marLeft w:val="0"/>
      <w:marRight w:val="0"/>
      <w:marTop w:val="0"/>
      <w:marBottom w:val="0"/>
      <w:divBdr>
        <w:top w:val="none" w:sz="0" w:space="0" w:color="auto"/>
        <w:left w:val="none" w:sz="0" w:space="0" w:color="auto"/>
        <w:bottom w:val="none" w:sz="0" w:space="0" w:color="auto"/>
        <w:right w:val="none" w:sz="0" w:space="0" w:color="auto"/>
      </w:divBdr>
      <w:divsChild>
        <w:div w:id="505748633">
          <w:marLeft w:val="0"/>
          <w:marRight w:val="0"/>
          <w:marTop w:val="0"/>
          <w:marBottom w:val="0"/>
          <w:divBdr>
            <w:top w:val="none" w:sz="0" w:space="0" w:color="auto"/>
            <w:left w:val="none" w:sz="0" w:space="0" w:color="auto"/>
            <w:bottom w:val="none" w:sz="0" w:space="0" w:color="auto"/>
            <w:right w:val="none" w:sz="0" w:space="0" w:color="auto"/>
          </w:divBdr>
        </w:div>
        <w:div w:id="550770455">
          <w:marLeft w:val="0"/>
          <w:marRight w:val="0"/>
          <w:marTop w:val="0"/>
          <w:marBottom w:val="0"/>
          <w:divBdr>
            <w:top w:val="none" w:sz="0" w:space="0" w:color="auto"/>
            <w:left w:val="none" w:sz="0" w:space="0" w:color="auto"/>
            <w:bottom w:val="none" w:sz="0" w:space="0" w:color="auto"/>
            <w:right w:val="none" w:sz="0" w:space="0" w:color="auto"/>
          </w:divBdr>
        </w:div>
        <w:div w:id="1145973592">
          <w:marLeft w:val="0"/>
          <w:marRight w:val="0"/>
          <w:marTop w:val="0"/>
          <w:marBottom w:val="0"/>
          <w:divBdr>
            <w:top w:val="none" w:sz="0" w:space="0" w:color="auto"/>
            <w:left w:val="none" w:sz="0" w:space="0" w:color="auto"/>
            <w:bottom w:val="none" w:sz="0" w:space="0" w:color="auto"/>
            <w:right w:val="none" w:sz="0" w:space="0" w:color="auto"/>
          </w:divBdr>
        </w:div>
        <w:div w:id="1209416911">
          <w:marLeft w:val="0"/>
          <w:marRight w:val="0"/>
          <w:marTop w:val="0"/>
          <w:marBottom w:val="0"/>
          <w:divBdr>
            <w:top w:val="none" w:sz="0" w:space="0" w:color="auto"/>
            <w:left w:val="none" w:sz="0" w:space="0" w:color="auto"/>
            <w:bottom w:val="none" w:sz="0" w:space="0" w:color="auto"/>
            <w:right w:val="none" w:sz="0" w:space="0" w:color="auto"/>
          </w:divBdr>
        </w:div>
        <w:div w:id="1435050471">
          <w:marLeft w:val="0"/>
          <w:marRight w:val="0"/>
          <w:marTop w:val="0"/>
          <w:marBottom w:val="0"/>
          <w:divBdr>
            <w:top w:val="none" w:sz="0" w:space="0" w:color="auto"/>
            <w:left w:val="none" w:sz="0" w:space="0" w:color="auto"/>
            <w:bottom w:val="none" w:sz="0" w:space="0" w:color="auto"/>
            <w:right w:val="none" w:sz="0" w:space="0" w:color="auto"/>
          </w:divBdr>
        </w:div>
        <w:div w:id="1670056606">
          <w:marLeft w:val="0"/>
          <w:marRight w:val="0"/>
          <w:marTop w:val="0"/>
          <w:marBottom w:val="0"/>
          <w:divBdr>
            <w:top w:val="none" w:sz="0" w:space="0" w:color="auto"/>
            <w:left w:val="none" w:sz="0" w:space="0" w:color="auto"/>
            <w:bottom w:val="none" w:sz="0" w:space="0" w:color="auto"/>
            <w:right w:val="none" w:sz="0" w:space="0" w:color="auto"/>
          </w:divBdr>
        </w:div>
      </w:divsChild>
    </w:div>
    <w:div w:id="1954088097">
      <w:bodyDiv w:val="1"/>
      <w:marLeft w:val="0"/>
      <w:marRight w:val="0"/>
      <w:marTop w:val="0"/>
      <w:marBottom w:val="0"/>
      <w:divBdr>
        <w:top w:val="none" w:sz="0" w:space="0" w:color="auto"/>
        <w:left w:val="none" w:sz="0" w:space="0" w:color="auto"/>
        <w:bottom w:val="none" w:sz="0" w:space="0" w:color="auto"/>
        <w:right w:val="none" w:sz="0" w:space="0" w:color="auto"/>
      </w:divBdr>
    </w:div>
    <w:div w:id="2017462456">
      <w:bodyDiv w:val="1"/>
      <w:marLeft w:val="0"/>
      <w:marRight w:val="0"/>
      <w:marTop w:val="0"/>
      <w:marBottom w:val="0"/>
      <w:divBdr>
        <w:top w:val="none" w:sz="0" w:space="0" w:color="auto"/>
        <w:left w:val="none" w:sz="0" w:space="0" w:color="auto"/>
        <w:bottom w:val="none" w:sz="0" w:space="0" w:color="auto"/>
        <w:right w:val="none" w:sz="0" w:space="0" w:color="auto"/>
      </w:divBdr>
    </w:div>
    <w:div w:id="2026134052">
      <w:bodyDiv w:val="1"/>
      <w:marLeft w:val="0"/>
      <w:marRight w:val="0"/>
      <w:marTop w:val="0"/>
      <w:marBottom w:val="0"/>
      <w:divBdr>
        <w:top w:val="none" w:sz="0" w:space="0" w:color="auto"/>
        <w:left w:val="none" w:sz="0" w:space="0" w:color="auto"/>
        <w:bottom w:val="none" w:sz="0" w:space="0" w:color="auto"/>
        <w:right w:val="none" w:sz="0" w:space="0" w:color="auto"/>
      </w:divBdr>
    </w:div>
    <w:div w:id="2037610597">
      <w:bodyDiv w:val="1"/>
      <w:marLeft w:val="0"/>
      <w:marRight w:val="0"/>
      <w:marTop w:val="0"/>
      <w:marBottom w:val="0"/>
      <w:divBdr>
        <w:top w:val="none" w:sz="0" w:space="0" w:color="auto"/>
        <w:left w:val="none" w:sz="0" w:space="0" w:color="auto"/>
        <w:bottom w:val="none" w:sz="0" w:space="0" w:color="auto"/>
        <w:right w:val="none" w:sz="0" w:space="0" w:color="auto"/>
      </w:divBdr>
    </w:div>
    <w:div w:id="2074545196">
      <w:bodyDiv w:val="1"/>
      <w:marLeft w:val="0"/>
      <w:marRight w:val="0"/>
      <w:marTop w:val="0"/>
      <w:marBottom w:val="0"/>
      <w:divBdr>
        <w:top w:val="none" w:sz="0" w:space="0" w:color="auto"/>
        <w:left w:val="none" w:sz="0" w:space="0" w:color="auto"/>
        <w:bottom w:val="none" w:sz="0" w:space="0" w:color="auto"/>
        <w:right w:val="none" w:sz="0" w:space="0" w:color="auto"/>
      </w:divBdr>
    </w:div>
    <w:div w:id="2095783771">
      <w:bodyDiv w:val="1"/>
      <w:marLeft w:val="0"/>
      <w:marRight w:val="0"/>
      <w:marTop w:val="0"/>
      <w:marBottom w:val="0"/>
      <w:divBdr>
        <w:top w:val="none" w:sz="0" w:space="0" w:color="auto"/>
        <w:left w:val="none" w:sz="0" w:space="0" w:color="auto"/>
        <w:bottom w:val="none" w:sz="0" w:space="0" w:color="auto"/>
        <w:right w:val="none" w:sz="0" w:space="0" w:color="auto"/>
      </w:divBdr>
      <w:divsChild>
        <w:div w:id="227037708">
          <w:marLeft w:val="0"/>
          <w:marRight w:val="0"/>
          <w:marTop w:val="0"/>
          <w:marBottom w:val="0"/>
          <w:divBdr>
            <w:top w:val="none" w:sz="0" w:space="0" w:color="auto"/>
            <w:left w:val="none" w:sz="0" w:space="0" w:color="auto"/>
            <w:bottom w:val="none" w:sz="0" w:space="0" w:color="auto"/>
            <w:right w:val="none" w:sz="0" w:space="0" w:color="auto"/>
          </w:divBdr>
        </w:div>
        <w:div w:id="265815869">
          <w:marLeft w:val="0"/>
          <w:marRight w:val="0"/>
          <w:marTop w:val="0"/>
          <w:marBottom w:val="0"/>
          <w:divBdr>
            <w:top w:val="none" w:sz="0" w:space="0" w:color="auto"/>
            <w:left w:val="none" w:sz="0" w:space="0" w:color="auto"/>
            <w:bottom w:val="none" w:sz="0" w:space="0" w:color="auto"/>
            <w:right w:val="none" w:sz="0" w:space="0" w:color="auto"/>
          </w:divBdr>
        </w:div>
        <w:div w:id="718742056">
          <w:marLeft w:val="0"/>
          <w:marRight w:val="0"/>
          <w:marTop w:val="0"/>
          <w:marBottom w:val="0"/>
          <w:divBdr>
            <w:top w:val="none" w:sz="0" w:space="0" w:color="auto"/>
            <w:left w:val="none" w:sz="0" w:space="0" w:color="auto"/>
            <w:bottom w:val="none" w:sz="0" w:space="0" w:color="auto"/>
            <w:right w:val="none" w:sz="0" w:space="0" w:color="auto"/>
          </w:divBdr>
        </w:div>
        <w:div w:id="775977314">
          <w:marLeft w:val="0"/>
          <w:marRight w:val="0"/>
          <w:marTop w:val="0"/>
          <w:marBottom w:val="0"/>
          <w:divBdr>
            <w:top w:val="none" w:sz="0" w:space="0" w:color="auto"/>
            <w:left w:val="none" w:sz="0" w:space="0" w:color="auto"/>
            <w:bottom w:val="none" w:sz="0" w:space="0" w:color="auto"/>
            <w:right w:val="none" w:sz="0" w:space="0" w:color="auto"/>
          </w:divBdr>
        </w:div>
        <w:div w:id="809711077">
          <w:marLeft w:val="0"/>
          <w:marRight w:val="0"/>
          <w:marTop w:val="0"/>
          <w:marBottom w:val="0"/>
          <w:divBdr>
            <w:top w:val="none" w:sz="0" w:space="0" w:color="auto"/>
            <w:left w:val="none" w:sz="0" w:space="0" w:color="auto"/>
            <w:bottom w:val="none" w:sz="0" w:space="0" w:color="auto"/>
            <w:right w:val="none" w:sz="0" w:space="0" w:color="auto"/>
          </w:divBdr>
        </w:div>
        <w:div w:id="1099789834">
          <w:marLeft w:val="0"/>
          <w:marRight w:val="0"/>
          <w:marTop w:val="0"/>
          <w:marBottom w:val="0"/>
          <w:divBdr>
            <w:top w:val="none" w:sz="0" w:space="0" w:color="auto"/>
            <w:left w:val="none" w:sz="0" w:space="0" w:color="auto"/>
            <w:bottom w:val="none" w:sz="0" w:space="0" w:color="auto"/>
            <w:right w:val="none" w:sz="0" w:space="0" w:color="auto"/>
          </w:divBdr>
        </w:div>
        <w:div w:id="1485702595">
          <w:marLeft w:val="0"/>
          <w:marRight w:val="0"/>
          <w:marTop w:val="0"/>
          <w:marBottom w:val="0"/>
          <w:divBdr>
            <w:top w:val="none" w:sz="0" w:space="0" w:color="auto"/>
            <w:left w:val="none" w:sz="0" w:space="0" w:color="auto"/>
            <w:bottom w:val="none" w:sz="0" w:space="0" w:color="auto"/>
            <w:right w:val="none" w:sz="0" w:space="0" w:color="auto"/>
          </w:divBdr>
        </w:div>
        <w:div w:id="1936591626">
          <w:marLeft w:val="0"/>
          <w:marRight w:val="0"/>
          <w:marTop w:val="0"/>
          <w:marBottom w:val="0"/>
          <w:divBdr>
            <w:top w:val="none" w:sz="0" w:space="0" w:color="auto"/>
            <w:left w:val="none" w:sz="0" w:space="0" w:color="auto"/>
            <w:bottom w:val="none" w:sz="0" w:space="0" w:color="auto"/>
            <w:right w:val="none" w:sz="0" w:space="0" w:color="auto"/>
          </w:divBdr>
        </w:div>
        <w:div w:id="1948123458">
          <w:marLeft w:val="0"/>
          <w:marRight w:val="0"/>
          <w:marTop w:val="0"/>
          <w:marBottom w:val="0"/>
          <w:divBdr>
            <w:top w:val="none" w:sz="0" w:space="0" w:color="auto"/>
            <w:left w:val="none" w:sz="0" w:space="0" w:color="auto"/>
            <w:bottom w:val="none" w:sz="0" w:space="0" w:color="auto"/>
            <w:right w:val="none" w:sz="0" w:space="0" w:color="auto"/>
          </w:divBdr>
        </w:div>
        <w:div w:id="21096923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3" Type="http://schemas.openxmlformats.org/officeDocument/2006/relationships/hyperlink" Target="https://masshpc.gov/sites/default/files/DataPoints_Oral%20Health.pdf" TargetMode="External"/><Relationship Id="rId18" Type="http://schemas.openxmlformats.org/officeDocument/2006/relationships/hyperlink" Target="https://aap2.silverchair-cdn.com/aap2/content_public/autogen-pdf/cms/24676/24676.pdf?Expires=2147483647&amp;Signature=s1jNTksHD6tkdR0EnzrvQy3bDoTkInIU~z5USusElbXHBUul3IMJvqubN9m8A0-QSQe3Yh3G6ZlnWmS8NrMg8LXNOH8BGzTbXM6aoXoKSqZoMM9JBWL9yWKPZK2C~Rv6hTh6-7dKImRgu8ulNorKVvfnHth0VFRiRHNul3mUpWsVjX1rbFC8pfqSAhIkIqqDYOcwJY7t0ymHb8qjcA-2z4YfhhfdlgP~--70LetX8yDRdhHNFJ-qv0nNUFDKZanv6iZJcf-ykk2oNzWpIqQsAUQPR80cWM4QecMDp82R4HD0WLj-Fk2LlnsZUbcrlPGzMoISavRvpgPdG6T26KXdIQ__&amp;Key-Pair-Id=APKAIE5G5CRDK6RD3PGA" TargetMode="External"/><Relationship Id="rId26" Type="http://schemas.openxmlformats.org/officeDocument/2006/relationships/hyperlink" Target="https://publications.aap.org/pediatrics/article/154/2/e2024067603/197800/Oral-Health-Care-for-Children-and-Youth-With?autologincheck=redirected" TargetMode="External"/><Relationship Id="rId39" Type="http://schemas.openxmlformats.org/officeDocument/2006/relationships/hyperlink" Target="https://watermark02.silverchair.com/kranz_2025_oi_251024_1759501444.59061.pdf?token=AQECAHi208BE49Ooan9kkhW_Ercy7Dm3ZL_9Cf3qfKAc485ysgAAAlkwggJVBgkqhkiG9w0BBwagggJGMIICQgIBADCCAjsGCSqGSIb3DQEHATAeBglghkgBZQMEAS4wEQQMW6JyIrOie3dDr0MmAgEQgIICDH45DMKWg_9XV3Ncs6dvQNL_V78MxLZ92He-ml_uuHpYh_D6SXmBFtImO-SNM_Yicbmk8wAojWFgkidd4Qgi_D-szOW-3gXZv1nbDh3p0oVEy0o0y9m5IjR23K7-iYR4uTaAFFhaOJ7B4jk6HJ4Fq-ee75RLQqD-36P8RCh_bAvg70xnwHPhqy2xcFuVwUEaENz0k1deyALAktHVrRL1mNQz7ag9LVlAAf08CK6BR-Sfl-Jz5Yw5eJI18cRJBLMYBq_4kbD_mLcoiEqITXtWkiMwCg_cWLNlfvCs7Obk-UBJUs0EIPEyqCyyum6qG5SfziRU9l_Re7XL9d7cVDtih2_vhDTRN40viITzzMPCpeItF-ar25zC3h85e1QtNye99r0dgXkGPt79A--ei8wxhqI8db3pDkKSj_38HVuzUhMjI9hUHYTD7jBfT8U0XO3UP52NPaJu7vhDpOIlR4ihGGXS_8F9Ft5UEuOvFB6FuLy3cWb4EDIJdyACsYuZ7uYp5Yi9Q4J3PCj3T8ObTmVaaHkS54AzGp8R9zxGdGPejla0xfGUCGD8oMZQkZqAnAavBiRtEleNd169_cqzbxjO3cz2emazOGpYrD7eZBPzzRSt87vZFFBL-5_VLD5i058rTAcz0ydRyImVl-QXzjI5J1qego5bZgF0wkLNUrl4-iGcGP9KfOy7Vrv8uTW3" TargetMode="External"/><Relationship Id="rId21" Type="http://schemas.openxmlformats.org/officeDocument/2006/relationships/hyperlink" Target="https://pmc.ncbi.nlm.nih.gov/articles/PMC11416710/pdf/cureus-0016-00000067561.pdf" TargetMode="External"/><Relationship Id="rId34" Type="http://schemas.openxmlformats.org/officeDocument/2006/relationships/hyperlink" Target="https://pmc.ncbi.nlm.nih.gov/articles/PMC11416710/pdf/cureus-0016-00000067561.pdf" TargetMode="External"/><Relationship Id="rId42" Type="http://schemas.openxmlformats.org/officeDocument/2006/relationships/hyperlink" Target="https://pmc.ncbi.nlm.nih.gov/articles/PMC9773414/pdf/i1878-7177-69-4-3.pdf" TargetMode="External"/><Relationship Id="rId7" Type="http://schemas.openxmlformats.org/officeDocument/2006/relationships/hyperlink" Target="https://www.kff.org/medicaid/access-to-dental-care-in-medicaid-spotlight-on-nonelderly-adults/" TargetMode="External"/><Relationship Id="rId2" Type="http://schemas.openxmlformats.org/officeDocument/2006/relationships/hyperlink" Target="https://www.mass.gov/doc/2028-2032-1115-demonstration-extension-update-posted-april-2026-0/download" TargetMode="External"/><Relationship Id="rId16" Type="http://schemas.openxmlformats.org/officeDocument/2006/relationships/hyperlink" Target="https://www.cdc.gov/oral-health/health-equity/index.html" TargetMode="External"/><Relationship Id="rId29" Type="http://schemas.openxmlformats.org/officeDocument/2006/relationships/hyperlink" Target="https://publications.aap.org/pediatrics/article/154/2/e2024067603/197800/Oral-Health-Care-for-Children-and-Youth-With?autologincheck=redirected" TargetMode="External"/><Relationship Id="rId1" Type="http://schemas.openxmlformats.org/officeDocument/2006/relationships/hyperlink" Target="https://www.beckersasc.com/asc-transactions-and-valuation-issues/pe-firm-acquires-majority-stake-in-blue-cloud/" TargetMode="External"/><Relationship Id="rId6" Type="http://schemas.openxmlformats.org/officeDocument/2006/relationships/hyperlink" Target="https://www.mass.gov/doc/child-and-adolescent-oral-health-overview-0/download" TargetMode="External"/><Relationship Id="rId11" Type="http://schemas.openxmlformats.org/officeDocument/2006/relationships/hyperlink" Target="https://masshpc.gov/sites/default/files/DataPoints_Oral%20Health.pdf" TargetMode="External"/><Relationship Id="rId24" Type="http://schemas.openxmlformats.org/officeDocument/2006/relationships/hyperlink" Target="https://pmc.ncbi.nlm.nih.gov/articles/PMC11416710/pdf/cureus-0016-00000067561.pdf" TargetMode="External"/><Relationship Id="rId32" Type="http://schemas.openxmlformats.org/officeDocument/2006/relationships/hyperlink" Target="https://www.chiamass.gov/assets/docs/r/survey/MHIS-2025/2025-MHIS-Report.pdf" TargetMode="External"/><Relationship Id="rId37" Type="http://schemas.openxmlformats.org/officeDocument/2006/relationships/hyperlink" Target="https://watermark02.silverchair.com/kranz_2025_oi_251024_1759501444.59061.pdf?token=AQECAHi208BE49Ooan9kkhW_Ercy7Dm3ZL_9Cf3qfKAc485ysgAAAlkwggJVBgkqhkiG9w0BBwagggJGMIICQgIBADCCAjsGCSqGSIb3DQEHATAeBglghkgBZQMEAS4wEQQMW6JyIrOie3dDr0MmAgEQgIICDH45DMKWg_9XV3Ncs6dvQNL_V78MxLZ92He-ml_uuHpYh_D6SXmBFtImO-SNM_Yicbmk8wAojWFgkidd4Qgi_D-szOW-3gXZv1nbDh3p0oVEy0o0y9m5IjR23K7-iYR4uTaAFFhaOJ7B4jk6HJ4Fq-ee75RLQqD-36P8RCh_bAvg70xnwHPhqy2xcFuVwUEaENz0k1deyALAktHVrRL1mNQz7ag9LVlAAf08CK6BR-Sfl-Jz5Yw5eJI18cRJBLMYBq_4kbD_mLcoiEqITXtWkiMwCg_cWLNlfvCs7Obk-UBJUs0EIPEyqCyyum6qG5SfziRU9l_Re7XL9d7cVDtih2_vhDTRN40viITzzMPCpeItF-ar25zC3h85e1QtNye99r0dgXkGPt79A--ei8wxhqI8db3pDkKSj_38HVuzUhMjI9hUHYTD7jBfT8U0XO3UP52NPaJu7vhDpOIlR4ihGGXS_8F9Ft5UEuOvFB6FuLy3cWb4EDIJdyACsYuZ7uYp5Yi9Q4J3PCj3T8ObTmVaaHkS54AzGp8R9zxGdGPejla0xfGUCGD8oMZQkZqAnAavBiRtEleNd169_cqzbxjO3cz2emazOGpYrD7eZBPzzRSt87vZFFBL-5_VLD5i058rTAcz0ydRyImVl-QXzjI5J1qego5bZgF0wkLNUrl4-iGcGP9KfOy7Vrv8uTW3" TargetMode="External"/><Relationship Id="rId40" Type="http://schemas.openxmlformats.org/officeDocument/2006/relationships/hyperlink" Target="https://watermark02.silverchair.com/kranz_2025_oi_251024_1759501444.59061.pdf?token=AQECAHi208BE49Ooan9kkhW_Ercy7Dm3ZL_9Cf3qfKAc485ysgAAAlkwggJVBgkqhkiG9w0BBwagggJGMIICQgIBADCCAjsGCSqGSIb3DQEHATAeBglghkgBZQMEAS4wEQQMW6JyIrOie3dDr0MmAgEQgIICDH45DMKWg_9XV3Ncs6dvQNL_V78MxLZ92He-ml_uuHpYh_D6SXmBFtImO-SNM_Yicbmk8wAojWFgkidd4Qgi_D-szOW-3gXZv1nbDh3p0oVEy0o0y9m5IjR23K7-iYR4uTaAFFhaOJ7B4jk6HJ4Fq-ee75RLQqD-36P8RCh_bAvg70xnwHPhqy2xcFuVwUEaENz0k1deyALAktHVrRL1mNQz7ag9LVlAAf08CK6BR-Sfl-Jz5Yw5eJI18cRJBLMYBq_4kbD_mLcoiEqITXtWkiMwCg_cWLNlfvCs7Obk-UBJUs0EIPEyqCyyum6qG5SfziRU9l_Re7XL9d7cVDtih2_vhDTRN40viITzzMPCpeItF-ar25zC3h85e1QtNye99r0dgXkGPt79A--ei8wxhqI8db3pDkKSj_38HVuzUhMjI9hUHYTD7jBfT8U0XO3UP52NPaJu7vhDpOIlR4ihGGXS_8F9Ft5UEuOvFB6FuLy3cWb4EDIJdyACsYuZ7uYp5Yi9Q4J3PCj3T8ObTmVaaHkS54AzGp8R9zxGdGPejla0xfGUCGD8oMZQkZqAnAavBiRtEleNd169_cqzbxjO3cz2emazOGpYrD7eZBPzzRSt87vZFFBL-5_VLD5i058rTAcz0ydRyImVl-QXzjI5J1qego5bZgF0wkLNUrl4-iGcGP9KfOy7Vrv8uTW3" TargetMode="External"/><Relationship Id="rId45" Type="http://schemas.openxmlformats.org/officeDocument/2006/relationships/hyperlink" Target="https://pmc.ncbi.nlm.nih.gov/articles/PMC9773414/pdf/i1878-7177-69-4-3.pdf" TargetMode="External"/><Relationship Id="rId5" Type="http://schemas.openxmlformats.org/officeDocument/2006/relationships/hyperlink" Target="https://odphp.health.gov/healthypeople/objectives-and-data/browse-objectives/oral-conditions" TargetMode="External"/><Relationship Id="rId15" Type="http://schemas.openxmlformats.org/officeDocument/2006/relationships/hyperlink" Target="https://odphp.health.gov/healthypeople/objectives-and-data/browse-objectives/health-care/increase-use-oral-health-care-system-oh-08/infographic" TargetMode="External"/><Relationship Id="rId23" Type="http://schemas.openxmlformats.org/officeDocument/2006/relationships/hyperlink" Target="https://pmc.ncbi.nlm.nih.gov/articles/PMC11416710/pdf/cureus-0016-00000067561.pdf" TargetMode="External"/><Relationship Id="rId28" Type="http://schemas.openxmlformats.org/officeDocument/2006/relationships/hyperlink" Target="https://publications.aap.org/pediatrics/article/154/2/e2024067603/197800/Oral-Health-Care-for-Children-and-Youth-With?autologincheck=redirected" TargetMode="External"/><Relationship Id="rId36" Type="http://schemas.openxmlformats.org/officeDocument/2006/relationships/hyperlink" Target="https://watermark02.silverchair.com/kranz_2025_oi_251024_1759501444.59061.pdf?token=AQECAHi208BE49Ooan9kkhW_Ercy7Dm3ZL_9Cf3qfKAc485ysgAAAlkwggJVBgkqhkiG9w0BBwagggJGMIICQgIBADCCAjsGCSqGSIb3DQEHATAeBglghkgBZQMEAS4wEQQMW6JyIrOie3dDr0MmAgEQgIICDH45DMKWg_9XV3Ncs6dvQNL_V78MxLZ92He-ml_uuHpYh_D6SXmBFtImO-SNM_Yicbmk8wAojWFgkidd4Qgi_D-szOW-3gXZv1nbDh3p0oVEy0o0y9m5IjR23K7-iYR4uTaAFFhaOJ7B4jk6HJ4Fq-ee75RLQqD-36P8RCh_bAvg70xnwHPhqy2xcFuVwUEaENz0k1deyALAktHVrRL1mNQz7ag9LVlAAf08CK6BR-Sfl-Jz5Yw5eJI18cRJBLMYBq_4kbD_mLcoiEqITXtWkiMwCg_cWLNlfvCs7Obk-UBJUs0EIPEyqCyyum6qG5SfziRU9l_Re7XL9d7cVDtih2_vhDTRN40viITzzMPCpeItF-ar25zC3h85e1QtNye99r0dgXkGPt79A--ei8wxhqI8db3pDkKSj_38HVuzUhMjI9hUHYTD7jBfT8U0XO3UP52NPaJu7vhDpOIlR4ihGGXS_8F9Ft5UEuOvFB6FuLy3cWb4EDIJdyACsYuZ7uYp5Yi9Q4J3PCj3T8ObTmVaaHkS54AzGp8R9zxGdGPejla0xfGUCGD8oMZQkZqAnAavBiRtEleNd169_cqzbxjO3cz2emazOGpYrD7eZBPzzRSt87vZFFBL-5_VLD5i058rTAcz0ydRyImVl-QXzjI5J1qego5bZgF0wkLNUrl4-iGcGP9KfOy7Vrv8uTW3" TargetMode="External"/><Relationship Id="rId10" Type="http://schemas.openxmlformats.org/officeDocument/2006/relationships/hyperlink" Target="https://masshpc.gov/sites/default/files/DataPoints_Oral%20Health.pdf" TargetMode="External"/><Relationship Id="rId19" Type="http://schemas.openxmlformats.org/officeDocument/2006/relationships/hyperlink" Target="https://pubmed.ncbi.nlm.nih.gov/37500236/" TargetMode="External"/><Relationship Id="rId31" Type="http://schemas.openxmlformats.org/officeDocument/2006/relationships/hyperlink" Target="https://www.chiamass.gov/assets/docs/r/survey/mhis-2019/2019-MHIS-Report.pdf" TargetMode="External"/><Relationship Id="rId44" Type="http://schemas.openxmlformats.org/officeDocument/2006/relationships/hyperlink" Target="https://pmc.ncbi.nlm.nih.gov/articles/PMC9773414/pdf/i1878-7177-69-4-3.pdf" TargetMode="External"/><Relationship Id="rId4" Type="http://schemas.openxmlformats.org/officeDocument/2006/relationships/hyperlink" Target="https://www.dentalmanagers.com/blog/in-office-pediatric-dental-sedation-vs-operating-room/" TargetMode="External"/><Relationship Id="rId9" Type="http://schemas.openxmlformats.org/officeDocument/2006/relationships/hyperlink" Target="https://masshpc.gov/sites/default/files/DataPoints_Oral%20Health.pdf" TargetMode="External"/><Relationship Id="rId14" Type="http://schemas.openxmlformats.org/officeDocument/2006/relationships/hyperlink" Target="https://www.commbuys.com/bso/external/bidDetail.sda?docId=BD-23-1039-EHS01-ASHWA-88807&amp;external=true&amp;parentUrl=bid" TargetMode="External"/><Relationship Id="rId22" Type="http://schemas.openxmlformats.org/officeDocument/2006/relationships/hyperlink" Target="https://pmc.ncbi.nlm.nih.gov/articles/PMC11416710/pdf/cureus-0016-00000067561.pdf" TargetMode="External"/><Relationship Id="rId27" Type="http://schemas.openxmlformats.org/officeDocument/2006/relationships/hyperlink" Target="https://publications.aap.org/pediatrics/article/154/2/e2024067603/197800/Oral-Health-Care-for-Children-and-Youth-With?autologincheck=redirected" TargetMode="External"/><Relationship Id="rId30" Type="http://schemas.openxmlformats.org/officeDocument/2006/relationships/hyperlink" Target="https://publications.aap.org/pediatrics/article/154/2/e2024067603/197800/Oral-Health-Care-for-Children-and-Youth-With?autologincheck=redirected" TargetMode="External"/><Relationship Id="rId35" Type="http://schemas.openxmlformats.org/officeDocument/2006/relationships/hyperlink" Target="https://masshpc.gov/sites/default/files/DataPoints_ASC_26.pdf" TargetMode="External"/><Relationship Id="rId43" Type="http://schemas.openxmlformats.org/officeDocument/2006/relationships/hyperlink" Target="https://pmc.ncbi.nlm.nih.gov/articles/PMC9773414/pdf/i1878-7177-69-4-3.pdf" TargetMode="External"/><Relationship Id="rId8" Type="http://schemas.openxmlformats.org/officeDocument/2006/relationships/hyperlink" Target="https://www.mass.gov/doc/child-and-adolescent-oral-health-overview-0/download" TargetMode="External"/><Relationship Id="rId3" Type="http://schemas.openxmlformats.org/officeDocument/2006/relationships/hyperlink" Target="https://data.census.gov/table/ACSDT1Y2024.B27010?q=coverage+type+age&amp;g=040XX00US25_050XX00US25009,25017,25025&amp;moe=false" TargetMode="External"/><Relationship Id="rId12" Type="http://schemas.openxmlformats.org/officeDocument/2006/relationships/hyperlink" Target="https://masshpc.gov/sites/default/files/DataPoints_Oral%20Health.pdf" TargetMode="External"/><Relationship Id="rId17" Type="http://schemas.openxmlformats.org/officeDocument/2006/relationships/hyperlink" Target="https://pmc.ncbi.nlm.nih.gov/articles/PMC3576783/pdf/jcdr-7-178.pdf" TargetMode="External"/><Relationship Id="rId25" Type="http://schemas.openxmlformats.org/officeDocument/2006/relationships/hyperlink" Target="https://publications.aap.org/pediatrics/article/154/2/e2024067603/197800/Oral-Health-Care-for-Children-and-Youth-With?autologincheck=redirected" TargetMode="External"/><Relationship Id="rId33" Type="http://schemas.openxmlformats.org/officeDocument/2006/relationships/hyperlink" Target="https://www.mass.gov/doc/2021-health-care-cost-trends-report/download" TargetMode="External"/><Relationship Id="rId38" Type="http://schemas.openxmlformats.org/officeDocument/2006/relationships/hyperlink" Target="https://watermark02.silverchair.com/kranz_2025_oi_251024_1759501444.59061.pdf?token=AQECAHi208BE49Ooan9kkhW_Ercy7Dm3ZL_9Cf3qfKAc485ysgAAAlkwggJVBgkqhkiG9w0BBwagggJGMIICQgIBADCCAjsGCSqGSIb3DQEHATAeBglghkgBZQMEAS4wEQQMW6JyIrOie3dDr0MmAgEQgIICDH45DMKWg_9XV3Ncs6dvQNL_V78MxLZ92He-ml_uuHpYh_D6SXmBFtImO-SNM_Yicbmk8wAojWFgkidd4Qgi_D-szOW-3gXZv1nbDh3p0oVEy0o0y9m5IjR23K7-iYR4uTaAFFhaOJ7B4jk6HJ4Fq-ee75RLQqD-36P8RCh_bAvg70xnwHPhqy2xcFuVwUEaENz0k1deyALAktHVrRL1mNQz7ag9LVlAAf08CK6BR-Sfl-Jz5Yw5eJI18cRJBLMYBq_4kbD_mLcoiEqITXtWkiMwCg_cWLNlfvCs7Obk-UBJUs0EIPEyqCyyum6qG5SfziRU9l_Re7XL9d7cVDtih2_vhDTRN40viITzzMPCpeItF-ar25zC3h85e1QtNye99r0dgXkGPt79A--ei8wxhqI8db3pDkKSj_38HVuzUhMjI9hUHYTD7jBfT8U0XO3UP52NPaJu7vhDpOIlR4ihGGXS_8F9Ft5UEuOvFB6FuLy3cWb4EDIJdyACsYuZ7uYp5Yi9Q4J3PCj3T8ObTmVaaHkS54AzGp8R9zxGdGPejla0xfGUCGD8oMZQkZqAnAavBiRtEleNd169_cqzbxjO3cz2emazOGpYrD7eZBPzzRSt87vZFFBL-5_VLD5i058rTAcz0ydRyImVl-QXzjI5J1qego5bZgF0wkLNUrl4-iGcGP9KfOy7Vrv8uTW3" TargetMode="External"/><Relationship Id="rId20" Type="http://schemas.openxmlformats.org/officeDocument/2006/relationships/hyperlink" Target="https://pmc.ncbi.nlm.nih.gov/articles/PMC11416710/pdf/cureus-0016-00000067561.pdf" TargetMode="External"/><Relationship Id="rId41" Type="http://schemas.openxmlformats.org/officeDocument/2006/relationships/hyperlink" Target="https://pmc.ncbi.nlm.nih.gov/articles/PMC9773414/pdf/i1878-7177-69-4-3.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nvestopedia.com/terms/d/debtequityratio.asp" TargetMode="External"/><Relationship Id="rId2" Type="http://schemas.openxmlformats.org/officeDocument/2006/relationships/hyperlink" Target="https://www.mass.gov/doc/rates-for-surgery-and-anesthesia-services-effective-january-1-2025-0/download" TargetMode="External"/><Relationship Id="rId1" Type="http://schemas.openxmlformats.org/officeDocument/2006/relationships/hyperlink" Target="https://www.mass.gov/doc/freestanding-ambulatory-surgery-center-fas-subchapter-6-0/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E6AA6-D2FF-4393-B423-05AF53D318C3}">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1872</TotalTime>
  <Pages>37</Pages>
  <Words>13356</Words>
  <Characters>76134</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Emerson Endoscopy Staff Report</vt:lpstr>
    </vt:vector>
  </TitlesOfParts>
  <Company/>
  <LinksUpToDate>false</LinksUpToDate>
  <CharactersWithSpaces>89312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Cloud Staff Report</dc:title>
  <dc:subject/>
  <dc:creator>Lynn</dc:creator>
  <cp:keywords/>
  <cp:lastModifiedBy>Marks, Brett (DPH)</cp:lastModifiedBy>
  <cp:revision>1773</cp:revision>
  <cp:lastPrinted>2026-09-17T17:47:00Z</cp:lastPrinted>
  <dcterms:created xsi:type="dcterms:W3CDTF">2026-03-21T05:17:00Z</dcterms:created>
  <dcterms:modified xsi:type="dcterms:W3CDTF">2026-09-25T15:19:00Z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2021-01-06T00:00:00Z</vt:filetime>
  </property>
  <property fmtid="{D5CDD505-2E9C-101B-9397-08002B2CF9AE}" pid="3" name="Creator">
    <vt:lpwstr>Acrobat PDFMaker 17 for Word</vt:lpwstr>
  </property>
  <property fmtid="{D5CDD505-2E9C-101B-9397-08002B2CF9AE}" pid="4" name="LastSaved">
    <vt:filetime>2021-01-08T00:00:00Z</vt:filetime>
  </property>
</Properties>
</file>