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Caption w:val="Staff Report"/>
        <w:tblDescription w:val="STAFF REPORT TO THE PUBLIC HEALTH COUNCIL&#10;FOR A DETERMINATION OF NEED&#10;Applicant Name  Heywood Healthcare, Inc. &#10;Applicant Address  242 Green Street Gardner, MA &#10;Filing Date August 3, 2021&#10;Type of DoN Application Substantial Capital Expenditure &#10;Total Value $37,960,521.00&#10;Project Number HH-21071315-HE&#10;Ten Taxpayer Group (TTG) None &#10;Community Health Initiative (CHI)  $1,898,026.05&#10;Staff Recommendation Approval &#10;Public Health Council November 10, 2021&#10;Project Summary and Regulatory Review&#10;Heywood Healthcare, Inc. (Applicant), submitted an application for a substantial capital expenditure to expand their surgical capacity through construction of a 40,115 gross square foot (gsf) surgical pavilion addition that will include the following: six operating rooms (ORs) – replacing the existing four ORs and adding two new ORs; 18 pre/post procedure patient care stations; central storage, and separate clean and dirty elevators; and 11,057 gsf of shell space for build out for future use. The capital expenditure for the Proposed Project is $37,960,521; and the Community Health Initiatives (CHI) commitment is $1,898,026.05.&#10;&#10;This DoN application falls within the definition of Substantial Capital Expenditure, which are reviewed under the DoN regulation 105 CMR 100.000. The Department must determine that need exists for a Proposed Project, on the basis of material in the record, where the Applicant makes a clear and convincing demonstration that the Proposed Project meets each Determination of Need Factor set forth within 105 CMR 100.210. This staff report addresses each of the six factors set forth in the regulation.&#10;&#10;The Department did not receive any written comments on this application nor were any Ten&#10;Taxpayer Groups formed.&#10;"/>
      </w:tblPr>
      <w:tblGrid>
        <w:gridCol w:w="4607"/>
        <w:gridCol w:w="4743"/>
      </w:tblGrid>
      <w:tr w:rsidR="009171E6" w:rsidRPr="007B1C0B" w14:paraId="5EB01BCA" w14:textId="77777777" w:rsidTr="00304CF1">
        <w:trPr>
          <w:trHeight w:val="350"/>
          <w:tblHeader/>
        </w:trPr>
        <w:tc>
          <w:tcPr>
            <w:tcW w:w="0" w:type="auto"/>
            <w:shd w:val="clear" w:color="auto" w:fill="D9E2F3" w:themeFill="accent1" w:themeFillTint="33"/>
            <w:vAlign w:val="center"/>
          </w:tcPr>
          <w:p w14:paraId="32805A95" w14:textId="0783491E" w:rsidR="009171E6" w:rsidRPr="00515206" w:rsidRDefault="009171E6" w:rsidP="00A67E02">
            <w:pPr>
              <w:pStyle w:val="NoSpacing"/>
              <w:ind w:right="540"/>
              <w:contextualSpacing/>
              <w:jc w:val="center"/>
              <w:rPr>
                <w:rFonts w:cstheme="minorHAnsi"/>
                <w:b/>
                <w:sz w:val="24"/>
                <w:szCs w:val="24"/>
              </w:rPr>
            </w:pPr>
            <w:r w:rsidRPr="00515206">
              <w:rPr>
                <w:rFonts w:cstheme="minorHAnsi"/>
                <w:b/>
                <w:sz w:val="24"/>
                <w:szCs w:val="24"/>
              </w:rPr>
              <w:t xml:space="preserve">STAFF REPORT TO THE PUBLIC HEALTH COUNCIL </w:t>
            </w:r>
            <w:r w:rsidRPr="00515206">
              <w:rPr>
                <w:rFonts w:cstheme="minorHAnsi"/>
                <w:b/>
                <w:sz w:val="24"/>
                <w:szCs w:val="24"/>
              </w:rPr>
              <w:t>FOR A DETERMINATION OF NEED</w:t>
            </w:r>
          </w:p>
        </w:tc>
        <w:tc>
          <w:tcPr>
            <w:tcW w:w="0" w:type="auto"/>
            <w:shd w:val="clear" w:color="auto" w:fill="D9E2F3" w:themeFill="accent1" w:themeFillTint="33"/>
            <w:vAlign w:val="center"/>
          </w:tcPr>
          <w:p w14:paraId="56C5007A" w14:textId="78665047" w:rsidR="009171E6" w:rsidRPr="00515206" w:rsidRDefault="009171E6" w:rsidP="00A67E02">
            <w:pPr>
              <w:pStyle w:val="Header"/>
              <w:ind w:right="540"/>
              <w:contextualSpacing/>
              <w:jc w:val="center"/>
              <w:rPr>
                <w:rFonts w:cstheme="minorHAnsi"/>
                <w:b/>
                <w:sz w:val="24"/>
                <w:szCs w:val="24"/>
              </w:rPr>
            </w:pPr>
          </w:p>
        </w:tc>
      </w:tr>
      <w:tr w:rsidR="00DF2366" w:rsidRPr="007B1C0B" w14:paraId="45C24D2A" w14:textId="77777777" w:rsidTr="009171E6">
        <w:trPr>
          <w:trHeight w:val="413"/>
        </w:trPr>
        <w:tc>
          <w:tcPr>
            <w:tcW w:w="4401" w:type="dxa"/>
            <w:shd w:val="clear" w:color="auto" w:fill="auto"/>
            <w:vAlign w:val="center"/>
          </w:tcPr>
          <w:p w14:paraId="2526FB90" w14:textId="77777777" w:rsidR="0004645C" w:rsidRPr="00515206" w:rsidRDefault="0004645C" w:rsidP="00A67E02">
            <w:pPr>
              <w:ind w:right="540"/>
              <w:contextualSpacing/>
              <w:rPr>
                <w:rFonts w:cstheme="minorHAnsi"/>
                <w:sz w:val="24"/>
                <w:szCs w:val="24"/>
              </w:rPr>
            </w:pPr>
            <w:r w:rsidRPr="00515206">
              <w:rPr>
                <w:rFonts w:cstheme="minorHAnsi"/>
                <w:sz w:val="24"/>
                <w:szCs w:val="24"/>
              </w:rPr>
              <w:t xml:space="preserve">Applicant Name </w:t>
            </w:r>
          </w:p>
        </w:tc>
        <w:tc>
          <w:tcPr>
            <w:tcW w:w="4949" w:type="dxa"/>
            <w:shd w:val="clear" w:color="auto" w:fill="auto"/>
            <w:vAlign w:val="center"/>
          </w:tcPr>
          <w:p w14:paraId="638D7B5B" w14:textId="6058F25F" w:rsidR="0004645C" w:rsidRPr="00515206" w:rsidRDefault="00BE45D2" w:rsidP="00A67E02">
            <w:pPr>
              <w:ind w:right="540"/>
              <w:contextualSpacing/>
              <w:rPr>
                <w:rFonts w:cstheme="minorHAnsi"/>
                <w:sz w:val="24"/>
                <w:szCs w:val="24"/>
              </w:rPr>
            </w:pPr>
            <w:r>
              <w:rPr>
                <w:rFonts w:cstheme="minorHAnsi"/>
                <w:sz w:val="24"/>
                <w:szCs w:val="24"/>
              </w:rPr>
              <w:t xml:space="preserve">Heywood Healthcare, Inc. </w:t>
            </w:r>
          </w:p>
        </w:tc>
      </w:tr>
      <w:tr w:rsidR="00DF2366" w:rsidRPr="007B1C0B" w14:paraId="3239374E" w14:textId="77777777" w:rsidTr="009171E6">
        <w:trPr>
          <w:trHeight w:val="357"/>
        </w:trPr>
        <w:tc>
          <w:tcPr>
            <w:tcW w:w="4401" w:type="dxa"/>
            <w:shd w:val="clear" w:color="auto" w:fill="auto"/>
            <w:vAlign w:val="center"/>
          </w:tcPr>
          <w:p w14:paraId="4A172ECE" w14:textId="77777777" w:rsidR="0004645C" w:rsidRPr="00515206" w:rsidRDefault="0004645C" w:rsidP="00A67E02">
            <w:pPr>
              <w:ind w:right="540"/>
              <w:contextualSpacing/>
              <w:rPr>
                <w:rFonts w:cstheme="minorHAnsi"/>
                <w:sz w:val="24"/>
                <w:szCs w:val="24"/>
              </w:rPr>
            </w:pPr>
            <w:r w:rsidRPr="00515206">
              <w:rPr>
                <w:rFonts w:cstheme="minorHAnsi"/>
                <w:sz w:val="24"/>
                <w:szCs w:val="24"/>
              </w:rPr>
              <w:t xml:space="preserve">Applicant Address </w:t>
            </w:r>
          </w:p>
        </w:tc>
        <w:tc>
          <w:tcPr>
            <w:tcW w:w="4949" w:type="dxa"/>
            <w:shd w:val="clear" w:color="auto" w:fill="auto"/>
            <w:vAlign w:val="center"/>
          </w:tcPr>
          <w:p w14:paraId="1430E120" w14:textId="623D72E5" w:rsidR="0004645C" w:rsidRPr="00515206" w:rsidRDefault="00BE45D2" w:rsidP="00DF2366">
            <w:pPr>
              <w:ind w:right="540"/>
              <w:contextualSpacing/>
              <w:rPr>
                <w:rFonts w:cstheme="minorHAnsi"/>
                <w:sz w:val="24"/>
                <w:szCs w:val="24"/>
                <w:lang w:val="fr-FR"/>
              </w:rPr>
            </w:pPr>
            <w:r>
              <w:rPr>
                <w:rFonts w:cstheme="minorHAnsi"/>
                <w:sz w:val="24"/>
                <w:szCs w:val="24"/>
                <w:lang w:val="fr-FR"/>
              </w:rPr>
              <w:t xml:space="preserve">242 Green Street Gardner, MA </w:t>
            </w:r>
          </w:p>
        </w:tc>
      </w:tr>
      <w:tr w:rsidR="00DF2366" w:rsidRPr="007B1C0B" w14:paraId="7699AB21" w14:textId="77777777" w:rsidTr="009171E6">
        <w:trPr>
          <w:trHeight w:val="377"/>
        </w:trPr>
        <w:tc>
          <w:tcPr>
            <w:tcW w:w="4401" w:type="dxa"/>
            <w:shd w:val="clear" w:color="auto" w:fill="auto"/>
            <w:vAlign w:val="center"/>
          </w:tcPr>
          <w:p w14:paraId="580B8B65" w14:textId="77777777" w:rsidR="0004645C" w:rsidRPr="00515206" w:rsidRDefault="0004645C" w:rsidP="00A67E02">
            <w:pPr>
              <w:ind w:right="540"/>
              <w:contextualSpacing/>
              <w:rPr>
                <w:rFonts w:cstheme="minorHAnsi"/>
                <w:sz w:val="24"/>
                <w:szCs w:val="24"/>
              </w:rPr>
            </w:pPr>
            <w:r w:rsidRPr="00515206">
              <w:rPr>
                <w:rFonts w:cstheme="minorHAnsi"/>
                <w:sz w:val="24"/>
                <w:szCs w:val="24"/>
              </w:rPr>
              <w:t>Filing Date</w:t>
            </w:r>
          </w:p>
        </w:tc>
        <w:tc>
          <w:tcPr>
            <w:tcW w:w="4949" w:type="dxa"/>
            <w:shd w:val="clear" w:color="auto" w:fill="auto"/>
            <w:vAlign w:val="center"/>
          </w:tcPr>
          <w:p w14:paraId="4DEF7649" w14:textId="4E4EA4E2" w:rsidR="0004645C" w:rsidRPr="00515206" w:rsidRDefault="00BE45D2" w:rsidP="00A67E02">
            <w:pPr>
              <w:ind w:right="540"/>
              <w:contextualSpacing/>
              <w:rPr>
                <w:rFonts w:cstheme="minorHAnsi"/>
                <w:sz w:val="24"/>
                <w:szCs w:val="24"/>
              </w:rPr>
            </w:pPr>
            <w:r>
              <w:rPr>
                <w:rFonts w:cstheme="minorHAnsi"/>
                <w:sz w:val="24"/>
                <w:szCs w:val="24"/>
              </w:rPr>
              <w:t>August</w:t>
            </w:r>
            <w:r w:rsidR="00BD649B">
              <w:rPr>
                <w:rFonts w:cstheme="minorHAnsi"/>
                <w:sz w:val="24"/>
                <w:szCs w:val="24"/>
              </w:rPr>
              <w:t xml:space="preserve"> 3</w:t>
            </w:r>
            <w:r>
              <w:rPr>
                <w:rFonts w:cstheme="minorHAnsi"/>
                <w:sz w:val="24"/>
                <w:szCs w:val="24"/>
              </w:rPr>
              <w:t>, 2021</w:t>
            </w:r>
          </w:p>
        </w:tc>
      </w:tr>
      <w:tr w:rsidR="00DF2366" w:rsidRPr="007B1C0B" w14:paraId="03895EBE" w14:textId="77777777" w:rsidTr="009171E6">
        <w:trPr>
          <w:trHeight w:val="350"/>
        </w:trPr>
        <w:tc>
          <w:tcPr>
            <w:tcW w:w="4401" w:type="dxa"/>
            <w:shd w:val="clear" w:color="auto" w:fill="auto"/>
            <w:vAlign w:val="center"/>
          </w:tcPr>
          <w:p w14:paraId="0046FE50" w14:textId="77777777" w:rsidR="0004645C" w:rsidRPr="00515206" w:rsidRDefault="0004645C" w:rsidP="00A67E02">
            <w:pPr>
              <w:ind w:right="540"/>
              <w:contextualSpacing/>
              <w:rPr>
                <w:rFonts w:cstheme="minorHAnsi"/>
                <w:sz w:val="24"/>
                <w:szCs w:val="24"/>
              </w:rPr>
            </w:pPr>
            <w:r w:rsidRPr="00515206">
              <w:rPr>
                <w:rFonts w:cstheme="minorHAnsi"/>
                <w:sz w:val="24"/>
                <w:szCs w:val="24"/>
              </w:rPr>
              <w:t>Type of DoN Application</w:t>
            </w:r>
          </w:p>
        </w:tc>
        <w:tc>
          <w:tcPr>
            <w:tcW w:w="4949" w:type="dxa"/>
            <w:shd w:val="clear" w:color="auto" w:fill="auto"/>
            <w:vAlign w:val="center"/>
          </w:tcPr>
          <w:p w14:paraId="4093DCC6" w14:textId="48B8A91E" w:rsidR="0004645C" w:rsidRPr="00515206" w:rsidRDefault="00BE45D2" w:rsidP="00A67E02">
            <w:pPr>
              <w:ind w:right="540"/>
              <w:contextualSpacing/>
              <w:rPr>
                <w:rFonts w:cstheme="minorHAnsi"/>
                <w:sz w:val="24"/>
                <w:szCs w:val="24"/>
              </w:rPr>
            </w:pPr>
            <w:r>
              <w:rPr>
                <w:rFonts w:cstheme="minorHAnsi"/>
                <w:sz w:val="24"/>
                <w:szCs w:val="24"/>
              </w:rPr>
              <w:t xml:space="preserve">Substantial Capital Expenditure </w:t>
            </w:r>
          </w:p>
        </w:tc>
      </w:tr>
      <w:tr w:rsidR="00DF2366" w:rsidRPr="007B1C0B" w14:paraId="0465C8F3" w14:textId="77777777" w:rsidTr="009171E6">
        <w:trPr>
          <w:trHeight w:val="350"/>
        </w:trPr>
        <w:tc>
          <w:tcPr>
            <w:tcW w:w="4401" w:type="dxa"/>
            <w:shd w:val="clear" w:color="auto" w:fill="auto"/>
            <w:vAlign w:val="center"/>
          </w:tcPr>
          <w:p w14:paraId="48044516" w14:textId="77777777" w:rsidR="0004645C" w:rsidRPr="00515206" w:rsidRDefault="0004645C" w:rsidP="00A67E02">
            <w:pPr>
              <w:ind w:right="540"/>
              <w:contextualSpacing/>
              <w:rPr>
                <w:rFonts w:cstheme="minorHAnsi"/>
                <w:sz w:val="24"/>
                <w:szCs w:val="24"/>
              </w:rPr>
            </w:pPr>
            <w:r w:rsidRPr="00515206">
              <w:rPr>
                <w:rFonts w:cstheme="minorHAnsi"/>
                <w:sz w:val="24"/>
                <w:szCs w:val="24"/>
              </w:rPr>
              <w:t>Total Value</w:t>
            </w:r>
          </w:p>
        </w:tc>
        <w:tc>
          <w:tcPr>
            <w:tcW w:w="4949" w:type="dxa"/>
            <w:shd w:val="clear" w:color="auto" w:fill="auto"/>
            <w:vAlign w:val="center"/>
          </w:tcPr>
          <w:p w14:paraId="66DB4152" w14:textId="3F860F68" w:rsidR="0004645C" w:rsidRPr="00515206" w:rsidRDefault="00BE45D2" w:rsidP="00A67E02">
            <w:pPr>
              <w:ind w:right="540"/>
              <w:contextualSpacing/>
              <w:rPr>
                <w:rFonts w:cstheme="minorHAnsi"/>
                <w:sz w:val="24"/>
                <w:szCs w:val="24"/>
              </w:rPr>
            </w:pPr>
            <w:r>
              <w:rPr>
                <w:rFonts w:cstheme="minorHAnsi"/>
                <w:sz w:val="24"/>
                <w:szCs w:val="24"/>
              </w:rPr>
              <w:t>$37,960,521.00</w:t>
            </w:r>
          </w:p>
        </w:tc>
      </w:tr>
      <w:tr w:rsidR="00DF2366" w:rsidRPr="007B1C0B" w14:paraId="29718D41" w14:textId="77777777" w:rsidTr="009171E6">
        <w:trPr>
          <w:trHeight w:val="350"/>
        </w:trPr>
        <w:tc>
          <w:tcPr>
            <w:tcW w:w="4401" w:type="dxa"/>
            <w:shd w:val="clear" w:color="auto" w:fill="auto"/>
            <w:vAlign w:val="center"/>
          </w:tcPr>
          <w:p w14:paraId="4FDAC3CE" w14:textId="77777777" w:rsidR="0004645C" w:rsidRPr="00515206" w:rsidRDefault="0004645C" w:rsidP="00A67E02">
            <w:pPr>
              <w:ind w:right="540"/>
              <w:contextualSpacing/>
              <w:rPr>
                <w:rFonts w:cstheme="minorHAnsi"/>
                <w:sz w:val="24"/>
                <w:szCs w:val="24"/>
              </w:rPr>
            </w:pPr>
            <w:r w:rsidRPr="00515206">
              <w:rPr>
                <w:rFonts w:cstheme="minorHAnsi"/>
                <w:sz w:val="24"/>
                <w:szCs w:val="24"/>
              </w:rPr>
              <w:t>Project Number</w:t>
            </w:r>
          </w:p>
        </w:tc>
        <w:tc>
          <w:tcPr>
            <w:tcW w:w="4949" w:type="dxa"/>
            <w:shd w:val="clear" w:color="auto" w:fill="auto"/>
            <w:vAlign w:val="center"/>
          </w:tcPr>
          <w:p w14:paraId="16969227" w14:textId="000E272F" w:rsidR="0004645C" w:rsidRPr="00515206" w:rsidRDefault="00BE45D2" w:rsidP="00A67E02">
            <w:pPr>
              <w:ind w:right="540"/>
              <w:contextualSpacing/>
              <w:rPr>
                <w:rFonts w:cstheme="minorHAnsi"/>
                <w:sz w:val="24"/>
                <w:szCs w:val="24"/>
              </w:rPr>
            </w:pPr>
            <w:r>
              <w:rPr>
                <w:rFonts w:cstheme="minorHAnsi"/>
                <w:sz w:val="24"/>
                <w:szCs w:val="24"/>
              </w:rPr>
              <w:t>HH-21071315-HE</w:t>
            </w:r>
          </w:p>
        </w:tc>
      </w:tr>
      <w:tr w:rsidR="00DF2366" w:rsidRPr="007B1C0B" w14:paraId="03E9F91E" w14:textId="77777777" w:rsidTr="009171E6">
        <w:trPr>
          <w:trHeight w:val="350"/>
        </w:trPr>
        <w:tc>
          <w:tcPr>
            <w:tcW w:w="4401" w:type="dxa"/>
            <w:shd w:val="clear" w:color="auto" w:fill="auto"/>
            <w:vAlign w:val="center"/>
          </w:tcPr>
          <w:p w14:paraId="0444BB1A" w14:textId="77777777" w:rsidR="0004645C" w:rsidRPr="00515206" w:rsidRDefault="0004645C" w:rsidP="00A67E02">
            <w:pPr>
              <w:ind w:right="540"/>
              <w:contextualSpacing/>
              <w:rPr>
                <w:rFonts w:cstheme="minorHAnsi"/>
                <w:sz w:val="24"/>
                <w:szCs w:val="24"/>
              </w:rPr>
            </w:pPr>
            <w:r w:rsidRPr="00515206">
              <w:rPr>
                <w:rFonts w:cstheme="minorHAnsi"/>
                <w:sz w:val="24"/>
                <w:szCs w:val="24"/>
              </w:rPr>
              <w:t>Ten Taxpayer Group (TTG)</w:t>
            </w:r>
          </w:p>
        </w:tc>
        <w:tc>
          <w:tcPr>
            <w:tcW w:w="4949" w:type="dxa"/>
            <w:shd w:val="clear" w:color="auto" w:fill="auto"/>
            <w:vAlign w:val="center"/>
          </w:tcPr>
          <w:p w14:paraId="5BCA88AB" w14:textId="596AB83A" w:rsidR="0004645C" w:rsidRPr="00515206" w:rsidRDefault="00BE45D2" w:rsidP="00A67E02">
            <w:pPr>
              <w:ind w:right="540"/>
              <w:contextualSpacing/>
              <w:rPr>
                <w:rFonts w:cstheme="minorHAnsi"/>
                <w:sz w:val="24"/>
                <w:szCs w:val="24"/>
              </w:rPr>
            </w:pPr>
            <w:r>
              <w:rPr>
                <w:rFonts w:cstheme="minorHAnsi"/>
                <w:sz w:val="24"/>
                <w:szCs w:val="24"/>
              </w:rPr>
              <w:t xml:space="preserve">None </w:t>
            </w:r>
          </w:p>
        </w:tc>
      </w:tr>
      <w:tr w:rsidR="00DF2366" w:rsidRPr="007B1C0B" w14:paraId="6325A40F" w14:textId="77777777" w:rsidTr="009171E6">
        <w:trPr>
          <w:trHeight w:val="350"/>
        </w:trPr>
        <w:tc>
          <w:tcPr>
            <w:tcW w:w="4401" w:type="dxa"/>
            <w:shd w:val="clear" w:color="auto" w:fill="auto"/>
            <w:vAlign w:val="center"/>
          </w:tcPr>
          <w:p w14:paraId="4206A414" w14:textId="77777777" w:rsidR="0004645C" w:rsidRPr="00515206" w:rsidRDefault="0004645C" w:rsidP="00A67E02">
            <w:pPr>
              <w:ind w:right="540"/>
              <w:contextualSpacing/>
              <w:rPr>
                <w:rFonts w:cstheme="minorHAnsi"/>
                <w:sz w:val="24"/>
                <w:szCs w:val="24"/>
              </w:rPr>
            </w:pPr>
            <w:r w:rsidRPr="00515206">
              <w:rPr>
                <w:rFonts w:cstheme="minorHAnsi"/>
                <w:sz w:val="24"/>
                <w:szCs w:val="24"/>
              </w:rPr>
              <w:t>Community Health Initiative (CHI)</w:t>
            </w:r>
            <w:r w:rsidRPr="00515206" w:rsidDel="00FB532E">
              <w:rPr>
                <w:rFonts w:cstheme="minorHAnsi"/>
                <w:sz w:val="24"/>
                <w:szCs w:val="24"/>
              </w:rPr>
              <w:t xml:space="preserve"> </w:t>
            </w:r>
          </w:p>
        </w:tc>
        <w:tc>
          <w:tcPr>
            <w:tcW w:w="4949" w:type="dxa"/>
            <w:shd w:val="clear" w:color="auto" w:fill="auto"/>
            <w:vAlign w:val="center"/>
          </w:tcPr>
          <w:p w14:paraId="13D1653D" w14:textId="6F2F8F46" w:rsidR="0004645C" w:rsidRPr="00515206" w:rsidRDefault="00BE45D2" w:rsidP="00A67E02">
            <w:pPr>
              <w:ind w:right="540"/>
              <w:contextualSpacing/>
              <w:rPr>
                <w:rFonts w:cstheme="minorHAnsi"/>
                <w:sz w:val="24"/>
                <w:szCs w:val="24"/>
              </w:rPr>
            </w:pPr>
            <w:r>
              <w:rPr>
                <w:rFonts w:cstheme="minorHAnsi"/>
                <w:sz w:val="24"/>
                <w:szCs w:val="24"/>
              </w:rPr>
              <w:t>$1,898,026.0</w:t>
            </w:r>
            <w:r w:rsidR="004F73E3">
              <w:rPr>
                <w:rFonts w:cstheme="minorHAnsi"/>
                <w:sz w:val="24"/>
                <w:szCs w:val="24"/>
              </w:rPr>
              <w:t>5</w:t>
            </w:r>
          </w:p>
        </w:tc>
      </w:tr>
      <w:tr w:rsidR="00DF2366" w:rsidRPr="007B1C0B" w14:paraId="121BE900" w14:textId="77777777" w:rsidTr="009171E6">
        <w:trPr>
          <w:trHeight w:val="350"/>
        </w:trPr>
        <w:tc>
          <w:tcPr>
            <w:tcW w:w="4401" w:type="dxa"/>
            <w:shd w:val="clear" w:color="auto" w:fill="auto"/>
            <w:vAlign w:val="center"/>
          </w:tcPr>
          <w:p w14:paraId="3613B78E" w14:textId="77777777" w:rsidR="0004645C" w:rsidRPr="00515206" w:rsidRDefault="0004645C" w:rsidP="00A67E02">
            <w:pPr>
              <w:ind w:right="540"/>
              <w:contextualSpacing/>
              <w:rPr>
                <w:rFonts w:cstheme="minorHAnsi"/>
                <w:sz w:val="24"/>
                <w:szCs w:val="24"/>
              </w:rPr>
            </w:pPr>
            <w:r w:rsidRPr="00515206">
              <w:rPr>
                <w:rFonts w:cstheme="minorHAnsi"/>
                <w:sz w:val="24"/>
                <w:szCs w:val="24"/>
              </w:rPr>
              <w:t>Staff Recommendation</w:t>
            </w:r>
          </w:p>
        </w:tc>
        <w:tc>
          <w:tcPr>
            <w:tcW w:w="4949" w:type="dxa"/>
            <w:shd w:val="clear" w:color="auto" w:fill="auto"/>
            <w:vAlign w:val="center"/>
          </w:tcPr>
          <w:p w14:paraId="2D758FD7" w14:textId="5325E632" w:rsidR="0004645C" w:rsidRPr="00515206" w:rsidRDefault="00BE45D2" w:rsidP="00A67E02">
            <w:pPr>
              <w:ind w:right="540"/>
              <w:contextualSpacing/>
              <w:rPr>
                <w:rFonts w:cstheme="minorHAnsi"/>
                <w:sz w:val="24"/>
                <w:szCs w:val="24"/>
              </w:rPr>
            </w:pPr>
            <w:r>
              <w:rPr>
                <w:rFonts w:cstheme="minorHAnsi"/>
                <w:sz w:val="24"/>
                <w:szCs w:val="24"/>
              </w:rPr>
              <w:t xml:space="preserve">Approval </w:t>
            </w:r>
          </w:p>
        </w:tc>
      </w:tr>
      <w:tr w:rsidR="00DF2366" w:rsidRPr="007B1C0B" w14:paraId="31DB88B2" w14:textId="77777777" w:rsidTr="009171E6">
        <w:trPr>
          <w:trHeight w:val="350"/>
        </w:trPr>
        <w:tc>
          <w:tcPr>
            <w:tcW w:w="4401" w:type="dxa"/>
            <w:shd w:val="clear" w:color="auto" w:fill="auto"/>
            <w:vAlign w:val="center"/>
          </w:tcPr>
          <w:p w14:paraId="53C659D3" w14:textId="7F5EB7DE" w:rsidR="0004645C" w:rsidRPr="00515206" w:rsidRDefault="00BE538A" w:rsidP="00A67E02">
            <w:pPr>
              <w:ind w:right="540"/>
              <w:contextualSpacing/>
              <w:rPr>
                <w:rFonts w:cstheme="minorHAnsi"/>
                <w:sz w:val="24"/>
                <w:szCs w:val="24"/>
              </w:rPr>
            </w:pPr>
            <w:r>
              <w:rPr>
                <w:rFonts w:cstheme="minorHAnsi"/>
                <w:sz w:val="24"/>
                <w:szCs w:val="24"/>
              </w:rPr>
              <w:t>Public Health Council</w:t>
            </w:r>
          </w:p>
        </w:tc>
        <w:tc>
          <w:tcPr>
            <w:tcW w:w="4949" w:type="dxa"/>
            <w:shd w:val="clear" w:color="auto" w:fill="auto"/>
            <w:vAlign w:val="center"/>
          </w:tcPr>
          <w:p w14:paraId="7B70CFA9" w14:textId="5588DB94" w:rsidR="0004645C" w:rsidRPr="00515206" w:rsidRDefault="00BE45D2" w:rsidP="00A67E02">
            <w:pPr>
              <w:ind w:right="540"/>
              <w:contextualSpacing/>
              <w:rPr>
                <w:rFonts w:cstheme="minorHAnsi"/>
                <w:sz w:val="24"/>
                <w:szCs w:val="24"/>
              </w:rPr>
            </w:pPr>
            <w:r>
              <w:rPr>
                <w:rFonts w:cstheme="minorHAnsi"/>
                <w:sz w:val="24"/>
                <w:szCs w:val="24"/>
              </w:rPr>
              <w:t xml:space="preserve">November </w:t>
            </w:r>
            <w:r w:rsidR="0050437B">
              <w:rPr>
                <w:rFonts w:cstheme="minorHAnsi"/>
                <w:sz w:val="24"/>
                <w:szCs w:val="24"/>
              </w:rPr>
              <w:t>10</w:t>
            </w:r>
            <w:r>
              <w:rPr>
                <w:rFonts w:cstheme="minorHAnsi"/>
                <w:sz w:val="24"/>
                <w:szCs w:val="24"/>
              </w:rPr>
              <w:t xml:space="preserve">, </w:t>
            </w:r>
            <w:r w:rsidR="00386EEA">
              <w:rPr>
                <w:rFonts w:cstheme="minorHAnsi"/>
                <w:sz w:val="24"/>
                <w:szCs w:val="24"/>
              </w:rPr>
              <w:t>2021</w:t>
            </w:r>
          </w:p>
        </w:tc>
      </w:tr>
      <w:tr w:rsidR="00BD3B34" w:rsidRPr="007B1C0B" w14:paraId="4A1568E9" w14:textId="77777777" w:rsidTr="00A67E02">
        <w:trPr>
          <w:trHeight w:val="2436"/>
        </w:trPr>
        <w:tc>
          <w:tcPr>
            <w:tcW w:w="0" w:type="auto"/>
            <w:gridSpan w:val="2"/>
            <w:shd w:val="clear" w:color="auto" w:fill="auto"/>
            <w:vAlign w:val="center"/>
          </w:tcPr>
          <w:p w14:paraId="066DA4D1" w14:textId="77777777" w:rsidR="0004645C" w:rsidRPr="00515206" w:rsidRDefault="0004645C" w:rsidP="00A67E02">
            <w:pPr>
              <w:pStyle w:val="NoSpacing"/>
              <w:ind w:right="540"/>
              <w:contextualSpacing/>
              <w:jc w:val="center"/>
              <w:rPr>
                <w:rFonts w:cstheme="minorHAnsi"/>
                <w:sz w:val="24"/>
                <w:szCs w:val="24"/>
              </w:rPr>
            </w:pPr>
            <w:r w:rsidRPr="00515206">
              <w:rPr>
                <w:rFonts w:cstheme="minorHAnsi"/>
                <w:sz w:val="24"/>
                <w:szCs w:val="24"/>
                <w:u w:val="single"/>
              </w:rPr>
              <w:t>Project Summary and Regulatory Review</w:t>
            </w:r>
          </w:p>
          <w:p w14:paraId="20FC7F06" w14:textId="52D75F56" w:rsidR="00D63B4A" w:rsidRDefault="00C56E9C" w:rsidP="00D851C5">
            <w:pPr>
              <w:pStyle w:val="NoSpacing"/>
              <w:contextualSpacing/>
              <w:rPr>
                <w:rFonts w:cstheme="minorHAnsi"/>
                <w:sz w:val="24"/>
                <w:szCs w:val="24"/>
              </w:rPr>
            </w:pPr>
            <w:r>
              <w:rPr>
                <w:rFonts w:cstheme="minorHAnsi"/>
                <w:sz w:val="24"/>
                <w:szCs w:val="24"/>
              </w:rPr>
              <w:t xml:space="preserve">Heywood Healthcare, Inc. (Applicant), submitted an application for a substantial capital expenditure to expand their surgical capacity through construction of a </w:t>
            </w:r>
            <w:r w:rsidR="00CD4F0E">
              <w:rPr>
                <w:rFonts w:cstheme="minorHAnsi"/>
                <w:sz w:val="24"/>
                <w:szCs w:val="24"/>
              </w:rPr>
              <w:t>40,115 gross square foot (</w:t>
            </w:r>
            <w:r w:rsidR="005C2DA3">
              <w:rPr>
                <w:rFonts w:cstheme="minorHAnsi"/>
                <w:sz w:val="24"/>
                <w:szCs w:val="24"/>
              </w:rPr>
              <w:t>gsf</w:t>
            </w:r>
            <w:r w:rsidR="00CD4F0E">
              <w:rPr>
                <w:rFonts w:cstheme="minorHAnsi"/>
                <w:sz w:val="24"/>
                <w:szCs w:val="24"/>
              </w:rPr>
              <w:t xml:space="preserve">) </w:t>
            </w:r>
            <w:r w:rsidR="00AB7067">
              <w:rPr>
                <w:rFonts w:cstheme="minorHAnsi"/>
                <w:sz w:val="24"/>
                <w:szCs w:val="24"/>
              </w:rPr>
              <w:t xml:space="preserve">surgical pavilion </w:t>
            </w:r>
            <w:r w:rsidR="00FC2ABE">
              <w:rPr>
                <w:rFonts w:cstheme="minorHAnsi"/>
                <w:sz w:val="24"/>
                <w:szCs w:val="24"/>
              </w:rPr>
              <w:t>addition</w:t>
            </w:r>
            <w:r>
              <w:rPr>
                <w:rFonts w:cstheme="minorHAnsi"/>
                <w:sz w:val="24"/>
                <w:szCs w:val="24"/>
              </w:rPr>
              <w:t xml:space="preserve"> that will include the following:</w:t>
            </w:r>
            <w:r w:rsidR="00716E9D">
              <w:rPr>
                <w:rFonts w:cstheme="minorHAnsi"/>
                <w:sz w:val="24"/>
                <w:szCs w:val="24"/>
              </w:rPr>
              <w:t xml:space="preserve"> six</w:t>
            </w:r>
            <w:r w:rsidR="00925786">
              <w:rPr>
                <w:rFonts w:cstheme="minorHAnsi"/>
                <w:sz w:val="24"/>
                <w:szCs w:val="24"/>
              </w:rPr>
              <w:t xml:space="preserve"> </w:t>
            </w:r>
            <w:r>
              <w:rPr>
                <w:rFonts w:cstheme="minorHAnsi"/>
                <w:sz w:val="24"/>
                <w:szCs w:val="24"/>
              </w:rPr>
              <w:t>operating rooms (ORs)</w:t>
            </w:r>
            <w:r w:rsidR="000012FD">
              <w:rPr>
                <w:rFonts w:cstheme="minorHAnsi"/>
                <w:sz w:val="24"/>
                <w:szCs w:val="24"/>
              </w:rPr>
              <w:t xml:space="preserve"> </w:t>
            </w:r>
            <w:r w:rsidR="008E109E">
              <w:rPr>
                <w:rFonts w:cstheme="minorHAnsi"/>
                <w:sz w:val="24"/>
                <w:szCs w:val="24"/>
              </w:rPr>
              <w:t>– replacing the existing four ORs and adding two new ORs</w:t>
            </w:r>
            <w:r>
              <w:rPr>
                <w:rFonts w:cstheme="minorHAnsi"/>
                <w:sz w:val="24"/>
                <w:szCs w:val="24"/>
              </w:rPr>
              <w:t xml:space="preserve">; </w:t>
            </w:r>
            <w:r w:rsidR="00123A29">
              <w:rPr>
                <w:rFonts w:cstheme="minorHAnsi"/>
                <w:sz w:val="24"/>
                <w:szCs w:val="24"/>
              </w:rPr>
              <w:t>18</w:t>
            </w:r>
            <w:r>
              <w:rPr>
                <w:rFonts w:cstheme="minorHAnsi"/>
                <w:sz w:val="24"/>
                <w:szCs w:val="24"/>
              </w:rPr>
              <w:t xml:space="preserve"> pre/post </w:t>
            </w:r>
            <w:r w:rsidR="00123A29" w:rsidRPr="00123A29">
              <w:rPr>
                <w:rFonts w:cstheme="minorHAnsi"/>
                <w:sz w:val="24"/>
                <w:szCs w:val="24"/>
              </w:rPr>
              <w:t>procedure patient care stations</w:t>
            </w:r>
            <w:r>
              <w:rPr>
                <w:rFonts w:cstheme="minorHAnsi"/>
                <w:sz w:val="24"/>
                <w:szCs w:val="24"/>
              </w:rPr>
              <w:t>; central storage</w:t>
            </w:r>
            <w:r w:rsidR="007F765E">
              <w:rPr>
                <w:rFonts w:cstheme="minorHAnsi"/>
                <w:sz w:val="24"/>
                <w:szCs w:val="24"/>
              </w:rPr>
              <w:t>, and</w:t>
            </w:r>
            <w:r>
              <w:rPr>
                <w:rFonts w:cstheme="minorHAnsi"/>
                <w:sz w:val="24"/>
                <w:szCs w:val="24"/>
              </w:rPr>
              <w:t xml:space="preserve"> separate clean and dirty elevators; and </w:t>
            </w:r>
            <w:r w:rsidR="007C22D7">
              <w:rPr>
                <w:rFonts w:cstheme="minorHAnsi"/>
                <w:sz w:val="24"/>
                <w:szCs w:val="24"/>
              </w:rPr>
              <w:t xml:space="preserve">11,057 gsf of </w:t>
            </w:r>
            <w:r>
              <w:rPr>
                <w:rFonts w:cstheme="minorHAnsi"/>
                <w:sz w:val="24"/>
                <w:szCs w:val="24"/>
              </w:rPr>
              <w:t xml:space="preserve">shell space for build out for future use. </w:t>
            </w:r>
            <w:r w:rsidR="00CD4F0E" w:rsidRPr="00CD4F0E">
              <w:rPr>
                <w:rFonts w:cstheme="minorHAnsi"/>
                <w:sz w:val="24"/>
                <w:szCs w:val="24"/>
              </w:rPr>
              <w:t>The capital expenditure for the Proposed Project is $</w:t>
            </w:r>
            <w:r w:rsidR="00CD4F0E">
              <w:rPr>
                <w:rFonts w:cstheme="minorHAnsi"/>
                <w:sz w:val="24"/>
                <w:szCs w:val="24"/>
              </w:rPr>
              <w:t>37,960,521</w:t>
            </w:r>
            <w:r w:rsidR="00CD4F0E" w:rsidRPr="00CD4F0E">
              <w:rPr>
                <w:rFonts w:cstheme="minorHAnsi"/>
                <w:sz w:val="24"/>
                <w:szCs w:val="24"/>
              </w:rPr>
              <w:t>; and the Community Health Initiatives (CHI) commitment is $</w:t>
            </w:r>
            <w:r w:rsidR="00CD4F0E">
              <w:rPr>
                <w:rFonts w:cstheme="minorHAnsi"/>
                <w:sz w:val="24"/>
                <w:szCs w:val="24"/>
              </w:rPr>
              <w:t>1,898,026</w:t>
            </w:r>
            <w:r w:rsidR="00CD4F0E" w:rsidRPr="00CD4F0E">
              <w:rPr>
                <w:rFonts w:cstheme="minorHAnsi"/>
                <w:sz w:val="24"/>
                <w:szCs w:val="24"/>
              </w:rPr>
              <w:t>.</w:t>
            </w:r>
            <w:r w:rsidR="00134A92">
              <w:rPr>
                <w:rFonts w:cstheme="minorHAnsi"/>
                <w:sz w:val="24"/>
                <w:szCs w:val="24"/>
              </w:rPr>
              <w:t>05.</w:t>
            </w:r>
          </w:p>
          <w:p w14:paraId="09139990" w14:textId="77777777" w:rsidR="00D63B4A" w:rsidRDefault="00D63B4A" w:rsidP="00A67E02">
            <w:pPr>
              <w:pStyle w:val="NoSpacing"/>
              <w:contextualSpacing/>
              <w:rPr>
                <w:rFonts w:cstheme="minorHAnsi"/>
                <w:sz w:val="24"/>
                <w:szCs w:val="24"/>
              </w:rPr>
            </w:pPr>
          </w:p>
          <w:p w14:paraId="7F67C29A" w14:textId="77777777" w:rsidR="0004645C" w:rsidRDefault="00D63B4A" w:rsidP="00A67E02">
            <w:pPr>
              <w:pStyle w:val="NoSpacing"/>
              <w:contextualSpacing/>
              <w:rPr>
                <w:rFonts w:cstheme="minorHAnsi"/>
                <w:sz w:val="24"/>
                <w:szCs w:val="24"/>
              </w:rPr>
            </w:pPr>
            <w:r w:rsidRPr="00D63B4A">
              <w:rPr>
                <w:rFonts w:cstheme="minorHAnsi"/>
                <w:sz w:val="24"/>
                <w:szCs w:val="24"/>
              </w:rPr>
              <w:t xml:space="preserve">This DoN application falls within the definition of </w:t>
            </w:r>
            <w:r w:rsidR="006814E7">
              <w:rPr>
                <w:rFonts w:cstheme="minorHAnsi"/>
                <w:sz w:val="24"/>
                <w:szCs w:val="24"/>
              </w:rPr>
              <w:t xml:space="preserve">Substantial </w:t>
            </w:r>
            <w:r w:rsidR="00CD4F0E">
              <w:rPr>
                <w:rFonts w:cstheme="minorHAnsi"/>
                <w:sz w:val="24"/>
                <w:szCs w:val="24"/>
              </w:rPr>
              <w:t>Capital Expenditure</w:t>
            </w:r>
            <w:r w:rsidRPr="00D63B4A">
              <w:rPr>
                <w:rFonts w:cstheme="minorHAnsi"/>
                <w:sz w:val="24"/>
                <w:szCs w:val="24"/>
              </w:rPr>
              <w:t>, which are reviewed under the DoN regulation 105 CMR 100.000. The Department must determine that need exists for a Proposed Project, on the basis of material in the record, where the Applicant makes a clear and convincing demonstration that the Proposed Project meets each Determination of Need Factor set forth within 105 CMR 100.210. This staff report addresses each of the six factors set forth in the regulation</w:t>
            </w:r>
            <w:r w:rsidR="006403D2">
              <w:rPr>
                <w:rFonts w:cstheme="minorHAnsi"/>
                <w:sz w:val="24"/>
                <w:szCs w:val="24"/>
              </w:rPr>
              <w:t>.</w:t>
            </w:r>
          </w:p>
          <w:p w14:paraId="32448013" w14:textId="77777777" w:rsidR="005F344B" w:rsidRDefault="005F344B" w:rsidP="00A67E02">
            <w:pPr>
              <w:pStyle w:val="NoSpacing"/>
              <w:contextualSpacing/>
              <w:rPr>
                <w:rFonts w:cstheme="minorHAnsi"/>
                <w:sz w:val="24"/>
                <w:szCs w:val="24"/>
              </w:rPr>
            </w:pPr>
          </w:p>
          <w:p w14:paraId="1AC28F84" w14:textId="77777777" w:rsidR="005F344B" w:rsidRPr="005F344B" w:rsidRDefault="005F344B" w:rsidP="005F344B">
            <w:pPr>
              <w:pStyle w:val="NoSpacing"/>
              <w:contextualSpacing/>
              <w:rPr>
                <w:rFonts w:cstheme="minorHAnsi"/>
                <w:sz w:val="24"/>
                <w:szCs w:val="24"/>
              </w:rPr>
            </w:pPr>
            <w:r w:rsidRPr="005F344B">
              <w:rPr>
                <w:rFonts w:cstheme="minorHAnsi"/>
                <w:sz w:val="24"/>
                <w:szCs w:val="24"/>
              </w:rPr>
              <w:t>The Department did not receive any written comments on this application nor were any Ten</w:t>
            </w:r>
          </w:p>
          <w:p w14:paraId="2DC718F6" w14:textId="35088C67" w:rsidR="005F344B" w:rsidRPr="00515206" w:rsidRDefault="005F344B" w:rsidP="005F344B">
            <w:pPr>
              <w:pStyle w:val="NoSpacing"/>
              <w:contextualSpacing/>
              <w:rPr>
                <w:rFonts w:cstheme="minorHAnsi"/>
                <w:sz w:val="24"/>
                <w:szCs w:val="24"/>
              </w:rPr>
            </w:pPr>
            <w:r w:rsidRPr="005F344B">
              <w:rPr>
                <w:rFonts w:cstheme="minorHAnsi"/>
                <w:sz w:val="24"/>
                <w:szCs w:val="24"/>
              </w:rPr>
              <w:t>Taxpayer Groups formed.</w:t>
            </w:r>
          </w:p>
        </w:tc>
      </w:tr>
    </w:tbl>
    <w:p w14:paraId="50898849" w14:textId="7CE5A9E5" w:rsidR="009C3FE9" w:rsidRPr="009C3FE9" w:rsidRDefault="00667B1F" w:rsidP="009C3FE9">
      <w:pPr>
        <w:rPr>
          <w:b/>
          <w:bCs/>
          <w:sz w:val="28"/>
          <w:szCs w:val="28"/>
        </w:rPr>
      </w:pPr>
      <w:r>
        <w:rPr>
          <w:b/>
          <w:bCs/>
          <w:sz w:val="28"/>
          <w:szCs w:val="28"/>
        </w:rPr>
        <w:t>Application Overview</w:t>
      </w:r>
      <w:r w:rsidR="009C3FE9" w:rsidRPr="006B66D0">
        <w:rPr>
          <w:sz w:val="24"/>
          <w:szCs w:val="24"/>
        </w:rPr>
        <w:t xml:space="preserve"> </w:t>
      </w:r>
    </w:p>
    <w:p w14:paraId="39A5B382" w14:textId="00C9E06C" w:rsidR="009C3FE9" w:rsidRDefault="009C3FE9">
      <w:pPr>
        <w:spacing w:after="0" w:line="240" w:lineRule="auto"/>
        <w:rPr>
          <w:sz w:val="24"/>
          <w:szCs w:val="24"/>
        </w:rPr>
      </w:pPr>
      <w:r w:rsidRPr="006B66D0">
        <w:rPr>
          <w:b/>
          <w:bCs/>
          <w:sz w:val="24"/>
          <w:szCs w:val="24"/>
        </w:rPr>
        <w:t>Heywood Healthcare, Inc. (Heywood)</w:t>
      </w:r>
      <w:r w:rsidRPr="006B66D0">
        <w:rPr>
          <w:sz w:val="24"/>
          <w:szCs w:val="24"/>
        </w:rPr>
        <w:t xml:space="preserve"> is a healthcare system that provides healthcare services to residents of North Central Massachusetts, including acute care services, emergency department, primary care, behavioral health, and substance use treatment. Heywood Healthcare is comprised of Athol Hospital</w:t>
      </w:r>
      <w:r w:rsidR="00926909">
        <w:rPr>
          <w:sz w:val="24"/>
          <w:szCs w:val="24"/>
        </w:rPr>
        <w:t>;</w:t>
      </w:r>
      <w:r w:rsidRPr="006B66D0">
        <w:rPr>
          <w:sz w:val="24"/>
          <w:szCs w:val="24"/>
        </w:rPr>
        <w:t xml:space="preserve"> Heywood Hospital</w:t>
      </w:r>
      <w:r w:rsidR="00926909">
        <w:rPr>
          <w:sz w:val="24"/>
          <w:szCs w:val="24"/>
        </w:rPr>
        <w:t>;</w:t>
      </w:r>
      <w:r w:rsidRPr="006B66D0">
        <w:rPr>
          <w:sz w:val="24"/>
          <w:szCs w:val="24"/>
        </w:rPr>
        <w:t xml:space="preserve"> Heywood Medical Group</w:t>
      </w:r>
      <w:r>
        <w:rPr>
          <w:sz w:val="24"/>
          <w:szCs w:val="24"/>
        </w:rPr>
        <w:t xml:space="preserve"> </w:t>
      </w:r>
      <w:r w:rsidR="00705311" w:rsidRPr="00705311">
        <w:rPr>
          <w:sz w:val="24"/>
          <w:szCs w:val="24"/>
        </w:rPr>
        <w:t>with primary care physicians and specialists located throughout the region</w:t>
      </w:r>
      <w:r w:rsidR="00926909">
        <w:rPr>
          <w:sz w:val="24"/>
          <w:szCs w:val="24"/>
        </w:rPr>
        <w:t xml:space="preserve">; </w:t>
      </w:r>
      <w:r w:rsidR="001F2580">
        <w:rPr>
          <w:sz w:val="24"/>
          <w:szCs w:val="24"/>
        </w:rPr>
        <w:t>u</w:t>
      </w:r>
      <w:r w:rsidR="001F2580" w:rsidRPr="001F2580">
        <w:rPr>
          <w:sz w:val="24"/>
          <w:szCs w:val="24"/>
        </w:rPr>
        <w:t xml:space="preserve">rgent </w:t>
      </w:r>
      <w:r w:rsidR="00302030">
        <w:rPr>
          <w:sz w:val="24"/>
          <w:szCs w:val="24"/>
        </w:rPr>
        <w:t>c</w:t>
      </w:r>
      <w:r w:rsidR="001F2580" w:rsidRPr="001F2580">
        <w:rPr>
          <w:sz w:val="24"/>
          <w:szCs w:val="24"/>
        </w:rPr>
        <w:t>are facilities in Gardner and Athol</w:t>
      </w:r>
      <w:r w:rsidR="00576582">
        <w:rPr>
          <w:sz w:val="24"/>
          <w:szCs w:val="24"/>
        </w:rPr>
        <w:t>; four</w:t>
      </w:r>
      <w:r>
        <w:rPr>
          <w:sz w:val="24"/>
          <w:szCs w:val="24"/>
        </w:rPr>
        <w:t xml:space="preserve"> </w:t>
      </w:r>
      <w:r w:rsidRPr="00F60839">
        <w:rPr>
          <w:sz w:val="24"/>
          <w:szCs w:val="24"/>
        </w:rPr>
        <w:t>satellite facilities</w:t>
      </w:r>
      <w:r w:rsidR="00211DC7">
        <w:rPr>
          <w:sz w:val="24"/>
          <w:szCs w:val="24"/>
        </w:rPr>
        <w:t xml:space="preserve"> </w:t>
      </w:r>
      <w:r w:rsidR="00576582">
        <w:rPr>
          <w:sz w:val="24"/>
          <w:szCs w:val="24"/>
        </w:rPr>
        <w:t>(</w:t>
      </w:r>
      <w:r w:rsidR="00402B50" w:rsidRPr="00402B50">
        <w:rPr>
          <w:sz w:val="24"/>
          <w:szCs w:val="24"/>
        </w:rPr>
        <w:t xml:space="preserve">Heywood Rehabilitation Center; </w:t>
      </w:r>
      <w:r w:rsidR="00012EB0">
        <w:rPr>
          <w:sz w:val="24"/>
          <w:szCs w:val="24"/>
        </w:rPr>
        <w:t>Heywood Hospital Partial Hospitalization Program</w:t>
      </w:r>
      <w:r w:rsidR="00402B50" w:rsidRPr="00402B50">
        <w:rPr>
          <w:sz w:val="24"/>
          <w:szCs w:val="24"/>
        </w:rPr>
        <w:t>; Winchendon Health Center and Murdock School-based Health Center</w:t>
      </w:r>
      <w:r w:rsidR="00576582">
        <w:rPr>
          <w:sz w:val="24"/>
          <w:szCs w:val="24"/>
        </w:rPr>
        <w:t>), and t</w:t>
      </w:r>
      <w:r w:rsidR="00402B50" w:rsidRPr="00402B50">
        <w:rPr>
          <w:sz w:val="24"/>
          <w:szCs w:val="24"/>
        </w:rPr>
        <w:t xml:space="preserve">he Quabbin Retreat in Petersham, </w:t>
      </w:r>
      <w:r w:rsidR="00576582">
        <w:rPr>
          <w:sz w:val="24"/>
          <w:szCs w:val="24"/>
        </w:rPr>
        <w:t xml:space="preserve">a development of Heywood Healthcare that </w:t>
      </w:r>
      <w:r w:rsidR="00402B50" w:rsidRPr="00402B50">
        <w:rPr>
          <w:sz w:val="24"/>
          <w:szCs w:val="24"/>
        </w:rPr>
        <w:lastRenderedPageBreak/>
        <w:t>provide</w:t>
      </w:r>
      <w:r w:rsidR="00402B50">
        <w:rPr>
          <w:sz w:val="24"/>
          <w:szCs w:val="24"/>
        </w:rPr>
        <w:t>s</w:t>
      </w:r>
      <w:r w:rsidR="00402B50" w:rsidRPr="00402B50">
        <w:rPr>
          <w:sz w:val="24"/>
          <w:szCs w:val="24"/>
        </w:rPr>
        <w:t xml:space="preserve"> a full continuum of substance misuse and mental health care services for adults</w:t>
      </w:r>
      <w:r w:rsidR="00244F06">
        <w:rPr>
          <w:sz w:val="24"/>
          <w:szCs w:val="24"/>
        </w:rPr>
        <w:t>.</w:t>
      </w:r>
      <w:r w:rsidR="005214D5">
        <w:rPr>
          <w:sz w:val="24"/>
          <w:szCs w:val="24"/>
        </w:rPr>
        <w:t xml:space="preserve"> </w:t>
      </w:r>
      <w:r w:rsidR="006D618B">
        <w:rPr>
          <w:sz w:val="24"/>
          <w:szCs w:val="24"/>
        </w:rPr>
        <w:t>The two hospitals in the healthcare system are:</w:t>
      </w:r>
    </w:p>
    <w:p w14:paraId="24E4443E" w14:textId="7463047F" w:rsidR="009C3FE9" w:rsidRDefault="009C3FE9" w:rsidP="00430E8F">
      <w:pPr>
        <w:pStyle w:val="ListParagraph"/>
        <w:numPr>
          <w:ilvl w:val="0"/>
          <w:numId w:val="2"/>
        </w:numPr>
        <w:spacing w:after="0" w:line="240" w:lineRule="auto"/>
        <w:rPr>
          <w:sz w:val="24"/>
          <w:szCs w:val="24"/>
        </w:rPr>
      </w:pPr>
      <w:r w:rsidRPr="006B66D0">
        <w:rPr>
          <w:b/>
          <w:bCs/>
          <w:sz w:val="24"/>
          <w:szCs w:val="24"/>
        </w:rPr>
        <w:t>Heywood Hospital</w:t>
      </w:r>
      <w:r w:rsidR="006D618B">
        <w:rPr>
          <w:sz w:val="24"/>
          <w:szCs w:val="24"/>
        </w:rPr>
        <w:t xml:space="preserve"> -</w:t>
      </w:r>
      <w:r w:rsidRPr="009C3FE9">
        <w:rPr>
          <w:sz w:val="24"/>
          <w:szCs w:val="24"/>
        </w:rPr>
        <w:t xml:space="preserve"> the site of the Proposed Project, located in Gar</w:t>
      </w:r>
      <w:r>
        <w:rPr>
          <w:sz w:val="24"/>
          <w:szCs w:val="24"/>
        </w:rPr>
        <w:t>dn</w:t>
      </w:r>
      <w:r w:rsidRPr="009C3FE9">
        <w:rPr>
          <w:sz w:val="24"/>
          <w:szCs w:val="24"/>
        </w:rPr>
        <w:t>er, MA. It</w:t>
      </w:r>
      <w:r w:rsidRPr="006B66D0">
        <w:rPr>
          <w:sz w:val="24"/>
          <w:szCs w:val="24"/>
        </w:rPr>
        <w:t xml:space="preserve"> is a community</w:t>
      </w:r>
      <w:r w:rsidR="003230EC">
        <w:rPr>
          <w:sz w:val="24"/>
          <w:szCs w:val="24"/>
        </w:rPr>
        <w:t xml:space="preserve">, </w:t>
      </w:r>
      <w:r>
        <w:rPr>
          <w:sz w:val="24"/>
          <w:szCs w:val="24"/>
        </w:rPr>
        <w:t xml:space="preserve">high Public Payer (HPP) </w:t>
      </w:r>
      <w:r w:rsidRPr="006B66D0">
        <w:rPr>
          <w:sz w:val="24"/>
          <w:szCs w:val="24"/>
        </w:rPr>
        <w:t>hospital.</w:t>
      </w:r>
      <w:r>
        <w:rPr>
          <w:rStyle w:val="FootnoteReference"/>
          <w:sz w:val="24"/>
          <w:szCs w:val="24"/>
        </w:rPr>
        <w:footnoteReference w:id="1"/>
      </w:r>
      <w:r w:rsidRPr="006B66D0">
        <w:rPr>
          <w:sz w:val="24"/>
          <w:szCs w:val="24"/>
        </w:rPr>
        <w:t xml:space="preserve"> Heywood Hospital has 134 licensed beds and provides a range of acute care services, including emergency department, primary and specialty care, and behavioral health services. </w:t>
      </w:r>
    </w:p>
    <w:p w14:paraId="428BB617" w14:textId="46FD26A8" w:rsidR="00667B1F" w:rsidRPr="004D6E55" w:rsidRDefault="009C3FE9" w:rsidP="00430E8F">
      <w:pPr>
        <w:pStyle w:val="ListParagraph"/>
        <w:numPr>
          <w:ilvl w:val="0"/>
          <w:numId w:val="2"/>
        </w:numPr>
        <w:spacing w:after="0" w:line="240" w:lineRule="auto"/>
        <w:rPr>
          <w:b/>
          <w:bCs/>
          <w:sz w:val="28"/>
          <w:szCs w:val="28"/>
        </w:rPr>
      </w:pPr>
      <w:r w:rsidRPr="004D6E55">
        <w:rPr>
          <w:b/>
          <w:bCs/>
          <w:sz w:val="24"/>
          <w:szCs w:val="24"/>
        </w:rPr>
        <w:t>Athol Hospital</w:t>
      </w:r>
      <w:r w:rsidRPr="004D6E55">
        <w:rPr>
          <w:sz w:val="24"/>
          <w:szCs w:val="24"/>
        </w:rPr>
        <w:t xml:space="preserve"> </w:t>
      </w:r>
      <w:r w:rsidR="006D618B">
        <w:rPr>
          <w:sz w:val="24"/>
          <w:szCs w:val="24"/>
        </w:rPr>
        <w:t xml:space="preserve">- </w:t>
      </w:r>
      <w:r w:rsidRPr="004D6E55">
        <w:rPr>
          <w:sz w:val="24"/>
          <w:szCs w:val="24"/>
        </w:rPr>
        <w:t>a community</w:t>
      </w:r>
      <w:r w:rsidR="003230EC">
        <w:rPr>
          <w:sz w:val="24"/>
          <w:szCs w:val="24"/>
        </w:rPr>
        <w:t xml:space="preserve">, </w:t>
      </w:r>
      <w:r w:rsidRPr="004D6E55">
        <w:rPr>
          <w:sz w:val="24"/>
          <w:szCs w:val="24"/>
        </w:rPr>
        <w:t xml:space="preserve">high Public Payer (HPP) hospital located in Athol, MA. Athol Hospital </w:t>
      </w:r>
      <w:r w:rsidRPr="002E3CD9">
        <w:rPr>
          <w:sz w:val="24"/>
          <w:szCs w:val="24"/>
        </w:rPr>
        <w:t>has 21</w:t>
      </w:r>
      <w:r w:rsidRPr="004D6E55">
        <w:rPr>
          <w:sz w:val="24"/>
          <w:szCs w:val="24"/>
        </w:rPr>
        <w:t xml:space="preserve"> licensed beds and is designated by the Centers for Medicare &amp; Medicaid Services (CMS) as a Critical Access Hospital.</w:t>
      </w:r>
      <w:r w:rsidRPr="009F3914">
        <w:rPr>
          <w:sz w:val="24"/>
          <w:szCs w:val="24"/>
          <w:vertAlign w:val="superscript"/>
        </w:rPr>
        <w:footnoteReference w:id="2"/>
      </w:r>
      <w:r w:rsidRPr="004D6E55">
        <w:rPr>
          <w:rFonts w:ascii="Arial" w:hAnsi="Arial" w:cs="Arial"/>
          <w:color w:val="030000"/>
          <w:sz w:val="27"/>
          <w:szCs w:val="27"/>
          <w:shd w:val="clear" w:color="auto" w:fill="FFFFFF"/>
        </w:rPr>
        <w:t xml:space="preserve"> </w:t>
      </w:r>
    </w:p>
    <w:p w14:paraId="0780928F" w14:textId="6A8331CB" w:rsidR="00667B1F" w:rsidRDefault="00667B1F">
      <w:pPr>
        <w:rPr>
          <w:b/>
          <w:bCs/>
          <w:sz w:val="28"/>
          <w:szCs w:val="28"/>
        </w:rPr>
      </w:pPr>
    </w:p>
    <w:p w14:paraId="461A1B47" w14:textId="6920160B" w:rsidR="00667B1F" w:rsidRPr="00FC2ABE" w:rsidRDefault="00FC2ABE">
      <w:pPr>
        <w:rPr>
          <w:b/>
          <w:bCs/>
          <w:sz w:val="24"/>
          <w:szCs w:val="24"/>
        </w:rPr>
      </w:pPr>
      <w:r w:rsidRPr="00FC2ABE">
        <w:rPr>
          <w:b/>
          <w:bCs/>
          <w:sz w:val="24"/>
          <w:szCs w:val="24"/>
        </w:rPr>
        <w:t>Proposed Project</w:t>
      </w:r>
    </w:p>
    <w:p w14:paraId="6478808B" w14:textId="42E2C2A2" w:rsidR="00215907" w:rsidRDefault="00FC2ABE" w:rsidP="005C6357">
      <w:pPr>
        <w:spacing w:after="0" w:line="240" w:lineRule="auto"/>
        <w:rPr>
          <w:sz w:val="24"/>
          <w:szCs w:val="24"/>
        </w:rPr>
      </w:pPr>
      <w:r>
        <w:rPr>
          <w:sz w:val="24"/>
          <w:szCs w:val="24"/>
        </w:rPr>
        <w:t>Heywood Hospital</w:t>
      </w:r>
      <w:r w:rsidR="00924D18">
        <w:rPr>
          <w:sz w:val="24"/>
          <w:szCs w:val="24"/>
        </w:rPr>
        <w:t>’s</w:t>
      </w:r>
      <w:r>
        <w:rPr>
          <w:sz w:val="24"/>
          <w:szCs w:val="24"/>
        </w:rPr>
        <w:t xml:space="preserve"> surgical suite was constructed in 1961 and </w:t>
      </w:r>
      <w:r w:rsidR="00924D18">
        <w:rPr>
          <w:sz w:val="24"/>
          <w:szCs w:val="24"/>
        </w:rPr>
        <w:t xml:space="preserve">the Applicant states that it </w:t>
      </w:r>
      <w:r>
        <w:rPr>
          <w:sz w:val="24"/>
          <w:szCs w:val="24"/>
        </w:rPr>
        <w:t xml:space="preserve">has remained largely unchanged since </w:t>
      </w:r>
      <w:r w:rsidR="00924D18">
        <w:rPr>
          <w:sz w:val="24"/>
          <w:szCs w:val="24"/>
        </w:rPr>
        <w:t>then which has result</w:t>
      </w:r>
      <w:r w:rsidR="00F807BD">
        <w:rPr>
          <w:sz w:val="24"/>
          <w:szCs w:val="24"/>
        </w:rPr>
        <w:t>ed</w:t>
      </w:r>
      <w:r w:rsidR="00924D18">
        <w:rPr>
          <w:sz w:val="24"/>
          <w:szCs w:val="24"/>
        </w:rPr>
        <w:t xml:space="preserve"> in an </w:t>
      </w:r>
      <w:r w:rsidR="000064BF" w:rsidRPr="000064BF">
        <w:rPr>
          <w:sz w:val="24"/>
          <w:szCs w:val="24"/>
        </w:rPr>
        <w:t xml:space="preserve">outdated and undersized </w:t>
      </w:r>
      <w:r w:rsidR="000064BF" w:rsidRPr="002F1E69">
        <w:rPr>
          <w:sz w:val="24"/>
          <w:szCs w:val="24"/>
        </w:rPr>
        <w:t xml:space="preserve">surgical </w:t>
      </w:r>
      <w:r w:rsidR="002F1E69">
        <w:rPr>
          <w:sz w:val="24"/>
          <w:szCs w:val="24"/>
        </w:rPr>
        <w:t>platform</w:t>
      </w:r>
      <w:r w:rsidR="000064BF">
        <w:rPr>
          <w:sz w:val="24"/>
          <w:szCs w:val="24"/>
        </w:rPr>
        <w:t xml:space="preserve">. </w:t>
      </w:r>
      <w:r w:rsidR="00F14E34" w:rsidRPr="00F14E34">
        <w:rPr>
          <w:sz w:val="24"/>
          <w:szCs w:val="24"/>
        </w:rPr>
        <w:t>The four existing operating rooms</w:t>
      </w:r>
      <w:r w:rsidR="00BD586F">
        <w:rPr>
          <w:sz w:val="24"/>
          <w:szCs w:val="24"/>
        </w:rPr>
        <w:t xml:space="preserve"> (ORs)</w:t>
      </w:r>
      <w:r w:rsidR="00F14E34" w:rsidRPr="00F14E34">
        <w:rPr>
          <w:sz w:val="24"/>
          <w:szCs w:val="24"/>
        </w:rPr>
        <w:t xml:space="preserve">, ranging in size from 347 </w:t>
      </w:r>
      <w:r w:rsidR="00212162">
        <w:rPr>
          <w:sz w:val="24"/>
          <w:szCs w:val="24"/>
        </w:rPr>
        <w:t xml:space="preserve">square feet (sf) </w:t>
      </w:r>
      <w:r w:rsidR="00F14E34" w:rsidRPr="00F14E34">
        <w:rPr>
          <w:sz w:val="24"/>
          <w:szCs w:val="24"/>
        </w:rPr>
        <w:t xml:space="preserve">to 429 </w:t>
      </w:r>
      <w:r w:rsidR="003230EC">
        <w:rPr>
          <w:sz w:val="24"/>
          <w:szCs w:val="24"/>
        </w:rPr>
        <w:t>sf,</w:t>
      </w:r>
      <w:r w:rsidR="00F14E34" w:rsidRPr="00F14E34">
        <w:rPr>
          <w:sz w:val="24"/>
          <w:szCs w:val="24"/>
        </w:rPr>
        <w:t xml:space="preserve"> are too small relative to current </w:t>
      </w:r>
      <w:r w:rsidR="003230EC">
        <w:rPr>
          <w:sz w:val="24"/>
          <w:szCs w:val="24"/>
        </w:rPr>
        <w:t xml:space="preserve">Facilities Guidelines Institute (FGI) </w:t>
      </w:r>
      <w:r w:rsidR="00CC6405">
        <w:rPr>
          <w:sz w:val="24"/>
          <w:szCs w:val="24"/>
        </w:rPr>
        <w:t>standard</w:t>
      </w:r>
      <w:r w:rsidR="003230EC">
        <w:rPr>
          <w:sz w:val="24"/>
          <w:szCs w:val="24"/>
        </w:rPr>
        <w:t xml:space="preserve"> </w:t>
      </w:r>
      <w:r w:rsidR="00CC6405">
        <w:rPr>
          <w:sz w:val="24"/>
          <w:szCs w:val="24"/>
        </w:rPr>
        <w:t>of</w:t>
      </w:r>
      <w:r w:rsidR="003230EC">
        <w:rPr>
          <w:sz w:val="24"/>
          <w:szCs w:val="24"/>
        </w:rPr>
        <w:t xml:space="preserve"> 600 sf</w:t>
      </w:r>
      <w:r w:rsidR="00CD57CC">
        <w:rPr>
          <w:sz w:val="24"/>
          <w:szCs w:val="24"/>
        </w:rPr>
        <w:t xml:space="preserve">. </w:t>
      </w:r>
      <w:r w:rsidR="00A12989">
        <w:rPr>
          <w:sz w:val="24"/>
          <w:szCs w:val="24"/>
        </w:rPr>
        <w:t>R</w:t>
      </w:r>
      <w:r w:rsidR="00CD57CC" w:rsidRPr="00F14E34">
        <w:rPr>
          <w:sz w:val="24"/>
          <w:szCs w:val="24"/>
        </w:rPr>
        <w:t xml:space="preserve">ecent surgical service line expansions to better meet the surgical needs of the community have led to a significant increase in case volume </w:t>
      </w:r>
      <w:r w:rsidR="00CD57CC">
        <w:rPr>
          <w:sz w:val="24"/>
          <w:szCs w:val="24"/>
        </w:rPr>
        <w:t xml:space="preserve">but the four ORs are </w:t>
      </w:r>
      <w:r w:rsidR="00F14E34" w:rsidRPr="00F14E34">
        <w:rPr>
          <w:sz w:val="24"/>
          <w:szCs w:val="24"/>
        </w:rPr>
        <w:t xml:space="preserve">too few in number relative to </w:t>
      </w:r>
      <w:r w:rsidR="00CD57CC">
        <w:rPr>
          <w:sz w:val="24"/>
          <w:szCs w:val="24"/>
        </w:rPr>
        <w:t>the increased</w:t>
      </w:r>
      <w:r w:rsidR="00CD57CC" w:rsidRPr="00F14E34">
        <w:rPr>
          <w:sz w:val="24"/>
          <w:szCs w:val="24"/>
        </w:rPr>
        <w:t xml:space="preserve"> </w:t>
      </w:r>
      <w:r w:rsidR="00F14E34" w:rsidRPr="00F14E34">
        <w:rPr>
          <w:sz w:val="24"/>
          <w:szCs w:val="24"/>
        </w:rPr>
        <w:t xml:space="preserve">case volume. </w:t>
      </w:r>
      <w:r w:rsidR="00CD57CC">
        <w:rPr>
          <w:sz w:val="24"/>
          <w:szCs w:val="24"/>
        </w:rPr>
        <w:t xml:space="preserve">Further, additional case volume growth is </w:t>
      </w:r>
      <w:r w:rsidR="00E130BE">
        <w:rPr>
          <w:sz w:val="24"/>
          <w:szCs w:val="24"/>
        </w:rPr>
        <w:t>constrained</w:t>
      </w:r>
      <w:r w:rsidR="00CD57CC">
        <w:rPr>
          <w:sz w:val="24"/>
          <w:szCs w:val="24"/>
        </w:rPr>
        <w:t xml:space="preserve"> by t</w:t>
      </w:r>
      <w:r w:rsidR="00D22842" w:rsidRPr="00D22842">
        <w:rPr>
          <w:sz w:val="24"/>
          <w:szCs w:val="24"/>
        </w:rPr>
        <w:t>he existing surgical infrastructure</w:t>
      </w:r>
      <w:r w:rsidR="00CD57CC">
        <w:rPr>
          <w:sz w:val="24"/>
          <w:szCs w:val="24"/>
        </w:rPr>
        <w:t xml:space="preserve"> and </w:t>
      </w:r>
      <w:r w:rsidR="00730144">
        <w:rPr>
          <w:sz w:val="24"/>
          <w:szCs w:val="24"/>
        </w:rPr>
        <w:t>heating, ventilation, and cooling (</w:t>
      </w:r>
      <w:r w:rsidR="00CD57CC">
        <w:rPr>
          <w:sz w:val="24"/>
          <w:szCs w:val="24"/>
        </w:rPr>
        <w:t>HVAC</w:t>
      </w:r>
      <w:r w:rsidR="00730144">
        <w:rPr>
          <w:sz w:val="24"/>
          <w:szCs w:val="24"/>
        </w:rPr>
        <w:t>)</w:t>
      </w:r>
      <w:r w:rsidR="00CD57CC">
        <w:rPr>
          <w:sz w:val="24"/>
          <w:szCs w:val="24"/>
        </w:rPr>
        <w:t xml:space="preserve"> system. The surgical infrastructure </w:t>
      </w:r>
      <w:r w:rsidR="00D22842" w:rsidRPr="00D22842">
        <w:rPr>
          <w:sz w:val="24"/>
          <w:szCs w:val="24"/>
        </w:rPr>
        <w:t xml:space="preserve">is undersized, and unable to easily accommodate new and emerging surgical technologies, and the HVAC system is outdated which prevents Heywood Hospital from taking advantage of up-to-date infection control modalities. </w:t>
      </w:r>
      <w:r w:rsidR="005712EC" w:rsidRPr="005712EC">
        <w:rPr>
          <w:sz w:val="24"/>
          <w:szCs w:val="24"/>
        </w:rPr>
        <w:t>The Applicant asserts that limitations with</w:t>
      </w:r>
      <w:r w:rsidR="003230EC">
        <w:rPr>
          <w:sz w:val="24"/>
          <w:szCs w:val="24"/>
        </w:rPr>
        <w:t>in</w:t>
      </w:r>
      <w:r w:rsidR="005712EC" w:rsidRPr="005712EC">
        <w:rPr>
          <w:sz w:val="24"/>
          <w:szCs w:val="24"/>
        </w:rPr>
        <w:t xml:space="preserve"> the existing infrastructure </w:t>
      </w:r>
      <w:r w:rsidR="006D618B" w:rsidRPr="005712EC">
        <w:rPr>
          <w:sz w:val="24"/>
          <w:szCs w:val="24"/>
        </w:rPr>
        <w:t>pre</w:t>
      </w:r>
      <w:r w:rsidR="006D618B">
        <w:rPr>
          <w:sz w:val="24"/>
          <w:szCs w:val="24"/>
        </w:rPr>
        <w:t xml:space="preserve">clude </w:t>
      </w:r>
      <w:r w:rsidR="005712EC" w:rsidRPr="005712EC">
        <w:rPr>
          <w:sz w:val="24"/>
          <w:szCs w:val="24"/>
        </w:rPr>
        <w:t>renovation of the existing ORs an</w:t>
      </w:r>
      <w:r w:rsidR="0070002B">
        <w:rPr>
          <w:sz w:val="24"/>
          <w:szCs w:val="24"/>
        </w:rPr>
        <w:t xml:space="preserve">d </w:t>
      </w:r>
      <w:r w:rsidR="005712EC" w:rsidRPr="005712EC">
        <w:rPr>
          <w:sz w:val="24"/>
          <w:szCs w:val="24"/>
        </w:rPr>
        <w:t xml:space="preserve">HVAC system in their current location on the Hospital campus. </w:t>
      </w:r>
    </w:p>
    <w:p w14:paraId="549BCD7C" w14:textId="77777777" w:rsidR="00215907" w:rsidRDefault="00215907" w:rsidP="005C6357">
      <w:pPr>
        <w:spacing w:after="0" w:line="240" w:lineRule="auto"/>
        <w:rPr>
          <w:sz w:val="24"/>
          <w:szCs w:val="24"/>
        </w:rPr>
      </w:pPr>
    </w:p>
    <w:p w14:paraId="1815D389" w14:textId="4C5AADAE" w:rsidR="00BC6355" w:rsidRDefault="00924D18" w:rsidP="005C6357">
      <w:pPr>
        <w:spacing w:after="0" w:line="240" w:lineRule="auto"/>
        <w:rPr>
          <w:sz w:val="24"/>
          <w:szCs w:val="24"/>
        </w:rPr>
      </w:pPr>
      <w:r>
        <w:rPr>
          <w:sz w:val="24"/>
          <w:szCs w:val="24"/>
        </w:rPr>
        <w:t xml:space="preserve">The Applicant is proposing to </w:t>
      </w:r>
      <w:r w:rsidR="000064BF">
        <w:rPr>
          <w:sz w:val="24"/>
          <w:szCs w:val="24"/>
        </w:rPr>
        <w:t>c</w:t>
      </w:r>
      <w:r w:rsidR="000064BF" w:rsidRPr="000064BF">
        <w:rPr>
          <w:sz w:val="24"/>
          <w:szCs w:val="24"/>
        </w:rPr>
        <w:t xml:space="preserve">onstruct a </w:t>
      </w:r>
      <w:r w:rsidR="00215907">
        <w:rPr>
          <w:rFonts w:cstheme="minorHAnsi"/>
          <w:sz w:val="24"/>
          <w:szCs w:val="24"/>
        </w:rPr>
        <w:t xml:space="preserve">40,115 gross square foot (gsf) </w:t>
      </w:r>
      <w:r w:rsidR="000064BF" w:rsidRPr="000064BF">
        <w:rPr>
          <w:sz w:val="24"/>
          <w:szCs w:val="24"/>
        </w:rPr>
        <w:t>new surgical</w:t>
      </w:r>
      <w:r w:rsidR="00D22842">
        <w:rPr>
          <w:sz w:val="24"/>
          <w:szCs w:val="24"/>
        </w:rPr>
        <w:t xml:space="preserve"> </w:t>
      </w:r>
      <w:r w:rsidR="000064BF" w:rsidRPr="000064BF">
        <w:rPr>
          <w:sz w:val="24"/>
          <w:szCs w:val="24"/>
        </w:rPr>
        <w:t>pavilion</w:t>
      </w:r>
      <w:r>
        <w:rPr>
          <w:sz w:val="24"/>
          <w:szCs w:val="24"/>
        </w:rPr>
        <w:t xml:space="preserve"> </w:t>
      </w:r>
      <w:r w:rsidR="00215907">
        <w:rPr>
          <w:sz w:val="24"/>
          <w:szCs w:val="24"/>
        </w:rPr>
        <w:t xml:space="preserve">located adjacent and connected to the hospital </w:t>
      </w:r>
      <w:r>
        <w:rPr>
          <w:sz w:val="24"/>
          <w:szCs w:val="24"/>
        </w:rPr>
        <w:t>to replace the existing ORs</w:t>
      </w:r>
      <w:r w:rsidR="00D22842">
        <w:rPr>
          <w:sz w:val="24"/>
          <w:szCs w:val="24"/>
        </w:rPr>
        <w:t xml:space="preserve"> and expand access to surgical services</w:t>
      </w:r>
      <w:r w:rsidR="000064BF" w:rsidRPr="000064BF">
        <w:rPr>
          <w:sz w:val="24"/>
          <w:szCs w:val="24"/>
        </w:rPr>
        <w:t>.</w:t>
      </w:r>
      <w:r w:rsidR="00BC6355">
        <w:rPr>
          <w:sz w:val="24"/>
          <w:szCs w:val="24"/>
        </w:rPr>
        <w:t xml:space="preserve"> The proposed addition will include:</w:t>
      </w:r>
    </w:p>
    <w:p w14:paraId="73AB7ACD" w14:textId="53C4A1D7" w:rsidR="00215907" w:rsidRPr="00215907" w:rsidRDefault="00215907" w:rsidP="00606D1C">
      <w:pPr>
        <w:spacing w:after="0" w:line="240" w:lineRule="auto"/>
        <w:rPr>
          <w:sz w:val="24"/>
          <w:szCs w:val="24"/>
        </w:rPr>
      </w:pPr>
    </w:p>
    <w:p w14:paraId="1548DB98" w14:textId="5360FDCE" w:rsidR="00BC6355" w:rsidRDefault="00BC6355" w:rsidP="00430E8F">
      <w:pPr>
        <w:pStyle w:val="ListParagraph"/>
        <w:numPr>
          <w:ilvl w:val="0"/>
          <w:numId w:val="12"/>
        </w:numPr>
        <w:spacing w:after="0" w:line="240" w:lineRule="auto"/>
        <w:rPr>
          <w:sz w:val="24"/>
          <w:szCs w:val="24"/>
        </w:rPr>
      </w:pPr>
      <w:r w:rsidRPr="00BC6355">
        <w:rPr>
          <w:sz w:val="24"/>
          <w:szCs w:val="24"/>
        </w:rPr>
        <w:t>Six operating rooms</w:t>
      </w:r>
      <w:r w:rsidR="00ED2EB1">
        <w:rPr>
          <w:sz w:val="24"/>
          <w:szCs w:val="24"/>
        </w:rPr>
        <w:t xml:space="preserve"> (ORs)</w:t>
      </w:r>
      <w:r w:rsidR="006E136B">
        <w:rPr>
          <w:sz w:val="24"/>
          <w:szCs w:val="24"/>
        </w:rPr>
        <w:t xml:space="preserve"> to replace the current ORs</w:t>
      </w:r>
      <w:r w:rsidRPr="00BC6355">
        <w:rPr>
          <w:sz w:val="24"/>
          <w:szCs w:val="24"/>
        </w:rPr>
        <w:t xml:space="preserve">, each nearly 200 ft larger than </w:t>
      </w:r>
      <w:r w:rsidR="004E6DB8">
        <w:rPr>
          <w:sz w:val="24"/>
          <w:szCs w:val="24"/>
        </w:rPr>
        <w:t>the</w:t>
      </w:r>
      <w:r w:rsidRPr="00BC6355">
        <w:rPr>
          <w:sz w:val="24"/>
          <w:szCs w:val="24"/>
        </w:rPr>
        <w:t xml:space="preserve"> four existing </w:t>
      </w:r>
      <w:r w:rsidR="00092167" w:rsidRPr="00BC6355">
        <w:rPr>
          <w:sz w:val="24"/>
          <w:szCs w:val="24"/>
        </w:rPr>
        <w:t>ORs</w:t>
      </w:r>
      <w:r w:rsidR="00CD57CC">
        <w:rPr>
          <w:sz w:val="24"/>
          <w:szCs w:val="24"/>
        </w:rPr>
        <w:t xml:space="preserve"> (net difference of two new ORs)</w:t>
      </w:r>
      <w:r w:rsidR="00092167" w:rsidRPr="00BC6355">
        <w:rPr>
          <w:sz w:val="24"/>
          <w:szCs w:val="24"/>
        </w:rPr>
        <w:t>.</w:t>
      </w:r>
      <w:r w:rsidRPr="00BC6355">
        <w:rPr>
          <w:sz w:val="24"/>
          <w:szCs w:val="24"/>
        </w:rPr>
        <w:t xml:space="preserve"> </w:t>
      </w:r>
    </w:p>
    <w:p w14:paraId="2D97309E" w14:textId="68613CC8" w:rsidR="00BC6355" w:rsidRDefault="00BC6355" w:rsidP="00430E8F">
      <w:pPr>
        <w:pStyle w:val="ListParagraph"/>
        <w:numPr>
          <w:ilvl w:val="0"/>
          <w:numId w:val="12"/>
        </w:numPr>
        <w:spacing w:after="0" w:line="240" w:lineRule="auto"/>
        <w:rPr>
          <w:sz w:val="24"/>
          <w:szCs w:val="24"/>
        </w:rPr>
      </w:pPr>
      <w:r w:rsidRPr="00BC6355">
        <w:rPr>
          <w:sz w:val="24"/>
          <w:szCs w:val="24"/>
        </w:rPr>
        <w:t xml:space="preserve">Central core for storage of sterile </w:t>
      </w:r>
      <w:r w:rsidR="00092167" w:rsidRPr="00BC6355">
        <w:rPr>
          <w:sz w:val="24"/>
          <w:szCs w:val="24"/>
        </w:rPr>
        <w:t>instrumentation.</w:t>
      </w:r>
      <w:r w:rsidRPr="00BC6355">
        <w:rPr>
          <w:sz w:val="24"/>
          <w:szCs w:val="24"/>
        </w:rPr>
        <w:t xml:space="preserve"> </w:t>
      </w:r>
    </w:p>
    <w:p w14:paraId="17D3C930" w14:textId="57D1708C" w:rsidR="00BC6355" w:rsidRDefault="00BC6355" w:rsidP="00430E8F">
      <w:pPr>
        <w:pStyle w:val="ListParagraph"/>
        <w:numPr>
          <w:ilvl w:val="0"/>
          <w:numId w:val="12"/>
        </w:numPr>
        <w:spacing w:after="0" w:line="240" w:lineRule="auto"/>
        <w:rPr>
          <w:sz w:val="24"/>
          <w:szCs w:val="24"/>
        </w:rPr>
      </w:pPr>
      <w:r w:rsidRPr="00BC6355">
        <w:rPr>
          <w:sz w:val="24"/>
          <w:szCs w:val="24"/>
        </w:rPr>
        <w:t>Separate clean and dirty elevators for transport of instrumentation to the central sterile processing department (CSPD</w:t>
      </w:r>
      <w:r w:rsidR="00092167" w:rsidRPr="00BC6355">
        <w:rPr>
          <w:sz w:val="24"/>
          <w:szCs w:val="24"/>
        </w:rPr>
        <w:t>).</w:t>
      </w:r>
      <w:r w:rsidRPr="00BC6355">
        <w:rPr>
          <w:sz w:val="24"/>
          <w:szCs w:val="24"/>
        </w:rPr>
        <w:t xml:space="preserve"> </w:t>
      </w:r>
    </w:p>
    <w:p w14:paraId="25E3526E" w14:textId="33FB4F03" w:rsidR="00BC6355" w:rsidRDefault="001169A1" w:rsidP="00430E8F">
      <w:pPr>
        <w:pStyle w:val="ListParagraph"/>
        <w:numPr>
          <w:ilvl w:val="0"/>
          <w:numId w:val="12"/>
        </w:numPr>
        <w:spacing w:after="0" w:line="240" w:lineRule="auto"/>
        <w:rPr>
          <w:sz w:val="24"/>
          <w:szCs w:val="24"/>
        </w:rPr>
      </w:pPr>
      <w:r>
        <w:rPr>
          <w:sz w:val="24"/>
          <w:szCs w:val="24"/>
        </w:rPr>
        <w:t>Eighteen</w:t>
      </w:r>
      <w:r w:rsidR="006D618B">
        <w:rPr>
          <w:sz w:val="24"/>
          <w:szCs w:val="24"/>
        </w:rPr>
        <w:t xml:space="preserve"> (</w:t>
      </w:r>
      <w:r>
        <w:rPr>
          <w:sz w:val="24"/>
          <w:szCs w:val="24"/>
        </w:rPr>
        <w:t>18</w:t>
      </w:r>
      <w:r w:rsidR="006D618B">
        <w:rPr>
          <w:sz w:val="24"/>
          <w:szCs w:val="24"/>
        </w:rPr>
        <w:t>)</w:t>
      </w:r>
      <w:r w:rsidR="00BC6355" w:rsidRPr="00BC6355">
        <w:rPr>
          <w:sz w:val="24"/>
          <w:szCs w:val="24"/>
        </w:rPr>
        <w:t xml:space="preserve"> pre/post procedure </w:t>
      </w:r>
      <w:r w:rsidR="00EE6090" w:rsidRPr="00EE6090">
        <w:rPr>
          <w:sz w:val="24"/>
          <w:szCs w:val="24"/>
        </w:rPr>
        <w:t>patient care stations</w:t>
      </w:r>
      <w:r w:rsidR="005A687E">
        <w:rPr>
          <w:sz w:val="24"/>
          <w:szCs w:val="24"/>
        </w:rPr>
        <w:t>.</w:t>
      </w:r>
      <w:r w:rsidR="005A687E" w:rsidRPr="00BC6355">
        <w:rPr>
          <w:sz w:val="24"/>
          <w:szCs w:val="24"/>
        </w:rPr>
        <w:t xml:space="preserve"> </w:t>
      </w:r>
    </w:p>
    <w:p w14:paraId="59CB65ED" w14:textId="78B3D445" w:rsidR="00BC6355" w:rsidRPr="00BC6355" w:rsidRDefault="00BC6355" w:rsidP="00430E8F">
      <w:pPr>
        <w:pStyle w:val="ListParagraph"/>
        <w:numPr>
          <w:ilvl w:val="0"/>
          <w:numId w:val="12"/>
        </w:numPr>
        <w:spacing w:after="0" w:line="240" w:lineRule="auto"/>
        <w:rPr>
          <w:sz w:val="24"/>
          <w:szCs w:val="24"/>
        </w:rPr>
      </w:pPr>
      <w:r w:rsidRPr="00BC6355">
        <w:rPr>
          <w:sz w:val="24"/>
          <w:szCs w:val="24"/>
        </w:rPr>
        <w:lastRenderedPageBreak/>
        <w:t>Shell space on the second floor for future use to accommodate outpatient surgical specialists offices.</w:t>
      </w:r>
    </w:p>
    <w:p w14:paraId="428F4A21" w14:textId="77777777" w:rsidR="00BC6355" w:rsidRDefault="00BC6355" w:rsidP="00385A5E">
      <w:pPr>
        <w:spacing w:after="0" w:line="240" w:lineRule="auto"/>
        <w:rPr>
          <w:sz w:val="24"/>
          <w:szCs w:val="24"/>
        </w:rPr>
      </w:pPr>
    </w:p>
    <w:p w14:paraId="269BB241" w14:textId="6859945A" w:rsidR="00CF2B67" w:rsidRDefault="00FC2ABE" w:rsidP="00DC051D">
      <w:pPr>
        <w:spacing w:after="0" w:line="240" w:lineRule="auto"/>
        <w:rPr>
          <w:b/>
          <w:bCs/>
          <w:sz w:val="28"/>
          <w:szCs w:val="28"/>
        </w:rPr>
      </w:pPr>
      <w:r>
        <w:rPr>
          <w:sz w:val="24"/>
          <w:szCs w:val="24"/>
        </w:rPr>
        <w:t xml:space="preserve">The </w:t>
      </w:r>
      <w:r w:rsidR="00924D18">
        <w:rPr>
          <w:sz w:val="24"/>
          <w:szCs w:val="24"/>
        </w:rPr>
        <w:t xml:space="preserve">Applicant asserts that the </w:t>
      </w:r>
      <w:r>
        <w:rPr>
          <w:sz w:val="24"/>
          <w:szCs w:val="24"/>
        </w:rPr>
        <w:t xml:space="preserve">Proposed Project is needed </w:t>
      </w:r>
      <w:proofErr w:type="gramStart"/>
      <w:r>
        <w:rPr>
          <w:sz w:val="24"/>
          <w:szCs w:val="24"/>
        </w:rPr>
        <w:t>in order to</w:t>
      </w:r>
      <w:proofErr w:type="gramEnd"/>
      <w:r w:rsidR="00D22842">
        <w:rPr>
          <w:sz w:val="24"/>
          <w:szCs w:val="24"/>
        </w:rPr>
        <w:t xml:space="preserve"> </w:t>
      </w:r>
      <w:r w:rsidRPr="006C0009">
        <w:rPr>
          <w:sz w:val="24"/>
          <w:szCs w:val="24"/>
        </w:rPr>
        <w:t xml:space="preserve">address </w:t>
      </w:r>
      <w:r w:rsidR="006C0009">
        <w:rPr>
          <w:sz w:val="24"/>
          <w:szCs w:val="24"/>
        </w:rPr>
        <w:t xml:space="preserve">the </w:t>
      </w:r>
      <w:r w:rsidRPr="006C0009">
        <w:rPr>
          <w:sz w:val="24"/>
          <w:szCs w:val="24"/>
        </w:rPr>
        <w:t xml:space="preserve">challenges </w:t>
      </w:r>
      <w:r w:rsidR="006C0009">
        <w:rPr>
          <w:sz w:val="24"/>
          <w:szCs w:val="24"/>
        </w:rPr>
        <w:t>of an</w:t>
      </w:r>
      <w:r w:rsidRPr="006C0009">
        <w:rPr>
          <w:sz w:val="24"/>
          <w:szCs w:val="24"/>
        </w:rPr>
        <w:t xml:space="preserve"> outdated and undersized surgical platform</w:t>
      </w:r>
      <w:r w:rsidR="006C0009">
        <w:rPr>
          <w:sz w:val="24"/>
          <w:szCs w:val="24"/>
        </w:rPr>
        <w:t xml:space="preserve"> and </w:t>
      </w:r>
      <w:r w:rsidRPr="006C0009">
        <w:rPr>
          <w:sz w:val="24"/>
          <w:szCs w:val="24"/>
        </w:rPr>
        <w:t>to continue to meet the surgical and procedural needs of its Patient Panel</w:t>
      </w:r>
      <w:r w:rsidR="006C0009">
        <w:rPr>
          <w:sz w:val="24"/>
          <w:szCs w:val="24"/>
        </w:rPr>
        <w:t xml:space="preserve"> through increasing</w:t>
      </w:r>
      <w:r w:rsidRPr="006C0009">
        <w:rPr>
          <w:sz w:val="24"/>
          <w:szCs w:val="24"/>
        </w:rPr>
        <w:t xml:space="preserve"> access to high-quality, cost-effective, </w:t>
      </w:r>
      <w:r w:rsidR="00F32913">
        <w:rPr>
          <w:sz w:val="24"/>
          <w:szCs w:val="24"/>
        </w:rPr>
        <w:t xml:space="preserve">surgical care </w:t>
      </w:r>
      <w:r w:rsidRPr="006C0009">
        <w:rPr>
          <w:sz w:val="24"/>
          <w:szCs w:val="24"/>
        </w:rPr>
        <w:t>locally.</w:t>
      </w:r>
      <w:r>
        <w:rPr>
          <w:rStyle w:val="FootnoteReference"/>
          <w:sz w:val="24"/>
          <w:szCs w:val="24"/>
        </w:rPr>
        <w:footnoteReference w:id="3"/>
      </w:r>
      <w:r w:rsidR="00DC051D">
        <w:rPr>
          <w:b/>
          <w:bCs/>
          <w:sz w:val="28"/>
          <w:szCs w:val="28"/>
        </w:rPr>
        <w:t xml:space="preserve"> </w:t>
      </w:r>
    </w:p>
    <w:p w14:paraId="03096D89" w14:textId="77777777" w:rsidR="00CF2B67" w:rsidRDefault="00CF2B67">
      <w:pPr>
        <w:rPr>
          <w:b/>
          <w:bCs/>
          <w:sz w:val="28"/>
          <w:szCs w:val="28"/>
        </w:rPr>
        <w:sectPr w:rsidR="00CF2B6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7F7BFF7F" w14:textId="77777777" w:rsidR="00CF2B67" w:rsidRPr="00CF2B67" w:rsidRDefault="00CF2B67" w:rsidP="00CF2B67">
      <w:pPr>
        <w:spacing w:after="0" w:line="240" w:lineRule="auto"/>
        <w:contextualSpacing/>
        <w:jc w:val="center"/>
        <w:rPr>
          <w:rFonts w:ascii="Garamond" w:eastAsia="Calibri" w:hAnsi="Garamond" w:cs="Times New Roman"/>
        </w:rPr>
      </w:pPr>
      <w:bookmarkStart w:id="0" w:name="_Toc17151136"/>
      <w:r w:rsidRPr="00CF2B67">
        <w:rPr>
          <w:rFonts w:ascii="Garamond" w:eastAsia="Calibri" w:hAnsi="Garamond" w:cs="Times New Roman"/>
          <w:b/>
          <w:bCs/>
          <w:sz w:val="32"/>
          <w:szCs w:val="32"/>
        </w:rPr>
        <w:lastRenderedPageBreak/>
        <w:t>OVERVIEW of PROPOSED PROJECT AND FACTOR REVIEW</w:t>
      </w:r>
      <w:bookmarkEnd w:id="0"/>
    </w:p>
    <w:tbl>
      <w:tblPr>
        <w:tblStyle w:val="GridTable4-Accent11"/>
        <w:tblW w:w="0" w:type="auto"/>
        <w:tblInd w:w="-633" w:type="dxa"/>
        <w:tblBorders>
          <w:top w:val="single" w:sz="12" w:space="0" w:color="9FACD2"/>
          <w:left w:val="single" w:sz="12" w:space="0" w:color="9FACD2"/>
          <w:bottom w:val="single" w:sz="12" w:space="0" w:color="9FACD2"/>
          <w:right w:val="single" w:sz="12" w:space="0" w:color="9FACD2"/>
          <w:insideH w:val="single" w:sz="12" w:space="0" w:color="9FACD2"/>
          <w:insideV w:val="single" w:sz="12" w:space="0" w:color="9FACD2"/>
        </w:tblBorders>
        <w:tblCellMar>
          <w:left w:w="115" w:type="dxa"/>
          <w:right w:w="115" w:type="dxa"/>
        </w:tblCellMar>
        <w:tblLook w:val="04A0" w:firstRow="1" w:lastRow="0" w:firstColumn="1" w:lastColumn="0" w:noHBand="0" w:noVBand="1"/>
        <w:tblCaption w:val="Overview of Proposed Project and Factors Review"/>
        <w:tblDescription w:val="Description What’s Needed to Meet Factor 1: Demonstration of need; improved health outcomes and quality of life; assurances of health equity; continuity and coordination of care; evidence of community engagement; and competition on recognized measures of health care spending.&#10; What’s Needed to Meet Factor 2: Demonstration of cost containment, improved public health outcomes, and delivery system transformation&#10; Factors 3, 4 &amp; 5  What’s Needed to Meet Factor 6: Demonstration of plans for fulfilling … responsibilities … in the DPH Community-based Health Initiatives Guideline.&#10; Staff Report finds &#10; MEETS MEETS MEETS&#10; MEETS&#10;The Applicant is proposing to expand access to surgical services, through construction of a surgical pavilion that will include the following: six new operating rooms (ORs) – replacing the existing four ORs and adding two new ORs; 18 pre/post procedure patient care stations; central storage, separate clean and dirty elevators; and shell space for build out for future use.    &#10;"/>
      </w:tblPr>
      <w:tblGrid>
        <w:gridCol w:w="4006"/>
        <w:gridCol w:w="3759"/>
        <w:gridCol w:w="2671"/>
        <w:gridCol w:w="1074"/>
        <w:gridCol w:w="2773"/>
      </w:tblGrid>
      <w:tr w:rsidR="00342D6E" w:rsidRPr="00CF2B67" w14:paraId="64840DC0" w14:textId="77777777" w:rsidTr="00606A7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6076B4"/>
            </w:tcBorders>
            <w:shd w:val="clear" w:color="auto" w:fill="BFC8E1"/>
          </w:tcPr>
          <w:p w14:paraId="5305BA83" w14:textId="77777777" w:rsidR="00CF2B67" w:rsidRPr="00CF2B67" w:rsidRDefault="00CF2B67" w:rsidP="00CF2B67">
            <w:pPr>
              <w:contextualSpacing/>
              <w:rPr>
                <w:rFonts w:ascii="Garamond" w:eastAsia="Calibri" w:hAnsi="Garamond" w:cs="Cambria"/>
                <w:color w:val="auto"/>
              </w:rPr>
            </w:pPr>
            <w:r w:rsidRPr="00CF2B67">
              <w:rPr>
                <w:rFonts w:ascii="Garamond" w:eastAsia="Calibri" w:hAnsi="Garamond" w:cs="Cambria"/>
                <w:color w:val="auto"/>
              </w:rPr>
              <w:t>Description</w:t>
            </w:r>
          </w:p>
        </w:tc>
        <w:tc>
          <w:tcPr>
            <w:tcW w:w="0" w:type="auto"/>
            <w:tcBorders>
              <w:left w:val="single" w:sz="4" w:space="0" w:color="6076B4"/>
              <w:right w:val="single" w:sz="4" w:space="0" w:color="6076B4"/>
            </w:tcBorders>
            <w:shd w:val="clear" w:color="auto" w:fill="BFC8E1"/>
          </w:tcPr>
          <w:p w14:paraId="1DD11021" w14:textId="77777777" w:rsidR="00CF2B67" w:rsidRPr="00CF2B67" w:rsidRDefault="00CF2B67" w:rsidP="00CF2B67">
            <w:pPr>
              <w:contextualSpacing/>
              <w:cnfStyle w:val="100000000000" w:firstRow="1" w:lastRow="0" w:firstColumn="0" w:lastColumn="0" w:oddVBand="0" w:evenVBand="0" w:oddHBand="0" w:evenHBand="0" w:firstRowFirstColumn="0" w:firstRowLastColumn="0" w:lastRowFirstColumn="0" w:lastRowLastColumn="0"/>
              <w:rPr>
                <w:rFonts w:ascii="Garamond" w:eastAsia="Calibri" w:hAnsi="Garamond" w:cs="Cambria"/>
                <w:color w:val="auto"/>
              </w:rPr>
            </w:pPr>
            <w:r w:rsidRPr="00CF2B67">
              <w:rPr>
                <w:rFonts w:ascii="Garamond" w:eastAsia="Calibri" w:hAnsi="Garamond" w:cs="Cambria"/>
                <w:color w:val="auto"/>
              </w:rPr>
              <w:t>What’s Needed to Meet Factor 1: Demonstration of need; improved health outcomes and quality of life; assurances of health equity; continuity and coordination of care; evidence of community engagement; and competition on recognized measures of health care spending.</w:t>
            </w:r>
          </w:p>
          <w:p w14:paraId="786481F9" w14:textId="77777777" w:rsidR="00CF2B67" w:rsidRPr="00CF2B67" w:rsidRDefault="00CF2B67" w:rsidP="00CF2B67">
            <w:pPr>
              <w:contextualSpacing/>
              <w:cnfStyle w:val="100000000000" w:firstRow="1" w:lastRow="0" w:firstColumn="0" w:lastColumn="0" w:oddVBand="0" w:evenVBand="0" w:oddHBand="0" w:evenHBand="0" w:firstRowFirstColumn="0" w:firstRowLastColumn="0" w:lastRowFirstColumn="0" w:lastRowLastColumn="0"/>
              <w:rPr>
                <w:rFonts w:ascii="Garamond" w:eastAsia="Calibri" w:hAnsi="Garamond" w:cs="Cambria"/>
                <w:smallCaps/>
                <w:color w:val="auto"/>
              </w:rPr>
            </w:pPr>
          </w:p>
        </w:tc>
        <w:tc>
          <w:tcPr>
            <w:tcW w:w="0" w:type="auto"/>
            <w:tcBorders>
              <w:left w:val="single" w:sz="4" w:space="0" w:color="6076B4"/>
              <w:right w:val="single" w:sz="4" w:space="0" w:color="6076B4"/>
            </w:tcBorders>
            <w:shd w:val="clear" w:color="auto" w:fill="BFC8E1"/>
          </w:tcPr>
          <w:p w14:paraId="42DB324E" w14:textId="77777777" w:rsidR="00CF2B67" w:rsidRPr="00CF2B67" w:rsidRDefault="00CF2B67" w:rsidP="00CF2B67">
            <w:pPr>
              <w:contextualSpacing/>
              <w:cnfStyle w:val="100000000000" w:firstRow="1" w:lastRow="0" w:firstColumn="0" w:lastColumn="0" w:oddVBand="0" w:evenVBand="0" w:oddHBand="0" w:evenHBand="0" w:firstRowFirstColumn="0" w:firstRowLastColumn="0" w:lastRowFirstColumn="0" w:lastRowLastColumn="0"/>
              <w:rPr>
                <w:rFonts w:ascii="Garamond" w:eastAsia="Calibri" w:hAnsi="Garamond" w:cs="Cambria"/>
                <w:color w:val="auto"/>
              </w:rPr>
            </w:pPr>
            <w:r w:rsidRPr="00CF2B67">
              <w:rPr>
                <w:rFonts w:ascii="Garamond" w:eastAsia="Calibri" w:hAnsi="Garamond" w:cs="Cambria"/>
                <w:color w:val="auto"/>
              </w:rPr>
              <w:t>What’s Needed to Meet Factor 2: Demonstration of cost containment, improved public health outcomes, and delivery system transformation</w:t>
            </w:r>
          </w:p>
          <w:p w14:paraId="6E25B61F" w14:textId="77777777" w:rsidR="00CF2B67" w:rsidRPr="00CF2B67" w:rsidRDefault="00CF2B67" w:rsidP="00CF2B67">
            <w:pPr>
              <w:contextualSpacing/>
              <w:cnfStyle w:val="100000000000" w:firstRow="1" w:lastRow="0" w:firstColumn="0" w:lastColumn="0" w:oddVBand="0" w:evenVBand="0" w:oddHBand="0" w:evenHBand="0" w:firstRowFirstColumn="0" w:firstRowLastColumn="0" w:lastRowFirstColumn="0" w:lastRowLastColumn="0"/>
              <w:rPr>
                <w:rFonts w:ascii="Garamond" w:eastAsia="Calibri" w:hAnsi="Garamond" w:cs="Cambria"/>
                <w:color w:val="auto"/>
              </w:rPr>
            </w:pPr>
          </w:p>
        </w:tc>
        <w:tc>
          <w:tcPr>
            <w:tcW w:w="0" w:type="auto"/>
            <w:tcBorders>
              <w:left w:val="single" w:sz="4" w:space="0" w:color="6076B4"/>
              <w:right w:val="single" w:sz="4" w:space="0" w:color="6076B4"/>
            </w:tcBorders>
            <w:shd w:val="clear" w:color="auto" w:fill="BFC8E1"/>
          </w:tcPr>
          <w:p w14:paraId="37C8B0A8" w14:textId="77777777" w:rsidR="00CF2B67" w:rsidRPr="00CF2B67" w:rsidRDefault="00CF2B67" w:rsidP="00CF2B67">
            <w:pPr>
              <w:contextualSpacing/>
              <w:cnfStyle w:val="100000000000" w:firstRow="1" w:lastRow="0" w:firstColumn="0" w:lastColumn="0" w:oddVBand="0" w:evenVBand="0" w:oddHBand="0" w:evenHBand="0" w:firstRowFirstColumn="0" w:firstRowLastColumn="0" w:lastRowFirstColumn="0" w:lastRowLastColumn="0"/>
              <w:rPr>
                <w:rFonts w:ascii="Garamond" w:eastAsia="Calibri" w:hAnsi="Garamond" w:cs="Cambria"/>
                <w:color w:val="auto"/>
              </w:rPr>
            </w:pPr>
            <w:r w:rsidRPr="00CF2B67">
              <w:rPr>
                <w:rFonts w:ascii="Garamond" w:eastAsia="Calibri" w:hAnsi="Garamond" w:cs="Cambria"/>
                <w:color w:val="auto"/>
              </w:rPr>
              <w:t>Factors 3, 4 &amp; 5</w:t>
            </w:r>
            <w:r w:rsidRPr="00CF2B67">
              <w:rPr>
                <w:rFonts w:ascii="Garamond" w:eastAsia="Calibri" w:hAnsi="Garamond" w:cs="Cambria"/>
                <w:color w:val="auto"/>
                <w:vertAlign w:val="superscript"/>
              </w:rPr>
              <w:footnoteReference w:id="4"/>
            </w:r>
          </w:p>
        </w:tc>
        <w:tc>
          <w:tcPr>
            <w:tcW w:w="0" w:type="auto"/>
            <w:tcBorders>
              <w:left w:val="single" w:sz="4" w:space="0" w:color="6076B4"/>
            </w:tcBorders>
            <w:shd w:val="clear" w:color="auto" w:fill="BFC8E1"/>
          </w:tcPr>
          <w:p w14:paraId="292DFE5D" w14:textId="77777777" w:rsidR="00CF2B67" w:rsidRPr="00CF2B67" w:rsidRDefault="00CF2B67" w:rsidP="00CF2B67">
            <w:pPr>
              <w:contextualSpacing/>
              <w:cnfStyle w:val="100000000000" w:firstRow="1" w:lastRow="0" w:firstColumn="0" w:lastColumn="0" w:oddVBand="0" w:evenVBand="0" w:oddHBand="0" w:evenHBand="0" w:firstRowFirstColumn="0" w:firstRowLastColumn="0" w:lastRowFirstColumn="0" w:lastRowLastColumn="0"/>
              <w:rPr>
                <w:rFonts w:ascii="Garamond" w:eastAsia="Calibri" w:hAnsi="Garamond" w:cs="Cambria"/>
                <w:color w:val="auto"/>
              </w:rPr>
            </w:pPr>
            <w:r w:rsidRPr="00CF2B67">
              <w:rPr>
                <w:rFonts w:ascii="Garamond" w:eastAsia="Calibri" w:hAnsi="Garamond" w:cs="Cambria"/>
                <w:color w:val="auto"/>
              </w:rPr>
              <w:t>What’s Needed to Meet Factor 6: Demonstration of plans for fulfilling … responsibilities … in the DPH Community-based Health Initiatives Guideline.</w:t>
            </w:r>
          </w:p>
        </w:tc>
      </w:tr>
      <w:tr w:rsidR="00606A7D" w:rsidRPr="00CF2B67" w14:paraId="70B96818" w14:textId="77777777" w:rsidTr="00B5078F">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0" w:type="auto"/>
            <w:vMerge w:val="restart"/>
          </w:tcPr>
          <w:p w14:paraId="39106208" w14:textId="77777777" w:rsidR="00606A7D" w:rsidRPr="00CF2B67" w:rsidRDefault="00606A7D" w:rsidP="00CF2B67">
            <w:pPr>
              <w:contextualSpacing/>
              <w:rPr>
                <w:rFonts w:ascii="Garamond" w:eastAsia="Calibri" w:hAnsi="Garamond" w:cs="Cambria"/>
              </w:rPr>
            </w:pPr>
          </w:p>
        </w:tc>
        <w:tc>
          <w:tcPr>
            <w:tcW w:w="0" w:type="auto"/>
          </w:tcPr>
          <w:p w14:paraId="723F9E4E" w14:textId="77777777" w:rsidR="00606A7D" w:rsidRPr="00CF2B67" w:rsidRDefault="00606A7D" w:rsidP="00CF2B67">
            <w:pPr>
              <w:contextualSpacing/>
              <w:jc w:val="center"/>
              <w:cnfStyle w:val="000000100000" w:firstRow="0" w:lastRow="0" w:firstColumn="0" w:lastColumn="0" w:oddVBand="0" w:evenVBand="0" w:oddHBand="1" w:evenHBand="0" w:firstRowFirstColumn="0" w:firstRowLastColumn="0" w:lastRowFirstColumn="0" w:lastRowLastColumn="0"/>
              <w:rPr>
                <w:rFonts w:ascii="Garamond" w:eastAsia="Calibri" w:hAnsi="Garamond" w:cs="Cambria"/>
                <w:b/>
                <w:bCs/>
                <w:i/>
                <w:iCs/>
                <w:smallCaps/>
              </w:rPr>
            </w:pPr>
            <w:r w:rsidRPr="00CF2B67">
              <w:rPr>
                <w:rFonts w:ascii="Garamond" w:eastAsia="Calibri" w:hAnsi="Garamond" w:cs="Cambria"/>
                <w:b/>
                <w:i/>
                <w:iCs/>
              </w:rPr>
              <w:t>Staff Report finds</w:t>
            </w:r>
          </w:p>
        </w:tc>
        <w:tc>
          <w:tcPr>
            <w:tcW w:w="0" w:type="auto"/>
          </w:tcPr>
          <w:p w14:paraId="0DA916FE" w14:textId="77777777" w:rsidR="00606A7D" w:rsidRPr="00CF2B67" w:rsidRDefault="00606A7D" w:rsidP="00CF2B67">
            <w:pPr>
              <w:contextualSpacing/>
              <w:jc w:val="center"/>
              <w:cnfStyle w:val="000000100000" w:firstRow="0" w:lastRow="0" w:firstColumn="0" w:lastColumn="0" w:oddVBand="0" w:evenVBand="0" w:oddHBand="1" w:evenHBand="0" w:firstRowFirstColumn="0" w:firstRowLastColumn="0" w:lastRowFirstColumn="0" w:lastRowLastColumn="0"/>
              <w:rPr>
                <w:rFonts w:ascii="Garamond" w:eastAsia="Calibri" w:hAnsi="Garamond" w:cs="Cambria"/>
                <w:b/>
                <w:bCs/>
                <w:i/>
                <w:iCs/>
                <w:smallCaps/>
              </w:rPr>
            </w:pPr>
          </w:p>
        </w:tc>
        <w:tc>
          <w:tcPr>
            <w:tcW w:w="0" w:type="auto"/>
          </w:tcPr>
          <w:p w14:paraId="448D9A3B" w14:textId="2880DA33" w:rsidR="00606A7D" w:rsidRPr="00CF2B67" w:rsidRDefault="00606A7D" w:rsidP="00CF2B67">
            <w:pPr>
              <w:contextualSpacing/>
              <w:jc w:val="center"/>
              <w:cnfStyle w:val="000000100000" w:firstRow="0" w:lastRow="0" w:firstColumn="0" w:lastColumn="0" w:oddVBand="0" w:evenVBand="0" w:oddHBand="1" w:evenHBand="0" w:firstRowFirstColumn="0" w:firstRowLastColumn="0" w:lastRowFirstColumn="0" w:lastRowLastColumn="0"/>
              <w:rPr>
                <w:rFonts w:ascii="Garamond" w:eastAsia="Calibri" w:hAnsi="Garamond" w:cs="Cambria"/>
                <w:b/>
                <w:bCs/>
                <w:i/>
                <w:iCs/>
                <w:smallCaps/>
              </w:rPr>
            </w:pPr>
          </w:p>
        </w:tc>
        <w:tc>
          <w:tcPr>
            <w:tcW w:w="0" w:type="auto"/>
          </w:tcPr>
          <w:p w14:paraId="0762B4A9" w14:textId="77777777" w:rsidR="00606A7D" w:rsidRPr="00CF2B67" w:rsidRDefault="00606A7D" w:rsidP="00CF2B67">
            <w:pPr>
              <w:contextualSpacing/>
              <w:jc w:val="center"/>
              <w:cnfStyle w:val="000000100000" w:firstRow="0" w:lastRow="0" w:firstColumn="0" w:lastColumn="0" w:oddVBand="0" w:evenVBand="0" w:oddHBand="1" w:evenHBand="0" w:firstRowFirstColumn="0" w:firstRowLastColumn="0" w:lastRowFirstColumn="0" w:lastRowLastColumn="0"/>
              <w:rPr>
                <w:rFonts w:ascii="Garamond" w:eastAsia="Calibri" w:hAnsi="Garamond" w:cs="Cambria"/>
                <w:b/>
                <w:i/>
                <w:iCs/>
              </w:rPr>
            </w:pPr>
          </w:p>
        </w:tc>
      </w:tr>
      <w:tr w:rsidR="00672D41" w:rsidRPr="00CF2B67" w14:paraId="550C5136" w14:textId="77777777" w:rsidTr="00606A7D">
        <w:trPr>
          <w:trHeight w:val="323"/>
        </w:trPr>
        <w:tc>
          <w:tcPr>
            <w:cnfStyle w:val="001000000000" w:firstRow="0" w:lastRow="0" w:firstColumn="1" w:lastColumn="0" w:oddVBand="0" w:evenVBand="0" w:oddHBand="0" w:evenHBand="0" w:firstRowFirstColumn="0" w:firstRowLastColumn="0" w:lastRowFirstColumn="0" w:lastRowLastColumn="0"/>
            <w:tcW w:w="0" w:type="auto"/>
            <w:vMerge/>
          </w:tcPr>
          <w:p w14:paraId="13DB6379" w14:textId="77777777" w:rsidR="00CF2B67" w:rsidRPr="00CF2B67" w:rsidRDefault="00CF2B67" w:rsidP="00CF2B67">
            <w:pPr>
              <w:contextualSpacing/>
              <w:rPr>
                <w:rFonts w:ascii="Garamond" w:eastAsia="Calibri" w:hAnsi="Garamond" w:cs="Cambria"/>
              </w:rPr>
            </w:pPr>
          </w:p>
        </w:tc>
        <w:tc>
          <w:tcPr>
            <w:tcW w:w="0" w:type="auto"/>
            <w:shd w:val="clear" w:color="auto" w:fill="DFE3F0"/>
          </w:tcPr>
          <w:p w14:paraId="6283CB15" w14:textId="77777777" w:rsidR="00CF2B67" w:rsidRPr="00CF2B67" w:rsidRDefault="00CF2B67" w:rsidP="00CF2B67">
            <w:pPr>
              <w:contextualSpacing/>
              <w:jc w:val="center"/>
              <w:cnfStyle w:val="000000000000" w:firstRow="0" w:lastRow="0" w:firstColumn="0" w:lastColumn="0" w:oddVBand="0" w:evenVBand="0" w:oddHBand="0" w:evenHBand="0" w:firstRowFirstColumn="0" w:firstRowLastColumn="0" w:lastRowFirstColumn="0" w:lastRowLastColumn="0"/>
              <w:rPr>
                <w:rFonts w:ascii="Garamond" w:eastAsia="Calibri" w:hAnsi="Garamond" w:cs="Cambria"/>
              </w:rPr>
            </w:pPr>
            <w:r w:rsidRPr="00CF2B67">
              <w:rPr>
                <w:rFonts w:ascii="Garamond" w:eastAsia="Calibri" w:hAnsi="Garamond" w:cs="Cambria"/>
                <w:b/>
                <w:bCs/>
                <w:smallCaps/>
              </w:rPr>
              <w:t>MEETS</w:t>
            </w:r>
          </w:p>
        </w:tc>
        <w:tc>
          <w:tcPr>
            <w:tcW w:w="0" w:type="auto"/>
            <w:shd w:val="clear" w:color="auto" w:fill="DFE3F0"/>
          </w:tcPr>
          <w:p w14:paraId="7512D252" w14:textId="77777777" w:rsidR="00CF2B67" w:rsidRPr="00CF2B67" w:rsidRDefault="00CF2B67" w:rsidP="00CF2B67">
            <w:pPr>
              <w:contextualSpacing/>
              <w:jc w:val="center"/>
              <w:cnfStyle w:val="000000000000" w:firstRow="0" w:lastRow="0" w:firstColumn="0" w:lastColumn="0" w:oddVBand="0" w:evenVBand="0" w:oddHBand="0" w:evenHBand="0" w:firstRowFirstColumn="0" w:firstRowLastColumn="0" w:lastRowFirstColumn="0" w:lastRowLastColumn="0"/>
              <w:rPr>
                <w:rFonts w:ascii="Garamond" w:eastAsia="Calibri" w:hAnsi="Garamond" w:cs="Cambria"/>
              </w:rPr>
            </w:pPr>
            <w:r w:rsidRPr="00CF2B67">
              <w:rPr>
                <w:rFonts w:ascii="Garamond" w:eastAsia="Calibri" w:hAnsi="Garamond" w:cs="Cambria"/>
                <w:b/>
                <w:bCs/>
                <w:smallCaps/>
              </w:rPr>
              <w:t>MEETS</w:t>
            </w:r>
          </w:p>
        </w:tc>
        <w:tc>
          <w:tcPr>
            <w:tcW w:w="0" w:type="auto"/>
            <w:shd w:val="clear" w:color="auto" w:fill="DFE3F0"/>
          </w:tcPr>
          <w:p w14:paraId="6E1B90FE" w14:textId="77777777" w:rsidR="00CF2B67" w:rsidRPr="00CF2B67" w:rsidRDefault="00CF2B67" w:rsidP="00CF2B67">
            <w:pPr>
              <w:contextualSpacing/>
              <w:cnfStyle w:val="000000000000" w:firstRow="0" w:lastRow="0" w:firstColumn="0" w:lastColumn="0" w:oddVBand="0" w:evenVBand="0" w:oddHBand="0" w:evenHBand="0" w:firstRowFirstColumn="0" w:firstRowLastColumn="0" w:lastRowFirstColumn="0" w:lastRowLastColumn="0"/>
              <w:rPr>
                <w:rFonts w:ascii="Garamond" w:eastAsia="Calibri" w:hAnsi="Garamond" w:cs="Cambria"/>
                <w:b/>
                <w:bCs/>
              </w:rPr>
            </w:pPr>
            <w:r w:rsidRPr="00CF2B67">
              <w:rPr>
                <w:rFonts w:ascii="Garamond" w:eastAsia="Calibri" w:hAnsi="Garamond" w:cs="Cambria"/>
                <w:b/>
                <w:bCs/>
                <w:smallCaps/>
              </w:rPr>
              <w:t>MEETS</w:t>
            </w:r>
          </w:p>
          <w:p w14:paraId="32964E32" w14:textId="77777777" w:rsidR="00CF2B67" w:rsidRPr="00CF2B67" w:rsidRDefault="00CF2B67" w:rsidP="00CF2B67">
            <w:pPr>
              <w:contextualSpacing/>
              <w:cnfStyle w:val="000000000000" w:firstRow="0" w:lastRow="0" w:firstColumn="0" w:lastColumn="0" w:oddVBand="0" w:evenVBand="0" w:oddHBand="0" w:evenHBand="0" w:firstRowFirstColumn="0" w:firstRowLastColumn="0" w:lastRowFirstColumn="0" w:lastRowLastColumn="0"/>
              <w:rPr>
                <w:rFonts w:ascii="Garamond" w:eastAsia="Calibri" w:hAnsi="Garamond" w:cs="Times New Roman"/>
              </w:rPr>
            </w:pPr>
          </w:p>
        </w:tc>
        <w:tc>
          <w:tcPr>
            <w:tcW w:w="0" w:type="auto"/>
            <w:shd w:val="clear" w:color="auto" w:fill="DFE3F0"/>
          </w:tcPr>
          <w:p w14:paraId="4B42999F" w14:textId="77777777" w:rsidR="00CF2B67" w:rsidRPr="00CF2B67" w:rsidRDefault="00CF2B67" w:rsidP="00CF2B67">
            <w:pPr>
              <w:contextualSpacing/>
              <w:jc w:val="center"/>
              <w:cnfStyle w:val="000000000000" w:firstRow="0" w:lastRow="0" w:firstColumn="0" w:lastColumn="0" w:oddVBand="0" w:evenVBand="0" w:oddHBand="0" w:evenHBand="0" w:firstRowFirstColumn="0" w:firstRowLastColumn="0" w:lastRowFirstColumn="0" w:lastRowLastColumn="0"/>
              <w:rPr>
                <w:rFonts w:ascii="Garamond" w:eastAsia="Calibri" w:hAnsi="Garamond" w:cs="Cambria"/>
                <w:b/>
                <w:bCs/>
                <w:smallCaps/>
              </w:rPr>
            </w:pPr>
            <w:r w:rsidRPr="00CF2B67">
              <w:rPr>
                <w:rFonts w:ascii="Garamond" w:eastAsia="Calibri" w:hAnsi="Garamond" w:cs="Cambria"/>
                <w:b/>
                <w:bCs/>
                <w:smallCaps/>
              </w:rPr>
              <w:t>MEETS</w:t>
            </w:r>
          </w:p>
        </w:tc>
      </w:tr>
      <w:tr w:rsidR="00672D41" w:rsidRPr="00CF2B67" w14:paraId="1F3FA1DB" w14:textId="77777777" w:rsidTr="00606A7D">
        <w:trPr>
          <w:cnfStyle w:val="000000100000" w:firstRow="0" w:lastRow="0" w:firstColumn="0" w:lastColumn="0" w:oddVBand="0" w:evenVBand="0" w:oddHBand="1" w:evenHBand="0" w:firstRowFirstColumn="0" w:firstRowLastColumn="0" w:lastRowFirstColumn="0" w:lastRowLastColumn="0"/>
          <w:trHeight w:val="1527"/>
        </w:trPr>
        <w:tc>
          <w:tcPr>
            <w:cnfStyle w:val="001000000000" w:firstRow="0" w:lastRow="0" w:firstColumn="1" w:lastColumn="0" w:oddVBand="0" w:evenVBand="0" w:oddHBand="0" w:evenHBand="0" w:firstRowFirstColumn="0" w:firstRowLastColumn="0" w:lastRowFirstColumn="0" w:lastRowLastColumn="0"/>
            <w:tcW w:w="0" w:type="auto"/>
          </w:tcPr>
          <w:p w14:paraId="3381F026" w14:textId="7925742F" w:rsidR="00CF2B67" w:rsidRPr="00CF2B67" w:rsidRDefault="004A225B" w:rsidP="00CF2B67">
            <w:pPr>
              <w:contextualSpacing/>
              <w:rPr>
                <w:rFonts w:ascii="Garamond" w:eastAsia="Calibri" w:hAnsi="Garamond" w:cs="Times New Roman"/>
                <w:sz w:val="20"/>
                <w:szCs w:val="20"/>
              </w:rPr>
            </w:pPr>
            <w:r>
              <w:rPr>
                <w:rFonts w:ascii="Garamond" w:eastAsia="Calibri" w:hAnsi="Garamond" w:cs="Times New Roman"/>
                <w:sz w:val="20"/>
                <w:szCs w:val="20"/>
              </w:rPr>
              <w:t xml:space="preserve">The </w:t>
            </w:r>
            <w:r w:rsidRPr="004A225B">
              <w:rPr>
                <w:rFonts w:ascii="Garamond" w:eastAsia="Calibri" w:hAnsi="Garamond" w:cs="Times New Roman"/>
                <w:sz w:val="20"/>
                <w:szCs w:val="20"/>
              </w:rPr>
              <w:t>Applicant</w:t>
            </w:r>
            <w:r>
              <w:rPr>
                <w:rFonts w:ascii="Garamond" w:eastAsia="Calibri" w:hAnsi="Garamond" w:cs="Times New Roman"/>
                <w:sz w:val="20"/>
                <w:szCs w:val="20"/>
              </w:rPr>
              <w:t xml:space="preserve"> is proposing to expand access to surgical services</w:t>
            </w:r>
            <w:r w:rsidRPr="004A225B">
              <w:rPr>
                <w:rFonts w:ascii="Garamond" w:eastAsia="Calibri" w:hAnsi="Garamond" w:cs="Times New Roman"/>
                <w:sz w:val="20"/>
                <w:szCs w:val="20"/>
              </w:rPr>
              <w:t xml:space="preserve">, through construction of </w:t>
            </w:r>
            <w:r w:rsidR="00BA0845">
              <w:rPr>
                <w:rFonts w:ascii="Garamond" w:eastAsia="Calibri" w:hAnsi="Garamond" w:cs="Times New Roman"/>
                <w:sz w:val="20"/>
                <w:szCs w:val="20"/>
              </w:rPr>
              <w:t xml:space="preserve">a </w:t>
            </w:r>
            <w:r w:rsidR="00305665">
              <w:rPr>
                <w:rFonts w:ascii="Garamond" w:eastAsia="Calibri" w:hAnsi="Garamond" w:cs="Times New Roman"/>
                <w:sz w:val="20"/>
                <w:szCs w:val="20"/>
              </w:rPr>
              <w:t>surgical</w:t>
            </w:r>
            <w:r w:rsidRPr="004A225B">
              <w:rPr>
                <w:rFonts w:ascii="Garamond" w:eastAsia="Calibri" w:hAnsi="Garamond" w:cs="Times New Roman"/>
                <w:sz w:val="20"/>
                <w:szCs w:val="20"/>
              </w:rPr>
              <w:t xml:space="preserve"> pavilion that will include the following: </w:t>
            </w:r>
            <w:r w:rsidR="008E109E" w:rsidRPr="008E109E">
              <w:rPr>
                <w:rFonts w:ascii="Garamond" w:eastAsia="Calibri" w:hAnsi="Garamond" w:cs="Times New Roman"/>
                <w:sz w:val="20"/>
                <w:szCs w:val="20"/>
              </w:rPr>
              <w:t>six new operating rooms (ORs) – replacing the existing four ORs and adding two new ORs</w:t>
            </w:r>
            <w:r w:rsidRPr="004A225B">
              <w:rPr>
                <w:rFonts w:ascii="Garamond" w:eastAsia="Calibri" w:hAnsi="Garamond" w:cs="Times New Roman"/>
                <w:sz w:val="20"/>
                <w:szCs w:val="20"/>
              </w:rPr>
              <w:t xml:space="preserve">; </w:t>
            </w:r>
            <w:r w:rsidR="003172AB">
              <w:rPr>
                <w:rFonts w:ascii="Garamond" w:eastAsia="Calibri" w:hAnsi="Garamond" w:cs="Times New Roman"/>
                <w:sz w:val="20"/>
                <w:szCs w:val="20"/>
              </w:rPr>
              <w:t>18</w:t>
            </w:r>
            <w:r w:rsidRPr="004A225B">
              <w:rPr>
                <w:rFonts w:ascii="Garamond" w:eastAsia="Calibri" w:hAnsi="Garamond" w:cs="Times New Roman"/>
                <w:sz w:val="20"/>
                <w:szCs w:val="20"/>
              </w:rPr>
              <w:t xml:space="preserve"> pre/post procedure </w:t>
            </w:r>
            <w:r w:rsidR="00672D41">
              <w:rPr>
                <w:rFonts w:ascii="Garamond" w:eastAsia="Calibri" w:hAnsi="Garamond" w:cs="Times New Roman"/>
                <w:sz w:val="20"/>
                <w:szCs w:val="20"/>
              </w:rPr>
              <w:t xml:space="preserve">patient </w:t>
            </w:r>
            <w:r w:rsidR="00342D6E">
              <w:rPr>
                <w:rFonts w:ascii="Garamond" w:eastAsia="Calibri" w:hAnsi="Garamond" w:cs="Times New Roman"/>
                <w:sz w:val="20"/>
                <w:szCs w:val="20"/>
              </w:rPr>
              <w:t>care stations</w:t>
            </w:r>
            <w:r w:rsidRPr="004A225B">
              <w:rPr>
                <w:rFonts w:ascii="Garamond" w:eastAsia="Calibri" w:hAnsi="Garamond" w:cs="Times New Roman"/>
                <w:sz w:val="20"/>
                <w:szCs w:val="20"/>
              </w:rPr>
              <w:t>; central storage, separate clean and dirty elevators; and shell space for build out for future use.</w:t>
            </w:r>
          </w:p>
        </w:tc>
        <w:tc>
          <w:tcPr>
            <w:tcW w:w="0" w:type="auto"/>
          </w:tcPr>
          <w:p w14:paraId="1AE6B162" w14:textId="59CA8101" w:rsidR="00CF2B67" w:rsidRPr="00CF2B67" w:rsidRDefault="0014393A" w:rsidP="0014393A">
            <w:pPr>
              <w:contextualSpacing/>
              <w:jc w:val="center"/>
              <w:cnfStyle w:val="000000100000" w:firstRow="0" w:lastRow="0" w:firstColumn="0" w:lastColumn="0" w:oddVBand="0" w:evenVBand="0" w:oddHBand="1" w:evenHBand="0" w:firstRowFirstColumn="0" w:firstRowLastColumn="0" w:lastRowFirstColumn="0" w:lastRowLastColumn="0"/>
              <w:rPr>
                <w:rFonts w:ascii="Garamond" w:eastAsia="Calibri" w:hAnsi="Garamond" w:cs="Cambria"/>
                <w:sz w:val="20"/>
                <w:szCs w:val="20"/>
              </w:rPr>
            </w:pPr>
            <w:r w:rsidRPr="00216AFD">
              <w:rPr>
                <w:rFonts w:ascii="Garamond" w:eastAsia="Calibri" w:hAnsi="Garamond" w:cs="Cambria"/>
                <w:b/>
                <w:bCs/>
                <w:sz w:val="20"/>
                <w:szCs w:val="20"/>
              </w:rPr>
              <w:sym w:font="Wingdings" w:char="F0FC"/>
            </w:r>
          </w:p>
        </w:tc>
        <w:tc>
          <w:tcPr>
            <w:tcW w:w="0" w:type="auto"/>
          </w:tcPr>
          <w:p w14:paraId="1F2FAC55" w14:textId="2DB45A93" w:rsidR="00CF2B67" w:rsidRPr="00216AFD" w:rsidRDefault="00592115" w:rsidP="00901B53">
            <w:pPr>
              <w:contextualSpacing/>
              <w:jc w:val="center"/>
              <w:cnfStyle w:val="000000100000" w:firstRow="0" w:lastRow="0" w:firstColumn="0" w:lastColumn="0" w:oddVBand="0" w:evenVBand="0" w:oddHBand="1" w:evenHBand="0" w:firstRowFirstColumn="0" w:firstRowLastColumn="0" w:lastRowFirstColumn="0" w:lastRowLastColumn="0"/>
              <w:rPr>
                <w:rFonts w:ascii="Garamond" w:eastAsia="Calibri" w:hAnsi="Garamond" w:cs="Cambria"/>
                <w:b/>
                <w:bCs/>
                <w:sz w:val="20"/>
                <w:szCs w:val="20"/>
              </w:rPr>
            </w:pPr>
            <w:r w:rsidRPr="00216AFD">
              <w:rPr>
                <w:rFonts w:ascii="Garamond" w:eastAsia="Calibri" w:hAnsi="Garamond" w:cs="Cambria"/>
                <w:b/>
                <w:bCs/>
                <w:sz w:val="20"/>
                <w:szCs w:val="20"/>
              </w:rPr>
              <w:sym w:font="Wingdings" w:char="F0FC"/>
            </w:r>
          </w:p>
        </w:tc>
        <w:tc>
          <w:tcPr>
            <w:tcW w:w="0" w:type="auto"/>
          </w:tcPr>
          <w:p w14:paraId="02F30768" w14:textId="61FCDE5E" w:rsidR="00CF2B67" w:rsidRPr="00CF2B67" w:rsidRDefault="00592115" w:rsidP="00592115">
            <w:pPr>
              <w:jc w:val="center"/>
              <w:cnfStyle w:val="000000100000" w:firstRow="0" w:lastRow="0" w:firstColumn="0" w:lastColumn="0" w:oddVBand="0" w:evenVBand="0" w:oddHBand="1" w:evenHBand="0" w:firstRowFirstColumn="0" w:firstRowLastColumn="0" w:lastRowFirstColumn="0" w:lastRowLastColumn="0"/>
              <w:rPr>
                <w:rFonts w:ascii="Garamond" w:eastAsia="Calibri" w:hAnsi="Garamond" w:cs="Times New Roman"/>
                <w:b/>
                <w:sz w:val="20"/>
                <w:szCs w:val="20"/>
              </w:rPr>
            </w:pPr>
            <w:r>
              <w:rPr>
                <w:rFonts w:ascii="Garamond" w:eastAsia="Calibri" w:hAnsi="Garamond" w:cs="Times New Roman"/>
                <w:b/>
                <w:sz w:val="20"/>
                <w:szCs w:val="20"/>
              </w:rPr>
              <w:sym w:font="Wingdings" w:char="F0FC"/>
            </w:r>
          </w:p>
        </w:tc>
        <w:tc>
          <w:tcPr>
            <w:tcW w:w="0" w:type="auto"/>
          </w:tcPr>
          <w:p w14:paraId="406FE20B" w14:textId="3CEBB216" w:rsidR="00CF2B67" w:rsidRPr="00CF2B67" w:rsidRDefault="00592115" w:rsidP="00592115">
            <w:pPr>
              <w:jc w:val="center"/>
              <w:cnfStyle w:val="000000100000" w:firstRow="0" w:lastRow="0" w:firstColumn="0" w:lastColumn="0" w:oddVBand="0" w:evenVBand="0" w:oddHBand="1" w:evenHBand="0" w:firstRowFirstColumn="0" w:firstRowLastColumn="0" w:lastRowFirstColumn="0" w:lastRowLastColumn="0"/>
              <w:rPr>
                <w:rFonts w:ascii="Garamond" w:eastAsia="Calibri" w:hAnsi="Garamond" w:cs="Times New Roman"/>
                <w:b/>
                <w:sz w:val="20"/>
                <w:szCs w:val="20"/>
              </w:rPr>
            </w:pPr>
            <w:r>
              <w:rPr>
                <w:rFonts w:ascii="Garamond" w:eastAsia="Calibri" w:hAnsi="Garamond" w:cs="Times New Roman"/>
                <w:b/>
                <w:sz w:val="20"/>
                <w:szCs w:val="20"/>
              </w:rPr>
              <w:sym w:font="Wingdings" w:char="F0FC"/>
            </w:r>
          </w:p>
        </w:tc>
      </w:tr>
    </w:tbl>
    <w:p w14:paraId="7265405C" w14:textId="77777777" w:rsidR="00CF2B67" w:rsidRDefault="00CF2B67" w:rsidP="00CF2B67">
      <w:pPr>
        <w:spacing w:after="0" w:line="240" w:lineRule="auto"/>
        <w:contextualSpacing/>
        <w:rPr>
          <w:rFonts w:ascii="Garamond" w:eastAsia="Calibri" w:hAnsi="Garamond" w:cs="Times New Roman"/>
        </w:rPr>
        <w:sectPr w:rsidR="00CF2B67" w:rsidSect="00076B1A">
          <w:endnotePr>
            <w:numFmt w:val="lowerLetter"/>
          </w:endnotePr>
          <w:pgSz w:w="15840" w:h="12240" w:orient="landscape"/>
          <w:pgMar w:top="360" w:right="1080" w:bottom="1440" w:left="1080" w:header="720" w:footer="720" w:gutter="0"/>
          <w:cols w:space="720"/>
          <w:docGrid w:linePitch="360"/>
        </w:sectPr>
      </w:pPr>
    </w:p>
    <w:p w14:paraId="6804012D" w14:textId="64828C4D" w:rsidR="00032FF5" w:rsidRDefault="00032FF5">
      <w:pPr>
        <w:rPr>
          <w:b/>
          <w:bCs/>
          <w:sz w:val="28"/>
          <w:szCs w:val="28"/>
        </w:rPr>
      </w:pPr>
      <w:r w:rsidRPr="00BD5D70">
        <w:rPr>
          <w:b/>
          <w:bCs/>
          <w:sz w:val="28"/>
          <w:szCs w:val="28"/>
        </w:rPr>
        <w:lastRenderedPageBreak/>
        <w:t>Patient Panel</w:t>
      </w:r>
      <w:r w:rsidRPr="00BD5D70">
        <w:rPr>
          <w:rStyle w:val="FootnoteReference"/>
          <w:b/>
          <w:bCs/>
          <w:sz w:val="28"/>
          <w:szCs w:val="28"/>
        </w:rPr>
        <w:footnoteReference w:id="5"/>
      </w:r>
    </w:p>
    <w:p w14:paraId="1254EFD5" w14:textId="77777777" w:rsidR="003230EC" w:rsidRDefault="0067433E" w:rsidP="0067433E">
      <w:pPr>
        <w:spacing w:after="0" w:line="240" w:lineRule="auto"/>
        <w:rPr>
          <w:sz w:val="24"/>
          <w:szCs w:val="24"/>
        </w:rPr>
      </w:pPr>
      <w:r>
        <w:rPr>
          <w:sz w:val="24"/>
          <w:szCs w:val="24"/>
        </w:rPr>
        <w:t>The Applicant provided Patient Panel data for Heywood Hospital and Athol Hospital for FY18-FY20, the most recent 36-month period</w:t>
      </w:r>
      <w:r w:rsidR="003230EC">
        <w:rPr>
          <w:sz w:val="24"/>
          <w:szCs w:val="24"/>
        </w:rPr>
        <w:t xml:space="preserve"> and is shown in Table 1</w:t>
      </w:r>
      <w:r>
        <w:rPr>
          <w:sz w:val="24"/>
          <w:szCs w:val="24"/>
        </w:rPr>
        <w:t>.</w:t>
      </w:r>
    </w:p>
    <w:p w14:paraId="051C032C" w14:textId="77777777" w:rsidR="003230EC" w:rsidRDefault="003230EC" w:rsidP="0067433E">
      <w:pPr>
        <w:spacing w:after="0" w:line="240" w:lineRule="auto"/>
        <w:rPr>
          <w:sz w:val="24"/>
          <w:szCs w:val="24"/>
        </w:rPr>
      </w:pPr>
    </w:p>
    <w:p w14:paraId="6099F0D4" w14:textId="79F2EDAA" w:rsidR="003230EC" w:rsidRDefault="003230EC" w:rsidP="003230EC">
      <w:pPr>
        <w:spacing w:after="0" w:line="240" w:lineRule="auto"/>
        <w:jc w:val="center"/>
        <w:rPr>
          <w:b/>
          <w:bCs/>
          <w:sz w:val="24"/>
          <w:szCs w:val="24"/>
        </w:rPr>
      </w:pPr>
      <w:r w:rsidRPr="003230EC">
        <w:rPr>
          <w:b/>
          <w:bCs/>
          <w:sz w:val="24"/>
          <w:szCs w:val="24"/>
        </w:rPr>
        <w:t>Table 1: Patient</w:t>
      </w:r>
      <w:r w:rsidR="00E0394D">
        <w:rPr>
          <w:b/>
          <w:bCs/>
          <w:sz w:val="24"/>
          <w:szCs w:val="24"/>
        </w:rPr>
        <w:t xml:space="preserve"> Panel</w:t>
      </w:r>
      <w:r w:rsidRPr="003230EC">
        <w:rPr>
          <w:b/>
          <w:bCs/>
          <w:sz w:val="24"/>
          <w:szCs w:val="24"/>
        </w:rPr>
        <w:t xml:space="preserve"> </w:t>
      </w:r>
      <w:r>
        <w:rPr>
          <w:b/>
          <w:bCs/>
          <w:sz w:val="24"/>
          <w:szCs w:val="24"/>
        </w:rPr>
        <w:t>(</w:t>
      </w:r>
      <w:r w:rsidRPr="003230EC">
        <w:rPr>
          <w:b/>
          <w:bCs/>
          <w:sz w:val="24"/>
          <w:szCs w:val="24"/>
        </w:rPr>
        <w:t>Fiscal Years 2018-2020</w:t>
      </w:r>
      <w:r>
        <w:rPr>
          <w:b/>
          <w:bCs/>
          <w:sz w:val="24"/>
          <w:szCs w:val="24"/>
        </w:rPr>
        <w:t>)</w:t>
      </w:r>
    </w:p>
    <w:p w14:paraId="3058C324" w14:textId="5842FE50" w:rsidR="003230EC" w:rsidRDefault="003230EC" w:rsidP="003230EC">
      <w:pPr>
        <w:spacing w:after="0" w:line="240" w:lineRule="auto"/>
        <w:jc w:val="center"/>
        <w:rPr>
          <w:b/>
          <w:bCs/>
          <w:sz w:val="24"/>
          <w:szCs w:val="24"/>
        </w:rPr>
      </w:pPr>
    </w:p>
    <w:tbl>
      <w:tblPr>
        <w:tblStyle w:val="TableGrid"/>
        <w:tblW w:w="0" w:type="auto"/>
        <w:jc w:val="center"/>
        <w:tblLook w:val="04A0" w:firstRow="1" w:lastRow="0" w:firstColumn="1" w:lastColumn="0" w:noHBand="0" w:noVBand="1"/>
        <w:tblCaption w:val="Table 1: Patient Panel (Fiscal Years 2018-2020)"/>
        <w:tblDescription w:val="Hospital FY18 FY19 FY20&#10;Heywood Hospital 48,691 49,580 48,237&#10;Athol Hospital 14,884 15,638 14,802&#10;"/>
      </w:tblPr>
      <w:tblGrid>
        <w:gridCol w:w="2605"/>
        <w:gridCol w:w="1710"/>
        <w:gridCol w:w="1530"/>
        <w:gridCol w:w="1710"/>
      </w:tblGrid>
      <w:tr w:rsidR="003230EC" w14:paraId="0B9732F1" w14:textId="2B0E0D07" w:rsidTr="00735C4E">
        <w:trPr>
          <w:tblHeader/>
          <w:jc w:val="center"/>
        </w:trPr>
        <w:tc>
          <w:tcPr>
            <w:tcW w:w="2605" w:type="dxa"/>
            <w:shd w:val="clear" w:color="auto" w:fill="F2F2F2" w:themeFill="background1" w:themeFillShade="F2"/>
          </w:tcPr>
          <w:p w14:paraId="21133F4C" w14:textId="3287719A" w:rsidR="003230EC" w:rsidRDefault="003230EC" w:rsidP="003230EC">
            <w:pPr>
              <w:jc w:val="center"/>
              <w:rPr>
                <w:b/>
                <w:bCs/>
                <w:sz w:val="24"/>
                <w:szCs w:val="24"/>
              </w:rPr>
            </w:pPr>
            <w:r>
              <w:rPr>
                <w:b/>
                <w:bCs/>
                <w:sz w:val="24"/>
                <w:szCs w:val="24"/>
              </w:rPr>
              <w:t>Hospital</w:t>
            </w:r>
          </w:p>
        </w:tc>
        <w:tc>
          <w:tcPr>
            <w:tcW w:w="1710" w:type="dxa"/>
            <w:shd w:val="clear" w:color="auto" w:fill="F2F2F2" w:themeFill="background1" w:themeFillShade="F2"/>
          </w:tcPr>
          <w:p w14:paraId="7A7013A2" w14:textId="3BC7982A" w:rsidR="003230EC" w:rsidRDefault="003230EC" w:rsidP="003230EC">
            <w:pPr>
              <w:jc w:val="center"/>
              <w:rPr>
                <w:b/>
                <w:bCs/>
                <w:sz w:val="24"/>
                <w:szCs w:val="24"/>
              </w:rPr>
            </w:pPr>
            <w:r>
              <w:rPr>
                <w:b/>
                <w:bCs/>
                <w:sz w:val="24"/>
                <w:szCs w:val="24"/>
              </w:rPr>
              <w:t>FY18</w:t>
            </w:r>
          </w:p>
        </w:tc>
        <w:tc>
          <w:tcPr>
            <w:tcW w:w="1530" w:type="dxa"/>
            <w:shd w:val="clear" w:color="auto" w:fill="F2F2F2" w:themeFill="background1" w:themeFillShade="F2"/>
          </w:tcPr>
          <w:p w14:paraId="38AE2391" w14:textId="76103255" w:rsidR="003230EC" w:rsidRDefault="003230EC" w:rsidP="003230EC">
            <w:pPr>
              <w:jc w:val="center"/>
              <w:rPr>
                <w:b/>
                <w:bCs/>
                <w:sz w:val="24"/>
                <w:szCs w:val="24"/>
              </w:rPr>
            </w:pPr>
            <w:r>
              <w:rPr>
                <w:b/>
                <w:bCs/>
                <w:sz w:val="24"/>
                <w:szCs w:val="24"/>
              </w:rPr>
              <w:t>FY19</w:t>
            </w:r>
          </w:p>
        </w:tc>
        <w:tc>
          <w:tcPr>
            <w:tcW w:w="1710" w:type="dxa"/>
            <w:shd w:val="clear" w:color="auto" w:fill="F2F2F2" w:themeFill="background1" w:themeFillShade="F2"/>
          </w:tcPr>
          <w:p w14:paraId="55169916" w14:textId="5FA32BD7" w:rsidR="003230EC" w:rsidRDefault="003230EC" w:rsidP="003230EC">
            <w:pPr>
              <w:jc w:val="center"/>
              <w:rPr>
                <w:b/>
                <w:bCs/>
                <w:sz w:val="24"/>
                <w:szCs w:val="24"/>
              </w:rPr>
            </w:pPr>
            <w:r>
              <w:rPr>
                <w:b/>
                <w:bCs/>
                <w:sz w:val="24"/>
                <w:szCs w:val="24"/>
              </w:rPr>
              <w:t>FY20</w:t>
            </w:r>
          </w:p>
        </w:tc>
      </w:tr>
      <w:tr w:rsidR="003230EC" w14:paraId="0AA72070" w14:textId="5EFBCF23" w:rsidTr="000A3FB5">
        <w:trPr>
          <w:jc w:val="center"/>
        </w:trPr>
        <w:tc>
          <w:tcPr>
            <w:tcW w:w="2605" w:type="dxa"/>
          </w:tcPr>
          <w:p w14:paraId="428A030B" w14:textId="6B77F73C" w:rsidR="003230EC" w:rsidRDefault="003230EC" w:rsidP="003230EC">
            <w:pPr>
              <w:rPr>
                <w:b/>
                <w:bCs/>
                <w:sz w:val="24"/>
                <w:szCs w:val="24"/>
              </w:rPr>
            </w:pPr>
            <w:r>
              <w:rPr>
                <w:b/>
                <w:bCs/>
                <w:sz w:val="24"/>
                <w:szCs w:val="24"/>
              </w:rPr>
              <w:t>Heywood Hospital</w:t>
            </w:r>
          </w:p>
        </w:tc>
        <w:tc>
          <w:tcPr>
            <w:tcW w:w="1710" w:type="dxa"/>
          </w:tcPr>
          <w:p w14:paraId="43A39F61" w14:textId="3C974F2B" w:rsidR="003230EC" w:rsidRDefault="003230EC" w:rsidP="007E04D6">
            <w:pPr>
              <w:jc w:val="center"/>
              <w:rPr>
                <w:b/>
                <w:bCs/>
                <w:sz w:val="24"/>
                <w:szCs w:val="24"/>
              </w:rPr>
            </w:pPr>
            <w:r w:rsidRPr="0067433E">
              <w:rPr>
                <w:sz w:val="24"/>
                <w:szCs w:val="24"/>
              </w:rPr>
              <w:t>48,691</w:t>
            </w:r>
          </w:p>
        </w:tc>
        <w:tc>
          <w:tcPr>
            <w:tcW w:w="1530" w:type="dxa"/>
          </w:tcPr>
          <w:p w14:paraId="772612AB" w14:textId="4ED58371" w:rsidR="003230EC" w:rsidRDefault="003230EC" w:rsidP="007E04D6">
            <w:pPr>
              <w:jc w:val="center"/>
              <w:rPr>
                <w:b/>
                <w:bCs/>
                <w:sz w:val="24"/>
                <w:szCs w:val="24"/>
              </w:rPr>
            </w:pPr>
            <w:r w:rsidRPr="0067433E">
              <w:rPr>
                <w:sz w:val="24"/>
                <w:szCs w:val="24"/>
              </w:rPr>
              <w:t>49,580</w:t>
            </w:r>
          </w:p>
        </w:tc>
        <w:tc>
          <w:tcPr>
            <w:tcW w:w="1710" w:type="dxa"/>
          </w:tcPr>
          <w:p w14:paraId="7D464C00" w14:textId="544956AA" w:rsidR="003230EC" w:rsidRDefault="003230EC" w:rsidP="007E04D6">
            <w:pPr>
              <w:jc w:val="center"/>
              <w:rPr>
                <w:b/>
                <w:bCs/>
                <w:sz w:val="24"/>
                <w:szCs w:val="24"/>
              </w:rPr>
            </w:pPr>
            <w:r w:rsidRPr="0067433E">
              <w:rPr>
                <w:sz w:val="24"/>
                <w:szCs w:val="24"/>
              </w:rPr>
              <w:t>48,237</w:t>
            </w:r>
          </w:p>
        </w:tc>
      </w:tr>
      <w:tr w:rsidR="003230EC" w14:paraId="6EF010DD" w14:textId="77777777" w:rsidTr="000A3FB5">
        <w:trPr>
          <w:jc w:val="center"/>
        </w:trPr>
        <w:tc>
          <w:tcPr>
            <w:tcW w:w="2605" w:type="dxa"/>
          </w:tcPr>
          <w:p w14:paraId="0D87AEE1" w14:textId="0D3F2C0A" w:rsidR="003230EC" w:rsidRDefault="003230EC" w:rsidP="003230EC">
            <w:pPr>
              <w:rPr>
                <w:b/>
                <w:bCs/>
                <w:sz w:val="24"/>
                <w:szCs w:val="24"/>
              </w:rPr>
            </w:pPr>
            <w:r>
              <w:rPr>
                <w:b/>
                <w:bCs/>
                <w:sz w:val="24"/>
                <w:szCs w:val="24"/>
              </w:rPr>
              <w:t>Athol Hospital</w:t>
            </w:r>
          </w:p>
        </w:tc>
        <w:tc>
          <w:tcPr>
            <w:tcW w:w="1710" w:type="dxa"/>
          </w:tcPr>
          <w:p w14:paraId="294CA9C2" w14:textId="342FFE81" w:rsidR="003230EC" w:rsidRDefault="003230EC" w:rsidP="007E04D6">
            <w:pPr>
              <w:jc w:val="center"/>
              <w:rPr>
                <w:b/>
                <w:bCs/>
                <w:sz w:val="24"/>
                <w:szCs w:val="24"/>
              </w:rPr>
            </w:pPr>
            <w:r w:rsidRPr="0067433E">
              <w:rPr>
                <w:sz w:val="24"/>
                <w:szCs w:val="24"/>
              </w:rPr>
              <w:t>14,884</w:t>
            </w:r>
          </w:p>
        </w:tc>
        <w:tc>
          <w:tcPr>
            <w:tcW w:w="1530" w:type="dxa"/>
          </w:tcPr>
          <w:p w14:paraId="7D193DE8" w14:textId="12E137E1" w:rsidR="003230EC" w:rsidRDefault="007E04D6" w:rsidP="007E04D6">
            <w:pPr>
              <w:jc w:val="center"/>
              <w:rPr>
                <w:b/>
                <w:bCs/>
                <w:sz w:val="24"/>
                <w:szCs w:val="24"/>
              </w:rPr>
            </w:pPr>
            <w:r w:rsidRPr="0067433E">
              <w:rPr>
                <w:sz w:val="24"/>
                <w:szCs w:val="24"/>
              </w:rPr>
              <w:t>15,638</w:t>
            </w:r>
          </w:p>
        </w:tc>
        <w:tc>
          <w:tcPr>
            <w:tcW w:w="1710" w:type="dxa"/>
          </w:tcPr>
          <w:p w14:paraId="4C68E398" w14:textId="041A7A0D" w:rsidR="003230EC" w:rsidRDefault="007E04D6" w:rsidP="007E04D6">
            <w:pPr>
              <w:jc w:val="center"/>
              <w:rPr>
                <w:b/>
                <w:bCs/>
                <w:sz w:val="24"/>
                <w:szCs w:val="24"/>
              </w:rPr>
            </w:pPr>
            <w:r w:rsidRPr="0067433E">
              <w:rPr>
                <w:sz w:val="24"/>
                <w:szCs w:val="24"/>
              </w:rPr>
              <w:t>14,802</w:t>
            </w:r>
          </w:p>
        </w:tc>
      </w:tr>
    </w:tbl>
    <w:p w14:paraId="1D2332C8" w14:textId="77777777" w:rsidR="003230EC" w:rsidRPr="003230EC" w:rsidRDefault="003230EC" w:rsidP="003230EC">
      <w:pPr>
        <w:spacing w:after="0" w:line="240" w:lineRule="auto"/>
        <w:rPr>
          <w:b/>
          <w:bCs/>
          <w:sz w:val="24"/>
          <w:szCs w:val="24"/>
        </w:rPr>
      </w:pPr>
    </w:p>
    <w:p w14:paraId="7F4D51CA" w14:textId="0BC7C72F" w:rsidR="00637496" w:rsidRDefault="007521A6" w:rsidP="0067433E">
      <w:pPr>
        <w:spacing w:after="0" w:line="240" w:lineRule="auto"/>
        <w:rPr>
          <w:sz w:val="24"/>
          <w:szCs w:val="24"/>
        </w:rPr>
      </w:pPr>
      <w:r>
        <w:rPr>
          <w:sz w:val="24"/>
          <w:szCs w:val="24"/>
        </w:rPr>
        <w:t xml:space="preserve">The </w:t>
      </w:r>
      <w:r w:rsidR="0067433E">
        <w:rPr>
          <w:sz w:val="24"/>
          <w:szCs w:val="24"/>
        </w:rPr>
        <w:t xml:space="preserve">Applicant states that </w:t>
      </w:r>
      <w:r w:rsidR="00216AFD">
        <w:rPr>
          <w:sz w:val="24"/>
          <w:szCs w:val="24"/>
        </w:rPr>
        <w:t xml:space="preserve">patients may be counted more than once when </w:t>
      </w:r>
      <w:r w:rsidR="0067433E">
        <w:rPr>
          <w:sz w:val="24"/>
          <w:szCs w:val="24"/>
        </w:rPr>
        <w:t xml:space="preserve">combining Patient Panel data from Heywood Hospital and Athol Hospital. </w:t>
      </w:r>
    </w:p>
    <w:p w14:paraId="32EEC240" w14:textId="77777777" w:rsidR="0067433E" w:rsidRPr="00637496" w:rsidRDefault="0067433E" w:rsidP="0067433E">
      <w:pPr>
        <w:spacing w:after="0"/>
        <w:rPr>
          <w:sz w:val="24"/>
          <w:szCs w:val="24"/>
        </w:rPr>
      </w:pPr>
    </w:p>
    <w:p w14:paraId="3BBEE062" w14:textId="3E0A93BE" w:rsidR="00902DED" w:rsidRDefault="00902DED" w:rsidP="00BB2DBF">
      <w:pPr>
        <w:spacing w:after="0" w:line="240" w:lineRule="auto"/>
        <w:rPr>
          <w:sz w:val="24"/>
          <w:szCs w:val="24"/>
        </w:rPr>
      </w:pPr>
      <w:r>
        <w:rPr>
          <w:sz w:val="24"/>
          <w:szCs w:val="24"/>
        </w:rPr>
        <w:t>Staff notes the following observations about the data below:</w:t>
      </w:r>
    </w:p>
    <w:p w14:paraId="36D2C4F4" w14:textId="725F58C6" w:rsidR="00902DED" w:rsidRPr="00A07CEC" w:rsidRDefault="00902DED" w:rsidP="00BB2DBF">
      <w:pPr>
        <w:pStyle w:val="ListParagraph"/>
        <w:numPr>
          <w:ilvl w:val="0"/>
          <w:numId w:val="1"/>
        </w:numPr>
        <w:spacing w:after="0" w:line="240" w:lineRule="auto"/>
        <w:rPr>
          <w:b/>
          <w:bCs/>
          <w:sz w:val="24"/>
          <w:szCs w:val="24"/>
        </w:rPr>
      </w:pPr>
      <w:r w:rsidRPr="00A07CEC">
        <w:rPr>
          <w:b/>
          <w:bCs/>
          <w:sz w:val="24"/>
          <w:szCs w:val="24"/>
        </w:rPr>
        <w:t>Age</w:t>
      </w:r>
      <w:r w:rsidR="00F7109B" w:rsidRPr="00A07CEC">
        <w:rPr>
          <w:b/>
          <w:bCs/>
          <w:sz w:val="24"/>
          <w:szCs w:val="24"/>
        </w:rPr>
        <w:t xml:space="preserve"> </w:t>
      </w:r>
      <w:r w:rsidR="007E04D6">
        <w:rPr>
          <w:sz w:val="24"/>
          <w:szCs w:val="24"/>
        </w:rPr>
        <w:t>–</w:t>
      </w:r>
      <w:r w:rsidR="00FF1F3C" w:rsidRPr="00A07CEC">
        <w:rPr>
          <w:b/>
          <w:bCs/>
          <w:sz w:val="24"/>
          <w:szCs w:val="24"/>
        </w:rPr>
        <w:t xml:space="preserve"> </w:t>
      </w:r>
      <w:r w:rsidR="00FF1F3C" w:rsidRPr="00A07CEC">
        <w:rPr>
          <w:sz w:val="24"/>
          <w:szCs w:val="24"/>
        </w:rPr>
        <w:t xml:space="preserve">The age 50-59 cohort is the largest </w:t>
      </w:r>
      <w:r w:rsidR="00A07CEC">
        <w:rPr>
          <w:sz w:val="24"/>
          <w:szCs w:val="24"/>
        </w:rPr>
        <w:t xml:space="preserve">age cohort </w:t>
      </w:r>
      <w:r w:rsidR="00FF1F3C" w:rsidRPr="00A07CEC">
        <w:rPr>
          <w:sz w:val="24"/>
          <w:szCs w:val="24"/>
        </w:rPr>
        <w:t>among Athol Hospital and Heywood Hospital patient</w:t>
      </w:r>
      <w:r w:rsidR="008721AB">
        <w:rPr>
          <w:sz w:val="24"/>
          <w:szCs w:val="24"/>
        </w:rPr>
        <w:t xml:space="preserve"> populations</w:t>
      </w:r>
      <w:r w:rsidR="00FF1F3C" w:rsidRPr="00A07CEC">
        <w:rPr>
          <w:sz w:val="24"/>
          <w:szCs w:val="24"/>
        </w:rPr>
        <w:t xml:space="preserve">. </w:t>
      </w:r>
    </w:p>
    <w:p w14:paraId="2B4500D5" w14:textId="7A635E9D" w:rsidR="00902DED" w:rsidRPr="00902DED" w:rsidRDefault="00902DED" w:rsidP="00430E8F">
      <w:pPr>
        <w:pStyle w:val="ListParagraph"/>
        <w:numPr>
          <w:ilvl w:val="0"/>
          <w:numId w:val="1"/>
        </w:numPr>
        <w:spacing w:line="240" w:lineRule="auto"/>
        <w:rPr>
          <w:b/>
          <w:bCs/>
          <w:sz w:val="24"/>
          <w:szCs w:val="24"/>
        </w:rPr>
      </w:pPr>
      <w:r w:rsidRPr="00902DED">
        <w:rPr>
          <w:b/>
          <w:bCs/>
          <w:sz w:val="24"/>
          <w:szCs w:val="24"/>
        </w:rPr>
        <w:t>Race/Ethnicity</w:t>
      </w:r>
      <w:r w:rsidR="003302C2">
        <w:rPr>
          <w:b/>
          <w:bCs/>
          <w:sz w:val="24"/>
          <w:szCs w:val="24"/>
        </w:rPr>
        <w:t xml:space="preserve"> </w:t>
      </w:r>
      <w:r w:rsidR="003302C2">
        <w:rPr>
          <w:sz w:val="24"/>
          <w:szCs w:val="24"/>
        </w:rPr>
        <w:t>–</w:t>
      </w:r>
      <w:r w:rsidR="00B40CFE">
        <w:rPr>
          <w:sz w:val="24"/>
          <w:szCs w:val="24"/>
        </w:rPr>
        <w:t xml:space="preserve"> </w:t>
      </w:r>
      <w:r w:rsidR="00FF1F3C">
        <w:rPr>
          <w:sz w:val="24"/>
          <w:szCs w:val="24"/>
        </w:rPr>
        <w:t>Caucasian is the largest race</w:t>
      </w:r>
      <w:r w:rsidR="00F036D4">
        <w:rPr>
          <w:sz w:val="24"/>
          <w:szCs w:val="24"/>
        </w:rPr>
        <w:t xml:space="preserve"> category</w:t>
      </w:r>
      <w:r w:rsidR="00FF1F3C">
        <w:rPr>
          <w:sz w:val="24"/>
          <w:szCs w:val="24"/>
        </w:rPr>
        <w:t xml:space="preserve"> </w:t>
      </w:r>
      <w:r w:rsidR="005D4C0D">
        <w:rPr>
          <w:sz w:val="24"/>
          <w:szCs w:val="24"/>
        </w:rPr>
        <w:t xml:space="preserve">represented </w:t>
      </w:r>
      <w:r w:rsidR="00FF1F3C">
        <w:rPr>
          <w:sz w:val="24"/>
          <w:szCs w:val="24"/>
        </w:rPr>
        <w:t xml:space="preserve">among Athol Hospital and Heywood Hospital patient populations. </w:t>
      </w:r>
      <w:r w:rsidR="00215907">
        <w:rPr>
          <w:sz w:val="24"/>
          <w:szCs w:val="24"/>
        </w:rPr>
        <w:t xml:space="preserve">The Applicant did not include Hispanic in their initial reporting of their patient </w:t>
      </w:r>
      <w:r w:rsidR="00CC6405">
        <w:rPr>
          <w:sz w:val="24"/>
          <w:szCs w:val="24"/>
        </w:rPr>
        <w:t>population,</w:t>
      </w:r>
      <w:r w:rsidR="00215907">
        <w:rPr>
          <w:sz w:val="24"/>
          <w:szCs w:val="24"/>
        </w:rPr>
        <w:t xml:space="preserve"> so it was not included in Table </w:t>
      </w:r>
      <w:r w:rsidR="007E04D6">
        <w:rPr>
          <w:sz w:val="24"/>
          <w:szCs w:val="24"/>
        </w:rPr>
        <w:t>2</w:t>
      </w:r>
      <w:r w:rsidR="00215907">
        <w:rPr>
          <w:sz w:val="24"/>
          <w:szCs w:val="24"/>
        </w:rPr>
        <w:t xml:space="preserve">. DoN </w:t>
      </w:r>
      <w:r w:rsidR="00237CC4">
        <w:rPr>
          <w:sz w:val="24"/>
          <w:szCs w:val="24"/>
        </w:rPr>
        <w:t>S</w:t>
      </w:r>
      <w:r w:rsidR="00215907">
        <w:rPr>
          <w:sz w:val="24"/>
          <w:szCs w:val="24"/>
        </w:rPr>
        <w:t xml:space="preserve">taff inquired about Hispanic patients and the Applicant reported that </w:t>
      </w:r>
      <w:r w:rsidR="00D01CF8">
        <w:rPr>
          <w:sz w:val="24"/>
          <w:szCs w:val="24"/>
        </w:rPr>
        <w:t>percentage of Hispanic patients for FY2020 is 3% for Heywood Hospital and 2% for Athol Hospital.</w:t>
      </w:r>
    </w:p>
    <w:p w14:paraId="217DABB6" w14:textId="46756C8A" w:rsidR="00902DED" w:rsidRPr="00902DED" w:rsidRDefault="00902DED" w:rsidP="00430E8F">
      <w:pPr>
        <w:pStyle w:val="ListParagraph"/>
        <w:numPr>
          <w:ilvl w:val="0"/>
          <w:numId w:val="1"/>
        </w:numPr>
        <w:spacing w:line="240" w:lineRule="auto"/>
        <w:rPr>
          <w:sz w:val="24"/>
          <w:szCs w:val="24"/>
        </w:rPr>
      </w:pPr>
      <w:r w:rsidRPr="00902DED">
        <w:rPr>
          <w:b/>
          <w:bCs/>
          <w:sz w:val="24"/>
          <w:szCs w:val="24"/>
        </w:rPr>
        <w:t xml:space="preserve">Primary Service Area </w:t>
      </w:r>
      <w:r w:rsidR="00DF45C5">
        <w:rPr>
          <w:b/>
          <w:bCs/>
          <w:sz w:val="24"/>
          <w:szCs w:val="24"/>
        </w:rPr>
        <w:t>–</w:t>
      </w:r>
      <w:r w:rsidR="00A07CEC">
        <w:rPr>
          <w:b/>
          <w:bCs/>
          <w:sz w:val="24"/>
          <w:szCs w:val="24"/>
        </w:rPr>
        <w:t xml:space="preserve"> </w:t>
      </w:r>
      <w:r w:rsidR="00A07CEC">
        <w:rPr>
          <w:sz w:val="24"/>
          <w:szCs w:val="24"/>
        </w:rPr>
        <w:t xml:space="preserve">Athol Hospital and Heywood Hospital share </w:t>
      </w:r>
      <w:r w:rsidR="0067433E">
        <w:rPr>
          <w:sz w:val="24"/>
          <w:szCs w:val="24"/>
        </w:rPr>
        <w:t>six</w:t>
      </w:r>
      <w:r w:rsidR="00A07CEC">
        <w:rPr>
          <w:sz w:val="24"/>
          <w:szCs w:val="24"/>
        </w:rPr>
        <w:t xml:space="preserve"> of the top 10 zip codes for their patient populations.</w:t>
      </w:r>
    </w:p>
    <w:p w14:paraId="0A926F9E" w14:textId="667C81D1" w:rsidR="00F7468B" w:rsidRPr="0060112A" w:rsidRDefault="00F7468B" w:rsidP="00B45A7C">
      <w:pPr>
        <w:pStyle w:val="Caption"/>
        <w:jc w:val="center"/>
        <w:rPr>
          <w:b/>
          <w:bCs/>
          <w:i w:val="0"/>
          <w:iCs w:val="0"/>
          <w:color w:val="auto"/>
          <w:sz w:val="24"/>
          <w:szCs w:val="24"/>
        </w:rPr>
      </w:pPr>
      <w:r w:rsidRPr="0060112A">
        <w:rPr>
          <w:b/>
          <w:bCs/>
          <w:i w:val="0"/>
          <w:iCs w:val="0"/>
          <w:color w:val="auto"/>
          <w:sz w:val="24"/>
          <w:szCs w:val="24"/>
        </w:rPr>
        <w:t xml:space="preserve">Table </w:t>
      </w:r>
      <w:r w:rsidR="007E04D6">
        <w:rPr>
          <w:b/>
          <w:bCs/>
          <w:i w:val="0"/>
          <w:iCs w:val="0"/>
          <w:color w:val="auto"/>
          <w:sz w:val="24"/>
          <w:szCs w:val="24"/>
        </w:rPr>
        <w:t>2</w:t>
      </w:r>
      <w:r w:rsidRPr="0060112A">
        <w:rPr>
          <w:b/>
          <w:bCs/>
          <w:i w:val="0"/>
          <w:iCs w:val="0"/>
          <w:color w:val="auto"/>
          <w:sz w:val="24"/>
          <w:szCs w:val="24"/>
        </w:rPr>
        <w:t>: Overview of Patient Population</w:t>
      </w:r>
      <w:r w:rsidR="00F34A11">
        <w:rPr>
          <w:b/>
          <w:bCs/>
          <w:i w:val="0"/>
          <w:iCs w:val="0"/>
          <w:color w:val="auto"/>
          <w:sz w:val="24"/>
          <w:szCs w:val="24"/>
        </w:rPr>
        <w:t xml:space="preserve"> (FY20)</w:t>
      </w:r>
    </w:p>
    <w:tbl>
      <w:tblPr>
        <w:tblStyle w:val="TableGrid"/>
        <w:tblW w:w="0" w:type="auto"/>
        <w:jc w:val="center"/>
        <w:tblLook w:val="04A0" w:firstRow="1" w:lastRow="0" w:firstColumn="1" w:lastColumn="0" w:noHBand="0" w:noVBand="1"/>
        <w:tblCaption w:val="Table 2: Overview of Patient Population (FY20)"/>
        <w:tblDescription w:val=" Athol Hospital Heywood Hospital&#10;Total Individual Patients (FY20) 14,802 48,237&#10;Gender &#10;Male&#10;Female &#10;44%&#10;56% &#10;43.43%&#10;56.56%&#10;Age &#10;Under 18&#10;18-25&#10;26-39&#10;40-49&#10;50-59&#10;60-69&#10;70-79&#10;Over 80 &#10;12.7%&#10;7.8%&#10;16%&#10;12.6%&#10;17.8%&#10;17.4%&#10;10.3%&#10;5.3% &#10;13.7%&#10;9.4%&#10;16.7%&#10;12.3%&#10;17.6%&#10;16.2%&#10;9.3%&#10;4.8%&#10;Race &#10;Asian&#10;Black&#10;Caucasian&#10;Declined&#10;Hawaiian or Pacific Islander&#10;Amer Indian or Alaska Native&#10;No Other Race&#10;Other&#10;Unknown/Not Specified &#10;0.4%&#10;1.3%&#10;92.8%&#10;0.1%&#10;0%&#10;0%&#10;0%&#10;1.8%&#10;3.6% &#10;0.5%&#10;1.7%&#10;87.7%&#10;0.1%&#10;0%&#10;0%&#10;0%&#10;3.6%&#10;6.3%&#10;Patient Origin &#10;Top 10 Zip Codes   &#10;Athol&#10;Orange&#10;Gardner&#10;Petersham&#10;Royalston&#10;Winchendon&#10;Templeton&#10;New Salem&#10;Templeton&#10;Warwick &#10;Gardner&#10;Winchendon&#10;Athol&#10;Westminster&#10;Ashburnham&#10;Templeton&#10;Fitchburg&#10;Orange&#10;Templeton&#10;Hubbardston&#10;"/>
      </w:tblPr>
      <w:tblGrid>
        <w:gridCol w:w="3098"/>
        <w:gridCol w:w="1522"/>
        <w:gridCol w:w="1894"/>
      </w:tblGrid>
      <w:tr w:rsidR="00460A58" w:rsidRPr="00B45A7C" w14:paraId="40870384" w14:textId="51AA5DAB" w:rsidTr="00735C4E">
        <w:trPr>
          <w:tblHeader/>
          <w:jc w:val="center"/>
        </w:trPr>
        <w:tc>
          <w:tcPr>
            <w:tcW w:w="0" w:type="auto"/>
          </w:tcPr>
          <w:p w14:paraId="10055CC7" w14:textId="77777777" w:rsidR="00460A58" w:rsidRPr="00B45A7C" w:rsidRDefault="00460A58" w:rsidP="00A67E02">
            <w:pPr>
              <w:contextualSpacing/>
              <w:rPr>
                <w:rFonts w:cstheme="minorHAnsi"/>
              </w:rPr>
            </w:pPr>
          </w:p>
        </w:tc>
        <w:tc>
          <w:tcPr>
            <w:tcW w:w="0" w:type="auto"/>
            <w:shd w:val="clear" w:color="auto" w:fill="F2F2F2" w:themeFill="background1" w:themeFillShade="F2"/>
          </w:tcPr>
          <w:p w14:paraId="38C507B9" w14:textId="48109A74" w:rsidR="00460A58" w:rsidRPr="00B45A7C" w:rsidRDefault="0097489E" w:rsidP="00A67E02">
            <w:pPr>
              <w:contextualSpacing/>
              <w:rPr>
                <w:rFonts w:cstheme="minorHAnsi"/>
                <w:b/>
              </w:rPr>
            </w:pPr>
            <w:r w:rsidRPr="00B45A7C">
              <w:rPr>
                <w:rFonts w:cstheme="minorHAnsi"/>
                <w:b/>
              </w:rPr>
              <w:t>Athol Hospital</w:t>
            </w:r>
          </w:p>
        </w:tc>
        <w:tc>
          <w:tcPr>
            <w:tcW w:w="0" w:type="auto"/>
            <w:shd w:val="clear" w:color="auto" w:fill="F2F2F2" w:themeFill="background1" w:themeFillShade="F2"/>
          </w:tcPr>
          <w:p w14:paraId="0FD84D61" w14:textId="7F62A05E" w:rsidR="00460A58" w:rsidRPr="00B45A7C" w:rsidRDefault="0097489E" w:rsidP="00A67E02">
            <w:pPr>
              <w:contextualSpacing/>
              <w:rPr>
                <w:rFonts w:cstheme="minorHAnsi"/>
                <w:b/>
              </w:rPr>
            </w:pPr>
            <w:r w:rsidRPr="00B45A7C">
              <w:rPr>
                <w:rFonts w:cstheme="minorHAnsi"/>
                <w:b/>
              </w:rPr>
              <w:t>Heywood Hospital</w:t>
            </w:r>
          </w:p>
        </w:tc>
      </w:tr>
      <w:tr w:rsidR="00460A58" w:rsidRPr="00B45A7C" w14:paraId="38304225" w14:textId="781D370F" w:rsidTr="00BF4486">
        <w:trPr>
          <w:jc w:val="center"/>
        </w:trPr>
        <w:tc>
          <w:tcPr>
            <w:tcW w:w="0" w:type="auto"/>
            <w:tcBorders>
              <w:bottom w:val="single" w:sz="4" w:space="0" w:color="auto"/>
            </w:tcBorders>
          </w:tcPr>
          <w:p w14:paraId="169EA803" w14:textId="1886B287" w:rsidR="00460A58" w:rsidRPr="00B45A7C" w:rsidRDefault="00460A58" w:rsidP="00A67E02">
            <w:pPr>
              <w:contextualSpacing/>
              <w:rPr>
                <w:rFonts w:cstheme="minorHAnsi"/>
                <w:b/>
              </w:rPr>
            </w:pPr>
            <w:r w:rsidRPr="00B45A7C">
              <w:rPr>
                <w:rFonts w:cstheme="minorHAnsi"/>
                <w:b/>
              </w:rPr>
              <w:t xml:space="preserve">Total </w:t>
            </w:r>
            <w:r w:rsidR="0097489E" w:rsidRPr="00B45A7C">
              <w:rPr>
                <w:rFonts w:cstheme="minorHAnsi"/>
                <w:b/>
              </w:rPr>
              <w:t>Individual</w:t>
            </w:r>
            <w:r w:rsidRPr="00B45A7C">
              <w:rPr>
                <w:rFonts w:cstheme="minorHAnsi"/>
                <w:b/>
              </w:rPr>
              <w:t xml:space="preserve"> Patients (FY20)</w:t>
            </w:r>
          </w:p>
        </w:tc>
        <w:tc>
          <w:tcPr>
            <w:tcW w:w="0" w:type="auto"/>
            <w:tcBorders>
              <w:bottom w:val="single" w:sz="4" w:space="0" w:color="auto"/>
            </w:tcBorders>
          </w:tcPr>
          <w:p w14:paraId="5FA03263" w14:textId="4BD21265" w:rsidR="00460A58" w:rsidRPr="00B45A7C" w:rsidRDefault="0097489E" w:rsidP="00A67E02">
            <w:pPr>
              <w:contextualSpacing/>
              <w:rPr>
                <w:rFonts w:cstheme="minorHAnsi"/>
              </w:rPr>
            </w:pPr>
            <w:r w:rsidRPr="00B45A7C">
              <w:rPr>
                <w:rFonts w:cstheme="minorHAnsi"/>
              </w:rPr>
              <w:t>14,802</w:t>
            </w:r>
          </w:p>
        </w:tc>
        <w:tc>
          <w:tcPr>
            <w:tcW w:w="0" w:type="auto"/>
            <w:tcBorders>
              <w:bottom w:val="single" w:sz="4" w:space="0" w:color="auto"/>
            </w:tcBorders>
          </w:tcPr>
          <w:p w14:paraId="13D63CD4" w14:textId="5E38EDFD" w:rsidR="00460A58" w:rsidRPr="00B45A7C" w:rsidRDefault="0097489E" w:rsidP="00A67E02">
            <w:pPr>
              <w:contextualSpacing/>
              <w:rPr>
                <w:rFonts w:cstheme="minorHAnsi"/>
              </w:rPr>
            </w:pPr>
            <w:r w:rsidRPr="00B45A7C">
              <w:rPr>
                <w:rFonts w:cstheme="minorHAnsi"/>
              </w:rPr>
              <w:t>48,237</w:t>
            </w:r>
          </w:p>
        </w:tc>
      </w:tr>
      <w:tr w:rsidR="00460A58" w:rsidRPr="00B45A7C" w14:paraId="3D4251BE" w14:textId="1CE84698" w:rsidTr="00BF4486">
        <w:trPr>
          <w:jc w:val="center"/>
        </w:trPr>
        <w:tc>
          <w:tcPr>
            <w:tcW w:w="0" w:type="auto"/>
          </w:tcPr>
          <w:p w14:paraId="2E6666C6" w14:textId="77777777" w:rsidR="00460A58" w:rsidRPr="00B45A7C" w:rsidRDefault="00460A58" w:rsidP="00A67E02">
            <w:pPr>
              <w:contextualSpacing/>
              <w:rPr>
                <w:rFonts w:cstheme="minorHAnsi"/>
                <w:b/>
              </w:rPr>
            </w:pPr>
            <w:r w:rsidRPr="00B45A7C">
              <w:rPr>
                <w:rFonts w:cstheme="minorHAnsi"/>
                <w:b/>
              </w:rPr>
              <w:t xml:space="preserve">Gender </w:t>
            </w:r>
          </w:p>
          <w:p w14:paraId="130C2FCC" w14:textId="77777777" w:rsidR="00460A58" w:rsidRPr="00B45A7C" w:rsidRDefault="005D38EA" w:rsidP="00A67E02">
            <w:pPr>
              <w:ind w:left="288"/>
              <w:contextualSpacing/>
              <w:rPr>
                <w:rFonts w:cstheme="minorHAnsi"/>
              </w:rPr>
            </w:pPr>
            <w:r w:rsidRPr="00B45A7C">
              <w:rPr>
                <w:rFonts w:cstheme="minorHAnsi"/>
              </w:rPr>
              <w:t>Male</w:t>
            </w:r>
          </w:p>
          <w:p w14:paraId="6AC6E178" w14:textId="5215EBAC" w:rsidR="005D38EA" w:rsidRPr="00B45A7C" w:rsidRDefault="005D38EA" w:rsidP="00A67E02">
            <w:pPr>
              <w:ind w:left="288"/>
              <w:contextualSpacing/>
              <w:rPr>
                <w:rFonts w:cstheme="minorHAnsi"/>
              </w:rPr>
            </w:pPr>
            <w:r w:rsidRPr="00B45A7C">
              <w:rPr>
                <w:rFonts w:cstheme="minorHAnsi"/>
              </w:rPr>
              <w:t>Female</w:t>
            </w:r>
          </w:p>
        </w:tc>
        <w:tc>
          <w:tcPr>
            <w:tcW w:w="0" w:type="auto"/>
          </w:tcPr>
          <w:p w14:paraId="2B7BDA7B" w14:textId="77777777" w:rsidR="00460A58" w:rsidRPr="00B45A7C" w:rsidRDefault="00460A58" w:rsidP="00A67E02">
            <w:pPr>
              <w:contextualSpacing/>
              <w:rPr>
                <w:rFonts w:cstheme="minorHAnsi"/>
              </w:rPr>
            </w:pPr>
          </w:p>
          <w:p w14:paraId="47EAD3F8" w14:textId="34C5B1DF" w:rsidR="005D38EA" w:rsidRPr="00B45A7C" w:rsidRDefault="005D38EA" w:rsidP="005D38EA">
            <w:pPr>
              <w:contextualSpacing/>
              <w:rPr>
                <w:rFonts w:cstheme="minorHAnsi"/>
              </w:rPr>
            </w:pPr>
            <w:r w:rsidRPr="00B45A7C">
              <w:rPr>
                <w:rFonts w:cstheme="minorHAnsi"/>
              </w:rPr>
              <w:t>44%</w:t>
            </w:r>
          </w:p>
          <w:p w14:paraId="52FD2D61" w14:textId="58123F98" w:rsidR="005D38EA" w:rsidRPr="00B45A7C" w:rsidRDefault="005D38EA" w:rsidP="005D38EA">
            <w:pPr>
              <w:contextualSpacing/>
              <w:rPr>
                <w:rFonts w:cstheme="minorHAnsi"/>
              </w:rPr>
            </w:pPr>
            <w:r w:rsidRPr="00B45A7C">
              <w:rPr>
                <w:rFonts w:cstheme="minorHAnsi"/>
              </w:rPr>
              <w:t>5</w:t>
            </w:r>
            <w:r w:rsidR="00F85FCD" w:rsidRPr="00B45A7C">
              <w:rPr>
                <w:rFonts w:cstheme="minorHAnsi"/>
              </w:rPr>
              <w:t>6</w:t>
            </w:r>
            <w:r w:rsidRPr="00B45A7C">
              <w:rPr>
                <w:rFonts w:cstheme="minorHAnsi"/>
              </w:rPr>
              <w:t>%</w:t>
            </w:r>
          </w:p>
        </w:tc>
        <w:tc>
          <w:tcPr>
            <w:tcW w:w="0" w:type="auto"/>
          </w:tcPr>
          <w:p w14:paraId="24235F6D" w14:textId="77777777" w:rsidR="00460A58" w:rsidRPr="00B45A7C" w:rsidRDefault="00460A58" w:rsidP="00460A58">
            <w:pPr>
              <w:contextualSpacing/>
              <w:rPr>
                <w:rFonts w:cstheme="minorHAnsi"/>
              </w:rPr>
            </w:pPr>
          </w:p>
          <w:p w14:paraId="3D179B54" w14:textId="77777777" w:rsidR="006079BC" w:rsidRPr="00B45A7C" w:rsidRDefault="006079BC" w:rsidP="006079BC">
            <w:pPr>
              <w:contextualSpacing/>
              <w:rPr>
                <w:rFonts w:cstheme="minorHAnsi"/>
              </w:rPr>
            </w:pPr>
            <w:r w:rsidRPr="00B45A7C">
              <w:rPr>
                <w:rFonts w:cstheme="minorHAnsi"/>
              </w:rPr>
              <w:t>43.43%</w:t>
            </w:r>
          </w:p>
          <w:p w14:paraId="15E8E3D4" w14:textId="4DAEC3B3" w:rsidR="006079BC" w:rsidRPr="00B45A7C" w:rsidRDefault="006079BC" w:rsidP="006079BC">
            <w:pPr>
              <w:contextualSpacing/>
              <w:rPr>
                <w:rFonts w:cstheme="minorHAnsi"/>
              </w:rPr>
            </w:pPr>
            <w:r w:rsidRPr="00B45A7C">
              <w:rPr>
                <w:rFonts w:cstheme="minorHAnsi"/>
              </w:rPr>
              <w:t>56.56%</w:t>
            </w:r>
          </w:p>
        </w:tc>
      </w:tr>
      <w:tr w:rsidR="00460A58" w:rsidRPr="00B45A7C" w14:paraId="2BA80E83" w14:textId="2278EEBF" w:rsidTr="00BF4486">
        <w:trPr>
          <w:jc w:val="center"/>
        </w:trPr>
        <w:tc>
          <w:tcPr>
            <w:tcW w:w="0" w:type="auto"/>
          </w:tcPr>
          <w:p w14:paraId="3446BEE4" w14:textId="77777777" w:rsidR="00460A58" w:rsidRPr="00B45A7C" w:rsidRDefault="00460A58" w:rsidP="00A67E02">
            <w:pPr>
              <w:contextualSpacing/>
              <w:rPr>
                <w:rFonts w:cstheme="minorHAnsi"/>
                <w:b/>
              </w:rPr>
            </w:pPr>
            <w:r w:rsidRPr="00B45A7C">
              <w:rPr>
                <w:rFonts w:cstheme="minorHAnsi"/>
                <w:b/>
              </w:rPr>
              <w:t xml:space="preserve">Age </w:t>
            </w:r>
          </w:p>
          <w:p w14:paraId="05F69C0F" w14:textId="77777777" w:rsidR="0097489E" w:rsidRPr="00B45A7C" w:rsidRDefault="0097489E" w:rsidP="0097489E">
            <w:pPr>
              <w:ind w:left="288"/>
              <w:contextualSpacing/>
              <w:rPr>
                <w:rFonts w:cstheme="minorHAnsi"/>
              </w:rPr>
            </w:pPr>
            <w:r w:rsidRPr="00B45A7C">
              <w:rPr>
                <w:rFonts w:cstheme="minorHAnsi"/>
              </w:rPr>
              <w:t>Under 18</w:t>
            </w:r>
          </w:p>
          <w:p w14:paraId="60CDA72A" w14:textId="77777777" w:rsidR="0097489E" w:rsidRPr="00B45A7C" w:rsidRDefault="0097489E" w:rsidP="0097489E">
            <w:pPr>
              <w:ind w:left="288"/>
              <w:contextualSpacing/>
              <w:rPr>
                <w:rFonts w:cstheme="minorHAnsi"/>
              </w:rPr>
            </w:pPr>
            <w:r w:rsidRPr="00B45A7C">
              <w:rPr>
                <w:rFonts w:cstheme="minorHAnsi"/>
              </w:rPr>
              <w:t>18-25</w:t>
            </w:r>
          </w:p>
          <w:p w14:paraId="4C92ED8B" w14:textId="77777777" w:rsidR="0097489E" w:rsidRPr="00B45A7C" w:rsidRDefault="0097489E" w:rsidP="0097489E">
            <w:pPr>
              <w:ind w:left="288"/>
              <w:contextualSpacing/>
              <w:rPr>
                <w:rFonts w:cstheme="minorHAnsi"/>
              </w:rPr>
            </w:pPr>
            <w:r w:rsidRPr="00B45A7C">
              <w:rPr>
                <w:rFonts w:cstheme="minorHAnsi"/>
              </w:rPr>
              <w:t>26-39</w:t>
            </w:r>
          </w:p>
          <w:p w14:paraId="3BAFCDEE" w14:textId="77777777" w:rsidR="0097489E" w:rsidRPr="00B45A7C" w:rsidRDefault="0097489E" w:rsidP="0097489E">
            <w:pPr>
              <w:ind w:left="288"/>
              <w:contextualSpacing/>
              <w:rPr>
                <w:rFonts w:cstheme="minorHAnsi"/>
              </w:rPr>
            </w:pPr>
            <w:r w:rsidRPr="00B45A7C">
              <w:rPr>
                <w:rFonts w:cstheme="minorHAnsi"/>
              </w:rPr>
              <w:t>40-49</w:t>
            </w:r>
          </w:p>
          <w:p w14:paraId="627BF488" w14:textId="77777777" w:rsidR="0097489E" w:rsidRPr="00B45A7C" w:rsidRDefault="0097489E" w:rsidP="0097489E">
            <w:pPr>
              <w:ind w:left="288"/>
              <w:contextualSpacing/>
              <w:rPr>
                <w:rFonts w:cstheme="minorHAnsi"/>
              </w:rPr>
            </w:pPr>
            <w:r w:rsidRPr="00B45A7C">
              <w:rPr>
                <w:rFonts w:cstheme="minorHAnsi"/>
              </w:rPr>
              <w:t>50-59</w:t>
            </w:r>
          </w:p>
          <w:p w14:paraId="4860F3C7" w14:textId="77777777" w:rsidR="0097489E" w:rsidRPr="00B45A7C" w:rsidRDefault="0097489E" w:rsidP="0097489E">
            <w:pPr>
              <w:ind w:left="288"/>
              <w:contextualSpacing/>
              <w:rPr>
                <w:rFonts w:cstheme="minorHAnsi"/>
              </w:rPr>
            </w:pPr>
            <w:r w:rsidRPr="00B45A7C">
              <w:rPr>
                <w:rFonts w:cstheme="minorHAnsi"/>
              </w:rPr>
              <w:t>60-69</w:t>
            </w:r>
          </w:p>
          <w:p w14:paraId="4A74E21F" w14:textId="77777777" w:rsidR="0097489E" w:rsidRPr="00B45A7C" w:rsidRDefault="0097489E" w:rsidP="0097489E">
            <w:pPr>
              <w:ind w:left="288"/>
              <w:contextualSpacing/>
              <w:rPr>
                <w:rFonts w:cstheme="minorHAnsi"/>
              </w:rPr>
            </w:pPr>
            <w:r w:rsidRPr="00B45A7C">
              <w:rPr>
                <w:rFonts w:cstheme="minorHAnsi"/>
              </w:rPr>
              <w:t>70-79</w:t>
            </w:r>
          </w:p>
          <w:p w14:paraId="75BA9047" w14:textId="0113AE62" w:rsidR="00460A58" w:rsidRPr="00B45A7C" w:rsidRDefault="0097489E" w:rsidP="0097489E">
            <w:pPr>
              <w:ind w:left="288"/>
              <w:contextualSpacing/>
              <w:rPr>
                <w:rFonts w:cstheme="minorHAnsi"/>
              </w:rPr>
            </w:pPr>
            <w:r w:rsidRPr="00B45A7C">
              <w:rPr>
                <w:rFonts w:cstheme="minorHAnsi"/>
              </w:rPr>
              <w:t>Over 80</w:t>
            </w:r>
          </w:p>
        </w:tc>
        <w:tc>
          <w:tcPr>
            <w:tcW w:w="0" w:type="auto"/>
          </w:tcPr>
          <w:p w14:paraId="24254023" w14:textId="77777777" w:rsidR="00460A58" w:rsidRPr="00B45A7C" w:rsidRDefault="00460A58" w:rsidP="00A67E02">
            <w:pPr>
              <w:contextualSpacing/>
              <w:rPr>
                <w:rFonts w:cstheme="minorHAnsi"/>
              </w:rPr>
            </w:pPr>
          </w:p>
          <w:p w14:paraId="386B7EFC" w14:textId="1D1545DA" w:rsidR="00113824" w:rsidRPr="00B45A7C" w:rsidRDefault="00113824" w:rsidP="00113824">
            <w:pPr>
              <w:contextualSpacing/>
              <w:rPr>
                <w:rFonts w:cstheme="minorHAnsi"/>
              </w:rPr>
            </w:pPr>
            <w:r w:rsidRPr="00B45A7C">
              <w:rPr>
                <w:rFonts w:cstheme="minorHAnsi"/>
              </w:rPr>
              <w:t>12.7%</w:t>
            </w:r>
          </w:p>
          <w:p w14:paraId="0EF36A48" w14:textId="542574C4" w:rsidR="00113824" w:rsidRPr="00B45A7C" w:rsidRDefault="00113824" w:rsidP="00113824">
            <w:pPr>
              <w:contextualSpacing/>
              <w:rPr>
                <w:rFonts w:cstheme="minorHAnsi"/>
              </w:rPr>
            </w:pPr>
            <w:r w:rsidRPr="00B45A7C">
              <w:rPr>
                <w:rFonts w:cstheme="minorHAnsi"/>
              </w:rPr>
              <w:t>7.8%</w:t>
            </w:r>
          </w:p>
          <w:p w14:paraId="2B4112BE" w14:textId="353017C0" w:rsidR="00113824" w:rsidRPr="00B45A7C" w:rsidRDefault="00113824" w:rsidP="00113824">
            <w:pPr>
              <w:contextualSpacing/>
              <w:rPr>
                <w:rFonts w:cstheme="minorHAnsi"/>
              </w:rPr>
            </w:pPr>
            <w:r w:rsidRPr="00B45A7C">
              <w:rPr>
                <w:rFonts w:cstheme="minorHAnsi"/>
              </w:rPr>
              <w:t>16%</w:t>
            </w:r>
          </w:p>
          <w:p w14:paraId="7A78BA8B" w14:textId="110BE338" w:rsidR="00113824" w:rsidRPr="00B45A7C" w:rsidRDefault="00113824" w:rsidP="00113824">
            <w:pPr>
              <w:contextualSpacing/>
              <w:rPr>
                <w:rFonts w:cstheme="minorHAnsi"/>
              </w:rPr>
            </w:pPr>
            <w:r w:rsidRPr="00B45A7C">
              <w:rPr>
                <w:rFonts w:cstheme="minorHAnsi"/>
              </w:rPr>
              <w:t>12.6%</w:t>
            </w:r>
          </w:p>
          <w:p w14:paraId="04995731" w14:textId="5F1355B8" w:rsidR="00113824" w:rsidRPr="00B45A7C" w:rsidRDefault="00113824" w:rsidP="00113824">
            <w:pPr>
              <w:contextualSpacing/>
              <w:rPr>
                <w:rFonts w:cstheme="minorHAnsi"/>
              </w:rPr>
            </w:pPr>
            <w:r w:rsidRPr="00B45A7C">
              <w:rPr>
                <w:rFonts w:cstheme="minorHAnsi"/>
              </w:rPr>
              <w:t>17.</w:t>
            </w:r>
            <w:r w:rsidR="0055609E" w:rsidRPr="00B45A7C">
              <w:rPr>
                <w:rFonts w:cstheme="minorHAnsi"/>
              </w:rPr>
              <w:t>8</w:t>
            </w:r>
            <w:r w:rsidRPr="00B45A7C">
              <w:rPr>
                <w:rFonts w:cstheme="minorHAnsi"/>
              </w:rPr>
              <w:t>%</w:t>
            </w:r>
          </w:p>
          <w:p w14:paraId="09B2AD79" w14:textId="67643D14" w:rsidR="00113824" w:rsidRPr="00B45A7C" w:rsidRDefault="00113824" w:rsidP="00113824">
            <w:pPr>
              <w:contextualSpacing/>
              <w:rPr>
                <w:rFonts w:cstheme="minorHAnsi"/>
              </w:rPr>
            </w:pPr>
            <w:r w:rsidRPr="00B45A7C">
              <w:rPr>
                <w:rFonts w:cstheme="minorHAnsi"/>
              </w:rPr>
              <w:t>17.</w:t>
            </w:r>
            <w:r w:rsidR="0055609E" w:rsidRPr="00B45A7C">
              <w:rPr>
                <w:rFonts w:cstheme="minorHAnsi"/>
              </w:rPr>
              <w:t>4</w:t>
            </w:r>
            <w:r w:rsidRPr="00B45A7C">
              <w:rPr>
                <w:rFonts w:cstheme="minorHAnsi"/>
              </w:rPr>
              <w:t>%</w:t>
            </w:r>
          </w:p>
          <w:p w14:paraId="26B5B70D" w14:textId="0B880435" w:rsidR="00113824" w:rsidRPr="00B45A7C" w:rsidRDefault="00113824" w:rsidP="00113824">
            <w:pPr>
              <w:contextualSpacing/>
              <w:rPr>
                <w:rFonts w:cstheme="minorHAnsi"/>
              </w:rPr>
            </w:pPr>
            <w:r w:rsidRPr="00B45A7C">
              <w:rPr>
                <w:rFonts w:cstheme="minorHAnsi"/>
              </w:rPr>
              <w:t>10.3%</w:t>
            </w:r>
          </w:p>
          <w:p w14:paraId="6E3A0FA0" w14:textId="7C1613DB" w:rsidR="00113824" w:rsidRPr="00B45A7C" w:rsidRDefault="00113824" w:rsidP="00113824">
            <w:pPr>
              <w:contextualSpacing/>
              <w:rPr>
                <w:rFonts w:cstheme="minorHAnsi"/>
              </w:rPr>
            </w:pPr>
            <w:r w:rsidRPr="00B45A7C">
              <w:rPr>
                <w:rFonts w:cstheme="minorHAnsi"/>
              </w:rPr>
              <w:t>5.3%</w:t>
            </w:r>
          </w:p>
        </w:tc>
        <w:tc>
          <w:tcPr>
            <w:tcW w:w="0" w:type="auto"/>
          </w:tcPr>
          <w:p w14:paraId="18B9842E" w14:textId="77777777" w:rsidR="00460A58" w:rsidRPr="00B45A7C" w:rsidRDefault="00460A58" w:rsidP="00A67E02">
            <w:pPr>
              <w:contextualSpacing/>
              <w:rPr>
                <w:rFonts w:cstheme="minorHAnsi"/>
              </w:rPr>
            </w:pPr>
          </w:p>
          <w:p w14:paraId="0C8D5AF8" w14:textId="1CD541EB" w:rsidR="00381D04" w:rsidRPr="00B45A7C" w:rsidRDefault="00381D04" w:rsidP="00381D04">
            <w:pPr>
              <w:contextualSpacing/>
              <w:rPr>
                <w:rFonts w:cstheme="minorHAnsi"/>
              </w:rPr>
            </w:pPr>
            <w:r w:rsidRPr="00B45A7C">
              <w:rPr>
                <w:rFonts w:cstheme="minorHAnsi"/>
              </w:rPr>
              <w:t>13.7%</w:t>
            </w:r>
          </w:p>
          <w:p w14:paraId="25E7A048" w14:textId="3C4E8B98" w:rsidR="00381D04" w:rsidRPr="00B45A7C" w:rsidRDefault="00381D04" w:rsidP="00381D04">
            <w:pPr>
              <w:contextualSpacing/>
              <w:rPr>
                <w:rFonts w:cstheme="minorHAnsi"/>
              </w:rPr>
            </w:pPr>
            <w:r w:rsidRPr="00B45A7C">
              <w:rPr>
                <w:rFonts w:cstheme="minorHAnsi"/>
              </w:rPr>
              <w:t>9.4%</w:t>
            </w:r>
          </w:p>
          <w:p w14:paraId="41FCA8DF" w14:textId="2C4E1B0A" w:rsidR="00381D04" w:rsidRPr="00B45A7C" w:rsidRDefault="00381D04" w:rsidP="00381D04">
            <w:pPr>
              <w:contextualSpacing/>
              <w:rPr>
                <w:rFonts w:cstheme="minorHAnsi"/>
              </w:rPr>
            </w:pPr>
            <w:r w:rsidRPr="00B45A7C">
              <w:rPr>
                <w:rFonts w:cstheme="minorHAnsi"/>
              </w:rPr>
              <w:t>16.7%</w:t>
            </w:r>
          </w:p>
          <w:p w14:paraId="14E74E21" w14:textId="4B7019C9" w:rsidR="00381D04" w:rsidRPr="00B45A7C" w:rsidRDefault="00381D04" w:rsidP="00381D04">
            <w:pPr>
              <w:contextualSpacing/>
              <w:rPr>
                <w:rFonts w:cstheme="minorHAnsi"/>
              </w:rPr>
            </w:pPr>
            <w:r w:rsidRPr="00B45A7C">
              <w:rPr>
                <w:rFonts w:cstheme="minorHAnsi"/>
              </w:rPr>
              <w:t>12.3%</w:t>
            </w:r>
          </w:p>
          <w:p w14:paraId="08ACF6AC" w14:textId="269A14FB" w:rsidR="00381D04" w:rsidRPr="00B45A7C" w:rsidRDefault="00381D04" w:rsidP="00381D04">
            <w:pPr>
              <w:contextualSpacing/>
              <w:rPr>
                <w:rFonts w:cstheme="minorHAnsi"/>
              </w:rPr>
            </w:pPr>
            <w:r w:rsidRPr="00B45A7C">
              <w:rPr>
                <w:rFonts w:cstheme="minorHAnsi"/>
              </w:rPr>
              <w:t>17.6%</w:t>
            </w:r>
          </w:p>
          <w:p w14:paraId="6E7FDE2D" w14:textId="00239650" w:rsidR="00381D04" w:rsidRPr="00B45A7C" w:rsidRDefault="00381D04" w:rsidP="00381D04">
            <w:pPr>
              <w:contextualSpacing/>
              <w:rPr>
                <w:rFonts w:cstheme="minorHAnsi"/>
              </w:rPr>
            </w:pPr>
            <w:r w:rsidRPr="00B45A7C">
              <w:rPr>
                <w:rFonts w:cstheme="minorHAnsi"/>
              </w:rPr>
              <w:t>16.2%</w:t>
            </w:r>
          </w:p>
          <w:p w14:paraId="3A7B5F4E" w14:textId="5EDD1DD2" w:rsidR="00381D04" w:rsidRPr="00B45A7C" w:rsidRDefault="00381D04" w:rsidP="00381D04">
            <w:pPr>
              <w:contextualSpacing/>
              <w:rPr>
                <w:rFonts w:cstheme="minorHAnsi"/>
              </w:rPr>
            </w:pPr>
            <w:r w:rsidRPr="00B45A7C">
              <w:rPr>
                <w:rFonts w:cstheme="minorHAnsi"/>
              </w:rPr>
              <w:t>9.</w:t>
            </w:r>
            <w:r w:rsidR="00F62F63" w:rsidRPr="00B45A7C">
              <w:rPr>
                <w:rFonts w:cstheme="minorHAnsi"/>
              </w:rPr>
              <w:t>3</w:t>
            </w:r>
            <w:r w:rsidRPr="00B45A7C">
              <w:rPr>
                <w:rFonts w:cstheme="minorHAnsi"/>
              </w:rPr>
              <w:t>%</w:t>
            </w:r>
          </w:p>
          <w:p w14:paraId="146BC7BE" w14:textId="63CDF4D4" w:rsidR="00381D04" w:rsidRPr="00B45A7C" w:rsidRDefault="00381D04" w:rsidP="00381D04">
            <w:pPr>
              <w:contextualSpacing/>
              <w:rPr>
                <w:rFonts w:cstheme="minorHAnsi"/>
              </w:rPr>
            </w:pPr>
            <w:r w:rsidRPr="00B45A7C">
              <w:rPr>
                <w:rFonts w:cstheme="minorHAnsi"/>
              </w:rPr>
              <w:t>4.8%</w:t>
            </w:r>
          </w:p>
        </w:tc>
      </w:tr>
      <w:tr w:rsidR="00460A58" w:rsidRPr="00B45A7C" w14:paraId="792C261B" w14:textId="05DA79E7" w:rsidTr="00BF4486">
        <w:trPr>
          <w:jc w:val="center"/>
        </w:trPr>
        <w:tc>
          <w:tcPr>
            <w:tcW w:w="0" w:type="auto"/>
          </w:tcPr>
          <w:p w14:paraId="69417C26" w14:textId="50D025A0" w:rsidR="00460A58" w:rsidRPr="00B45A7C" w:rsidRDefault="00460A58" w:rsidP="00A67E02">
            <w:pPr>
              <w:contextualSpacing/>
              <w:rPr>
                <w:rFonts w:cstheme="minorHAnsi"/>
                <w:b/>
              </w:rPr>
            </w:pPr>
            <w:r w:rsidRPr="00B45A7C">
              <w:rPr>
                <w:rFonts w:cstheme="minorHAnsi"/>
                <w:b/>
              </w:rPr>
              <w:lastRenderedPageBreak/>
              <w:t>Race</w:t>
            </w:r>
            <w:r w:rsidR="005D4C0D" w:rsidRPr="00B45A7C">
              <w:rPr>
                <w:rStyle w:val="FootnoteReference"/>
                <w:rFonts w:cstheme="minorHAnsi"/>
                <w:b/>
              </w:rPr>
              <w:footnoteReference w:id="6"/>
            </w:r>
          </w:p>
          <w:p w14:paraId="3F988C57" w14:textId="77777777" w:rsidR="00615D2F" w:rsidRPr="00B45A7C" w:rsidRDefault="00615D2F" w:rsidP="00615D2F">
            <w:pPr>
              <w:ind w:left="288"/>
              <w:contextualSpacing/>
              <w:rPr>
                <w:rFonts w:cstheme="minorHAnsi"/>
              </w:rPr>
            </w:pPr>
            <w:r w:rsidRPr="00B45A7C">
              <w:rPr>
                <w:rFonts w:cstheme="minorHAnsi"/>
              </w:rPr>
              <w:t>Asian</w:t>
            </w:r>
          </w:p>
          <w:p w14:paraId="5A4CC1FE" w14:textId="77777777" w:rsidR="00615D2F" w:rsidRPr="00B45A7C" w:rsidRDefault="00615D2F" w:rsidP="00615D2F">
            <w:pPr>
              <w:ind w:left="288"/>
              <w:contextualSpacing/>
              <w:rPr>
                <w:rFonts w:cstheme="minorHAnsi"/>
              </w:rPr>
            </w:pPr>
            <w:r w:rsidRPr="00B45A7C">
              <w:rPr>
                <w:rFonts w:cstheme="minorHAnsi"/>
              </w:rPr>
              <w:t>Black</w:t>
            </w:r>
          </w:p>
          <w:p w14:paraId="4DBB05B0" w14:textId="77777777" w:rsidR="00615D2F" w:rsidRPr="00B45A7C" w:rsidRDefault="00615D2F" w:rsidP="00615D2F">
            <w:pPr>
              <w:ind w:left="288"/>
              <w:contextualSpacing/>
              <w:rPr>
                <w:rFonts w:cstheme="minorHAnsi"/>
              </w:rPr>
            </w:pPr>
            <w:r w:rsidRPr="00B45A7C">
              <w:rPr>
                <w:rFonts w:cstheme="minorHAnsi"/>
              </w:rPr>
              <w:t>Caucasian</w:t>
            </w:r>
          </w:p>
          <w:p w14:paraId="1AD617AB" w14:textId="77777777" w:rsidR="00615D2F" w:rsidRPr="00B45A7C" w:rsidRDefault="00615D2F" w:rsidP="00615D2F">
            <w:pPr>
              <w:ind w:left="288"/>
              <w:contextualSpacing/>
              <w:rPr>
                <w:rFonts w:cstheme="minorHAnsi"/>
              </w:rPr>
            </w:pPr>
            <w:r w:rsidRPr="00B45A7C">
              <w:rPr>
                <w:rFonts w:cstheme="minorHAnsi"/>
              </w:rPr>
              <w:t>Declined</w:t>
            </w:r>
          </w:p>
          <w:p w14:paraId="2256AFB9" w14:textId="77777777" w:rsidR="00615D2F" w:rsidRPr="00B45A7C" w:rsidRDefault="00615D2F" w:rsidP="00615D2F">
            <w:pPr>
              <w:ind w:left="288"/>
              <w:contextualSpacing/>
              <w:rPr>
                <w:rFonts w:cstheme="minorHAnsi"/>
              </w:rPr>
            </w:pPr>
            <w:r w:rsidRPr="00B45A7C">
              <w:rPr>
                <w:rFonts w:cstheme="minorHAnsi"/>
              </w:rPr>
              <w:t>Hawaiian or Pacific Islander</w:t>
            </w:r>
          </w:p>
          <w:p w14:paraId="72A01350" w14:textId="77777777" w:rsidR="00615D2F" w:rsidRPr="00B45A7C" w:rsidRDefault="00615D2F" w:rsidP="00615D2F">
            <w:pPr>
              <w:ind w:left="288"/>
              <w:contextualSpacing/>
              <w:rPr>
                <w:rFonts w:cstheme="minorHAnsi"/>
              </w:rPr>
            </w:pPr>
            <w:r w:rsidRPr="00B45A7C">
              <w:rPr>
                <w:rFonts w:cstheme="minorHAnsi"/>
              </w:rPr>
              <w:t>Amer Indian or Alaska Native</w:t>
            </w:r>
          </w:p>
          <w:p w14:paraId="0211CC5E" w14:textId="77777777" w:rsidR="00615D2F" w:rsidRPr="00B45A7C" w:rsidRDefault="00615D2F" w:rsidP="00615D2F">
            <w:pPr>
              <w:ind w:left="288"/>
              <w:contextualSpacing/>
              <w:rPr>
                <w:rFonts w:cstheme="minorHAnsi"/>
              </w:rPr>
            </w:pPr>
            <w:r w:rsidRPr="00B45A7C">
              <w:rPr>
                <w:rFonts w:cstheme="minorHAnsi"/>
              </w:rPr>
              <w:t>No Other Race</w:t>
            </w:r>
          </w:p>
          <w:p w14:paraId="7FD9DFA0" w14:textId="77777777" w:rsidR="00615D2F" w:rsidRPr="00B45A7C" w:rsidRDefault="00615D2F" w:rsidP="00615D2F">
            <w:pPr>
              <w:ind w:left="288"/>
              <w:contextualSpacing/>
              <w:rPr>
                <w:rFonts w:cstheme="minorHAnsi"/>
              </w:rPr>
            </w:pPr>
            <w:r w:rsidRPr="00B45A7C">
              <w:rPr>
                <w:rFonts w:cstheme="minorHAnsi"/>
              </w:rPr>
              <w:t>Other</w:t>
            </w:r>
          </w:p>
          <w:p w14:paraId="3614A14F" w14:textId="64650725" w:rsidR="00460A58" w:rsidRPr="00B45A7C" w:rsidRDefault="00615D2F" w:rsidP="00615D2F">
            <w:pPr>
              <w:ind w:left="288"/>
              <w:contextualSpacing/>
              <w:rPr>
                <w:rFonts w:cstheme="minorHAnsi"/>
              </w:rPr>
            </w:pPr>
            <w:r w:rsidRPr="00B45A7C">
              <w:rPr>
                <w:rFonts w:cstheme="minorHAnsi"/>
              </w:rPr>
              <w:t>Unknown/Not Specified</w:t>
            </w:r>
          </w:p>
        </w:tc>
        <w:tc>
          <w:tcPr>
            <w:tcW w:w="0" w:type="auto"/>
          </w:tcPr>
          <w:p w14:paraId="2CC138BA" w14:textId="77777777" w:rsidR="00460A58" w:rsidRPr="00B45A7C" w:rsidRDefault="00460A58" w:rsidP="00A67E02">
            <w:pPr>
              <w:contextualSpacing/>
              <w:rPr>
                <w:rFonts w:cstheme="minorHAnsi"/>
              </w:rPr>
            </w:pPr>
          </w:p>
          <w:p w14:paraId="740CE753" w14:textId="18B0A76F" w:rsidR="005C0943" w:rsidRPr="00B45A7C" w:rsidRDefault="005C0943" w:rsidP="005C0943">
            <w:pPr>
              <w:contextualSpacing/>
              <w:rPr>
                <w:rFonts w:cstheme="minorHAnsi"/>
              </w:rPr>
            </w:pPr>
            <w:r w:rsidRPr="00B45A7C">
              <w:rPr>
                <w:rFonts w:cstheme="minorHAnsi"/>
              </w:rPr>
              <w:t>0.</w:t>
            </w:r>
            <w:r w:rsidR="00BC5E78" w:rsidRPr="00B45A7C">
              <w:rPr>
                <w:rFonts w:cstheme="minorHAnsi"/>
              </w:rPr>
              <w:t>4</w:t>
            </w:r>
            <w:r w:rsidRPr="00B45A7C">
              <w:rPr>
                <w:rFonts w:cstheme="minorHAnsi"/>
              </w:rPr>
              <w:t>%</w:t>
            </w:r>
          </w:p>
          <w:p w14:paraId="2E135D3B" w14:textId="4C140E5D" w:rsidR="005C0943" w:rsidRPr="00B45A7C" w:rsidRDefault="005C0943" w:rsidP="005C0943">
            <w:pPr>
              <w:contextualSpacing/>
              <w:rPr>
                <w:rFonts w:cstheme="minorHAnsi"/>
              </w:rPr>
            </w:pPr>
            <w:r w:rsidRPr="00B45A7C">
              <w:rPr>
                <w:rFonts w:cstheme="minorHAnsi"/>
              </w:rPr>
              <w:t>1.3%</w:t>
            </w:r>
          </w:p>
          <w:p w14:paraId="37EC7793" w14:textId="0D1D1C4F" w:rsidR="005C0943" w:rsidRPr="00B45A7C" w:rsidRDefault="005C0943" w:rsidP="005C0943">
            <w:pPr>
              <w:contextualSpacing/>
              <w:rPr>
                <w:rFonts w:cstheme="minorHAnsi"/>
              </w:rPr>
            </w:pPr>
            <w:r w:rsidRPr="00B45A7C">
              <w:rPr>
                <w:rFonts w:cstheme="minorHAnsi"/>
              </w:rPr>
              <w:t>92.</w:t>
            </w:r>
            <w:r w:rsidR="00BC5E78" w:rsidRPr="00B45A7C">
              <w:rPr>
                <w:rFonts w:cstheme="minorHAnsi"/>
              </w:rPr>
              <w:t>8</w:t>
            </w:r>
            <w:r w:rsidRPr="00B45A7C">
              <w:rPr>
                <w:rFonts w:cstheme="minorHAnsi"/>
              </w:rPr>
              <w:t>%</w:t>
            </w:r>
          </w:p>
          <w:p w14:paraId="05B425C3" w14:textId="269A8839" w:rsidR="005C0943" w:rsidRPr="00B45A7C" w:rsidRDefault="005C0943" w:rsidP="005C0943">
            <w:pPr>
              <w:contextualSpacing/>
              <w:rPr>
                <w:rFonts w:cstheme="minorHAnsi"/>
              </w:rPr>
            </w:pPr>
            <w:r w:rsidRPr="00B45A7C">
              <w:rPr>
                <w:rFonts w:cstheme="minorHAnsi"/>
              </w:rPr>
              <w:t>0.</w:t>
            </w:r>
            <w:r w:rsidR="00BC5E78" w:rsidRPr="00B45A7C">
              <w:rPr>
                <w:rFonts w:cstheme="minorHAnsi"/>
              </w:rPr>
              <w:t>1</w:t>
            </w:r>
            <w:r w:rsidRPr="00B45A7C">
              <w:rPr>
                <w:rFonts w:cstheme="minorHAnsi"/>
              </w:rPr>
              <w:t>%</w:t>
            </w:r>
          </w:p>
          <w:p w14:paraId="6B1957C5" w14:textId="2261555C" w:rsidR="005C0943" w:rsidRPr="00B45A7C" w:rsidRDefault="005C0943" w:rsidP="005C0943">
            <w:pPr>
              <w:contextualSpacing/>
              <w:rPr>
                <w:rFonts w:cstheme="minorHAnsi"/>
              </w:rPr>
            </w:pPr>
            <w:r w:rsidRPr="00B45A7C">
              <w:rPr>
                <w:rFonts w:cstheme="minorHAnsi"/>
              </w:rPr>
              <w:t>0%</w:t>
            </w:r>
          </w:p>
          <w:p w14:paraId="464907AB" w14:textId="0B14707C" w:rsidR="005C0943" w:rsidRPr="00B45A7C" w:rsidRDefault="005C0943" w:rsidP="005C0943">
            <w:pPr>
              <w:contextualSpacing/>
              <w:rPr>
                <w:rFonts w:cstheme="minorHAnsi"/>
              </w:rPr>
            </w:pPr>
            <w:r w:rsidRPr="00B45A7C">
              <w:rPr>
                <w:rFonts w:cstheme="minorHAnsi"/>
              </w:rPr>
              <w:t>0%</w:t>
            </w:r>
          </w:p>
          <w:p w14:paraId="7AB8028F" w14:textId="2A2BF228" w:rsidR="005C0943" w:rsidRPr="00B45A7C" w:rsidRDefault="005C0943" w:rsidP="005C0943">
            <w:pPr>
              <w:contextualSpacing/>
              <w:rPr>
                <w:rFonts w:cstheme="minorHAnsi"/>
              </w:rPr>
            </w:pPr>
            <w:r w:rsidRPr="00B45A7C">
              <w:rPr>
                <w:rFonts w:cstheme="minorHAnsi"/>
              </w:rPr>
              <w:t>0%</w:t>
            </w:r>
          </w:p>
          <w:p w14:paraId="0047272F" w14:textId="7A5E8120" w:rsidR="005C0943" w:rsidRPr="00B45A7C" w:rsidRDefault="005C0943" w:rsidP="005C0943">
            <w:pPr>
              <w:contextualSpacing/>
              <w:rPr>
                <w:rFonts w:cstheme="minorHAnsi"/>
              </w:rPr>
            </w:pPr>
            <w:r w:rsidRPr="00B45A7C">
              <w:rPr>
                <w:rFonts w:cstheme="minorHAnsi"/>
              </w:rPr>
              <w:t>1.8%</w:t>
            </w:r>
          </w:p>
          <w:p w14:paraId="28862420" w14:textId="596718C4" w:rsidR="005C0943" w:rsidRPr="00B45A7C" w:rsidRDefault="005C0943" w:rsidP="005C0943">
            <w:pPr>
              <w:contextualSpacing/>
              <w:rPr>
                <w:rFonts w:cstheme="minorHAnsi"/>
              </w:rPr>
            </w:pPr>
            <w:r w:rsidRPr="00B45A7C">
              <w:rPr>
                <w:rFonts w:cstheme="minorHAnsi"/>
              </w:rPr>
              <w:t>3.</w:t>
            </w:r>
            <w:r w:rsidR="00BC5E78" w:rsidRPr="00B45A7C">
              <w:rPr>
                <w:rFonts w:cstheme="minorHAnsi"/>
              </w:rPr>
              <w:t>6</w:t>
            </w:r>
            <w:r w:rsidRPr="00B45A7C">
              <w:rPr>
                <w:rFonts w:cstheme="minorHAnsi"/>
              </w:rPr>
              <w:t>%</w:t>
            </w:r>
          </w:p>
        </w:tc>
        <w:tc>
          <w:tcPr>
            <w:tcW w:w="0" w:type="auto"/>
          </w:tcPr>
          <w:p w14:paraId="5F27F7FB" w14:textId="77777777" w:rsidR="00460A58" w:rsidRPr="00B45A7C" w:rsidRDefault="00460A58" w:rsidP="00460A58">
            <w:pPr>
              <w:contextualSpacing/>
              <w:rPr>
                <w:rFonts w:cstheme="minorHAnsi"/>
              </w:rPr>
            </w:pPr>
          </w:p>
          <w:p w14:paraId="4E2521F7" w14:textId="6F36464C" w:rsidR="00F80CBD" w:rsidRPr="00B45A7C" w:rsidRDefault="00F80CBD" w:rsidP="00F80CBD">
            <w:pPr>
              <w:contextualSpacing/>
              <w:rPr>
                <w:rFonts w:cstheme="minorHAnsi"/>
              </w:rPr>
            </w:pPr>
            <w:r w:rsidRPr="00B45A7C">
              <w:rPr>
                <w:rFonts w:cstheme="minorHAnsi"/>
              </w:rPr>
              <w:t>0.5%</w:t>
            </w:r>
          </w:p>
          <w:p w14:paraId="0194E118" w14:textId="1033D749" w:rsidR="00F80CBD" w:rsidRPr="00B45A7C" w:rsidRDefault="00F80CBD" w:rsidP="00F80CBD">
            <w:pPr>
              <w:contextualSpacing/>
              <w:rPr>
                <w:rFonts w:cstheme="minorHAnsi"/>
              </w:rPr>
            </w:pPr>
            <w:r w:rsidRPr="00B45A7C">
              <w:rPr>
                <w:rFonts w:cstheme="minorHAnsi"/>
              </w:rPr>
              <w:t>1.7%</w:t>
            </w:r>
          </w:p>
          <w:p w14:paraId="478BF976" w14:textId="2FD6C0CB" w:rsidR="00F80CBD" w:rsidRPr="00B45A7C" w:rsidRDefault="00F80CBD" w:rsidP="00F80CBD">
            <w:pPr>
              <w:contextualSpacing/>
              <w:rPr>
                <w:rFonts w:cstheme="minorHAnsi"/>
              </w:rPr>
            </w:pPr>
            <w:r w:rsidRPr="00B45A7C">
              <w:rPr>
                <w:rFonts w:cstheme="minorHAnsi"/>
              </w:rPr>
              <w:t>87.7%</w:t>
            </w:r>
          </w:p>
          <w:p w14:paraId="5FEDEFFE" w14:textId="39EAB373" w:rsidR="00F80CBD" w:rsidRPr="00B45A7C" w:rsidRDefault="00F80CBD" w:rsidP="00F80CBD">
            <w:pPr>
              <w:contextualSpacing/>
              <w:rPr>
                <w:rFonts w:cstheme="minorHAnsi"/>
              </w:rPr>
            </w:pPr>
            <w:r w:rsidRPr="00B45A7C">
              <w:rPr>
                <w:rFonts w:cstheme="minorHAnsi"/>
              </w:rPr>
              <w:t>0.</w:t>
            </w:r>
            <w:r w:rsidR="00F62F63" w:rsidRPr="00B45A7C">
              <w:rPr>
                <w:rFonts w:cstheme="minorHAnsi"/>
              </w:rPr>
              <w:t>1</w:t>
            </w:r>
            <w:r w:rsidRPr="00B45A7C">
              <w:rPr>
                <w:rFonts w:cstheme="minorHAnsi"/>
              </w:rPr>
              <w:t>%</w:t>
            </w:r>
          </w:p>
          <w:p w14:paraId="461CDD8E" w14:textId="72F5A957" w:rsidR="00F80CBD" w:rsidRPr="00B45A7C" w:rsidRDefault="00F80CBD" w:rsidP="00F80CBD">
            <w:pPr>
              <w:contextualSpacing/>
              <w:rPr>
                <w:rFonts w:cstheme="minorHAnsi"/>
              </w:rPr>
            </w:pPr>
            <w:r w:rsidRPr="00B45A7C">
              <w:rPr>
                <w:rFonts w:cstheme="minorHAnsi"/>
              </w:rPr>
              <w:t>0%</w:t>
            </w:r>
          </w:p>
          <w:p w14:paraId="5C6C7B35" w14:textId="556E7361" w:rsidR="00F80CBD" w:rsidRPr="00B45A7C" w:rsidRDefault="00F80CBD" w:rsidP="00F80CBD">
            <w:pPr>
              <w:contextualSpacing/>
              <w:rPr>
                <w:rFonts w:cstheme="minorHAnsi"/>
              </w:rPr>
            </w:pPr>
            <w:r w:rsidRPr="00B45A7C">
              <w:rPr>
                <w:rFonts w:cstheme="minorHAnsi"/>
              </w:rPr>
              <w:t>0%</w:t>
            </w:r>
          </w:p>
          <w:p w14:paraId="48BF8C4D" w14:textId="094D24FC" w:rsidR="00F80CBD" w:rsidRPr="00B45A7C" w:rsidRDefault="00F80CBD" w:rsidP="00F80CBD">
            <w:pPr>
              <w:contextualSpacing/>
              <w:rPr>
                <w:rFonts w:cstheme="minorHAnsi"/>
              </w:rPr>
            </w:pPr>
            <w:r w:rsidRPr="00B45A7C">
              <w:rPr>
                <w:rFonts w:cstheme="minorHAnsi"/>
              </w:rPr>
              <w:t>0%</w:t>
            </w:r>
          </w:p>
          <w:p w14:paraId="77763CF6" w14:textId="4682C756" w:rsidR="00F80CBD" w:rsidRPr="00B45A7C" w:rsidRDefault="00F80CBD" w:rsidP="00F80CBD">
            <w:pPr>
              <w:contextualSpacing/>
              <w:rPr>
                <w:rFonts w:cstheme="minorHAnsi"/>
              </w:rPr>
            </w:pPr>
            <w:r w:rsidRPr="00B45A7C">
              <w:rPr>
                <w:rFonts w:cstheme="minorHAnsi"/>
              </w:rPr>
              <w:t>3.</w:t>
            </w:r>
            <w:r w:rsidR="00F62F63" w:rsidRPr="00B45A7C">
              <w:rPr>
                <w:rFonts w:cstheme="minorHAnsi"/>
              </w:rPr>
              <w:t>6</w:t>
            </w:r>
            <w:r w:rsidRPr="00B45A7C">
              <w:rPr>
                <w:rFonts w:cstheme="minorHAnsi"/>
              </w:rPr>
              <w:t>%</w:t>
            </w:r>
          </w:p>
          <w:p w14:paraId="29833709" w14:textId="22261439" w:rsidR="006079BC" w:rsidRPr="00B45A7C" w:rsidRDefault="00F80CBD" w:rsidP="00F80CBD">
            <w:pPr>
              <w:contextualSpacing/>
              <w:rPr>
                <w:rFonts w:cstheme="minorHAnsi"/>
              </w:rPr>
            </w:pPr>
            <w:r w:rsidRPr="00B45A7C">
              <w:rPr>
                <w:rFonts w:cstheme="minorHAnsi"/>
              </w:rPr>
              <w:t>6.3%</w:t>
            </w:r>
          </w:p>
        </w:tc>
      </w:tr>
      <w:tr w:rsidR="00460A58" w:rsidRPr="00B45A7C" w14:paraId="7863082D" w14:textId="29E31CE0" w:rsidTr="00BF4486">
        <w:trPr>
          <w:jc w:val="center"/>
        </w:trPr>
        <w:tc>
          <w:tcPr>
            <w:tcW w:w="0" w:type="auto"/>
          </w:tcPr>
          <w:p w14:paraId="5CA5D659" w14:textId="77777777" w:rsidR="00460A58" w:rsidRPr="00B45A7C" w:rsidRDefault="00460A58" w:rsidP="007D0487">
            <w:pPr>
              <w:contextualSpacing/>
              <w:rPr>
                <w:rFonts w:cstheme="minorHAnsi"/>
                <w:b/>
              </w:rPr>
            </w:pPr>
            <w:r w:rsidRPr="00B45A7C">
              <w:rPr>
                <w:rFonts w:cstheme="minorHAnsi"/>
                <w:b/>
              </w:rPr>
              <w:t xml:space="preserve">Patient Origin </w:t>
            </w:r>
          </w:p>
          <w:p w14:paraId="66FB7329" w14:textId="36D038D9" w:rsidR="000C799A" w:rsidRPr="00B45A7C" w:rsidRDefault="000C799A" w:rsidP="007D0487">
            <w:pPr>
              <w:contextualSpacing/>
              <w:rPr>
                <w:rFonts w:cstheme="minorHAnsi"/>
                <w:b/>
              </w:rPr>
            </w:pPr>
            <w:r w:rsidRPr="00B45A7C">
              <w:rPr>
                <w:rFonts w:cstheme="minorHAnsi"/>
                <w:b/>
              </w:rPr>
              <w:t>Top 10 Zip Codes</w:t>
            </w:r>
            <w:r w:rsidR="00724448" w:rsidRPr="00B45A7C">
              <w:rPr>
                <w:rStyle w:val="FootnoteReference"/>
                <w:rFonts w:cstheme="minorHAnsi"/>
                <w:b/>
              </w:rPr>
              <w:footnoteReference w:id="7"/>
            </w:r>
            <w:r w:rsidRPr="00B45A7C">
              <w:rPr>
                <w:rFonts w:cstheme="minorHAnsi"/>
                <w:b/>
              </w:rPr>
              <w:t xml:space="preserve"> </w:t>
            </w:r>
          </w:p>
        </w:tc>
        <w:tc>
          <w:tcPr>
            <w:tcW w:w="0" w:type="auto"/>
          </w:tcPr>
          <w:p w14:paraId="4B103F21" w14:textId="77777777" w:rsidR="001C7466" w:rsidRPr="00B45A7C" w:rsidRDefault="001C7466" w:rsidP="00A67E02">
            <w:pPr>
              <w:contextualSpacing/>
              <w:rPr>
                <w:rFonts w:cstheme="minorHAnsi"/>
              </w:rPr>
            </w:pPr>
          </w:p>
          <w:p w14:paraId="13D299B1" w14:textId="6986F17D" w:rsidR="00615D2F" w:rsidRPr="00B45A7C" w:rsidRDefault="00615D2F" w:rsidP="00615D2F">
            <w:pPr>
              <w:contextualSpacing/>
              <w:rPr>
                <w:rFonts w:cstheme="minorHAnsi"/>
              </w:rPr>
            </w:pPr>
            <w:r w:rsidRPr="00B45A7C">
              <w:rPr>
                <w:rFonts w:cstheme="minorHAnsi"/>
              </w:rPr>
              <w:t>Athol</w:t>
            </w:r>
          </w:p>
          <w:p w14:paraId="115EDC91" w14:textId="78EB4550" w:rsidR="00615D2F" w:rsidRPr="00B45A7C" w:rsidRDefault="00615D2F" w:rsidP="00615D2F">
            <w:pPr>
              <w:contextualSpacing/>
              <w:rPr>
                <w:rFonts w:cstheme="minorHAnsi"/>
              </w:rPr>
            </w:pPr>
            <w:r w:rsidRPr="00B45A7C">
              <w:rPr>
                <w:rFonts w:cstheme="minorHAnsi"/>
              </w:rPr>
              <w:t>Orange</w:t>
            </w:r>
          </w:p>
          <w:p w14:paraId="7F40622A" w14:textId="74CF0665" w:rsidR="00615D2F" w:rsidRPr="00B45A7C" w:rsidRDefault="00615D2F" w:rsidP="00615D2F">
            <w:pPr>
              <w:contextualSpacing/>
              <w:rPr>
                <w:rFonts w:cstheme="minorHAnsi"/>
              </w:rPr>
            </w:pPr>
            <w:r w:rsidRPr="00B45A7C">
              <w:rPr>
                <w:rFonts w:cstheme="minorHAnsi"/>
              </w:rPr>
              <w:t>Gardner</w:t>
            </w:r>
          </w:p>
          <w:p w14:paraId="6402EE00" w14:textId="4535461B" w:rsidR="00615D2F" w:rsidRPr="00B45A7C" w:rsidRDefault="00615D2F" w:rsidP="00615D2F">
            <w:pPr>
              <w:contextualSpacing/>
              <w:rPr>
                <w:rFonts w:cstheme="minorHAnsi"/>
              </w:rPr>
            </w:pPr>
            <w:r w:rsidRPr="00B45A7C">
              <w:rPr>
                <w:rFonts w:cstheme="minorHAnsi"/>
              </w:rPr>
              <w:t>Petersham</w:t>
            </w:r>
          </w:p>
          <w:p w14:paraId="5F7162DF" w14:textId="27CF4590" w:rsidR="00615D2F" w:rsidRPr="00B45A7C" w:rsidRDefault="00615D2F" w:rsidP="00615D2F">
            <w:pPr>
              <w:contextualSpacing/>
              <w:rPr>
                <w:rFonts w:cstheme="minorHAnsi"/>
              </w:rPr>
            </w:pPr>
            <w:r w:rsidRPr="00B45A7C">
              <w:rPr>
                <w:rFonts w:cstheme="minorHAnsi"/>
              </w:rPr>
              <w:t>Royalston</w:t>
            </w:r>
          </w:p>
          <w:p w14:paraId="1BEADBEE" w14:textId="55AC714A" w:rsidR="00615D2F" w:rsidRPr="00B45A7C" w:rsidRDefault="00615D2F" w:rsidP="00615D2F">
            <w:pPr>
              <w:contextualSpacing/>
              <w:rPr>
                <w:rFonts w:cstheme="minorHAnsi"/>
              </w:rPr>
            </w:pPr>
            <w:r w:rsidRPr="00B45A7C">
              <w:rPr>
                <w:rFonts w:cstheme="minorHAnsi"/>
              </w:rPr>
              <w:t>Winchendon</w:t>
            </w:r>
          </w:p>
          <w:p w14:paraId="1C0407EA" w14:textId="538304C4" w:rsidR="00615D2F" w:rsidRPr="00B45A7C" w:rsidRDefault="00615D2F" w:rsidP="00615D2F">
            <w:pPr>
              <w:contextualSpacing/>
              <w:rPr>
                <w:rFonts w:cstheme="minorHAnsi"/>
              </w:rPr>
            </w:pPr>
            <w:r w:rsidRPr="00B45A7C">
              <w:rPr>
                <w:rFonts w:cstheme="minorHAnsi"/>
              </w:rPr>
              <w:t>Templeton</w:t>
            </w:r>
          </w:p>
          <w:p w14:paraId="61B0564D" w14:textId="645AA7B8" w:rsidR="00615D2F" w:rsidRPr="00B45A7C" w:rsidRDefault="00615D2F" w:rsidP="00615D2F">
            <w:pPr>
              <w:contextualSpacing/>
              <w:rPr>
                <w:rFonts w:cstheme="minorHAnsi"/>
              </w:rPr>
            </w:pPr>
            <w:r w:rsidRPr="00B45A7C">
              <w:rPr>
                <w:rFonts w:cstheme="minorHAnsi"/>
              </w:rPr>
              <w:t>New Salem</w:t>
            </w:r>
          </w:p>
          <w:p w14:paraId="44EBADF3" w14:textId="04E139DB" w:rsidR="00615D2F" w:rsidRPr="00B45A7C" w:rsidRDefault="00615D2F" w:rsidP="00615D2F">
            <w:pPr>
              <w:contextualSpacing/>
              <w:rPr>
                <w:rFonts w:cstheme="minorHAnsi"/>
              </w:rPr>
            </w:pPr>
            <w:r w:rsidRPr="00B45A7C">
              <w:rPr>
                <w:rFonts w:cstheme="minorHAnsi"/>
              </w:rPr>
              <w:t>Templeton</w:t>
            </w:r>
          </w:p>
          <w:p w14:paraId="32F530B5" w14:textId="4F752B46" w:rsidR="00615D2F" w:rsidRPr="00B45A7C" w:rsidRDefault="00615D2F" w:rsidP="00615D2F">
            <w:pPr>
              <w:contextualSpacing/>
              <w:rPr>
                <w:rFonts w:cstheme="minorHAnsi"/>
              </w:rPr>
            </w:pPr>
            <w:r w:rsidRPr="00B45A7C">
              <w:rPr>
                <w:rFonts w:cstheme="minorHAnsi"/>
              </w:rPr>
              <w:t>Warwick</w:t>
            </w:r>
          </w:p>
        </w:tc>
        <w:tc>
          <w:tcPr>
            <w:tcW w:w="0" w:type="auto"/>
          </w:tcPr>
          <w:p w14:paraId="79ECA582" w14:textId="77777777" w:rsidR="00460A58" w:rsidRPr="00B45A7C" w:rsidRDefault="00460A58" w:rsidP="00A67E02">
            <w:pPr>
              <w:contextualSpacing/>
              <w:rPr>
                <w:rFonts w:cstheme="minorHAnsi"/>
              </w:rPr>
            </w:pPr>
          </w:p>
          <w:p w14:paraId="60587C43" w14:textId="5D09F66B" w:rsidR="00615D2F" w:rsidRPr="00B45A7C" w:rsidRDefault="00615D2F" w:rsidP="00615D2F">
            <w:pPr>
              <w:contextualSpacing/>
              <w:rPr>
                <w:rFonts w:cstheme="minorHAnsi"/>
              </w:rPr>
            </w:pPr>
            <w:r w:rsidRPr="00B45A7C">
              <w:rPr>
                <w:rFonts w:cstheme="minorHAnsi"/>
              </w:rPr>
              <w:t>Gardner</w:t>
            </w:r>
          </w:p>
          <w:p w14:paraId="3DA40C34" w14:textId="623F467A" w:rsidR="00615D2F" w:rsidRPr="00B45A7C" w:rsidRDefault="00615D2F" w:rsidP="00615D2F">
            <w:pPr>
              <w:contextualSpacing/>
              <w:rPr>
                <w:rFonts w:cstheme="minorHAnsi"/>
              </w:rPr>
            </w:pPr>
            <w:r w:rsidRPr="00B45A7C">
              <w:rPr>
                <w:rFonts w:cstheme="minorHAnsi"/>
              </w:rPr>
              <w:t>Winchendon</w:t>
            </w:r>
          </w:p>
          <w:p w14:paraId="5974F604" w14:textId="307FADD5" w:rsidR="00615D2F" w:rsidRPr="00B45A7C" w:rsidRDefault="00615D2F" w:rsidP="00615D2F">
            <w:pPr>
              <w:contextualSpacing/>
              <w:rPr>
                <w:rFonts w:cstheme="minorHAnsi"/>
              </w:rPr>
            </w:pPr>
            <w:r w:rsidRPr="00B45A7C">
              <w:rPr>
                <w:rFonts w:cstheme="minorHAnsi"/>
              </w:rPr>
              <w:t>Athol</w:t>
            </w:r>
          </w:p>
          <w:p w14:paraId="770ECA19" w14:textId="2D3C935B" w:rsidR="00615D2F" w:rsidRPr="00B45A7C" w:rsidRDefault="00615D2F" w:rsidP="00615D2F">
            <w:pPr>
              <w:contextualSpacing/>
              <w:rPr>
                <w:rFonts w:cstheme="minorHAnsi"/>
              </w:rPr>
            </w:pPr>
            <w:r w:rsidRPr="00B45A7C">
              <w:rPr>
                <w:rFonts w:cstheme="minorHAnsi"/>
              </w:rPr>
              <w:t>Westminster</w:t>
            </w:r>
          </w:p>
          <w:p w14:paraId="0D6C0856" w14:textId="07EDCEC6" w:rsidR="00615D2F" w:rsidRPr="00B45A7C" w:rsidRDefault="00615D2F" w:rsidP="00615D2F">
            <w:pPr>
              <w:contextualSpacing/>
              <w:rPr>
                <w:rFonts w:cstheme="minorHAnsi"/>
              </w:rPr>
            </w:pPr>
            <w:r w:rsidRPr="00B45A7C">
              <w:rPr>
                <w:rFonts w:cstheme="minorHAnsi"/>
              </w:rPr>
              <w:t>Ashburnham</w:t>
            </w:r>
          </w:p>
          <w:p w14:paraId="04888A69" w14:textId="492224B2" w:rsidR="00615D2F" w:rsidRPr="00B45A7C" w:rsidRDefault="00615D2F" w:rsidP="00615D2F">
            <w:pPr>
              <w:contextualSpacing/>
              <w:rPr>
                <w:rFonts w:cstheme="minorHAnsi"/>
              </w:rPr>
            </w:pPr>
            <w:r w:rsidRPr="00B45A7C">
              <w:rPr>
                <w:rFonts w:cstheme="minorHAnsi"/>
              </w:rPr>
              <w:t>Templeton</w:t>
            </w:r>
          </w:p>
          <w:p w14:paraId="05329658" w14:textId="3DE6A54B" w:rsidR="00615D2F" w:rsidRPr="00B45A7C" w:rsidRDefault="00615D2F" w:rsidP="00615D2F">
            <w:pPr>
              <w:contextualSpacing/>
              <w:rPr>
                <w:rFonts w:cstheme="minorHAnsi"/>
              </w:rPr>
            </w:pPr>
            <w:r w:rsidRPr="00B45A7C">
              <w:rPr>
                <w:rFonts w:cstheme="minorHAnsi"/>
              </w:rPr>
              <w:t>Fitchburg</w:t>
            </w:r>
          </w:p>
          <w:p w14:paraId="00BE6A4A" w14:textId="546005E9" w:rsidR="00615D2F" w:rsidRPr="00B45A7C" w:rsidRDefault="00615D2F" w:rsidP="00615D2F">
            <w:pPr>
              <w:contextualSpacing/>
              <w:rPr>
                <w:rFonts w:cstheme="minorHAnsi"/>
              </w:rPr>
            </w:pPr>
            <w:r w:rsidRPr="00B45A7C">
              <w:rPr>
                <w:rFonts w:cstheme="minorHAnsi"/>
              </w:rPr>
              <w:t>Orange</w:t>
            </w:r>
          </w:p>
          <w:p w14:paraId="240054D4" w14:textId="02CFA96B" w:rsidR="00615D2F" w:rsidRPr="00B45A7C" w:rsidRDefault="00615D2F" w:rsidP="00615D2F">
            <w:pPr>
              <w:contextualSpacing/>
              <w:rPr>
                <w:rFonts w:cstheme="minorHAnsi"/>
              </w:rPr>
            </w:pPr>
            <w:r w:rsidRPr="00B45A7C">
              <w:rPr>
                <w:rFonts w:cstheme="minorHAnsi"/>
              </w:rPr>
              <w:t>Templeton</w:t>
            </w:r>
          </w:p>
          <w:p w14:paraId="08D79798" w14:textId="73A32551" w:rsidR="00615D2F" w:rsidRPr="00B45A7C" w:rsidRDefault="00615D2F" w:rsidP="00615D2F">
            <w:pPr>
              <w:contextualSpacing/>
              <w:rPr>
                <w:rFonts w:cstheme="minorHAnsi"/>
              </w:rPr>
            </w:pPr>
            <w:r w:rsidRPr="00B45A7C">
              <w:rPr>
                <w:rFonts w:cstheme="minorHAnsi"/>
              </w:rPr>
              <w:t>Hubbardston</w:t>
            </w:r>
          </w:p>
        </w:tc>
      </w:tr>
    </w:tbl>
    <w:p w14:paraId="2548A775" w14:textId="36D69827" w:rsidR="0036358B" w:rsidRDefault="0036358B">
      <w:pPr>
        <w:rPr>
          <w:b/>
          <w:bCs/>
          <w:sz w:val="28"/>
          <w:szCs w:val="28"/>
        </w:rPr>
      </w:pPr>
    </w:p>
    <w:p w14:paraId="1C7A7A95" w14:textId="2E0E50EA" w:rsidR="00A72BA2" w:rsidRPr="00A72BA2" w:rsidRDefault="00A72BA2" w:rsidP="00667357">
      <w:pPr>
        <w:spacing w:line="240" w:lineRule="auto"/>
        <w:rPr>
          <w:sz w:val="24"/>
          <w:szCs w:val="24"/>
        </w:rPr>
      </w:pPr>
      <w:r w:rsidRPr="00A72BA2">
        <w:rPr>
          <w:sz w:val="24"/>
          <w:szCs w:val="24"/>
        </w:rPr>
        <w:t xml:space="preserve">Table </w:t>
      </w:r>
      <w:r w:rsidR="007E04D6">
        <w:rPr>
          <w:sz w:val="24"/>
          <w:szCs w:val="24"/>
        </w:rPr>
        <w:t>3</w:t>
      </w:r>
      <w:r w:rsidRPr="00A72BA2">
        <w:rPr>
          <w:sz w:val="24"/>
          <w:szCs w:val="24"/>
        </w:rPr>
        <w:t xml:space="preserve"> below presents </w:t>
      </w:r>
      <w:r w:rsidR="004F47AB">
        <w:rPr>
          <w:sz w:val="24"/>
          <w:szCs w:val="24"/>
        </w:rPr>
        <w:t>FY</w:t>
      </w:r>
      <w:r w:rsidRPr="00A72BA2">
        <w:rPr>
          <w:sz w:val="24"/>
          <w:szCs w:val="24"/>
        </w:rPr>
        <w:t xml:space="preserve">20 </w:t>
      </w:r>
      <w:r>
        <w:rPr>
          <w:sz w:val="24"/>
          <w:szCs w:val="24"/>
        </w:rPr>
        <w:t xml:space="preserve">payer mix </w:t>
      </w:r>
      <w:r w:rsidRPr="00A72BA2">
        <w:rPr>
          <w:sz w:val="24"/>
          <w:szCs w:val="24"/>
        </w:rPr>
        <w:t xml:space="preserve">for </w:t>
      </w:r>
      <w:r w:rsidR="00EE2964">
        <w:rPr>
          <w:sz w:val="24"/>
          <w:szCs w:val="24"/>
        </w:rPr>
        <w:t>Athol</w:t>
      </w:r>
      <w:r w:rsidRPr="00A72BA2">
        <w:rPr>
          <w:sz w:val="24"/>
          <w:szCs w:val="24"/>
        </w:rPr>
        <w:t xml:space="preserve"> and </w:t>
      </w:r>
      <w:r w:rsidR="00EE2964">
        <w:rPr>
          <w:sz w:val="24"/>
          <w:szCs w:val="24"/>
        </w:rPr>
        <w:t>Heywood Hospitals</w:t>
      </w:r>
      <w:r w:rsidR="00073588">
        <w:rPr>
          <w:sz w:val="24"/>
          <w:szCs w:val="24"/>
        </w:rPr>
        <w:t xml:space="preserve">. </w:t>
      </w:r>
    </w:p>
    <w:p w14:paraId="19AE4E75" w14:textId="01705616" w:rsidR="00902DED" w:rsidRPr="0060112A" w:rsidRDefault="00902DED" w:rsidP="008650F7">
      <w:pPr>
        <w:pStyle w:val="Caption"/>
        <w:jc w:val="center"/>
        <w:rPr>
          <w:b/>
          <w:bCs/>
          <w:i w:val="0"/>
          <w:iCs w:val="0"/>
          <w:color w:val="auto"/>
          <w:sz w:val="24"/>
          <w:szCs w:val="24"/>
        </w:rPr>
      </w:pPr>
      <w:r w:rsidRPr="0060112A">
        <w:rPr>
          <w:b/>
          <w:bCs/>
          <w:i w:val="0"/>
          <w:iCs w:val="0"/>
          <w:color w:val="auto"/>
          <w:sz w:val="24"/>
          <w:szCs w:val="24"/>
        </w:rPr>
        <w:t xml:space="preserve">Table </w:t>
      </w:r>
      <w:r w:rsidR="007E04D6">
        <w:rPr>
          <w:b/>
          <w:bCs/>
          <w:i w:val="0"/>
          <w:iCs w:val="0"/>
          <w:color w:val="auto"/>
          <w:sz w:val="24"/>
          <w:szCs w:val="24"/>
        </w:rPr>
        <w:t>3</w:t>
      </w:r>
      <w:r w:rsidRPr="0060112A">
        <w:rPr>
          <w:b/>
          <w:bCs/>
          <w:i w:val="0"/>
          <w:iCs w:val="0"/>
          <w:color w:val="auto"/>
          <w:sz w:val="24"/>
          <w:szCs w:val="24"/>
        </w:rPr>
        <w:t>: Payer Mix and APM Contracts</w:t>
      </w:r>
    </w:p>
    <w:tbl>
      <w:tblPr>
        <w:tblStyle w:val="TableGrid"/>
        <w:tblW w:w="0" w:type="auto"/>
        <w:jc w:val="center"/>
        <w:tblLook w:val="04A0" w:firstRow="1" w:lastRow="0" w:firstColumn="1" w:lastColumn="0" w:noHBand="0" w:noVBand="1"/>
        <w:tblCaption w:val="Table 3: Payer Mix and APM Contracts"/>
        <w:tblDescription w:val=" Athol Hospital Heywood Hospital&#10;Total Unique Patients (FY20) 14,802 48,237&#10;Payer Mix  &#10;Commercial&#10;HMO&#10;Medicaid HMO&#10;Medicare HMO&#10;MEDICAID&#10;MEDICARE&#10;OTHER&#10;Other Government&#10;PPO&#10;Self-Pay&#10;Worker’s Comp &#10;1.4%&#10;31.7%&#10;12%&#10;9.8%&#10;12.7%&#10;18.2%&#10;0%&#10;1.7%&#10;8.9%&#10;2.6%&#10;1.1% &#10;1.1%&#10;34.7%&#10;11.9%&#10;8.9%&#10;10.2%&#10;15.1%&#10;0%&#10;1.6%&#10;10.9%&#10;4.8%&#10;0.7%&#10;"/>
      </w:tblPr>
      <w:tblGrid>
        <w:gridCol w:w="2819"/>
        <w:gridCol w:w="1522"/>
        <w:gridCol w:w="1894"/>
      </w:tblGrid>
      <w:tr w:rsidR="00902DED" w:rsidRPr="00040FC1" w14:paraId="0A0BC667" w14:textId="77777777" w:rsidTr="00735C4E">
        <w:trPr>
          <w:tblHeader/>
          <w:jc w:val="center"/>
        </w:trPr>
        <w:tc>
          <w:tcPr>
            <w:tcW w:w="0" w:type="auto"/>
          </w:tcPr>
          <w:p w14:paraId="33A76DDF" w14:textId="77777777" w:rsidR="00902DED" w:rsidRPr="00040FC1" w:rsidRDefault="00902DED" w:rsidP="002A3098">
            <w:pPr>
              <w:contextualSpacing/>
              <w:rPr>
                <w:rFonts w:cstheme="minorHAnsi"/>
              </w:rPr>
            </w:pPr>
          </w:p>
        </w:tc>
        <w:tc>
          <w:tcPr>
            <w:tcW w:w="0" w:type="auto"/>
            <w:shd w:val="clear" w:color="auto" w:fill="F2F2F2" w:themeFill="background1" w:themeFillShade="F2"/>
          </w:tcPr>
          <w:p w14:paraId="392EC2E1" w14:textId="270D5295" w:rsidR="00902DED" w:rsidRPr="00040FC1" w:rsidRDefault="00687B3C" w:rsidP="002A3098">
            <w:pPr>
              <w:contextualSpacing/>
              <w:rPr>
                <w:rFonts w:cstheme="minorHAnsi"/>
                <w:b/>
              </w:rPr>
            </w:pPr>
            <w:r w:rsidRPr="00040FC1">
              <w:rPr>
                <w:rFonts w:cstheme="minorHAnsi"/>
                <w:b/>
              </w:rPr>
              <w:t>Athol Hospital</w:t>
            </w:r>
          </w:p>
        </w:tc>
        <w:tc>
          <w:tcPr>
            <w:tcW w:w="0" w:type="auto"/>
            <w:shd w:val="clear" w:color="auto" w:fill="F2F2F2" w:themeFill="background1" w:themeFillShade="F2"/>
          </w:tcPr>
          <w:p w14:paraId="51F6F46C" w14:textId="018DC20F" w:rsidR="00902DED" w:rsidRPr="00040FC1" w:rsidRDefault="00687B3C" w:rsidP="002A3098">
            <w:pPr>
              <w:contextualSpacing/>
              <w:rPr>
                <w:rFonts w:cstheme="minorHAnsi"/>
                <w:b/>
              </w:rPr>
            </w:pPr>
            <w:r w:rsidRPr="00040FC1">
              <w:rPr>
                <w:rFonts w:cstheme="minorHAnsi"/>
                <w:b/>
              </w:rPr>
              <w:t>Heywood Hospital</w:t>
            </w:r>
          </w:p>
        </w:tc>
      </w:tr>
      <w:tr w:rsidR="00902DED" w:rsidRPr="00040FC1" w14:paraId="3ABBA678" w14:textId="77777777" w:rsidTr="002A3098">
        <w:trPr>
          <w:jc w:val="center"/>
        </w:trPr>
        <w:tc>
          <w:tcPr>
            <w:tcW w:w="0" w:type="auto"/>
            <w:tcBorders>
              <w:bottom w:val="single" w:sz="4" w:space="0" w:color="auto"/>
            </w:tcBorders>
          </w:tcPr>
          <w:p w14:paraId="00C717DE" w14:textId="77777777" w:rsidR="00902DED" w:rsidRPr="00040FC1" w:rsidRDefault="00902DED" w:rsidP="002A3098">
            <w:pPr>
              <w:contextualSpacing/>
              <w:rPr>
                <w:rFonts w:cstheme="minorHAnsi"/>
                <w:b/>
              </w:rPr>
            </w:pPr>
            <w:r w:rsidRPr="00040FC1">
              <w:rPr>
                <w:rFonts w:cstheme="minorHAnsi"/>
                <w:b/>
              </w:rPr>
              <w:t>Total Unique Patients (FY20)</w:t>
            </w:r>
          </w:p>
        </w:tc>
        <w:tc>
          <w:tcPr>
            <w:tcW w:w="0" w:type="auto"/>
            <w:tcBorders>
              <w:bottom w:val="single" w:sz="4" w:space="0" w:color="auto"/>
            </w:tcBorders>
          </w:tcPr>
          <w:p w14:paraId="70EB46D5" w14:textId="52E3D824" w:rsidR="00902DED" w:rsidRPr="00040FC1" w:rsidRDefault="005D5FE6" w:rsidP="002A3098">
            <w:pPr>
              <w:contextualSpacing/>
              <w:rPr>
                <w:rFonts w:cstheme="minorHAnsi"/>
              </w:rPr>
            </w:pPr>
            <w:r w:rsidRPr="00040FC1">
              <w:rPr>
                <w:rFonts w:cstheme="minorHAnsi"/>
              </w:rPr>
              <w:t>14,802</w:t>
            </w:r>
          </w:p>
        </w:tc>
        <w:tc>
          <w:tcPr>
            <w:tcW w:w="0" w:type="auto"/>
            <w:tcBorders>
              <w:bottom w:val="single" w:sz="4" w:space="0" w:color="auto"/>
            </w:tcBorders>
          </w:tcPr>
          <w:p w14:paraId="0D095983" w14:textId="7FCEDEC5" w:rsidR="00902DED" w:rsidRPr="00040FC1" w:rsidRDefault="005D5FE6" w:rsidP="002A3098">
            <w:pPr>
              <w:contextualSpacing/>
              <w:rPr>
                <w:rFonts w:cstheme="minorHAnsi"/>
              </w:rPr>
            </w:pPr>
            <w:r w:rsidRPr="00040FC1">
              <w:rPr>
                <w:rFonts w:cstheme="minorHAnsi"/>
              </w:rPr>
              <w:t>48,237</w:t>
            </w:r>
          </w:p>
        </w:tc>
      </w:tr>
      <w:tr w:rsidR="00902DED" w:rsidRPr="00040FC1" w14:paraId="722DD8B6" w14:textId="77777777" w:rsidTr="002A3098">
        <w:trPr>
          <w:jc w:val="center"/>
        </w:trPr>
        <w:tc>
          <w:tcPr>
            <w:tcW w:w="0" w:type="auto"/>
          </w:tcPr>
          <w:p w14:paraId="463F1CFC" w14:textId="77777777" w:rsidR="00902DED" w:rsidRPr="00040FC1" w:rsidRDefault="00902DED" w:rsidP="002A3098">
            <w:pPr>
              <w:contextualSpacing/>
              <w:rPr>
                <w:rFonts w:cstheme="minorHAnsi"/>
                <w:b/>
              </w:rPr>
            </w:pPr>
            <w:r w:rsidRPr="00040FC1">
              <w:rPr>
                <w:rFonts w:cstheme="minorHAnsi"/>
                <w:b/>
              </w:rPr>
              <w:t xml:space="preserve">Payer Mix  </w:t>
            </w:r>
          </w:p>
          <w:p w14:paraId="372B6B07" w14:textId="305D69A3" w:rsidR="000F762C" w:rsidRPr="00040FC1" w:rsidRDefault="000F762C" w:rsidP="000F762C">
            <w:pPr>
              <w:ind w:left="288"/>
              <w:contextualSpacing/>
              <w:rPr>
                <w:rFonts w:cstheme="minorHAnsi"/>
              </w:rPr>
            </w:pPr>
            <w:r w:rsidRPr="00040FC1">
              <w:rPr>
                <w:rFonts w:cstheme="minorHAnsi"/>
              </w:rPr>
              <w:t>C</w:t>
            </w:r>
            <w:r w:rsidR="006258BC" w:rsidRPr="00040FC1">
              <w:rPr>
                <w:rFonts w:cstheme="minorHAnsi"/>
              </w:rPr>
              <w:t>ommercial</w:t>
            </w:r>
          </w:p>
          <w:p w14:paraId="17B5C323" w14:textId="77777777" w:rsidR="000F762C" w:rsidRPr="00040FC1" w:rsidRDefault="000F762C" w:rsidP="000F762C">
            <w:pPr>
              <w:ind w:left="288"/>
              <w:contextualSpacing/>
              <w:rPr>
                <w:rFonts w:cstheme="minorHAnsi"/>
              </w:rPr>
            </w:pPr>
            <w:r w:rsidRPr="00040FC1">
              <w:rPr>
                <w:rFonts w:cstheme="minorHAnsi"/>
              </w:rPr>
              <w:t>HMO</w:t>
            </w:r>
          </w:p>
          <w:p w14:paraId="330BD627" w14:textId="3D9E1320" w:rsidR="000F762C" w:rsidRPr="00040FC1" w:rsidRDefault="000F762C" w:rsidP="000F762C">
            <w:pPr>
              <w:ind w:left="288"/>
              <w:contextualSpacing/>
              <w:rPr>
                <w:rFonts w:cstheme="minorHAnsi"/>
              </w:rPr>
            </w:pPr>
            <w:r w:rsidRPr="00040FC1">
              <w:rPr>
                <w:rFonts w:cstheme="minorHAnsi"/>
              </w:rPr>
              <w:t>M</w:t>
            </w:r>
            <w:r w:rsidR="006258BC" w:rsidRPr="00040FC1">
              <w:rPr>
                <w:rFonts w:cstheme="minorHAnsi"/>
              </w:rPr>
              <w:t xml:space="preserve">edicaid </w:t>
            </w:r>
            <w:r w:rsidRPr="00040FC1">
              <w:rPr>
                <w:rFonts w:cstheme="minorHAnsi"/>
              </w:rPr>
              <w:t>HMO</w:t>
            </w:r>
          </w:p>
          <w:p w14:paraId="68237819" w14:textId="3936A0BF" w:rsidR="000F762C" w:rsidRPr="00040FC1" w:rsidRDefault="000F762C" w:rsidP="000F762C">
            <w:pPr>
              <w:ind w:left="288"/>
              <w:contextualSpacing/>
              <w:rPr>
                <w:rFonts w:cstheme="minorHAnsi"/>
              </w:rPr>
            </w:pPr>
            <w:r w:rsidRPr="00040FC1">
              <w:rPr>
                <w:rFonts w:cstheme="minorHAnsi"/>
              </w:rPr>
              <w:t>M</w:t>
            </w:r>
            <w:r w:rsidR="006258BC" w:rsidRPr="00040FC1">
              <w:rPr>
                <w:rFonts w:cstheme="minorHAnsi"/>
              </w:rPr>
              <w:t xml:space="preserve">edicare </w:t>
            </w:r>
            <w:r w:rsidRPr="00040FC1">
              <w:rPr>
                <w:rFonts w:cstheme="minorHAnsi"/>
              </w:rPr>
              <w:t>HMO</w:t>
            </w:r>
          </w:p>
          <w:p w14:paraId="33C3406F" w14:textId="77777777" w:rsidR="000F762C" w:rsidRPr="00040FC1" w:rsidRDefault="000F762C" w:rsidP="000F762C">
            <w:pPr>
              <w:ind w:left="288"/>
              <w:contextualSpacing/>
              <w:rPr>
                <w:rFonts w:cstheme="minorHAnsi"/>
              </w:rPr>
            </w:pPr>
            <w:r w:rsidRPr="00040FC1">
              <w:rPr>
                <w:rFonts w:cstheme="minorHAnsi"/>
              </w:rPr>
              <w:t>MEDICAID</w:t>
            </w:r>
          </w:p>
          <w:p w14:paraId="648BA4A2" w14:textId="77777777" w:rsidR="000F762C" w:rsidRPr="00040FC1" w:rsidRDefault="000F762C" w:rsidP="000F762C">
            <w:pPr>
              <w:ind w:left="288"/>
              <w:contextualSpacing/>
              <w:rPr>
                <w:rFonts w:cstheme="minorHAnsi"/>
              </w:rPr>
            </w:pPr>
            <w:r w:rsidRPr="00040FC1">
              <w:rPr>
                <w:rFonts w:cstheme="minorHAnsi"/>
              </w:rPr>
              <w:t>MEDICARE</w:t>
            </w:r>
          </w:p>
          <w:p w14:paraId="5C37D189" w14:textId="77777777" w:rsidR="000F762C" w:rsidRPr="00040FC1" w:rsidRDefault="000F762C" w:rsidP="000F762C">
            <w:pPr>
              <w:ind w:left="288"/>
              <w:contextualSpacing/>
              <w:rPr>
                <w:rFonts w:cstheme="minorHAnsi"/>
              </w:rPr>
            </w:pPr>
            <w:r w:rsidRPr="00040FC1">
              <w:rPr>
                <w:rFonts w:cstheme="minorHAnsi"/>
              </w:rPr>
              <w:t>OTHER</w:t>
            </w:r>
          </w:p>
          <w:p w14:paraId="646E6A2E" w14:textId="370D2C8B" w:rsidR="000F762C" w:rsidRPr="00040FC1" w:rsidRDefault="000F762C" w:rsidP="000F762C">
            <w:pPr>
              <w:ind w:left="288"/>
              <w:contextualSpacing/>
              <w:rPr>
                <w:rFonts w:cstheme="minorHAnsi"/>
              </w:rPr>
            </w:pPr>
            <w:r w:rsidRPr="00040FC1">
              <w:rPr>
                <w:rFonts w:cstheme="minorHAnsi"/>
              </w:rPr>
              <w:t>O</w:t>
            </w:r>
            <w:r w:rsidR="006258BC" w:rsidRPr="00040FC1">
              <w:rPr>
                <w:rFonts w:cstheme="minorHAnsi"/>
              </w:rPr>
              <w:t>ther Government</w:t>
            </w:r>
          </w:p>
          <w:p w14:paraId="7AEC58C0" w14:textId="77777777" w:rsidR="000F762C" w:rsidRPr="00040FC1" w:rsidRDefault="000F762C" w:rsidP="000F762C">
            <w:pPr>
              <w:ind w:left="288"/>
              <w:contextualSpacing/>
              <w:rPr>
                <w:rFonts w:cstheme="minorHAnsi"/>
              </w:rPr>
            </w:pPr>
            <w:r w:rsidRPr="00040FC1">
              <w:rPr>
                <w:rFonts w:cstheme="minorHAnsi"/>
              </w:rPr>
              <w:t>PPO</w:t>
            </w:r>
          </w:p>
          <w:p w14:paraId="5815A91F" w14:textId="27360BDC" w:rsidR="000F762C" w:rsidRPr="00040FC1" w:rsidRDefault="006258BC" w:rsidP="000F762C">
            <w:pPr>
              <w:ind w:left="288"/>
              <w:contextualSpacing/>
              <w:rPr>
                <w:rFonts w:cstheme="minorHAnsi"/>
              </w:rPr>
            </w:pPr>
            <w:r w:rsidRPr="00040FC1">
              <w:rPr>
                <w:rFonts w:cstheme="minorHAnsi"/>
              </w:rPr>
              <w:t>Self</w:t>
            </w:r>
            <w:r w:rsidR="00C10804" w:rsidRPr="00040FC1">
              <w:rPr>
                <w:rFonts w:cstheme="minorHAnsi"/>
              </w:rPr>
              <w:t>-</w:t>
            </w:r>
            <w:r w:rsidRPr="00040FC1">
              <w:rPr>
                <w:rFonts w:cstheme="minorHAnsi"/>
              </w:rPr>
              <w:t>Pay</w:t>
            </w:r>
          </w:p>
          <w:p w14:paraId="0F4585C4" w14:textId="1D4B734F" w:rsidR="00902DED" w:rsidRPr="00040FC1" w:rsidRDefault="000F762C" w:rsidP="000F762C">
            <w:pPr>
              <w:ind w:left="288"/>
              <w:contextualSpacing/>
              <w:rPr>
                <w:rFonts w:cstheme="minorHAnsi"/>
                <w:b/>
              </w:rPr>
            </w:pPr>
            <w:r w:rsidRPr="00040FC1">
              <w:rPr>
                <w:rFonts w:cstheme="minorHAnsi"/>
              </w:rPr>
              <w:t>W</w:t>
            </w:r>
            <w:r w:rsidR="006258BC" w:rsidRPr="00040FC1">
              <w:rPr>
                <w:rFonts w:cstheme="minorHAnsi"/>
              </w:rPr>
              <w:t>orker’s Comp</w:t>
            </w:r>
          </w:p>
        </w:tc>
        <w:tc>
          <w:tcPr>
            <w:tcW w:w="0" w:type="auto"/>
          </w:tcPr>
          <w:p w14:paraId="7793913F" w14:textId="77777777" w:rsidR="00902DED" w:rsidRPr="00040FC1" w:rsidRDefault="00902DED" w:rsidP="002A3098">
            <w:pPr>
              <w:contextualSpacing/>
              <w:rPr>
                <w:rFonts w:cstheme="minorHAnsi"/>
              </w:rPr>
            </w:pPr>
          </w:p>
          <w:p w14:paraId="4191A5B3" w14:textId="7B780B6F" w:rsidR="007D33F5" w:rsidRPr="00040FC1" w:rsidRDefault="007D33F5" w:rsidP="007D33F5">
            <w:pPr>
              <w:contextualSpacing/>
              <w:rPr>
                <w:rFonts w:cstheme="minorHAnsi"/>
              </w:rPr>
            </w:pPr>
            <w:r w:rsidRPr="00040FC1">
              <w:rPr>
                <w:rFonts w:cstheme="minorHAnsi"/>
              </w:rPr>
              <w:t>1.</w:t>
            </w:r>
            <w:r w:rsidR="006258BC" w:rsidRPr="00040FC1">
              <w:rPr>
                <w:rFonts w:cstheme="minorHAnsi"/>
              </w:rPr>
              <w:t>4</w:t>
            </w:r>
            <w:r w:rsidRPr="00040FC1">
              <w:rPr>
                <w:rFonts w:cstheme="minorHAnsi"/>
              </w:rPr>
              <w:t>%</w:t>
            </w:r>
          </w:p>
          <w:p w14:paraId="0B8E94CE" w14:textId="475B99F5" w:rsidR="007D33F5" w:rsidRPr="00040FC1" w:rsidRDefault="007D33F5" w:rsidP="007D33F5">
            <w:pPr>
              <w:contextualSpacing/>
              <w:rPr>
                <w:rFonts w:cstheme="minorHAnsi"/>
              </w:rPr>
            </w:pPr>
            <w:r w:rsidRPr="00040FC1">
              <w:rPr>
                <w:rFonts w:cstheme="minorHAnsi"/>
              </w:rPr>
              <w:t>31.7%</w:t>
            </w:r>
          </w:p>
          <w:p w14:paraId="77EF4EF7" w14:textId="457AEC2C" w:rsidR="007D33F5" w:rsidRPr="00040FC1" w:rsidRDefault="007D33F5" w:rsidP="007D33F5">
            <w:pPr>
              <w:contextualSpacing/>
              <w:rPr>
                <w:rFonts w:cstheme="minorHAnsi"/>
              </w:rPr>
            </w:pPr>
            <w:r w:rsidRPr="00040FC1">
              <w:rPr>
                <w:rFonts w:cstheme="minorHAnsi"/>
              </w:rPr>
              <w:t>1</w:t>
            </w:r>
            <w:r w:rsidR="006258BC" w:rsidRPr="00040FC1">
              <w:rPr>
                <w:rFonts w:cstheme="minorHAnsi"/>
              </w:rPr>
              <w:t>2</w:t>
            </w:r>
            <w:r w:rsidRPr="00040FC1">
              <w:rPr>
                <w:rFonts w:cstheme="minorHAnsi"/>
              </w:rPr>
              <w:t>%</w:t>
            </w:r>
          </w:p>
          <w:p w14:paraId="32B55969" w14:textId="195CF298" w:rsidR="007D33F5" w:rsidRPr="00040FC1" w:rsidRDefault="007D33F5" w:rsidP="007D33F5">
            <w:pPr>
              <w:contextualSpacing/>
              <w:rPr>
                <w:rFonts w:cstheme="minorHAnsi"/>
              </w:rPr>
            </w:pPr>
            <w:r w:rsidRPr="00040FC1">
              <w:rPr>
                <w:rFonts w:cstheme="minorHAnsi"/>
              </w:rPr>
              <w:t>9.</w:t>
            </w:r>
            <w:r w:rsidR="006258BC" w:rsidRPr="00040FC1">
              <w:rPr>
                <w:rFonts w:cstheme="minorHAnsi"/>
              </w:rPr>
              <w:t>8</w:t>
            </w:r>
            <w:r w:rsidRPr="00040FC1">
              <w:rPr>
                <w:rFonts w:cstheme="minorHAnsi"/>
              </w:rPr>
              <w:t>%</w:t>
            </w:r>
          </w:p>
          <w:p w14:paraId="7233D866" w14:textId="27781DD5" w:rsidR="007D33F5" w:rsidRPr="00040FC1" w:rsidRDefault="007D33F5" w:rsidP="007D33F5">
            <w:pPr>
              <w:contextualSpacing/>
              <w:rPr>
                <w:rFonts w:cstheme="minorHAnsi"/>
              </w:rPr>
            </w:pPr>
            <w:r w:rsidRPr="00040FC1">
              <w:rPr>
                <w:rFonts w:cstheme="minorHAnsi"/>
              </w:rPr>
              <w:t>12.</w:t>
            </w:r>
            <w:r w:rsidR="006258BC" w:rsidRPr="00040FC1">
              <w:rPr>
                <w:rFonts w:cstheme="minorHAnsi"/>
              </w:rPr>
              <w:t>7</w:t>
            </w:r>
            <w:r w:rsidRPr="00040FC1">
              <w:rPr>
                <w:rFonts w:cstheme="minorHAnsi"/>
              </w:rPr>
              <w:t>%</w:t>
            </w:r>
          </w:p>
          <w:p w14:paraId="4A01B74B" w14:textId="32D54DBA" w:rsidR="007D33F5" w:rsidRPr="00040FC1" w:rsidRDefault="007D33F5" w:rsidP="007D33F5">
            <w:pPr>
              <w:contextualSpacing/>
              <w:rPr>
                <w:rFonts w:cstheme="minorHAnsi"/>
              </w:rPr>
            </w:pPr>
            <w:r w:rsidRPr="00040FC1">
              <w:rPr>
                <w:rFonts w:cstheme="minorHAnsi"/>
              </w:rPr>
              <w:t>18.</w:t>
            </w:r>
            <w:r w:rsidR="006258BC" w:rsidRPr="00040FC1">
              <w:rPr>
                <w:rFonts w:cstheme="minorHAnsi"/>
              </w:rPr>
              <w:t>2</w:t>
            </w:r>
            <w:r w:rsidRPr="00040FC1">
              <w:rPr>
                <w:rFonts w:cstheme="minorHAnsi"/>
              </w:rPr>
              <w:t>%</w:t>
            </w:r>
          </w:p>
          <w:p w14:paraId="3EE18400" w14:textId="063F6781" w:rsidR="007D33F5" w:rsidRPr="00040FC1" w:rsidRDefault="007D33F5" w:rsidP="007D33F5">
            <w:pPr>
              <w:contextualSpacing/>
              <w:rPr>
                <w:rFonts w:cstheme="minorHAnsi"/>
              </w:rPr>
            </w:pPr>
            <w:r w:rsidRPr="00040FC1">
              <w:rPr>
                <w:rFonts w:cstheme="minorHAnsi"/>
              </w:rPr>
              <w:t>0%</w:t>
            </w:r>
          </w:p>
          <w:p w14:paraId="6C91BFFA" w14:textId="49726E9E" w:rsidR="007D33F5" w:rsidRPr="00040FC1" w:rsidRDefault="007D33F5" w:rsidP="007D33F5">
            <w:pPr>
              <w:contextualSpacing/>
              <w:rPr>
                <w:rFonts w:cstheme="minorHAnsi"/>
              </w:rPr>
            </w:pPr>
            <w:r w:rsidRPr="00040FC1">
              <w:rPr>
                <w:rFonts w:cstheme="minorHAnsi"/>
              </w:rPr>
              <w:t>1.7%</w:t>
            </w:r>
          </w:p>
          <w:p w14:paraId="2E7EBAB4" w14:textId="460A8A6D" w:rsidR="007D33F5" w:rsidRPr="00040FC1" w:rsidRDefault="007D33F5" w:rsidP="007D33F5">
            <w:pPr>
              <w:contextualSpacing/>
              <w:rPr>
                <w:rFonts w:cstheme="minorHAnsi"/>
              </w:rPr>
            </w:pPr>
            <w:r w:rsidRPr="00040FC1">
              <w:rPr>
                <w:rFonts w:cstheme="minorHAnsi"/>
              </w:rPr>
              <w:t>8.9%</w:t>
            </w:r>
          </w:p>
          <w:p w14:paraId="4ECD5FFC" w14:textId="1D6D4813" w:rsidR="007D33F5" w:rsidRPr="00040FC1" w:rsidRDefault="007D33F5" w:rsidP="007D33F5">
            <w:pPr>
              <w:contextualSpacing/>
              <w:rPr>
                <w:rFonts w:cstheme="minorHAnsi"/>
              </w:rPr>
            </w:pPr>
            <w:r w:rsidRPr="00040FC1">
              <w:rPr>
                <w:rFonts w:cstheme="minorHAnsi"/>
              </w:rPr>
              <w:t>2.6%</w:t>
            </w:r>
          </w:p>
          <w:p w14:paraId="0F2085B1" w14:textId="13FC2972" w:rsidR="007D33F5" w:rsidRPr="00040FC1" w:rsidRDefault="007D33F5" w:rsidP="007D33F5">
            <w:pPr>
              <w:contextualSpacing/>
              <w:rPr>
                <w:rFonts w:cstheme="minorHAnsi"/>
              </w:rPr>
            </w:pPr>
            <w:r w:rsidRPr="00040FC1">
              <w:rPr>
                <w:rFonts w:cstheme="minorHAnsi"/>
              </w:rPr>
              <w:t>1.</w:t>
            </w:r>
            <w:r w:rsidR="006258BC" w:rsidRPr="00040FC1">
              <w:rPr>
                <w:rFonts w:cstheme="minorHAnsi"/>
              </w:rPr>
              <w:t>1</w:t>
            </w:r>
            <w:r w:rsidRPr="00040FC1">
              <w:rPr>
                <w:rFonts w:cstheme="minorHAnsi"/>
              </w:rPr>
              <w:t>%</w:t>
            </w:r>
          </w:p>
        </w:tc>
        <w:tc>
          <w:tcPr>
            <w:tcW w:w="0" w:type="auto"/>
          </w:tcPr>
          <w:p w14:paraId="687312F5" w14:textId="77777777" w:rsidR="00902DED" w:rsidRPr="00040FC1" w:rsidRDefault="00902DED" w:rsidP="002A3098">
            <w:pPr>
              <w:contextualSpacing/>
              <w:rPr>
                <w:rFonts w:cstheme="minorHAnsi"/>
              </w:rPr>
            </w:pPr>
          </w:p>
          <w:p w14:paraId="3DF0BF6A" w14:textId="6FD745BF" w:rsidR="007B0C26" w:rsidRPr="00040FC1" w:rsidRDefault="007B0C26" w:rsidP="007B0C26">
            <w:pPr>
              <w:contextualSpacing/>
              <w:rPr>
                <w:rFonts w:cstheme="minorHAnsi"/>
              </w:rPr>
            </w:pPr>
            <w:r w:rsidRPr="00040FC1">
              <w:rPr>
                <w:rFonts w:cstheme="minorHAnsi"/>
              </w:rPr>
              <w:t>1.</w:t>
            </w:r>
            <w:r w:rsidR="001B1425" w:rsidRPr="00040FC1">
              <w:rPr>
                <w:rFonts w:cstheme="minorHAnsi"/>
              </w:rPr>
              <w:t>1</w:t>
            </w:r>
            <w:r w:rsidRPr="00040FC1">
              <w:rPr>
                <w:rFonts w:cstheme="minorHAnsi"/>
              </w:rPr>
              <w:t>%</w:t>
            </w:r>
          </w:p>
          <w:p w14:paraId="57EC202B" w14:textId="642A1C45" w:rsidR="007B0C26" w:rsidRPr="00040FC1" w:rsidRDefault="007B0C26" w:rsidP="007B0C26">
            <w:pPr>
              <w:contextualSpacing/>
              <w:rPr>
                <w:rFonts w:cstheme="minorHAnsi"/>
              </w:rPr>
            </w:pPr>
            <w:r w:rsidRPr="00040FC1">
              <w:rPr>
                <w:rFonts w:cstheme="minorHAnsi"/>
              </w:rPr>
              <w:t>34.</w:t>
            </w:r>
            <w:r w:rsidR="001B1425" w:rsidRPr="00040FC1">
              <w:rPr>
                <w:rFonts w:cstheme="minorHAnsi"/>
              </w:rPr>
              <w:t>7</w:t>
            </w:r>
            <w:r w:rsidRPr="00040FC1">
              <w:rPr>
                <w:rFonts w:cstheme="minorHAnsi"/>
              </w:rPr>
              <w:t>%</w:t>
            </w:r>
          </w:p>
          <w:p w14:paraId="189B0996" w14:textId="3E8B6CCA" w:rsidR="007B0C26" w:rsidRPr="00040FC1" w:rsidRDefault="007B0C26" w:rsidP="007B0C26">
            <w:pPr>
              <w:contextualSpacing/>
              <w:rPr>
                <w:rFonts w:cstheme="minorHAnsi"/>
              </w:rPr>
            </w:pPr>
            <w:r w:rsidRPr="00040FC1">
              <w:rPr>
                <w:rFonts w:cstheme="minorHAnsi"/>
              </w:rPr>
              <w:t>11.9%</w:t>
            </w:r>
          </w:p>
          <w:p w14:paraId="0ECB6B8E" w14:textId="1DE5B71F" w:rsidR="007B0C26" w:rsidRPr="00040FC1" w:rsidRDefault="007B0C26" w:rsidP="007B0C26">
            <w:pPr>
              <w:contextualSpacing/>
              <w:rPr>
                <w:rFonts w:cstheme="minorHAnsi"/>
              </w:rPr>
            </w:pPr>
            <w:r w:rsidRPr="00040FC1">
              <w:rPr>
                <w:rFonts w:cstheme="minorHAnsi"/>
              </w:rPr>
              <w:t>8.</w:t>
            </w:r>
            <w:r w:rsidR="001B1425" w:rsidRPr="00040FC1">
              <w:rPr>
                <w:rFonts w:cstheme="minorHAnsi"/>
              </w:rPr>
              <w:t>9</w:t>
            </w:r>
            <w:r w:rsidRPr="00040FC1">
              <w:rPr>
                <w:rFonts w:cstheme="minorHAnsi"/>
              </w:rPr>
              <w:t>%</w:t>
            </w:r>
          </w:p>
          <w:p w14:paraId="2CE9D292" w14:textId="10AEDA56" w:rsidR="007B0C26" w:rsidRPr="00040FC1" w:rsidRDefault="007B0C26" w:rsidP="007B0C26">
            <w:pPr>
              <w:contextualSpacing/>
              <w:rPr>
                <w:rFonts w:cstheme="minorHAnsi"/>
              </w:rPr>
            </w:pPr>
            <w:r w:rsidRPr="00040FC1">
              <w:rPr>
                <w:rFonts w:cstheme="minorHAnsi"/>
              </w:rPr>
              <w:t>10.2%</w:t>
            </w:r>
          </w:p>
          <w:p w14:paraId="213FF66B" w14:textId="1EFACE57" w:rsidR="007B0C26" w:rsidRPr="00040FC1" w:rsidRDefault="007B0C26" w:rsidP="007B0C26">
            <w:pPr>
              <w:contextualSpacing/>
              <w:rPr>
                <w:rFonts w:cstheme="minorHAnsi"/>
              </w:rPr>
            </w:pPr>
            <w:r w:rsidRPr="00040FC1">
              <w:rPr>
                <w:rFonts w:cstheme="minorHAnsi"/>
              </w:rPr>
              <w:t>15.1%</w:t>
            </w:r>
          </w:p>
          <w:p w14:paraId="2DDD365F" w14:textId="64E66666" w:rsidR="007B0C26" w:rsidRPr="00040FC1" w:rsidRDefault="007B0C26" w:rsidP="007B0C26">
            <w:pPr>
              <w:contextualSpacing/>
              <w:rPr>
                <w:rFonts w:cstheme="minorHAnsi"/>
              </w:rPr>
            </w:pPr>
            <w:r w:rsidRPr="00040FC1">
              <w:rPr>
                <w:rFonts w:cstheme="minorHAnsi"/>
              </w:rPr>
              <w:t>0%</w:t>
            </w:r>
          </w:p>
          <w:p w14:paraId="1A7BA9A3" w14:textId="75F34DAA" w:rsidR="007B0C26" w:rsidRPr="00040FC1" w:rsidRDefault="007B0C26" w:rsidP="007B0C26">
            <w:pPr>
              <w:contextualSpacing/>
              <w:rPr>
                <w:rFonts w:cstheme="minorHAnsi"/>
              </w:rPr>
            </w:pPr>
            <w:r w:rsidRPr="00040FC1">
              <w:rPr>
                <w:rFonts w:cstheme="minorHAnsi"/>
              </w:rPr>
              <w:t>1.6%</w:t>
            </w:r>
          </w:p>
          <w:p w14:paraId="1527A4DD" w14:textId="11F76135" w:rsidR="007B0C26" w:rsidRPr="00040FC1" w:rsidRDefault="007B0C26" w:rsidP="007B0C26">
            <w:pPr>
              <w:contextualSpacing/>
              <w:rPr>
                <w:rFonts w:cstheme="minorHAnsi"/>
              </w:rPr>
            </w:pPr>
            <w:r w:rsidRPr="00040FC1">
              <w:rPr>
                <w:rFonts w:cstheme="minorHAnsi"/>
              </w:rPr>
              <w:t>10.9%</w:t>
            </w:r>
          </w:p>
          <w:p w14:paraId="2CEC732D" w14:textId="5A58D7D6" w:rsidR="007B0C26" w:rsidRPr="00040FC1" w:rsidRDefault="007B0C26" w:rsidP="007B0C26">
            <w:pPr>
              <w:contextualSpacing/>
              <w:rPr>
                <w:rFonts w:cstheme="minorHAnsi"/>
              </w:rPr>
            </w:pPr>
            <w:r w:rsidRPr="00040FC1">
              <w:rPr>
                <w:rFonts w:cstheme="minorHAnsi"/>
              </w:rPr>
              <w:t>4.8%</w:t>
            </w:r>
          </w:p>
          <w:p w14:paraId="1403D5CD" w14:textId="1D5D25AE" w:rsidR="00F80CBD" w:rsidRPr="00040FC1" w:rsidRDefault="007B0C26" w:rsidP="007B0C26">
            <w:pPr>
              <w:contextualSpacing/>
              <w:rPr>
                <w:rFonts w:cstheme="minorHAnsi"/>
              </w:rPr>
            </w:pPr>
            <w:r w:rsidRPr="00040FC1">
              <w:rPr>
                <w:rFonts w:cstheme="minorHAnsi"/>
              </w:rPr>
              <w:t>0.7%</w:t>
            </w:r>
          </w:p>
        </w:tc>
      </w:tr>
    </w:tbl>
    <w:p w14:paraId="5CDDFD24" w14:textId="6472C2EE" w:rsidR="00902DED" w:rsidRDefault="00902DED">
      <w:pPr>
        <w:rPr>
          <w:b/>
          <w:bCs/>
          <w:sz w:val="28"/>
          <w:szCs w:val="28"/>
        </w:rPr>
      </w:pPr>
    </w:p>
    <w:p w14:paraId="5F381847" w14:textId="77777777" w:rsidR="00146B1C" w:rsidRDefault="00146B1C">
      <w:pPr>
        <w:rPr>
          <w:b/>
          <w:bCs/>
          <w:sz w:val="28"/>
          <w:szCs w:val="28"/>
        </w:rPr>
      </w:pPr>
    </w:p>
    <w:p w14:paraId="7FCD2EEA" w14:textId="55F97CDD" w:rsidR="00F67AA2" w:rsidRDefault="009B0843">
      <w:pPr>
        <w:rPr>
          <w:b/>
          <w:bCs/>
          <w:sz w:val="28"/>
          <w:szCs w:val="28"/>
        </w:rPr>
      </w:pPr>
      <w:r>
        <w:rPr>
          <w:b/>
          <w:bCs/>
          <w:sz w:val="28"/>
          <w:szCs w:val="28"/>
        </w:rPr>
        <w:t>F</w:t>
      </w:r>
      <w:r w:rsidR="00F67AA2" w:rsidRPr="00F67AA2">
        <w:rPr>
          <w:b/>
          <w:bCs/>
          <w:sz w:val="28"/>
          <w:szCs w:val="28"/>
        </w:rPr>
        <w:t>actor 1: a) Patient Panel Need</w:t>
      </w:r>
    </w:p>
    <w:p w14:paraId="30CCAB00" w14:textId="6752CBDD" w:rsidR="00487F4B" w:rsidRDefault="00487F4B" w:rsidP="00B9040E">
      <w:pPr>
        <w:spacing w:line="240" w:lineRule="auto"/>
        <w:rPr>
          <w:sz w:val="24"/>
          <w:szCs w:val="24"/>
        </w:rPr>
      </w:pPr>
      <w:r>
        <w:rPr>
          <w:sz w:val="24"/>
          <w:szCs w:val="24"/>
        </w:rPr>
        <w:t xml:space="preserve">The Applicant attributes Patient Panel need for expanded access to </w:t>
      </w:r>
      <w:r w:rsidR="00047DC4">
        <w:rPr>
          <w:sz w:val="24"/>
          <w:szCs w:val="24"/>
        </w:rPr>
        <w:t>surgical services</w:t>
      </w:r>
      <w:r>
        <w:rPr>
          <w:sz w:val="24"/>
          <w:szCs w:val="24"/>
        </w:rPr>
        <w:t xml:space="preserve"> to the following</w:t>
      </w:r>
      <w:r w:rsidR="0099198E">
        <w:rPr>
          <w:sz w:val="24"/>
          <w:szCs w:val="24"/>
        </w:rPr>
        <w:t>:</w:t>
      </w:r>
    </w:p>
    <w:p w14:paraId="409A7B8D" w14:textId="657A6175" w:rsidR="0099198E" w:rsidRDefault="00456075" w:rsidP="00430E8F">
      <w:pPr>
        <w:pStyle w:val="ListParagraph"/>
        <w:numPr>
          <w:ilvl w:val="0"/>
          <w:numId w:val="9"/>
        </w:numPr>
        <w:spacing w:line="240" w:lineRule="auto"/>
        <w:rPr>
          <w:sz w:val="24"/>
          <w:szCs w:val="24"/>
        </w:rPr>
      </w:pPr>
      <w:r>
        <w:rPr>
          <w:sz w:val="24"/>
          <w:szCs w:val="24"/>
        </w:rPr>
        <w:t>L</w:t>
      </w:r>
      <w:r w:rsidR="00DF533B">
        <w:rPr>
          <w:sz w:val="24"/>
          <w:szCs w:val="24"/>
        </w:rPr>
        <w:t>imitations</w:t>
      </w:r>
      <w:r w:rsidR="00544DEE">
        <w:rPr>
          <w:sz w:val="24"/>
          <w:szCs w:val="24"/>
        </w:rPr>
        <w:t xml:space="preserve"> within the existing surgical suite</w:t>
      </w:r>
      <w:r w:rsidR="00BC4BFE">
        <w:rPr>
          <w:sz w:val="24"/>
          <w:szCs w:val="24"/>
        </w:rPr>
        <w:t>; and</w:t>
      </w:r>
    </w:p>
    <w:p w14:paraId="58993EEF" w14:textId="61E209A2" w:rsidR="0099198E" w:rsidRDefault="00544DEE" w:rsidP="00430E8F">
      <w:pPr>
        <w:pStyle w:val="ListParagraph"/>
        <w:numPr>
          <w:ilvl w:val="0"/>
          <w:numId w:val="9"/>
        </w:numPr>
        <w:spacing w:line="240" w:lineRule="auto"/>
        <w:rPr>
          <w:sz w:val="24"/>
          <w:szCs w:val="24"/>
        </w:rPr>
      </w:pPr>
      <w:r>
        <w:rPr>
          <w:sz w:val="24"/>
          <w:szCs w:val="24"/>
        </w:rPr>
        <w:t>Increasing</w:t>
      </w:r>
      <w:r w:rsidR="0099198E">
        <w:rPr>
          <w:sz w:val="24"/>
          <w:szCs w:val="24"/>
        </w:rPr>
        <w:t xml:space="preserve"> demand for surgical services</w:t>
      </w:r>
      <w:r w:rsidR="00BC4BFE">
        <w:rPr>
          <w:sz w:val="24"/>
          <w:szCs w:val="24"/>
        </w:rPr>
        <w:t>.</w:t>
      </w:r>
      <w:r w:rsidR="0099198E">
        <w:rPr>
          <w:sz w:val="24"/>
          <w:szCs w:val="24"/>
        </w:rPr>
        <w:t xml:space="preserve"> </w:t>
      </w:r>
    </w:p>
    <w:p w14:paraId="6F0C61EB" w14:textId="77777777" w:rsidR="008D28BB" w:rsidRDefault="008D28BB" w:rsidP="008D28BB">
      <w:pPr>
        <w:pStyle w:val="ListParagraph"/>
        <w:rPr>
          <w:b/>
          <w:bCs/>
          <w:sz w:val="24"/>
          <w:szCs w:val="24"/>
        </w:rPr>
      </w:pPr>
    </w:p>
    <w:p w14:paraId="3CE2ECF3" w14:textId="57A84FDB" w:rsidR="0099198E" w:rsidRPr="00D014E0" w:rsidRDefault="00664AD5" w:rsidP="00430E8F">
      <w:pPr>
        <w:pStyle w:val="ListParagraph"/>
        <w:numPr>
          <w:ilvl w:val="0"/>
          <w:numId w:val="10"/>
        </w:numPr>
        <w:rPr>
          <w:b/>
          <w:bCs/>
          <w:sz w:val="24"/>
          <w:szCs w:val="24"/>
        </w:rPr>
      </w:pPr>
      <w:r>
        <w:rPr>
          <w:b/>
          <w:bCs/>
          <w:sz w:val="24"/>
          <w:szCs w:val="24"/>
        </w:rPr>
        <w:t>Limitations within the existing surgical suite</w:t>
      </w:r>
    </w:p>
    <w:p w14:paraId="43BCC90C" w14:textId="1AEFEFB7" w:rsidR="0099198E" w:rsidRDefault="00D014E0" w:rsidP="00D014E0">
      <w:pPr>
        <w:ind w:left="360"/>
        <w:jc w:val="center"/>
        <w:rPr>
          <w:b/>
          <w:bCs/>
          <w:sz w:val="24"/>
          <w:szCs w:val="24"/>
        </w:rPr>
      </w:pPr>
      <w:r w:rsidRPr="00D014E0">
        <w:rPr>
          <w:b/>
          <w:bCs/>
          <w:sz w:val="24"/>
          <w:szCs w:val="24"/>
        </w:rPr>
        <w:t xml:space="preserve">Table </w:t>
      </w:r>
      <w:r w:rsidR="007E04D6">
        <w:rPr>
          <w:b/>
          <w:bCs/>
          <w:sz w:val="24"/>
          <w:szCs w:val="24"/>
        </w:rPr>
        <w:t>4</w:t>
      </w:r>
      <w:r w:rsidRPr="00D014E0">
        <w:rPr>
          <w:b/>
          <w:bCs/>
          <w:sz w:val="24"/>
          <w:szCs w:val="24"/>
        </w:rPr>
        <w:t xml:space="preserve">: </w:t>
      </w:r>
      <w:r w:rsidR="008111EC">
        <w:rPr>
          <w:b/>
          <w:bCs/>
          <w:sz w:val="24"/>
          <w:szCs w:val="24"/>
        </w:rPr>
        <w:t>Proposed Project</w:t>
      </w:r>
    </w:p>
    <w:tbl>
      <w:tblPr>
        <w:tblStyle w:val="TableGrid"/>
        <w:tblW w:w="0" w:type="auto"/>
        <w:tblInd w:w="360" w:type="dxa"/>
        <w:tblLook w:val="04A0" w:firstRow="1" w:lastRow="0" w:firstColumn="1" w:lastColumn="0" w:noHBand="0" w:noVBand="1"/>
        <w:tblCaption w:val="Table 4: Proposed Project"/>
        <w:tblDescription w:val="Room Type Existing After Project Implementation After Project &#10;Implementation&#10; In the current building In the current building In the proposed surgical pavilion&#10;OR 4 ORs&#10;(347sf to 429 sf)&#10; 0 ORs 6 ORs&#10;(600sf each)&#10;&#10;Pre/Post Procedure Patient Care Stations  21 pre/post procedure patient care stations  21 pre/post procedure patient care stations &#10;(dedicated to Endoscopy) 18 pre/post procedure patient care stations &#10;Procedure/&#10;Endoscopy Room 1 Procedure room&#10;2 Endoscopy rooms 1 Procedure room&#10;2 Endoscopy rooms&#10; 0&#10;"/>
      </w:tblPr>
      <w:tblGrid>
        <w:gridCol w:w="2047"/>
        <w:gridCol w:w="2101"/>
        <w:gridCol w:w="2421"/>
        <w:gridCol w:w="2421"/>
      </w:tblGrid>
      <w:tr w:rsidR="005F7494" w:rsidRPr="005F7494" w14:paraId="25048EB4" w14:textId="77777777" w:rsidTr="00735C4E">
        <w:trPr>
          <w:tblHeader/>
        </w:trPr>
        <w:tc>
          <w:tcPr>
            <w:tcW w:w="0" w:type="auto"/>
            <w:tcBorders>
              <w:right w:val="single" w:sz="12" w:space="0" w:color="auto"/>
            </w:tcBorders>
            <w:shd w:val="clear" w:color="auto" w:fill="F2F2F2" w:themeFill="background1" w:themeFillShade="F2"/>
          </w:tcPr>
          <w:p w14:paraId="0748BD49" w14:textId="77777777" w:rsidR="005F7494" w:rsidRPr="005F7494" w:rsidRDefault="005F7494" w:rsidP="00E046F1">
            <w:pPr>
              <w:jc w:val="center"/>
              <w:rPr>
                <w:rFonts w:cstheme="minorHAnsi"/>
                <w:b/>
                <w:bCs/>
                <w:sz w:val="20"/>
                <w:szCs w:val="20"/>
              </w:rPr>
            </w:pPr>
            <w:r w:rsidRPr="005F7494">
              <w:rPr>
                <w:rFonts w:cstheme="minorHAnsi"/>
                <w:b/>
                <w:bCs/>
                <w:sz w:val="20"/>
                <w:szCs w:val="20"/>
              </w:rPr>
              <w:t>Room Type</w:t>
            </w:r>
          </w:p>
        </w:tc>
        <w:tc>
          <w:tcPr>
            <w:tcW w:w="0" w:type="auto"/>
            <w:tcBorders>
              <w:left w:val="single" w:sz="12" w:space="0" w:color="auto"/>
              <w:right w:val="single" w:sz="12" w:space="0" w:color="auto"/>
            </w:tcBorders>
            <w:shd w:val="clear" w:color="auto" w:fill="F2F2F2" w:themeFill="background1" w:themeFillShade="F2"/>
          </w:tcPr>
          <w:p w14:paraId="0C924535" w14:textId="77777777" w:rsidR="005F7494" w:rsidRPr="005F7494" w:rsidRDefault="005F7494" w:rsidP="00E046F1">
            <w:pPr>
              <w:jc w:val="center"/>
              <w:rPr>
                <w:rFonts w:cstheme="minorHAnsi"/>
                <w:b/>
                <w:bCs/>
                <w:sz w:val="20"/>
                <w:szCs w:val="20"/>
              </w:rPr>
            </w:pPr>
            <w:r w:rsidRPr="005F7494">
              <w:rPr>
                <w:rFonts w:cstheme="minorHAnsi"/>
                <w:b/>
                <w:bCs/>
                <w:sz w:val="20"/>
                <w:szCs w:val="20"/>
              </w:rPr>
              <w:t>Existing</w:t>
            </w:r>
          </w:p>
        </w:tc>
        <w:tc>
          <w:tcPr>
            <w:tcW w:w="0" w:type="auto"/>
            <w:tcBorders>
              <w:left w:val="single" w:sz="12" w:space="0" w:color="auto"/>
            </w:tcBorders>
            <w:shd w:val="clear" w:color="auto" w:fill="F2F2F2" w:themeFill="background1" w:themeFillShade="F2"/>
          </w:tcPr>
          <w:p w14:paraId="6275C8C0" w14:textId="77777777" w:rsidR="005F7494" w:rsidRPr="005F7494" w:rsidRDefault="005F7494" w:rsidP="00E046F1">
            <w:pPr>
              <w:jc w:val="center"/>
              <w:rPr>
                <w:rFonts w:cstheme="minorHAnsi"/>
                <w:b/>
                <w:bCs/>
                <w:sz w:val="20"/>
                <w:szCs w:val="20"/>
              </w:rPr>
            </w:pPr>
            <w:r w:rsidRPr="005F7494">
              <w:rPr>
                <w:rFonts w:cstheme="minorHAnsi"/>
                <w:b/>
                <w:bCs/>
                <w:sz w:val="20"/>
                <w:szCs w:val="20"/>
              </w:rPr>
              <w:t>After Project Implementation</w:t>
            </w:r>
          </w:p>
        </w:tc>
        <w:tc>
          <w:tcPr>
            <w:tcW w:w="0" w:type="auto"/>
            <w:shd w:val="clear" w:color="auto" w:fill="F2F2F2" w:themeFill="background1" w:themeFillShade="F2"/>
          </w:tcPr>
          <w:p w14:paraId="03BEF06C" w14:textId="77777777" w:rsidR="00FF7CC3" w:rsidRDefault="005F7494" w:rsidP="00E046F1">
            <w:pPr>
              <w:jc w:val="center"/>
              <w:rPr>
                <w:rFonts w:cstheme="minorHAnsi"/>
                <w:b/>
                <w:bCs/>
                <w:sz w:val="20"/>
                <w:szCs w:val="20"/>
              </w:rPr>
            </w:pPr>
            <w:r w:rsidRPr="005F7494">
              <w:rPr>
                <w:rFonts w:cstheme="minorHAnsi"/>
                <w:b/>
                <w:bCs/>
                <w:sz w:val="20"/>
                <w:szCs w:val="20"/>
              </w:rPr>
              <w:t xml:space="preserve">After Project </w:t>
            </w:r>
          </w:p>
          <w:p w14:paraId="5BA35BC5" w14:textId="07708C31" w:rsidR="005F7494" w:rsidRPr="005F7494" w:rsidRDefault="005F7494" w:rsidP="00E046F1">
            <w:pPr>
              <w:jc w:val="center"/>
              <w:rPr>
                <w:rFonts w:cstheme="minorHAnsi"/>
                <w:b/>
                <w:bCs/>
                <w:sz w:val="20"/>
                <w:szCs w:val="20"/>
              </w:rPr>
            </w:pPr>
            <w:r w:rsidRPr="005F7494">
              <w:rPr>
                <w:rFonts w:cstheme="minorHAnsi"/>
                <w:b/>
                <w:bCs/>
                <w:sz w:val="20"/>
                <w:szCs w:val="20"/>
              </w:rPr>
              <w:t>Implementation</w:t>
            </w:r>
          </w:p>
        </w:tc>
      </w:tr>
      <w:tr w:rsidR="005F7494" w:rsidRPr="005F7494" w14:paraId="3A65301D" w14:textId="77777777" w:rsidTr="00E046F1">
        <w:tc>
          <w:tcPr>
            <w:tcW w:w="0" w:type="auto"/>
            <w:tcBorders>
              <w:right w:val="single" w:sz="12" w:space="0" w:color="auto"/>
            </w:tcBorders>
            <w:shd w:val="clear" w:color="auto" w:fill="F2F2F2" w:themeFill="background1" w:themeFillShade="F2"/>
          </w:tcPr>
          <w:p w14:paraId="3AE345B7" w14:textId="77777777" w:rsidR="005F7494" w:rsidRPr="005F7494" w:rsidRDefault="005F7494" w:rsidP="00E046F1">
            <w:pPr>
              <w:jc w:val="center"/>
              <w:rPr>
                <w:rFonts w:cstheme="minorHAnsi"/>
                <w:sz w:val="20"/>
                <w:szCs w:val="20"/>
              </w:rPr>
            </w:pPr>
          </w:p>
        </w:tc>
        <w:tc>
          <w:tcPr>
            <w:tcW w:w="0" w:type="auto"/>
            <w:tcBorders>
              <w:left w:val="single" w:sz="12" w:space="0" w:color="auto"/>
              <w:right w:val="single" w:sz="12" w:space="0" w:color="auto"/>
            </w:tcBorders>
            <w:shd w:val="clear" w:color="auto" w:fill="F2F2F2" w:themeFill="background1" w:themeFillShade="F2"/>
          </w:tcPr>
          <w:p w14:paraId="3BF64B68" w14:textId="77777777" w:rsidR="005F7494" w:rsidRPr="005F7494" w:rsidRDefault="005F7494" w:rsidP="00E046F1">
            <w:pPr>
              <w:jc w:val="center"/>
              <w:rPr>
                <w:rFonts w:cstheme="minorHAnsi"/>
                <w:b/>
                <w:bCs/>
                <w:sz w:val="20"/>
                <w:szCs w:val="20"/>
              </w:rPr>
            </w:pPr>
            <w:r w:rsidRPr="005F7494">
              <w:rPr>
                <w:rFonts w:cstheme="minorHAnsi"/>
                <w:b/>
                <w:bCs/>
                <w:sz w:val="20"/>
                <w:szCs w:val="20"/>
              </w:rPr>
              <w:t>In the current building</w:t>
            </w:r>
          </w:p>
        </w:tc>
        <w:tc>
          <w:tcPr>
            <w:tcW w:w="0" w:type="auto"/>
            <w:tcBorders>
              <w:left w:val="single" w:sz="12" w:space="0" w:color="auto"/>
            </w:tcBorders>
            <w:shd w:val="clear" w:color="auto" w:fill="F2F2F2" w:themeFill="background1" w:themeFillShade="F2"/>
          </w:tcPr>
          <w:p w14:paraId="72B7AB05" w14:textId="77777777" w:rsidR="005F7494" w:rsidRPr="005F7494" w:rsidRDefault="005F7494" w:rsidP="00E046F1">
            <w:pPr>
              <w:jc w:val="center"/>
              <w:rPr>
                <w:rFonts w:cstheme="minorHAnsi"/>
                <w:b/>
                <w:bCs/>
                <w:sz w:val="20"/>
                <w:szCs w:val="20"/>
              </w:rPr>
            </w:pPr>
            <w:r w:rsidRPr="005F7494">
              <w:rPr>
                <w:rFonts w:cstheme="minorHAnsi"/>
                <w:b/>
                <w:bCs/>
                <w:sz w:val="20"/>
                <w:szCs w:val="20"/>
              </w:rPr>
              <w:t>In the current building</w:t>
            </w:r>
          </w:p>
        </w:tc>
        <w:tc>
          <w:tcPr>
            <w:tcW w:w="0" w:type="auto"/>
            <w:shd w:val="clear" w:color="auto" w:fill="F2F2F2" w:themeFill="background1" w:themeFillShade="F2"/>
          </w:tcPr>
          <w:p w14:paraId="0B28E1A5" w14:textId="77777777" w:rsidR="005F7494" w:rsidRPr="005F7494" w:rsidRDefault="005F7494" w:rsidP="00E046F1">
            <w:pPr>
              <w:jc w:val="center"/>
              <w:rPr>
                <w:rFonts w:cstheme="minorHAnsi"/>
                <w:b/>
                <w:bCs/>
                <w:sz w:val="20"/>
                <w:szCs w:val="20"/>
              </w:rPr>
            </w:pPr>
            <w:r w:rsidRPr="005F7494">
              <w:rPr>
                <w:rFonts w:cstheme="minorHAnsi"/>
                <w:b/>
                <w:bCs/>
                <w:sz w:val="20"/>
                <w:szCs w:val="20"/>
              </w:rPr>
              <w:t>In the proposed surgical pavilion</w:t>
            </w:r>
          </w:p>
        </w:tc>
      </w:tr>
      <w:tr w:rsidR="005F7494" w:rsidRPr="005F7494" w14:paraId="646E1E6C" w14:textId="77777777" w:rsidTr="00E046F1">
        <w:tc>
          <w:tcPr>
            <w:tcW w:w="0" w:type="auto"/>
            <w:tcBorders>
              <w:right w:val="single" w:sz="12" w:space="0" w:color="auto"/>
            </w:tcBorders>
          </w:tcPr>
          <w:p w14:paraId="56F392B7" w14:textId="77777777" w:rsidR="005F7494" w:rsidRPr="005F7494" w:rsidRDefault="005F7494" w:rsidP="00E046F1">
            <w:pPr>
              <w:rPr>
                <w:rFonts w:cstheme="minorHAnsi"/>
                <w:sz w:val="20"/>
                <w:szCs w:val="20"/>
              </w:rPr>
            </w:pPr>
            <w:r w:rsidRPr="005F7494">
              <w:rPr>
                <w:rFonts w:cstheme="minorHAnsi"/>
                <w:sz w:val="20"/>
                <w:szCs w:val="20"/>
              </w:rPr>
              <w:t>OR</w:t>
            </w:r>
          </w:p>
        </w:tc>
        <w:tc>
          <w:tcPr>
            <w:tcW w:w="0" w:type="auto"/>
            <w:tcBorders>
              <w:left w:val="single" w:sz="12" w:space="0" w:color="auto"/>
              <w:right w:val="single" w:sz="12" w:space="0" w:color="auto"/>
            </w:tcBorders>
          </w:tcPr>
          <w:p w14:paraId="59504993" w14:textId="77777777" w:rsidR="005F7494" w:rsidRPr="005F7494" w:rsidRDefault="005F7494" w:rsidP="00E046F1">
            <w:pPr>
              <w:rPr>
                <w:rFonts w:cstheme="minorHAnsi"/>
                <w:sz w:val="20"/>
                <w:szCs w:val="20"/>
              </w:rPr>
            </w:pPr>
            <w:r w:rsidRPr="005F7494">
              <w:rPr>
                <w:rFonts w:cstheme="minorHAnsi"/>
                <w:sz w:val="20"/>
                <w:szCs w:val="20"/>
              </w:rPr>
              <w:t>4 ORs</w:t>
            </w:r>
          </w:p>
          <w:p w14:paraId="78237719" w14:textId="77777777" w:rsidR="005F7494" w:rsidRPr="005F7494" w:rsidRDefault="005F7494" w:rsidP="00E046F1">
            <w:pPr>
              <w:rPr>
                <w:rFonts w:cstheme="minorHAnsi"/>
                <w:sz w:val="20"/>
                <w:szCs w:val="20"/>
              </w:rPr>
            </w:pPr>
            <w:r w:rsidRPr="005F7494">
              <w:rPr>
                <w:rFonts w:cstheme="minorHAnsi"/>
                <w:sz w:val="20"/>
                <w:szCs w:val="20"/>
              </w:rPr>
              <w:t>(347sf to 429 sf)</w:t>
            </w:r>
          </w:p>
          <w:p w14:paraId="039CED1A" w14:textId="77777777" w:rsidR="005F7494" w:rsidRPr="005F7494" w:rsidRDefault="005F7494" w:rsidP="00E046F1">
            <w:pPr>
              <w:rPr>
                <w:rFonts w:cstheme="minorHAnsi"/>
                <w:sz w:val="20"/>
                <w:szCs w:val="20"/>
              </w:rPr>
            </w:pPr>
          </w:p>
        </w:tc>
        <w:tc>
          <w:tcPr>
            <w:tcW w:w="0" w:type="auto"/>
            <w:tcBorders>
              <w:left w:val="single" w:sz="12" w:space="0" w:color="auto"/>
            </w:tcBorders>
          </w:tcPr>
          <w:p w14:paraId="3640AB07" w14:textId="77777777" w:rsidR="005F7494" w:rsidRPr="005F7494" w:rsidRDefault="005F7494" w:rsidP="00E046F1">
            <w:pPr>
              <w:rPr>
                <w:rFonts w:cstheme="minorHAnsi"/>
                <w:sz w:val="20"/>
                <w:szCs w:val="20"/>
              </w:rPr>
            </w:pPr>
            <w:r w:rsidRPr="005F7494">
              <w:rPr>
                <w:rFonts w:cstheme="minorHAnsi"/>
                <w:sz w:val="20"/>
                <w:szCs w:val="20"/>
              </w:rPr>
              <w:t>0 ORs</w:t>
            </w:r>
          </w:p>
        </w:tc>
        <w:tc>
          <w:tcPr>
            <w:tcW w:w="0" w:type="auto"/>
          </w:tcPr>
          <w:p w14:paraId="69EE084D" w14:textId="77777777" w:rsidR="005F7494" w:rsidRPr="005F7494" w:rsidRDefault="005F7494" w:rsidP="00E046F1">
            <w:pPr>
              <w:rPr>
                <w:rFonts w:cstheme="minorHAnsi"/>
                <w:sz w:val="20"/>
                <w:szCs w:val="20"/>
              </w:rPr>
            </w:pPr>
            <w:r w:rsidRPr="005F7494">
              <w:rPr>
                <w:rFonts w:cstheme="minorHAnsi"/>
                <w:sz w:val="20"/>
                <w:szCs w:val="20"/>
              </w:rPr>
              <w:t>6 ORs</w:t>
            </w:r>
          </w:p>
          <w:p w14:paraId="6BC16D3A" w14:textId="77777777" w:rsidR="005F7494" w:rsidRPr="005F7494" w:rsidRDefault="005F7494" w:rsidP="00E046F1">
            <w:pPr>
              <w:rPr>
                <w:rFonts w:cstheme="minorHAnsi"/>
                <w:sz w:val="20"/>
                <w:szCs w:val="20"/>
              </w:rPr>
            </w:pPr>
            <w:r w:rsidRPr="005F7494">
              <w:rPr>
                <w:rFonts w:cstheme="minorHAnsi"/>
                <w:sz w:val="20"/>
                <w:szCs w:val="20"/>
              </w:rPr>
              <w:t>(600sf each)</w:t>
            </w:r>
          </w:p>
          <w:p w14:paraId="7688428D" w14:textId="77777777" w:rsidR="005F7494" w:rsidRPr="005F7494" w:rsidRDefault="005F7494" w:rsidP="00E046F1">
            <w:pPr>
              <w:rPr>
                <w:rFonts w:cstheme="minorHAnsi"/>
                <w:sz w:val="20"/>
                <w:szCs w:val="20"/>
              </w:rPr>
            </w:pPr>
          </w:p>
        </w:tc>
      </w:tr>
      <w:tr w:rsidR="005F7494" w:rsidRPr="005F7494" w14:paraId="16BFEF20" w14:textId="77777777" w:rsidTr="00E046F1">
        <w:tc>
          <w:tcPr>
            <w:tcW w:w="0" w:type="auto"/>
            <w:tcBorders>
              <w:right w:val="single" w:sz="12" w:space="0" w:color="auto"/>
            </w:tcBorders>
          </w:tcPr>
          <w:p w14:paraId="6F91F12B" w14:textId="77777777" w:rsidR="005F7494" w:rsidRPr="005F7494" w:rsidRDefault="005F7494" w:rsidP="00E046F1">
            <w:pPr>
              <w:rPr>
                <w:rFonts w:cstheme="minorHAnsi"/>
                <w:sz w:val="20"/>
                <w:szCs w:val="20"/>
              </w:rPr>
            </w:pPr>
            <w:r w:rsidRPr="005F7494">
              <w:rPr>
                <w:rFonts w:cstheme="minorHAnsi"/>
                <w:sz w:val="20"/>
                <w:szCs w:val="20"/>
              </w:rPr>
              <w:t>Pre/Post Procedure Patient Care Stations</w:t>
            </w:r>
            <w:r w:rsidRPr="005F7494">
              <w:rPr>
                <w:rStyle w:val="FootnoteReference"/>
                <w:rFonts w:cstheme="minorHAnsi"/>
                <w:sz w:val="20"/>
                <w:szCs w:val="20"/>
              </w:rPr>
              <w:footnoteReference w:id="8"/>
            </w:r>
          </w:p>
        </w:tc>
        <w:tc>
          <w:tcPr>
            <w:tcW w:w="0" w:type="auto"/>
            <w:tcBorders>
              <w:left w:val="single" w:sz="12" w:space="0" w:color="auto"/>
              <w:right w:val="single" w:sz="12" w:space="0" w:color="auto"/>
            </w:tcBorders>
          </w:tcPr>
          <w:p w14:paraId="4CDDF9F4" w14:textId="77777777" w:rsidR="005F7494" w:rsidRPr="005F7494" w:rsidRDefault="005F7494" w:rsidP="00E046F1">
            <w:pPr>
              <w:rPr>
                <w:rFonts w:cstheme="minorHAnsi"/>
                <w:sz w:val="20"/>
                <w:szCs w:val="20"/>
              </w:rPr>
            </w:pPr>
            <w:r w:rsidRPr="005F7494">
              <w:rPr>
                <w:rFonts w:cstheme="minorHAnsi"/>
                <w:sz w:val="20"/>
                <w:szCs w:val="20"/>
              </w:rPr>
              <w:t>21 pre/post procedure patient care stations</w:t>
            </w:r>
            <w:r w:rsidRPr="005F7494">
              <w:rPr>
                <w:rStyle w:val="FootnoteReference"/>
                <w:rFonts w:cstheme="minorHAnsi"/>
                <w:sz w:val="20"/>
                <w:szCs w:val="20"/>
              </w:rPr>
              <w:footnoteReference w:id="9"/>
            </w:r>
          </w:p>
        </w:tc>
        <w:tc>
          <w:tcPr>
            <w:tcW w:w="0" w:type="auto"/>
            <w:tcBorders>
              <w:left w:val="single" w:sz="12" w:space="0" w:color="auto"/>
            </w:tcBorders>
          </w:tcPr>
          <w:p w14:paraId="7ACADEE1" w14:textId="2959E880" w:rsidR="005F7494" w:rsidRPr="005F7494" w:rsidRDefault="005F7494" w:rsidP="00E046F1">
            <w:pPr>
              <w:rPr>
                <w:rFonts w:cstheme="minorHAnsi"/>
                <w:sz w:val="20"/>
                <w:szCs w:val="20"/>
              </w:rPr>
            </w:pPr>
            <w:r w:rsidRPr="005F7494">
              <w:rPr>
                <w:rFonts w:cstheme="minorHAnsi"/>
                <w:sz w:val="20"/>
                <w:szCs w:val="20"/>
              </w:rPr>
              <w:t>21 pre/post procedure patient care stations</w:t>
            </w:r>
            <w:r w:rsidRPr="005F7494">
              <w:rPr>
                <w:rStyle w:val="FootnoteReference"/>
                <w:rFonts w:cstheme="minorHAnsi"/>
                <w:sz w:val="20"/>
                <w:szCs w:val="20"/>
              </w:rPr>
              <w:footnoteReference w:id="10"/>
            </w:r>
          </w:p>
          <w:p w14:paraId="53D54464" w14:textId="0FAC804B" w:rsidR="005F7494" w:rsidRPr="005F7494" w:rsidRDefault="005F7494" w:rsidP="00E046F1">
            <w:pPr>
              <w:rPr>
                <w:rFonts w:cstheme="minorHAnsi"/>
                <w:sz w:val="20"/>
                <w:szCs w:val="20"/>
              </w:rPr>
            </w:pPr>
            <w:r w:rsidRPr="005F7494">
              <w:rPr>
                <w:rFonts w:cstheme="minorHAnsi"/>
                <w:sz w:val="20"/>
                <w:szCs w:val="20"/>
              </w:rPr>
              <w:t xml:space="preserve">(dedicated to </w:t>
            </w:r>
            <w:r w:rsidR="00BF07AC">
              <w:rPr>
                <w:rFonts w:cstheme="minorHAnsi"/>
                <w:sz w:val="20"/>
                <w:szCs w:val="20"/>
              </w:rPr>
              <w:t>E</w:t>
            </w:r>
            <w:r w:rsidRPr="005F7494">
              <w:rPr>
                <w:rFonts w:cstheme="minorHAnsi"/>
                <w:sz w:val="20"/>
                <w:szCs w:val="20"/>
              </w:rPr>
              <w:t>ndoscopy)</w:t>
            </w:r>
          </w:p>
        </w:tc>
        <w:tc>
          <w:tcPr>
            <w:tcW w:w="0" w:type="auto"/>
          </w:tcPr>
          <w:p w14:paraId="37AD8479" w14:textId="77777777" w:rsidR="005F7494" w:rsidRPr="005F7494" w:rsidRDefault="005F7494" w:rsidP="00E046F1">
            <w:pPr>
              <w:rPr>
                <w:rFonts w:cstheme="minorHAnsi"/>
                <w:sz w:val="20"/>
                <w:szCs w:val="20"/>
              </w:rPr>
            </w:pPr>
            <w:r w:rsidRPr="005F7494">
              <w:rPr>
                <w:rFonts w:cstheme="minorHAnsi"/>
                <w:sz w:val="20"/>
                <w:szCs w:val="20"/>
              </w:rPr>
              <w:t>18 pre/post procedure patient care stations</w:t>
            </w:r>
            <w:r w:rsidRPr="005F7494">
              <w:rPr>
                <w:rStyle w:val="FootnoteReference"/>
                <w:rFonts w:cstheme="minorHAnsi"/>
                <w:sz w:val="20"/>
                <w:szCs w:val="20"/>
              </w:rPr>
              <w:footnoteReference w:id="11"/>
            </w:r>
          </w:p>
        </w:tc>
      </w:tr>
      <w:tr w:rsidR="005F7494" w:rsidRPr="005F7494" w14:paraId="58A79DE9" w14:textId="77777777" w:rsidTr="00E046F1">
        <w:tc>
          <w:tcPr>
            <w:tcW w:w="0" w:type="auto"/>
            <w:tcBorders>
              <w:right w:val="single" w:sz="12" w:space="0" w:color="auto"/>
            </w:tcBorders>
          </w:tcPr>
          <w:p w14:paraId="5C4557F2" w14:textId="77777777" w:rsidR="005F7494" w:rsidRPr="005F7494" w:rsidRDefault="005F7494" w:rsidP="00E046F1">
            <w:pPr>
              <w:rPr>
                <w:rFonts w:cstheme="minorHAnsi"/>
                <w:sz w:val="20"/>
                <w:szCs w:val="20"/>
              </w:rPr>
            </w:pPr>
            <w:r w:rsidRPr="005F7494">
              <w:rPr>
                <w:rFonts w:cstheme="minorHAnsi"/>
                <w:sz w:val="20"/>
                <w:szCs w:val="20"/>
              </w:rPr>
              <w:t>Procedure/</w:t>
            </w:r>
          </w:p>
          <w:p w14:paraId="6B4BB707" w14:textId="77777777" w:rsidR="005F7494" w:rsidRPr="005F7494" w:rsidRDefault="005F7494" w:rsidP="00E046F1">
            <w:pPr>
              <w:rPr>
                <w:rFonts w:cstheme="minorHAnsi"/>
                <w:sz w:val="20"/>
                <w:szCs w:val="20"/>
              </w:rPr>
            </w:pPr>
            <w:r w:rsidRPr="005F7494">
              <w:rPr>
                <w:rFonts w:cstheme="minorHAnsi"/>
                <w:sz w:val="20"/>
                <w:szCs w:val="20"/>
              </w:rPr>
              <w:t>Endoscopy Room</w:t>
            </w:r>
          </w:p>
        </w:tc>
        <w:tc>
          <w:tcPr>
            <w:tcW w:w="0" w:type="auto"/>
            <w:tcBorders>
              <w:left w:val="single" w:sz="12" w:space="0" w:color="auto"/>
              <w:right w:val="single" w:sz="12" w:space="0" w:color="auto"/>
            </w:tcBorders>
          </w:tcPr>
          <w:p w14:paraId="52B978C2" w14:textId="77777777" w:rsidR="005F7494" w:rsidRPr="005F7494" w:rsidRDefault="005F7494" w:rsidP="00E046F1">
            <w:pPr>
              <w:rPr>
                <w:rFonts w:cstheme="minorHAnsi"/>
                <w:sz w:val="20"/>
                <w:szCs w:val="20"/>
              </w:rPr>
            </w:pPr>
            <w:r w:rsidRPr="005F7494">
              <w:rPr>
                <w:rFonts w:cstheme="minorHAnsi"/>
                <w:sz w:val="20"/>
                <w:szCs w:val="20"/>
              </w:rPr>
              <w:t>1 Procedure room</w:t>
            </w:r>
          </w:p>
          <w:p w14:paraId="305A9600" w14:textId="77777777" w:rsidR="005F7494" w:rsidRPr="005F7494" w:rsidRDefault="005F7494" w:rsidP="00E046F1">
            <w:pPr>
              <w:rPr>
                <w:rFonts w:cstheme="minorHAnsi"/>
                <w:sz w:val="20"/>
                <w:szCs w:val="20"/>
              </w:rPr>
            </w:pPr>
            <w:r w:rsidRPr="005F7494">
              <w:rPr>
                <w:rFonts w:cstheme="minorHAnsi"/>
                <w:sz w:val="20"/>
                <w:szCs w:val="20"/>
              </w:rPr>
              <w:t>2 Endoscopy rooms</w:t>
            </w:r>
          </w:p>
        </w:tc>
        <w:tc>
          <w:tcPr>
            <w:tcW w:w="0" w:type="auto"/>
            <w:tcBorders>
              <w:left w:val="single" w:sz="12" w:space="0" w:color="auto"/>
            </w:tcBorders>
          </w:tcPr>
          <w:p w14:paraId="1E394A94" w14:textId="77777777" w:rsidR="005F7494" w:rsidRPr="005F7494" w:rsidRDefault="005F7494" w:rsidP="00E046F1">
            <w:pPr>
              <w:rPr>
                <w:rFonts w:cstheme="minorHAnsi"/>
                <w:sz w:val="20"/>
                <w:szCs w:val="20"/>
              </w:rPr>
            </w:pPr>
            <w:r w:rsidRPr="005F7494">
              <w:rPr>
                <w:rFonts w:cstheme="minorHAnsi"/>
                <w:sz w:val="20"/>
                <w:szCs w:val="20"/>
              </w:rPr>
              <w:t>1 Procedure room</w:t>
            </w:r>
          </w:p>
          <w:p w14:paraId="16EEDBAC" w14:textId="77777777" w:rsidR="005F7494" w:rsidRPr="005F7494" w:rsidRDefault="005F7494" w:rsidP="00E046F1">
            <w:pPr>
              <w:rPr>
                <w:rFonts w:cstheme="minorHAnsi"/>
                <w:sz w:val="20"/>
                <w:szCs w:val="20"/>
              </w:rPr>
            </w:pPr>
            <w:r w:rsidRPr="005F7494">
              <w:rPr>
                <w:rFonts w:cstheme="minorHAnsi"/>
                <w:sz w:val="20"/>
                <w:szCs w:val="20"/>
              </w:rPr>
              <w:t>2 Endoscopy rooms</w:t>
            </w:r>
          </w:p>
          <w:p w14:paraId="646E0908" w14:textId="77777777" w:rsidR="005F7494" w:rsidRPr="005F7494" w:rsidRDefault="005F7494" w:rsidP="00E046F1">
            <w:pPr>
              <w:rPr>
                <w:rFonts w:cstheme="minorHAnsi"/>
                <w:sz w:val="20"/>
                <w:szCs w:val="20"/>
              </w:rPr>
            </w:pPr>
          </w:p>
        </w:tc>
        <w:tc>
          <w:tcPr>
            <w:tcW w:w="0" w:type="auto"/>
          </w:tcPr>
          <w:p w14:paraId="6C5D76E8" w14:textId="77777777" w:rsidR="005F7494" w:rsidRPr="005F7494" w:rsidRDefault="005F7494" w:rsidP="00E046F1">
            <w:pPr>
              <w:rPr>
                <w:rFonts w:cstheme="minorHAnsi"/>
                <w:sz w:val="20"/>
                <w:szCs w:val="20"/>
              </w:rPr>
            </w:pPr>
            <w:r w:rsidRPr="005F7494">
              <w:rPr>
                <w:rFonts w:cstheme="minorHAnsi"/>
                <w:sz w:val="20"/>
                <w:szCs w:val="20"/>
              </w:rPr>
              <w:t>0</w:t>
            </w:r>
          </w:p>
        </w:tc>
      </w:tr>
    </w:tbl>
    <w:p w14:paraId="0007B237" w14:textId="1E90DF21" w:rsidR="009D789D" w:rsidRDefault="009D789D" w:rsidP="00D014E0">
      <w:pPr>
        <w:ind w:left="360"/>
        <w:jc w:val="center"/>
        <w:rPr>
          <w:b/>
          <w:bCs/>
          <w:sz w:val="24"/>
          <w:szCs w:val="24"/>
        </w:rPr>
      </w:pPr>
    </w:p>
    <w:p w14:paraId="2DC4A0D5" w14:textId="75F362A4" w:rsidR="0061024C" w:rsidRPr="0061024C" w:rsidRDefault="0061024C" w:rsidP="0099198E">
      <w:pPr>
        <w:rPr>
          <w:b/>
          <w:bCs/>
          <w:i/>
          <w:iCs/>
          <w:sz w:val="24"/>
          <w:szCs w:val="24"/>
        </w:rPr>
      </w:pPr>
      <w:r w:rsidRPr="0061024C">
        <w:rPr>
          <w:b/>
          <w:bCs/>
          <w:i/>
          <w:iCs/>
          <w:sz w:val="24"/>
          <w:szCs w:val="24"/>
        </w:rPr>
        <w:t>Operating Rooms</w:t>
      </w:r>
    </w:p>
    <w:p w14:paraId="7D23B437" w14:textId="0B0BDD12" w:rsidR="0099198E" w:rsidRDefault="00E94D1F" w:rsidP="00F10148">
      <w:pPr>
        <w:spacing w:after="0" w:line="240" w:lineRule="auto"/>
        <w:rPr>
          <w:sz w:val="24"/>
          <w:szCs w:val="24"/>
        </w:rPr>
      </w:pPr>
      <w:r>
        <w:rPr>
          <w:sz w:val="24"/>
          <w:szCs w:val="24"/>
        </w:rPr>
        <w:t>The Applicant states that the</w:t>
      </w:r>
      <w:r w:rsidR="0092434C">
        <w:rPr>
          <w:sz w:val="24"/>
          <w:szCs w:val="24"/>
        </w:rPr>
        <w:t xml:space="preserve"> existing surgical suite</w:t>
      </w:r>
      <w:r>
        <w:rPr>
          <w:sz w:val="24"/>
          <w:szCs w:val="24"/>
        </w:rPr>
        <w:t xml:space="preserve"> at Heywood Hospital</w:t>
      </w:r>
      <w:r w:rsidR="0092434C">
        <w:rPr>
          <w:sz w:val="24"/>
          <w:szCs w:val="24"/>
        </w:rPr>
        <w:t xml:space="preserve"> opened in 1961 with six ORs. </w:t>
      </w:r>
      <w:r w:rsidR="003F069D">
        <w:rPr>
          <w:sz w:val="24"/>
          <w:szCs w:val="24"/>
        </w:rPr>
        <w:t>Between 2000 and 2004 t</w:t>
      </w:r>
      <w:r w:rsidR="0092434C">
        <w:rPr>
          <w:sz w:val="24"/>
          <w:szCs w:val="24"/>
        </w:rPr>
        <w:t>wo of the ORs were repurposed due to their small size (200sf)</w:t>
      </w:r>
      <w:r w:rsidR="00C31DF6">
        <w:rPr>
          <w:sz w:val="24"/>
          <w:szCs w:val="24"/>
        </w:rPr>
        <w:t xml:space="preserve"> </w:t>
      </w:r>
      <w:r w:rsidR="003E79F1">
        <w:rPr>
          <w:sz w:val="24"/>
          <w:szCs w:val="24"/>
        </w:rPr>
        <w:t>l</w:t>
      </w:r>
      <w:r w:rsidR="00C31DF6">
        <w:rPr>
          <w:sz w:val="24"/>
          <w:szCs w:val="24"/>
        </w:rPr>
        <w:t>eaving</w:t>
      </w:r>
      <w:r w:rsidR="0092434C">
        <w:rPr>
          <w:sz w:val="24"/>
          <w:szCs w:val="24"/>
        </w:rPr>
        <w:t xml:space="preserve"> </w:t>
      </w:r>
      <w:r w:rsidR="0099198E">
        <w:rPr>
          <w:sz w:val="24"/>
          <w:szCs w:val="24"/>
        </w:rPr>
        <w:t xml:space="preserve">Heywood Hospital </w:t>
      </w:r>
      <w:r w:rsidR="00C31DF6">
        <w:rPr>
          <w:sz w:val="24"/>
          <w:szCs w:val="24"/>
        </w:rPr>
        <w:t>with</w:t>
      </w:r>
      <w:r w:rsidR="0068275C">
        <w:rPr>
          <w:sz w:val="24"/>
          <w:szCs w:val="24"/>
        </w:rPr>
        <w:t xml:space="preserve"> four</w:t>
      </w:r>
      <w:r w:rsidR="0099198E">
        <w:rPr>
          <w:sz w:val="24"/>
          <w:szCs w:val="24"/>
        </w:rPr>
        <w:t xml:space="preserve"> </w:t>
      </w:r>
      <w:r w:rsidR="00F10148">
        <w:rPr>
          <w:sz w:val="24"/>
          <w:szCs w:val="24"/>
        </w:rPr>
        <w:t>ORs</w:t>
      </w:r>
      <w:r w:rsidR="0099198E">
        <w:rPr>
          <w:sz w:val="24"/>
          <w:szCs w:val="24"/>
        </w:rPr>
        <w:t xml:space="preserve">, ranging in size from 347sf to 429sf. </w:t>
      </w:r>
      <w:r w:rsidR="00177A6C">
        <w:rPr>
          <w:sz w:val="24"/>
          <w:szCs w:val="24"/>
        </w:rPr>
        <w:t xml:space="preserve">The Applicant </w:t>
      </w:r>
      <w:r w:rsidR="00DF490C">
        <w:rPr>
          <w:sz w:val="24"/>
          <w:szCs w:val="24"/>
        </w:rPr>
        <w:t>asserts</w:t>
      </w:r>
      <w:r w:rsidR="00177A6C">
        <w:rPr>
          <w:sz w:val="24"/>
          <w:szCs w:val="24"/>
        </w:rPr>
        <w:t xml:space="preserve"> that the existing surgical rooms offer</w:t>
      </w:r>
      <w:r w:rsidR="0099198E">
        <w:rPr>
          <w:sz w:val="24"/>
          <w:szCs w:val="24"/>
        </w:rPr>
        <w:t xml:space="preserve"> less space than what is required by </w:t>
      </w:r>
      <w:r w:rsidR="004A3FC7">
        <w:rPr>
          <w:sz w:val="24"/>
          <w:szCs w:val="24"/>
        </w:rPr>
        <w:t>FGI</w:t>
      </w:r>
      <w:r w:rsidR="0099198E">
        <w:rPr>
          <w:sz w:val="24"/>
          <w:szCs w:val="24"/>
        </w:rPr>
        <w:t xml:space="preserve"> </w:t>
      </w:r>
      <w:r w:rsidR="0037231C" w:rsidRPr="0037231C">
        <w:rPr>
          <w:sz w:val="24"/>
          <w:szCs w:val="24"/>
        </w:rPr>
        <w:t>Guidelines</w:t>
      </w:r>
      <w:r w:rsidR="00177A6C">
        <w:rPr>
          <w:sz w:val="24"/>
          <w:szCs w:val="24"/>
        </w:rPr>
        <w:t>, and that the s</w:t>
      </w:r>
      <w:r w:rsidR="0099198E">
        <w:rPr>
          <w:sz w:val="24"/>
          <w:szCs w:val="24"/>
        </w:rPr>
        <w:t xml:space="preserve">mall size </w:t>
      </w:r>
      <w:r w:rsidR="00177A6C">
        <w:rPr>
          <w:sz w:val="24"/>
          <w:szCs w:val="24"/>
        </w:rPr>
        <w:t xml:space="preserve">of the </w:t>
      </w:r>
      <w:r w:rsidR="00F10148">
        <w:rPr>
          <w:sz w:val="24"/>
          <w:szCs w:val="24"/>
        </w:rPr>
        <w:t xml:space="preserve">existing </w:t>
      </w:r>
      <w:r w:rsidR="00177A6C">
        <w:rPr>
          <w:sz w:val="24"/>
          <w:szCs w:val="24"/>
        </w:rPr>
        <w:t xml:space="preserve">ORs </w:t>
      </w:r>
      <w:r w:rsidR="0099198E">
        <w:rPr>
          <w:sz w:val="24"/>
          <w:szCs w:val="24"/>
        </w:rPr>
        <w:t xml:space="preserve">limits the amount and type of equipment that the ORs can accommodate, which in turn </w:t>
      </w:r>
      <w:r w:rsidR="001200C7">
        <w:rPr>
          <w:sz w:val="24"/>
          <w:szCs w:val="24"/>
        </w:rPr>
        <w:t>restricts</w:t>
      </w:r>
      <w:r w:rsidR="0099198E">
        <w:rPr>
          <w:sz w:val="24"/>
          <w:szCs w:val="24"/>
        </w:rPr>
        <w:t xml:space="preserve"> the types of procedures that can be performed</w:t>
      </w:r>
      <w:r w:rsidR="00717FD1">
        <w:rPr>
          <w:sz w:val="24"/>
          <w:szCs w:val="24"/>
        </w:rPr>
        <w:t>.</w:t>
      </w:r>
      <w:r w:rsidR="00C835D4">
        <w:rPr>
          <w:sz w:val="24"/>
          <w:szCs w:val="24"/>
        </w:rPr>
        <w:t xml:space="preserve"> The Applicant notes the following limitations with the existing surgical suite:</w:t>
      </w:r>
    </w:p>
    <w:p w14:paraId="5DC5A793" w14:textId="4D80CD3B" w:rsidR="0099198E" w:rsidRPr="00547EE3" w:rsidRDefault="00C31DF6" w:rsidP="00430E8F">
      <w:pPr>
        <w:pStyle w:val="ListParagraph"/>
        <w:numPr>
          <w:ilvl w:val="0"/>
          <w:numId w:val="4"/>
        </w:numPr>
        <w:spacing w:after="240" w:line="240" w:lineRule="auto"/>
        <w:rPr>
          <w:sz w:val="24"/>
          <w:szCs w:val="24"/>
        </w:rPr>
      </w:pPr>
      <w:r>
        <w:rPr>
          <w:sz w:val="24"/>
          <w:szCs w:val="24"/>
        </w:rPr>
        <w:t xml:space="preserve">Availability </w:t>
      </w:r>
      <w:r w:rsidRPr="00547EE3">
        <w:rPr>
          <w:sz w:val="24"/>
          <w:szCs w:val="24"/>
        </w:rPr>
        <w:t>of o</w:t>
      </w:r>
      <w:r w:rsidR="0099198E" w:rsidRPr="00547EE3">
        <w:rPr>
          <w:sz w:val="24"/>
          <w:szCs w:val="24"/>
        </w:rPr>
        <w:t xml:space="preserve">nly one of the four ORs </w:t>
      </w:r>
      <w:r w:rsidRPr="00547EE3">
        <w:rPr>
          <w:sz w:val="24"/>
          <w:szCs w:val="24"/>
        </w:rPr>
        <w:t>for</w:t>
      </w:r>
      <w:r>
        <w:rPr>
          <w:sz w:val="24"/>
          <w:szCs w:val="24"/>
        </w:rPr>
        <w:t xml:space="preserve"> </w:t>
      </w:r>
      <w:r w:rsidR="0099198E">
        <w:rPr>
          <w:sz w:val="24"/>
          <w:szCs w:val="24"/>
        </w:rPr>
        <w:t>minimally invasive hip replacement surgery</w:t>
      </w:r>
      <w:r>
        <w:rPr>
          <w:sz w:val="24"/>
          <w:szCs w:val="24"/>
        </w:rPr>
        <w:t xml:space="preserve"> because the other ORs cannot accommodate a special type of OR table (Hana Table) that is needed to perform the procedure. </w:t>
      </w:r>
      <w:r w:rsidR="008E109E">
        <w:rPr>
          <w:sz w:val="24"/>
          <w:szCs w:val="24"/>
        </w:rPr>
        <w:t>However, i</w:t>
      </w:r>
      <w:r w:rsidR="0094465D">
        <w:rPr>
          <w:sz w:val="24"/>
          <w:szCs w:val="24"/>
        </w:rPr>
        <w:t xml:space="preserve">f an ED patient requires </w:t>
      </w:r>
      <w:r w:rsidR="009763CA">
        <w:rPr>
          <w:sz w:val="24"/>
          <w:szCs w:val="24"/>
        </w:rPr>
        <w:t>surgery,</w:t>
      </w:r>
      <w:r w:rsidR="008E109E">
        <w:rPr>
          <w:sz w:val="24"/>
          <w:szCs w:val="24"/>
        </w:rPr>
        <w:t xml:space="preserve"> it can </w:t>
      </w:r>
      <w:r w:rsidR="00716EB1">
        <w:rPr>
          <w:sz w:val="24"/>
          <w:szCs w:val="24"/>
        </w:rPr>
        <w:t>interrupt</w:t>
      </w:r>
      <w:r w:rsidR="0094465D">
        <w:rPr>
          <w:sz w:val="24"/>
          <w:szCs w:val="24"/>
        </w:rPr>
        <w:t xml:space="preserve"> a scheduled case</w:t>
      </w:r>
      <w:r w:rsidR="00E743CD">
        <w:rPr>
          <w:sz w:val="24"/>
          <w:szCs w:val="24"/>
        </w:rPr>
        <w:t xml:space="preserve"> which may not be able to be done in any of the remaining ORs in the Hospital. This patient would require </w:t>
      </w:r>
      <w:r w:rsidR="0094465D">
        <w:rPr>
          <w:sz w:val="24"/>
          <w:szCs w:val="24"/>
        </w:rPr>
        <w:t>transfe</w:t>
      </w:r>
      <w:r w:rsidR="00E743CD">
        <w:rPr>
          <w:sz w:val="24"/>
          <w:szCs w:val="24"/>
        </w:rPr>
        <w:t>r</w:t>
      </w:r>
      <w:r w:rsidR="0094465D">
        <w:rPr>
          <w:sz w:val="24"/>
          <w:szCs w:val="24"/>
        </w:rPr>
        <w:t xml:space="preserve"> via </w:t>
      </w:r>
      <w:r w:rsidR="003F069D" w:rsidRPr="00547EE3">
        <w:rPr>
          <w:sz w:val="24"/>
          <w:szCs w:val="24"/>
        </w:rPr>
        <w:t xml:space="preserve">ambulance </w:t>
      </w:r>
      <w:r w:rsidR="0094465D">
        <w:rPr>
          <w:sz w:val="24"/>
          <w:szCs w:val="24"/>
        </w:rPr>
        <w:t xml:space="preserve">to </w:t>
      </w:r>
      <w:r w:rsidR="0094465D">
        <w:rPr>
          <w:sz w:val="24"/>
          <w:szCs w:val="24"/>
        </w:rPr>
        <w:lastRenderedPageBreak/>
        <w:t xml:space="preserve">another facility that could be </w:t>
      </w:r>
      <w:r w:rsidR="003F069D" w:rsidRPr="00547EE3">
        <w:rPr>
          <w:sz w:val="24"/>
          <w:szCs w:val="24"/>
        </w:rPr>
        <w:t>higher cost</w:t>
      </w:r>
      <w:r w:rsidR="00177A6C" w:rsidRPr="00547EE3">
        <w:rPr>
          <w:sz w:val="24"/>
          <w:szCs w:val="24"/>
        </w:rPr>
        <w:t>.</w:t>
      </w:r>
      <w:r w:rsidR="008E109E" w:rsidRPr="008E109E">
        <w:t xml:space="preserve"> </w:t>
      </w:r>
      <w:r w:rsidR="008E109E" w:rsidRPr="008E109E">
        <w:rPr>
          <w:sz w:val="24"/>
          <w:szCs w:val="24"/>
        </w:rPr>
        <w:t>This can result in delays in cases and increased costs</w:t>
      </w:r>
      <w:r w:rsidR="008E109E">
        <w:rPr>
          <w:sz w:val="24"/>
          <w:szCs w:val="24"/>
        </w:rPr>
        <w:t>.</w:t>
      </w:r>
    </w:p>
    <w:p w14:paraId="02BAAD83" w14:textId="2820B559" w:rsidR="0099198E" w:rsidRPr="00547EE3" w:rsidRDefault="0099198E" w:rsidP="00362086">
      <w:pPr>
        <w:pStyle w:val="ListParagraph"/>
        <w:numPr>
          <w:ilvl w:val="0"/>
          <w:numId w:val="4"/>
        </w:numPr>
        <w:spacing w:after="240" w:line="240" w:lineRule="auto"/>
        <w:rPr>
          <w:sz w:val="24"/>
          <w:szCs w:val="24"/>
        </w:rPr>
      </w:pPr>
      <w:r w:rsidRPr="00547EE3">
        <w:rPr>
          <w:sz w:val="24"/>
          <w:szCs w:val="24"/>
        </w:rPr>
        <w:t xml:space="preserve">None of the existing </w:t>
      </w:r>
      <w:r w:rsidR="00ED39F1" w:rsidRPr="00547EE3">
        <w:rPr>
          <w:sz w:val="24"/>
          <w:szCs w:val="24"/>
        </w:rPr>
        <w:t xml:space="preserve">four </w:t>
      </w:r>
      <w:r w:rsidRPr="00547EE3">
        <w:rPr>
          <w:sz w:val="24"/>
          <w:szCs w:val="24"/>
        </w:rPr>
        <w:t xml:space="preserve">ORs is large enough to accommodate a surgical </w:t>
      </w:r>
      <w:r w:rsidR="00B26D4D">
        <w:rPr>
          <w:sz w:val="24"/>
          <w:szCs w:val="24"/>
        </w:rPr>
        <w:t>r</w:t>
      </w:r>
      <w:r w:rsidRPr="00547EE3">
        <w:rPr>
          <w:sz w:val="24"/>
          <w:szCs w:val="24"/>
        </w:rPr>
        <w:t xml:space="preserve">obot such as the </w:t>
      </w:r>
      <w:r w:rsidR="00A517F3">
        <w:rPr>
          <w:sz w:val="24"/>
          <w:szCs w:val="24"/>
        </w:rPr>
        <w:t>d</w:t>
      </w:r>
      <w:r w:rsidRPr="00547EE3">
        <w:rPr>
          <w:sz w:val="24"/>
          <w:szCs w:val="24"/>
        </w:rPr>
        <w:t>a Vinci System</w:t>
      </w:r>
      <w:r w:rsidR="00F10148" w:rsidRPr="00547EE3">
        <w:rPr>
          <w:sz w:val="24"/>
          <w:szCs w:val="24"/>
        </w:rPr>
        <w:t xml:space="preserve">, </w:t>
      </w:r>
      <w:r w:rsidR="00177A6C" w:rsidRPr="00547EE3">
        <w:rPr>
          <w:sz w:val="24"/>
          <w:szCs w:val="24"/>
        </w:rPr>
        <w:t xml:space="preserve">which </w:t>
      </w:r>
      <w:r w:rsidR="00F10148" w:rsidRPr="00547EE3">
        <w:rPr>
          <w:sz w:val="24"/>
          <w:szCs w:val="24"/>
        </w:rPr>
        <w:t xml:space="preserve">the Applicant states </w:t>
      </w:r>
      <w:r w:rsidR="00177A6C" w:rsidRPr="00547EE3">
        <w:rPr>
          <w:sz w:val="24"/>
          <w:szCs w:val="24"/>
        </w:rPr>
        <w:t>is</w:t>
      </w:r>
      <w:r w:rsidRPr="00547EE3">
        <w:rPr>
          <w:sz w:val="24"/>
          <w:szCs w:val="24"/>
        </w:rPr>
        <w:t xml:space="preserve"> commonly used to perform urological, gynecological, and other minimally invasive surgical procedures.</w:t>
      </w:r>
      <w:r w:rsidR="00A17D11" w:rsidRPr="00547EE3">
        <w:rPr>
          <w:rStyle w:val="FootnoteReference"/>
          <w:sz w:val="24"/>
          <w:szCs w:val="24"/>
        </w:rPr>
        <w:footnoteReference w:id="12"/>
      </w:r>
      <w:r w:rsidR="004E1193" w:rsidRPr="00547EE3">
        <w:rPr>
          <w:sz w:val="24"/>
          <w:szCs w:val="24"/>
          <w:vertAlign w:val="superscript"/>
        </w:rPr>
        <w:t>,</w:t>
      </w:r>
      <w:r w:rsidR="00BF54DD" w:rsidRPr="00547EE3">
        <w:rPr>
          <w:rStyle w:val="FootnoteReference"/>
          <w:sz w:val="24"/>
          <w:szCs w:val="24"/>
        </w:rPr>
        <w:footnoteReference w:id="13"/>
      </w:r>
      <w:r w:rsidRPr="00547EE3">
        <w:rPr>
          <w:sz w:val="24"/>
          <w:szCs w:val="24"/>
        </w:rPr>
        <w:t xml:space="preserve"> </w:t>
      </w:r>
      <w:r w:rsidR="00177A6C" w:rsidRPr="00547EE3">
        <w:rPr>
          <w:sz w:val="24"/>
          <w:szCs w:val="24"/>
        </w:rPr>
        <w:t>As a result,</w:t>
      </w:r>
      <w:r w:rsidRPr="00547EE3">
        <w:rPr>
          <w:sz w:val="24"/>
          <w:szCs w:val="24"/>
        </w:rPr>
        <w:t xml:space="preserve"> patients seeking robotic surgery </w:t>
      </w:r>
      <w:r w:rsidR="001200C7">
        <w:rPr>
          <w:sz w:val="24"/>
          <w:szCs w:val="24"/>
        </w:rPr>
        <w:t xml:space="preserve">either </w:t>
      </w:r>
      <w:r w:rsidRPr="00547EE3">
        <w:rPr>
          <w:sz w:val="24"/>
          <w:szCs w:val="24"/>
        </w:rPr>
        <w:t xml:space="preserve">forgo </w:t>
      </w:r>
      <w:r w:rsidR="0030613F" w:rsidRPr="00547EE3">
        <w:rPr>
          <w:sz w:val="24"/>
          <w:szCs w:val="24"/>
        </w:rPr>
        <w:t xml:space="preserve">that option </w:t>
      </w:r>
      <w:r w:rsidRPr="00547EE3">
        <w:rPr>
          <w:sz w:val="24"/>
          <w:szCs w:val="24"/>
        </w:rPr>
        <w:t>or pursue</w:t>
      </w:r>
      <w:r w:rsidR="003F069D" w:rsidRPr="00547EE3">
        <w:rPr>
          <w:sz w:val="24"/>
          <w:szCs w:val="24"/>
        </w:rPr>
        <w:t xml:space="preserve"> the robotic option </w:t>
      </w:r>
      <w:r w:rsidRPr="00547EE3">
        <w:rPr>
          <w:sz w:val="24"/>
          <w:szCs w:val="24"/>
        </w:rPr>
        <w:t xml:space="preserve">in a </w:t>
      </w:r>
      <w:r w:rsidR="009D7C2A" w:rsidRPr="00547EE3">
        <w:rPr>
          <w:sz w:val="24"/>
          <w:szCs w:val="24"/>
        </w:rPr>
        <w:t xml:space="preserve">higher cost </w:t>
      </w:r>
      <w:r w:rsidRPr="00547EE3">
        <w:rPr>
          <w:sz w:val="24"/>
          <w:szCs w:val="24"/>
        </w:rPr>
        <w:t xml:space="preserve">tertiary </w:t>
      </w:r>
      <w:r w:rsidR="00D342DD" w:rsidRPr="00547EE3">
        <w:rPr>
          <w:sz w:val="24"/>
          <w:szCs w:val="24"/>
        </w:rPr>
        <w:t xml:space="preserve">care </w:t>
      </w:r>
      <w:r w:rsidRPr="00547EE3">
        <w:rPr>
          <w:sz w:val="24"/>
          <w:szCs w:val="24"/>
        </w:rPr>
        <w:t>setting</w:t>
      </w:r>
      <w:r w:rsidR="009D7C2A" w:rsidRPr="00547EE3">
        <w:rPr>
          <w:sz w:val="24"/>
          <w:szCs w:val="24"/>
        </w:rPr>
        <w:t>.</w:t>
      </w:r>
    </w:p>
    <w:p w14:paraId="41C38D79" w14:textId="46D49F39" w:rsidR="00DF533B" w:rsidRDefault="00DF533B" w:rsidP="00430E8F">
      <w:pPr>
        <w:pStyle w:val="ListParagraph"/>
        <w:numPr>
          <w:ilvl w:val="0"/>
          <w:numId w:val="4"/>
        </w:numPr>
        <w:spacing w:after="240" w:line="240" w:lineRule="auto"/>
        <w:rPr>
          <w:sz w:val="24"/>
          <w:szCs w:val="24"/>
        </w:rPr>
      </w:pPr>
      <w:r w:rsidRPr="00547EE3">
        <w:rPr>
          <w:sz w:val="24"/>
          <w:szCs w:val="24"/>
        </w:rPr>
        <w:t>Endoscopic retrograde cholangiopancreatography (ERCP)</w:t>
      </w:r>
      <w:r w:rsidR="0030613F" w:rsidRPr="00547EE3">
        <w:rPr>
          <w:sz w:val="24"/>
          <w:szCs w:val="24"/>
        </w:rPr>
        <w:t xml:space="preserve"> is</w:t>
      </w:r>
      <w:r w:rsidRPr="00547EE3">
        <w:rPr>
          <w:sz w:val="24"/>
          <w:szCs w:val="24"/>
        </w:rPr>
        <w:t xml:space="preserve"> an invasive gastrointestinal procedure frequently needed in advance of gall bladder surger</w:t>
      </w:r>
      <w:r w:rsidR="0030613F" w:rsidRPr="00547EE3">
        <w:rPr>
          <w:sz w:val="24"/>
          <w:szCs w:val="24"/>
        </w:rPr>
        <w:t xml:space="preserve">y. ERCP requires a wide array of specialized equipment, which only </w:t>
      </w:r>
      <w:r w:rsidR="002D3B31">
        <w:rPr>
          <w:sz w:val="24"/>
          <w:szCs w:val="24"/>
        </w:rPr>
        <w:t>two</w:t>
      </w:r>
      <w:r w:rsidR="0030613F" w:rsidRPr="00547EE3">
        <w:rPr>
          <w:sz w:val="24"/>
          <w:szCs w:val="24"/>
        </w:rPr>
        <w:t xml:space="preserve"> OR</w:t>
      </w:r>
      <w:r w:rsidR="002D3B31">
        <w:rPr>
          <w:sz w:val="24"/>
          <w:szCs w:val="24"/>
        </w:rPr>
        <w:t>s</w:t>
      </w:r>
      <w:r w:rsidR="0030613F" w:rsidRPr="00547EE3">
        <w:rPr>
          <w:sz w:val="24"/>
          <w:szCs w:val="24"/>
        </w:rPr>
        <w:t xml:space="preserve"> can accommodate</w:t>
      </w:r>
      <w:r w:rsidR="0095673B">
        <w:rPr>
          <w:sz w:val="24"/>
          <w:szCs w:val="24"/>
        </w:rPr>
        <w:t>.</w:t>
      </w:r>
      <w:r w:rsidR="003F069D">
        <w:rPr>
          <w:sz w:val="24"/>
          <w:szCs w:val="24"/>
        </w:rPr>
        <w:t xml:space="preserve"> </w:t>
      </w:r>
      <w:r w:rsidRPr="00DF533B">
        <w:rPr>
          <w:sz w:val="24"/>
          <w:szCs w:val="24"/>
        </w:rPr>
        <w:t xml:space="preserve">Heywood Hospital </w:t>
      </w:r>
      <w:r w:rsidR="00B26D4D">
        <w:rPr>
          <w:sz w:val="24"/>
          <w:szCs w:val="24"/>
        </w:rPr>
        <w:t xml:space="preserve">began providing </w:t>
      </w:r>
      <w:r w:rsidR="003F069D">
        <w:rPr>
          <w:sz w:val="24"/>
          <w:szCs w:val="24"/>
        </w:rPr>
        <w:t xml:space="preserve">ERCP </w:t>
      </w:r>
      <w:r w:rsidRPr="00DF533B">
        <w:rPr>
          <w:sz w:val="24"/>
          <w:szCs w:val="24"/>
        </w:rPr>
        <w:t xml:space="preserve">in </w:t>
      </w:r>
      <w:r w:rsidR="00A44606">
        <w:rPr>
          <w:sz w:val="24"/>
          <w:szCs w:val="24"/>
        </w:rPr>
        <w:t xml:space="preserve">December </w:t>
      </w:r>
      <w:r w:rsidRPr="00DF533B">
        <w:rPr>
          <w:sz w:val="24"/>
          <w:szCs w:val="24"/>
        </w:rPr>
        <w:t>2019 and in 2020</w:t>
      </w:r>
      <w:r w:rsidR="0030613F">
        <w:rPr>
          <w:sz w:val="24"/>
          <w:szCs w:val="24"/>
        </w:rPr>
        <w:t xml:space="preserve"> </w:t>
      </w:r>
      <w:r w:rsidRPr="00DF533B">
        <w:rPr>
          <w:sz w:val="24"/>
          <w:szCs w:val="24"/>
        </w:rPr>
        <w:t>60 patients had their procedures performed at Heywood Hospital.</w:t>
      </w:r>
      <w:r w:rsidR="00B26D4D">
        <w:rPr>
          <w:sz w:val="24"/>
          <w:szCs w:val="24"/>
        </w:rPr>
        <w:t xml:space="preserve"> ERCP can only be performed in </w:t>
      </w:r>
      <w:r w:rsidR="001200C7">
        <w:rPr>
          <w:sz w:val="24"/>
          <w:szCs w:val="24"/>
        </w:rPr>
        <w:t xml:space="preserve">the </w:t>
      </w:r>
      <w:r w:rsidR="00483912">
        <w:rPr>
          <w:sz w:val="24"/>
          <w:szCs w:val="24"/>
        </w:rPr>
        <w:t xml:space="preserve">two larger rooms, and </w:t>
      </w:r>
      <w:r w:rsidR="00B26D4D">
        <w:rPr>
          <w:sz w:val="24"/>
          <w:szCs w:val="24"/>
        </w:rPr>
        <w:t xml:space="preserve">the </w:t>
      </w:r>
      <w:r w:rsidR="00483912">
        <w:rPr>
          <w:sz w:val="24"/>
          <w:szCs w:val="24"/>
        </w:rPr>
        <w:t xml:space="preserve">Applicant asserts that </w:t>
      </w:r>
      <w:r w:rsidR="00D975EE">
        <w:rPr>
          <w:sz w:val="24"/>
          <w:szCs w:val="24"/>
        </w:rPr>
        <w:t xml:space="preserve">it is best performed </w:t>
      </w:r>
      <w:r w:rsidR="004B4B68">
        <w:rPr>
          <w:sz w:val="24"/>
          <w:szCs w:val="24"/>
        </w:rPr>
        <w:t>in</w:t>
      </w:r>
      <w:r w:rsidR="00D975EE">
        <w:rPr>
          <w:sz w:val="24"/>
          <w:szCs w:val="24"/>
        </w:rPr>
        <w:t xml:space="preserve"> the largest </w:t>
      </w:r>
      <w:r w:rsidR="00B26D4D">
        <w:rPr>
          <w:sz w:val="24"/>
          <w:szCs w:val="24"/>
        </w:rPr>
        <w:t>OR</w:t>
      </w:r>
      <w:r w:rsidR="00D975EE">
        <w:rPr>
          <w:sz w:val="24"/>
          <w:szCs w:val="24"/>
        </w:rPr>
        <w:t>,</w:t>
      </w:r>
      <w:r w:rsidR="00B26D4D">
        <w:rPr>
          <w:sz w:val="24"/>
          <w:szCs w:val="24"/>
        </w:rPr>
        <w:t xml:space="preserve"> that accommodates the Hana table used for </w:t>
      </w:r>
      <w:r w:rsidR="008E11A5">
        <w:rPr>
          <w:sz w:val="24"/>
          <w:szCs w:val="24"/>
        </w:rPr>
        <w:t>minimally invasive</w:t>
      </w:r>
      <w:r w:rsidR="00B26D4D">
        <w:rPr>
          <w:sz w:val="24"/>
          <w:szCs w:val="24"/>
        </w:rPr>
        <w:t xml:space="preserve"> h</w:t>
      </w:r>
      <w:r w:rsidR="009F11B5">
        <w:rPr>
          <w:sz w:val="24"/>
          <w:szCs w:val="24"/>
        </w:rPr>
        <w:t>i</w:t>
      </w:r>
      <w:r w:rsidR="00B26D4D">
        <w:rPr>
          <w:sz w:val="24"/>
          <w:szCs w:val="24"/>
        </w:rPr>
        <w:t xml:space="preserve">p replacement surgery.  This limitation causes scheduling conflicts that, the Applicant states, leads to </w:t>
      </w:r>
      <w:proofErr w:type="spellStart"/>
      <w:r w:rsidR="00B26D4D">
        <w:rPr>
          <w:sz w:val="24"/>
          <w:szCs w:val="24"/>
        </w:rPr>
        <w:t>case</w:t>
      </w:r>
      <w:proofErr w:type="spellEnd"/>
      <w:r w:rsidR="00B26D4D">
        <w:rPr>
          <w:sz w:val="24"/>
          <w:szCs w:val="24"/>
        </w:rPr>
        <w:t xml:space="preserve"> delays and added costs. </w:t>
      </w:r>
    </w:p>
    <w:p w14:paraId="6D971893" w14:textId="4B77727B" w:rsidR="004873B7" w:rsidRDefault="004432C6" w:rsidP="00430E8F">
      <w:pPr>
        <w:pStyle w:val="ListParagraph"/>
        <w:numPr>
          <w:ilvl w:val="0"/>
          <w:numId w:val="4"/>
        </w:numPr>
        <w:spacing w:after="240" w:line="240" w:lineRule="auto"/>
        <w:rPr>
          <w:sz w:val="24"/>
          <w:szCs w:val="24"/>
        </w:rPr>
      </w:pPr>
      <w:r>
        <w:rPr>
          <w:sz w:val="24"/>
          <w:szCs w:val="24"/>
        </w:rPr>
        <w:t>An o</w:t>
      </w:r>
      <w:r w:rsidR="004873B7" w:rsidRPr="004873B7">
        <w:rPr>
          <w:sz w:val="24"/>
          <w:szCs w:val="24"/>
        </w:rPr>
        <w:t xml:space="preserve">utdated HVAC system prevents Heywood Hospital from taking advantage of </w:t>
      </w:r>
      <w:r w:rsidR="006B38F7">
        <w:rPr>
          <w:sz w:val="24"/>
          <w:szCs w:val="24"/>
        </w:rPr>
        <w:t>the u</w:t>
      </w:r>
      <w:r w:rsidR="004873B7" w:rsidRPr="004873B7">
        <w:rPr>
          <w:sz w:val="24"/>
          <w:szCs w:val="24"/>
        </w:rPr>
        <w:t>p-to-date infection control modalities available with modern technology such as laminar flow</w:t>
      </w:r>
      <w:r w:rsidR="004873B7" w:rsidRPr="004873B7">
        <w:rPr>
          <w:sz w:val="24"/>
          <w:szCs w:val="24"/>
          <w:vertAlign w:val="superscript"/>
        </w:rPr>
        <w:footnoteReference w:id="14"/>
      </w:r>
      <w:r w:rsidR="004873B7" w:rsidRPr="004873B7">
        <w:rPr>
          <w:sz w:val="24"/>
          <w:szCs w:val="24"/>
        </w:rPr>
        <w:t xml:space="preserve"> and built in ultraviolet (UV) light disinfection,</w:t>
      </w:r>
      <w:r w:rsidR="00EC26E2">
        <w:rPr>
          <w:sz w:val="24"/>
          <w:szCs w:val="24"/>
        </w:rPr>
        <w:t xml:space="preserve"> forcing the OR to close on several occasions, leading to</w:t>
      </w:r>
      <w:r w:rsidR="004873B7" w:rsidRPr="004873B7">
        <w:rPr>
          <w:sz w:val="24"/>
          <w:szCs w:val="24"/>
        </w:rPr>
        <w:t xml:space="preserve"> case cancellations.</w:t>
      </w:r>
    </w:p>
    <w:p w14:paraId="63E5D687" w14:textId="77777777" w:rsidR="00724678" w:rsidRDefault="00724678" w:rsidP="00724678">
      <w:pPr>
        <w:pStyle w:val="ListParagraph"/>
        <w:spacing w:after="240" w:line="240" w:lineRule="auto"/>
        <w:rPr>
          <w:sz w:val="24"/>
          <w:szCs w:val="24"/>
        </w:rPr>
      </w:pPr>
    </w:p>
    <w:p w14:paraId="7579BEF3" w14:textId="03273C3C" w:rsidR="0061024C" w:rsidRPr="0061024C" w:rsidRDefault="0061024C" w:rsidP="0061024C">
      <w:pPr>
        <w:spacing w:after="240" w:line="240" w:lineRule="auto"/>
        <w:rPr>
          <w:b/>
          <w:bCs/>
          <w:i/>
          <w:iCs/>
          <w:sz w:val="24"/>
          <w:szCs w:val="24"/>
        </w:rPr>
      </w:pPr>
      <w:r w:rsidRPr="0061024C">
        <w:rPr>
          <w:b/>
          <w:bCs/>
          <w:i/>
          <w:iCs/>
          <w:sz w:val="24"/>
          <w:szCs w:val="24"/>
        </w:rPr>
        <w:t xml:space="preserve">Pre/Post Procedure </w:t>
      </w:r>
      <w:r w:rsidR="00E902A8">
        <w:rPr>
          <w:b/>
          <w:bCs/>
          <w:i/>
          <w:iCs/>
          <w:sz w:val="24"/>
          <w:szCs w:val="24"/>
        </w:rPr>
        <w:t xml:space="preserve">Patient </w:t>
      </w:r>
      <w:r w:rsidR="00EE6090">
        <w:rPr>
          <w:b/>
          <w:bCs/>
          <w:i/>
          <w:iCs/>
          <w:sz w:val="24"/>
          <w:szCs w:val="24"/>
        </w:rPr>
        <w:t>Care Stations</w:t>
      </w:r>
    </w:p>
    <w:p w14:paraId="1E58C32B" w14:textId="309390A1" w:rsidR="00C90A84" w:rsidRPr="004A2141" w:rsidRDefault="00F10148" w:rsidP="00C90A84">
      <w:pPr>
        <w:spacing w:after="0" w:line="240" w:lineRule="auto"/>
        <w:rPr>
          <w:b/>
          <w:bCs/>
          <w:sz w:val="24"/>
          <w:szCs w:val="24"/>
        </w:rPr>
      </w:pPr>
      <w:r>
        <w:rPr>
          <w:sz w:val="24"/>
          <w:szCs w:val="24"/>
        </w:rPr>
        <w:t>The Applicant states that i</w:t>
      </w:r>
      <w:r w:rsidRPr="00F10148">
        <w:rPr>
          <w:sz w:val="24"/>
          <w:szCs w:val="24"/>
        </w:rPr>
        <w:t xml:space="preserve">nfrastructure limitations in the Surgery Day Care Unit, </w:t>
      </w:r>
      <w:r w:rsidR="00123475">
        <w:rPr>
          <w:sz w:val="24"/>
          <w:szCs w:val="24"/>
        </w:rPr>
        <w:t>e</w:t>
      </w:r>
      <w:r w:rsidRPr="00F10148">
        <w:rPr>
          <w:sz w:val="24"/>
          <w:szCs w:val="24"/>
        </w:rPr>
        <w:t>ndoscopy Unit and Post Anesthesia Care Unit (PACU)</w:t>
      </w:r>
      <w:r w:rsidR="009171FA">
        <w:rPr>
          <w:sz w:val="24"/>
          <w:szCs w:val="24"/>
        </w:rPr>
        <w:t>,</w:t>
      </w:r>
      <w:r w:rsidR="0010512C">
        <w:rPr>
          <w:sz w:val="24"/>
          <w:szCs w:val="24"/>
        </w:rPr>
        <w:t xml:space="preserve"> which are adjacent to the </w:t>
      </w:r>
      <w:r w:rsidR="009171FA">
        <w:rPr>
          <w:sz w:val="24"/>
          <w:szCs w:val="24"/>
        </w:rPr>
        <w:t>ORs</w:t>
      </w:r>
      <w:r w:rsidRPr="00F10148">
        <w:rPr>
          <w:sz w:val="24"/>
          <w:szCs w:val="24"/>
        </w:rPr>
        <w:t>, hinder efficient care delivery and</w:t>
      </w:r>
      <w:r w:rsidR="00704AFC">
        <w:rPr>
          <w:sz w:val="24"/>
          <w:szCs w:val="24"/>
        </w:rPr>
        <w:t xml:space="preserve"> prevent</w:t>
      </w:r>
      <w:r w:rsidRPr="00F10148">
        <w:rPr>
          <w:sz w:val="24"/>
          <w:szCs w:val="24"/>
        </w:rPr>
        <w:t xml:space="preserve"> further case growth and service expansion. </w:t>
      </w:r>
      <w:r w:rsidR="00E743CD" w:rsidRPr="00E743CD">
        <w:rPr>
          <w:sz w:val="24"/>
          <w:szCs w:val="24"/>
        </w:rPr>
        <w:t>The Applicant maintains a large volume of relatively quick procedures</w:t>
      </w:r>
      <w:r w:rsidR="00E87866">
        <w:rPr>
          <w:sz w:val="24"/>
          <w:szCs w:val="24"/>
        </w:rPr>
        <w:t xml:space="preserve"> (</w:t>
      </w:r>
      <w:r w:rsidR="00D5672D">
        <w:rPr>
          <w:sz w:val="24"/>
          <w:szCs w:val="24"/>
        </w:rPr>
        <w:t xml:space="preserve">case volume was </w:t>
      </w:r>
      <w:r w:rsidR="00753CEC">
        <w:rPr>
          <w:sz w:val="24"/>
          <w:szCs w:val="24"/>
        </w:rPr>
        <w:t>8,430</w:t>
      </w:r>
      <w:r w:rsidR="004A2141" w:rsidRPr="004A2141">
        <w:rPr>
          <w:sz w:val="24"/>
          <w:szCs w:val="24"/>
        </w:rPr>
        <w:t xml:space="preserve"> in 2019: </w:t>
      </w:r>
      <w:r w:rsidR="00753CEC">
        <w:rPr>
          <w:sz w:val="24"/>
          <w:szCs w:val="24"/>
        </w:rPr>
        <w:t>5,430</w:t>
      </w:r>
      <w:r w:rsidR="004A2141" w:rsidRPr="004A2141">
        <w:rPr>
          <w:sz w:val="24"/>
          <w:szCs w:val="24"/>
        </w:rPr>
        <w:t xml:space="preserve"> OR</w:t>
      </w:r>
      <w:r w:rsidR="00D5672D">
        <w:rPr>
          <w:sz w:val="24"/>
          <w:szCs w:val="24"/>
        </w:rPr>
        <w:t xml:space="preserve"> cases</w:t>
      </w:r>
      <w:r w:rsidR="004A2141" w:rsidRPr="004A2141">
        <w:rPr>
          <w:sz w:val="24"/>
          <w:szCs w:val="24"/>
        </w:rPr>
        <w:t xml:space="preserve">, and </w:t>
      </w:r>
      <w:r w:rsidR="00753CEC">
        <w:rPr>
          <w:sz w:val="24"/>
          <w:szCs w:val="24"/>
        </w:rPr>
        <w:t>3,000</w:t>
      </w:r>
      <w:r w:rsidR="004A2141" w:rsidRPr="004A2141">
        <w:rPr>
          <w:sz w:val="24"/>
          <w:szCs w:val="24"/>
        </w:rPr>
        <w:t xml:space="preserve"> </w:t>
      </w:r>
      <w:r w:rsidR="00D5672D">
        <w:rPr>
          <w:sz w:val="24"/>
          <w:szCs w:val="24"/>
        </w:rPr>
        <w:t>e</w:t>
      </w:r>
      <w:r w:rsidR="004A2141" w:rsidRPr="004A2141">
        <w:rPr>
          <w:sz w:val="24"/>
          <w:szCs w:val="24"/>
        </w:rPr>
        <w:t>ndo</w:t>
      </w:r>
      <w:r w:rsidR="00D5672D">
        <w:rPr>
          <w:sz w:val="24"/>
          <w:szCs w:val="24"/>
        </w:rPr>
        <w:t>scopy cases</w:t>
      </w:r>
      <w:r w:rsidR="004A2141" w:rsidRPr="004A2141">
        <w:rPr>
          <w:sz w:val="24"/>
          <w:szCs w:val="24"/>
        </w:rPr>
        <w:t>)</w:t>
      </w:r>
      <w:r w:rsidR="004A2141">
        <w:rPr>
          <w:b/>
          <w:bCs/>
          <w:sz w:val="24"/>
          <w:szCs w:val="24"/>
        </w:rPr>
        <w:t xml:space="preserve"> </w:t>
      </w:r>
      <w:r w:rsidR="00E743CD" w:rsidRPr="00E743CD">
        <w:rPr>
          <w:sz w:val="24"/>
          <w:szCs w:val="24"/>
        </w:rPr>
        <w:t xml:space="preserve">that require a patient to spend time in the recovery room. </w:t>
      </w:r>
      <w:r w:rsidR="00E743CD">
        <w:rPr>
          <w:sz w:val="24"/>
          <w:szCs w:val="24"/>
        </w:rPr>
        <w:t>There are</w:t>
      </w:r>
      <w:r w:rsidR="00AA687B">
        <w:rPr>
          <w:sz w:val="24"/>
          <w:szCs w:val="24"/>
        </w:rPr>
        <w:t xml:space="preserve"> only </w:t>
      </w:r>
      <w:r w:rsidR="003B3F09">
        <w:rPr>
          <w:sz w:val="24"/>
          <w:szCs w:val="24"/>
        </w:rPr>
        <w:t>21</w:t>
      </w:r>
      <w:r w:rsidR="00AA687B">
        <w:rPr>
          <w:sz w:val="24"/>
          <w:szCs w:val="24"/>
        </w:rPr>
        <w:t xml:space="preserve"> pre/post procedure</w:t>
      </w:r>
      <w:r w:rsidR="00EE6090">
        <w:rPr>
          <w:sz w:val="24"/>
          <w:szCs w:val="24"/>
        </w:rPr>
        <w:t xml:space="preserve"> </w:t>
      </w:r>
      <w:r w:rsidR="00AC1BCA">
        <w:rPr>
          <w:sz w:val="24"/>
          <w:szCs w:val="24"/>
        </w:rPr>
        <w:t xml:space="preserve">patient </w:t>
      </w:r>
      <w:r w:rsidR="00EE6090">
        <w:rPr>
          <w:sz w:val="24"/>
          <w:szCs w:val="24"/>
        </w:rPr>
        <w:t>care stations</w:t>
      </w:r>
      <w:r w:rsidR="003B3F09">
        <w:rPr>
          <w:sz w:val="24"/>
          <w:szCs w:val="24"/>
        </w:rPr>
        <w:t xml:space="preserve"> shared between the four ORs and three procedure rooms</w:t>
      </w:r>
      <w:r w:rsidR="00E743CD">
        <w:rPr>
          <w:sz w:val="24"/>
          <w:szCs w:val="24"/>
        </w:rPr>
        <w:t xml:space="preserve">, which do not accommodate the </w:t>
      </w:r>
      <w:r w:rsidR="00E87866">
        <w:rPr>
          <w:sz w:val="24"/>
          <w:szCs w:val="24"/>
        </w:rPr>
        <w:t xml:space="preserve">volume resulting from a quick turnaround time. </w:t>
      </w:r>
      <w:r w:rsidR="00E743CD">
        <w:rPr>
          <w:sz w:val="24"/>
          <w:szCs w:val="24"/>
        </w:rPr>
        <w:t>Thi</w:t>
      </w:r>
      <w:r w:rsidR="00E87866">
        <w:rPr>
          <w:sz w:val="24"/>
          <w:szCs w:val="24"/>
        </w:rPr>
        <w:t xml:space="preserve">s </w:t>
      </w:r>
      <w:r w:rsidR="00AA687B">
        <w:rPr>
          <w:sz w:val="24"/>
          <w:szCs w:val="24"/>
        </w:rPr>
        <w:t>contributes to patient care bottlenecks</w:t>
      </w:r>
      <w:r w:rsidR="00AA687B" w:rsidRPr="0061024C">
        <w:rPr>
          <w:sz w:val="24"/>
          <w:szCs w:val="24"/>
        </w:rPr>
        <w:t xml:space="preserve"> leading to </w:t>
      </w:r>
      <w:proofErr w:type="spellStart"/>
      <w:r w:rsidR="00AA687B" w:rsidRPr="0061024C">
        <w:rPr>
          <w:sz w:val="24"/>
          <w:szCs w:val="24"/>
        </w:rPr>
        <w:t>case</w:t>
      </w:r>
      <w:proofErr w:type="spellEnd"/>
      <w:r w:rsidR="00AA687B" w:rsidRPr="0061024C">
        <w:rPr>
          <w:sz w:val="24"/>
          <w:szCs w:val="24"/>
        </w:rPr>
        <w:t xml:space="preserve"> delays, added cost</w:t>
      </w:r>
      <w:r w:rsidR="00AA687B">
        <w:rPr>
          <w:sz w:val="24"/>
          <w:szCs w:val="24"/>
        </w:rPr>
        <w:t>s</w:t>
      </w:r>
      <w:r w:rsidR="00AA687B" w:rsidRPr="0061024C">
        <w:rPr>
          <w:sz w:val="24"/>
          <w:szCs w:val="24"/>
        </w:rPr>
        <w:t xml:space="preserve"> and a compromised patient experience. </w:t>
      </w:r>
    </w:p>
    <w:p w14:paraId="19045B69" w14:textId="77777777" w:rsidR="00327014" w:rsidRPr="00C90A84" w:rsidRDefault="00327014" w:rsidP="00C90A84">
      <w:pPr>
        <w:spacing w:after="0" w:line="240" w:lineRule="auto"/>
        <w:rPr>
          <w:sz w:val="24"/>
          <w:szCs w:val="24"/>
        </w:rPr>
      </w:pPr>
    </w:p>
    <w:p w14:paraId="0639A213" w14:textId="126F47F9" w:rsidR="0019791D" w:rsidRPr="0019791D" w:rsidRDefault="005D4299" w:rsidP="0019791D">
      <w:pPr>
        <w:spacing w:after="0" w:line="240" w:lineRule="auto"/>
        <w:rPr>
          <w:sz w:val="24"/>
          <w:szCs w:val="24"/>
        </w:rPr>
      </w:pPr>
      <w:r>
        <w:rPr>
          <w:sz w:val="24"/>
          <w:szCs w:val="24"/>
        </w:rPr>
        <w:lastRenderedPageBreak/>
        <w:t xml:space="preserve">The Applicant states that </w:t>
      </w:r>
      <w:r w:rsidR="004271A6">
        <w:rPr>
          <w:sz w:val="24"/>
          <w:szCs w:val="24"/>
        </w:rPr>
        <w:t xml:space="preserve">despite </w:t>
      </w:r>
      <w:r w:rsidR="00327014">
        <w:rPr>
          <w:sz w:val="24"/>
          <w:szCs w:val="24"/>
        </w:rPr>
        <w:t xml:space="preserve">the existing </w:t>
      </w:r>
      <w:r w:rsidR="00327014" w:rsidRPr="00D975EE">
        <w:rPr>
          <w:sz w:val="24"/>
          <w:szCs w:val="24"/>
        </w:rPr>
        <w:t>ratio</w:t>
      </w:r>
      <w:r w:rsidR="004271A6">
        <w:rPr>
          <w:sz w:val="24"/>
          <w:szCs w:val="24"/>
        </w:rPr>
        <w:t xml:space="preserve"> of </w:t>
      </w:r>
      <w:r w:rsidR="004C23F1">
        <w:rPr>
          <w:sz w:val="24"/>
          <w:szCs w:val="24"/>
        </w:rPr>
        <w:t>three</w:t>
      </w:r>
      <w:r w:rsidR="00D975EE">
        <w:rPr>
          <w:sz w:val="24"/>
          <w:szCs w:val="24"/>
        </w:rPr>
        <w:t xml:space="preserve"> </w:t>
      </w:r>
      <w:r w:rsidR="004271A6">
        <w:rPr>
          <w:sz w:val="24"/>
          <w:szCs w:val="24"/>
        </w:rPr>
        <w:t>pre/post procedure</w:t>
      </w:r>
      <w:r w:rsidR="00672D41">
        <w:rPr>
          <w:sz w:val="24"/>
          <w:szCs w:val="24"/>
        </w:rPr>
        <w:t xml:space="preserve"> patient</w:t>
      </w:r>
      <w:r w:rsidR="004271A6">
        <w:rPr>
          <w:sz w:val="24"/>
          <w:szCs w:val="24"/>
        </w:rPr>
        <w:t xml:space="preserve"> </w:t>
      </w:r>
      <w:r w:rsidR="00EE6090">
        <w:rPr>
          <w:sz w:val="24"/>
          <w:szCs w:val="24"/>
        </w:rPr>
        <w:t>care stations</w:t>
      </w:r>
      <w:r w:rsidR="004271A6">
        <w:rPr>
          <w:sz w:val="24"/>
          <w:szCs w:val="24"/>
        </w:rPr>
        <w:t xml:space="preserve"> per procedure room, which is above </w:t>
      </w:r>
      <w:r w:rsidR="00D975EE">
        <w:rPr>
          <w:sz w:val="24"/>
          <w:szCs w:val="24"/>
        </w:rPr>
        <w:t xml:space="preserve">the </w:t>
      </w:r>
      <w:r w:rsidR="00F00108" w:rsidRPr="00F00108">
        <w:rPr>
          <w:sz w:val="24"/>
          <w:szCs w:val="24"/>
        </w:rPr>
        <w:t>2018 FGI Guidelines require</w:t>
      </w:r>
      <w:r w:rsidR="00F00108">
        <w:rPr>
          <w:sz w:val="24"/>
          <w:szCs w:val="24"/>
        </w:rPr>
        <w:t>ment of</w:t>
      </w:r>
      <w:r w:rsidR="00F00108" w:rsidRPr="00F00108">
        <w:rPr>
          <w:sz w:val="24"/>
          <w:szCs w:val="24"/>
        </w:rPr>
        <w:t xml:space="preserve"> at least two pre</w:t>
      </w:r>
      <w:r w:rsidR="00F523F6">
        <w:rPr>
          <w:sz w:val="24"/>
          <w:szCs w:val="24"/>
        </w:rPr>
        <w:t>/</w:t>
      </w:r>
      <w:r w:rsidR="00F00108" w:rsidRPr="00F00108">
        <w:rPr>
          <w:sz w:val="24"/>
          <w:szCs w:val="24"/>
        </w:rPr>
        <w:t>post</w:t>
      </w:r>
      <w:r w:rsidR="00F12074">
        <w:rPr>
          <w:sz w:val="24"/>
          <w:szCs w:val="24"/>
        </w:rPr>
        <w:t xml:space="preserve"> </w:t>
      </w:r>
      <w:r w:rsidR="00F00108" w:rsidRPr="00F00108">
        <w:rPr>
          <w:sz w:val="24"/>
          <w:szCs w:val="24"/>
        </w:rPr>
        <w:t>procedure patient care stations for each procedure room or operating room</w:t>
      </w:r>
      <w:r w:rsidR="004271A6">
        <w:rPr>
          <w:sz w:val="24"/>
          <w:szCs w:val="24"/>
        </w:rPr>
        <w:t>, p</w:t>
      </w:r>
      <w:r>
        <w:rPr>
          <w:sz w:val="24"/>
          <w:szCs w:val="24"/>
        </w:rPr>
        <w:t>atient care bottlenecks are common</w:t>
      </w:r>
      <w:r w:rsidR="00D975EE">
        <w:rPr>
          <w:sz w:val="24"/>
          <w:szCs w:val="24"/>
        </w:rPr>
        <w:t xml:space="preserve">. </w:t>
      </w:r>
      <w:r w:rsidR="0019791D" w:rsidRPr="0019791D">
        <w:rPr>
          <w:sz w:val="24"/>
          <w:szCs w:val="24"/>
        </w:rPr>
        <w:t>The large volume of short cases that have rapid turnaround times can lead to patient care bottlenecks during check-in to the Surgical Day Care and/or during recovery in the PACU. The average case length is 47 minutes (patient in-room to patient out-of-room) across all Perioperative Services.</w:t>
      </w:r>
    </w:p>
    <w:p w14:paraId="2E736EFF" w14:textId="77777777" w:rsidR="00540F33" w:rsidRDefault="00540F33" w:rsidP="0056611B">
      <w:pPr>
        <w:spacing w:after="0" w:line="240" w:lineRule="auto"/>
        <w:rPr>
          <w:sz w:val="24"/>
          <w:szCs w:val="24"/>
        </w:rPr>
      </w:pPr>
    </w:p>
    <w:p w14:paraId="1CBF2517" w14:textId="7BEF2B62" w:rsidR="0056611B" w:rsidRDefault="00F12074" w:rsidP="0056611B">
      <w:pPr>
        <w:spacing w:after="0" w:line="240" w:lineRule="auto"/>
        <w:rPr>
          <w:sz w:val="24"/>
          <w:szCs w:val="24"/>
        </w:rPr>
      </w:pPr>
      <w:r>
        <w:rPr>
          <w:sz w:val="24"/>
          <w:szCs w:val="24"/>
        </w:rPr>
        <w:t>B</w:t>
      </w:r>
      <w:r w:rsidR="00D975EE">
        <w:rPr>
          <w:sz w:val="24"/>
          <w:szCs w:val="24"/>
        </w:rPr>
        <w:t xml:space="preserve">ottlenecks </w:t>
      </w:r>
      <w:r>
        <w:rPr>
          <w:sz w:val="24"/>
          <w:szCs w:val="24"/>
        </w:rPr>
        <w:t xml:space="preserve">occur when patients who do require an inpatient bed board in the PACU until one becomes available, thereby causing </w:t>
      </w:r>
      <w:r w:rsidR="001200C7">
        <w:rPr>
          <w:sz w:val="24"/>
          <w:szCs w:val="24"/>
        </w:rPr>
        <w:t>a backup</w:t>
      </w:r>
      <w:r>
        <w:rPr>
          <w:sz w:val="24"/>
          <w:szCs w:val="24"/>
        </w:rPr>
        <w:t xml:space="preserve"> in </w:t>
      </w:r>
      <w:r w:rsidR="001200C7">
        <w:rPr>
          <w:sz w:val="24"/>
          <w:szCs w:val="24"/>
        </w:rPr>
        <w:t xml:space="preserve">access to </w:t>
      </w:r>
      <w:r>
        <w:rPr>
          <w:sz w:val="24"/>
          <w:szCs w:val="24"/>
        </w:rPr>
        <w:t>the recovery beds</w:t>
      </w:r>
      <w:r w:rsidR="005D4299">
        <w:rPr>
          <w:sz w:val="24"/>
          <w:szCs w:val="24"/>
        </w:rPr>
        <w:t>.</w:t>
      </w:r>
      <w:r>
        <w:rPr>
          <w:sz w:val="24"/>
          <w:szCs w:val="24"/>
        </w:rPr>
        <w:t xml:space="preserve"> Increasing pre/post </w:t>
      </w:r>
      <w:r w:rsidR="006B08FC">
        <w:rPr>
          <w:sz w:val="24"/>
          <w:szCs w:val="24"/>
        </w:rPr>
        <w:t xml:space="preserve">procedure </w:t>
      </w:r>
      <w:r w:rsidRPr="00484A95">
        <w:rPr>
          <w:sz w:val="24"/>
          <w:szCs w:val="24"/>
        </w:rPr>
        <w:t>patient care stations</w:t>
      </w:r>
      <w:r w:rsidR="005D4299">
        <w:rPr>
          <w:sz w:val="24"/>
          <w:szCs w:val="24"/>
        </w:rPr>
        <w:t xml:space="preserve"> </w:t>
      </w:r>
      <w:r>
        <w:rPr>
          <w:sz w:val="24"/>
          <w:szCs w:val="24"/>
        </w:rPr>
        <w:t>will provide resources for both patients waiting for an inpatient bed and those recovering from their procedure.</w:t>
      </w:r>
      <w:r w:rsidR="0056611B" w:rsidRPr="0056611B">
        <w:rPr>
          <w:sz w:val="24"/>
          <w:szCs w:val="24"/>
        </w:rPr>
        <w:t xml:space="preserve"> </w:t>
      </w:r>
      <w:r>
        <w:rPr>
          <w:sz w:val="24"/>
          <w:szCs w:val="24"/>
        </w:rPr>
        <w:t>A</w:t>
      </w:r>
      <w:r w:rsidR="0056611B" w:rsidRPr="0056611B">
        <w:rPr>
          <w:sz w:val="24"/>
          <w:szCs w:val="24"/>
        </w:rPr>
        <w:t xml:space="preserve">fter project implementation, the </w:t>
      </w:r>
      <w:r w:rsidR="00123475">
        <w:rPr>
          <w:sz w:val="24"/>
          <w:szCs w:val="24"/>
        </w:rPr>
        <w:t>e</w:t>
      </w:r>
      <w:r w:rsidR="0056611B" w:rsidRPr="0056611B">
        <w:rPr>
          <w:sz w:val="24"/>
          <w:szCs w:val="24"/>
        </w:rPr>
        <w:t>ndoscopy volume will remain in the existing location with the current</w:t>
      </w:r>
      <w:r w:rsidR="00AC7E6A">
        <w:rPr>
          <w:sz w:val="24"/>
          <w:szCs w:val="24"/>
        </w:rPr>
        <w:t xml:space="preserve"> </w:t>
      </w:r>
      <w:r w:rsidR="00EE6090">
        <w:rPr>
          <w:sz w:val="24"/>
          <w:szCs w:val="24"/>
        </w:rPr>
        <w:t>pre</w:t>
      </w:r>
      <w:r w:rsidR="00F523F6">
        <w:rPr>
          <w:sz w:val="24"/>
          <w:szCs w:val="24"/>
        </w:rPr>
        <w:t>/</w:t>
      </w:r>
      <w:r w:rsidR="00EE6090">
        <w:rPr>
          <w:sz w:val="24"/>
          <w:szCs w:val="24"/>
        </w:rPr>
        <w:t xml:space="preserve">post procedure </w:t>
      </w:r>
      <w:r w:rsidR="00672D41">
        <w:rPr>
          <w:sz w:val="24"/>
          <w:szCs w:val="24"/>
        </w:rPr>
        <w:t xml:space="preserve">patient </w:t>
      </w:r>
      <w:r w:rsidR="00EE6090">
        <w:rPr>
          <w:sz w:val="24"/>
          <w:szCs w:val="24"/>
        </w:rPr>
        <w:t>care stations</w:t>
      </w:r>
      <w:r w:rsidR="0056611B" w:rsidRPr="0056611B">
        <w:rPr>
          <w:sz w:val="24"/>
          <w:szCs w:val="24"/>
        </w:rPr>
        <w:t xml:space="preserve"> and the OR volume will move to the surgical pavilion with </w:t>
      </w:r>
      <w:r w:rsidR="00AC7E6A">
        <w:rPr>
          <w:sz w:val="24"/>
          <w:szCs w:val="24"/>
        </w:rPr>
        <w:t xml:space="preserve">18 </w:t>
      </w:r>
      <w:r w:rsidR="0019791D">
        <w:rPr>
          <w:sz w:val="24"/>
          <w:szCs w:val="24"/>
        </w:rPr>
        <w:t xml:space="preserve">new </w:t>
      </w:r>
      <w:r w:rsidR="00EE6090">
        <w:rPr>
          <w:sz w:val="24"/>
          <w:szCs w:val="24"/>
        </w:rPr>
        <w:t>pre</w:t>
      </w:r>
      <w:r w:rsidR="00E113D1">
        <w:rPr>
          <w:sz w:val="24"/>
          <w:szCs w:val="24"/>
        </w:rPr>
        <w:t>/</w:t>
      </w:r>
      <w:r w:rsidR="00EE6090">
        <w:rPr>
          <w:sz w:val="24"/>
          <w:szCs w:val="24"/>
        </w:rPr>
        <w:t xml:space="preserve">post procedure </w:t>
      </w:r>
      <w:r w:rsidR="00672D41">
        <w:rPr>
          <w:sz w:val="24"/>
          <w:szCs w:val="24"/>
        </w:rPr>
        <w:t xml:space="preserve">patient </w:t>
      </w:r>
      <w:r w:rsidR="00EE6090">
        <w:rPr>
          <w:sz w:val="24"/>
          <w:szCs w:val="24"/>
        </w:rPr>
        <w:t>care stations</w:t>
      </w:r>
      <w:r w:rsidR="0056611B" w:rsidRPr="0056611B">
        <w:rPr>
          <w:sz w:val="24"/>
          <w:szCs w:val="24"/>
        </w:rPr>
        <w:t xml:space="preserve">. </w:t>
      </w:r>
    </w:p>
    <w:p w14:paraId="04470740" w14:textId="77777777" w:rsidR="0019791D" w:rsidRPr="0056611B" w:rsidRDefault="0019791D" w:rsidP="0056611B">
      <w:pPr>
        <w:spacing w:after="0" w:line="240" w:lineRule="auto"/>
        <w:rPr>
          <w:sz w:val="24"/>
          <w:szCs w:val="24"/>
        </w:rPr>
      </w:pPr>
    </w:p>
    <w:p w14:paraId="3E6AAADC" w14:textId="00E77026" w:rsidR="009627A1" w:rsidRDefault="004873B7" w:rsidP="004873B7">
      <w:pPr>
        <w:spacing w:line="240" w:lineRule="auto"/>
        <w:rPr>
          <w:sz w:val="24"/>
          <w:szCs w:val="24"/>
        </w:rPr>
      </w:pPr>
      <w:r>
        <w:rPr>
          <w:sz w:val="24"/>
          <w:szCs w:val="24"/>
        </w:rPr>
        <w:t xml:space="preserve">The Applicant </w:t>
      </w:r>
      <w:r w:rsidR="00941487">
        <w:rPr>
          <w:sz w:val="24"/>
          <w:szCs w:val="24"/>
        </w:rPr>
        <w:t>asserts</w:t>
      </w:r>
      <w:r>
        <w:rPr>
          <w:sz w:val="24"/>
          <w:szCs w:val="24"/>
        </w:rPr>
        <w:t xml:space="preserve"> that the additional </w:t>
      </w:r>
      <w:r w:rsidR="001C3EE5">
        <w:rPr>
          <w:sz w:val="24"/>
          <w:szCs w:val="24"/>
        </w:rPr>
        <w:t xml:space="preserve">OR </w:t>
      </w:r>
      <w:r>
        <w:rPr>
          <w:sz w:val="24"/>
          <w:szCs w:val="24"/>
        </w:rPr>
        <w:t>capacity will allow the Hospital to increase the number and types of surgical cases performed at Heywood Hospital</w:t>
      </w:r>
      <w:r w:rsidR="00704AFC">
        <w:rPr>
          <w:sz w:val="24"/>
          <w:szCs w:val="24"/>
        </w:rPr>
        <w:t xml:space="preserve">, and </w:t>
      </w:r>
      <w:r>
        <w:rPr>
          <w:sz w:val="24"/>
          <w:szCs w:val="24"/>
        </w:rPr>
        <w:t xml:space="preserve">this will in turn result in fewer referrals to higher-cost tertiary centers, increased local access to care, and promote care coordination among providers. </w:t>
      </w:r>
    </w:p>
    <w:p w14:paraId="2194A18E" w14:textId="06535AEB" w:rsidR="0099198E" w:rsidRPr="00F10148" w:rsidRDefault="00ED780D" w:rsidP="00430E8F">
      <w:pPr>
        <w:pStyle w:val="ListParagraph"/>
        <w:numPr>
          <w:ilvl w:val="0"/>
          <w:numId w:val="10"/>
        </w:numPr>
        <w:rPr>
          <w:b/>
          <w:bCs/>
          <w:sz w:val="24"/>
          <w:szCs w:val="24"/>
        </w:rPr>
      </w:pPr>
      <w:r w:rsidRPr="00F10148">
        <w:rPr>
          <w:b/>
          <w:bCs/>
          <w:sz w:val="24"/>
          <w:szCs w:val="24"/>
        </w:rPr>
        <w:t>Growing Demand for Surgical Services</w:t>
      </w:r>
    </w:p>
    <w:p w14:paraId="513BE15C" w14:textId="636271DF" w:rsidR="00474220" w:rsidRDefault="00474220" w:rsidP="00474220">
      <w:pPr>
        <w:spacing w:after="0" w:line="240" w:lineRule="auto"/>
        <w:rPr>
          <w:sz w:val="24"/>
          <w:szCs w:val="24"/>
        </w:rPr>
      </w:pPr>
      <w:r>
        <w:rPr>
          <w:sz w:val="24"/>
          <w:szCs w:val="24"/>
        </w:rPr>
        <w:t xml:space="preserve">The Applicant states </w:t>
      </w:r>
      <w:r w:rsidR="00710B2D">
        <w:rPr>
          <w:sz w:val="24"/>
          <w:szCs w:val="24"/>
        </w:rPr>
        <w:t>that the existing surgical platform is unable to meet the</w:t>
      </w:r>
      <w:r w:rsidR="00710B2D" w:rsidRPr="00710B2D">
        <w:t xml:space="preserve"> </w:t>
      </w:r>
      <w:r w:rsidR="00710B2D" w:rsidRPr="00710B2D">
        <w:rPr>
          <w:sz w:val="24"/>
          <w:szCs w:val="24"/>
        </w:rPr>
        <w:t xml:space="preserve">surgical and procedural needs of the </w:t>
      </w:r>
      <w:r w:rsidR="00710B2D">
        <w:rPr>
          <w:sz w:val="24"/>
          <w:szCs w:val="24"/>
        </w:rPr>
        <w:t xml:space="preserve">Patient Panel. </w:t>
      </w:r>
      <w:r>
        <w:rPr>
          <w:sz w:val="24"/>
          <w:szCs w:val="24"/>
        </w:rPr>
        <w:t>Heywood Hospital ha</w:t>
      </w:r>
      <w:r w:rsidR="00FF2E6B">
        <w:rPr>
          <w:sz w:val="24"/>
          <w:szCs w:val="24"/>
        </w:rPr>
        <w:t>s</w:t>
      </w:r>
      <w:r w:rsidR="00EC64C1">
        <w:rPr>
          <w:sz w:val="24"/>
          <w:szCs w:val="24"/>
        </w:rPr>
        <w:t xml:space="preserve"> been making</w:t>
      </w:r>
      <w:r>
        <w:rPr>
          <w:sz w:val="24"/>
          <w:szCs w:val="24"/>
        </w:rPr>
        <w:t xml:space="preserve"> investments in procedural-based care in</w:t>
      </w:r>
      <w:r w:rsidR="00552B95">
        <w:rPr>
          <w:sz w:val="24"/>
          <w:szCs w:val="24"/>
        </w:rPr>
        <w:t xml:space="preserve"> direct</w:t>
      </w:r>
      <w:r>
        <w:rPr>
          <w:sz w:val="24"/>
          <w:szCs w:val="24"/>
        </w:rPr>
        <w:t xml:space="preserve"> response to the needs of its</w:t>
      </w:r>
      <w:r w:rsidR="008E67E1">
        <w:rPr>
          <w:sz w:val="24"/>
          <w:szCs w:val="24"/>
        </w:rPr>
        <w:t xml:space="preserve"> patients</w:t>
      </w:r>
      <w:r w:rsidR="00EC64C1">
        <w:rPr>
          <w:sz w:val="24"/>
          <w:szCs w:val="24"/>
        </w:rPr>
        <w:t xml:space="preserve"> which has led to an increase in case volume</w:t>
      </w:r>
      <w:r w:rsidR="00FF2E6B">
        <w:rPr>
          <w:sz w:val="24"/>
          <w:szCs w:val="24"/>
        </w:rPr>
        <w:t xml:space="preserve">. </w:t>
      </w:r>
      <w:r>
        <w:rPr>
          <w:sz w:val="24"/>
          <w:szCs w:val="24"/>
        </w:rPr>
        <w:t>T</w:t>
      </w:r>
      <w:r w:rsidR="00FF2E6B">
        <w:rPr>
          <w:sz w:val="24"/>
          <w:szCs w:val="24"/>
        </w:rPr>
        <w:t>he Applicant provided the following examples of Heywood Hospital’s investment in procedural-based care</w:t>
      </w:r>
      <w:r w:rsidR="007D05C1">
        <w:rPr>
          <w:sz w:val="24"/>
          <w:szCs w:val="24"/>
        </w:rPr>
        <w:t xml:space="preserve"> to address patient need</w:t>
      </w:r>
      <w:r w:rsidR="00FF2E6B">
        <w:rPr>
          <w:sz w:val="24"/>
          <w:szCs w:val="24"/>
        </w:rPr>
        <w:t>:</w:t>
      </w:r>
    </w:p>
    <w:p w14:paraId="01415B9F" w14:textId="713C34BA" w:rsidR="00474220" w:rsidRDefault="00474220" w:rsidP="00430E8F">
      <w:pPr>
        <w:pStyle w:val="ListParagraph"/>
        <w:numPr>
          <w:ilvl w:val="0"/>
          <w:numId w:val="3"/>
        </w:numPr>
        <w:spacing w:after="0" w:line="240" w:lineRule="auto"/>
        <w:rPr>
          <w:sz w:val="24"/>
          <w:szCs w:val="24"/>
        </w:rPr>
      </w:pPr>
      <w:r w:rsidRPr="00FF2E6B">
        <w:rPr>
          <w:b/>
          <w:bCs/>
          <w:sz w:val="24"/>
          <w:szCs w:val="24"/>
        </w:rPr>
        <w:t xml:space="preserve">2016 </w:t>
      </w:r>
      <w:r>
        <w:rPr>
          <w:sz w:val="24"/>
          <w:szCs w:val="24"/>
        </w:rPr>
        <w:t xml:space="preserve">– The Applicant established a </w:t>
      </w:r>
      <w:r w:rsidR="00C34322">
        <w:rPr>
          <w:sz w:val="24"/>
          <w:szCs w:val="24"/>
        </w:rPr>
        <w:t>f</w:t>
      </w:r>
      <w:r>
        <w:rPr>
          <w:sz w:val="24"/>
          <w:szCs w:val="24"/>
        </w:rPr>
        <w:t xml:space="preserve">oundation for </w:t>
      </w:r>
      <w:r w:rsidR="00C34322">
        <w:rPr>
          <w:sz w:val="24"/>
          <w:szCs w:val="24"/>
        </w:rPr>
        <w:t>p</w:t>
      </w:r>
      <w:r>
        <w:rPr>
          <w:sz w:val="24"/>
          <w:szCs w:val="24"/>
        </w:rPr>
        <w:t xml:space="preserve">erioperative </w:t>
      </w:r>
      <w:r w:rsidR="00C34322">
        <w:rPr>
          <w:sz w:val="24"/>
          <w:szCs w:val="24"/>
        </w:rPr>
        <w:t>e</w:t>
      </w:r>
      <w:r>
        <w:rPr>
          <w:sz w:val="24"/>
          <w:szCs w:val="24"/>
        </w:rPr>
        <w:t>xcellence which included the recruitment of a perioperative leadership team and new anesthesia group</w:t>
      </w:r>
      <w:r w:rsidR="00960CF1">
        <w:rPr>
          <w:sz w:val="24"/>
          <w:szCs w:val="24"/>
        </w:rPr>
        <w:t>.</w:t>
      </w:r>
    </w:p>
    <w:p w14:paraId="43648408" w14:textId="7C5C5827" w:rsidR="00474220" w:rsidRDefault="00474220" w:rsidP="00430E8F">
      <w:pPr>
        <w:pStyle w:val="ListParagraph"/>
        <w:numPr>
          <w:ilvl w:val="0"/>
          <w:numId w:val="3"/>
        </w:numPr>
        <w:spacing w:after="0" w:line="240" w:lineRule="auto"/>
        <w:rPr>
          <w:sz w:val="24"/>
          <w:szCs w:val="24"/>
        </w:rPr>
      </w:pPr>
      <w:r w:rsidRPr="00FF2E6B">
        <w:rPr>
          <w:b/>
          <w:bCs/>
          <w:sz w:val="24"/>
          <w:szCs w:val="24"/>
        </w:rPr>
        <w:t>2017</w:t>
      </w:r>
      <w:r>
        <w:rPr>
          <w:sz w:val="24"/>
          <w:szCs w:val="24"/>
        </w:rPr>
        <w:t xml:space="preserve"> –</w:t>
      </w:r>
      <w:r w:rsidR="00CF44DD">
        <w:rPr>
          <w:sz w:val="24"/>
          <w:szCs w:val="24"/>
        </w:rPr>
        <w:t xml:space="preserve"> The Heywood</w:t>
      </w:r>
      <w:r>
        <w:rPr>
          <w:sz w:val="24"/>
          <w:szCs w:val="24"/>
        </w:rPr>
        <w:t xml:space="preserve"> </w:t>
      </w:r>
      <w:r w:rsidR="00CF44DD" w:rsidRPr="00CF44DD">
        <w:rPr>
          <w:sz w:val="24"/>
          <w:szCs w:val="24"/>
        </w:rPr>
        <w:t xml:space="preserve">Center for Weight Loss and Bariatric Surgery </w:t>
      </w:r>
      <w:r>
        <w:rPr>
          <w:sz w:val="24"/>
          <w:szCs w:val="24"/>
        </w:rPr>
        <w:t>was started in response to</w:t>
      </w:r>
      <w:r w:rsidR="00CF44DD">
        <w:rPr>
          <w:sz w:val="24"/>
          <w:szCs w:val="24"/>
        </w:rPr>
        <w:t xml:space="preserve"> a</w:t>
      </w:r>
      <w:r>
        <w:rPr>
          <w:sz w:val="24"/>
          <w:szCs w:val="24"/>
        </w:rPr>
        <w:t xml:space="preserve"> high prevalence of obesity. </w:t>
      </w:r>
      <w:r w:rsidR="00CF44DD">
        <w:rPr>
          <w:sz w:val="24"/>
          <w:szCs w:val="24"/>
        </w:rPr>
        <w:t>The Applicant states that the Center has experienced rapid growth</w:t>
      </w:r>
      <w:r>
        <w:rPr>
          <w:sz w:val="24"/>
          <w:szCs w:val="24"/>
        </w:rPr>
        <w:t xml:space="preserve"> </w:t>
      </w:r>
      <w:r w:rsidRPr="002F5AA0">
        <w:rPr>
          <w:sz w:val="24"/>
          <w:szCs w:val="24"/>
        </w:rPr>
        <w:t>and achieve</w:t>
      </w:r>
      <w:r w:rsidR="00960CF1" w:rsidRPr="002F5AA0">
        <w:rPr>
          <w:sz w:val="24"/>
          <w:szCs w:val="24"/>
        </w:rPr>
        <w:t>d</w:t>
      </w:r>
      <w:r>
        <w:rPr>
          <w:sz w:val="24"/>
          <w:szCs w:val="24"/>
        </w:rPr>
        <w:t xml:space="preserve"> </w:t>
      </w:r>
      <w:r w:rsidR="00CF44DD" w:rsidRPr="00CF44DD">
        <w:rPr>
          <w:sz w:val="24"/>
          <w:szCs w:val="24"/>
        </w:rPr>
        <w:t>Metabolic and Bariatric Surgery Accreditation and Quality Improvement Program (MBSAQIP)</w:t>
      </w:r>
      <w:r>
        <w:rPr>
          <w:sz w:val="24"/>
          <w:szCs w:val="24"/>
        </w:rPr>
        <w:t xml:space="preserve"> Center of Excellence accreditation.</w:t>
      </w:r>
      <w:r w:rsidR="00CF44DD">
        <w:rPr>
          <w:rStyle w:val="FootnoteReference"/>
          <w:sz w:val="24"/>
          <w:szCs w:val="24"/>
        </w:rPr>
        <w:footnoteReference w:id="15"/>
      </w:r>
      <w:r>
        <w:rPr>
          <w:sz w:val="24"/>
          <w:szCs w:val="24"/>
        </w:rPr>
        <w:t xml:space="preserve"> </w:t>
      </w:r>
    </w:p>
    <w:p w14:paraId="0229F343" w14:textId="3489F051" w:rsidR="00474220" w:rsidRDefault="00474220" w:rsidP="00430E8F">
      <w:pPr>
        <w:pStyle w:val="ListParagraph"/>
        <w:numPr>
          <w:ilvl w:val="0"/>
          <w:numId w:val="3"/>
        </w:numPr>
        <w:spacing w:after="0" w:line="240" w:lineRule="auto"/>
        <w:rPr>
          <w:sz w:val="24"/>
          <w:szCs w:val="24"/>
        </w:rPr>
      </w:pPr>
      <w:r w:rsidRPr="00FF2E6B">
        <w:rPr>
          <w:b/>
          <w:bCs/>
          <w:sz w:val="24"/>
          <w:szCs w:val="24"/>
        </w:rPr>
        <w:t>2018</w:t>
      </w:r>
      <w:r>
        <w:rPr>
          <w:sz w:val="24"/>
          <w:szCs w:val="24"/>
        </w:rPr>
        <w:t xml:space="preserve"> – Orthopedic service launche</w:t>
      </w:r>
      <w:r w:rsidR="002E03CB">
        <w:rPr>
          <w:sz w:val="24"/>
          <w:szCs w:val="24"/>
        </w:rPr>
        <w:t>d a</w:t>
      </w:r>
      <w:r>
        <w:rPr>
          <w:sz w:val="24"/>
          <w:szCs w:val="24"/>
        </w:rPr>
        <w:t xml:space="preserve"> minimally</w:t>
      </w:r>
      <w:r w:rsidR="008E11A5">
        <w:rPr>
          <w:sz w:val="24"/>
          <w:szCs w:val="24"/>
        </w:rPr>
        <w:t xml:space="preserve"> </w:t>
      </w:r>
      <w:r>
        <w:rPr>
          <w:sz w:val="24"/>
          <w:szCs w:val="24"/>
        </w:rPr>
        <w:t>invasive, anterior approach total hip replacement program</w:t>
      </w:r>
      <w:r w:rsidR="00960CF1">
        <w:rPr>
          <w:sz w:val="24"/>
          <w:szCs w:val="24"/>
        </w:rPr>
        <w:t>.</w:t>
      </w:r>
    </w:p>
    <w:p w14:paraId="1E6613CE" w14:textId="43D9C868" w:rsidR="00474220" w:rsidRDefault="00474220" w:rsidP="00430E8F">
      <w:pPr>
        <w:pStyle w:val="ListParagraph"/>
        <w:numPr>
          <w:ilvl w:val="0"/>
          <w:numId w:val="3"/>
        </w:numPr>
        <w:spacing w:after="0" w:line="240" w:lineRule="auto"/>
        <w:rPr>
          <w:sz w:val="24"/>
          <w:szCs w:val="24"/>
        </w:rPr>
      </w:pPr>
      <w:r w:rsidRPr="00FF2E6B">
        <w:rPr>
          <w:b/>
          <w:bCs/>
          <w:sz w:val="24"/>
          <w:szCs w:val="24"/>
        </w:rPr>
        <w:t>2019</w:t>
      </w:r>
      <w:r>
        <w:rPr>
          <w:sz w:val="24"/>
          <w:szCs w:val="24"/>
        </w:rPr>
        <w:t xml:space="preserve"> – Gastroenterology service begins performing ERCP</w:t>
      </w:r>
      <w:r w:rsidR="002E03CB">
        <w:rPr>
          <w:sz w:val="24"/>
          <w:szCs w:val="24"/>
        </w:rPr>
        <w:t>.</w:t>
      </w:r>
      <w:r w:rsidR="00A67E42" w:rsidRPr="00A67E42">
        <w:t xml:space="preserve"> </w:t>
      </w:r>
      <w:r w:rsidR="00A67E42" w:rsidRPr="00D73D54">
        <w:rPr>
          <w:sz w:val="24"/>
          <w:szCs w:val="24"/>
        </w:rPr>
        <w:t>Because this procedure was</w:t>
      </w:r>
      <w:r w:rsidR="00A67E42">
        <w:t xml:space="preserve"> </w:t>
      </w:r>
      <w:r w:rsidR="00A67E42">
        <w:rPr>
          <w:sz w:val="24"/>
          <w:szCs w:val="24"/>
        </w:rPr>
        <w:t>p</w:t>
      </w:r>
      <w:r w:rsidR="00A67E42" w:rsidRPr="00A67E42">
        <w:rPr>
          <w:sz w:val="24"/>
          <w:szCs w:val="24"/>
        </w:rPr>
        <w:t>reviously unavailable at Heywood Hospital, many patients who presented at Heywood Hospital with biliary disease had to be transferred to a tertiary center in order to have t</w:t>
      </w:r>
      <w:r w:rsidR="00977925">
        <w:rPr>
          <w:sz w:val="24"/>
          <w:szCs w:val="24"/>
        </w:rPr>
        <w:t>he</w:t>
      </w:r>
      <w:r w:rsidR="00A67E42" w:rsidRPr="00A67E42">
        <w:rPr>
          <w:sz w:val="24"/>
          <w:szCs w:val="24"/>
        </w:rPr>
        <w:t xml:space="preserve"> procedure.</w:t>
      </w:r>
    </w:p>
    <w:p w14:paraId="7AE9176A" w14:textId="77777777" w:rsidR="00527577" w:rsidRDefault="00527577" w:rsidP="00527577">
      <w:pPr>
        <w:pStyle w:val="ListParagraph"/>
        <w:spacing w:after="0" w:line="240" w:lineRule="auto"/>
        <w:rPr>
          <w:sz w:val="24"/>
          <w:szCs w:val="24"/>
        </w:rPr>
      </w:pPr>
    </w:p>
    <w:p w14:paraId="3C49F019" w14:textId="0E676610" w:rsidR="00EF07BD" w:rsidRDefault="00960BD7" w:rsidP="0082014A">
      <w:pPr>
        <w:spacing w:line="240" w:lineRule="auto"/>
        <w:rPr>
          <w:sz w:val="24"/>
          <w:szCs w:val="24"/>
        </w:rPr>
      </w:pPr>
      <w:r>
        <w:rPr>
          <w:sz w:val="24"/>
          <w:szCs w:val="24"/>
        </w:rPr>
        <w:t>The Applicant asserts that its investments in perioperative care</w:t>
      </w:r>
      <w:r w:rsidR="0057105C">
        <w:rPr>
          <w:sz w:val="24"/>
          <w:szCs w:val="24"/>
        </w:rPr>
        <w:t xml:space="preserve"> to address patient need for local access to procedural and surgical care</w:t>
      </w:r>
      <w:r>
        <w:rPr>
          <w:sz w:val="24"/>
          <w:szCs w:val="24"/>
        </w:rPr>
        <w:t xml:space="preserve"> result</w:t>
      </w:r>
      <w:r w:rsidR="00960CF1">
        <w:rPr>
          <w:sz w:val="24"/>
          <w:szCs w:val="24"/>
        </w:rPr>
        <w:t>ed</w:t>
      </w:r>
      <w:r>
        <w:rPr>
          <w:sz w:val="24"/>
          <w:szCs w:val="24"/>
        </w:rPr>
        <w:t xml:space="preserve"> in record high case volume and </w:t>
      </w:r>
      <w:r w:rsidR="00ED2EB1">
        <w:rPr>
          <w:sz w:val="24"/>
          <w:szCs w:val="24"/>
        </w:rPr>
        <w:t>OR</w:t>
      </w:r>
      <w:r>
        <w:rPr>
          <w:sz w:val="24"/>
          <w:szCs w:val="24"/>
        </w:rPr>
        <w:t xml:space="preserve"> utilization prior to the onset of the COVID-19 pandemic. </w:t>
      </w:r>
      <w:r w:rsidR="00960CF1">
        <w:rPr>
          <w:sz w:val="24"/>
          <w:szCs w:val="24"/>
        </w:rPr>
        <w:t>C</w:t>
      </w:r>
      <w:r w:rsidR="00047DC4" w:rsidRPr="00BE7394">
        <w:rPr>
          <w:sz w:val="24"/>
          <w:szCs w:val="24"/>
        </w:rPr>
        <w:t xml:space="preserve">ase volume of surgical procedures </w:t>
      </w:r>
      <w:r w:rsidR="00960CF1">
        <w:rPr>
          <w:sz w:val="24"/>
          <w:szCs w:val="24"/>
        </w:rPr>
        <w:t>increased by</w:t>
      </w:r>
      <w:r w:rsidR="00047DC4" w:rsidRPr="00BE7394">
        <w:rPr>
          <w:sz w:val="24"/>
          <w:szCs w:val="24"/>
        </w:rPr>
        <w:t xml:space="preserve"> 2</w:t>
      </w:r>
      <w:r w:rsidR="00DB337B">
        <w:rPr>
          <w:sz w:val="24"/>
          <w:szCs w:val="24"/>
        </w:rPr>
        <w:t>3</w:t>
      </w:r>
      <w:r w:rsidR="00047DC4" w:rsidRPr="00BE7394">
        <w:rPr>
          <w:sz w:val="24"/>
          <w:szCs w:val="24"/>
        </w:rPr>
        <w:t>% from 2016 to 2018</w:t>
      </w:r>
      <w:r w:rsidR="00892B58">
        <w:rPr>
          <w:sz w:val="24"/>
          <w:szCs w:val="24"/>
        </w:rPr>
        <w:t xml:space="preserve">, as shown in Table </w:t>
      </w:r>
      <w:r w:rsidR="007E04D6">
        <w:rPr>
          <w:sz w:val="24"/>
          <w:szCs w:val="24"/>
        </w:rPr>
        <w:t>5</w:t>
      </w:r>
      <w:r w:rsidR="00892B58">
        <w:rPr>
          <w:sz w:val="24"/>
          <w:szCs w:val="24"/>
        </w:rPr>
        <w:t xml:space="preserve"> below.</w:t>
      </w:r>
      <w:r w:rsidR="00960CF1">
        <w:rPr>
          <w:sz w:val="24"/>
          <w:szCs w:val="24"/>
        </w:rPr>
        <w:t xml:space="preserve"> </w:t>
      </w:r>
    </w:p>
    <w:p w14:paraId="13C4A107" w14:textId="1D90035F" w:rsidR="00EF07BD" w:rsidRPr="00EF07BD" w:rsidRDefault="00EF07BD" w:rsidP="00EF07BD">
      <w:pPr>
        <w:spacing w:line="240" w:lineRule="auto"/>
        <w:jc w:val="center"/>
        <w:rPr>
          <w:b/>
          <w:bCs/>
          <w:sz w:val="24"/>
          <w:szCs w:val="24"/>
        </w:rPr>
      </w:pPr>
      <w:r w:rsidRPr="00EF07BD">
        <w:rPr>
          <w:b/>
          <w:bCs/>
          <w:sz w:val="24"/>
          <w:szCs w:val="24"/>
        </w:rPr>
        <w:t xml:space="preserve">Table </w:t>
      </w:r>
      <w:r w:rsidR="007E04D6">
        <w:rPr>
          <w:b/>
          <w:bCs/>
          <w:sz w:val="24"/>
          <w:szCs w:val="24"/>
        </w:rPr>
        <w:t>5</w:t>
      </w:r>
      <w:r w:rsidR="00583E50">
        <w:rPr>
          <w:b/>
          <w:bCs/>
          <w:sz w:val="24"/>
          <w:szCs w:val="24"/>
        </w:rPr>
        <w:t>: Heywood Hospital Surgical Case Volume (2016-2018)</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83"/>
        <w:gridCol w:w="1921"/>
        <w:gridCol w:w="1400"/>
      </w:tblGrid>
      <w:tr w:rsidR="00EF07BD" w:rsidRPr="00EF07BD" w14:paraId="73856A9A" w14:textId="77777777" w:rsidTr="00CD5369">
        <w:trPr>
          <w:jc w:val="center"/>
        </w:trPr>
        <w:tc>
          <w:tcPr>
            <w:tcW w:w="0" w:type="auto"/>
          </w:tcPr>
          <w:p w14:paraId="659FFE12" w14:textId="77777777" w:rsidR="00EF07BD" w:rsidRPr="00EF07BD" w:rsidRDefault="00EF07BD" w:rsidP="00EF07BD">
            <w:pPr>
              <w:spacing w:line="240" w:lineRule="auto"/>
            </w:pPr>
          </w:p>
        </w:tc>
        <w:tc>
          <w:tcPr>
            <w:tcW w:w="0" w:type="auto"/>
            <w:shd w:val="clear" w:color="auto" w:fill="F2F2F2"/>
          </w:tcPr>
          <w:p w14:paraId="45E2E110" w14:textId="77777777" w:rsidR="00EF07BD" w:rsidRPr="00EF07BD" w:rsidRDefault="00EF07BD" w:rsidP="00EF07BD">
            <w:pPr>
              <w:spacing w:line="240" w:lineRule="auto"/>
              <w:rPr>
                <w:b/>
              </w:rPr>
            </w:pPr>
            <w:r w:rsidRPr="00EF07BD">
              <w:rPr>
                <w:b/>
              </w:rPr>
              <w:t>Individual Patients</w:t>
            </w:r>
          </w:p>
        </w:tc>
        <w:tc>
          <w:tcPr>
            <w:tcW w:w="0" w:type="auto"/>
            <w:shd w:val="clear" w:color="auto" w:fill="F2F2F2"/>
          </w:tcPr>
          <w:p w14:paraId="2BE10B90" w14:textId="77777777" w:rsidR="00EF07BD" w:rsidRPr="00EF07BD" w:rsidRDefault="00EF07BD" w:rsidP="00EF07BD">
            <w:pPr>
              <w:spacing w:line="240" w:lineRule="auto"/>
              <w:rPr>
                <w:b/>
              </w:rPr>
            </w:pPr>
            <w:r w:rsidRPr="00EF07BD">
              <w:rPr>
                <w:b/>
              </w:rPr>
              <w:t>Case Volume</w:t>
            </w:r>
          </w:p>
        </w:tc>
      </w:tr>
      <w:tr w:rsidR="00EF07BD" w:rsidRPr="00EF07BD" w14:paraId="1E3081FF" w14:textId="77777777" w:rsidTr="00CD5369">
        <w:trPr>
          <w:jc w:val="center"/>
        </w:trPr>
        <w:tc>
          <w:tcPr>
            <w:tcW w:w="0" w:type="auto"/>
          </w:tcPr>
          <w:p w14:paraId="6057873C" w14:textId="77777777" w:rsidR="00EF07BD" w:rsidRPr="00EF07BD" w:rsidRDefault="00EF07BD" w:rsidP="00EF07BD">
            <w:pPr>
              <w:spacing w:line="240" w:lineRule="auto"/>
              <w:rPr>
                <w:b/>
              </w:rPr>
            </w:pPr>
            <w:r w:rsidRPr="00EF07BD">
              <w:rPr>
                <w:b/>
              </w:rPr>
              <w:t>2016</w:t>
            </w:r>
          </w:p>
        </w:tc>
        <w:tc>
          <w:tcPr>
            <w:tcW w:w="0" w:type="auto"/>
          </w:tcPr>
          <w:p w14:paraId="18EBFB37" w14:textId="77777777" w:rsidR="00EF07BD" w:rsidRPr="00EF07BD" w:rsidRDefault="00EF07BD" w:rsidP="00BF128C">
            <w:pPr>
              <w:spacing w:line="240" w:lineRule="auto"/>
              <w:jc w:val="center"/>
            </w:pPr>
            <w:r w:rsidRPr="00EF07BD">
              <w:t>3,506</w:t>
            </w:r>
          </w:p>
        </w:tc>
        <w:tc>
          <w:tcPr>
            <w:tcW w:w="0" w:type="auto"/>
          </w:tcPr>
          <w:p w14:paraId="30112E78" w14:textId="77777777" w:rsidR="00EF07BD" w:rsidRPr="00EF07BD" w:rsidRDefault="00EF07BD" w:rsidP="00BF128C">
            <w:pPr>
              <w:spacing w:line="240" w:lineRule="auto"/>
              <w:jc w:val="center"/>
            </w:pPr>
            <w:r w:rsidRPr="00EF07BD">
              <w:t>4,469</w:t>
            </w:r>
          </w:p>
        </w:tc>
      </w:tr>
      <w:tr w:rsidR="00EF07BD" w:rsidRPr="00EF07BD" w14:paraId="1845CCD4" w14:textId="77777777" w:rsidTr="00CD5369">
        <w:trPr>
          <w:jc w:val="center"/>
        </w:trPr>
        <w:tc>
          <w:tcPr>
            <w:tcW w:w="0" w:type="auto"/>
          </w:tcPr>
          <w:p w14:paraId="45F7C34B" w14:textId="77777777" w:rsidR="00EF07BD" w:rsidRPr="00EF07BD" w:rsidRDefault="00EF07BD" w:rsidP="00EF07BD">
            <w:pPr>
              <w:spacing w:line="240" w:lineRule="auto"/>
              <w:rPr>
                <w:b/>
              </w:rPr>
            </w:pPr>
            <w:r w:rsidRPr="00EF07BD">
              <w:rPr>
                <w:b/>
              </w:rPr>
              <w:t>2017</w:t>
            </w:r>
          </w:p>
        </w:tc>
        <w:tc>
          <w:tcPr>
            <w:tcW w:w="0" w:type="auto"/>
          </w:tcPr>
          <w:p w14:paraId="4D0BDBCD" w14:textId="77777777" w:rsidR="00EF07BD" w:rsidRPr="00EF07BD" w:rsidRDefault="00EF07BD" w:rsidP="00BF128C">
            <w:pPr>
              <w:spacing w:line="240" w:lineRule="auto"/>
              <w:jc w:val="center"/>
            </w:pPr>
            <w:r w:rsidRPr="00EF07BD">
              <w:t>3,624</w:t>
            </w:r>
          </w:p>
        </w:tc>
        <w:tc>
          <w:tcPr>
            <w:tcW w:w="0" w:type="auto"/>
          </w:tcPr>
          <w:p w14:paraId="5AFC3338" w14:textId="77777777" w:rsidR="00EF07BD" w:rsidRPr="00EF07BD" w:rsidRDefault="00EF07BD" w:rsidP="00BF128C">
            <w:pPr>
              <w:spacing w:line="240" w:lineRule="auto"/>
              <w:jc w:val="center"/>
            </w:pPr>
            <w:r w:rsidRPr="00EF07BD">
              <w:t>4,709</w:t>
            </w:r>
          </w:p>
        </w:tc>
      </w:tr>
      <w:tr w:rsidR="00EF07BD" w:rsidRPr="00EF07BD" w14:paraId="4D1602B5" w14:textId="77777777" w:rsidTr="00CD5369">
        <w:trPr>
          <w:jc w:val="center"/>
        </w:trPr>
        <w:tc>
          <w:tcPr>
            <w:tcW w:w="0" w:type="auto"/>
          </w:tcPr>
          <w:p w14:paraId="48CFA08E" w14:textId="77777777" w:rsidR="00EF07BD" w:rsidRPr="00EF07BD" w:rsidRDefault="00EF07BD" w:rsidP="00EF07BD">
            <w:pPr>
              <w:spacing w:line="240" w:lineRule="auto"/>
              <w:rPr>
                <w:b/>
              </w:rPr>
            </w:pPr>
            <w:r w:rsidRPr="00EF07BD">
              <w:rPr>
                <w:b/>
              </w:rPr>
              <w:t>2018</w:t>
            </w:r>
          </w:p>
        </w:tc>
        <w:tc>
          <w:tcPr>
            <w:tcW w:w="0" w:type="auto"/>
          </w:tcPr>
          <w:p w14:paraId="604F429F" w14:textId="77777777" w:rsidR="00EF07BD" w:rsidRPr="00EF07BD" w:rsidRDefault="00EF07BD" w:rsidP="00BF128C">
            <w:pPr>
              <w:spacing w:line="240" w:lineRule="auto"/>
              <w:jc w:val="center"/>
            </w:pPr>
            <w:r w:rsidRPr="00EF07BD">
              <w:t>4,187</w:t>
            </w:r>
          </w:p>
        </w:tc>
        <w:tc>
          <w:tcPr>
            <w:tcW w:w="0" w:type="auto"/>
          </w:tcPr>
          <w:p w14:paraId="5BBBC233" w14:textId="77777777" w:rsidR="00EF07BD" w:rsidRPr="00EF07BD" w:rsidRDefault="00EF07BD" w:rsidP="00BF128C">
            <w:pPr>
              <w:spacing w:line="240" w:lineRule="auto"/>
              <w:jc w:val="center"/>
            </w:pPr>
            <w:r w:rsidRPr="00EF07BD">
              <w:t>5,486</w:t>
            </w:r>
          </w:p>
        </w:tc>
      </w:tr>
      <w:tr w:rsidR="00EF07BD" w:rsidRPr="00EF07BD" w14:paraId="03A5FE5E" w14:textId="77777777" w:rsidTr="00CD5369">
        <w:trPr>
          <w:jc w:val="center"/>
        </w:trPr>
        <w:tc>
          <w:tcPr>
            <w:tcW w:w="0" w:type="auto"/>
          </w:tcPr>
          <w:p w14:paraId="6072ADF9" w14:textId="77777777" w:rsidR="00EF07BD" w:rsidRPr="00EF07BD" w:rsidRDefault="00EF07BD" w:rsidP="00EF07BD">
            <w:pPr>
              <w:spacing w:line="240" w:lineRule="auto"/>
              <w:rPr>
                <w:b/>
              </w:rPr>
            </w:pPr>
            <w:r w:rsidRPr="00EF07BD">
              <w:rPr>
                <w:b/>
              </w:rPr>
              <w:t>Total</w:t>
            </w:r>
          </w:p>
        </w:tc>
        <w:tc>
          <w:tcPr>
            <w:tcW w:w="0" w:type="auto"/>
          </w:tcPr>
          <w:p w14:paraId="2A890997" w14:textId="5FE91181" w:rsidR="00EF07BD" w:rsidRPr="00EF07BD" w:rsidRDefault="00EF07BD" w:rsidP="00BF128C">
            <w:pPr>
              <w:spacing w:line="240" w:lineRule="auto"/>
              <w:jc w:val="center"/>
            </w:pPr>
            <w:r w:rsidRPr="00EF07BD">
              <w:t>9,627</w:t>
            </w:r>
            <w:r w:rsidR="00B51197" w:rsidRPr="00CD5369">
              <w:rPr>
                <w:rStyle w:val="FootnoteReference"/>
              </w:rPr>
              <w:footnoteReference w:id="16"/>
            </w:r>
          </w:p>
        </w:tc>
        <w:tc>
          <w:tcPr>
            <w:tcW w:w="0" w:type="auto"/>
          </w:tcPr>
          <w:p w14:paraId="6641C16A" w14:textId="77777777" w:rsidR="00EF07BD" w:rsidRPr="00EF07BD" w:rsidRDefault="00EF07BD" w:rsidP="00BF128C">
            <w:pPr>
              <w:spacing w:line="240" w:lineRule="auto"/>
              <w:jc w:val="center"/>
            </w:pPr>
            <w:r w:rsidRPr="00EF07BD">
              <w:t>14,664</w:t>
            </w:r>
          </w:p>
        </w:tc>
      </w:tr>
    </w:tbl>
    <w:p w14:paraId="482D7A15" w14:textId="77777777" w:rsidR="00DB1A36" w:rsidRDefault="00DB1A36" w:rsidP="008C721A">
      <w:pPr>
        <w:spacing w:after="0" w:line="240" w:lineRule="auto"/>
        <w:rPr>
          <w:sz w:val="24"/>
          <w:szCs w:val="24"/>
        </w:rPr>
      </w:pPr>
    </w:p>
    <w:p w14:paraId="28C15329" w14:textId="310871C7" w:rsidR="00892B58" w:rsidRDefault="00892B58" w:rsidP="008C721A">
      <w:pPr>
        <w:spacing w:after="0" w:line="240" w:lineRule="auto"/>
        <w:rPr>
          <w:sz w:val="24"/>
          <w:szCs w:val="24"/>
        </w:rPr>
      </w:pPr>
      <w:r>
        <w:rPr>
          <w:sz w:val="24"/>
          <w:szCs w:val="24"/>
        </w:rPr>
        <w:t>The Applicant states that this increase in case volume brought</w:t>
      </w:r>
      <w:r w:rsidRPr="00BE7394">
        <w:rPr>
          <w:sz w:val="24"/>
          <w:szCs w:val="24"/>
        </w:rPr>
        <w:t xml:space="preserve"> </w:t>
      </w:r>
      <w:r w:rsidR="00C34322">
        <w:rPr>
          <w:sz w:val="24"/>
          <w:szCs w:val="24"/>
        </w:rPr>
        <w:t>p</w:t>
      </w:r>
      <w:r w:rsidRPr="00BE7394">
        <w:rPr>
          <w:sz w:val="24"/>
          <w:szCs w:val="24"/>
        </w:rPr>
        <w:t xml:space="preserve">erioperative </w:t>
      </w:r>
      <w:r w:rsidR="00C34322">
        <w:rPr>
          <w:sz w:val="24"/>
          <w:szCs w:val="24"/>
        </w:rPr>
        <w:t>s</w:t>
      </w:r>
      <w:r w:rsidRPr="00BE7394">
        <w:rPr>
          <w:sz w:val="24"/>
          <w:szCs w:val="24"/>
        </w:rPr>
        <w:t>ervices to peak capacity and maximal utilization</w:t>
      </w:r>
      <w:r>
        <w:rPr>
          <w:sz w:val="24"/>
          <w:szCs w:val="24"/>
        </w:rPr>
        <w:t xml:space="preserve">, which </w:t>
      </w:r>
      <w:r w:rsidR="00015877">
        <w:rPr>
          <w:sz w:val="24"/>
          <w:szCs w:val="24"/>
        </w:rPr>
        <w:t>then yield</w:t>
      </w:r>
      <w:r w:rsidR="0041411E">
        <w:rPr>
          <w:sz w:val="24"/>
          <w:szCs w:val="24"/>
        </w:rPr>
        <w:t>ed</w:t>
      </w:r>
      <w:r w:rsidR="00015877">
        <w:rPr>
          <w:sz w:val="24"/>
          <w:szCs w:val="24"/>
        </w:rPr>
        <w:t xml:space="preserve"> new </w:t>
      </w:r>
      <w:r w:rsidR="00C90A84">
        <w:rPr>
          <w:sz w:val="24"/>
          <w:szCs w:val="24"/>
        </w:rPr>
        <w:t>constraints</w:t>
      </w:r>
      <w:r w:rsidR="008C721A">
        <w:rPr>
          <w:sz w:val="24"/>
          <w:szCs w:val="24"/>
        </w:rPr>
        <w:t>.</w:t>
      </w:r>
    </w:p>
    <w:p w14:paraId="01691AFB" w14:textId="0CBEA7DE" w:rsidR="00892B58" w:rsidRDefault="00892B58" w:rsidP="008C721A">
      <w:pPr>
        <w:pStyle w:val="ListParagraph"/>
        <w:numPr>
          <w:ilvl w:val="0"/>
          <w:numId w:val="27"/>
        </w:numPr>
        <w:spacing w:after="0" w:line="240" w:lineRule="auto"/>
        <w:rPr>
          <w:sz w:val="24"/>
          <w:szCs w:val="24"/>
        </w:rPr>
      </w:pPr>
      <w:r>
        <w:rPr>
          <w:sz w:val="24"/>
          <w:szCs w:val="24"/>
        </w:rPr>
        <w:t xml:space="preserve">OR </w:t>
      </w:r>
      <w:r w:rsidR="00603A1C">
        <w:rPr>
          <w:sz w:val="24"/>
          <w:szCs w:val="24"/>
        </w:rPr>
        <w:t>S</w:t>
      </w:r>
      <w:r>
        <w:rPr>
          <w:sz w:val="24"/>
          <w:szCs w:val="24"/>
        </w:rPr>
        <w:t xml:space="preserve">ize – </w:t>
      </w:r>
      <w:r w:rsidR="00220D14">
        <w:rPr>
          <w:sz w:val="24"/>
          <w:szCs w:val="24"/>
        </w:rPr>
        <w:t>As mentioned above, t</w:t>
      </w:r>
      <w:r>
        <w:rPr>
          <w:sz w:val="24"/>
          <w:szCs w:val="24"/>
        </w:rPr>
        <w:t>he size limitation of the existing ORs is contributing to capacity constraints</w:t>
      </w:r>
      <w:r w:rsidR="009763CA">
        <w:rPr>
          <w:sz w:val="24"/>
          <w:szCs w:val="24"/>
        </w:rPr>
        <w:t xml:space="preserve">. </w:t>
      </w:r>
    </w:p>
    <w:p w14:paraId="40F18088" w14:textId="13BBD199" w:rsidR="00892B58" w:rsidRDefault="006033F8" w:rsidP="008C721A">
      <w:pPr>
        <w:pStyle w:val="ListParagraph"/>
        <w:numPr>
          <w:ilvl w:val="0"/>
          <w:numId w:val="27"/>
        </w:numPr>
        <w:spacing w:after="0" w:line="240" w:lineRule="auto"/>
        <w:rPr>
          <w:sz w:val="24"/>
          <w:szCs w:val="24"/>
        </w:rPr>
      </w:pPr>
      <w:r>
        <w:rPr>
          <w:sz w:val="24"/>
          <w:szCs w:val="24"/>
        </w:rPr>
        <w:t xml:space="preserve">Daily Schedule – </w:t>
      </w:r>
      <w:r w:rsidR="001412CA">
        <w:rPr>
          <w:sz w:val="24"/>
          <w:szCs w:val="24"/>
        </w:rPr>
        <w:t>P</w:t>
      </w:r>
      <w:r w:rsidR="008C721A">
        <w:rPr>
          <w:sz w:val="24"/>
          <w:szCs w:val="24"/>
        </w:rPr>
        <w:t xml:space="preserve">erioperative </w:t>
      </w:r>
      <w:r w:rsidR="00C34322">
        <w:rPr>
          <w:sz w:val="24"/>
          <w:szCs w:val="24"/>
        </w:rPr>
        <w:t>s</w:t>
      </w:r>
      <w:r w:rsidR="008C721A">
        <w:rPr>
          <w:sz w:val="24"/>
          <w:szCs w:val="24"/>
        </w:rPr>
        <w:t xml:space="preserve">ervices </w:t>
      </w:r>
      <w:r>
        <w:rPr>
          <w:sz w:val="24"/>
          <w:szCs w:val="24"/>
        </w:rPr>
        <w:t xml:space="preserve">has </w:t>
      </w:r>
      <w:r w:rsidR="008C721A">
        <w:rPr>
          <w:sz w:val="24"/>
          <w:szCs w:val="24"/>
        </w:rPr>
        <w:t>experienced</w:t>
      </w:r>
      <w:r>
        <w:rPr>
          <w:sz w:val="24"/>
          <w:szCs w:val="24"/>
        </w:rPr>
        <w:t xml:space="preserve"> significant growth in the average number of scheduled cases per day</w:t>
      </w:r>
      <w:r w:rsidR="008C721A">
        <w:rPr>
          <w:sz w:val="24"/>
          <w:szCs w:val="24"/>
        </w:rPr>
        <w:t>.</w:t>
      </w:r>
      <w:r w:rsidR="00732034">
        <w:rPr>
          <w:sz w:val="24"/>
          <w:szCs w:val="24"/>
        </w:rPr>
        <w:t xml:space="preserve"> </w:t>
      </w:r>
      <w:r w:rsidR="001515E3">
        <w:rPr>
          <w:sz w:val="24"/>
          <w:szCs w:val="24"/>
        </w:rPr>
        <w:t xml:space="preserve">As shown in Exhibit 1 below, there </w:t>
      </w:r>
      <w:r w:rsidR="008C721A">
        <w:rPr>
          <w:sz w:val="24"/>
          <w:szCs w:val="24"/>
        </w:rPr>
        <w:t xml:space="preserve">were </w:t>
      </w:r>
      <w:r w:rsidR="00526F8B">
        <w:rPr>
          <w:sz w:val="24"/>
          <w:szCs w:val="24"/>
        </w:rPr>
        <w:t>30</w:t>
      </w:r>
      <w:r w:rsidR="008C721A">
        <w:rPr>
          <w:sz w:val="24"/>
          <w:szCs w:val="24"/>
        </w:rPr>
        <w:t xml:space="preserve"> average cases per day</w:t>
      </w:r>
      <w:r w:rsidR="00526F8B">
        <w:rPr>
          <w:sz w:val="24"/>
          <w:szCs w:val="24"/>
        </w:rPr>
        <w:t xml:space="preserve"> in FY16-Quarter 2, </w:t>
      </w:r>
      <w:r w:rsidR="0001796E">
        <w:rPr>
          <w:sz w:val="24"/>
          <w:szCs w:val="24"/>
        </w:rPr>
        <w:t xml:space="preserve">and </w:t>
      </w:r>
      <w:r w:rsidR="00526F8B">
        <w:rPr>
          <w:sz w:val="24"/>
          <w:szCs w:val="24"/>
        </w:rPr>
        <w:t xml:space="preserve">39 per day in FY19-Quarter 2. </w:t>
      </w:r>
    </w:p>
    <w:p w14:paraId="02468F3A" w14:textId="3F4F0E14" w:rsidR="001515E3" w:rsidRDefault="001515E3" w:rsidP="001515E3">
      <w:pPr>
        <w:spacing w:after="0" w:line="240" w:lineRule="auto"/>
        <w:rPr>
          <w:sz w:val="24"/>
          <w:szCs w:val="24"/>
        </w:rPr>
      </w:pPr>
    </w:p>
    <w:p w14:paraId="47071633" w14:textId="1CF1AFE2" w:rsidR="001515E3" w:rsidRDefault="001515E3" w:rsidP="001515E3">
      <w:pPr>
        <w:spacing w:after="0" w:line="240" w:lineRule="auto"/>
        <w:jc w:val="center"/>
        <w:rPr>
          <w:b/>
          <w:bCs/>
          <w:sz w:val="24"/>
          <w:szCs w:val="24"/>
        </w:rPr>
      </w:pPr>
      <w:r w:rsidRPr="00200824">
        <w:rPr>
          <w:b/>
          <w:bCs/>
          <w:sz w:val="24"/>
          <w:szCs w:val="24"/>
        </w:rPr>
        <w:t>Exhibit 1: Average number of Cases per Day</w:t>
      </w:r>
    </w:p>
    <w:p w14:paraId="445FD297" w14:textId="32D3AFB9" w:rsidR="008D1291" w:rsidRDefault="008D1291" w:rsidP="008D1291">
      <w:pPr>
        <w:spacing w:line="240" w:lineRule="auto"/>
        <w:jc w:val="center"/>
        <w:rPr>
          <w:sz w:val="24"/>
          <w:szCs w:val="24"/>
        </w:rPr>
      </w:pPr>
      <w:r>
        <w:rPr>
          <w:rFonts w:ascii="Arial" w:eastAsia="Arial" w:hAnsi="Arial" w:cs="Arial"/>
          <w:i/>
          <w:noProof/>
          <w:color w:val="0070C0"/>
          <w:sz w:val="24"/>
          <w:szCs w:val="24"/>
        </w:rPr>
        <w:drawing>
          <wp:inline distT="114300" distB="114300" distL="114300" distR="114300" wp14:anchorId="79A6F917" wp14:editId="3018630A">
            <wp:extent cx="3291840" cy="2286000"/>
            <wp:effectExtent l="0" t="0" r="3810" b="0"/>
            <wp:docPr id="2" name="image1.png" descr="Chart, bar chart&#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png" descr="Chart, bar chart&#10;&#10;Description automatically generated"/>
                    <pic:cNvPicPr preferRelativeResize="0"/>
                  </pic:nvPicPr>
                  <pic:blipFill>
                    <a:blip r:embed="rId14"/>
                    <a:srcRect/>
                    <a:stretch>
                      <a:fillRect/>
                    </a:stretch>
                  </pic:blipFill>
                  <pic:spPr>
                    <a:xfrm>
                      <a:off x="0" y="0"/>
                      <a:ext cx="3291840" cy="2286000"/>
                    </a:xfrm>
                    <a:prstGeom prst="rect">
                      <a:avLst/>
                    </a:prstGeom>
                    <a:ln/>
                  </pic:spPr>
                </pic:pic>
              </a:graphicData>
            </a:graphic>
          </wp:inline>
        </w:drawing>
      </w:r>
    </w:p>
    <w:p w14:paraId="7AF131BA" w14:textId="090123F2" w:rsidR="00141060" w:rsidRDefault="00024E7D" w:rsidP="008D1291">
      <w:pPr>
        <w:pStyle w:val="ListParagraph"/>
        <w:numPr>
          <w:ilvl w:val="0"/>
          <w:numId w:val="28"/>
        </w:numPr>
        <w:spacing w:line="240" w:lineRule="auto"/>
        <w:rPr>
          <w:sz w:val="24"/>
          <w:szCs w:val="24"/>
        </w:rPr>
      </w:pPr>
      <w:r>
        <w:rPr>
          <w:sz w:val="24"/>
          <w:szCs w:val="24"/>
        </w:rPr>
        <w:t>OR Staffing</w:t>
      </w:r>
      <w:r w:rsidR="001412CA">
        <w:rPr>
          <w:sz w:val="24"/>
          <w:szCs w:val="24"/>
        </w:rPr>
        <w:t xml:space="preserve"> and </w:t>
      </w:r>
      <w:r w:rsidR="009C72B6">
        <w:rPr>
          <w:sz w:val="24"/>
          <w:szCs w:val="24"/>
        </w:rPr>
        <w:t xml:space="preserve">Utilization </w:t>
      </w:r>
      <w:r w:rsidR="00AB0BD3">
        <w:rPr>
          <w:sz w:val="24"/>
          <w:szCs w:val="24"/>
        </w:rPr>
        <w:t>–</w:t>
      </w:r>
      <w:r w:rsidR="009C72B6">
        <w:rPr>
          <w:sz w:val="24"/>
          <w:szCs w:val="24"/>
        </w:rPr>
        <w:t xml:space="preserve"> </w:t>
      </w:r>
      <w:r w:rsidR="00AB0BD3">
        <w:rPr>
          <w:sz w:val="24"/>
          <w:szCs w:val="24"/>
        </w:rPr>
        <w:t>In 2016, the OR was staffed by three teams during the day (7:00am-3:30PM) and one on</w:t>
      </w:r>
      <w:r w:rsidR="001D2B3E">
        <w:rPr>
          <w:sz w:val="24"/>
          <w:szCs w:val="24"/>
        </w:rPr>
        <w:t>-</w:t>
      </w:r>
      <w:r w:rsidR="00AB0BD3">
        <w:rPr>
          <w:sz w:val="24"/>
          <w:szCs w:val="24"/>
        </w:rPr>
        <w:t xml:space="preserve">call team that was available after 3:30PM. </w:t>
      </w:r>
      <w:r w:rsidR="00A01C5E">
        <w:rPr>
          <w:sz w:val="24"/>
          <w:szCs w:val="24"/>
        </w:rPr>
        <w:t>The Applicant states that u</w:t>
      </w:r>
      <w:r w:rsidR="00AB0BD3">
        <w:rPr>
          <w:sz w:val="24"/>
          <w:szCs w:val="24"/>
        </w:rPr>
        <w:t>nder this model, OR utilization during elective surgery hours was 79% in 2016</w:t>
      </w:r>
      <w:r w:rsidR="00777EEE">
        <w:rPr>
          <w:sz w:val="24"/>
          <w:szCs w:val="24"/>
        </w:rPr>
        <w:t xml:space="preserve"> and</w:t>
      </w:r>
      <w:r w:rsidR="00AB0BD3">
        <w:rPr>
          <w:sz w:val="24"/>
          <w:szCs w:val="24"/>
        </w:rPr>
        <w:t xml:space="preserve"> 84% in 201</w:t>
      </w:r>
      <w:r w:rsidR="00777EEE">
        <w:rPr>
          <w:sz w:val="24"/>
          <w:szCs w:val="24"/>
        </w:rPr>
        <w:t>7, and</w:t>
      </w:r>
      <w:r w:rsidR="00AB0BD3">
        <w:rPr>
          <w:sz w:val="24"/>
          <w:szCs w:val="24"/>
        </w:rPr>
        <w:t xml:space="preserve"> </w:t>
      </w:r>
      <w:r w:rsidR="001D0267">
        <w:rPr>
          <w:sz w:val="24"/>
          <w:szCs w:val="24"/>
        </w:rPr>
        <w:t xml:space="preserve">that </w:t>
      </w:r>
      <w:r w:rsidR="00AB0BD3">
        <w:rPr>
          <w:sz w:val="24"/>
          <w:szCs w:val="24"/>
        </w:rPr>
        <w:t xml:space="preserve">if the staffing model had not changed, </w:t>
      </w:r>
      <w:r w:rsidR="00777EEE">
        <w:rPr>
          <w:sz w:val="24"/>
          <w:szCs w:val="24"/>
        </w:rPr>
        <w:t xml:space="preserve">OR utilization </w:t>
      </w:r>
      <w:r w:rsidR="00AB0BD3">
        <w:rPr>
          <w:sz w:val="24"/>
          <w:szCs w:val="24"/>
        </w:rPr>
        <w:lastRenderedPageBreak/>
        <w:t>would have increased to 98% in 2018.</w:t>
      </w:r>
      <w:r w:rsidR="00AB0BD3">
        <w:rPr>
          <w:rStyle w:val="FootnoteReference"/>
          <w:sz w:val="24"/>
          <w:szCs w:val="24"/>
        </w:rPr>
        <w:footnoteReference w:id="17"/>
      </w:r>
      <w:r w:rsidR="00354AE3">
        <w:rPr>
          <w:sz w:val="24"/>
          <w:szCs w:val="24"/>
        </w:rPr>
        <w:t xml:space="preserve"> The </w:t>
      </w:r>
      <w:r w:rsidR="00C34322">
        <w:rPr>
          <w:sz w:val="24"/>
          <w:szCs w:val="24"/>
        </w:rPr>
        <w:t>p</w:t>
      </w:r>
      <w:r w:rsidR="00354AE3">
        <w:rPr>
          <w:sz w:val="24"/>
          <w:szCs w:val="24"/>
        </w:rPr>
        <w:t xml:space="preserve">erioperative </w:t>
      </w:r>
      <w:r w:rsidR="00C34322">
        <w:rPr>
          <w:sz w:val="24"/>
          <w:szCs w:val="24"/>
        </w:rPr>
        <w:t>t</w:t>
      </w:r>
      <w:r w:rsidR="00354AE3">
        <w:rPr>
          <w:sz w:val="24"/>
          <w:szCs w:val="24"/>
        </w:rPr>
        <w:t xml:space="preserve">eam started experimenting with alternative staffing arrangements in 2018, several of which were trialed, including extended elective operating hours (7:00AM – 5:00PM), and/or the addition of a fourth team to enable the use of all four ORs simultaneously. </w:t>
      </w:r>
    </w:p>
    <w:p w14:paraId="2E70FEB8" w14:textId="77777777" w:rsidR="00141060" w:rsidRDefault="00141060" w:rsidP="00141060">
      <w:pPr>
        <w:pStyle w:val="ListParagraph"/>
        <w:spacing w:line="240" w:lineRule="auto"/>
        <w:rPr>
          <w:sz w:val="24"/>
          <w:szCs w:val="24"/>
        </w:rPr>
      </w:pPr>
    </w:p>
    <w:p w14:paraId="232E89A8" w14:textId="120D9745" w:rsidR="008D1291" w:rsidRDefault="00354AE3" w:rsidP="00141060">
      <w:pPr>
        <w:pStyle w:val="ListParagraph"/>
        <w:spacing w:line="240" w:lineRule="auto"/>
        <w:rPr>
          <w:sz w:val="24"/>
          <w:szCs w:val="24"/>
        </w:rPr>
      </w:pPr>
      <w:r>
        <w:rPr>
          <w:sz w:val="24"/>
          <w:szCs w:val="24"/>
        </w:rPr>
        <w:t>The</w:t>
      </w:r>
      <w:r w:rsidR="001D0267">
        <w:rPr>
          <w:sz w:val="24"/>
          <w:szCs w:val="24"/>
        </w:rPr>
        <w:t xml:space="preserve"> Applicant asserts that the</w:t>
      </w:r>
      <w:r>
        <w:rPr>
          <w:sz w:val="24"/>
          <w:szCs w:val="24"/>
        </w:rPr>
        <w:t xml:space="preserve"> new staffing models allowed for decompression of surgical cases and more sustainable levels of overall utilization (ranging from 62% to 90%)</w:t>
      </w:r>
      <w:r w:rsidR="007F670A">
        <w:rPr>
          <w:sz w:val="24"/>
          <w:szCs w:val="24"/>
        </w:rPr>
        <w:t xml:space="preserve">. However, </w:t>
      </w:r>
      <w:r>
        <w:rPr>
          <w:sz w:val="24"/>
          <w:szCs w:val="24"/>
        </w:rPr>
        <w:t xml:space="preserve">the ultimate impact </w:t>
      </w:r>
      <w:r w:rsidR="007F670A">
        <w:rPr>
          <w:sz w:val="24"/>
          <w:szCs w:val="24"/>
        </w:rPr>
        <w:t xml:space="preserve">of the new models </w:t>
      </w:r>
      <w:r>
        <w:rPr>
          <w:sz w:val="24"/>
          <w:szCs w:val="24"/>
        </w:rPr>
        <w:t>was limited b</w:t>
      </w:r>
      <w:r w:rsidR="001D0267">
        <w:rPr>
          <w:sz w:val="24"/>
          <w:szCs w:val="24"/>
        </w:rPr>
        <w:t>ecause of c</w:t>
      </w:r>
      <w:r>
        <w:rPr>
          <w:sz w:val="24"/>
          <w:szCs w:val="24"/>
        </w:rPr>
        <w:t xml:space="preserve">ase scheduling </w:t>
      </w:r>
      <w:r w:rsidR="007F670A">
        <w:rPr>
          <w:sz w:val="24"/>
          <w:szCs w:val="24"/>
        </w:rPr>
        <w:t xml:space="preserve">challenges </w:t>
      </w:r>
      <w:r>
        <w:rPr>
          <w:sz w:val="24"/>
          <w:szCs w:val="24"/>
        </w:rPr>
        <w:t>due to the small size of the ORs</w:t>
      </w:r>
      <w:r w:rsidR="00E27205">
        <w:rPr>
          <w:sz w:val="24"/>
          <w:szCs w:val="24"/>
        </w:rPr>
        <w:t xml:space="preserve"> which compromised the productivity of the fourth team</w:t>
      </w:r>
      <w:r w:rsidR="007F670A">
        <w:rPr>
          <w:sz w:val="24"/>
          <w:szCs w:val="24"/>
        </w:rPr>
        <w:t xml:space="preserve"> combined with </w:t>
      </w:r>
      <w:r w:rsidR="001D0267">
        <w:rPr>
          <w:sz w:val="24"/>
          <w:szCs w:val="24"/>
        </w:rPr>
        <w:t>a r</w:t>
      </w:r>
      <w:r>
        <w:rPr>
          <w:sz w:val="24"/>
          <w:szCs w:val="24"/>
        </w:rPr>
        <w:t xml:space="preserve">eluctance on the part of patients and surgeons to start elective surgery late in the afternoon. </w:t>
      </w:r>
    </w:p>
    <w:p w14:paraId="5C106146" w14:textId="77777777" w:rsidR="00141060" w:rsidRDefault="00141060" w:rsidP="00141060">
      <w:pPr>
        <w:pStyle w:val="ListParagraph"/>
        <w:spacing w:line="240" w:lineRule="auto"/>
        <w:rPr>
          <w:sz w:val="24"/>
          <w:szCs w:val="24"/>
        </w:rPr>
      </w:pPr>
    </w:p>
    <w:p w14:paraId="5C4E3B5A" w14:textId="3917D6E4" w:rsidR="00E27205" w:rsidRDefault="00250BF5" w:rsidP="00D73D54">
      <w:pPr>
        <w:pStyle w:val="ListParagraph"/>
        <w:spacing w:line="240" w:lineRule="auto"/>
        <w:rPr>
          <w:sz w:val="24"/>
          <w:szCs w:val="24"/>
        </w:rPr>
      </w:pPr>
      <w:r w:rsidRPr="00250BF5">
        <w:rPr>
          <w:sz w:val="24"/>
          <w:szCs w:val="24"/>
        </w:rPr>
        <w:t xml:space="preserve">The Hospital expanded hours in 2018 with the goal of accommodating more </w:t>
      </w:r>
      <w:r w:rsidR="009763CA" w:rsidRPr="00250BF5">
        <w:rPr>
          <w:sz w:val="24"/>
          <w:szCs w:val="24"/>
        </w:rPr>
        <w:t>procedures but</w:t>
      </w:r>
      <w:r w:rsidRPr="00250BF5">
        <w:rPr>
          <w:sz w:val="24"/>
          <w:szCs w:val="24"/>
        </w:rPr>
        <w:t xml:space="preserve"> continued to experience delays. </w:t>
      </w:r>
      <w:r>
        <w:rPr>
          <w:sz w:val="24"/>
          <w:szCs w:val="24"/>
        </w:rPr>
        <w:t xml:space="preserve"> </w:t>
      </w:r>
      <w:r w:rsidR="00C548E0">
        <w:rPr>
          <w:sz w:val="24"/>
          <w:szCs w:val="24"/>
        </w:rPr>
        <w:t>As shown in Exhibit 2 below, the</w:t>
      </w:r>
      <w:r w:rsidR="00E27205">
        <w:rPr>
          <w:sz w:val="24"/>
          <w:szCs w:val="24"/>
        </w:rPr>
        <w:t xml:space="preserve"> on-call team has been used with increasing frequency in recent years </w:t>
      </w:r>
      <w:r w:rsidR="007F670A">
        <w:rPr>
          <w:sz w:val="24"/>
          <w:szCs w:val="24"/>
        </w:rPr>
        <w:t>to</w:t>
      </w:r>
      <w:r w:rsidR="00E27205">
        <w:rPr>
          <w:sz w:val="24"/>
          <w:szCs w:val="24"/>
        </w:rPr>
        <w:t xml:space="preserve"> finish cases and/or accommodate urgent/emergent add-on cases</w:t>
      </w:r>
      <w:r w:rsidR="00043639">
        <w:rPr>
          <w:sz w:val="24"/>
          <w:szCs w:val="24"/>
        </w:rPr>
        <w:t xml:space="preserve"> and even expanding elective operating hours in 2018, case volume after 5pm continued to increase (red bar)</w:t>
      </w:r>
      <w:r w:rsidR="00C548E0">
        <w:rPr>
          <w:sz w:val="24"/>
          <w:szCs w:val="24"/>
        </w:rPr>
        <w:t xml:space="preserve">. The Applicant states that </w:t>
      </w:r>
      <w:r w:rsidR="00E27205">
        <w:rPr>
          <w:sz w:val="24"/>
          <w:szCs w:val="24"/>
        </w:rPr>
        <w:t xml:space="preserve">the use of the </w:t>
      </w:r>
      <w:r w:rsidR="00603A1C">
        <w:rPr>
          <w:sz w:val="24"/>
          <w:szCs w:val="24"/>
        </w:rPr>
        <w:t xml:space="preserve">on-call </w:t>
      </w:r>
      <w:r w:rsidR="00E27205">
        <w:rPr>
          <w:sz w:val="24"/>
          <w:szCs w:val="24"/>
        </w:rPr>
        <w:t>team increases costs</w:t>
      </w:r>
      <w:r w:rsidR="00807CC6">
        <w:rPr>
          <w:sz w:val="24"/>
          <w:szCs w:val="24"/>
        </w:rPr>
        <w:t xml:space="preserve">. </w:t>
      </w:r>
      <w:r w:rsidR="00180256">
        <w:rPr>
          <w:sz w:val="24"/>
          <w:szCs w:val="24"/>
        </w:rPr>
        <w:t xml:space="preserve">With multiple services competing for the largest OR, </w:t>
      </w:r>
      <w:r w:rsidR="00CB6958">
        <w:rPr>
          <w:sz w:val="24"/>
          <w:szCs w:val="24"/>
        </w:rPr>
        <w:t>staff</w:t>
      </w:r>
      <w:r w:rsidR="00180256">
        <w:rPr>
          <w:sz w:val="24"/>
          <w:szCs w:val="24"/>
        </w:rPr>
        <w:t xml:space="preserve"> will wait for the room even though </w:t>
      </w:r>
      <w:r w:rsidR="00CB6958">
        <w:rPr>
          <w:sz w:val="24"/>
          <w:szCs w:val="24"/>
        </w:rPr>
        <w:t xml:space="preserve">they </w:t>
      </w:r>
      <w:r w:rsidR="00180256">
        <w:rPr>
          <w:sz w:val="24"/>
          <w:szCs w:val="24"/>
        </w:rPr>
        <w:t xml:space="preserve">are available and ready to operate. As a result, </w:t>
      </w:r>
      <w:r w:rsidR="00180256" w:rsidRPr="00180256">
        <w:rPr>
          <w:sz w:val="24"/>
          <w:szCs w:val="24"/>
        </w:rPr>
        <w:t>the on-call team has been used with increasing frequency in recent years in order to finish scheduled cases and/or accommodate urgent/emergent add-on cases.</w:t>
      </w:r>
    </w:p>
    <w:p w14:paraId="33A701D0" w14:textId="77777777" w:rsidR="004C0938" w:rsidRDefault="004C0938" w:rsidP="00D73D54">
      <w:pPr>
        <w:pStyle w:val="ListParagraph"/>
        <w:spacing w:line="240" w:lineRule="auto"/>
        <w:rPr>
          <w:sz w:val="24"/>
          <w:szCs w:val="24"/>
        </w:rPr>
      </w:pPr>
    </w:p>
    <w:p w14:paraId="597C9484" w14:textId="3F17D5A4" w:rsidR="0021158A" w:rsidRPr="00054CD1" w:rsidRDefault="0021158A" w:rsidP="00054CD1">
      <w:pPr>
        <w:spacing w:line="240" w:lineRule="auto"/>
        <w:jc w:val="center"/>
        <w:rPr>
          <w:b/>
          <w:bCs/>
          <w:sz w:val="24"/>
          <w:szCs w:val="24"/>
        </w:rPr>
      </w:pPr>
      <w:r w:rsidRPr="00054CD1">
        <w:rPr>
          <w:b/>
          <w:bCs/>
          <w:sz w:val="24"/>
          <w:szCs w:val="24"/>
        </w:rPr>
        <w:t>Exhibit 2: Weekly On-Call Team Usage</w:t>
      </w:r>
    </w:p>
    <w:p w14:paraId="17A15DE6" w14:textId="77777777" w:rsidR="00291BCE" w:rsidRDefault="00E20DEB" w:rsidP="00291BCE">
      <w:pPr>
        <w:pStyle w:val="ListParagraph"/>
        <w:spacing w:line="240" w:lineRule="auto"/>
        <w:jc w:val="center"/>
        <w:rPr>
          <w:sz w:val="24"/>
          <w:szCs w:val="24"/>
        </w:rPr>
      </w:pPr>
      <w:r>
        <w:rPr>
          <w:rFonts w:ascii="Arial" w:eastAsia="Arial" w:hAnsi="Arial" w:cs="Arial"/>
          <w:i/>
          <w:noProof/>
          <w:color w:val="0070C0"/>
          <w:sz w:val="24"/>
          <w:szCs w:val="24"/>
        </w:rPr>
        <w:drawing>
          <wp:inline distT="114300" distB="114300" distL="114300" distR="114300" wp14:anchorId="31A0DE65" wp14:editId="0450E28D">
            <wp:extent cx="3566160" cy="2194560"/>
            <wp:effectExtent l="0" t="0" r="0" b="0"/>
            <wp:docPr id="1" name="image2.png" descr="Chart, bar chart&#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2.png" descr="Chart, bar chart&#10;&#10;Description automatically generated"/>
                    <pic:cNvPicPr preferRelativeResize="0"/>
                  </pic:nvPicPr>
                  <pic:blipFill>
                    <a:blip r:embed="rId15"/>
                    <a:srcRect/>
                    <a:stretch>
                      <a:fillRect/>
                    </a:stretch>
                  </pic:blipFill>
                  <pic:spPr>
                    <a:xfrm>
                      <a:off x="0" y="0"/>
                      <a:ext cx="3566160" cy="2194560"/>
                    </a:xfrm>
                    <a:prstGeom prst="rect">
                      <a:avLst/>
                    </a:prstGeom>
                    <a:ln/>
                  </pic:spPr>
                </pic:pic>
              </a:graphicData>
            </a:graphic>
          </wp:inline>
        </w:drawing>
      </w:r>
    </w:p>
    <w:p w14:paraId="513EB924" w14:textId="30519037" w:rsidR="00D36B85" w:rsidRDefault="0082014A" w:rsidP="00291BCE">
      <w:pPr>
        <w:spacing w:line="240" w:lineRule="auto"/>
        <w:rPr>
          <w:sz w:val="24"/>
          <w:szCs w:val="24"/>
        </w:rPr>
      </w:pPr>
      <w:r w:rsidRPr="00291BCE">
        <w:rPr>
          <w:sz w:val="24"/>
          <w:szCs w:val="24"/>
        </w:rPr>
        <w:t xml:space="preserve">The Applicant </w:t>
      </w:r>
      <w:r w:rsidR="00291BCE">
        <w:rPr>
          <w:sz w:val="24"/>
          <w:szCs w:val="24"/>
        </w:rPr>
        <w:t xml:space="preserve">states </w:t>
      </w:r>
      <w:r w:rsidRPr="00291BCE">
        <w:rPr>
          <w:sz w:val="24"/>
          <w:szCs w:val="24"/>
        </w:rPr>
        <w:t>that</w:t>
      </w:r>
      <w:r w:rsidR="00D41E73">
        <w:rPr>
          <w:sz w:val="24"/>
          <w:szCs w:val="24"/>
        </w:rPr>
        <w:t xml:space="preserve"> OR</w:t>
      </w:r>
      <w:r w:rsidRPr="00291BCE">
        <w:rPr>
          <w:sz w:val="24"/>
          <w:szCs w:val="24"/>
        </w:rPr>
        <w:t xml:space="preserve"> </w:t>
      </w:r>
      <w:r w:rsidR="00291BCE">
        <w:rPr>
          <w:sz w:val="24"/>
          <w:szCs w:val="24"/>
        </w:rPr>
        <w:t xml:space="preserve">case </w:t>
      </w:r>
      <w:r w:rsidRPr="00291BCE">
        <w:rPr>
          <w:sz w:val="24"/>
          <w:szCs w:val="24"/>
        </w:rPr>
        <w:t xml:space="preserve">volume </w:t>
      </w:r>
      <w:r w:rsidR="007F670A">
        <w:rPr>
          <w:sz w:val="24"/>
          <w:szCs w:val="24"/>
        </w:rPr>
        <w:t>was</w:t>
      </w:r>
      <w:r w:rsidR="00603A1C">
        <w:rPr>
          <w:sz w:val="24"/>
          <w:szCs w:val="24"/>
        </w:rPr>
        <w:t xml:space="preserve"> unable to increase in 2019 </w:t>
      </w:r>
      <w:r w:rsidR="0018641A">
        <w:rPr>
          <w:sz w:val="24"/>
          <w:szCs w:val="24"/>
        </w:rPr>
        <w:t xml:space="preserve">to address patient demand </w:t>
      </w:r>
      <w:r w:rsidR="00603A1C">
        <w:rPr>
          <w:sz w:val="24"/>
          <w:szCs w:val="24"/>
        </w:rPr>
        <w:t>due to</w:t>
      </w:r>
      <w:r w:rsidR="007F670A">
        <w:rPr>
          <w:sz w:val="24"/>
          <w:szCs w:val="24"/>
        </w:rPr>
        <w:t xml:space="preserve"> </w:t>
      </w:r>
      <w:r w:rsidRPr="00291BCE">
        <w:rPr>
          <w:sz w:val="24"/>
          <w:szCs w:val="24"/>
        </w:rPr>
        <w:t>infrastructure limitations</w:t>
      </w:r>
      <w:r w:rsidR="00603A1C">
        <w:rPr>
          <w:sz w:val="24"/>
          <w:szCs w:val="24"/>
        </w:rPr>
        <w:t xml:space="preserve"> despite additional patient need</w:t>
      </w:r>
      <w:r w:rsidR="001E5EE7" w:rsidRPr="00291BCE">
        <w:rPr>
          <w:sz w:val="24"/>
          <w:szCs w:val="24"/>
        </w:rPr>
        <w:t>.</w:t>
      </w:r>
      <w:r w:rsidR="009C54EB" w:rsidRPr="00291BCE">
        <w:rPr>
          <w:sz w:val="24"/>
          <w:szCs w:val="24"/>
        </w:rPr>
        <w:t xml:space="preserve"> </w:t>
      </w:r>
      <w:r w:rsidR="00BE7394" w:rsidRPr="00291BCE">
        <w:rPr>
          <w:sz w:val="24"/>
          <w:szCs w:val="24"/>
        </w:rPr>
        <w:t xml:space="preserve">From 2018-2020, </w:t>
      </w:r>
      <w:r w:rsidR="00631467" w:rsidRPr="00291BCE">
        <w:rPr>
          <w:sz w:val="24"/>
          <w:szCs w:val="24"/>
        </w:rPr>
        <w:t>15,521</w:t>
      </w:r>
      <w:r w:rsidR="00BE7394" w:rsidRPr="00291BCE">
        <w:rPr>
          <w:sz w:val="24"/>
          <w:szCs w:val="24"/>
        </w:rPr>
        <w:t xml:space="preserve"> patients received services</w:t>
      </w:r>
      <w:r w:rsidR="00631467" w:rsidRPr="00291BCE">
        <w:rPr>
          <w:sz w:val="24"/>
          <w:szCs w:val="24"/>
        </w:rPr>
        <w:t xml:space="preserve"> </w:t>
      </w:r>
      <w:r w:rsidR="00BE7394" w:rsidRPr="00291BCE">
        <w:rPr>
          <w:sz w:val="24"/>
          <w:szCs w:val="24"/>
        </w:rPr>
        <w:t>in the OR</w:t>
      </w:r>
      <w:r w:rsidR="00631467" w:rsidRPr="00291BCE">
        <w:rPr>
          <w:sz w:val="24"/>
          <w:szCs w:val="24"/>
        </w:rPr>
        <w:t xml:space="preserve">. </w:t>
      </w:r>
      <w:r w:rsidR="002D55BA" w:rsidRPr="00291BCE">
        <w:rPr>
          <w:sz w:val="24"/>
          <w:szCs w:val="24"/>
        </w:rPr>
        <w:t xml:space="preserve">Table </w:t>
      </w:r>
      <w:r w:rsidR="007E04D6">
        <w:rPr>
          <w:sz w:val="24"/>
          <w:szCs w:val="24"/>
        </w:rPr>
        <w:t>6</w:t>
      </w:r>
      <w:r w:rsidR="002D55BA" w:rsidRPr="00291BCE">
        <w:rPr>
          <w:sz w:val="24"/>
          <w:szCs w:val="24"/>
        </w:rPr>
        <w:t xml:space="preserve"> below shows the total </w:t>
      </w:r>
      <w:r w:rsidR="00631467" w:rsidRPr="00291BCE">
        <w:rPr>
          <w:sz w:val="24"/>
          <w:szCs w:val="24"/>
        </w:rPr>
        <w:t xml:space="preserve">OR </w:t>
      </w:r>
      <w:r w:rsidR="002D55BA" w:rsidRPr="00291BCE">
        <w:rPr>
          <w:sz w:val="24"/>
          <w:szCs w:val="24"/>
        </w:rPr>
        <w:t xml:space="preserve">case volume during this time period. </w:t>
      </w:r>
      <w:r w:rsidR="002D3918">
        <w:rPr>
          <w:sz w:val="24"/>
          <w:szCs w:val="24"/>
        </w:rPr>
        <w:t>U</w:t>
      </w:r>
      <w:r w:rsidR="002D3918" w:rsidRPr="002D3918">
        <w:rPr>
          <w:sz w:val="24"/>
          <w:szCs w:val="24"/>
        </w:rPr>
        <w:t xml:space="preserve">nable to keep up with increasing demand for procedural care due to </w:t>
      </w:r>
      <w:r w:rsidR="002D3918" w:rsidRPr="002D3918">
        <w:rPr>
          <w:sz w:val="24"/>
          <w:szCs w:val="24"/>
        </w:rPr>
        <w:lastRenderedPageBreak/>
        <w:t>the limitations that they are facing with the existing ORs</w:t>
      </w:r>
      <w:r w:rsidR="002D3918">
        <w:rPr>
          <w:sz w:val="24"/>
          <w:szCs w:val="24"/>
        </w:rPr>
        <w:t xml:space="preserve">, </w:t>
      </w:r>
      <w:r w:rsidR="00164E08" w:rsidRPr="00291BCE">
        <w:rPr>
          <w:sz w:val="24"/>
          <w:szCs w:val="24"/>
        </w:rPr>
        <w:t xml:space="preserve">Heywood OR </w:t>
      </w:r>
      <w:r w:rsidR="007F670A">
        <w:rPr>
          <w:sz w:val="24"/>
          <w:szCs w:val="24"/>
        </w:rPr>
        <w:t>t</w:t>
      </w:r>
      <w:r w:rsidR="00164E08" w:rsidRPr="00291BCE">
        <w:rPr>
          <w:sz w:val="24"/>
          <w:szCs w:val="24"/>
        </w:rPr>
        <w:t>otal volume decreased by 1% from 2018-20</w:t>
      </w:r>
      <w:r w:rsidR="00456E50">
        <w:rPr>
          <w:sz w:val="24"/>
          <w:szCs w:val="24"/>
        </w:rPr>
        <w:t>19</w:t>
      </w:r>
      <w:r w:rsidR="002D3918">
        <w:rPr>
          <w:sz w:val="24"/>
          <w:szCs w:val="24"/>
        </w:rPr>
        <w:t>.</w:t>
      </w:r>
      <w:r w:rsidR="00456E50">
        <w:rPr>
          <w:sz w:val="24"/>
          <w:szCs w:val="24"/>
        </w:rPr>
        <w:t xml:space="preserve"> </w:t>
      </w:r>
    </w:p>
    <w:p w14:paraId="51BC5F86" w14:textId="392D0108" w:rsidR="00164E08" w:rsidRDefault="00D36B85" w:rsidP="00291BCE">
      <w:pPr>
        <w:spacing w:line="240" w:lineRule="auto"/>
        <w:rPr>
          <w:sz w:val="24"/>
          <w:szCs w:val="24"/>
        </w:rPr>
      </w:pPr>
      <w:r>
        <w:rPr>
          <w:sz w:val="24"/>
          <w:szCs w:val="24"/>
        </w:rPr>
        <w:t>The decrease in case volume from 2019-2020 was more significant,</w:t>
      </w:r>
      <w:r w:rsidR="00164E08" w:rsidRPr="00291BCE">
        <w:rPr>
          <w:sz w:val="24"/>
          <w:szCs w:val="24"/>
        </w:rPr>
        <w:t xml:space="preserve"> </w:t>
      </w:r>
      <w:r>
        <w:rPr>
          <w:sz w:val="24"/>
          <w:szCs w:val="24"/>
        </w:rPr>
        <w:t>15</w:t>
      </w:r>
      <w:r w:rsidR="00164E08" w:rsidRPr="00291BCE">
        <w:rPr>
          <w:sz w:val="24"/>
          <w:szCs w:val="24"/>
        </w:rPr>
        <w:t>%</w:t>
      </w:r>
      <w:r w:rsidR="0019525C">
        <w:rPr>
          <w:sz w:val="24"/>
          <w:szCs w:val="24"/>
        </w:rPr>
        <w:t xml:space="preserve">, </w:t>
      </w:r>
      <w:r>
        <w:rPr>
          <w:sz w:val="24"/>
          <w:szCs w:val="24"/>
        </w:rPr>
        <w:t xml:space="preserve">due to </w:t>
      </w:r>
      <w:r w:rsidR="0019525C">
        <w:rPr>
          <w:sz w:val="24"/>
          <w:szCs w:val="24"/>
        </w:rPr>
        <w:t xml:space="preserve">the </w:t>
      </w:r>
      <w:r>
        <w:rPr>
          <w:sz w:val="24"/>
          <w:szCs w:val="24"/>
        </w:rPr>
        <w:t>COVID</w:t>
      </w:r>
      <w:r w:rsidR="0019525C">
        <w:rPr>
          <w:sz w:val="24"/>
          <w:szCs w:val="24"/>
        </w:rPr>
        <w:t>-pandemic</w:t>
      </w:r>
      <w:r>
        <w:rPr>
          <w:sz w:val="24"/>
          <w:szCs w:val="24"/>
        </w:rPr>
        <w:t xml:space="preserve"> impacting procedures</w:t>
      </w:r>
      <w:r w:rsidR="00164E08" w:rsidRPr="00291BCE">
        <w:rPr>
          <w:sz w:val="24"/>
          <w:szCs w:val="24"/>
        </w:rPr>
        <w:t xml:space="preserve">. </w:t>
      </w:r>
      <w:r w:rsidR="007E4DB7" w:rsidRPr="00291BCE">
        <w:rPr>
          <w:sz w:val="24"/>
          <w:szCs w:val="24"/>
        </w:rPr>
        <w:t>The Applicant provided a breakdown of 2019 case volume by patient status:  13%</w:t>
      </w:r>
      <w:r w:rsidR="008B112B" w:rsidRPr="00291BCE">
        <w:rPr>
          <w:sz w:val="24"/>
          <w:szCs w:val="24"/>
        </w:rPr>
        <w:t xml:space="preserve"> (698)</w:t>
      </w:r>
      <w:r w:rsidR="007E4DB7" w:rsidRPr="00291BCE">
        <w:rPr>
          <w:sz w:val="24"/>
          <w:szCs w:val="24"/>
        </w:rPr>
        <w:t xml:space="preserve"> </w:t>
      </w:r>
      <w:r w:rsidR="00D753ED" w:rsidRPr="00291BCE">
        <w:rPr>
          <w:sz w:val="24"/>
          <w:szCs w:val="24"/>
        </w:rPr>
        <w:t xml:space="preserve">were </w:t>
      </w:r>
      <w:r w:rsidR="007E4DB7" w:rsidRPr="00291BCE">
        <w:rPr>
          <w:sz w:val="24"/>
          <w:szCs w:val="24"/>
        </w:rPr>
        <w:t>inpatient</w:t>
      </w:r>
      <w:r w:rsidR="00D753ED" w:rsidRPr="00291BCE">
        <w:rPr>
          <w:sz w:val="24"/>
          <w:szCs w:val="24"/>
        </w:rPr>
        <w:t>s</w:t>
      </w:r>
      <w:r w:rsidR="007E4DB7" w:rsidRPr="00291BCE">
        <w:rPr>
          <w:sz w:val="24"/>
          <w:szCs w:val="24"/>
        </w:rPr>
        <w:t>, 79%</w:t>
      </w:r>
      <w:r w:rsidR="008B112B" w:rsidRPr="00291BCE">
        <w:rPr>
          <w:sz w:val="24"/>
          <w:szCs w:val="24"/>
        </w:rPr>
        <w:t xml:space="preserve"> (4,273)</w:t>
      </w:r>
      <w:r w:rsidR="007E4DB7" w:rsidRPr="00291BCE">
        <w:rPr>
          <w:sz w:val="24"/>
          <w:szCs w:val="24"/>
        </w:rPr>
        <w:t xml:space="preserve"> outpatient</w:t>
      </w:r>
      <w:r w:rsidR="00D753ED" w:rsidRPr="00291BCE">
        <w:rPr>
          <w:sz w:val="24"/>
          <w:szCs w:val="24"/>
        </w:rPr>
        <w:t>s</w:t>
      </w:r>
      <w:r w:rsidR="007E4DB7" w:rsidRPr="00291BCE">
        <w:rPr>
          <w:sz w:val="24"/>
          <w:szCs w:val="24"/>
        </w:rPr>
        <w:t>, and 9%</w:t>
      </w:r>
      <w:r w:rsidR="008B112B" w:rsidRPr="00291BCE">
        <w:rPr>
          <w:sz w:val="24"/>
          <w:szCs w:val="24"/>
        </w:rPr>
        <w:t xml:space="preserve"> (459)</w:t>
      </w:r>
      <w:r w:rsidR="005F032B" w:rsidRPr="00291BCE">
        <w:rPr>
          <w:sz w:val="24"/>
          <w:szCs w:val="24"/>
        </w:rPr>
        <w:t xml:space="preserve"> were</w:t>
      </w:r>
      <w:r w:rsidR="007E4DB7" w:rsidRPr="00291BCE">
        <w:rPr>
          <w:sz w:val="24"/>
          <w:szCs w:val="24"/>
        </w:rPr>
        <w:t xml:space="preserve"> Emergency patients.</w:t>
      </w:r>
      <w:r w:rsidR="007E4DB7">
        <w:rPr>
          <w:rStyle w:val="FootnoteReference"/>
          <w:sz w:val="24"/>
          <w:szCs w:val="24"/>
        </w:rPr>
        <w:footnoteReference w:id="18"/>
      </w:r>
    </w:p>
    <w:p w14:paraId="0E2E08CF" w14:textId="6DD58793" w:rsidR="009C07EE" w:rsidRPr="00875130" w:rsidRDefault="00875130" w:rsidP="00875130">
      <w:pPr>
        <w:jc w:val="center"/>
        <w:rPr>
          <w:b/>
          <w:bCs/>
          <w:sz w:val="24"/>
          <w:szCs w:val="24"/>
        </w:rPr>
      </w:pPr>
      <w:r w:rsidRPr="00875130">
        <w:rPr>
          <w:b/>
          <w:bCs/>
          <w:sz w:val="24"/>
          <w:szCs w:val="24"/>
        </w:rPr>
        <w:t>Table</w:t>
      </w:r>
      <w:r w:rsidR="003E65A0">
        <w:rPr>
          <w:b/>
          <w:bCs/>
          <w:sz w:val="24"/>
          <w:szCs w:val="24"/>
        </w:rPr>
        <w:t xml:space="preserve"> </w:t>
      </w:r>
      <w:r w:rsidR="007E04D6">
        <w:rPr>
          <w:b/>
          <w:bCs/>
          <w:sz w:val="24"/>
          <w:szCs w:val="24"/>
        </w:rPr>
        <w:t>6</w:t>
      </w:r>
      <w:r w:rsidRPr="00875130">
        <w:rPr>
          <w:b/>
          <w:bCs/>
          <w:sz w:val="24"/>
          <w:szCs w:val="24"/>
        </w:rPr>
        <w:t xml:space="preserve">: </w:t>
      </w:r>
      <w:r w:rsidR="00631467">
        <w:rPr>
          <w:b/>
          <w:bCs/>
          <w:sz w:val="24"/>
          <w:szCs w:val="24"/>
        </w:rPr>
        <w:t xml:space="preserve">OR </w:t>
      </w:r>
      <w:r w:rsidRPr="00875130">
        <w:rPr>
          <w:b/>
          <w:bCs/>
          <w:sz w:val="24"/>
          <w:szCs w:val="24"/>
        </w:rPr>
        <w:t>Case Volume</w:t>
      </w:r>
    </w:p>
    <w:tbl>
      <w:tblPr>
        <w:tblW w:w="11092" w:type="dxa"/>
        <w:jc w:val="center"/>
        <w:tblLook w:val="04A0" w:firstRow="1" w:lastRow="0" w:firstColumn="1" w:lastColumn="0" w:noHBand="0" w:noVBand="1"/>
      </w:tblPr>
      <w:tblGrid>
        <w:gridCol w:w="1975"/>
        <w:gridCol w:w="1980"/>
        <w:gridCol w:w="764"/>
        <w:gridCol w:w="993"/>
        <w:gridCol w:w="764"/>
        <w:gridCol w:w="993"/>
        <w:gridCol w:w="806"/>
        <w:gridCol w:w="993"/>
        <w:gridCol w:w="831"/>
        <w:gridCol w:w="993"/>
      </w:tblGrid>
      <w:tr w:rsidR="00925453" w:rsidRPr="00617CD5" w14:paraId="4F49E300" w14:textId="77777777" w:rsidTr="00A14D68">
        <w:trPr>
          <w:trHeight w:val="330"/>
          <w:jc w:val="center"/>
        </w:trPr>
        <w:tc>
          <w:tcPr>
            <w:tcW w:w="19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3806C" w14:textId="77777777" w:rsidR="00925453" w:rsidRPr="00617CD5" w:rsidRDefault="00925453" w:rsidP="00D1373E">
            <w:pPr>
              <w:spacing w:after="0" w:line="240" w:lineRule="auto"/>
              <w:rPr>
                <w:rFonts w:eastAsia="Times New Roman" w:cstheme="minorHAnsi"/>
                <w:b/>
                <w:bCs/>
                <w:color w:val="000000"/>
              </w:rPr>
            </w:pPr>
            <w:r w:rsidRPr="00617CD5">
              <w:rPr>
                <w:rFonts w:eastAsia="Times New Roman" w:cstheme="minorHAnsi"/>
                <w:b/>
                <w:bCs/>
                <w:color w:val="000000"/>
              </w:rPr>
              <w:t> </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14:paraId="151268EF" w14:textId="77777777" w:rsidR="00925453" w:rsidRPr="00617CD5" w:rsidRDefault="00925453" w:rsidP="00D1373E">
            <w:pPr>
              <w:spacing w:after="0" w:line="240" w:lineRule="auto"/>
              <w:rPr>
                <w:rFonts w:eastAsia="Times New Roman" w:cstheme="minorHAnsi"/>
                <w:b/>
                <w:bCs/>
                <w:color w:val="000000"/>
              </w:rPr>
            </w:pPr>
            <w:r w:rsidRPr="00617CD5">
              <w:rPr>
                <w:rFonts w:eastAsia="Times New Roman" w:cstheme="minorHAnsi"/>
                <w:b/>
                <w:bCs/>
                <w:color w:val="000000"/>
              </w:rPr>
              <w:t> </w:t>
            </w:r>
          </w:p>
        </w:tc>
        <w:tc>
          <w:tcPr>
            <w:tcW w:w="1757"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06EC493B" w14:textId="77777777" w:rsidR="00925453" w:rsidRPr="00617CD5" w:rsidRDefault="00925453" w:rsidP="00925453">
            <w:pPr>
              <w:spacing w:after="0" w:line="240" w:lineRule="auto"/>
              <w:jc w:val="center"/>
              <w:rPr>
                <w:rFonts w:eastAsia="Times New Roman" w:cstheme="minorHAnsi"/>
                <w:b/>
                <w:bCs/>
                <w:color w:val="000000"/>
              </w:rPr>
            </w:pPr>
            <w:r w:rsidRPr="00617CD5">
              <w:rPr>
                <w:rFonts w:eastAsia="Times New Roman" w:cstheme="minorHAnsi"/>
                <w:b/>
                <w:bCs/>
                <w:color w:val="000000"/>
              </w:rPr>
              <w:t>2018</w:t>
            </w:r>
          </w:p>
          <w:p w14:paraId="68C2C0B2" w14:textId="6AC8FBE5" w:rsidR="00925453" w:rsidRPr="00617CD5" w:rsidRDefault="00925453" w:rsidP="00925453">
            <w:pPr>
              <w:spacing w:after="0" w:line="240" w:lineRule="auto"/>
              <w:jc w:val="center"/>
              <w:rPr>
                <w:rFonts w:eastAsia="Times New Roman" w:cstheme="minorHAnsi"/>
                <w:b/>
                <w:bCs/>
                <w:color w:val="000000"/>
              </w:rPr>
            </w:pPr>
          </w:p>
        </w:tc>
        <w:tc>
          <w:tcPr>
            <w:tcW w:w="1757"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21F3F2EA" w14:textId="68C4C55B" w:rsidR="00925453" w:rsidRPr="00617CD5" w:rsidRDefault="00925453" w:rsidP="00925453">
            <w:pPr>
              <w:spacing w:after="0" w:line="240" w:lineRule="auto"/>
              <w:jc w:val="center"/>
              <w:rPr>
                <w:rFonts w:eastAsia="Times New Roman" w:cstheme="minorHAnsi"/>
                <w:b/>
                <w:bCs/>
                <w:color w:val="000000"/>
              </w:rPr>
            </w:pPr>
            <w:r w:rsidRPr="00617CD5">
              <w:rPr>
                <w:rFonts w:eastAsia="Times New Roman" w:cstheme="minorHAnsi"/>
                <w:b/>
                <w:bCs/>
                <w:color w:val="000000"/>
              </w:rPr>
              <w:t>2019</w:t>
            </w:r>
          </w:p>
        </w:tc>
        <w:tc>
          <w:tcPr>
            <w:tcW w:w="1799"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631AD8D6" w14:textId="16AE3AE6" w:rsidR="00925453" w:rsidRPr="00617CD5" w:rsidRDefault="00925453" w:rsidP="00925453">
            <w:pPr>
              <w:spacing w:after="0" w:line="240" w:lineRule="auto"/>
              <w:jc w:val="center"/>
              <w:rPr>
                <w:rFonts w:eastAsia="Times New Roman" w:cstheme="minorHAnsi"/>
                <w:b/>
                <w:bCs/>
                <w:color w:val="000000"/>
              </w:rPr>
            </w:pPr>
            <w:r w:rsidRPr="00617CD5">
              <w:rPr>
                <w:rFonts w:eastAsia="Times New Roman" w:cstheme="minorHAnsi"/>
                <w:b/>
                <w:bCs/>
                <w:color w:val="000000"/>
              </w:rPr>
              <w:t>2020</w:t>
            </w:r>
          </w:p>
        </w:tc>
        <w:tc>
          <w:tcPr>
            <w:tcW w:w="1824"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14751590" w14:textId="77777777" w:rsidR="00925453" w:rsidRPr="00617CD5" w:rsidRDefault="00925453" w:rsidP="00925453">
            <w:pPr>
              <w:spacing w:after="0" w:line="240" w:lineRule="auto"/>
              <w:jc w:val="center"/>
              <w:rPr>
                <w:rFonts w:eastAsia="Times New Roman" w:cstheme="minorHAnsi"/>
                <w:b/>
                <w:bCs/>
                <w:color w:val="000000"/>
              </w:rPr>
            </w:pPr>
            <w:r w:rsidRPr="00617CD5">
              <w:rPr>
                <w:rFonts w:eastAsia="Times New Roman" w:cstheme="minorHAnsi"/>
                <w:b/>
                <w:bCs/>
                <w:color w:val="000000"/>
              </w:rPr>
              <w:t>Grand Total</w:t>
            </w:r>
          </w:p>
          <w:p w14:paraId="7348EA1A" w14:textId="3B745E14" w:rsidR="00925453" w:rsidRPr="00617CD5" w:rsidRDefault="00925453" w:rsidP="00925453">
            <w:pPr>
              <w:spacing w:after="0" w:line="240" w:lineRule="auto"/>
              <w:jc w:val="center"/>
              <w:rPr>
                <w:rFonts w:eastAsia="Times New Roman" w:cstheme="minorHAnsi"/>
                <w:color w:val="000000"/>
              </w:rPr>
            </w:pPr>
          </w:p>
        </w:tc>
      </w:tr>
      <w:tr w:rsidR="00925453" w:rsidRPr="00617CD5" w14:paraId="76696D98" w14:textId="77777777" w:rsidTr="00A14D68">
        <w:trPr>
          <w:trHeight w:val="330"/>
          <w:jc w:val="center"/>
        </w:trPr>
        <w:tc>
          <w:tcPr>
            <w:tcW w:w="1975" w:type="dxa"/>
            <w:tcBorders>
              <w:top w:val="nil"/>
              <w:left w:val="single" w:sz="4" w:space="0" w:color="auto"/>
              <w:bottom w:val="single" w:sz="4" w:space="0" w:color="auto"/>
              <w:right w:val="single" w:sz="4" w:space="0" w:color="auto"/>
            </w:tcBorders>
            <w:shd w:val="clear" w:color="auto" w:fill="FFFFFF" w:themeFill="background1"/>
            <w:noWrap/>
            <w:vAlign w:val="bottom"/>
          </w:tcPr>
          <w:p w14:paraId="01AE9C13" w14:textId="77777777" w:rsidR="00925453" w:rsidRPr="00617CD5" w:rsidRDefault="00925453" w:rsidP="00D1373E">
            <w:pPr>
              <w:spacing w:after="0" w:line="240" w:lineRule="auto"/>
              <w:rPr>
                <w:rFonts w:eastAsia="Times New Roman" w:cstheme="minorHAnsi"/>
                <w:b/>
                <w:bCs/>
                <w:color w:val="000000"/>
              </w:rPr>
            </w:pPr>
          </w:p>
        </w:tc>
        <w:tc>
          <w:tcPr>
            <w:tcW w:w="1980" w:type="dxa"/>
            <w:tcBorders>
              <w:top w:val="nil"/>
              <w:left w:val="nil"/>
              <w:bottom w:val="single" w:sz="4" w:space="0" w:color="auto"/>
              <w:right w:val="single" w:sz="4" w:space="0" w:color="auto"/>
            </w:tcBorders>
            <w:shd w:val="clear" w:color="auto" w:fill="auto"/>
            <w:noWrap/>
            <w:vAlign w:val="bottom"/>
          </w:tcPr>
          <w:p w14:paraId="22A64412" w14:textId="77777777" w:rsidR="00925453" w:rsidRPr="00617CD5" w:rsidRDefault="00925453" w:rsidP="00D1373E">
            <w:pPr>
              <w:spacing w:after="0" w:line="240" w:lineRule="auto"/>
              <w:rPr>
                <w:rFonts w:eastAsia="Times New Roman" w:cstheme="minorHAnsi"/>
                <w:color w:val="000000"/>
              </w:rPr>
            </w:pPr>
          </w:p>
        </w:tc>
        <w:tc>
          <w:tcPr>
            <w:tcW w:w="764" w:type="dxa"/>
            <w:tcBorders>
              <w:top w:val="nil"/>
              <w:left w:val="nil"/>
              <w:bottom w:val="single" w:sz="4" w:space="0" w:color="auto"/>
              <w:right w:val="single" w:sz="4" w:space="0" w:color="auto"/>
            </w:tcBorders>
            <w:shd w:val="clear" w:color="auto" w:fill="auto"/>
            <w:noWrap/>
            <w:vAlign w:val="bottom"/>
          </w:tcPr>
          <w:p w14:paraId="5F8E1EBC" w14:textId="62C369AE" w:rsidR="00925453" w:rsidRPr="00617CD5" w:rsidRDefault="00925453" w:rsidP="00925453">
            <w:pPr>
              <w:spacing w:after="0" w:line="240" w:lineRule="auto"/>
              <w:jc w:val="center"/>
              <w:rPr>
                <w:rFonts w:eastAsia="Times New Roman" w:cstheme="minorHAnsi"/>
                <w:b/>
                <w:bCs/>
                <w:color w:val="000000"/>
              </w:rPr>
            </w:pPr>
            <w:r w:rsidRPr="00617CD5">
              <w:rPr>
                <w:rFonts w:eastAsia="Times New Roman" w:cstheme="minorHAnsi"/>
                <w:b/>
                <w:bCs/>
                <w:color w:val="000000"/>
              </w:rPr>
              <w:t>Count</w:t>
            </w:r>
          </w:p>
        </w:tc>
        <w:tc>
          <w:tcPr>
            <w:tcW w:w="993" w:type="dxa"/>
            <w:tcBorders>
              <w:top w:val="nil"/>
              <w:left w:val="nil"/>
              <w:bottom w:val="single" w:sz="4" w:space="0" w:color="auto"/>
              <w:right w:val="single" w:sz="4" w:space="0" w:color="auto"/>
            </w:tcBorders>
            <w:shd w:val="clear" w:color="auto" w:fill="auto"/>
            <w:noWrap/>
            <w:vAlign w:val="bottom"/>
          </w:tcPr>
          <w:p w14:paraId="6A3E0BFA" w14:textId="7DBA1259" w:rsidR="00925453" w:rsidRPr="00617CD5" w:rsidRDefault="00925453" w:rsidP="00925453">
            <w:pPr>
              <w:spacing w:after="0" w:line="240" w:lineRule="auto"/>
              <w:jc w:val="center"/>
              <w:rPr>
                <w:rFonts w:eastAsia="Times New Roman" w:cstheme="minorHAnsi"/>
                <w:b/>
                <w:bCs/>
                <w:color w:val="000000"/>
              </w:rPr>
            </w:pPr>
            <w:r w:rsidRPr="00617CD5">
              <w:rPr>
                <w:rFonts w:eastAsia="Times New Roman" w:cstheme="minorHAnsi"/>
                <w:b/>
                <w:bCs/>
                <w:color w:val="000000"/>
              </w:rPr>
              <w:t>%</w:t>
            </w:r>
          </w:p>
        </w:tc>
        <w:tc>
          <w:tcPr>
            <w:tcW w:w="764" w:type="dxa"/>
            <w:tcBorders>
              <w:top w:val="nil"/>
              <w:left w:val="nil"/>
              <w:bottom w:val="single" w:sz="4" w:space="0" w:color="auto"/>
              <w:right w:val="single" w:sz="4" w:space="0" w:color="auto"/>
            </w:tcBorders>
            <w:shd w:val="clear" w:color="auto" w:fill="auto"/>
            <w:noWrap/>
            <w:vAlign w:val="bottom"/>
          </w:tcPr>
          <w:p w14:paraId="695E756C" w14:textId="21E7E313" w:rsidR="00925453" w:rsidRPr="00617CD5" w:rsidRDefault="00925453" w:rsidP="00925453">
            <w:pPr>
              <w:spacing w:after="0" w:line="240" w:lineRule="auto"/>
              <w:jc w:val="center"/>
              <w:rPr>
                <w:rFonts w:eastAsia="Times New Roman" w:cstheme="minorHAnsi"/>
                <w:b/>
                <w:bCs/>
                <w:color w:val="000000"/>
              </w:rPr>
            </w:pPr>
            <w:r w:rsidRPr="00617CD5">
              <w:rPr>
                <w:rFonts w:eastAsia="Times New Roman" w:cstheme="minorHAnsi"/>
                <w:b/>
                <w:bCs/>
                <w:color w:val="000000"/>
              </w:rPr>
              <w:t>Count</w:t>
            </w:r>
          </w:p>
        </w:tc>
        <w:tc>
          <w:tcPr>
            <w:tcW w:w="993" w:type="dxa"/>
            <w:tcBorders>
              <w:top w:val="nil"/>
              <w:left w:val="nil"/>
              <w:bottom w:val="single" w:sz="4" w:space="0" w:color="auto"/>
              <w:right w:val="single" w:sz="4" w:space="0" w:color="auto"/>
            </w:tcBorders>
            <w:shd w:val="clear" w:color="auto" w:fill="auto"/>
            <w:noWrap/>
            <w:vAlign w:val="bottom"/>
          </w:tcPr>
          <w:p w14:paraId="67CB96E2" w14:textId="57FF0ADF" w:rsidR="00925453" w:rsidRPr="00617CD5" w:rsidRDefault="00925453" w:rsidP="00925453">
            <w:pPr>
              <w:spacing w:after="0" w:line="240" w:lineRule="auto"/>
              <w:jc w:val="center"/>
              <w:rPr>
                <w:rFonts w:eastAsia="Times New Roman" w:cstheme="minorHAnsi"/>
                <w:b/>
                <w:bCs/>
                <w:color w:val="000000"/>
              </w:rPr>
            </w:pPr>
            <w:r w:rsidRPr="00617CD5">
              <w:rPr>
                <w:rFonts w:eastAsia="Times New Roman" w:cstheme="minorHAnsi"/>
                <w:b/>
                <w:bCs/>
                <w:color w:val="000000"/>
              </w:rPr>
              <w:t>%</w:t>
            </w:r>
          </w:p>
        </w:tc>
        <w:tc>
          <w:tcPr>
            <w:tcW w:w="806" w:type="dxa"/>
            <w:tcBorders>
              <w:top w:val="nil"/>
              <w:left w:val="nil"/>
              <w:bottom w:val="single" w:sz="4" w:space="0" w:color="auto"/>
              <w:right w:val="single" w:sz="4" w:space="0" w:color="auto"/>
            </w:tcBorders>
            <w:shd w:val="clear" w:color="auto" w:fill="auto"/>
            <w:noWrap/>
            <w:vAlign w:val="bottom"/>
          </w:tcPr>
          <w:p w14:paraId="08685677" w14:textId="3E13DE57" w:rsidR="00925453" w:rsidRPr="00617CD5" w:rsidRDefault="00925453" w:rsidP="00925453">
            <w:pPr>
              <w:spacing w:after="0" w:line="240" w:lineRule="auto"/>
              <w:jc w:val="center"/>
              <w:rPr>
                <w:rFonts w:eastAsia="Times New Roman" w:cstheme="minorHAnsi"/>
                <w:b/>
                <w:bCs/>
                <w:color w:val="000000"/>
              </w:rPr>
            </w:pPr>
            <w:r w:rsidRPr="00617CD5">
              <w:rPr>
                <w:rFonts w:eastAsia="Times New Roman" w:cstheme="minorHAnsi"/>
                <w:b/>
                <w:bCs/>
                <w:color w:val="000000"/>
              </w:rPr>
              <w:t>Count</w:t>
            </w:r>
          </w:p>
        </w:tc>
        <w:tc>
          <w:tcPr>
            <w:tcW w:w="993" w:type="dxa"/>
            <w:tcBorders>
              <w:top w:val="nil"/>
              <w:left w:val="nil"/>
              <w:bottom w:val="single" w:sz="4" w:space="0" w:color="auto"/>
              <w:right w:val="single" w:sz="4" w:space="0" w:color="auto"/>
            </w:tcBorders>
            <w:shd w:val="clear" w:color="auto" w:fill="auto"/>
            <w:noWrap/>
            <w:vAlign w:val="bottom"/>
          </w:tcPr>
          <w:p w14:paraId="25C9B819" w14:textId="1B458C5F" w:rsidR="00925453" w:rsidRPr="00617CD5" w:rsidRDefault="00925453" w:rsidP="00925453">
            <w:pPr>
              <w:spacing w:after="0" w:line="240" w:lineRule="auto"/>
              <w:jc w:val="center"/>
              <w:rPr>
                <w:rFonts w:eastAsia="Times New Roman" w:cstheme="minorHAnsi"/>
                <w:b/>
                <w:bCs/>
                <w:color w:val="000000"/>
              </w:rPr>
            </w:pPr>
            <w:r w:rsidRPr="00617CD5">
              <w:rPr>
                <w:rFonts w:eastAsia="Times New Roman" w:cstheme="minorHAnsi"/>
                <w:b/>
                <w:bCs/>
                <w:color w:val="000000"/>
              </w:rPr>
              <w:t>%</w:t>
            </w:r>
          </w:p>
        </w:tc>
        <w:tc>
          <w:tcPr>
            <w:tcW w:w="831" w:type="dxa"/>
            <w:tcBorders>
              <w:top w:val="nil"/>
              <w:left w:val="nil"/>
              <w:bottom w:val="single" w:sz="4" w:space="0" w:color="auto"/>
              <w:right w:val="single" w:sz="4" w:space="0" w:color="auto"/>
            </w:tcBorders>
            <w:shd w:val="clear" w:color="auto" w:fill="auto"/>
            <w:noWrap/>
            <w:vAlign w:val="bottom"/>
          </w:tcPr>
          <w:p w14:paraId="46A858A5" w14:textId="12BC1CE6" w:rsidR="00925453" w:rsidRPr="00617CD5" w:rsidRDefault="00925453" w:rsidP="00925453">
            <w:pPr>
              <w:spacing w:after="0" w:line="240" w:lineRule="auto"/>
              <w:jc w:val="center"/>
              <w:rPr>
                <w:rFonts w:eastAsia="Times New Roman" w:cstheme="minorHAnsi"/>
                <w:b/>
                <w:bCs/>
                <w:color w:val="000000"/>
              </w:rPr>
            </w:pPr>
            <w:r w:rsidRPr="00617CD5">
              <w:rPr>
                <w:rFonts w:eastAsia="Times New Roman" w:cstheme="minorHAnsi"/>
                <w:b/>
                <w:bCs/>
                <w:color w:val="000000"/>
              </w:rPr>
              <w:t>Count</w:t>
            </w:r>
          </w:p>
        </w:tc>
        <w:tc>
          <w:tcPr>
            <w:tcW w:w="993" w:type="dxa"/>
            <w:tcBorders>
              <w:top w:val="nil"/>
              <w:left w:val="nil"/>
              <w:bottom w:val="single" w:sz="4" w:space="0" w:color="auto"/>
              <w:right w:val="single" w:sz="4" w:space="0" w:color="auto"/>
            </w:tcBorders>
            <w:shd w:val="clear" w:color="auto" w:fill="auto"/>
            <w:noWrap/>
            <w:vAlign w:val="bottom"/>
          </w:tcPr>
          <w:p w14:paraId="435D894F" w14:textId="55AD5A7A" w:rsidR="00925453" w:rsidRPr="00617CD5" w:rsidRDefault="00925453" w:rsidP="00925453">
            <w:pPr>
              <w:spacing w:after="0" w:line="240" w:lineRule="auto"/>
              <w:jc w:val="center"/>
              <w:rPr>
                <w:rFonts w:eastAsia="Times New Roman" w:cstheme="minorHAnsi"/>
                <w:b/>
                <w:bCs/>
                <w:color w:val="000000"/>
              </w:rPr>
            </w:pPr>
            <w:r w:rsidRPr="00617CD5">
              <w:rPr>
                <w:rFonts w:eastAsia="Times New Roman" w:cstheme="minorHAnsi"/>
                <w:b/>
                <w:bCs/>
                <w:color w:val="000000"/>
              </w:rPr>
              <w:t>%</w:t>
            </w:r>
          </w:p>
        </w:tc>
      </w:tr>
      <w:tr w:rsidR="00397994" w:rsidRPr="00617CD5" w14:paraId="27FFE7FD" w14:textId="77777777" w:rsidTr="005F7F50">
        <w:trPr>
          <w:trHeight w:val="330"/>
          <w:jc w:val="center"/>
        </w:trPr>
        <w:tc>
          <w:tcPr>
            <w:tcW w:w="197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0966511" w14:textId="77777777" w:rsidR="00397994" w:rsidRPr="00617CD5" w:rsidRDefault="00397994" w:rsidP="00397994">
            <w:pPr>
              <w:spacing w:after="0" w:line="240" w:lineRule="auto"/>
              <w:rPr>
                <w:rFonts w:eastAsia="Times New Roman" w:cstheme="minorHAnsi"/>
                <w:b/>
                <w:bCs/>
                <w:color w:val="000000"/>
              </w:rPr>
            </w:pPr>
            <w:r w:rsidRPr="00617CD5">
              <w:rPr>
                <w:rFonts w:eastAsia="Times New Roman" w:cstheme="minorHAnsi"/>
                <w:b/>
                <w:bCs/>
                <w:color w:val="000000"/>
              </w:rPr>
              <w:t>Heywood OR</w:t>
            </w:r>
          </w:p>
        </w:tc>
        <w:tc>
          <w:tcPr>
            <w:tcW w:w="1980" w:type="dxa"/>
            <w:tcBorders>
              <w:top w:val="nil"/>
              <w:left w:val="nil"/>
              <w:bottom w:val="single" w:sz="4" w:space="0" w:color="auto"/>
              <w:right w:val="single" w:sz="4" w:space="0" w:color="auto"/>
            </w:tcBorders>
            <w:shd w:val="clear" w:color="auto" w:fill="auto"/>
            <w:noWrap/>
            <w:vAlign w:val="bottom"/>
            <w:hideMark/>
          </w:tcPr>
          <w:p w14:paraId="04B036DD" w14:textId="77777777" w:rsidR="00397994" w:rsidRPr="00617CD5" w:rsidRDefault="00397994" w:rsidP="00397994">
            <w:pPr>
              <w:spacing w:after="0" w:line="240" w:lineRule="auto"/>
              <w:rPr>
                <w:rFonts w:eastAsia="Times New Roman" w:cstheme="minorHAnsi"/>
                <w:color w:val="000000"/>
              </w:rPr>
            </w:pPr>
            <w:r w:rsidRPr="00617CD5">
              <w:rPr>
                <w:rFonts w:eastAsia="Times New Roman" w:cstheme="minorHAnsi"/>
                <w:color w:val="000000"/>
              </w:rPr>
              <w:t>Pain</w:t>
            </w:r>
          </w:p>
        </w:tc>
        <w:tc>
          <w:tcPr>
            <w:tcW w:w="764" w:type="dxa"/>
            <w:tcBorders>
              <w:top w:val="nil"/>
              <w:left w:val="nil"/>
              <w:bottom w:val="single" w:sz="4" w:space="0" w:color="auto"/>
              <w:right w:val="single" w:sz="4" w:space="0" w:color="auto"/>
            </w:tcBorders>
            <w:shd w:val="clear" w:color="auto" w:fill="auto"/>
            <w:noWrap/>
            <w:vAlign w:val="bottom"/>
            <w:hideMark/>
          </w:tcPr>
          <w:p w14:paraId="77356F29" w14:textId="77777777" w:rsidR="00397994" w:rsidRPr="00617CD5" w:rsidRDefault="00397994" w:rsidP="00397994">
            <w:pPr>
              <w:spacing w:after="0" w:line="240" w:lineRule="auto"/>
              <w:jc w:val="right"/>
              <w:rPr>
                <w:rFonts w:eastAsia="Times New Roman" w:cstheme="minorHAnsi"/>
                <w:color w:val="000000"/>
              </w:rPr>
            </w:pPr>
            <w:r w:rsidRPr="00617CD5">
              <w:rPr>
                <w:rFonts w:eastAsia="Times New Roman" w:cstheme="minorHAnsi"/>
                <w:color w:val="000000"/>
              </w:rPr>
              <w:t>1,401</w:t>
            </w:r>
          </w:p>
        </w:tc>
        <w:tc>
          <w:tcPr>
            <w:tcW w:w="993" w:type="dxa"/>
            <w:tcBorders>
              <w:top w:val="nil"/>
              <w:left w:val="nil"/>
              <w:bottom w:val="single" w:sz="4" w:space="0" w:color="auto"/>
              <w:right w:val="single" w:sz="4" w:space="0" w:color="auto"/>
            </w:tcBorders>
            <w:shd w:val="clear" w:color="auto" w:fill="auto"/>
            <w:noWrap/>
          </w:tcPr>
          <w:p w14:paraId="57F65E8C" w14:textId="79134623" w:rsidR="00397994" w:rsidRPr="00617CD5" w:rsidRDefault="00397994" w:rsidP="00397994">
            <w:pPr>
              <w:spacing w:after="0" w:line="240" w:lineRule="auto"/>
              <w:jc w:val="right"/>
              <w:rPr>
                <w:rFonts w:eastAsia="Times New Roman" w:cstheme="minorHAnsi"/>
                <w:color w:val="000000"/>
              </w:rPr>
            </w:pPr>
            <w:r w:rsidRPr="001B1CB0">
              <w:t>25.54%</w:t>
            </w:r>
          </w:p>
        </w:tc>
        <w:tc>
          <w:tcPr>
            <w:tcW w:w="764" w:type="dxa"/>
            <w:tcBorders>
              <w:top w:val="nil"/>
              <w:left w:val="nil"/>
              <w:bottom w:val="single" w:sz="4" w:space="0" w:color="auto"/>
              <w:right w:val="single" w:sz="4" w:space="0" w:color="auto"/>
            </w:tcBorders>
            <w:shd w:val="clear" w:color="auto" w:fill="auto"/>
            <w:noWrap/>
            <w:vAlign w:val="bottom"/>
            <w:hideMark/>
          </w:tcPr>
          <w:p w14:paraId="2195F502" w14:textId="77777777" w:rsidR="00397994" w:rsidRPr="00617CD5" w:rsidRDefault="00397994" w:rsidP="00397994">
            <w:pPr>
              <w:spacing w:after="0" w:line="240" w:lineRule="auto"/>
              <w:jc w:val="right"/>
              <w:rPr>
                <w:rFonts w:eastAsia="Times New Roman" w:cstheme="minorHAnsi"/>
                <w:color w:val="000000"/>
              </w:rPr>
            </w:pPr>
            <w:r w:rsidRPr="00617CD5">
              <w:rPr>
                <w:rFonts w:eastAsia="Times New Roman" w:cstheme="minorHAnsi"/>
                <w:color w:val="000000"/>
              </w:rPr>
              <w:t>1,605</w:t>
            </w:r>
          </w:p>
        </w:tc>
        <w:tc>
          <w:tcPr>
            <w:tcW w:w="993" w:type="dxa"/>
            <w:tcBorders>
              <w:top w:val="nil"/>
              <w:left w:val="nil"/>
              <w:bottom w:val="single" w:sz="4" w:space="0" w:color="auto"/>
              <w:right w:val="single" w:sz="4" w:space="0" w:color="auto"/>
            </w:tcBorders>
            <w:shd w:val="clear" w:color="auto" w:fill="auto"/>
            <w:noWrap/>
          </w:tcPr>
          <w:p w14:paraId="10E50088" w14:textId="5B46C173" w:rsidR="00397994" w:rsidRPr="00617CD5" w:rsidRDefault="00397994" w:rsidP="00397994">
            <w:pPr>
              <w:spacing w:after="0" w:line="240" w:lineRule="auto"/>
              <w:jc w:val="right"/>
              <w:rPr>
                <w:rFonts w:eastAsia="Times New Roman" w:cstheme="minorHAnsi"/>
                <w:color w:val="000000"/>
              </w:rPr>
            </w:pPr>
            <w:r w:rsidRPr="006A3146">
              <w:t>29.56%</w:t>
            </w:r>
          </w:p>
        </w:tc>
        <w:tc>
          <w:tcPr>
            <w:tcW w:w="806" w:type="dxa"/>
            <w:tcBorders>
              <w:top w:val="nil"/>
              <w:left w:val="nil"/>
              <w:bottom w:val="single" w:sz="4" w:space="0" w:color="auto"/>
              <w:right w:val="single" w:sz="4" w:space="0" w:color="auto"/>
            </w:tcBorders>
            <w:shd w:val="clear" w:color="auto" w:fill="auto"/>
            <w:noWrap/>
            <w:vAlign w:val="bottom"/>
            <w:hideMark/>
          </w:tcPr>
          <w:p w14:paraId="3C521ABA" w14:textId="77777777" w:rsidR="00397994" w:rsidRPr="00617CD5" w:rsidRDefault="00397994" w:rsidP="00397994">
            <w:pPr>
              <w:spacing w:after="0" w:line="240" w:lineRule="auto"/>
              <w:jc w:val="right"/>
              <w:rPr>
                <w:rFonts w:eastAsia="Times New Roman" w:cstheme="minorHAnsi"/>
                <w:color w:val="000000"/>
              </w:rPr>
            </w:pPr>
            <w:r w:rsidRPr="00617CD5">
              <w:rPr>
                <w:rFonts w:eastAsia="Times New Roman" w:cstheme="minorHAnsi"/>
                <w:color w:val="000000"/>
              </w:rPr>
              <w:t>1,271</w:t>
            </w:r>
          </w:p>
        </w:tc>
        <w:tc>
          <w:tcPr>
            <w:tcW w:w="993" w:type="dxa"/>
            <w:tcBorders>
              <w:top w:val="nil"/>
              <w:left w:val="nil"/>
              <w:bottom w:val="single" w:sz="4" w:space="0" w:color="auto"/>
              <w:right w:val="single" w:sz="4" w:space="0" w:color="auto"/>
            </w:tcBorders>
            <w:shd w:val="clear" w:color="auto" w:fill="auto"/>
            <w:noWrap/>
          </w:tcPr>
          <w:p w14:paraId="34D829B0" w14:textId="680B1335" w:rsidR="00397994" w:rsidRPr="00617CD5" w:rsidRDefault="00397994" w:rsidP="00397994">
            <w:pPr>
              <w:spacing w:after="0" w:line="240" w:lineRule="auto"/>
              <w:jc w:val="right"/>
              <w:rPr>
                <w:rFonts w:eastAsia="Times New Roman" w:cstheme="minorHAnsi"/>
                <w:color w:val="000000"/>
              </w:rPr>
            </w:pPr>
            <w:r w:rsidRPr="00C02E91">
              <w:t>27.60%</w:t>
            </w:r>
          </w:p>
        </w:tc>
        <w:tc>
          <w:tcPr>
            <w:tcW w:w="831" w:type="dxa"/>
            <w:tcBorders>
              <w:top w:val="nil"/>
              <w:left w:val="nil"/>
              <w:bottom w:val="single" w:sz="4" w:space="0" w:color="auto"/>
              <w:right w:val="single" w:sz="4" w:space="0" w:color="auto"/>
            </w:tcBorders>
            <w:shd w:val="clear" w:color="auto" w:fill="auto"/>
            <w:noWrap/>
            <w:vAlign w:val="bottom"/>
            <w:hideMark/>
          </w:tcPr>
          <w:p w14:paraId="63C40FCA" w14:textId="77777777" w:rsidR="00397994" w:rsidRPr="00617CD5" w:rsidRDefault="00397994" w:rsidP="00397994">
            <w:pPr>
              <w:spacing w:after="0" w:line="240" w:lineRule="auto"/>
              <w:jc w:val="right"/>
              <w:rPr>
                <w:rFonts w:eastAsia="Times New Roman" w:cstheme="minorHAnsi"/>
                <w:color w:val="000000"/>
              </w:rPr>
            </w:pPr>
            <w:r w:rsidRPr="00617CD5">
              <w:rPr>
                <w:rFonts w:eastAsia="Times New Roman" w:cstheme="minorHAnsi"/>
                <w:color w:val="000000"/>
              </w:rPr>
              <w:t>4,277</w:t>
            </w:r>
          </w:p>
        </w:tc>
        <w:tc>
          <w:tcPr>
            <w:tcW w:w="993" w:type="dxa"/>
            <w:tcBorders>
              <w:top w:val="nil"/>
              <w:left w:val="nil"/>
              <w:bottom w:val="single" w:sz="4" w:space="0" w:color="auto"/>
              <w:right w:val="single" w:sz="4" w:space="0" w:color="auto"/>
            </w:tcBorders>
            <w:shd w:val="clear" w:color="auto" w:fill="auto"/>
            <w:noWrap/>
          </w:tcPr>
          <w:p w14:paraId="739EA3D4" w14:textId="0705C473" w:rsidR="00397994" w:rsidRPr="00617CD5" w:rsidRDefault="00397994" w:rsidP="00397994">
            <w:pPr>
              <w:spacing w:after="0" w:line="240" w:lineRule="auto"/>
              <w:jc w:val="right"/>
              <w:rPr>
                <w:rFonts w:eastAsia="Times New Roman" w:cstheme="minorHAnsi"/>
                <w:color w:val="000000"/>
              </w:rPr>
            </w:pPr>
            <w:r w:rsidRPr="000F1507">
              <w:t>27.56%</w:t>
            </w:r>
          </w:p>
        </w:tc>
      </w:tr>
      <w:tr w:rsidR="00397994" w:rsidRPr="00617CD5" w14:paraId="2BE304CA" w14:textId="77777777" w:rsidTr="005F7F50">
        <w:trPr>
          <w:trHeight w:val="330"/>
          <w:jc w:val="center"/>
        </w:trPr>
        <w:tc>
          <w:tcPr>
            <w:tcW w:w="197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F73A503" w14:textId="77777777" w:rsidR="00397994" w:rsidRPr="00617CD5" w:rsidRDefault="00397994" w:rsidP="00397994">
            <w:pPr>
              <w:spacing w:after="0" w:line="240" w:lineRule="auto"/>
              <w:rPr>
                <w:rFonts w:eastAsia="Times New Roman" w:cstheme="minorHAnsi"/>
                <w:b/>
                <w:bCs/>
                <w:color w:val="000000"/>
              </w:rPr>
            </w:pPr>
            <w:r w:rsidRPr="00617CD5">
              <w:rPr>
                <w:rFonts w:eastAsia="Times New Roman" w:cstheme="minorHAnsi"/>
                <w:b/>
                <w:bCs/>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14:paraId="328E1E3C" w14:textId="77777777" w:rsidR="00397994" w:rsidRPr="00617CD5" w:rsidRDefault="00397994" w:rsidP="00397994">
            <w:pPr>
              <w:spacing w:after="0" w:line="240" w:lineRule="auto"/>
              <w:rPr>
                <w:rFonts w:eastAsia="Times New Roman" w:cstheme="minorHAnsi"/>
                <w:color w:val="000000"/>
              </w:rPr>
            </w:pPr>
            <w:r w:rsidRPr="00617CD5">
              <w:rPr>
                <w:rFonts w:eastAsia="Times New Roman" w:cstheme="minorHAnsi"/>
                <w:color w:val="000000"/>
              </w:rPr>
              <w:t>Orthopedic Surgery</w:t>
            </w:r>
          </w:p>
        </w:tc>
        <w:tc>
          <w:tcPr>
            <w:tcW w:w="764" w:type="dxa"/>
            <w:tcBorders>
              <w:top w:val="nil"/>
              <w:left w:val="nil"/>
              <w:bottom w:val="single" w:sz="4" w:space="0" w:color="auto"/>
              <w:right w:val="single" w:sz="4" w:space="0" w:color="auto"/>
            </w:tcBorders>
            <w:shd w:val="clear" w:color="auto" w:fill="auto"/>
            <w:noWrap/>
            <w:vAlign w:val="bottom"/>
            <w:hideMark/>
          </w:tcPr>
          <w:p w14:paraId="112ABBD7" w14:textId="77777777" w:rsidR="00397994" w:rsidRPr="00617CD5" w:rsidRDefault="00397994" w:rsidP="00397994">
            <w:pPr>
              <w:spacing w:after="0" w:line="240" w:lineRule="auto"/>
              <w:jc w:val="right"/>
              <w:rPr>
                <w:rFonts w:eastAsia="Times New Roman" w:cstheme="minorHAnsi"/>
                <w:color w:val="000000"/>
              </w:rPr>
            </w:pPr>
            <w:r w:rsidRPr="00617CD5">
              <w:rPr>
                <w:rFonts w:eastAsia="Times New Roman" w:cstheme="minorHAnsi"/>
                <w:color w:val="000000"/>
              </w:rPr>
              <w:t>1,343</w:t>
            </w:r>
          </w:p>
        </w:tc>
        <w:tc>
          <w:tcPr>
            <w:tcW w:w="993" w:type="dxa"/>
            <w:tcBorders>
              <w:top w:val="nil"/>
              <w:left w:val="nil"/>
              <w:bottom w:val="single" w:sz="4" w:space="0" w:color="auto"/>
              <w:right w:val="single" w:sz="4" w:space="0" w:color="auto"/>
            </w:tcBorders>
            <w:shd w:val="clear" w:color="auto" w:fill="auto"/>
            <w:noWrap/>
          </w:tcPr>
          <w:p w14:paraId="2F74EAFE" w14:textId="7376A4F9" w:rsidR="00397994" w:rsidRPr="00617CD5" w:rsidRDefault="00397994" w:rsidP="00397994">
            <w:pPr>
              <w:spacing w:after="0" w:line="240" w:lineRule="auto"/>
              <w:jc w:val="right"/>
              <w:rPr>
                <w:rFonts w:eastAsia="Times New Roman" w:cstheme="minorHAnsi"/>
                <w:color w:val="000000"/>
              </w:rPr>
            </w:pPr>
            <w:r w:rsidRPr="001B1CB0">
              <w:t>24.48%</w:t>
            </w:r>
          </w:p>
        </w:tc>
        <w:tc>
          <w:tcPr>
            <w:tcW w:w="764" w:type="dxa"/>
            <w:tcBorders>
              <w:top w:val="nil"/>
              <w:left w:val="nil"/>
              <w:bottom w:val="single" w:sz="4" w:space="0" w:color="auto"/>
              <w:right w:val="single" w:sz="4" w:space="0" w:color="auto"/>
            </w:tcBorders>
            <w:shd w:val="clear" w:color="auto" w:fill="auto"/>
            <w:noWrap/>
            <w:vAlign w:val="bottom"/>
            <w:hideMark/>
          </w:tcPr>
          <w:p w14:paraId="3367DB7B" w14:textId="77777777" w:rsidR="00397994" w:rsidRPr="00617CD5" w:rsidRDefault="00397994" w:rsidP="00397994">
            <w:pPr>
              <w:spacing w:after="0" w:line="240" w:lineRule="auto"/>
              <w:jc w:val="right"/>
              <w:rPr>
                <w:rFonts w:eastAsia="Times New Roman" w:cstheme="minorHAnsi"/>
                <w:color w:val="000000"/>
              </w:rPr>
            </w:pPr>
            <w:r w:rsidRPr="00617CD5">
              <w:rPr>
                <w:rFonts w:eastAsia="Times New Roman" w:cstheme="minorHAnsi"/>
                <w:color w:val="000000"/>
              </w:rPr>
              <w:t>1,236</w:t>
            </w:r>
          </w:p>
        </w:tc>
        <w:tc>
          <w:tcPr>
            <w:tcW w:w="993" w:type="dxa"/>
            <w:tcBorders>
              <w:top w:val="nil"/>
              <w:left w:val="nil"/>
              <w:bottom w:val="single" w:sz="4" w:space="0" w:color="auto"/>
              <w:right w:val="single" w:sz="4" w:space="0" w:color="auto"/>
            </w:tcBorders>
            <w:shd w:val="clear" w:color="auto" w:fill="auto"/>
            <w:noWrap/>
          </w:tcPr>
          <w:p w14:paraId="325BC2EB" w14:textId="447842BA" w:rsidR="00397994" w:rsidRPr="00617CD5" w:rsidRDefault="00397994" w:rsidP="00397994">
            <w:pPr>
              <w:spacing w:after="0" w:line="240" w:lineRule="auto"/>
              <w:jc w:val="right"/>
              <w:rPr>
                <w:rFonts w:eastAsia="Times New Roman" w:cstheme="minorHAnsi"/>
                <w:color w:val="000000"/>
              </w:rPr>
            </w:pPr>
            <w:r w:rsidRPr="006A3146">
              <w:t>22.76%</w:t>
            </w:r>
          </w:p>
        </w:tc>
        <w:tc>
          <w:tcPr>
            <w:tcW w:w="806" w:type="dxa"/>
            <w:tcBorders>
              <w:top w:val="nil"/>
              <w:left w:val="nil"/>
              <w:bottom w:val="single" w:sz="4" w:space="0" w:color="auto"/>
              <w:right w:val="single" w:sz="4" w:space="0" w:color="auto"/>
            </w:tcBorders>
            <w:shd w:val="clear" w:color="auto" w:fill="auto"/>
            <w:noWrap/>
            <w:vAlign w:val="bottom"/>
            <w:hideMark/>
          </w:tcPr>
          <w:p w14:paraId="055184EC" w14:textId="77777777" w:rsidR="00397994" w:rsidRPr="00617CD5" w:rsidRDefault="00397994" w:rsidP="00397994">
            <w:pPr>
              <w:spacing w:after="0" w:line="240" w:lineRule="auto"/>
              <w:jc w:val="right"/>
              <w:rPr>
                <w:rFonts w:eastAsia="Times New Roman" w:cstheme="minorHAnsi"/>
                <w:color w:val="000000"/>
              </w:rPr>
            </w:pPr>
            <w:r w:rsidRPr="00617CD5">
              <w:rPr>
                <w:rFonts w:eastAsia="Times New Roman" w:cstheme="minorHAnsi"/>
                <w:color w:val="000000"/>
              </w:rPr>
              <w:t>1,154</w:t>
            </w:r>
          </w:p>
        </w:tc>
        <w:tc>
          <w:tcPr>
            <w:tcW w:w="993" w:type="dxa"/>
            <w:tcBorders>
              <w:top w:val="nil"/>
              <w:left w:val="nil"/>
              <w:bottom w:val="single" w:sz="4" w:space="0" w:color="auto"/>
              <w:right w:val="single" w:sz="4" w:space="0" w:color="auto"/>
            </w:tcBorders>
            <w:shd w:val="clear" w:color="auto" w:fill="auto"/>
            <w:noWrap/>
          </w:tcPr>
          <w:p w14:paraId="2364F328" w14:textId="0BECD47D" w:rsidR="00397994" w:rsidRPr="00617CD5" w:rsidRDefault="00397994" w:rsidP="00397994">
            <w:pPr>
              <w:spacing w:after="0" w:line="240" w:lineRule="auto"/>
              <w:jc w:val="right"/>
              <w:rPr>
                <w:rFonts w:eastAsia="Times New Roman" w:cstheme="minorHAnsi"/>
                <w:color w:val="000000"/>
              </w:rPr>
            </w:pPr>
            <w:r w:rsidRPr="00C02E91">
              <w:t>25.06%</w:t>
            </w:r>
          </w:p>
        </w:tc>
        <w:tc>
          <w:tcPr>
            <w:tcW w:w="831" w:type="dxa"/>
            <w:tcBorders>
              <w:top w:val="nil"/>
              <w:left w:val="nil"/>
              <w:bottom w:val="single" w:sz="4" w:space="0" w:color="auto"/>
              <w:right w:val="single" w:sz="4" w:space="0" w:color="auto"/>
            </w:tcBorders>
            <w:shd w:val="clear" w:color="auto" w:fill="auto"/>
            <w:noWrap/>
            <w:vAlign w:val="bottom"/>
            <w:hideMark/>
          </w:tcPr>
          <w:p w14:paraId="72D0F974" w14:textId="77777777" w:rsidR="00397994" w:rsidRPr="00617CD5" w:rsidRDefault="00397994" w:rsidP="00397994">
            <w:pPr>
              <w:spacing w:after="0" w:line="240" w:lineRule="auto"/>
              <w:jc w:val="right"/>
              <w:rPr>
                <w:rFonts w:eastAsia="Times New Roman" w:cstheme="minorHAnsi"/>
                <w:color w:val="000000"/>
              </w:rPr>
            </w:pPr>
            <w:r w:rsidRPr="00617CD5">
              <w:rPr>
                <w:rFonts w:eastAsia="Times New Roman" w:cstheme="minorHAnsi"/>
                <w:color w:val="000000"/>
              </w:rPr>
              <w:t>3,733</w:t>
            </w:r>
          </w:p>
        </w:tc>
        <w:tc>
          <w:tcPr>
            <w:tcW w:w="993" w:type="dxa"/>
            <w:tcBorders>
              <w:top w:val="nil"/>
              <w:left w:val="nil"/>
              <w:bottom w:val="single" w:sz="4" w:space="0" w:color="auto"/>
              <w:right w:val="single" w:sz="4" w:space="0" w:color="auto"/>
            </w:tcBorders>
            <w:shd w:val="clear" w:color="auto" w:fill="auto"/>
            <w:noWrap/>
          </w:tcPr>
          <w:p w14:paraId="55FED29F" w14:textId="034E1F5C" w:rsidR="00397994" w:rsidRPr="00617CD5" w:rsidRDefault="00397994" w:rsidP="00397994">
            <w:pPr>
              <w:spacing w:after="0" w:line="240" w:lineRule="auto"/>
              <w:jc w:val="right"/>
              <w:rPr>
                <w:rFonts w:eastAsia="Times New Roman" w:cstheme="minorHAnsi"/>
                <w:color w:val="000000"/>
              </w:rPr>
            </w:pPr>
            <w:r w:rsidRPr="000F1507">
              <w:t>24.05%</w:t>
            </w:r>
          </w:p>
        </w:tc>
      </w:tr>
      <w:tr w:rsidR="00397994" w:rsidRPr="00617CD5" w14:paraId="5D976973" w14:textId="77777777" w:rsidTr="005F7F50">
        <w:trPr>
          <w:trHeight w:val="330"/>
          <w:jc w:val="center"/>
        </w:trPr>
        <w:tc>
          <w:tcPr>
            <w:tcW w:w="197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F3B89DB" w14:textId="77777777" w:rsidR="00397994" w:rsidRPr="00617CD5" w:rsidRDefault="00397994" w:rsidP="00397994">
            <w:pPr>
              <w:spacing w:after="0" w:line="240" w:lineRule="auto"/>
              <w:rPr>
                <w:rFonts w:eastAsia="Times New Roman" w:cstheme="minorHAnsi"/>
                <w:b/>
                <w:bCs/>
                <w:color w:val="000000"/>
              </w:rPr>
            </w:pPr>
            <w:r w:rsidRPr="00617CD5">
              <w:rPr>
                <w:rFonts w:eastAsia="Times New Roman" w:cstheme="minorHAnsi"/>
                <w:b/>
                <w:bCs/>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14:paraId="6A24738B" w14:textId="77777777" w:rsidR="00397994" w:rsidRPr="00617CD5" w:rsidRDefault="00397994" w:rsidP="00397994">
            <w:pPr>
              <w:spacing w:after="0" w:line="240" w:lineRule="auto"/>
              <w:rPr>
                <w:rFonts w:eastAsia="Times New Roman" w:cstheme="minorHAnsi"/>
                <w:color w:val="000000"/>
              </w:rPr>
            </w:pPr>
            <w:r w:rsidRPr="00617CD5">
              <w:rPr>
                <w:rFonts w:eastAsia="Times New Roman" w:cstheme="minorHAnsi"/>
                <w:color w:val="000000"/>
              </w:rPr>
              <w:t>General Surgery</w:t>
            </w:r>
          </w:p>
        </w:tc>
        <w:tc>
          <w:tcPr>
            <w:tcW w:w="764" w:type="dxa"/>
            <w:tcBorders>
              <w:top w:val="nil"/>
              <w:left w:val="nil"/>
              <w:bottom w:val="single" w:sz="4" w:space="0" w:color="auto"/>
              <w:right w:val="single" w:sz="4" w:space="0" w:color="auto"/>
            </w:tcBorders>
            <w:shd w:val="clear" w:color="auto" w:fill="auto"/>
            <w:noWrap/>
            <w:vAlign w:val="bottom"/>
            <w:hideMark/>
          </w:tcPr>
          <w:p w14:paraId="1371854C" w14:textId="77777777" w:rsidR="00397994" w:rsidRPr="00617CD5" w:rsidRDefault="00397994" w:rsidP="00397994">
            <w:pPr>
              <w:spacing w:after="0" w:line="240" w:lineRule="auto"/>
              <w:jc w:val="right"/>
              <w:rPr>
                <w:rFonts w:eastAsia="Times New Roman" w:cstheme="minorHAnsi"/>
                <w:color w:val="000000"/>
              </w:rPr>
            </w:pPr>
            <w:r w:rsidRPr="00617CD5">
              <w:rPr>
                <w:rFonts w:eastAsia="Times New Roman" w:cstheme="minorHAnsi"/>
                <w:color w:val="000000"/>
              </w:rPr>
              <w:t>1,001</w:t>
            </w:r>
          </w:p>
        </w:tc>
        <w:tc>
          <w:tcPr>
            <w:tcW w:w="993" w:type="dxa"/>
            <w:tcBorders>
              <w:top w:val="nil"/>
              <w:left w:val="nil"/>
              <w:bottom w:val="single" w:sz="4" w:space="0" w:color="auto"/>
              <w:right w:val="single" w:sz="4" w:space="0" w:color="auto"/>
            </w:tcBorders>
            <w:shd w:val="clear" w:color="auto" w:fill="auto"/>
            <w:noWrap/>
          </w:tcPr>
          <w:p w14:paraId="05137A5F" w14:textId="29A3D2D4" w:rsidR="00397994" w:rsidRPr="00617CD5" w:rsidRDefault="00397994" w:rsidP="00397994">
            <w:pPr>
              <w:spacing w:after="0" w:line="240" w:lineRule="auto"/>
              <w:jc w:val="right"/>
              <w:rPr>
                <w:rFonts w:eastAsia="Times New Roman" w:cstheme="minorHAnsi"/>
                <w:color w:val="000000"/>
              </w:rPr>
            </w:pPr>
            <w:r w:rsidRPr="001B1CB0">
              <w:t>18.25%</w:t>
            </w:r>
          </w:p>
        </w:tc>
        <w:tc>
          <w:tcPr>
            <w:tcW w:w="764" w:type="dxa"/>
            <w:tcBorders>
              <w:top w:val="nil"/>
              <w:left w:val="nil"/>
              <w:bottom w:val="single" w:sz="4" w:space="0" w:color="auto"/>
              <w:right w:val="single" w:sz="4" w:space="0" w:color="auto"/>
            </w:tcBorders>
            <w:shd w:val="clear" w:color="auto" w:fill="auto"/>
            <w:noWrap/>
            <w:vAlign w:val="bottom"/>
            <w:hideMark/>
          </w:tcPr>
          <w:p w14:paraId="574A461B" w14:textId="77777777" w:rsidR="00397994" w:rsidRPr="00617CD5" w:rsidRDefault="00397994" w:rsidP="00397994">
            <w:pPr>
              <w:spacing w:after="0" w:line="240" w:lineRule="auto"/>
              <w:jc w:val="right"/>
              <w:rPr>
                <w:rFonts w:eastAsia="Times New Roman" w:cstheme="minorHAnsi"/>
                <w:color w:val="000000"/>
              </w:rPr>
            </w:pPr>
            <w:r w:rsidRPr="00617CD5">
              <w:rPr>
                <w:rFonts w:eastAsia="Times New Roman" w:cstheme="minorHAnsi"/>
                <w:color w:val="000000"/>
              </w:rPr>
              <w:t>858</w:t>
            </w:r>
          </w:p>
        </w:tc>
        <w:tc>
          <w:tcPr>
            <w:tcW w:w="993" w:type="dxa"/>
            <w:tcBorders>
              <w:top w:val="nil"/>
              <w:left w:val="nil"/>
              <w:bottom w:val="single" w:sz="4" w:space="0" w:color="auto"/>
              <w:right w:val="single" w:sz="4" w:space="0" w:color="auto"/>
            </w:tcBorders>
            <w:shd w:val="clear" w:color="auto" w:fill="auto"/>
            <w:noWrap/>
          </w:tcPr>
          <w:p w14:paraId="57707178" w14:textId="54A4AD44" w:rsidR="00397994" w:rsidRPr="00617CD5" w:rsidRDefault="00397994" w:rsidP="00397994">
            <w:pPr>
              <w:spacing w:after="0" w:line="240" w:lineRule="auto"/>
              <w:jc w:val="right"/>
              <w:rPr>
                <w:rFonts w:eastAsia="Times New Roman" w:cstheme="minorHAnsi"/>
                <w:color w:val="000000"/>
              </w:rPr>
            </w:pPr>
            <w:r w:rsidRPr="006A3146">
              <w:t>15.80%</w:t>
            </w:r>
          </w:p>
        </w:tc>
        <w:tc>
          <w:tcPr>
            <w:tcW w:w="806" w:type="dxa"/>
            <w:tcBorders>
              <w:top w:val="nil"/>
              <w:left w:val="nil"/>
              <w:bottom w:val="single" w:sz="4" w:space="0" w:color="auto"/>
              <w:right w:val="single" w:sz="4" w:space="0" w:color="auto"/>
            </w:tcBorders>
            <w:shd w:val="clear" w:color="auto" w:fill="auto"/>
            <w:noWrap/>
            <w:vAlign w:val="bottom"/>
            <w:hideMark/>
          </w:tcPr>
          <w:p w14:paraId="0FBDE582" w14:textId="77777777" w:rsidR="00397994" w:rsidRPr="00617CD5" w:rsidRDefault="00397994" w:rsidP="00397994">
            <w:pPr>
              <w:spacing w:after="0" w:line="240" w:lineRule="auto"/>
              <w:jc w:val="right"/>
              <w:rPr>
                <w:rFonts w:eastAsia="Times New Roman" w:cstheme="minorHAnsi"/>
                <w:color w:val="000000"/>
              </w:rPr>
            </w:pPr>
            <w:r w:rsidRPr="00617CD5">
              <w:rPr>
                <w:rFonts w:eastAsia="Times New Roman" w:cstheme="minorHAnsi"/>
                <w:color w:val="000000"/>
              </w:rPr>
              <w:t>725</w:t>
            </w:r>
          </w:p>
        </w:tc>
        <w:tc>
          <w:tcPr>
            <w:tcW w:w="993" w:type="dxa"/>
            <w:tcBorders>
              <w:top w:val="nil"/>
              <w:left w:val="nil"/>
              <w:bottom w:val="single" w:sz="4" w:space="0" w:color="auto"/>
              <w:right w:val="single" w:sz="4" w:space="0" w:color="auto"/>
            </w:tcBorders>
            <w:shd w:val="clear" w:color="auto" w:fill="auto"/>
            <w:noWrap/>
          </w:tcPr>
          <w:p w14:paraId="031A68B3" w14:textId="17A07908" w:rsidR="00397994" w:rsidRPr="00617CD5" w:rsidRDefault="00397994" w:rsidP="00397994">
            <w:pPr>
              <w:spacing w:after="0" w:line="240" w:lineRule="auto"/>
              <w:jc w:val="right"/>
              <w:rPr>
                <w:rFonts w:eastAsia="Times New Roman" w:cstheme="minorHAnsi"/>
                <w:color w:val="000000"/>
              </w:rPr>
            </w:pPr>
            <w:r w:rsidRPr="00C02E91">
              <w:t>15.74%</w:t>
            </w:r>
          </w:p>
        </w:tc>
        <w:tc>
          <w:tcPr>
            <w:tcW w:w="831" w:type="dxa"/>
            <w:tcBorders>
              <w:top w:val="nil"/>
              <w:left w:val="nil"/>
              <w:bottom w:val="single" w:sz="4" w:space="0" w:color="auto"/>
              <w:right w:val="single" w:sz="4" w:space="0" w:color="auto"/>
            </w:tcBorders>
            <w:shd w:val="clear" w:color="auto" w:fill="auto"/>
            <w:noWrap/>
            <w:vAlign w:val="bottom"/>
            <w:hideMark/>
          </w:tcPr>
          <w:p w14:paraId="272F3E8C" w14:textId="77777777" w:rsidR="00397994" w:rsidRPr="00617CD5" w:rsidRDefault="00397994" w:rsidP="00397994">
            <w:pPr>
              <w:spacing w:after="0" w:line="240" w:lineRule="auto"/>
              <w:jc w:val="right"/>
              <w:rPr>
                <w:rFonts w:eastAsia="Times New Roman" w:cstheme="minorHAnsi"/>
                <w:color w:val="000000"/>
              </w:rPr>
            </w:pPr>
            <w:r w:rsidRPr="00617CD5">
              <w:rPr>
                <w:rFonts w:eastAsia="Times New Roman" w:cstheme="minorHAnsi"/>
                <w:color w:val="000000"/>
              </w:rPr>
              <w:t>2,584</w:t>
            </w:r>
          </w:p>
        </w:tc>
        <w:tc>
          <w:tcPr>
            <w:tcW w:w="993" w:type="dxa"/>
            <w:tcBorders>
              <w:top w:val="nil"/>
              <w:left w:val="nil"/>
              <w:bottom w:val="single" w:sz="4" w:space="0" w:color="auto"/>
              <w:right w:val="single" w:sz="4" w:space="0" w:color="auto"/>
            </w:tcBorders>
            <w:shd w:val="clear" w:color="auto" w:fill="auto"/>
            <w:noWrap/>
          </w:tcPr>
          <w:p w14:paraId="5A7F3815" w14:textId="6715CD02" w:rsidR="00397994" w:rsidRPr="00617CD5" w:rsidRDefault="00397994" w:rsidP="00397994">
            <w:pPr>
              <w:spacing w:after="0" w:line="240" w:lineRule="auto"/>
              <w:jc w:val="right"/>
              <w:rPr>
                <w:rFonts w:eastAsia="Times New Roman" w:cstheme="minorHAnsi"/>
                <w:color w:val="000000"/>
              </w:rPr>
            </w:pPr>
            <w:r w:rsidRPr="000F1507">
              <w:t>16.65%</w:t>
            </w:r>
          </w:p>
        </w:tc>
      </w:tr>
      <w:tr w:rsidR="00397994" w:rsidRPr="00617CD5" w14:paraId="0429F336" w14:textId="77777777" w:rsidTr="005F7F50">
        <w:trPr>
          <w:trHeight w:val="330"/>
          <w:jc w:val="center"/>
        </w:trPr>
        <w:tc>
          <w:tcPr>
            <w:tcW w:w="197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4B5493B" w14:textId="77777777" w:rsidR="00397994" w:rsidRPr="00617CD5" w:rsidRDefault="00397994" w:rsidP="00397994">
            <w:pPr>
              <w:spacing w:after="0" w:line="240" w:lineRule="auto"/>
              <w:rPr>
                <w:rFonts w:eastAsia="Times New Roman" w:cstheme="minorHAnsi"/>
                <w:b/>
                <w:bCs/>
                <w:color w:val="000000"/>
              </w:rPr>
            </w:pPr>
            <w:r w:rsidRPr="00617CD5">
              <w:rPr>
                <w:rFonts w:eastAsia="Times New Roman" w:cstheme="minorHAnsi"/>
                <w:b/>
                <w:bCs/>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14:paraId="09C717DB" w14:textId="77777777" w:rsidR="00397994" w:rsidRPr="00617CD5" w:rsidRDefault="00397994" w:rsidP="00397994">
            <w:pPr>
              <w:spacing w:after="0" w:line="240" w:lineRule="auto"/>
              <w:rPr>
                <w:rFonts w:eastAsia="Times New Roman" w:cstheme="minorHAnsi"/>
                <w:color w:val="000000"/>
              </w:rPr>
            </w:pPr>
            <w:r w:rsidRPr="00617CD5">
              <w:rPr>
                <w:rFonts w:eastAsia="Times New Roman" w:cstheme="minorHAnsi"/>
                <w:color w:val="000000"/>
              </w:rPr>
              <w:t>ENT</w:t>
            </w:r>
          </w:p>
        </w:tc>
        <w:tc>
          <w:tcPr>
            <w:tcW w:w="764" w:type="dxa"/>
            <w:tcBorders>
              <w:top w:val="nil"/>
              <w:left w:val="nil"/>
              <w:bottom w:val="single" w:sz="4" w:space="0" w:color="auto"/>
              <w:right w:val="single" w:sz="4" w:space="0" w:color="auto"/>
            </w:tcBorders>
            <w:shd w:val="clear" w:color="auto" w:fill="auto"/>
            <w:noWrap/>
            <w:vAlign w:val="bottom"/>
            <w:hideMark/>
          </w:tcPr>
          <w:p w14:paraId="35EAE19C" w14:textId="77777777" w:rsidR="00397994" w:rsidRPr="00617CD5" w:rsidRDefault="00397994" w:rsidP="00397994">
            <w:pPr>
              <w:spacing w:after="0" w:line="240" w:lineRule="auto"/>
              <w:jc w:val="right"/>
              <w:rPr>
                <w:rFonts w:eastAsia="Times New Roman" w:cstheme="minorHAnsi"/>
                <w:color w:val="000000"/>
              </w:rPr>
            </w:pPr>
            <w:r w:rsidRPr="00617CD5">
              <w:rPr>
                <w:rFonts w:eastAsia="Times New Roman" w:cstheme="minorHAnsi"/>
                <w:color w:val="000000"/>
              </w:rPr>
              <w:t>643</w:t>
            </w:r>
          </w:p>
        </w:tc>
        <w:tc>
          <w:tcPr>
            <w:tcW w:w="993" w:type="dxa"/>
            <w:tcBorders>
              <w:top w:val="nil"/>
              <w:left w:val="nil"/>
              <w:bottom w:val="single" w:sz="4" w:space="0" w:color="auto"/>
              <w:right w:val="single" w:sz="4" w:space="0" w:color="auto"/>
            </w:tcBorders>
            <w:shd w:val="clear" w:color="auto" w:fill="auto"/>
            <w:noWrap/>
          </w:tcPr>
          <w:p w14:paraId="0EDDE83B" w14:textId="0CDBD7ED" w:rsidR="00397994" w:rsidRPr="00617CD5" w:rsidRDefault="00397994" w:rsidP="00397994">
            <w:pPr>
              <w:spacing w:after="0" w:line="240" w:lineRule="auto"/>
              <w:jc w:val="right"/>
              <w:rPr>
                <w:rFonts w:eastAsia="Times New Roman" w:cstheme="minorHAnsi"/>
                <w:color w:val="000000"/>
              </w:rPr>
            </w:pPr>
            <w:r w:rsidRPr="001B1CB0">
              <w:t>11.72%</w:t>
            </w:r>
          </w:p>
        </w:tc>
        <w:tc>
          <w:tcPr>
            <w:tcW w:w="764" w:type="dxa"/>
            <w:tcBorders>
              <w:top w:val="nil"/>
              <w:left w:val="nil"/>
              <w:bottom w:val="single" w:sz="4" w:space="0" w:color="auto"/>
              <w:right w:val="single" w:sz="4" w:space="0" w:color="auto"/>
            </w:tcBorders>
            <w:shd w:val="clear" w:color="auto" w:fill="auto"/>
            <w:noWrap/>
            <w:vAlign w:val="bottom"/>
            <w:hideMark/>
          </w:tcPr>
          <w:p w14:paraId="7222C8A4" w14:textId="77777777" w:rsidR="00397994" w:rsidRPr="00617CD5" w:rsidRDefault="00397994" w:rsidP="00397994">
            <w:pPr>
              <w:spacing w:after="0" w:line="240" w:lineRule="auto"/>
              <w:jc w:val="right"/>
              <w:rPr>
                <w:rFonts w:eastAsia="Times New Roman" w:cstheme="minorHAnsi"/>
                <w:color w:val="000000"/>
              </w:rPr>
            </w:pPr>
            <w:r w:rsidRPr="00617CD5">
              <w:rPr>
                <w:rFonts w:eastAsia="Times New Roman" w:cstheme="minorHAnsi"/>
                <w:color w:val="000000"/>
              </w:rPr>
              <w:t>670</w:t>
            </w:r>
          </w:p>
        </w:tc>
        <w:tc>
          <w:tcPr>
            <w:tcW w:w="993" w:type="dxa"/>
            <w:tcBorders>
              <w:top w:val="nil"/>
              <w:left w:val="nil"/>
              <w:bottom w:val="single" w:sz="4" w:space="0" w:color="auto"/>
              <w:right w:val="single" w:sz="4" w:space="0" w:color="auto"/>
            </w:tcBorders>
            <w:shd w:val="clear" w:color="auto" w:fill="auto"/>
            <w:noWrap/>
          </w:tcPr>
          <w:p w14:paraId="3B783809" w14:textId="4C97DF6C" w:rsidR="00397994" w:rsidRPr="00617CD5" w:rsidRDefault="00397994" w:rsidP="00397994">
            <w:pPr>
              <w:spacing w:after="0" w:line="240" w:lineRule="auto"/>
              <w:jc w:val="right"/>
              <w:rPr>
                <w:rFonts w:eastAsia="Times New Roman" w:cstheme="minorHAnsi"/>
                <w:color w:val="000000"/>
              </w:rPr>
            </w:pPr>
            <w:r w:rsidRPr="006A3146">
              <w:t>12.34%</w:t>
            </w:r>
          </w:p>
        </w:tc>
        <w:tc>
          <w:tcPr>
            <w:tcW w:w="806" w:type="dxa"/>
            <w:tcBorders>
              <w:top w:val="nil"/>
              <w:left w:val="nil"/>
              <w:bottom w:val="single" w:sz="4" w:space="0" w:color="auto"/>
              <w:right w:val="single" w:sz="4" w:space="0" w:color="auto"/>
            </w:tcBorders>
            <w:shd w:val="clear" w:color="auto" w:fill="auto"/>
            <w:noWrap/>
            <w:vAlign w:val="bottom"/>
            <w:hideMark/>
          </w:tcPr>
          <w:p w14:paraId="0E0A7FDF" w14:textId="77777777" w:rsidR="00397994" w:rsidRPr="00617CD5" w:rsidRDefault="00397994" w:rsidP="00397994">
            <w:pPr>
              <w:spacing w:after="0" w:line="240" w:lineRule="auto"/>
              <w:jc w:val="right"/>
              <w:rPr>
                <w:rFonts w:eastAsia="Times New Roman" w:cstheme="minorHAnsi"/>
                <w:color w:val="000000"/>
              </w:rPr>
            </w:pPr>
            <w:r w:rsidRPr="00617CD5">
              <w:rPr>
                <w:rFonts w:eastAsia="Times New Roman" w:cstheme="minorHAnsi"/>
                <w:color w:val="000000"/>
              </w:rPr>
              <w:t>449</w:t>
            </w:r>
          </w:p>
        </w:tc>
        <w:tc>
          <w:tcPr>
            <w:tcW w:w="993" w:type="dxa"/>
            <w:tcBorders>
              <w:top w:val="nil"/>
              <w:left w:val="nil"/>
              <w:bottom w:val="single" w:sz="4" w:space="0" w:color="auto"/>
              <w:right w:val="single" w:sz="4" w:space="0" w:color="auto"/>
            </w:tcBorders>
            <w:shd w:val="clear" w:color="auto" w:fill="auto"/>
            <w:noWrap/>
          </w:tcPr>
          <w:p w14:paraId="43D8563E" w14:textId="024FF589" w:rsidR="00397994" w:rsidRPr="00617CD5" w:rsidRDefault="00397994" w:rsidP="00397994">
            <w:pPr>
              <w:spacing w:after="0" w:line="240" w:lineRule="auto"/>
              <w:jc w:val="right"/>
              <w:rPr>
                <w:rFonts w:eastAsia="Times New Roman" w:cstheme="minorHAnsi"/>
                <w:color w:val="000000"/>
              </w:rPr>
            </w:pPr>
            <w:r w:rsidRPr="00C02E91">
              <w:t>9.75%</w:t>
            </w:r>
          </w:p>
        </w:tc>
        <w:tc>
          <w:tcPr>
            <w:tcW w:w="831" w:type="dxa"/>
            <w:tcBorders>
              <w:top w:val="nil"/>
              <w:left w:val="nil"/>
              <w:bottom w:val="single" w:sz="4" w:space="0" w:color="auto"/>
              <w:right w:val="single" w:sz="4" w:space="0" w:color="auto"/>
            </w:tcBorders>
            <w:shd w:val="clear" w:color="auto" w:fill="auto"/>
            <w:noWrap/>
            <w:vAlign w:val="bottom"/>
            <w:hideMark/>
          </w:tcPr>
          <w:p w14:paraId="5D716642" w14:textId="77777777" w:rsidR="00397994" w:rsidRPr="00617CD5" w:rsidRDefault="00397994" w:rsidP="00397994">
            <w:pPr>
              <w:spacing w:after="0" w:line="240" w:lineRule="auto"/>
              <w:jc w:val="right"/>
              <w:rPr>
                <w:rFonts w:eastAsia="Times New Roman" w:cstheme="minorHAnsi"/>
                <w:color w:val="000000"/>
              </w:rPr>
            </w:pPr>
            <w:r w:rsidRPr="00617CD5">
              <w:rPr>
                <w:rFonts w:eastAsia="Times New Roman" w:cstheme="minorHAnsi"/>
                <w:color w:val="000000"/>
              </w:rPr>
              <w:t>1,762</w:t>
            </w:r>
          </w:p>
        </w:tc>
        <w:tc>
          <w:tcPr>
            <w:tcW w:w="993" w:type="dxa"/>
            <w:tcBorders>
              <w:top w:val="nil"/>
              <w:left w:val="nil"/>
              <w:bottom w:val="single" w:sz="4" w:space="0" w:color="auto"/>
              <w:right w:val="single" w:sz="4" w:space="0" w:color="auto"/>
            </w:tcBorders>
            <w:shd w:val="clear" w:color="auto" w:fill="auto"/>
            <w:noWrap/>
          </w:tcPr>
          <w:p w14:paraId="626CD4BB" w14:textId="4A66B599" w:rsidR="00397994" w:rsidRPr="00617CD5" w:rsidRDefault="00397994" w:rsidP="00397994">
            <w:pPr>
              <w:spacing w:after="0" w:line="240" w:lineRule="auto"/>
              <w:jc w:val="right"/>
              <w:rPr>
                <w:rFonts w:eastAsia="Times New Roman" w:cstheme="minorHAnsi"/>
                <w:color w:val="000000"/>
              </w:rPr>
            </w:pPr>
            <w:r w:rsidRPr="000F1507">
              <w:t>11.35%</w:t>
            </w:r>
          </w:p>
        </w:tc>
      </w:tr>
      <w:tr w:rsidR="00397994" w:rsidRPr="00617CD5" w14:paraId="152B0054" w14:textId="77777777" w:rsidTr="005F7F50">
        <w:trPr>
          <w:trHeight w:val="330"/>
          <w:jc w:val="center"/>
        </w:trPr>
        <w:tc>
          <w:tcPr>
            <w:tcW w:w="197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86419F6" w14:textId="77777777" w:rsidR="00397994" w:rsidRPr="00617CD5" w:rsidRDefault="00397994" w:rsidP="00397994">
            <w:pPr>
              <w:spacing w:after="0" w:line="240" w:lineRule="auto"/>
              <w:rPr>
                <w:rFonts w:eastAsia="Times New Roman" w:cstheme="minorHAnsi"/>
                <w:b/>
                <w:bCs/>
                <w:color w:val="000000"/>
              </w:rPr>
            </w:pPr>
            <w:r w:rsidRPr="00617CD5">
              <w:rPr>
                <w:rFonts w:eastAsia="Times New Roman" w:cstheme="minorHAnsi"/>
                <w:b/>
                <w:bCs/>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14:paraId="1344C6D0" w14:textId="77777777" w:rsidR="00397994" w:rsidRPr="00617CD5" w:rsidRDefault="00397994" w:rsidP="00397994">
            <w:pPr>
              <w:spacing w:after="0" w:line="240" w:lineRule="auto"/>
              <w:rPr>
                <w:rFonts w:eastAsia="Times New Roman" w:cstheme="minorHAnsi"/>
                <w:color w:val="000000"/>
              </w:rPr>
            </w:pPr>
            <w:r w:rsidRPr="00617CD5">
              <w:rPr>
                <w:rFonts w:eastAsia="Times New Roman" w:cstheme="minorHAnsi"/>
                <w:color w:val="000000"/>
              </w:rPr>
              <w:t>OBGYN</w:t>
            </w:r>
          </w:p>
        </w:tc>
        <w:tc>
          <w:tcPr>
            <w:tcW w:w="764" w:type="dxa"/>
            <w:tcBorders>
              <w:top w:val="nil"/>
              <w:left w:val="nil"/>
              <w:bottom w:val="single" w:sz="4" w:space="0" w:color="auto"/>
              <w:right w:val="single" w:sz="4" w:space="0" w:color="auto"/>
            </w:tcBorders>
            <w:shd w:val="clear" w:color="auto" w:fill="auto"/>
            <w:noWrap/>
            <w:vAlign w:val="bottom"/>
            <w:hideMark/>
          </w:tcPr>
          <w:p w14:paraId="508BE83D" w14:textId="77777777" w:rsidR="00397994" w:rsidRPr="00617CD5" w:rsidRDefault="00397994" w:rsidP="00397994">
            <w:pPr>
              <w:spacing w:after="0" w:line="240" w:lineRule="auto"/>
              <w:jc w:val="right"/>
              <w:rPr>
                <w:rFonts w:eastAsia="Times New Roman" w:cstheme="minorHAnsi"/>
                <w:color w:val="000000"/>
              </w:rPr>
            </w:pPr>
            <w:r w:rsidRPr="00617CD5">
              <w:rPr>
                <w:rFonts w:eastAsia="Times New Roman" w:cstheme="minorHAnsi"/>
                <w:color w:val="000000"/>
              </w:rPr>
              <w:t>505</w:t>
            </w:r>
          </w:p>
        </w:tc>
        <w:tc>
          <w:tcPr>
            <w:tcW w:w="993" w:type="dxa"/>
            <w:tcBorders>
              <w:top w:val="nil"/>
              <w:left w:val="nil"/>
              <w:bottom w:val="single" w:sz="4" w:space="0" w:color="auto"/>
              <w:right w:val="single" w:sz="4" w:space="0" w:color="auto"/>
            </w:tcBorders>
            <w:shd w:val="clear" w:color="auto" w:fill="auto"/>
            <w:noWrap/>
          </w:tcPr>
          <w:p w14:paraId="22593B5D" w14:textId="68F74875" w:rsidR="00397994" w:rsidRPr="00617CD5" w:rsidRDefault="00397994" w:rsidP="00397994">
            <w:pPr>
              <w:spacing w:after="0" w:line="240" w:lineRule="auto"/>
              <w:jc w:val="right"/>
              <w:rPr>
                <w:rFonts w:eastAsia="Times New Roman" w:cstheme="minorHAnsi"/>
                <w:color w:val="000000"/>
              </w:rPr>
            </w:pPr>
            <w:r w:rsidRPr="001B1CB0">
              <w:t>9.21%</w:t>
            </w:r>
          </w:p>
        </w:tc>
        <w:tc>
          <w:tcPr>
            <w:tcW w:w="764" w:type="dxa"/>
            <w:tcBorders>
              <w:top w:val="nil"/>
              <w:left w:val="nil"/>
              <w:bottom w:val="single" w:sz="4" w:space="0" w:color="auto"/>
              <w:right w:val="single" w:sz="4" w:space="0" w:color="auto"/>
            </w:tcBorders>
            <w:shd w:val="clear" w:color="auto" w:fill="auto"/>
            <w:noWrap/>
            <w:vAlign w:val="bottom"/>
            <w:hideMark/>
          </w:tcPr>
          <w:p w14:paraId="54471209" w14:textId="77777777" w:rsidR="00397994" w:rsidRPr="00617CD5" w:rsidRDefault="00397994" w:rsidP="00397994">
            <w:pPr>
              <w:spacing w:after="0" w:line="240" w:lineRule="auto"/>
              <w:jc w:val="right"/>
              <w:rPr>
                <w:rFonts w:eastAsia="Times New Roman" w:cstheme="minorHAnsi"/>
                <w:color w:val="000000"/>
              </w:rPr>
            </w:pPr>
            <w:r w:rsidRPr="00617CD5">
              <w:rPr>
                <w:rFonts w:eastAsia="Times New Roman" w:cstheme="minorHAnsi"/>
                <w:color w:val="000000"/>
              </w:rPr>
              <w:t>521</w:t>
            </w:r>
          </w:p>
        </w:tc>
        <w:tc>
          <w:tcPr>
            <w:tcW w:w="993" w:type="dxa"/>
            <w:tcBorders>
              <w:top w:val="nil"/>
              <w:left w:val="nil"/>
              <w:bottom w:val="single" w:sz="4" w:space="0" w:color="auto"/>
              <w:right w:val="single" w:sz="4" w:space="0" w:color="auto"/>
            </w:tcBorders>
            <w:shd w:val="clear" w:color="auto" w:fill="auto"/>
            <w:noWrap/>
          </w:tcPr>
          <w:p w14:paraId="458BC666" w14:textId="79630447" w:rsidR="00397994" w:rsidRPr="00617CD5" w:rsidRDefault="00397994" w:rsidP="00397994">
            <w:pPr>
              <w:spacing w:after="0" w:line="240" w:lineRule="auto"/>
              <w:jc w:val="right"/>
              <w:rPr>
                <w:rFonts w:eastAsia="Times New Roman" w:cstheme="minorHAnsi"/>
                <w:color w:val="000000"/>
              </w:rPr>
            </w:pPr>
            <w:r w:rsidRPr="006A3146">
              <w:t>9.59%</w:t>
            </w:r>
          </w:p>
        </w:tc>
        <w:tc>
          <w:tcPr>
            <w:tcW w:w="806" w:type="dxa"/>
            <w:tcBorders>
              <w:top w:val="nil"/>
              <w:left w:val="nil"/>
              <w:bottom w:val="single" w:sz="4" w:space="0" w:color="auto"/>
              <w:right w:val="single" w:sz="4" w:space="0" w:color="auto"/>
            </w:tcBorders>
            <w:shd w:val="clear" w:color="auto" w:fill="auto"/>
            <w:noWrap/>
            <w:vAlign w:val="bottom"/>
            <w:hideMark/>
          </w:tcPr>
          <w:p w14:paraId="1E471CCF" w14:textId="77777777" w:rsidR="00397994" w:rsidRPr="00617CD5" w:rsidRDefault="00397994" w:rsidP="00397994">
            <w:pPr>
              <w:spacing w:after="0" w:line="240" w:lineRule="auto"/>
              <w:jc w:val="right"/>
              <w:rPr>
                <w:rFonts w:eastAsia="Times New Roman" w:cstheme="minorHAnsi"/>
                <w:color w:val="000000"/>
              </w:rPr>
            </w:pPr>
            <w:r w:rsidRPr="00617CD5">
              <w:rPr>
                <w:rFonts w:eastAsia="Times New Roman" w:cstheme="minorHAnsi"/>
                <w:color w:val="000000"/>
              </w:rPr>
              <w:t>456</w:t>
            </w:r>
          </w:p>
        </w:tc>
        <w:tc>
          <w:tcPr>
            <w:tcW w:w="993" w:type="dxa"/>
            <w:tcBorders>
              <w:top w:val="nil"/>
              <w:left w:val="nil"/>
              <w:bottom w:val="single" w:sz="4" w:space="0" w:color="auto"/>
              <w:right w:val="single" w:sz="4" w:space="0" w:color="auto"/>
            </w:tcBorders>
            <w:shd w:val="clear" w:color="auto" w:fill="auto"/>
            <w:noWrap/>
          </w:tcPr>
          <w:p w14:paraId="2928FE4D" w14:textId="508B4323" w:rsidR="00397994" w:rsidRPr="00617CD5" w:rsidRDefault="00397994" w:rsidP="00397994">
            <w:pPr>
              <w:spacing w:after="0" w:line="240" w:lineRule="auto"/>
              <w:jc w:val="right"/>
              <w:rPr>
                <w:rFonts w:eastAsia="Times New Roman" w:cstheme="minorHAnsi"/>
                <w:color w:val="000000"/>
              </w:rPr>
            </w:pPr>
            <w:r w:rsidRPr="00C02E91">
              <w:t>9.90%</w:t>
            </w:r>
          </w:p>
        </w:tc>
        <w:tc>
          <w:tcPr>
            <w:tcW w:w="831" w:type="dxa"/>
            <w:tcBorders>
              <w:top w:val="nil"/>
              <w:left w:val="nil"/>
              <w:bottom w:val="single" w:sz="4" w:space="0" w:color="auto"/>
              <w:right w:val="single" w:sz="4" w:space="0" w:color="auto"/>
            </w:tcBorders>
            <w:shd w:val="clear" w:color="auto" w:fill="auto"/>
            <w:noWrap/>
            <w:vAlign w:val="bottom"/>
            <w:hideMark/>
          </w:tcPr>
          <w:p w14:paraId="24B0A64B" w14:textId="77777777" w:rsidR="00397994" w:rsidRPr="00617CD5" w:rsidRDefault="00397994" w:rsidP="00397994">
            <w:pPr>
              <w:spacing w:after="0" w:line="240" w:lineRule="auto"/>
              <w:jc w:val="right"/>
              <w:rPr>
                <w:rFonts w:eastAsia="Times New Roman" w:cstheme="minorHAnsi"/>
                <w:color w:val="000000"/>
              </w:rPr>
            </w:pPr>
            <w:r w:rsidRPr="00617CD5">
              <w:rPr>
                <w:rFonts w:eastAsia="Times New Roman" w:cstheme="minorHAnsi"/>
                <w:color w:val="000000"/>
              </w:rPr>
              <w:t>1,482</w:t>
            </w:r>
          </w:p>
        </w:tc>
        <w:tc>
          <w:tcPr>
            <w:tcW w:w="993" w:type="dxa"/>
            <w:tcBorders>
              <w:top w:val="nil"/>
              <w:left w:val="nil"/>
              <w:bottom w:val="single" w:sz="4" w:space="0" w:color="auto"/>
              <w:right w:val="single" w:sz="4" w:space="0" w:color="auto"/>
            </w:tcBorders>
            <w:shd w:val="clear" w:color="auto" w:fill="auto"/>
            <w:noWrap/>
          </w:tcPr>
          <w:p w14:paraId="27E84850" w14:textId="61518054" w:rsidR="00397994" w:rsidRPr="00617CD5" w:rsidRDefault="00397994" w:rsidP="00397994">
            <w:pPr>
              <w:spacing w:after="0" w:line="240" w:lineRule="auto"/>
              <w:jc w:val="right"/>
              <w:rPr>
                <w:rFonts w:eastAsia="Times New Roman" w:cstheme="minorHAnsi"/>
                <w:color w:val="000000"/>
              </w:rPr>
            </w:pPr>
            <w:r w:rsidRPr="000F1507">
              <w:t>9.55%</w:t>
            </w:r>
          </w:p>
        </w:tc>
      </w:tr>
      <w:tr w:rsidR="00397994" w:rsidRPr="00617CD5" w14:paraId="0D60650C" w14:textId="77777777" w:rsidTr="005F7F50">
        <w:trPr>
          <w:trHeight w:val="330"/>
          <w:jc w:val="center"/>
        </w:trPr>
        <w:tc>
          <w:tcPr>
            <w:tcW w:w="197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DB85322" w14:textId="77777777" w:rsidR="00397994" w:rsidRPr="00617CD5" w:rsidRDefault="00397994" w:rsidP="00397994">
            <w:pPr>
              <w:spacing w:after="0" w:line="240" w:lineRule="auto"/>
              <w:rPr>
                <w:rFonts w:eastAsia="Times New Roman" w:cstheme="minorHAnsi"/>
                <w:b/>
                <w:bCs/>
                <w:color w:val="000000"/>
              </w:rPr>
            </w:pPr>
            <w:r w:rsidRPr="00617CD5">
              <w:rPr>
                <w:rFonts w:eastAsia="Times New Roman" w:cstheme="minorHAnsi"/>
                <w:b/>
                <w:bCs/>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14:paraId="135A172C" w14:textId="77777777" w:rsidR="00397994" w:rsidRPr="00617CD5" w:rsidRDefault="00397994" w:rsidP="00397994">
            <w:pPr>
              <w:spacing w:after="0" w:line="240" w:lineRule="auto"/>
              <w:rPr>
                <w:rFonts w:eastAsia="Times New Roman" w:cstheme="minorHAnsi"/>
                <w:color w:val="000000"/>
              </w:rPr>
            </w:pPr>
            <w:r w:rsidRPr="00617CD5">
              <w:rPr>
                <w:rFonts w:eastAsia="Times New Roman" w:cstheme="minorHAnsi"/>
                <w:color w:val="000000"/>
              </w:rPr>
              <w:t>Urology</w:t>
            </w:r>
          </w:p>
        </w:tc>
        <w:tc>
          <w:tcPr>
            <w:tcW w:w="764" w:type="dxa"/>
            <w:tcBorders>
              <w:top w:val="nil"/>
              <w:left w:val="nil"/>
              <w:bottom w:val="single" w:sz="4" w:space="0" w:color="auto"/>
              <w:right w:val="single" w:sz="4" w:space="0" w:color="auto"/>
            </w:tcBorders>
            <w:shd w:val="clear" w:color="auto" w:fill="auto"/>
            <w:noWrap/>
            <w:vAlign w:val="bottom"/>
            <w:hideMark/>
          </w:tcPr>
          <w:p w14:paraId="0237A1F8" w14:textId="77777777" w:rsidR="00397994" w:rsidRPr="00617CD5" w:rsidRDefault="00397994" w:rsidP="00397994">
            <w:pPr>
              <w:spacing w:after="0" w:line="240" w:lineRule="auto"/>
              <w:jc w:val="right"/>
              <w:rPr>
                <w:rFonts w:eastAsia="Times New Roman" w:cstheme="minorHAnsi"/>
                <w:color w:val="000000"/>
              </w:rPr>
            </w:pPr>
            <w:r w:rsidRPr="00617CD5">
              <w:rPr>
                <w:rFonts w:eastAsia="Times New Roman" w:cstheme="minorHAnsi"/>
                <w:color w:val="000000"/>
              </w:rPr>
              <w:t>470</w:t>
            </w:r>
          </w:p>
        </w:tc>
        <w:tc>
          <w:tcPr>
            <w:tcW w:w="993" w:type="dxa"/>
            <w:tcBorders>
              <w:top w:val="nil"/>
              <w:left w:val="nil"/>
              <w:bottom w:val="single" w:sz="4" w:space="0" w:color="auto"/>
              <w:right w:val="single" w:sz="4" w:space="0" w:color="auto"/>
            </w:tcBorders>
            <w:shd w:val="clear" w:color="auto" w:fill="auto"/>
            <w:noWrap/>
          </w:tcPr>
          <w:p w14:paraId="2B4D564D" w14:textId="71A39488" w:rsidR="00397994" w:rsidRPr="00617CD5" w:rsidRDefault="00397994" w:rsidP="00397994">
            <w:pPr>
              <w:spacing w:after="0" w:line="240" w:lineRule="auto"/>
              <w:jc w:val="right"/>
              <w:rPr>
                <w:rFonts w:eastAsia="Times New Roman" w:cstheme="minorHAnsi"/>
                <w:color w:val="000000"/>
              </w:rPr>
            </w:pPr>
            <w:r w:rsidRPr="001B1CB0">
              <w:t>8.57%</w:t>
            </w:r>
          </w:p>
        </w:tc>
        <w:tc>
          <w:tcPr>
            <w:tcW w:w="764" w:type="dxa"/>
            <w:tcBorders>
              <w:top w:val="nil"/>
              <w:left w:val="nil"/>
              <w:bottom w:val="single" w:sz="4" w:space="0" w:color="auto"/>
              <w:right w:val="single" w:sz="4" w:space="0" w:color="auto"/>
            </w:tcBorders>
            <w:shd w:val="clear" w:color="auto" w:fill="auto"/>
            <w:noWrap/>
            <w:vAlign w:val="bottom"/>
            <w:hideMark/>
          </w:tcPr>
          <w:p w14:paraId="50F48C16" w14:textId="77777777" w:rsidR="00397994" w:rsidRPr="00617CD5" w:rsidRDefault="00397994" w:rsidP="00397994">
            <w:pPr>
              <w:spacing w:after="0" w:line="240" w:lineRule="auto"/>
              <w:jc w:val="right"/>
              <w:rPr>
                <w:rFonts w:eastAsia="Times New Roman" w:cstheme="minorHAnsi"/>
                <w:color w:val="000000"/>
              </w:rPr>
            </w:pPr>
            <w:r w:rsidRPr="00617CD5">
              <w:rPr>
                <w:rFonts w:eastAsia="Times New Roman" w:cstheme="minorHAnsi"/>
                <w:color w:val="000000"/>
              </w:rPr>
              <w:t>448</w:t>
            </w:r>
          </w:p>
        </w:tc>
        <w:tc>
          <w:tcPr>
            <w:tcW w:w="993" w:type="dxa"/>
            <w:tcBorders>
              <w:top w:val="nil"/>
              <w:left w:val="nil"/>
              <w:bottom w:val="single" w:sz="4" w:space="0" w:color="auto"/>
              <w:right w:val="single" w:sz="4" w:space="0" w:color="auto"/>
            </w:tcBorders>
            <w:shd w:val="clear" w:color="auto" w:fill="auto"/>
            <w:noWrap/>
          </w:tcPr>
          <w:p w14:paraId="50AEF6BE" w14:textId="66A81406" w:rsidR="00397994" w:rsidRPr="00617CD5" w:rsidRDefault="00397994" w:rsidP="00397994">
            <w:pPr>
              <w:spacing w:after="0" w:line="240" w:lineRule="auto"/>
              <w:jc w:val="right"/>
              <w:rPr>
                <w:rFonts w:eastAsia="Times New Roman" w:cstheme="minorHAnsi"/>
                <w:color w:val="000000"/>
              </w:rPr>
            </w:pPr>
            <w:r w:rsidRPr="006A3146">
              <w:t>8.25%</w:t>
            </w:r>
          </w:p>
        </w:tc>
        <w:tc>
          <w:tcPr>
            <w:tcW w:w="806" w:type="dxa"/>
            <w:tcBorders>
              <w:top w:val="nil"/>
              <w:left w:val="nil"/>
              <w:bottom w:val="single" w:sz="4" w:space="0" w:color="auto"/>
              <w:right w:val="single" w:sz="4" w:space="0" w:color="auto"/>
            </w:tcBorders>
            <w:shd w:val="clear" w:color="auto" w:fill="auto"/>
            <w:noWrap/>
            <w:vAlign w:val="bottom"/>
            <w:hideMark/>
          </w:tcPr>
          <w:p w14:paraId="633CAD30" w14:textId="77777777" w:rsidR="00397994" w:rsidRPr="00617CD5" w:rsidRDefault="00397994" w:rsidP="00397994">
            <w:pPr>
              <w:spacing w:after="0" w:line="240" w:lineRule="auto"/>
              <w:jc w:val="right"/>
              <w:rPr>
                <w:rFonts w:eastAsia="Times New Roman" w:cstheme="minorHAnsi"/>
                <w:color w:val="000000"/>
              </w:rPr>
            </w:pPr>
            <w:r w:rsidRPr="00617CD5">
              <w:rPr>
                <w:rFonts w:eastAsia="Times New Roman" w:cstheme="minorHAnsi"/>
                <w:color w:val="000000"/>
              </w:rPr>
              <w:t>427</w:t>
            </w:r>
          </w:p>
        </w:tc>
        <w:tc>
          <w:tcPr>
            <w:tcW w:w="993" w:type="dxa"/>
            <w:tcBorders>
              <w:top w:val="nil"/>
              <w:left w:val="nil"/>
              <w:bottom w:val="single" w:sz="4" w:space="0" w:color="auto"/>
              <w:right w:val="single" w:sz="4" w:space="0" w:color="auto"/>
            </w:tcBorders>
            <w:shd w:val="clear" w:color="auto" w:fill="auto"/>
            <w:noWrap/>
          </w:tcPr>
          <w:p w14:paraId="29CD064C" w14:textId="099B82AB" w:rsidR="00397994" w:rsidRPr="00617CD5" w:rsidRDefault="00397994" w:rsidP="00397994">
            <w:pPr>
              <w:spacing w:after="0" w:line="240" w:lineRule="auto"/>
              <w:jc w:val="right"/>
              <w:rPr>
                <w:rFonts w:eastAsia="Times New Roman" w:cstheme="minorHAnsi"/>
                <w:color w:val="000000"/>
              </w:rPr>
            </w:pPr>
            <w:r w:rsidRPr="00C02E91">
              <w:t>9.27%</w:t>
            </w:r>
          </w:p>
        </w:tc>
        <w:tc>
          <w:tcPr>
            <w:tcW w:w="831" w:type="dxa"/>
            <w:tcBorders>
              <w:top w:val="nil"/>
              <w:left w:val="nil"/>
              <w:bottom w:val="single" w:sz="4" w:space="0" w:color="auto"/>
              <w:right w:val="single" w:sz="4" w:space="0" w:color="auto"/>
            </w:tcBorders>
            <w:shd w:val="clear" w:color="auto" w:fill="auto"/>
            <w:noWrap/>
            <w:vAlign w:val="bottom"/>
            <w:hideMark/>
          </w:tcPr>
          <w:p w14:paraId="39774EC0" w14:textId="77777777" w:rsidR="00397994" w:rsidRPr="00617CD5" w:rsidRDefault="00397994" w:rsidP="00397994">
            <w:pPr>
              <w:spacing w:after="0" w:line="240" w:lineRule="auto"/>
              <w:jc w:val="right"/>
              <w:rPr>
                <w:rFonts w:eastAsia="Times New Roman" w:cstheme="minorHAnsi"/>
                <w:color w:val="000000"/>
              </w:rPr>
            </w:pPr>
            <w:r w:rsidRPr="00617CD5">
              <w:rPr>
                <w:rFonts w:eastAsia="Times New Roman" w:cstheme="minorHAnsi"/>
                <w:color w:val="000000"/>
              </w:rPr>
              <w:t>1,345</w:t>
            </w:r>
          </w:p>
        </w:tc>
        <w:tc>
          <w:tcPr>
            <w:tcW w:w="993" w:type="dxa"/>
            <w:tcBorders>
              <w:top w:val="nil"/>
              <w:left w:val="nil"/>
              <w:bottom w:val="single" w:sz="4" w:space="0" w:color="auto"/>
              <w:right w:val="single" w:sz="4" w:space="0" w:color="auto"/>
            </w:tcBorders>
            <w:shd w:val="clear" w:color="auto" w:fill="auto"/>
            <w:noWrap/>
          </w:tcPr>
          <w:p w14:paraId="3114FDFB" w14:textId="0EB4F6E0" w:rsidR="00397994" w:rsidRPr="00617CD5" w:rsidRDefault="00397994" w:rsidP="00397994">
            <w:pPr>
              <w:spacing w:after="0" w:line="240" w:lineRule="auto"/>
              <w:jc w:val="right"/>
              <w:rPr>
                <w:rFonts w:eastAsia="Times New Roman" w:cstheme="minorHAnsi"/>
                <w:color w:val="000000"/>
              </w:rPr>
            </w:pPr>
            <w:r w:rsidRPr="000F1507">
              <w:t>8.67%</w:t>
            </w:r>
          </w:p>
        </w:tc>
      </w:tr>
      <w:tr w:rsidR="00397994" w:rsidRPr="00617CD5" w14:paraId="05B1CE7B" w14:textId="77777777" w:rsidTr="005F7F50">
        <w:trPr>
          <w:trHeight w:val="330"/>
          <w:jc w:val="center"/>
        </w:trPr>
        <w:tc>
          <w:tcPr>
            <w:tcW w:w="197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6112F30" w14:textId="77777777" w:rsidR="00397994" w:rsidRPr="00617CD5" w:rsidRDefault="00397994" w:rsidP="00397994">
            <w:pPr>
              <w:spacing w:after="0" w:line="240" w:lineRule="auto"/>
              <w:rPr>
                <w:rFonts w:eastAsia="Times New Roman" w:cstheme="minorHAnsi"/>
                <w:b/>
                <w:bCs/>
                <w:color w:val="000000"/>
              </w:rPr>
            </w:pPr>
            <w:r w:rsidRPr="00617CD5">
              <w:rPr>
                <w:rFonts w:eastAsia="Times New Roman" w:cstheme="minorHAnsi"/>
                <w:b/>
                <w:bCs/>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14:paraId="1C4C1643" w14:textId="77777777" w:rsidR="00397994" w:rsidRPr="00617CD5" w:rsidRDefault="00397994" w:rsidP="00397994">
            <w:pPr>
              <w:spacing w:after="0" w:line="240" w:lineRule="auto"/>
              <w:rPr>
                <w:rFonts w:eastAsia="Times New Roman" w:cstheme="minorHAnsi"/>
                <w:color w:val="000000"/>
              </w:rPr>
            </w:pPr>
            <w:r w:rsidRPr="00617CD5">
              <w:rPr>
                <w:rFonts w:eastAsia="Times New Roman" w:cstheme="minorHAnsi"/>
                <w:color w:val="000000"/>
              </w:rPr>
              <w:t>Podiatry</w:t>
            </w:r>
          </w:p>
        </w:tc>
        <w:tc>
          <w:tcPr>
            <w:tcW w:w="764" w:type="dxa"/>
            <w:tcBorders>
              <w:top w:val="nil"/>
              <w:left w:val="nil"/>
              <w:bottom w:val="single" w:sz="4" w:space="0" w:color="auto"/>
              <w:right w:val="single" w:sz="4" w:space="0" w:color="auto"/>
            </w:tcBorders>
            <w:shd w:val="clear" w:color="auto" w:fill="auto"/>
            <w:noWrap/>
            <w:vAlign w:val="bottom"/>
            <w:hideMark/>
          </w:tcPr>
          <w:p w14:paraId="2DFEC94E" w14:textId="77777777" w:rsidR="00397994" w:rsidRPr="00617CD5" w:rsidRDefault="00397994" w:rsidP="00397994">
            <w:pPr>
              <w:spacing w:after="0" w:line="240" w:lineRule="auto"/>
              <w:jc w:val="right"/>
              <w:rPr>
                <w:rFonts w:eastAsia="Times New Roman" w:cstheme="minorHAnsi"/>
                <w:color w:val="000000"/>
              </w:rPr>
            </w:pPr>
            <w:r w:rsidRPr="00617CD5">
              <w:rPr>
                <w:rFonts w:eastAsia="Times New Roman" w:cstheme="minorHAnsi"/>
                <w:color w:val="000000"/>
              </w:rPr>
              <w:t>115</w:t>
            </w:r>
          </w:p>
        </w:tc>
        <w:tc>
          <w:tcPr>
            <w:tcW w:w="993" w:type="dxa"/>
            <w:tcBorders>
              <w:top w:val="nil"/>
              <w:left w:val="nil"/>
              <w:bottom w:val="single" w:sz="4" w:space="0" w:color="auto"/>
              <w:right w:val="single" w:sz="4" w:space="0" w:color="auto"/>
            </w:tcBorders>
            <w:shd w:val="clear" w:color="auto" w:fill="auto"/>
            <w:noWrap/>
          </w:tcPr>
          <w:p w14:paraId="227D7B52" w14:textId="2B86120E" w:rsidR="00397994" w:rsidRPr="00617CD5" w:rsidRDefault="00397994" w:rsidP="00397994">
            <w:pPr>
              <w:spacing w:after="0" w:line="240" w:lineRule="auto"/>
              <w:jc w:val="right"/>
              <w:rPr>
                <w:rFonts w:eastAsia="Times New Roman" w:cstheme="minorHAnsi"/>
                <w:color w:val="000000"/>
              </w:rPr>
            </w:pPr>
            <w:r w:rsidRPr="001B1CB0">
              <w:t>2.10%</w:t>
            </w:r>
          </w:p>
        </w:tc>
        <w:tc>
          <w:tcPr>
            <w:tcW w:w="764" w:type="dxa"/>
            <w:tcBorders>
              <w:top w:val="nil"/>
              <w:left w:val="nil"/>
              <w:bottom w:val="single" w:sz="4" w:space="0" w:color="auto"/>
              <w:right w:val="single" w:sz="4" w:space="0" w:color="auto"/>
            </w:tcBorders>
            <w:shd w:val="clear" w:color="auto" w:fill="auto"/>
            <w:noWrap/>
            <w:vAlign w:val="bottom"/>
            <w:hideMark/>
          </w:tcPr>
          <w:p w14:paraId="42F0C54A" w14:textId="77777777" w:rsidR="00397994" w:rsidRPr="00617CD5" w:rsidRDefault="00397994" w:rsidP="00397994">
            <w:pPr>
              <w:spacing w:after="0" w:line="240" w:lineRule="auto"/>
              <w:jc w:val="right"/>
              <w:rPr>
                <w:rFonts w:eastAsia="Times New Roman" w:cstheme="minorHAnsi"/>
                <w:color w:val="000000"/>
              </w:rPr>
            </w:pPr>
            <w:r w:rsidRPr="00617CD5">
              <w:rPr>
                <w:rFonts w:eastAsia="Times New Roman" w:cstheme="minorHAnsi"/>
                <w:color w:val="000000"/>
              </w:rPr>
              <w:t>87</w:t>
            </w:r>
          </w:p>
        </w:tc>
        <w:tc>
          <w:tcPr>
            <w:tcW w:w="993" w:type="dxa"/>
            <w:tcBorders>
              <w:top w:val="nil"/>
              <w:left w:val="nil"/>
              <w:bottom w:val="single" w:sz="4" w:space="0" w:color="auto"/>
              <w:right w:val="single" w:sz="4" w:space="0" w:color="auto"/>
            </w:tcBorders>
            <w:shd w:val="clear" w:color="auto" w:fill="auto"/>
            <w:noWrap/>
          </w:tcPr>
          <w:p w14:paraId="29CD932F" w14:textId="59150A50" w:rsidR="00397994" w:rsidRPr="00617CD5" w:rsidRDefault="00397994" w:rsidP="00397994">
            <w:pPr>
              <w:spacing w:after="0" w:line="240" w:lineRule="auto"/>
              <w:jc w:val="right"/>
              <w:rPr>
                <w:rFonts w:eastAsia="Times New Roman" w:cstheme="minorHAnsi"/>
                <w:color w:val="000000"/>
              </w:rPr>
            </w:pPr>
            <w:r w:rsidRPr="006A3146">
              <w:t>1.60%</w:t>
            </w:r>
          </w:p>
        </w:tc>
        <w:tc>
          <w:tcPr>
            <w:tcW w:w="806" w:type="dxa"/>
            <w:tcBorders>
              <w:top w:val="nil"/>
              <w:left w:val="nil"/>
              <w:bottom w:val="single" w:sz="4" w:space="0" w:color="auto"/>
              <w:right w:val="single" w:sz="4" w:space="0" w:color="auto"/>
            </w:tcBorders>
            <w:shd w:val="clear" w:color="auto" w:fill="auto"/>
            <w:noWrap/>
            <w:vAlign w:val="bottom"/>
            <w:hideMark/>
          </w:tcPr>
          <w:p w14:paraId="4E9429BF" w14:textId="77777777" w:rsidR="00397994" w:rsidRPr="00617CD5" w:rsidRDefault="00397994" w:rsidP="00397994">
            <w:pPr>
              <w:spacing w:after="0" w:line="240" w:lineRule="auto"/>
              <w:jc w:val="right"/>
              <w:rPr>
                <w:rFonts w:eastAsia="Times New Roman" w:cstheme="minorHAnsi"/>
                <w:color w:val="000000"/>
              </w:rPr>
            </w:pPr>
            <w:r w:rsidRPr="00617CD5">
              <w:rPr>
                <w:rFonts w:eastAsia="Times New Roman" w:cstheme="minorHAnsi"/>
                <w:color w:val="000000"/>
              </w:rPr>
              <w:t>57</w:t>
            </w:r>
          </w:p>
        </w:tc>
        <w:tc>
          <w:tcPr>
            <w:tcW w:w="993" w:type="dxa"/>
            <w:tcBorders>
              <w:top w:val="nil"/>
              <w:left w:val="nil"/>
              <w:bottom w:val="single" w:sz="4" w:space="0" w:color="auto"/>
              <w:right w:val="single" w:sz="4" w:space="0" w:color="auto"/>
            </w:tcBorders>
            <w:shd w:val="clear" w:color="auto" w:fill="auto"/>
            <w:noWrap/>
          </w:tcPr>
          <w:p w14:paraId="25125CA7" w14:textId="2DF08249" w:rsidR="00397994" w:rsidRPr="00617CD5" w:rsidRDefault="00397994" w:rsidP="00397994">
            <w:pPr>
              <w:spacing w:after="0" w:line="240" w:lineRule="auto"/>
              <w:jc w:val="right"/>
              <w:rPr>
                <w:rFonts w:eastAsia="Times New Roman" w:cstheme="minorHAnsi"/>
                <w:color w:val="000000"/>
              </w:rPr>
            </w:pPr>
            <w:r w:rsidRPr="00C02E91">
              <w:t>1.24%</w:t>
            </w:r>
          </w:p>
        </w:tc>
        <w:tc>
          <w:tcPr>
            <w:tcW w:w="831" w:type="dxa"/>
            <w:tcBorders>
              <w:top w:val="nil"/>
              <w:left w:val="nil"/>
              <w:bottom w:val="single" w:sz="4" w:space="0" w:color="auto"/>
              <w:right w:val="single" w:sz="4" w:space="0" w:color="auto"/>
            </w:tcBorders>
            <w:shd w:val="clear" w:color="auto" w:fill="auto"/>
            <w:noWrap/>
            <w:vAlign w:val="bottom"/>
            <w:hideMark/>
          </w:tcPr>
          <w:p w14:paraId="4C794B75" w14:textId="77777777" w:rsidR="00397994" w:rsidRPr="00617CD5" w:rsidRDefault="00397994" w:rsidP="00397994">
            <w:pPr>
              <w:spacing w:after="0" w:line="240" w:lineRule="auto"/>
              <w:jc w:val="right"/>
              <w:rPr>
                <w:rFonts w:eastAsia="Times New Roman" w:cstheme="minorHAnsi"/>
                <w:color w:val="000000"/>
              </w:rPr>
            </w:pPr>
            <w:r w:rsidRPr="00617CD5">
              <w:rPr>
                <w:rFonts w:eastAsia="Times New Roman" w:cstheme="minorHAnsi"/>
                <w:color w:val="000000"/>
              </w:rPr>
              <w:t>259</w:t>
            </w:r>
          </w:p>
        </w:tc>
        <w:tc>
          <w:tcPr>
            <w:tcW w:w="993" w:type="dxa"/>
            <w:tcBorders>
              <w:top w:val="nil"/>
              <w:left w:val="nil"/>
              <w:bottom w:val="single" w:sz="4" w:space="0" w:color="auto"/>
              <w:right w:val="single" w:sz="4" w:space="0" w:color="auto"/>
            </w:tcBorders>
            <w:shd w:val="clear" w:color="auto" w:fill="auto"/>
            <w:noWrap/>
          </w:tcPr>
          <w:p w14:paraId="6450AAB5" w14:textId="4F6FB97A" w:rsidR="00397994" w:rsidRPr="00617CD5" w:rsidRDefault="00397994" w:rsidP="00397994">
            <w:pPr>
              <w:spacing w:after="0" w:line="240" w:lineRule="auto"/>
              <w:jc w:val="right"/>
              <w:rPr>
                <w:rFonts w:eastAsia="Times New Roman" w:cstheme="minorHAnsi"/>
                <w:color w:val="000000"/>
              </w:rPr>
            </w:pPr>
            <w:r w:rsidRPr="000F1507">
              <w:t>1.67%</w:t>
            </w:r>
          </w:p>
        </w:tc>
      </w:tr>
      <w:tr w:rsidR="00397994" w:rsidRPr="00617CD5" w14:paraId="608F9BE7" w14:textId="77777777" w:rsidTr="005F7F50">
        <w:trPr>
          <w:trHeight w:val="330"/>
          <w:jc w:val="center"/>
        </w:trPr>
        <w:tc>
          <w:tcPr>
            <w:tcW w:w="197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14AE74E" w14:textId="77777777" w:rsidR="00397994" w:rsidRPr="00617CD5" w:rsidRDefault="00397994" w:rsidP="00397994">
            <w:pPr>
              <w:spacing w:after="0" w:line="240" w:lineRule="auto"/>
              <w:rPr>
                <w:rFonts w:eastAsia="Times New Roman" w:cstheme="minorHAnsi"/>
                <w:b/>
                <w:bCs/>
                <w:color w:val="000000"/>
              </w:rPr>
            </w:pPr>
            <w:r w:rsidRPr="00617CD5">
              <w:rPr>
                <w:rFonts w:eastAsia="Times New Roman" w:cstheme="minorHAnsi"/>
                <w:b/>
                <w:bCs/>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14:paraId="01984BAB" w14:textId="77777777" w:rsidR="00397994" w:rsidRPr="00617CD5" w:rsidRDefault="00397994" w:rsidP="00397994">
            <w:pPr>
              <w:spacing w:after="0" w:line="240" w:lineRule="auto"/>
              <w:rPr>
                <w:rFonts w:eastAsia="Times New Roman" w:cstheme="minorHAnsi"/>
                <w:color w:val="000000"/>
              </w:rPr>
            </w:pPr>
            <w:r w:rsidRPr="00617CD5">
              <w:rPr>
                <w:rFonts w:eastAsia="Times New Roman" w:cstheme="minorHAnsi"/>
                <w:color w:val="000000"/>
              </w:rPr>
              <w:t>Gastroenterology</w:t>
            </w:r>
          </w:p>
        </w:tc>
        <w:tc>
          <w:tcPr>
            <w:tcW w:w="764" w:type="dxa"/>
            <w:tcBorders>
              <w:top w:val="nil"/>
              <w:left w:val="nil"/>
              <w:bottom w:val="single" w:sz="4" w:space="0" w:color="auto"/>
              <w:right w:val="single" w:sz="4" w:space="0" w:color="auto"/>
            </w:tcBorders>
            <w:shd w:val="clear" w:color="auto" w:fill="auto"/>
            <w:noWrap/>
            <w:vAlign w:val="bottom"/>
            <w:hideMark/>
          </w:tcPr>
          <w:p w14:paraId="4A9B98AA" w14:textId="533646D5" w:rsidR="00397994" w:rsidRPr="00617CD5" w:rsidRDefault="00397994" w:rsidP="00397994">
            <w:pPr>
              <w:spacing w:after="0" w:line="240" w:lineRule="auto"/>
              <w:jc w:val="right"/>
              <w:rPr>
                <w:rFonts w:eastAsia="Times New Roman" w:cstheme="minorHAnsi"/>
                <w:color w:val="000000"/>
              </w:rPr>
            </w:pPr>
            <w:r>
              <w:rPr>
                <w:rFonts w:eastAsia="Times New Roman" w:cstheme="minorHAnsi"/>
                <w:color w:val="000000"/>
              </w:rPr>
              <w:t>2</w:t>
            </w:r>
          </w:p>
        </w:tc>
        <w:tc>
          <w:tcPr>
            <w:tcW w:w="993" w:type="dxa"/>
            <w:tcBorders>
              <w:top w:val="nil"/>
              <w:left w:val="nil"/>
              <w:bottom w:val="single" w:sz="4" w:space="0" w:color="auto"/>
              <w:right w:val="single" w:sz="4" w:space="0" w:color="auto"/>
            </w:tcBorders>
            <w:shd w:val="clear" w:color="auto" w:fill="auto"/>
            <w:noWrap/>
          </w:tcPr>
          <w:p w14:paraId="4E3C9EC7" w14:textId="516F653F" w:rsidR="00397994" w:rsidRPr="00617CD5" w:rsidRDefault="00397994" w:rsidP="00397994">
            <w:pPr>
              <w:spacing w:after="0" w:line="240" w:lineRule="auto"/>
              <w:jc w:val="right"/>
              <w:rPr>
                <w:rFonts w:eastAsia="Times New Roman" w:cstheme="minorHAnsi"/>
                <w:color w:val="000000"/>
              </w:rPr>
            </w:pPr>
            <w:r w:rsidRPr="001B1CB0">
              <w:t>0.04%</w:t>
            </w:r>
          </w:p>
        </w:tc>
        <w:tc>
          <w:tcPr>
            <w:tcW w:w="764" w:type="dxa"/>
            <w:tcBorders>
              <w:top w:val="nil"/>
              <w:left w:val="nil"/>
              <w:bottom w:val="single" w:sz="4" w:space="0" w:color="auto"/>
              <w:right w:val="single" w:sz="4" w:space="0" w:color="auto"/>
            </w:tcBorders>
            <w:shd w:val="clear" w:color="auto" w:fill="auto"/>
            <w:noWrap/>
            <w:vAlign w:val="bottom"/>
            <w:hideMark/>
          </w:tcPr>
          <w:p w14:paraId="06A4289D" w14:textId="7490B38E" w:rsidR="00397994" w:rsidRPr="00617CD5" w:rsidRDefault="00397994" w:rsidP="00397994">
            <w:pPr>
              <w:spacing w:after="0" w:line="240" w:lineRule="auto"/>
              <w:jc w:val="right"/>
              <w:rPr>
                <w:rFonts w:eastAsia="Times New Roman" w:cstheme="minorHAnsi"/>
                <w:color w:val="000000"/>
              </w:rPr>
            </w:pPr>
            <w:r>
              <w:rPr>
                <w:rFonts w:eastAsia="Times New Roman" w:cstheme="minorHAnsi"/>
                <w:color w:val="000000"/>
              </w:rPr>
              <w:t>3</w:t>
            </w:r>
          </w:p>
        </w:tc>
        <w:tc>
          <w:tcPr>
            <w:tcW w:w="993" w:type="dxa"/>
            <w:tcBorders>
              <w:top w:val="nil"/>
              <w:left w:val="nil"/>
              <w:bottom w:val="single" w:sz="4" w:space="0" w:color="auto"/>
              <w:right w:val="single" w:sz="4" w:space="0" w:color="auto"/>
            </w:tcBorders>
            <w:shd w:val="clear" w:color="auto" w:fill="auto"/>
            <w:noWrap/>
          </w:tcPr>
          <w:p w14:paraId="62B6CD39" w14:textId="17397AA1" w:rsidR="00397994" w:rsidRPr="00617CD5" w:rsidRDefault="00397994" w:rsidP="00397994">
            <w:pPr>
              <w:spacing w:after="0" w:line="240" w:lineRule="auto"/>
              <w:jc w:val="right"/>
              <w:rPr>
                <w:rFonts w:eastAsia="Times New Roman" w:cstheme="minorHAnsi"/>
                <w:color w:val="000000"/>
              </w:rPr>
            </w:pPr>
            <w:r w:rsidRPr="006A3146">
              <w:t>0.06%</w:t>
            </w:r>
          </w:p>
        </w:tc>
        <w:tc>
          <w:tcPr>
            <w:tcW w:w="806" w:type="dxa"/>
            <w:tcBorders>
              <w:top w:val="nil"/>
              <w:left w:val="nil"/>
              <w:bottom w:val="single" w:sz="4" w:space="0" w:color="auto"/>
              <w:right w:val="single" w:sz="4" w:space="0" w:color="auto"/>
            </w:tcBorders>
            <w:shd w:val="clear" w:color="auto" w:fill="auto"/>
            <w:noWrap/>
            <w:vAlign w:val="bottom"/>
            <w:hideMark/>
          </w:tcPr>
          <w:p w14:paraId="19EBFAC5" w14:textId="77777777" w:rsidR="00397994" w:rsidRPr="00617CD5" w:rsidRDefault="00397994" w:rsidP="00397994">
            <w:pPr>
              <w:spacing w:after="0" w:line="240" w:lineRule="auto"/>
              <w:jc w:val="right"/>
              <w:rPr>
                <w:rFonts w:eastAsia="Times New Roman" w:cstheme="minorHAnsi"/>
                <w:color w:val="000000"/>
              </w:rPr>
            </w:pPr>
            <w:r w:rsidRPr="00617CD5">
              <w:rPr>
                <w:rFonts w:eastAsia="Times New Roman" w:cstheme="minorHAnsi"/>
                <w:color w:val="000000"/>
              </w:rPr>
              <w:t>59</w:t>
            </w:r>
          </w:p>
        </w:tc>
        <w:tc>
          <w:tcPr>
            <w:tcW w:w="993" w:type="dxa"/>
            <w:tcBorders>
              <w:top w:val="nil"/>
              <w:left w:val="nil"/>
              <w:bottom w:val="single" w:sz="4" w:space="0" w:color="auto"/>
              <w:right w:val="single" w:sz="4" w:space="0" w:color="auto"/>
            </w:tcBorders>
            <w:shd w:val="clear" w:color="auto" w:fill="auto"/>
            <w:noWrap/>
          </w:tcPr>
          <w:p w14:paraId="0D002319" w14:textId="7EC2EBC7" w:rsidR="00397994" w:rsidRPr="00617CD5" w:rsidRDefault="00397994" w:rsidP="00397994">
            <w:pPr>
              <w:spacing w:after="0" w:line="240" w:lineRule="auto"/>
              <w:jc w:val="right"/>
              <w:rPr>
                <w:rFonts w:eastAsia="Times New Roman" w:cstheme="minorHAnsi"/>
                <w:color w:val="000000"/>
              </w:rPr>
            </w:pPr>
            <w:r w:rsidRPr="00C02E91">
              <w:t>1.28%</w:t>
            </w:r>
          </w:p>
        </w:tc>
        <w:tc>
          <w:tcPr>
            <w:tcW w:w="831" w:type="dxa"/>
            <w:tcBorders>
              <w:top w:val="nil"/>
              <w:left w:val="nil"/>
              <w:bottom w:val="single" w:sz="4" w:space="0" w:color="auto"/>
              <w:right w:val="single" w:sz="4" w:space="0" w:color="auto"/>
            </w:tcBorders>
            <w:shd w:val="clear" w:color="auto" w:fill="auto"/>
            <w:noWrap/>
            <w:vAlign w:val="bottom"/>
            <w:hideMark/>
          </w:tcPr>
          <w:p w14:paraId="594F2D27" w14:textId="77777777" w:rsidR="00397994" w:rsidRPr="00617CD5" w:rsidRDefault="00397994" w:rsidP="00397994">
            <w:pPr>
              <w:spacing w:after="0" w:line="240" w:lineRule="auto"/>
              <w:jc w:val="right"/>
              <w:rPr>
                <w:rFonts w:eastAsia="Times New Roman" w:cstheme="minorHAnsi"/>
                <w:color w:val="000000"/>
              </w:rPr>
            </w:pPr>
            <w:r w:rsidRPr="00617CD5">
              <w:rPr>
                <w:rFonts w:eastAsia="Times New Roman" w:cstheme="minorHAnsi"/>
                <w:color w:val="000000"/>
              </w:rPr>
              <w:t>64</w:t>
            </w:r>
          </w:p>
        </w:tc>
        <w:tc>
          <w:tcPr>
            <w:tcW w:w="993" w:type="dxa"/>
            <w:tcBorders>
              <w:top w:val="nil"/>
              <w:left w:val="nil"/>
              <w:bottom w:val="single" w:sz="4" w:space="0" w:color="auto"/>
              <w:right w:val="single" w:sz="4" w:space="0" w:color="auto"/>
            </w:tcBorders>
            <w:shd w:val="clear" w:color="auto" w:fill="auto"/>
            <w:noWrap/>
          </w:tcPr>
          <w:p w14:paraId="4D841E6A" w14:textId="0C2B6FD0" w:rsidR="00397994" w:rsidRPr="00617CD5" w:rsidRDefault="00397994" w:rsidP="00397994">
            <w:pPr>
              <w:spacing w:after="0" w:line="240" w:lineRule="auto"/>
              <w:jc w:val="right"/>
              <w:rPr>
                <w:rFonts w:eastAsia="Times New Roman" w:cstheme="minorHAnsi"/>
                <w:color w:val="000000"/>
              </w:rPr>
            </w:pPr>
            <w:r w:rsidRPr="000F1507">
              <w:t>0.41%</w:t>
            </w:r>
          </w:p>
        </w:tc>
      </w:tr>
      <w:tr w:rsidR="00397994" w:rsidRPr="00617CD5" w14:paraId="12ED0813" w14:textId="77777777" w:rsidTr="005F7F50">
        <w:trPr>
          <w:trHeight w:val="330"/>
          <w:jc w:val="center"/>
        </w:trPr>
        <w:tc>
          <w:tcPr>
            <w:tcW w:w="197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05CCD21" w14:textId="77777777" w:rsidR="00397994" w:rsidRPr="00617CD5" w:rsidRDefault="00397994" w:rsidP="00397994">
            <w:pPr>
              <w:spacing w:after="0" w:line="240" w:lineRule="auto"/>
              <w:rPr>
                <w:rFonts w:eastAsia="Times New Roman" w:cstheme="minorHAnsi"/>
                <w:b/>
                <w:bCs/>
                <w:color w:val="000000"/>
              </w:rPr>
            </w:pPr>
            <w:r w:rsidRPr="00617CD5">
              <w:rPr>
                <w:rFonts w:eastAsia="Times New Roman" w:cstheme="minorHAnsi"/>
                <w:b/>
                <w:bCs/>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14:paraId="03362729" w14:textId="77777777" w:rsidR="00397994" w:rsidRPr="00617CD5" w:rsidRDefault="00397994" w:rsidP="00397994">
            <w:pPr>
              <w:spacing w:after="0" w:line="240" w:lineRule="auto"/>
              <w:rPr>
                <w:rFonts w:eastAsia="Times New Roman" w:cstheme="minorHAnsi"/>
                <w:color w:val="000000"/>
              </w:rPr>
            </w:pPr>
            <w:r w:rsidRPr="00617CD5">
              <w:rPr>
                <w:rFonts w:eastAsia="Times New Roman" w:cstheme="minorHAnsi"/>
                <w:color w:val="000000"/>
              </w:rPr>
              <w:t>Other Specialty</w:t>
            </w:r>
          </w:p>
        </w:tc>
        <w:tc>
          <w:tcPr>
            <w:tcW w:w="764" w:type="dxa"/>
            <w:tcBorders>
              <w:top w:val="nil"/>
              <w:left w:val="nil"/>
              <w:bottom w:val="single" w:sz="4" w:space="0" w:color="auto"/>
              <w:right w:val="single" w:sz="4" w:space="0" w:color="auto"/>
            </w:tcBorders>
            <w:shd w:val="clear" w:color="auto" w:fill="auto"/>
            <w:noWrap/>
            <w:vAlign w:val="bottom"/>
            <w:hideMark/>
          </w:tcPr>
          <w:p w14:paraId="4F88FDE7" w14:textId="77777777" w:rsidR="00397994" w:rsidRPr="00617CD5" w:rsidRDefault="00397994" w:rsidP="00397994">
            <w:pPr>
              <w:spacing w:after="0" w:line="240" w:lineRule="auto"/>
              <w:jc w:val="right"/>
              <w:rPr>
                <w:rFonts w:eastAsia="Times New Roman" w:cstheme="minorHAnsi"/>
                <w:color w:val="000000"/>
              </w:rPr>
            </w:pPr>
            <w:r w:rsidRPr="00617CD5">
              <w:rPr>
                <w:rFonts w:eastAsia="Times New Roman" w:cstheme="minorHAnsi"/>
                <w:color w:val="000000"/>
              </w:rPr>
              <w:t>6</w:t>
            </w:r>
          </w:p>
        </w:tc>
        <w:tc>
          <w:tcPr>
            <w:tcW w:w="993" w:type="dxa"/>
            <w:tcBorders>
              <w:top w:val="nil"/>
              <w:left w:val="nil"/>
              <w:bottom w:val="single" w:sz="4" w:space="0" w:color="auto"/>
              <w:right w:val="single" w:sz="4" w:space="0" w:color="auto"/>
            </w:tcBorders>
            <w:shd w:val="clear" w:color="auto" w:fill="auto"/>
            <w:noWrap/>
          </w:tcPr>
          <w:p w14:paraId="55815CFF" w14:textId="398C0AA3" w:rsidR="00397994" w:rsidRPr="00617CD5" w:rsidRDefault="00397994" w:rsidP="00397994">
            <w:pPr>
              <w:spacing w:after="0" w:line="240" w:lineRule="auto"/>
              <w:jc w:val="right"/>
              <w:rPr>
                <w:rFonts w:eastAsia="Times New Roman" w:cstheme="minorHAnsi"/>
                <w:color w:val="000000"/>
              </w:rPr>
            </w:pPr>
            <w:r w:rsidRPr="001B1CB0">
              <w:t>0.11%</w:t>
            </w:r>
          </w:p>
        </w:tc>
        <w:tc>
          <w:tcPr>
            <w:tcW w:w="764" w:type="dxa"/>
            <w:tcBorders>
              <w:top w:val="nil"/>
              <w:left w:val="nil"/>
              <w:bottom w:val="single" w:sz="4" w:space="0" w:color="auto"/>
              <w:right w:val="single" w:sz="4" w:space="0" w:color="auto"/>
            </w:tcBorders>
            <w:shd w:val="clear" w:color="auto" w:fill="auto"/>
            <w:noWrap/>
            <w:vAlign w:val="bottom"/>
            <w:hideMark/>
          </w:tcPr>
          <w:p w14:paraId="5ED99799" w14:textId="60E4935F" w:rsidR="00397994" w:rsidRPr="00617CD5" w:rsidRDefault="00397994" w:rsidP="00397994">
            <w:pPr>
              <w:spacing w:after="0" w:line="240" w:lineRule="auto"/>
              <w:jc w:val="right"/>
              <w:rPr>
                <w:rFonts w:eastAsia="Times New Roman" w:cstheme="minorHAnsi"/>
                <w:color w:val="000000"/>
              </w:rPr>
            </w:pPr>
            <w:r>
              <w:rPr>
                <w:rFonts w:eastAsia="Times New Roman" w:cstheme="minorHAnsi"/>
                <w:color w:val="000000"/>
              </w:rPr>
              <w:t>2</w:t>
            </w:r>
          </w:p>
        </w:tc>
        <w:tc>
          <w:tcPr>
            <w:tcW w:w="993" w:type="dxa"/>
            <w:tcBorders>
              <w:top w:val="nil"/>
              <w:left w:val="nil"/>
              <w:bottom w:val="single" w:sz="4" w:space="0" w:color="auto"/>
              <w:right w:val="single" w:sz="4" w:space="0" w:color="auto"/>
            </w:tcBorders>
            <w:shd w:val="clear" w:color="auto" w:fill="auto"/>
            <w:noWrap/>
          </w:tcPr>
          <w:p w14:paraId="5C99B72D" w14:textId="1322249E" w:rsidR="00397994" w:rsidRPr="00617CD5" w:rsidRDefault="00397994" w:rsidP="00397994">
            <w:pPr>
              <w:spacing w:after="0" w:line="240" w:lineRule="auto"/>
              <w:jc w:val="right"/>
              <w:rPr>
                <w:rFonts w:eastAsia="Times New Roman" w:cstheme="minorHAnsi"/>
                <w:color w:val="000000"/>
              </w:rPr>
            </w:pPr>
            <w:r w:rsidRPr="006A3146">
              <w:t>0.04%</w:t>
            </w:r>
          </w:p>
        </w:tc>
        <w:tc>
          <w:tcPr>
            <w:tcW w:w="806" w:type="dxa"/>
            <w:tcBorders>
              <w:top w:val="nil"/>
              <w:left w:val="nil"/>
              <w:bottom w:val="single" w:sz="4" w:space="0" w:color="auto"/>
              <w:right w:val="single" w:sz="4" w:space="0" w:color="auto"/>
            </w:tcBorders>
            <w:shd w:val="clear" w:color="auto" w:fill="auto"/>
            <w:noWrap/>
            <w:vAlign w:val="bottom"/>
            <w:hideMark/>
          </w:tcPr>
          <w:p w14:paraId="10151716" w14:textId="77777777" w:rsidR="00397994" w:rsidRPr="00617CD5" w:rsidRDefault="00397994" w:rsidP="00397994">
            <w:pPr>
              <w:spacing w:after="0" w:line="240" w:lineRule="auto"/>
              <w:jc w:val="right"/>
              <w:rPr>
                <w:rFonts w:eastAsia="Times New Roman" w:cstheme="minorHAnsi"/>
                <w:color w:val="000000"/>
              </w:rPr>
            </w:pPr>
            <w:r w:rsidRPr="00617CD5">
              <w:rPr>
                <w:rFonts w:eastAsia="Times New Roman" w:cstheme="minorHAnsi"/>
                <w:color w:val="000000"/>
              </w:rPr>
              <w:t>7</w:t>
            </w:r>
          </w:p>
        </w:tc>
        <w:tc>
          <w:tcPr>
            <w:tcW w:w="993" w:type="dxa"/>
            <w:tcBorders>
              <w:top w:val="nil"/>
              <w:left w:val="nil"/>
              <w:bottom w:val="single" w:sz="4" w:space="0" w:color="auto"/>
              <w:right w:val="single" w:sz="4" w:space="0" w:color="auto"/>
            </w:tcBorders>
            <w:shd w:val="clear" w:color="auto" w:fill="auto"/>
            <w:noWrap/>
          </w:tcPr>
          <w:p w14:paraId="14236363" w14:textId="16DC3984" w:rsidR="00397994" w:rsidRPr="00617CD5" w:rsidRDefault="00397994" w:rsidP="00397994">
            <w:pPr>
              <w:spacing w:after="0" w:line="240" w:lineRule="auto"/>
              <w:jc w:val="right"/>
              <w:rPr>
                <w:rFonts w:eastAsia="Times New Roman" w:cstheme="minorHAnsi"/>
                <w:color w:val="000000"/>
              </w:rPr>
            </w:pPr>
            <w:r w:rsidRPr="00C02E91">
              <w:t>0.15%</w:t>
            </w:r>
          </w:p>
        </w:tc>
        <w:tc>
          <w:tcPr>
            <w:tcW w:w="831" w:type="dxa"/>
            <w:tcBorders>
              <w:top w:val="nil"/>
              <w:left w:val="nil"/>
              <w:bottom w:val="single" w:sz="4" w:space="0" w:color="auto"/>
              <w:right w:val="single" w:sz="4" w:space="0" w:color="auto"/>
            </w:tcBorders>
            <w:shd w:val="clear" w:color="auto" w:fill="auto"/>
            <w:noWrap/>
            <w:vAlign w:val="bottom"/>
            <w:hideMark/>
          </w:tcPr>
          <w:p w14:paraId="2CA88FE1" w14:textId="77777777" w:rsidR="00397994" w:rsidRPr="00617CD5" w:rsidRDefault="00397994" w:rsidP="00397994">
            <w:pPr>
              <w:spacing w:after="0" w:line="240" w:lineRule="auto"/>
              <w:jc w:val="right"/>
              <w:rPr>
                <w:rFonts w:eastAsia="Times New Roman" w:cstheme="minorHAnsi"/>
                <w:color w:val="000000"/>
              </w:rPr>
            </w:pPr>
            <w:r w:rsidRPr="00617CD5">
              <w:rPr>
                <w:rFonts w:eastAsia="Times New Roman" w:cstheme="minorHAnsi"/>
                <w:color w:val="000000"/>
              </w:rPr>
              <w:t>15</w:t>
            </w:r>
          </w:p>
        </w:tc>
        <w:tc>
          <w:tcPr>
            <w:tcW w:w="993" w:type="dxa"/>
            <w:tcBorders>
              <w:top w:val="nil"/>
              <w:left w:val="nil"/>
              <w:bottom w:val="single" w:sz="4" w:space="0" w:color="auto"/>
              <w:right w:val="single" w:sz="4" w:space="0" w:color="auto"/>
            </w:tcBorders>
            <w:shd w:val="clear" w:color="auto" w:fill="auto"/>
            <w:noWrap/>
          </w:tcPr>
          <w:p w14:paraId="59A46615" w14:textId="796D4704" w:rsidR="00397994" w:rsidRPr="00617CD5" w:rsidRDefault="00397994" w:rsidP="00397994">
            <w:pPr>
              <w:spacing w:after="0" w:line="240" w:lineRule="auto"/>
              <w:jc w:val="right"/>
              <w:rPr>
                <w:rFonts w:eastAsia="Times New Roman" w:cstheme="minorHAnsi"/>
                <w:color w:val="000000"/>
              </w:rPr>
            </w:pPr>
            <w:r w:rsidRPr="000F1507">
              <w:t>0.10%</w:t>
            </w:r>
          </w:p>
        </w:tc>
      </w:tr>
      <w:tr w:rsidR="00F86369" w:rsidRPr="00617CD5" w14:paraId="12054EEE" w14:textId="77777777" w:rsidTr="00A14D68">
        <w:trPr>
          <w:trHeight w:val="330"/>
          <w:jc w:val="center"/>
        </w:trPr>
        <w:tc>
          <w:tcPr>
            <w:tcW w:w="1975"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2A5B8F94" w14:textId="77777777" w:rsidR="00D1373E" w:rsidRPr="00617CD5" w:rsidRDefault="00D1373E" w:rsidP="00D1373E">
            <w:pPr>
              <w:spacing w:after="0" w:line="240" w:lineRule="auto"/>
              <w:rPr>
                <w:rFonts w:eastAsia="Times New Roman" w:cstheme="minorHAnsi"/>
                <w:b/>
                <w:bCs/>
                <w:color w:val="000000"/>
              </w:rPr>
            </w:pPr>
            <w:r w:rsidRPr="00617CD5">
              <w:rPr>
                <w:rFonts w:eastAsia="Times New Roman" w:cstheme="minorHAnsi"/>
                <w:b/>
                <w:bCs/>
                <w:color w:val="000000"/>
              </w:rPr>
              <w:t>Heywood OR Total</w:t>
            </w:r>
          </w:p>
        </w:tc>
        <w:tc>
          <w:tcPr>
            <w:tcW w:w="1980" w:type="dxa"/>
            <w:tcBorders>
              <w:top w:val="nil"/>
              <w:left w:val="nil"/>
              <w:bottom w:val="single" w:sz="4" w:space="0" w:color="auto"/>
              <w:right w:val="single" w:sz="4" w:space="0" w:color="auto"/>
            </w:tcBorders>
            <w:shd w:val="clear" w:color="auto" w:fill="F2F2F2" w:themeFill="background1" w:themeFillShade="F2"/>
            <w:noWrap/>
            <w:vAlign w:val="bottom"/>
            <w:hideMark/>
          </w:tcPr>
          <w:p w14:paraId="159FEFF8" w14:textId="77777777" w:rsidR="00D1373E" w:rsidRPr="00617CD5" w:rsidRDefault="00D1373E" w:rsidP="00D1373E">
            <w:pPr>
              <w:spacing w:after="0" w:line="240" w:lineRule="auto"/>
              <w:rPr>
                <w:rFonts w:eastAsia="Times New Roman" w:cstheme="minorHAnsi"/>
                <w:b/>
                <w:bCs/>
                <w:color w:val="000000"/>
              </w:rPr>
            </w:pPr>
            <w:r w:rsidRPr="00617CD5">
              <w:rPr>
                <w:rFonts w:eastAsia="Times New Roman" w:cstheme="minorHAnsi"/>
                <w:b/>
                <w:bCs/>
                <w:color w:val="000000"/>
              </w:rPr>
              <w:t> </w:t>
            </w:r>
          </w:p>
        </w:tc>
        <w:tc>
          <w:tcPr>
            <w:tcW w:w="764" w:type="dxa"/>
            <w:tcBorders>
              <w:top w:val="nil"/>
              <w:left w:val="nil"/>
              <w:bottom w:val="single" w:sz="4" w:space="0" w:color="auto"/>
              <w:right w:val="single" w:sz="4" w:space="0" w:color="auto"/>
            </w:tcBorders>
            <w:shd w:val="clear" w:color="auto" w:fill="F2F2F2" w:themeFill="background1" w:themeFillShade="F2"/>
            <w:noWrap/>
            <w:vAlign w:val="bottom"/>
            <w:hideMark/>
          </w:tcPr>
          <w:p w14:paraId="33C5B059" w14:textId="77777777" w:rsidR="00D1373E" w:rsidRPr="00617CD5" w:rsidRDefault="00D1373E" w:rsidP="00D1373E">
            <w:pPr>
              <w:spacing w:after="0" w:line="240" w:lineRule="auto"/>
              <w:jc w:val="right"/>
              <w:rPr>
                <w:rFonts w:eastAsia="Times New Roman" w:cstheme="minorHAnsi"/>
                <w:b/>
                <w:bCs/>
                <w:color w:val="000000"/>
              </w:rPr>
            </w:pPr>
            <w:r w:rsidRPr="00617CD5">
              <w:rPr>
                <w:rFonts w:eastAsia="Times New Roman" w:cstheme="minorHAnsi"/>
                <w:b/>
                <w:bCs/>
                <w:color w:val="000000"/>
              </w:rPr>
              <w:t>5,486</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hideMark/>
          </w:tcPr>
          <w:p w14:paraId="420B0319" w14:textId="77777777" w:rsidR="00D1373E" w:rsidRPr="00617CD5" w:rsidRDefault="00D1373E" w:rsidP="00D1373E">
            <w:pPr>
              <w:spacing w:after="0" w:line="240" w:lineRule="auto"/>
              <w:jc w:val="right"/>
              <w:rPr>
                <w:rFonts w:eastAsia="Times New Roman" w:cstheme="minorHAnsi"/>
                <w:b/>
                <w:bCs/>
                <w:color w:val="000000"/>
              </w:rPr>
            </w:pPr>
            <w:r w:rsidRPr="00617CD5">
              <w:rPr>
                <w:rFonts w:eastAsia="Times New Roman" w:cstheme="minorHAnsi"/>
                <w:b/>
                <w:bCs/>
                <w:color w:val="000000"/>
              </w:rPr>
              <w:t>100.00%</w:t>
            </w:r>
          </w:p>
        </w:tc>
        <w:tc>
          <w:tcPr>
            <w:tcW w:w="764" w:type="dxa"/>
            <w:tcBorders>
              <w:top w:val="nil"/>
              <w:left w:val="nil"/>
              <w:bottom w:val="single" w:sz="4" w:space="0" w:color="auto"/>
              <w:right w:val="single" w:sz="4" w:space="0" w:color="auto"/>
            </w:tcBorders>
            <w:shd w:val="clear" w:color="auto" w:fill="F2F2F2" w:themeFill="background1" w:themeFillShade="F2"/>
            <w:noWrap/>
            <w:vAlign w:val="bottom"/>
            <w:hideMark/>
          </w:tcPr>
          <w:p w14:paraId="3B82BBD6" w14:textId="77777777" w:rsidR="00D1373E" w:rsidRPr="00617CD5" w:rsidRDefault="00D1373E" w:rsidP="00D1373E">
            <w:pPr>
              <w:spacing w:after="0" w:line="240" w:lineRule="auto"/>
              <w:jc w:val="right"/>
              <w:rPr>
                <w:rFonts w:eastAsia="Times New Roman" w:cstheme="minorHAnsi"/>
                <w:b/>
                <w:bCs/>
                <w:color w:val="000000"/>
              </w:rPr>
            </w:pPr>
            <w:r w:rsidRPr="00617CD5">
              <w:rPr>
                <w:rFonts w:eastAsia="Times New Roman" w:cstheme="minorHAnsi"/>
                <w:b/>
                <w:bCs/>
                <w:color w:val="000000"/>
              </w:rPr>
              <w:t>5,430</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hideMark/>
          </w:tcPr>
          <w:p w14:paraId="216CCDD8" w14:textId="77777777" w:rsidR="00D1373E" w:rsidRPr="00617CD5" w:rsidRDefault="00D1373E" w:rsidP="00D1373E">
            <w:pPr>
              <w:spacing w:after="0" w:line="240" w:lineRule="auto"/>
              <w:jc w:val="right"/>
              <w:rPr>
                <w:rFonts w:eastAsia="Times New Roman" w:cstheme="minorHAnsi"/>
                <w:b/>
                <w:bCs/>
                <w:color w:val="000000"/>
              </w:rPr>
            </w:pPr>
            <w:r w:rsidRPr="00617CD5">
              <w:rPr>
                <w:rFonts w:eastAsia="Times New Roman" w:cstheme="minorHAnsi"/>
                <w:b/>
                <w:bCs/>
                <w:color w:val="000000"/>
              </w:rPr>
              <w:t>100.00%</w:t>
            </w:r>
          </w:p>
        </w:tc>
        <w:tc>
          <w:tcPr>
            <w:tcW w:w="806" w:type="dxa"/>
            <w:tcBorders>
              <w:top w:val="nil"/>
              <w:left w:val="nil"/>
              <w:bottom w:val="single" w:sz="4" w:space="0" w:color="auto"/>
              <w:right w:val="single" w:sz="4" w:space="0" w:color="auto"/>
            </w:tcBorders>
            <w:shd w:val="clear" w:color="auto" w:fill="F2F2F2" w:themeFill="background1" w:themeFillShade="F2"/>
            <w:noWrap/>
            <w:vAlign w:val="bottom"/>
            <w:hideMark/>
          </w:tcPr>
          <w:p w14:paraId="6621ADC9" w14:textId="77777777" w:rsidR="00D1373E" w:rsidRPr="00617CD5" w:rsidRDefault="00D1373E" w:rsidP="00D1373E">
            <w:pPr>
              <w:spacing w:after="0" w:line="240" w:lineRule="auto"/>
              <w:jc w:val="right"/>
              <w:rPr>
                <w:rFonts w:eastAsia="Times New Roman" w:cstheme="minorHAnsi"/>
                <w:b/>
                <w:bCs/>
                <w:color w:val="000000"/>
              </w:rPr>
            </w:pPr>
            <w:r w:rsidRPr="00617CD5">
              <w:rPr>
                <w:rFonts w:eastAsia="Times New Roman" w:cstheme="minorHAnsi"/>
                <w:b/>
                <w:bCs/>
                <w:color w:val="000000"/>
              </w:rPr>
              <w:t>4,605</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hideMark/>
          </w:tcPr>
          <w:p w14:paraId="3514DB73" w14:textId="77777777" w:rsidR="00D1373E" w:rsidRPr="00617CD5" w:rsidRDefault="00D1373E" w:rsidP="00D1373E">
            <w:pPr>
              <w:spacing w:after="0" w:line="240" w:lineRule="auto"/>
              <w:jc w:val="right"/>
              <w:rPr>
                <w:rFonts w:eastAsia="Times New Roman" w:cstheme="minorHAnsi"/>
                <w:b/>
                <w:bCs/>
                <w:color w:val="000000"/>
              </w:rPr>
            </w:pPr>
            <w:r w:rsidRPr="00617CD5">
              <w:rPr>
                <w:rFonts w:eastAsia="Times New Roman" w:cstheme="minorHAnsi"/>
                <w:b/>
                <w:bCs/>
                <w:color w:val="000000"/>
              </w:rPr>
              <w:t>100.00%</w:t>
            </w:r>
          </w:p>
        </w:tc>
        <w:tc>
          <w:tcPr>
            <w:tcW w:w="831" w:type="dxa"/>
            <w:tcBorders>
              <w:top w:val="nil"/>
              <w:left w:val="nil"/>
              <w:bottom w:val="single" w:sz="4" w:space="0" w:color="auto"/>
              <w:right w:val="single" w:sz="4" w:space="0" w:color="auto"/>
            </w:tcBorders>
            <w:shd w:val="clear" w:color="auto" w:fill="F2F2F2" w:themeFill="background1" w:themeFillShade="F2"/>
            <w:noWrap/>
            <w:vAlign w:val="bottom"/>
            <w:hideMark/>
          </w:tcPr>
          <w:p w14:paraId="7C33A609" w14:textId="77777777" w:rsidR="00D1373E" w:rsidRPr="00617CD5" w:rsidRDefault="00D1373E" w:rsidP="00D1373E">
            <w:pPr>
              <w:spacing w:after="0" w:line="240" w:lineRule="auto"/>
              <w:jc w:val="right"/>
              <w:rPr>
                <w:rFonts w:eastAsia="Times New Roman" w:cstheme="minorHAnsi"/>
                <w:b/>
                <w:bCs/>
                <w:color w:val="000000"/>
              </w:rPr>
            </w:pPr>
            <w:r w:rsidRPr="00617CD5">
              <w:rPr>
                <w:rFonts w:eastAsia="Times New Roman" w:cstheme="minorHAnsi"/>
                <w:b/>
                <w:bCs/>
                <w:color w:val="000000"/>
              </w:rPr>
              <w:t>15,521</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hideMark/>
          </w:tcPr>
          <w:p w14:paraId="6475B09C" w14:textId="77777777" w:rsidR="00D1373E" w:rsidRPr="00617CD5" w:rsidRDefault="00D1373E" w:rsidP="00D1373E">
            <w:pPr>
              <w:spacing w:after="0" w:line="240" w:lineRule="auto"/>
              <w:jc w:val="right"/>
              <w:rPr>
                <w:rFonts w:eastAsia="Times New Roman" w:cstheme="minorHAnsi"/>
                <w:b/>
                <w:bCs/>
                <w:color w:val="000000"/>
              </w:rPr>
            </w:pPr>
            <w:r w:rsidRPr="00617CD5">
              <w:rPr>
                <w:rFonts w:eastAsia="Times New Roman" w:cstheme="minorHAnsi"/>
                <w:b/>
                <w:bCs/>
                <w:color w:val="000000"/>
              </w:rPr>
              <w:t>100.00%</w:t>
            </w:r>
          </w:p>
        </w:tc>
      </w:tr>
    </w:tbl>
    <w:p w14:paraId="791DC2D2" w14:textId="77777777" w:rsidR="00AA6D68" w:rsidRDefault="00AA6D68" w:rsidP="003F07B9">
      <w:pPr>
        <w:spacing w:line="240" w:lineRule="auto"/>
        <w:rPr>
          <w:sz w:val="24"/>
          <w:szCs w:val="24"/>
        </w:rPr>
      </w:pPr>
    </w:p>
    <w:p w14:paraId="7C77BA04" w14:textId="051AC14E" w:rsidR="003B43A3" w:rsidRDefault="000064BF" w:rsidP="00B66BB3">
      <w:pPr>
        <w:spacing w:line="240" w:lineRule="auto"/>
        <w:rPr>
          <w:sz w:val="24"/>
          <w:szCs w:val="24"/>
        </w:rPr>
      </w:pPr>
      <w:r>
        <w:rPr>
          <w:sz w:val="24"/>
          <w:szCs w:val="24"/>
        </w:rPr>
        <w:t xml:space="preserve">The Applicant states that increasing </w:t>
      </w:r>
      <w:r w:rsidR="00BF6B7A">
        <w:rPr>
          <w:sz w:val="24"/>
          <w:szCs w:val="24"/>
        </w:rPr>
        <w:t xml:space="preserve">the number of </w:t>
      </w:r>
      <w:r>
        <w:rPr>
          <w:sz w:val="24"/>
          <w:szCs w:val="24"/>
        </w:rPr>
        <w:t xml:space="preserve">surgical ORs from </w:t>
      </w:r>
      <w:r w:rsidR="00BF6B7A">
        <w:rPr>
          <w:sz w:val="24"/>
          <w:szCs w:val="24"/>
        </w:rPr>
        <w:t>four</w:t>
      </w:r>
      <w:r>
        <w:rPr>
          <w:sz w:val="24"/>
          <w:szCs w:val="24"/>
        </w:rPr>
        <w:t xml:space="preserve"> to</w:t>
      </w:r>
      <w:r w:rsidR="00BF6B7A">
        <w:rPr>
          <w:sz w:val="24"/>
          <w:szCs w:val="24"/>
        </w:rPr>
        <w:t xml:space="preserve"> six will help </w:t>
      </w:r>
      <w:r>
        <w:rPr>
          <w:sz w:val="24"/>
          <w:szCs w:val="24"/>
        </w:rPr>
        <w:t>to decrease wait times for procedures and increase overall surgical volume</w:t>
      </w:r>
      <w:r w:rsidR="00B57301">
        <w:rPr>
          <w:sz w:val="24"/>
          <w:szCs w:val="24"/>
        </w:rPr>
        <w:t>.</w:t>
      </w:r>
      <w:r w:rsidR="00BE4ACB">
        <w:rPr>
          <w:sz w:val="24"/>
          <w:szCs w:val="24"/>
        </w:rPr>
        <w:t xml:space="preserve"> </w:t>
      </w:r>
      <w:r w:rsidR="003B43A3">
        <w:rPr>
          <w:sz w:val="24"/>
          <w:szCs w:val="24"/>
        </w:rPr>
        <w:t>The Applicant provided average wait times by surgical specialty</w:t>
      </w:r>
      <w:r w:rsidR="006B71BC">
        <w:rPr>
          <w:sz w:val="24"/>
          <w:szCs w:val="24"/>
        </w:rPr>
        <w:t xml:space="preserve">, which is shown in Table </w:t>
      </w:r>
      <w:r w:rsidR="007E04D6">
        <w:rPr>
          <w:sz w:val="24"/>
          <w:szCs w:val="24"/>
        </w:rPr>
        <w:t>7</w:t>
      </w:r>
      <w:r w:rsidR="006B71BC">
        <w:rPr>
          <w:sz w:val="24"/>
          <w:szCs w:val="24"/>
        </w:rPr>
        <w:t xml:space="preserve"> below. </w:t>
      </w:r>
      <w:r w:rsidR="00456E50">
        <w:rPr>
          <w:sz w:val="24"/>
          <w:szCs w:val="24"/>
        </w:rPr>
        <w:t xml:space="preserve">The longer wait for orthopedic procedures is because that specialty is more reliant on additional equipment that is </w:t>
      </w:r>
      <w:r w:rsidR="009763CA">
        <w:rPr>
          <w:sz w:val="24"/>
          <w:szCs w:val="24"/>
        </w:rPr>
        <w:t>larger,</w:t>
      </w:r>
      <w:r w:rsidR="00456E50">
        <w:rPr>
          <w:sz w:val="24"/>
          <w:szCs w:val="24"/>
        </w:rPr>
        <w:t xml:space="preserve"> and the Applicant currently only has one OR </w:t>
      </w:r>
      <w:r w:rsidR="00D27DF8">
        <w:rPr>
          <w:sz w:val="24"/>
          <w:szCs w:val="24"/>
        </w:rPr>
        <w:t>to</w:t>
      </w:r>
      <w:r w:rsidR="00456E50">
        <w:rPr>
          <w:sz w:val="24"/>
          <w:szCs w:val="24"/>
        </w:rPr>
        <w:t xml:space="preserve"> accommodate it. The Applicant states the new ORs will be </w:t>
      </w:r>
      <w:r w:rsidR="004329F4">
        <w:rPr>
          <w:sz w:val="24"/>
          <w:szCs w:val="24"/>
        </w:rPr>
        <w:t>identical in size and equipment</w:t>
      </w:r>
      <w:r w:rsidR="00D27DF8">
        <w:rPr>
          <w:sz w:val="24"/>
          <w:szCs w:val="24"/>
        </w:rPr>
        <w:t>,</w:t>
      </w:r>
      <w:r w:rsidR="004329F4">
        <w:rPr>
          <w:sz w:val="24"/>
          <w:szCs w:val="24"/>
        </w:rPr>
        <w:t xml:space="preserve"> making them </w:t>
      </w:r>
      <w:r w:rsidR="00456E50">
        <w:rPr>
          <w:sz w:val="24"/>
          <w:szCs w:val="24"/>
        </w:rPr>
        <w:t xml:space="preserve">interchangeable which will allow for more flexibility in scheduling and greater access to procedural care. </w:t>
      </w:r>
      <w:r w:rsidR="00CA0C94">
        <w:rPr>
          <w:sz w:val="24"/>
          <w:szCs w:val="24"/>
        </w:rPr>
        <w:t xml:space="preserve">Creating the surgical pavilion will increase scheduling capacity which will allow for more volume. </w:t>
      </w:r>
      <w:r w:rsidR="001C5674">
        <w:rPr>
          <w:sz w:val="24"/>
          <w:szCs w:val="24"/>
        </w:rPr>
        <w:t xml:space="preserve">In order to understand the impact of the Proposed Project on patient access to procedural and surgical services and wait times, the Applicant will report on wait times by surgical specialty. The measure is described below in Appendix 1. </w:t>
      </w:r>
    </w:p>
    <w:p w14:paraId="3653A07B" w14:textId="55CC4B4D" w:rsidR="006B71BC" w:rsidRDefault="006B71BC" w:rsidP="006B71BC">
      <w:pPr>
        <w:spacing w:line="240" w:lineRule="auto"/>
        <w:jc w:val="center"/>
        <w:rPr>
          <w:b/>
          <w:bCs/>
          <w:sz w:val="24"/>
          <w:szCs w:val="24"/>
        </w:rPr>
      </w:pPr>
      <w:r w:rsidRPr="006B71BC">
        <w:rPr>
          <w:b/>
          <w:bCs/>
          <w:sz w:val="24"/>
          <w:szCs w:val="24"/>
        </w:rPr>
        <w:t xml:space="preserve">Table </w:t>
      </w:r>
      <w:r w:rsidR="007E04D6">
        <w:rPr>
          <w:b/>
          <w:bCs/>
          <w:sz w:val="24"/>
          <w:szCs w:val="24"/>
        </w:rPr>
        <w:t>7</w:t>
      </w:r>
      <w:r>
        <w:rPr>
          <w:b/>
          <w:bCs/>
          <w:sz w:val="24"/>
          <w:szCs w:val="24"/>
        </w:rPr>
        <w:t>:</w:t>
      </w:r>
      <w:r w:rsidR="00A51F83">
        <w:rPr>
          <w:b/>
          <w:bCs/>
          <w:sz w:val="24"/>
          <w:szCs w:val="24"/>
        </w:rPr>
        <w:t xml:space="preserve"> Average Wait Time by Surgical Specialty</w:t>
      </w:r>
    </w:p>
    <w:tbl>
      <w:tblPr>
        <w:tblStyle w:val="TableGrid"/>
        <w:tblW w:w="0" w:type="auto"/>
        <w:jc w:val="center"/>
        <w:tblLook w:val="04A0" w:firstRow="1" w:lastRow="0" w:firstColumn="1" w:lastColumn="0" w:noHBand="0" w:noVBand="1"/>
        <w:tblCaption w:val="Table 7: Average Wait Time by Surgical Specialty "/>
        <w:tblDescription w:val="Surgical Specialty Averaged Wait for &#10;Elective Procedure ( in weeks)&#10;Local/Minor procedures 1-2 weeks&#10;General Surgery 3 weeks&#10;Bariatric Surgery 4 weeks&#10;Orthopedic 16-20 weeks&#10;Interventional Pain 2 weeks&#10;GYN 5 weeks&#10;Urology 2 weeks&#10;Gastroenterology 6 weeks&#10;"/>
      </w:tblPr>
      <w:tblGrid>
        <w:gridCol w:w="2370"/>
        <w:gridCol w:w="2954"/>
      </w:tblGrid>
      <w:tr w:rsidR="009F6091" w:rsidRPr="009F6091" w14:paraId="070C0874" w14:textId="77777777" w:rsidTr="00735C4E">
        <w:trPr>
          <w:tblHeader/>
          <w:jc w:val="center"/>
        </w:trPr>
        <w:tc>
          <w:tcPr>
            <w:tcW w:w="0" w:type="auto"/>
            <w:shd w:val="clear" w:color="auto" w:fill="F2F2F2" w:themeFill="background1" w:themeFillShade="F2"/>
          </w:tcPr>
          <w:p w14:paraId="38039060" w14:textId="51CF2565" w:rsidR="009F6091" w:rsidRPr="009F6091" w:rsidRDefault="009F6091" w:rsidP="009F6091">
            <w:pPr>
              <w:jc w:val="center"/>
              <w:rPr>
                <w:b/>
                <w:bCs/>
              </w:rPr>
            </w:pPr>
            <w:r w:rsidRPr="009F6091">
              <w:rPr>
                <w:b/>
                <w:bCs/>
              </w:rPr>
              <w:t>Surgical Specialty</w:t>
            </w:r>
          </w:p>
        </w:tc>
        <w:tc>
          <w:tcPr>
            <w:tcW w:w="0" w:type="auto"/>
            <w:shd w:val="clear" w:color="auto" w:fill="F2F2F2" w:themeFill="background1" w:themeFillShade="F2"/>
          </w:tcPr>
          <w:p w14:paraId="1CE3753F" w14:textId="77777777" w:rsidR="009F6091" w:rsidRPr="009F6091" w:rsidRDefault="009F6091" w:rsidP="009F6091">
            <w:pPr>
              <w:jc w:val="center"/>
              <w:rPr>
                <w:b/>
                <w:bCs/>
              </w:rPr>
            </w:pPr>
            <w:r w:rsidRPr="009F6091">
              <w:rPr>
                <w:b/>
                <w:bCs/>
              </w:rPr>
              <w:t xml:space="preserve">Averaged Wait for </w:t>
            </w:r>
          </w:p>
          <w:p w14:paraId="7BC671E3" w14:textId="0AB22696" w:rsidR="009F6091" w:rsidRPr="009F6091" w:rsidRDefault="009F6091" w:rsidP="009F6091">
            <w:pPr>
              <w:jc w:val="center"/>
              <w:rPr>
                <w:b/>
                <w:bCs/>
              </w:rPr>
            </w:pPr>
            <w:r w:rsidRPr="009F6091">
              <w:rPr>
                <w:b/>
                <w:bCs/>
              </w:rPr>
              <w:t>Elective Procedure ( in weeks)</w:t>
            </w:r>
          </w:p>
        </w:tc>
      </w:tr>
      <w:tr w:rsidR="009F6091" w:rsidRPr="009F6091" w14:paraId="657DA326" w14:textId="77777777" w:rsidTr="000702F9">
        <w:trPr>
          <w:jc w:val="center"/>
        </w:trPr>
        <w:tc>
          <w:tcPr>
            <w:tcW w:w="0" w:type="auto"/>
          </w:tcPr>
          <w:p w14:paraId="73AD0EB2" w14:textId="12DA7FE4" w:rsidR="009F6091" w:rsidRPr="009F6091" w:rsidRDefault="009F6091" w:rsidP="009F6091">
            <w:r w:rsidRPr="009F6091">
              <w:t>Local/Minor procedures</w:t>
            </w:r>
          </w:p>
        </w:tc>
        <w:tc>
          <w:tcPr>
            <w:tcW w:w="0" w:type="auto"/>
          </w:tcPr>
          <w:p w14:paraId="5119CA95" w14:textId="2D371893" w:rsidR="009F6091" w:rsidRPr="009F6091" w:rsidRDefault="009F6091" w:rsidP="009F6091">
            <w:pPr>
              <w:jc w:val="center"/>
            </w:pPr>
            <w:r w:rsidRPr="009F6091">
              <w:t>1-2 weeks</w:t>
            </w:r>
          </w:p>
        </w:tc>
      </w:tr>
      <w:tr w:rsidR="009F6091" w:rsidRPr="009F6091" w14:paraId="7FD2FF59" w14:textId="77777777" w:rsidTr="000702F9">
        <w:trPr>
          <w:jc w:val="center"/>
        </w:trPr>
        <w:tc>
          <w:tcPr>
            <w:tcW w:w="0" w:type="auto"/>
          </w:tcPr>
          <w:p w14:paraId="1FE8CDA9" w14:textId="63690C64" w:rsidR="009F6091" w:rsidRPr="009F6091" w:rsidRDefault="009F6091" w:rsidP="009F6091">
            <w:r w:rsidRPr="009F6091">
              <w:t>General Surgery</w:t>
            </w:r>
          </w:p>
        </w:tc>
        <w:tc>
          <w:tcPr>
            <w:tcW w:w="0" w:type="auto"/>
          </w:tcPr>
          <w:p w14:paraId="4126929A" w14:textId="1F5A8495" w:rsidR="009F6091" w:rsidRPr="009F6091" w:rsidRDefault="009F6091" w:rsidP="009F6091">
            <w:pPr>
              <w:jc w:val="center"/>
            </w:pPr>
            <w:r w:rsidRPr="009F6091">
              <w:t>3 weeks</w:t>
            </w:r>
          </w:p>
        </w:tc>
      </w:tr>
      <w:tr w:rsidR="009F6091" w:rsidRPr="009F6091" w14:paraId="1AAA9EE1" w14:textId="77777777" w:rsidTr="000702F9">
        <w:trPr>
          <w:jc w:val="center"/>
        </w:trPr>
        <w:tc>
          <w:tcPr>
            <w:tcW w:w="0" w:type="auto"/>
          </w:tcPr>
          <w:p w14:paraId="5C9AFEA1" w14:textId="500D4BDE" w:rsidR="009F6091" w:rsidRPr="009F6091" w:rsidRDefault="009F6091" w:rsidP="009F6091">
            <w:r w:rsidRPr="009F6091">
              <w:lastRenderedPageBreak/>
              <w:t>Bariatric Surgery</w:t>
            </w:r>
          </w:p>
        </w:tc>
        <w:tc>
          <w:tcPr>
            <w:tcW w:w="0" w:type="auto"/>
          </w:tcPr>
          <w:p w14:paraId="412745B9" w14:textId="31644E21" w:rsidR="009F6091" w:rsidRPr="009F6091" w:rsidRDefault="009F6091" w:rsidP="009F6091">
            <w:pPr>
              <w:jc w:val="center"/>
            </w:pPr>
            <w:r w:rsidRPr="009F6091">
              <w:t>4 weeks</w:t>
            </w:r>
          </w:p>
        </w:tc>
      </w:tr>
      <w:tr w:rsidR="009F6091" w:rsidRPr="009F6091" w14:paraId="0DFE31D9" w14:textId="77777777" w:rsidTr="000702F9">
        <w:trPr>
          <w:jc w:val="center"/>
        </w:trPr>
        <w:tc>
          <w:tcPr>
            <w:tcW w:w="0" w:type="auto"/>
          </w:tcPr>
          <w:p w14:paraId="1E9DDAF5" w14:textId="292460F0" w:rsidR="009F6091" w:rsidRPr="009F6091" w:rsidRDefault="009F6091" w:rsidP="009F6091">
            <w:r w:rsidRPr="009F6091">
              <w:t>Orthopedic</w:t>
            </w:r>
          </w:p>
        </w:tc>
        <w:tc>
          <w:tcPr>
            <w:tcW w:w="0" w:type="auto"/>
          </w:tcPr>
          <w:p w14:paraId="28E5ABD7" w14:textId="16469080" w:rsidR="009F6091" w:rsidRPr="009F6091" w:rsidRDefault="009F6091" w:rsidP="009F6091">
            <w:pPr>
              <w:jc w:val="center"/>
            </w:pPr>
            <w:r w:rsidRPr="009F6091">
              <w:t>16-20 weeks</w:t>
            </w:r>
          </w:p>
        </w:tc>
      </w:tr>
      <w:tr w:rsidR="009F6091" w:rsidRPr="009F6091" w14:paraId="096B02D7" w14:textId="77777777" w:rsidTr="000702F9">
        <w:trPr>
          <w:jc w:val="center"/>
        </w:trPr>
        <w:tc>
          <w:tcPr>
            <w:tcW w:w="0" w:type="auto"/>
          </w:tcPr>
          <w:p w14:paraId="6BCB0408" w14:textId="73A79021" w:rsidR="009F6091" w:rsidRPr="009F6091" w:rsidRDefault="009F6091" w:rsidP="009F6091">
            <w:r w:rsidRPr="009F6091">
              <w:t>Interventional Pain</w:t>
            </w:r>
          </w:p>
        </w:tc>
        <w:tc>
          <w:tcPr>
            <w:tcW w:w="0" w:type="auto"/>
          </w:tcPr>
          <w:p w14:paraId="66669B91" w14:textId="739EADCD" w:rsidR="009F6091" w:rsidRPr="009F6091" w:rsidRDefault="009F6091" w:rsidP="009F6091">
            <w:pPr>
              <w:jc w:val="center"/>
            </w:pPr>
            <w:r w:rsidRPr="009F6091">
              <w:t>2 weeks</w:t>
            </w:r>
          </w:p>
        </w:tc>
      </w:tr>
      <w:tr w:rsidR="009F6091" w:rsidRPr="009F6091" w14:paraId="1F69C1F0" w14:textId="77777777" w:rsidTr="000702F9">
        <w:trPr>
          <w:jc w:val="center"/>
        </w:trPr>
        <w:tc>
          <w:tcPr>
            <w:tcW w:w="0" w:type="auto"/>
          </w:tcPr>
          <w:p w14:paraId="69589A91" w14:textId="7E5143FC" w:rsidR="009F6091" w:rsidRPr="009F6091" w:rsidRDefault="009F6091" w:rsidP="009F6091">
            <w:r w:rsidRPr="009F6091">
              <w:t>GYN</w:t>
            </w:r>
          </w:p>
        </w:tc>
        <w:tc>
          <w:tcPr>
            <w:tcW w:w="0" w:type="auto"/>
          </w:tcPr>
          <w:p w14:paraId="072E89D1" w14:textId="370C8AD3" w:rsidR="009F6091" w:rsidRPr="009F6091" w:rsidRDefault="009F6091" w:rsidP="009F6091">
            <w:pPr>
              <w:jc w:val="center"/>
            </w:pPr>
            <w:r w:rsidRPr="009F6091">
              <w:t>5 weeks</w:t>
            </w:r>
          </w:p>
        </w:tc>
      </w:tr>
      <w:tr w:rsidR="009F6091" w:rsidRPr="009F6091" w14:paraId="4B9440B3" w14:textId="77777777" w:rsidTr="000702F9">
        <w:trPr>
          <w:jc w:val="center"/>
        </w:trPr>
        <w:tc>
          <w:tcPr>
            <w:tcW w:w="0" w:type="auto"/>
          </w:tcPr>
          <w:p w14:paraId="3741D1B4" w14:textId="0EAA2072" w:rsidR="009F6091" w:rsidRPr="009F6091" w:rsidRDefault="009F6091" w:rsidP="009F6091">
            <w:r w:rsidRPr="009F6091">
              <w:t>Urology</w:t>
            </w:r>
          </w:p>
        </w:tc>
        <w:tc>
          <w:tcPr>
            <w:tcW w:w="0" w:type="auto"/>
          </w:tcPr>
          <w:p w14:paraId="7316C519" w14:textId="486C5EBF" w:rsidR="009F6091" w:rsidRPr="009F6091" w:rsidRDefault="009F6091" w:rsidP="009F6091">
            <w:pPr>
              <w:jc w:val="center"/>
            </w:pPr>
            <w:r w:rsidRPr="009F6091">
              <w:t>2 weeks</w:t>
            </w:r>
          </w:p>
        </w:tc>
      </w:tr>
      <w:tr w:rsidR="009F6091" w:rsidRPr="009F6091" w14:paraId="0EC85F6B" w14:textId="77777777" w:rsidTr="000702F9">
        <w:trPr>
          <w:jc w:val="center"/>
        </w:trPr>
        <w:tc>
          <w:tcPr>
            <w:tcW w:w="0" w:type="auto"/>
          </w:tcPr>
          <w:p w14:paraId="073C14BF" w14:textId="2FAB7FAB" w:rsidR="009F6091" w:rsidRPr="009F6091" w:rsidRDefault="009F6091" w:rsidP="009F6091">
            <w:r w:rsidRPr="009F6091">
              <w:t>Gastroenterology</w:t>
            </w:r>
          </w:p>
        </w:tc>
        <w:tc>
          <w:tcPr>
            <w:tcW w:w="0" w:type="auto"/>
          </w:tcPr>
          <w:p w14:paraId="26F48CC0" w14:textId="454DA5EB" w:rsidR="009F6091" w:rsidRPr="009F6091" w:rsidRDefault="009F6091" w:rsidP="009F6091">
            <w:pPr>
              <w:jc w:val="center"/>
            </w:pPr>
            <w:r w:rsidRPr="009F6091">
              <w:t>6 weeks</w:t>
            </w:r>
          </w:p>
        </w:tc>
      </w:tr>
    </w:tbl>
    <w:p w14:paraId="31AAD260" w14:textId="77777777" w:rsidR="009F6091" w:rsidRPr="00717762" w:rsidRDefault="009F6091" w:rsidP="006B71BC">
      <w:pPr>
        <w:spacing w:line="240" w:lineRule="auto"/>
        <w:jc w:val="center"/>
        <w:rPr>
          <w:sz w:val="24"/>
          <w:szCs w:val="24"/>
        </w:rPr>
      </w:pPr>
    </w:p>
    <w:p w14:paraId="290242AE" w14:textId="77777777" w:rsidR="00733D97" w:rsidRDefault="00DE13FD" w:rsidP="00B66BB3">
      <w:pPr>
        <w:spacing w:line="240" w:lineRule="auto"/>
        <w:rPr>
          <w:sz w:val="24"/>
          <w:szCs w:val="24"/>
        </w:rPr>
      </w:pPr>
      <w:r>
        <w:rPr>
          <w:sz w:val="24"/>
          <w:szCs w:val="24"/>
        </w:rPr>
        <w:t xml:space="preserve">As shown in Table </w:t>
      </w:r>
      <w:r w:rsidR="007E04D6">
        <w:rPr>
          <w:sz w:val="24"/>
          <w:szCs w:val="24"/>
        </w:rPr>
        <w:t>8</w:t>
      </w:r>
      <w:r>
        <w:rPr>
          <w:sz w:val="24"/>
          <w:szCs w:val="24"/>
        </w:rPr>
        <w:t xml:space="preserve"> below, t</w:t>
      </w:r>
      <w:r w:rsidR="00BF6B7A">
        <w:rPr>
          <w:sz w:val="24"/>
          <w:szCs w:val="24"/>
        </w:rPr>
        <w:t>he</w:t>
      </w:r>
      <w:r w:rsidR="00BE4ACB">
        <w:rPr>
          <w:sz w:val="24"/>
          <w:szCs w:val="24"/>
        </w:rPr>
        <w:t xml:space="preserve"> Applicant projects </w:t>
      </w:r>
      <w:r w:rsidR="00E729A9">
        <w:rPr>
          <w:sz w:val="24"/>
          <w:szCs w:val="24"/>
        </w:rPr>
        <w:t xml:space="preserve">procedural volume to increase by </w:t>
      </w:r>
      <w:r w:rsidR="00BE4ACB">
        <w:rPr>
          <w:sz w:val="24"/>
          <w:szCs w:val="24"/>
        </w:rPr>
        <w:t xml:space="preserve">20% </w:t>
      </w:r>
      <w:r w:rsidR="00E729A9">
        <w:rPr>
          <w:sz w:val="24"/>
          <w:szCs w:val="24"/>
        </w:rPr>
        <w:t>with implementation of the Proposed Project</w:t>
      </w:r>
      <w:r w:rsidR="0068275C">
        <w:rPr>
          <w:sz w:val="24"/>
          <w:szCs w:val="24"/>
        </w:rPr>
        <w:t>.</w:t>
      </w:r>
      <w:r w:rsidR="0068275C">
        <w:rPr>
          <w:rStyle w:val="FootnoteReference"/>
          <w:sz w:val="24"/>
          <w:szCs w:val="24"/>
        </w:rPr>
        <w:footnoteReference w:id="19"/>
      </w:r>
      <w:r w:rsidR="00AA51F0" w:rsidRPr="00AA51F0">
        <w:rPr>
          <w:sz w:val="24"/>
          <w:szCs w:val="24"/>
        </w:rPr>
        <w:t xml:space="preserve"> </w:t>
      </w:r>
    </w:p>
    <w:p w14:paraId="5FBDC009" w14:textId="6FF00AAB" w:rsidR="00733D97" w:rsidRPr="00733D97" w:rsidRDefault="00D120B0" w:rsidP="00733D97">
      <w:pPr>
        <w:spacing w:line="240" w:lineRule="auto"/>
        <w:rPr>
          <w:sz w:val="24"/>
          <w:szCs w:val="24"/>
        </w:rPr>
      </w:pPr>
      <w:r>
        <w:rPr>
          <w:sz w:val="24"/>
          <w:szCs w:val="24"/>
        </w:rPr>
        <w:t>T</w:t>
      </w:r>
      <w:r w:rsidR="00AA51F0">
        <w:rPr>
          <w:sz w:val="24"/>
          <w:szCs w:val="24"/>
        </w:rPr>
        <w:t xml:space="preserve">he Applicant anticipates new case volume will originate from within the existing Patient Panel, and from new patients who would have otherwise gone to a tertiary facility for such care. </w:t>
      </w:r>
      <w:r w:rsidR="00733D97" w:rsidRPr="00733D97">
        <w:rPr>
          <w:sz w:val="24"/>
          <w:szCs w:val="24"/>
        </w:rPr>
        <w:t xml:space="preserve">By expanding the surgical capabilities of the Heywood Hospital campus the Proposed Project will increase access to care for Athol Hospital patients. </w:t>
      </w:r>
      <w:r w:rsidR="00D27DF8">
        <w:rPr>
          <w:sz w:val="24"/>
          <w:szCs w:val="24"/>
        </w:rPr>
        <w:t>T</w:t>
      </w:r>
      <w:r w:rsidR="00733D97" w:rsidRPr="00733D97">
        <w:rPr>
          <w:sz w:val="24"/>
          <w:szCs w:val="24"/>
        </w:rPr>
        <w:t xml:space="preserve">he procedural care </w:t>
      </w:r>
      <w:r w:rsidR="00D27DF8">
        <w:rPr>
          <w:sz w:val="24"/>
          <w:szCs w:val="24"/>
        </w:rPr>
        <w:t xml:space="preserve">currently </w:t>
      </w:r>
      <w:r w:rsidR="00733D97" w:rsidRPr="00733D97">
        <w:rPr>
          <w:sz w:val="24"/>
          <w:szCs w:val="24"/>
        </w:rPr>
        <w:t xml:space="preserve">performed at Athol Hospital </w:t>
      </w:r>
      <w:r w:rsidR="00D27DF8">
        <w:rPr>
          <w:sz w:val="24"/>
          <w:szCs w:val="24"/>
        </w:rPr>
        <w:t xml:space="preserve">is </w:t>
      </w:r>
      <w:r w:rsidR="00733D97" w:rsidRPr="00733D97">
        <w:rPr>
          <w:sz w:val="24"/>
          <w:szCs w:val="24"/>
        </w:rPr>
        <w:t>limited to endoscopic and minor surgical procedures</w:t>
      </w:r>
      <w:r w:rsidR="00D27DF8">
        <w:rPr>
          <w:sz w:val="24"/>
          <w:szCs w:val="24"/>
        </w:rPr>
        <w:t>)</w:t>
      </w:r>
      <w:r w:rsidR="00733D97" w:rsidRPr="00733D97">
        <w:rPr>
          <w:sz w:val="24"/>
          <w:szCs w:val="24"/>
        </w:rPr>
        <w:t xml:space="preserve"> </w:t>
      </w:r>
      <w:r w:rsidR="00D27DF8">
        <w:rPr>
          <w:sz w:val="24"/>
          <w:szCs w:val="24"/>
        </w:rPr>
        <w:t xml:space="preserve">and its </w:t>
      </w:r>
      <w:r w:rsidR="00D27DF8" w:rsidRPr="00733D97">
        <w:rPr>
          <w:sz w:val="24"/>
          <w:szCs w:val="24"/>
        </w:rPr>
        <w:t>patients who require anything other than endoscopic and/or minor surgical procedures receive that care outside of Athol, including at Heywood Hospital.</w:t>
      </w:r>
      <w:r w:rsidR="00D27DF8">
        <w:rPr>
          <w:sz w:val="24"/>
          <w:szCs w:val="24"/>
        </w:rPr>
        <w:t xml:space="preserve"> This Proposed </w:t>
      </w:r>
      <w:r w:rsidR="00FB4DF4">
        <w:rPr>
          <w:sz w:val="24"/>
          <w:szCs w:val="24"/>
        </w:rPr>
        <w:t>P</w:t>
      </w:r>
      <w:r w:rsidR="00D27DF8">
        <w:rPr>
          <w:sz w:val="24"/>
          <w:szCs w:val="24"/>
        </w:rPr>
        <w:t xml:space="preserve">roject </w:t>
      </w:r>
      <w:r w:rsidR="00733D97" w:rsidRPr="00733D97">
        <w:rPr>
          <w:sz w:val="24"/>
          <w:szCs w:val="24"/>
        </w:rPr>
        <w:t>will not change</w:t>
      </w:r>
      <w:r w:rsidR="00D27DF8">
        <w:rPr>
          <w:sz w:val="24"/>
          <w:szCs w:val="24"/>
        </w:rPr>
        <w:t xml:space="preserve"> those current services but </w:t>
      </w:r>
      <w:r w:rsidR="00D27DF8" w:rsidRPr="00733D97">
        <w:rPr>
          <w:sz w:val="24"/>
          <w:szCs w:val="24"/>
        </w:rPr>
        <w:t xml:space="preserve">will allow for more Athol patients who require </w:t>
      </w:r>
      <w:r w:rsidR="00D27DF8">
        <w:rPr>
          <w:sz w:val="24"/>
          <w:szCs w:val="24"/>
        </w:rPr>
        <w:t xml:space="preserve">other </w:t>
      </w:r>
      <w:r w:rsidR="00D27DF8" w:rsidRPr="00733D97">
        <w:rPr>
          <w:sz w:val="24"/>
          <w:szCs w:val="24"/>
        </w:rPr>
        <w:t xml:space="preserve">surgery to have </w:t>
      </w:r>
      <w:r w:rsidR="00D27DF8">
        <w:rPr>
          <w:sz w:val="24"/>
          <w:szCs w:val="24"/>
        </w:rPr>
        <w:t xml:space="preserve">it </w:t>
      </w:r>
      <w:r w:rsidR="00D27DF8" w:rsidRPr="00733D97">
        <w:rPr>
          <w:sz w:val="24"/>
          <w:szCs w:val="24"/>
        </w:rPr>
        <w:t>performed within the Heywood Healthcare system in a timely fashion</w:t>
      </w:r>
      <w:r w:rsidR="00733D97" w:rsidRPr="00733D97">
        <w:rPr>
          <w:sz w:val="24"/>
          <w:szCs w:val="24"/>
        </w:rPr>
        <w:t>.</w:t>
      </w:r>
      <w:r w:rsidR="00733D97" w:rsidRPr="00733D97">
        <w:rPr>
          <w:sz w:val="24"/>
          <w:szCs w:val="24"/>
          <w:vertAlign w:val="superscript"/>
        </w:rPr>
        <w:footnoteReference w:id="20"/>
      </w:r>
      <w:r w:rsidR="00733D97" w:rsidRPr="00733D97">
        <w:rPr>
          <w:sz w:val="24"/>
          <w:szCs w:val="24"/>
        </w:rPr>
        <w:t xml:space="preserve"> </w:t>
      </w:r>
    </w:p>
    <w:p w14:paraId="6C8D32B4" w14:textId="12BFE259" w:rsidR="008B6A1C" w:rsidRPr="003A17F5" w:rsidRDefault="008B6A1C" w:rsidP="003A17F5">
      <w:pPr>
        <w:spacing w:line="240" w:lineRule="auto"/>
        <w:jc w:val="center"/>
        <w:rPr>
          <w:b/>
          <w:bCs/>
          <w:sz w:val="24"/>
          <w:szCs w:val="24"/>
        </w:rPr>
      </w:pPr>
      <w:r w:rsidRPr="003A17F5">
        <w:rPr>
          <w:b/>
          <w:bCs/>
          <w:sz w:val="24"/>
          <w:szCs w:val="24"/>
        </w:rPr>
        <w:t xml:space="preserve">Table </w:t>
      </w:r>
      <w:r w:rsidR="007E04D6">
        <w:rPr>
          <w:b/>
          <w:bCs/>
          <w:sz w:val="24"/>
          <w:szCs w:val="24"/>
        </w:rPr>
        <w:t>8</w:t>
      </w:r>
      <w:r w:rsidRPr="003A17F5">
        <w:rPr>
          <w:b/>
          <w:bCs/>
          <w:sz w:val="24"/>
          <w:szCs w:val="24"/>
        </w:rPr>
        <w:t xml:space="preserve">: </w:t>
      </w:r>
      <w:r w:rsidR="003A17F5" w:rsidRPr="003A17F5">
        <w:rPr>
          <w:b/>
          <w:bCs/>
          <w:sz w:val="24"/>
          <w:szCs w:val="24"/>
        </w:rPr>
        <w:t>Projected OR Case Volume</w:t>
      </w:r>
    </w:p>
    <w:tbl>
      <w:tblPr>
        <w:tblStyle w:val="TableGrid"/>
        <w:tblW w:w="0" w:type="auto"/>
        <w:jc w:val="center"/>
        <w:tblLook w:val="04A0" w:firstRow="1" w:lastRow="0" w:firstColumn="1" w:lastColumn="0" w:noHBand="0" w:noVBand="1"/>
        <w:tblCaption w:val="Table 8: Projected OR Case Volume"/>
        <w:tblDescription w:val="Existing Volume (CY19) Proposed Volume (CY29) Percent Change&#10;5,400 6,480 20%&#10;"/>
      </w:tblPr>
      <w:tblGrid>
        <w:gridCol w:w="2320"/>
        <w:gridCol w:w="2483"/>
        <w:gridCol w:w="1646"/>
      </w:tblGrid>
      <w:tr w:rsidR="00C36EEF" w:rsidRPr="0082014A" w14:paraId="7BDBD162" w14:textId="77777777" w:rsidTr="00735C4E">
        <w:trPr>
          <w:tblHeader/>
          <w:jc w:val="center"/>
        </w:trPr>
        <w:tc>
          <w:tcPr>
            <w:tcW w:w="0" w:type="auto"/>
            <w:shd w:val="clear" w:color="auto" w:fill="F2F2F2" w:themeFill="background1" w:themeFillShade="F2"/>
          </w:tcPr>
          <w:p w14:paraId="66C9F08F" w14:textId="13117227" w:rsidR="00C36EEF" w:rsidRPr="0082014A" w:rsidRDefault="00C36EEF" w:rsidP="00C36EEF">
            <w:pPr>
              <w:rPr>
                <w:b/>
                <w:bCs/>
              </w:rPr>
            </w:pPr>
            <w:r w:rsidRPr="0082014A">
              <w:rPr>
                <w:b/>
                <w:bCs/>
              </w:rPr>
              <w:t>Existing Volume</w:t>
            </w:r>
            <w:r>
              <w:rPr>
                <w:b/>
                <w:bCs/>
              </w:rPr>
              <w:t xml:space="preserve"> (CY19)</w:t>
            </w:r>
          </w:p>
        </w:tc>
        <w:tc>
          <w:tcPr>
            <w:tcW w:w="0" w:type="auto"/>
            <w:shd w:val="clear" w:color="auto" w:fill="F2F2F2" w:themeFill="background1" w:themeFillShade="F2"/>
          </w:tcPr>
          <w:p w14:paraId="6C1E8220" w14:textId="79BAA1FE" w:rsidR="00C36EEF" w:rsidRPr="0082014A" w:rsidRDefault="00C36EEF" w:rsidP="00C36EEF">
            <w:pPr>
              <w:rPr>
                <w:b/>
                <w:bCs/>
              </w:rPr>
            </w:pPr>
            <w:r w:rsidRPr="0082014A">
              <w:rPr>
                <w:b/>
                <w:bCs/>
              </w:rPr>
              <w:t>Proposed Volume (</w:t>
            </w:r>
            <w:r>
              <w:rPr>
                <w:b/>
                <w:bCs/>
              </w:rPr>
              <w:t>CY29)</w:t>
            </w:r>
          </w:p>
        </w:tc>
        <w:tc>
          <w:tcPr>
            <w:tcW w:w="0" w:type="auto"/>
            <w:shd w:val="clear" w:color="auto" w:fill="F2F2F2" w:themeFill="background1" w:themeFillShade="F2"/>
          </w:tcPr>
          <w:p w14:paraId="69730035" w14:textId="77777777" w:rsidR="00C36EEF" w:rsidRPr="0082014A" w:rsidRDefault="00C36EEF" w:rsidP="00C36EEF">
            <w:pPr>
              <w:rPr>
                <w:b/>
                <w:bCs/>
              </w:rPr>
            </w:pPr>
            <w:r w:rsidRPr="0082014A">
              <w:rPr>
                <w:b/>
                <w:bCs/>
              </w:rPr>
              <w:t>Percent Change</w:t>
            </w:r>
          </w:p>
        </w:tc>
      </w:tr>
      <w:tr w:rsidR="00C36EEF" w:rsidRPr="0082014A" w14:paraId="5B732EC5" w14:textId="77777777" w:rsidTr="00C36EEF">
        <w:trPr>
          <w:jc w:val="center"/>
        </w:trPr>
        <w:tc>
          <w:tcPr>
            <w:tcW w:w="0" w:type="auto"/>
          </w:tcPr>
          <w:p w14:paraId="085A79B0" w14:textId="77777777" w:rsidR="00C36EEF" w:rsidRPr="0082014A" w:rsidRDefault="00C36EEF" w:rsidP="00F44163">
            <w:pPr>
              <w:jc w:val="center"/>
            </w:pPr>
            <w:r w:rsidRPr="0082014A">
              <w:t>5,400</w:t>
            </w:r>
          </w:p>
        </w:tc>
        <w:tc>
          <w:tcPr>
            <w:tcW w:w="0" w:type="auto"/>
          </w:tcPr>
          <w:p w14:paraId="11FB03D9" w14:textId="77777777" w:rsidR="00C36EEF" w:rsidRPr="0082014A" w:rsidRDefault="00C36EEF" w:rsidP="00F44163">
            <w:pPr>
              <w:jc w:val="center"/>
            </w:pPr>
            <w:r w:rsidRPr="0082014A">
              <w:t>6,480</w:t>
            </w:r>
          </w:p>
        </w:tc>
        <w:tc>
          <w:tcPr>
            <w:tcW w:w="0" w:type="auto"/>
          </w:tcPr>
          <w:p w14:paraId="65CF4411" w14:textId="77777777" w:rsidR="00C36EEF" w:rsidRPr="0082014A" w:rsidRDefault="00C36EEF" w:rsidP="00F44163">
            <w:pPr>
              <w:jc w:val="center"/>
            </w:pPr>
            <w:r w:rsidRPr="0082014A">
              <w:t>20%</w:t>
            </w:r>
          </w:p>
        </w:tc>
      </w:tr>
    </w:tbl>
    <w:p w14:paraId="4E106648" w14:textId="6041D816" w:rsidR="008C303F" w:rsidRDefault="008C303F">
      <w:pPr>
        <w:rPr>
          <w:sz w:val="24"/>
          <w:szCs w:val="24"/>
        </w:rPr>
      </w:pPr>
    </w:p>
    <w:p w14:paraId="72263699" w14:textId="12C66ED5" w:rsidR="00077393" w:rsidRPr="00996545" w:rsidRDefault="00DE60C9">
      <w:pPr>
        <w:rPr>
          <w:b/>
          <w:bCs/>
          <w:i/>
          <w:iCs/>
          <w:sz w:val="24"/>
          <w:szCs w:val="24"/>
        </w:rPr>
      </w:pPr>
      <w:r w:rsidRPr="00996545">
        <w:rPr>
          <w:b/>
          <w:bCs/>
          <w:i/>
          <w:iCs/>
          <w:sz w:val="24"/>
          <w:szCs w:val="24"/>
        </w:rPr>
        <w:t>Analysis</w:t>
      </w:r>
    </w:p>
    <w:p w14:paraId="1938F005" w14:textId="19AB3B15" w:rsidR="00DC012F" w:rsidRDefault="00A433E0" w:rsidP="00667357">
      <w:pPr>
        <w:spacing w:after="0" w:line="240" w:lineRule="auto"/>
        <w:rPr>
          <w:bCs/>
          <w:sz w:val="24"/>
          <w:szCs w:val="24"/>
        </w:rPr>
      </w:pPr>
      <w:r w:rsidRPr="00A433E0">
        <w:rPr>
          <w:bCs/>
          <w:sz w:val="24"/>
          <w:szCs w:val="24"/>
        </w:rPr>
        <w:t xml:space="preserve">Staff find that the information provided by </w:t>
      </w:r>
      <w:r w:rsidR="0040776E">
        <w:rPr>
          <w:bCs/>
          <w:sz w:val="24"/>
          <w:szCs w:val="24"/>
        </w:rPr>
        <w:t xml:space="preserve">the </w:t>
      </w:r>
      <w:r w:rsidRPr="00A433E0">
        <w:rPr>
          <w:bCs/>
          <w:sz w:val="24"/>
          <w:szCs w:val="24"/>
        </w:rPr>
        <w:t>Applicant demonstrates sufficient need by their Patient Panel</w:t>
      </w:r>
      <w:r w:rsidR="008E08C8">
        <w:rPr>
          <w:bCs/>
          <w:sz w:val="24"/>
          <w:szCs w:val="24"/>
        </w:rPr>
        <w:t xml:space="preserve"> for increased access to </w:t>
      </w:r>
      <w:r w:rsidR="00BD173F">
        <w:rPr>
          <w:bCs/>
          <w:sz w:val="24"/>
          <w:szCs w:val="24"/>
        </w:rPr>
        <w:t>procedural care</w:t>
      </w:r>
      <w:r w:rsidRPr="00A433E0">
        <w:rPr>
          <w:bCs/>
          <w:sz w:val="24"/>
          <w:szCs w:val="24"/>
        </w:rPr>
        <w:t xml:space="preserve"> through surgical volume growth that has been constrained due to capacity </w:t>
      </w:r>
      <w:r w:rsidR="0040776E">
        <w:rPr>
          <w:bCs/>
          <w:sz w:val="24"/>
          <w:szCs w:val="24"/>
        </w:rPr>
        <w:t>limitations</w:t>
      </w:r>
      <w:r w:rsidR="0040776E" w:rsidRPr="00A433E0">
        <w:rPr>
          <w:bCs/>
          <w:sz w:val="24"/>
          <w:szCs w:val="24"/>
        </w:rPr>
        <w:t xml:space="preserve"> </w:t>
      </w:r>
      <w:r w:rsidRPr="00A433E0">
        <w:rPr>
          <w:bCs/>
          <w:sz w:val="24"/>
          <w:szCs w:val="24"/>
        </w:rPr>
        <w:t xml:space="preserve">of the existing ORs. </w:t>
      </w:r>
      <w:r w:rsidR="00851F93">
        <w:rPr>
          <w:bCs/>
          <w:sz w:val="24"/>
          <w:szCs w:val="24"/>
        </w:rPr>
        <w:t xml:space="preserve">The Applicant asserts that the Proposed Project will reduce wait times for procedures. </w:t>
      </w:r>
      <w:r w:rsidR="0081236D" w:rsidRPr="0081236D">
        <w:rPr>
          <w:bCs/>
          <w:sz w:val="24"/>
          <w:szCs w:val="24"/>
        </w:rPr>
        <w:t xml:space="preserve">Wait time for surgery </w:t>
      </w:r>
      <w:r w:rsidR="00851F93">
        <w:rPr>
          <w:bCs/>
          <w:sz w:val="24"/>
          <w:szCs w:val="24"/>
        </w:rPr>
        <w:t xml:space="preserve">have been shown to be an important </w:t>
      </w:r>
      <w:r w:rsidR="0081236D" w:rsidRPr="0081236D">
        <w:rPr>
          <w:bCs/>
          <w:sz w:val="24"/>
          <w:szCs w:val="24"/>
        </w:rPr>
        <w:t xml:space="preserve">factor in </w:t>
      </w:r>
      <w:r w:rsidR="008E08C8">
        <w:rPr>
          <w:bCs/>
          <w:sz w:val="24"/>
          <w:szCs w:val="24"/>
        </w:rPr>
        <w:t xml:space="preserve">the </w:t>
      </w:r>
      <w:r w:rsidR="0081236D" w:rsidRPr="0081236D">
        <w:rPr>
          <w:bCs/>
          <w:sz w:val="24"/>
          <w:szCs w:val="24"/>
        </w:rPr>
        <w:t>quality of care</w:t>
      </w:r>
      <w:r w:rsidR="00851F93">
        <w:rPr>
          <w:bCs/>
          <w:sz w:val="24"/>
          <w:szCs w:val="24"/>
        </w:rPr>
        <w:t xml:space="preserve"> because </w:t>
      </w:r>
      <w:r w:rsidR="00D41E73">
        <w:rPr>
          <w:bCs/>
          <w:sz w:val="24"/>
          <w:szCs w:val="24"/>
        </w:rPr>
        <w:t xml:space="preserve">of the impact on </w:t>
      </w:r>
      <w:r w:rsidR="0081236D" w:rsidRPr="0081236D">
        <w:rPr>
          <w:bCs/>
          <w:sz w:val="24"/>
          <w:szCs w:val="24"/>
        </w:rPr>
        <w:t xml:space="preserve">the </w:t>
      </w:r>
      <w:r w:rsidR="00D41E73">
        <w:rPr>
          <w:bCs/>
          <w:sz w:val="24"/>
          <w:szCs w:val="24"/>
        </w:rPr>
        <w:t xml:space="preserve">patient’s </w:t>
      </w:r>
      <w:r w:rsidR="0081236D" w:rsidRPr="0081236D">
        <w:rPr>
          <w:bCs/>
          <w:sz w:val="24"/>
          <w:szCs w:val="24"/>
        </w:rPr>
        <w:t xml:space="preserve">clinical condition </w:t>
      </w:r>
      <w:r w:rsidR="00D41E73">
        <w:rPr>
          <w:bCs/>
          <w:sz w:val="24"/>
          <w:szCs w:val="24"/>
        </w:rPr>
        <w:t xml:space="preserve">and potential </w:t>
      </w:r>
      <w:r w:rsidR="0081236D" w:rsidRPr="0081236D">
        <w:rPr>
          <w:bCs/>
          <w:sz w:val="24"/>
          <w:szCs w:val="24"/>
        </w:rPr>
        <w:t>deteriorat</w:t>
      </w:r>
      <w:r w:rsidR="00D41E73">
        <w:rPr>
          <w:bCs/>
          <w:sz w:val="24"/>
          <w:szCs w:val="24"/>
        </w:rPr>
        <w:t>ion</w:t>
      </w:r>
      <w:r w:rsidR="0081236D" w:rsidRPr="0081236D">
        <w:rPr>
          <w:bCs/>
          <w:sz w:val="24"/>
          <w:szCs w:val="24"/>
        </w:rPr>
        <w:t xml:space="preserve"> during waiting, negative affect </w:t>
      </w:r>
      <w:r w:rsidR="00D41E73">
        <w:rPr>
          <w:bCs/>
          <w:sz w:val="24"/>
          <w:szCs w:val="24"/>
        </w:rPr>
        <w:t xml:space="preserve">on </w:t>
      </w:r>
      <w:r w:rsidR="0081236D" w:rsidRPr="0081236D">
        <w:rPr>
          <w:bCs/>
          <w:sz w:val="24"/>
          <w:szCs w:val="24"/>
        </w:rPr>
        <w:t>patient satisfaction</w:t>
      </w:r>
      <w:r w:rsidR="003C3A50">
        <w:rPr>
          <w:bCs/>
          <w:sz w:val="24"/>
          <w:szCs w:val="24"/>
        </w:rPr>
        <w:t>, and</w:t>
      </w:r>
      <w:r w:rsidR="008E08C8">
        <w:rPr>
          <w:bCs/>
          <w:sz w:val="24"/>
          <w:szCs w:val="24"/>
        </w:rPr>
        <w:t xml:space="preserve"> </w:t>
      </w:r>
      <w:r w:rsidR="00D41E73">
        <w:rPr>
          <w:bCs/>
          <w:sz w:val="24"/>
          <w:szCs w:val="24"/>
        </w:rPr>
        <w:t xml:space="preserve">potential increase in costs as a result of </w:t>
      </w:r>
      <w:r w:rsidR="0081236D" w:rsidRPr="0081236D">
        <w:rPr>
          <w:bCs/>
          <w:sz w:val="24"/>
          <w:szCs w:val="24"/>
        </w:rPr>
        <w:t>excessive wait times</w:t>
      </w:r>
      <w:r w:rsidR="0081236D">
        <w:rPr>
          <w:bCs/>
          <w:sz w:val="24"/>
          <w:szCs w:val="24"/>
        </w:rPr>
        <w:t>.</w:t>
      </w:r>
      <w:r w:rsidR="0081236D">
        <w:rPr>
          <w:rStyle w:val="EndnoteReference"/>
          <w:bCs/>
          <w:sz w:val="24"/>
          <w:szCs w:val="24"/>
        </w:rPr>
        <w:endnoteReference w:id="1"/>
      </w:r>
    </w:p>
    <w:p w14:paraId="7E88F292" w14:textId="00A1EA17" w:rsidR="00534B5C" w:rsidRDefault="00534B5C" w:rsidP="00667357">
      <w:pPr>
        <w:spacing w:after="0" w:line="240" w:lineRule="auto"/>
        <w:rPr>
          <w:bCs/>
          <w:sz w:val="24"/>
          <w:szCs w:val="24"/>
        </w:rPr>
      </w:pPr>
    </w:p>
    <w:p w14:paraId="38E885F6" w14:textId="072B84F0" w:rsidR="006238A9" w:rsidRDefault="00B522E7" w:rsidP="00667357">
      <w:pPr>
        <w:spacing w:after="0" w:line="240" w:lineRule="auto"/>
        <w:rPr>
          <w:sz w:val="24"/>
          <w:szCs w:val="24"/>
        </w:rPr>
      </w:pPr>
      <w:r>
        <w:rPr>
          <w:bCs/>
          <w:sz w:val="24"/>
          <w:szCs w:val="24"/>
        </w:rPr>
        <w:t>T</w:t>
      </w:r>
      <w:r w:rsidR="00534B5C">
        <w:rPr>
          <w:bCs/>
          <w:sz w:val="24"/>
          <w:szCs w:val="24"/>
        </w:rPr>
        <w:t xml:space="preserve">he existing surgical suite </w:t>
      </w:r>
      <w:r>
        <w:rPr>
          <w:bCs/>
          <w:sz w:val="24"/>
          <w:szCs w:val="24"/>
        </w:rPr>
        <w:t>opened</w:t>
      </w:r>
      <w:r w:rsidR="00BE2E1A">
        <w:rPr>
          <w:bCs/>
          <w:sz w:val="24"/>
          <w:szCs w:val="24"/>
        </w:rPr>
        <w:t xml:space="preserve"> in 1961 </w:t>
      </w:r>
      <w:r w:rsidR="00D41E73">
        <w:rPr>
          <w:bCs/>
          <w:sz w:val="24"/>
          <w:szCs w:val="24"/>
        </w:rPr>
        <w:t>with</w:t>
      </w:r>
      <w:r w:rsidR="00BE2E1A">
        <w:rPr>
          <w:bCs/>
          <w:sz w:val="24"/>
          <w:szCs w:val="24"/>
        </w:rPr>
        <w:t xml:space="preserve"> very little change </w:t>
      </w:r>
      <w:r w:rsidR="00D41E73">
        <w:rPr>
          <w:bCs/>
          <w:sz w:val="24"/>
          <w:szCs w:val="24"/>
        </w:rPr>
        <w:t xml:space="preserve">or updates </w:t>
      </w:r>
      <w:r w:rsidR="00BE2E1A">
        <w:rPr>
          <w:bCs/>
          <w:sz w:val="24"/>
          <w:szCs w:val="24"/>
        </w:rPr>
        <w:t>since then result</w:t>
      </w:r>
      <w:r w:rsidR="00D41E73">
        <w:rPr>
          <w:bCs/>
          <w:sz w:val="24"/>
          <w:szCs w:val="24"/>
        </w:rPr>
        <w:t>ing</w:t>
      </w:r>
      <w:r w:rsidR="00BE2E1A">
        <w:rPr>
          <w:bCs/>
          <w:sz w:val="24"/>
          <w:szCs w:val="24"/>
        </w:rPr>
        <w:t xml:space="preserve"> in an </w:t>
      </w:r>
      <w:r w:rsidR="00534B5C">
        <w:rPr>
          <w:bCs/>
          <w:sz w:val="24"/>
          <w:szCs w:val="24"/>
        </w:rPr>
        <w:t xml:space="preserve">outdated </w:t>
      </w:r>
      <w:r w:rsidR="00EC341E">
        <w:rPr>
          <w:bCs/>
          <w:sz w:val="24"/>
          <w:szCs w:val="24"/>
        </w:rPr>
        <w:t xml:space="preserve">surgical platform </w:t>
      </w:r>
      <w:r w:rsidR="00BE2E1A">
        <w:rPr>
          <w:bCs/>
          <w:sz w:val="24"/>
          <w:szCs w:val="24"/>
        </w:rPr>
        <w:t>that</w:t>
      </w:r>
      <w:r w:rsidR="00534B5C">
        <w:rPr>
          <w:bCs/>
          <w:sz w:val="24"/>
          <w:szCs w:val="24"/>
        </w:rPr>
        <w:t xml:space="preserve"> cannot accommodate certain equipment </w:t>
      </w:r>
      <w:r w:rsidR="00D41E73">
        <w:rPr>
          <w:bCs/>
          <w:sz w:val="24"/>
          <w:szCs w:val="24"/>
        </w:rPr>
        <w:t>necessary to</w:t>
      </w:r>
      <w:r w:rsidR="00534B5C">
        <w:rPr>
          <w:bCs/>
          <w:sz w:val="24"/>
          <w:szCs w:val="24"/>
        </w:rPr>
        <w:t xml:space="preserve"> address Patient Panel need for procedural care</w:t>
      </w:r>
      <w:r w:rsidR="00EC341E">
        <w:rPr>
          <w:bCs/>
          <w:sz w:val="24"/>
          <w:szCs w:val="24"/>
        </w:rPr>
        <w:t>.</w:t>
      </w:r>
      <w:r w:rsidR="00362B2A">
        <w:rPr>
          <w:bCs/>
          <w:sz w:val="24"/>
          <w:szCs w:val="24"/>
        </w:rPr>
        <w:t xml:space="preserve"> </w:t>
      </w:r>
      <w:r w:rsidR="00EC341E">
        <w:rPr>
          <w:bCs/>
          <w:sz w:val="24"/>
          <w:szCs w:val="24"/>
        </w:rPr>
        <w:t>S</w:t>
      </w:r>
      <w:r w:rsidR="00362B2A">
        <w:rPr>
          <w:bCs/>
          <w:sz w:val="24"/>
          <w:szCs w:val="24"/>
        </w:rPr>
        <w:t xml:space="preserve">urgical techniques and equipment have changed over the years and the ORs need to be updated to accommodate such changes. </w:t>
      </w:r>
      <w:r w:rsidR="00D41E73">
        <w:rPr>
          <w:bCs/>
          <w:sz w:val="24"/>
          <w:szCs w:val="24"/>
        </w:rPr>
        <w:t xml:space="preserve">The </w:t>
      </w:r>
      <w:r w:rsidR="007641D3">
        <w:rPr>
          <w:bCs/>
          <w:sz w:val="24"/>
          <w:szCs w:val="24"/>
        </w:rPr>
        <w:t>FGI Guideline</w:t>
      </w:r>
      <w:r w:rsidR="00732796">
        <w:rPr>
          <w:bCs/>
          <w:sz w:val="24"/>
          <w:szCs w:val="24"/>
        </w:rPr>
        <w:t>s</w:t>
      </w:r>
      <w:r w:rsidR="007641D3">
        <w:rPr>
          <w:bCs/>
          <w:sz w:val="24"/>
          <w:szCs w:val="24"/>
        </w:rPr>
        <w:t xml:space="preserve"> </w:t>
      </w:r>
      <w:r w:rsidR="00CD4884">
        <w:rPr>
          <w:bCs/>
          <w:sz w:val="24"/>
          <w:szCs w:val="24"/>
        </w:rPr>
        <w:t xml:space="preserve">recommends </w:t>
      </w:r>
      <w:r w:rsidR="00D41E73">
        <w:rPr>
          <w:bCs/>
          <w:sz w:val="24"/>
          <w:szCs w:val="24"/>
        </w:rPr>
        <w:t xml:space="preserve">that </w:t>
      </w:r>
      <w:r w:rsidR="00CD4884">
        <w:rPr>
          <w:bCs/>
          <w:sz w:val="24"/>
          <w:szCs w:val="24"/>
        </w:rPr>
        <w:t>o</w:t>
      </w:r>
      <w:r w:rsidR="00514DF4" w:rsidRPr="00514DF4">
        <w:rPr>
          <w:bCs/>
          <w:sz w:val="24"/>
          <w:szCs w:val="24"/>
        </w:rPr>
        <w:t xml:space="preserve">perating spaces designed for specialized procedures be at </w:t>
      </w:r>
      <w:r w:rsidR="00514DF4" w:rsidRPr="00514DF4">
        <w:rPr>
          <w:bCs/>
          <w:sz w:val="24"/>
          <w:szCs w:val="24"/>
        </w:rPr>
        <w:lastRenderedPageBreak/>
        <w:t xml:space="preserve">least 600 </w:t>
      </w:r>
      <w:r w:rsidR="009306D7">
        <w:rPr>
          <w:bCs/>
          <w:sz w:val="24"/>
          <w:szCs w:val="24"/>
        </w:rPr>
        <w:t>sf</w:t>
      </w:r>
      <w:r w:rsidR="00EC341E">
        <w:rPr>
          <w:bCs/>
          <w:sz w:val="24"/>
          <w:szCs w:val="24"/>
        </w:rPr>
        <w:t xml:space="preserve"> </w:t>
      </w:r>
      <w:r w:rsidR="00EC341E">
        <w:rPr>
          <w:rFonts w:cstheme="minorHAnsi"/>
          <w:sz w:val="24"/>
          <w:szCs w:val="24"/>
          <w:shd w:val="clear" w:color="auto" w:fill="FFFFFF"/>
        </w:rPr>
        <w:t xml:space="preserve">and </w:t>
      </w:r>
      <w:r w:rsidR="000868DF">
        <w:rPr>
          <w:bCs/>
          <w:sz w:val="24"/>
          <w:szCs w:val="24"/>
        </w:rPr>
        <w:t xml:space="preserve">modern ORs need be designed to accommodate  equipment, daily tasks, and for surgical staff to </w:t>
      </w:r>
      <w:r w:rsidR="00BD173F">
        <w:rPr>
          <w:bCs/>
          <w:sz w:val="24"/>
          <w:szCs w:val="24"/>
        </w:rPr>
        <w:t xml:space="preserve">move </w:t>
      </w:r>
      <w:r w:rsidR="000868DF">
        <w:rPr>
          <w:bCs/>
          <w:sz w:val="24"/>
          <w:szCs w:val="24"/>
        </w:rPr>
        <w:t>more efficiently through procedures.</w:t>
      </w:r>
      <w:r w:rsidR="00EC341E" w:rsidRPr="00EC341E">
        <w:rPr>
          <w:bCs/>
          <w:sz w:val="24"/>
          <w:szCs w:val="24"/>
          <w:vertAlign w:val="superscript"/>
        </w:rPr>
        <w:endnoteReference w:id="2"/>
      </w:r>
      <w:r w:rsidR="00EC341E" w:rsidRPr="00EC341E">
        <w:rPr>
          <w:bCs/>
          <w:sz w:val="24"/>
          <w:szCs w:val="24"/>
          <w:vertAlign w:val="superscript"/>
        </w:rPr>
        <w:t>,</w:t>
      </w:r>
      <w:r w:rsidR="00EC341E" w:rsidRPr="00EC341E">
        <w:rPr>
          <w:bCs/>
          <w:sz w:val="24"/>
          <w:szCs w:val="24"/>
          <w:vertAlign w:val="superscript"/>
        </w:rPr>
        <w:footnoteReference w:id="21"/>
      </w:r>
      <w:r w:rsidR="00EC341E" w:rsidRPr="00EC341E">
        <w:rPr>
          <w:bCs/>
          <w:sz w:val="24"/>
          <w:szCs w:val="24"/>
        </w:rPr>
        <w:t xml:space="preserve"> </w:t>
      </w:r>
      <w:r w:rsidR="00CD4884">
        <w:rPr>
          <w:bCs/>
          <w:sz w:val="24"/>
          <w:szCs w:val="24"/>
        </w:rPr>
        <w:t>Trends in OR design indicate that a</w:t>
      </w:r>
      <w:r w:rsidR="0083530C" w:rsidRPr="0083530C">
        <w:rPr>
          <w:bCs/>
          <w:sz w:val="24"/>
          <w:szCs w:val="24"/>
        </w:rPr>
        <w:t xml:space="preserve"> modern OR needs to be able to accommodate </w:t>
      </w:r>
      <w:r w:rsidR="00ED0CA5">
        <w:rPr>
          <w:bCs/>
          <w:sz w:val="24"/>
          <w:szCs w:val="24"/>
        </w:rPr>
        <w:t>future</w:t>
      </w:r>
      <w:r w:rsidR="00ED0CA5" w:rsidRPr="005A07BB">
        <w:rPr>
          <w:bCs/>
          <w:sz w:val="24"/>
          <w:szCs w:val="24"/>
        </w:rPr>
        <w:t xml:space="preserve"> </w:t>
      </w:r>
      <w:r w:rsidR="005A07BB" w:rsidRPr="005A07BB">
        <w:rPr>
          <w:bCs/>
          <w:sz w:val="24"/>
          <w:szCs w:val="24"/>
        </w:rPr>
        <w:t xml:space="preserve">technology </w:t>
      </w:r>
      <w:r w:rsidR="00CD4884">
        <w:rPr>
          <w:bCs/>
          <w:sz w:val="24"/>
          <w:szCs w:val="24"/>
        </w:rPr>
        <w:t>and this could require</w:t>
      </w:r>
      <w:r w:rsidR="005A07BB" w:rsidRPr="005A07BB">
        <w:rPr>
          <w:bCs/>
          <w:sz w:val="24"/>
          <w:szCs w:val="24"/>
        </w:rPr>
        <w:t xml:space="preserve"> </w:t>
      </w:r>
      <w:r w:rsidR="00ED0CA5" w:rsidRPr="005A07BB">
        <w:rPr>
          <w:bCs/>
          <w:sz w:val="24"/>
          <w:szCs w:val="24"/>
        </w:rPr>
        <w:t>maintaining flexible</w:t>
      </w:r>
      <w:r w:rsidR="00ED0CA5">
        <w:rPr>
          <w:bCs/>
          <w:sz w:val="24"/>
          <w:szCs w:val="24"/>
        </w:rPr>
        <w:t xml:space="preserve"> </w:t>
      </w:r>
      <w:r w:rsidR="00ED0CA5" w:rsidRPr="005A07BB">
        <w:rPr>
          <w:bCs/>
          <w:sz w:val="24"/>
          <w:szCs w:val="24"/>
        </w:rPr>
        <w:t xml:space="preserve">designs </w:t>
      </w:r>
      <w:r w:rsidR="00ED0CA5">
        <w:rPr>
          <w:bCs/>
          <w:sz w:val="24"/>
          <w:szCs w:val="24"/>
        </w:rPr>
        <w:t xml:space="preserve">to allow for </w:t>
      </w:r>
      <w:r w:rsidR="005A07BB" w:rsidRPr="005A07BB">
        <w:rPr>
          <w:bCs/>
          <w:sz w:val="24"/>
          <w:szCs w:val="24"/>
        </w:rPr>
        <w:t xml:space="preserve">increasing the </w:t>
      </w:r>
      <w:r w:rsidR="00A25AF0">
        <w:rPr>
          <w:bCs/>
          <w:sz w:val="24"/>
          <w:szCs w:val="24"/>
        </w:rPr>
        <w:t>OR</w:t>
      </w:r>
      <w:r w:rsidR="005A07BB" w:rsidRPr="005A07BB">
        <w:rPr>
          <w:bCs/>
          <w:sz w:val="24"/>
          <w:szCs w:val="24"/>
        </w:rPr>
        <w:t xml:space="preserve"> size</w:t>
      </w:r>
      <w:r w:rsidR="002608D3">
        <w:rPr>
          <w:bCs/>
          <w:sz w:val="24"/>
          <w:szCs w:val="24"/>
        </w:rPr>
        <w:t xml:space="preserve">. </w:t>
      </w:r>
      <w:r w:rsidR="007B581B">
        <w:rPr>
          <w:bCs/>
          <w:sz w:val="24"/>
          <w:szCs w:val="24"/>
        </w:rPr>
        <w:t xml:space="preserve">Other important </w:t>
      </w:r>
      <w:r w:rsidR="002608D3">
        <w:rPr>
          <w:bCs/>
          <w:sz w:val="24"/>
          <w:szCs w:val="24"/>
        </w:rPr>
        <w:t>considerations</w:t>
      </w:r>
      <w:r w:rsidR="007B581B">
        <w:rPr>
          <w:bCs/>
          <w:sz w:val="24"/>
          <w:szCs w:val="24"/>
        </w:rPr>
        <w:t xml:space="preserve"> in OR design include </w:t>
      </w:r>
      <w:r w:rsidR="002608D3">
        <w:rPr>
          <w:bCs/>
          <w:sz w:val="24"/>
          <w:szCs w:val="24"/>
        </w:rPr>
        <w:t>c</w:t>
      </w:r>
      <w:r w:rsidR="00B9672C">
        <w:rPr>
          <w:bCs/>
          <w:sz w:val="24"/>
          <w:szCs w:val="24"/>
        </w:rPr>
        <w:t>leaning systems, lighting and noise</w:t>
      </w:r>
      <w:r w:rsidR="002608D3">
        <w:rPr>
          <w:bCs/>
          <w:sz w:val="24"/>
          <w:szCs w:val="24"/>
        </w:rPr>
        <w:t>,</w:t>
      </w:r>
      <w:r w:rsidR="00B9672C">
        <w:rPr>
          <w:bCs/>
          <w:sz w:val="24"/>
          <w:szCs w:val="24"/>
        </w:rPr>
        <w:t xml:space="preserve"> </w:t>
      </w:r>
      <w:r w:rsidR="002608D3" w:rsidRPr="002608D3">
        <w:rPr>
          <w:bCs/>
          <w:sz w:val="24"/>
          <w:szCs w:val="24"/>
        </w:rPr>
        <w:t>operating room storage space, and a greater design emphasis on patient privacy during pre- and post-op</w:t>
      </w:r>
      <w:r w:rsidR="00B9672C">
        <w:rPr>
          <w:bCs/>
          <w:sz w:val="24"/>
          <w:szCs w:val="24"/>
        </w:rPr>
        <w:t xml:space="preserve">, all to improve </w:t>
      </w:r>
      <w:r w:rsidR="002608D3">
        <w:rPr>
          <w:bCs/>
          <w:sz w:val="24"/>
          <w:szCs w:val="24"/>
        </w:rPr>
        <w:t xml:space="preserve">the </w:t>
      </w:r>
      <w:r w:rsidR="00B9672C">
        <w:rPr>
          <w:bCs/>
          <w:sz w:val="24"/>
          <w:szCs w:val="24"/>
        </w:rPr>
        <w:t>setting for staff and patient outcomes.</w:t>
      </w:r>
      <w:r w:rsidR="002608D3" w:rsidRPr="002608D3">
        <w:rPr>
          <w:bCs/>
          <w:sz w:val="24"/>
          <w:szCs w:val="24"/>
          <w:vertAlign w:val="superscript"/>
        </w:rPr>
        <w:endnoteReference w:id="3"/>
      </w:r>
      <w:r w:rsidR="002608D3">
        <w:rPr>
          <w:bCs/>
          <w:sz w:val="24"/>
          <w:szCs w:val="24"/>
          <w:vertAlign w:val="superscript"/>
        </w:rPr>
        <w:t>,</w:t>
      </w:r>
      <w:r w:rsidR="002608D3" w:rsidRPr="002608D3">
        <w:rPr>
          <w:bCs/>
          <w:sz w:val="24"/>
          <w:szCs w:val="24"/>
          <w:vertAlign w:val="superscript"/>
        </w:rPr>
        <w:endnoteReference w:id="4"/>
      </w:r>
      <w:r w:rsidR="00DC051D">
        <w:rPr>
          <w:sz w:val="24"/>
          <w:szCs w:val="24"/>
        </w:rPr>
        <w:t xml:space="preserve"> </w:t>
      </w:r>
    </w:p>
    <w:p w14:paraId="65E98050" w14:textId="6FD5AAA7" w:rsidR="00F67AA2" w:rsidRPr="003D09CA" w:rsidRDefault="00F67AA2">
      <w:pPr>
        <w:rPr>
          <w:b/>
          <w:bCs/>
          <w:sz w:val="28"/>
          <w:szCs w:val="28"/>
        </w:rPr>
      </w:pPr>
      <w:r w:rsidRPr="003D09CA">
        <w:rPr>
          <w:b/>
          <w:bCs/>
          <w:sz w:val="28"/>
          <w:szCs w:val="28"/>
        </w:rPr>
        <w:t>Factor 1: b) Public Health Value, Improved Health Outcomes And Quality Of Life; Assurances Of Health Equity</w:t>
      </w:r>
    </w:p>
    <w:p w14:paraId="03B3707D" w14:textId="49F7395A" w:rsidR="00A65145" w:rsidRPr="00A65145" w:rsidRDefault="00A65145" w:rsidP="004753DB">
      <w:pPr>
        <w:spacing w:after="0" w:line="240" w:lineRule="auto"/>
        <w:rPr>
          <w:sz w:val="24"/>
          <w:szCs w:val="24"/>
        </w:rPr>
      </w:pPr>
      <w:r>
        <w:rPr>
          <w:sz w:val="24"/>
          <w:szCs w:val="24"/>
        </w:rPr>
        <w:t xml:space="preserve">The Applicant asserts that </w:t>
      </w:r>
      <w:r w:rsidR="00F7717D">
        <w:rPr>
          <w:sz w:val="24"/>
          <w:szCs w:val="24"/>
        </w:rPr>
        <w:t xml:space="preserve">the Proposed Project will </w:t>
      </w:r>
      <w:r>
        <w:rPr>
          <w:sz w:val="24"/>
          <w:szCs w:val="24"/>
        </w:rPr>
        <w:t>increas</w:t>
      </w:r>
      <w:r w:rsidR="00F7717D">
        <w:rPr>
          <w:sz w:val="24"/>
          <w:szCs w:val="24"/>
        </w:rPr>
        <w:t xml:space="preserve">e </w:t>
      </w:r>
      <w:r w:rsidRPr="00A65145">
        <w:rPr>
          <w:sz w:val="24"/>
          <w:szCs w:val="24"/>
        </w:rPr>
        <w:t xml:space="preserve">OR capacity </w:t>
      </w:r>
      <w:r w:rsidR="00F7717D">
        <w:rPr>
          <w:sz w:val="24"/>
          <w:szCs w:val="24"/>
        </w:rPr>
        <w:t xml:space="preserve">which </w:t>
      </w:r>
      <w:r w:rsidRPr="00A65145">
        <w:rPr>
          <w:sz w:val="24"/>
          <w:szCs w:val="24"/>
        </w:rPr>
        <w:t>will improve</w:t>
      </w:r>
      <w:r>
        <w:rPr>
          <w:sz w:val="24"/>
          <w:szCs w:val="24"/>
        </w:rPr>
        <w:t xml:space="preserve"> access to and quality of procedural care in the following ways:</w:t>
      </w:r>
    </w:p>
    <w:p w14:paraId="14CC3DEB" w14:textId="415A3F2C" w:rsidR="000678AD" w:rsidRPr="00A748CE" w:rsidRDefault="009411DA" w:rsidP="004753DB">
      <w:pPr>
        <w:pStyle w:val="ListParagraph"/>
        <w:numPr>
          <w:ilvl w:val="0"/>
          <w:numId w:val="5"/>
        </w:numPr>
        <w:spacing w:after="0" w:line="240" w:lineRule="auto"/>
        <w:rPr>
          <w:sz w:val="24"/>
          <w:szCs w:val="24"/>
        </w:rPr>
      </w:pPr>
      <w:r w:rsidRPr="00064FD4">
        <w:rPr>
          <w:sz w:val="24"/>
          <w:szCs w:val="24"/>
        </w:rPr>
        <w:t xml:space="preserve">Improved health outcomes through increased </w:t>
      </w:r>
      <w:r w:rsidR="00A65145">
        <w:rPr>
          <w:sz w:val="24"/>
          <w:szCs w:val="24"/>
        </w:rPr>
        <w:t xml:space="preserve">patient </w:t>
      </w:r>
      <w:r w:rsidRPr="00064FD4">
        <w:rPr>
          <w:sz w:val="24"/>
          <w:szCs w:val="24"/>
        </w:rPr>
        <w:t xml:space="preserve">access to </w:t>
      </w:r>
      <w:r w:rsidR="00A65145">
        <w:rPr>
          <w:sz w:val="24"/>
          <w:szCs w:val="24"/>
        </w:rPr>
        <w:t>procedural care locally</w:t>
      </w:r>
      <w:r w:rsidRPr="00064FD4">
        <w:rPr>
          <w:sz w:val="24"/>
          <w:szCs w:val="24"/>
        </w:rPr>
        <w:t>, including for patients whose conditions need time-sensitive attention.</w:t>
      </w:r>
      <w:r w:rsidR="00A748CE">
        <w:rPr>
          <w:sz w:val="24"/>
          <w:szCs w:val="24"/>
        </w:rPr>
        <w:t xml:space="preserve"> </w:t>
      </w:r>
      <w:r w:rsidR="00DB214A" w:rsidRPr="00A748CE">
        <w:rPr>
          <w:sz w:val="24"/>
          <w:szCs w:val="24"/>
        </w:rPr>
        <w:t xml:space="preserve">Larger ORs will </w:t>
      </w:r>
      <w:r w:rsidR="00CC1EE2" w:rsidRPr="00A748CE">
        <w:rPr>
          <w:sz w:val="24"/>
          <w:szCs w:val="24"/>
        </w:rPr>
        <w:t>ac</w:t>
      </w:r>
      <w:r w:rsidR="00DB214A" w:rsidRPr="00A748CE">
        <w:rPr>
          <w:sz w:val="24"/>
          <w:szCs w:val="24"/>
        </w:rPr>
        <w:t>commodate new, specialized equipment</w:t>
      </w:r>
      <w:r w:rsidR="00021E2D" w:rsidRPr="00A748CE">
        <w:rPr>
          <w:sz w:val="24"/>
          <w:szCs w:val="24"/>
        </w:rPr>
        <w:t>, and increase the number and variety of surgical cases performed at Heywood Hospital</w:t>
      </w:r>
      <w:r w:rsidR="00C00C0D">
        <w:rPr>
          <w:sz w:val="24"/>
          <w:szCs w:val="24"/>
        </w:rPr>
        <w:t xml:space="preserve"> including allowing for minimally</w:t>
      </w:r>
      <w:r w:rsidR="00C00C0D" w:rsidRPr="00E723E4">
        <w:rPr>
          <w:sz w:val="24"/>
          <w:szCs w:val="24"/>
        </w:rPr>
        <w:t xml:space="preserve"> invasive surgery</w:t>
      </w:r>
      <w:r w:rsidR="00C00C0D">
        <w:rPr>
          <w:sz w:val="24"/>
          <w:szCs w:val="24"/>
        </w:rPr>
        <w:t xml:space="preserve"> (MIS) </w:t>
      </w:r>
      <w:r w:rsidR="00C00C0D" w:rsidRPr="00E723E4">
        <w:rPr>
          <w:sz w:val="24"/>
          <w:szCs w:val="24"/>
        </w:rPr>
        <w:t>techniques</w:t>
      </w:r>
      <w:r w:rsidR="00C00C0D">
        <w:rPr>
          <w:sz w:val="24"/>
          <w:szCs w:val="24"/>
        </w:rPr>
        <w:t xml:space="preserve"> </w:t>
      </w:r>
      <w:r w:rsidR="00A748CE" w:rsidRPr="00A748CE">
        <w:rPr>
          <w:sz w:val="24"/>
          <w:szCs w:val="24"/>
        </w:rPr>
        <w:t>.</w:t>
      </w:r>
    </w:p>
    <w:p w14:paraId="1A0A8BA7" w14:textId="4C334883" w:rsidR="00DB214A" w:rsidRPr="002224D7" w:rsidRDefault="00A65145" w:rsidP="00430E8F">
      <w:pPr>
        <w:pStyle w:val="ListParagraph"/>
        <w:numPr>
          <w:ilvl w:val="0"/>
          <w:numId w:val="5"/>
        </w:numPr>
        <w:spacing w:line="240" w:lineRule="auto"/>
        <w:rPr>
          <w:sz w:val="24"/>
          <w:szCs w:val="24"/>
        </w:rPr>
      </w:pPr>
      <w:r w:rsidRPr="002224D7">
        <w:rPr>
          <w:sz w:val="24"/>
          <w:szCs w:val="24"/>
        </w:rPr>
        <w:t xml:space="preserve">Reduction in surgical site infections and other complications. </w:t>
      </w:r>
      <w:r w:rsidR="00DB214A" w:rsidRPr="002224D7">
        <w:rPr>
          <w:sz w:val="24"/>
          <w:szCs w:val="24"/>
        </w:rPr>
        <w:t>New ORs will include</w:t>
      </w:r>
      <w:r w:rsidR="00DF1465">
        <w:rPr>
          <w:sz w:val="24"/>
          <w:szCs w:val="24"/>
        </w:rPr>
        <w:t xml:space="preserve"> </w:t>
      </w:r>
      <w:r w:rsidR="00DF1465" w:rsidRPr="00DF1465">
        <w:rPr>
          <w:sz w:val="24"/>
          <w:szCs w:val="24"/>
        </w:rPr>
        <w:t>laminar flow, considered best practice for surgical site infection prevention in orthopedic surgery</w:t>
      </w:r>
      <w:r w:rsidR="00DF1465">
        <w:rPr>
          <w:sz w:val="24"/>
          <w:szCs w:val="24"/>
        </w:rPr>
        <w:t>.</w:t>
      </w:r>
    </w:p>
    <w:p w14:paraId="6A50AB7B" w14:textId="16ABABB3" w:rsidR="005F2A6E" w:rsidRDefault="00BF7ED7" w:rsidP="00430E8F">
      <w:pPr>
        <w:pStyle w:val="ListParagraph"/>
        <w:numPr>
          <w:ilvl w:val="0"/>
          <w:numId w:val="5"/>
        </w:numPr>
        <w:spacing w:line="240" w:lineRule="auto"/>
        <w:rPr>
          <w:sz w:val="24"/>
          <w:szCs w:val="24"/>
        </w:rPr>
      </w:pPr>
      <w:r w:rsidRPr="00064FD4">
        <w:rPr>
          <w:sz w:val="24"/>
          <w:szCs w:val="24"/>
        </w:rPr>
        <w:t>Improved patient satisfaction</w:t>
      </w:r>
      <w:r w:rsidR="001212BE">
        <w:rPr>
          <w:sz w:val="24"/>
          <w:szCs w:val="24"/>
        </w:rPr>
        <w:t xml:space="preserve">. </w:t>
      </w:r>
      <w:r w:rsidR="001212BE" w:rsidRPr="001212BE">
        <w:rPr>
          <w:sz w:val="24"/>
          <w:szCs w:val="24"/>
        </w:rPr>
        <w:t>Provision of surgical services locally allows for support and participation from caregivers, family and loved ones</w:t>
      </w:r>
      <w:r w:rsidR="00D67A66">
        <w:rPr>
          <w:sz w:val="24"/>
          <w:szCs w:val="24"/>
        </w:rPr>
        <w:t xml:space="preserve">, and decreases barriers to accessing care. </w:t>
      </w:r>
    </w:p>
    <w:p w14:paraId="6288D37E" w14:textId="77777777" w:rsidR="003D4C1A" w:rsidRDefault="001212BE" w:rsidP="00064FD4">
      <w:pPr>
        <w:pStyle w:val="ListParagraph"/>
        <w:numPr>
          <w:ilvl w:val="0"/>
          <w:numId w:val="5"/>
        </w:numPr>
        <w:spacing w:line="240" w:lineRule="auto"/>
        <w:rPr>
          <w:sz w:val="24"/>
          <w:szCs w:val="24"/>
        </w:rPr>
      </w:pPr>
      <w:r w:rsidRPr="001212BE">
        <w:rPr>
          <w:sz w:val="24"/>
          <w:szCs w:val="24"/>
        </w:rPr>
        <w:t>Local availability of procedures promote</w:t>
      </w:r>
      <w:r w:rsidR="00D67A66">
        <w:rPr>
          <w:sz w:val="24"/>
          <w:szCs w:val="24"/>
        </w:rPr>
        <w:t>s</w:t>
      </w:r>
      <w:r w:rsidRPr="001212BE">
        <w:rPr>
          <w:sz w:val="24"/>
          <w:szCs w:val="24"/>
        </w:rPr>
        <w:t xml:space="preserve"> care coordination among all patients care providers including primary care physician (PCP), surgeons and other specialists</w:t>
      </w:r>
      <w:r w:rsidR="00055990">
        <w:rPr>
          <w:sz w:val="24"/>
          <w:szCs w:val="24"/>
        </w:rPr>
        <w:t>.</w:t>
      </w:r>
    </w:p>
    <w:p w14:paraId="517DDCA8" w14:textId="76ADD2E9" w:rsidR="00B52471" w:rsidRDefault="003D4C1A" w:rsidP="00D43554">
      <w:pPr>
        <w:spacing w:line="240" w:lineRule="auto"/>
        <w:rPr>
          <w:sz w:val="24"/>
          <w:szCs w:val="24"/>
        </w:rPr>
      </w:pPr>
      <w:r w:rsidRPr="00C03B70">
        <w:rPr>
          <w:sz w:val="24"/>
          <w:szCs w:val="24"/>
        </w:rPr>
        <w:t xml:space="preserve">The </w:t>
      </w:r>
      <w:r w:rsidR="00334EE8">
        <w:rPr>
          <w:sz w:val="24"/>
          <w:szCs w:val="24"/>
        </w:rPr>
        <w:t xml:space="preserve">Applicant states that the </w:t>
      </w:r>
      <w:r w:rsidR="00A65145" w:rsidRPr="00C03B70">
        <w:rPr>
          <w:sz w:val="24"/>
          <w:szCs w:val="24"/>
        </w:rPr>
        <w:t xml:space="preserve">Proposed Project is designed to meet industry-defined best practices for safety, quality, and efficiency. In 2020, Heywood completed the national improvement of surgical care and recovery collaborative program conducted by the American College of Surgeons and John Hopkins Medicine Institute of Patient Safety and Quality. </w:t>
      </w:r>
      <w:r w:rsidR="00320C7B">
        <w:rPr>
          <w:sz w:val="24"/>
          <w:szCs w:val="24"/>
        </w:rPr>
        <w:t xml:space="preserve">Additionally, </w:t>
      </w:r>
      <w:r w:rsidR="00A65145" w:rsidRPr="00C03B70">
        <w:rPr>
          <w:sz w:val="24"/>
          <w:szCs w:val="24"/>
        </w:rPr>
        <w:t>Heywood developed and implemented the Enhanced Recovery After Surgery Protocols for inpatient GYN and orthopedic surgery</w:t>
      </w:r>
      <w:r w:rsidR="00B52471" w:rsidRPr="00C03B70">
        <w:rPr>
          <w:sz w:val="24"/>
          <w:szCs w:val="24"/>
        </w:rPr>
        <w:t xml:space="preserve"> aimed to </w:t>
      </w:r>
      <w:r w:rsidR="00A65145" w:rsidRPr="00C03B70">
        <w:rPr>
          <w:sz w:val="24"/>
          <w:szCs w:val="24"/>
        </w:rPr>
        <w:t>reduce preventable harms and enhance recovery.</w:t>
      </w:r>
      <w:r w:rsidR="00C03B70">
        <w:rPr>
          <w:sz w:val="24"/>
          <w:szCs w:val="24"/>
        </w:rPr>
        <w:t xml:space="preserve"> </w:t>
      </w:r>
      <w:r w:rsidR="00B52471" w:rsidRPr="00D43554">
        <w:rPr>
          <w:sz w:val="24"/>
          <w:szCs w:val="24"/>
        </w:rPr>
        <w:t xml:space="preserve">The Applicant proposed specific outcome and process measures to track the impact of the Proposed Project which </w:t>
      </w:r>
      <w:r w:rsidR="00237CC4">
        <w:rPr>
          <w:sz w:val="24"/>
          <w:szCs w:val="24"/>
        </w:rPr>
        <w:t>S</w:t>
      </w:r>
      <w:r w:rsidR="00B52471" w:rsidRPr="00D43554">
        <w:rPr>
          <w:sz w:val="24"/>
          <w:szCs w:val="24"/>
        </w:rPr>
        <w:t xml:space="preserve">taff has reviewed. The measures are described below in Appendix 1. </w:t>
      </w:r>
    </w:p>
    <w:p w14:paraId="4AD7670A" w14:textId="77777777" w:rsidR="00654328" w:rsidRDefault="00654328" w:rsidP="00D43554">
      <w:pPr>
        <w:spacing w:line="240" w:lineRule="auto"/>
        <w:rPr>
          <w:sz w:val="24"/>
          <w:szCs w:val="24"/>
        </w:rPr>
      </w:pPr>
    </w:p>
    <w:p w14:paraId="6DAB3EA2" w14:textId="717DCB02" w:rsidR="00CD011A" w:rsidRDefault="0075553D" w:rsidP="00D73D54">
      <w:pPr>
        <w:spacing w:line="240" w:lineRule="auto"/>
        <w:rPr>
          <w:sz w:val="24"/>
          <w:szCs w:val="24"/>
        </w:rPr>
      </w:pPr>
      <w:r w:rsidRPr="0075553D">
        <w:rPr>
          <w:b/>
          <w:bCs/>
          <w:i/>
          <w:iCs/>
          <w:sz w:val="24"/>
          <w:szCs w:val="24"/>
        </w:rPr>
        <w:t>Analysis</w:t>
      </w:r>
    </w:p>
    <w:p w14:paraId="3119492A" w14:textId="4BFAC02C" w:rsidR="00E723E4" w:rsidRDefault="00E723E4" w:rsidP="00A858AD">
      <w:pPr>
        <w:spacing w:after="0" w:line="240" w:lineRule="auto"/>
        <w:rPr>
          <w:sz w:val="24"/>
          <w:szCs w:val="24"/>
        </w:rPr>
      </w:pPr>
      <w:r>
        <w:rPr>
          <w:sz w:val="24"/>
          <w:szCs w:val="24"/>
        </w:rPr>
        <w:lastRenderedPageBreak/>
        <w:t xml:space="preserve">Staff finds </w:t>
      </w:r>
      <w:r w:rsidR="00BE21A2">
        <w:rPr>
          <w:sz w:val="24"/>
          <w:szCs w:val="24"/>
        </w:rPr>
        <w:t xml:space="preserve">that </w:t>
      </w:r>
      <w:r w:rsidR="0050496F">
        <w:rPr>
          <w:sz w:val="24"/>
          <w:szCs w:val="24"/>
        </w:rPr>
        <w:t xml:space="preserve">the Proposed Project </w:t>
      </w:r>
      <w:r>
        <w:rPr>
          <w:sz w:val="24"/>
          <w:szCs w:val="24"/>
        </w:rPr>
        <w:t xml:space="preserve">supports improved outcomes, quality of life and patient satisfaction </w:t>
      </w:r>
      <w:r w:rsidR="0050496F">
        <w:rPr>
          <w:sz w:val="24"/>
          <w:szCs w:val="24"/>
        </w:rPr>
        <w:t>through the following:</w:t>
      </w:r>
    </w:p>
    <w:p w14:paraId="59F1302A" w14:textId="01E1F933" w:rsidR="00040CCD" w:rsidRPr="00040CCD" w:rsidRDefault="00E723E4" w:rsidP="00C61A37">
      <w:pPr>
        <w:pStyle w:val="ListParagraph"/>
        <w:numPr>
          <w:ilvl w:val="0"/>
          <w:numId w:val="32"/>
        </w:numPr>
        <w:spacing w:line="240" w:lineRule="auto"/>
        <w:rPr>
          <w:sz w:val="24"/>
          <w:szCs w:val="24"/>
        </w:rPr>
      </w:pPr>
      <w:r>
        <w:rPr>
          <w:sz w:val="24"/>
          <w:szCs w:val="24"/>
        </w:rPr>
        <w:t>The benefits of minimally</w:t>
      </w:r>
      <w:r w:rsidRPr="00E723E4">
        <w:rPr>
          <w:sz w:val="24"/>
          <w:szCs w:val="24"/>
        </w:rPr>
        <w:t xml:space="preserve"> invasive surgery</w:t>
      </w:r>
      <w:r w:rsidR="0050496F">
        <w:rPr>
          <w:sz w:val="24"/>
          <w:szCs w:val="24"/>
        </w:rPr>
        <w:t xml:space="preserve"> (MIS) </w:t>
      </w:r>
      <w:r w:rsidRPr="00E723E4">
        <w:rPr>
          <w:sz w:val="24"/>
          <w:szCs w:val="24"/>
        </w:rPr>
        <w:t xml:space="preserve">techniques </w:t>
      </w:r>
      <w:r>
        <w:rPr>
          <w:sz w:val="24"/>
          <w:szCs w:val="24"/>
        </w:rPr>
        <w:t>include</w:t>
      </w:r>
      <w:r w:rsidRPr="00E723E4">
        <w:rPr>
          <w:sz w:val="24"/>
          <w:szCs w:val="24"/>
        </w:rPr>
        <w:t xml:space="preserve"> </w:t>
      </w:r>
      <w:r w:rsidR="00CD011A" w:rsidRPr="00CD011A">
        <w:rPr>
          <w:sz w:val="24"/>
          <w:szCs w:val="24"/>
        </w:rPr>
        <w:t>small incisions, less pain, low risk of infection, short hospital stay, quick recovery time, less scarring, and reduced blood loss</w:t>
      </w:r>
      <w:r w:rsidRPr="00E723E4">
        <w:rPr>
          <w:sz w:val="24"/>
          <w:szCs w:val="24"/>
        </w:rPr>
        <w:t>. </w:t>
      </w:r>
      <w:r w:rsidRPr="00A32850">
        <w:rPr>
          <w:sz w:val="24"/>
          <w:szCs w:val="24"/>
        </w:rPr>
        <w:t>MIS was associated with significantly fewer 30-day postoperative complications, unplanned readmissions and deaths, as well as shorter hospital stay</w:t>
      </w:r>
      <w:r w:rsidR="00ED0CA5">
        <w:rPr>
          <w:sz w:val="24"/>
          <w:szCs w:val="24"/>
        </w:rPr>
        <w:t>s</w:t>
      </w:r>
      <w:r w:rsidRPr="00A32850">
        <w:rPr>
          <w:sz w:val="24"/>
          <w:szCs w:val="24"/>
        </w:rPr>
        <w:t xml:space="preserve"> in patients undergoing colectomy, prostatectomy, hysterectomy or appendicectomy.</w:t>
      </w:r>
      <w:r>
        <w:rPr>
          <w:rStyle w:val="EndnoteReference"/>
          <w:sz w:val="24"/>
          <w:szCs w:val="24"/>
        </w:rPr>
        <w:endnoteReference w:id="5"/>
      </w:r>
      <w:r w:rsidRPr="00A32850">
        <w:rPr>
          <w:rFonts w:ascii="Segoe UI" w:hAnsi="Segoe UI" w:cs="Segoe UI"/>
          <w:color w:val="212121"/>
          <w:shd w:val="clear" w:color="auto" w:fill="FFFFFF"/>
          <w:vertAlign w:val="superscript"/>
        </w:rPr>
        <w:t>,</w:t>
      </w:r>
      <w:r>
        <w:rPr>
          <w:rStyle w:val="FootnoteReference"/>
          <w:sz w:val="24"/>
          <w:szCs w:val="24"/>
        </w:rPr>
        <w:footnoteReference w:id="22"/>
      </w:r>
      <w:r w:rsidRPr="00A32850">
        <w:rPr>
          <w:sz w:val="24"/>
          <w:szCs w:val="24"/>
          <w:vertAlign w:val="superscript"/>
        </w:rPr>
        <w:t>,</w:t>
      </w:r>
      <w:r>
        <w:rPr>
          <w:rStyle w:val="FootnoteReference"/>
          <w:sz w:val="24"/>
          <w:szCs w:val="24"/>
        </w:rPr>
        <w:footnoteReference w:id="23"/>
      </w:r>
      <w:r w:rsidR="00C61A37">
        <w:rPr>
          <w:sz w:val="24"/>
          <w:szCs w:val="24"/>
          <w:vertAlign w:val="superscript"/>
        </w:rPr>
        <w:t xml:space="preserve"> </w:t>
      </w:r>
    </w:p>
    <w:p w14:paraId="661BD080" w14:textId="68C18173" w:rsidR="00A32850" w:rsidRDefault="00C61A37" w:rsidP="00C61A37">
      <w:pPr>
        <w:pStyle w:val="ListParagraph"/>
        <w:numPr>
          <w:ilvl w:val="0"/>
          <w:numId w:val="32"/>
        </w:numPr>
        <w:spacing w:line="240" w:lineRule="auto"/>
        <w:rPr>
          <w:sz w:val="24"/>
          <w:szCs w:val="24"/>
        </w:rPr>
      </w:pPr>
      <w:r w:rsidRPr="00C61A37">
        <w:rPr>
          <w:sz w:val="24"/>
          <w:szCs w:val="24"/>
        </w:rPr>
        <w:t>The robotic surgery system was introduced as a solution to minimize the shortcomings of laparoscopy</w:t>
      </w:r>
      <w:r>
        <w:rPr>
          <w:sz w:val="24"/>
          <w:szCs w:val="24"/>
        </w:rPr>
        <w:t xml:space="preserve">, </w:t>
      </w:r>
      <w:r w:rsidRPr="00A858AD">
        <w:rPr>
          <w:sz w:val="24"/>
          <w:szCs w:val="24"/>
        </w:rPr>
        <w:t>such as two-dimensional imaging, restricted range of motion of the instruments, and poor ergonomic positioning of the surgeon.</w:t>
      </w:r>
      <w:r w:rsidRPr="00C61A37">
        <w:rPr>
          <w:sz w:val="24"/>
          <w:szCs w:val="24"/>
          <w:vertAlign w:val="superscript"/>
        </w:rPr>
        <w:t xml:space="preserve"> </w:t>
      </w:r>
      <w:r w:rsidRPr="00A858AD">
        <w:rPr>
          <w:sz w:val="24"/>
          <w:szCs w:val="24"/>
        </w:rPr>
        <w:t>Improved visualization and greater dexterity are two major features of robotic-assisted laparoscopic surgery.</w:t>
      </w:r>
      <w:r w:rsidRPr="00C61A37">
        <w:rPr>
          <w:sz w:val="24"/>
          <w:szCs w:val="24"/>
          <w:vertAlign w:val="superscript"/>
        </w:rPr>
        <w:t xml:space="preserve"> </w:t>
      </w:r>
      <w:r w:rsidR="00A858AD" w:rsidRPr="00A858AD">
        <w:rPr>
          <w:sz w:val="24"/>
          <w:szCs w:val="24"/>
          <w:vertAlign w:val="superscript"/>
        </w:rPr>
        <w:endnoteReference w:id="6"/>
      </w:r>
      <w:r>
        <w:rPr>
          <w:sz w:val="24"/>
          <w:szCs w:val="24"/>
        </w:rPr>
        <w:t xml:space="preserve"> </w:t>
      </w:r>
      <w:r w:rsidRPr="00A858AD">
        <w:rPr>
          <w:sz w:val="24"/>
          <w:szCs w:val="24"/>
        </w:rPr>
        <w:t xml:space="preserve"> </w:t>
      </w:r>
    </w:p>
    <w:p w14:paraId="4A1E6ACD" w14:textId="1A75DD0B" w:rsidR="00CD011A" w:rsidRPr="00D73D54" w:rsidRDefault="00CD011A" w:rsidP="00D73D54">
      <w:pPr>
        <w:pStyle w:val="ListParagraph"/>
        <w:spacing w:after="0" w:line="240" w:lineRule="auto"/>
        <w:rPr>
          <w:sz w:val="24"/>
          <w:szCs w:val="24"/>
        </w:rPr>
      </w:pPr>
      <w:r w:rsidRPr="00CD011A">
        <w:rPr>
          <w:sz w:val="24"/>
          <w:szCs w:val="24"/>
        </w:rPr>
        <w:t>Robotic surgery benefits include increased range of motion with the instrumentation, 3-dimensional stereoscopic visualization, and improved ergonomics for the operating surgeon.</w:t>
      </w:r>
      <w:r w:rsidRPr="00CD011A">
        <w:rPr>
          <w:vertAlign w:val="superscript"/>
        </w:rPr>
        <w:endnoteReference w:id="7"/>
      </w:r>
      <w:r w:rsidRPr="00CD011A">
        <w:rPr>
          <w:sz w:val="24"/>
          <w:szCs w:val="24"/>
        </w:rPr>
        <w:t xml:space="preserve"> </w:t>
      </w:r>
    </w:p>
    <w:p w14:paraId="44F8D961" w14:textId="33D91F21" w:rsidR="00A32850" w:rsidRPr="00A32850" w:rsidRDefault="00E723E4" w:rsidP="00C61A37">
      <w:pPr>
        <w:pStyle w:val="ListParagraph"/>
        <w:numPr>
          <w:ilvl w:val="0"/>
          <w:numId w:val="32"/>
        </w:numPr>
        <w:spacing w:line="240" w:lineRule="auto"/>
        <w:rPr>
          <w:rFonts w:ascii="Segoe UI" w:hAnsi="Segoe UI" w:cs="Segoe UI"/>
          <w:color w:val="212121"/>
          <w:shd w:val="clear" w:color="auto" w:fill="FFFFFF"/>
        </w:rPr>
      </w:pPr>
      <w:r w:rsidRPr="00A32850">
        <w:rPr>
          <w:sz w:val="24"/>
          <w:szCs w:val="24"/>
        </w:rPr>
        <w:t>Surgical site infection (SSI)</w:t>
      </w:r>
      <w:r w:rsidR="00602ED4">
        <w:rPr>
          <w:sz w:val="24"/>
          <w:szCs w:val="24"/>
        </w:rPr>
        <w:t xml:space="preserve">, </w:t>
      </w:r>
      <w:r w:rsidRPr="00A32850">
        <w:rPr>
          <w:sz w:val="24"/>
          <w:szCs w:val="24"/>
        </w:rPr>
        <w:t>the second most common cause of hospital-acquired infection and the most common type of infection in patients undergoing s</w:t>
      </w:r>
      <w:r w:rsidR="008E1DDD">
        <w:rPr>
          <w:sz w:val="24"/>
          <w:szCs w:val="24"/>
        </w:rPr>
        <w:t>u</w:t>
      </w:r>
      <w:r w:rsidRPr="00A32850">
        <w:rPr>
          <w:sz w:val="24"/>
          <w:szCs w:val="24"/>
        </w:rPr>
        <w:t>rgery</w:t>
      </w:r>
      <w:r w:rsidR="00602ED4">
        <w:rPr>
          <w:sz w:val="24"/>
          <w:szCs w:val="24"/>
        </w:rPr>
        <w:t xml:space="preserve">, </w:t>
      </w:r>
      <w:r w:rsidRPr="00A32850">
        <w:rPr>
          <w:sz w:val="24"/>
          <w:szCs w:val="24"/>
        </w:rPr>
        <w:t xml:space="preserve">are associated with significant morbidity and mortality and higher rates of readmission after hospital discharge, resulting in substantially higher expenditures. </w:t>
      </w:r>
      <w:r w:rsidR="00A32850" w:rsidRPr="00A32850">
        <w:rPr>
          <w:sz w:val="24"/>
          <w:szCs w:val="24"/>
        </w:rPr>
        <w:t xml:space="preserve">SSIs </w:t>
      </w:r>
      <w:r w:rsidR="0050496F">
        <w:rPr>
          <w:sz w:val="24"/>
          <w:szCs w:val="24"/>
        </w:rPr>
        <w:t>are</w:t>
      </w:r>
      <w:r w:rsidR="00A32850" w:rsidRPr="00A32850">
        <w:rPr>
          <w:sz w:val="24"/>
          <w:szCs w:val="24"/>
        </w:rPr>
        <w:t xml:space="preserve"> associated with physical discomfort and prolonged recovery time in the postoperative period and may affect a patient’s quality of life.</w:t>
      </w:r>
      <w:r w:rsidR="00602ED4" w:rsidRPr="00602ED4">
        <w:rPr>
          <w:rStyle w:val="EndnoteReference"/>
          <w:sz w:val="24"/>
          <w:szCs w:val="24"/>
        </w:rPr>
        <w:t xml:space="preserve"> </w:t>
      </w:r>
      <w:r w:rsidR="00602ED4">
        <w:rPr>
          <w:rStyle w:val="EndnoteReference"/>
          <w:sz w:val="24"/>
          <w:szCs w:val="24"/>
        </w:rPr>
        <w:endnoteReference w:id="8"/>
      </w:r>
      <w:r w:rsidR="00A32850" w:rsidRPr="00A32850">
        <w:rPr>
          <w:rFonts w:ascii="Helvetica" w:hAnsi="Helvetica" w:cs="Helvetica"/>
          <w:color w:val="333333"/>
        </w:rPr>
        <w:t xml:space="preserve"> </w:t>
      </w:r>
      <w:r w:rsidR="00A32850">
        <w:rPr>
          <w:sz w:val="24"/>
          <w:szCs w:val="24"/>
        </w:rPr>
        <w:t>The</w:t>
      </w:r>
      <w:r w:rsidRPr="00A32850">
        <w:rPr>
          <w:sz w:val="24"/>
          <w:szCs w:val="24"/>
        </w:rPr>
        <w:t xml:space="preserve"> adoption of MIS approaches is associated with a significant reduction in the odds of overall postoperative SSIs</w:t>
      </w:r>
      <w:r w:rsidR="00602ED4">
        <w:rPr>
          <w:sz w:val="24"/>
          <w:szCs w:val="24"/>
        </w:rPr>
        <w:t xml:space="preserve"> and p</w:t>
      </w:r>
      <w:r w:rsidRPr="00A32850">
        <w:rPr>
          <w:sz w:val="24"/>
          <w:szCs w:val="24"/>
        </w:rPr>
        <w:t>atients undergoing MIS are at substantially lower risk for SSIs compared with their counterparts undergoing open surgery.</w:t>
      </w:r>
      <w:r w:rsidR="00A858AD" w:rsidRPr="00A858AD">
        <w:rPr>
          <w:sz w:val="24"/>
          <w:szCs w:val="24"/>
          <w:vertAlign w:val="superscript"/>
        </w:rPr>
        <w:endnoteReference w:id="9"/>
      </w:r>
    </w:p>
    <w:p w14:paraId="3AFB5EF5" w14:textId="77777777" w:rsidR="00E879BE" w:rsidRDefault="00E879BE" w:rsidP="00D43554">
      <w:pPr>
        <w:spacing w:line="240" w:lineRule="auto"/>
        <w:rPr>
          <w:sz w:val="24"/>
          <w:szCs w:val="24"/>
        </w:rPr>
      </w:pPr>
    </w:p>
    <w:p w14:paraId="26629ABB" w14:textId="0D1AC6D7" w:rsidR="00B52471" w:rsidRPr="00781915" w:rsidRDefault="00781915" w:rsidP="00064FD4">
      <w:pPr>
        <w:spacing w:line="240" w:lineRule="auto"/>
        <w:rPr>
          <w:b/>
          <w:bCs/>
          <w:i/>
          <w:iCs/>
          <w:sz w:val="24"/>
          <w:szCs w:val="24"/>
        </w:rPr>
      </w:pPr>
      <w:r w:rsidRPr="00781915">
        <w:rPr>
          <w:b/>
          <w:bCs/>
          <w:i/>
          <w:iCs/>
          <w:sz w:val="24"/>
          <w:szCs w:val="24"/>
        </w:rPr>
        <w:t>Equity</w:t>
      </w:r>
    </w:p>
    <w:p w14:paraId="00AAC5B9" w14:textId="28C596AC" w:rsidR="004632BB" w:rsidRDefault="004632BB" w:rsidP="004632BB">
      <w:pPr>
        <w:spacing w:line="240" w:lineRule="auto"/>
        <w:rPr>
          <w:sz w:val="24"/>
          <w:szCs w:val="24"/>
        </w:rPr>
      </w:pPr>
      <w:r>
        <w:rPr>
          <w:sz w:val="24"/>
          <w:szCs w:val="24"/>
        </w:rPr>
        <w:t>DoN Staff note that studies show surgical outcomes differ by race, socioeconomic status, and insurance status. For example, c</w:t>
      </w:r>
      <w:r w:rsidRPr="000043B7">
        <w:rPr>
          <w:sz w:val="24"/>
          <w:szCs w:val="24"/>
        </w:rPr>
        <w:t xml:space="preserve">oronary artery bypass graft (CABG) surgery is a high-risk, routine procedure </w:t>
      </w:r>
      <w:r>
        <w:rPr>
          <w:sz w:val="24"/>
          <w:szCs w:val="24"/>
        </w:rPr>
        <w:t>for which</w:t>
      </w:r>
      <w:r w:rsidRPr="000043B7">
        <w:rPr>
          <w:sz w:val="24"/>
          <w:szCs w:val="24"/>
        </w:rPr>
        <w:t xml:space="preserve"> significant disparities in operative mortality rates</w:t>
      </w:r>
      <w:r>
        <w:rPr>
          <w:sz w:val="24"/>
          <w:szCs w:val="24"/>
        </w:rPr>
        <w:t xml:space="preserve"> have been observed.</w:t>
      </w:r>
      <w:r>
        <w:rPr>
          <w:rStyle w:val="EndnoteReference"/>
          <w:sz w:val="24"/>
          <w:szCs w:val="24"/>
        </w:rPr>
        <w:endnoteReference w:id="10"/>
      </w:r>
      <w:r w:rsidRPr="00EF191D">
        <w:rPr>
          <w:sz w:val="24"/>
          <w:szCs w:val="24"/>
          <w:vertAlign w:val="superscript"/>
        </w:rPr>
        <w:t>,</w:t>
      </w:r>
      <w:r>
        <w:rPr>
          <w:rStyle w:val="FootnoteReference"/>
          <w:sz w:val="24"/>
          <w:szCs w:val="24"/>
        </w:rPr>
        <w:footnoteReference w:id="24"/>
      </w:r>
      <w:r>
        <w:rPr>
          <w:sz w:val="24"/>
          <w:szCs w:val="24"/>
        </w:rPr>
        <w:t xml:space="preserve"> </w:t>
      </w:r>
      <w:r w:rsidRPr="00A25432">
        <w:rPr>
          <w:sz w:val="24"/>
          <w:szCs w:val="24"/>
        </w:rPr>
        <w:t>Disparities in postoperative mortality based on socioeconomic status (SES) have been consistently demonstrated after major cancer surgery</w:t>
      </w:r>
      <w:r>
        <w:rPr>
          <w:sz w:val="24"/>
          <w:szCs w:val="24"/>
        </w:rPr>
        <w:t>; p</w:t>
      </w:r>
      <w:r w:rsidRPr="00A25432">
        <w:rPr>
          <w:sz w:val="24"/>
          <w:szCs w:val="24"/>
        </w:rPr>
        <w:t>atients with low SES undergoing gastrectomy are 55% more likely to die after surgery compared with those with higher SES, and operative mortality after lung resection is 37% higher in low-income patients</w:t>
      </w:r>
      <w:r>
        <w:rPr>
          <w:sz w:val="24"/>
          <w:szCs w:val="24"/>
        </w:rPr>
        <w:t>.</w:t>
      </w:r>
      <w:r>
        <w:rPr>
          <w:rStyle w:val="EndnoteReference"/>
          <w:sz w:val="24"/>
          <w:szCs w:val="24"/>
        </w:rPr>
        <w:endnoteReference w:id="11"/>
      </w:r>
      <w:r>
        <w:rPr>
          <w:sz w:val="24"/>
          <w:szCs w:val="24"/>
        </w:rPr>
        <w:t xml:space="preserve"> There have been documented differences in lung resection outcomes, including female gender correlated with post-operative mortality and morbidity, race was a significant predictor of post-operative complications, and risk-adjusted mortality was influenced by SES with odds of death increasing </w:t>
      </w:r>
      <w:r>
        <w:rPr>
          <w:sz w:val="24"/>
          <w:szCs w:val="24"/>
        </w:rPr>
        <w:lastRenderedPageBreak/>
        <w:t>with declining income</w:t>
      </w:r>
      <w:r w:rsidR="004618F0">
        <w:rPr>
          <w:sz w:val="24"/>
          <w:szCs w:val="24"/>
        </w:rPr>
        <w:t>.</w:t>
      </w:r>
      <w:r w:rsidRPr="00E879BE">
        <w:rPr>
          <w:rStyle w:val="EndnoteReference"/>
          <w:sz w:val="24"/>
          <w:szCs w:val="24"/>
        </w:rPr>
        <w:endnoteReference w:id="12"/>
      </w:r>
      <w:r w:rsidRPr="00E879BE">
        <w:rPr>
          <w:sz w:val="24"/>
          <w:szCs w:val="24"/>
          <w:vertAlign w:val="superscript"/>
        </w:rPr>
        <w:t>,</w:t>
      </w:r>
      <w:r w:rsidRPr="00E879BE">
        <w:rPr>
          <w:rStyle w:val="FootnoteReference"/>
          <w:sz w:val="24"/>
          <w:szCs w:val="24"/>
        </w:rPr>
        <w:footnoteReference w:id="25"/>
      </w:r>
      <w:r>
        <w:rPr>
          <w:sz w:val="24"/>
          <w:szCs w:val="24"/>
        </w:rPr>
        <w:t xml:space="preserve"> Studies have also pointed to the </w:t>
      </w:r>
      <w:r w:rsidRPr="00A25432">
        <w:rPr>
          <w:sz w:val="24"/>
          <w:szCs w:val="24"/>
        </w:rPr>
        <w:t>importance of access to care, reporting that those without insurance coverage have worse mortality rates than those with coverage</w:t>
      </w:r>
      <w:r>
        <w:rPr>
          <w:sz w:val="24"/>
          <w:szCs w:val="24"/>
        </w:rPr>
        <w:t>.</w:t>
      </w:r>
      <w:r>
        <w:rPr>
          <w:rStyle w:val="EndnoteReference"/>
          <w:sz w:val="24"/>
          <w:szCs w:val="24"/>
        </w:rPr>
        <w:endnoteReference w:id="13"/>
      </w:r>
      <w:r>
        <w:rPr>
          <w:sz w:val="24"/>
          <w:szCs w:val="24"/>
        </w:rPr>
        <w:t xml:space="preserve"> P</w:t>
      </w:r>
      <w:r w:rsidRPr="001906C0">
        <w:rPr>
          <w:sz w:val="24"/>
          <w:szCs w:val="24"/>
        </w:rPr>
        <w:t xml:space="preserve">ayer status and nonwhite race/ethnicity have both been shown to be associated with inferior utilization of laparoscopic surgery for both diagnoses </w:t>
      </w:r>
      <w:r>
        <w:rPr>
          <w:sz w:val="24"/>
          <w:szCs w:val="24"/>
        </w:rPr>
        <w:t>as compared</w:t>
      </w:r>
      <w:r w:rsidRPr="001906C0">
        <w:rPr>
          <w:sz w:val="24"/>
          <w:szCs w:val="24"/>
        </w:rPr>
        <w:t xml:space="preserve"> to privately insured and </w:t>
      </w:r>
      <w:r w:rsidR="008D3890">
        <w:rPr>
          <w:sz w:val="24"/>
          <w:szCs w:val="24"/>
        </w:rPr>
        <w:t>W</w:t>
      </w:r>
      <w:r w:rsidRPr="001906C0">
        <w:rPr>
          <w:sz w:val="24"/>
          <w:szCs w:val="24"/>
        </w:rPr>
        <w:t>hite patients.</w:t>
      </w:r>
      <w:r>
        <w:rPr>
          <w:sz w:val="24"/>
          <w:szCs w:val="24"/>
        </w:rPr>
        <w:t xml:space="preserve"> D</w:t>
      </w:r>
      <w:r w:rsidRPr="00B801FE">
        <w:rPr>
          <w:sz w:val="24"/>
          <w:szCs w:val="24"/>
        </w:rPr>
        <w:t>ata show that after health care reform in Massachusetts, racial/ethnic disparities in the probability of undergoing MIS disappeared in Massachusetts, while variation by patient race/ethnicity persisted in other states</w:t>
      </w:r>
      <w:r w:rsidRPr="00B801FE">
        <w:rPr>
          <w:rFonts w:ascii="Helvetica" w:hAnsi="Helvetica" w:cs="Helvetica"/>
          <w:color w:val="333333"/>
        </w:rPr>
        <w:t xml:space="preserve"> </w:t>
      </w:r>
      <w:r w:rsidRPr="00B801FE">
        <w:rPr>
          <w:sz w:val="24"/>
          <w:szCs w:val="24"/>
        </w:rPr>
        <w:t>suggesting that expanding insurance coverage may decrease variation in health care delivery.</w:t>
      </w:r>
      <w:r>
        <w:rPr>
          <w:rStyle w:val="EndnoteReference"/>
          <w:sz w:val="24"/>
          <w:szCs w:val="24"/>
        </w:rPr>
        <w:endnoteReference w:id="14"/>
      </w:r>
      <w:r w:rsidRPr="00BE1653">
        <w:rPr>
          <w:sz w:val="24"/>
          <w:szCs w:val="24"/>
          <w:vertAlign w:val="superscript"/>
        </w:rPr>
        <w:t>,</w:t>
      </w:r>
      <w:r>
        <w:rPr>
          <w:rStyle w:val="FootnoteReference"/>
          <w:sz w:val="24"/>
          <w:szCs w:val="24"/>
        </w:rPr>
        <w:footnoteReference w:id="26"/>
      </w:r>
      <w:r>
        <w:rPr>
          <w:sz w:val="24"/>
          <w:szCs w:val="24"/>
        </w:rPr>
        <w:t xml:space="preserve"> </w:t>
      </w:r>
    </w:p>
    <w:p w14:paraId="326FEE66" w14:textId="3657479A" w:rsidR="004632BB" w:rsidRDefault="001C2504" w:rsidP="004632BB">
      <w:pPr>
        <w:spacing w:line="240" w:lineRule="auto"/>
        <w:rPr>
          <w:sz w:val="24"/>
          <w:szCs w:val="24"/>
        </w:rPr>
      </w:pPr>
      <w:r>
        <w:rPr>
          <w:sz w:val="24"/>
          <w:szCs w:val="24"/>
        </w:rPr>
        <w:t xml:space="preserve">Heywood </w:t>
      </w:r>
      <w:r w:rsidR="00B40B1C">
        <w:rPr>
          <w:sz w:val="24"/>
          <w:szCs w:val="24"/>
        </w:rPr>
        <w:t xml:space="preserve">Hospital is a high public payer and the </w:t>
      </w:r>
      <w:r w:rsidR="009A43D4">
        <w:rPr>
          <w:sz w:val="24"/>
          <w:szCs w:val="24"/>
        </w:rPr>
        <w:t>S</w:t>
      </w:r>
      <w:r w:rsidR="00B40B1C">
        <w:rPr>
          <w:sz w:val="24"/>
          <w:szCs w:val="24"/>
        </w:rPr>
        <w:t xml:space="preserve">ervice </w:t>
      </w:r>
      <w:r w:rsidR="009A43D4">
        <w:rPr>
          <w:sz w:val="24"/>
          <w:szCs w:val="24"/>
        </w:rPr>
        <w:t>A</w:t>
      </w:r>
      <w:r w:rsidR="00B40B1C">
        <w:rPr>
          <w:sz w:val="24"/>
          <w:szCs w:val="24"/>
        </w:rPr>
        <w:t xml:space="preserve">rea tends to have lower SES populations as discussed below in Factor 2 Public Health Outcomes. </w:t>
      </w:r>
      <w:r w:rsidR="004632BB">
        <w:rPr>
          <w:sz w:val="24"/>
          <w:szCs w:val="24"/>
        </w:rPr>
        <w:t xml:space="preserve">The Applicant has stated that two of </w:t>
      </w:r>
      <w:r w:rsidR="00C00C0D">
        <w:rPr>
          <w:sz w:val="24"/>
          <w:szCs w:val="24"/>
        </w:rPr>
        <w:t xml:space="preserve">its </w:t>
      </w:r>
      <w:r w:rsidR="004632BB">
        <w:rPr>
          <w:sz w:val="24"/>
          <w:szCs w:val="24"/>
        </w:rPr>
        <w:t>five areas of focus in 2021 will be on d</w:t>
      </w:r>
      <w:r w:rsidR="004632BB" w:rsidRPr="0051443A">
        <w:rPr>
          <w:sz w:val="24"/>
          <w:szCs w:val="24"/>
        </w:rPr>
        <w:t>ata for identifying and addressing health disparities</w:t>
      </w:r>
      <w:r w:rsidR="004632BB">
        <w:rPr>
          <w:sz w:val="24"/>
          <w:szCs w:val="24"/>
        </w:rPr>
        <w:t xml:space="preserve"> and the e</w:t>
      </w:r>
      <w:r w:rsidR="004632BB" w:rsidRPr="0051443A">
        <w:rPr>
          <w:sz w:val="24"/>
          <w:szCs w:val="24"/>
        </w:rPr>
        <w:t>quitable distribution of health care resources</w:t>
      </w:r>
      <w:r w:rsidR="004632BB">
        <w:rPr>
          <w:sz w:val="24"/>
          <w:szCs w:val="24"/>
        </w:rPr>
        <w:t xml:space="preserve">. The Applicant provided the racial makeup of its Service Area communities in 2019. </w:t>
      </w:r>
      <w:r>
        <w:rPr>
          <w:sz w:val="24"/>
          <w:szCs w:val="24"/>
        </w:rPr>
        <w:t>M</w:t>
      </w:r>
      <w:r w:rsidR="004632BB">
        <w:rPr>
          <w:sz w:val="24"/>
          <w:szCs w:val="24"/>
        </w:rPr>
        <w:t xml:space="preserve">ore than 90% of the population in the majority of the </w:t>
      </w:r>
      <w:r w:rsidR="009A43D4">
        <w:rPr>
          <w:sz w:val="24"/>
          <w:szCs w:val="24"/>
        </w:rPr>
        <w:t>S</w:t>
      </w:r>
      <w:r>
        <w:rPr>
          <w:sz w:val="24"/>
          <w:szCs w:val="24"/>
        </w:rPr>
        <w:t xml:space="preserve">ervice </w:t>
      </w:r>
      <w:r w:rsidR="009A43D4">
        <w:rPr>
          <w:sz w:val="24"/>
          <w:szCs w:val="24"/>
        </w:rPr>
        <w:t>A</w:t>
      </w:r>
      <w:r>
        <w:rPr>
          <w:sz w:val="24"/>
          <w:szCs w:val="24"/>
        </w:rPr>
        <w:t xml:space="preserve">rea </w:t>
      </w:r>
      <w:r w:rsidR="004632BB">
        <w:rPr>
          <w:sz w:val="24"/>
          <w:szCs w:val="24"/>
        </w:rPr>
        <w:t>cities/towns</w:t>
      </w:r>
      <w:r>
        <w:rPr>
          <w:sz w:val="24"/>
          <w:szCs w:val="24"/>
        </w:rPr>
        <w:t xml:space="preserve"> are White</w:t>
      </w:r>
      <w:r w:rsidR="004632BB">
        <w:rPr>
          <w:sz w:val="24"/>
          <w:szCs w:val="24"/>
        </w:rPr>
        <w:t xml:space="preserve">. </w:t>
      </w:r>
    </w:p>
    <w:p w14:paraId="127C300D" w14:textId="6CBA5507" w:rsidR="002F4E36" w:rsidRPr="00342AA0" w:rsidRDefault="00CC3C73" w:rsidP="00AB3D02">
      <w:pPr>
        <w:spacing w:line="240" w:lineRule="auto"/>
        <w:rPr>
          <w:sz w:val="24"/>
          <w:szCs w:val="24"/>
        </w:rPr>
      </w:pPr>
      <w:r w:rsidRPr="00342AA0">
        <w:rPr>
          <w:sz w:val="24"/>
          <w:szCs w:val="24"/>
        </w:rPr>
        <w:t xml:space="preserve">The Applicant states </w:t>
      </w:r>
      <w:r w:rsidR="00943723">
        <w:rPr>
          <w:sz w:val="24"/>
          <w:szCs w:val="24"/>
        </w:rPr>
        <w:t>it</w:t>
      </w:r>
      <w:r w:rsidRPr="00342AA0">
        <w:rPr>
          <w:sz w:val="24"/>
          <w:szCs w:val="24"/>
        </w:rPr>
        <w:t xml:space="preserve"> will provide access to perioperative care equitably to all patients regardless of ethnic background, mental and </w:t>
      </w:r>
      <w:r w:rsidR="00A614E1" w:rsidRPr="00342AA0">
        <w:rPr>
          <w:sz w:val="24"/>
          <w:szCs w:val="24"/>
        </w:rPr>
        <w:t>physical</w:t>
      </w:r>
      <w:r w:rsidRPr="00342AA0">
        <w:rPr>
          <w:sz w:val="24"/>
          <w:szCs w:val="24"/>
        </w:rPr>
        <w:t xml:space="preserve"> abilities, and ability to pay.</w:t>
      </w:r>
      <w:r w:rsidR="006C68EA">
        <w:rPr>
          <w:sz w:val="24"/>
          <w:szCs w:val="24"/>
        </w:rPr>
        <w:t xml:space="preserve"> </w:t>
      </w:r>
      <w:r w:rsidR="002F4E36" w:rsidRPr="00342AA0">
        <w:rPr>
          <w:sz w:val="24"/>
          <w:szCs w:val="24"/>
        </w:rPr>
        <w:t xml:space="preserve">The Applicant asserts that the </w:t>
      </w:r>
      <w:r w:rsidR="008538FE">
        <w:rPr>
          <w:sz w:val="24"/>
          <w:szCs w:val="24"/>
        </w:rPr>
        <w:t>ORs</w:t>
      </w:r>
      <w:r w:rsidR="002F4E36" w:rsidRPr="00342AA0">
        <w:rPr>
          <w:sz w:val="24"/>
          <w:szCs w:val="24"/>
        </w:rPr>
        <w:t xml:space="preserve"> will allow for increased access and privacy, </w:t>
      </w:r>
      <w:r w:rsidR="00943723">
        <w:rPr>
          <w:sz w:val="24"/>
          <w:szCs w:val="24"/>
        </w:rPr>
        <w:t xml:space="preserve">including </w:t>
      </w:r>
      <w:r w:rsidR="002F4E36" w:rsidRPr="00342AA0">
        <w:rPr>
          <w:sz w:val="24"/>
          <w:szCs w:val="24"/>
        </w:rPr>
        <w:t>when onsite interpreter service is needed</w:t>
      </w:r>
      <w:r w:rsidR="006C68EA">
        <w:rPr>
          <w:sz w:val="24"/>
          <w:szCs w:val="24"/>
        </w:rPr>
        <w:t xml:space="preserve">, </w:t>
      </w:r>
      <w:r w:rsidR="00943723">
        <w:rPr>
          <w:sz w:val="24"/>
          <w:szCs w:val="24"/>
        </w:rPr>
        <w:t xml:space="preserve">and </w:t>
      </w:r>
      <w:r w:rsidR="006C68EA" w:rsidRPr="006C68EA">
        <w:rPr>
          <w:sz w:val="24"/>
          <w:szCs w:val="24"/>
        </w:rPr>
        <w:t>will allow for more assistive devices to be readily availabl</w:t>
      </w:r>
      <w:r w:rsidR="00943723">
        <w:rPr>
          <w:sz w:val="24"/>
          <w:szCs w:val="24"/>
        </w:rPr>
        <w:t>e.</w:t>
      </w:r>
      <w:r w:rsidR="002F4E36" w:rsidRPr="00342AA0">
        <w:rPr>
          <w:sz w:val="24"/>
          <w:szCs w:val="24"/>
        </w:rPr>
        <w:t xml:space="preserve"> </w:t>
      </w:r>
    </w:p>
    <w:p w14:paraId="68D95C9C" w14:textId="0EF017F4" w:rsidR="00F41146" w:rsidRPr="002F4E36" w:rsidRDefault="00CC3C73" w:rsidP="00AB3D02">
      <w:pPr>
        <w:spacing w:line="240" w:lineRule="auto"/>
        <w:rPr>
          <w:sz w:val="24"/>
          <w:szCs w:val="24"/>
        </w:rPr>
      </w:pPr>
      <w:r w:rsidRPr="00064FD4">
        <w:rPr>
          <w:sz w:val="24"/>
          <w:szCs w:val="24"/>
        </w:rPr>
        <w:t>Heywood Hospital’s multicultural program inc</w:t>
      </w:r>
      <w:r w:rsidR="006C68EA">
        <w:rPr>
          <w:sz w:val="24"/>
          <w:szCs w:val="24"/>
        </w:rPr>
        <w:t>l</w:t>
      </w:r>
      <w:r w:rsidRPr="00064FD4">
        <w:rPr>
          <w:sz w:val="24"/>
          <w:szCs w:val="24"/>
        </w:rPr>
        <w:t xml:space="preserve">udes interpreter services, and written information and education in multiple languages. </w:t>
      </w:r>
      <w:r w:rsidR="006C68EA" w:rsidRPr="006C68EA">
        <w:rPr>
          <w:sz w:val="24"/>
          <w:szCs w:val="24"/>
        </w:rPr>
        <w:t>The Applicant states that policies and procedures are consistent across all department</w:t>
      </w:r>
      <w:r w:rsidR="00FB13E3">
        <w:rPr>
          <w:sz w:val="24"/>
          <w:szCs w:val="24"/>
        </w:rPr>
        <w:t>s</w:t>
      </w:r>
      <w:r w:rsidR="006C68EA" w:rsidRPr="006C68EA">
        <w:rPr>
          <w:sz w:val="24"/>
          <w:szCs w:val="24"/>
        </w:rPr>
        <w:t xml:space="preserve">. </w:t>
      </w:r>
      <w:r w:rsidR="00C30FE1" w:rsidRPr="00C30FE1">
        <w:rPr>
          <w:sz w:val="24"/>
          <w:szCs w:val="24"/>
        </w:rPr>
        <w:t xml:space="preserve">Interpreter </w:t>
      </w:r>
      <w:r w:rsidR="000A09DB">
        <w:rPr>
          <w:sz w:val="24"/>
          <w:szCs w:val="24"/>
        </w:rPr>
        <w:t>s</w:t>
      </w:r>
      <w:r w:rsidR="00C30FE1" w:rsidRPr="00C30FE1">
        <w:rPr>
          <w:sz w:val="24"/>
          <w:szCs w:val="24"/>
        </w:rPr>
        <w:t xml:space="preserve">ervices are available 24 hours a day, </w:t>
      </w:r>
      <w:r w:rsidR="002E7E16">
        <w:rPr>
          <w:sz w:val="24"/>
          <w:szCs w:val="24"/>
        </w:rPr>
        <w:t>seven</w:t>
      </w:r>
      <w:r w:rsidR="00C30FE1" w:rsidRPr="00C30FE1">
        <w:rPr>
          <w:sz w:val="24"/>
          <w:szCs w:val="24"/>
        </w:rPr>
        <w:t xml:space="preserve"> days a week at no cost</w:t>
      </w:r>
      <w:r w:rsidR="009A3B6F" w:rsidRPr="009A3B6F">
        <w:rPr>
          <w:rFonts w:ascii="Arial" w:hAnsi="Arial" w:cs="Arial"/>
          <w:color w:val="030000"/>
          <w:sz w:val="27"/>
          <w:szCs w:val="27"/>
          <w:shd w:val="clear" w:color="auto" w:fill="FFFFFF"/>
        </w:rPr>
        <w:t xml:space="preserve"> </w:t>
      </w:r>
      <w:r w:rsidR="00D12D65">
        <w:rPr>
          <w:sz w:val="24"/>
          <w:szCs w:val="24"/>
        </w:rPr>
        <w:t>for</w:t>
      </w:r>
      <w:r w:rsidR="009A3B6F" w:rsidRPr="009A3B6F">
        <w:rPr>
          <w:sz w:val="24"/>
          <w:szCs w:val="24"/>
        </w:rPr>
        <w:t xml:space="preserve"> non-English speaking and/or Limited English Proficiency </w:t>
      </w:r>
      <w:r w:rsidR="00D12D65">
        <w:rPr>
          <w:sz w:val="24"/>
          <w:szCs w:val="24"/>
        </w:rPr>
        <w:t>and</w:t>
      </w:r>
      <w:r w:rsidR="009A3B6F" w:rsidRPr="009A3B6F">
        <w:rPr>
          <w:sz w:val="24"/>
          <w:szCs w:val="24"/>
        </w:rPr>
        <w:t xml:space="preserve"> American Sign Language</w:t>
      </w:r>
      <w:r w:rsidR="006A4A4A">
        <w:rPr>
          <w:sz w:val="24"/>
          <w:szCs w:val="24"/>
        </w:rPr>
        <w:t xml:space="preserve"> (ASL)</w:t>
      </w:r>
      <w:r w:rsidR="00D12D65">
        <w:rPr>
          <w:sz w:val="24"/>
          <w:szCs w:val="24"/>
        </w:rPr>
        <w:t xml:space="preserve"> </w:t>
      </w:r>
      <w:r w:rsidR="00720058">
        <w:rPr>
          <w:sz w:val="24"/>
          <w:szCs w:val="24"/>
        </w:rPr>
        <w:t>interpretation</w:t>
      </w:r>
      <w:r w:rsidR="009A3B6F" w:rsidRPr="009A3B6F">
        <w:rPr>
          <w:sz w:val="24"/>
          <w:szCs w:val="24"/>
        </w:rPr>
        <w:t>.</w:t>
      </w:r>
      <w:r w:rsidR="00C30FE1">
        <w:rPr>
          <w:sz w:val="24"/>
          <w:szCs w:val="24"/>
        </w:rPr>
        <w:t xml:space="preserve"> </w:t>
      </w:r>
      <w:r w:rsidR="006C68EA" w:rsidRPr="006C68EA">
        <w:rPr>
          <w:sz w:val="24"/>
          <w:szCs w:val="24"/>
        </w:rPr>
        <w:t xml:space="preserve">Services are provided in-person by </w:t>
      </w:r>
      <w:r w:rsidR="00664ABC">
        <w:rPr>
          <w:sz w:val="24"/>
          <w:szCs w:val="24"/>
        </w:rPr>
        <w:t xml:space="preserve">Multicultural Services </w:t>
      </w:r>
      <w:r w:rsidR="006C68EA" w:rsidRPr="006C68EA">
        <w:rPr>
          <w:sz w:val="24"/>
          <w:szCs w:val="24"/>
        </w:rPr>
        <w:t xml:space="preserve">staff interpreters or through contract, </w:t>
      </w:r>
      <w:r w:rsidR="00720058">
        <w:rPr>
          <w:sz w:val="24"/>
          <w:szCs w:val="24"/>
        </w:rPr>
        <w:t xml:space="preserve">via </w:t>
      </w:r>
      <w:r w:rsidR="00387E09">
        <w:rPr>
          <w:sz w:val="24"/>
          <w:szCs w:val="24"/>
        </w:rPr>
        <w:t>video remote interpreting (</w:t>
      </w:r>
      <w:r w:rsidR="006C68EA" w:rsidRPr="006C68EA">
        <w:rPr>
          <w:sz w:val="24"/>
          <w:szCs w:val="24"/>
        </w:rPr>
        <w:t>VRI</w:t>
      </w:r>
      <w:r w:rsidR="00387E09">
        <w:rPr>
          <w:sz w:val="24"/>
          <w:szCs w:val="24"/>
        </w:rPr>
        <w:t>)</w:t>
      </w:r>
      <w:r w:rsidR="006C68EA" w:rsidRPr="006C68EA">
        <w:rPr>
          <w:sz w:val="24"/>
          <w:szCs w:val="24"/>
        </w:rPr>
        <w:t xml:space="preserve">, </w:t>
      </w:r>
      <w:r w:rsidR="004632BB">
        <w:rPr>
          <w:sz w:val="24"/>
          <w:szCs w:val="24"/>
        </w:rPr>
        <w:t>or</w:t>
      </w:r>
      <w:r w:rsidR="004632BB" w:rsidRPr="006C68EA">
        <w:rPr>
          <w:sz w:val="24"/>
          <w:szCs w:val="24"/>
        </w:rPr>
        <w:t xml:space="preserve"> </w:t>
      </w:r>
      <w:r w:rsidR="006C68EA" w:rsidRPr="006C68EA">
        <w:rPr>
          <w:sz w:val="24"/>
          <w:szCs w:val="24"/>
        </w:rPr>
        <w:t>Phone Service allowing for 24/7 access to services.</w:t>
      </w:r>
      <w:r w:rsidR="006C68EA">
        <w:t xml:space="preserve"> </w:t>
      </w:r>
      <w:r w:rsidR="00F41146" w:rsidRPr="002F4E36">
        <w:rPr>
          <w:sz w:val="24"/>
          <w:szCs w:val="24"/>
        </w:rPr>
        <w:t>The Multicultural Service Department (MSD) comp</w:t>
      </w:r>
      <w:r w:rsidR="002518B9" w:rsidRPr="002F4E36">
        <w:rPr>
          <w:sz w:val="24"/>
          <w:szCs w:val="24"/>
        </w:rPr>
        <w:t>l</w:t>
      </w:r>
      <w:r w:rsidR="00F41146" w:rsidRPr="002F4E36">
        <w:rPr>
          <w:sz w:val="24"/>
          <w:szCs w:val="24"/>
        </w:rPr>
        <w:t>etes a Language Needs Assessment (LNA) annually and Heywood</w:t>
      </w:r>
      <w:r w:rsidR="00001169">
        <w:rPr>
          <w:sz w:val="24"/>
          <w:szCs w:val="24"/>
        </w:rPr>
        <w:t xml:space="preserve"> Healthcare</w:t>
      </w:r>
      <w:r w:rsidR="00F41146" w:rsidRPr="002F4E36">
        <w:rPr>
          <w:sz w:val="24"/>
          <w:szCs w:val="24"/>
        </w:rPr>
        <w:t xml:space="preserve"> uses</w:t>
      </w:r>
      <w:r w:rsidR="00943723">
        <w:rPr>
          <w:sz w:val="24"/>
          <w:szCs w:val="24"/>
        </w:rPr>
        <w:t xml:space="preserve"> the results</w:t>
      </w:r>
      <w:r w:rsidR="00F41146" w:rsidRPr="002F4E36">
        <w:rPr>
          <w:sz w:val="24"/>
          <w:szCs w:val="24"/>
        </w:rPr>
        <w:t xml:space="preserve"> to adjust services to meet the needs of patients and the community at large. </w:t>
      </w:r>
    </w:p>
    <w:p w14:paraId="6C4C1DBB" w14:textId="3BA9DC42" w:rsidR="008E1DDD" w:rsidRPr="005644BE" w:rsidRDefault="002F4E36" w:rsidP="00AB3D02">
      <w:pPr>
        <w:spacing w:line="240" w:lineRule="auto"/>
        <w:rPr>
          <w:sz w:val="24"/>
          <w:szCs w:val="24"/>
        </w:rPr>
      </w:pPr>
      <w:r w:rsidRPr="002F4E36">
        <w:rPr>
          <w:sz w:val="24"/>
          <w:szCs w:val="24"/>
        </w:rPr>
        <w:t xml:space="preserve">The Applicant states that the region’s patient population is predominantly White, but also notes the changing racial makeup in the region since 2000. Specifically, the Hispanic student population in the </w:t>
      </w:r>
      <w:r w:rsidR="00795D01">
        <w:rPr>
          <w:sz w:val="24"/>
          <w:szCs w:val="24"/>
        </w:rPr>
        <w:t>S</w:t>
      </w:r>
      <w:r w:rsidRPr="002F4E36">
        <w:rPr>
          <w:sz w:val="24"/>
          <w:szCs w:val="24"/>
        </w:rPr>
        <w:t xml:space="preserve">ervice </w:t>
      </w:r>
      <w:r w:rsidR="00795D01">
        <w:rPr>
          <w:sz w:val="24"/>
          <w:szCs w:val="24"/>
        </w:rPr>
        <w:t>A</w:t>
      </w:r>
      <w:r w:rsidRPr="002F4E36">
        <w:rPr>
          <w:sz w:val="24"/>
          <w:szCs w:val="24"/>
        </w:rPr>
        <w:t xml:space="preserve">rea increased </w:t>
      </w:r>
      <w:r w:rsidR="001A1B81">
        <w:rPr>
          <w:sz w:val="24"/>
          <w:szCs w:val="24"/>
        </w:rPr>
        <w:t xml:space="preserve">by </w:t>
      </w:r>
      <w:r w:rsidRPr="002F4E36">
        <w:rPr>
          <w:sz w:val="24"/>
          <w:szCs w:val="24"/>
        </w:rPr>
        <w:t>45.1% vs.</w:t>
      </w:r>
      <w:r w:rsidR="00083AD3">
        <w:rPr>
          <w:sz w:val="24"/>
          <w:szCs w:val="24"/>
        </w:rPr>
        <w:t xml:space="preserve"> </w:t>
      </w:r>
      <w:r w:rsidRPr="002F4E36">
        <w:rPr>
          <w:sz w:val="24"/>
          <w:szCs w:val="24"/>
        </w:rPr>
        <w:t xml:space="preserve">29.9% statewide; </w:t>
      </w:r>
      <w:r w:rsidR="00083AD3">
        <w:rPr>
          <w:sz w:val="24"/>
          <w:szCs w:val="24"/>
        </w:rPr>
        <w:t xml:space="preserve">and </w:t>
      </w:r>
      <w:r w:rsidRPr="002F4E36">
        <w:rPr>
          <w:sz w:val="24"/>
          <w:szCs w:val="24"/>
        </w:rPr>
        <w:t>multi-race non-Hispanic students in the area increased an average of 53%.</w:t>
      </w:r>
      <w:r w:rsidR="00FA7C2B">
        <w:rPr>
          <w:rStyle w:val="EndnoteReference"/>
          <w:sz w:val="24"/>
          <w:szCs w:val="24"/>
        </w:rPr>
        <w:endnoteReference w:id="15"/>
      </w:r>
      <w:r w:rsidRPr="002F4E36">
        <w:rPr>
          <w:sz w:val="24"/>
          <w:szCs w:val="24"/>
        </w:rPr>
        <w:t xml:space="preserve"> The Applicant states further that</w:t>
      </w:r>
      <w:r w:rsidR="00083AD3">
        <w:rPr>
          <w:sz w:val="24"/>
          <w:szCs w:val="24"/>
        </w:rPr>
        <w:t xml:space="preserve"> </w:t>
      </w:r>
      <w:r w:rsidRPr="002F4E36">
        <w:rPr>
          <w:sz w:val="24"/>
          <w:szCs w:val="24"/>
        </w:rPr>
        <w:t xml:space="preserve">increasing diversity in racial groups and languages spoken is reflected in the interpreter services provided at Heywood Hospital. </w:t>
      </w:r>
      <w:r w:rsidR="00A471E0">
        <w:rPr>
          <w:sz w:val="24"/>
          <w:szCs w:val="24"/>
        </w:rPr>
        <w:t>In general, t</w:t>
      </w:r>
      <w:r w:rsidR="008E1DDD">
        <w:rPr>
          <w:sz w:val="24"/>
          <w:szCs w:val="24"/>
        </w:rPr>
        <w:t>he t</w:t>
      </w:r>
      <w:r w:rsidR="008E1DDD" w:rsidRPr="002F4E36">
        <w:rPr>
          <w:sz w:val="24"/>
          <w:szCs w:val="24"/>
        </w:rPr>
        <w:t xml:space="preserve">op five Departments that utilize </w:t>
      </w:r>
      <w:r w:rsidR="0002778C">
        <w:rPr>
          <w:sz w:val="24"/>
          <w:szCs w:val="24"/>
        </w:rPr>
        <w:t>i</w:t>
      </w:r>
      <w:r w:rsidR="008E1DDD" w:rsidRPr="002F4E36">
        <w:rPr>
          <w:sz w:val="24"/>
          <w:szCs w:val="24"/>
        </w:rPr>
        <w:t xml:space="preserve">nterpreter </w:t>
      </w:r>
      <w:r w:rsidR="0002778C">
        <w:rPr>
          <w:sz w:val="24"/>
          <w:szCs w:val="24"/>
        </w:rPr>
        <w:t>s</w:t>
      </w:r>
      <w:r w:rsidR="008E1DDD" w:rsidRPr="002F4E36">
        <w:rPr>
          <w:sz w:val="24"/>
          <w:szCs w:val="24"/>
        </w:rPr>
        <w:t>ervices</w:t>
      </w:r>
      <w:r w:rsidR="008E1DDD">
        <w:rPr>
          <w:sz w:val="24"/>
          <w:szCs w:val="24"/>
        </w:rPr>
        <w:t xml:space="preserve"> are </w:t>
      </w:r>
      <w:r w:rsidR="008E1DDD" w:rsidRPr="005644BE">
        <w:rPr>
          <w:sz w:val="24"/>
          <w:szCs w:val="24"/>
        </w:rPr>
        <w:t>Emergency, Rehabilitation Center, Health Center for Women,</w:t>
      </w:r>
      <w:r w:rsidR="008E1DDD" w:rsidRPr="00D377DD">
        <w:rPr>
          <w:sz w:val="24"/>
          <w:szCs w:val="24"/>
        </w:rPr>
        <w:t xml:space="preserve"> Pediatric Office</w:t>
      </w:r>
      <w:r w:rsidR="008E1DDD" w:rsidRPr="008E1DDD">
        <w:rPr>
          <w:sz w:val="24"/>
          <w:szCs w:val="24"/>
        </w:rPr>
        <w:t xml:space="preserve">, and </w:t>
      </w:r>
      <w:r w:rsidR="008E1DDD" w:rsidRPr="008E1DDD">
        <w:rPr>
          <w:sz w:val="24"/>
          <w:szCs w:val="24"/>
        </w:rPr>
        <w:lastRenderedPageBreak/>
        <w:t>Surgical Day Care</w:t>
      </w:r>
      <w:r w:rsidR="00A471E0">
        <w:rPr>
          <w:sz w:val="24"/>
          <w:szCs w:val="24"/>
        </w:rPr>
        <w:t>, and the</w:t>
      </w:r>
      <w:r w:rsidR="008E1DDD" w:rsidRPr="008E1DDD">
        <w:rPr>
          <w:sz w:val="24"/>
          <w:szCs w:val="24"/>
        </w:rPr>
        <w:t xml:space="preserve"> </w:t>
      </w:r>
      <w:r w:rsidR="008E1DDD" w:rsidRPr="002224D7">
        <w:rPr>
          <w:sz w:val="24"/>
          <w:szCs w:val="24"/>
        </w:rPr>
        <w:t>top Languages besides English</w:t>
      </w:r>
      <w:r w:rsidR="008E3115">
        <w:rPr>
          <w:sz w:val="24"/>
          <w:szCs w:val="24"/>
        </w:rPr>
        <w:t xml:space="preserve"> </w:t>
      </w:r>
      <w:r w:rsidR="0006328B">
        <w:rPr>
          <w:sz w:val="24"/>
          <w:szCs w:val="24"/>
        </w:rPr>
        <w:t xml:space="preserve">are </w:t>
      </w:r>
      <w:r w:rsidR="008E1DDD" w:rsidRPr="002224D7">
        <w:rPr>
          <w:sz w:val="24"/>
          <w:szCs w:val="24"/>
        </w:rPr>
        <w:t>Spanish</w:t>
      </w:r>
      <w:r w:rsidR="0006328B">
        <w:rPr>
          <w:sz w:val="24"/>
          <w:szCs w:val="24"/>
        </w:rPr>
        <w:t xml:space="preserve">, </w:t>
      </w:r>
      <w:r w:rsidR="008E1DDD" w:rsidRPr="002224D7">
        <w:rPr>
          <w:sz w:val="24"/>
          <w:szCs w:val="24"/>
        </w:rPr>
        <w:t>Arabic</w:t>
      </w:r>
      <w:r w:rsidR="0006328B">
        <w:rPr>
          <w:sz w:val="24"/>
          <w:szCs w:val="24"/>
        </w:rPr>
        <w:t>, ASL, and</w:t>
      </w:r>
      <w:r w:rsidR="008E1DDD" w:rsidRPr="002224D7">
        <w:rPr>
          <w:sz w:val="24"/>
          <w:szCs w:val="24"/>
        </w:rPr>
        <w:t xml:space="preserve"> </w:t>
      </w:r>
      <w:r w:rsidR="008E3115">
        <w:rPr>
          <w:sz w:val="24"/>
          <w:szCs w:val="24"/>
        </w:rPr>
        <w:t xml:space="preserve">Brazilian Portuguese. </w:t>
      </w:r>
    </w:p>
    <w:p w14:paraId="4461E12C" w14:textId="31C83B9C" w:rsidR="006C68EA" w:rsidRDefault="002F4E36" w:rsidP="00AB3D02">
      <w:pPr>
        <w:spacing w:line="240" w:lineRule="auto"/>
        <w:rPr>
          <w:sz w:val="24"/>
          <w:szCs w:val="24"/>
        </w:rPr>
      </w:pPr>
      <w:r w:rsidRPr="005644BE">
        <w:rPr>
          <w:sz w:val="24"/>
          <w:szCs w:val="24"/>
        </w:rPr>
        <w:t>In 2020, there were 2,</w:t>
      </w:r>
      <w:r w:rsidR="008F23F6">
        <w:rPr>
          <w:sz w:val="24"/>
          <w:szCs w:val="24"/>
        </w:rPr>
        <w:t>807</w:t>
      </w:r>
      <w:r w:rsidRPr="005644BE">
        <w:rPr>
          <w:sz w:val="24"/>
          <w:szCs w:val="24"/>
        </w:rPr>
        <w:t xml:space="preserve"> language interpreter requests at Heywood Hospital; </w:t>
      </w:r>
      <w:r w:rsidRPr="002224D7">
        <w:rPr>
          <w:sz w:val="24"/>
          <w:szCs w:val="24"/>
        </w:rPr>
        <w:t xml:space="preserve">the top </w:t>
      </w:r>
      <w:r w:rsidR="008E3115">
        <w:rPr>
          <w:sz w:val="24"/>
          <w:szCs w:val="24"/>
        </w:rPr>
        <w:t>four</w:t>
      </w:r>
      <w:r w:rsidR="008E3115" w:rsidRPr="002224D7">
        <w:rPr>
          <w:sz w:val="24"/>
          <w:szCs w:val="24"/>
        </w:rPr>
        <w:t xml:space="preserve"> </w:t>
      </w:r>
      <w:r w:rsidRPr="002224D7">
        <w:rPr>
          <w:sz w:val="24"/>
          <w:szCs w:val="24"/>
        </w:rPr>
        <w:t xml:space="preserve">languages </w:t>
      </w:r>
      <w:r w:rsidR="008E3115">
        <w:rPr>
          <w:sz w:val="24"/>
          <w:szCs w:val="24"/>
        </w:rPr>
        <w:t>identified besides English</w:t>
      </w:r>
      <w:r w:rsidR="008E3115" w:rsidRPr="002224D7">
        <w:rPr>
          <w:sz w:val="24"/>
          <w:szCs w:val="24"/>
        </w:rPr>
        <w:t xml:space="preserve"> </w:t>
      </w:r>
      <w:r w:rsidRPr="002224D7">
        <w:rPr>
          <w:sz w:val="24"/>
          <w:szCs w:val="24"/>
        </w:rPr>
        <w:t>were Spanish, Arabic, ASL</w:t>
      </w:r>
      <w:r w:rsidR="008E3115">
        <w:rPr>
          <w:sz w:val="24"/>
          <w:szCs w:val="24"/>
        </w:rPr>
        <w:t>, and Hindi</w:t>
      </w:r>
      <w:r w:rsidRPr="002224D7">
        <w:rPr>
          <w:sz w:val="24"/>
          <w:szCs w:val="24"/>
        </w:rPr>
        <w:t>.</w:t>
      </w:r>
      <w:r w:rsidRPr="005644BE">
        <w:rPr>
          <w:sz w:val="24"/>
          <w:szCs w:val="24"/>
        </w:rPr>
        <w:t xml:space="preserve"> </w:t>
      </w:r>
      <w:r w:rsidR="006C68EA" w:rsidRPr="005644BE">
        <w:rPr>
          <w:sz w:val="24"/>
          <w:szCs w:val="24"/>
        </w:rPr>
        <w:t>Table</w:t>
      </w:r>
      <w:r w:rsidR="006C68EA">
        <w:rPr>
          <w:sz w:val="24"/>
          <w:szCs w:val="24"/>
        </w:rPr>
        <w:t xml:space="preserve"> </w:t>
      </w:r>
      <w:r w:rsidR="007E04D6">
        <w:rPr>
          <w:sz w:val="24"/>
          <w:szCs w:val="24"/>
        </w:rPr>
        <w:t>9</w:t>
      </w:r>
      <w:r w:rsidR="006C68EA">
        <w:rPr>
          <w:sz w:val="24"/>
          <w:szCs w:val="24"/>
        </w:rPr>
        <w:t xml:space="preserve"> below shows interpreter services program data for FY20. </w:t>
      </w:r>
    </w:p>
    <w:p w14:paraId="69A39C19" w14:textId="77777777" w:rsidR="004D12B4" w:rsidRDefault="004D12B4" w:rsidP="00AB3D02">
      <w:pPr>
        <w:spacing w:line="240" w:lineRule="auto"/>
        <w:rPr>
          <w:sz w:val="24"/>
          <w:szCs w:val="24"/>
        </w:rPr>
      </w:pPr>
    </w:p>
    <w:p w14:paraId="1C4F3D8C" w14:textId="01760A51" w:rsidR="002F4E36" w:rsidRPr="00342AA0" w:rsidRDefault="002F4E36" w:rsidP="00342AA0">
      <w:pPr>
        <w:spacing w:line="240" w:lineRule="auto"/>
        <w:jc w:val="center"/>
        <w:rPr>
          <w:b/>
          <w:bCs/>
          <w:sz w:val="24"/>
          <w:szCs w:val="24"/>
        </w:rPr>
      </w:pPr>
      <w:r w:rsidRPr="00342AA0">
        <w:rPr>
          <w:b/>
          <w:bCs/>
          <w:sz w:val="24"/>
          <w:szCs w:val="24"/>
        </w:rPr>
        <w:t>Table</w:t>
      </w:r>
      <w:r w:rsidR="004A361A">
        <w:rPr>
          <w:b/>
          <w:bCs/>
          <w:sz w:val="24"/>
          <w:szCs w:val="24"/>
        </w:rPr>
        <w:t xml:space="preserve"> </w:t>
      </w:r>
      <w:r w:rsidR="007E04D6">
        <w:rPr>
          <w:b/>
          <w:bCs/>
          <w:sz w:val="24"/>
          <w:szCs w:val="24"/>
        </w:rPr>
        <w:t>9</w:t>
      </w:r>
      <w:r w:rsidRPr="00342AA0">
        <w:rPr>
          <w:b/>
          <w:bCs/>
          <w:sz w:val="24"/>
          <w:szCs w:val="24"/>
        </w:rPr>
        <w:t>: FY20 Interpreter Services</w:t>
      </w:r>
      <w:r w:rsidRPr="00342AA0">
        <w:rPr>
          <w:rStyle w:val="FootnoteReference"/>
          <w:b/>
          <w:bCs/>
          <w:sz w:val="24"/>
          <w:szCs w:val="24"/>
        </w:rPr>
        <w:footnoteReference w:id="27"/>
      </w:r>
    </w:p>
    <w:tbl>
      <w:tblPr>
        <w:tblStyle w:val="TableGrid"/>
        <w:tblW w:w="0" w:type="auto"/>
        <w:jc w:val="center"/>
        <w:tblLook w:val="04A0" w:firstRow="1" w:lastRow="0" w:firstColumn="1" w:lastColumn="0" w:noHBand="0" w:noVBand="1"/>
        <w:tblCaption w:val="Table 9: FY20 Interpreter Services"/>
        <w:tblDescription w:val="Facility Patient Encounters &#10;Total unduplicated patients served this fiscal year facility wide 52,446&#10;Total inpatient encounters this fiscal year facility wide 1,677&#10;Total outpatient encounters this fiscal year facility wide 50,769&#10; &#10;Interpreter Service Sessions &#10;Total Interpreter Service requests this fiscal year, including Face-to-Face, Telephonic, Video, ASL 2,807&#10;Total completed Interpreter Service requests this fiscal year, including Face-to-Face, telephonic, video, ASL 2,807&#10;Total non-ASL Face-to-Face interpretation sessions: 1,217&#10;Total ASL Face-to-Face sessions: 46&#10;Total Video Remote sessions 763&#10;Total Telephonic interpretation sessions 781&#10;"/>
      </w:tblPr>
      <w:tblGrid>
        <w:gridCol w:w="5395"/>
        <w:gridCol w:w="829"/>
      </w:tblGrid>
      <w:tr w:rsidR="002518B9" w:rsidRPr="00342AA0" w14:paraId="5D307ED6" w14:textId="77777777" w:rsidTr="00B82947">
        <w:trPr>
          <w:tblHeader/>
          <w:jc w:val="center"/>
        </w:trPr>
        <w:tc>
          <w:tcPr>
            <w:tcW w:w="5395" w:type="dxa"/>
            <w:shd w:val="clear" w:color="auto" w:fill="F2F2F2" w:themeFill="background1" w:themeFillShade="F2"/>
          </w:tcPr>
          <w:p w14:paraId="3F45C0F9" w14:textId="2A983705" w:rsidR="002518B9" w:rsidRPr="00083AD3" w:rsidRDefault="002518B9" w:rsidP="00064FD4">
            <w:pPr>
              <w:rPr>
                <w:b/>
                <w:bCs/>
              </w:rPr>
            </w:pPr>
            <w:r w:rsidRPr="00083AD3">
              <w:rPr>
                <w:b/>
                <w:bCs/>
              </w:rPr>
              <w:t>Facility Patient Encounters</w:t>
            </w:r>
          </w:p>
        </w:tc>
        <w:tc>
          <w:tcPr>
            <w:tcW w:w="829" w:type="dxa"/>
            <w:shd w:val="clear" w:color="auto" w:fill="F2F2F2" w:themeFill="background1" w:themeFillShade="F2"/>
          </w:tcPr>
          <w:p w14:paraId="7208F874" w14:textId="77777777" w:rsidR="002518B9" w:rsidRPr="00342AA0" w:rsidRDefault="002518B9" w:rsidP="00064FD4"/>
        </w:tc>
      </w:tr>
      <w:tr w:rsidR="002518B9" w:rsidRPr="00342AA0" w14:paraId="32659560" w14:textId="77777777" w:rsidTr="00B82947">
        <w:trPr>
          <w:jc w:val="center"/>
        </w:trPr>
        <w:tc>
          <w:tcPr>
            <w:tcW w:w="5395" w:type="dxa"/>
          </w:tcPr>
          <w:p w14:paraId="287ECBF5" w14:textId="111F7A6E" w:rsidR="002518B9" w:rsidRPr="00342AA0" w:rsidRDefault="002518B9" w:rsidP="00064FD4">
            <w:r w:rsidRPr="00342AA0">
              <w:t>Total unduplicated patients served this fiscal year facility wide</w:t>
            </w:r>
          </w:p>
        </w:tc>
        <w:tc>
          <w:tcPr>
            <w:tcW w:w="829" w:type="dxa"/>
          </w:tcPr>
          <w:p w14:paraId="23634548" w14:textId="746C342A" w:rsidR="002518B9" w:rsidRPr="00342AA0" w:rsidRDefault="002518B9" w:rsidP="00064FD4">
            <w:r w:rsidRPr="00342AA0">
              <w:t>52,446</w:t>
            </w:r>
          </w:p>
        </w:tc>
      </w:tr>
      <w:tr w:rsidR="002518B9" w:rsidRPr="00342AA0" w14:paraId="79F1C716" w14:textId="77777777" w:rsidTr="00B82947">
        <w:trPr>
          <w:jc w:val="center"/>
        </w:trPr>
        <w:tc>
          <w:tcPr>
            <w:tcW w:w="5395" w:type="dxa"/>
          </w:tcPr>
          <w:p w14:paraId="7E2062E1" w14:textId="21869386" w:rsidR="002518B9" w:rsidRPr="00342AA0" w:rsidRDefault="002518B9" w:rsidP="00064FD4">
            <w:r w:rsidRPr="00342AA0">
              <w:t>Total inpatient encounters this fiscal year facility wide</w:t>
            </w:r>
          </w:p>
        </w:tc>
        <w:tc>
          <w:tcPr>
            <w:tcW w:w="829" w:type="dxa"/>
          </w:tcPr>
          <w:p w14:paraId="3B7E5E3B" w14:textId="20E3790F" w:rsidR="002518B9" w:rsidRPr="00342AA0" w:rsidRDefault="002518B9" w:rsidP="00064FD4">
            <w:r w:rsidRPr="00342AA0">
              <w:t>1</w:t>
            </w:r>
            <w:r w:rsidR="001C2A22">
              <w:t>,</w:t>
            </w:r>
            <w:r w:rsidRPr="00342AA0">
              <w:t>677</w:t>
            </w:r>
          </w:p>
        </w:tc>
      </w:tr>
      <w:tr w:rsidR="002518B9" w:rsidRPr="00342AA0" w14:paraId="166933EA" w14:textId="77777777" w:rsidTr="00B82947">
        <w:trPr>
          <w:jc w:val="center"/>
        </w:trPr>
        <w:tc>
          <w:tcPr>
            <w:tcW w:w="5395" w:type="dxa"/>
          </w:tcPr>
          <w:p w14:paraId="4B6F8609" w14:textId="75416B58" w:rsidR="002518B9" w:rsidRPr="00342AA0" w:rsidRDefault="002518B9" w:rsidP="00064FD4">
            <w:r w:rsidRPr="00342AA0">
              <w:t>Total outpatient encounters this fiscal year facility wide</w:t>
            </w:r>
          </w:p>
        </w:tc>
        <w:tc>
          <w:tcPr>
            <w:tcW w:w="829" w:type="dxa"/>
          </w:tcPr>
          <w:p w14:paraId="1075E89B" w14:textId="462AC4F2" w:rsidR="002518B9" w:rsidRPr="00342AA0" w:rsidRDefault="002518B9" w:rsidP="00064FD4">
            <w:r w:rsidRPr="00342AA0">
              <w:t>50,769</w:t>
            </w:r>
          </w:p>
        </w:tc>
      </w:tr>
      <w:tr w:rsidR="002518B9" w:rsidRPr="00342AA0" w14:paraId="66777B74" w14:textId="77777777" w:rsidTr="00B82947">
        <w:trPr>
          <w:jc w:val="center"/>
        </w:trPr>
        <w:tc>
          <w:tcPr>
            <w:tcW w:w="5395" w:type="dxa"/>
            <w:shd w:val="clear" w:color="auto" w:fill="F2F2F2" w:themeFill="background1" w:themeFillShade="F2"/>
          </w:tcPr>
          <w:p w14:paraId="5CF954EC" w14:textId="6B4671B7" w:rsidR="002518B9" w:rsidRPr="00083AD3" w:rsidRDefault="002518B9" w:rsidP="00064FD4">
            <w:pPr>
              <w:rPr>
                <w:b/>
                <w:bCs/>
              </w:rPr>
            </w:pPr>
            <w:r w:rsidRPr="00083AD3">
              <w:rPr>
                <w:b/>
                <w:bCs/>
              </w:rPr>
              <w:t>Interpreter Service Sessions</w:t>
            </w:r>
          </w:p>
        </w:tc>
        <w:tc>
          <w:tcPr>
            <w:tcW w:w="829" w:type="dxa"/>
            <w:shd w:val="clear" w:color="auto" w:fill="F2F2F2" w:themeFill="background1" w:themeFillShade="F2"/>
          </w:tcPr>
          <w:p w14:paraId="643BD56C" w14:textId="77777777" w:rsidR="002518B9" w:rsidRPr="00342AA0" w:rsidRDefault="002518B9" w:rsidP="00064FD4"/>
        </w:tc>
      </w:tr>
      <w:tr w:rsidR="002518B9" w:rsidRPr="00342AA0" w14:paraId="7032D503" w14:textId="77777777" w:rsidTr="00B82947">
        <w:trPr>
          <w:jc w:val="center"/>
        </w:trPr>
        <w:tc>
          <w:tcPr>
            <w:tcW w:w="5395" w:type="dxa"/>
          </w:tcPr>
          <w:p w14:paraId="10C80E93" w14:textId="20E3777C" w:rsidR="002518B9" w:rsidRPr="00342AA0" w:rsidRDefault="002518B9" w:rsidP="00064FD4">
            <w:r w:rsidRPr="00342AA0">
              <w:t>Total Interpreter Service requests this fiscal year, including Face-to-Face, Telephonic, Video, ASL</w:t>
            </w:r>
          </w:p>
        </w:tc>
        <w:tc>
          <w:tcPr>
            <w:tcW w:w="829" w:type="dxa"/>
          </w:tcPr>
          <w:p w14:paraId="65E3D36C" w14:textId="51A80452" w:rsidR="002518B9" w:rsidRPr="00342AA0" w:rsidRDefault="002518B9" w:rsidP="00064FD4">
            <w:r w:rsidRPr="00342AA0">
              <w:t>2</w:t>
            </w:r>
            <w:r w:rsidR="001C2A22">
              <w:t>,</w:t>
            </w:r>
            <w:r w:rsidRPr="00342AA0">
              <w:t>807</w:t>
            </w:r>
          </w:p>
        </w:tc>
      </w:tr>
      <w:tr w:rsidR="002518B9" w:rsidRPr="00342AA0" w14:paraId="7E5BD7CD" w14:textId="77777777" w:rsidTr="00B82947">
        <w:trPr>
          <w:jc w:val="center"/>
        </w:trPr>
        <w:tc>
          <w:tcPr>
            <w:tcW w:w="5395" w:type="dxa"/>
          </w:tcPr>
          <w:p w14:paraId="6922BAD0" w14:textId="5D466A04" w:rsidR="002518B9" w:rsidRPr="00342AA0" w:rsidRDefault="002518B9" w:rsidP="00064FD4">
            <w:r w:rsidRPr="00342AA0">
              <w:t>Total completed Interpreter Service requests this fiscal year, including Face-to-Face, telephonic, video, ASL</w:t>
            </w:r>
          </w:p>
        </w:tc>
        <w:tc>
          <w:tcPr>
            <w:tcW w:w="829" w:type="dxa"/>
          </w:tcPr>
          <w:p w14:paraId="7465BEF6" w14:textId="35BAAFC2" w:rsidR="002518B9" w:rsidRPr="00342AA0" w:rsidRDefault="002518B9" w:rsidP="00064FD4">
            <w:r w:rsidRPr="00342AA0">
              <w:t>2</w:t>
            </w:r>
            <w:r w:rsidR="001C2A22">
              <w:t>,</w:t>
            </w:r>
            <w:r w:rsidRPr="00342AA0">
              <w:t>807</w:t>
            </w:r>
          </w:p>
        </w:tc>
      </w:tr>
      <w:tr w:rsidR="002518B9" w:rsidRPr="00342AA0" w14:paraId="57DB4145" w14:textId="77777777" w:rsidTr="00B82947">
        <w:trPr>
          <w:jc w:val="center"/>
        </w:trPr>
        <w:tc>
          <w:tcPr>
            <w:tcW w:w="5395" w:type="dxa"/>
          </w:tcPr>
          <w:p w14:paraId="2472DE2B" w14:textId="3313635A" w:rsidR="002518B9" w:rsidRPr="00342AA0" w:rsidRDefault="002518B9" w:rsidP="00064FD4">
            <w:r w:rsidRPr="00342AA0">
              <w:t>Total non-ASL Face-to-Face interpretation sessions:</w:t>
            </w:r>
          </w:p>
        </w:tc>
        <w:tc>
          <w:tcPr>
            <w:tcW w:w="829" w:type="dxa"/>
          </w:tcPr>
          <w:p w14:paraId="65C1D37D" w14:textId="55F56384" w:rsidR="002518B9" w:rsidRPr="00342AA0" w:rsidRDefault="002518B9" w:rsidP="00064FD4">
            <w:r w:rsidRPr="00342AA0">
              <w:t>1</w:t>
            </w:r>
            <w:r w:rsidR="001C2A22">
              <w:t>,</w:t>
            </w:r>
            <w:r w:rsidRPr="00342AA0">
              <w:t>217</w:t>
            </w:r>
          </w:p>
        </w:tc>
      </w:tr>
      <w:tr w:rsidR="002518B9" w:rsidRPr="00342AA0" w14:paraId="25A7E031" w14:textId="77777777" w:rsidTr="00B82947">
        <w:trPr>
          <w:jc w:val="center"/>
        </w:trPr>
        <w:tc>
          <w:tcPr>
            <w:tcW w:w="5395" w:type="dxa"/>
          </w:tcPr>
          <w:p w14:paraId="1D218BF4" w14:textId="7303DFF5" w:rsidR="002518B9" w:rsidRPr="00342AA0" w:rsidRDefault="002518B9" w:rsidP="00064FD4">
            <w:r w:rsidRPr="00342AA0">
              <w:t>Total ASL Face-to-Face sessions:</w:t>
            </w:r>
          </w:p>
        </w:tc>
        <w:tc>
          <w:tcPr>
            <w:tcW w:w="829" w:type="dxa"/>
          </w:tcPr>
          <w:p w14:paraId="2B02CE0F" w14:textId="5E24B48B" w:rsidR="002518B9" w:rsidRPr="00342AA0" w:rsidRDefault="002518B9" w:rsidP="00064FD4">
            <w:r w:rsidRPr="00342AA0">
              <w:t>46</w:t>
            </w:r>
          </w:p>
        </w:tc>
      </w:tr>
      <w:tr w:rsidR="002518B9" w:rsidRPr="00342AA0" w14:paraId="7F5D2ADC" w14:textId="77777777" w:rsidTr="00B82947">
        <w:trPr>
          <w:jc w:val="center"/>
        </w:trPr>
        <w:tc>
          <w:tcPr>
            <w:tcW w:w="5395" w:type="dxa"/>
          </w:tcPr>
          <w:p w14:paraId="1ED39731" w14:textId="219F51D4" w:rsidR="002518B9" w:rsidRPr="00342AA0" w:rsidRDefault="002518B9" w:rsidP="00064FD4">
            <w:r w:rsidRPr="00342AA0">
              <w:t>Total Video Remote sessions</w:t>
            </w:r>
          </w:p>
        </w:tc>
        <w:tc>
          <w:tcPr>
            <w:tcW w:w="829" w:type="dxa"/>
          </w:tcPr>
          <w:p w14:paraId="365BEB43" w14:textId="13CDCC45" w:rsidR="002518B9" w:rsidRPr="00342AA0" w:rsidRDefault="002518B9" w:rsidP="00064FD4">
            <w:r w:rsidRPr="00342AA0">
              <w:t>763</w:t>
            </w:r>
          </w:p>
        </w:tc>
      </w:tr>
      <w:tr w:rsidR="002518B9" w:rsidRPr="00342AA0" w14:paraId="59034AF3" w14:textId="77777777" w:rsidTr="00B82947">
        <w:trPr>
          <w:jc w:val="center"/>
        </w:trPr>
        <w:tc>
          <w:tcPr>
            <w:tcW w:w="5395" w:type="dxa"/>
          </w:tcPr>
          <w:p w14:paraId="7F4D06A5" w14:textId="79CCACEF" w:rsidR="002518B9" w:rsidRPr="00342AA0" w:rsidRDefault="002518B9" w:rsidP="00064FD4">
            <w:r w:rsidRPr="00342AA0">
              <w:t>Total Telephonic interpretation sessions</w:t>
            </w:r>
          </w:p>
        </w:tc>
        <w:tc>
          <w:tcPr>
            <w:tcW w:w="829" w:type="dxa"/>
          </w:tcPr>
          <w:p w14:paraId="4904D244" w14:textId="5E796ABB" w:rsidR="002518B9" w:rsidRPr="00342AA0" w:rsidRDefault="002518B9" w:rsidP="00064FD4">
            <w:r w:rsidRPr="00342AA0">
              <w:t>781</w:t>
            </w:r>
          </w:p>
        </w:tc>
      </w:tr>
    </w:tbl>
    <w:p w14:paraId="4E1D8D58" w14:textId="5EC452FE" w:rsidR="002518B9" w:rsidRDefault="002518B9" w:rsidP="00064FD4">
      <w:pPr>
        <w:spacing w:line="240" w:lineRule="auto"/>
        <w:rPr>
          <w:sz w:val="24"/>
          <w:szCs w:val="24"/>
        </w:rPr>
      </w:pPr>
    </w:p>
    <w:p w14:paraId="558AB473" w14:textId="375C4589" w:rsidR="006C68EA" w:rsidRPr="00160629" w:rsidRDefault="000C3416" w:rsidP="00160629">
      <w:pPr>
        <w:spacing w:after="0" w:line="240" w:lineRule="auto"/>
        <w:rPr>
          <w:sz w:val="24"/>
          <w:szCs w:val="24"/>
        </w:rPr>
      </w:pPr>
      <w:r>
        <w:rPr>
          <w:sz w:val="24"/>
          <w:szCs w:val="24"/>
        </w:rPr>
        <w:t>The Applicant states that Heywood</w:t>
      </w:r>
      <w:r w:rsidR="006026C8">
        <w:rPr>
          <w:sz w:val="24"/>
          <w:szCs w:val="24"/>
        </w:rPr>
        <w:t xml:space="preserve"> Healthcare’s</w:t>
      </w:r>
      <w:r>
        <w:rPr>
          <w:sz w:val="24"/>
          <w:szCs w:val="24"/>
        </w:rPr>
        <w:t xml:space="preserve"> diversity and inclusion commitment includes o</w:t>
      </w:r>
      <w:r w:rsidR="00F816C9" w:rsidRPr="00064FD4">
        <w:rPr>
          <w:sz w:val="24"/>
          <w:szCs w:val="24"/>
        </w:rPr>
        <w:t xml:space="preserve">ngoing education of staff through </w:t>
      </w:r>
      <w:r w:rsidR="00AB3D02">
        <w:rPr>
          <w:sz w:val="24"/>
          <w:szCs w:val="24"/>
        </w:rPr>
        <w:t xml:space="preserve">the </w:t>
      </w:r>
      <w:r w:rsidR="00F816C9" w:rsidRPr="00160629">
        <w:rPr>
          <w:sz w:val="24"/>
          <w:szCs w:val="24"/>
        </w:rPr>
        <w:t>Hospital-Wide Orientation providing education on Heywood’s Diversity Mission, Vision Statement, and an invitation to participate in one of the Multicultural Task Forces.</w:t>
      </w:r>
      <w:r w:rsidR="00160629">
        <w:rPr>
          <w:sz w:val="24"/>
          <w:szCs w:val="24"/>
        </w:rPr>
        <w:t xml:space="preserve"> </w:t>
      </w:r>
      <w:r w:rsidR="00F816C9" w:rsidRPr="00160629">
        <w:rPr>
          <w:sz w:val="24"/>
          <w:szCs w:val="24"/>
        </w:rPr>
        <w:t xml:space="preserve">Safety Fairs, Skills fairs, and additional education </w:t>
      </w:r>
      <w:r w:rsidR="00D40DBF">
        <w:rPr>
          <w:sz w:val="24"/>
          <w:szCs w:val="24"/>
        </w:rPr>
        <w:t>are</w:t>
      </w:r>
      <w:r w:rsidR="00F816C9" w:rsidRPr="00160629">
        <w:rPr>
          <w:sz w:val="24"/>
          <w:szCs w:val="24"/>
        </w:rPr>
        <w:t xml:space="preserve"> provided to departments and/or staff on a 1:1 basis throughout the year. </w:t>
      </w:r>
      <w:r w:rsidR="00160629">
        <w:rPr>
          <w:sz w:val="24"/>
          <w:szCs w:val="24"/>
        </w:rPr>
        <w:t xml:space="preserve">The </w:t>
      </w:r>
      <w:r w:rsidR="00F816C9" w:rsidRPr="00160629">
        <w:rPr>
          <w:sz w:val="24"/>
          <w:szCs w:val="24"/>
        </w:rPr>
        <w:t>Schwartz Center Rounds offer education, perspective and share experiences in the areas of diversity, inclusion, discriminatory practice, equity, health disparities, and social determinants of health</w:t>
      </w:r>
      <w:r w:rsidR="00D40DBF">
        <w:rPr>
          <w:sz w:val="24"/>
          <w:szCs w:val="24"/>
        </w:rPr>
        <w:t xml:space="preserve"> (SDoH)</w:t>
      </w:r>
      <w:r w:rsidR="00F816C9" w:rsidRPr="00160629">
        <w:rPr>
          <w:sz w:val="24"/>
          <w:szCs w:val="24"/>
        </w:rPr>
        <w:t xml:space="preserve">. </w:t>
      </w:r>
      <w:r w:rsidR="006C68EA" w:rsidRPr="00160629">
        <w:rPr>
          <w:sz w:val="24"/>
          <w:szCs w:val="24"/>
        </w:rPr>
        <w:t>Staff are</w:t>
      </w:r>
      <w:r w:rsidR="00160629">
        <w:rPr>
          <w:sz w:val="24"/>
          <w:szCs w:val="24"/>
        </w:rPr>
        <w:t xml:space="preserve"> also</w:t>
      </w:r>
      <w:r w:rsidR="006C68EA" w:rsidRPr="00160629">
        <w:rPr>
          <w:sz w:val="24"/>
          <w:szCs w:val="24"/>
        </w:rPr>
        <w:t xml:space="preserve"> encouraged to participate in various community activity and committees</w:t>
      </w:r>
      <w:r w:rsidR="00160629" w:rsidRPr="00160629">
        <w:rPr>
          <w:sz w:val="24"/>
          <w:szCs w:val="24"/>
        </w:rPr>
        <w:t>.</w:t>
      </w:r>
    </w:p>
    <w:p w14:paraId="233E555F" w14:textId="77777777" w:rsidR="00160629" w:rsidRDefault="00160629" w:rsidP="00AB3D02">
      <w:pPr>
        <w:spacing w:after="0" w:line="240" w:lineRule="auto"/>
        <w:rPr>
          <w:sz w:val="24"/>
          <w:szCs w:val="24"/>
        </w:rPr>
      </w:pPr>
    </w:p>
    <w:p w14:paraId="032DCF61" w14:textId="020E8F88" w:rsidR="00F816C9" w:rsidRDefault="00160629" w:rsidP="00160629">
      <w:pPr>
        <w:spacing w:after="0" w:line="240" w:lineRule="auto"/>
        <w:rPr>
          <w:sz w:val="24"/>
          <w:szCs w:val="24"/>
        </w:rPr>
      </w:pPr>
      <w:r>
        <w:rPr>
          <w:sz w:val="24"/>
          <w:szCs w:val="24"/>
        </w:rPr>
        <w:t>For the purposes of p</w:t>
      </w:r>
      <w:r w:rsidR="006C68EA">
        <w:rPr>
          <w:sz w:val="24"/>
          <w:szCs w:val="24"/>
        </w:rPr>
        <w:t xml:space="preserve">erformance </w:t>
      </w:r>
      <w:r>
        <w:rPr>
          <w:sz w:val="24"/>
          <w:szCs w:val="24"/>
        </w:rPr>
        <w:t>i</w:t>
      </w:r>
      <w:r w:rsidR="006C68EA">
        <w:rPr>
          <w:sz w:val="24"/>
          <w:szCs w:val="24"/>
        </w:rPr>
        <w:t>mprovemen</w:t>
      </w:r>
      <w:r>
        <w:rPr>
          <w:sz w:val="24"/>
          <w:szCs w:val="24"/>
        </w:rPr>
        <w:t xml:space="preserve">t and quality, </w:t>
      </w:r>
      <w:r w:rsidR="00922306">
        <w:rPr>
          <w:sz w:val="24"/>
          <w:szCs w:val="24"/>
        </w:rPr>
        <w:t>Heywood</w:t>
      </w:r>
      <w:r w:rsidR="00922306" w:rsidRPr="00160629">
        <w:rPr>
          <w:sz w:val="24"/>
          <w:szCs w:val="24"/>
        </w:rPr>
        <w:t xml:space="preserve"> </w:t>
      </w:r>
      <w:r w:rsidR="00F816C9" w:rsidRPr="00160629">
        <w:rPr>
          <w:sz w:val="24"/>
          <w:szCs w:val="24"/>
        </w:rPr>
        <w:t xml:space="preserve">Hospital tracks monthly language access, location turnaround time, patient and staff satisfaction of Encounter </w:t>
      </w:r>
      <w:r w:rsidR="00A614E1" w:rsidRPr="00160629">
        <w:rPr>
          <w:sz w:val="24"/>
          <w:szCs w:val="24"/>
        </w:rPr>
        <w:t>Service</w:t>
      </w:r>
      <w:r w:rsidR="00F816C9" w:rsidRPr="00160629">
        <w:rPr>
          <w:sz w:val="24"/>
          <w:szCs w:val="24"/>
        </w:rPr>
        <w:t xml:space="preserve">, time of day, </w:t>
      </w:r>
      <w:r w:rsidR="00E53B78">
        <w:rPr>
          <w:sz w:val="24"/>
          <w:szCs w:val="24"/>
        </w:rPr>
        <w:t xml:space="preserve">and </w:t>
      </w:r>
      <w:r w:rsidR="00F816C9" w:rsidRPr="00160629">
        <w:rPr>
          <w:sz w:val="24"/>
          <w:szCs w:val="24"/>
        </w:rPr>
        <w:t xml:space="preserve">day of </w:t>
      </w:r>
      <w:r w:rsidR="00E53B78">
        <w:rPr>
          <w:sz w:val="24"/>
          <w:szCs w:val="24"/>
        </w:rPr>
        <w:t xml:space="preserve">the </w:t>
      </w:r>
      <w:r w:rsidR="00F816C9" w:rsidRPr="00160629">
        <w:rPr>
          <w:sz w:val="24"/>
          <w:szCs w:val="24"/>
        </w:rPr>
        <w:t>week to help assess utilization of resources and promote staffing according to need. Contracted services are assessed at least annually for timeliness of service and patient satisfaction. Heywood</w:t>
      </w:r>
      <w:r w:rsidR="006026C8">
        <w:rPr>
          <w:sz w:val="24"/>
          <w:szCs w:val="24"/>
        </w:rPr>
        <w:t xml:space="preserve"> Healthcare</w:t>
      </w:r>
      <w:r w:rsidR="00F816C9" w:rsidRPr="00160629">
        <w:rPr>
          <w:sz w:val="24"/>
          <w:szCs w:val="24"/>
        </w:rPr>
        <w:t xml:space="preserve"> collects racial, ethnicity, and language (REL) data for use in </w:t>
      </w:r>
      <w:r w:rsidR="00B84681" w:rsidRPr="00160629">
        <w:rPr>
          <w:sz w:val="24"/>
          <w:szCs w:val="24"/>
        </w:rPr>
        <w:t>examining</w:t>
      </w:r>
      <w:r w:rsidR="00F816C9" w:rsidRPr="00160629">
        <w:rPr>
          <w:sz w:val="24"/>
          <w:szCs w:val="24"/>
        </w:rPr>
        <w:t xml:space="preserve"> opportunities for growth in payer mix, age, sex, diagnosis, </w:t>
      </w:r>
      <w:r w:rsidR="002A2C83">
        <w:rPr>
          <w:sz w:val="24"/>
          <w:szCs w:val="24"/>
        </w:rPr>
        <w:t xml:space="preserve">and </w:t>
      </w:r>
      <w:r w:rsidR="00F816C9" w:rsidRPr="00160629">
        <w:rPr>
          <w:sz w:val="24"/>
          <w:szCs w:val="24"/>
        </w:rPr>
        <w:t xml:space="preserve">city/town. This information is shared with the </w:t>
      </w:r>
      <w:r w:rsidR="00B84681" w:rsidRPr="00160629">
        <w:rPr>
          <w:sz w:val="24"/>
          <w:szCs w:val="24"/>
        </w:rPr>
        <w:t>Multicultural</w:t>
      </w:r>
      <w:r w:rsidR="00F816C9" w:rsidRPr="00160629">
        <w:rPr>
          <w:sz w:val="24"/>
          <w:szCs w:val="24"/>
        </w:rPr>
        <w:t xml:space="preserve"> Task Force</w:t>
      </w:r>
      <w:r w:rsidR="00811AE9">
        <w:rPr>
          <w:rStyle w:val="FootnoteReference"/>
          <w:sz w:val="24"/>
          <w:szCs w:val="24"/>
        </w:rPr>
        <w:footnoteReference w:id="28"/>
      </w:r>
      <w:r w:rsidR="00F816C9" w:rsidRPr="00160629">
        <w:rPr>
          <w:sz w:val="24"/>
          <w:szCs w:val="24"/>
        </w:rPr>
        <w:t xml:space="preserve"> and integrated into the triennial </w:t>
      </w:r>
      <w:r w:rsidR="000C3416" w:rsidRPr="00160629">
        <w:rPr>
          <w:sz w:val="24"/>
          <w:szCs w:val="24"/>
        </w:rPr>
        <w:lastRenderedPageBreak/>
        <w:t>community health needs assessment (CHNA)</w:t>
      </w:r>
      <w:r w:rsidR="005F3E62">
        <w:rPr>
          <w:sz w:val="24"/>
          <w:szCs w:val="24"/>
        </w:rPr>
        <w:t xml:space="preserve"> </w:t>
      </w:r>
      <w:r w:rsidR="00F816C9" w:rsidRPr="00160629">
        <w:rPr>
          <w:sz w:val="24"/>
          <w:szCs w:val="24"/>
        </w:rPr>
        <w:t xml:space="preserve">and annual LNA completed for the </w:t>
      </w:r>
      <w:r w:rsidR="00485C76" w:rsidRPr="00160629">
        <w:rPr>
          <w:sz w:val="24"/>
          <w:szCs w:val="24"/>
        </w:rPr>
        <w:t>Department of Public Health (</w:t>
      </w:r>
      <w:r w:rsidR="00F816C9" w:rsidRPr="00160629">
        <w:rPr>
          <w:sz w:val="24"/>
          <w:szCs w:val="24"/>
        </w:rPr>
        <w:t>DPH</w:t>
      </w:r>
      <w:r w:rsidR="00485C76" w:rsidRPr="00160629">
        <w:rPr>
          <w:sz w:val="24"/>
          <w:szCs w:val="24"/>
        </w:rPr>
        <w:t>)</w:t>
      </w:r>
      <w:r w:rsidR="00F816C9" w:rsidRPr="00160629">
        <w:rPr>
          <w:sz w:val="24"/>
          <w:szCs w:val="24"/>
        </w:rPr>
        <w:t xml:space="preserve"> Office of Health Equity</w:t>
      </w:r>
      <w:r w:rsidR="00942651">
        <w:rPr>
          <w:sz w:val="24"/>
          <w:szCs w:val="24"/>
        </w:rPr>
        <w:t xml:space="preserve"> (OHE)</w:t>
      </w:r>
      <w:r w:rsidR="00F816C9" w:rsidRPr="00160629">
        <w:rPr>
          <w:sz w:val="24"/>
          <w:szCs w:val="24"/>
        </w:rPr>
        <w:t xml:space="preserve">. </w:t>
      </w:r>
    </w:p>
    <w:p w14:paraId="0F5D20B2" w14:textId="77777777" w:rsidR="00160629" w:rsidRPr="00160629" w:rsidRDefault="00160629" w:rsidP="00160629">
      <w:pPr>
        <w:spacing w:after="0" w:line="240" w:lineRule="auto"/>
        <w:rPr>
          <w:sz w:val="24"/>
          <w:szCs w:val="24"/>
        </w:rPr>
      </w:pPr>
    </w:p>
    <w:p w14:paraId="70A75AB9" w14:textId="491CD63D" w:rsidR="00160629" w:rsidRPr="00160629" w:rsidRDefault="00342AA0" w:rsidP="00160629">
      <w:pPr>
        <w:spacing w:line="240" w:lineRule="auto"/>
        <w:rPr>
          <w:sz w:val="24"/>
          <w:szCs w:val="24"/>
        </w:rPr>
      </w:pPr>
      <w:r w:rsidRPr="00064FD4">
        <w:rPr>
          <w:sz w:val="24"/>
          <w:szCs w:val="24"/>
        </w:rPr>
        <w:t xml:space="preserve">The Applicant states that the COVID-19 pandemic highlighted a number of issues that </w:t>
      </w:r>
      <w:r w:rsidR="00160629">
        <w:rPr>
          <w:sz w:val="24"/>
          <w:szCs w:val="24"/>
        </w:rPr>
        <w:t xml:space="preserve">led to </w:t>
      </w:r>
      <w:r w:rsidRPr="00064FD4">
        <w:rPr>
          <w:sz w:val="24"/>
          <w:szCs w:val="24"/>
        </w:rPr>
        <w:t xml:space="preserve">a focus </w:t>
      </w:r>
      <w:r>
        <w:rPr>
          <w:sz w:val="24"/>
          <w:szCs w:val="24"/>
        </w:rPr>
        <w:t xml:space="preserve">in 2021 </w:t>
      </w:r>
      <w:r w:rsidRPr="00064FD4">
        <w:rPr>
          <w:sz w:val="24"/>
          <w:szCs w:val="24"/>
        </w:rPr>
        <w:t xml:space="preserve">on </w:t>
      </w:r>
      <w:r w:rsidR="0035066F">
        <w:rPr>
          <w:sz w:val="24"/>
          <w:szCs w:val="24"/>
        </w:rPr>
        <w:t xml:space="preserve">the </w:t>
      </w:r>
      <w:r w:rsidRPr="00064FD4">
        <w:rPr>
          <w:sz w:val="24"/>
          <w:szCs w:val="24"/>
        </w:rPr>
        <w:t xml:space="preserve">equitable distribution of health care resources, telehealth as a tool for expanding equitable access to care, health care workforce diversity, and </w:t>
      </w:r>
      <w:r w:rsidR="00942651">
        <w:rPr>
          <w:sz w:val="24"/>
          <w:szCs w:val="24"/>
        </w:rPr>
        <w:t xml:space="preserve">the </w:t>
      </w:r>
      <w:r w:rsidR="0035066F">
        <w:rPr>
          <w:sz w:val="24"/>
          <w:szCs w:val="24"/>
        </w:rPr>
        <w:t>SDoH</w:t>
      </w:r>
      <w:r w:rsidRPr="00064FD4">
        <w:rPr>
          <w:sz w:val="24"/>
          <w:szCs w:val="24"/>
        </w:rPr>
        <w:t xml:space="preserve"> and root causes of health inequities. </w:t>
      </w:r>
      <w:r w:rsidR="00160629">
        <w:rPr>
          <w:sz w:val="24"/>
          <w:szCs w:val="24"/>
        </w:rPr>
        <w:t>Currently,</w:t>
      </w:r>
      <w:r w:rsidR="00160629" w:rsidRPr="00160629">
        <w:rPr>
          <w:sz w:val="24"/>
          <w:szCs w:val="24"/>
        </w:rPr>
        <w:t xml:space="preserve"> patients are screen</w:t>
      </w:r>
      <w:r w:rsidR="005466E6">
        <w:rPr>
          <w:sz w:val="24"/>
          <w:szCs w:val="24"/>
        </w:rPr>
        <w:t>ed</w:t>
      </w:r>
      <w:r w:rsidR="00160629" w:rsidRPr="00160629">
        <w:rPr>
          <w:sz w:val="24"/>
          <w:szCs w:val="24"/>
        </w:rPr>
        <w:t xml:space="preserve"> for SDoH in various ways. Transportation is considered a SDoH, and the Department of Social Services works with local community agencies to secure transportation for those in need. </w:t>
      </w:r>
      <w:r w:rsidR="00DC2104" w:rsidRPr="00DC2104">
        <w:rPr>
          <w:sz w:val="24"/>
          <w:szCs w:val="24"/>
        </w:rPr>
        <w:t>In 2020, Heywood supported 515 patients with transportation to medical appointments.</w:t>
      </w:r>
    </w:p>
    <w:p w14:paraId="3FEF718D" w14:textId="649CD4F1" w:rsidR="005407F6" w:rsidRPr="005407F6" w:rsidRDefault="005407F6" w:rsidP="00F33FC6">
      <w:pPr>
        <w:widowControl w:val="0"/>
        <w:spacing w:after="0" w:line="240" w:lineRule="auto"/>
        <w:ind w:right="114"/>
        <w:rPr>
          <w:rFonts w:cstheme="minorHAnsi"/>
          <w:b/>
          <w:i/>
          <w:iCs/>
          <w:sz w:val="24"/>
          <w:szCs w:val="24"/>
        </w:rPr>
      </w:pPr>
      <w:r w:rsidRPr="005407F6">
        <w:rPr>
          <w:rFonts w:cstheme="minorHAnsi"/>
          <w:b/>
          <w:i/>
          <w:iCs/>
          <w:sz w:val="24"/>
          <w:szCs w:val="24"/>
        </w:rPr>
        <w:t>Analysis</w:t>
      </w:r>
    </w:p>
    <w:p w14:paraId="6FA208A6" w14:textId="74CCF4F5" w:rsidR="005407F6" w:rsidRDefault="00383571" w:rsidP="00F33FC6">
      <w:pPr>
        <w:widowControl w:val="0"/>
        <w:spacing w:after="0" w:line="240" w:lineRule="auto"/>
        <w:ind w:right="114"/>
        <w:rPr>
          <w:rFonts w:cstheme="minorHAnsi"/>
          <w:bCs/>
          <w:sz w:val="24"/>
          <w:szCs w:val="24"/>
        </w:rPr>
      </w:pPr>
      <w:r w:rsidRPr="00383571">
        <w:rPr>
          <w:rFonts w:cstheme="minorHAnsi"/>
          <w:bCs/>
          <w:sz w:val="24"/>
          <w:szCs w:val="24"/>
        </w:rPr>
        <w:t xml:space="preserve">Staff finds that through </w:t>
      </w:r>
      <w:r>
        <w:rPr>
          <w:rFonts w:cstheme="minorHAnsi"/>
          <w:bCs/>
          <w:sz w:val="24"/>
          <w:szCs w:val="24"/>
        </w:rPr>
        <w:t>their</w:t>
      </w:r>
      <w:r w:rsidRPr="00383571">
        <w:rPr>
          <w:rFonts w:cstheme="minorHAnsi"/>
          <w:bCs/>
          <w:sz w:val="24"/>
          <w:szCs w:val="24"/>
        </w:rPr>
        <w:t xml:space="preserve"> provision of language interpreter services</w:t>
      </w:r>
      <w:r w:rsidR="00F60537">
        <w:rPr>
          <w:rFonts w:cstheme="minorHAnsi"/>
          <w:bCs/>
          <w:sz w:val="24"/>
          <w:szCs w:val="24"/>
        </w:rPr>
        <w:t xml:space="preserve">, </w:t>
      </w:r>
      <w:r w:rsidRPr="00383571">
        <w:rPr>
          <w:rFonts w:cstheme="minorHAnsi"/>
          <w:bCs/>
          <w:sz w:val="24"/>
          <w:szCs w:val="24"/>
        </w:rPr>
        <w:t xml:space="preserve">staff training </w:t>
      </w:r>
      <w:r w:rsidR="00F60537">
        <w:rPr>
          <w:rFonts w:cstheme="minorHAnsi"/>
          <w:bCs/>
          <w:sz w:val="24"/>
          <w:szCs w:val="24"/>
        </w:rPr>
        <w:t xml:space="preserve">and SDoH </w:t>
      </w:r>
      <w:r w:rsidRPr="00383571">
        <w:rPr>
          <w:rFonts w:cstheme="minorHAnsi"/>
          <w:bCs/>
          <w:sz w:val="24"/>
          <w:szCs w:val="24"/>
        </w:rPr>
        <w:t>program</w:t>
      </w:r>
      <w:r>
        <w:rPr>
          <w:rFonts w:cstheme="minorHAnsi"/>
          <w:bCs/>
          <w:sz w:val="24"/>
          <w:szCs w:val="24"/>
        </w:rPr>
        <w:t>s</w:t>
      </w:r>
      <w:r w:rsidRPr="00383571">
        <w:rPr>
          <w:rFonts w:cstheme="minorHAnsi"/>
          <w:bCs/>
          <w:sz w:val="24"/>
          <w:szCs w:val="24"/>
        </w:rPr>
        <w:t>, the Applicant has sufficiently outlined a case for improved health outcomes and has provided reasonable assurances of health equity.</w:t>
      </w:r>
    </w:p>
    <w:p w14:paraId="357F40A8" w14:textId="70F9C4F0" w:rsidR="00D95F91" w:rsidRDefault="00390246" w:rsidP="00390246">
      <w:pPr>
        <w:tabs>
          <w:tab w:val="left" w:pos="8040"/>
        </w:tabs>
      </w:pPr>
      <w:r>
        <w:tab/>
      </w:r>
    </w:p>
    <w:p w14:paraId="093D5F79" w14:textId="7F6FFE8B" w:rsidR="001151AB" w:rsidRPr="00F32829" w:rsidRDefault="00F32829">
      <w:pPr>
        <w:rPr>
          <w:b/>
          <w:bCs/>
          <w:sz w:val="28"/>
          <w:szCs w:val="28"/>
        </w:rPr>
      </w:pPr>
      <w:r w:rsidRPr="00F32829">
        <w:rPr>
          <w:b/>
          <w:bCs/>
          <w:sz w:val="28"/>
          <w:szCs w:val="28"/>
        </w:rPr>
        <w:t>Factor 1: c) Efficiency, Continuity of Care, Coordination of Care</w:t>
      </w:r>
    </w:p>
    <w:p w14:paraId="5A1A545B" w14:textId="1E63BE43" w:rsidR="00D33D1C" w:rsidRPr="00A1660C" w:rsidRDefault="00D33D1C" w:rsidP="00A1660C">
      <w:pPr>
        <w:spacing w:after="0" w:line="240" w:lineRule="auto"/>
        <w:rPr>
          <w:sz w:val="24"/>
          <w:szCs w:val="24"/>
        </w:rPr>
      </w:pPr>
      <w:r w:rsidRPr="00A1660C">
        <w:rPr>
          <w:sz w:val="24"/>
          <w:szCs w:val="24"/>
        </w:rPr>
        <w:t xml:space="preserve">The Applicant asserts that the Proposed Project will create </w:t>
      </w:r>
      <w:r w:rsidR="00BF7ED7" w:rsidRPr="00A1660C">
        <w:rPr>
          <w:sz w:val="24"/>
          <w:szCs w:val="24"/>
        </w:rPr>
        <w:t xml:space="preserve">improved perioperative workspaces </w:t>
      </w:r>
      <w:r w:rsidRPr="00A1660C">
        <w:rPr>
          <w:sz w:val="24"/>
          <w:szCs w:val="24"/>
        </w:rPr>
        <w:t xml:space="preserve">that </w:t>
      </w:r>
      <w:r w:rsidR="00BF7ED7" w:rsidRPr="00A1660C">
        <w:rPr>
          <w:sz w:val="24"/>
          <w:szCs w:val="24"/>
        </w:rPr>
        <w:t>will</w:t>
      </w:r>
      <w:r w:rsidR="00260CC8">
        <w:rPr>
          <w:sz w:val="24"/>
          <w:szCs w:val="24"/>
        </w:rPr>
        <w:t xml:space="preserve"> achieve the following</w:t>
      </w:r>
      <w:r w:rsidR="00656F20">
        <w:rPr>
          <w:sz w:val="24"/>
          <w:szCs w:val="24"/>
        </w:rPr>
        <w:t>:</w:t>
      </w:r>
    </w:p>
    <w:p w14:paraId="5B6072A6" w14:textId="7386E215" w:rsidR="00BF7ED7" w:rsidRPr="00A1660C" w:rsidRDefault="0034233E" w:rsidP="00430E8F">
      <w:pPr>
        <w:pStyle w:val="ListParagraph"/>
        <w:numPr>
          <w:ilvl w:val="0"/>
          <w:numId w:val="17"/>
        </w:numPr>
        <w:spacing w:after="0" w:line="240" w:lineRule="auto"/>
        <w:rPr>
          <w:sz w:val="24"/>
          <w:szCs w:val="24"/>
        </w:rPr>
      </w:pPr>
      <w:r>
        <w:rPr>
          <w:sz w:val="24"/>
          <w:szCs w:val="24"/>
        </w:rPr>
        <w:t>E</w:t>
      </w:r>
      <w:r w:rsidR="00BF7ED7" w:rsidRPr="00A1660C">
        <w:rPr>
          <w:sz w:val="24"/>
          <w:szCs w:val="24"/>
        </w:rPr>
        <w:t>nhance</w:t>
      </w:r>
      <w:r w:rsidR="00260CC8">
        <w:rPr>
          <w:sz w:val="24"/>
          <w:szCs w:val="24"/>
        </w:rPr>
        <w:t>d</w:t>
      </w:r>
      <w:r w:rsidR="00BF7ED7" w:rsidRPr="00A1660C">
        <w:rPr>
          <w:sz w:val="24"/>
          <w:szCs w:val="24"/>
        </w:rPr>
        <w:t xml:space="preserve"> pre- and post-operative communication and coordination with patients’ PCPs, surgeons and other providers resulting in greater efficiency and patient engagement</w:t>
      </w:r>
      <w:r w:rsidR="00656F20">
        <w:rPr>
          <w:sz w:val="24"/>
          <w:szCs w:val="24"/>
        </w:rPr>
        <w:t>.</w:t>
      </w:r>
    </w:p>
    <w:p w14:paraId="0789712A" w14:textId="351A8430" w:rsidR="009B1EB1" w:rsidRPr="00DC051D" w:rsidRDefault="00BF7ED7" w:rsidP="00DC051D">
      <w:pPr>
        <w:pStyle w:val="ListParagraph"/>
        <w:numPr>
          <w:ilvl w:val="0"/>
          <w:numId w:val="16"/>
        </w:numPr>
        <w:spacing w:after="0" w:line="240" w:lineRule="auto"/>
        <w:rPr>
          <w:sz w:val="24"/>
          <w:szCs w:val="24"/>
        </w:rPr>
      </w:pPr>
      <w:r w:rsidRPr="00A1660C">
        <w:rPr>
          <w:sz w:val="24"/>
          <w:szCs w:val="24"/>
        </w:rPr>
        <w:t>Improve</w:t>
      </w:r>
      <w:r w:rsidR="00260CC8">
        <w:rPr>
          <w:sz w:val="24"/>
          <w:szCs w:val="24"/>
        </w:rPr>
        <w:t>d</w:t>
      </w:r>
      <w:r w:rsidRPr="00A1660C">
        <w:rPr>
          <w:sz w:val="24"/>
          <w:szCs w:val="24"/>
        </w:rPr>
        <w:t xml:space="preserve"> communication among surgical staff </w:t>
      </w:r>
      <w:r w:rsidR="00D33D1C" w:rsidRPr="00A1660C">
        <w:rPr>
          <w:sz w:val="24"/>
          <w:szCs w:val="24"/>
        </w:rPr>
        <w:t xml:space="preserve">between cases </w:t>
      </w:r>
      <w:r w:rsidRPr="00A1660C">
        <w:rPr>
          <w:sz w:val="24"/>
          <w:szCs w:val="24"/>
        </w:rPr>
        <w:t>which will improve overall program efficiency</w:t>
      </w:r>
      <w:r w:rsidR="00D33D1C" w:rsidRPr="00A1660C">
        <w:rPr>
          <w:sz w:val="24"/>
          <w:szCs w:val="24"/>
        </w:rPr>
        <w:t xml:space="preserve"> and help to facilitate communication with patients’ families waiting for updates</w:t>
      </w:r>
      <w:r w:rsidR="002E7B77">
        <w:rPr>
          <w:sz w:val="24"/>
          <w:szCs w:val="24"/>
        </w:rPr>
        <w:t>.</w:t>
      </w:r>
      <w:r w:rsidR="00D33D1C" w:rsidRPr="00A1660C">
        <w:rPr>
          <w:sz w:val="24"/>
          <w:szCs w:val="24"/>
        </w:rPr>
        <w:t xml:space="preserve">  </w:t>
      </w:r>
    </w:p>
    <w:p w14:paraId="77F9D710" w14:textId="351B6F49" w:rsidR="009A7BBE" w:rsidRDefault="00D33D1C" w:rsidP="00D33D1C">
      <w:pPr>
        <w:spacing w:line="240" w:lineRule="auto"/>
        <w:rPr>
          <w:sz w:val="24"/>
          <w:szCs w:val="24"/>
        </w:rPr>
      </w:pPr>
      <w:r>
        <w:rPr>
          <w:sz w:val="24"/>
          <w:szCs w:val="24"/>
        </w:rPr>
        <w:t>The Applicant states that</w:t>
      </w:r>
      <w:r w:rsidR="00922306">
        <w:rPr>
          <w:sz w:val="24"/>
          <w:szCs w:val="24"/>
        </w:rPr>
        <w:t xml:space="preserve"> it launched</w:t>
      </w:r>
      <w:r>
        <w:rPr>
          <w:sz w:val="24"/>
          <w:szCs w:val="24"/>
        </w:rPr>
        <w:t xml:space="preserve"> </w:t>
      </w:r>
      <w:r w:rsidR="009A7BBE" w:rsidRPr="00D33D1C">
        <w:rPr>
          <w:sz w:val="24"/>
          <w:szCs w:val="24"/>
        </w:rPr>
        <w:t>Meditech</w:t>
      </w:r>
      <w:r>
        <w:rPr>
          <w:sz w:val="24"/>
          <w:szCs w:val="24"/>
        </w:rPr>
        <w:t>’s new</w:t>
      </w:r>
      <w:r w:rsidR="009A7BBE" w:rsidRPr="00D33D1C">
        <w:rPr>
          <w:sz w:val="24"/>
          <w:szCs w:val="24"/>
        </w:rPr>
        <w:t xml:space="preserve"> electronic health record (EHR)</w:t>
      </w:r>
      <w:r w:rsidR="00F844C3">
        <w:rPr>
          <w:sz w:val="24"/>
          <w:szCs w:val="24"/>
        </w:rPr>
        <w:t xml:space="preserve"> </w:t>
      </w:r>
      <w:r w:rsidR="009A7BBE" w:rsidRPr="00D33D1C">
        <w:rPr>
          <w:sz w:val="24"/>
          <w:szCs w:val="24"/>
        </w:rPr>
        <w:t>in February 2021</w:t>
      </w:r>
      <w:r w:rsidR="00F844C3">
        <w:rPr>
          <w:sz w:val="24"/>
          <w:szCs w:val="24"/>
        </w:rPr>
        <w:t xml:space="preserve">. It </w:t>
      </w:r>
      <w:r w:rsidR="009A7BBE" w:rsidRPr="00D33D1C">
        <w:rPr>
          <w:sz w:val="24"/>
          <w:szCs w:val="24"/>
        </w:rPr>
        <w:t xml:space="preserve">provides functionality and access to amalgamated patient health </w:t>
      </w:r>
      <w:r w:rsidR="009B1EB1" w:rsidRPr="00D33D1C">
        <w:rPr>
          <w:sz w:val="24"/>
          <w:szCs w:val="24"/>
        </w:rPr>
        <w:t>information</w:t>
      </w:r>
      <w:r w:rsidR="00DF3C75">
        <w:rPr>
          <w:sz w:val="24"/>
          <w:szCs w:val="24"/>
        </w:rPr>
        <w:t xml:space="preserve"> that</w:t>
      </w:r>
      <w:r w:rsidR="009A7BBE" w:rsidRPr="00D33D1C">
        <w:rPr>
          <w:sz w:val="24"/>
          <w:szCs w:val="24"/>
        </w:rPr>
        <w:t xml:space="preserve"> is regularly reviewed by surgeons and anesthesiologists</w:t>
      </w:r>
      <w:r>
        <w:rPr>
          <w:sz w:val="24"/>
          <w:szCs w:val="24"/>
        </w:rPr>
        <w:t xml:space="preserve">, </w:t>
      </w:r>
      <w:r w:rsidR="00DF3C75">
        <w:rPr>
          <w:sz w:val="24"/>
          <w:szCs w:val="24"/>
        </w:rPr>
        <w:t xml:space="preserve">has the </w:t>
      </w:r>
      <w:r>
        <w:rPr>
          <w:sz w:val="24"/>
          <w:szCs w:val="24"/>
        </w:rPr>
        <w:t>f</w:t>
      </w:r>
      <w:r w:rsidR="009A7BBE" w:rsidRPr="00D33D1C">
        <w:rPr>
          <w:sz w:val="24"/>
          <w:szCs w:val="24"/>
        </w:rPr>
        <w:t>unctionality for surgeons to share post-operative notes and instructions with PCPs and patients</w:t>
      </w:r>
      <w:r>
        <w:rPr>
          <w:sz w:val="24"/>
          <w:szCs w:val="24"/>
        </w:rPr>
        <w:t xml:space="preserve">, and </w:t>
      </w:r>
      <w:r w:rsidR="00DF3C75">
        <w:rPr>
          <w:sz w:val="24"/>
          <w:szCs w:val="24"/>
        </w:rPr>
        <w:t xml:space="preserve">provides </w:t>
      </w:r>
      <w:r>
        <w:rPr>
          <w:sz w:val="24"/>
          <w:szCs w:val="24"/>
        </w:rPr>
        <w:t>immediate p</w:t>
      </w:r>
      <w:r w:rsidR="009A7BBE" w:rsidRPr="00D33D1C">
        <w:rPr>
          <w:sz w:val="24"/>
          <w:szCs w:val="24"/>
        </w:rPr>
        <w:t>atient</w:t>
      </w:r>
      <w:r>
        <w:rPr>
          <w:sz w:val="24"/>
          <w:szCs w:val="24"/>
        </w:rPr>
        <w:t xml:space="preserve"> </w:t>
      </w:r>
      <w:r w:rsidR="009A7BBE" w:rsidRPr="00D33D1C">
        <w:rPr>
          <w:sz w:val="24"/>
          <w:szCs w:val="24"/>
        </w:rPr>
        <w:t xml:space="preserve">access to provider notes and most diagnostic test results. </w:t>
      </w:r>
    </w:p>
    <w:p w14:paraId="38ACFA0D" w14:textId="30C0198E" w:rsidR="00637B0F" w:rsidRDefault="000D172A" w:rsidP="00BF7ED7">
      <w:pPr>
        <w:spacing w:line="240" w:lineRule="auto"/>
        <w:rPr>
          <w:b/>
          <w:bCs/>
          <w:i/>
          <w:iCs/>
          <w:sz w:val="24"/>
          <w:szCs w:val="24"/>
        </w:rPr>
      </w:pPr>
      <w:r w:rsidRPr="00BF7ED7">
        <w:rPr>
          <w:b/>
          <w:bCs/>
          <w:i/>
          <w:iCs/>
          <w:sz w:val="24"/>
          <w:szCs w:val="24"/>
        </w:rPr>
        <w:t>Analysis</w:t>
      </w:r>
    </w:p>
    <w:p w14:paraId="539934C8" w14:textId="3E43B4F3" w:rsidR="00F55D8B" w:rsidRPr="009A4375" w:rsidRDefault="00F55D8B" w:rsidP="00BF7ED7">
      <w:pPr>
        <w:spacing w:line="240" w:lineRule="auto"/>
        <w:rPr>
          <w:sz w:val="24"/>
          <w:szCs w:val="24"/>
        </w:rPr>
      </w:pPr>
      <w:r w:rsidRPr="009A4375">
        <w:rPr>
          <w:sz w:val="24"/>
          <w:szCs w:val="24"/>
        </w:rPr>
        <w:t>Staff finds that the EHR system will support continuity and coordination of care for surgical patients. Studies show that integrated health information technology systems directly affect health outcomes, as access to a single, integrated health record improves care coordination, can reduce errors, improve patient safety, and thus lead to better patient outcomes</w:t>
      </w:r>
      <w:r w:rsidRPr="002224D7">
        <w:rPr>
          <w:sz w:val="24"/>
          <w:szCs w:val="24"/>
        </w:rPr>
        <w:t>.</w:t>
      </w:r>
      <w:r w:rsidR="009022C8" w:rsidRPr="00260CC8">
        <w:rPr>
          <w:rStyle w:val="EndnoteReference"/>
          <w:sz w:val="24"/>
          <w:szCs w:val="24"/>
        </w:rPr>
        <w:endnoteReference w:id="16"/>
      </w:r>
      <w:r w:rsidR="00260CC8" w:rsidRPr="00260CC8">
        <w:rPr>
          <w:sz w:val="24"/>
          <w:szCs w:val="24"/>
          <w:vertAlign w:val="superscript"/>
        </w:rPr>
        <w:t>,</w:t>
      </w:r>
      <w:r w:rsidR="009A4375" w:rsidRPr="00260CC8">
        <w:rPr>
          <w:rStyle w:val="EndnoteReference"/>
          <w:sz w:val="24"/>
          <w:szCs w:val="24"/>
        </w:rPr>
        <w:endnoteReference w:id="17"/>
      </w:r>
    </w:p>
    <w:p w14:paraId="7723F82E" w14:textId="77777777" w:rsidR="00260CC8" w:rsidRDefault="00260CC8" w:rsidP="007B5D5B">
      <w:pPr>
        <w:spacing w:after="0" w:line="240" w:lineRule="auto"/>
        <w:rPr>
          <w:b/>
          <w:bCs/>
          <w:sz w:val="28"/>
          <w:szCs w:val="28"/>
        </w:rPr>
      </w:pPr>
    </w:p>
    <w:p w14:paraId="407618B6" w14:textId="4681A857" w:rsidR="007B5D5B" w:rsidRDefault="007B5D5B" w:rsidP="007B5D5B">
      <w:pPr>
        <w:spacing w:after="0" w:line="240" w:lineRule="auto"/>
        <w:rPr>
          <w:b/>
          <w:bCs/>
          <w:sz w:val="28"/>
          <w:szCs w:val="28"/>
        </w:rPr>
      </w:pPr>
      <w:r w:rsidRPr="007B5D5B">
        <w:rPr>
          <w:b/>
          <w:bCs/>
          <w:sz w:val="28"/>
          <w:szCs w:val="28"/>
        </w:rPr>
        <w:t xml:space="preserve">Factor 1: d) Consultation </w:t>
      </w:r>
    </w:p>
    <w:p w14:paraId="6D50021A" w14:textId="0EF3F7CC" w:rsidR="007B5D5B" w:rsidRPr="007B5D5B" w:rsidRDefault="007B5D5B" w:rsidP="00667357">
      <w:pPr>
        <w:spacing w:after="0" w:line="240" w:lineRule="auto"/>
        <w:rPr>
          <w:sz w:val="24"/>
          <w:szCs w:val="24"/>
        </w:rPr>
      </w:pPr>
      <w:r w:rsidRPr="007B5D5B">
        <w:rPr>
          <w:sz w:val="24"/>
          <w:szCs w:val="24"/>
        </w:rPr>
        <w:t>The Applicant has provided evidence of consultation, both prior to and after the Filing Date, with all government agencies that have licensure, certification, or other regulatory oversight, which has been done and will not be addressed further in this report.</w:t>
      </w:r>
    </w:p>
    <w:p w14:paraId="01FCF5A7" w14:textId="77777777" w:rsidR="00EE3BBC" w:rsidRDefault="00EE3BBC" w:rsidP="00D10C13">
      <w:pPr>
        <w:spacing w:after="0" w:line="240" w:lineRule="auto"/>
        <w:rPr>
          <w:b/>
          <w:bCs/>
          <w:sz w:val="28"/>
          <w:szCs w:val="28"/>
        </w:rPr>
      </w:pPr>
    </w:p>
    <w:p w14:paraId="2950A273" w14:textId="63670378" w:rsidR="00D10C13" w:rsidRDefault="00D10C13" w:rsidP="00D10C13">
      <w:pPr>
        <w:spacing w:after="0" w:line="240" w:lineRule="auto"/>
      </w:pPr>
      <w:r w:rsidRPr="00D10C13">
        <w:rPr>
          <w:b/>
          <w:bCs/>
          <w:sz w:val="28"/>
          <w:szCs w:val="28"/>
        </w:rPr>
        <w:lastRenderedPageBreak/>
        <w:t xml:space="preserve">Factor 1: e) Evidence of Sound Community Engagement through the Patient Panel </w:t>
      </w:r>
    </w:p>
    <w:p w14:paraId="21C7E0B3" w14:textId="679EC2B7" w:rsidR="00D95F91" w:rsidRPr="0057038C" w:rsidRDefault="00D10C13" w:rsidP="00667357">
      <w:pPr>
        <w:spacing w:after="0" w:line="240" w:lineRule="auto"/>
        <w:rPr>
          <w:sz w:val="24"/>
          <w:szCs w:val="24"/>
        </w:rPr>
      </w:pPr>
      <w:r w:rsidRPr="0057038C">
        <w:rPr>
          <w:sz w:val="24"/>
          <w:szCs w:val="24"/>
        </w:rPr>
        <w:t>The Department’s Guideline</w:t>
      </w:r>
      <w:r w:rsidRPr="0057038C">
        <w:rPr>
          <w:rStyle w:val="FootnoteReference"/>
          <w:sz w:val="24"/>
          <w:szCs w:val="24"/>
        </w:rPr>
        <w:footnoteReference w:id="29"/>
      </w:r>
      <w:r w:rsidRPr="0057038C">
        <w:rPr>
          <w:sz w:val="24"/>
          <w:szCs w:val="24"/>
        </w:rPr>
        <w:t xml:space="preserve"> for community engagement defines “community” as the Patient Panel, and requires that at minimum, the Applicant must “consult” with groups representative of the Applicant</w:t>
      </w:r>
      <w:r w:rsidR="00C726F3">
        <w:rPr>
          <w:sz w:val="24"/>
          <w:szCs w:val="24"/>
        </w:rPr>
        <w:t>’</w:t>
      </w:r>
      <w:r w:rsidRPr="0057038C">
        <w:rPr>
          <w:sz w:val="24"/>
          <w:szCs w:val="24"/>
        </w:rPr>
        <w:t>s Patient Panel. Regulations state that efforts in such consultation should consist of engaging “community coalitions statistically representative of the Patient Panel.”</w:t>
      </w:r>
      <w:r w:rsidRPr="0057038C">
        <w:rPr>
          <w:rStyle w:val="FootnoteReference"/>
          <w:sz w:val="24"/>
          <w:szCs w:val="24"/>
        </w:rPr>
        <w:footnoteReference w:id="30"/>
      </w:r>
    </w:p>
    <w:p w14:paraId="2219CDD5" w14:textId="681CDAD1" w:rsidR="00702A9C" w:rsidRDefault="00D10C13" w:rsidP="00702A9C">
      <w:pPr>
        <w:rPr>
          <w:sz w:val="24"/>
          <w:szCs w:val="24"/>
        </w:rPr>
      </w:pPr>
      <w:r>
        <w:t xml:space="preserve"> </w:t>
      </w:r>
    </w:p>
    <w:p w14:paraId="7F5E8844" w14:textId="693991F1" w:rsidR="00D95F91" w:rsidRDefault="00D10C13" w:rsidP="002224D7">
      <w:pPr>
        <w:rPr>
          <w:sz w:val="24"/>
          <w:szCs w:val="24"/>
        </w:rPr>
      </w:pPr>
      <w:r w:rsidRPr="00667357">
        <w:rPr>
          <w:sz w:val="24"/>
          <w:szCs w:val="24"/>
        </w:rPr>
        <w:t>To ensure sound community engagement throughout the development of the Proposed Project, the Applicant took the following actions</w:t>
      </w:r>
      <w:r w:rsidR="009B1FAF">
        <w:rPr>
          <w:sz w:val="24"/>
          <w:szCs w:val="24"/>
        </w:rPr>
        <w:t xml:space="preserve"> listed below in Table </w:t>
      </w:r>
      <w:r w:rsidR="007E04D6">
        <w:rPr>
          <w:sz w:val="24"/>
          <w:szCs w:val="24"/>
        </w:rPr>
        <w:t>10</w:t>
      </w:r>
      <w:r w:rsidR="00251E19">
        <w:rPr>
          <w:sz w:val="24"/>
          <w:szCs w:val="24"/>
        </w:rPr>
        <w:t>.</w:t>
      </w:r>
    </w:p>
    <w:p w14:paraId="3CFC6CE8" w14:textId="5B6E150B" w:rsidR="000A4439" w:rsidRPr="000A4439" w:rsidRDefault="000A4439" w:rsidP="000A4439">
      <w:pPr>
        <w:spacing w:line="240" w:lineRule="auto"/>
        <w:jc w:val="center"/>
        <w:rPr>
          <w:b/>
          <w:bCs/>
          <w:sz w:val="24"/>
          <w:szCs w:val="24"/>
        </w:rPr>
      </w:pPr>
      <w:r w:rsidRPr="002224D7">
        <w:rPr>
          <w:b/>
          <w:bCs/>
          <w:sz w:val="24"/>
          <w:szCs w:val="24"/>
        </w:rPr>
        <w:t xml:space="preserve">Table </w:t>
      </w:r>
      <w:r w:rsidR="007E04D6">
        <w:rPr>
          <w:b/>
          <w:bCs/>
          <w:sz w:val="24"/>
          <w:szCs w:val="24"/>
        </w:rPr>
        <w:t>10</w:t>
      </w:r>
      <w:r w:rsidRPr="002224D7">
        <w:rPr>
          <w:b/>
          <w:bCs/>
          <w:sz w:val="24"/>
          <w:szCs w:val="24"/>
        </w:rPr>
        <w:t>: Community Engagement Activities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309"/>
        <w:gridCol w:w="2041"/>
      </w:tblGrid>
      <w:tr w:rsidR="007B5926" w:rsidRPr="00F81896" w14:paraId="4BEBC44A" w14:textId="77777777" w:rsidTr="00D73D54">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2F2F2"/>
          </w:tcPr>
          <w:p w14:paraId="46576C3D" w14:textId="77777777" w:rsidR="007B5926" w:rsidRPr="00133B2B" w:rsidRDefault="007B5926" w:rsidP="002224D7">
            <w:pPr>
              <w:spacing w:after="0" w:line="240" w:lineRule="auto"/>
              <w:jc w:val="center"/>
              <w:rPr>
                <w:rFonts w:ascii="Calibri" w:eastAsia="Calibri" w:hAnsi="Calibri" w:cs="Calibri"/>
                <w:b/>
              </w:rPr>
            </w:pPr>
            <w:r w:rsidRPr="00133B2B">
              <w:rPr>
                <w:rFonts w:ascii="Calibri" w:eastAsia="Calibri" w:hAnsi="Calibri" w:cs="Calibri"/>
                <w:b/>
              </w:rPr>
              <w:t>Event/Meeting</w:t>
            </w:r>
          </w:p>
        </w:tc>
        <w:tc>
          <w:tcPr>
            <w:tcW w:w="0" w:type="auto"/>
            <w:tcBorders>
              <w:top w:val="single" w:sz="4" w:space="0" w:color="000000"/>
              <w:left w:val="single" w:sz="4" w:space="0" w:color="000000"/>
              <w:bottom w:val="single" w:sz="4" w:space="0" w:color="000000"/>
              <w:right w:val="single" w:sz="4" w:space="0" w:color="000000"/>
            </w:tcBorders>
            <w:shd w:val="clear" w:color="auto" w:fill="F2F2F2"/>
          </w:tcPr>
          <w:p w14:paraId="22E02F70" w14:textId="77777777" w:rsidR="007B5926" w:rsidRPr="00105257" w:rsidRDefault="007B5926" w:rsidP="002224D7">
            <w:pPr>
              <w:spacing w:after="0" w:line="240" w:lineRule="auto"/>
              <w:jc w:val="center"/>
              <w:rPr>
                <w:rFonts w:ascii="Calibri" w:eastAsia="Calibri" w:hAnsi="Calibri" w:cs="Calibri"/>
                <w:b/>
              </w:rPr>
            </w:pPr>
            <w:r w:rsidRPr="00105257">
              <w:rPr>
                <w:rFonts w:ascii="Calibri" w:eastAsia="Calibri" w:hAnsi="Calibri" w:cs="Calibri"/>
                <w:b/>
              </w:rPr>
              <w:t>Date Completed</w:t>
            </w:r>
          </w:p>
        </w:tc>
      </w:tr>
      <w:tr w:rsidR="007B5926" w:rsidRPr="00F81896" w14:paraId="1A6ADC78" w14:textId="77777777" w:rsidTr="00D73D54">
        <w:trPr>
          <w:jc w:val="center"/>
        </w:trPr>
        <w:tc>
          <w:tcPr>
            <w:tcW w:w="0" w:type="auto"/>
            <w:tcBorders>
              <w:top w:val="single" w:sz="4" w:space="0" w:color="000000"/>
              <w:left w:val="single" w:sz="4" w:space="0" w:color="000000"/>
              <w:bottom w:val="single" w:sz="4" w:space="0" w:color="000000"/>
              <w:right w:val="single" w:sz="4" w:space="0" w:color="000000"/>
            </w:tcBorders>
          </w:tcPr>
          <w:p w14:paraId="2ED63103" w14:textId="400DAAEB" w:rsidR="007B5926" w:rsidRPr="00F81896" w:rsidRDefault="007B5926" w:rsidP="007B5926">
            <w:pPr>
              <w:spacing w:after="0" w:line="240" w:lineRule="auto"/>
              <w:rPr>
                <w:rFonts w:ascii="Calibri" w:eastAsia="Calibri" w:hAnsi="Calibri" w:cs="Calibri"/>
                <w:bCs/>
              </w:rPr>
            </w:pPr>
            <w:r w:rsidRPr="00F81896">
              <w:rPr>
                <w:rFonts w:ascii="Calibri" w:eastAsia="Calibri" w:hAnsi="Calibri" w:cs="Calibri"/>
                <w:bCs/>
              </w:rPr>
              <w:t>Patient Family Advisory Council</w:t>
            </w:r>
            <w:r w:rsidR="005D04D5">
              <w:rPr>
                <w:rFonts w:ascii="Calibri" w:eastAsia="Calibri" w:hAnsi="Calibri" w:cs="Calibri"/>
                <w:bCs/>
              </w:rPr>
              <w:t xml:space="preserve"> (PFAC)</w:t>
            </w:r>
          </w:p>
        </w:tc>
        <w:tc>
          <w:tcPr>
            <w:tcW w:w="0" w:type="auto"/>
            <w:tcBorders>
              <w:top w:val="single" w:sz="4" w:space="0" w:color="000000"/>
              <w:left w:val="single" w:sz="4" w:space="0" w:color="000000"/>
              <w:bottom w:val="single" w:sz="4" w:space="0" w:color="000000"/>
              <w:right w:val="single" w:sz="4" w:space="0" w:color="000000"/>
            </w:tcBorders>
          </w:tcPr>
          <w:p w14:paraId="6A2309AB" w14:textId="6E7DF96C" w:rsidR="007B5926" w:rsidRPr="00F81896" w:rsidRDefault="007B5926" w:rsidP="007B5926">
            <w:pPr>
              <w:spacing w:after="0" w:line="240" w:lineRule="auto"/>
              <w:rPr>
                <w:rFonts w:ascii="Calibri" w:eastAsia="Calibri" w:hAnsi="Calibri" w:cs="Calibri"/>
                <w:bCs/>
              </w:rPr>
            </w:pPr>
            <w:r w:rsidRPr="00F81896">
              <w:rPr>
                <w:rFonts w:ascii="Calibri" w:eastAsia="Calibri" w:hAnsi="Calibri" w:cs="Calibri"/>
                <w:bCs/>
              </w:rPr>
              <w:t>09/22/2020</w:t>
            </w:r>
            <w:r w:rsidR="005D04D5">
              <w:rPr>
                <w:rFonts w:ascii="Calibri" w:eastAsia="Calibri" w:hAnsi="Calibri" w:cs="Calibri"/>
                <w:bCs/>
              </w:rPr>
              <w:t xml:space="preserve"> and </w:t>
            </w:r>
            <w:r w:rsidR="005D04D5" w:rsidRPr="005D04D5">
              <w:rPr>
                <w:rFonts w:ascii="Calibri" w:eastAsia="Calibri" w:hAnsi="Calibri" w:cs="Calibri"/>
                <w:bCs/>
              </w:rPr>
              <w:t>10/20/2020</w:t>
            </w:r>
          </w:p>
        </w:tc>
      </w:tr>
      <w:tr w:rsidR="00BF4B40" w:rsidRPr="00F81896" w14:paraId="271FE2D9" w14:textId="77777777" w:rsidTr="00D73D54">
        <w:trPr>
          <w:jc w:val="center"/>
        </w:trPr>
        <w:tc>
          <w:tcPr>
            <w:tcW w:w="0" w:type="auto"/>
            <w:tcBorders>
              <w:top w:val="single" w:sz="4" w:space="0" w:color="000000"/>
              <w:left w:val="single" w:sz="4" w:space="0" w:color="000000"/>
              <w:bottom w:val="single" w:sz="4" w:space="0" w:color="000000"/>
              <w:right w:val="single" w:sz="4" w:space="0" w:color="000000"/>
            </w:tcBorders>
          </w:tcPr>
          <w:p w14:paraId="0C680C81" w14:textId="77777777" w:rsidR="00BF4B40" w:rsidRPr="00F81896" w:rsidRDefault="00BF4B40" w:rsidP="00BF4B40">
            <w:pPr>
              <w:spacing w:after="0" w:line="240" w:lineRule="auto"/>
              <w:rPr>
                <w:rFonts w:ascii="Calibri" w:eastAsia="Calibri" w:hAnsi="Calibri" w:cs="Calibri"/>
                <w:bCs/>
              </w:rPr>
            </w:pPr>
            <w:r w:rsidRPr="00F81896">
              <w:rPr>
                <w:rFonts w:ascii="Calibri" w:eastAsia="Calibri" w:hAnsi="Calibri" w:cs="Calibri"/>
                <w:bCs/>
              </w:rPr>
              <w:t xml:space="preserve">Gardner City Council Meetings </w:t>
            </w:r>
          </w:p>
          <w:p w14:paraId="27FD539B" w14:textId="0EB47700" w:rsidR="00BF4B40" w:rsidRPr="00F81896" w:rsidRDefault="00BF4B40" w:rsidP="00BF4B40">
            <w:pPr>
              <w:spacing w:after="0" w:line="240" w:lineRule="auto"/>
              <w:rPr>
                <w:rFonts w:ascii="Calibri" w:eastAsia="Calibri" w:hAnsi="Calibri" w:cs="Calibri"/>
                <w:bCs/>
              </w:rPr>
            </w:pPr>
            <w:r w:rsidRPr="00F81896">
              <w:rPr>
                <w:rFonts w:ascii="Calibri" w:eastAsia="Calibri" w:hAnsi="Calibri" w:cs="Calibri"/>
                <w:bCs/>
              </w:rPr>
              <w:t>The Proposed Project was presented discussed and voted on at the televised meetings. Additional information about the Proposed Project was shared on the City of Gardner’s website and YouTube channel.</w:t>
            </w:r>
          </w:p>
        </w:tc>
        <w:tc>
          <w:tcPr>
            <w:tcW w:w="0" w:type="auto"/>
            <w:tcBorders>
              <w:top w:val="single" w:sz="4" w:space="0" w:color="000000"/>
              <w:left w:val="single" w:sz="4" w:space="0" w:color="000000"/>
              <w:bottom w:val="single" w:sz="4" w:space="0" w:color="000000"/>
              <w:right w:val="single" w:sz="4" w:space="0" w:color="000000"/>
            </w:tcBorders>
          </w:tcPr>
          <w:p w14:paraId="3C7D1F20" w14:textId="59596B33" w:rsidR="00BF4B40" w:rsidRPr="00F81896" w:rsidRDefault="00BF4B40" w:rsidP="007B5926">
            <w:pPr>
              <w:spacing w:after="0" w:line="240" w:lineRule="auto"/>
              <w:rPr>
                <w:rFonts w:ascii="Calibri" w:eastAsia="Calibri" w:hAnsi="Calibri" w:cs="Calibri"/>
                <w:bCs/>
              </w:rPr>
            </w:pPr>
            <w:r w:rsidRPr="00F81896">
              <w:rPr>
                <w:rFonts w:ascii="Calibri" w:eastAsia="Calibri" w:hAnsi="Calibri" w:cs="Calibri"/>
                <w:bCs/>
              </w:rPr>
              <w:t>10/19/2020, and 12/14/2020.</w:t>
            </w:r>
          </w:p>
        </w:tc>
      </w:tr>
      <w:tr w:rsidR="00251E19" w:rsidRPr="00F81896" w14:paraId="25AC3A6A" w14:textId="77777777" w:rsidTr="00D73D54">
        <w:trPr>
          <w:jc w:val="center"/>
        </w:trPr>
        <w:tc>
          <w:tcPr>
            <w:tcW w:w="0" w:type="auto"/>
            <w:tcBorders>
              <w:top w:val="single" w:sz="4" w:space="0" w:color="000000"/>
              <w:left w:val="single" w:sz="4" w:space="0" w:color="000000"/>
              <w:bottom w:val="single" w:sz="4" w:space="0" w:color="000000"/>
              <w:right w:val="single" w:sz="4" w:space="0" w:color="000000"/>
            </w:tcBorders>
          </w:tcPr>
          <w:p w14:paraId="0A9E946C" w14:textId="4D9A0541" w:rsidR="00251E19" w:rsidRPr="00F81896" w:rsidRDefault="00251E19" w:rsidP="00251E19">
            <w:pPr>
              <w:spacing w:after="0" w:line="240" w:lineRule="auto"/>
              <w:rPr>
                <w:rFonts w:ascii="Calibri" w:eastAsia="Calibri" w:hAnsi="Calibri" w:cs="Calibri"/>
                <w:bCs/>
              </w:rPr>
            </w:pPr>
            <w:r w:rsidRPr="00F81896">
              <w:rPr>
                <w:rFonts w:ascii="Calibri" w:eastAsia="Calibri" w:hAnsi="Calibri" w:cs="Calibri"/>
                <w:bCs/>
              </w:rPr>
              <w:t xml:space="preserve">Community </w:t>
            </w:r>
            <w:r w:rsidR="001E2B14">
              <w:rPr>
                <w:rFonts w:ascii="Calibri" w:eastAsia="Calibri" w:hAnsi="Calibri" w:cs="Calibri"/>
                <w:bCs/>
              </w:rPr>
              <w:t>Based</w:t>
            </w:r>
            <w:r w:rsidRPr="00F81896">
              <w:rPr>
                <w:rFonts w:ascii="Calibri" w:eastAsia="Calibri" w:hAnsi="Calibri" w:cs="Calibri"/>
                <w:bCs/>
              </w:rPr>
              <w:t xml:space="preserve"> Advisory Committee (CBAC) Meetings</w:t>
            </w:r>
          </w:p>
          <w:p w14:paraId="39B77486" w14:textId="6BEBD6A0" w:rsidR="00251E19" w:rsidRPr="00F81896" w:rsidRDefault="00251E19" w:rsidP="007B5926">
            <w:pPr>
              <w:spacing w:after="0" w:line="240" w:lineRule="auto"/>
              <w:rPr>
                <w:rFonts w:ascii="Calibri" w:eastAsia="Calibri" w:hAnsi="Calibri" w:cs="Calibri"/>
                <w:bCs/>
              </w:rPr>
            </w:pPr>
            <w:r w:rsidRPr="00F81896">
              <w:rPr>
                <w:rFonts w:ascii="Calibri" w:eastAsia="Calibri" w:hAnsi="Calibri" w:cs="Calibri"/>
                <w:bCs/>
              </w:rPr>
              <w:t>The Vice President of Community Relations provided an update on the Proposed Project at the CBAC meetings</w:t>
            </w:r>
            <w:r w:rsidR="00811AE9" w:rsidRPr="00F81896">
              <w:rPr>
                <w:rFonts w:ascii="Calibri" w:eastAsia="Calibri" w:hAnsi="Calibri" w:cs="Calibri"/>
                <w:bCs/>
              </w:rPr>
              <w:t xml:space="preserve">. </w:t>
            </w:r>
            <w:r w:rsidRPr="00F81896">
              <w:rPr>
                <w:rFonts w:ascii="Calibri" w:eastAsia="Calibri" w:hAnsi="Calibri" w:cs="Calibri"/>
                <w:bCs/>
              </w:rPr>
              <w:t xml:space="preserve">The CBAC meets quarterly and the Applicant states that the project is a standing item for the committee and that feedback is incorporated for program expansion and improvement. </w:t>
            </w:r>
          </w:p>
        </w:tc>
        <w:tc>
          <w:tcPr>
            <w:tcW w:w="0" w:type="auto"/>
            <w:tcBorders>
              <w:top w:val="single" w:sz="4" w:space="0" w:color="000000"/>
              <w:left w:val="single" w:sz="4" w:space="0" w:color="000000"/>
              <w:bottom w:val="single" w:sz="4" w:space="0" w:color="000000"/>
              <w:right w:val="single" w:sz="4" w:space="0" w:color="000000"/>
            </w:tcBorders>
          </w:tcPr>
          <w:p w14:paraId="4DFE0901" w14:textId="69E45D07" w:rsidR="00251E19" w:rsidRPr="00F81896" w:rsidRDefault="00251E19" w:rsidP="007B5926">
            <w:pPr>
              <w:spacing w:after="0" w:line="240" w:lineRule="auto"/>
              <w:rPr>
                <w:rFonts w:ascii="Calibri" w:eastAsia="Calibri" w:hAnsi="Calibri" w:cs="Calibri"/>
                <w:bCs/>
              </w:rPr>
            </w:pPr>
            <w:r w:rsidRPr="00F81896">
              <w:rPr>
                <w:rFonts w:ascii="Calibri" w:eastAsia="Calibri" w:hAnsi="Calibri" w:cs="Calibri"/>
                <w:bCs/>
              </w:rPr>
              <w:t>09/20/2019, 3/26/2021</w:t>
            </w:r>
            <w:r w:rsidR="00723364">
              <w:rPr>
                <w:rFonts w:ascii="Calibri" w:eastAsia="Calibri" w:hAnsi="Calibri" w:cs="Calibri"/>
                <w:bCs/>
              </w:rPr>
              <w:t xml:space="preserve">, </w:t>
            </w:r>
            <w:r w:rsidR="00723364" w:rsidRPr="00723364">
              <w:rPr>
                <w:rFonts w:ascii="Calibri" w:eastAsia="Calibri" w:hAnsi="Calibri" w:cs="Calibri"/>
                <w:bCs/>
              </w:rPr>
              <w:t>05/24/2021</w:t>
            </w:r>
            <w:r w:rsidR="00723364">
              <w:rPr>
                <w:rFonts w:ascii="Calibri" w:eastAsia="Calibri" w:hAnsi="Calibri" w:cs="Calibri"/>
                <w:bCs/>
              </w:rPr>
              <w:t xml:space="preserve">, and </w:t>
            </w:r>
            <w:r w:rsidR="00723364" w:rsidRPr="00723364">
              <w:rPr>
                <w:rFonts w:ascii="Calibri" w:eastAsia="Calibri" w:hAnsi="Calibri" w:cs="Calibri"/>
                <w:bCs/>
              </w:rPr>
              <w:t>06/21/2021</w:t>
            </w:r>
          </w:p>
        </w:tc>
      </w:tr>
      <w:tr w:rsidR="00251E19" w:rsidRPr="00F81896" w14:paraId="784F2F48" w14:textId="77777777" w:rsidTr="00D73D54">
        <w:trPr>
          <w:jc w:val="center"/>
        </w:trPr>
        <w:tc>
          <w:tcPr>
            <w:tcW w:w="0" w:type="auto"/>
            <w:tcBorders>
              <w:top w:val="single" w:sz="4" w:space="0" w:color="000000"/>
              <w:left w:val="single" w:sz="4" w:space="0" w:color="000000"/>
              <w:bottom w:val="single" w:sz="4" w:space="0" w:color="000000"/>
              <w:right w:val="single" w:sz="4" w:space="0" w:color="000000"/>
            </w:tcBorders>
          </w:tcPr>
          <w:p w14:paraId="4BA11133" w14:textId="47803B01" w:rsidR="00251E19" w:rsidRPr="00133B2B" w:rsidRDefault="00251E19" w:rsidP="007B5926">
            <w:pPr>
              <w:spacing w:after="0" w:line="240" w:lineRule="auto"/>
              <w:rPr>
                <w:rFonts w:ascii="Calibri" w:eastAsia="Calibri" w:hAnsi="Calibri" w:cs="Calibri"/>
                <w:bCs/>
              </w:rPr>
            </w:pPr>
            <w:r w:rsidRPr="00F81896">
              <w:rPr>
                <w:rFonts w:ascii="Calibri" w:eastAsia="Calibri" w:hAnsi="Calibri" w:cs="Calibri"/>
                <w:bCs/>
              </w:rPr>
              <w:t>Heywood Hospital hosted a combined PFAC and Multicultural Committee meeting that included appropriate representation of Heywood’s Primary and Secondary Service Areas. The Multicultural Task Force, which has evolved into Heywood’s Diversity, Equity, and Inclusion (DEI) Committee, has membership from various Hospital Departments, from previous patients, families, and community agencies, in order to support representation from all groups with the Hospital’s catchment area.</w:t>
            </w:r>
            <w:r w:rsidRPr="00133B2B">
              <w:rPr>
                <w:rFonts w:ascii="Calibri" w:eastAsia="Calibri" w:hAnsi="Calibri" w:cs="Calibri"/>
                <w:bCs/>
                <w:vertAlign w:val="superscript"/>
              </w:rPr>
              <w:footnoteReference w:id="31"/>
            </w:r>
          </w:p>
        </w:tc>
        <w:tc>
          <w:tcPr>
            <w:tcW w:w="0" w:type="auto"/>
            <w:tcBorders>
              <w:top w:val="single" w:sz="4" w:space="0" w:color="000000"/>
              <w:left w:val="single" w:sz="4" w:space="0" w:color="000000"/>
              <w:bottom w:val="single" w:sz="4" w:space="0" w:color="000000"/>
              <w:right w:val="single" w:sz="4" w:space="0" w:color="000000"/>
            </w:tcBorders>
          </w:tcPr>
          <w:p w14:paraId="7D1DB900" w14:textId="6FB9B814" w:rsidR="00251E19" w:rsidRPr="00105257" w:rsidRDefault="00251E19" w:rsidP="007B5926">
            <w:pPr>
              <w:spacing w:after="0" w:line="240" w:lineRule="auto"/>
              <w:rPr>
                <w:rFonts w:ascii="Calibri" w:eastAsia="Calibri" w:hAnsi="Calibri" w:cs="Calibri"/>
                <w:bCs/>
              </w:rPr>
            </w:pPr>
            <w:r w:rsidRPr="00105257">
              <w:rPr>
                <w:rFonts w:ascii="Calibri" w:eastAsia="Calibri" w:hAnsi="Calibri" w:cs="Calibri"/>
                <w:bCs/>
              </w:rPr>
              <w:t>03/30/2021</w:t>
            </w:r>
          </w:p>
        </w:tc>
      </w:tr>
      <w:tr w:rsidR="00251E19" w:rsidRPr="00F81896" w14:paraId="79662514" w14:textId="77777777" w:rsidTr="00D73D54">
        <w:trPr>
          <w:jc w:val="center"/>
        </w:trPr>
        <w:tc>
          <w:tcPr>
            <w:tcW w:w="0" w:type="auto"/>
            <w:tcBorders>
              <w:top w:val="single" w:sz="4" w:space="0" w:color="000000"/>
              <w:left w:val="single" w:sz="4" w:space="0" w:color="000000"/>
              <w:bottom w:val="single" w:sz="4" w:space="0" w:color="000000"/>
              <w:right w:val="single" w:sz="4" w:space="0" w:color="000000"/>
            </w:tcBorders>
          </w:tcPr>
          <w:p w14:paraId="49BC6002" w14:textId="21FC94D9" w:rsidR="00251E19" w:rsidRPr="002224D7" w:rsidRDefault="00251E19" w:rsidP="007B5926">
            <w:pPr>
              <w:spacing w:after="0" w:line="240" w:lineRule="auto"/>
              <w:rPr>
                <w:rFonts w:ascii="Calibri" w:eastAsia="Calibri" w:hAnsi="Calibri" w:cs="Calibri"/>
                <w:b/>
                <w:bCs/>
              </w:rPr>
            </w:pPr>
            <w:r w:rsidRPr="00F81896">
              <w:rPr>
                <w:rFonts w:ascii="Calibri" w:eastAsia="Calibri" w:hAnsi="Calibri" w:cs="Calibri"/>
                <w:bCs/>
              </w:rPr>
              <w:t xml:space="preserve">Open public zoom meeting during which the Vice President of </w:t>
            </w:r>
            <w:r w:rsidR="00DB1776">
              <w:rPr>
                <w:rFonts w:ascii="Calibri" w:eastAsia="Calibri" w:hAnsi="Calibri" w:cs="Calibri"/>
                <w:bCs/>
              </w:rPr>
              <w:t>p</w:t>
            </w:r>
            <w:r w:rsidRPr="00F81896">
              <w:rPr>
                <w:rFonts w:ascii="Calibri" w:eastAsia="Calibri" w:hAnsi="Calibri" w:cs="Calibri"/>
                <w:bCs/>
              </w:rPr>
              <w:t xml:space="preserve">erioperative </w:t>
            </w:r>
            <w:r w:rsidR="009B5169">
              <w:rPr>
                <w:rFonts w:ascii="Calibri" w:eastAsia="Calibri" w:hAnsi="Calibri" w:cs="Calibri"/>
                <w:bCs/>
              </w:rPr>
              <w:t>s</w:t>
            </w:r>
            <w:r w:rsidRPr="00F81896">
              <w:rPr>
                <w:rFonts w:ascii="Calibri" w:eastAsia="Calibri" w:hAnsi="Calibri" w:cs="Calibri"/>
                <w:bCs/>
              </w:rPr>
              <w:t xml:space="preserve">ervices presented the Proposed Project and responded to questions. Eleven community members were in attendance and the Applicant states that the response was positive. </w:t>
            </w:r>
          </w:p>
        </w:tc>
        <w:tc>
          <w:tcPr>
            <w:tcW w:w="0" w:type="auto"/>
            <w:tcBorders>
              <w:top w:val="single" w:sz="4" w:space="0" w:color="000000"/>
              <w:left w:val="single" w:sz="4" w:space="0" w:color="000000"/>
              <w:bottom w:val="single" w:sz="4" w:space="0" w:color="000000"/>
              <w:right w:val="single" w:sz="4" w:space="0" w:color="000000"/>
            </w:tcBorders>
          </w:tcPr>
          <w:p w14:paraId="5ABC0058" w14:textId="2D3D8F40" w:rsidR="00251E19" w:rsidRPr="00133B2B" w:rsidRDefault="00251E19" w:rsidP="007B5926">
            <w:pPr>
              <w:spacing w:after="0" w:line="240" w:lineRule="auto"/>
              <w:rPr>
                <w:rFonts w:ascii="Calibri" w:eastAsia="Calibri" w:hAnsi="Calibri" w:cs="Calibri"/>
                <w:bCs/>
              </w:rPr>
            </w:pPr>
            <w:r w:rsidRPr="00133B2B">
              <w:rPr>
                <w:rFonts w:ascii="Calibri" w:eastAsia="Calibri" w:hAnsi="Calibri" w:cs="Calibri"/>
                <w:bCs/>
              </w:rPr>
              <w:t>4/14/2021</w:t>
            </w:r>
          </w:p>
        </w:tc>
      </w:tr>
      <w:tr w:rsidR="007B5926" w:rsidRPr="00F81896" w14:paraId="2D044DCB" w14:textId="77777777" w:rsidTr="00D73D54">
        <w:trPr>
          <w:jc w:val="center"/>
        </w:trPr>
        <w:tc>
          <w:tcPr>
            <w:tcW w:w="0" w:type="auto"/>
            <w:tcBorders>
              <w:top w:val="single" w:sz="4" w:space="0" w:color="000000"/>
              <w:left w:val="single" w:sz="4" w:space="0" w:color="000000"/>
              <w:bottom w:val="single" w:sz="4" w:space="0" w:color="000000"/>
              <w:right w:val="single" w:sz="4" w:space="0" w:color="000000"/>
            </w:tcBorders>
          </w:tcPr>
          <w:p w14:paraId="638A0EC6" w14:textId="77777777" w:rsidR="007B5926" w:rsidRPr="00F81896" w:rsidRDefault="007B5926" w:rsidP="007B5926">
            <w:pPr>
              <w:spacing w:after="0" w:line="240" w:lineRule="auto"/>
              <w:rPr>
                <w:rFonts w:ascii="Calibri" w:eastAsia="Calibri" w:hAnsi="Calibri" w:cs="Calibri"/>
                <w:bCs/>
              </w:rPr>
            </w:pPr>
            <w:r w:rsidRPr="00F81896">
              <w:rPr>
                <w:rFonts w:ascii="Calibri" w:eastAsia="Calibri" w:hAnsi="Calibri" w:cs="Calibri"/>
                <w:bCs/>
              </w:rPr>
              <w:t>Surgical Pavilion – Neighborhood Session</w:t>
            </w:r>
          </w:p>
        </w:tc>
        <w:tc>
          <w:tcPr>
            <w:tcW w:w="0" w:type="auto"/>
            <w:tcBorders>
              <w:top w:val="single" w:sz="4" w:space="0" w:color="000000"/>
              <w:left w:val="single" w:sz="4" w:space="0" w:color="000000"/>
              <w:bottom w:val="single" w:sz="4" w:space="0" w:color="000000"/>
              <w:right w:val="single" w:sz="4" w:space="0" w:color="000000"/>
            </w:tcBorders>
          </w:tcPr>
          <w:p w14:paraId="42659E93" w14:textId="77777777" w:rsidR="007B5926" w:rsidRPr="00F81896" w:rsidRDefault="007B5926" w:rsidP="007B5926">
            <w:pPr>
              <w:spacing w:after="0" w:line="240" w:lineRule="auto"/>
              <w:rPr>
                <w:rFonts w:ascii="Calibri" w:eastAsia="Calibri" w:hAnsi="Calibri" w:cs="Calibri"/>
                <w:bCs/>
              </w:rPr>
            </w:pPr>
            <w:r w:rsidRPr="00F81896">
              <w:rPr>
                <w:rFonts w:ascii="Calibri" w:eastAsia="Calibri" w:hAnsi="Calibri" w:cs="Calibri"/>
                <w:bCs/>
              </w:rPr>
              <w:t>06/16/2021</w:t>
            </w:r>
          </w:p>
        </w:tc>
      </w:tr>
      <w:tr w:rsidR="007B5926" w:rsidRPr="00F81896" w14:paraId="69EB31B3" w14:textId="77777777" w:rsidTr="00D73D54">
        <w:trPr>
          <w:jc w:val="center"/>
        </w:trPr>
        <w:tc>
          <w:tcPr>
            <w:tcW w:w="0" w:type="auto"/>
            <w:tcBorders>
              <w:top w:val="single" w:sz="4" w:space="0" w:color="000000"/>
              <w:left w:val="single" w:sz="4" w:space="0" w:color="000000"/>
              <w:bottom w:val="single" w:sz="4" w:space="0" w:color="000000"/>
              <w:right w:val="single" w:sz="4" w:space="0" w:color="000000"/>
            </w:tcBorders>
          </w:tcPr>
          <w:p w14:paraId="5F69156C" w14:textId="77777777" w:rsidR="007B5926" w:rsidRPr="00F81896" w:rsidRDefault="007B5926" w:rsidP="007B5926">
            <w:pPr>
              <w:spacing w:after="0" w:line="240" w:lineRule="auto"/>
              <w:rPr>
                <w:rFonts w:ascii="Calibri" w:eastAsia="Calibri" w:hAnsi="Calibri" w:cs="Calibri"/>
                <w:bCs/>
              </w:rPr>
            </w:pPr>
            <w:r w:rsidRPr="00F81896">
              <w:rPr>
                <w:rFonts w:ascii="Calibri" w:eastAsia="Calibri" w:hAnsi="Calibri" w:cs="Calibri"/>
                <w:bCs/>
              </w:rPr>
              <w:lastRenderedPageBreak/>
              <w:t>Surgical Pavilion Community Reception</w:t>
            </w:r>
          </w:p>
        </w:tc>
        <w:tc>
          <w:tcPr>
            <w:tcW w:w="0" w:type="auto"/>
            <w:tcBorders>
              <w:top w:val="single" w:sz="4" w:space="0" w:color="000000"/>
              <w:left w:val="single" w:sz="4" w:space="0" w:color="000000"/>
              <w:bottom w:val="single" w:sz="4" w:space="0" w:color="000000"/>
              <w:right w:val="single" w:sz="4" w:space="0" w:color="000000"/>
            </w:tcBorders>
          </w:tcPr>
          <w:p w14:paraId="5D67B469" w14:textId="77777777" w:rsidR="007B5926" w:rsidRPr="00F81896" w:rsidRDefault="007B5926" w:rsidP="007B5926">
            <w:pPr>
              <w:spacing w:after="0" w:line="240" w:lineRule="auto"/>
              <w:rPr>
                <w:rFonts w:ascii="Calibri" w:eastAsia="Calibri" w:hAnsi="Calibri" w:cs="Calibri"/>
                <w:bCs/>
              </w:rPr>
            </w:pPr>
            <w:r w:rsidRPr="00F81896">
              <w:rPr>
                <w:rFonts w:ascii="Calibri" w:eastAsia="Calibri" w:hAnsi="Calibri" w:cs="Calibri"/>
                <w:bCs/>
              </w:rPr>
              <w:t>07/27/2021</w:t>
            </w:r>
          </w:p>
        </w:tc>
      </w:tr>
      <w:tr w:rsidR="00251E19" w:rsidRPr="00F81896" w14:paraId="269F561A" w14:textId="77777777" w:rsidTr="00D73D54">
        <w:trPr>
          <w:jc w:val="center"/>
        </w:trPr>
        <w:tc>
          <w:tcPr>
            <w:tcW w:w="0" w:type="auto"/>
            <w:tcBorders>
              <w:top w:val="single" w:sz="4" w:space="0" w:color="000000"/>
              <w:left w:val="single" w:sz="4" w:space="0" w:color="000000"/>
              <w:bottom w:val="single" w:sz="4" w:space="0" w:color="000000"/>
              <w:right w:val="single" w:sz="4" w:space="0" w:color="000000"/>
            </w:tcBorders>
          </w:tcPr>
          <w:p w14:paraId="2A6B39F7" w14:textId="77777777" w:rsidR="00411D80" w:rsidRPr="00F81896" w:rsidRDefault="00251E19" w:rsidP="005644BE">
            <w:pPr>
              <w:spacing w:after="0" w:line="240" w:lineRule="auto"/>
            </w:pPr>
            <w:r w:rsidRPr="00F81896">
              <w:t xml:space="preserve">Board Philanthropy Committee </w:t>
            </w:r>
          </w:p>
          <w:p w14:paraId="0F8571C0" w14:textId="4D62B018" w:rsidR="00251E19" w:rsidRPr="002224D7" w:rsidRDefault="00251E19" w:rsidP="005644BE">
            <w:pPr>
              <w:spacing w:after="0" w:line="240" w:lineRule="auto"/>
            </w:pPr>
            <w:r w:rsidRPr="00F81896">
              <w:t xml:space="preserve">The Community Relations and Philanthropy Committee of the Board of Trustees meets bi-monthly and the Proposed Project has been a long-standing agenda item with regular input provided from committee members. </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D6995AA" w14:textId="77777777" w:rsidR="00251E19" w:rsidRPr="00133B2B" w:rsidRDefault="00251E19" w:rsidP="007B5926">
            <w:pPr>
              <w:spacing w:after="0" w:line="240" w:lineRule="auto"/>
              <w:rPr>
                <w:rFonts w:ascii="Calibri" w:eastAsia="Calibri" w:hAnsi="Calibri" w:cs="Calibri"/>
                <w:bCs/>
              </w:rPr>
            </w:pPr>
          </w:p>
        </w:tc>
      </w:tr>
    </w:tbl>
    <w:p w14:paraId="26DFAFF2" w14:textId="102DE885" w:rsidR="003E2712" w:rsidRDefault="003E2712" w:rsidP="003E2712">
      <w:pPr>
        <w:spacing w:after="0" w:line="240" w:lineRule="auto"/>
        <w:rPr>
          <w:b/>
          <w:bCs/>
          <w:sz w:val="24"/>
          <w:szCs w:val="24"/>
        </w:rPr>
      </w:pPr>
    </w:p>
    <w:p w14:paraId="48A1BA38" w14:textId="6F63F26C" w:rsidR="00023FEB" w:rsidRPr="00667357" w:rsidRDefault="00023FEB" w:rsidP="00667357">
      <w:pPr>
        <w:spacing w:after="0" w:line="240" w:lineRule="auto"/>
        <w:rPr>
          <w:b/>
          <w:bCs/>
          <w:i/>
          <w:iCs/>
          <w:sz w:val="24"/>
          <w:szCs w:val="24"/>
        </w:rPr>
      </w:pPr>
      <w:r w:rsidRPr="00667357">
        <w:rPr>
          <w:b/>
          <w:bCs/>
          <w:i/>
          <w:iCs/>
          <w:sz w:val="24"/>
          <w:szCs w:val="24"/>
        </w:rPr>
        <w:t xml:space="preserve">Analysis </w:t>
      </w:r>
    </w:p>
    <w:p w14:paraId="24B38CC1" w14:textId="7B1DA4DB" w:rsidR="00D95F91" w:rsidRDefault="00023FEB" w:rsidP="00667357">
      <w:pPr>
        <w:spacing w:after="0" w:line="240" w:lineRule="auto"/>
        <w:rPr>
          <w:sz w:val="24"/>
          <w:szCs w:val="24"/>
        </w:rPr>
      </w:pPr>
      <w:r w:rsidRPr="00667357">
        <w:rPr>
          <w:sz w:val="24"/>
          <w:szCs w:val="24"/>
        </w:rPr>
        <w:t>Staff finds that the Applicant met the minimum required community engagement standard of Consult in the planning phase of the Proposed Project.</w:t>
      </w:r>
    </w:p>
    <w:p w14:paraId="3B4A5068" w14:textId="7991DEE6" w:rsidR="008A37A2" w:rsidRDefault="008A37A2" w:rsidP="00667357">
      <w:pPr>
        <w:spacing w:after="0" w:line="240" w:lineRule="auto"/>
        <w:rPr>
          <w:sz w:val="24"/>
          <w:szCs w:val="24"/>
        </w:rPr>
      </w:pPr>
    </w:p>
    <w:p w14:paraId="6C21119E" w14:textId="77777777" w:rsidR="00357D5C" w:rsidRPr="00667357" w:rsidRDefault="00357D5C" w:rsidP="00667357">
      <w:pPr>
        <w:spacing w:after="0" w:line="240" w:lineRule="auto"/>
        <w:rPr>
          <w:sz w:val="24"/>
          <w:szCs w:val="24"/>
        </w:rPr>
      </w:pPr>
    </w:p>
    <w:p w14:paraId="74C8B9F8" w14:textId="02448C0B" w:rsidR="00D95F91" w:rsidRDefault="007506F8">
      <w:pPr>
        <w:rPr>
          <w:b/>
          <w:bCs/>
          <w:sz w:val="28"/>
          <w:szCs w:val="28"/>
        </w:rPr>
      </w:pPr>
      <w:r w:rsidRPr="007506F8">
        <w:rPr>
          <w:b/>
          <w:bCs/>
          <w:sz w:val="28"/>
          <w:szCs w:val="28"/>
        </w:rPr>
        <w:t>Factor 1: f) Competition On Price, Total Medical Expenses (TME), Costs And Other Measures Of Health Care Spending</w:t>
      </w:r>
    </w:p>
    <w:p w14:paraId="475CB5EB" w14:textId="0F570F26" w:rsidR="00BD472F" w:rsidRPr="00BD472F" w:rsidRDefault="00945FAB" w:rsidP="000A4439">
      <w:pPr>
        <w:spacing w:after="0"/>
        <w:rPr>
          <w:sz w:val="24"/>
          <w:szCs w:val="24"/>
        </w:rPr>
      </w:pPr>
      <w:r>
        <w:rPr>
          <w:sz w:val="24"/>
          <w:szCs w:val="24"/>
        </w:rPr>
        <w:t>The Applicant states that the Proposed Project will compete based on price, TME, costs, and other measures of healthcare spending based on the following:</w:t>
      </w:r>
    </w:p>
    <w:p w14:paraId="3958917B" w14:textId="25EDBD6E" w:rsidR="0079010F" w:rsidRPr="0079010F" w:rsidRDefault="0079010F" w:rsidP="008A6D56">
      <w:pPr>
        <w:pStyle w:val="ListParagraph"/>
        <w:numPr>
          <w:ilvl w:val="0"/>
          <w:numId w:val="16"/>
        </w:numPr>
        <w:spacing w:after="0" w:line="240" w:lineRule="auto"/>
        <w:rPr>
          <w:sz w:val="24"/>
          <w:szCs w:val="24"/>
        </w:rPr>
      </w:pPr>
      <w:r w:rsidRPr="008A6D56">
        <w:rPr>
          <w:sz w:val="24"/>
          <w:szCs w:val="24"/>
        </w:rPr>
        <w:t xml:space="preserve">Heywood Hospital has lower costs when compared to other facilities where surgical cases are performed. Commercial plan costs at </w:t>
      </w:r>
      <w:r w:rsidRPr="004147C7">
        <w:rPr>
          <w:sz w:val="24"/>
          <w:szCs w:val="24"/>
        </w:rPr>
        <w:t>UMass Memorial Medical Center</w:t>
      </w:r>
      <w:r w:rsidRPr="008A6D56">
        <w:rPr>
          <w:sz w:val="24"/>
          <w:szCs w:val="24"/>
        </w:rPr>
        <w:t>, Heywood’s primary competitor, are approximately 49% higher than at Heywood based on S-RP data. In Calendar Year (CY)18, U</w:t>
      </w:r>
      <w:r w:rsidR="004147C7">
        <w:rPr>
          <w:sz w:val="24"/>
          <w:szCs w:val="24"/>
        </w:rPr>
        <w:t>Mass Memorial’s</w:t>
      </w:r>
      <w:r w:rsidRPr="008A6D56">
        <w:rPr>
          <w:sz w:val="24"/>
          <w:szCs w:val="24"/>
        </w:rPr>
        <w:t xml:space="preserve"> commercial S-RP index was 1.09 and Heywood’s S-RP index was 0.73.</w:t>
      </w:r>
    </w:p>
    <w:p w14:paraId="47E63485" w14:textId="3EEF981B" w:rsidR="00D86B3A" w:rsidRPr="00DC051D" w:rsidRDefault="00B72713" w:rsidP="00DC051D">
      <w:pPr>
        <w:pStyle w:val="ListParagraph"/>
        <w:numPr>
          <w:ilvl w:val="0"/>
          <w:numId w:val="36"/>
        </w:numPr>
        <w:spacing w:after="0" w:line="240" w:lineRule="auto"/>
        <w:ind w:left="720"/>
        <w:rPr>
          <w:b/>
          <w:bCs/>
          <w:sz w:val="24"/>
          <w:szCs w:val="24"/>
        </w:rPr>
      </w:pPr>
      <w:r w:rsidRPr="00291268">
        <w:rPr>
          <w:sz w:val="24"/>
          <w:szCs w:val="24"/>
        </w:rPr>
        <w:t>Increasing the number of</w:t>
      </w:r>
      <w:r w:rsidR="00021E2D" w:rsidRPr="00291268">
        <w:rPr>
          <w:sz w:val="24"/>
          <w:szCs w:val="24"/>
        </w:rPr>
        <w:t xml:space="preserve"> cases performed at Heywood Hospital will result in fewer referrals to higher-cost </w:t>
      </w:r>
      <w:r w:rsidR="00D86B3A">
        <w:rPr>
          <w:sz w:val="24"/>
          <w:szCs w:val="24"/>
        </w:rPr>
        <w:t>facilities and systems</w:t>
      </w:r>
      <w:r w:rsidR="00021E2D" w:rsidRPr="00291268">
        <w:rPr>
          <w:sz w:val="24"/>
          <w:szCs w:val="24"/>
        </w:rPr>
        <w:t xml:space="preserve">. </w:t>
      </w:r>
      <w:r w:rsidR="00EF634E" w:rsidRPr="00291268">
        <w:rPr>
          <w:sz w:val="24"/>
          <w:szCs w:val="24"/>
        </w:rPr>
        <w:t>Despite space limitations</w:t>
      </w:r>
      <w:r w:rsidR="00B72DC2" w:rsidRPr="00291268">
        <w:rPr>
          <w:sz w:val="24"/>
          <w:szCs w:val="24"/>
        </w:rPr>
        <w:t>,</w:t>
      </w:r>
      <w:r w:rsidR="00EF634E" w:rsidRPr="00291268">
        <w:rPr>
          <w:sz w:val="24"/>
          <w:szCs w:val="24"/>
        </w:rPr>
        <w:t xml:space="preserve"> the Hospital has made efforts to meet its patients’ needs for procedural care. </w:t>
      </w:r>
      <w:r w:rsidR="0013320D" w:rsidRPr="00291268">
        <w:rPr>
          <w:sz w:val="24"/>
          <w:szCs w:val="24"/>
        </w:rPr>
        <w:t xml:space="preserve">Table </w:t>
      </w:r>
      <w:r w:rsidR="000A4439" w:rsidRPr="00291268">
        <w:rPr>
          <w:sz w:val="24"/>
          <w:szCs w:val="24"/>
        </w:rPr>
        <w:t>1</w:t>
      </w:r>
      <w:r w:rsidR="007E04D6" w:rsidRPr="00291268">
        <w:rPr>
          <w:sz w:val="24"/>
          <w:szCs w:val="24"/>
        </w:rPr>
        <w:t>1</w:t>
      </w:r>
      <w:r w:rsidR="0013320D" w:rsidRPr="00291268">
        <w:rPr>
          <w:sz w:val="24"/>
          <w:szCs w:val="24"/>
        </w:rPr>
        <w:t xml:space="preserve"> below shows the number of transfers </w:t>
      </w:r>
      <w:r w:rsidR="00B57341" w:rsidRPr="00291268">
        <w:rPr>
          <w:sz w:val="24"/>
          <w:szCs w:val="24"/>
        </w:rPr>
        <w:t xml:space="preserve">from Heywood Hospital </w:t>
      </w:r>
      <w:r w:rsidR="0013320D" w:rsidRPr="00291268">
        <w:rPr>
          <w:sz w:val="24"/>
          <w:szCs w:val="24"/>
        </w:rPr>
        <w:t xml:space="preserve">to </w:t>
      </w:r>
      <w:r w:rsidR="00EF634E" w:rsidRPr="00291268">
        <w:rPr>
          <w:sz w:val="24"/>
          <w:szCs w:val="24"/>
        </w:rPr>
        <w:t>other healthcare</w:t>
      </w:r>
      <w:r w:rsidR="0013320D" w:rsidRPr="00291268">
        <w:rPr>
          <w:sz w:val="24"/>
          <w:szCs w:val="24"/>
        </w:rPr>
        <w:t xml:space="preserve"> facilities from FY2017 to FY2019.</w:t>
      </w:r>
      <w:r w:rsidR="00CF33CB" w:rsidRPr="00291268">
        <w:rPr>
          <w:sz w:val="24"/>
          <w:szCs w:val="24"/>
        </w:rPr>
        <w:t xml:space="preserve"> </w:t>
      </w:r>
      <w:r w:rsidR="00291268" w:rsidRPr="008A6D56">
        <w:rPr>
          <w:sz w:val="24"/>
          <w:szCs w:val="24"/>
        </w:rPr>
        <w:t xml:space="preserve">Patients from </w:t>
      </w:r>
      <w:r w:rsidR="00BF5F28" w:rsidRPr="008A6D56">
        <w:rPr>
          <w:sz w:val="24"/>
          <w:szCs w:val="24"/>
        </w:rPr>
        <w:t>Heywood Healthcare’s S</w:t>
      </w:r>
      <w:r w:rsidR="00291268" w:rsidRPr="008A6D56">
        <w:rPr>
          <w:sz w:val="24"/>
          <w:szCs w:val="24"/>
        </w:rPr>
        <w:t xml:space="preserve">ervice </w:t>
      </w:r>
      <w:r w:rsidR="00BF5F28" w:rsidRPr="008A6D56">
        <w:rPr>
          <w:sz w:val="24"/>
          <w:szCs w:val="24"/>
        </w:rPr>
        <w:t>A</w:t>
      </w:r>
      <w:r w:rsidR="00291268" w:rsidRPr="008A6D56">
        <w:rPr>
          <w:sz w:val="24"/>
          <w:szCs w:val="24"/>
        </w:rPr>
        <w:t xml:space="preserve">rea are going to multiple facilities for </w:t>
      </w:r>
      <w:r w:rsidR="003F4EED" w:rsidRPr="00BF5F28">
        <w:rPr>
          <w:sz w:val="24"/>
          <w:szCs w:val="24"/>
        </w:rPr>
        <w:t>numerous</w:t>
      </w:r>
      <w:r w:rsidR="00291268" w:rsidRPr="008A6D56">
        <w:rPr>
          <w:sz w:val="24"/>
          <w:szCs w:val="24"/>
        </w:rPr>
        <w:t xml:space="preserve"> types of </w:t>
      </w:r>
      <w:r w:rsidR="00660A7F">
        <w:rPr>
          <w:sz w:val="24"/>
          <w:szCs w:val="24"/>
        </w:rPr>
        <w:t xml:space="preserve">surgical </w:t>
      </w:r>
      <w:r w:rsidR="00291268" w:rsidRPr="008A6D56">
        <w:rPr>
          <w:sz w:val="24"/>
          <w:szCs w:val="24"/>
        </w:rPr>
        <w:t xml:space="preserve">procedures </w:t>
      </w:r>
      <w:r w:rsidR="00660A7F">
        <w:rPr>
          <w:sz w:val="24"/>
          <w:szCs w:val="24"/>
        </w:rPr>
        <w:t>from</w:t>
      </w:r>
      <w:r w:rsidR="00291268" w:rsidRPr="008A6D56">
        <w:rPr>
          <w:sz w:val="24"/>
          <w:szCs w:val="24"/>
        </w:rPr>
        <w:t xml:space="preserve"> </w:t>
      </w:r>
      <w:r w:rsidR="00775B80">
        <w:rPr>
          <w:sz w:val="24"/>
          <w:szCs w:val="24"/>
        </w:rPr>
        <w:t xml:space="preserve">cardiovascular to ear, nose, and throat (ENT), </w:t>
      </w:r>
      <w:r w:rsidR="003F4EED">
        <w:rPr>
          <w:sz w:val="24"/>
          <w:szCs w:val="24"/>
        </w:rPr>
        <w:t xml:space="preserve">and </w:t>
      </w:r>
      <w:r w:rsidR="0079010F">
        <w:rPr>
          <w:sz w:val="24"/>
          <w:szCs w:val="24"/>
        </w:rPr>
        <w:t>obstetrics</w:t>
      </w:r>
      <w:r w:rsidR="00291268" w:rsidRPr="00BF5F28">
        <w:rPr>
          <w:sz w:val="24"/>
          <w:szCs w:val="24"/>
        </w:rPr>
        <w:t>.</w:t>
      </w:r>
      <w:r w:rsidR="00D86B3A">
        <w:rPr>
          <w:sz w:val="24"/>
          <w:szCs w:val="24"/>
        </w:rPr>
        <w:t xml:space="preserve"> </w:t>
      </w:r>
      <w:r w:rsidR="0079010F">
        <w:rPr>
          <w:sz w:val="24"/>
          <w:szCs w:val="24"/>
        </w:rPr>
        <w:t>S</w:t>
      </w:r>
      <w:r w:rsidR="00D86B3A">
        <w:rPr>
          <w:sz w:val="24"/>
          <w:szCs w:val="24"/>
        </w:rPr>
        <w:t xml:space="preserve">tatewide relative price (S-RP) </w:t>
      </w:r>
      <w:r w:rsidR="0079010F">
        <w:rPr>
          <w:sz w:val="24"/>
          <w:szCs w:val="24"/>
        </w:rPr>
        <w:t>varies</w:t>
      </w:r>
      <w:r w:rsidR="00D86B3A">
        <w:rPr>
          <w:sz w:val="24"/>
          <w:szCs w:val="24"/>
        </w:rPr>
        <w:t xml:space="preserve"> among the facilities </w:t>
      </w:r>
      <w:r w:rsidR="0079010F">
        <w:rPr>
          <w:sz w:val="24"/>
          <w:szCs w:val="24"/>
        </w:rPr>
        <w:t xml:space="preserve">and in </w:t>
      </w:r>
      <w:r w:rsidR="00D86B3A">
        <w:rPr>
          <w:sz w:val="24"/>
          <w:szCs w:val="24"/>
        </w:rPr>
        <w:t>2019</w:t>
      </w:r>
      <w:r w:rsidR="0079010F">
        <w:rPr>
          <w:sz w:val="24"/>
          <w:szCs w:val="24"/>
        </w:rPr>
        <w:t xml:space="preserve">, several had a </w:t>
      </w:r>
      <w:r w:rsidR="00D86B3A">
        <w:rPr>
          <w:sz w:val="24"/>
          <w:szCs w:val="24"/>
        </w:rPr>
        <w:t>S-RP above Heywood’s</w:t>
      </w:r>
      <w:r w:rsidR="0079010F">
        <w:rPr>
          <w:sz w:val="24"/>
          <w:szCs w:val="24"/>
        </w:rPr>
        <w:t xml:space="preserve"> (0.719)</w:t>
      </w:r>
      <w:r w:rsidR="00D86B3A">
        <w:rPr>
          <w:sz w:val="24"/>
          <w:szCs w:val="24"/>
        </w:rPr>
        <w:t xml:space="preserve">, including Lahey (0.969), Emerson </w:t>
      </w:r>
      <w:r w:rsidR="00C6286E">
        <w:rPr>
          <w:sz w:val="24"/>
          <w:szCs w:val="24"/>
        </w:rPr>
        <w:t xml:space="preserve">Hospital </w:t>
      </w:r>
      <w:r w:rsidR="00D86B3A">
        <w:rPr>
          <w:sz w:val="24"/>
          <w:szCs w:val="24"/>
        </w:rPr>
        <w:t>(0.904), UMass</w:t>
      </w:r>
      <w:r w:rsidR="00C6286E">
        <w:rPr>
          <w:sz w:val="24"/>
          <w:szCs w:val="24"/>
        </w:rPr>
        <w:t xml:space="preserve"> Memorial Medical Center</w:t>
      </w:r>
      <w:r w:rsidR="00D86B3A">
        <w:rPr>
          <w:sz w:val="24"/>
          <w:szCs w:val="24"/>
        </w:rPr>
        <w:t xml:space="preserve"> (1.090)</w:t>
      </w:r>
      <w:r w:rsidR="00C6286E">
        <w:rPr>
          <w:sz w:val="24"/>
          <w:szCs w:val="24"/>
        </w:rPr>
        <w:t>,</w:t>
      </w:r>
      <w:r w:rsidR="00D86B3A">
        <w:rPr>
          <w:sz w:val="24"/>
          <w:szCs w:val="24"/>
        </w:rPr>
        <w:t xml:space="preserve"> and Boston Medical Center (1.284).  </w:t>
      </w:r>
    </w:p>
    <w:p w14:paraId="691B6376" w14:textId="21F14F02" w:rsidR="008A37A2" w:rsidRPr="002224D7" w:rsidRDefault="008A37A2" w:rsidP="002224D7">
      <w:pPr>
        <w:spacing w:after="0" w:line="240" w:lineRule="auto"/>
        <w:ind w:left="360"/>
        <w:jc w:val="center"/>
        <w:rPr>
          <w:b/>
          <w:bCs/>
          <w:sz w:val="24"/>
          <w:szCs w:val="24"/>
        </w:rPr>
      </w:pPr>
      <w:r w:rsidRPr="002224D7">
        <w:rPr>
          <w:b/>
          <w:bCs/>
          <w:sz w:val="24"/>
          <w:szCs w:val="24"/>
        </w:rPr>
        <w:t>Table</w:t>
      </w:r>
      <w:r w:rsidR="000A4439" w:rsidRPr="002224D7">
        <w:rPr>
          <w:b/>
          <w:bCs/>
          <w:sz w:val="24"/>
          <w:szCs w:val="24"/>
        </w:rPr>
        <w:t xml:space="preserve"> 1</w:t>
      </w:r>
      <w:r w:rsidR="007E04D6">
        <w:rPr>
          <w:b/>
          <w:bCs/>
          <w:sz w:val="24"/>
          <w:szCs w:val="24"/>
        </w:rPr>
        <w:t>1</w:t>
      </w:r>
      <w:r w:rsidRPr="002224D7">
        <w:rPr>
          <w:b/>
          <w:bCs/>
          <w:sz w:val="24"/>
          <w:szCs w:val="24"/>
        </w:rPr>
        <w:t>: Surgical Cases Performed at Other Healthcare Facilities</w:t>
      </w:r>
    </w:p>
    <w:p w14:paraId="15113753" w14:textId="5084321C" w:rsidR="00BA47C3" w:rsidRDefault="00BA47C3" w:rsidP="0013320D">
      <w:pPr>
        <w:spacing w:after="0" w:line="240" w:lineRule="auto"/>
        <w:jc w:val="center"/>
        <w:rPr>
          <w:b/>
          <w:bCs/>
          <w:sz w:val="24"/>
          <w:szCs w:val="24"/>
        </w:rPr>
      </w:pPr>
    </w:p>
    <w:tbl>
      <w:tblPr>
        <w:tblStyle w:val="TableGrid"/>
        <w:tblW w:w="0" w:type="auto"/>
        <w:jc w:val="center"/>
        <w:tblLook w:val="04A0" w:firstRow="1" w:lastRow="0" w:firstColumn="1" w:lastColumn="0" w:noHBand="0" w:noVBand="1"/>
        <w:tblCaption w:val="Table 11: Surgical Cases Performed at Other Healthcare Facilities"/>
        <w:tblDescription w:val="FY2017 FY2018 FY2019&#10;2,309 2,053 2,160&#10;"/>
      </w:tblPr>
      <w:tblGrid>
        <w:gridCol w:w="878"/>
        <w:gridCol w:w="878"/>
        <w:gridCol w:w="878"/>
      </w:tblGrid>
      <w:tr w:rsidR="00BA47C3" w14:paraId="38ADFE15" w14:textId="77777777" w:rsidTr="00496247">
        <w:trPr>
          <w:tblHeader/>
          <w:jc w:val="center"/>
        </w:trPr>
        <w:tc>
          <w:tcPr>
            <w:tcW w:w="0" w:type="auto"/>
            <w:shd w:val="clear" w:color="auto" w:fill="F2F2F2" w:themeFill="background1" w:themeFillShade="F2"/>
          </w:tcPr>
          <w:p w14:paraId="535A605F" w14:textId="402C6B86" w:rsidR="00BA47C3" w:rsidRPr="00BA47C3" w:rsidRDefault="00BA47C3" w:rsidP="00BA47C3">
            <w:pPr>
              <w:jc w:val="center"/>
              <w:rPr>
                <w:b/>
                <w:bCs/>
                <w:sz w:val="24"/>
                <w:szCs w:val="24"/>
              </w:rPr>
            </w:pPr>
            <w:r w:rsidRPr="00BA47C3">
              <w:rPr>
                <w:b/>
                <w:bCs/>
              </w:rPr>
              <w:t>FY2017</w:t>
            </w:r>
          </w:p>
        </w:tc>
        <w:tc>
          <w:tcPr>
            <w:tcW w:w="0" w:type="auto"/>
            <w:shd w:val="clear" w:color="auto" w:fill="F2F2F2" w:themeFill="background1" w:themeFillShade="F2"/>
          </w:tcPr>
          <w:p w14:paraId="4D300D47" w14:textId="0325B805" w:rsidR="00BA47C3" w:rsidRPr="00BA47C3" w:rsidRDefault="00BA47C3" w:rsidP="00BA47C3">
            <w:pPr>
              <w:jc w:val="center"/>
              <w:rPr>
                <w:b/>
                <w:bCs/>
                <w:sz w:val="24"/>
                <w:szCs w:val="24"/>
              </w:rPr>
            </w:pPr>
            <w:r w:rsidRPr="00BA47C3">
              <w:rPr>
                <w:b/>
                <w:bCs/>
              </w:rPr>
              <w:t>FY2018</w:t>
            </w:r>
          </w:p>
        </w:tc>
        <w:tc>
          <w:tcPr>
            <w:tcW w:w="0" w:type="auto"/>
            <w:shd w:val="clear" w:color="auto" w:fill="F2F2F2" w:themeFill="background1" w:themeFillShade="F2"/>
          </w:tcPr>
          <w:p w14:paraId="477A44CB" w14:textId="59113E1B" w:rsidR="00BA47C3" w:rsidRPr="00BA47C3" w:rsidRDefault="00BA47C3" w:rsidP="00BA47C3">
            <w:pPr>
              <w:jc w:val="center"/>
              <w:rPr>
                <w:b/>
                <w:bCs/>
                <w:sz w:val="24"/>
                <w:szCs w:val="24"/>
              </w:rPr>
            </w:pPr>
            <w:r w:rsidRPr="00BA47C3">
              <w:rPr>
                <w:b/>
                <w:bCs/>
              </w:rPr>
              <w:t>FY2019</w:t>
            </w:r>
          </w:p>
        </w:tc>
      </w:tr>
      <w:tr w:rsidR="00BA47C3" w14:paraId="013AE64D" w14:textId="77777777" w:rsidTr="00A15479">
        <w:trPr>
          <w:jc w:val="center"/>
        </w:trPr>
        <w:tc>
          <w:tcPr>
            <w:tcW w:w="0" w:type="auto"/>
          </w:tcPr>
          <w:p w14:paraId="05F93969" w14:textId="4468AD6D" w:rsidR="00BA47C3" w:rsidRDefault="00BA47C3" w:rsidP="00BA47C3">
            <w:pPr>
              <w:jc w:val="center"/>
              <w:rPr>
                <w:b/>
                <w:bCs/>
                <w:sz w:val="24"/>
                <w:szCs w:val="24"/>
              </w:rPr>
            </w:pPr>
            <w:r w:rsidRPr="00EA193D">
              <w:t>2,309</w:t>
            </w:r>
          </w:p>
        </w:tc>
        <w:tc>
          <w:tcPr>
            <w:tcW w:w="0" w:type="auto"/>
          </w:tcPr>
          <w:p w14:paraId="451C1316" w14:textId="5A2A6767" w:rsidR="00BA47C3" w:rsidRDefault="00BA47C3" w:rsidP="00BA47C3">
            <w:pPr>
              <w:jc w:val="center"/>
              <w:rPr>
                <w:b/>
                <w:bCs/>
                <w:sz w:val="24"/>
                <w:szCs w:val="24"/>
              </w:rPr>
            </w:pPr>
            <w:r w:rsidRPr="00EA193D">
              <w:t>2,053</w:t>
            </w:r>
          </w:p>
        </w:tc>
        <w:tc>
          <w:tcPr>
            <w:tcW w:w="0" w:type="auto"/>
          </w:tcPr>
          <w:p w14:paraId="611517B2" w14:textId="14E235A8" w:rsidR="00BA47C3" w:rsidRDefault="00BA47C3" w:rsidP="00BA47C3">
            <w:pPr>
              <w:jc w:val="center"/>
              <w:rPr>
                <w:b/>
                <w:bCs/>
                <w:sz w:val="24"/>
                <w:szCs w:val="24"/>
              </w:rPr>
            </w:pPr>
            <w:r w:rsidRPr="00EA193D">
              <w:t>2,</w:t>
            </w:r>
            <w:r w:rsidR="00540CCC">
              <w:t>160</w:t>
            </w:r>
          </w:p>
        </w:tc>
      </w:tr>
    </w:tbl>
    <w:p w14:paraId="7A833688" w14:textId="77777777" w:rsidR="00BA47C3" w:rsidRPr="0013320D" w:rsidRDefault="00BA47C3" w:rsidP="0013320D">
      <w:pPr>
        <w:spacing w:after="0" w:line="240" w:lineRule="auto"/>
        <w:jc w:val="center"/>
        <w:rPr>
          <w:b/>
          <w:bCs/>
          <w:sz w:val="24"/>
          <w:szCs w:val="24"/>
        </w:rPr>
      </w:pPr>
    </w:p>
    <w:p w14:paraId="1D8ED3F5" w14:textId="5FC699F2" w:rsidR="00121D0A" w:rsidRDefault="009411DA" w:rsidP="00631788">
      <w:pPr>
        <w:pStyle w:val="ListParagraph"/>
        <w:numPr>
          <w:ilvl w:val="0"/>
          <w:numId w:val="19"/>
        </w:numPr>
        <w:spacing w:after="0" w:line="240" w:lineRule="auto"/>
        <w:rPr>
          <w:sz w:val="24"/>
          <w:szCs w:val="24"/>
        </w:rPr>
      </w:pPr>
      <w:r w:rsidRPr="00631788">
        <w:rPr>
          <w:sz w:val="24"/>
          <w:szCs w:val="24"/>
        </w:rPr>
        <w:t>Increasing timely access to care</w:t>
      </w:r>
      <w:r w:rsidR="007528DE" w:rsidRPr="00631788">
        <w:rPr>
          <w:sz w:val="24"/>
          <w:szCs w:val="24"/>
        </w:rPr>
        <w:t xml:space="preserve"> will</w:t>
      </w:r>
      <w:r w:rsidRPr="00631788">
        <w:rPr>
          <w:sz w:val="24"/>
          <w:szCs w:val="24"/>
        </w:rPr>
        <w:t xml:space="preserve"> allow for conditions to be addressed earlier </w:t>
      </w:r>
      <w:r w:rsidR="007528DE" w:rsidRPr="00631788">
        <w:rPr>
          <w:sz w:val="24"/>
          <w:szCs w:val="24"/>
        </w:rPr>
        <w:t xml:space="preserve">and prevent delays in access to care which will reduce costs. </w:t>
      </w:r>
    </w:p>
    <w:p w14:paraId="610CD2BF" w14:textId="77777777" w:rsidR="00D86B3A" w:rsidRDefault="00D86B3A" w:rsidP="008A6D56">
      <w:pPr>
        <w:pStyle w:val="ListParagraph"/>
        <w:spacing w:after="0" w:line="240" w:lineRule="auto"/>
        <w:rPr>
          <w:sz w:val="24"/>
          <w:szCs w:val="24"/>
        </w:rPr>
      </w:pPr>
    </w:p>
    <w:p w14:paraId="437BDC45" w14:textId="799E1BEF" w:rsidR="00A85F0D" w:rsidRPr="00291268" w:rsidRDefault="00291268" w:rsidP="00291268">
      <w:pPr>
        <w:spacing w:after="0" w:line="240" w:lineRule="auto"/>
        <w:rPr>
          <w:sz w:val="24"/>
          <w:szCs w:val="24"/>
        </w:rPr>
      </w:pPr>
      <w:r w:rsidRPr="00291268">
        <w:rPr>
          <w:sz w:val="24"/>
          <w:szCs w:val="24"/>
        </w:rPr>
        <w:t xml:space="preserve">In order to understand the Proposed Project’s impact on surgical cases, the Applicant will report on the number of surgical cases </w:t>
      </w:r>
      <w:r w:rsidR="00206902">
        <w:rPr>
          <w:sz w:val="24"/>
          <w:szCs w:val="24"/>
        </w:rPr>
        <w:t>performed at</w:t>
      </w:r>
      <w:r w:rsidRPr="00291268">
        <w:rPr>
          <w:sz w:val="24"/>
          <w:szCs w:val="24"/>
        </w:rPr>
        <w:t xml:space="preserve"> other healthcare facilities. This measure is described in Appendix 1 below.</w:t>
      </w:r>
    </w:p>
    <w:p w14:paraId="2FF8819F" w14:textId="77777777" w:rsidR="00291268" w:rsidRDefault="00291268" w:rsidP="001546EE">
      <w:pPr>
        <w:spacing w:after="0" w:line="240" w:lineRule="auto"/>
        <w:rPr>
          <w:b/>
          <w:bCs/>
          <w:i/>
          <w:iCs/>
          <w:sz w:val="24"/>
          <w:szCs w:val="24"/>
        </w:rPr>
      </w:pPr>
    </w:p>
    <w:p w14:paraId="27185CB8" w14:textId="7C86B64D" w:rsidR="005F37DA" w:rsidRDefault="005F37DA" w:rsidP="001546EE">
      <w:pPr>
        <w:spacing w:after="0" w:line="240" w:lineRule="auto"/>
        <w:rPr>
          <w:b/>
          <w:bCs/>
          <w:i/>
          <w:iCs/>
          <w:sz w:val="24"/>
          <w:szCs w:val="24"/>
        </w:rPr>
      </w:pPr>
    </w:p>
    <w:p w14:paraId="4C2D9D6F" w14:textId="31085101" w:rsidR="004F2C37" w:rsidRDefault="00A85F0D" w:rsidP="001546EE">
      <w:pPr>
        <w:spacing w:after="0" w:line="240" w:lineRule="auto"/>
        <w:rPr>
          <w:b/>
          <w:bCs/>
          <w:i/>
          <w:iCs/>
          <w:sz w:val="24"/>
          <w:szCs w:val="24"/>
        </w:rPr>
      </w:pPr>
      <w:r>
        <w:rPr>
          <w:b/>
          <w:bCs/>
          <w:i/>
          <w:iCs/>
          <w:sz w:val="24"/>
          <w:szCs w:val="24"/>
        </w:rPr>
        <w:lastRenderedPageBreak/>
        <w:t>Analysis</w:t>
      </w:r>
    </w:p>
    <w:p w14:paraId="7374BEBD" w14:textId="3BE79935" w:rsidR="004F2C37" w:rsidRDefault="004F2C37" w:rsidP="001546EE">
      <w:pPr>
        <w:spacing w:after="0" w:line="240" w:lineRule="auto"/>
        <w:rPr>
          <w:rFonts w:cstheme="minorHAnsi"/>
          <w:sz w:val="24"/>
          <w:szCs w:val="24"/>
          <w:vertAlign w:val="superscript"/>
        </w:rPr>
      </w:pPr>
      <w:r>
        <w:rPr>
          <w:sz w:val="24"/>
          <w:szCs w:val="24"/>
        </w:rPr>
        <w:t xml:space="preserve">Staff examined </w:t>
      </w:r>
      <w:r w:rsidR="00B042C6">
        <w:rPr>
          <w:sz w:val="24"/>
          <w:szCs w:val="24"/>
        </w:rPr>
        <w:t>the parties’ prices using the relative price measure developed by the Center for Health Information and Analysis (CHIA) and found Heywood’s S-RP and RP to be lower than UM</w:t>
      </w:r>
      <w:r w:rsidR="008210FA">
        <w:rPr>
          <w:sz w:val="24"/>
          <w:szCs w:val="24"/>
        </w:rPr>
        <w:t>ass Memorial’s</w:t>
      </w:r>
      <w:r w:rsidR="00BC7507">
        <w:rPr>
          <w:sz w:val="24"/>
          <w:szCs w:val="24"/>
        </w:rPr>
        <w:t>, the Applicant’s main competitor</w:t>
      </w:r>
      <w:r w:rsidR="00B042C6">
        <w:rPr>
          <w:sz w:val="24"/>
          <w:szCs w:val="24"/>
        </w:rPr>
        <w:t>.</w:t>
      </w:r>
      <w:r w:rsidR="00B042C6" w:rsidRPr="00B042C6">
        <w:rPr>
          <w:sz w:val="24"/>
          <w:szCs w:val="24"/>
          <w:vertAlign w:val="superscript"/>
        </w:rPr>
        <w:t xml:space="preserve"> </w:t>
      </w:r>
      <w:r w:rsidR="00B042C6" w:rsidRPr="001B0C21">
        <w:rPr>
          <w:sz w:val="24"/>
          <w:szCs w:val="24"/>
          <w:vertAlign w:val="superscript"/>
        </w:rPr>
        <w:footnoteReference w:id="32"/>
      </w:r>
      <w:r w:rsidR="00B042C6" w:rsidRPr="00BA75E7">
        <w:rPr>
          <w:rFonts w:cstheme="minorHAnsi"/>
          <w:sz w:val="24"/>
          <w:szCs w:val="24"/>
          <w:vertAlign w:val="superscript"/>
        </w:rPr>
        <w:t>,</w:t>
      </w:r>
      <w:r w:rsidR="00B042C6" w:rsidRPr="00BA75E7">
        <w:rPr>
          <w:rStyle w:val="FootnoteReference"/>
          <w:rFonts w:cstheme="minorHAnsi"/>
          <w:sz w:val="24"/>
          <w:szCs w:val="24"/>
        </w:rPr>
        <w:footnoteReference w:id="33"/>
      </w:r>
    </w:p>
    <w:p w14:paraId="3EED632A" w14:textId="77777777" w:rsidR="00380EBE" w:rsidRPr="00B042C6" w:rsidRDefault="00380EBE" w:rsidP="001546EE">
      <w:pPr>
        <w:spacing w:after="0" w:line="240" w:lineRule="auto"/>
        <w:rPr>
          <w:sz w:val="24"/>
          <w:szCs w:val="24"/>
        </w:rPr>
      </w:pPr>
    </w:p>
    <w:p w14:paraId="65EB946A" w14:textId="1E71C2B7" w:rsidR="001D5CF5" w:rsidRPr="001D5CF5" w:rsidRDefault="001D5CF5" w:rsidP="001D5CF5">
      <w:pPr>
        <w:spacing w:after="0"/>
        <w:jc w:val="center"/>
        <w:rPr>
          <w:b/>
          <w:bCs/>
          <w:sz w:val="24"/>
          <w:szCs w:val="24"/>
        </w:rPr>
      </w:pPr>
      <w:r w:rsidRPr="001D5CF5">
        <w:rPr>
          <w:b/>
          <w:bCs/>
          <w:sz w:val="24"/>
          <w:szCs w:val="24"/>
        </w:rPr>
        <w:t>Table</w:t>
      </w:r>
      <w:r w:rsidR="008423E7">
        <w:rPr>
          <w:b/>
          <w:bCs/>
          <w:sz w:val="24"/>
          <w:szCs w:val="24"/>
        </w:rPr>
        <w:t xml:space="preserve"> 1</w:t>
      </w:r>
      <w:r w:rsidR="007E04D6">
        <w:rPr>
          <w:b/>
          <w:bCs/>
          <w:sz w:val="24"/>
          <w:szCs w:val="24"/>
        </w:rPr>
        <w:t>2</w:t>
      </w:r>
      <w:r w:rsidRPr="001D5CF5">
        <w:rPr>
          <w:b/>
          <w:bCs/>
          <w:sz w:val="24"/>
          <w:szCs w:val="24"/>
        </w:rPr>
        <w:t xml:space="preserve">: </w:t>
      </w:r>
      <w:r w:rsidR="00CC2F47">
        <w:rPr>
          <w:b/>
          <w:bCs/>
          <w:sz w:val="24"/>
          <w:szCs w:val="24"/>
        </w:rPr>
        <w:t xml:space="preserve">Statewide </w:t>
      </w:r>
      <w:r w:rsidRPr="001D5CF5">
        <w:rPr>
          <w:b/>
          <w:bCs/>
          <w:sz w:val="24"/>
          <w:szCs w:val="24"/>
        </w:rPr>
        <w:t>Relative Price</w:t>
      </w:r>
      <w:r w:rsidR="008C2111">
        <w:rPr>
          <w:b/>
          <w:bCs/>
          <w:sz w:val="24"/>
          <w:szCs w:val="24"/>
        </w:rPr>
        <w:t xml:space="preserve"> (</w:t>
      </w:r>
      <w:r w:rsidR="00CC2F47">
        <w:rPr>
          <w:b/>
          <w:bCs/>
          <w:sz w:val="24"/>
          <w:szCs w:val="24"/>
        </w:rPr>
        <w:t xml:space="preserve">CY </w:t>
      </w:r>
      <w:r w:rsidR="008C2111">
        <w:rPr>
          <w:b/>
          <w:bCs/>
          <w:sz w:val="24"/>
          <w:szCs w:val="24"/>
        </w:rPr>
        <w:t>2019)</w:t>
      </w:r>
    </w:p>
    <w:tbl>
      <w:tblPr>
        <w:tblStyle w:val="TableGrid"/>
        <w:tblW w:w="0" w:type="auto"/>
        <w:jc w:val="center"/>
        <w:tblLook w:val="04A0" w:firstRow="1" w:lastRow="0" w:firstColumn="1" w:lastColumn="0" w:noHBand="0" w:noVBand="1"/>
        <w:tblCaption w:val="Table 12: Statewide Relatvie Price (CY 2019)"/>
        <w:tblDescription w:val=" Heywood Hospital UMass Memorial &#10;Medical Center&#10;S-RP 0.719 1.090&#10;"/>
      </w:tblPr>
      <w:tblGrid>
        <w:gridCol w:w="582"/>
        <w:gridCol w:w="1742"/>
        <w:gridCol w:w="1639"/>
      </w:tblGrid>
      <w:tr w:rsidR="002E21B4" w:rsidRPr="0096692C" w14:paraId="7565201F" w14:textId="0624C54C" w:rsidTr="00496247">
        <w:trPr>
          <w:tblHeader/>
          <w:jc w:val="center"/>
        </w:trPr>
        <w:tc>
          <w:tcPr>
            <w:tcW w:w="0" w:type="auto"/>
          </w:tcPr>
          <w:p w14:paraId="62BABF26" w14:textId="77777777" w:rsidR="002E21B4" w:rsidRPr="0096692C" w:rsidRDefault="002E21B4" w:rsidP="00441CF7">
            <w:pPr>
              <w:rPr>
                <w:rFonts w:cstheme="minorHAnsi"/>
                <w:sz w:val="20"/>
                <w:szCs w:val="20"/>
              </w:rPr>
            </w:pPr>
          </w:p>
        </w:tc>
        <w:tc>
          <w:tcPr>
            <w:tcW w:w="0" w:type="auto"/>
            <w:shd w:val="clear" w:color="auto" w:fill="F2F2F2" w:themeFill="background1" w:themeFillShade="F2"/>
          </w:tcPr>
          <w:p w14:paraId="31440AAB" w14:textId="3E3BA1DB" w:rsidR="002E21B4" w:rsidRPr="00542A82" w:rsidRDefault="002E21B4" w:rsidP="005F740E">
            <w:pPr>
              <w:jc w:val="center"/>
              <w:rPr>
                <w:rFonts w:cstheme="minorHAnsi"/>
                <w:b/>
                <w:bCs/>
                <w:sz w:val="20"/>
                <w:szCs w:val="20"/>
              </w:rPr>
            </w:pPr>
            <w:r w:rsidRPr="00542A82">
              <w:rPr>
                <w:rFonts w:cstheme="minorHAnsi"/>
                <w:b/>
                <w:bCs/>
                <w:sz w:val="20"/>
                <w:szCs w:val="20"/>
              </w:rPr>
              <w:t>Heywood Hospital</w:t>
            </w:r>
          </w:p>
        </w:tc>
        <w:tc>
          <w:tcPr>
            <w:tcW w:w="0" w:type="auto"/>
            <w:shd w:val="clear" w:color="auto" w:fill="F2F2F2" w:themeFill="background1" w:themeFillShade="F2"/>
          </w:tcPr>
          <w:p w14:paraId="2D6C1C38" w14:textId="77777777" w:rsidR="007F226C" w:rsidRDefault="002E21B4" w:rsidP="005F740E">
            <w:pPr>
              <w:jc w:val="center"/>
              <w:rPr>
                <w:rFonts w:cstheme="minorHAnsi"/>
                <w:b/>
                <w:bCs/>
                <w:sz w:val="20"/>
                <w:szCs w:val="20"/>
              </w:rPr>
            </w:pPr>
            <w:r w:rsidRPr="00542A82">
              <w:rPr>
                <w:rFonts w:cstheme="minorHAnsi"/>
                <w:b/>
                <w:bCs/>
                <w:sz w:val="20"/>
                <w:szCs w:val="20"/>
              </w:rPr>
              <w:t xml:space="preserve">UMass </w:t>
            </w:r>
            <w:r w:rsidR="008210FA">
              <w:rPr>
                <w:rFonts w:cstheme="minorHAnsi"/>
                <w:b/>
                <w:bCs/>
                <w:sz w:val="20"/>
                <w:szCs w:val="20"/>
              </w:rPr>
              <w:t xml:space="preserve">Memorial </w:t>
            </w:r>
          </w:p>
          <w:p w14:paraId="1E6DF8A9" w14:textId="67BF3549" w:rsidR="002E21B4" w:rsidRPr="00542A82" w:rsidRDefault="002E21B4" w:rsidP="005F740E">
            <w:pPr>
              <w:jc w:val="center"/>
              <w:rPr>
                <w:rFonts w:cstheme="minorHAnsi"/>
                <w:b/>
                <w:bCs/>
                <w:sz w:val="20"/>
                <w:szCs w:val="20"/>
              </w:rPr>
            </w:pPr>
            <w:r w:rsidRPr="00542A82">
              <w:rPr>
                <w:rFonts w:cstheme="minorHAnsi"/>
                <w:b/>
                <w:bCs/>
                <w:sz w:val="20"/>
                <w:szCs w:val="20"/>
              </w:rPr>
              <w:t>Medical Center</w:t>
            </w:r>
          </w:p>
        </w:tc>
      </w:tr>
      <w:tr w:rsidR="002E21B4" w:rsidRPr="0096692C" w14:paraId="434FFCD5" w14:textId="797326B2" w:rsidTr="00D73D54">
        <w:trPr>
          <w:jc w:val="center"/>
        </w:trPr>
        <w:tc>
          <w:tcPr>
            <w:tcW w:w="0" w:type="auto"/>
          </w:tcPr>
          <w:p w14:paraId="438E4D2F" w14:textId="20F9DF19" w:rsidR="002E21B4" w:rsidRPr="0096692C" w:rsidRDefault="002E21B4" w:rsidP="00441CF7">
            <w:pPr>
              <w:rPr>
                <w:rFonts w:cstheme="minorHAnsi"/>
                <w:sz w:val="20"/>
                <w:szCs w:val="20"/>
              </w:rPr>
            </w:pPr>
            <w:r w:rsidRPr="0096692C">
              <w:rPr>
                <w:rFonts w:cstheme="minorHAnsi"/>
                <w:sz w:val="20"/>
                <w:szCs w:val="20"/>
              </w:rPr>
              <w:t>S-RP</w:t>
            </w:r>
          </w:p>
        </w:tc>
        <w:tc>
          <w:tcPr>
            <w:tcW w:w="0" w:type="auto"/>
          </w:tcPr>
          <w:p w14:paraId="4533CABB" w14:textId="4294374F" w:rsidR="002E21B4" w:rsidRPr="0096692C" w:rsidRDefault="002E21B4" w:rsidP="005F740E">
            <w:pPr>
              <w:jc w:val="center"/>
              <w:rPr>
                <w:rFonts w:cstheme="minorHAnsi"/>
                <w:sz w:val="20"/>
                <w:szCs w:val="20"/>
              </w:rPr>
            </w:pPr>
            <w:r w:rsidRPr="0096692C">
              <w:rPr>
                <w:rFonts w:cstheme="minorHAnsi"/>
                <w:sz w:val="20"/>
                <w:szCs w:val="20"/>
              </w:rPr>
              <w:t>0.719</w:t>
            </w:r>
          </w:p>
        </w:tc>
        <w:tc>
          <w:tcPr>
            <w:tcW w:w="0" w:type="auto"/>
          </w:tcPr>
          <w:p w14:paraId="491D2D56" w14:textId="3731C084" w:rsidR="002E21B4" w:rsidRPr="0096692C" w:rsidRDefault="002E21B4" w:rsidP="005F740E">
            <w:pPr>
              <w:jc w:val="center"/>
              <w:rPr>
                <w:rFonts w:cstheme="minorHAnsi"/>
                <w:sz w:val="20"/>
                <w:szCs w:val="20"/>
              </w:rPr>
            </w:pPr>
            <w:r w:rsidRPr="0096692C">
              <w:rPr>
                <w:rFonts w:cstheme="minorHAnsi"/>
                <w:sz w:val="20"/>
                <w:szCs w:val="20"/>
              </w:rPr>
              <w:t>1.090</w:t>
            </w:r>
          </w:p>
        </w:tc>
      </w:tr>
    </w:tbl>
    <w:p w14:paraId="4C4245F2" w14:textId="4836B34B" w:rsidR="00D97685" w:rsidRDefault="00D97685" w:rsidP="00441CF7">
      <w:pPr>
        <w:spacing w:after="0"/>
        <w:rPr>
          <w:b/>
          <w:bCs/>
          <w:sz w:val="28"/>
          <w:szCs w:val="28"/>
        </w:rPr>
      </w:pPr>
    </w:p>
    <w:p w14:paraId="75892713" w14:textId="12F4EF1F" w:rsidR="009D093E" w:rsidRPr="0096692C" w:rsidRDefault="0096692C" w:rsidP="0096692C">
      <w:pPr>
        <w:spacing w:after="0"/>
        <w:jc w:val="center"/>
        <w:rPr>
          <w:b/>
          <w:bCs/>
          <w:sz w:val="24"/>
          <w:szCs w:val="24"/>
        </w:rPr>
      </w:pPr>
      <w:r>
        <w:rPr>
          <w:b/>
          <w:bCs/>
          <w:sz w:val="24"/>
          <w:szCs w:val="24"/>
        </w:rPr>
        <w:t>Table</w:t>
      </w:r>
      <w:r w:rsidR="008423E7">
        <w:rPr>
          <w:b/>
          <w:bCs/>
          <w:sz w:val="24"/>
          <w:szCs w:val="24"/>
        </w:rPr>
        <w:t xml:space="preserve"> 1</w:t>
      </w:r>
      <w:r w:rsidR="007E04D6">
        <w:rPr>
          <w:b/>
          <w:bCs/>
          <w:sz w:val="24"/>
          <w:szCs w:val="24"/>
        </w:rPr>
        <w:t>3</w:t>
      </w:r>
      <w:r>
        <w:rPr>
          <w:b/>
          <w:bCs/>
          <w:sz w:val="24"/>
          <w:szCs w:val="24"/>
        </w:rPr>
        <w:t>: Relative Price (CY 2019)</w:t>
      </w:r>
    </w:p>
    <w:tbl>
      <w:tblPr>
        <w:tblStyle w:val="TableGrid"/>
        <w:tblW w:w="0" w:type="auto"/>
        <w:jc w:val="center"/>
        <w:tblLook w:val="04A0" w:firstRow="1" w:lastRow="0" w:firstColumn="1" w:lastColumn="0" w:noHBand="0" w:noVBand="1"/>
        <w:tblCaption w:val="Table 13: Relative Price (CY 2019)"/>
        <w:tblDescription w:val="BCBS Heywood Hospital UMass Memorial &#10;Medical Center&#10;Inpatient RP 0.71 1.14&#10;Outpatient RP 0.82 0.99&#10;&#10;  &#10;Tufts Heywood Hospital UMass Memorial&#10;Medical Center&#10;Inpatient RP 0.51 1.34&#10;Outpatient RP 0.68 0.97&#10;  &#10;Fallon  Heywood Hospital UMass Memorial &#10;Medical Center&#10;Inpatient RP 0.45 1.54&#10;Outpatient RP 0.54 0.94&#10;"/>
      </w:tblPr>
      <w:tblGrid>
        <w:gridCol w:w="1363"/>
        <w:gridCol w:w="1742"/>
        <w:gridCol w:w="1639"/>
      </w:tblGrid>
      <w:tr w:rsidR="002E21B4" w:rsidRPr="00202FB0" w14:paraId="0DFA592C" w14:textId="19323B71" w:rsidTr="00496247">
        <w:trPr>
          <w:tblHeader/>
          <w:jc w:val="center"/>
        </w:trPr>
        <w:tc>
          <w:tcPr>
            <w:tcW w:w="0" w:type="auto"/>
            <w:shd w:val="clear" w:color="auto" w:fill="F2F2F2" w:themeFill="background1" w:themeFillShade="F2"/>
          </w:tcPr>
          <w:p w14:paraId="280A2354" w14:textId="0E0BF4D6" w:rsidR="002E21B4" w:rsidRPr="00202FB0" w:rsidRDefault="002E21B4" w:rsidP="00441CF7">
            <w:pPr>
              <w:rPr>
                <w:rFonts w:cstheme="minorHAnsi"/>
                <w:b/>
                <w:bCs/>
                <w:sz w:val="20"/>
                <w:szCs w:val="20"/>
              </w:rPr>
            </w:pPr>
            <w:r w:rsidRPr="00202FB0">
              <w:rPr>
                <w:rFonts w:cstheme="minorHAnsi"/>
                <w:b/>
                <w:bCs/>
                <w:sz w:val="20"/>
                <w:szCs w:val="20"/>
              </w:rPr>
              <w:t>BCBS</w:t>
            </w:r>
          </w:p>
        </w:tc>
        <w:tc>
          <w:tcPr>
            <w:tcW w:w="0" w:type="auto"/>
            <w:shd w:val="clear" w:color="auto" w:fill="F2F2F2" w:themeFill="background1" w:themeFillShade="F2"/>
          </w:tcPr>
          <w:p w14:paraId="27FA09D6" w14:textId="5D9DEEBA" w:rsidR="002E21B4" w:rsidRPr="00202FB0" w:rsidRDefault="002E21B4" w:rsidP="00441CF7">
            <w:pPr>
              <w:rPr>
                <w:rFonts w:cstheme="minorHAnsi"/>
                <w:b/>
                <w:bCs/>
                <w:sz w:val="20"/>
                <w:szCs w:val="20"/>
              </w:rPr>
            </w:pPr>
            <w:r w:rsidRPr="00202FB0">
              <w:rPr>
                <w:rFonts w:cstheme="minorHAnsi"/>
                <w:b/>
                <w:bCs/>
                <w:sz w:val="20"/>
                <w:szCs w:val="20"/>
              </w:rPr>
              <w:t>Heywood Hospital</w:t>
            </w:r>
          </w:p>
        </w:tc>
        <w:tc>
          <w:tcPr>
            <w:tcW w:w="0" w:type="auto"/>
            <w:shd w:val="clear" w:color="auto" w:fill="F2F2F2" w:themeFill="background1" w:themeFillShade="F2"/>
          </w:tcPr>
          <w:p w14:paraId="5D31A488" w14:textId="77777777" w:rsidR="00143A5E" w:rsidRDefault="002E21B4" w:rsidP="00441CF7">
            <w:pPr>
              <w:rPr>
                <w:rFonts w:cstheme="minorHAnsi"/>
                <w:b/>
                <w:bCs/>
                <w:sz w:val="20"/>
                <w:szCs w:val="20"/>
              </w:rPr>
            </w:pPr>
            <w:r w:rsidRPr="00202FB0">
              <w:rPr>
                <w:rFonts w:cstheme="minorHAnsi"/>
                <w:b/>
                <w:bCs/>
                <w:sz w:val="20"/>
                <w:szCs w:val="20"/>
              </w:rPr>
              <w:t xml:space="preserve">UMass </w:t>
            </w:r>
            <w:r w:rsidR="008210FA">
              <w:rPr>
                <w:rFonts w:cstheme="minorHAnsi"/>
                <w:b/>
                <w:bCs/>
                <w:sz w:val="20"/>
                <w:szCs w:val="20"/>
              </w:rPr>
              <w:t xml:space="preserve">Memorial </w:t>
            </w:r>
          </w:p>
          <w:p w14:paraId="2D5CA87D" w14:textId="6070A9DE" w:rsidR="002E21B4" w:rsidRPr="00202FB0" w:rsidRDefault="002E21B4" w:rsidP="00441CF7">
            <w:pPr>
              <w:rPr>
                <w:rFonts w:cstheme="minorHAnsi"/>
                <w:b/>
                <w:bCs/>
                <w:sz w:val="20"/>
                <w:szCs w:val="20"/>
              </w:rPr>
            </w:pPr>
            <w:r w:rsidRPr="00202FB0">
              <w:rPr>
                <w:rFonts w:cstheme="minorHAnsi"/>
                <w:b/>
                <w:bCs/>
                <w:sz w:val="20"/>
                <w:szCs w:val="20"/>
              </w:rPr>
              <w:t>Medical Center</w:t>
            </w:r>
          </w:p>
        </w:tc>
      </w:tr>
      <w:tr w:rsidR="002E21B4" w:rsidRPr="00202FB0" w14:paraId="54A206F9" w14:textId="3D88BE5F" w:rsidTr="00A94CB7">
        <w:trPr>
          <w:jc w:val="center"/>
        </w:trPr>
        <w:tc>
          <w:tcPr>
            <w:tcW w:w="0" w:type="auto"/>
          </w:tcPr>
          <w:p w14:paraId="583BB750" w14:textId="7FA16130" w:rsidR="002E21B4" w:rsidRPr="00202FB0" w:rsidRDefault="002E21B4" w:rsidP="00441CF7">
            <w:pPr>
              <w:rPr>
                <w:rFonts w:cstheme="minorHAnsi"/>
                <w:sz w:val="20"/>
                <w:szCs w:val="20"/>
              </w:rPr>
            </w:pPr>
            <w:r w:rsidRPr="00202FB0">
              <w:rPr>
                <w:rFonts w:cstheme="minorHAnsi"/>
                <w:sz w:val="20"/>
                <w:szCs w:val="20"/>
              </w:rPr>
              <w:t>Inpatient RP</w:t>
            </w:r>
          </w:p>
        </w:tc>
        <w:tc>
          <w:tcPr>
            <w:tcW w:w="0" w:type="auto"/>
          </w:tcPr>
          <w:p w14:paraId="05F45919" w14:textId="6F615E42" w:rsidR="002E21B4" w:rsidRPr="00202FB0" w:rsidRDefault="002E21B4" w:rsidP="00441CF7">
            <w:pPr>
              <w:rPr>
                <w:rFonts w:cstheme="minorHAnsi"/>
                <w:sz w:val="20"/>
                <w:szCs w:val="20"/>
              </w:rPr>
            </w:pPr>
            <w:r w:rsidRPr="00202FB0">
              <w:rPr>
                <w:rFonts w:cstheme="minorHAnsi"/>
                <w:sz w:val="20"/>
                <w:szCs w:val="20"/>
              </w:rPr>
              <w:t>0.71</w:t>
            </w:r>
          </w:p>
        </w:tc>
        <w:tc>
          <w:tcPr>
            <w:tcW w:w="0" w:type="auto"/>
          </w:tcPr>
          <w:p w14:paraId="65F26093" w14:textId="78624725" w:rsidR="002E21B4" w:rsidRPr="00202FB0" w:rsidRDefault="002E21B4" w:rsidP="00441CF7">
            <w:pPr>
              <w:rPr>
                <w:rFonts w:cstheme="minorHAnsi"/>
                <w:sz w:val="20"/>
                <w:szCs w:val="20"/>
              </w:rPr>
            </w:pPr>
            <w:r w:rsidRPr="00202FB0">
              <w:rPr>
                <w:rFonts w:cstheme="minorHAnsi"/>
                <w:sz w:val="20"/>
                <w:szCs w:val="20"/>
              </w:rPr>
              <w:t>1.14</w:t>
            </w:r>
          </w:p>
        </w:tc>
      </w:tr>
      <w:tr w:rsidR="002E21B4" w:rsidRPr="00202FB0" w14:paraId="244A970B" w14:textId="7F03C3EF" w:rsidTr="00A94CB7">
        <w:trPr>
          <w:jc w:val="center"/>
        </w:trPr>
        <w:tc>
          <w:tcPr>
            <w:tcW w:w="0" w:type="auto"/>
          </w:tcPr>
          <w:p w14:paraId="66F25B4B" w14:textId="097558CD" w:rsidR="002E21B4" w:rsidRPr="00202FB0" w:rsidRDefault="002E21B4" w:rsidP="00441CF7">
            <w:pPr>
              <w:rPr>
                <w:rFonts w:cstheme="minorHAnsi"/>
                <w:sz w:val="20"/>
                <w:szCs w:val="20"/>
              </w:rPr>
            </w:pPr>
            <w:r w:rsidRPr="00202FB0">
              <w:rPr>
                <w:rFonts w:cstheme="minorHAnsi"/>
                <w:sz w:val="20"/>
                <w:szCs w:val="20"/>
              </w:rPr>
              <w:t>Outpatient RP</w:t>
            </w:r>
          </w:p>
        </w:tc>
        <w:tc>
          <w:tcPr>
            <w:tcW w:w="0" w:type="auto"/>
          </w:tcPr>
          <w:p w14:paraId="7AA5281B" w14:textId="100ED859" w:rsidR="002E21B4" w:rsidRPr="00202FB0" w:rsidRDefault="002E21B4" w:rsidP="00441CF7">
            <w:pPr>
              <w:rPr>
                <w:rFonts w:cstheme="minorHAnsi"/>
                <w:sz w:val="20"/>
                <w:szCs w:val="20"/>
              </w:rPr>
            </w:pPr>
            <w:r w:rsidRPr="00202FB0">
              <w:rPr>
                <w:rFonts w:cstheme="minorHAnsi"/>
                <w:sz w:val="20"/>
                <w:szCs w:val="20"/>
              </w:rPr>
              <w:t>0.82</w:t>
            </w:r>
          </w:p>
        </w:tc>
        <w:tc>
          <w:tcPr>
            <w:tcW w:w="0" w:type="auto"/>
          </w:tcPr>
          <w:p w14:paraId="6F4049F0" w14:textId="3F691A7C" w:rsidR="002E21B4" w:rsidRPr="00202FB0" w:rsidRDefault="002E21B4" w:rsidP="00441CF7">
            <w:pPr>
              <w:rPr>
                <w:rFonts w:cstheme="minorHAnsi"/>
                <w:sz w:val="20"/>
                <w:szCs w:val="20"/>
              </w:rPr>
            </w:pPr>
            <w:r w:rsidRPr="00202FB0">
              <w:rPr>
                <w:rFonts w:cstheme="minorHAnsi"/>
                <w:sz w:val="20"/>
                <w:szCs w:val="20"/>
              </w:rPr>
              <w:t>0.99</w:t>
            </w:r>
          </w:p>
          <w:p w14:paraId="06597F61" w14:textId="6943F5F9" w:rsidR="002E21B4" w:rsidRPr="00202FB0" w:rsidRDefault="002E21B4" w:rsidP="00441CF7">
            <w:pPr>
              <w:rPr>
                <w:rFonts w:cstheme="minorHAnsi"/>
                <w:sz w:val="20"/>
                <w:szCs w:val="20"/>
              </w:rPr>
            </w:pPr>
          </w:p>
        </w:tc>
      </w:tr>
      <w:tr w:rsidR="002E21B4" w:rsidRPr="00202FB0" w14:paraId="40257D09" w14:textId="38775F24" w:rsidTr="00202FB0">
        <w:trPr>
          <w:jc w:val="center"/>
        </w:trPr>
        <w:tc>
          <w:tcPr>
            <w:tcW w:w="0" w:type="auto"/>
            <w:shd w:val="clear" w:color="auto" w:fill="F2F2F2" w:themeFill="background1" w:themeFillShade="F2"/>
          </w:tcPr>
          <w:p w14:paraId="7C9C24C0" w14:textId="6EE0E70E" w:rsidR="002E21B4" w:rsidRPr="00202FB0" w:rsidRDefault="002E21B4" w:rsidP="00583ECD">
            <w:pPr>
              <w:rPr>
                <w:rFonts w:cstheme="minorHAnsi"/>
                <w:b/>
                <w:bCs/>
                <w:sz w:val="20"/>
                <w:szCs w:val="20"/>
              </w:rPr>
            </w:pPr>
            <w:r w:rsidRPr="00202FB0">
              <w:rPr>
                <w:rFonts w:cstheme="minorHAnsi"/>
                <w:b/>
                <w:bCs/>
                <w:sz w:val="20"/>
                <w:szCs w:val="20"/>
              </w:rPr>
              <w:t>Tufts</w:t>
            </w:r>
          </w:p>
        </w:tc>
        <w:tc>
          <w:tcPr>
            <w:tcW w:w="0" w:type="auto"/>
            <w:shd w:val="clear" w:color="auto" w:fill="F2F2F2" w:themeFill="background1" w:themeFillShade="F2"/>
          </w:tcPr>
          <w:p w14:paraId="0D3AD78F" w14:textId="7912F2F1" w:rsidR="002E21B4" w:rsidRPr="00202FB0" w:rsidRDefault="002E21B4" w:rsidP="00583ECD">
            <w:pPr>
              <w:rPr>
                <w:rFonts w:cstheme="minorHAnsi"/>
                <w:b/>
                <w:bCs/>
                <w:sz w:val="20"/>
                <w:szCs w:val="20"/>
              </w:rPr>
            </w:pPr>
            <w:r w:rsidRPr="00202FB0">
              <w:rPr>
                <w:b/>
                <w:bCs/>
                <w:sz w:val="20"/>
                <w:szCs w:val="20"/>
              </w:rPr>
              <w:t>Heywood Hospital</w:t>
            </w:r>
          </w:p>
        </w:tc>
        <w:tc>
          <w:tcPr>
            <w:tcW w:w="0" w:type="auto"/>
            <w:shd w:val="clear" w:color="auto" w:fill="F2F2F2" w:themeFill="background1" w:themeFillShade="F2"/>
          </w:tcPr>
          <w:p w14:paraId="349E2487" w14:textId="77777777" w:rsidR="007F226C" w:rsidRDefault="002E21B4" w:rsidP="00583ECD">
            <w:pPr>
              <w:rPr>
                <w:b/>
                <w:bCs/>
                <w:sz w:val="20"/>
                <w:szCs w:val="20"/>
              </w:rPr>
            </w:pPr>
            <w:r w:rsidRPr="00202FB0">
              <w:rPr>
                <w:b/>
                <w:bCs/>
                <w:sz w:val="20"/>
                <w:szCs w:val="20"/>
              </w:rPr>
              <w:t xml:space="preserve">UMass </w:t>
            </w:r>
            <w:r w:rsidR="007F226C">
              <w:rPr>
                <w:b/>
                <w:bCs/>
                <w:sz w:val="20"/>
                <w:szCs w:val="20"/>
              </w:rPr>
              <w:t>Memorial</w:t>
            </w:r>
          </w:p>
          <w:p w14:paraId="2B7280C5" w14:textId="102D4AE0" w:rsidR="002E21B4" w:rsidRPr="00202FB0" w:rsidRDefault="002E21B4" w:rsidP="00583ECD">
            <w:pPr>
              <w:rPr>
                <w:rFonts w:cstheme="minorHAnsi"/>
                <w:b/>
                <w:bCs/>
                <w:sz w:val="20"/>
                <w:szCs w:val="20"/>
              </w:rPr>
            </w:pPr>
            <w:r w:rsidRPr="00202FB0">
              <w:rPr>
                <w:b/>
                <w:bCs/>
                <w:sz w:val="20"/>
                <w:szCs w:val="20"/>
              </w:rPr>
              <w:t>Medical Center</w:t>
            </w:r>
          </w:p>
        </w:tc>
      </w:tr>
      <w:tr w:rsidR="002E21B4" w:rsidRPr="00202FB0" w14:paraId="4104FA21" w14:textId="7B7721D8" w:rsidTr="00A94CB7">
        <w:trPr>
          <w:jc w:val="center"/>
        </w:trPr>
        <w:tc>
          <w:tcPr>
            <w:tcW w:w="0" w:type="auto"/>
          </w:tcPr>
          <w:p w14:paraId="793AAA44" w14:textId="4132965F" w:rsidR="002E21B4" w:rsidRPr="00202FB0" w:rsidRDefault="002E21B4" w:rsidP="00441CF7">
            <w:pPr>
              <w:rPr>
                <w:rFonts w:cstheme="minorHAnsi"/>
                <w:sz w:val="20"/>
                <w:szCs w:val="20"/>
              </w:rPr>
            </w:pPr>
            <w:r w:rsidRPr="00202FB0">
              <w:rPr>
                <w:rFonts w:cstheme="minorHAnsi"/>
                <w:sz w:val="20"/>
                <w:szCs w:val="20"/>
              </w:rPr>
              <w:t>Inpatient RP</w:t>
            </w:r>
          </w:p>
        </w:tc>
        <w:tc>
          <w:tcPr>
            <w:tcW w:w="0" w:type="auto"/>
          </w:tcPr>
          <w:p w14:paraId="5AA2F766" w14:textId="02B04052" w:rsidR="002E21B4" w:rsidRPr="00202FB0" w:rsidRDefault="002E21B4" w:rsidP="00441CF7">
            <w:pPr>
              <w:rPr>
                <w:rFonts w:cstheme="minorHAnsi"/>
                <w:sz w:val="20"/>
                <w:szCs w:val="20"/>
              </w:rPr>
            </w:pPr>
            <w:r w:rsidRPr="00202FB0">
              <w:rPr>
                <w:rFonts w:cstheme="minorHAnsi"/>
                <w:sz w:val="20"/>
                <w:szCs w:val="20"/>
              </w:rPr>
              <w:t>0.51</w:t>
            </w:r>
          </w:p>
        </w:tc>
        <w:tc>
          <w:tcPr>
            <w:tcW w:w="0" w:type="auto"/>
          </w:tcPr>
          <w:p w14:paraId="32827030" w14:textId="4F452DA1" w:rsidR="002E21B4" w:rsidRPr="00202FB0" w:rsidRDefault="002E21B4" w:rsidP="00441CF7">
            <w:pPr>
              <w:rPr>
                <w:rFonts w:cstheme="minorHAnsi"/>
                <w:sz w:val="20"/>
                <w:szCs w:val="20"/>
              </w:rPr>
            </w:pPr>
            <w:r w:rsidRPr="00202FB0">
              <w:rPr>
                <w:rFonts w:cstheme="minorHAnsi"/>
                <w:sz w:val="20"/>
                <w:szCs w:val="20"/>
              </w:rPr>
              <w:t>1.34</w:t>
            </w:r>
          </w:p>
        </w:tc>
      </w:tr>
      <w:tr w:rsidR="002E21B4" w:rsidRPr="00202FB0" w14:paraId="77165BE1" w14:textId="39F741BF" w:rsidTr="00A94CB7">
        <w:trPr>
          <w:jc w:val="center"/>
        </w:trPr>
        <w:tc>
          <w:tcPr>
            <w:tcW w:w="0" w:type="auto"/>
          </w:tcPr>
          <w:p w14:paraId="76FC90DD" w14:textId="1DD76FF7" w:rsidR="002E21B4" w:rsidRPr="00202FB0" w:rsidRDefault="002E21B4" w:rsidP="00441CF7">
            <w:pPr>
              <w:rPr>
                <w:rFonts w:cstheme="minorHAnsi"/>
                <w:sz w:val="20"/>
                <w:szCs w:val="20"/>
              </w:rPr>
            </w:pPr>
            <w:r w:rsidRPr="00202FB0">
              <w:rPr>
                <w:rFonts w:cstheme="minorHAnsi"/>
                <w:sz w:val="20"/>
                <w:szCs w:val="20"/>
              </w:rPr>
              <w:t>Outpatient RP</w:t>
            </w:r>
          </w:p>
        </w:tc>
        <w:tc>
          <w:tcPr>
            <w:tcW w:w="0" w:type="auto"/>
          </w:tcPr>
          <w:p w14:paraId="524E560F" w14:textId="4AB67BB3" w:rsidR="002E21B4" w:rsidRPr="00202FB0" w:rsidRDefault="002E21B4" w:rsidP="00441CF7">
            <w:pPr>
              <w:rPr>
                <w:rFonts w:cstheme="minorHAnsi"/>
                <w:sz w:val="20"/>
                <w:szCs w:val="20"/>
              </w:rPr>
            </w:pPr>
            <w:r w:rsidRPr="00202FB0">
              <w:rPr>
                <w:rFonts w:cstheme="minorHAnsi"/>
                <w:sz w:val="20"/>
                <w:szCs w:val="20"/>
              </w:rPr>
              <w:t>0.68</w:t>
            </w:r>
          </w:p>
        </w:tc>
        <w:tc>
          <w:tcPr>
            <w:tcW w:w="0" w:type="auto"/>
          </w:tcPr>
          <w:p w14:paraId="602653D4" w14:textId="405A64C7" w:rsidR="002E21B4" w:rsidRPr="00202FB0" w:rsidRDefault="002E21B4" w:rsidP="00441CF7">
            <w:pPr>
              <w:rPr>
                <w:rFonts w:cstheme="minorHAnsi"/>
                <w:sz w:val="20"/>
                <w:szCs w:val="20"/>
              </w:rPr>
            </w:pPr>
            <w:r w:rsidRPr="00202FB0">
              <w:rPr>
                <w:rFonts w:cstheme="minorHAnsi"/>
                <w:sz w:val="20"/>
                <w:szCs w:val="20"/>
              </w:rPr>
              <w:t>0.97</w:t>
            </w:r>
          </w:p>
        </w:tc>
      </w:tr>
      <w:tr w:rsidR="002E21B4" w:rsidRPr="00202FB0" w14:paraId="24E6FF01" w14:textId="11AC0EF5" w:rsidTr="00202FB0">
        <w:trPr>
          <w:jc w:val="center"/>
        </w:trPr>
        <w:tc>
          <w:tcPr>
            <w:tcW w:w="0" w:type="auto"/>
            <w:shd w:val="clear" w:color="auto" w:fill="F2F2F2" w:themeFill="background1" w:themeFillShade="F2"/>
          </w:tcPr>
          <w:p w14:paraId="2FCFC3F2" w14:textId="6507A868" w:rsidR="002E21B4" w:rsidRPr="00202FB0" w:rsidRDefault="002E21B4" w:rsidP="00583ECD">
            <w:pPr>
              <w:rPr>
                <w:rFonts w:cstheme="minorHAnsi"/>
                <w:b/>
                <w:bCs/>
                <w:sz w:val="20"/>
                <w:szCs w:val="20"/>
              </w:rPr>
            </w:pPr>
            <w:r w:rsidRPr="00202FB0">
              <w:rPr>
                <w:rFonts w:cstheme="minorHAnsi"/>
                <w:b/>
                <w:bCs/>
                <w:sz w:val="20"/>
                <w:szCs w:val="20"/>
              </w:rPr>
              <w:t>Fallon</w:t>
            </w:r>
            <w:r w:rsidR="00AB54B5">
              <w:rPr>
                <w:rStyle w:val="FootnoteReference"/>
                <w:rFonts w:cstheme="minorHAnsi"/>
                <w:b/>
                <w:bCs/>
                <w:sz w:val="20"/>
                <w:szCs w:val="20"/>
              </w:rPr>
              <w:footnoteReference w:id="34"/>
            </w:r>
          </w:p>
        </w:tc>
        <w:tc>
          <w:tcPr>
            <w:tcW w:w="0" w:type="auto"/>
            <w:shd w:val="clear" w:color="auto" w:fill="F2F2F2" w:themeFill="background1" w:themeFillShade="F2"/>
          </w:tcPr>
          <w:p w14:paraId="509CE278" w14:textId="459E0BBD" w:rsidR="002E21B4" w:rsidRPr="00202FB0" w:rsidRDefault="002E21B4" w:rsidP="00583ECD">
            <w:pPr>
              <w:rPr>
                <w:rFonts w:cstheme="minorHAnsi"/>
                <w:b/>
                <w:bCs/>
                <w:sz w:val="20"/>
                <w:szCs w:val="20"/>
              </w:rPr>
            </w:pPr>
            <w:r w:rsidRPr="00202FB0">
              <w:rPr>
                <w:b/>
                <w:bCs/>
                <w:sz w:val="20"/>
                <w:szCs w:val="20"/>
              </w:rPr>
              <w:t>Heywood Hospital</w:t>
            </w:r>
          </w:p>
        </w:tc>
        <w:tc>
          <w:tcPr>
            <w:tcW w:w="0" w:type="auto"/>
            <w:shd w:val="clear" w:color="auto" w:fill="F2F2F2" w:themeFill="background1" w:themeFillShade="F2"/>
          </w:tcPr>
          <w:p w14:paraId="158D45E6" w14:textId="77777777" w:rsidR="007F226C" w:rsidRDefault="002E21B4" w:rsidP="00583ECD">
            <w:pPr>
              <w:rPr>
                <w:b/>
                <w:bCs/>
                <w:sz w:val="20"/>
                <w:szCs w:val="20"/>
              </w:rPr>
            </w:pPr>
            <w:r w:rsidRPr="00202FB0">
              <w:rPr>
                <w:b/>
                <w:bCs/>
                <w:sz w:val="20"/>
                <w:szCs w:val="20"/>
              </w:rPr>
              <w:t xml:space="preserve">UMass </w:t>
            </w:r>
            <w:r w:rsidR="007F226C">
              <w:rPr>
                <w:b/>
                <w:bCs/>
                <w:sz w:val="20"/>
                <w:szCs w:val="20"/>
              </w:rPr>
              <w:t xml:space="preserve">Memorial </w:t>
            </w:r>
          </w:p>
          <w:p w14:paraId="2ACB59E5" w14:textId="389A6123" w:rsidR="002E21B4" w:rsidRPr="00202FB0" w:rsidRDefault="002E21B4" w:rsidP="00583ECD">
            <w:pPr>
              <w:rPr>
                <w:rFonts w:cstheme="minorHAnsi"/>
                <w:b/>
                <w:bCs/>
                <w:sz w:val="20"/>
                <w:szCs w:val="20"/>
              </w:rPr>
            </w:pPr>
            <w:r w:rsidRPr="00202FB0">
              <w:rPr>
                <w:b/>
                <w:bCs/>
                <w:sz w:val="20"/>
                <w:szCs w:val="20"/>
              </w:rPr>
              <w:t>Medical Center</w:t>
            </w:r>
          </w:p>
        </w:tc>
      </w:tr>
      <w:tr w:rsidR="002E21B4" w:rsidRPr="00202FB0" w14:paraId="58A26FA6" w14:textId="2B6F5285" w:rsidTr="00A94CB7">
        <w:trPr>
          <w:jc w:val="center"/>
        </w:trPr>
        <w:tc>
          <w:tcPr>
            <w:tcW w:w="0" w:type="auto"/>
          </w:tcPr>
          <w:p w14:paraId="35D5CD60" w14:textId="6B82FFAF" w:rsidR="002E21B4" w:rsidRPr="00202FB0" w:rsidRDefault="002E21B4" w:rsidP="00441CF7">
            <w:pPr>
              <w:rPr>
                <w:rFonts w:cstheme="minorHAnsi"/>
                <w:sz w:val="20"/>
                <w:szCs w:val="20"/>
              </w:rPr>
            </w:pPr>
            <w:r w:rsidRPr="00202FB0">
              <w:rPr>
                <w:rFonts w:cstheme="minorHAnsi"/>
                <w:sz w:val="20"/>
                <w:szCs w:val="20"/>
              </w:rPr>
              <w:t>Inpatient RP</w:t>
            </w:r>
          </w:p>
        </w:tc>
        <w:tc>
          <w:tcPr>
            <w:tcW w:w="0" w:type="auto"/>
          </w:tcPr>
          <w:p w14:paraId="6634BA5C" w14:textId="62B6FBA2" w:rsidR="002E21B4" w:rsidRPr="00202FB0" w:rsidRDefault="002E21B4" w:rsidP="00441CF7">
            <w:pPr>
              <w:rPr>
                <w:rFonts w:cstheme="minorHAnsi"/>
                <w:sz w:val="20"/>
                <w:szCs w:val="20"/>
              </w:rPr>
            </w:pPr>
            <w:r w:rsidRPr="00202FB0">
              <w:rPr>
                <w:rFonts w:cstheme="minorHAnsi"/>
                <w:sz w:val="20"/>
                <w:szCs w:val="20"/>
              </w:rPr>
              <w:t>0.45</w:t>
            </w:r>
          </w:p>
        </w:tc>
        <w:tc>
          <w:tcPr>
            <w:tcW w:w="0" w:type="auto"/>
          </w:tcPr>
          <w:p w14:paraId="297C2CBF" w14:textId="56E4B5EA" w:rsidR="002E21B4" w:rsidRPr="00202FB0" w:rsidRDefault="002E21B4" w:rsidP="00441CF7">
            <w:pPr>
              <w:rPr>
                <w:rFonts w:cstheme="minorHAnsi"/>
                <w:sz w:val="20"/>
                <w:szCs w:val="20"/>
              </w:rPr>
            </w:pPr>
            <w:r w:rsidRPr="00202FB0">
              <w:rPr>
                <w:rFonts w:cstheme="minorHAnsi"/>
                <w:sz w:val="20"/>
                <w:szCs w:val="20"/>
              </w:rPr>
              <w:t>1.54</w:t>
            </w:r>
          </w:p>
        </w:tc>
      </w:tr>
      <w:tr w:rsidR="002E21B4" w:rsidRPr="00202FB0" w14:paraId="5C7AE176" w14:textId="48B45BB3" w:rsidTr="00A94CB7">
        <w:trPr>
          <w:jc w:val="center"/>
        </w:trPr>
        <w:tc>
          <w:tcPr>
            <w:tcW w:w="0" w:type="auto"/>
          </w:tcPr>
          <w:p w14:paraId="1DC2FCAB" w14:textId="2C10A647" w:rsidR="002E21B4" w:rsidRPr="00202FB0" w:rsidRDefault="002E21B4" w:rsidP="00441CF7">
            <w:pPr>
              <w:rPr>
                <w:rFonts w:cstheme="minorHAnsi"/>
                <w:sz w:val="20"/>
                <w:szCs w:val="20"/>
              </w:rPr>
            </w:pPr>
            <w:r w:rsidRPr="00202FB0">
              <w:rPr>
                <w:rFonts w:cstheme="minorHAnsi"/>
                <w:sz w:val="20"/>
                <w:szCs w:val="20"/>
              </w:rPr>
              <w:t>Outpatient RP</w:t>
            </w:r>
          </w:p>
        </w:tc>
        <w:tc>
          <w:tcPr>
            <w:tcW w:w="0" w:type="auto"/>
          </w:tcPr>
          <w:p w14:paraId="5C63DDDF" w14:textId="5664A325" w:rsidR="002E21B4" w:rsidRPr="00202FB0" w:rsidRDefault="002E21B4" w:rsidP="00441CF7">
            <w:pPr>
              <w:rPr>
                <w:rFonts w:cstheme="minorHAnsi"/>
                <w:sz w:val="20"/>
                <w:szCs w:val="20"/>
              </w:rPr>
            </w:pPr>
            <w:r w:rsidRPr="00202FB0">
              <w:rPr>
                <w:rFonts w:cstheme="minorHAnsi"/>
                <w:sz w:val="20"/>
                <w:szCs w:val="20"/>
              </w:rPr>
              <w:t>0.54</w:t>
            </w:r>
          </w:p>
        </w:tc>
        <w:tc>
          <w:tcPr>
            <w:tcW w:w="0" w:type="auto"/>
          </w:tcPr>
          <w:p w14:paraId="560FED13" w14:textId="5DDAA21E" w:rsidR="002E21B4" w:rsidRPr="00202FB0" w:rsidRDefault="002E21B4" w:rsidP="00441CF7">
            <w:pPr>
              <w:rPr>
                <w:rFonts w:cstheme="minorHAnsi"/>
                <w:sz w:val="20"/>
                <w:szCs w:val="20"/>
              </w:rPr>
            </w:pPr>
            <w:r w:rsidRPr="00202FB0">
              <w:rPr>
                <w:rFonts w:cstheme="minorHAnsi"/>
                <w:sz w:val="20"/>
                <w:szCs w:val="20"/>
              </w:rPr>
              <w:t>0.94</w:t>
            </w:r>
          </w:p>
        </w:tc>
      </w:tr>
    </w:tbl>
    <w:p w14:paraId="33642B3D" w14:textId="77777777" w:rsidR="00EE68BF" w:rsidRDefault="00EE68BF" w:rsidP="00441CF7">
      <w:pPr>
        <w:spacing w:after="0"/>
        <w:rPr>
          <w:sz w:val="24"/>
          <w:szCs w:val="24"/>
        </w:rPr>
      </w:pPr>
    </w:p>
    <w:p w14:paraId="5388B0D2" w14:textId="7BF5AB13" w:rsidR="007C4ACE" w:rsidRPr="00416CCB" w:rsidRDefault="00416CCB" w:rsidP="00441CF7">
      <w:pPr>
        <w:spacing w:after="0"/>
        <w:rPr>
          <w:sz w:val="24"/>
          <w:szCs w:val="24"/>
        </w:rPr>
      </w:pPr>
      <w:r>
        <w:rPr>
          <w:sz w:val="24"/>
          <w:szCs w:val="24"/>
        </w:rPr>
        <w:t xml:space="preserve">Staff </w:t>
      </w:r>
      <w:r w:rsidR="00BF456D">
        <w:rPr>
          <w:sz w:val="24"/>
          <w:szCs w:val="24"/>
        </w:rPr>
        <w:t xml:space="preserve">found evidence </w:t>
      </w:r>
      <w:r>
        <w:rPr>
          <w:sz w:val="24"/>
          <w:szCs w:val="24"/>
        </w:rPr>
        <w:t>support</w:t>
      </w:r>
      <w:r w:rsidR="00BF456D">
        <w:rPr>
          <w:sz w:val="24"/>
          <w:szCs w:val="24"/>
        </w:rPr>
        <w:t>ing</w:t>
      </w:r>
      <w:r>
        <w:rPr>
          <w:sz w:val="24"/>
          <w:szCs w:val="24"/>
        </w:rPr>
        <w:t xml:space="preserve"> costs savings from improving access to </w:t>
      </w:r>
      <w:r w:rsidR="0094665F">
        <w:rPr>
          <w:sz w:val="24"/>
          <w:szCs w:val="24"/>
        </w:rPr>
        <w:t>minimally invasive surgery (</w:t>
      </w:r>
      <w:r>
        <w:rPr>
          <w:sz w:val="24"/>
          <w:szCs w:val="24"/>
        </w:rPr>
        <w:t>MIS</w:t>
      </w:r>
      <w:r w:rsidR="0094665F">
        <w:rPr>
          <w:sz w:val="24"/>
          <w:szCs w:val="24"/>
        </w:rPr>
        <w:t>)</w:t>
      </w:r>
      <w:r>
        <w:rPr>
          <w:sz w:val="24"/>
          <w:szCs w:val="24"/>
        </w:rPr>
        <w:t xml:space="preserve"> and other specialized procedures that the Applicant is intending to offer. </w:t>
      </w:r>
    </w:p>
    <w:p w14:paraId="467C480B" w14:textId="17464C12" w:rsidR="00416CCB" w:rsidRDefault="00C1106A" w:rsidP="00416CCB">
      <w:pPr>
        <w:pStyle w:val="ListParagraph"/>
        <w:numPr>
          <w:ilvl w:val="0"/>
          <w:numId w:val="19"/>
        </w:numPr>
        <w:spacing w:line="240" w:lineRule="auto"/>
        <w:rPr>
          <w:sz w:val="24"/>
          <w:szCs w:val="24"/>
        </w:rPr>
      </w:pPr>
      <w:r>
        <w:rPr>
          <w:sz w:val="24"/>
          <w:szCs w:val="24"/>
        </w:rPr>
        <w:t>C</w:t>
      </w:r>
      <w:r w:rsidR="00416CCB" w:rsidRPr="00416CCB">
        <w:rPr>
          <w:sz w:val="24"/>
          <w:szCs w:val="24"/>
        </w:rPr>
        <w:t xml:space="preserve">omplications and unplanned </w:t>
      </w:r>
      <w:r w:rsidR="00EE68BF" w:rsidRPr="00416CCB">
        <w:rPr>
          <w:sz w:val="24"/>
          <w:szCs w:val="24"/>
        </w:rPr>
        <w:t>readmissions</w:t>
      </w:r>
      <w:r w:rsidR="00416CCB" w:rsidRPr="00416CCB">
        <w:rPr>
          <w:sz w:val="24"/>
          <w:szCs w:val="24"/>
        </w:rPr>
        <w:t xml:space="preserve"> </w:t>
      </w:r>
      <w:r w:rsidR="00355B45">
        <w:rPr>
          <w:sz w:val="24"/>
          <w:szCs w:val="24"/>
        </w:rPr>
        <w:t>increase</w:t>
      </w:r>
      <w:r w:rsidR="00416CCB" w:rsidRPr="00416CCB">
        <w:rPr>
          <w:sz w:val="24"/>
          <w:szCs w:val="24"/>
        </w:rPr>
        <w:t xml:space="preserve"> treatment costs</w:t>
      </w:r>
      <w:r w:rsidR="00416CCB">
        <w:rPr>
          <w:rStyle w:val="EndnoteReference"/>
          <w:sz w:val="24"/>
          <w:szCs w:val="24"/>
        </w:rPr>
        <w:endnoteReference w:id="18"/>
      </w:r>
      <w:r>
        <w:rPr>
          <w:sz w:val="24"/>
          <w:szCs w:val="24"/>
        </w:rPr>
        <w:t xml:space="preserve"> and MIS can help to reduce complications. </w:t>
      </w:r>
    </w:p>
    <w:p w14:paraId="0372D47A" w14:textId="452CD4A2" w:rsidR="0050496F" w:rsidRPr="00416CCB" w:rsidRDefault="0094665F" w:rsidP="00416CCB">
      <w:pPr>
        <w:pStyle w:val="ListParagraph"/>
        <w:numPr>
          <w:ilvl w:val="0"/>
          <w:numId w:val="19"/>
        </w:numPr>
        <w:spacing w:line="240" w:lineRule="auto"/>
        <w:rPr>
          <w:sz w:val="24"/>
          <w:szCs w:val="24"/>
        </w:rPr>
      </w:pPr>
      <w:r>
        <w:rPr>
          <w:sz w:val="24"/>
          <w:szCs w:val="24"/>
        </w:rPr>
        <w:t>Surgical site infection (</w:t>
      </w:r>
      <w:r w:rsidR="0050496F" w:rsidRPr="0050496F">
        <w:rPr>
          <w:sz w:val="24"/>
          <w:szCs w:val="24"/>
        </w:rPr>
        <w:t>SSI</w:t>
      </w:r>
      <w:r>
        <w:rPr>
          <w:sz w:val="24"/>
          <w:szCs w:val="24"/>
        </w:rPr>
        <w:t>)</w:t>
      </w:r>
      <w:r w:rsidR="0050496F" w:rsidRPr="0050496F">
        <w:rPr>
          <w:sz w:val="24"/>
          <w:szCs w:val="24"/>
        </w:rPr>
        <w:t xml:space="preserve"> </w:t>
      </w:r>
      <w:r w:rsidR="003F33A5" w:rsidRPr="0050496F">
        <w:rPr>
          <w:sz w:val="24"/>
          <w:szCs w:val="24"/>
        </w:rPr>
        <w:t>increases</w:t>
      </w:r>
      <w:r w:rsidR="0050496F" w:rsidRPr="0050496F">
        <w:rPr>
          <w:sz w:val="24"/>
          <w:szCs w:val="24"/>
        </w:rPr>
        <w:t xml:space="preserve"> the risks for readmission and postoperative mortality </w:t>
      </w:r>
      <w:r w:rsidR="00C1106A">
        <w:rPr>
          <w:sz w:val="24"/>
          <w:szCs w:val="24"/>
        </w:rPr>
        <w:t xml:space="preserve">and therefore reducing SSI </w:t>
      </w:r>
      <w:r w:rsidR="0050496F" w:rsidRPr="0050496F">
        <w:rPr>
          <w:sz w:val="24"/>
          <w:szCs w:val="24"/>
        </w:rPr>
        <w:t xml:space="preserve">has </w:t>
      </w:r>
      <w:r w:rsidR="00C1106A">
        <w:rPr>
          <w:sz w:val="24"/>
          <w:szCs w:val="24"/>
        </w:rPr>
        <w:t xml:space="preserve">an impact </w:t>
      </w:r>
      <w:r w:rsidR="0050496F" w:rsidRPr="0050496F">
        <w:rPr>
          <w:sz w:val="24"/>
          <w:szCs w:val="24"/>
        </w:rPr>
        <w:t>on the costs of health care.</w:t>
      </w:r>
      <w:r w:rsidR="0050496F" w:rsidRPr="0050496F">
        <w:rPr>
          <w:sz w:val="24"/>
          <w:szCs w:val="24"/>
          <w:vertAlign w:val="superscript"/>
        </w:rPr>
        <w:endnoteReference w:id="19"/>
      </w:r>
      <w:r w:rsidR="0050496F" w:rsidRPr="0050496F">
        <w:rPr>
          <w:sz w:val="24"/>
          <w:szCs w:val="24"/>
        </w:rPr>
        <w:t xml:space="preserve">  </w:t>
      </w:r>
    </w:p>
    <w:p w14:paraId="5890828E" w14:textId="66C8C678" w:rsidR="00416CCB" w:rsidRDefault="00781AAE" w:rsidP="008933C0">
      <w:pPr>
        <w:pStyle w:val="ListParagraph"/>
        <w:numPr>
          <w:ilvl w:val="0"/>
          <w:numId w:val="19"/>
        </w:numPr>
        <w:spacing w:line="240" w:lineRule="auto"/>
        <w:rPr>
          <w:sz w:val="24"/>
          <w:szCs w:val="24"/>
        </w:rPr>
      </w:pPr>
      <w:r>
        <w:rPr>
          <w:sz w:val="24"/>
          <w:szCs w:val="24"/>
        </w:rPr>
        <w:t>Nationally, i</w:t>
      </w:r>
      <w:r w:rsidR="008933C0" w:rsidRPr="00416CCB">
        <w:rPr>
          <w:sz w:val="24"/>
          <w:szCs w:val="24"/>
        </w:rPr>
        <w:t xml:space="preserve">ncreased </w:t>
      </w:r>
      <w:r w:rsidR="009F148F">
        <w:rPr>
          <w:sz w:val="24"/>
          <w:szCs w:val="24"/>
        </w:rPr>
        <w:t>use</w:t>
      </w:r>
      <w:r w:rsidR="008933C0" w:rsidRPr="00416CCB">
        <w:rPr>
          <w:sz w:val="24"/>
          <w:szCs w:val="24"/>
        </w:rPr>
        <w:t xml:space="preserve"> of MIS </w:t>
      </w:r>
      <w:r w:rsidR="00F860B2">
        <w:rPr>
          <w:sz w:val="24"/>
          <w:szCs w:val="24"/>
        </w:rPr>
        <w:t xml:space="preserve">in hospitals </w:t>
      </w:r>
      <w:r w:rsidR="009F148F">
        <w:rPr>
          <w:sz w:val="24"/>
          <w:szCs w:val="24"/>
        </w:rPr>
        <w:t xml:space="preserve">for certain procedures </w:t>
      </w:r>
      <w:r w:rsidR="00F860B2">
        <w:rPr>
          <w:sz w:val="24"/>
          <w:szCs w:val="24"/>
        </w:rPr>
        <w:t>c</w:t>
      </w:r>
      <w:r w:rsidR="008933C0" w:rsidRPr="00416CCB">
        <w:rPr>
          <w:sz w:val="24"/>
          <w:szCs w:val="24"/>
        </w:rPr>
        <w:t xml:space="preserve">ould </w:t>
      </w:r>
      <w:r w:rsidR="009F148F">
        <w:rPr>
          <w:sz w:val="24"/>
          <w:szCs w:val="24"/>
        </w:rPr>
        <w:t xml:space="preserve">prevent thousands of post-operative complications and </w:t>
      </w:r>
      <w:r w:rsidR="008933C0" w:rsidRPr="00416CCB">
        <w:rPr>
          <w:sz w:val="24"/>
          <w:szCs w:val="24"/>
        </w:rPr>
        <w:t>result in up to $280 to $340 million in savings</w:t>
      </w:r>
      <w:r w:rsidR="009F148F">
        <w:rPr>
          <w:sz w:val="24"/>
          <w:szCs w:val="24"/>
        </w:rPr>
        <w:t xml:space="preserve"> a year compared to using traditional open surgery</w:t>
      </w:r>
      <w:r w:rsidR="008933C0" w:rsidRPr="00416CCB">
        <w:rPr>
          <w:sz w:val="24"/>
          <w:szCs w:val="24"/>
        </w:rPr>
        <w:t>.</w:t>
      </w:r>
      <w:r w:rsidR="000B6EE5" w:rsidRPr="000B6EE5">
        <w:rPr>
          <w:rStyle w:val="FootnoteReference"/>
          <w:sz w:val="24"/>
          <w:szCs w:val="24"/>
        </w:rPr>
        <w:t xml:space="preserve"> </w:t>
      </w:r>
      <w:r w:rsidR="000B6EE5" w:rsidRPr="00AB2813">
        <w:rPr>
          <w:rStyle w:val="FootnoteReference"/>
          <w:sz w:val="24"/>
          <w:szCs w:val="24"/>
        </w:rPr>
        <w:footnoteReference w:id="35"/>
      </w:r>
      <w:r w:rsidR="000B6EE5">
        <w:rPr>
          <w:rStyle w:val="FootnoteReference"/>
          <w:sz w:val="24"/>
          <w:szCs w:val="24"/>
        </w:rPr>
        <w:t>,</w:t>
      </w:r>
      <w:r w:rsidR="00AA1603">
        <w:rPr>
          <w:rStyle w:val="EndnoteReference"/>
          <w:sz w:val="24"/>
          <w:szCs w:val="24"/>
        </w:rPr>
        <w:endnoteReference w:id="20"/>
      </w:r>
      <w:r w:rsidR="00AB2813" w:rsidRPr="00AB2813">
        <w:rPr>
          <w:sz w:val="24"/>
          <w:szCs w:val="24"/>
          <w:vertAlign w:val="superscript"/>
        </w:rPr>
        <w:t>,</w:t>
      </w:r>
      <w:r w:rsidR="002505DF" w:rsidRPr="005644BE">
        <w:rPr>
          <w:rStyle w:val="EndnoteReference"/>
          <w:sz w:val="24"/>
          <w:szCs w:val="24"/>
        </w:rPr>
        <w:endnoteReference w:id="21"/>
      </w:r>
    </w:p>
    <w:p w14:paraId="6B36431E" w14:textId="49E366E4" w:rsidR="00416CCB" w:rsidRPr="004C250B" w:rsidRDefault="008933C0" w:rsidP="004C250B">
      <w:pPr>
        <w:pStyle w:val="ListParagraph"/>
        <w:numPr>
          <w:ilvl w:val="0"/>
          <w:numId w:val="19"/>
        </w:numPr>
        <w:spacing w:line="240" w:lineRule="auto"/>
        <w:rPr>
          <w:sz w:val="24"/>
          <w:szCs w:val="24"/>
        </w:rPr>
      </w:pPr>
      <w:r w:rsidRPr="00416CCB">
        <w:rPr>
          <w:sz w:val="24"/>
          <w:szCs w:val="24"/>
        </w:rPr>
        <w:lastRenderedPageBreak/>
        <w:t>Surgical complications represent a substantial burden of harm to patients and in the United States alone are estimated to cost $25b</w:t>
      </w:r>
      <w:r w:rsidR="004632BB">
        <w:rPr>
          <w:sz w:val="24"/>
          <w:szCs w:val="24"/>
        </w:rPr>
        <w:t>illion</w:t>
      </w:r>
      <w:r w:rsidRPr="00416CCB">
        <w:rPr>
          <w:sz w:val="24"/>
          <w:szCs w:val="24"/>
        </w:rPr>
        <w:t xml:space="preserve"> annually. </w:t>
      </w:r>
      <w:r w:rsidR="004C250B" w:rsidRPr="004C250B">
        <w:rPr>
          <w:sz w:val="24"/>
          <w:szCs w:val="24"/>
        </w:rPr>
        <w:t>On average, SSIs occur in 2</w:t>
      </w:r>
      <w:r w:rsidR="00E55C01">
        <w:rPr>
          <w:sz w:val="24"/>
          <w:szCs w:val="24"/>
        </w:rPr>
        <w:t xml:space="preserve">% </w:t>
      </w:r>
      <w:r w:rsidR="004C250B" w:rsidRPr="004C250B">
        <w:rPr>
          <w:sz w:val="24"/>
          <w:szCs w:val="24"/>
        </w:rPr>
        <w:t>to 4</w:t>
      </w:r>
      <w:r w:rsidR="00E55C01">
        <w:rPr>
          <w:sz w:val="24"/>
          <w:szCs w:val="24"/>
        </w:rPr>
        <w:t>%</w:t>
      </w:r>
      <w:r w:rsidR="004C250B" w:rsidRPr="004C250B">
        <w:rPr>
          <w:sz w:val="24"/>
          <w:szCs w:val="24"/>
        </w:rPr>
        <w:t xml:space="preserve"> of all patients undergoing surgical procedures, resulting in significant morbidity and mortality.</w:t>
      </w:r>
      <w:r w:rsidR="004C250B" w:rsidRPr="004C250B">
        <w:rPr>
          <w:sz w:val="24"/>
          <w:szCs w:val="24"/>
          <w:vertAlign w:val="superscript"/>
        </w:rPr>
        <w:endnoteReference w:id="22"/>
      </w:r>
      <w:r w:rsidR="004C250B">
        <w:rPr>
          <w:sz w:val="24"/>
          <w:szCs w:val="24"/>
        </w:rPr>
        <w:t xml:space="preserve"> </w:t>
      </w:r>
      <w:r w:rsidR="00DE5B9C">
        <w:rPr>
          <w:sz w:val="24"/>
          <w:szCs w:val="24"/>
        </w:rPr>
        <w:t>MIS</w:t>
      </w:r>
      <w:r w:rsidRPr="004C250B">
        <w:rPr>
          <w:sz w:val="24"/>
          <w:szCs w:val="24"/>
        </w:rPr>
        <w:t xml:space="preserve"> is associated with lower complications</w:t>
      </w:r>
      <w:r w:rsidR="004C250B" w:rsidRPr="004C250B">
        <w:rPr>
          <w:sz w:val="24"/>
          <w:szCs w:val="24"/>
        </w:rPr>
        <w:t xml:space="preserve">, shorter hospitalizations, </w:t>
      </w:r>
      <w:r w:rsidRPr="004C250B">
        <w:rPr>
          <w:sz w:val="24"/>
          <w:szCs w:val="24"/>
        </w:rPr>
        <w:t>and improved postoperative recovery</w:t>
      </w:r>
      <w:r w:rsidR="004C250B" w:rsidRPr="004C250B">
        <w:rPr>
          <w:sz w:val="24"/>
          <w:szCs w:val="24"/>
        </w:rPr>
        <w:t>.</w:t>
      </w:r>
      <w:r>
        <w:rPr>
          <w:rStyle w:val="EndnoteReference"/>
          <w:sz w:val="24"/>
          <w:szCs w:val="24"/>
        </w:rPr>
        <w:endnoteReference w:id="23"/>
      </w:r>
    </w:p>
    <w:p w14:paraId="22F2FECE" w14:textId="3C031969" w:rsidR="00416CCB" w:rsidRDefault="008933C0" w:rsidP="008933C0">
      <w:pPr>
        <w:pStyle w:val="ListParagraph"/>
        <w:numPr>
          <w:ilvl w:val="0"/>
          <w:numId w:val="19"/>
        </w:numPr>
        <w:spacing w:line="240" w:lineRule="auto"/>
        <w:rPr>
          <w:sz w:val="24"/>
          <w:szCs w:val="24"/>
        </w:rPr>
      </w:pPr>
      <w:r w:rsidRPr="00416CCB">
        <w:rPr>
          <w:sz w:val="24"/>
          <w:szCs w:val="24"/>
        </w:rPr>
        <w:t>In a commercially insured population, the risk-adjusted allowed costs for MIS colectomy episodes were significantly lower than open</w:t>
      </w:r>
      <w:r w:rsidR="00F00257">
        <w:rPr>
          <w:sz w:val="24"/>
          <w:szCs w:val="24"/>
        </w:rPr>
        <w:t xml:space="preserve"> surgery</w:t>
      </w:r>
      <w:r w:rsidR="004C250B">
        <w:rPr>
          <w:sz w:val="24"/>
          <w:szCs w:val="24"/>
        </w:rPr>
        <w:t>, and w</w:t>
      </w:r>
      <w:r w:rsidRPr="00416CCB">
        <w:rPr>
          <w:sz w:val="24"/>
          <w:szCs w:val="24"/>
        </w:rPr>
        <w:t>ith increasing bundled payment arrangements and accountable care sharing programs, the cost impact of shifting from open to MIS introduces an opportunity for cost savings.</w:t>
      </w:r>
      <w:r>
        <w:rPr>
          <w:rStyle w:val="EndnoteReference"/>
          <w:sz w:val="24"/>
          <w:szCs w:val="24"/>
        </w:rPr>
        <w:endnoteReference w:id="24"/>
      </w:r>
    </w:p>
    <w:p w14:paraId="113C71C7" w14:textId="17C47DD3" w:rsidR="00D97685" w:rsidRDefault="00D97685" w:rsidP="00441CF7">
      <w:pPr>
        <w:spacing w:after="0"/>
        <w:rPr>
          <w:sz w:val="24"/>
          <w:szCs w:val="24"/>
        </w:rPr>
      </w:pPr>
    </w:p>
    <w:p w14:paraId="11A556C2" w14:textId="660BEBF9" w:rsidR="00441CF7" w:rsidRDefault="00441CF7" w:rsidP="00441CF7">
      <w:pPr>
        <w:spacing w:after="0"/>
      </w:pPr>
      <w:r w:rsidRPr="00441CF7">
        <w:rPr>
          <w:b/>
          <w:bCs/>
          <w:sz w:val="28"/>
          <w:szCs w:val="28"/>
        </w:rPr>
        <w:t>Proposed</w:t>
      </w:r>
      <w:r w:rsidR="00CE59DA">
        <w:rPr>
          <w:b/>
          <w:bCs/>
          <w:sz w:val="28"/>
          <w:szCs w:val="28"/>
        </w:rPr>
        <w:t xml:space="preserve"> Reporting</w:t>
      </w:r>
      <w:r w:rsidRPr="00441CF7">
        <w:rPr>
          <w:b/>
          <w:bCs/>
          <w:sz w:val="28"/>
          <w:szCs w:val="28"/>
        </w:rPr>
        <w:t xml:space="preserve"> Measures for FACTOR 1</w:t>
      </w:r>
      <w:r w:rsidRPr="00441CF7">
        <w:t xml:space="preserve"> </w:t>
      </w:r>
    </w:p>
    <w:p w14:paraId="3781233D" w14:textId="35220B5D" w:rsidR="00F85998" w:rsidRPr="00F85998" w:rsidRDefault="00441CF7" w:rsidP="00F85998">
      <w:pPr>
        <w:spacing w:after="0" w:line="240" w:lineRule="auto"/>
        <w:rPr>
          <w:sz w:val="24"/>
          <w:szCs w:val="24"/>
        </w:rPr>
      </w:pPr>
      <w:r w:rsidRPr="00667357">
        <w:rPr>
          <w:sz w:val="24"/>
          <w:szCs w:val="24"/>
        </w:rPr>
        <w:t xml:space="preserve">As a result of information provided by the Applicant and additional analysis, </w:t>
      </w:r>
      <w:r w:rsidR="00237CC4">
        <w:rPr>
          <w:sz w:val="24"/>
          <w:szCs w:val="24"/>
        </w:rPr>
        <w:t>S</w:t>
      </w:r>
      <w:r w:rsidRPr="00667357">
        <w:rPr>
          <w:sz w:val="24"/>
          <w:szCs w:val="24"/>
        </w:rPr>
        <w:t xml:space="preserve">taff finds that the Applicant has demonstrated that the Proposed Project has met Factor 1(a-f). The Applicant proposed specific outcome, and process measures to track the impact of the Proposed Project which </w:t>
      </w:r>
      <w:r w:rsidR="00237CC4">
        <w:rPr>
          <w:sz w:val="24"/>
          <w:szCs w:val="24"/>
        </w:rPr>
        <w:t>S</w:t>
      </w:r>
      <w:r w:rsidRPr="00667357">
        <w:rPr>
          <w:sz w:val="24"/>
          <w:szCs w:val="24"/>
        </w:rPr>
        <w:t>taff has reviewed</w:t>
      </w:r>
      <w:r w:rsidR="007351EA" w:rsidRPr="00667357">
        <w:rPr>
          <w:sz w:val="24"/>
          <w:szCs w:val="24"/>
        </w:rPr>
        <w:t>, and which will become a part of the reporting requirements</w:t>
      </w:r>
      <w:r w:rsidR="00F85998">
        <w:rPr>
          <w:sz w:val="24"/>
          <w:szCs w:val="24"/>
        </w:rPr>
        <w:t xml:space="preserve">, </w:t>
      </w:r>
      <w:r w:rsidR="00F85998" w:rsidRPr="00F85998">
        <w:rPr>
          <w:sz w:val="24"/>
          <w:szCs w:val="24"/>
        </w:rPr>
        <w:t>in</w:t>
      </w:r>
    </w:p>
    <w:p w14:paraId="7950AE1B" w14:textId="7A256F99" w:rsidR="00441CF7" w:rsidRPr="00667357" w:rsidRDefault="00F85998" w:rsidP="00865113">
      <w:pPr>
        <w:spacing w:after="0" w:line="240" w:lineRule="auto"/>
        <w:rPr>
          <w:sz w:val="24"/>
          <w:szCs w:val="24"/>
        </w:rPr>
      </w:pPr>
      <w:r w:rsidRPr="00F85998">
        <w:rPr>
          <w:sz w:val="24"/>
          <w:szCs w:val="24"/>
        </w:rPr>
        <w:t xml:space="preserve">addition to the measures suggested above by </w:t>
      </w:r>
      <w:r w:rsidR="00237CC4">
        <w:rPr>
          <w:sz w:val="24"/>
          <w:szCs w:val="24"/>
        </w:rPr>
        <w:t>S</w:t>
      </w:r>
      <w:r w:rsidRPr="00F85998">
        <w:rPr>
          <w:sz w:val="24"/>
          <w:szCs w:val="24"/>
        </w:rPr>
        <w:t>taff</w:t>
      </w:r>
      <w:r>
        <w:rPr>
          <w:sz w:val="24"/>
          <w:szCs w:val="24"/>
        </w:rPr>
        <w:t>.</w:t>
      </w:r>
      <w:r w:rsidR="007351EA" w:rsidRPr="00667357">
        <w:rPr>
          <w:sz w:val="24"/>
          <w:szCs w:val="24"/>
        </w:rPr>
        <w:t xml:space="preserve"> </w:t>
      </w:r>
      <w:r w:rsidR="00865113" w:rsidRPr="00865113">
        <w:rPr>
          <w:sz w:val="24"/>
          <w:szCs w:val="24"/>
        </w:rPr>
        <w:t>Reporting must include a description of numerators and denominators, where</w:t>
      </w:r>
      <w:r>
        <w:rPr>
          <w:sz w:val="24"/>
          <w:szCs w:val="24"/>
        </w:rPr>
        <w:t xml:space="preserve"> </w:t>
      </w:r>
      <w:r w:rsidR="00865113" w:rsidRPr="00865113">
        <w:rPr>
          <w:sz w:val="24"/>
          <w:szCs w:val="24"/>
        </w:rPr>
        <w:t>applicable.</w:t>
      </w:r>
    </w:p>
    <w:p w14:paraId="10C8CEB4" w14:textId="02AE9A66" w:rsidR="00D95F91" w:rsidRDefault="00D95F91"/>
    <w:p w14:paraId="7B0FA7B4" w14:textId="79F1EA3E" w:rsidR="00DD2114" w:rsidRPr="00DD2114" w:rsidRDefault="00DD2114">
      <w:pPr>
        <w:rPr>
          <w:b/>
          <w:bCs/>
          <w:sz w:val="28"/>
          <w:szCs w:val="28"/>
        </w:rPr>
      </w:pPr>
      <w:r w:rsidRPr="00DD2114">
        <w:rPr>
          <w:b/>
          <w:bCs/>
          <w:sz w:val="28"/>
          <w:szCs w:val="28"/>
        </w:rPr>
        <w:t xml:space="preserve">Factor 2: Cost containment, Improved Public Health Outcomes and Delivery System Transformation </w:t>
      </w:r>
    </w:p>
    <w:p w14:paraId="0A67B09C" w14:textId="2DC35371" w:rsidR="00D95F91" w:rsidRDefault="00BE75D7" w:rsidP="005F07C5">
      <w:pPr>
        <w:spacing w:line="240" w:lineRule="auto"/>
        <w:rPr>
          <w:b/>
          <w:bCs/>
          <w:sz w:val="24"/>
          <w:szCs w:val="24"/>
        </w:rPr>
      </w:pPr>
      <w:r w:rsidRPr="005F07C5">
        <w:rPr>
          <w:b/>
          <w:bCs/>
          <w:sz w:val="24"/>
          <w:szCs w:val="24"/>
        </w:rPr>
        <w:t>Cost Containment</w:t>
      </w:r>
    </w:p>
    <w:p w14:paraId="0E79E379" w14:textId="26DF5B40" w:rsidR="004C3B68" w:rsidRPr="004C3B68" w:rsidRDefault="004C3B68" w:rsidP="00FE45F7">
      <w:pPr>
        <w:spacing w:after="0" w:line="240" w:lineRule="auto"/>
        <w:rPr>
          <w:sz w:val="24"/>
          <w:szCs w:val="24"/>
        </w:rPr>
      </w:pPr>
      <w:r>
        <w:rPr>
          <w:sz w:val="24"/>
          <w:szCs w:val="24"/>
        </w:rPr>
        <w:t>As mentioned in Factor 1f above, the Applicant asserts that Heywood Hospital</w:t>
      </w:r>
      <w:r w:rsidR="00313773">
        <w:rPr>
          <w:sz w:val="24"/>
          <w:szCs w:val="24"/>
        </w:rPr>
        <w:t>’</w:t>
      </w:r>
      <w:r>
        <w:rPr>
          <w:sz w:val="24"/>
          <w:szCs w:val="24"/>
        </w:rPr>
        <w:t>s costs are lower than other local providers and</w:t>
      </w:r>
      <w:r w:rsidR="00C86A49">
        <w:rPr>
          <w:sz w:val="24"/>
          <w:szCs w:val="24"/>
        </w:rPr>
        <w:t xml:space="preserve"> because the </w:t>
      </w:r>
      <w:r w:rsidR="00C86A49" w:rsidRPr="00C86A49">
        <w:rPr>
          <w:sz w:val="24"/>
          <w:szCs w:val="24"/>
        </w:rPr>
        <w:t xml:space="preserve">Proposed Project will allow for service line expansion and case volume growth within </w:t>
      </w:r>
      <w:r w:rsidR="00FE45F7">
        <w:rPr>
          <w:sz w:val="24"/>
          <w:szCs w:val="24"/>
        </w:rPr>
        <w:t>Heywood’s</w:t>
      </w:r>
      <w:r w:rsidR="00C86A49" w:rsidRPr="00C86A49">
        <w:rPr>
          <w:sz w:val="24"/>
          <w:szCs w:val="24"/>
        </w:rPr>
        <w:t xml:space="preserve"> lower cost setting</w:t>
      </w:r>
      <w:r w:rsidR="00C86A49">
        <w:rPr>
          <w:sz w:val="24"/>
          <w:szCs w:val="24"/>
        </w:rPr>
        <w:t xml:space="preserve">, </w:t>
      </w:r>
      <w:r w:rsidR="00FE45F7">
        <w:rPr>
          <w:sz w:val="24"/>
          <w:szCs w:val="24"/>
        </w:rPr>
        <w:t xml:space="preserve">it </w:t>
      </w:r>
      <w:r>
        <w:rPr>
          <w:sz w:val="24"/>
          <w:szCs w:val="24"/>
        </w:rPr>
        <w:t xml:space="preserve">will contribute to the Commonwealth’s cost containment goals. </w:t>
      </w:r>
    </w:p>
    <w:p w14:paraId="76AB3A87" w14:textId="6A54776E" w:rsidR="00121D0A" w:rsidRDefault="00C726F3" w:rsidP="00FE45F7">
      <w:pPr>
        <w:pStyle w:val="ListParagraph"/>
        <w:numPr>
          <w:ilvl w:val="0"/>
          <w:numId w:val="18"/>
        </w:numPr>
        <w:spacing w:after="0" w:line="240" w:lineRule="auto"/>
        <w:rPr>
          <w:sz w:val="24"/>
          <w:szCs w:val="24"/>
        </w:rPr>
      </w:pPr>
      <w:r w:rsidRPr="006F1E11">
        <w:rPr>
          <w:sz w:val="24"/>
          <w:szCs w:val="24"/>
        </w:rPr>
        <w:t xml:space="preserve">Average costs </w:t>
      </w:r>
      <w:r w:rsidR="00A866B1">
        <w:rPr>
          <w:sz w:val="24"/>
          <w:szCs w:val="24"/>
        </w:rPr>
        <w:t>at Heywood</w:t>
      </w:r>
      <w:r w:rsidRPr="006F1E11">
        <w:rPr>
          <w:sz w:val="24"/>
          <w:szCs w:val="24"/>
        </w:rPr>
        <w:t xml:space="preserve"> are 38% less than those of the five other hospitals located within a 25-mile radius thus</w:t>
      </w:r>
      <w:r w:rsidR="00A866B1">
        <w:rPr>
          <w:sz w:val="24"/>
          <w:szCs w:val="24"/>
        </w:rPr>
        <w:t>,</w:t>
      </w:r>
      <w:r w:rsidRPr="006F1E11">
        <w:rPr>
          <w:sz w:val="24"/>
          <w:szCs w:val="24"/>
        </w:rPr>
        <w:t xml:space="preserve"> the Proposed Project advances the Commonwealth’s goal of making healthcare equitably available to every person at the lowest reasonable aggregate cost. </w:t>
      </w:r>
    </w:p>
    <w:p w14:paraId="277E7C60" w14:textId="116DF15A" w:rsidR="00121D0A" w:rsidRDefault="00707557" w:rsidP="00430E8F">
      <w:pPr>
        <w:pStyle w:val="ListParagraph"/>
        <w:numPr>
          <w:ilvl w:val="0"/>
          <w:numId w:val="18"/>
        </w:numPr>
        <w:spacing w:line="240" w:lineRule="auto"/>
        <w:rPr>
          <w:sz w:val="24"/>
          <w:szCs w:val="24"/>
        </w:rPr>
      </w:pPr>
      <w:r w:rsidRPr="00121D0A">
        <w:rPr>
          <w:sz w:val="24"/>
          <w:szCs w:val="24"/>
        </w:rPr>
        <w:t>Heywood’s share of inpatient surgical market was 23.1% versus 3</w:t>
      </w:r>
      <w:r w:rsidR="00FB59C7">
        <w:rPr>
          <w:sz w:val="24"/>
          <w:szCs w:val="24"/>
        </w:rPr>
        <w:t>4</w:t>
      </w:r>
      <w:r w:rsidRPr="00121D0A">
        <w:rPr>
          <w:sz w:val="24"/>
          <w:szCs w:val="24"/>
        </w:rPr>
        <w:t>.</w:t>
      </w:r>
      <w:r w:rsidR="00FB59C7">
        <w:rPr>
          <w:sz w:val="24"/>
          <w:szCs w:val="24"/>
        </w:rPr>
        <w:t>2</w:t>
      </w:r>
      <w:r w:rsidRPr="00121D0A">
        <w:rPr>
          <w:sz w:val="24"/>
          <w:szCs w:val="24"/>
        </w:rPr>
        <w:t xml:space="preserve">% for </w:t>
      </w:r>
      <w:r w:rsidR="00C161EA">
        <w:rPr>
          <w:sz w:val="24"/>
          <w:szCs w:val="24"/>
        </w:rPr>
        <w:t>U</w:t>
      </w:r>
      <w:r w:rsidR="00A80E9A">
        <w:rPr>
          <w:sz w:val="24"/>
          <w:szCs w:val="24"/>
        </w:rPr>
        <w:t>M</w:t>
      </w:r>
      <w:r w:rsidR="00C161EA">
        <w:rPr>
          <w:sz w:val="24"/>
          <w:szCs w:val="24"/>
        </w:rPr>
        <w:t xml:space="preserve">ass Memorial Health </w:t>
      </w:r>
      <w:r w:rsidR="00A80E9A">
        <w:rPr>
          <w:sz w:val="24"/>
          <w:szCs w:val="24"/>
        </w:rPr>
        <w:t xml:space="preserve">Care </w:t>
      </w:r>
      <w:r w:rsidR="00C161EA">
        <w:rPr>
          <w:sz w:val="24"/>
          <w:szCs w:val="24"/>
        </w:rPr>
        <w:t xml:space="preserve">System </w:t>
      </w:r>
      <w:r w:rsidR="005B3EB3" w:rsidRPr="00121D0A">
        <w:rPr>
          <w:sz w:val="24"/>
          <w:szCs w:val="24"/>
        </w:rPr>
        <w:t>(19.3% for the UM</w:t>
      </w:r>
      <w:r w:rsidR="00590E2C">
        <w:rPr>
          <w:sz w:val="24"/>
          <w:szCs w:val="24"/>
        </w:rPr>
        <w:t>ass Memorial</w:t>
      </w:r>
      <w:r w:rsidR="00B843E1">
        <w:rPr>
          <w:sz w:val="24"/>
          <w:szCs w:val="24"/>
        </w:rPr>
        <w:t xml:space="preserve"> Medical Center -</w:t>
      </w:r>
      <w:r w:rsidR="002C03AF">
        <w:rPr>
          <w:sz w:val="24"/>
          <w:szCs w:val="24"/>
        </w:rPr>
        <w:t xml:space="preserve"> University </w:t>
      </w:r>
      <w:r w:rsidR="005B3EB3" w:rsidRPr="00121D0A">
        <w:rPr>
          <w:sz w:val="24"/>
          <w:szCs w:val="24"/>
        </w:rPr>
        <w:t xml:space="preserve">Campus and 14.9% for the </w:t>
      </w:r>
      <w:r w:rsidR="00EC3C2F">
        <w:rPr>
          <w:sz w:val="24"/>
          <w:szCs w:val="24"/>
        </w:rPr>
        <w:t>UM</w:t>
      </w:r>
      <w:r w:rsidR="00590E2C">
        <w:rPr>
          <w:sz w:val="24"/>
          <w:szCs w:val="24"/>
        </w:rPr>
        <w:t>ass</w:t>
      </w:r>
      <w:r w:rsidR="00EC3C2F">
        <w:rPr>
          <w:sz w:val="24"/>
          <w:szCs w:val="24"/>
        </w:rPr>
        <w:t xml:space="preserve"> </w:t>
      </w:r>
      <w:r w:rsidR="00B843E1">
        <w:rPr>
          <w:sz w:val="24"/>
          <w:szCs w:val="24"/>
        </w:rPr>
        <w:t xml:space="preserve">Memorial Medical Center - </w:t>
      </w:r>
      <w:r w:rsidR="005B3EB3" w:rsidRPr="00121D0A">
        <w:rPr>
          <w:sz w:val="24"/>
          <w:szCs w:val="24"/>
        </w:rPr>
        <w:t>Memorial Campus)</w:t>
      </w:r>
      <w:r w:rsidR="00C56DF7">
        <w:rPr>
          <w:sz w:val="24"/>
          <w:szCs w:val="24"/>
        </w:rPr>
        <w:t xml:space="preserve"> </w:t>
      </w:r>
      <w:r w:rsidR="00C56DF7" w:rsidRPr="00C56DF7">
        <w:rPr>
          <w:sz w:val="24"/>
          <w:szCs w:val="24"/>
        </w:rPr>
        <w:t xml:space="preserve">for Heywood's primary and secondary </w:t>
      </w:r>
      <w:r w:rsidR="00E126FD">
        <w:rPr>
          <w:sz w:val="24"/>
          <w:szCs w:val="24"/>
        </w:rPr>
        <w:t>S</w:t>
      </w:r>
      <w:r w:rsidR="00C56DF7" w:rsidRPr="00C56DF7">
        <w:rPr>
          <w:sz w:val="24"/>
          <w:szCs w:val="24"/>
        </w:rPr>
        <w:t xml:space="preserve">ervice </w:t>
      </w:r>
      <w:r w:rsidR="00E126FD">
        <w:rPr>
          <w:sz w:val="24"/>
          <w:szCs w:val="24"/>
        </w:rPr>
        <w:t>A</w:t>
      </w:r>
      <w:r w:rsidR="00C56DF7" w:rsidRPr="00C56DF7">
        <w:rPr>
          <w:sz w:val="24"/>
          <w:szCs w:val="24"/>
        </w:rPr>
        <w:t>rea communities</w:t>
      </w:r>
      <w:r w:rsidR="00A866B1">
        <w:rPr>
          <w:sz w:val="24"/>
          <w:szCs w:val="24"/>
        </w:rPr>
        <w:t>. E</w:t>
      </w:r>
      <w:r w:rsidRPr="00121D0A">
        <w:rPr>
          <w:sz w:val="24"/>
          <w:szCs w:val="24"/>
        </w:rPr>
        <w:t xml:space="preserve">xpansion of service line and case growth volume will keep more patients in a low-cost system and contribute to the Commonwealth’s cost containment goals. </w:t>
      </w:r>
    </w:p>
    <w:p w14:paraId="66360099" w14:textId="117E836B" w:rsidR="00121D0A" w:rsidRDefault="00604ADD" w:rsidP="00430E8F">
      <w:pPr>
        <w:pStyle w:val="ListParagraph"/>
        <w:numPr>
          <w:ilvl w:val="0"/>
          <w:numId w:val="18"/>
        </w:numPr>
        <w:spacing w:line="240" w:lineRule="auto"/>
        <w:rPr>
          <w:sz w:val="24"/>
          <w:szCs w:val="24"/>
        </w:rPr>
      </w:pPr>
      <w:r w:rsidRPr="00121D0A">
        <w:rPr>
          <w:sz w:val="24"/>
          <w:szCs w:val="24"/>
        </w:rPr>
        <w:t xml:space="preserve">Expanded </w:t>
      </w:r>
      <w:r w:rsidR="000741E3">
        <w:rPr>
          <w:sz w:val="24"/>
          <w:szCs w:val="24"/>
        </w:rPr>
        <w:t xml:space="preserve">surgical </w:t>
      </w:r>
      <w:r w:rsidRPr="00121D0A">
        <w:rPr>
          <w:sz w:val="24"/>
          <w:szCs w:val="24"/>
        </w:rPr>
        <w:t xml:space="preserve">capacity will increase access allowing for more patients to remain in the Heywood system </w:t>
      </w:r>
      <w:r w:rsidR="0099681A">
        <w:rPr>
          <w:sz w:val="24"/>
          <w:szCs w:val="24"/>
        </w:rPr>
        <w:t xml:space="preserve">for their procedural care. </w:t>
      </w:r>
    </w:p>
    <w:p w14:paraId="42BCB503" w14:textId="77777777" w:rsidR="008639FC" w:rsidRDefault="008639FC" w:rsidP="008639FC">
      <w:pPr>
        <w:pStyle w:val="ListParagraph"/>
        <w:spacing w:line="240" w:lineRule="auto"/>
        <w:rPr>
          <w:sz w:val="24"/>
          <w:szCs w:val="24"/>
        </w:rPr>
      </w:pPr>
    </w:p>
    <w:p w14:paraId="6DBFCBC0" w14:textId="133D5197" w:rsidR="00D95F91" w:rsidRPr="005F07C5" w:rsidRDefault="00BE75D7" w:rsidP="005F07C5">
      <w:pPr>
        <w:spacing w:line="240" w:lineRule="auto"/>
        <w:rPr>
          <w:b/>
          <w:bCs/>
          <w:i/>
          <w:iCs/>
          <w:sz w:val="24"/>
          <w:szCs w:val="24"/>
        </w:rPr>
      </w:pPr>
      <w:r w:rsidRPr="005F07C5">
        <w:rPr>
          <w:b/>
          <w:bCs/>
          <w:i/>
          <w:iCs/>
          <w:sz w:val="24"/>
          <w:szCs w:val="24"/>
        </w:rPr>
        <w:t>Analysis: Cost Containment</w:t>
      </w:r>
    </w:p>
    <w:p w14:paraId="78011FEC" w14:textId="77777777" w:rsidR="000E0BD0" w:rsidRDefault="000E0BD0" w:rsidP="007221E8">
      <w:pPr>
        <w:spacing w:line="240" w:lineRule="auto"/>
        <w:rPr>
          <w:sz w:val="24"/>
          <w:szCs w:val="24"/>
        </w:rPr>
      </w:pPr>
      <w:r w:rsidRPr="000E0BD0">
        <w:rPr>
          <w:sz w:val="24"/>
          <w:szCs w:val="24"/>
        </w:rPr>
        <w:lastRenderedPageBreak/>
        <w:t xml:space="preserve">Cost containment on a statewide level is impacted through pricing, which is a function of what providers charge payers and what payers agree to pay. While payment contracts between individual providers and commercial payers are confidential, those among providers and Medicare and Medicaid are relatively transparent. As a result, Staff cannot assess how the Applicant’s contracts with payers that may incentivize more or less utilization of services are structured for the other project components. </w:t>
      </w:r>
    </w:p>
    <w:p w14:paraId="347A5E8C" w14:textId="46249E45" w:rsidR="007221E8" w:rsidRDefault="000A3B6A" w:rsidP="007221E8">
      <w:pPr>
        <w:spacing w:line="240" w:lineRule="auto"/>
        <w:rPr>
          <w:sz w:val="24"/>
          <w:szCs w:val="24"/>
          <w:vertAlign w:val="superscript"/>
        </w:rPr>
      </w:pPr>
      <w:r>
        <w:rPr>
          <w:sz w:val="24"/>
          <w:szCs w:val="24"/>
        </w:rPr>
        <w:t>As mentioned above, the Proposed Project will achieve cost savings through reducing transfers to higher cost facilities as well as increasing access to procedural care that will reduce delays in access to care and improve health ou</w:t>
      </w:r>
      <w:r w:rsidR="000805C7">
        <w:rPr>
          <w:sz w:val="24"/>
          <w:szCs w:val="24"/>
        </w:rPr>
        <w:t>t</w:t>
      </w:r>
      <w:r>
        <w:rPr>
          <w:sz w:val="24"/>
          <w:szCs w:val="24"/>
        </w:rPr>
        <w:t xml:space="preserve">comes. </w:t>
      </w:r>
    </w:p>
    <w:p w14:paraId="39EFAE44" w14:textId="593B678D" w:rsidR="004D661F" w:rsidRPr="00D73D54" w:rsidRDefault="004D661F" w:rsidP="004D661F">
      <w:pPr>
        <w:rPr>
          <w:rFonts w:eastAsiaTheme="minorEastAsia"/>
          <w:sz w:val="24"/>
          <w:szCs w:val="24"/>
          <w:lang w:eastAsia="zh-CN"/>
        </w:rPr>
      </w:pPr>
      <w:r w:rsidRPr="00D73D54">
        <w:rPr>
          <w:rFonts w:eastAsiaTheme="minorEastAsia"/>
          <w:sz w:val="24"/>
          <w:szCs w:val="24"/>
          <w:lang w:eastAsia="zh-CN"/>
        </w:rPr>
        <w:t>Regarding the Applicant’s stated potential to add robotic surgery capacity after the Proposed Project is implemented, there is evidence that robotic surgery may be cost-effective for certain procedures at higher volumes. This has been evidenced for prostate cancer</w:t>
      </w:r>
      <w:r>
        <w:rPr>
          <w:rStyle w:val="EndnoteReference"/>
          <w:rFonts w:eastAsiaTheme="minorEastAsia"/>
          <w:sz w:val="24"/>
          <w:szCs w:val="24"/>
          <w:lang w:eastAsia="zh-CN"/>
        </w:rPr>
        <w:endnoteReference w:id="25"/>
      </w:r>
      <w:r w:rsidRPr="00D73D54">
        <w:rPr>
          <w:rFonts w:eastAsiaTheme="minorEastAsia"/>
          <w:sz w:val="24"/>
          <w:szCs w:val="24"/>
          <w:lang w:eastAsia="zh-CN"/>
        </w:rPr>
        <w:t xml:space="preserve"> and colectomy</w:t>
      </w:r>
      <w:r w:rsidR="004E18CF">
        <w:rPr>
          <w:rFonts w:eastAsiaTheme="minorEastAsia"/>
          <w:sz w:val="24"/>
          <w:szCs w:val="24"/>
          <w:lang w:eastAsia="zh-CN"/>
        </w:rPr>
        <w:t>.</w:t>
      </w:r>
      <w:r>
        <w:rPr>
          <w:rStyle w:val="EndnoteReference"/>
          <w:rFonts w:eastAsiaTheme="minorEastAsia"/>
          <w:sz w:val="24"/>
          <w:szCs w:val="24"/>
          <w:lang w:eastAsia="zh-CN"/>
        </w:rPr>
        <w:endnoteReference w:id="26"/>
      </w:r>
      <w:r w:rsidRPr="00D73D54">
        <w:rPr>
          <w:rFonts w:eastAsiaTheme="minorEastAsia"/>
          <w:sz w:val="24"/>
          <w:szCs w:val="24"/>
          <w:lang w:eastAsia="zh-CN"/>
        </w:rPr>
        <w:t xml:space="preserve"> Compared to MIS procedures, robotic surgery was generally found to be less cost-effective at a moderate volume of utilization, only becoming slightly more cost-effective than MIS at a high level of utilization</w:t>
      </w:r>
      <w:r w:rsidR="00964294">
        <w:rPr>
          <w:rFonts w:eastAsiaTheme="minorEastAsia"/>
          <w:sz w:val="24"/>
          <w:szCs w:val="24"/>
          <w:lang w:eastAsia="zh-CN"/>
        </w:rPr>
        <w:t>.</w:t>
      </w:r>
      <w:r w:rsidR="00F6612B">
        <w:rPr>
          <w:rStyle w:val="EndnoteReference"/>
          <w:rFonts w:eastAsiaTheme="minorEastAsia"/>
          <w:sz w:val="24"/>
          <w:szCs w:val="24"/>
          <w:lang w:eastAsia="zh-CN"/>
        </w:rPr>
        <w:endnoteReference w:id="27"/>
      </w:r>
      <w:r w:rsidRPr="00D73D54">
        <w:rPr>
          <w:rFonts w:eastAsiaTheme="minorEastAsia"/>
          <w:sz w:val="24"/>
          <w:szCs w:val="24"/>
          <w:vertAlign w:val="superscript"/>
          <w:lang w:eastAsia="zh-CN"/>
        </w:rPr>
        <w:t>,</w:t>
      </w:r>
      <w:r w:rsidR="00964294">
        <w:rPr>
          <w:rStyle w:val="EndnoteReference"/>
          <w:rFonts w:eastAsiaTheme="minorEastAsia"/>
          <w:sz w:val="24"/>
          <w:szCs w:val="24"/>
          <w:lang w:eastAsia="zh-CN"/>
        </w:rPr>
        <w:endnoteReference w:id="28"/>
      </w:r>
      <w:r w:rsidRPr="00D73D54">
        <w:rPr>
          <w:rFonts w:eastAsiaTheme="minorEastAsia"/>
          <w:sz w:val="24"/>
          <w:szCs w:val="24"/>
          <w:lang w:eastAsia="zh-CN"/>
        </w:rPr>
        <w:t xml:space="preserve"> Since the Applicant’s capacity will be relatively moderate even after the Proposed Project, it is questionable to say that a future robotic surgery program will be cost-effective in the context of the Applicant’s current level of volume. There is also a question of the added cost of administration and human resources with new capacity, in addition to the Proposed Project’s added MIS capacity.</w:t>
      </w:r>
    </w:p>
    <w:p w14:paraId="6C27BCF4" w14:textId="77777777" w:rsidR="00090BFF" w:rsidRDefault="00090BFF" w:rsidP="005F07C5">
      <w:pPr>
        <w:spacing w:line="240" w:lineRule="auto"/>
        <w:rPr>
          <w:b/>
          <w:bCs/>
          <w:sz w:val="24"/>
          <w:szCs w:val="24"/>
        </w:rPr>
      </w:pPr>
    </w:p>
    <w:p w14:paraId="7FC708DC" w14:textId="69FEB9B8" w:rsidR="00D95F91" w:rsidRDefault="005B0D40" w:rsidP="005F07C5">
      <w:pPr>
        <w:spacing w:line="240" w:lineRule="auto"/>
        <w:rPr>
          <w:b/>
          <w:bCs/>
          <w:sz w:val="24"/>
          <w:szCs w:val="24"/>
        </w:rPr>
      </w:pPr>
      <w:r w:rsidRPr="005F07C5">
        <w:rPr>
          <w:b/>
          <w:bCs/>
          <w:sz w:val="24"/>
          <w:szCs w:val="24"/>
        </w:rPr>
        <w:t>Improved Public Health Outcomes</w:t>
      </w:r>
    </w:p>
    <w:p w14:paraId="4314FFD6" w14:textId="0638BEF4" w:rsidR="00EC6341" w:rsidRDefault="00513041" w:rsidP="00817F5C">
      <w:pPr>
        <w:spacing w:line="240" w:lineRule="auto"/>
        <w:rPr>
          <w:sz w:val="24"/>
          <w:szCs w:val="24"/>
        </w:rPr>
      </w:pPr>
      <w:r>
        <w:rPr>
          <w:sz w:val="24"/>
          <w:szCs w:val="24"/>
        </w:rPr>
        <w:t>The Applicant states that healthcare disparities are identified and addressed through the triennial Community Health Needs Assessment (CHNA), which is a collaborative effort conducted by Heywood Healthcare’s Heywood Hospital and Athol Hospital, the Montachusett Regional Planning Commission, UMass Memorial HealthAlliance</w:t>
      </w:r>
      <w:r w:rsidR="00E54EA7">
        <w:rPr>
          <w:sz w:val="24"/>
          <w:szCs w:val="24"/>
        </w:rPr>
        <w:t>-</w:t>
      </w:r>
      <w:r>
        <w:rPr>
          <w:sz w:val="24"/>
          <w:szCs w:val="24"/>
        </w:rPr>
        <w:t xml:space="preserve">Clinton Hospital, the </w:t>
      </w:r>
      <w:r w:rsidRPr="0014393A">
        <w:rPr>
          <w:sz w:val="24"/>
          <w:szCs w:val="24"/>
        </w:rPr>
        <w:t>Community Health Network Area (CHNA) 9</w:t>
      </w:r>
      <w:r>
        <w:rPr>
          <w:sz w:val="24"/>
          <w:szCs w:val="24"/>
        </w:rPr>
        <w:t xml:space="preserve"> Group, and John Snow, Inc. The Community Health Improvement Plan</w:t>
      </w:r>
      <w:r w:rsidR="0099636D">
        <w:rPr>
          <w:sz w:val="24"/>
          <w:szCs w:val="24"/>
        </w:rPr>
        <w:t xml:space="preserve"> (CHIP)</w:t>
      </w:r>
      <w:r>
        <w:rPr>
          <w:sz w:val="24"/>
          <w:szCs w:val="24"/>
        </w:rPr>
        <w:t xml:space="preserve"> is formulated from the findings in the CHNA and initiatives are carried out over the subsequent three years. </w:t>
      </w:r>
    </w:p>
    <w:p w14:paraId="4B86E1DC" w14:textId="77777777" w:rsidR="009F2D98" w:rsidRDefault="00E23D07" w:rsidP="009F2D98">
      <w:pPr>
        <w:spacing w:after="0" w:line="240" w:lineRule="auto"/>
        <w:rPr>
          <w:sz w:val="24"/>
          <w:szCs w:val="24"/>
        </w:rPr>
      </w:pPr>
      <w:r>
        <w:rPr>
          <w:sz w:val="24"/>
          <w:szCs w:val="24"/>
        </w:rPr>
        <w:t xml:space="preserve">The Applicant states that there are wide-ranging disparities in income and poverty across Heywood’s Service </w:t>
      </w:r>
      <w:r w:rsidR="00106356">
        <w:rPr>
          <w:sz w:val="24"/>
          <w:szCs w:val="24"/>
        </w:rPr>
        <w:t>Area and</w:t>
      </w:r>
      <w:r>
        <w:rPr>
          <w:sz w:val="24"/>
          <w:szCs w:val="24"/>
        </w:rPr>
        <w:t xml:space="preserve"> notes the presence of health status and access problems </w:t>
      </w:r>
      <w:r w:rsidR="000F2A34">
        <w:rPr>
          <w:sz w:val="24"/>
          <w:szCs w:val="24"/>
        </w:rPr>
        <w:t>that</w:t>
      </w:r>
      <w:r>
        <w:rPr>
          <w:sz w:val="24"/>
          <w:szCs w:val="24"/>
        </w:rPr>
        <w:t xml:space="preserve"> are influenced by complex and interconnected social and economic factors. </w:t>
      </w:r>
      <w:r w:rsidR="009F2D98">
        <w:rPr>
          <w:sz w:val="24"/>
          <w:szCs w:val="24"/>
        </w:rPr>
        <w:t>The Applicant identified the following h</w:t>
      </w:r>
      <w:r w:rsidR="009F2D98" w:rsidRPr="001212BE">
        <w:rPr>
          <w:sz w:val="24"/>
          <w:szCs w:val="24"/>
        </w:rPr>
        <w:t>ealth disparities</w:t>
      </w:r>
      <w:r w:rsidR="009F2D98">
        <w:rPr>
          <w:sz w:val="24"/>
          <w:szCs w:val="24"/>
        </w:rPr>
        <w:t xml:space="preserve"> b</w:t>
      </w:r>
      <w:r w:rsidR="009F2D98" w:rsidRPr="001212BE">
        <w:rPr>
          <w:sz w:val="24"/>
          <w:szCs w:val="24"/>
        </w:rPr>
        <w:t>ased on data from the Patient Panel and Heywood Hospital 2018 CHNA</w:t>
      </w:r>
      <w:r w:rsidR="009F2D98">
        <w:rPr>
          <w:sz w:val="24"/>
          <w:szCs w:val="24"/>
        </w:rPr>
        <w:t>:</w:t>
      </w:r>
    </w:p>
    <w:p w14:paraId="2D81E0C0" w14:textId="229966A3" w:rsidR="00DA1EB1" w:rsidRDefault="00EC6341" w:rsidP="00DA1EB1">
      <w:pPr>
        <w:pStyle w:val="ListParagraph"/>
        <w:numPr>
          <w:ilvl w:val="0"/>
          <w:numId w:val="37"/>
        </w:numPr>
        <w:spacing w:line="240" w:lineRule="auto"/>
        <w:rPr>
          <w:sz w:val="24"/>
          <w:szCs w:val="24"/>
        </w:rPr>
      </w:pPr>
      <w:r w:rsidRPr="00105257">
        <w:rPr>
          <w:sz w:val="24"/>
          <w:szCs w:val="24"/>
        </w:rPr>
        <w:t>P</w:t>
      </w:r>
      <w:r w:rsidR="003E35B9" w:rsidRPr="00105257">
        <w:rPr>
          <w:sz w:val="24"/>
          <w:szCs w:val="24"/>
        </w:rPr>
        <w:t>overty rates in Gardner</w:t>
      </w:r>
      <w:r w:rsidR="005315B8">
        <w:rPr>
          <w:sz w:val="24"/>
          <w:szCs w:val="24"/>
        </w:rPr>
        <w:t xml:space="preserve"> (19%)</w:t>
      </w:r>
      <w:r w:rsidR="003E35B9" w:rsidRPr="00105257">
        <w:rPr>
          <w:sz w:val="24"/>
          <w:szCs w:val="24"/>
        </w:rPr>
        <w:t>, Athol</w:t>
      </w:r>
      <w:r w:rsidR="005315B8">
        <w:rPr>
          <w:sz w:val="24"/>
          <w:szCs w:val="24"/>
        </w:rPr>
        <w:t xml:space="preserve"> (17%)</w:t>
      </w:r>
      <w:r w:rsidR="003E35B9" w:rsidRPr="00105257">
        <w:rPr>
          <w:sz w:val="24"/>
          <w:szCs w:val="24"/>
        </w:rPr>
        <w:t>, Wendell</w:t>
      </w:r>
      <w:r w:rsidR="005315B8">
        <w:rPr>
          <w:sz w:val="24"/>
          <w:szCs w:val="24"/>
        </w:rPr>
        <w:t>(16.1%)</w:t>
      </w:r>
      <w:r w:rsidR="003E35B9" w:rsidRPr="00105257">
        <w:rPr>
          <w:sz w:val="24"/>
          <w:szCs w:val="24"/>
        </w:rPr>
        <w:t>, and Orange</w:t>
      </w:r>
      <w:r w:rsidR="005315B8">
        <w:rPr>
          <w:sz w:val="24"/>
          <w:szCs w:val="24"/>
        </w:rPr>
        <w:t xml:space="preserve"> (13.7%)</w:t>
      </w:r>
      <w:r w:rsidR="003E35B9" w:rsidRPr="00105257">
        <w:rPr>
          <w:sz w:val="24"/>
          <w:szCs w:val="24"/>
        </w:rPr>
        <w:t xml:space="preserve"> are higher than the overall rate for Massachusetts</w:t>
      </w:r>
      <w:r w:rsidR="005315B8">
        <w:rPr>
          <w:sz w:val="24"/>
          <w:szCs w:val="24"/>
        </w:rPr>
        <w:t xml:space="preserve"> (11.4%)</w:t>
      </w:r>
      <w:r w:rsidR="0050345F" w:rsidRPr="00105257">
        <w:rPr>
          <w:sz w:val="24"/>
          <w:szCs w:val="24"/>
        </w:rPr>
        <w:t>; and t</w:t>
      </w:r>
      <w:r w:rsidR="003E35B9" w:rsidRPr="00105257">
        <w:rPr>
          <w:sz w:val="24"/>
          <w:szCs w:val="24"/>
        </w:rPr>
        <w:t xml:space="preserve">he average median household income for 2019 for the </w:t>
      </w:r>
      <w:r w:rsidR="00D2600C">
        <w:rPr>
          <w:sz w:val="24"/>
          <w:szCs w:val="24"/>
        </w:rPr>
        <w:t>Service A</w:t>
      </w:r>
      <w:r w:rsidR="003E35B9" w:rsidRPr="00105257">
        <w:rPr>
          <w:sz w:val="24"/>
          <w:szCs w:val="24"/>
        </w:rPr>
        <w:t>rea</w:t>
      </w:r>
      <w:r w:rsidR="009F2D98">
        <w:rPr>
          <w:sz w:val="24"/>
          <w:szCs w:val="24"/>
        </w:rPr>
        <w:t xml:space="preserve"> was</w:t>
      </w:r>
      <w:r w:rsidR="003E35B9" w:rsidRPr="00105257">
        <w:rPr>
          <w:sz w:val="24"/>
          <w:szCs w:val="24"/>
        </w:rPr>
        <w:t xml:space="preserve"> $69,149, </w:t>
      </w:r>
      <w:r w:rsidR="00CB1745">
        <w:rPr>
          <w:sz w:val="24"/>
          <w:szCs w:val="24"/>
        </w:rPr>
        <w:t>compared to</w:t>
      </w:r>
      <w:r w:rsidR="003E35B9" w:rsidRPr="00105257">
        <w:rPr>
          <w:sz w:val="24"/>
          <w:szCs w:val="24"/>
        </w:rPr>
        <w:t xml:space="preserve"> the state</w:t>
      </w:r>
      <w:r w:rsidR="005E7BBA" w:rsidRPr="00105257">
        <w:rPr>
          <w:sz w:val="24"/>
          <w:szCs w:val="24"/>
        </w:rPr>
        <w:t xml:space="preserve">’s average median household income of </w:t>
      </w:r>
      <w:r w:rsidR="003E35B9" w:rsidRPr="00105257">
        <w:rPr>
          <w:sz w:val="24"/>
          <w:szCs w:val="24"/>
        </w:rPr>
        <w:t>$81,21</w:t>
      </w:r>
      <w:r w:rsidR="00CB1745">
        <w:rPr>
          <w:sz w:val="24"/>
          <w:szCs w:val="24"/>
        </w:rPr>
        <w:t>5.</w:t>
      </w:r>
      <w:r w:rsidR="00026600">
        <w:rPr>
          <w:rStyle w:val="EndnoteReference"/>
          <w:sz w:val="24"/>
          <w:szCs w:val="24"/>
        </w:rPr>
        <w:endnoteReference w:id="29"/>
      </w:r>
      <w:r w:rsidR="007B159B" w:rsidRPr="007B159B">
        <w:rPr>
          <w:sz w:val="24"/>
          <w:szCs w:val="24"/>
          <w:vertAlign w:val="superscript"/>
        </w:rPr>
        <w:t>,</w:t>
      </w:r>
      <w:r w:rsidR="00D3318C">
        <w:rPr>
          <w:rStyle w:val="EndnoteReference"/>
          <w:sz w:val="24"/>
          <w:szCs w:val="24"/>
        </w:rPr>
        <w:endnoteReference w:id="30"/>
      </w:r>
      <w:r w:rsidR="0050345F" w:rsidRPr="00105257">
        <w:rPr>
          <w:sz w:val="24"/>
          <w:szCs w:val="24"/>
        </w:rPr>
        <w:t xml:space="preserve"> </w:t>
      </w:r>
    </w:p>
    <w:p w14:paraId="6468D333" w14:textId="75BC3CB4" w:rsidR="00DA1EB1" w:rsidRDefault="00EC6341" w:rsidP="00DA1EB1">
      <w:pPr>
        <w:pStyle w:val="ListParagraph"/>
        <w:numPr>
          <w:ilvl w:val="0"/>
          <w:numId w:val="37"/>
        </w:numPr>
        <w:spacing w:line="240" w:lineRule="auto"/>
        <w:rPr>
          <w:sz w:val="24"/>
          <w:szCs w:val="24"/>
        </w:rPr>
      </w:pPr>
      <w:r w:rsidRPr="00105257">
        <w:rPr>
          <w:sz w:val="24"/>
          <w:szCs w:val="24"/>
        </w:rPr>
        <w:t>T</w:t>
      </w:r>
      <w:r w:rsidR="003E35B9" w:rsidRPr="00105257">
        <w:rPr>
          <w:sz w:val="24"/>
          <w:szCs w:val="24"/>
        </w:rPr>
        <w:t xml:space="preserve">he number of persons aged 65 and older living alone in the area has increased by 7% </w:t>
      </w:r>
      <w:r w:rsidR="009F2D98">
        <w:rPr>
          <w:sz w:val="24"/>
          <w:szCs w:val="24"/>
        </w:rPr>
        <w:t xml:space="preserve">between </w:t>
      </w:r>
      <w:r w:rsidR="003E35B9" w:rsidRPr="00105257">
        <w:rPr>
          <w:sz w:val="24"/>
          <w:szCs w:val="24"/>
        </w:rPr>
        <w:t>2010</w:t>
      </w:r>
      <w:r w:rsidR="009F2D98">
        <w:rPr>
          <w:sz w:val="24"/>
          <w:szCs w:val="24"/>
        </w:rPr>
        <w:t xml:space="preserve"> and 2016</w:t>
      </w:r>
      <w:r w:rsidR="0050345F" w:rsidRPr="00105257">
        <w:rPr>
          <w:sz w:val="24"/>
          <w:szCs w:val="24"/>
        </w:rPr>
        <w:t>; and t</w:t>
      </w:r>
      <w:r w:rsidR="003E35B9" w:rsidRPr="00105257">
        <w:rPr>
          <w:sz w:val="24"/>
          <w:szCs w:val="24"/>
        </w:rPr>
        <w:t xml:space="preserve">he median age of people living in the </w:t>
      </w:r>
      <w:r w:rsidR="009A43D4">
        <w:rPr>
          <w:sz w:val="24"/>
          <w:szCs w:val="24"/>
        </w:rPr>
        <w:t>S</w:t>
      </w:r>
      <w:r w:rsidR="003E35B9" w:rsidRPr="00105257">
        <w:rPr>
          <w:sz w:val="24"/>
          <w:szCs w:val="24"/>
        </w:rPr>
        <w:t xml:space="preserve">ervice </w:t>
      </w:r>
      <w:r w:rsidR="009A43D4">
        <w:rPr>
          <w:sz w:val="24"/>
          <w:szCs w:val="24"/>
        </w:rPr>
        <w:t>A</w:t>
      </w:r>
      <w:r w:rsidR="003E35B9" w:rsidRPr="00105257">
        <w:rPr>
          <w:sz w:val="24"/>
          <w:szCs w:val="24"/>
        </w:rPr>
        <w:t>rea is ~7 years higher than the stat</w:t>
      </w:r>
      <w:r w:rsidR="0050345F" w:rsidRPr="00105257">
        <w:rPr>
          <w:sz w:val="24"/>
          <w:szCs w:val="24"/>
        </w:rPr>
        <w:t>e</w:t>
      </w:r>
      <w:r w:rsidR="009F2D98">
        <w:rPr>
          <w:sz w:val="24"/>
          <w:szCs w:val="24"/>
        </w:rPr>
        <w:t xml:space="preserve"> and the Nation</w:t>
      </w:r>
      <w:r w:rsidR="0050345F" w:rsidRPr="00105257">
        <w:rPr>
          <w:sz w:val="24"/>
          <w:szCs w:val="24"/>
        </w:rPr>
        <w:t>.</w:t>
      </w:r>
      <w:r w:rsidR="00AC6D52">
        <w:rPr>
          <w:rStyle w:val="EndnoteReference"/>
          <w:sz w:val="24"/>
          <w:szCs w:val="24"/>
        </w:rPr>
        <w:endnoteReference w:id="31"/>
      </w:r>
    </w:p>
    <w:p w14:paraId="49818948" w14:textId="77777777" w:rsidR="00EB6CFF" w:rsidRDefault="0050345F" w:rsidP="00430E8F">
      <w:pPr>
        <w:pStyle w:val="ListParagraph"/>
        <w:numPr>
          <w:ilvl w:val="0"/>
          <w:numId w:val="6"/>
        </w:numPr>
        <w:spacing w:after="0" w:line="240" w:lineRule="auto"/>
        <w:rPr>
          <w:sz w:val="24"/>
          <w:szCs w:val="24"/>
        </w:rPr>
      </w:pPr>
      <w:r w:rsidRPr="00105257">
        <w:rPr>
          <w:sz w:val="24"/>
          <w:szCs w:val="24"/>
        </w:rPr>
        <w:lastRenderedPageBreak/>
        <w:t>A l</w:t>
      </w:r>
      <w:r w:rsidR="003E35B9" w:rsidRPr="00105257">
        <w:rPr>
          <w:sz w:val="24"/>
          <w:szCs w:val="24"/>
        </w:rPr>
        <w:t>ack of transportation inhibits access to jobs, childcare, and healthcare, with some patients (i.e. elderly, and disabled) rely</w:t>
      </w:r>
      <w:r w:rsidR="00106356" w:rsidRPr="00105257">
        <w:rPr>
          <w:sz w:val="24"/>
          <w:szCs w:val="24"/>
        </w:rPr>
        <w:t>ing</w:t>
      </w:r>
      <w:r w:rsidR="003E35B9" w:rsidRPr="00105257">
        <w:rPr>
          <w:sz w:val="24"/>
          <w:szCs w:val="24"/>
        </w:rPr>
        <w:t xml:space="preserve"> on caregivers to travel to appointments due to the inadequacy of transportation. </w:t>
      </w:r>
    </w:p>
    <w:p w14:paraId="4DCBCB1F" w14:textId="293DF8E1" w:rsidR="001212BE" w:rsidRDefault="00E23D07" w:rsidP="00430E8F">
      <w:pPr>
        <w:pStyle w:val="ListParagraph"/>
        <w:numPr>
          <w:ilvl w:val="0"/>
          <w:numId w:val="6"/>
        </w:numPr>
        <w:spacing w:after="0" w:line="240" w:lineRule="auto"/>
        <w:rPr>
          <w:sz w:val="24"/>
          <w:szCs w:val="24"/>
        </w:rPr>
      </w:pPr>
      <w:r w:rsidRPr="001212BE">
        <w:rPr>
          <w:sz w:val="24"/>
          <w:szCs w:val="24"/>
        </w:rPr>
        <w:t>Chronic disease (obesity, diabetes, and hea</w:t>
      </w:r>
      <w:r w:rsidR="00DC022B">
        <w:rPr>
          <w:sz w:val="24"/>
          <w:szCs w:val="24"/>
        </w:rPr>
        <w:t>r</w:t>
      </w:r>
      <w:r w:rsidRPr="001212BE">
        <w:rPr>
          <w:sz w:val="24"/>
          <w:szCs w:val="24"/>
        </w:rPr>
        <w:t xml:space="preserve">t disease) are among the region’s top health issues. </w:t>
      </w:r>
    </w:p>
    <w:p w14:paraId="2ACD2F51" w14:textId="69114F95" w:rsidR="001212BE" w:rsidRDefault="00E23D07" w:rsidP="00430E8F">
      <w:pPr>
        <w:pStyle w:val="ListParagraph"/>
        <w:numPr>
          <w:ilvl w:val="0"/>
          <w:numId w:val="6"/>
        </w:numPr>
        <w:spacing w:line="240" w:lineRule="auto"/>
        <w:rPr>
          <w:sz w:val="24"/>
          <w:szCs w:val="24"/>
        </w:rPr>
      </w:pPr>
      <w:r w:rsidRPr="001212BE">
        <w:rPr>
          <w:sz w:val="24"/>
          <w:szCs w:val="24"/>
        </w:rPr>
        <w:t>In 2017, 3,743 o</w:t>
      </w:r>
      <w:r w:rsidR="001B3CAC">
        <w:rPr>
          <w:sz w:val="24"/>
          <w:szCs w:val="24"/>
        </w:rPr>
        <w:t>r</w:t>
      </w:r>
      <w:r w:rsidRPr="001212BE">
        <w:rPr>
          <w:sz w:val="24"/>
          <w:szCs w:val="24"/>
        </w:rPr>
        <w:t xml:space="preserve"> 16.1% of all patients treated at Heywood Hospital’s Emergency Department (ED) had an obesity diagnosis on record, </w:t>
      </w:r>
      <w:r w:rsidR="001D4023">
        <w:rPr>
          <w:sz w:val="24"/>
          <w:szCs w:val="24"/>
        </w:rPr>
        <w:t xml:space="preserve">and </w:t>
      </w:r>
      <w:r w:rsidRPr="001212BE">
        <w:rPr>
          <w:sz w:val="24"/>
          <w:szCs w:val="24"/>
        </w:rPr>
        <w:t>22.3% of patients discharged from the ED ha</w:t>
      </w:r>
      <w:r w:rsidR="001D4023">
        <w:rPr>
          <w:sz w:val="24"/>
          <w:szCs w:val="24"/>
        </w:rPr>
        <w:t>d</w:t>
      </w:r>
      <w:r w:rsidRPr="001212BE">
        <w:rPr>
          <w:sz w:val="24"/>
          <w:szCs w:val="24"/>
        </w:rPr>
        <w:t xml:space="preserve"> diabetes with the largest percentage </w:t>
      </w:r>
      <w:r w:rsidR="001B3CAC">
        <w:rPr>
          <w:sz w:val="24"/>
          <w:szCs w:val="24"/>
        </w:rPr>
        <w:t>coming from</w:t>
      </w:r>
      <w:r w:rsidRPr="001212BE">
        <w:rPr>
          <w:sz w:val="24"/>
          <w:szCs w:val="24"/>
        </w:rPr>
        <w:t xml:space="preserve"> the 65-74 year old age group</w:t>
      </w:r>
      <w:r w:rsidR="00E538A0">
        <w:rPr>
          <w:sz w:val="24"/>
          <w:szCs w:val="24"/>
        </w:rPr>
        <w:t>.</w:t>
      </w:r>
      <w:r w:rsidR="003E59FB" w:rsidRPr="003E59FB">
        <w:rPr>
          <w:rStyle w:val="EndnoteReference"/>
          <w:sz w:val="24"/>
          <w:szCs w:val="24"/>
        </w:rPr>
        <w:t xml:space="preserve"> </w:t>
      </w:r>
      <w:r w:rsidR="003E59FB">
        <w:rPr>
          <w:rStyle w:val="EndnoteReference"/>
          <w:sz w:val="24"/>
          <w:szCs w:val="24"/>
        </w:rPr>
        <w:endnoteReference w:id="32"/>
      </w:r>
    </w:p>
    <w:p w14:paraId="71D743A3" w14:textId="71DC9E1B" w:rsidR="001212BE" w:rsidRDefault="003E59FB" w:rsidP="00430E8F">
      <w:pPr>
        <w:pStyle w:val="ListParagraph"/>
        <w:numPr>
          <w:ilvl w:val="0"/>
          <w:numId w:val="6"/>
        </w:numPr>
        <w:spacing w:line="240" w:lineRule="auto"/>
        <w:rPr>
          <w:sz w:val="24"/>
          <w:szCs w:val="24"/>
        </w:rPr>
      </w:pPr>
      <w:r>
        <w:rPr>
          <w:sz w:val="24"/>
          <w:szCs w:val="24"/>
        </w:rPr>
        <w:t>In 201</w:t>
      </w:r>
      <w:r w:rsidR="000162D8">
        <w:rPr>
          <w:sz w:val="24"/>
          <w:szCs w:val="24"/>
        </w:rPr>
        <w:t>5</w:t>
      </w:r>
      <w:r>
        <w:rPr>
          <w:sz w:val="24"/>
          <w:szCs w:val="24"/>
        </w:rPr>
        <w:t xml:space="preserve">, </w:t>
      </w:r>
      <w:r w:rsidR="00E23D07" w:rsidRPr="001212BE">
        <w:rPr>
          <w:sz w:val="24"/>
          <w:szCs w:val="24"/>
        </w:rPr>
        <w:t>The c</w:t>
      </w:r>
      <w:r w:rsidR="00EE03FB">
        <w:rPr>
          <w:sz w:val="24"/>
          <w:szCs w:val="24"/>
        </w:rPr>
        <w:t xml:space="preserve">oronary </w:t>
      </w:r>
      <w:r w:rsidR="00E23D07" w:rsidRPr="001212BE">
        <w:rPr>
          <w:sz w:val="24"/>
          <w:szCs w:val="24"/>
        </w:rPr>
        <w:t>hea</w:t>
      </w:r>
      <w:r w:rsidR="000D0B26">
        <w:rPr>
          <w:sz w:val="24"/>
          <w:szCs w:val="24"/>
        </w:rPr>
        <w:t>rt</w:t>
      </w:r>
      <w:r w:rsidR="00E23D07" w:rsidRPr="001212BE">
        <w:rPr>
          <w:sz w:val="24"/>
          <w:szCs w:val="24"/>
        </w:rPr>
        <w:t xml:space="preserve"> disease (CHD) death rate in the</w:t>
      </w:r>
      <w:r w:rsidR="00F51729">
        <w:rPr>
          <w:sz w:val="24"/>
          <w:szCs w:val="24"/>
        </w:rPr>
        <w:t xml:space="preserve"> S</w:t>
      </w:r>
      <w:r w:rsidR="00E23D07" w:rsidRPr="001212BE">
        <w:rPr>
          <w:sz w:val="24"/>
          <w:szCs w:val="24"/>
        </w:rPr>
        <w:t xml:space="preserve">ervice </w:t>
      </w:r>
      <w:r w:rsidR="00F51729">
        <w:rPr>
          <w:sz w:val="24"/>
          <w:szCs w:val="24"/>
        </w:rPr>
        <w:t>A</w:t>
      </w:r>
      <w:r w:rsidR="00E23D07" w:rsidRPr="001212BE">
        <w:rPr>
          <w:sz w:val="24"/>
          <w:szCs w:val="24"/>
        </w:rPr>
        <w:t xml:space="preserve">rea </w:t>
      </w:r>
      <w:r>
        <w:rPr>
          <w:sz w:val="24"/>
          <w:szCs w:val="24"/>
        </w:rPr>
        <w:t>was</w:t>
      </w:r>
      <w:r w:rsidR="00E23D07" w:rsidRPr="001212BE">
        <w:rPr>
          <w:sz w:val="24"/>
          <w:szCs w:val="24"/>
        </w:rPr>
        <w:t xml:space="preserve"> 206.8 per 100,000 </w:t>
      </w:r>
      <w:r>
        <w:rPr>
          <w:sz w:val="24"/>
          <w:szCs w:val="24"/>
        </w:rPr>
        <w:t xml:space="preserve">compared to the state rate </w:t>
      </w:r>
      <w:r w:rsidR="00E538A0">
        <w:rPr>
          <w:sz w:val="24"/>
          <w:szCs w:val="24"/>
        </w:rPr>
        <w:t>of</w:t>
      </w:r>
      <w:r w:rsidR="00E23D07" w:rsidRPr="001212BE">
        <w:rPr>
          <w:sz w:val="24"/>
          <w:szCs w:val="24"/>
        </w:rPr>
        <w:t xml:space="preserve"> 137.5 per 100,000, with the highest rates in Gardner (193.2), Hubbardston (295.6) and Winchendon (231.9).</w:t>
      </w:r>
      <w:r w:rsidR="00F81B28" w:rsidRPr="00F81B28">
        <w:rPr>
          <w:rStyle w:val="EndnoteReference"/>
          <w:sz w:val="24"/>
          <w:szCs w:val="24"/>
        </w:rPr>
        <w:t xml:space="preserve"> </w:t>
      </w:r>
      <w:r w:rsidR="00F81B28">
        <w:rPr>
          <w:rStyle w:val="EndnoteReference"/>
          <w:sz w:val="24"/>
          <w:szCs w:val="24"/>
        </w:rPr>
        <w:endnoteReference w:id="33"/>
      </w:r>
    </w:p>
    <w:p w14:paraId="349DC522" w14:textId="28DC1C86" w:rsidR="001212BE" w:rsidRDefault="00BC4D59" w:rsidP="00430E8F">
      <w:pPr>
        <w:pStyle w:val="ListParagraph"/>
        <w:numPr>
          <w:ilvl w:val="0"/>
          <w:numId w:val="6"/>
        </w:numPr>
        <w:spacing w:line="240" w:lineRule="auto"/>
        <w:rPr>
          <w:sz w:val="24"/>
          <w:szCs w:val="24"/>
        </w:rPr>
      </w:pPr>
      <w:r>
        <w:rPr>
          <w:sz w:val="24"/>
          <w:szCs w:val="24"/>
        </w:rPr>
        <w:t>In 2019, the adult s</w:t>
      </w:r>
      <w:r w:rsidR="00E23D07" w:rsidRPr="001212BE">
        <w:rPr>
          <w:sz w:val="24"/>
          <w:szCs w:val="24"/>
        </w:rPr>
        <w:t xml:space="preserve">moking rate </w:t>
      </w:r>
      <w:r>
        <w:rPr>
          <w:sz w:val="24"/>
          <w:szCs w:val="24"/>
        </w:rPr>
        <w:t>was 24.2% in</w:t>
      </w:r>
      <w:r w:rsidR="00E23D07" w:rsidRPr="001212BE">
        <w:rPr>
          <w:sz w:val="24"/>
          <w:szCs w:val="24"/>
        </w:rPr>
        <w:t xml:space="preserve"> Gardner </w:t>
      </w:r>
      <w:r>
        <w:rPr>
          <w:sz w:val="24"/>
          <w:szCs w:val="24"/>
        </w:rPr>
        <w:t>and 25.4% in Winchendon compared to 13.7% statewide.</w:t>
      </w:r>
      <w:r w:rsidR="00CD3BA0" w:rsidRPr="00133B2B">
        <w:rPr>
          <w:rStyle w:val="EndnoteReference"/>
          <w:sz w:val="24"/>
          <w:szCs w:val="24"/>
        </w:rPr>
        <w:endnoteReference w:id="34"/>
      </w:r>
      <w:r w:rsidR="00133B2B" w:rsidRPr="00133B2B">
        <w:rPr>
          <w:sz w:val="24"/>
          <w:szCs w:val="24"/>
          <w:vertAlign w:val="superscript"/>
        </w:rPr>
        <w:t>,</w:t>
      </w:r>
      <w:r w:rsidR="00CD3BA0" w:rsidRPr="00133B2B">
        <w:rPr>
          <w:rStyle w:val="EndnoteReference"/>
          <w:sz w:val="24"/>
          <w:szCs w:val="24"/>
        </w:rPr>
        <w:endnoteReference w:id="35"/>
      </w:r>
      <w:r w:rsidRPr="00133B2B">
        <w:rPr>
          <w:sz w:val="24"/>
          <w:szCs w:val="24"/>
          <w:vertAlign w:val="superscript"/>
        </w:rPr>
        <w:t xml:space="preserve"> </w:t>
      </w:r>
      <w:r w:rsidR="00E23D07" w:rsidRPr="001212BE">
        <w:rPr>
          <w:sz w:val="24"/>
          <w:szCs w:val="24"/>
        </w:rPr>
        <w:t xml:space="preserve"> </w:t>
      </w:r>
    </w:p>
    <w:p w14:paraId="59AC8059" w14:textId="1F3F0A7D" w:rsidR="00E23D07" w:rsidRPr="001212BE" w:rsidRDefault="00E23D07" w:rsidP="00430E8F">
      <w:pPr>
        <w:pStyle w:val="ListParagraph"/>
        <w:numPr>
          <w:ilvl w:val="0"/>
          <w:numId w:val="6"/>
        </w:numPr>
        <w:spacing w:line="240" w:lineRule="auto"/>
        <w:rPr>
          <w:sz w:val="24"/>
          <w:szCs w:val="24"/>
        </w:rPr>
      </w:pPr>
      <w:r w:rsidRPr="001212BE">
        <w:rPr>
          <w:sz w:val="24"/>
          <w:szCs w:val="24"/>
        </w:rPr>
        <w:t>In 2019, 5.6% of the total 33,247 total visits to the ED for Heywood Hospital ha</w:t>
      </w:r>
      <w:r w:rsidR="00F53462">
        <w:rPr>
          <w:sz w:val="24"/>
          <w:szCs w:val="24"/>
        </w:rPr>
        <w:t>d</w:t>
      </w:r>
      <w:r w:rsidRPr="001212BE">
        <w:rPr>
          <w:sz w:val="24"/>
          <w:szCs w:val="24"/>
        </w:rPr>
        <w:t xml:space="preserve"> a primary mental health diagnosis and 18.6% had a secondary mental health diagnosis, resulting in a combined rate of 24.2% of all ED visits. </w:t>
      </w:r>
    </w:p>
    <w:p w14:paraId="28696E3D" w14:textId="66AF554E" w:rsidR="00060403" w:rsidRPr="00060403" w:rsidRDefault="0050345F" w:rsidP="005F07C5">
      <w:pPr>
        <w:spacing w:line="240" w:lineRule="auto"/>
        <w:rPr>
          <w:sz w:val="24"/>
          <w:szCs w:val="24"/>
        </w:rPr>
      </w:pPr>
      <w:r w:rsidRPr="0050345F">
        <w:rPr>
          <w:sz w:val="24"/>
          <w:szCs w:val="24"/>
        </w:rPr>
        <w:t xml:space="preserve">The Applicant asserts that Heywood Healthcare works closely with community partners and CHNA 9 to address regional disparities, and that Heywood Hospital will use regional health disparity information to inform outreach initiatives to ensure access for those needing surgical care. </w:t>
      </w:r>
      <w:r w:rsidR="00C05460">
        <w:rPr>
          <w:sz w:val="24"/>
          <w:szCs w:val="24"/>
        </w:rPr>
        <w:t>The Applicant states that r</w:t>
      </w:r>
      <w:r w:rsidR="00060403">
        <w:rPr>
          <w:sz w:val="24"/>
          <w:szCs w:val="24"/>
        </w:rPr>
        <w:t xml:space="preserve">elocating surgical services to the new space will allow for the existing </w:t>
      </w:r>
      <w:r w:rsidR="00123475">
        <w:rPr>
          <w:sz w:val="24"/>
          <w:szCs w:val="24"/>
        </w:rPr>
        <w:t>e</w:t>
      </w:r>
      <w:r w:rsidR="00060403">
        <w:rPr>
          <w:sz w:val="24"/>
          <w:szCs w:val="24"/>
        </w:rPr>
        <w:t xml:space="preserve">ndoscopy and interventional pain services to expand their footprint and increase access to preventative procedural care such as screening colonoscopies and interventional pain procedures. </w:t>
      </w:r>
    </w:p>
    <w:p w14:paraId="6BCB1E21" w14:textId="48F6E94D" w:rsidR="00D95F91" w:rsidRPr="005F07C5" w:rsidRDefault="005B0D40" w:rsidP="005F07C5">
      <w:pPr>
        <w:spacing w:line="240" w:lineRule="auto"/>
        <w:rPr>
          <w:b/>
          <w:bCs/>
          <w:sz w:val="24"/>
          <w:szCs w:val="24"/>
        </w:rPr>
      </w:pPr>
      <w:r w:rsidRPr="005F07C5">
        <w:rPr>
          <w:b/>
          <w:bCs/>
          <w:sz w:val="24"/>
          <w:szCs w:val="24"/>
        </w:rPr>
        <w:t>Analysis: Public Health Outcomes</w:t>
      </w:r>
    </w:p>
    <w:p w14:paraId="6C0B4C5C" w14:textId="1AD44A39" w:rsidR="00D1778B" w:rsidRPr="00431025" w:rsidRDefault="00F11D24" w:rsidP="005F07C5">
      <w:pPr>
        <w:spacing w:line="240" w:lineRule="auto"/>
        <w:rPr>
          <w:sz w:val="24"/>
          <w:szCs w:val="24"/>
        </w:rPr>
      </w:pPr>
      <w:r>
        <w:rPr>
          <w:sz w:val="24"/>
          <w:szCs w:val="24"/>
        </w:rPr>
        <w:t xml:space="preserve">The Applicant has identified </w:t>
      </w:r>
      <w:r w:rsidR="00530976">
        <w:rPr>
          <w:sz w:val="24"/>
          <w:szCs w:val="24"/>
        </w:rPr>
        <w:t>several</w:t>
      </w:r>
      <w:r>
        <w:rPr>
          <w:sz w:val="24"/>
          <w:szCs w:val="24"/>
        </w:rPr>
        <w:t xml:space="preserve"> disparities within its existing area. Staff also </w:t>
      </w:r>
      <w:r w:rsidR="00CE52ED">
        <w:rPr>
          <w:sz w:val="24"/>
          <w:szCs w:val="24"/>
        </w:rPr>
        <w:t xml:space="preserve">note that </w:t>
      </w:r>
      <w:r w:rsidR="00431025" w:rsidRPr="00431025">
        <w:rPr>
          <w:sz w:val="24"/>
          <w:szCs w:val="24"/>
        </w:rPr>
        <w:t xml:space="preserve">Worcester </w:t>
      </w:r>
      <w:r w:rsidR="00ED5322">
        <w:rPr>
          <w:sz w:val="24"/>
          <w:szCs w:val="24"/>
        </w:rPr>
        <w:t>C</w:t>
      </w:r>
      <w:r w:rsidR="00431025" w:rsidRPr="00431025">
        <w:rPr>
          <w:sz w:val="24"/>
          <w:szCs w:val="24"/>
        </w:rPr>
        <w:t>ounty has a higher cancer incidence rate than neighboring counties</w:t>
      </w:r>
      <w:r w:rsidR="00F81896">
        <w:rPr>
          <w:sz w:val="24"/>
          <w:szCs w:val="24"/>
        </w:rPr>
        <w:t>,</w:t>
      </w:r>
      <w:r w:rsidR="00431025">
        <w:rPr>
          <w:rStyle w:val="EndnoteReference"/>
          <w:sz w:val="24"/>
          <w:szCs w:val="24"/>
        </w:rPr>
        <w:endnoteReference w:id="36"/>
      </w:r>
      <w:r>
        <w:rPr>
          <w:sz w:val="24"/>
          <w:szCs w:val="24"/>
        </w:rPr>
        <w:t xml:space="preserve"> </w:t>
      </w:r>
      <w:r w:rsidR="00F81896">
        <w:rPr>
          <w:sz w:val="24"/>
          <w:szCs w:val="24"/>
        </w:rPr>
        <w:t>and in 2015, Cancer and Heart Disease were</w:t>
      </w:r>
      <w:r w:rsidR="00C42CA1">
        <w:rPr>
          <w:sz w:val="24"/>
          <w:szCs w:val="24"/>
        </w:rPr>
        <w:t xml:space="preserve"> reported as</w:t>
      </w:r>
      <w:r w:rsidR="00F81896">
        <w:rPr>
          <w:sz w:val="24"/>
          <w:szCs w:val="24"/>
        </w:rPr>
        <w:t xml:space="preserve"> the leading causes of death in the </w:t>
      </w:r>
      <w:r w:rsidR="00B211AC">
        <w:rPr>
          <w:sz w:val="24"/>
          <w:szCs w:val="24"/>
        </w:rPr>
        <w:t>S</w:t>
      </w:r>
      <w:r w:rsidR="00F81896">
        <w:rPr>
          <w:sz w:val="24"/>
          <w:szCs w:val="24"/>
        </w:rPr>
        <w:t xml:space="preserve">ervice </w:t>
      </w:r>
      <w:r w:rsidR="00B211AC">
        <w:rPr>
          <w:sz w:val="24"/>
          <w:szCs w:val="24"/>
        </w:rPr>
        <w:t>A</w:t>
      </w:r>
      <w:r w:rsidR="00F81896">
        <w:rPr>
          <w:sz w:val="24"/>
          <w:szCs w:val="24"/>
        </w:rPr>
        <w:t>rea.</w:t>
      </w:r>
      <w:r w:rsidR="00BF59F0">
        <w:rPr>
          <w:rStyle w:val="EndnoteReference"/>
          <w:sz w:val="24"/>
          <w:szCs w:val="24"/>
        </w:rPr>
        <w:endnoteReference w:id="37"/>
      </w:r>
      <w:r w:rsidR="00BF59F0" w:rsidRPr="00105257">
        <w:rPr>
          <w:sz w:val="24"/>
          <w:szCs w:val="24"/>
        </w:rPr>
        <w:t xml:space="preserve"> </w:t>
      </w:r>
      <w:r>
        <w:rPr>
          <w:sz w:val="24"/>
          <w:szCs w:val="24"/>
        </w:rPr>
        <w:t xml:space="preserve">The Applicant asserts that the Proposed Project will help to increase access to preventative care, which has been shown to improve </w:t>
      </w:r>
      <w:r w:rsidR="00D1778B">
        <w:rPr>
          <w:sz w:val="24"/>
          <w:szCs w:val="24"/>
        </w:rPr>
        <w:t>public health outcomes.</w:t>
      </w:r>
      <w:r w:rsidR="004E2072">
        <w:rPr>
          <w:rStyle w:val="EndnoteReference"/>
          <w:sz w:val="24"/>
          <w:szCs w:val="24"/>
        </w:rPr>
        <w:endnoteReference w:id="38"/>
      </w:r>
      <w:r w:rsidR="00D1778B">
        <w:rPr>
          <w:sz w:val="24"/>
          <w:szCs w:val="24"/>
        </w:rPr>
        <w:t xml:space="preserve"> </w:t>
      </w:r>
    </w:p>
    <w:p w14:paraId="2B2C6C8F" w14:textId="77777777" w:rsidR="00756258" w:rsidRDefault="00756258" w:rsidP="005F07C5">
      <w:pPr>
        <w:spacing w:line="240" w:lineRule="auto"/>
        <w:rPr>
          <w:b/>
          <w:bCs/>
          <w:sz w:val="24"/>
          <w:szCs w:val="24"/>
        </w:rPr>
      </w:pPr>
    </w:p>
    <w:p w14:paraId="5D6FBF0F" w14:textId="1EAB42BF" w:rsidR="005B0D40" w:rsidRPr="005F07C5" w:rsidRDefault="005B0D40" w:rsidP="005F07C5">
      <w:pPr>
        <w:spacing w:line="240" w:lineRule="auto"/>
        <w:rPr>
          <w:b/>
          <w:bCs/>
          <w:sz w:val="24"/>
          <w:szCs w:val="24"/>
        </w:rPr>
      </w:pPr>
      <w:r w:rsidRPr="005F07C5">
        <w:rPr>
          <w:b/>
          <w:bCs/>
          <w:sz w:val="24"/>
          <w:szCs w:val="24"/>
        </w:rPr>
        <w:t>Delivery System Transformation</w:t>
      </w:r>
    </w:p>
    <w:p w14:paraId="0B8D8618" w14:textId="77777777" w:rsidR="007B1833" w:rsidRPr="007B1833" w:rsidRDefault="00222BD4" w:rsidP="007B1833">
      <w:pPr>
        <w:spacing w:line="240" w:lineRule="auto"/>
        <w:rPr>
          <w:sz w:val="24"/>
          <w:szCs w:val="24"/>
        </w:rPr>
      </w:pPr>
      <w:r>
        <w:rPr>
          <w:sz w:val="24"/>
          <w:szCs w:val="24"/>
        </w:rPr>
        <w:t>The Applicant states that p</w:t>
      </w:r>
      <w:r w:rsidR="00DD1A74">
        <w:rPr>
          <w:sz w:val="24"/>
          <w:szCs w:val="24"/>
        </w:rPr>
        <w:t xml:space="preserve">atients will be provided with linkages to address identified </w:t>
      </w:r>
      <w:r>
        <w:rPr>
          <w:sz w:val="24"/>
          <w:szCs w:val="24"/>
        </w:rPr>
        <w:t>SDoH</w:t>
      </w:r>
      <w:r w:rsidR="00E26EEC">
        <w:rPr>
          <w:sz w:val="24"/>
          <w:szCs w:val="24"/>
        </w:rPr>
        <w:t xml:space="preserve"> </w:t>
      </w:r>
      <w:r>
        <w:rPr>
          <w:sz w:val="24"/>
          <w:szCs w:val="24"/>
        </w:rPr>
        <w:t>needs</w:t>
      </w:r>
      <w:r w:rsidR="00DD1A74">
        <w:rPr>
          <w:sz w:val="24"/>
          <w:szCs w:val="24"/>
        </w:rPr>
        <w:t xml:space="preserve"> and assigned a community health worker to assist with unanticipated challenges. </w:t>
      </w:r>
      <w:r w:rsidR="007B1833" w:rsidRPr="007B1833">
        <w:rPr>
          <w:sz w:val="24"/>
          <w:szCs w:val="24"/>
        </w:rPr>
        <w:t xml:space="preserve">The Applicant states Heywood Healthcare is currently a partner in UMass Memorial Accountable Care, Inc., led by UMass Memorial Health Care. The total number of member patients is 45,580 and the total number of Heywood member patients is 5,096. Heywood is not enrolled in any national Alternative Payment Model Programs. </w:t>
      </w:r>
    </w:p>
    <w:p w14:paraId="1AE28FD5" w14:textId="4C13B0ED" w:rsidR="005B0D40" w:rsidRDefault="005B0D40" w:rsidP="005F07C5">
      <w:pPr>
        <w:spacing w:line="240" w:lineRule="auto"/>
        <w:rPr>
          <w:b/>
          <w:bCs/>
          <w:sz w:val="24"/>
          <w:szCs w:val="24"/>
        </w:rPr>
      </w:pPr>
      <w:r w:rsidRPr="005F07C5">
        <w:rPr>
          <w:b/>
          <w:bCs/>
          <w:sz w:val="24"/>
          <w:szCs w:val="24"/>
        </w:rPr>
        <w:t>Analysis: Delivery System Transformation</w:t>
      </w:r>
    </w:p>
    <w:p w14:paraId="1E0179D2" w14:textId="4EBCD768" w:rsidR="00E5413B" w:rsidRDefault="00E5413B" w:rsidP="005644BE">
      <w:pPr>
        <w:spacing w:line="240" w:lineRule="auto"/>
        <w:rPr>
          <w:sz w:val="24"/>
          <w:szCs w:val="24"/>
        </w:rPr>
      </w:pPr>
      <w:r w:rsidRPr="002224D7">
        <w:rPr>
          <w:sz w:val="24"/>
          <w:szCs w:val="24"/>
        </w:rPr>
        <w:lastRenderedPageBreak/>
        <w:t xml:space="preserve">Central to the goal of Delivery System Transformation is the integration of social services and community-based expertise. The Applicant has described how </w:t>
      </w:r>
      <w:r w:rsidR="00FF7321">
        <w:rPr>
          <w:sz w:val="24"/>
          <w:szCs w:val="24"/>
        </w:rPr>
        <w:t>patients</w:t>
      </w:r>
      <w:r w:rsidRPr="002224D7">
        <w:rPr>
          <w:sz w:val="24"/>
          <w:szCs w:val="24"/>
        </w:rPr>
        <w:t xml:space="preserve"> in the panel are assessed and how linkages to social services organizations are created. The Applicant described </w:t>
      </w:r>
      <w:r>
        <w:rPr>
          <w:sz w:val="24"/>
          <w:szCs w:val="24"/>
        </w:rPr>
        <w:t>a focus in 2021 on</w:t>
      </w:r>
      <w:r w:rsidRPr="00E5413B">
        <w:rPr>
          <w:sz w:val="24"/>
          <w:szCs w:val="24"/>
        </w:rPr>
        <w:t xml:space="preserve"> SDoH and root causes of health inequities.</w:t>
      </w:r>
    </w:p>
    <w:p w14:paraId="4A3C8947" w14:textId="77777777" w:rsidR="00CC5AE6" w:rsidRDefault="00CC5AE6" w:rsidP="0098420E">
      <w:pPr>
        <w:spacing w:after="0"/>
        <w:rPr>
          <w:b/>
          <w:bCs/>
          <w:sz w:val="28"/>
          <w:szCs w:val="28"/>
        </w:rPr>
      </w:pPr>
    </w:p>
    <w:p w14:paraId="572AF8E7" w14:textId="60E848C5" w:rsidR="0098420E" w:rsidRDefault="007E5BDE" w:rsidP="0098420E">
      <w:pPr>
        <w:spacing w:after="0"/>
      </w:pPr>
      <w:r>
        <w:rPr>
          <w:b/>
          <w:bCs/>
          <w:sz w:val="28"/>
          <w:szCs w:val="28"/>
        </w:rPr>
        <w:t xml:space="preserve">SUMMARY for </w:t>
      </w:r>
      <w:r w:rsidR="0098420E" w:rsidRPr="0098420E">
        <w:rPr>
          <w:b/>
          <w:bCs/>
          <w:sz w:val="28"/>
          <w:szCs w:val="28"/>
        </w:rPr>
        <w:t>FACTOR 2</w:t>
      </w:r>
      <w:r w:rsidR="0098420E">
        <w:t xml:space="preserve"> </w:t>
      </w:r>
    </w:p>
    <w:p w14:paraId="1AA947C6" w14:textId="283BAB14" w:rsidR="005B0D40" w:rsidRDefault="0098420E" w:rsidP="005F07C5">
      <w:pPr>
        <w:spacing w:after="0" w:line="240" w:lineRule="auto"/>
        <w:rPr>
          <w:sz w:val="24"/>
          <w:szCs w:val="24"/>
        </w:rPr>
      </w:pPr>
      <w:r w:rsidRPr="005F07C5">
        <w:rPr>
          <w:sz w:val="24"/>
          <w:szCs w:val="24"/>
        </w:rPr>
        <w:t xml:space="preserve">As a result of information provided by the Applicant and additional analysis, </w:t>
      </w:r>
      <w:r w:rsidR="00237CC4">
        <w:rPr>
          <w:sz w:val="24"/>
          <w:szCs w:val="24"/>
        </w:rPr>
        <w:t>S</w:t>
      </w:r>
      <w:r w:rsidRPr="005F07C5">
        <w:rPr>
          <w:sz w:val="24"/>
          <w:szCs w:val="24"/>
        </w:rPr>
        <w:t xml:space="preserve">taff finds that </w:t>
      </w:r>
      <w:r w:rsidR="00EB6CFF">
        <w:rPr>
          <w:sz w:val="24"/>
          <w:szCs w:val="24"/>
        </w:rPr>
        <w:t>t</w:t>
      </w:r>
      <w:r w:rsidRPr="005F07C5">
        <w:rPr>
          <w:sz w:val="24"/>
          <w:szCs w:val="24"/>
        </w:rPr>
        <w:t>he Applicant has demonstrated that the Proposed Project has met Factor 2.</w:t>
      </w:r>
    </w:p>
    <w:p w14:paraId="03E3197E" w14:textId="59859BD8" w:rsidR="00BE538A" w:rsidRDefault="00BE538A" w:rsidP="005F07C5">
      <w:pPr>
        <w:spacing w:after="0" w:line="240" w:lineRule="auto"/>
        <w:rPr>
          <w:b/>
          <w:bCs/>
          <w:sz w:val="24"/>
          <w:szCs w:val="24"/>
        </w:rPr>
      </w:pPr>
    </w:p>
    <w:p w14:paraId="6674E1C5" w14:textId="77777777" w:rsidR="00057CC4" w:rsidRPr="00057CC4" w:rsidRDefault="00057CC4" w:rsidP="00057CC4">
      <w:pPr>
        <w:spacing w:after="0"/>
        <w:rPr>
          <w:b/>
          <w:bCs/>
          <w:sz w:val="28"/>
          <w:szCs w:val="28"/>
        </w:rPr>
      </w:pPr>
      <w:r w:rsidRPr="00057CC4">
        <w:rPr>
          <w:b/>
          <w:bCs/>
          <w:sz w:val="28"/>
          <w:szCs w:val="28"/>
        </w:rPr>
        <w:t xml:space="preserve">Factor 3: Relevant Licensure/Oversight Compliance </w:t>
      </w:r>
    </w:p>
    <w:p w14:paraId="3F4905FF" w14:textId="14143654" w:rsidR="005B0D40" w:rsidRPr="006D6A23" w:rsidRDefault="00057CC4" w:rsidP="005F07C5">
      <w:pPr>
        <w:spacing w:after="0" w:line="240" w:lineRule="auto"/>
        <w:rPr>
          <w:b/>
          <w:bCs/>
          <w:sz w:val="24"/>
          <w:szCs w:val="24"/>
        </w:rPr>
      </w:pPr>
      <w:r w:rsidRPr="006D6A23">
        <w:rPr>
          <w:sz w:val="24"/>
          <w:szCs w:val="24"/>
        </w:rPr>
        <w:t>The Applicant has provided evidence of compliance and good standing with federal, state, and local laws and regulations and will not be addressed further in this report.</w:t>
      </w:r>
    </w:p>
    <w:p w14:paraId="64EF588B" w14:textId="457191EB" w:rsidR="005B0D40" w:rsidRDefault="005B0D40">
      <w:pPr>
        <w:rPr>
          <w:b/>
          <w:bCs/>
        </w:rPr>
      </w:pPr>
    </w:p>
    <w:p w14:paraId="6C3734C2" w14:textId="70E6B57F" w:rsidR="00FA0A99" w:rsidRPr="00FA0A99" w:rsidRDefault="00FA0A99">
      <w:pPr>
        <w:rPr>
          <w:b/>
          <w:bCs/>
          <w:sz w:val="28"/>
          <w:szCs w:val="28"/>
        </w:rPr>
      </w:pPr>
      <w:r w:rsidRPr="00FA0A99">
        <w:rPr>
          <w:b/>
          <w:bCs/>
          <w:sz w:val="28"/>
          <w:szCs w:val="28"/>
        </w:rPr>
        <w:t xml:space="preserve">Factor 4: Demonstration of Sufficient Funds as Supported by an Independent CPA Analysis </w:t>
      </w:r>
    </w:p>
    <w:p w14:paraId="391CCF10" w14:textId="6A7131F4" w:rsidR="00953E98" w:rsidRPr="005F07C5" w:rsidRDefault="00FA0A99" w:rsidP="00B901A2">
      <w:pPr>
        <w:spacing w:line="240" w:lineRule="auto"/>
        <w:rPr>
          <w:sz w:val="24"/>
          <w:szCs w:val="24"/>
        </w:rPr>
      </w:pPr>
      <w:r w:rsidRPr="005F07C5">
        <w:rPr>
          <w:sz w:val="24"/>
          <w:szCs w:val="24"/>
        </w:rPr>
        <w:t xml:space="preserve">Under </w:t>
      </w:r>
      <w:r w:rsidR="0047451F" w:rsidRPr="005F07C5">
        <w:rPr>
          <w:sz w:val="24"/>
          <w:szCs w:val="24"/>
        </w:rPr>
        <w:t>F</w:t>
      </w:r>
      <w:r w:rsidRPr="005F07C5">
        <w:rPr>
          <w:sz w:val="24"/>
          <w:szCs w:val="24"/>
        </w:rPr>
        <w:t xml:space="preserve">actor 4, the Applicant must demonstrate that it has sufficient funds available for capital and operating costs necessary to support the Proposed Project without negative effects or consequences to the existing </w:t>
      </w:r>
      <w:r w:rsidR="006D6A23">
        <w:rPr>
          <w:sz w:val="24"/>
          <w:szCs w:val="24"/>
        </w:rPr>
        <w:t>P</w:t>
      </w:r>
      <w:r w:rsidRPr="005F07C5">
        <w:rPr>
          <w:sz w:val="24"/>
          <w:szCs w:val="24"/>
        </w:rPr>
        <w:t xml:space="preserve">atient </w:t>
      </w:r>
      <w:r w:rsidR="006D6A23">
        <w:rPr>
          <w:sz w:val="24"/>
          <w:szCs w:val="24"/>
        </w:rPr>
        <w:t>P</w:t>
      </w:r>
      <w:r w:rsidRPr="005F07C5">
        <w:rPr>
          <w:sz w:val="24"/>
          <w:szCs w:val="24"/>
        </w:rPr>
        <w:t>anel. Documentation sufficient to make such finding must be supported by an analysis by an independent CPA. The CPA examined a range of documents and information in developing its report including</w:t>
      </w:r>
      <w:r w:rsidR="00FB2444">
        <w:rPr>
          <w:sz w:val="24"/>
          <w:szCs w:val="24"/>
        </w:rPr>
        <w:t xml:space="preserve"> </w:t>
      </w:r>
      <w:r w:rsidR="00010605">
        <w:rPr>
          <w:sz w:val="24"/>
          <w:szCs w:val="24"/>
        </w:rPr>
        <w:t>nine-year</w:t>
      </w:r>
      <w:r w:rsidR="00010605" w:rsidRPr="005F07C5">
        <w:rPr>
          <w:sz w:val="24"/>
          <w:szCs w:val="24"/>
        </w:rPr>
        <w:t xml:space="preserve"> financial </w:t>
      </w:r>
      <w:r w:rsidR="00010605">
        <w:rPr>
          <w:sz w:val="24"/>
          <w:szCs w:val="24"/>
        </w:rPr>
        <w:t>projection (Projections)</w:t>
      </w:r>
      <w:r w:rsidR="00FB2444">
        <w:rPr>
          <w:sz w:val="24"/>
          <w:szCs w:val="24"/>
        </w:rPr>
        <w:t xml:space="preserve"> for the Applica</w:t>
      </w:r>
      <w:r w:rsidR="001B5686">
        <w:rPr>
          <w:sz w:val="24"/>
          <w:szCs w:val="24"/>
        </w:rPr>
        <w:t>nt (</w:t>
      </w:r>
      <w:r w:rsidR="008543E3" w:rsidRPr="005F07C5">
        <w:rPr>
          <w:sz w:val="24"/>
          <w:szCs w:val="24"/>
        </w:rPr>
        <w:t>fiscal years ending 202</w:t>
      </w:r>
      <w:r w:rsidR="00FB2444">
        <w:rPr>
          <w:sz w:val="24"/>
          <w:szCs w:val="24"/>
        </w:rPr>
        <w:t>1</w:t>
      </w:r>
      <w:r w:rsidR="008543E3" w:rsidRPr="005F07C5">
        <w:rPr>
          <w:sz w:val="24"/>
          <w:szCs w:val="24"/>
        </w:rPr>
        <w:t xml:space="preserve"> through 202</w:t>
      </w:r>
      <w:r w:rsidR="00FB2444">
        <w:rPr>
          <w:sz w:val="24"/>
          <w:szCs w:val="24"/>
        </w:rPr>
        <w:t>9</w:t>
      </w:r>
      <w:r w:rsidR="001B5686">
        <w:rPr>
          <w:sz w:val="24"/>
          <w:szCs w:val="24"/>
        </w:rPr>
        <w:t>)</w:t>
      </w:r>
      <w:r w:rsidR="008543E3" w:rsidRPr="005F07C5">
        <w:rPr>
          <w:sz w:val="24"/>
          <w:szCs w:val="24"/>
        </w:rPr>
        <w:t xml:space="preserve">, Audited </w:t>
      </w:r>
      <w:r w:rsidR="00010605">
        <w:rPr>
          <w:sz w:val="24"/>
          <w:szCs w:val="24"/>
        </w:rPr>
        <w:t xml:space="preserve">Consolidated </w:t>
      </w:r>
      <w:r w:rsidR="008543E3" w:rsidRPr="005F07C5">
        <w:rPr>
          <w:sz w:val="24"/>
          <w:szCs w:val="24"/>
        </w:rPr>
        <w:t xml:space="preserve">Financial Statements </w:t>
      </w:r>
      <w:r w:rsidR="00010605">
        <w:rPr>
          <w:sz w:val="24"/>
          <w:szCs w:val="24"/>
        </w:rPr>
        <w:t>for</w:t>
      </w:r>
      <w:r w:rsidR="001B5686">
        <w:rPr>
          <w:sz w:val="24"/>
          <w:szCs w:val="24"/>
        </w:rPr>
        <w:t xml:space="preserve"> the Applicant</w:t>
      </w:r>
      <w:r w:rsidR="008543E3" w:rsidRPr="005F07C5">
        <w:rPr>
          <w:sz w:val="24"/>
          <w:szCs w:val="24"/>
        </w:rPr>
        <w:t xml:space="preserve">, </w:t>
      </w:r>
      <w:r w:rsidR="00250986">
        <w:rPr>
          <w:sz w:val="24"/>
          <w:szCs w:val="24"/>
        </w:rPr>
        <w:t>various</w:t>
      </w:r>
      <w:r w:rsidR="00010605">
        <w:rPr>
          <w:sz w:val="24"/>
          <w:szCs w:val="24"/>
        </w:rPr>
        <w:t xml:space="preserve"> p</w:t>
      </w:r>
      <w:r w:rsidR="008543E3" w:rsidRPr="005F07C5">
        <w:rPr>
          <w:sz w:val="24"/>
          <w:szCs w:val="24"/>
        </w:rPr>
        <w:t>resentation</w:t>
      </w:r>
      <w:r w:rsidR="00250986">
        <w:rPr>
          <w:sz w:val="24"/>
          <w:szCs w:val="24"/>
        </w:rPr>
        <w:t>s</w:t>
      </w:r>
      <w:r w:rsidR="008543E3" w:rsidRPr="005F07C5">
        <w:rPr>
          <w:sz w:val="24"/>
          <w:szCs w:val="24"/>
        </w:rPr>
        <w:t xml:space="preserve"> to </w:t>
      </w:r>
      <w:r w:rsidR="00250986">
        <w:rPr>
          <w:sz w:val="24"/>
          <w:szCs w:val="24"/>
        </w:rPr>
        <w:t>L</w:t>
      </w:r>
      <w:r w:rsidR="008543E3" w:rsidRPr="005F07C5">
        <w:rPr>
          <w:sz w:val="24"/>
          <w:szCs w:val="24"/>
        </w:rPr>
        <w:t>eadership on the Proposed Project</w:t>
      </w:r>
      <w:r w:rsidR="00010605">
        <w:rPr>
          <w:sz w:val="24"/>
          <w:szCs w:val="24"/>
        </w:rPr>
        <w:t xml:space="preserve">, </w:t>
      </w:r>
      <w:r w:rsidR="00250986">
        <w:rPr>
          <w:sz w:val="24"/>
          <w:szCs w:val="24"/>
        </w:rPr>
        <w:t xml:space="preserve">historical results, </w:t>
      </w:r>
      <w:r w:rsidR="001B5686">
        <w:rPr>
          <w:sz w:val="24"/>
          <w:szCs w:val="24"/>
        </w:rPr>
        <w:t xml:space="preserve">and </w:t>
      </w:r>
      <w:r w:rsidR="00010605">
        <w:rPr>
          <w:sz w:val="24"/>
          <w:szCs w:val="24"/>
        </w:rPr>
        <w:t>third par</w:t>
      </w:r>
      <w:r w:rsidR="001B5686">
        <w:rPr>
          <w:sz w:val="24"/>
          <w:szCs w:val="24"/>
        </w:rPr>
        <w:t>t</w:t>
      </w:r>
      <w:r w:rsidR="00010605">
        <w:rPr>
          <w:sz w:val="24"/>
          <w:szCs w:val="24"/>
        </w:rPr>
        <w:t>y industry data.</w:t>
      </w:r>
      <w:r w:rsidRPr="005F07C5">
        <w:rPr>
          <w:sz w:val="24"/>
          <w:szCs w:val="24"/>
        </w:rPr>
        <w:t xml:space="preserve"> Additionally, it calculated</w:t>
      </w:r>
      <w:r w:rsidR="00250986">
        <w:rPr>
          <w:sz w:val="24"/>
          <w:szCs w:val="24"/>
        </w:rPr>
        <w:t xml:space="preserve"> Key Metrics</w:t>
      </w:r>
      <w:r w:rsidRPr="005F07C5">
        <w:rPr>
          <w:sz w:val="24"/>
          <w:szCs w:val="24"/>
        </w:rPr>
        <w:t xml:space="preserve"> </w:t>
      </w:r>
      <w:r w:rsidR="00250986">
        <w:rPr>
          <w:sz w:val="24"/>
          <w:szCs w:val="24"/>
        </w:rPr>
        <w:t xml:space="preserve">(profitability, liquidity, and solvency) </w:t>
      </w:r>
      <w:r w:rsidRPr="005F07C5">
        <w:rPr>
          <w:sz w:val="24"/>
          <w:szCs w:val="24"/>
        </w:rPr>
        <w:t>to assist in determining reasonableness of the Applicant’s assumptions</w:t>
      </w:r>
      <w:r w:rsidR="00546AB6" w:rsidRPr="005F07C5">
        <w:rPr>
          <w:sz w:val="24"/>
          <w:szCs w:val="24"/>
        </w:rPr>
        <w:t xml:space="preserve"> and feasibility of the Projections</w:t>
      </w:r>
      <w:r w:rsidRPr="005F07C5">
        <w:rPr>
          <w:sz w:val="24"/>
          <w:szCs w:val="24"/>
        </w:rPr>
        <w:t xml:space="preserve">. </w:t>
      </w:r>
    </w:p>
    <w:p w14:paraId="30F7C34E" w14:textId="46EBB922" w:rsidR="00057CC4" w:rsidRDefault="00FA0A99" w:rsidP="00B901A2">
      <w:pPr>
        <w:spacing w:after="0" w:line="240" w:lineRule="auto"/>
        <w:rPr>
          <w:b/>
          <w:bCs/>
          <w:sz w:val="24"/>
          <w:szCs w:val="24"/>
        </w:rPr>
      </w:pPr>
      <w:r w:rsidRPr="005F07C5">
        <w:rPr>
          <w:b/>
          <w:bCs/>
          <w:sz w:val="24"/>
          <w:szCs w:val="24"/>
        </w:rPr>
        <w:t>Revenue</w:t>
      </w:r>
    </w:p>
    <w:p w14:paraId="4A7FD77A" w14:textId="70E06E8B" w:rsidR="00FB2444" w:rsidRPr="007D4621" w:rsidRDefault="007D4621" w:rsidP="00B901A2">
      <w:pPr>
        <w:spacing w:after="0" w:line="240" w:lineRule="auto"/>
        <w:rPr>
          <w:sz w:val="24"/>
          <w:szCs w:val="24"/>
        </w:rPr>
      </w:pPr>
      <w:r>
        <w:rPr>
          <w:sz w:val="24"/>
          <w:szCs w:val="24"/>
        </w:rPr>
        <w:t>CPA reports that ~ 91% of revenue is derived from Net Patient Service Revenue (NPSR).</w:t>
      </w:r>
      <w:r>
        <w:rPr>
          <w:rStyle w:val="FootnoteReference"/>
          <w:sz w:val="24"/>
          <w:szCs w:val="24"/>
        </w:rPr>
        <w:footnoteReference w:id="36"/>
      </w:r>
      <w:r>
        <w:rPr>
          <w:sz w:val="24"/>
          <w:szCs w:val="24"/>
        </w:rPr>
        <w:t xml:space="preserve"> </w:t>
      </w:r>
      <w:r w:rsidR="00E10AEE">
        <w:rPr>
          <w:sz w:val="24"/>
          <w:szCs w:val="24"/>
        </w:rPr>
        <w:t>NPSR is projected to increase between 2.7% and 4.5% annually over the projection period which the CPA states is within range of historical growth of 6.9% in FY2017, 7.6% in FY2018, 4% in FY2019 and 0.8% in FY20. Growth in NPSR in the projections is attribute</w:t>
      </w:r>
      <w:r w:rsidR="00F20336">
        <w:rPr>
          <w:sz w:val="24"/>
          <w:szCs w:val="24"/>
        </w:rPr>
        <w:t>d</w:t>
      </w:r>
      <w:r w:rsidR="00E10AEE">
        <w:rPr>
          <w:sz w:val="24"/>
          <w:szCs w:val="24"/>
        </w:rPr>
        <w:t xml:space="preserve"> to 1) FY21 Board approved Budget reflecting a higher level of growth resulting from a recovering in volume from COVID levels, additional growth in service, and improvements in revenue cycle manage</w:t>
      </w:r>
      <w:r w:rsidR="00941961">
        <w:rPr>
          <w:sz w:val="24"/>
          <w:szCs w:val="24"/>
        </w:rPr>
        <w:t>ment</w:t>
      </w:r>
      <w:r w:rsidR="00F61AF1">
        <w:rPr>
          <w:sz w:val="24"/>
          <w:szCs w:val="24"/>
        </w:rPr>
        <w:t>;</w:t>
      </w:r>
      <w:r w:rsidR="00E10AEE">
        <w:rPr>
          <w:sz w:val="24"/>
          <w:szCs w:val="24"/>
        </w:rPr>
        <w:t xml:space="preserve"> 2) FY2022-FY2029 reflects rate adjustments (governmental, non-Blue Cross commercial rate adjustments, and Blue Cross commercial rate adjustments)</w:t>
      </w:r>
      <w:r w:rsidR="00F61AF1">
        <w:rPr>
          <w:sz w:val="24"/>
          <w:szCs w:val="24"/>
        </w:rPr>
        <w:t>;</w:t>
      </w:r>
      <w:r w:rsidR="00E10AEE">
        <w:rPr>
          <w:sz w:val="24"/>
          <w:szCs w:val="24"/>
        </w:rPr>
        <w:t xml:space="preserve"> and 3) incremental revenue related to the Proposed Project (FY2025-FY2029) related to an increase in procedures</w:t>
      </w:r>
      <w:r w:rsidR="003169BE">
        <w:rPr>
          <w:sz w:val="24"/>
          <w:szCs w:val="24"/>
        </w:rPr>
        <w:t xml:space="preserve"> which overall are expected to increase 49% from FY2019 levels, which the CPA states is consistent with a 50% </w:t>
      </w:r>
      <w:r w:rsidR="003169BE">
        <w:rPr>
          <w:sz w:val="24"/>
          <w:szCs w:val="24"/>
        </w:rPr>
        <w:lastRenderedPageBreak/>
        <w:t>increase in the number of ORs</w:t>
      </w:r>
      <w:r w:rsidR="00E10AEE">
        <w:rPr>
          <w:sz w:val="24"/>
          <w:szCs w:val="24"/>
        </w:rPr>
        <w:t>).</w:t>
      </w:r>
      <w:r w:rsidR="009C5683">
        <w:rPr>
          <w:rStyle w:val="FootnoteReference"/>
          <w:sz w:val="24"/>
          <w:szCs w:val="24"/>
        </w:rPr>
        <w:footnoteReference w:id="37"/>
      </w:r>
      <w:r w:rsidR="004B419B">
        <w:rPr>
          <w:sz w:val="24"/>
          <w:szCs w:val="24"/>
        </w:rPr>
        <w:t xml:space="preserve"> Other revenue is projected to grow 0.8% in FY2021 and remain flat for the remainder of the projection period and this is within the historical range of actual growth (-0.1% to 71.8% from FY2017 to FY2020). </w:t>
      </w:r>
      <w:r w:rsidR="00446E41">
        <w:rPr>
          <w:sz w:val="24"/>
          <w:szCs w:val="24"/>
        </w:rPr>
        <w:t>The nine</w:t>
      </w:r>
      <w:r w:rsidR="006C0C1E">
        <w:rPr>
          <w:sz w:val="24"/>
          <w:szCs w:val="24"/>
        </w:rPr>
        <w:t>-</w:t>
      </w:r>
      <w:r w:rsidR="00446E41">
        <w:rPr>
          <w:sz w:val="24"/>
          <w:szCs w:val="24"/>
        </w:rPr>
        <w:t xml:space="preserve">year </w:t>
      </w:r>
      <w:r w:rsidR="00941961">
        <w:rPr>
          <w:sz w:val="24"/>
          <w:szCs w:val="24"/>
        </w:rPr>
        <w:t>compound annual growth rate (</w:t>
      </w:r>
      <w:r w:rsidR="00446E41">
        <w:rPr>
          <w:sz w:val="24"/>
          <w:szCs w:val="24"/>
        </w:rPr>
        <w:t>CAGR</w:t>
      </w:r>
      <w:r w:rsidR="00941961">
        <w:rPr>
          <w:sz w:val="24"/>
          <w:szCs w:val="24"/>
        </w:rPr>
        <w:t>)</w:t>
      </w:r>
      <w:r w:rsidR="00446E41">
        <w:rPr>
          <w:sz w:val="24"/>
          <w:szCs w:val="24"/>
        </w:rPr>
        <w:t xml:space="preserve"> for total operating </w:t>
      </w:r>
      <w:r w:rsidR="00EB7439">
        <w:rPr>
          <w:sz w:val="24"/>
          <w:szCs w:val="24"/>
        </w:rPr>
        <w:t>revenue</w:t>
      </w:r>
      <w:r w:rsidR="00446E41">
        <w:rPr>
          <w:sz w:val="24"/>
          <w:szCs w:val="24"/>
        </w:rPr>
        <w:t xml:space="preserve"> in the Projections of 4% is below </w:t>
      </w:r>
      <w:r w:rsidR="00EB7439">
        <w:rPr>
          <w:sz w:val="24"/>
          <w:szCs w:val="24"/>
        </w:rPr>
        <w:t>Heywood’s</w:t>
      </w:r>
      <w:r w:rsidR="00446E41">
        <w:rPr>
          <w:sz w:val="24"/>
          <w:szCs w:val="24"/>
        </w:rPr>
        <w:t xml:space="preserve"> revenue growth rate in prior four fiscal years (FY2017-FY2020). The C</w:t>
      </w:r>
      <w:r w:rsidR="000649A6">
        <w:rPr>
          <w:sz w:val="24"/>
          <w:szCs w:val="24"/>
        </w:rPr>
        <w:t>P</w:t>
      </w:r>
      <w:r w:rsidR="00446E41">
        <w:rPr>
          <w:sz w:val="24"/>
          <w:szCs w:val="24"/>
        </w:rPr>
        <w:t xml:space="preserve">A found the projected revenue growth to be reasonable and feasible for Heywood. </w:t>
      </w:r>
    </w:p>
    <w:p w14:paraId="2F775615" w14:textId="77777777" w:rsidR="00B901A2" w:rsidRDefault="00B901A2" w:rsidP="00B901A2">
      <w:pPr>
        <w:spacing w:after="0" w:line="240" w:lineRule="auto"/>
        <w:rPr>
          <w:b/>
          <w:bCs/>
          <w:sz w:val="24"/>
          <w:szCs w:val="24"/>
        </w:rPr>
      </w:pPr>
    </w:p>
    <w:p w14:paraId="75A6C87A" w14:textId="102E2160" w:rsidR="005B0D40" w:rsidRDefault="00953E98" w:rsidP="00B901A2">
      <w:pPr>
        <w:spacing w:after="0" w:line="240" w:lineRule="auto"/>
        <w:rPr>
          <w:b/>
          <w:bCs/>
          <w:sz w:val="24"/>
          <w:szCs w:val="24"/>
        </w:rPr>
      </w:pPr>
      <w:r w:rsidRPr="005F07C5">
        <w:rPr>
          <w:b/>
          <w:bCs/>
          <w:sz w:val="24"/>
          <w:szCs w:val="24"/>
        </w:rPr>
        <w:t>Operating Expenses</w:t>
      </w:r>
    </w:p>
    <w:p w14:paraId="2BF1ED6A" w14:textId="09F42B51" w:rsidR="00912D73" w:rsidRPr="003717A5" w:rsidRDefault="003717A5" w:rsidP="00B901A2">
      <w:pPr>
        <w:spacing w:after="0" w:line="240" w:lineRule="auto"/>
        <w:rPr>
          <w:sz w:val="24"/>
          <w:szCs w:val="24"/>
        </w:rPr>
      </w:pPr>
      <w:r>
        <w:rPr>
          <w:sz w:val="24"/>
          <w:szCs w:val="24"/>
        </w:rPr>
        <w:t xml:space="preserve">Operating expenses included in the analysis are salaries, employee benefits, supplies, professional fees and purchased services, state taxes, interest, and depreciation and </w:t>
      </w:r>
      <w:r w:rsidR="00A614E1">
        <w:rPr>
          <w:sz w:val="24"/>
          <w:szCs w:val="24"/>
        </w:rPr>
        <w:t>amortization</w:t>
      </w:r>
      <w:r>
        <w:rPr>
          <w:sz w:val="24"/>
          <w:szCs w:val="24"/>
        </w:rPr>
        <w:t xml:space="preserve">. Salaries accounted for ~50% of total operating expenses, supplies accounted for 12% and professional fees and purchased services accounted for ~23% throughout the projection period. Salaries are based on Board approved budget, </w:t>
      </w:r>
      <w:r w:rsidR="00337D54">
        <w:rPr>
          <w:sz w:val="24"/>
          <w:szCs w:val="24"/>
        </w:rPr>
        <w:t xml:space="preserve">and </w:t>
      </w:r>
      <w:r>
        <w:rPr>
          <w:sz w:val="24"/>
          <w:szCs w:val="24"/>
        </w:rPr>
        <w:t>represent a 17.9% growth since FY2020</w:t>
      </w:r>
      <w:r w:rsidR="008F310F">
        <w:rPr>
          <w:sz w:val="24"/>
          <w:szCs w:val="24"/>
        </w:rPr>
        <w:t xml:space="preserve"> and will grow 2.75</w:t>
      </w:r>
      <w:r w:rsidR="00F61AF1">
        <w:rPr>
          <w:sz w:val="24"/>
          <w:szCs w:val="24"/>
        </w:rPr>
        <w:t>%</w:t>
      </w:r>
      <w:r w:rsidR="008F310F">
        <w:rPr>
          <w:sz w:val="24"/>
          <w:szCs w:val="24"/>
        </w:rPr>
        <w:t xml:space="preserve"> annually from FY2022 to FY2029. Projected growth in </w:t>
      </w:r>
      <w:r w:rsidR="00A614E1">
        <w:rPr>
          <w:sz w:val="24"/>
          <w:szCs w:val="24"/>
        </w:rPr>
        <w:t>salaries</w:t>
      </w:r>
      <w:r w:rsidR="008F310F">
        <w:rPr>
          <w:sz w:val="24"/>
          <w:szCs w:val="24"/>
        </w:rPr>
        <w:t xml:space="preserve"> falls within </w:t>
      </w:r>
      <w:r w:rsidR="00A614E1">
        <w:rPr>
          <w:sz w:val="24"/>
          <w:szCs w:val="24"/>
        </w:rPr>
        <w:t>historical</w:t>
      </w:r>
      <w:r w:rsidR="008F310F">
        <w:rPr>
          <w:sz w:val="24"/>
          <w:szCs w:val="24"/>
        </w:rPr>
        <w:t xml:space="preserve"> ranges (2.7% to 8.3% from FY2017 to FY2020) and in FY2025 salary increase</w:t>
      </w:r>
      <w:r w:rsidR="00337D54">
        <w:rPr>
          <w:sz w:val="24"/>
          <w:szCs w:val="24"/>
        </w:rPr>
        <w:t>s</w:t>
      </w:r>
      <w:r w:rsidR="008F310F">
        <w:rPr>
          <w:sz w:val="24"/>
          <w:szCs w:val="24"/>
        </w:rPr>
        <w:t xml:space="preserve"> reflect the hiring of six additional FTS for </w:t>
      </w:r>
      <w:r w:rsidR="00A614E1">
        <w:rPr>
          <w:sz w:val="24"/>
          <w:szCs w:val="24"/>
        </w:rPr>
        <w:t>gastrointestinal</w:t>
      </w:r>
      <w:r w:rsidR="008F310F">
        <w:rPr>
          <w:sz w:val="24"/>
          <w:szCs w:val="24"/>
        </w:rPr>
        <w:t xml:space="preserve"> surgeries and a reduction of two FTEs related to efficiencies gain in having </w:t>
      </w:r>
      <w:r w:rsidR="00337D54">
        <w:rPr>
          <w:sz w:val="24"/>
          <w:szCs w:val="24"/>
        </w:rPr>
        <w:t xml:space="preserve">a </w:t>
      </w:r>
      <w:r w:rsidR="008F310F">
        <w:rPr>
          <w:sz w:val="24"/>
          <w:szCs w:val="24"/>
        </w:rPr>
        <w:t>suite accommodating both inpatient and outpatient surgery. Supplies in FY2021 are based on the Board approved budget, representing a growth in supplies of 12.3% from FY2020, and a 2% growth annually from FY2022 to FY2029</w:t>
      </w:r>
      <w:r w:rsidR="00337D54">
        <w:rPr>
          <w:sz w:val="24"/>
          <w:szCs w:val="24"/>
        </w:rPr>
        <w:t>.</w:t>
      </w:r>
      <w:r w:rsidR="008F310F">
        <w:rPr>
          <w:sz w:val="24"/>
          <w:szCs w:val="24"/>
        </w:rPr>
        <w:t xml:space="preserve"> </w:t>
      </w:r>
      <w:r w:rsidR="00337D54">
        <w:rPr>
          <w:sz w:val="24"/>
          <w:szCs w:val="24"/>
        </w:rPr>
        <w:t>P</w:t>
      </w:r>
      <w:r w:rsidR="008F310F">
        <w:rPr>
          <w:sz w:val="24"/>
          <w:szCs w:val="24"/>
        </w:rPr>
        <w:t xml:space="preserve">rojected growth in supplies falls within historical growth (-5% to 12.9% from FY2017 to FY2019 excluding FY2020). Professional fees and purchased services in FY2021 are based on the Board approved budget, and represent a growth of 15.7% from FY2020, and 2% growth annually from FY2022 through FY2029. </w:t>
      </w:r>
      <w:r w:rsidR="00337D54">
        <w:rPr>
          <w:sz w:val="24"/>
          <w:szCs w:val="24"/>
        </w:rPr>
        <w:t xml:space="preserve"> The </w:t>
      </w:r>
      <w:r w:rsidR="008F310F">
        <w:rPr>
          <w:sz w:val="24"/>
          <w:szCs w:val="24"/>
        </w:rPr>
        <w:t xml:space="preserve">CPA found the operating expenses projected to be based on reasonable assumptions and feasible for the Applicant. </w:t>
      </w:r>
    </w:p>
    <w:p w14:paraId="3C38B2E8" w14:textId="77777777" w:rsidR="00B901A2" w:rsidRDefault="00B901A2" w:rsidP="00B901A2">
      <w:pPr>
        <w:spacing w:after="0" w:line="240" w:lineRule="auto"/>
        <w:rPr>
          <w:b/>
          <w:bCs/>
          <w:sz w:val="24"/>
          <w:szCs w:val="24"/>
        </w:rPr>
      </w:pPr>
    </w:p>
    <w:p w14:paraId="554EC212" w14:textId="58E74B18" w:rsidR="00573EE7" w:rsidRDefault="008F310F" w:rsidP="00B901A2">
      <w:pPr>
        <w:spacing w:after="0" w:line="240" w:lineRule="auto"/>
        <w:rPr>
          <w:b/>
          <w:bCs/>
          <w:sz w:val="24"/>
          <w:szCs w:val="24"/>
        </w:rPr>
      </w:pPr>
      <w:r>
        <w:rPr>
          <w:b/>
          <w:bCs/>
          <w:sz w:val="24"/>
          <w:szCs w:val="24"/>
        </w:rPr>
        <w:t>Shortfall Gap Closure</w:t>
      </w:r>
    </w:p>
    <w:p w14:paraId="169A2F14" w14:textId="2B0DBD4A" w:rsidR="001827F2" w:rsidRDefault="008B7B00" w:rsidP="00B901A2">
      <w:pPr>
        <w:spacing w:after="0" w:line="240" w:lineRule="auto"/>
        <w:rPr>
          <w:b/>
          <w:bCs/>
          <w:sz w:val="24"/>
          <w:szCs w:val="24"/>
        </w:rPr>
      </w:pPr>
      <w:r>
        <w:rPr>
          <w:sz w:val="24"/>
          <w:szCs w:val="24"/>
        </w:rPr>
        <w:t>The f</w:t>
      </w:r>
      <w:r w:rsidR="00F503F2">
        <w:rPr>
          <w:sz w:val="24"/>
          <w:szCs w:val="24"/>
        </w:rPr>
        <w:t>inancial forecast includes a shortfall gap closure for FY2022 through FY2024. The short</w:t>
      </w:r>
      <w:r w:rsidR="00250986">
        <w:rPr>
          <w:sz w:val="24"/>
          <w:szCs w:val="24"/>
        </w:rPr>
        <w:t>f</w:t>
      </w:r>
      <w:r w:rsidR="00F503F2">
        <w:rPr>
          <w:sz w:val="24"/>
          <w:szCs w:val="24"/>
        </w:rPr>
        <w:t xml:space="preserve">all reflects future initiatives and strategic plans not yet identified and therefore not allocable to detailed line items in the income statement. </w:t>
      </w:r>
      <w:r>
        <w:rPr>
          <w:sz w:val="24"/>
          <w:szCs w:val="24"/>
        </w:rPr>
        <w:t xml:space="preserve">The CPA report states that the </w:t>
      </w:r>
      <w:r w:rsidR="00F503F2">
        <w:rPr>
          <w:sz w:val="24"/>
          <w:szCs w:val="24"/>
        </w:rPr>
        <w:t xml:space="preserve">Applicant undergoes this process as part of its regular forecasting. The CPA found that based on Applicant’s actual operating income and budget for the prior two years and </w:t>
      </w:r>
      <w:r>
        <w:rPr>
          <w:sz w:val="24"/>
          <w:szCs w:val="24"/>
        </w:rPr>
        <w:t>year-t</w:t>
      </w:r>
      <w:r w:rsidR="00F61AF1">
        <w:rPr>
          <w:sz w:val="24"/>
          <w:szCs w:val="24"/>
        </w:rPr>
        <w:t>o</w:t>
      </w:r>
      <w:r>
        <w:rPr>
          <w:sz w:val="24"/>
          <w:szCs w:val="24"/>
        </w:rPr>
        <w:t>-date (</w:t>
      </w:r>
      <w:r w:rsidR="00F503F2">
        <w:rPr>
          <w:sz w:val="24"/>
          <w:szCs w:val="24"/>
        </w:rPr>
        <w:t>YTD</w:t>
      </w:r>
      <w:r>
        <w:rPr>
          <w:sz w:val="24"/>
          <w:szCs w:val="24"/>
        </w:rPr>
        <w:t>)</w:t>
      </w:r>
      <w:r w:rsidR="00F503F2">
        <w:rPr>
          <w:sz w:val="24"/>
          <w:szCs w:val="24"/>
        </w:rPr>
        <w:t xml:space="preserve"> period, the Applicant will continue to close the shortfall gaps in the Projections.</w:t>
      </w:r>
      <w:r w:rsidR="00DC051D">
        <w:rPr>
          <w:b/>
          <w:bCs/>
          <w:sz w:val="24"/>
          <w:szCs w:val="24"/>
        </w:rPr>
        <w:t xml:space="preserve"> </w:t>
      </w:r>
    </w:p>
    <w:p w14:paraId="155E0B48" w14:textId="3F8B0FA0" w:rsidR="005B0D40" w:rsidRDefault="00953E98" w:rsidP="00B901A2">
      <w:pPr>
        <w:spacing w:after="0" w:line="240" w:lineRule="auto"/>
        <w:rPr>
          <w:b/>
          <w:bCs/>
          <w:sz w:val="24"/>
          <w:szCs w:val="24"/>
        </w:rPr>
      </w:pPr>
      <w:r w:rsidRPr="005F07C5">
        <w:rPr>
          <w:b/>
          <w:bCs/>
          <w:sz w:val="24"/>
          <w:szCs w:val="24"/>
        </w:rPr>
        <w:t>Capital Expenditures and Cash Flows</w:t>
      </w:r>
    </w:p>
    <w:p w14:paraId="416F3738" w14:textId="71634F37" w:rsidR="009D3992" w:rsidRDefault="009D3992" w:rsidP="00B901A2">
      <w:pPr>
        <w:spacing w:after="0" w:line="240" w:lineRule="auto"/>
        <w:rPr>
          <w:sz w:val="24"/>
          <w:szCs w:val="24"/>
        </w:rPr>
      </w:pPr>
      <w:r>
        <w:rPr>
          <w:sz w:val="24"/>
          <w:szCs w:val="24"/>
        </w:rPr>
        <w:t>The CPA reviewed the project costs within the Projections as well as supporting documentation</w:t>
      </w:r>
      <w:r w:rsidR="00EB147A">
        <w:rPr>
          <w:sz w:val="24"/>
          <w:szCs w:val="24"/>
        </w:rPr>
        <w:t xml:space="preserve"> (representing ~75% of the total </w:t>
      </w:r>
      <w:r w:rsidR="00CD6B80">
        <w:rPr>
          <w:sz w:val="24"/>
          <w:szCs w:val="24"/>
        </w:rPr>
        <w:t>maximum capital expe</w:t>
      </w:r>
      <w:r w:rsidR="005445E0">
        <w:rPr>
          <w:sz w:val="24"/>
          <w:szCs w:val="24"/>
        </w:rPr>
        <w:t>n</w:t>
      </w:r>
      <w:r w:rsidR="00CD6B80">
        <w:rPr>
          <w:sz w:val="24"/>
          <w:szCs w:val="24"/>
        </w:rPr>
        <w:t>diture</w:t>
      </w:r>
      <w:r w:rsidR="005445E0">
        <w:rPr>
          <w:sz w:val="24"/>
          <w:szCs w:val="24"/>
        </w:rPr>
        <w:t>(MCE)</w:t>
      </w:r>
      <w:r w:rsidR="00EB147A">
        <w:rPr>
          <w:sz w:val="24"/>
          <w:szCs w:val="24"/>
        </w:rPr>
        <w:t>)</w:t>
      </w:r>
      <w:r>
        <w:rPr>
          <w:sz w:val="24"/>
          <w:szCs w:val="24"/>
        </w:rPr>
        <w:t xml:space="preserve"> </w:t>
      </w:r>
      <w:r w:rsidR="006F1289">
        <w:rPr>
          <w:sz w:val="24"/>
          <w:szCs w:val="24"/>
        </w:rPr>
        <w:t xml:space="preserve">making </w:t>
      </w:r>
      <w:r>
        <w:rPr>
          <w:sz w:val="24"/>
          <w:szCs w:val="24"/>
        </w:rPr>
        <w:t xml:space="preserve">up the total </w:t>
      </w:r>
      <w:r w:rsidR="00591B04">
        <w:rPr>
          <w:sz w:val="24"/>
          <w:szCs w:val="24"/>
        </w:rPr>
        <w:t>MCE</w:t>
      </w:r>
      <w:r>
        <w:rPr>
          <w:sz w:val="24"/>
          <w:szCs w:val="24"/>
        </w:rPr>
        <w:t xml:space="preserve">, which included an estimate from Consigli related to </w:t>
      </w:r>
      <w:r w:rsidR="00A614E1">
        <w:rPr>
          <w:sz w:val="24"/>
          <w:szCs w:val="24"/>
        </w:rPr>
        <w:t>construction</w:t>
      </w:r>
      <w:r>
        <w:rPr>
          <w:sz w:val="24"/>
          <w:szCs w:val="24"/>
        </w:rPr>
        <w:t xml:space="preserve"> costs</w:t>
      </w:r>
      <w:r w:rsidR="00EB147A">
        <w:rPr>
          <w:sz w:val="24"/>
          <w:szCs w:val="24"/>
        </w:rPr>
        <w:t xml:space="preserve"> which was revised in June 2021 to reflect the increase in price of construction materials following the COVID-19 pandemic</w:t>
      </w:r>
      <w:r w:rsidR="00250986">
        <w:rPr>
          <w:sz w:val="24"/>
          <w:szCs w:val="24"/>
        </w:rPr>
        <w:t>, and an estimate of interest from Waterstone properties. The CPA also reviewed the proposed financing of the project</w:t>
      </w:r>
      <w:r w:rsidR="00DC3510">
        <w:rPr>
          <w:sz w:val="24"/>
          <w:szCs w:val="24"/>
        </w:rPr>
        <w:t xml:space="preserve">. </w:t>
      </w:r>
      <w:r w:rsidR="00250986">
        <w:rPr>
          <w:sz w:val="24"/>
          <w:szCs w:val="24"/>
        </w:rPr>
        <w:t xml:space="preserve">The Applicant’s Board of Trustees approved </w:t>
      </w:r>
      <w:r w:rsidR="006555A3">
        <w:rPr>
          <w:sz w:val="24"/>
          <w:szCs w:val="24"/>
        </w:rPr>
        <w:t>an</w:t>
      </w:r>
      <w:r w:rsidR="00DC3510">
        <w:rPr>
          <w:sz w:val="24"/>
          <w:szCs w:val="24"/>
        </w:rPr>
        <w:t xml:space="preserve"> </w:t>
      </w:r>
      <w:r w:rsidR="00250986">
        <w:rPr>
          <w:sz w:val="24"/>
          <w:szCs w:val="24"/>
        </w:rPr>
        <w:t>MCE</w:t>
      </w:r>
      <w:r w:rsidR="00332371">
        <w:rPr>
          <w:sz w:val="24"/>
          <w:szCs w:val="24"/>
        </w:rPr>
        <w:t xml:space="preserve"> of</w:t>
      </w:r>
      <w:r w:rsidR="00250986">
        <w:rPr>
          <w:sz w:val="24"/>
          <w:szCs w:val="24"/>
        </w:rPr>
        <w:t xml:space="preserve"> 35M </w:t>
      </w:r>
      <w:r w:rsidR="00092167">
        <w:rPr>
          <w:sz w:val="24"/>
          <w:szCs w:val="24"/>
        </w:rPr>
        <w:t>on</w:t>
      </w:r>
      <w:r w:rsidR="00250986">
        <w:rPr>
          <w:sz w:val="24"/>
          <w:szCs w:val="24"/>
        </w:rPr>
        <w:t xml:space="preserve"> January</w:t>
      </w:r>
      <w:r w:rsidR="00A614E1">
        <w:rPr>
          <w:sz w:val="24"/>
          <w:szCs w:val="24"/>
        </w:rPr>
        <w:t xml:space="preserve"> </w:t>
      </w:r>
      <w:r w:rsidR="00250986">
        <w:rPr>
          <w:sz w:val="24"/>
          <w:szCs w:val="24"/>
        </w:rPr>
        <w:t xml:space="preserve">21, </w:t>
      </w:r>
      <w:r w:rsidR="00092167">
        <w:rPr>
          <w:sz w:val="24"/>
          <w:szCs w:val="24"/>
        </w:rPr>
        <w:t>2021,</w:t>
      </w:r>
      <w:r w:rsidR="00250986">
        <w:rPr>
          <w:sz w:val="24"/>
          <w:szCs w:val="24"/>
        </w:rPr>
        <w:t xml:space="preserve"> and costs in excess of the previously approved Board amount will be </w:t>
      </w:r>
      <w:r w:rsidR="00250986">
        <w:rPr>
          <w:sz w:val="24"/>
          <w:szCs w:val="24"/>
        </w:rPr>
        <w:lastRenderedPageBreak/>
        <w:t xml:space="preserve">funded through the applicant’s cash and expect to be approved. The cash required to meet the revised MCE of 38M is included within the cash </w:t>
      </w:r>
      <w:r w:rsidR="008B7B00">
        <w:rPr>
          <w:sz w:val="24"/>
          <w:szCs w:val="24"/>
        </w:rPr>
        <w:t>f</w:t>
      </w:r>
      <w:r w:rsidR="00250986">
        <w:rPr>
          <w:sz w:val="24"/>
          <w:szCs w:val="24"/>
        </w:rPr>
        <w:t xml:space="preserve">lows of the Projections. The Applicant has entered into lease over a 30-year term with Waterstone Properties Group, Inc. to construct the surgical pavilion. No debt </w:t>
      </w:r>
      <w:r w:rsidR="00A614E1">
        <w:rPr>
          <w:sz w:val="24"/>
          <w:szCs w:val="24"/>
        </w:rPr>
        <w:t>financing</w:t>
      </w:r>
      <w:r w:rsidR="00250986">
        <w:rPr>
          <w:sz w:val="24"/>
          <w:szCs w:val="24"/>
        </w:rPr>
        <w:t xml:space="preserve"> is anticipate</w:t>
      </w:r>
      <w:r w:rsidR="00A614E1">
        <w:rPr>
          <w:sz w:val="24"/>
          <w:szCs w:val="24"/>
        </w:rPr>
        <w:t>d</w:t>
      </w:r>
      <w:r w:rsidR="00250986">
        <w:rPr>
          <w:sz w:val="24"/>
          <w:szCs w:val="24"/>
        </w:rPr>
        <w:t xml:space="preserve">. </w:t>
      </w:r>
    </w:p>
    <w:p w14:paraId="09E2D889" w14:textId="77777777" w:rsidR="00942948" w:rsidRDefault="00942948" w:rsidP="00B901A2">
      <w:pPr>
        <w:spacing w:after="0" w:line="240" w:lineRule="auto"/>
        <w:rPr>
          <w:sz w:val="24"/>
          <w:szCs w:val="24"/>
        </w:rPr>
      </w:pPr>
    </w:p>
    <w:p w14:paraId="373C5D9F" w14:textId="780AE23E" w:rsidR="005B0D40" w:rsidRDefault="00953E98" w:rsidP="00B901A2">
      <w:pPr>
        <w:spacing w:after="0" w:line="240" w:lineRule="auto"/>
        <w:rPr>
          <w:b/>
          <w:bCs/>
          <w:sz w:val="24"/>
          <w:szCs w:val="24"/>
        </w:rPr>
      </w:pPr>
      <w:r w:rsidRPr="005F07C5">
        <w:rPr>
          <w:b/>
          <w:bCs/>
          <w:sz w:val="24"/>
          <w:szCs w:val="24"/>
        </w:rPr>
        <w:t>CPA’s Conclusion of Feasibility</w:t>
      </w:r>
    </w:p>
    <w:p w14:paraId="23B15C58" w14:textId="3AC653F5" w:rsidR="005038CE" w:rsidRDefault="00DB352E" w:rsidP="007471AD">
      <w:pPr>
        <w:spacing w:after="0" w:line="240" w:lineRule="auto"/>
        <w:rPr>
          <w:sz w:val="24"/>
          <w:szCs w:val="24"/>
        </w:rPr>
      </w:pPr>
      <w:r>
        <w:rPr>
          <w:sz w:val="24"/>
          <w:szCs w:val="24"/>
        </w:rPr>
        <w:t xml:space="preserve">The Projections exhibit </w:t>
      </w:r>
      <w:r w:rsidR="00092167">
        <w:rPr>
          <w:sz w:val="24"/>
          <w:szCs w:val="24"/>
        </w:rPr>
        <w:t>cumulative operating earnings</w:t>
      </w:r>
      <w:r w:rsidR="008B7B00">
        <w:rPr>
          <w:sz w:val="24"/>
          <w:szCs w:val="24"/>
        </w:rPr>
        <w:t xml:space="preserve"> before interest, taxes, and amortization (</w:t>
      </w:r>
      <w:r>
        <w:rPr>
          <w:sz w:val="24"/>
          <w:szCs w:val="24"/>
        </w:rPr>
        <w:t>EBIT</w:t>
      </w:r>
      <w:r w:rsidR="008D45F3">
        <w:rPr>
          <w:sz w:val="24"/>
          <w:szCs w:val="24"/>
        </w:rPr>
        <w:t>D</w:t>
      </w:r>
      <w:r>
        <w:rPr>
          <w:sz w:val="24"/>
          <w:szCs w:val="24"/>
        </w:rPr>
        <w:t>A</w:t>
      </w:r>
      <w:r w:rsidR="0023105F">
        <w:rPr>
          <w:sz w:val="24"/>
          <w:szCs w:val="24"/>
        </w:rPr>
        <w:t>)</w:t>
      </w:r>
      <w:r>
        <w:rPr>
          <w:sz w:val="24"/>
          <w:szCs w:val="24"/>
        </w:rPr>
        <w:t xml:space="preserve"> surplus of ~6% of cumulative projected revenue for Heywood for FY2021-29</w:t>
      </w:r>
      <w:r w:rsidR="005038CE">
        <w:rPr>
          <w:sz w:val="24"/>
          <w:szCs w:val="24"/>
        </w:rPr>
        <w:t xml:space="preserve">, which the CPA found to be reasonable and feasible. </w:t>
      </w:r>
      <w:r w:rsidR="007471AD">
        <w:rPr>
          <w:sz w:val="24"/>
          <w:szCs w:val="24"/>
        </w:rPr>
        <w:t xml:space="preserve"> </w:t>
      </w:r>
      <w:r w:rsidR="005038CE">
        <w:rPr>
          <w:sz w:val="24"/>
          <w:szCs w:val="24"/>
        </w:rPr>
        <w:t>The CPA determined that “the Projections are reasonable and feasible and not likely to have a negative impact on the Patient Panel</w:t>
      </w:r>
      <w:r w:rsidR="00250986">
        <w:rPr>
          <w:sz w:val="24"/>
          <w:szCs w:val="24"/>
        </w:rPr>
        <w:t xml:space="preserve"> or result in the liquidation of Heywood</w:t>
      </w:r>
      <w:r w:rsidR="005038CE">
        <w:rPr>
          <w:sz w:val="24"/>
          <w:szCs w:val="24"/>
        </w:rPr>
        <w:t>.”</w:t>
      </w:r>
    </w:p>
    <w:p w14:paraId="5DF084D0" w14:textId="0F3B4B2A" w:rsidR="00C54135" w:rsidRDefault="00C54135" w:rsidP="005F07C5">
      <w:pPr>
        <w:spacing w:line="240" w:lineRule="auto"/>
        <w:rPr>
          <w:sz w:val="24"/>
          <w:szCs w:val="24"/>
        </w:rPr>
      </w:pPr>
    </w:p>
    <w:p w14:paraId="71CC8064" w14:textId="0ED4443D" w:rsidR="00953E98" w:rsidRPr="005F07C5" w:rsidRDefault="00953E98" w:rsidP="005F07C5">
      <w:pPr>
        <w:spacing w:after="0" w:line="240" w:lineRule="auto"/>
        <w:rPr>
          <w:b/>
          <w:bCs/>
          <w:i/>
          <w:iCs/>
          <w:sz w:val="24"/>
          <w:szCs w:val="24"/>
        </w:rPr>
      </w:pPr>
      <w:r w:rsidRPr="005F07C5">
        <w:rPr>
          <w:b/>
          <w:bCs/>
          <w:i/>
          <w:iCs/>
          <w:sz w:val="24"/>
          <w:szCs w:val="24"/>
        </w:rPr>
        <w:t xml:space="preserve">Analysis </w:t>
      </w:r>
    </w:p>
    <w:p w14:paraId="558E8B73" w14:textId="77777777" w:rsidR="0012183F" w:rsidRPr="0012183F" w:rsidRDefault="0012183F" w:rsidP="003F110D">
      <w:pPr>
        <w:spacing w:line="240" w:lineRule="auto"/>
        <w:rPr>
          <w:rFonts w:cstheme="minorHAnsi"/>
          <w:sz w:val="24"/>
          <w:szCs w:val="24"/>
        </w:rPr>
      </w:pPr>
      <w:r w:rsidRPr="0012183F">
        <w:rPr>
          <w:rFonts w:cstheme="minorHAnsi"/>
          <w:sz w:val="24"/>
          <w:szCs w:val="24"/>
        </w:rPr>
        <w:t>Staff is satisfied with the CPA’s analysis of Applicants decision to proceed with the Proposed Project. As a result, Staff finds the CPA analysis to be acceptable and that the Applicant has met the requirements of Factor 4.</w:t>
      </w:r>
    </w:p>
    <w:p w14:paraId="48A84FDE" w14:textId="48C6B1F7" w:rsidR="00953E98" w:rsidRDefault="00953E98"/>
    <w:p w14:paraId="3449C1AF" w14:textId="076E1A70" w:rsidR="003346C7" w:rsidRPr="003346C7" w:rsidRDefault="003346C7">
      <w:pPr>
        <w:rPr>
          <w:b/>
          <w:bCs/>
          <w:sz w:val="28"/>
          <w:szCs w:val="28"/>
        </w:rPr>
      </w:pPr>
      <w:r w:rsidRPr="003346C7">
        <w:rPr>
          <w:b/>
          <w:bCs/>
          <w:sz w:val="28"/>
          <w:szCs w:val="28"/>
        </w:rPr>
        <w:t xml:space="preserve">Factor 5: Assessment of the Proposed Project’s Relative Merit </w:t>
      </w:r>
    </w:p>
    <w:p w14:paraId="14ADBF75" w14:textId="77777777" w:rsidR="003346C7" w:rsidRPr="005F07C5" w:rsidRDefault="003346C7" w:rsidP="005F07C5">
      <w:pPr>
        <w:spacing w:line="240" w:lineRule="auto"/>
        <w:rPr>
          <w:sz w:val="24"/>
          <w:szCs w:val="24"/>
        </w:rPr>
      </w:pPr>
      <w:r w:rsidRPr="005F07C5">
        <w:rPr>
          <w:sz w:val="24"/>
          <w:szCs w:val="24"/>
        </w:rPr>
        <w:t xml:space="preserve">The Applicant has provided sufficient evidence that the Proposed Project, on balance, is superior to alternative and substitute methods for meeting the existing Patient Panel needs identified by the Applicant pursuant to 105 CMR 100.210(A)(1). Evaluation of 105 CMR 100.210(A)(5) shall take into account, at a minimum, the quality, efficiency, and capital and operating costs of the Proposed Project relative to potential alternatives or substitutes, including alternative evidence-based strategies and public health interventions. </w:t>
      </w:r>
    </w:p>
    <w:p w14:paraId="6DECE518" w14:textId="53E32087" w:rsidR="000B4E69" w:rsidRDefault="003346C7" w:rsidP="00CE361A">
      <w:pPr>
        <w:spacing w:after="0" w:line="240" w:lineRule="auto"/>
        <w:rPr>
          <w:sz w:val="24"/>
          <w:szCs w:val="24"/>
        </w:rPr>
      </w:pPr>
      <w:r w:rsidRPr="005F07C5">
        <w:rPr>
          <w:sz w:val="24"/>
          <w:szCs w:val="24"/>
        </w:rPr>
        <w:t>The Applicant considered and rejected</w:t>
      </w:r>
      <w:r w:rsidR="000B4E69">
        <w:rPr>
          <w:sz w:val="24"/>
          <w:szCs w:val="24"/>
        </w:rPr>
        <w:t xml:space="preserve"> the following alternatives to the Proposed Project because they were </w:t>
      </w:r>
      <w:r w:rsidR="000B4E69" w:rsidRPr="000B4E69">
        <w:rPr>
          <w:sz w:val="24"/>
          <w:szCs w:val="24"/>
        </w:rPr>
        <w:t xml:space="preserve">cost-prohibitive, shorter-term solutions, </w:t>
      </w:r>
      <w:r w:rsidR="00092167">
        <w:rPr>
          <w:sz w:val="24"/>
          <w:szCs w:val="24"/>
        </w:rPr>
        <w:t>which</w:t>
      </w:r>
      <w:r w:rsidR="000B4E69">
        <w:rPr>
          <w:sz w:val="24"/>
          <w:szCs w:val="24"/>
        </w:rPr>
        <w:t xml:space="preserve"> </w:t>
      </w:r>
      <w:r w:rsidR="000B4E69" w:rsidRPr="000B4E69">
        <w:rPr>
          <w:sz w:val="24"/>
          <w:szCs w:val="24"/>
        </w:rPr>
        <w:t>d</w:t>
      </w:r>
      <w:r w:rsidR="00BE0AC7">
        <w:rPr>
          <w:sz w:val="24"/>
          <w:szCs w:val="24"/>
        </w:rPr>
        <w:t xml:space="preserve">id </w:t>
      </w:r>
      <w:r w:rsidR="000B4E69" w:rsidRPr="000B4E69">
        <w:rPr>
          <w:sz w:val="24"/>
          <w:szCs w:val="24"/>
        </w:rPr>
        <w:t xml:space="preserve">not provide </w:t>
      </w:r>
      <w:r w:rsidR="00BE0AC7">
        <w:rPr>
          <w:sz w:val="24"/>
          <w:szCs w:val="24"/>
        </w:rPr>
        <w:t xml:space="preserve">the </w:t>
      </w:r>
      <w:r w:rsidR="000B4E69" w:rsidRPr="000B4E69">
        <w:rPr>
          <w:sz w:val="24"/>
          <w:szCs w:val="24"/>
        </w:rPr>
        <w:t xml:space="preserve">needed physical and </w:t>
      </w:r>
      <w:r w:rsidR="00BE0AC7">
        <w:rPr>
          <w:sz w:val="24"/>
          <w:szCs w:val="24"/>
        </w:rPr>
        <w:t>f</w:t>
      </w:r>
      <w:r w:rsidR="000B4E69" w:rsidRPr="000B4E69">
        <w:rPr>
          <w:sz w:val="24"/>
          <w:szCs w:val="24"/>
        </w:rPr>
        <w:t>iscal efficiencies for best practice of care delivery and patient experience</w:t>
      </w:r>
      <w:r w:rsidR="000B4E69">
        <w:rPr>
          <w:sz w:val="24"/>
          <w:szCs w:val="24"/>
        </w:rPr>
        <w:t>:</w:t>
      </w:r>
    </w:p>
    <w:p w14:paraId="3EFC60D7" w14:textId="53D518DF" w:rsidR="000B4E69" w:rsidRDefault="00391BB2" w:rsidP="00CE361A">
      <w:pPr>
        <w:pStyle w:val="ListParagraph"/>
        <w:numPr>
          <w:ilvl w:val="0"/>
          <w:numId w:val="8"/>
        </w:numPr>
        <w:spacing w:after="0" w:line="240" w:lineRule="auto"/>
        <w:rPr>
          <w:sz w:val="24"/>
          <w:szCs w:val="24"/>
        </w:rPr>
      </w:pPr>
      <w:r w:rsidRPr="00BE0AC7">
        <w:rPr>
          <w:b/>
          <w:bCs/>
          <w:sz w:val="24"/>
          <w:szCs w:val="24"/>
        </w:rPr>
        <w:t>Building a separate building for an ambulatory surgery center</w:t>
      </w:r>
      <w:r w:rsidR="00B901A2" w:rsidRPr="00BE0AC7">
        <w:rPr>
          <w:b/>
          <w:bCs/>
          <w:sz w:val="24"/>
          <w:szCs w:val="24"/>
        </w:rPr>
        <w:t xml:space="preserve"> (ASC)</w:t>
      </w:r>
      <w:r w:rsidR="00BE0AC7" w:rsidRPr="00BE0AC7">
        <w:rPr>
          <w:b/>
          <w:bCs/>
          <w:sz w:val="24"/>
          <w:szCs w:val="24"/>
        </w:rPr>
        <w:t>.</w:t>
      </w:r>
      <w:r w:rsidR="00B901A2">
        <w:rPr>
          <w:sz w:val="24"/>
          <w:szCs w:val="24"/>
        </w:rPr>
        <w:t xml:space="preserve">The Applicant dismissed this alternative because an ASC </w:t>
      </w:r>
      <w:r w:rsidRPr="000B4E69">
        <w:rPr>
          <w:sz w:val="24"/>
          <w:szCs w:val="24"/>
        </w:rPr>
        <w:t xml:space="preserve">would not address surgical needs of inpatients and emergency department patients. </w:t>
      </w:r>
    </w:p>
    <w:p w14:paraId="2BBA454D" w14:textId="35CE10C4" w:rsidR="00391BB2" w:rsidRPr="0040654D" w:rsidRDefault="00391BB2" w:rsidP="00430E8F">
      <w:pPr>
        <w:pStyle w:val="ListParagraph"/>
        <w:numPr>
          <w:ilvl w:val="0"/>
          <w:numId w:val="8"/>
        </w:numPr>
        <w:spacing w:line="240" w:lineRule="auto"/>
        <w:rPr>
          <w:sz w:val="24"/>
          <w:szCs w:val="24"/>
        </w:rPr>
      </w:pPr>
      <w:r w:rsidRPr="00BE0AC7">
        <w:rPr>
          <w:b/>
          <w:bCs/>
          <w:sz w:val="24"/>
          <w:szCs w:val="24"/>
        </w:rPr>
        <w:t xml:space="preserve">Upgrading </w:t>
      </w:r>
      <w:r w:rsidR="00BE0AC7">
        <w:rPr>
          <w:b/>
          <w:bCs/>
          <w:sz w:val="24"/>
          <w:szCs w:val="24"/>
        </w:rPr>
        <w:t xml:space="preserve">the </w:t>
      </w:r>
      <w:r w:rsidRPr="00BE0AC7">
        <w:rPr>
          <w:b/>
          <w:bCs/>
          <w:sz w:val="24"/>
          <w:szCs w:val="24"/>
        </w:rPr>
        <w:t>existing surgical suite</w:t>
      </w:r>
      <w:r w:rsidR="00B901A2" w:rsidRPr="00BE0AC7">
        <w:rPr>
          <w:b/>
          <w:bCs/>
          <w:sz w:val="24"/>
          <w:szCs w:val="24"/>
        </w:rPr>
        <w:t>.</w:t>
      </w:r>
      <w:r w:rsidR="00B901A2">
        <w:rPr>
          <w:sz w:val="24"/>
          <w:szCs w:val="24"/>
        </w:rPr>
        <w:t xml:space="preserve"> The Applicant dismissed this alternative because </w:t>
      </w:r>
      <w:r w:rsidRPr="000B4E69">
        <w:rPr>
          <w:sz w:val="24"/>
          <w:szCs w:val="24"/>
        </w:rPr>
        <w:t>insufficient square footage and lower ceiling heights</w:t>
      </w:r>
      <w:r w:rsidR="000E4A0F">
        <w:rPr>
          <w:sz w:val="24"/>
          <w:szCs w:val="24"/>
        </w:rPr>
        <w:t xml:space="preserve"> </w:t>
      </w:r>
      <w:r w:rsidR="00BF339A">
        <w:rPr>
          <w:sz w:val="24"/>
          <w:szCs w:val="24"/>
        </w:rPr>
        <w:t>would</w:t>
      </w:r>
      <w:r w:rsidR="000E4A0F">
        <w:rPr>
          <w:sz w:val="24"/>
          <w:szCs w:val="24"/>
        </w:rPr>
        <w:t xml:space="preserve"> limit the size and quantity of the</w:t>
      </w:r>
      <w:r w:rsidR="00BF339A">
        <w:rPr>
          <w:sz w:val="24"/>
          <w:szCs w:val="24"/>
        </w:rPr>
        <w:t xml:space="preserve"> ORs, </w:t>
      </w:r>
      <w:r w:rsidR="00EC0004">
        <w:rPr>
          <w:sz w:val="24"/>
          <w:szCs w:val="24"/>
        </w:rPr>
        <w:t>the</w:t>
      </w:r>
      <w:r w:rsidR="000E4A0F">
        <w:rPr>
          <w:sz w:val="24"/>
          <w:szCs w:val="24"/>
        </w:rPr>
        <w:t xml:space="preserve"> ability to implement modern surgical site infection control modalities</w:t>
      </w:r>
      <w:r w:rsidR="00BF339A">
        <w:rPr>
          <w:sz w:val="24"/>
          <w:szCs w:val="24"/>
        </w:rPr>
        <w:t xml:space="preserve">, and improvements to internal </w:t>
      </w:r>
      <w:r w:rsidR="00B64D91">
        <w:rPr>
          <w:sz w:val="24"/>
          <w:szCs w:val="24"/>
        </w:rPr>
        <w:t>workspace</w:t>
      </w:r>
      <w:r w:rsidR="00BF339A">
        <w:rPr>
          <w:sz w:val="24"/>
          <w:szCs w:val="24"/>
        </w:rPr>
        <w:t>.</w:t>
      </w:r>
      <w:r w:rsidR="000E4A0F">
        <w:rPr>
          <w:sz w:val="24"/>
          <w:szCs w:val="24"/>
        </w:rPr>
        <w:t xml:space="preserve"> </w:t>
      </w:r>
      <w:r w:rsidR="00B64D91" w:rsidRPr="00B64D91">
        <w:rPr>
          <w:sz w:val="24"/>
          <w:szCs w:val="24"/>
        </w:rPr>
        <w:t xml:space="preserve">The </w:t>
      </w:r>
      <w:r w:rsidR="002D3A8D">
        <w:rPr>
          <w:sz w:val="24"/>
          <w:szCs w:val="24"/>
        </w:rPr>
        <w:t xml:space="preserve">current </w:t>
      </w:r>
      <w:r w:rsidR="00B64D91" w:rsidRPr="00B64D91">
        <w:rPr>
          <w:sz w:val="24"/>
          <w:szCs w:val="24"/>
        </w:rPr>
        <w:t xml:space="preserve">HVAC would need a complete overhaul costing $4.5M. </w:t>
      </w:r>
      <w:r w:rsidRPr="000B4E69">
        <w:rPr>
          <w:sz w:val="24"/>
          <w:szCs w:val="24"/>
        </w:rPr>
        <w:t xml:space="preserve">Upgrading </w:t>
      </w:r>
      <w:r w:rsidR="00BF339A">
        <w:rPr>
          <w:sz w:val="24"/>
          <w:szCs w:val="24"/>
        </w:rPr>
        <w:t>the existing</w:t>
      </w:r>
      <w:r w:rsidRPr="000B4E69">
        <w:rPr>
          <w:sz w:val="24"/>
          <w:szCs w:val="24"/>
        </w:rPr>
        <w:t xml:space="preserve"> ORs would not allow the </w:t>
      </w:r>
      <w:r w:rsidR="000E741A">
        <w:rPr>
          <w:sz w:val="24"/>
          <w:szCs w:val="24"/>
        </w:rPr>
        <w:t>H</w:t>
      </w:r>
      <w:r w:rsidRPr="000B4E69">
        <w:rPr>
          <w:sz w:val="24"/>
          <w:szCs w:val="24"/>
        </w:rPr>
        <w:t>ospital to manage increasing surgical demand</w:t>
      </w:r>
      <w:r w:rsidR="00BF339A">
        <w:rPr>
          <w:sz w:val="24"/>
          <w:szCs w:val="24"/>
        </w:rPr>
        <w:t xml:space="preserve"> so p</w:t>
      </w:r>
      <w:r w:rsidR="00BF339A" w:rsidRPr="00BF339A">
        <w:rPr>
          <w:sz w:val="24"/>
          <w:szCs w:val="24"/>
        </w:rPr>
        <w:t>atient access</w:t>
      </w:r>
      <w:r w:rsidR="00BF339A">
        <w:rPr>
          <w:sz w:val="24"/>
          <w:szCs w:val="24"/>
        </w:rPr>
        <w:t>,</w:t>
      </w:r>
      <w:r w:rsidR="00BF339A" w:rsidRPr="00BF339A">
        <w:rPr>
          <w:sz w:val="24"/>
          <w:szCs w:val="24"/>
        </w:rPr>
        <w:t xml:space="preserve"> wait times for care</w:t>
      </w:r>
      <w:r w:rsidR="00BF339A">
        <w:rPr>
          <w:sz w:val="24"/>
          <w:szCs w:val="24"/>
        </w:rPr>
        <w:t>, and patient privacy</w:t>
      </w:r>
      <w:r w:rsidR="00BF339A" w:rsidRPr="00BF339A">
        <w:rPr>
          <w:sz w:val="24"/>
          <w:szCs w:val="24"/>
        </w:rPr>
        <w:t xml:space="preserve"> would not </w:t>
      </w:r>
      <w:r w:rsidR="00BF339A" w:rsidRPr="0040654D">
        <w:rPr>
          <w:sz w:val="24"/>
          <w:szCs w:val="24"/>
        </w:rPr>
        <w:t>improve</w:t>
      </w:r>
      <w:r w:rsidR="00F41AF1">
        <w:rPr>
          <w:sz w:val="24"/>
          <w:szCs w:val="24"/>
        </w:rPr>
        <w:t xml:space="preserve">. </w:t>
      </w:r>
      <w:r w:rsidR="00BF339A" w:rsidRPr="0040654D">
        <w:rPr>
          <w:sz w:val="24"/>
          <w:szCs w:val="24"/>
        </w:rPr>
        <w:t>The Applicant notes that c</w:t>
      </w:r>
      <w:r w:rsidR="000B4E69" w:rsidRPr="0040654D">
        <w:rPr>
          <w:sz w:val="24"/>
          <w:szCs w:val="24"/>
        </w:rPr>
        <w:t>ontinuing to provide surgical services during an upgrade would</w:t>
      </w:r>
      <w:r w:rsidR="00BF339A" w:rsidRPr="0040654D">
        <w:rPr>
          <w:sz w:val="24"/>
          <w:szCs w:val="24"/>
        </w:rPr>
        <w:t xml:space="preserve"> increase the </w:t>
      </w:r>
      <w:r w:rsidR="000B4E69" w:rsidRPr="0040654D">
        <w:rPr>
          <w:sz w:val="24"/>
          <w:szCs w:val="24"/>
        </w:rPr>
        <w:t xml:space="preserve">risk of surgical site infections. </w:t>
      </w:r>
    </w:p>
    <w:p w14:paraId="5F3C9404" w14:textId="77777777" w:rsidR="00B67B58" w:rsidRDefault="00B67B58" w:rsidP="005F07C5">
      <w:pPr>
        <w:spacing w:after="0" w:line="240" w:lineRule="auto"/>
        <w:rPr>
          <w:b/>
          <w:bCs/>
          <w:i/>
          <w:iCs/>
          <w:sz w:val="24"/>
          <w:szCs w:val="24"/>
        </w:rPr>
      </w:pPr>
    </w:p>
    <w:p w14:paraId="77952E2B" w14:textId="3758A848" w:rsidR="003346C7" w:rsidRPr="005F07C5" w:rsidRDefault="003346C7" w:rsidP="005F07C5">
      <w:pPr>
        <w:spacing w:after="0" w:line="240" w:lineRule="auto"/>
        <w:rPr>
          <w:b/>
          <w:bCs/>
          <w:i/>
          <w:iCs/>
          <w:sz w:val="24"/>
          <w:szCs w:val="24"/>
        </w:rPr>
      </w:pPr>
      <w:r w:rsidRPr="005F07C5">
        <w:rPr>
          <w:b/>
          <w:bCs/>
          <w:i/>
          <w:iCs/>
          <w:sz w:val="24"/>
          <w:szCs w:val="24"/>
        </w:rPr>
        <w:t>Analysis</w:t>
      </w:r>
    </w:p>
    <w:p w14:paraId="245FA2BB" w14:textId="610D3A88" w:rsidR="009E7D68" w:rsidRPr="009E7D68" w:rsidRDefault="009E7D68" w:rsidP="009E7D68">
      <w:pPr>
        <w:spacing w:after="0" w:line="240" w:lineRule="auto"/>
        <w:rPr>
          <w:rFonts w:cstheme="minorHAnsi"/>
          <w:sz w:val="24"/>
          <w:szCs w:val="24"/>
        </w:rPr>
      </w:pPr>
      <w:r w:rsidRPr="009E7D68">
        <w:rPr>
          <w:rFonts w:cstheme="minorHAnsi"/>
          <w:sz w:val="24"/>
          <w:szCs w:val="24"/>
        </w:rPr>
        <w:lastRenderedPageBreak/>
        <w:t xml:space="preserve">Staff finds that the Applicant has appropriately considered the quality, efficiency, and capital and operating costs of the Proposed Project relative to potential alternatives. As a result of information provided by the Applicant and additional analysis, </w:t>
      </w:r>
      <w:r w:rsidR="00237CC4">
        <w:rPr>
          <w:rFonts w:cstheme="minorHAnsi"/>
          <w:sz w:val="24"/>
          <w:szCs w:val="24"/>
        </w:rPr>
        <w:t>S</w:t>
      </w:r>
      <w:r w:rsidRPr="009E7D68">
        <w:rPr>
          <w:rFonts w:cstheme="minorHAnsi"/>
          <w:sz w:val="24"/>
          <w:szCs w:val="24"/>
        </w:rPr>
        <w:t>taff finds the Applicant has reasonably met the standards of Factor 5.</w:t>
      </w:r>
    </w:p>
    <w:p w14:paraId="2B857038" w14:textId="77777777" w:rsidR="008639FC" w:rsidRDefault="008639FC" w:rsidP="005D2D30">
      <w:pPr>
        <w:keepNext/>
        <w:keepLines/>
        <w:spacing w:before="200" w:after="0"/>
        <w:outlineLvl w:val="1"/>
        <w:rPr>
          <w:rFonts w:eastAsia="Times New Roman" w:cstheme="minorHAnsi"/>
          <w:b/>
          <w:bCs/>
          <w:sz w:val="28"/>
          <w:szCs w:val="28"/>
        </w:rPr>
      </w:pPr>
      <w:bookmarkStart w:id="2" w:name="_Toc17151192"/>
      <w:bookmarkStart w:id="3" w:name="_Toc17322410"/>
    </w:p>
    <w:p w14:paraId="56B34619" w14:textId="7B6B75D3" w:rsidR="005D2D30" w:rsidRPr="004B0064" w:rsidRDefault="005D2D30" w:rsidP="005D2D30">
      <w:pPr>
        <w:keepNext/>
        <w:keepLines/>
        <w:spacing w:before="200" w:after="0"/>
        <w:outlineLvl w:val="1"/>
        <w:rPr>
          <w:rFonts w:eastAsia="Times New Roman" w:cstheme="minorHAnsi"/>
          <w:b/>
          <w:bCs/>
          <w:sz w:val="28"/>
          <w:szCs w:val="28"/>
        </w:rPr>
      </w:pPr>
      <w:r w:rsidRPr="004B0064">
        <w:rPr>
          <w:rFonts w:eastAsia="Times New Roman" w:cstheme="minorHAnsi"/>
          <w:b/>
          <w:bCs/>
          <w:sz w:val="28"/>
          <w:szCs w:val="28"/>
        </w:rPr>
        <w:t>Factor 6: Fulfillment of DPH Community-based Health Initiatives Guideline: Overall Application</w:t>
      </w:r>
    </w:p>
    <w:p w14:paraId="45882D66" w14:textId="77777777" w:rsidR="00F24E17" w:rsidRPr="00F24E17" w:rsidRDefault="00F24E17" w:rsidP="005D2D30">
      <w:pPr>
        <w:spacing w:after="0" w:line="240" w:lineRule="auto"/>
        <w:ind w:right="540"/>
        <w:contextualSpacing/>
        <w:rPr>
          <w:rFonts w:eastAsia="Calibri" w:cstheme="minorHAnsi"/>
          <w:i/>
          <w:sz w:val="24"/>
          <w:szCs w:val="24"/>
        </w:rPr>
      </w:pPr>
    </w:p>
    <w:p w14:paraId="0F25F2AD" w14:textId="4413C563" w:rsidR="005D2D30" w:rsidRPr="00F24E17" w:rsidRDefault="005D2D30" w:rsidP="005D2D30">
      <w:pPr>
        <w:spacing w:after="0" w:line="240" w:lineRule="auto"/>
        <w:ind w:right="540"/>
        <w:contextualSpacing/>
        <w:rPr>
          <w:rFonts w:eastAsia="Calibri" w:cstheme="minorHAnsi"/>
          <w:sz w:val="24"/>
          <w:szCs w:val="24"/>
        </w:rPr>
      </w:pPr>
      <w:r w:rsidRPr="00F24E17">
        <w:rPr>
          <w:rFonts w:eastAsia="Calibri" w:cstheme="minorHAnsi"/>
          <w:i/>
          <w:sz w:val="24"/>
          <w:szCs w:val="24"/>
        </w:rPr>
        <w:t>Summary and relevant background and context for this application:</w:t>
      </w:r>
      <w:r w:rsidRPr="00F24E17">
        <w:rPr>
          <w:rFonts w:eastAsia="Calibri" w:cstheme="minorHAnsi"/>
          <w:sz w:val="24"/>
          <w:szCs w:val="24"/>
        </w:rPr>
        <w:t xml:space="preserve"> This DoN project is one of two current DoN applications under consideration, and given that (subject to DoN project approval) CHI related activities would be implemented concurrently, the Applicant and DPH have agreed to one Factor 6 analysis for both DoN projects. Combined across DoN projects, the CHI requirement is a Tier 2 CHI project. This analysis will appear in the staff report for both DoN projects with the corresponding respective CHI contribution amount. The Applicant’s proposed project is the first CHI that will be implemented under the CHI Guidelines approved in 2017. </w:t>
      </w:r>
    </w:p>
    <w:p w14:paraId="3DDB8D19" w14:textId="77777777" w:rsidR="005D2D30" w:rsidRPr="00F24E17" w:rsidRDefault="005D2D30" w:rsidP="005D2D30">
      <w:pPr>
        <w:spacing w:after="0" w:line="240" w:lineRule="auto"/>
        <w:ind w:right="540"/>
        <w:contextualSpacing/>
        <w:rPr>
          <w:rFonts w:eastAsia="Calibri" w:cstheme="minorHAnsi"/>
          <w:sz w:val="24"/>
          <w:szCs w:val="24"/>
        </w:rPr>
      </w:pPr>
    </w:p>
    <w:p w14:paraId="2AC0BF0A" w14:textId="77777777" w:rsidR="005D2D30" w:rsidRPr="00F24E17" w:rsidRDefault="005D2D30" w:rsidP="005D2D30">
      <w:pPr>
        <w:spacing w:after="0" w:line="240" w:lineRule="auto"/>
        <w:ind w:right="540"/>
        <w:contextualSpacing/>
        <w:rPr>
          <w:rFonts w:eastAsia="Calibri" w:cstheme="minorHAnsi"/>
          <w:sz w:val="24"/>
          <w:szCs w:val="24"/>
        </w:rPr>
      </w:pPr>
      <w:r w:rsidRPr="00F24E17">
        <w:rPr>
          <w:rFonts w:eastAsia="Calibri" w:cstheme="minorHAnsi"/>
          <w:sz w:val="24"/>
          <w:szCs w:val="24"/>
        </w:rPr>
        <w:t>To fulfill Factor 6 for both DoN projects, the Applicant submitted its existing Community Health Needs Assessment (CHNA) for Heywood Healthcare, its current Community Health Improvement Plan (CHIP), a single Self-Assessment for streamlining purposes, Stakeholder Assessments, and a CHI Narrative.</w:t>
      </w:r>
    </w:p>
    <w:p w14:paraId="3F6DBCFF" w14:textId="77777777" w:rsidR="005D2D30" w:rsidRPr="00F24E17" w:rsidRDefault="005D2D30" w:rsidP="005D2D30">
      <w:pPr>
        <w:spacing w:after="0" w:line="240" w:lineRule="auto"/>
        <w:ind w:right="540"/>
        <w:contextualSpacing/>
        <w:rPr>
          <w:rFonts w:eastAsia="Calibri" w:cstheme="minorHAnsi"/>
          <w:sz w:val="24"/>
          <w:szCs w:val="24"/>
        </w:rPr>
      </w:pPr>
    </w:p>
    <w:p w14:paraId="6FF85EB9" w14:textId="77777777" w:rsidR="005D2D30" w:rsidRPr="00F24E17" w:rsidRDefault="005D2D30" w:rsidP="005D2D30">
      <w:pPr>
        <w:spacing w:after="0" w:line="240" w:lineRule="auto"/>
        <w:contextualSpacing/>
        <w:rPr>
          <w:rFonts w:eastAsia="Calibri" w:cstheme="minorHAnsi"/>
          <w:sz w:val="24"/>
          <w:szCs w:val="24"/>
        </w:rPr>
      </w:pPr>
      <w:r w:rsidRPr="00F24E17">
        <w:rPr>
          <w:rFonts w:eastAsia="Calibri" w:cstheme="minorHAnsi"/>
          <w:b/>
          <w:sz w:val="24"/>
          <w:szCs w:val="24"/>
        </w:rPr>
        <w:t>The Community Health Needs Assessment</w:t>
      </w:r>
      <w:r w:rsidRPr="00F24E17">
        <w:rPr>
          <w:rFonts w:eastAsia="Calibri" w:cstheme="minorHAnsi"/>
          <w:sz w:val="24"/>
          <w:szCs w:val="24"/>
        </w:rPr>
        <w:t xml:space="preserve"> was conducted in 2018 by Heywood Healthcare, and Heywood Hospital will implement CHI activities.  The final Community Health Assessment utilized secondary data sources and primary data gathered from focus groups, a community survey, and qualitative interviews with key healthcare professional informants.  The CHNA describes quantitative and qualitative data collection methods and outlines demographic characteristics of the participating communities as well as key findings in community health areas.  These findings and areas include social and economic factors, injures and violence, maternal and infant health, among others.  The CHNA also informs the health system’s Community Health Improvement Plan in four Priority Areas: Social Determinants, Interpersonal Violence and Injuries, Mental Health and Substance Use, and Wellness and Chronic Disease.</w:t>
      </w:r>
    </w:p>
    <w:p w14:paraId="2656C21D" w14:textId="77777777" w:rsidR="005D2D30" w:rsidRPr="00F24E17" w:rsidRDefault="005D2D30" w:rsidP="005D2D30">
      <w:pPr>
        <w:spacing w:after="0" w:line="240" w:lineRule="auto"/>
        <w:contextualSpacing/>
        <w:rPr>
          <w:rFonts w:eastAsia="Calibri" w:cstheme="minorHAnsi"/>
          <w:sz w:val="24"/>
          <w:szCs w:val="24"/>
        </w:rPr>
      </w:pPr>
    </w:p>
    <w:p w14:paraId="6961A361" w14:textId="77777777" w:rsidR="005D2D30" w:rsidRPr="00F24E17" w:rsidRDefault="005D2D30" w:rsidP="005D2D30">
      <w:pPr>
        <w:spacing w:after="0" w:line="240" w:lineRule="auto"/>
        <w:contextualSpacing/>
        <w:rPr>
          <w:rFonts w:eastAsia="Calibri" w:cstheme="minorHAnsi"/>
          <w:sz w:val="24"/>
          <w:szCs w:val="24"/>
        </w:rPr>
      </w:pPr>
      <w:r w:rsidRPr="00F24E17">
        <w:rPr>
          <w:rFonts w:eastAsia="Calibri" w:cstheme="minorHAnsi"/>
          <w:b/>
          <w:bCs/>
          <w:sz w:val="24"/>
          <w:szCs w:val="24"/>
        </w:rPr>
        <w:t xml:space="preserve">The Self-Assessment </w:t>
      </w:r>
      <w:r w:rsidRPr="00F24E17">
        <w:rPr>
          <w:rFonts w:eastAsia="Calibri" w:cstheme="minorHAnsi"/>
          <w:sz w:val="24"/>
          <w:szCs w:val="24"/>
        </w:rPr>
        <w:t xml:space="preserve">provided a summary of community engagement processes and socio-demographic information, data and highlights related to topics and themes of community needs. Through data analysis, community surveying, focus groups, and key informant interviews, the participating community groups and residents identified the key concerns outlined in the 2018 CHNA. </w:t>
      </w:r>
    </w:p>
    <w:p w14:paraId="61C5C010" w14:textId="77777777" w:rsidR="005D2D30" w:rsidRPr="00F24E17" w:rsidRDefault="005D2D30" w:rsidP="005D2D30">
      <w:pPr>
        <w:spacing w:after="0" w:line="240" w:lineRule="auto"/>
        <w:contextualSpacing/>
        <w:rPr>
          <w:rFonts w:eastAsia="Calibri" w:cstheme="minorHAnsi"/>
          <w:sz w:val="24"/>
          <w:szCs w:val="24"/>
        </w:rPr>
      </w:pPr>
    </w:p>
    <w:p w14:paraId="7A66215E" w14:textId="77777777" w:rsidR="005D2D30" w:rsidRPr="00F24E17" w:rsidRDefault="005D2D30" w:rsidP="005D2D30">
      <w:pPr>
        <w:spacing w:after="0" w:line="240" w:lineRule="auto"/>
        <w:contextualSpacing/>
        <w:rPr>
          <w:rFonts w:eastAsia="Calibri" w:cstheme="minorHAnsi"/>
          <w:sz w:val="24"/>
          <w:szCs w:val="24"/>
        </w:rPr>
      </w:pPr>
      <w:r w:rsidRPr="00F24E17">
        <w:rPr>
          <w:rFonts w:eastAsia="Calibri" w:cstheme="minorHAnsi"/>
          <w:b/>
          <w:bCs/>
          <w:sz w:val="24"/>
          <w:szCs w:val="24"/>
        </w:rPr>
        <w:t>Stakeholder Assessments</w:t>
      </w:r>
      <w:r w:rsidRPr="00F24E17">
        <w:rPr>
          <w:rFonts w:eastAsia="Calibri" w:cstheme="minorHAnsi"/>
          <w:sz w:val="24"/>
          <w:szCs w:val="24"/>
        </w:rPr>
        <w:t xml:space="preserve"> </w:t>
      </w:r>
      <w:r w:rsidRPr="00F24E17">
        <w:rPr>
          <w:rFonts w:cstheme="minorHAnsi"/>
          <w:sz w:val="24"/>
          <w:szCs w:val="24"/>
        </w:rPr>
        <w:t xml:space="preserve">submitted provided information on the individuals’ engagement levels including their level of participation and role, and their analysis of how the Applicant engaged the community in community health improvement planning processes. The </w:t>
      </w:r>
      <w:r w:rsidRPr="00F24E17">
        <w:rPr>
          <w:rFonts w:cstheme="minorHAnsi"/>
          <w:sz w:val="24"/>
          <w:szCs w:val="24"/>
        </w:rPr>
        <w:lastRenderedPageBreak/>
        <w:t>information provided in these forms were largely consistent with the self-assessment conducted by the Applicant.</w:t>
      </w:r>
    </w:p>
    <w:p w14:paraId="3B1B0125" w14:textId="77777777" w:rsidR="005D2D30" w:rsidRPr="00F24E17" w:rsidRDefault="005D2D30" w:rsidP="005D2D30">
      <w:pPr>
        <w:spacing w:after="0" w:line="240" w:lineRule="auto"/>
        <w:contextualSpacing/>
        <w:rPr>
          <w:rFonts w:eastAsia="Calibri" w:cstheme="minorHAnsi"/>
          <w:sz w:val="24"/>
          <w:szCs w:val="24"/>
        </w:rPr>
      </w:pPr>
    </w:p>
    <w:p w14:paraId="1607B4CC" w14:textId="795E764D" w:rsidR="005D2D30" w:rsidRDefault="005D2D30" w:rsidP="005D2D30">
      <w:pPr>
        <w:spacing w:after="0" w:line="240" w:lineRule="auto"/>
        <w:contextualSpacing/>
        <w:rPr>
          <w:rFonts w:eastAsia="Calibri" w:cstheme="minorHAnsi"/>
          <w:sz w:val="24"/>
          <w:szCs w:val="24"/>
        </w:rPr>
      </w:pPr>
      <w:r w:rsidRPr="00F24E17">
        <w:rPr>
          <w:rFonts w:eastAsia="Calibri" w:cstheme="minorHAnsi"/>
          <w:b/>
          <w:bCs/>
          <w:sz w:val="24"/>
          <w:szCs w:val="24"/>
        </w:rPr>
        <w:t>The CHI Narrative</w:t>
      </w:r>
      <w:r w:rsidRPr="00F24E17">
        <w:rPr>
          <w:rFonts w:eastAsia="Calibri" w:cstheme="minorHAnsi"/>
          <w:sz w:val="24"/>
          <w:szCs w:val="24"/>
        </w:rPr>
        <w:t xml:space="preserve"> provided background and overview information for the CHI processes.  The narrative also outlines duties for the community benefit advisory committee (CBAC) and planned structure for seeking feedback and further engagement. </w:t>
      </w:r>
    </w:p>
    <w:p w14:paraId="37ED6E9F" w14:textId="77777777" w:rsidR="00E1778C" w:rsidRPr="00F24E17" w:rsidRDefault="00E1778C" w:rsidP="005D2D30">
      <w:pPr>
        <w:spacing w:after="0" w:line="240" w:lineRule="auto"/>
        <w:contextualSpacing/>
        <w:rPr>
          <w:rFonts w:eastAsia="Calibri" w:cstheme="minorHAnsi"/>
          <w:sz w:val="24"/>
          <w:szCs w:val="24"/>
        </w:rPr>
      </w:pPr>
    </w:p>
    <w:p w14:paraId="03CBE283" w14:textId="77777777" w:rsidR="005D2D30" w:rsidRPr="00F24E17" w:rsidRDefault="005D2D30" w:rsidP="005D2D30">
      <w:pPr>
        <w:spacing w:after="0" w:line="240" w:lineRule="auto"/>
        <w:contextualSpacing/>
        <w:rPr>
          <w:rFonts w:eastAsia="Calibri" w:cstheme="minorHAnsi"/>
          <w:sz w:val="24"/>
          <w:szCs w:val="24"/>
        </w:rPr>
      </w:pPr>
      <w:r w:rsidRPr="00F24E17">
        <w:rPr>
          <w:rFonts w:eastAsia="Calibri" w:cstheme="minorHAnsi"/>
          <w:sz w:val="24"/>
          <w:szCs w:val="24"/>
        </w:rPr>
        <w:t xml:space="preserve">There are differences in approach and alignment between the Applicant’s existing Community Health Implementation Plan and Assessment and CHI framework.  If used as a guide for choosing CHI strategies, the activities outlined in the Implementation Plan will need to focus in the areas best aligned with the CHI framework to sufficiently meet Health Priority guideline approaches. The CHIP priority areas likely to support identifying needs and implementing activities at the root cause level include the Social Determinants of Health and elements of other areas including food insecurity and violence.  Through ongoing communication with DPH staff, the Applicant has agreed to continue to work closely with its Advisory Committee to ensure processes and selected strategies will align with the Health Priorities Guideline. The Applicant will be recruiting for missing constituencies on the existing CBAC, and DPH will work with them to ensure the group’s make up is sufficient to help them make decisions in line with the Health Priority framework.  Specifically, DPH will work with the Applicant to ensure resident voice is engaged in decision making through the Advisory Committee.  DPH staff will support the Applicant as necessary in outlining future Advisory Committee meetings and reviewing community engagement and RFP processes. The Applicant will also connect with DPH staff to establish processes for planning and implementation work moving forward.  Regarding the implementation of specific CHI strategies, DPH will work with the Applicant in moving upstream, and identifying needs at the root cause to support sustainable systems level solutions. </w:t>
      </w:r>
    </w:p>
    <w:p w14:paraId="3FBD750F" w14:textId="77777777" w:rsidR="005D2D30" w:rsidRPr="00F24E17" w:rsidRDefault="005D2D30" w:rsidP="005D2D30">
      <w:pPr>
        <w:spacing w:after="0" w:line="240" w:lineRule="auto"/>
        <w:contextualSpacing/>
        <w:rPr>
          <w:rFonts w:eastAsia="Calibri" w:cstheme="minorHAnsi"/>
          <w:sz w:val="24"/>
          <w:szCs w:val="24"/>
        </w:rPr>
      </w:pPr>
    </w:p>
    <w:p w14:paraId="65406579" w14:textId="553592C2" w:rsidR="005D2D30" w:rsidRPr="00F24E17" w:rsidRDefault="005D2D30" w:rsidP="00DC051D">
      <w:pPr>
        <w:spacing w:after="0" w:line="240" w:lineRule="auto"/>
        <w:contextualSpacing/>
        <w:rPr>
          <w:rFonts w:eastAsia="Calibri" w:cstheme="minorHAnsi"/>
          <w:sz w:val="24"/>
          <w:szCs w:val="24"/>
        </w:rPr>
      </w:pPr>
      <w:r w:rsidRPr="00F24E17">
        <w:rPr>
          <w:rFonts w:eastAsia="Calibri" w:cstheme="minorHAnsi"/>
          <w:sz w:val="24"/>
          <w:szCs w:val="24"/>
        </w:rPr>
        <w:t>The timeline, RFP processes, and use of administrative funds are all appropriate and in line with CHI planning guidelines.</w:t>
      </w:r>
      <w:r w:rsidR="00DC051D" w:rsidRPr="00F24E17">
        <w:rPr>
          <w:rFonts w:eastAsia="Calibri" w:cstheme="minorHAnsi"/>
          <w:sz w:val="24"/>
          <w:szCs w:val="24"/>
        </w:rPr>
        <w:t xml:space="preserve"> </w:t>
      </w:r>
    </w:p>
    <w:p w14:paraId="7281BF27" w14:textId="77777777" w:rsidR="005D2D30" w:rsidRPr="00F24E17" w:rsidRDefault="005D2D30" w:rsidP="005D2D30">
      <w:pPr>
        <w:pStyle w:val="PlainText"/>
        <w:rPr>
          <w:rFonts w:asciiTheme="minorHAnsi" w:eastAsia="Calibri" w:hAnsiTheme="minorHAnsi" w:cstheme="minorHAnsi"/>
          <w:sz w:val="24"/>
          <w:szCs w:val="24"/>
        </w:rPr>
      </w:pPr>
      <w:r w:rsidRPr="00F24E17">
        <w:rPr>
          <w:rFonts w:asciiTheme="minorHAnsi" w:eastAsia="Calibri" w:hAnsiTheme="minorHAnsi" w:cstheme="minorHAnsi"/>
          <w:sz w:val="24"/>
          <w:szCs w:val="24"/>
        </w:rPr>
        <w:t>The anticipated timeline for CHI activities includes continued meeting of the Advisory Committee, submitting the Health Priorities Strategies Form within 3 months post approval, and releasing an RFP within six months post approval, with funding awarded to successful RFP applicants 3-4 months thereafter.</w:t>
      </w:r>
    </w:p>
    <w:p w14:paraId="768F2018" w14:textId="77777777" w:rsidR="005D2D30" w:rsidRPr="00F24E17" w:rsidRDefault="005D2D30" w:rsidP="005D2D30">
      <w:pPr>
        <w:pStyle w:val="PlainText"/>
        <w:rPr>
          <w:rFonts w:asciiTheme="minorHAnsi" w:hAnsiTheme="minorHAnsi" w:cstheme="minorHAnsi"/>
          <w:sz w:val="24"/>
          <w:szCs w:val="24"/>
        </w:rPr>
      </w:pPr>
      <w:r w:rsidRPr="00F24E17">
        <w:rPr>
          <w:rFonts w:asciiTheme="minorHAnsi" w:eastAsia="Calibri" w:hAnsiTheme="minorHAnsi" w:cstheme="minorHAnsi"/>
          <w:sz w:val="24"/>
          <w:szCs w:val="24"/>
          <w:highlight w:val="yellow"/>
        </w:rPr>
        <w:t xml:space="preserve"> </w:t>
      </w:r>
    </w:p>
    <w:p w14:paraId="6BCF2C55" w14:textId="77777777" w:rsidR="005D2D30" w:rsidRPr="00F24E17" w:rsidRDefault="005D2D30" w:rsidP="005D2D30">
      <w:pPr>
        <w:pStyle w:val="PlainText"/>
        <w:rPr>
          <w:rFonts w:asciiTheme="minorHAnsi" w:hAnsiTheme="minorHAnsi" w:cstheme="minorHAnsi"/>
          <w:sz w:val="24"/>
          <w:szCs w:val="24"/>
        </w:rPr>
      </w:pPr>
      <w:r w:rsidRPr="00F24E17">
        <w:rPr>
          <w:rFonts w:asciiTheme="minorHAnsi" w:hAnsiTheme="minorHAnsi" w:cstheme="minorHAnsi"/>
          <w:sz w:val="24"/>
          <w:szCs w:val="24"/>
        </w:rPr>
        <w:t>With the administrative funds, the applicant’s early plans are to support consultant time for CBAC coordination, communication, and the facilitation of grantmaking.</w:t>
      </w:r>
    </w:p>
    <w:p w14:paraId="05E49D36" w14:textId="77777777" w:rsidR="005D2D30" w:rsidRPr="00F24E17" w:rsidRDefault="005D2D30" w:rsidP="005D2D30">
      <w:pPr>
        <w:pStyle w:val="PlainText"/>
        <w:rPr>
          <w:rFonts w:asciiTheme="minorHAnsi" w:eastAsia="Calibri" w:hAnsiTheme="minorHAnsi" w:cstheme="minorHAnsi"/>
          <w:b/>
          <w:sz w:val="24"/>
          <w:szCs w:val="24"/>
          <w:highlight w:val="yellow"/>
        </w:rPr>
      </w:pPr>
    </w:p>
    <w:p w14:paraId="672E7052" w14:textId="29BDC987" w:rsidR="00C8703C" w:rsidRDefault="005D2D30" w:rsidP="00EE4656">
      <w:pPr>
        <w:spacing w:after="0" w:line="240" w:lineRule="auto"/>
        <w:ind w:left="-360"/>
        <w:rPr>
          <w:b/>
          <w:bCs/>
          <w:sz w:val="28"/>
          <w:szCs w:val="28"/>
        </w:rPr>
      </w:pPr>
      <w:r w:rsidRPr="00F24E17">
        <w:rPr>
          <w:rFonts w:cstheme="minorHAnsi"/>
          <w:i/>
          <w:sz w:val="24"/>
          <w:szCs w:val="24"/>
        </w:rPr>
        <w:t>Summary Analysis</w:t>
      </w:r>
      <w:r w:rsidRPr="00F24E17">
        <w:rPr>
          <w:rFonts w:cstheme="minorHAnsi"/>
          <w:sz w:val="24"/>
          <w:szCs w:val="24"/>
        </w:rPr>
        <w:t xml:space="preserve">: </w:t>
      </w:r>
      <w:proofErr w:type="gramStart"/>
      <w:r w:rsidRPr="00F24E17">
        <w:rPr>
          <w:rFonts w:cstheme="minorHAnsi"/>
          <w:sz w:val="24"/>
          <w:szCs w:val="24"/>
        </w:rPr>
        <w:t>As a result of</w:t>
      </w:r>
      <w:proofErr w:type="gramEnd"/>
      <w:r w:rsidRPr="00F24E17">
        <w:rPr>
          <w:rFonts w:cstheme="minorHAnsi"/>
          <w:sz w:val="24"/>
          <w:szCs w:val="24"/>
        </w:rPr>
        <w:t xml:space="preserve"> information provided by the Applicant and additional analysis, staff find that with the conditions outlined below, and the ongoing communication on items for improvement outlined above, the Applicant will have demonstrated that the Proposed Project has met Factor 6.</w:t>
      </w:r>
      <w:bookmarkEnd w:id="2"/>
      <w:bookmarkEnd w:id="3"/>
      <w:r w:rsidR="00DC051D">
        <w:rPr>
          <w:b/>
          <w:bCs/>
          <w:sz w:val="28"/>
          <w:szCs w:val="28"/>
        </w:rPr>
        <w:t xml:space="preserve"> </w:t>
      </w:r>
    </w:p>
    <w:p w14:paraId="5C50A28A" w14:textId="0C139B03" w:rsidR="00EE4656" w:rsidRDefault="00761D85" w:rsidP="00EE4656">
      <w:pPr>
        <w:spacing w:after="0" w:line="240" w:lineRule="auto"/>
        <w:ind w:left="-360"/>
        <w:rPr>
          <w:rFonts w:cstheme="minorHAnsi"/>
          <w:sz w:val="24"/>
          <w:szCs w:val="24"/>
        </w:rPr>
      </w:pPr>
      <w:r w:rsidRPr="00761D85">
        <w:rPr>
          <w:b/>
          <w:bCs/>
          <w:sz w:val="28"/>
          <w:szCs w:val="28"/>
        </w:rPr>
        <w:t xml:space="preserve">Findings and Recommendations </w:t>
      </w:r>
    </w:p>
    <w:p w14:paraId="45C08CCA" w14:textId="075AACC6" w:rsidR="00EA2C21" w:rsidRDefault="00761D85" w:rsidP="00EE4656">
      <w:pPr>
        <w:spacing w:after="0" w:line="240" w:lineRule="auto"/>
        <w:ind w:left="-360"/>
        <w:rPr>
          <w:b/>
          <w:bCs/>
          <w:sz w:val="24"/>
          <w:szCs w:val="24"/>
        </w:rPr>
      </w:pPr>
      <w:r w:rsidRPr="005F07C5">
        <w:rPr>
          <w:sz w:val="24"/>
          <w:szCs w:val="24"/>
        </w:rPr>
        <w:t xml:space="preserve">Based upon a review of the materials submitted, Staff finds that, with the addition of the recommended conditions detailed below, the Applicant has met each DoN Factor for the Proposed </w:t>
      </w:r>
      <w:r w:rsidRPr="005F07C5">
        <w:rPr>
          <w:sz w:val="24"/>
          <w:szCs w:val="24"/>
        </w:rPr>
        <w:lastRenderedPageBreak/>
        <w:t>Project, and recommends that the Department approve this Determination of Need, subject to all applicable standard and Other Conditions.</w:t>
      </w:r>
      <w:r w:rsidR="00DC051D">
        <w:rPr>
          <w:b/>
          <w:bCs/>
          <w:sz w:val="24"/>
          <w:szCs w:val="24"/>
        </w:rPr>
        <w:t xml:space="preserve"> </w:t>
      </w:r>
    </w:p>
    <w:p w14:paraId="7E4D8644" w14:textId="06E6051E" w:rsidR="00B55B5C" w:rsidRDefault="008E2D46" w:rsidP="00EE4656">
      <w:pPr>
        <w:spacing w:after="0" w:line="240" w:lineRule="auto"/>
        <w:ind w:left="-360"/>
        <w:rPr>
          <w:b/>
          <w:bCs/>
          <w:sz w:val="24"/>
          <w:szCs w:val="24"/>
        </w:rPr>
      </w:pPr>
      <w:r w:rsidRPr="002224D7">
        <w:rPr>
          <w:b/>
          <w:bCs/>
          <w:sz w:val="24"/>
          <w:szCs w:val="24"/>
        </w:rPr>
        <w:t>C</w:t>
      </w:r>
      <w:r w:rsidR="004A553C" w:rsidRPr="002224D7">
        <w:rPr>
          <w:b/>
          <w:bCs/>
          <w:sz w:val="24"/>
          <w:szCs w:val="24"/>
        </w:rPr>
        <w:t>onditions</w:t>
      </w:r>
      <w:r w:rsidR="007222F6">
        <w:rPr>
          <w:b/>
          <w:bCs/>
          <w:sz w:val="24"/>
          <w:szCs w:val="24"/>
        </w:rPr>
        <w:t xml:space="preserve"> to the DoN</w:t>
      </w:r>
    </w:p>
    <w:p w14:paraId="415EFA4F" w14:textId="77777777" w:rsidR="00EA2C21" w:rsidRPr="00EE4656" w:rsidRDefault="00EA2C21" w:rsidP="00EE4656">
      <w:pPr>
        <w:spacing w:after="0" w:line="240" w:lineRule="auto"/>
        <w:ind w:left="-360"/>
        <w:rPr>
          <w:rFonts w:cstheme="minorHAnsi"/>
          <w:sz w:val="24"/>
          <w:szCs w:val="24"/>
        </w:rPr>
      </w:pPr>
    </w:p>
    <w:p w14:paraId="3FBE7116" w14:textId="77777777" w:rsidR="001B0EF8" w:rsidRPr="00F24E17" w:rsidRDefault="001B0EF8" w:rsidP="001B0EF8">
      <w:pPr>
        <w:pStyle w:val="ListParagraph"/>
        <w:numPr>
          <w:ilvl w:val="0"/>
          <w:numId w:val="35"/>
        </w:numPr>
        <w:spacing w:after="0" w:line="240" w:lineRule="auto"/>
        <w:ind w:right="540"/>
        <w:rPr>
          <w:rFonts w:eastAsia="Calibri" w:cstheme="minorHAnsi"/>
          <w:sz w:val="24"/>
          <w:szCs w:val="24"/>
        </w:rPr>
      </w:pPr>
      <w:r w:rsidRPr="00F24E17">
        <w:rPr>
          <w:rFonts w:eastAsia="Calibri" w:cstheme="minorHAnsi"/>
          <w:sz w:val="24"/>
          <w:szCs w:val="24"/>
        </w:rPr>
        <w:t>Of the total required CHI contribution of $1,894,187.50</w:t>
      </w:r>
    </w:p>
    <w:p w14:paraId="08054139" w14:textId="77777777" w:rsidR="001B0EF8" w:rsidRPr="00F24E17" w:rsidRDefault="001B0EF8" w:rsidP="001B0EF8">
      <w:pPr>
        <w:numPr>
          <w:ilvl w:val="1"/>
          <w:numId w:val="35"/>
        </w:numPr>
        <w:spacing w:after="0" w:line="240" w:lineRule="auto"/>
        <w:ind w:left="1440" w:right="540"/>
        <w:contextualSpacing/>
        <w:rPr>
          <w:rFonts w:eastAsia="Calibri" w:cstheme="minorHAnsi"/>
          <w:sz w:val="24"/>
          <w:szCs w:val="24"/>
        </w:rPr>
      </w:pPr>
      <w:r w:rsidRPr="00F24E17">
        <w:rPr>
          <w:rFonts w:eastAsia="Calibri" w:cstheme="minorHAnsi"/>
          <w:sz w:val="24"/>
          <w:szCs w:val="24"/>
        </w:rPr>
        <w:t xml:space="preserve">$459,340.47 will be directed to the CHI Statewide Initiative </w:t>
      </w:r>
    </w:p>
    <w:p w14:paraId="4CA3CE38" w14:textId="77777777" w:rsidR="001B0EF8" w:rsidRPr="00F24E17" w:rsidRDefault="001B0EF8" w:rsidP="001B0EF8">
      <w:pPr>
        <w:numPr>
          <w:ilvl w:val="1"/>
          <w:numId w:val="35"/>
        </w:numPr>
        <w:spacing w:after="0" w:line="240" w:lineRule="auto"/>
        <w:ind w:left="1440" w:right="540"/>
        <w:contextualSpacing/>
        <w:rPr>
          <w:rFonts w:eastAsia="Calibri" w:cstheme="minorHAnsi"/>
          <w:sz w:val="24"/>
          <w:szCs w:val="24"/>
        </w:rPr>
      </w:pPr>
      <w:r w:rsidRPr="00F24E17">
        <w:rPr>
          <w:rFonts w:eastAsia="Calibri" w:cstheme="minorHAnsi"/>
          <w:sz w:val="24"/>
          <w:szCs w:val="24"/>
        </w:rPr>
        <w:t xml:space="preserve">$1,378,021.40 will be dedicated to local approaches to the DoN Health Priorities </w:t>
      </w:r>
    </w:p>
    <w:p w14:paraId="432B221F" w14:textId="77777777" w:rsidR="001B0EF8" w:rsidRPr="00F24E17" w:rsidRDefault="001B0EF8" w:rsidP="001B0EF8">
      <w:pPr>
        <w:numPr>
          <w:ilvl w:val="1"/>
          <w:numId w:val="35"/>
        </w:numPr>
        <w:spacing w:after="0" w:line="240" w:lineRule="auto"/>
        <w:ind w:left="1440" w:right="540"/>
        <w:contextualSpacing/>
        <w:rPr>
          <w:rFonts w:eastAsia="Calibri" w:cstheme="minorHAnsi"/>
          <w:sz w:val="24"/>
          <w:szCs w:val="24"/>
        </w:rPr>
      </w:pPr>
      <w:r w:rsidRPr="00F24E17">
        <w:rPr>
          <w:rFonts w:eastAsia="Calibri" w:cstheme="minorHAnsi"/>
          <w:sz w:val="24"/>
          <w:szCs w:val="24"/>
        </w:rPr>
        <w:t>$56,825.63 will be designated as the administrative fee.</w:t>
      </w:r>
    </w:p>
    <w:p w14:paraId="68C8C8B0" w14:textId="77777777" w:rsidR="001B0EF8" w:rsidRPr="00F24E17" w:rsidRDefault="001B0EF8" w:rsidP="001B0EF8">
      <w:pPr>
        <w:pStyle w:val="ListParagraph"/>
        <w:numPr>
          <w:ilvl w:val="0"/>
          <w:numId w:val="35"/>
        </w:numPr>
        <w:spacing w:after="0" w:line="240" w:lineRule="auto"/>
        <w:ind w:right="540"/>
        <w:rPr>
          <w:rFonts w:eastAsia="Calibri" w:cstheme="minorHAnsi"/>
          <w:sz w:val="24"/>
          <w:szCs w:val="24"/>
        </w:rPr>
      </w:pPr>
      <w:r w:rsidRPr="00F24E17">
        <w:rPr>
          <w:rFonts w:eastAsia="Calibri" w:cstheme="minorHAnsi"/>
          <w:sz w:val="24"/>
          <w:szCs w:val="24"/>
        </w:rPr>
        <w:t xml:space="preserve">To comply with the Holder’s obligation to contribute to the Statewide CHI Initiative, the Holder must submit a check for $459,340.47 to Health Resources in Action (the fiscal agent for the CHI Statewide Initiative). </w:t>
      </w:r>
    </w:p>
    <w:p w14:paraId="79C80870" w14:textId="77777777" w:rsidR="001B0EF8" w:rsidRPr="00F24E17" w:rsidRDefault="001B0EF8" w:rsidP="001B0EF8">
      <w:pPr>
        <w:numPr>
          <w:ilvl w:val="2"/>
          <w:numId w:val="35"/>
        </w:numPr>
        <w:spacing w:after="0" w:line="240" w:lineRule="auto"/>
        <w:ind w:right="540"/>
        <w:contextualSpacing/>
        <w:rPr>
          <w:rFonts w:eastAsia="Calibri" w:cstheme="minorHAnsi"/>
          <w:sz w:val="24"/>
          <w:szCs w:val="24"/>
        </w:rPr>
      </w:pPr>
      <w:r w:rsidRPr="00F24E17">
        <w:rPr>
          <w:rFonts w:eastAsia="Calibri" w:cstheme="minorHAnsi"/>
          <w:sz w:val="24"/>
          <w:szCs w:val="24"/>
        </w:rPr>
        <w:t xml:space="preserve">The Holder must submit the funds to HRiA within 30 days from the date of the Notice of Approval. </w:t>
      </w:r>
    </w:p>
    <w:p w14:paraId="09F89E3C" w14:textId="77777777" w:rsidR="001B0EF8" w:rsidRPr="00F24E17" w:rsidRDefault="001B0EF8" w:rsidP="001B0EF8">
      <w:pPr>
        <w:numPr>
          <w:ilvl w:val="2"/>
          <w:numId w:val="35"/>
        </w:numPr>
        <w:ind w:right="540"/>
        <w:contextualSpacing/>
        <w:rPr>
          <w:rFonts w:eastAsia="Calibri" w:cstheme="minorHAnsi"/>
          <w:sz w:val="24"/>
          <w:szCs w:val="24"/>
        </w:rPr>
      </w:pPr>
      <w:r w:rsidRPr="00F24E17">
        <w:rPr>
          <w:rFonts w:eastAsia="Calibri" w:cstheme="minorHAnsi"/>
          <w:sz w:val="24"/>
          <w:szCs w:val="24"/>
        </w:rPr>
        <w:t>The Holder must promptly notify DPH (CHI contact staff) when the payment has been made.</w:t>
      </w:r>
    </w:p>
    <w:p w14:paraId="0A5C25B8" w14:textId="0C1FB5F9" w:rsidR="004E091A" w:rsidRDefault="004E091A">
      <w:pPr>
        <w:rPr>
          <w:b/>
          <w:bCs/>
        </w:rPr>
      </w:pPr>
    </w:p>
    <w:p w14:paraId="32560766" w14:textId="712DF76F" w:rsidR="00F01A91" w:rsidRDefault="00F01A91">
      <w:pPr>
        <w:rPr>
          <w:b/>
          <w:bCs/>
        </w:rPr>
      </w:pPr>
    </w:p>
    <w:p w14:paraId="514C67BD" w14:textId="32E3D108" w:rsidR="000D480F" w:rsidRDefault="001008D6" w:rsidP="00B901A2">
      <w:pPr>
        <w:spacing w:after="0" w:line="240" w:lineRule="auto"/>
        <w:jc w:val="center"/>
        <w:rPr>
          <w:b/>
          <w:bCs/>
          <w:sz w:val="28"/>
          <w:szCs w:val="28"/>
        </w:rPr>
      </w:pPr>
      <w:r>
        <w:rPr>
          <w:b/>
          <w:bCs/>
          <w:sz w:val="28"/>
          <w:szCs w:val="28"/>
        </w:rPr>
        <w:t>A</w:t>
      </w:r>
      <w:r w:rsidR="000D480F" w:rsidRPr="00B901A2">
        <w:rPr>
          <w:b/>
          <w:bCs/>
          <w:sz w:val="28"/>
          <w:szCs w:val="28"/>
        </w:rPr>
        <w:t>ppendix</w:t>
      </w:r>
      <w:r w:rsidR="00B901A2" w:rsidRPr="00B901A2">
        <w:rPr>
          <w:b/>
          <w:bCs/>
          <w:sz w:val="28"/>
          <w:szCs w:val="28"/>
        </w:rPr>
        <w:t xml:space="preserve"> </w:t>
      </w:r>
      <w:r w:rsidR="008E7D9A" w:rsidRPr="008E7D9A">
        <w:rPr>
          <w:b/>
          <w:bCs/>
          <w:sz w:val="28"/>
          <w:szCs w:val="28"/>
        </w:rPr>
        <w:t>1</w:t>
      </w:r>
    </w:p>
    <w:p w14:paraId="18F7EF1A" w14:textId="77777777" w:rsidR="00107DAA" w:rsidRPr="00B901A2" w:rsidRDefault="00107DAA" w:rsidP="00B901A2">
      <w:pPr>
        <w:spacing w:after="0" w:line="240" w:lineRule="auto"/>
        <w:jc w:val="center"/>
        <w:rPr>
          <w:b/>
          <w:bCs/>
          <w:sz w:val="28"/>
          <w:szCs w:val="28"/>
        </w:rPr>
      </w:pPr>
    </w:p>
    <w:p w14:paraId="1BACDB47" w14:textId="3B813EAC" w:rsidR="000D480F" w:rsidRPr="00B901A2" w:rsidRDefault="00B901A2" w:rsidP="00561BCC">
      <w:pPr>
        <w:spacing w:after="0" w:line="240" w:lineRule="auto"/>
        <w:rPr>
          <w:sz w:val="24"/>
          <w:szCs w:val="24"/>
        </w:rPr>
      </w:pPr>
      <w:r w:rsidRPr="00B901A2">
        <w:rPr>
          <w:sz w:val="24"/>
          <w:szCs w:val="24"/>
        </w:rPr>
        <w:t>The Holder shall provide, in its annual report to the Department, the following outcome measures. These metrics will become part of the annual reporting on the approved DoN, required pursuant to 105 CMR 100.310(A)(12).</w:t>
      </w:r>
      <w:r w:rsidR="00B25087">
        <w:rPr>
          <w:sz w:val="24"/>
          <w:szCs w:val="24"/>
        </w:rPr>
        <w:t xml:space="preserve"> Reporting will include </w:t>
      </w:r>
      <w:r w:rsidR="00A70272">
        <w:rPr>
          <w:sz w:val="24"/>
          <w:szCs w:val="24"/>
        </w:rPr>
        <w:t xml:space="preserve">a description of </w:t>
      </w:r>
      <w:r w:rsidR="00B25087">
        <w:rPr>
          <w:sz w:val="24"/>
          <w:szCs w:val="24"/>
        </w:rPr>
        <w:t xml:space="preserve">numerators and denominators. </w:t>
      </w:r>
    </w:p>
    <w:p w14:paraId="0F7B5063" w14:textId="77777777" w:rsidR="00A029B3" w:rsidRDefault="00A029B3" w:rsidP="00A029B3">
      <w:pPr>
        <w:pStyle w:val="ListParagraph"/>
        <w:spacing w:after="0" w:line="240" w:lineRule="auto"/>
        <w:rPr>
          <w:sz w:val="24"/>
          <w:szCs w:val="24"/>
        </w:rPr>
      </w:pPr>
    </w:p>
    <w:p w14:paraId="1195737A" w14:textId="6684CB62" w:rsidR="00B901A2" w:rsidRDefault="004D5B9F" w:rsidP="00430E8F">
      <w:pPr>
        <w:pStyle w:val="ListParagraph"/>
        <w:numPr>
          <w:ilvl w:val="0"/>
          <w:numId w:val="23"/>
        </w:numPr>
        <w:spacing w:after="0" w:line="240" w:lineRule="auto"/>
        <w:rPr>
          <w:sz w:val="24"/>
          <w:szCs w:val="24"/>
        </w:rPr>
      </w:pPr>
      <w:r w:rsidRPr="00B901A2">
        <w:rPr>
          <w:sz w:val="24"/>
          <w:szCs w:val="24"/>
        </w:rPr>
        <w:t>Length of Hospital Stay</w:t>
      </w:r>
    </w:p>
    <w:p w14:paraId="3DEAC03B" w14:textId="71DD5DF0" w:rsidR="00B901A2" w:rsidRDefault="004D5B9F" w:rsidP="00430E8F">
      <w:pPr>
        <w:pStyle w:val="ListParagraph"/>
        <w:numPr>
          <w:ilvl w:val="0"/>
          <w:numId w:val="23"/>
        </w:numPr>
        <w:spacing w:after="0" w:line="240" w:lineRule="auto"/>
        <w:rPr>
          <w:sz w:val="24"/>
          <w:szCs w:val="24"/>
        </w:rPr>
      </w:pPr>
      <w:r w:rsidRPr="00B901A2">
        <w:rPr>
          <w:sz w:val="24"/>
          <w:szCs w:val="24"/>
        </w:rPr>
        <w:t>30-day readmission after surger</w:t>
      </w:r>
      <w:r w:rsidR="00B901A2">
        <w:rPr>
          <w:sz w:val="24"/>
          <w:szCs w:val="24"/>
        </w:rPr>
        <w:t>y</w:t>
      </w:r>
    </w:p>
    <w:p w14:paraId="3CDA2859" w14:textId="35DE9DC0" w:rsidR="00B901A2" w:rsidRDefault="004F4AB4" w:rsidP="00430E8F">
      <w:pPr>
        <w:pStyle w:val="ListParagraph"/>
        <w:numPr>
          <w:ilvl w:val="0"/>
          <w:numId w:val="23"/>
        </w:numPr>
        <w:spacing w:after="0" w:line="240" w:lineRule="auto"/>
        <w:rPr>
          <w:sz w:val="24"/>
          <w:szCs w:val="24"/>
        </w:rPr>
      </w:pPr>
      <w:r>
        <w:rPr>
          <w:sz w:val="24"/>
          <w:szCs w:val="24"/>
        </w:rPr>
        <w:t xml:space="preserve">Incidence Rate of </w:t>
      </w:r>
      <w:r w:rsidR="004D5B9F" w:rsidRPr="00B901A2">
        <w:rPr>
          <w:sz w:val="24"/>
          <w:szCs w:val="24"/>
        </w:rPr>
        <w:t>Surgical Site Infections</w:t>
      </w:r>
    </w:p>
    <w:p w14:paraId="29EDB3B1" w14:textId="490F138C" w:rsidR="000D480F" w:rsidRDefault="004D5B9F" w:rsidP="00430E8F">
      <w:pPr>
        <w:pStyle w:val="ListParagraph"/>
        <w:numPr>
          <w:ilvl w:val="0"/>
          <w:numId w:val="23"/>
        </w:numPr>
        <w:spacing w:after="0" w:line="240" w:lineRule="auto"/>
        <w:rPr>
          <w:sz w:val="24"/>
          <w:szCs w:val="24"/>
        </w:rPr>
      </w:pPr>
      <w:r w:rsidRPr="00B901A2">
        <w:rPr>
          <w:sz w:val="24"/>
          <w:szCs w:val="24"/>
        </w:rPr>
        <w:t>Patient satisfaction top box rating of &gt;95% with surgical and anesthesia care</w:t>
      </w:r>
    </w:p>
    <w:p w14:paraId="626DBCD2" w14:textId="1BCACFB3" w:rsidR="00636357" w:rsidRDefault="004F4AB4" w:rsidP="00430E8F">
      <w:pPr>
        <w:pStyle w:val="ListParagraph"/>
        <w:numPr>
          <w:ilvl w:val="0"/>
          <w:numId w:val="23"/>
        </w:numPr>
        <w:spacing w:after="0" w:line="240" w:lineRule="auto"/>
        <w:rPr>
          <w:sz w:val="24"/>
          <w:szCs w:val="24"/>
        </w:rPr>
      </w:pPr>
      <w:r>
        <w:rPr>
          <w:sz w:val="24"/>
          <w:szCs w:val="24"/>
        </w:rPr>
        <w:t xml:space="preserve">Average </w:t>
      </w:r>
      <w:r w:rsidR="00636357">
        <w:rPr>
          <w:sz w:val="24"/>
          <w:szCs w:val="24"/>
        </w:rPr>
        <w:t>Wait time</w:t>
      </w:r>
      <w:r w:rsidR="00F34516">
        <w:rPr>
          <w:sz w:val="24"/>
          <w:szCs w:val="24"/>
        </w:rPr>
        <w:t>s</w:t>
      </w:r>
      <w:r w:rsidR="00636357">
        <w:rPr>
          <w:sz w:val="24"/>
          <w:szCs w:val="24"/>
        </w:rPr>
        <w:t xml:space="preserve"> by </w:t>
      </w:r>
      <w:r w:rsidR="00F34516">
        <w:rPr>
          <w:sz w:val="24"/>
          <w:szCs w:val="24"/>
        </w:rPr>
        <w:t>S</w:t>
      </w:r>
      <w:r w:rsidR="00636357">
        <w:rPr>
          <w:sz w:val="24"/>
          <w:szCs w:val="24"/>
        </w:rPr>
        <w:t>urgical Specialty</w:t>
      </w:r>
    </w:p>
    <w:p w14:paraId="60896181" w14:textId="2AB98CF9" w:rsidR="00636357" w:rsidRDefault="004F4AB4" w:rsidP="00430E8F">
      <w:pPr>
        <w:pStyle w:val="ListParagraph"/>
        <w:numPr>
          <w:ilvl w:val="0"/>
          <w:numId w:val="23"/>
        </w:numPr>
        <w:spacing w:after="0" w:line="240" w:lineRule="auto"/>
        <w:rPr>
          <w:sz w:val="24"/>
          <w:szCs w:val="24"/>
        </w:rPr>
      </w:pPr>
      <w:r>
        <w:rPr>
          <w:sz w:val="24"/>
          <w:szCs w:val="24"/>
        </w:rPr>
        <w:t>Surgical volume</w:t>
      </w:r>
      <w:r w:rsidR="00206902">
        <w:rPr>
          <w:sz w:val="24"/>
          <w:szCs w:val="24"/>
        </w:rPr>
        <w:t xml:space="preserve"> performed at </w:t>
      </w:r>
      <w:r w:rsidR="00636357">
        <w:rPr>
          <w:sz w:val="24"/>
          <w:szCs w:val="24"/>
        </w:rPr>
        <w:t>other healthcare facilities</w:t>
      </w:r>
      <w:r w:rsidR="00FA03D3" w:rsidRPr="00FA03D3">
        <w:rPr>
          <w:sz w:val="24"/>
          <w:szCs w:val="24"/>
        </w:rPr>
        <w:t xml:space="preserve"> </w:t>
      </w:r>
    </w:p>
    <w:p w14:paraId="6247B42F" w14:textId="66485027" w:rsidR="008F2003" w:rsidRDefault="008F2003" w:rsidP="00561BCC">
      <w:pPr>
        <w:spacing w:after="0" w:line="240" w:lineRule="auto"/>
        <w:rPr>
          <w:b/>
          <w:bCs/>
          <w:sz w:val="24"/>
          <w:szCs w:val="24"/>
        </w:rPr>
      </w:pPr>
    </w:p>
    <w:p w14:paraId="0F459D5D" w14:textId="66E6D781" w:rsidR="004D293C" w:rsidRPr="005F07C5" w:rsidRDefault="00F83EBE" w:rsidP="00561BCC">
      <w:pPr>
        <w:spacing w:after="0" w:line="240" w:lineRule="auto"/>
        <w:rPr>
          <w:b/>
          <w:bCs/>
          <w:sz w:val="24"/>
          <w:szCs w:val="24"/>
        </w:rPr>
      </w:pPr>
      <w:r w:rsidRPr="005F07C5">
        <w:rPr>
          <w:b/>
          <w:bCs/>
          <w:sz w:val="24"/>
          <w:szCs w:val="24"/>
        </w:rPr>
        <w:t>REFERENCES</w:t>
      </w:r>
    </w:p>
    <w:sectPr w:rsidR="004D293C" w:rsidRPr="005F07C5" w:rsidSect="00CF2B67">
      <w:endnotePr>
        <w:numFmt w:val="lowerLetter"/>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29A1F8" w14:textId="77777777" w:rsidR="009F48DB" w:rsidRDefault="009F48DB" w:rsidP="00231103">
      <w:pPr>
        <w:spacing w:after="0" w:line="240" w:lineRule="auto"/>
      </w:pPr>
      <w:r>
        <w:separator/>
      </w:r>
    </w:p>
  </w:endnote>
  <w:endnote w:type="continuationSeparator" w:id="0">
    <w:p w14:paraId="009ABBBC" w14:textId="77777777" w:rsidR="009F48DB" w:rsidRDefault="009F48DB" w:rsidP="00231103">
      <w:pPr>
        <w:spacing w:after="0" w:line="240" w:lineRule="auto"/>
      </w:pPr>
      <w:r>
        <w:continuationSeparator/>
      </w:r>
    </w:p>
  </w:endnote>
  <w:endnote w:id="1">
    <w:p w14:paraId="25295864" w14:textId="0F7BDB51" w:rsidR="0081236D" w:rsidRDefault="0081236D">
      <w:pPr>
        <w:pStyle w:val="EndnoteText"/>
      </w:pPr>
      <w:r>
        <w:rPr>
          <w:rStyle w:val="EndnoteReference"/>
        </w:rPr>
        <w:endnoteRef/>
      </w:r>
      <w:r>
        <w:t xml:space="preserve"> </w:t>
      </w:r>
      <w:r w:rsidR="00CC693D" w:rsidRPr="0081236D">
        <w:t>Antonino</w:t>
      </w:r>
      <w:r w:rsidRPr="0081236D">
        <w:t xml:space="preserve"> JM, </w:t>
      </w:r>
      <w:r w:rsidR="00025BB3" w:rsidRPr="0081236D">
        <w:t>Antonino</w:t>
      </w:r>
      <w:r w:rsidRPr="0081236D">
        <w:t xml:space="preserve"> JF, Khatri V. How many operating rooms are needed to manage non-elective surgical cases? A Monte Carlo simulation study. </w:t>
      </w:r>
      <w:r w:rsidRPr="0081236D">
        <w:rPr>
          <w:i/>
          <w:iCs/>
        </w:rPr>
        <w:t>BMC Health Serv Res</w:t>
      </w:r>
      <w:r w:rsidRPr="0081236D">
        <w:t>. 2015;15:487. Published 2015 Oct 28. doi:10.1186/s12913-015-1148-x</w:t>
      </w:r>
    </w:p>
  </w:endnote>
  <w:endnote w:id="2">
    <w:p w14:paraId="626CA9EA" w14:textId="7A7B5013" w:rsidR="00EC341E" w:rsidRDefault="00EC341E" w:rsidP="00EC341E">
      <w:pPr>
        <w:pStyle w:val="EndnoteText"/>
      </w:pPr>
      <w:r>
        <w:rPr>
          <w:rStyle w:val="EndnoteReference"/>
        </w:rPr>
        <w:endnoteRef/>
      </w:r>
      <w:r>
        <w:t xml:space="preserve"> Avante Medical Surgical. An Introduction to Operating Room Design. </w:t>
      </w:r>
      <w:hyperlink r:id="rId1" w:history="1">
        <w:r w:rsidR="00EB3FD1">
          <w:rPr>
            <w:rStyle w:val="Hyperlink"/>
          </w:rPr>
          <w:t xml:space="preserve"> at the website https://www.dremed.com/medical_equipment_news/a-basic-guide-to-setting-up-todays-or/</w:t>
        </w:r>
      </w:hyperlink>
      <w:r>
        <w:t xml:space="preserve"> </w:t>
      </w:r>
    </w:p>
  </w:endnote>
  <w:endnote w:id="3">
    <w:p w14:paraId="5A28C1A7" w14:textId="6BE21F35" w:rsidR="002608D3" w:rsidRDefault="002608D3" w:rsidP="002608D3">
      <w:pPr>
        <w:pStyle w:val="EndnoteText"/>
      </w:pPr>
      <w:r>
        <w:rPr>
          <w:rStyle w:val="EndnoteReference"/>
        </w:rPr>
        <w:endnoteRef/>
      </w:r>
      <w:r>
        <w:t xml:space="preserve"> Avante Medical Surgical. An Introduction to Operating Room Design. </w:t>
      </w:r>
      <w:hyperlink r:id="rId2" w:history="1">
        <w:r w:rsidR="00EB3FD1">
          <w:rPr>
            <w:rStyle w:val="Hyperlink"/>
          </w:rPr>
          <w:t xml:space="preserve"> at the website https://www.dremed.com/medical_equipment_news/a-basic-guide-to-setting-up-todays-or/</w:t>
        </w:r>
      </w:hyperlink>
      <w:r>
        <w:t xml:space="preserve"> </w:t>
      </w:r>
    </w:p>
  </w:endnote>
  <w:endnote w:id="4">
    <w:p w14:paraId="689A0A64" w14:textId="7E8FDD7F" w:rsidR="002608D3" w:rsidRDefault="002608D3" w:rsidP="002608D3">
      <w:pPr>
        <w:pStyle w:val="EndnoteText"/>
      </w:pPr>
      <w:r>
        <w:rPr>
          <w:rStyle w:val="EndnoteReference"/>
        </w:rPr>
        <w:endnoteRef/>
      </w:r>
      <w:r>
        <w:t xml:space="preserve"> Operating Rooms Go Under the Knife. The New York Times. May 5, 2021. </w:t>
      </w:r>
      <w:hyperlink r:id="rId3" w:history="1">
        <w:r w:rsidR="00EB3FD1">
          <w:rPr>
            <w:rStyle w:val="Hyperlink"/>
          </w:rPr>
          <w:t>at https://www.nytimes.com/2021/05/05/health/operating-rooms-change-technology.html</w:t>
        </w:r>
      </w:hyperlink>
      <w:r w:rsidR="0043237B">
        <w:t xml:space="preserve"> </w:t>
      </w:r>
    </w:p>
  </w:endnote>
  <w:endnote w:id="5">
    <w:p w14:paraId="504F4949" w14:textId="22DB4A17" w:rsidR="00E723E4" w:rsidRDefault="00E723E4" w:rsidP="00E723E4">
      <w:pPr>
        <w:pStyle w:val="EndnoteText"/>
      </w:pPr>
      <w:r>
        <w:rPr>
          <w:rStyle w:val="EndnoteReference"/>
        </w:rPr>
        <w:endnoteRef/>
      </w:r>
      <w:r>
        <w:t xml:space="preserve"> </w:t>
      </w:r>
      <w:r w:rsidRPr="00891F14">
        <w:t xml:space="preserve">Sood A, Meyer CP, Abdollah F, </w:t>
      </w:r>
      <w:r w:rsidR="00025BB3" w:rsidRPr="00891F14">
        <w:t>Samman</w:t>
      </w:r>
      <w:r w:rsidRPr="00891F14">
        <w:t xml:space="preserve"> JD, Sun M, Lipsitz SR, Hollis M, Weissman JS, Menon M, Trinh QD. Minimally invasive surgery and its impact on 30-day postoperative complications, unplanned readmissions and mortality. Br J Surg. 2017 Sep;104(10):1372-1381. doi: 10.1002/bjs.10561. Epub 2017 Jun 20. PMID: 28632890.</w:t>
      </w:r>
    </w:p>
  </w:endnote>
  <w:endnote w:id="6">
    <w:p w14:paraId="155831B3" w14:textId="77777777" w:rsidR="00C61A37" w:rsidRDefault="00C61A37" w:rsidP="00C61A37">
      <w:pPr>
        <w:pStyle w:val="EndnoteText"/>
      </w:pPr>
      <w:r>
        <w:rPr>
          <w:rStyle w:val="EndnoteReference"/>
        </w:rPr>
        <w:endnoteRef/>
      </w:r>
      <w:r>
        <w:t xml:space="preserve"> </w:t>
      </w:r>
      <w:r w:rsidRPr="002A15DC">
        <w:t>Köckerling F. Robotic vs. Standard Laparoscopic Technique - What is Better?. Front Surg. 2014;1:15. Published 2014 May 15. doi:10.3389/fsurg.2014.00015</w:t>
      </w:r>
    </w:p>
  </w:endnote>
  <w:endnote w:id="7">
    <w:p w14:paraId="087A3E4A" w14:textId="77777777" w:rsidR="00CD011A" w:rsidRDefault="00CD011A" w:rsidP="00CD011A">
      <w:pPr>
        <w:pStyle w:val="EndnoteText"/>
      </w:pPr>
      <w:r>
        <w:rPr>
          <w:rStyle w:val="EndnoteReference"/>
        </w:rPr>
        <w:endnoteRef/>
      </w:r>
      <w:r>
        <w:t xml:space="preserve"> </w:t>
      </w:r>
      <w:r w:rsidRPr="00FF6D5E">
        <w:t>Wright JD, Ananth CV, Lewin SN, et al. Robotically Assisted vs Laparoscopic Hysterectomy Among Women With Benign Gynecologic Disease. </w:t>
      </w:r>
      <w:r w:rsidRPr="00FF6D5E">
        <w:rPr>
          <w:i/>
          <w:iCs/>
        </w:rPr>
        <w:t>JAMA.</w:t>
      </w:r>
      <w:r w:rsidRPr="00FF6D5E">
        <w:t> 2013;309(7):689–698. doi:10.1001/jama.2013.186</w:t>
      </w:r>
    </w:p>
  </w:endnote>
  <w:endnote w:id="8">
    <w:p w14:paraId="4234FEF2" w14:textId="77777777" w:rsidR="00602ED4" w:rsidRDefault="00602ED4" w:rsidP="00602ED4">
      <w:pPr>
        <w:pStyle w:val="EndnoteText"/>
      </w:pPr>
      <w:r>
        <w:rPr>
          <w:rStyle w:val="EndnoteReference"/>
        </w:rPr>
        <w:endnoteRef/>
      </w:r>
      <w:r>
        <w:t xml:space="preserve"> </w:t>
      </w:r>
      <w:r w:rsidRPr="00E77D8A">
        <w:t>Gandaglia G, Ghani KR, Sood A, et al. Effect of Minimally Invasive Surgery on the Risk for Surgical Site Infections: Results From the National Surgical Quality Improvement Program (NSQIP) Database. </w:t>
      </w:r>
      <w:r w:rsidRPr="00E77D8A">
        <w:rPr>
          <w:i/>
          <w:iCs/>
        </w:rPr>
        <w:t>JAMA Surg.</w:t>
      </w:r>
      <w:r w:rsidRPr="00E77D8A">
        <w:t> 2014;149(10):1039–1044. doi:10.1001/jamasurg.2014.292</w:t>
      </w:r>
    </w:p>
  </w:endnote>
  <w:endnote w:id="9">
    <w:p w14:paraId="15612A9F" w14:textId="77777777" w:rsidR="00A858AD" w:rsidRDefault="00A858AD" w:rsidP="00A858AD">
      <w:pPr>
        <w:pStyle w:val="EndnoteText"/>
      </w:pPr>
      <w:r>
        <w:rPr>
          <w:rStyle w:val="EndnoteReference"/>
        </w:rPr>
        <w:endnoteRef/>
      </w:r>
      <w:r>
        <w:t xml:space="preserve"> </w:t>
      </w:r>
      <w:r w:rsidRPr="00E77D8A">
        <w:t>Gandaglia G, Ghani KR, Sood A, et al. Effect of Minimally Invasive Surgery on the Risk for Surgical Site Infections: Results From the National Surgical Quality Improvement Program (NSQIP) Database. </w:t>
      </w:r>
      <w:r w:rsidRPr="00E77D8A">
        <w:rPr>
          <w:i/>
          <w:iCs/>
        </w:rPr>
        <w:t>JAMA Surg.</w:t>
      </w:r>
      <w:r w:rsidRPr="00E77D8A">
        <w:t> 2014;149(10):1039–1044. doi:10.1001/jamasurg.2014.292</w:t>
      </w:r>
    </w:p>
  </w:endnote>
  <w:endnote w:id="10">
    <w:p w14:paraId="2940B28D" w14:textId="77777777" w:rsidR="004632BB" w:rsidRDefault="004632BB" w:rsidP="004632BB">
      <w:pPr>
        <w:pStyle w:val="EndnoteText"/>
      </w:pPr>
      <w:r>
        <w:rPr>
          <w:rStyle w:val="EndnoteReference"/>
        </w:rPr>
        <w:endnoteRef/>
      </w:r>
      <w:r>
        <w:t xml:space="preserve"> </w:t>
      </w:r>
      <w:r w:rsidRPr="000043B7">
        <w:t>Rangrass G, Ghaferi AA, Dimick JB. Explaining racial disparities in outcomes after cardiac surgery: the role of hospital quality. JAMA Surg. 2014 Mar;149(3):223-7. doi: 10.1001/jamasurg.2013.4041. PMID: 24402245.</w:t>
      </w:r>
    </w:p>
  </w:endnote>
  <w:endnote w:id="11">
    <w:p w14:paraId="320E8A3D" w14:textId="72691B50" w:rsidR="004632BB" w:rsidRDefault="004632BB" w:rsidP="004632BB">
      <w:pPr>
        <w:pStyle w:val="EndnoteText"/>
      </w:pPr>
      <w:r>
        <w:rPr>
          <w:rStyle w:val="EndnoteReference"/>
        </w:rPr>
        <w:endnoteRef/>
      </w:r>
      <w:r>
        <w:t xml:space="preserve"> </w:t>
      </w:r>
      <w:r w:rsidR="00CC693D" w:rsidRPr="00A25432">
        <w:t>Readmes</w:t>
      </w:r>
      <w:r w:rsidRPr="00A25432">
        <w:t xml:space="preserve"> BN, Birkmeyer NJ, Dimick JB, Ghaferi AA. Socioeconomic disparities in mortality after cancer surgery: failure to rescue. JAMA Surg. 2014 May;149(5):475-81. doi: 10.1001/jamasurg.2013.5076. PMID: 24623106; PMCID: PMC4412271.</w:t>
      </w:r>
    </w:p>
  </w:endnote>
  <w:endnote w:id="12">
    <w:p w14:paraId="72DA16C8" w14:textId="4549B32A" w:rsidR="004632BB" w:rsidRDefault="004632BB" w:rsidP="004632BB">
      <w:pPr>
        <w:pStyle w:val="EndnoteText"/>
      </w:pPr>
      <w:r>
        <w:rPr>
          <w:rStyle w:val="EndnoteReference"/>
        </w:rPr>
        <w:endnoteRef/>
      </w:r>
      <w:r>
        <w:t xml:space="preserve"> </w:t>
      </w:r>
      <w:r w:rsidRPr="00E257D6">
        <w:t xml:space="preserve">LaPar DJ, Bhamidipati CM, Harris DA, </w:t>
      </w:r>
      <w:r w:rsidR="00CC693D" w:rsidRPr="00E257D6">
        <w:t>Kowtower</w:t>
      </w:r>
      <w:r w:rsidRPr="00E257D6">
        <w:t xml:space="preserve"> BD, Jones DR, Kron IL, Ailawadi G, Lau CL. Gender, race, and socioeconomic status affects outcomes after lung cancer resections in the United States. Ann Thorac Surg. 2011 Aug;92(2):434-9. doi: 10.1016/j.athoracsur.2011.04.048. Epub 2011 Jun 25. PMID: 21704976; PMCID: PMC3282148.</w:t>
      </w:r>
    </w:p>
  </w:endnote>
  <w:endnote w:id="13">
    <w:p w14:paraId="33A8E194" w14:textId="5C42D37E" w:rsidR="004632BB" w:rsidRDefault="004632BB" w:rsidP="004632BB">
      <w:pPr>
        <w:pStyle w:val="EndnoteText"/>
      </w:pPr>
      <w:r>
        <w:rPr>
          <w:rStyle w:val="EndnoteReference"/>
        </w:rPr>
        <w:endnoteRef/>
      </w:r>
      <w:r>
        <w:t xml:space="preserve"> </w:t>
      </w:r>
      <w:r w:rsidR="00025BB3" w:rsidRPr="00A25432">
        <w:t>Readmes</w:t>
      </w:r>
      <w:r w:rsidRPr="00A25432">
        <w:t xml:space="preserve"> BN, Birkmeyer NJ, Dimick JB, Ghaferi AA. Socioeconomic disparities in mortality after cancer surgery: failure to rescue. JAMA Surg. 2014 May;149(5):475-81. doi: 10.1001/jamasurg.2013.5076. PMID: 24623106; PMCID: PMC4412271.</w:t>
      </w:r>
    </w:p>
  </w:endnote>
  <w:endnote w:id="14">
    <w:p w14:paraId="70E2CC65" w14:textId="77777777" w:rsidR="004632BB" w:rsidRDefault="004632BB" w:rsidP="004632BB">
      <w:pPr>
        <w:pStyle w:val="EndnoteText"/>
      </w:pPr>
      <w:r>
        <w:rPr>
          <w:rStyle w:val="EndnoteReference"/>
        </w:rPr>
        <w:endnoteRef/>
      </w:r>
      <w:r>
        <w:t xml:space="preserve"> </w:t>
      </w:r>
      <w:r w:rsidRPr="00B801FE">
        <w:t>Loehrer AP, Song Z, Auchincloss HG, Hutter MM. Massachusetts Health Care Reform and Reduced Racial Disparities in Minimally Invasive Surgery. </w:t>
      </w:r>
      <w:r w:rsidRPr="00B801FE">
        <w:rPr>
          <w:i/>
          <w:iCs/>
        </w:rPr>
        <w:t>JAMA Surg.</w:t>
      </w:r>
      <w:r w:rsidRPr="00B801FE">
        <w:t> 2013;148(12):1116–1122. doi:10.1001/jamasurg.2013.2750</w:t>
      </w:r>
    </w:p>
  </w:endnote>
  <w:endnote w:id="15">
    <w:p w14:paraId="19BE67D4" w14:textId="0A091C62" w:rsidR="00FA7C2B" w:rsidRDefault="00FA7C2B">
      <w:pPr>
        <w:pStyle w:val="EndnoteText"/>
      </w:pPr>
      <w:r>
        <w:rPr>
          <w:rStyle w:val="EndnoteReference"/>
        </w:rPr>
        <w:endnoteRef/>
      </w:r>
      <w:r>
        <w:t xml:space="preserve"> </w:t>
      </w:r>
      <w:r w:rsidRPr="00FA7C2B">
        <w:t xml:space="preserve">Heywood Healthcare Community Health Assessment (2018). </w:t>
      </w:r>
      <w:hyperlink r:id="rId4" w:history="1">
        <w:r w:rsidR="00EB3FD1">
          <w:rPr>
            <w:rStyle w:val="Hyperlink"/>
          </w:rPr>
          <w:t>at https://www.heywood.org/files/dmHTMLFile/2018-heywood-healthcare-community-health-needs-assessment-full-report1.pdf</w:t>
        </w:r>
      </w:hyperlink>
    </w:p>
  </w:endnote>
  <w:endnote w:id="16">
    <w:p w14:paraId="74F7A273" w14:textId="65E321BD" w:rsidR="009022C8" w:rsidRDefault="009022C8">
      <w:pPr>
        <w:pStyle w:val="EndnoteText"/>
      </w:pPr>
      <w:r>
        <w:rPr>
          <w:rStyle w:val="EndnoteReference"/>
        </w:rPr>
        <w:endnoteRef/>
      </w:r>
      <w:r>
        <w:t xml:space="preserve"> </w:t>
      </w:r>
      <w:r w:rsidRPr="009022C8">
        <w:t xml:space="preserve">HealthIT.gov, </w:t>
      </w:r>
      <w:hyperlink r:id="rId5" w:history="1">
        <w:r w:rsidR="00EB3FD1">
          <w:rPr>
            <w:rStyle w:val="Hyperlink"/>
          </w:rPr>
          <w:t xml:space="preserve"> at the website https://www.healthit.gov/topic/health-it-and-health-information-exchange-basics/improved-diagnostics-patientoutcomes</w:t>
        </w:r>
      </w:hyperlink>
      <w:r>
        <w:t xml:space="preserve"> </w:t>
      </w:r>
    </w:p>
  </w:endnote>
  <w:endnote w:id="17">
    <w:p w14:paraId="18B4A5CC" w14:textId="4AED7E17" w:rsidR="009A4375" w:rsidRDefault="009A4375">
      <w:pPr>
        <w:pStyle w:val="EndnoteText"/>
      </w:pPr>
      <w:r>
        <w:rPr>
          <w:rStyle w:val="EndnoteReference"/>
        </w:rPr>
        <w:endnoteRef/>
      </w:r>
      <w:r>
        <w:t xml:space="preserve"> </w:t>
      </w:r>
      <w:r w:rsidRPr="009A4375">
        <w:t>The Office of the National Coordinator for Health Information Technology (ONC), Department of Health and Human Services, United States, HealthIT.gov. What are the Advantages of Electronic Health Records?</w:t>
      </w:r>
    </w:p>
  </w:endnote>
  <w:endnote w:id="18">
    <w:p w14:paraId="69C20EFC" w14:textId="77777777" w:rsidR="00416CCB" w:rsidRDefault="00416CCB" w:rsidP="00416CCB">
      <w:pPr>
        <w:pStyle w:val="EndnoteText"/>
      </w:pPr>
      <w:r>
        <w:rPr>
          <w:rStyle w:val="EndnoteReference"/>
        </w:rPr>
        <w:endnoteRef/>
      </w:r>
      <w:r>
        <w:t xml:space="preserve"> </w:t>
      </w:r>
      <w:r w:rsidRPr="007B2552">
        <w:t>Sood A, Meyer CP, Abdollah F, Sammon JD, Sun M, Lipsitz SR, Hollis M, Weissman JS, Menon M, Trinh QD. Minimally invasive surgery and its impact on 30-day postoperative complications, unplanned readmissions and mortality. Br J Surg. 2017 Sep;104(10):1372-1381. doi: 10.1002/bjs.10561. Epub 2017 Jun 20. PMID: 28632890.</w:t>
      </w:r>
    </w:p>
  </w:endnote>
  <w:endnote w:id="19">
    <w:p w14:paraId="368BE495" w14:textId="77777777" w:rsidR="0050496F" w:rsidRDefault="0050496F" w:rsidP="0050496F">
      <w:pPr>
        <w:pStyle w:val="EndnoteText"/>
      </w:pPr>
      <w:r>
        <w:rPr>
          <w:rStyle w:val="EndnoteReference"/>
        </w:rPr>
        <w:endnoteRef/>
      </w:r>
      <w:r>
        <w:t xml:space="preserve"> </w:t>
      </w:r>
      <w:r w:rsidRPr="00E77D8A">
        <w:t>Gandaglia G, Ghani KR, Sood A, et al. Effect of Minimally Invasive Surgery on the Risk for Surgical Site Infections: Results From the National Surgical Quality Improvement Program (NSQIP) Database. </w:t>
      </w:r>
      <w:r w:rsidRPr="00E77D8A">
        <w:rPr>
          <w:i/>
          <w:iCs/>
        </w:rPr>
        <w:t>JAMA Surg.</w:t>
      </w:r>
      <w:r w:rsidRPr="00E77D8A">
        <w:t> 2014;149(10):1039–1044. doi:10.1001/jamasurg.2014.292</w:t>
      </w:r>
    </w:p>
  </w:endnote>
  <w:endnote w:id="20">
    <w:p w14:paraId="4E71FE7C" w14:textId="7C89D0C0" w:rsidR="00AA1603" w:rsidRDefault="00AA1603">
      <w:pPr>
        <w:pStyle w:val="EndnoteText"/>
      </w:pPr>
      <w:r>
        <w:rPr>
          <w:rStyle w:val="EndnoteReference"/>
        </w:rPr>
        <w:endnoteRef/>
      </w:r>
      <w:r>
        <w:t xml:space="preserve"> </w:t>
      </w:r>
      <w:r w:rsidR="00CA1387" w:rsidRPr="00CA1387">
        <w:t>Xu T, Hutfless SM, Cooper MA, Zhou M, Massie AB, Makary MA. Hospital cost implications of increased use of minimally invasive surgery. JAMA Surg. 2015 May;150(5):489-90. doi: 10.1001/jamasurg.2014.4052. PMID: 25807207.</w:t>
      </w:r>
    </w:p>
  </w:endnote>
  <w:endnote w:id="21">
    <w:p w14:paraId="13A8C82B" w14:textId="02974865" w:rsidR="002505DF" w:rsidRDefault="002505DF">
      <w:pPr>
        <w:pStyle w:val="EndnoteText"/>
      </w:pPr>
      <w:r>
        <w:rPr>
          <w:rStyle w:val="EndnoteReference"/>
        </w:rPr>
        <w:endnoteRef/>
      </w:r>
      <w:r>
        <w:t xml:space="preserve"> Johns Hopkins Medicine. </w:t>
      </w:r>
      <w:r w:rsidRPr="002505DF">
        <w:t>Use of Minimally Invasive Surgery Could Lower Health Care Costs by Hundreds of Millions a Year</w:t>
      </w:r>
      <w:r w:rsidR="000A18DC">
        <w:t xml:space="preserve">. March 25, 2015. </w:t>
      </w:r>
      <w:hyperlink r:id="rId6" w:history="1">
        <w:r w:rsidR="00534498">
          <w:rPr>
            <w:rStyle w:val="Hyperlink"/>
          </w:rPr>
          <w:t>at https://www.hopkinsmedicine.org/news/media/releases/use_of_minimally_invasive_surgery_could_lower_health_care_costs_by_hundreds_of_millions_a_year</w:t>
        </w:r>
      </w:hyperlink>
      <w:r w:rsidR="00E950BD">
        <w:t xml:space="preserve"> </w:t>
      </w:r>
    </w:p>
  </w:endnote>
  <w:endnote w:id="22">
    <w:p w14:paraId="7EE207B6" w14:textId="7887B5A8" w:rsidR="004C250B" w:rsidRDefault="004C250B" w:rsidP="004C250B">
      <w:pPr>
        <w:pStyle w:val="EndnoteText"/>
      </w:pPr>
      <w:r>
        <w:rPr>
          <w:rStyle w:val="EndnoteReference"/>
        </w:rPr>
        <w:endnoteRef/>
      </w:r>
      <w:r>
        <w:t xml:space="preserve"> Barnes, S. </w:t>
      </w:r>
      <w:r w:rsidRPr="001A3E9C">
        <w:t>Key issues for perioperative leaders regarding the COVID-19 pandemic</w:t>
      </w:r>
      <w:r>
        <w:t xml:space="preserve">. Beckers Clinical Leadership and Infection Control. </w:t>
      </w:r>
      <w:hyperlink r:id="rId7" w:history="1">
        <w:r w:rsidR="00534498">
          <w:rPr>
            <w:rStyle w:val="Hyperlink"/>
          </w:rPr>
          <w:t>at https://www.beckershospitalreview.com/quality/key-issues-for-perioperative-leaders-regarding-the-covid-19-pandemic.html</w:t>
        </w:r>
      </w:hyperlink>
      <w:r>
        <w:t xml:space="preserve"> </w:t>
      </w:r>
    </w:p>
  </w:endnote>
  <w:endnote w:id="23">
    <w:p w14:paraId="4C90097B" w14:textId="77777777" w:rsidR="008933C0" w:rsidRDefault="008933C0" w:rsidP="008933C0">
      <w:pPr>
        <w:pStyle w:val="EndnoteText"/>
      </w:pPr>
      <w:r>
        <w:rPr>
          <w:rStyle w:val="EndnoteReference"/>
        </w:rPr>
        <w:endnoteRef/>
      </w:r>
      <w:r>
        <w:t xml:space="preserve"> </w:t>
      </w:r>
      <w:r w:rsidRPr="00293C7A">
        <w:t>Cooper MA, Hutfless S, Segev DL, Ibrahim A, Lyu H, Makary MA. Hospital level under-utilization of minimally invasive surgery in the United States: retrospective review. </w:t>
      </w:r>
      <w:r w:rsidRPr="00293C7A">
        <w:rPr>
          <w:i/>
          <w:iCs/>
        </w:rPr>
        <w:t>BMJ</w:t>
      </w:r>
      <w:r w:rsidRPr="00293C7A">
        <w:t>. 2014;349:g4198. Published 2014 Jul 8. doi:10.1136/bmj.g4198</w:t>
      </w:r>
    </w:p>
  </w:endnote>
  <w:endnote w:id="24">
    <w:p w14:paraId="497838AC" w14:textId="77777777" w:rsidR="008933C0" w:rsidRDefault="008933C0" w:rsidP="008933C0">
      <w:pPr>
        <w:pStyle w:val="EndnoteText"/>
      </w:pPr>
      <w:r>
        <w:rPr>
          <w:rStyle w:val="EndnoteReference"/>
        </w:rPr>
        <w:endnoteRef/>
      </w:r>
      <w:r>
        <w:t xml:space="preserve"> </w:t>
      </w:r>
      <w:r w:rsidRPr="00660BE8">
        <w:t>Keller DS, Senagore AJ, Fitch K, Bochner A, Haas EM. A new perspective on the value of minimally invasive colorectal surgery-payer, provider, and patient benefits. Surg Endosc. 2017 Jul;31(7):2846-2853. doi: 10.1007/s00464-016-5295-x. Epub 2016 Nov 4. PMID: 27815745.</w:t>
      </w:r>
    </w:p>
  </w:endnote>
  <w:endnote w:id="25">
    <w:p w14:paraId="5FBCF393" w14:textId="6F52E0E2" w:rsidR="004D661F" w:rsidRDefault="004D661F">
      <w:pPr>
        <w:pStyle w:val="EndnoteText"/>
      </w:pPr>
      <w:r>
        <w:rPr>
          <w:rStyle w:val="EndnoteReference"/>
        </w:rPr>
        <w:endnoteRef/>
      </w:r>
      <w:r>
        <w:t xml:space="preserve"> </w:t>
      </w:r>
      <w:r w:rsidRPr="004D661F">
        <w:t>Liberman D, Trinh QD, Jeldres C, Zorn KC. Is robotic surgery cost-effective: yes. Curr Opin Urol. 2012 Jan;22(1):61-5. doi: 10.1097/MOU.0b013e32834d543f. PMID: 22037320.</w:t>
      </w:r>
    </w:p>
  </w:endnote>
  <w:endnote w:id="26">
    <w:p w14:paraId="61508F1B" w14:textId="32C87279" w:rsidR="004D661F" w:rsidRDefault="004D661F">
      <w:pPr>
        <w:pStyle w:val="EndnoteText"/>
      </w:pPr>
      <w:r>
        <w:rPr>
          <w:rStyle w:val="EndnoteReference"/>
        </w:rPr>
        <w:endnoteRef/>
      </w:r>
      <w:r>
        <w:t xml:space="preserve"> </w:t>
      </w:r>
      <w:r w:rsidRPr="004D661F">
        <w:t>Simianu, Vlad V. MD, MPH; Gaertner, Wolfgang B. MD; Kuntz, Karen ScD; Kwaan, Mary R. MD, MPH; Lowry, Ann C. MD; Madoff, Robert D. MD; Jensen, Christine C. MD, MPH. Cost-effectiveness Evaluation of Laparoscopic Versus Robotic Minimally Invasive Colectomy, Annals of Surgery: August 2020 - Volume 272 - Issue 2 - p 334-341</w:t>
      </w:r>
    </w:p>
  </w:endnote>
  <w:endnote w:id="27">
    <w:p w14:paraId="5262CB4D" w14:textId="7E91DCA7" w:rsidR="00F6612B" w:rsidRDefault="00F6612B">
      <w:pPr>
        <w:pStyle w:val="EndnoteText"/>
      </w:pPr>
      <w:r>
        <w:rPr>
          <w:rStyle w:val="EndnoteReference"/>
        </w:rPr>
        <w:endnoteRef/>
      </w:r>
      <w:r>
        <w:t xml:space="preserve"> </w:t>
      </w:r>
      <w:r w:rsidRPr="00F6612B">
        <w:t>Simianu, Vlad V. MD, MPH; Gaertner, Wolfgang B. MD; Kuntz, Karen ScD; Kwaan, Mary R. MD, MPH; Lowry, Ann C. MD; Madoff, Robert D. MD; Jensen, Christine C. MD, MPH. Cost-effectiveness Evaluation of Laparoscopic Versus Robotic Minimally Invasive Colectomy, Annals of Surgery: August 2020 - Volume 272 - Issue 2 - p 334-341</w:t>
      </w:r>
    </w:p>
  </w:endnote>
  <w:endnote w:id="28">
    <w:p w14:paraId="3F34B746" w14:textId="53391763" w:rsidR="00964294" w:rsidRDefault="00964294">
      <w:pPr>
        <w:pStyle w:val="EndnoteText"/>
      </w:pPr>
      <w:r>
        <w:rPr>
          <w:rStyle w:val="EndnoteReference"/>
        </w:rPr>
        <w:endnoteRef/>
      </w:r>
      <w:r>
        <w:t xml:space="preserve"> </w:t>
      </w:r>
      <w:r w:rsidRPr="00964294">
        <w:t>Leddy L, Lendvay T, Satava R. Robotic surgery: applications and cost effectiveness. Open Access Surgery. 2010;3:99-107</w:t>
      </w:r>
    </w:p>
  </w:endnote>
  <w:endnote w:id="29">
    <w:p w14:paraId="3B691E9B" w14:textId="337A4BA7" w:rsidR="00026600" w:rsidRDefault="00026600">
      <w:pPr>
        <w:pStyle w:val="EndnoteText"/>
      </w:pPr>
      <w:r>
        <w:rPr>
          <w:rStyle w:val="EndnoteReference"/>
        </w:rPr>
        <w:endnoteRef/>
      </w:r>
      <w:r>
        <w:t xml:space="preserve"> Heywood Healthcare Community Health Assessment (2018).</w:t>
      </w:r>
      <w:r w:rsidRPr="00026600">
        <w:t xml:space="preserve"> </w:t>
      </w:r>
    </w:p>
  </w:endnote>
  <w:endnote w:id="30">
    <w:p w14:paraId="3E30C4E9" w14:textId="26F3BC3A" w:rsidR="00D3318C" w:rsidRDefault="00D3318C">
      <w:pPr>
        <w:pStyle w:val="EndnoteText"/>
      </w:pPr>
      <w:r>
        <w:rPr>
          <w:rStyle w:val="EndnoteReference"/>
        </w:rPr>
        <w:endnoteRef/>
      </w:r>
      <w:r>
        <w:t xml:space="preserve"> American Community Survey 2015-2019, 5-Year Estimates U.S. Census Bureau</w:t>
      </w:r>
    </w:p>
  </w:endnote>
  <w:endnote w:id="31">
    <w:p w14:paraId="7929966B" w14:textId="75B5055B" w:rsidR="00AC6D52" w:rsidRDefault="00AC6D52" w:rsidP="00AC6D52">
      <w:pPr>
        <w:pStyle w:val="EndnoteText"/>
      </w:pPr>
      <w:r>
        <w:rPr>
          <w:rStyle w:val="EndnoteReference"/>
        </w:rPr>
        <w:endnoteRef/>
      </w:r>
      <w:r>
        <w:t xml:space="preserve"> Heywood Healthcare Community Health Assessment (2018 </w:t>
      </w:r>
    </w:p>
  </w:endnote>
  <w:endnote w:id="32">
    <w:p w14:paraId="33F81D62" w14:textId="3C9B5D09" w:rsidR="003E59FB" w:rsidRDefault="003E59FB" w:rsidP="003E59FB">
      <w:pPr>
        <w:pStyle w:val="EndnoteText"/>
      </w:pPr>
      <w:r>
        <w:rPr>
          <w:rStyle w:val="EndnoteReference"/>
        </w:rPr>
        <w:endnoteRef/>
      </w:r>
      <w:r>
        <w:t xml:space="preserve"> Heywood Healthcare Community Health Assessment (2018).</w:t>
      </w:r>
      <w:r w:rsidRPr="00026600">
        <w:t xml:space="preserve"> </w:t>
      </w:r>
    </w:p>
  </w:endnote>
  <w:endnote w:id="33">
    <w:p w14:paraId="1F8A006F" w14:textId="2F4CE82E" w:rsidR="00F81B28" w:rsidRDefault="00F81B28" w:rsidP="00F81B28">
      <w:pPr>
        <w:pStyle w:val="EndnoteText"/>
      </w:pPr>
      <w:r>
        <w:rPr>
          <w:rStyle w:val="EndnoteReference"/>
        </w:rPr>
        <w:endnoteRef/>
      </w:r>
      <w:r>
        <w:t xml:space="preserve"> Heywood Healthcare Community Health Assessment (2018).</w:t>
      </w:r>
      <w:r w:rsidRPr="00026600">
        <w:t xml:space="preserve"> </w:t>
      </w:r>
    </w:p>
  </w:endnote>
  <w:endnote w:id="34">
    <w:p w14:paraId="501185CF" w14:textId="2E17078F" w:rsidR="00CD3BA0" w:rsidRDefault="00CD3BA0">
      <w:pPr>
        <w:pStyle w:val="EndnoteText"/>
      </w:pPr>
      <w:r>
        <w:rPr>
          <w:rStyle w:val="EndnoteReference"/>
        </w:rPr>
        <w:endnoteRef/>
      </w:r>
      <w:r>
        <w:t xml:space="preserve"> Tobacco Community Fact Sheet. Winchendon, Massachusetts. </w:t>
      </w:r>
      <w:hyperlink r:id="rId8" w:history="1">
        <w:r w:rsidR="00534498">
          <w:rPr>
            <w:rStyle w:val="Hyperlink"/>
          </w:rPr>
          <w:t>at https://makesmokinghistory.org/wp-content/themes/makesmokinghistory/tafi/pdf/TAFI-Winchendon.pdf?pdf=Tafi</w:t>
        </w:r>
      </w:hyperlink>
      <w:r>
        <w:t xml:space="preserve"> </w:t>
      </w:r>
    </w:p>
  </w:endnote>
  <w:endnote w:id="35">
    <w:p w14:paraId="06134EA0" w14:textId="4F7025B5" w:rsidR="00CD3BA0" w:rsidRDefault="00CD3BA0">
      <w:pPr>
        <w:pStyle w:val="EndnoteText"/>
      </w:pPr>
      <w:r>
        <w:rPr>
          <w:rStyle w:val="EndnoteReference"/>
        </w:rPr>
        <w:endnoteRef/>
      </w:r>
      <w:r>
        <w:t xml:space="preserve"> Tobacco Community Fact Sheet. Gardner Massachusetts. </w:t>
      </w:r>
      <w:hyperlink r:id="rId9" w:history="1">
        <w:r w:rsidR="00534498">
          <w:rPr>
            <w:rStyle w:val="Hyperlink"/>
          </w:rPr>
          <w:t>at http://makesmokinghistory.org/wp-content/themes/makesmokinghistory/tafi/pdf/TAFI-Gardner.pdf</w:t>
        </w:r>
      </w:hyperlink>
      <w:r>
        <w:t xml:space="preserve"> </w:t>
      </w:r>
    </w:p>
  </w:endnote>
  <w:endnote w:id="36">
    <w:p w14:paraId="065AFE06" w14:textId="42F9B165" w:rsidR="00431025" w:rsidRDefault="00431025">
      <w:pPr>
        <w:pStyle w:val="EndnoteText"/>
      </w:pPr>
      <w:r>
        <w:rPr>
          <w:rStyle w:val="EndnoteReference"/>
        </w:rPr>
        <w:endnoteRef/>
      </w:r>
      <w:r>
        <w:t xml:space="preserve"> PolicyMap.</w:t>
      </w:r>
      <w:r w:rsidRPr="00431025">
        <w:t xml:space="preserve"> </w:t>
      </w:r>
      <w:hyperlink r:id="rId10" w:history="1">
        <w:r w:rsidR="00534498">
          <w:rPr>
            <w:rStyle w:val="Hyperlink"/>
          </w:rPr>
          <w:t>at https://www.policymap.com/</w:t>
        </w:r>
      </w:hyperlink>
      <w:r>
        <w:t xml:space="preserve"> </w:t>
      </w:r>
    </w:p>
  </w:endnote>
  <w:endnote w:id="37">
    <w:p w14:paraId="648AE0E8" w14:textId="3473F23F" w:rsidR="00BF59F0" w:rsidRDefault="00BF59F0" w:rsidP="00BF59F0">
      <w:pPr>
        <w:pStyle w:val="EndnoteText"/>
      </w:pPr>
      <w:r>
        <w:rPr>
          <w:rStyle w:val="EndnoteReference"/>
        </w:rPr>
        <w:endnoteRef/>
      </w:r>
      <w:r>
        <w:t xml:space="preserve"> Heywood Healthcare Community Health Assessment (2018).</w:t>
      </w:r>
      <w:r w:rsidRPr="00026600">
        <w:t xml:space="preserve"> </w:t>
      </w:r>
    </w:p>
  </w:endnote>
  <w:endnote w:id="38">
    <w:p w14:paraId="349D22D5" w14:textId="60D32C48" w:rsidR="004E2072" w:rsidRDefault="004E2072">
      <w:pPr>
        <w:pStyle w:val="EndnoteText"/>
      </w:pPr>
      <w:r>
        <w:rPr>
          <w:rStyle w:val="EndnoteReference"/>
        </w:rPr>
        <w:endnoteRef/>
      </w:r>
      <w:r>
        <w:t xml:space="preserve"> Agency for Healthcare Research and Quality (AHRQ). </w:t>
      </w:r>
      <w:r w:rsidRPr="004E2072">
        <w:t>Achieving Health Equity in Preventive Services: Systematic Evidence Review</w:t>
      </w:r>
      <w:r>
        <w:t xml:space="preserve">. </w:t>
      </w:r>
      <w:hyperlink r:id="rId11" w:history="1">
        <w:r w:rsidR="00534498">
          <w:rPr>
            <w:rStyle w:val="Hyperlink"/>
          </w:rPr>
          <w:t>at https://effectivehealthcare.ahrq.gov/products/health-equity-preventive/protocol</w:t>
        </w:r>
      </w:hyperlink>
      <w:bookmarkStart w:id="1" w:name="_GoBack"/>
      <w:bookmarkEnd w:id="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5575B" w14:textId="77777777" w:rsidR="00407A67" w:rsidRDefault="00407A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5999566"/>
      <w:docPartObj>
        <w:docPartGallery w:val="Page Numbers (Bottom of Page)"/>
        <w:docPartUnique/>
      </w:docPartObj>
    </w:sdtPr>
    <w:sdtEndPr>
      <w:rPr>
        <w:noProof/>
      </w:rPr>
    </w:sdtEndPr>
    <w:sdtContent>
      <w:p w14:paraId="77B228D2" w14:textId="7145F246" w:rsidR="00127AF5" w:rsidRDefault="00127AF5">
        <w:pPr>
          <w:pStyle w:val="Footer"/>
          <w:jc w:val="center"/>
        </w:pPr>
        <w:r>
          <w:fldChar w:fldCharType="begin"/>
        </w:r>
        <w:r>
          <w:instrText xml:space="preserve"> PAGE   \* MERGEFORMAT </w:instrText>
        </w:r>
        <w:r>
          <w:fldChar w:fldCharType="separate"/>
        </w:r>
        <w:r w:rsidR="0065685F">
          <w:rPr>
            <w:noProof/>
          </w:rPr>
          <w:t>14</w:t>
        </w:r>
        <w:r>
          <w:rPr>
            <w:noProof/>
          </w:rPr>
          <w:fldChar w:fldCharType="end"/>
        </w:r>
      </w:p>
    </w:sdtContent>
  </w:sdt>
  <w:p w14:paraId="2BD65ADA" w14:textId="77777777" w:rsidR="00127AF5" w:rsidRDefault="00127A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705FE" w14:textId="77777777" w:rsidR="00407A67" w:rsidRDefault="00407A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7CFFA0" w14:textId="77777777" w:rsidR="009F48DB" w:rsidRDefault="009F48DB" w:rsidP="00231103">
      <w:pPr>
        <w:spacing w:after="0" w:line="240" w:lineRule="auto"/>
      </w:pPr>
      <w:r>
        <w:separator/>
      </w:r>
    </w:p>
  </w:footnote>
  <w:footnote w:type="continuationSeparator" w:id="0">
    <w:p w14:paraId="2A0C7640" w14:textId="77777777" w:rsidR="009F48DB" w:rsidRDefault="009F48DB" w:rsidP="00231103">
      <w:pPr>
        <w:spacing w:after="0" w:line="240" w:lineRule="auto"/>
      </w:pPr>
      <w:r>
        <w:continuationSeparator/>
      </w:r>
    </w:p>
  </w:footnote>
  <w:footnote w:id="1">
    <w:p w14:paraId="6F50D9FD" w14:textId="77777777" w:rsidR="009C3FE9" w:rsidRPr="007521A6" w:rsidRDefault="009C3FE9" w:rsidP="009C3FE9">
      <w:pPr>
        <w:pStyle w:val="FootnoteText"/>
        <w:rPr>
          <w:sz w:val="18"/>
          <w:szCs w:val="18"/>
        </w:rPr>
      </w:pPr>
      <w:r w:rsidRPr="007521A6">
        <w:rPr>
          <w:rStyle w:val="FootnoteReference"/>
          <w:sz w:val="18"/>
          <w:szCs w:val="18"/>
        </w:rPr>
        <w:footnoteRef/>
      </w:r>
      <w:r w:rsidRPr="007521A6">
        <w:rPr>
          <w:sz w:val="18"/>
          <w:szCs w:val="18"/>
        </w:rPr>
        <w:t xml:space="preserve"> High Public Payer Hospitals (HPP) receive a minimum of 63% of gross patient service revenue from public payers.</w:t>
      </w:r>
    </w:p>
  </w:footnote>
  <w:footnote w:id="2">
    <w:p w14:paraId="0BC7AF75" w14:textId="1E050EEE" w:rsidR="009C3FE9" w:rsidRPr="00FE362C" w:rsidRDefault="009C3FE9" w:rsidP="009C3FE9">
      <w:pPr>
        <w:pStyle w:val="FootnoteText"/>
        <w:rPr>
          <w:sz w:val="18"/>
          <w:szCs w:val="18"/>
        </w:rPr>
      </w:pPr>
      <w:r w:rsidRPr="007521A6">
        <w:rPr>
          <w:rStyle w:val="FootnoteReference"/>
          <w:sz w:val="18"/>
          <w:szCs w:val="18"/>
        </w:rPr>
        <w:footnoteRef/>
      </w:r>
      <w:r w:rsidRPr="007521A6">
        <w:rPr>
          <w:sz w:val="18"/>
          <w:szCs w:val="18"/>
        </w:rPr>
        <w:t xml:space="preserve"> Critical Access Hospital is a designation given to eligible rural hospitals by the Centers for Medicare and Medicaid Services (CMS). The CAH designation is designed to reduce the financial vulnerability of rural hospitals and improve access to healthcare by keeping essential services in rural communities. To accomplish this goal, CAHs receive certain benefits, such as cost-based reimbursement for Medicare services. </w:t>
      </w:r>
      <w:hyperlink r:id="rId1" w:history="1">
        <w:r w:rsidR="00EB3FD1">
          <w:rPr>
            <w:rStyle w:val="Hyperlink"/>
            <w:sz w:val="18"/>
            <w:szCs w:val="18"/>
          </w:rPr>
          <w:t xml:space="preserve"> at the website https://www.ruralhealthinfo.org/topics/critical-access-hospitals</w:t>
        </w:r>
      </w:hyperlink>
      <w:r>
        <w:rPr>
          <w:sz w:val="18"/>
          <w:szCs w:val="18"/>
        </w:rPr>
        <w:t xml:space="preserve"> </w:t>
      </w:r>
    </w:p>
  </w:footnote>
  <w:footnote w:id="3">
    <w:p w14:paraId="12CC34D9" w14:textId="17E980B9" w:rsidR="00FC2ABE" w:rsidRPr="002F7E6F" w:rsidRDefault="00FC2ABE" w:rsidP="00FC2ABE">
      <w:pPr>
        <w:pStyle w:val="FootnoteText"/>
        <w:rPr>
          <w:sz w:val="18"/>
          <w:szCs w:val="18"/>
        </w:rPr>
      </w:pPr>
      <w:r w:rsidRPr="002F7E6F">
        <w:rPr>
          <w:rStyle w:val="FootnoteReference"/>
          <w:sz w:val="18"/>
          <w:szCs w:val="18"/>
        </w:rPr>
        <w:footnoteRef/>
      </w:r>
      <w:r w:rsidRPr="002F7E6F">
        <w:rPr>
          <w:sz w:val="18"/>
          <w:szCs w:val="18"/>
        </w:rPr>
        <w:t xml:space="preserve"> The Applicant states that when construction of the new operating suite is complete, the existing operating space will possibly be transitioned into an </w:t>
      </w:r>
      <w:r w:rsidR="00123475">
        <w:rPr>
          <w:sz w:val="18"/>
          <w:szCs w:val="18"/>
        </w:rPr>
        <w:t>e</w:t>
      </w:r>
      <w:r w:rsidRPr="002F7E6F">
        <w:rPr>
          <w:sz w:val="18"/>
          <w:szCs w:val="18"/>
        </w:rPr>
        <w:t xml:space="preserve">ndoscopy and pain management suite to accommodate future growth in these areas. </w:t>
      </w:r>
    </w:p>
  </w:footnote>
  <w:footnote w:id="4">
    <w:p w14:paraId="62E20E7E" w14:textId="77777777" w:rsidR="00CF2B67" w:rsidRPr="00744093" w:rsidRDefault="00CF2B67" w:rsidP="00CF2B67">
      <w:pPr>
        <w:pStyle w:val="FootnoteText"/>
        <w:rPr>
          <w:rFonts w:ascii="Calibri" w:hAnsi="Calibri" w:cs="Calibri"/>
          <w:sz w:val="18"/>
          <w:szCs w:val="18"/>
        </w:rPr>
      </w:pPr>
      <w:r w:rsidRPr="00744093">
        <w:rPr>
          <w:rStyle w:val="FootnoteReference"/>
          <w:rFonts w:ascii="Calibri" w:hAnsi="Calibri" w:cs="Calibri"/>
          <w:sz w:val="18"/>
          <w:szCs w:val="18"/>
        </w:rPr>
        <w:footnoteRef/>
      </w:r>
      <w:r w:rsidRPr="00744093">
        <w:rPr>
          <w:rFonts w:ascii="Calibri" w:hAnsi="Calibri" w:cs="Calibri"/>
          <w:sz w:val="18"/>
          <w:szCs w:val="18"/>
        </w:rPr>
        <w:t xml:space="preserve"> 3: Sufficient evidence of compliance and good standing with federal, state, and local laws and regulations</w:t>
      </w:r>
    </w:p>
    <w:p w14:paraId="1552EEEA" w14:textId="77777777" w:rsidR="00CF2B67" w:rsidRPr="00CF2B67" w:rsidRDefault="00CF2B67" w:rsidP="00CF2B67">
      <w:pPr>
        <w:pStyle w:val="FootnoteText"/>
        <w:rPr>
          <w:rFonts w:cs="Calibri"/>
          <w:sz w:val="16"/>
          <w:szCs w:val="16"/>
        </w:rPr>
      </w:pPr>
      <w:r w:rsidRPr="00744093">
        <w:rPr>
          <w:rFonts w:ascii="Calibri" w:hAnsi="Calibri" w:cs="Calibri"/>
          <w:sz w:val="18"/>
          <w:szCs w:val="18"/>
        </w:rPr>
        <w:t>4: Sufficient documentation of the availability of sufficient funds for capital and ongoing operating costs necessary to support the Project without negative impacts or consequences to the Applicant's existing Patient Panel 5: The … Project, on balance, is superior to alternative and substitute methods for meeting … Patient Panel needs.</w:t>
      </w:r>
    </w:p>
  </w:footnote>
  <w:footnote w:id="5">
    <w:p w14:paraId="3E414372" w14:textId="6B98D521" w:rsidR="00032FF5" w:rsidRPr="00B45A7C" w:rsidRDefault="00032FF5">
      <w:pPr>
        <w:pStyle w:val="FootnoteText"/>
        <w:rPr>
          <w:sz w:val="18"/>
          <w:szCs w:val="18"/>
        </w:rPr>
      </w:pPr>
      <w:r w:rsidRPr="00B45A7C">
        <w:rPr>
          <w:rStyle w:val="FootnoteReference"/>
          <w:sz w:val="18"/>
          <w:szCs w:val="18"/>
        </w:rPr>
        <w:footnoteRef/>
      </w:r>
      <w:r w:rsidRPr="00B45A7C">
        <w:rPr>
          <w:sz w:val="18"/>
          <w:szCs w:val="18"/>
        </w:rPr>
        <w:t xml:space="preserve"> As defined in 105 CMR 100.100, Patient Panel is the total of the individual patients regardless of payer, including those patients seen within an emergency department(s) if applicable, seen over the course of the most recent complete 36-month period by the Applicant or Holder.</w:t>
      </w:r>
    </w:p>
  </w:footnote>
  <w:footnote w:id="6">
    <w:p w14:paraId="71FE53F9" w14:textId="61E01EC1" w:rsidR="005D4C0D" w:rsidRDefault="005D4C0D">
      <w:pPr>
        <w:pStyle w:val="FootnoteText"/>
      </w:pPr>
      <w:r w:rsidRPr="00B45A7C">
        <w:rPr>
          <w:rStyle w:val="FootnoteReference"/>
          <w:sz w:val="18"/>
          <w:szCs w:val="18"/>
        </w:rPr>
        <w:footnoteRef/>
      </w:r>
      <w:r w:rsidRPr="00B45A7C">
        <w:rPr>
          <w:sz w:val="18"/>
          <w:szCs w:val="18"/>
        </w:rPr>
        <w:t xml:space="preserve"> Self-reported</w:t>
      </w:r>
    </w:p>
  </w:footnote>
  <w:footnote w:id="7">
    <w:p w14:paraId="6D21A942" w14:textId="4BA4DBF0" w:rsidR="00724448" w:rsidRPr="00664AD5" w:rsidRDefault="00724448">
      <w:pPr>
        <w:pStyle w:val="FootnoteText"/>
        <w:rPr>
          <w:sz w:val="18"/>
          <w:szCs w:val="18"/>
        </w:rPr>
      </w:pPr>
      <w:r w:rsidRPr="00664AD5">
        <w:rPr>
          <w:rStyle w:val="FootnoteReference"/>
          <w:sz w:val="18"/>
          <w:szCs w:val="18"/>
        </w:rPr>
        <w:footnoteRef/>
      </w:r>
      <w:r w:rsidRPr="00664AD5">
        <w:rPr>
          <w:sz w:val="18"/>
          <w:szCs w:val="18"/>
        </w:rPr>
        <w:t xml:space="preserve"> Two separate zip codes for Templeton</w:t>
      </w:r>
      <w:r w:rsidR="00664AD5">
        <w:rPr>
          <w:sz w:val="18"/>
          <w:szCs w:val="18"/>
        </w:rPr>
        <w:t>.</w:t>
      </w:r>
    </w:p>
  </w:footnote>
  <w:footnote w:id="8">
    <w:p w14:paraId="3161E8C2" w14:textId="77777777" w:rsidR="005F7494" w:rsidRPr="00202FB0" w:rsidRDefault="005F7494" w:rsidP="005F7494">
      <w:pPr>
        <w:pStyle w:val="FootnoteText"/>
        <w:rPr>
          <w:sz w:val="18"/>
          <w:szCs w:val="18"/>
        </w:rPr>
      </w:pPr>
      <w:r w:rsidRPr="00202FB0">
        <w:rPr>
          <w:rStyle w:val="FootnoteReference"/>
          <w:sz w:val="18"/>
          <w:szCs w:val="18"/>
        </w:rPr>
        <w:footnoteRef/>
      </w:r>
      <w:r w:rsidRPr="00202FB0">
        <w:rPr>
          <w:sz w:val="18"/>
          <w:szCs w:val="18"/>
        </w:rPr>
        <w:t xml:space="preserve"> This refers to open bays, cubicles enclosed on three sides, or single-patient rooms.</w:t>
      </w:r>
    </w:p>
  </w:footnote>
  <w:footnote w:id="9">
    <w:p w14:paraId="142B30A6" w14:textId="77777777" w:rsidR="005F7494" w:rsidRPr="00202FB0" w:rsidRDefault="005F7494" w:rsidP="005F7494">
      <w:pPr>
        <w:pStyle w:val="FootnoteText"/>
        <w:rPr>
          <w:sz w:val="18"/>
          <w:szCs w:val="18"/>
        </w:rPr>
      </w:pPr>
      <w:r w:rsidRPr="00202FB0">
        <w:rPr>
          <w:rStyle w:val="FootnoteReference"/>
          <w:sz w:val="18"/>
          <w:szCs w:val="18"/>
        </w:rPr>
        <w:footnoteRef/>
      </w:r>
      <w:r w:rsidRPr="00202FB0">
        <w:rPr>
          <w:sz w:val="18"/>
          <w:szCs w:val="18"/>
        </w:rPr>
        <w:t xml:space="preserve">  Includes 2 isolation rooms (negative pressure rooms).</w:t>
      </w:r>
    </w:p>
  </w:footnote>
  <w:footnote w:id="10">
    <w:p w14:paraId="57F5FF6F" w14:textId="77777777" w:rsidR="005F7494" w:rsidRPr="00202FB0" w:rsidRDefault="005F7494" w:rsidP="005F7494">
      <w:pPr>
        <w:pStyle w:val="FootnoteText"/>
        <w:rPr>
          <w:sz w:val="18"/>
          <w:szCs w:val="18"/>
        </w:rPr>
      </w:pPr>
      <w:r w:rsidRPr="00202FB0">
        <w:rPr>
          <w:rStyle w:val="FootnoteReference"/>
          <w:sz w:val="18"/>
          <w:szCs w:val="18"/>
        </w:rPr>
        <w:footnoteRef/>
      </w:r>
      <w:r w:rsidRPr="00202FB0">
        <w:rPr>
          <w:sz w:val="18"/>
          <w:szCs w:val="18"/>
        </w:rPr>
        <w:t xml:space="preserve"> Includes 2 isolation rooms (negative pressure rooms).</w:t>
      </w:r>
    </w:p>
  </w:footnote>
  <w:footnote w:id="11">
    <w:p w14:paraId="135528D5" w14:textId="77777777" w:rsidR="005F7494" w:rsidRPr="00202FB0" w:rsidRDefault="005F7494" w:rsidP="005F7494">
      <w:pPr>
        <w:pStyle w:val="FootnoteText"/>
        <w:rPr>
          <w:sz w:val="18"/>
          <w:szCs w:val="18"/>
        </w:rPr>
      </w:pPr>
      <w:r w:rsidRPr="00202FB0">
        <w:rPr>
          <w:rStyle w:val="FootnoteReference"/>
          <w:sz w:val="18"/>
          <w:szCs w:val="18"/>
        </w:rPr>
        <w:footnoteRef/>
      </w:r>
      <w:r w:rsidRPr="00202FB0">
        <w:rPr>
          <w:sz w:val="18"/>
          <w:szCs w:val="18"/>
        </w:rPr>
        <w:t xml:space="preserve"> Includes 2 isolation rooms (negative pressure rooms).</w:t>
      </w:r>
    </w:p>
  </w:footnote>
  <w:footnote w:id="12">
    <w:p w14:paraId="330C1251" w14:textId="055FC0B1" w:rsidR="00A17D11" w:rsidRPr="00675D97" w:rsidRDefault="00A17D11">
      <w:pPr>
        <w:pStyle w:val="FootnoteText"/>
        <w:rPr>
          <w:sz w:val="18"/>
          <w:szCs w:val="18"/>
        </w:rPr>
      </w:pPr>
      <w:r w:rsidRPr="00675D97">
        <w:rPr>
          <w:rStyle w:val="FootnoteReference"/>
          <w:sz w:val="18"/>
          <w:szCs w:val="18"/>
        </w:rPr>
        <w:footnoteRef/>
      </w:r>
      <w:r w:rsidRPr="00675D97">
        <w:rPr>
          <w:sz w:val="18"/>
          <w:szCs w:val="18"/>
        </w:rPr>
        <w:t xml:space="preserve"> The da Vinci Surgical System is a robotic surgical system made by the American company Intuitive Surgical. </w:t>
      </w:r>
      <w:r w:rsidR="00CA334E" w:rsidRPr="00675D97">
        <w:rPr>
          <w:sz w:val="18"/>
          <w:szCs w:val="18"/>
        </w:rPr>
        <w:t>It was approved by the Food and Drug Administration (FDA)</w:t>
      </w:r>
      <w:r w:rsidRPr="00675D97">
        <w:rPr>
          <w:sz w:val="18"/>
          <w:szCs w:val="18"/>
        </w:rPr>
        <w:t xml:space="preserve"> in 2000</w:t>
      </w:r>
      <w:r w:rsidR="00CA334E" w:rsidRPr="00675D97">
        <w:rPr>
          <w:sz w:val="18"/>
          <w:szCs w:val="18"/>
        </w:rPr>
        <w:t>. The da Vinci Robot</w:t>
      </w:r>
      <w:r w:rsidRPr="00675D97">
        <w:rPr>
          <w:sz w:val="18"/>
          <w:szCs w:val="18"/>
        </w:rPr>
        <w:t xml:space="preserve"> is designed to facilitate surgery using a minimally invasive approach, and is controlled by a surgeon from a console.</w:t>
      </w:r>
      <w:r w:rsidR="00BF54DD" w:rsidRPr="00675D97">
        <w:rPr>
          <w:sz w:val="18"/>
          <w:szCs w:val="18"/>
        </w:rPr>
        <w:t xml:space="preserve"> da Vinci procedures are performed for a wide range of conditions in specialties including cardiac, urologic, gynecologic, pediatric and general surgery.</w:t>
      </w:r>
      <w:r w:rsidR="00BF54DD" w:rsidRPr="00675D97">
        <w:rPr>
          <w:rFonts w:ascii="Trebuchet MS" w:hAnsi="Trebuchet MS"/>
          <w:color w:val="464646"/>
          <w:sz w:val="18"/>
          <w:szCs w:val="18"/>
          <w:shd w:val="clear" w:color="auto" w:fill="FFFFFF"/>
        </w:rPr>
        <w:t xml:space="preserve"> </w:t>
      </w:r>
      <w:r w:rsidR="00A517F3">
        <w:rPr>
          <w:sz w:val="18"/>
          <w:szCs w:val="18"/>
        </w:rPr>
        <w:t>T</w:t>
      </w:r>
      <w:r w:rsidR="00BF54DD" w:rsidRPr="00675D97">
        <w:rPr>
          <w:sz w:val="18"/>
          <w:szCs w:val="18"/>
        </w:rPr>
        <w:t>he da Vinci Surgical System makes it possible for more surgeons to perform minimally invasive procedures involving complex and delicate dissection or reconstruction.</w:t>
      </w:r>
    </w:p>
  </w:footnote>
  <w:footnote w:id="13">
    <w:p w14:paraId="64656138" w14:textId="1AEF0CC1" w:rsidR="00BF54DD" w:rsidRDefault="00BF54DD">
      <w:pPr>
        <w:pStyle w:val="FootnoteText"/>
      </w:pPr>
      <w:r w:rsidRPr="00675D97">
        <w:rPr>
          <w:rStyle w:val="FootnoteReference"/>
          <w:sz w:val="18"/>
          <w:szCs w:val="18"/>
        </w:rPr>
        <w:footnoteRef/>
      </w:r>
      <w:r w:rsidRPr="00675D97">
        <w:rPr>
          <w:sz w:val="18"/>
          <w:szCs w:val="18"/>
        </w:rPr>
        <w:t xml:space="preserve"> </w:t>
      </w:r>
      <w:r w:rsidR="008E243E" w:rsidRPr="00675D97">
        <w:rPr>
          <w:sz w:val="18"/>
          <w:szCs w:val="18"/>
        </w:rPr>
        <w:t>Minimally invasive surgery (MIS) is a</w:t>
      </w:r>
      <w:r w:rsidRPr="00675D97">
        <w:rPr>
          <w:sz w:val="18"/>
          <w:szCs w:val="18"/>
        </w:rPr>
        <w:t xml:space="preserve"> less invasive approach requiring a few small cuts. </w:t>
      </w:r>
      <w:r w:rsidR="008E243E" w:rsidRPr="00675D97">
        <w:rPr>
          <w:sz w:val="18"/>
          <w:szCs w:val="18"/>
        </w:rPr>
        <w:t>MIS</w:t>
      </w:r>
      <w:r w:rsidRPr="00675D97">
        <w:rPr>
          <w:sz w:val="18"/>
          <w:szCs w:val="18"/>
        </w:rPr>
        <w:t xml:space="preserve"> includes laparoscopic surgery and robotic-assisted surgery.</w:t>
      </w:r>
      <w:r w:rsidR="008E243E" w:rsidRPr="00675D97">
        <w:rPr>
          <w:sz w:val="18"/>
          <w:szCs w:val="18"/>
        </w:rPr>
        <w:t xml:space="preserve"> During</w:t>
      </w:r>
      <w:r w:rsidRPr="00675D97">
        <w:rPr>
          <w:rFonts w:ascii="Trebuchet MS" w:hAnsi="Trebuchet MS"/>
          <w:color w:val="464646"/>
          <w:sz w:val="18"/>
          <w:szCs w:val="18"/>
          <w:shd w:val="clear" w:color="auto" w:fill="FFFFFF"/>
        </w:rPr>
        <w:t xml:space="preserve"> </w:t>
      </w:r>
      <w:r w:rsidR="008E243E" w:rsidRPr="00675D97">
        <w:rPr>
          <w:sz w:val="18"/>
          <w:szCs w:val="18"/>
        </w:rPr>
        <w:t>c</w:t>
      </w:r>
      <w:r w:rsidRPr="00675D97">
        <w:rPr>
          <w:sz w:val="18"/>
          <w:szCs w:val="18"/>
        </w:rPr>
        <w:t xml:space="preserve">onventional laparoscopy, the surgeon operates while standing and uses hand-held, long-shafted instruments that cannot bend or rotate. </w:t>
      </w:r>
      <w:r w:rsidR="008E243E" w:rsidRPr="00675D97">
        <w:rPr>
          <w:sz w:val="18"/>
          <w:szCs w:val="18"/>
        </w:rPr>
        <w:t xml:space="preserve">The </w:t>
      </w:r>
      <w:r w:rsidRPr="00675D97">
        <w:rPr>
          <w:sz w:val="18"/>
          <w:szCs w:val="18"/>
        </w:rPr>
        <w:t>surgeon must look up and away from the instruments to a nearby 2D video monitor to see an image of the target anatomy.</w:t>
      </w:r>
    </w:p>
  </w:footnote>
  <w:footnote w:id="14">
    <w:p w14:paraId="2A91EB70" w14:textId="7796F25D" w:rsidR="004873B7" w:rsidRPr="002F5AA0" w:rsidRDefault="004873B7" w:rsidP="004873B7">
      <w:pPr>
        <w:pStyle w:val="FootnoteText"/>
        <w:rPr>
          <w:sz w:val="18"/>
          <w:szCs w:val="18"/>
        </w:rPr>
      </w:pPr>
      <w:r w:rsidRPr="002F5AA0">
        <w:rPr>
          <w:rStyle w:val="FootnoteReference"/>
          <w:sz w:val="18"/>
          <w:szCs w:val="18"/>
        </w:rPr>
        <w:footnoteRef/>
      </w:r>
      <w:r w:rsidRPr="002F5AA0">
        <w:rPr>
          <w:sz w:val="18"/>
          <w:szCs w:val="18"/>
        </w:rPr>
        <w:t xml:space="preserve"> Considered best practice for surgical site infection prevention in orthopedic surgery</w:t>
      </w:r>
      <w:r w:rsidR="00B116A1" w:rsidRPr="002F5AA0">
        <w:rPr>
          <w:sz w:val="18"/>
          <w:szCs w:val="18"/>
        </w:rPr>
        <w:t>.</w:t>
      </w:r>
    </w:p>
  </w:footnote>
  <w:footnote w:id="15">
    <w:p w14:paraId="57A64E1B" w14:textId="78EDA55E" w:rsidR="00CF44DD" w:rsidRPr="00B3099D" w:rsidRDefault="00CF44DD" w:rsidP="00CF44DD">
      <w:pPr>
        <w:pStyle w:val="FootnoteText"/>
        <w:rPr>
          <w:sz w:val="18"/>
          <w:szCs w:val="18"/>
        </w:rPr>
      </w:pPr>
      <w:r w:rsidRPr="002F5AA0">
        <w:rPr>
          <w:rStyle w:val="FootnoteReference"/>
          <w:sz w:val="18"/>
          <w:szCs w:val="18"/>
        </w:rPr>
        <w:footnoteRef/>
      </w:r>
      <w:r w:rsidRPr="002F5AA0">
        <w:rPr>
          <w:sz w:val="18"/>
          <w:szCs w:val="18"/>
        </w:rPr>
        <w:t xml:space="preserve"> The American College of Surgeons (ACS) and the American Society for Metabolic and Bariatric Surgery (ASMBS) combined their respective national bariatric surgery accreditation programs into a single unified program to achieve one national accreditation standard for bariatric surgery centers, the Metabolic and Bariatric Surgery Accreditation and Quality Improvement </w:t>
      </w:r>
      <w:r w:rsidRPr="00B3099D">
        <w:rPr>
          <w:sz w:val="18"/>
          <w:szCs w:val="18"/>
        </w:rPr>
        <w:t xml:space="preserve">Program (MBSAQIP). MBSAQIP works to advance safe, high-quality care for bariatric surgical patients through the accreditation of bariatric surgical centers. </w:t>
      </w:r>
      <w:hyperlink r:id="rId2" w:history="1">
        <w:r w:rsidR="00EB3FD1">
          <w:rPr>
            <w:rStyle w:val="Hyperlink"/>
            <w:sz w:val="18"/>
            <w:szCs w:val="18"/>
          </w:rPr>
          <w:t xml:space="preserve"> at the website https://www.facs.org/quality-programs/mbsaqip</w:t>
        </w:r>
      </w:hyperlink>
      <w:r w:rsidRPr="00B3099D">
        <w:rPr>
          <w:sz w:val="18"/>
          <w:szCs w:val="18"/>
        </w:rPr>
        <w:t xml:space="preserve"> </w:t>
      </w:r>
    </w:p>
  </w:footnote>
  <w:footnote w:id="16">
    <w:p w14:paraId="0B515BB5" w14:textId="2D26AD92" w:rsidR="00B51197" w:rsidRPr="00745023" w:rsidRDefault="00B51197">
      <w:pPr>
        <w:pStyle w:val="FootnoteText"/>
        <w:rPr>
          <w:sz w:val="18"/>
          <w:szCs w:val="18"/>
        </w:rPr>
      </w:pPr>
      <w:r w:rsidRPr="00B3099D">
        <w:rPr>
          <w:rStyle w:val="FootnoteReference"/>
          <w:sz w:val="18"/>
          <w:szCs w:val="18"/>
        </w:rPr>
        <w:footnoteRef/>
      </w:r>
      <w:r w:rsidRPr="00B3099D">
        <w:rPr>
          <w:sz w:val="18"/>
          <w:szCs w:val="18"/>
        </w:rPr>
        <w:t xml:space="preserve"> The Applicant states that </w:t>
      </w:r>
      <w:r w:rsidRPr="00B3099D">
        <w:rPr>
          <w:iCs/>
          <w:sz w:val="18"/>
          <w:szCs w:val="18"/>
        </w:rPr>
        <w:t xml:space="preserve">9,627 individual (unique) patients had one or more surgical procedure(s) completed at Heywood Hospital between January 1, </w:t>
      </w:r>
      <w:r w:rsidR="00092167" w:rsidRPr="00B3099D">
        <w:rPr>
          <w:iCs/>
          <w:sz w:val="18"/>
          <w:szCs w:val="18"/>
        </w:rPr>
        <w:t>2016,</w:t>
      </w:r>
      <w:r w:rsidRPr="00B3099D">
        <w:rPr>
          <w:iCs/>
          <w:sz w:val="18"/>
          <w:szCs w:val="18"/>
        </w:rPr>
        <w:t xml:space="preserve"> and December 31, 2018.</w:t>
      </w:r>
    </w:p>
  </w:footnote>
  <w:footnote w:id="17">
    <w:p w14:paraId="599D5658" w14:textId="546550DB" w:rsidR="00AB0BD3" w:rsidRPr="001B2175" w:rsidRDefault="00AB0BD3">
      <w:pPr>
        <w:pStyle w:val="FootnoteText"/>
        <w:rPr>
          <w:sz w:val="18"/>
          <w:szCs w:val="18"/>
        </w:rPr>
      </w:pPr>
      <w:r w:rsidRPr="001B2175">
        <w:rPr>
          <w:rStyle w:val="FootnoteReference"/>
          <w:sz w:val="18"/>
          <w:szCs w:val="18"/>
        </w:rPr>
        <w:footnoteRef/>
      </w:r>
      <w:r w:rsidRPr="001B2175">
        <w:rPr>
          <w:sz w:val="18"/>
          <w:szCs w:val="18"/>
        </w:rPr>
        <w:t xml:space="preserve"> The Applicant states that OR utilization is calculated as follows: [(Total case minutes) + (Turnover time))] / [(Total staffed minutes)]</w:t>
      </w:r>
    </w:p>
  </w:footnote>
  <w:footnote w:id="18">
    <w:p w14:paraId="08357757" w14:textId="5B53930C" w:rsidR="007E4DB7" w:rsidRPr="00636321" w:rsidRDefault="007E4DB7">
      <w:pPr>
        <w:pStyle w:val="FootnoteText"/>
        <w:rPr>
          <w:sz w:val="18"/>
          <w:szCs w:val="18"/>
        </w:rPr>
      </w:pPr>
      <w:r w:rsidRPr="00636321">
        <w:rPr>
          <w:rStyle w:val="FootnoteReference"/>
          <w:sz w:val="18"/>
          <w:szCs w:val="18"/>
        </w:rPr>
        <w:footnoteRef/>
      </w:r>
      <w:r w:rsidRPr="00636321">
        <w:rPr>
          <w:sz w:val="18"/>
          <w:szCs w:val="18"/>
        </w:rPr>
        <w:t xml:space="preserve"> The Applicant states that of the 459 emergency cases, 363 cases were for inpatients and 21% were f</w:t>
      </w:r>
      <w:r w:rsidR="00DC4694">
        <w:rPr>
          <w:sz w:val="18"/>
          <w:szCs w:val="18"/>
        </w:rPr>
        <w:t>o</w:t>
      </w:r>
      <w:r w:rsidRPr="00636321">
        <w:rPr>
          <w:sz w:val="18"/>
          <w:szCs w:val="18"/>
        </w:rPr>
        <w:t xml:space="preserve">r outpatients. </w:t>
      </w:r>
    </w:p>
  </w:footnote>
  <w:footnote w:id="19">
    <w:p w14:paraId="23FC21FC" w14:textId="00B99C42" w:rsidR="0068275C" w:rsidRPr="003D49FD" w:rsidRDefault="0068275C">
      <w:pPr>
        <w:pStyle w:val="FootnoteText"/>
        <w:rPr>
          <w:sz w:val="18"/>
          <w:szCs w:val="18"/>
        </w:rPr>
      </w:pPr>
      <w:r w:rsidRPr="003D49FD">
        <w:rPr>
          <w:rStyle w:val="FootnoteReference"/>
          <w:sz w:val="18"/>
          <w:szCs w:val="18"/>
        </w:rPr>
        <w:footnoteRef/>
      </w:r>
      <w:r w:rsidRPr="003D49FD">
        <w:rPr>
          <w:sz w:val="18"/>
          <w:szCs w:val="18"/>
        </w:rPr>
        <w:t xml:space="preserve"> Applicant relied on CY19 data to represent existing volume, and states that data for CY2020 was skewed due to mandatory weeks-long closure of the operating room for elective cases. </w:t>
      </w:r>
    </w:p>
  </w:footnote>
  <w:footnote w:id="20">
    <w:p w14:paraId="0FCED098" w14:textId="77777777" w:rsidR="00733D97" w:rsidRPr="003D49FD" w:rsidRDefault="00733D97" w:rsidP="00733D97">
      <w:pPr>
        <w:pStyle w:val="FootnoteText"/>
        <w:rPr>
          <w:sz w:val="18"/>
          <w:szCs w:val="18"/>
        </w:rPr>
      </w:pPr>
      <w:r w:rsidRPr="003D49FD">
        <w:rPr>
          <w:rStyle w:val="FootnoteReference"/>
          <w:sz w:val="18"/>
          <w:szCs w:val="18"/>
        </w:rPr>
        <w:footnoteRef/>
      </w:r>
      <w:r w:rsidRPr="003D49FD">
        <w:rPr>
          <w:sz w:val="18"/>
          <w:szCs w:val="18"/>
        </w:rPr>
        <w:t xml:space="preserve"> Athol Hospital currently has two procedure rooms. </w:t>
      </w:r>
    </w:p>
  </w:footnote>
  <w:footnote w:id="21">
    <w:p w14:paraId="0A1F3CA9" w14:textId="77777777" w:rsidR="00EC341E" w:rsidRPr="003D49FD" w:rsidRDefault="00EC341E" w:rsidP="00EC341E">
      <w:pPr>
        <w:pStyle w:val="FootnoteText"/>
        <w:rPr>
          <w:sz w:val="18"/>
          <w:szCs w:val="18"/>
        </w:rPr>
      </w:pPr>
      <w:r w:rsidRPr="003D49FD">
        <w:rPr>
          <w:rStyle w:val="FootnoteReference"/>
          <w:sz w:val="18"/>
          <w:szCs w:val="18"/>
        </w:rPr>
        <w:footnoteRef/>
      </w:r>
      <w:r w:rsidRPr="003D49FD">
        <w:rPr>
          <w:sz w:val="18"/>
          <w:szCs w:val="18"/>
        </w:rPr>
        <w:t xml:space="preserve"> Estimated Industry-Standard Operating Room Sizes: Small OR – 400 sq ft; Standard OR – 500 sq ft; Orthopedic OR – 600 sq ft; Cardiac OR – 600 sq ft; Neurological OR – 600 sq ft; Hybrid OR – 650 sq ft (Plus 120 sq ft separate control room); and Transplant OR – 800 sq ft.</w:t>
      </w:r>
    </w:p>
    <w:p w14:paraId="6B66D0FF" w14:textId="77777777" w:rsidR="00EC341E" w:rsidRDefault="00EC341E" w:rsidP="00EC341E">
      <w:pPr>
        <w:pStyle w:val="FootnoteText"/>
      </w:pPr>
    </w:p>
  </w:footnote>
  <w:footnote w:id="22">
    <w:p w14:paraId="0643C07F" w14:textId="77777777" w:rsidR="00E723E4" w:rsidRPr="00306217" w:rsidRDefault="00E723E4" w:rsidP="00E723E4">
      <w:pPr>
        <w:pStyle w:val="FootnoteText"/>
        <w:rPr>
          <w:sz w:val="18"/>
          <w:szCs w:val="18"/>
        </w:rPr>
      </w:pPr>
      <w:r w:rsidRPr="00306217">
        <w:rPr>
          <w:rStyle w:val="FootnoteReference"/>
          <w:sz w:val="18"/>
          <w:szCs w:val="18"/>
        </w:rPr>
        <w:footnoteRef/>
      </w:r>
      <w:r w:rsidRPr="00306217">
        <w:rPr>
          <w:sz w:val="18"/>
          <w:szCs w:val="18"/>
        </w:rPr>
        <w:t xml:space="preserve"> This study examined the 30-day rates of postoperative complications graded according to the Clavien–Dindo classification, unplanned readmissions and deaths in individuals undergoing one of five common surgical procedures via either a minimally invasive or conventional open surgical approach.</w:t>
      </w:r>
    </w:p>
  </w:footnote>
  <w:footnote w:id="23">
    <w:p w14:paraId="703C78D6" w14:textId="0198DFA9" w:rsidR="00E723E4" w:rsidRPr="00306217" w:rsidRDefault="00E723E4" w:rsidP="00E723E4">
      <w:pPr>
        <w:pStyle w:val="FootnoteText"/>
        <w:rPr>
          <w:sz w:val="18"/>
          <w:szCs w:val="18"/>
        </w:rPr>
      </w:pPr>
      <w:r w:rsidRPr="00306217">
        <w:rPr>
          <w:rStyle w:val="FootnoteReference"/>
          <w:sz w:val="18"/>
          <w:szCs w:val="18"/>
        </w:rPr>
        <w:footnoteRef/>
      </w:r>
      <w:r w:rsidRPr="00306217">
        <w:rPr>
          <w:sz w:val="18"/>
          <w:szCs w:val="18"/>
        </w:rPr>
        <w:t xml:space="preserve"> Analyses were restricted to five procedures (appendicectomy, colectomy, hysterectomy, inguinal hernia repair and radical prostatectomy</w:t>
      </w:r>
      <w:r w:rsidR="00A433A2">
        <w:rPr>
          <w:sz w:val="18"/>
          <w:szCs w:val="18"/>
        </w:rPr>
        <w:t>.</w:t>
      </w:r>
    </w:p>
  </w:footnote>
  <w:footnote w:id="24">
    <w:p w14:paraId="0B198EA2" w14:textId="7632DD26" w:rsidR="004632BB" w:rsidRPr="004D6C61" w:rsidRDefault="004632BB" w:rsidP="004632BB">
      <w:pPr>
        <w:pStyle w:val="FootnoteText"/>
        <w:rPr>
          <w:sz w:val="18"/>
          <w:szCs w:val="18"/>
        </w:rPr>
      </w:pPr>
      <w:r w:rsidRPr="004D6C61">
        <w:rPr>
          <w:rStyle w:val="FootnoteReference"/>
          <w:sz w:val="18"/>
          <w:szCs w:val="18"/>
        </w:rPr>
        <w:footnoteRef/>
      </w:r>
      <w:r w:rsidRPr="004D6C61">
        <w:rPr>
          <w:sz w:val="18"/>
          <w:szCs w:val="18"/>
        </w:rPr>
        <w:t xml:space="preserve"> Study used National Medicare Claims data from 2007-2008 to conduct risk-adjusted and hospital quality–adjusted analysis on data from white and nonwhite patients who underwent CABG surgery.</w:t>
      </w:r>
    </w:p>
  </w:footnote>
  <w:footnote w:id="25">
    <w:p w14:paraId="6E819814" w14:textId="625ADF09" w:rsidR="004632BB" w:rsidRPr="004D6C61" w:rsidRDefault="004632BB" w:rsidP="004632BB">
      <w:pPr>
        <w:pStyle w:val="FootnoteText"/>
        <w:rPr>
          <w:sz w:val="18"/>
          <w:szCs w:val="18"/>
        </w:rPr>
      </w:pPr>
      <w:r w:rsidRPr="004D6C61">
        <w:rPr>
          <w:rStyle w:val="FootnoteReference"/>
          <w:sz w:val="18"/>
          <w:szCs w:val="18"/>
        </w:rPr>
        <w:footnoteRef/>
      </w:r>
      <w:r w:rsidRPr="004D6C61">
        <w:rPr>
          <w:sz w:val="18"/>
          <w:szCs w:val="18"/>
        </w:rPr>
        <w:t xml:space="preserve"> Data was obtained from the 2002–2007 Nationwide Inpatient Sample (NIS) datasets. NIS data represents the largest, all-payer, publicly available inpatient care database in the United States. The hospitals represented within the datasets are designated as “community hospitals” within the American Hospital Association (AHA) Annual Survey.</w:t>
      </w:r>
    </w:p>
  </w:footnote>
  <w:footnote w:id="26">
    <w:p w14:paraId="7CB43ACD" w14:textId="77777777" w:rsidR="004632BB" w:rsidRPr="004D6C61" w:rsidRDefault="004632BB" w:rsidP="004632BB">
      <w:pPr>
        <w:pStyle w:val="FootnoteText"/>
        <w:rPr>
          <w:sz w:val="18"/>
          <w:szCs w:val="18"/>
        </w:rPr>
      </w:pPr>
      <w:r w:rsidRPr="004D6C61">
        <w:rPr>
          <w:rStyle w:val="FootnoteReference"/>
          <w:sz w:val="18"/>
          <w:szCs w:val="18"/>
        </w:rPr>
        <w:footnoteRef/>
      </w:r>
      <w:r w:rsidRPr="004D6C61">
        <w:rPr>
          <w:sz w:val="18"/>
          <w:szCs w:val="18"/>
        </w:rPr>
        <w:t xml:space="preserve"> A retrospective cohort study assessed the probability of undergoing MIS vs an open operation for nonwhite patients in Massachusetts compared with 6 control states.</w:t>
      </w:r>
    </w:p>
  </w:footnote>
  <w:footnote w:id="27">
    <w:p w14:paraId="5E81F3F8" w14:textId="5194E925" w:rsidR="002F4E36" w:rsidRPr="00B042C6" w:rsidRDefault="002F4E36">
      <w:pPr>
        <w:pStyle w:val="FootnoteText"/>
        <w:rPr>
          <w:sz w:val="18"/>
          <w:szCs w:val="18"/>
        </w:rPr>
      </w:pPr>
      <w:r w:rsidRPr="00B042C6">
        <w:rPr>
          <w:rStyle w:val="FootnoteReference"/>
          <w:sz w:val="18"/>
          <w:szCs w:val="18"/>
        </w:rPr>
        <w:footnoteRef/>
      </w:r>
      <w:r w:rsidRPr="00B042C6">
        <w:rPr>
          <w:sz w:val="18"/>
          <w:szCs w:val="18"/>
        </w:rPr>
        <w:t xml:space="preserve"> Additional data on interpreter services can been found in the DoN Application, page 8. </w:t>
      </w:r>
    </w:p>
  </w:footnote>
  <w:footnote w:id="28">
    <w:p w14:paraId="5C174670" w14:textId="4A967597" w:rsidR="00811AE9" w:rsidRDefault="00811AE9">
      <w:pPr>
        <w:pStyle w:val="FootnoteText"/>
      </w:pPr>
      <w:r w:rsidRPr="002224D7">
        <w:rPr>
          <w:rStyle w:val="FootnoteReference"/>
          <w:sz w:val="18"/>
          <w:szCs w:val="18"/>
        </w:rPr>
        <w:footnoteRef/>
      </w:r>
      <w:r w:rsidRPr="002224D7">
        <w:rPr>
          <w:sz w:val="18"/>
          <w:szCs w:val="18"/>
        </w:rPr>
        <w:t xml:space="preserve"> </w:t>
      </w:r>
      <w:r w:rsidRPr="002224D7">
        <w:rPr>
          <w:bCs/>
          <w:sz w:val="18"/>
          <w:szCs w:val="18"/>
        </w:rPr>
        <w:t>The Multicultural Task Force, which has evolved into Heywood’s Diversity, Equity, and Inclusion (DEI) Committee, has membership from various Hospital Departments, from previous patients, families, and community agencies, in order to support representation from all groups with the Hospital’s catchment area.</w:t>
      </w:r>
    </w:p>
  </w:footnote>
  <w:footnote w:id="29">
    <w:p w14:paraId="167EDDF3" w14:textId="3AB8A66F" w:rsidR="00D10C13" w:rsidRPr="00202FB0" w:rsidRDefault="00D10C13">
      <w:pPr>
        <w:pStyle w:val="FootnoteText"/>
        <w:rPr>
          <w:sz w:val="18"/>
          <w:szCs w:val="18"/>
        </w:rPr>
      </w:pPr>
      <w:r w:rsidRPr="00202FB0">
        <w:rPr>
          <w:rStyle w:val="FootnoteReference"/>
          <w:sz w:val="18"/>
          <w:szCs w:val="18"/>
        </w:rPr>
        <w:footnoteRef/>
      </w:r>
      <w:r w:rsidRPr="00202FB0">
        <w:rPr>
          <w:sz w:val="18"/>
          <w:szCs w:val="18"/>
        </w:rPr>
        <w:t xml:space="preserve"> </w:t>
      </w:r>
      <w:r w:rsidRPr="00146B1C">
        <w:rPr>
          <w:sz w:val="18"/>
          <w:szCs w:val="18"/>
        </w:rPr>
        <w:t>Community Engagement Standards for Community Health Planning Guideline</w:t>
      </w:r>
    </w:p>
  </w:footnote>
  <w:footnote w:id="30">
    <w:p w14:paraId="65F782EA" w14:textId="1C47BE6D" w:rsidR="00D10C13" w:rsidRPr="00202FB0" w:rsidRDefault="00D10C13">
      <w:pPr>
        <w:pStyle w:val="FootnoteText"/>
        <w:rPr>
          <w:sz w:val="18"/>
          <w:szCs w:val="18"/>
        </w:rPr>
      </w:pPr>
      <w:r w:rsidRPr="00202FB0">
        <w:rPr>
          <w:rStyle w:val="FootnoteReference"/>
          <w:sz w:val="18"/>
          <w:szCs w:val="18"/>
        </w:rPr>
        <w:footnoteRef/>
      </w:r>
      <w:r w:rsidRPr="00202FB0">
        <w:rPr>
          <w:sz w:val="18"/>
          <w:szCs w:val="18"/>
        </w:rPr>
        <w:t xml:space="preserve"> </w:t>
      </w:r>
      <w:r w:rsidRPr="00146B1C">
        <w:rPr>
          <w:sz w:val="18"/>
          <w:szCs w:val="18"/>
        </w:rPr>
        <w:t xml:space="preserve">DoN Regulation 100.210 (A)(1)(e). </w:t>
      </w:r>
      <w:r w:rsidR="0065685F">
        <w:fldChar w:fldCharType="begin"/>
      </w:r>
      <w:r w:rsidR="00534498">
        <w:instrText>HYPERLINK "https://www.mass.gov/files/documents/2018/12/31/jud-lib-105cmr100.pdf"</w:instrText>
      </w:r>
      <w:r w:rsidR="0065685F">
        <w:fldChar w:fldCharType="separate"/>
      </w:r>
      <w:r w:rsidR="00534498">
        <w:rPr>
          <w:rStyle w:val="Hyperlink"/>
          <w:sz w:val="18"/>
          <w:szCs w:val="18"/>
        </w:rPr>
        <w:t>at https://www.mass.gov/files/documents/2018/12/31/jud-lib-105cmr100.pdf</w:t>
      </w:r>
      <w:r w:rsidR="0065685F">
        <w:rPr>
          <w:rStyle w:val="Hyperlink"/>
          <w:sz w:val="18"/>
          <w:szCs w:val="18"/>
        </w:rPr>
        <w:fldChar w:fldCharType="end"/>
      </w:r>
      <w:r w:rsidRPr="00202FB0">
        <w:rPr>
          <w:sz w:val="18"/>
          <w:szCs w:val="18"/>
        </w:rPr>
        <w:t xml:space="preserve"> </w:t>
      </w:r>
    </w:p>
  </w:footnote>
  <w:footnote w:id="31">
    <w:p w14:paraId="49EA9812" w14:textId="59A92DF4" w:rsidR="00251E19" w:rsidRPr="00202FB0" w:rsidRDefault="00251E19" w:rsidP="00251E19">
      <w:pPr>
        <w:pStyle w:val="FootnoteText"/>
        <w:rPr>
          <w:i/>
          <w:sz w:val="18"/>
          <w:szCs w:val="18"/>
        </w:rPr>
      </w:pPr>
      <w:r w:rsidRPr="00202FB0">
        <w:rPr>
          <w:rStyle w:val="FootnoteReference"/>
          <w:sz w:val="18"/>
          <w:szCs w:val="18"/>
        </w:rPr>
        <w:footnoteRef/>
      </w:r>
      <w:r w:rsidRPr="00202FB0">
        <w:rPr>
          <w:sz w:val="18"/>
          <w:szCs w:val="18"/>
        </w:rPr>
        <w:t xml:space="preserve"> </w:t>
      </w:r>
      <w:r w:rsidRPr="00146B1C">
        <w:rPr>
          <w:sz w:val="18"/>
          <w:szCs w:val="18"/>
        </w:rPr>
        <w:t xml:space="preserve">The Applicant states that membership includes but is not limited to the following: </w:t>
      </w:r>
      <w:r w:rsidRPr="00146B1C">
        <w:rPr>
          <w:iCs/>
          <w:sz w:val="18"/>
          <w:szCs w:val="18"/>
        </w:rPr>
        <w:t>Ahmadiyya Muslim Community, Care Central VNA, City of Gardner, Community Health Center, Congressman McGovern’s Office, Congresswoman Trahan’s office,  GAIT-Gardner Area Interagency Team, Gardner CAC, Disability Commission Heywood Healthcare-Athol &amp; Heywood</w:t>
      </w:r>
      <w:r w:rsidRPr="00202FB0">
        <w:rPr>
          <w:iCs/>
          <w:sz w:val="18"/>
          <w:szCs w:val="18"/>
        </w:rPr>
        <w:t xml:space="preserve"> Hospital-FS,HMG,HR,MCS, Pt Reg,PD,RS,SS,Telehealth Program, Genesis Healthcare, Heywood-Wakefield Commons, Leominster Haitian American Community Center,  LUK ,Massachusetts Department of Mental Health, MOC-Making Opportunity Count, Montachusett Suicide Prevention Task Force, North Central Mass Minority Coalition, Open Sky, Patient Family Advisory Committee, Spanish American Center , Three Pyramids Inc, United Hmong of Massachusetts, Wachusett Medical Reserve, Wachusett Rehab &amp; Nursing Center. Attendees are also representative of the LGBTQI+, veterans, disabled, elderly,</w:t>
      </w:r>
      <w:r w:rsidR="00EA2C21">
        <w:rPr>
          <w:iCs/>
          <w:sz w:val="18"/>
          <w:szCs w:val="18"/>
        </w:rPr>
        <w:t xml:space="preserve"> and</w:t>
      </w:r>
      <w:r w:rsidRPr="00202FB0">
        <w:rPr>
          <w:iCs/>
          <w:sz w:val="18"/>
          <w:szCs w:val="18"/>
        </w:rPr>
        <w:t xml:space="preserve"> youth.</w:t>
      </w:r>
    </w:p>
    <w:p w14:paraId="47D8C3B4" w14:textId="77777777" w:rsidR="00251E19" w:rsidRDefault="00251E19" w:rsidP="00251E19">
      <w:pPr>
        <w:pStyle w:val="FootnoteText"/>
      </w:pPr>
    </w:p>
  </w:footnote>
  <w:footnote w:id="32">
    <w:p w14:paraId="60485711" w14:textId="2584B86F" w:rsidR="00B042C6" w:rsidRPr="001F174F" w:rsidRDefault="00B042C6" w:rsidP="00B042C6">
      <w:pPr>
        <w:pStyle w:val="FootnoteText"/>
        <w:rPr>
          <w:sz w:val="18"/>
          <w:szCs w:val="18"/>
        </w:rPr>
      </w:pPr>
      <w:r w:rsidRPr="001F174F">
        <w:rPr>
          <w:rStyle w:val="FootnoteReference"/>
          <w:sz w:val="18"/>
          <w:szCs w:val="18"/>
        </w:rPr>
        <w:footnoteRef/>
      </w:r>
      <w:r w:rsidRPr="001F174F">
        <w:rPr>
          <w:sz w:val="18"/>
          <w:szCs w:val="18"/>
        </w:rPr>
        <w:t xml:space="preserve"> Relative price (RP) is a calculated metric that measures provider price variation in the Massachusetts health care market. RP is an aggregate measure used to evaluate variation in prices for similar providers within individual payer networks. To ensure prices are appropriately compared across providers, RP adjusts for differences in the quantity and types of services delivered by providers and for differences in the types of insurance products carried by each provider’s patients..</w:t>
      </w:r>
    </w:p>
  </w:footnote>
  <w:footnote w:id="33">
    <w:p w14:paraId="52411791" w14:textId="77777777" w:rsidR="00B042C6" w:rsidRDefault="00B042C6" w:rsidP="00B042C6">
      <w:pPr>
        <w:pStyle w:val="FootnoteText"/>
      </w:pPr>
      <w:r w:rsidRPr="001F174F">
        <w:rPr>
          <w:rStyle w:val="FootnoteReference"/>
          <w:sz w:val="18"/>
          <w:szCs w:val="18"/>
        </w:rPr>
        <w:footnoteRef/>
      </w:r>
      <w:r w:rsidRPr="001F174F">
        <w:rPr>
          <w:sz w:val="18"/>
          <w:szCs w:val="18"/>
        </w:rPr>
        <w:t xml:space="preserve"> S-RP blends relative price across payers using payer payment distributions. Since relative price is calculated within each payer, a blending of relative prices will not account for absolute price differences across payers. For this reason, it is not advisable to use S-RP to understand absolute price differences between one provider and another. S-RP should only be used for directional purposes. A commercial S-RP for a given acute hospital of 1.20 indicates that the hospital is paid 20 percent higher than average S-RP among acute hospitals across commercial payers.</w:t>
      </w:r>
    </w:p>
  </w:footnote>
  <w:footnote w:id="34">
    <w:p w14:paraId="71D48987" w14:textId="7AFF4F8D" w:rsidR="00AB54B5" w:rsidRDefault="00AB54B5">
      <w:pPr>
        <w:pStyle w:val="FootnoteText"/>
      </w:pPr>
      <w:r>
        <w:rPr>
          <w:rStyle w:val="FootnoteReference"/>
        </w:rPr>
        <w:footnoteRef/>
      </w:r>
      <w:r>
        <w:t xml:space="preserve"> </w:t>
      </w:r>
      <w:r w:rsidRPr="00F01A91">
        <w:rPr>
          <w:sz w:val="18"/>
          <w:szCs w:val="18"/>
        </w:rPr>
        <w:t>Fallon plans to shift away from commercial insurance products and focus on government</w:t>
      </w:r>
      <w:r w:rsidR="00D95870">
        <w:rPr>
          <w:sz w:val="18"/>
          <w:szCs w:val="18"/>
        </w:rPr>
        <w:t>-</w:t>
      </w:r>
      <w:r w:rsidRPr="00F01A91">
        <w:rPr>
          <w:sz w:val="18"/>
          <w:szCs w:val="18"/>
        </w:rPr>
        <w:t>sponsored health insurance programs.</w:t>
      </w:r>
      <w:r>
        <w:t xml:space="preserve"> </w:t>
      </w:r>
    </w:p>
  </w:footnote>
  <w:footnote w:id="35">
    <w:p w14:paraId="4AC2EDD1" w14:textId="77777777" w:rsidR="000B6EE5" w:rsidRPr="00904B8F" w:rsidRDefault="000B6EE5" w:rsidP="000B6EE5">
      <w:pPr>
        <w:pStyle w:val="FootnoteText"/>
        <w:rPr>
          <w:sz w:val="18"/>
          <w:szCs w:val="18"/>
        </w:rPr>
      </w:pPr>
      <w:r w:rsidRPr="00904B8F">
        <w:rPr>
          <w:rStyle w:val="FootnoteReference"/>
          <w:sz w:val="18"/>
          <w:szCs w:val="18"/>
        </w:rPr>
        <w:footnoteRef/>
      </w:r>
      <w:r w:rsidRPr="00904B8F">
        <w:rPr>
          <w:sz w:val="18"/>
          <w:szCs w:val="18"/>
        </w:rPr>
        <w:t xml:space="preserve"> Study used the 2010 National Inpatient Sample for patients undergoing an appendectomy, a partial colectomy, or a lung lobectomy</w:t>
      </w:r>
    </w:p>
  </w:footnote>
  <w:footnote w:id="36">
    <w:p w14:paraId="3C4FD601" w14:textId="6B263081" w:rsidR="007D4621" w:rsidRDefault="007D4621">
      <w:pPr>
        <w:pStyle w:val="FootnoteText"/>
      </w:pPr>
      <w:r>
        <w:rPr>
          <w:rStyle w:val="FootnoteReference"/>
        </w:rPr>
        <w:footnoteRef/>
      </w:r>
      <w:r>
        <w:t xml:space="preserve"> The CPA report states that the FY20 results for the Applicant were significantly impacted by the COVID-19 pandemic. The Applicant experienced a loss of NPSR and incremental expenses related to the purchase of personal protection equipment, disinfecting supplies, additional cleaning facility services, and increased technology services to support remote working. CPA Report page 8, footnote 1. </w:t>
      </w:r>
    </w:p>
  </w:footnote>
  <w:footnote w:id="37">
    <w:p w14:paraId="5FD7E637" w14:textId="0E8B672F" w:rsidR="009C5683" w:rsidRDefault="009C5683">
      <w:pPr>
        <w:pStyle w:val="FootnoteText"/>
      </w:pPr>
      <w:r>
        <w:rPr>
          <w:rStyle w:val="FootnoteReference"/>
        </w:rPr>
        <w:footnoteRef/>
      </w:r>
      <w:r>
        <w:t xml:space="preserve"> The CPA report states that the Projections include incremental revenue and expenses beginning in FY2025, and that the first procedure may be performed at the new surgical pavilion in FY2024, but given the uncertainty, the Projections start in FY2025.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4A34B" w14:textId="0B2D5785" w:rsidR="00407A67" w:rsidRDefault="00407A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971A6" w14:textId="658338AB" w:rsidR="00407A67" w:rsidRDefault="00407A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423C4" w14:textId="527C71FA" w:rsidR="00407A67" w:rsidRDefault="00407A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A67C1"/>
    <w:multiLevelType w:val="hybridMultilevel"/>
    <w:tmpl w:val="28C44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B2744"/>
    <w:multiLevelType w:val="hybridMultilevel"/>
    <w:tmpl w:val="F7DA04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91D8D"/>
    <w:multiLevelType w:val="hybridMultilevel"/>
    <w:tmpl w:val="DC5894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F635F0"/>
    <w:multiLevelType w:val="hybridMultilevel"/>
    <w:tmpl w:val="DEFE7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377750"/>
    <w:multiLevelType w:val="multilevel"/>
    <w:tmpl w:val="FE908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4A76F4"/>
    <w:multiLevelType w:val="hybridMultilevel"/>
    <w:tmpl w:val="80A47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CC139E"/>
    <w:multiLevelType w:val="hybridMultilevel"/>
    <w:tmpl w:val="77DE1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0E5E78"/>
    <w:multiLevelType w:val="multilevel"/>
    <w:tmpl w:val="E836D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7C7FEE"/>
    <w:multiLevelType w:val="hybridMultilevel"/>
    <w:tmpl w:val="EF844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0019EE"/>
    <w:multiLevelType w:val="hybridMultilevel"/>
    <w:tmpl w:val="F3D03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782272"/>
    <w:multiLevelType w:val="hybridMultilevel"/>
    <w:tmpl w:val="4E568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0200C2"/>
    <w:multiLevelType w:val="hybridMultilevel"/>
    <w:tmpl w:val="70A00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1D7367"/>
    <w:multiLevelType w:val="hybridMultilevel"/>
    <w:tmpl w:val="116A5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881647"/>
    <w:multiLevelType w:val="hybridMultilevel"/>
    <w:tmpl w:val="B466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3C0ED3"/>
    <w:multiLevelType w:val="hybridMultilevel"/>
    <w:tmpl w:val="CC486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9413A8"/>
    <w:multiLevelType w:val="hybridMultilevel"/>
    <w:tmpl w:val="834EB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3710FB"/>
    <w:multiLevelType w:val="hybridMultilevel"/>
    <w:tmpl w:val="54CCA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242356"/>
    <w:multiLevelType w:val="hybridMultilevel"/>
    <w:tmpl w:val="2E725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A70D45"/>
    <w:multiLevelType w:val="hybridMultilevel"/>
    <w:tmpl w:val="9670B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C73137"/>
    <w:multiLevelType w:val="hybridMultilevel"/>
    <w:tmpl w:val="A5240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634E3A"/>
    <w:multiLevelType w:val="hybridMultilevel"/>
    <w:tmpl w:val="8118F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175DB0"/>
    <w:multiLevelType w:val="hybridMultilevel"/>
    <w:tmpl w:val="20C0B322"/>
    <w:lvl w:ilvl="0" w:tplc="AB9AC9F0">
      <w:start w:val="1"/>
      <w:numFmt w:val="decimal"/>
      <w:lvlText w:val="%1."/>
      <w:lvlJc w:val="left"/>
      <w:pPr>
        <w:ind w:left="1080" w:hanging="720"/>
      </w:pPr>
      <w:rPr>
        <w:rFonts w:hint="default"/>
      </w:rPr>
    </w:lvl>
    <w:lvl w:ilvl="1" w:tplc="B7C8F6A0">
      <w:start w:val="1"/>
      <w:numFmt w:val="lowerLetter"/>
      <w:lvlText w:val="%2."/>
      <w:lvlJc w:val="left"/>
      <w:pPr>
        <w:ind w:left="90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D67876"/>
    <w:multiLevelType w:val="hybridMultilevel"/>
    <w:tmpl w:val="0D92E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3824F1"/>
    <w:multiLevelType w:val="hybridMultilevel"/>
    <w:tmpl w:val="FFAC2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306A5F"/>
    <w:multiLevelType w:val="hybridMultilevel"/>
    <w:tmpl w:val="061CC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D014F9"/>
    <w:multiLevelType w:val="hybridMultilevel"/>
    <w:tmpl w:val="6E6A3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7818F1"/>
    <w:multiLevelType w:val="hybridMultilevel"/>
    <w:tmpl w:val="BD528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1777AC"/>
    <w:multiLevelType w:val="hybridMultilevel"/>
    <w:tmpl w:val="BAE8C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F33CC8"/>
    <w:multiLevelType w:val="hybridMultilevel"/>
    <w:tmpl w:val="BD6A34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702F5F"/>
    <w:multiLevelType w:val="hybridMultilevel"/>
    <w:tmpl w:val="E5F0C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6E2956"/>
    <w:multiLevelType w:val="hybridMultilevel"/>
    <w:tmpl w:val="093EF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121CD0"/>
    <w:multiLevelType w:val="multilevel"/>
    <w:tmpl w:val="0B38C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544B08"/>
    <w:multiLevelType w:val="hybridMultilevel"/>
    <w:tmpl w:val="6674E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444F2E"/>
    <w:multiLevelType w:val="hybridMultilevel"/>
    <w:tmpl w:val="84BEE96E"/>
    <w:lvl w:ilvl="0" w:tplc="D1AC3FB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741898"/>
    <w:multiLevelType w:val="hybridMultilevel"/>
    <w:tmpl w:val="A6E4F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6D6749"/>
    <w:multiLevelType w:val="hybridMultilevel"/>
    <w:tmpl w:val="3D322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622249"/>
    <w:multiLevelType w:val="hybridMultilevel"/>
    <w:tmpl w:val="ED9AC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35"/>
  </w:num>
  <w:num w:numId="3">
    <w:abstractNumId w:val="24"/>
  </w:num>
  <w:num w:numId="4">
    <w:abstractNumId w:val="25"/>
  </w:num>
  <w:num w:numId="5">
    <w:abstractNumId w:val="28"/>
  </w:num>
  <w:num w:numId="6">
    <w:abstractNumId w:val="1"/>
  </w:num>
  <w:num w:numId="7">
    <w:abstractNumId w:val="3"/>
  </w:num>
  <w:num w:numId="8">
    <w:abstractNumId w:val="12"/>
  </w:num>
  <w:num w:numId="9">
    <w:abstractNumId w:val="26"/>
  </w:num>
  <w:num w:numId="10">
    <w:abstractNumId w:val="23"/>
  </w:num>
  <w:num w:numId="11">
    <w:abstractNumId w:val="22"/>
  </w:num>
  <w:num w:numId="12">
    <w:abstractNumId w:val="9"/>
  </w:num>
  <w:num w:numId="13">
    <w:abstractNumId w:val="15"/>
  </w:num>
  <w:num w:numId="14">
    <w:abstractNumId w:val="36"/>
  </w:num>
  <w:num w:numId="15">
    <w:abstractNumId w:val="17"/>
  </w:num>
  <w:num w:numId="16">
    <w:abstractNumId w:val="34"/>
  </w:num>
  <w:num w:numId="17">
    <w:abstractNumId w:val="16"/>
  </w:num>
  <w:num w:numId="18">
    <w:abstractNumId w:val="5"/>
  </w:num>
  <w:num w:numId="19">
    <w:abstractNumId w:val="29"/>
  </w:num>
  <w:num w:numId="20">
    <w:abstractNumId w:val="32"/>
  </w:num>
  <w:num w:numId="21">
    <w:abstractNumId w:val="0"/>
  </w:num>
  <w:num w:numId="22">
    <w:abstractNumId w:val="18"/>
  </w:num>
  <w:num w:numId="23">
    <w:abstractNumId w:val="8"/>
  </w:num>
  <w:num w:numId="24">
    <w:abstractNumId w:val="13"/>
  </w:num>
  <w:num w:numId="25">
    <w:abstractNumId w:val="27"/>
  </w:num>
  <w:num w:numId="26">
    <w:abstractNumId w:val="6"/>
  </w:num>
  <w:num w:numId="27">
    <w:abstractNumId w:val="14"/>
  </w:num>
  <w:num w:numId="28">
    <w:abstractNumId w:val="20"/>
  </w:num>
  <w:num w:numId="29">
    <w:abstractNumId w:val="31"/>
  </w:num>
  <w:num w:numId="30">
    <w:abstractNumId w:val="4"/>
  </w:num>
  <w:num w:numId="31">
    <w:abstractNumId w:val="7"/>
  </w:num>
  <w:num w:numId="32">
    <w:abstractNumId w:val="33"/>
  </w:num>
  <w:num w:numId="33">
    <w:abstractNumId w:val="30"/>
  </w:num>
  <w:num w:numId="34">
    <w:abstractNumId w:val="10"/>
  </w:num>
  <w:num w:numId="35">
    <w:abstractNumId w:val="21"/>
  </w:num>
  <w:num w:numId="36">
    <w:abstractNumId w:val="2"/>
  </w:num>
  <w:num w:numId="37">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C5C"/>
    <w:rsid w:val="0000018B"/>
    <w:rsid w:val="00001169"/>
    <w:rsid w:val="000012FD"/>
    <w:rsid w:val="0000377A"/>
    <w:rsid w:val="000037BD"/>
    <w:rsid w:val="00004002"/>
    <w:rsid w:val="000043B7"/>
    <w:rsid w:val="000051DD"/>
    <w:rsid w:val="00005930"/>
    <w:rsid w:val="00006120"/>
    <w:rsid w:val="0000620A"/>
    <w:rsid w:val="000064BF"/>
    <w:rsid w:val="00006D7B"/>
    <w:rsid w:val="00010605"/>
    <w:rsid w:val="00011D5C"/>
    <w:rsid w:val="00012EB0"/>
    <w:rsid w:val="0001463A"/>
    <w:rsid w:val="000149B5"/>
    <w:rsid w:val="00015877"/>
    <w:rsid w:val="000162D8"/>
    <w:rsid w:val="000171B2"/>
    <w:rsid w:val="0001796E"/>
    <w:rsid w:val="00021CE3"/>
    <w:rsid w:val="00021E2D"/>
    <w:rsid w:val="000221E0"/>
    <w:rsid w:val="000228E0"/>
    <w:rsid w:val="00023FEB"/>
    <w:rsid w:val="00024E7D"/>
    <w:rsid w:val="00025521"/>
    <w:rsid w:val="00025BB3"/>
    <w:rsid w:val="00026600"/>
    <w:rsid w:val="000268FE"/>
    <w:rsid w:val="00027235"/>
    <w:rsid w:val="0002778C"/>
    <w:rsid w:val="00032FF5"/>
    <w:rsid w:val="0003478E"/>
    <w:rsid w:val="00040674"/>
    <w:rsid w:val="00040CCD"/>
    <w:rsid w:val="00040FC1"/>
    <w:rsid w:val="00041D23"/>
    <w:rsid w:val="00041E4A"/>
    <w:rsid w:val="000429D3"/>
    <w:rsid w:val="00042AF6"/>
    <w:rsid w:val="00043639"/>
    <w:rsid w:val="00043E84"/>
    <w:rsid w:val="00045C97"/>
    <w:rsid w:val="00046436"/>
    <w:rsid w:val="0004645C"/>
    <w:rsid w:val="0004773C"/>
    <w:rsid w:val="00047AEF"/>
    <w:rsid w:val="00047DC4"/>
    <w:rsid w:val="00051CD9"/>
    <w:rsid w:val="00054CD1"/>
    <w:rsid w:val="000550F5"/>
    <w:rsid w:val="00055990"/>
    <w:rsid w:val="00056706"/>
    <w:rsid w:val="00056707"/>
    <w:rsid w:val="000570BB"/>
    <w:rsid w:val="00057CC4"/>
    <w:rsid w:val="00060403"/>
    <w:rsid w:val="00060651"/>
    <w:rsid w:val="00060A51"/>
    <w:rsid w:val="00062599"/>
    <w:rsid w:val="0006328B"/>
    <w:rsid w:val="00063512"/>
    <w:rsid w:val="000649A6"/>
    <w:rsid w:val="00064A49"/>
    <w:rsid w:val="00064FD4"/>
    <w:rsid w:val="0006665D"/>
    <w:rsid w:val="000678AD"/>
    <w:rsid w:val="00067F51"/>
    <w:rsid w:val="000702F9"/>
    <w:rsid w:val="00071296"/>
    <w:rsid w:val="0007174C"/>
    <w:rsid w:val="00073588"/>
    <w:rsid w:val="0007370C"/>
    <w:rsid w:val="00073AA6"/>
    <w:rsid w:val="00073DC9"/>
    <w:rsid w:val="00074092"/>
    <w:rsid w:val="000741E3"/>
    <w:rsid w:val="00074CCF"/>
    <w:rsid w:val="00075F06"/>
    <w:rsid w:val="000764C2"/>
    <w:rsid w:val="00076900"/>
    <w:rsid w:val="00076961"/>
    <w:rsid w:val="00076CB2"/>
    <w:rsid w:val="00077393"/>
    <w:rsid w:val="000805C7"/>
    <w:rsid w:val="00082D19"/>
    <w:rsid w:val="00082FA2"/>
    <w:rsid w:val="0008338A"/>
    <w:rsid w:val="00083AD3"/>
    <w:rsid w:val="00084F0E"/>
    <w:rsid w:val="0008507A"/>
    <w:rsid w:val="00085226"/>
    <w:rsid w:val="00085450"/>
    <w:rsid w:val="00085465"/>
    <w:rsid w:val="000862E1"/>
    <w:rsid w:val="000868DF"/>
    <w:rsid w:val="00087615"/>
    <w:rsid w:val="0009089A"/>
    <w:rsid w:val="00090BFF"/>
    <w:rsid w:val="00090F76"/>
    <w:rsid w:val="00092167"/>
    <w:rsid w:val="00094A55"/>
    <w:rsid w:val="00095007"/>
    <w:rsid w:val="000952D1"/>
    <w:rsid w:val="000960F0"/>
    <w:rsid w:val="00097809"/>
    <w:rsid w:val="000A09DB"/>
    <w:rsid w:val="000A18DC"/>
    <w:rsid w:val="000A1D7F"/>
    <w:rsid w:val="000A2730"/>
    <w:rsid w:val="000A3060"/>
    <w:rsid w:val="000A3B6A"/>
    <w:rsid w:val="000A3FB5"/>
    <w:rsid w:val="000A4439"/>
    <w:rsid w:val="000A67B4"/>
    <w:rsid w:val="000A7362"/>
    <w:rsid w:val="000B140A"/>
    <w:rsid w:val="000B1486"/>
    <w:rsid w:val="000B1C51"/>
    <w:rsid w:val="000B1D01"/>
    <w:rsid w:val="000B22D5"/>
    <w:rsid w:val="000B2E85"/>
    <w:rsid w:val="000B3788"/>
    <w:rsid w:val="000B3C84"/>
    <w:rsid w:val="000B4345"/>
    <w:rsid w:val="000B4E69"/>
    <w:rsid w:val="000B5021"/>
    <w:rsid w:val="000B633D"/>
    <w:rsid w:val="000B6EE5"/>
    <w:rsid w:val="000B7508"/>
    <w:rsid w:val="000C0F1B"/>
    <w:rsid w:val="000C218C"/>
    <w:rsid w:val="000C252E"/>
    <w:rsid w:val="000C2A3C"/>
    <w:rsid w:val="000C3416"/>
    <w:rsid w:val="000C662C"/>
    <w:rsid w:val="000C73EE"/>
    <w:rsid w:val="000C799A"/>
    <w:rsid w:val="000C7EB8"/>
    <w:rsid w:val="000D0B26"/>
    <w:rsid w:val="000D172A"/>
    <w:rsid w:val="000D1741"/>
    <w:rsid w:val="000D256E"/>
    <w:rsid w:val="000D480F"/>
    <w:rsid w:val="000D6207"/>
    <w:rsid w:val="000D7674"/>
    <w:rsid w:val="000E0BD0"/>
    <w:rsid w:val="000E0FE3"/>
    <w:rsid w:val="000E31EB"/>
    <w:rsid w:val="000E4A0F"/>
    <w:rsid w:val="000E5490"/>
    <w:rsid w:val="000E5772"/>
    <w:rsid w:val="000E66BC"/>
    <w:rsid w:val="000E741A"/>
    <w:rsid w:val="000F0728"/>
    <w:rsid w:val="000F0F67"/>
    <w:rsid w:val="000F2A34"/>
    <w:rsid w:val="000F5882"/>
    <w:rsid w:val="000F762C"/>
    <w:rsid w:val="000F7ADC"/>
    <w:rsid w:val="001008D6"/>
    <w:rsid w:val="00101B78"/>
    <w:rsid w:val="001022E7"/>
    <w:rsid w:val="001037E2"/>
    <w:rsid w:val="00103D80"/>
    <w:rsid w:val="00103FC0"/>
    <w:rsid w:val="001041BA"/>
    <w:rsid w:val="0010512C"/>
    <w:rsid w:val="00105257"/>
    <w:rsid w:val="00106356"/>
    <w:rsid w:val="00106D23"/>
    <w:rsid w:val="00106EAB"/>
    <w:rsid w:val="00107370"/>
    <w:rsid w:val="00107DAA"/>
    <w:rsid w:val="001102AD"/>
    <w:rsid w:val="00111C66"/>
    <w:rsid w:val="001133DF"/>
    <w:rsid w:val="00113824"/>
    <w:rsid w:val="00114415"/>
    <w:rsid w:val="001144E9"/>
    <w:rsid w:val="0011452E"/>
    <w:rsid w:val="001151AB"/>
    <w:rsid w:val="001169A1"/>
    <w:rsid w:val="001179AA"/>
    <w:rsid w:val="001200C7"/>
    <w:rsid w:val="001202D9"/>
    <w:rsid w:val="001212BE"/>
    <w:rsid w:val="0012183F"/>
    <w:rsid w:val="00121D0A"/>
    <w:rsid w:val="00123475"/>
    <w:rsid w:val="00123A29"/>
    <w:rsid w:val="00124018"/>
    <w:rsid w:val="00124249"/>
    <w:rsid w:val="00124ACA"/>
    <w:rsid w:val="0012586E"/>
    <w:rsid w:val="0012599E"/>
    <w:rsid w:val="0012789F"/>
    <w:rsid w:val="00127AF5"/>
    <w:rsid w:val="0013320D"/>
    <w:rsid w:val="001338DB"/>
    <w:rsid w:val="00133AEF"/>
    <w:rsid w:val="00133B2B"/>
    <w:rsid w:val="00133FA2"/>
    <w:rsid w:val="00134A92"/>
    <w:rsid w:val="00134C6F"/>
    <w:rsid w:val="001354A7"/>
    <w:rsid w:val="00137753"/>
    <w:rsid w:val="00137F5B"/>
    <w:rsid w:val="00140A5E"/>
    <w:rsid w:val="00141060"/>
    <w:rsid w:val="00141196"/>
    <w:rsid w:val="001412CA"/>
    <w:rsid w:val="001433FF"/>
    <w:rsid w:val="0014393A"/>
    <w:rsid w:val="00143A5E"/>
    <w:rsid w:val="00143A79"/>
    <w:rsid w:val="00144893"/>
    <w:rsid w:val="00145577"/>
    <w:rsid w:val="00146B1C"/>
    <w:rsid w:val="00146B9B"/>
    <w:rsid w:val="00147E97"/>
    <w:rsid w:val="00150106"/>
    <w:rsid w:val="001515BD"/>
    <w:rsid w:val="001515E3"/>
    <w:rsid w:val="00153838"/>
    <w:rsid w:val="0015438B"/>
    <w:rsid w:val="001546EE"/>
    <w:rsid w:val="0015567D"/>
    <w:rsid w:val="00157A1F"/>
    <w:rsid w:val="00160629"/>
    <w:rsid w:val="00160E14"/>
    <w:rsid w:val="00162A1A"/>
    <w:rsid w:val="001630F8"/>
    <w:rsid w:val="00163BB9"/>
    <w:rsid w:val="00163DCC"/>
    <w:rsid w:val="00164A26"/>
    <w:rsid w:val="00164E08"/>
    <w:rsid w:val="0016547B"/>
    <w:rsid w:val="00166844"/>
    <w:rsid w:val="00166CDE"/>
    <w:rsid w:val="0017162C"/>
    <w:rsid w:val="00173733"/>
    <w:rsid w:val="00173BD5"/>
    <w:rsid w:val="0017513A"/>
    <w:rsid w:val="001755C5"/>
    <w:rsid w:val="00176C56"/>
    <w:rsid w:val="00177A2A"/>
    <w:rsid w:val="00177A6C"/>
    <w:rsid w:val="00180256"/>
    <w:rsid w:val="001827F2"/>
    <w:rsid w:val="00183C66"/>
    <w:rsid w:val="0018641A"/>
    <w:rsid w:val="00186494"/>
    <w:rsid w:val="001871B7"/>
    <w:rsid w:val="001906C0"/>
    <w:rsid w:val="001908B8"/>
    <w:rsid w:val="00191A7E"/>
    <w:rsid w:val="00191DAC"/>
    <w:rsid w:val="00191E4A"/>
    <w:rsid w:val="0019215E"/>
    <w:rsid w:val="00192500"/>
    <w:rsid w:val="00192CFC"/>
    <w:rsid w:val="0019525C"/>
    <w:rsid w:val="0019791D"/>
    <w:rsid w:val="001A00AC"/>
    <w:rsid w:val="001A08D2"/>
    <w:rsid w:val="001A1B81"/>
    <w:rsid w:val="001A3E9C"/>
    <w:rsid w:val="001A4977"/>
    <w:rsid w:val="001A4B54"/>
    <w:rsid w:val="001A5281"/>
    <w:rsid w:val="001A6C73"/>
    <w:rsid w:val="001A7428"/>
    <w:rsid w:val="001B0000"/>
    <w:rsid w:val="001B0C21"/>
    <w:rsid w:val="001B0EF8"/>
    <w:rsid w:val="001B1425"/>
    <w:rsid w:val="001B2175"/>
    <w:rsid w:val="001B3305"/>
    <w:rsid w:val="001B3A91"/>
    <w:rsid w:val="001B3CAC"/>
    <w:rsid w:val="001B3E9A"/>
    <w:rsid w:val="001B5686"/>
    <w:rsid w:val="001B7E7E"/>
    <w:rsid w:val="001B7FB8"/>
    <w:rsid w:val="001C0FD2"/>
    <w:rsid w:val="001C16B2"/>
    <w:rsid w:val="001C1979"/>
    <w:rsid w:val="001C2504"/>
    <w:rsid w:val="001C2A22"/>
    <w:rsid w:val="001C2CD0"/>
    <w:rsid w:val="001C364B"/>
    <w:rsid w:val="001C3EE5"/>
    <w:rsid w:val="001C5674"/>
    <w:rsid w:val="001C5BF3"/>
    <w:rsid w:val="001C5C0A"/>
    <w:rsid w:val="001C601B"/>
    <w:rsid w:val="001C7466"/>
    <w:rsid w:val="001D0267"/>
    <w:rsid w:val="001D086E"/>
    <w:rsid w:val="001D1075"/>
    <w:rsid w:val="001D1C4F"/>
    <w:rsid w:val="001D232F"/>
    <w:rsid w:val="001D2B3E"/>
    <w:rsid w:val="001D4023"/>
    <w:rsid w:val="001D5CF5"/>
    <w:rsid w:val="001E06B6"/>
    <w:rsid w:val="001E0CA4"/>
    <w:rsid w:val="001E12E0"/>
    <w:rsid w:val="001E1A7C"/>
    <w:rsid w:val="001E1ADB"/>
    <w:rsid w:val="001E2B14"/>
    <w:rsid w:val="001E3A7F"/>
    <w:rsid w:val="001E505A"/>
    <w:rsid w:val="001E514A"/>
    <w:rsid w:val="001E5EE7"/>
    <w:rsid w:val="001E7560"/>
    <w:rsid w:val="001F0E7D"/>
    <w:rsid w:val="001F174F"/>
    <w:rsid w:val="001F1A24"/>
    <w:rsid w:val="001F24C5"/>
    <w:rsid w:val="001F2580"/>
    <w:rsid w:val="001F27B7"/>
    <w:rsid w:val="001F460D"/>
    <w:rsid w:val="001F5246"/>
    <w:rsid w:val="00200824"/>
    <w:rsid w:val="0020283A"/>
    <w:rsid w:val="002029E9"/>
    <w:rsid w:val="00202FB0"/>
    <w:rsid w:val="00203ACD"/>
    <w:rsid w:val="00203CD5"/>
    <w:rsid w:val="00204061"/>
    <w:rsid w:val="002048A8"/>
    <w:rsid w:val="00204FCC"/>
    <w:rsid w:val="00206902"/>
    <w:rsid w:val="00211168"/>
    <w:rsid w:val="0021158A"/>
    <w:rsid w:val="00211DC7"/>
    <w:rsid w:val="00212162"/>
    <w:rsid w:val="0021293A"/>
    <w:rsid w:val="00212AEB"/>
    <w:rsid w:val="0021428A"/>
    <w:rsid w:val="002153D8"/>
    <w:rsid w:val="00215907"/>
    <w:rsid w:val="00215A8E"/>
    <w:rsid w:val="00216136"/>
    <w:rsid w:val="00216949"/>
    <w:rsid w:val="00216AFD"/>
    <w:rsid w:val="002171B1"/>
    <w:rsid w:val="00220D14"/>
    <w:rsid w:val="002224D7"/>
    <w:rsid w:val="00222BD4"/>
    <w:rsid w:val="00224B90"/>
    <w:rsid w:val="00226553"/>
    <w:rsid w:val="0022783E"/>
    <w:rsid w:val="00230193"/>
    <w:rsid w:val="0023105F"/>
    <w:rsid w:val="00231103"/>
    <w:rsid w:val="00232DA1"/>
    <w:rsid w:val="00233BCA"/>
    <w:rsid w:val="00236FD3"/>
    <w:rsid w:val="00237CC4"/>
    <w:rsid w:val="0024026C"/>
    <w:rsid w:val="0024154A"/>
    <w:rsid w:val="00241D81"/>
    <w:rsid w:val="00242455"/>
    <w:rsid w:val="0024347F"/>
    <w:rsid w:val="00243D77"/>
    <w:rsid w:val="00244F06"/>
    <w:rsid w:val="00246A11"/>
    <w:rsid w:val="00247545"/>
    <w:rsid w:val="002500B7"/>
    <w:rsid w:val="002505DF"/>
    <w:rsid w:val="00250986"/>
    <w:rsid w:val="00250BF5"/>
    <w:rsid w:val="002518B9"/>
    <w:rsid w:val="00251E19"/>
    <w:rsid w:val="0025349C"/>
    <w:rsid w:val="00255EAB"/>
    <w:rsid w:val="002608D3"/>
    <w:rsid w:val="00260CC8"/>
    <w:rsid w:val="00260F33"/>
    <w:rsid w:val="002615CB"/>
    <w:rsid w:val="0026214C"/>
    <w:rsid w:val="0026489E"/>
    <w:rsid w:val="00266000"/>
    <w:rsid w:val="00267FF8"/>
    <w:rsid w:val="00270FA3"/>
    <w:rsid w:val="002724D2"/>
    <w:rsid w:val="002727C9"/>
    <w:rsid w:val="0027335D"/>
    <w:rsid w:val="00273397"/>
    <w:rsid w:val="00273516"/>
    <w:rsid w:val="002744ED"/>
    <w:rsid w:val="00274934"/>
    <w:rsid w:val="00275CF9"/>
    <w:rsid w:val="00277B7C"/>
    <w:rsid w:val="002809E6"/>
    <w:rsid w:val="002846EA"/>
    <w:rsid w:val="00284ADD"/>
    <w:rsid w:val="0028653D"/>
    <w:rsid w:val="002872BD"/>
    <w:rsid w:val="00291268"/>
    <w:rsid w:val="00291BCE"/>
    <w:rsid w:val="00291F19"/>
    <w:rsid w:val="00292F21"/>
    <w:rsid w:val="00293940"/>
    <w:rsid w:val="00293BB5"/>
    <w:rsid w:val="00293C7A"/>
    <w:rsid w:val="00296483"/>
    <w:rsid w:val="002969B0"/>
    <w:rsid w:val="00297A0F"/>
    <w:rsid w:val="002A0A58"/>
    <w:rsid w:val="002A15DC"/>
    <w:rsid w:val="002A1D6A"/>
    <w:rsid w:val="002A2C83"/>
    <w:rsid w:val="002A61C6"/>
    <w:rsid w:val="002A698A"/>
    <w:rsid w:val="002A7B3C"/>
    <w:rsid w:val="002B04DE"/>
    <w:rsid w:val="002B5CA5"/>
    <w:rsid w:val="002B5FAC"/>
    <w:rsid w:val="002B77B1"/>
    <w:rsid w:val="002C02D9"/>
    <w:rsid w:val="002C03AF"/>
    <w:rsid w:val="002C13F0"/>
    <w:rsid w:val="002C1883"/>
    <w:rsid w:val="002C18CB"/>
    <w:rsid w:val="002C6490"/>
    <w:rsid w:val="002D1A32"/>
    <w:rsid w:val="002D23BA"/>
    <w:rsid w:val="002D32DB"/>
    <w:rsid w:val="002D36FB"/>
    <w:rsid w:val="002D3918"/>
    <w:rsid w:val="002D3A8D"/>
    <w:rsid w:val="002D3B31"/>
    <w:rsid w:val="002D41E1"/>
    <w:rsid w:val="002D4FF4"/>
    <w:rsid w:val="002D55BA"/>
    <w:rsid w:val="002D629A"/>
    <w:rsid w:val="002E03CB"/>
    <w:rsid w:val="002E058D"/>
    <w:rsid w:val="002E1240"/>
    <w:rsid w:val="002E21B4"/>
    <w:rsid w:val="002E3CD9"/>
    <w:rsid w:val="002E4428"/>
    <w:rsid w:val="002E4902"/>
    <w:rsid w:val="002E4942"/>
    <w:rsid w:val="002E5334"/>
    <w:rsid w:val="002E56A1"/>
    <w:rsid w:val="002E57F9"/>
    <w:rsid w:val="002E58A9"/>
    <w:rsid w:val="002E5973"/>
    <w:rsid w:val="002E62D4"/>
    <w:rsid w:val="002E74C8"/>
    <w:rsid w:val="002E7B77"/>
    <w:rsid w:val="002E7E16"/>
    <w:rsid w:val="002F1046"/>
    <w:rsid w:val="002F1E69"/>
    <w:rsid w:val="002F4797"/>
    <w:rsid w:val="002F4CBF"/>
    <w:rsid w:val="002F4E36"/>
    <w:rsid w:val="002F5AA0"/>
    <w:rsid w:val="002F6305"/>
    <w:rsid w:val="002F6463"/>
    <w:rsid w:val="002F7B99"/>
    <w:rsid w:val="002F7E6F"/>
    <w:rsid w:val="00300421"/>
    <w:rsid w:val="00302030"/>
    <w:rsid w:val="003020C6"/>
    <w:rsid w:val="003036D6"/>
    <w:rsid w:val="00303EE3"/>
    <w:rsid w:val="0030435C"/>
    <w:rsid w:val="00305665"/>
    <w:rsid w:val="0030613F"/>
    <w:rsid w:val="00306217"/>
    <w:rsid w:val="00306307"/>
    <w:rsid w:val="0030663B"/>
    <w:rsid w:val="003103B0"/>
    <w:rsid w:val="003104F3"/>
    <w:rsid w:val="00310803"/>
    <w:rsid w:val="00310D6F"/>
    <w:rsid w:val="00311073"/>
    <w:rsid w:val="003124DA"/>
    <w:rsid w:val="00312A19"/>
    <w:rsid w:val="0031325A"/>
    <w:rsid w:val="00313773"/>
    <w:rsid w:val="00313C93"/>
    <w:rsid w:val="003149DA"/>
    <w:rsid w:val="00315D2B"/>
    <w:rsid w:val="00316601"/>
    <w:rsid w:val="003169BE"/>
    <w:rsid w:val="003172AB"/>
    <w:rsid w:val="00317CEB"/>
    <w:rsid w:val="00320C7B"/>
    <w:rsid w:val="00321970"/>
    <w:rsid w:val="003230EC"/>
    <w:rsid w:val="00323848"/>
    <w:rsid w:val="00326C45"/>
    <w:rsid w:val="00327014"/>
    <w:rsid w:val="00327643"/>
    <w:rsid w:val="00327958"/>
    <w:rsid w:val="003302C2"/>
    <w:rsid w:val="0033054F"/>
    <w:rsid w:val="00332371"/>
    <w:rsid w:val="003346C7"/>
    <w:rsid w:val="00334EE8"/>
    <w:rsid w:val="00335181"/>
    <w:rsid w:val="00335ADA"/>
    <w:rsid w:val="00336942"/>
    <w:rsid w:val="003376BB"/>
    <w:rsid w:val="00337D54"/>
    <w:rsid w:val="00340174"/>
    <w:rsid w:val="00341E89"/>
    <w:rsid w:val="00341FC5"/>
    <w:rsid w:val="0034233E"/>
    <w:rsid w:val="00342AA0"/>
    <w:rsid w:val="00342CA7"/>
    <w:rsid w:val="00342D6E"/>
    <w:rsid w:val="00343491"/>
    <w:rsid w:val="0034468D"/>
    <w:rsid w:val="00345410"/>
    <w:rsid w:val="003466D2"/>
    <w:rsid w:val="0034731B"/>
    <w:rsid w:val="0035066F"/>
    <w:rsid w:val="0035131B"/>
    <w:rsid w:val="003538D5"/>
    <w:rsid w:val="0035406E"/>
    <w:rsid w:val="00354AE3"/>
    <w:rsid w:val="00355335"/>
    <w:rsid w:val="00355B45"/>
    <w:rsid w:val="0035674E"/>
    <w:rsid w:val="003578DF"/>
    <w:rsid w:val="00357D5C"/>
    <w:rsid w:val="003616ED"/>
    <w:rsid w:val="00362086"/>
    <w:rsid w:val="003620FB"/>
    <w:rsid w:val="00362B2A"/>
    <w:rsid w:val="00362DDE"/>
    <w:rsid w:val="0036358B"/>
    <w:rsid w:val="003635BD"/>
    <w:rsid w:val="003654FF"/>
    <w:rsid w:val="00365A8A"/>
    <w:rsid w:val="00366DCC"/>
    <w:rsid w:val="00367189"/>
    <w:rsid w:val="003702A2"/>
    <w:rsid w:val="00370D7F"/>
    <w:rsid w:val="003717A5"/>
    <w:rsid w:val="0037231C"/>
    <w:rsid w:val="0037312C"/>
    <w:rsid w:val="00374D6D"/>
    <w:rsid w:val="0037690F"/>
    <w:rsid w:val="00380361"/>
    <w:rsid w:val="00380A27"/>
    <w:rsid w:val="00380EBE"/>
    <w:rsid w:val="0038189A"/>
    <w:rsid w:val="00381D04"/>
    <w:rsid w:val="00383571"/>
    <w:rsid w:val="0038404A"/>
    <w:rsid w:val="003843FC"/>
    <w:rsid w:val="003844E3"/>
    <w:rsid w:val="00385A5E"/>
    <w:rsid w:val="00386C97"/>
    <w:rsid w:val="00386EEA"/>
    <w:rsid w:val="00387E09"/>
    <w:rsid w:val="00390246"/>
    <w:rsid w:val="0039099A"/>
    <w:rsid w:val="00391BB2"/>
    <w:rsid w:val="00392025"/>
    <w:rsid w:val="00394185"/>
    <w:rsid w:val="00396078"/>
    <w:rsid w:val="0039633B"/>
    <w:rsid w:val="00397994"/>
    <w:rsid w:val="003A0818"/>
    <w:rsid w:val="003A17F5"/>
    <w:rsid w:val="003A2DF4"/>
    <w:rsid w:val="003A3086"/>
    <w:rsid w:val="003A3702"/>
    <w:rsid w:val="003A4806"/>
    <w:rsid w:val="003A63A3"/>
    <w:rsid w:val="003B08E9"/>
    <w:rsid w:val="003B1342"/>
    <w:rsid w:val="003B308D"/>
    <w:rsid w:val="003B311D"/>
    <w:rsid w:val="003B36B7"/>
    <w:rsid w:val="003B3F09"/>
    <w:rsid w:val="003B43A3"/>
    <w:rsid w:val="003B4E44"/>
    <w:rsid w:val="003B79E5"/>
    <w:rsid w:val="003C1153"/>
    <w:rsid w:val="003C16C5"/>
    <w:rsid w:val="003C2537"/>
    <w:rsid w:val="003C2C7D"/>
    <w:rsid w:val="003C3A50"/>
    <w:rsid w:val="003C4C61"/>
    <w:rsid w:val="003C51D8"/>
    <w:rsid w:val="003C6202"/>
    <w:rsid w:val="003C6BBB"/>
    <w:rsid w:val="003C6BC7"/>
    <w:rsid w:val="003C7860"/>
    <w:rsid w:val="003D09CA"/>
    <w:rsid w:val="003D1EB4"/>
    <w:rsid w:val="003D287D"/>
    <w:rsid w:val="003D319E"/>
    <w:rsid w:val="003D47B5"/>
    <w:rsid w:val="003D49FD"/>
    <w:rsid w:val="003D4C1A"/>
    <w:rsid w:val="003D50D2"/>
    <w:rsid w:val="003D6BA9"/>
    <w:rsid w:val="003E049C"/>
    <w:rsid w:val="003E0906"/>
    <w:rsid w:val="003E2712"/>
    <w:rsid w:val="003E35B9"/>
    <w:rsid w:val="003E365A"/>
    <w:rsid w:val="003E3A40"/>
    <w:rsid w:val="003E59FB"/>
    <w:rsid w:val="003E65A0"/>
    <w:rsid w:val="003E6AC1"/>
    <w:rsid w:val="003E6C80"/>
    <w:rsid w:val="003E70BA"/>
    <w:rsid w:val="003E79F1"/>
    <w:rsid w:val="003F069D"/>
    <w:rsid w:val="003F07B9"/>
    <w:rsid w:val="003F110D"/>
    <w:rsid w:val="003F2075"/>
    <w:rsid w:val="003F3022"/>
    <w:rsid w:val="003F33A5"/>
    <w:rsid w:val="003F4BBE"/>
    <w:rsid w:val="003F4EED"/>
    <w:rsid w:val="003F7200"/>
    <w:rsid w:val="00401EDA"/>
    <w:rsid w:val="00401EE0"/>
    <w:rsid w:val="00402B50"/>
    <w:rsid w:val="004039A7"/>
    <w:rsid w:val="004042A4"/>
    <w:rsid w:val="004042D1"/>
    <w:rsid w:val="00404AC0"/>
    <w:rsid w:val="0040654D"/>
    <w:rsid w:val="004067C6"/>
    <w:rsid w:val="0040776E"/>
    <w:rsid w:val="004078BC"/>
    <w:rsid w:val="00407A67"/>
    <w:rsid w:val="00410AC7"/>
    <w:rsid w:val="00410BE3"/>
    <w:rsid w:val="00411D80"/>
    <w:rsid w:val="00412C32"/>
    <w:rsid w:val="00412E9D"/>
    <w:rsid w:val="00413E61"/>
    <w:rsid w:val="0041411E"/>
    <w:rsid w:val="004147C7"/>
    <w:rsid w:val="00414FAB"/>
    <w:rsid w:val="00414FE7"/>
    <w:rsid w:val="00416AA5"/>
    <w:rsid w:val="00416CCB"/>
    <w:rsid w:val="00417E85"/>
    <w:rsid w:val="004226D6"/>
    <w:rsid w:val="0042395B"/>
    <w:rsid w:val="004239E1"/>
    <w:rsid w:val="004271A6"/>
    <w:rsid w:val="00430190"/>
    <w:rsid w:val="00430E8F"/>
    <w:rsid w:val="00431025"/>
    <w:rsid w:val="0043237B"/>
    <w:rsid w:val="004329F4"/>
    <w:rsid w:val="00432E0F"/>
    <w:rsid w:val="00433427"/>
    <w:rsid w:val="0043785E"/>
    <w:rsid w:val="004410F1"/>
    <w:rsid w:val="00441CF7"/>
    <w:rsid w:val="00442E4D"/>
    <w:rsid w:val="004432C6"/>
    <w:rsid w:val="00446900"/>
    <w:rsid w:val="00446E41"/>
    <w:rsid w:val="00447778"/>
    <w:rsid w:val="0045091C"/>
    <w:rsid w:val="00450D96"/>
    <w:rsid w:val="00451469"/>
    <w:rsid w:val="004522C3"/>
    <w:rsid w:val="0045298B"/>
    <w:rsid w:val="00453DBA"/>
    <w:rsid w:val="00456075"/>
    <w:rsid w:val="004563B8"/>
    <w:rsid w:val="004566AB"/>
    <w:rsid w:val="00456E50"/>
    <w:rsid w:val="00460A58"/>
    <w:rsid w:val="004618F0"/>
    <w:rsid w:val="004628CD"/>
    <w:rsid w:val="004632BB"/>
    <w:rsid w:val="0046365F"/>
    <w:rsid w:val="0046455E"/>
    <w:rsid w:val="00464996"/>
    <w:rsid w:val="00470ED1"/>
    <w:rsid w:val="004730A2"/>
    <w:rsid w:val="00474220"/>
    <w:rsid w:val="0047451F"/>
    <w:rsid w:val="004753DB"/>
    <w:rsid w:val="004758E4"/>
    <w:rsid w:val="00475A39"/>
    <w:rsid w:val="00476FA5"/>
    <w:rsid w:val="00477532"/>
    <w:rsid w:val="00483912"/>
    <w:rsid w:val="004840AD"/>
    <w:rsid w:val="004845C0"/>
    <w:rsid w:val="00484A95"/>
    <w:rsid w:val="00484D95"/>
    <w:rsid w:val="004853A8"/>
    <w:rsid w:val="00485C76"/>
    <w:rsid w:val="00485DB0"/>
    <w:rsid w:val="00486A39"/>
    <w:rsid w:val="004873B7"/>
    <w:rsid w:val="00487718"/>
    <w:rsid w:val="0048776B"/>
    <w:rsid w:val="00487F4B"/>
    <w:rsid w:val="004900B4"/>
    <w:rsid w:val="00490B67"/>
    <w:rsid w:val="00491185"/>
    <w:rsid w:val="00491936"/>
    <w:rsid w:val="00491B23"/>
    <w:rsid w:val="004939E7"/>
    <w:rsid w:val="00494D8E"/>
    <w:rsid w:val="0049600B"/>
    <w:rsid w:val="00496024"/>
    <w:rsid w:val="00496247"/>
    <w:rsid w:val="004979C0"/>
    <w:rsid w:val="00497CF1"/>
    <w:rsid w:val="004A12D9"/>
    <w:rsid w:val="004A2141"/>
    <w:rsid w:val="004A225B"/>
    <w:rsid w:val="004A2C6F"/>
    <w:rsid w:val="004A349C"/>
    <w:rsid w:val="004A361A"/>
    <w:rsid w:val="004A3FC7"/>
    <w:rsid w:val="004A4A56"/>
    <w:rsid w:val="004A553C"/>
    <w:rsid w:val="004A56EC"/>
    <w:rsid w:val="004A5CDC"/>
    <w:rsid w:val="004A6FF8"/>
    <w:rsid w:val="004B0064"/>
    <w:rsid w:val="004B1AAC"/>
    <w:rsid w:val="004B1CE6"/>
    <w:rsid w:val="004B1D66"/>
    <w:rsid w:val="004B419B"/>
    <w:rsid w:val="004B4B68"/>
    <w:rsid w:val="004B4E91"/>
    <w:rsid w:val="004C0938"/>
    <w:rsid w:val="004C23F1"/>
    <w:rsid w:val="004C250B"/>
    <w:rsid w:val="004C2AE3"/>
    <w:rsid w:val="004C2F9B"/>
    <w:rsid w:val="004C3B68"/>
    <w:rsid w:val="004C5E66"/>
    <w:rsid w:val="004C671F"/>
    <w:rsid w:val="004C7202"/>
    <w:rsid w:val="004C795F"/>
    <w:rsid w:val="004C7BB3"/>
    <w:rsid w:val="004D12B4"/>
    <w:rsid w:val="004D154B"/>
    <w:rsid w:val="004D18DA"/>
    <w:rsid w:val="004D2704"/>
    <w:rsid w:val="004D293C"/>
    <w:rsid w:val="004D5B9F"/>
    <w:rsid w:val="004D5C16"/>
    <w:rsid w:val="004D5D68"/>
    <w:rsid w:val="004D661F"/>
    <w:rsid w:val="004D6C61"/>
    <w:rsid w:val="004D6E55"/>
    <w:rsid w:val="004D7290"/>
    <w:rsid w:val="004D7445"/>
    <w:rsid w:val="004D76A3"/>
    <w:rsid w:val="004D7860"/>
    <w:rsid w:val="004D7DF7"/>
    <w:rsid w:val="004E071D"/>
    <w:rsid w:val="004E0765"/>
    <w:rsid w:val="004E0818"/>
    <w:rsid w:val="004E091A"/>
    <w:rsid w:val="004E1193"/>
    <w:rsid w:val="004E166A"/>
    <w:rsid w:val="004E18CF"/>
    <w:rsid w:val="004E19F0"/>
    <w:rsid w:val="004E2072"/>
    <w:rsid w:val="004E21D1"/>
    <w:rsid w:val="004E2E79"/>
    <w:rsid w:val="004E3765"/>
    <w:rsid w:val="004E37D0"/>
    <w:rsid w:val="004E5E50"/>
    <w:rsid w:val="004E6DB8"/>
    <w:rsid w:val="004E6F41"/>
    <w:rsid w:val="004E6F5E"/>
    <w:rsid w:val="004E768C"/>
    <w:rsid w:val="004E7AD4"/>
    <w:rsid w:val="004F29ED"/>
    <w:rsid w:val="004F2AF1"/>
    <w:rsid w:val="004F2C37"/>
    <w:rsid w:val="004F2CA5"/>
    <w:rsid w:val="004F432A"/>
    <w:rsid w:val="004F47AB"/>
    <w:rsid w:val="004F48EB"/>
    <w:rsid w:val="004F4AB4"/>
    <w:rsid w:val="004F5FC1"/>
    <w:rsid w:val="004F6384"/>
    <w:rsid w:val="004F6BB4"/>
    <w:rsid w:val="004F73E3"/>
    <w:rsid w:val="004F7581"/>
    <w:rsid w:val="00500685"/>
    <w:rsid w:val="0050345F"/>
    <w:rsid w:val="005038CE"/>
    <w:rsid w:val="00503C94"/>
    <w:rsid w:val="00504023"/>
    <w:rsid w:val="0050437B"/>
    <w:rsid w:val="0050496F"/>
    <w:rsid w:val="00510D93"/>
    <w:rsid w:val="00512AFA"/>
    <w:rsid w:val="00513041"/>
    <w:rsid w:val="0051371D"/>
    <w:rsid w:val="00513952"/>
    <w:rsid w:val="0051443A"/>
    <w:rsid w:val="00514DF4"/>
    <w:rsid w:val="00514ECB"/>
    <w:rsid w:val="00515ADC"/>
    <w:rsid w:val="00516F08"/>
    <w:rsid w:val="0052139F"/>
    <w:rsid w:val="005214D5"/>
    <w:rsid w:val="00526578"/>
    <w:rsid w:val="005269D1"/>
    <w:rsid w:val="00526F8B"/>
    <w:rsid w:val="005272C5"/>
    <w:rsid w:val="00527577"/>
    <w:rsid w:val="00527788"/>
    <w:rsid w:val="005301FC"/>
    <w:rsid w:val="00530477"/>
    <w:rsid w:val="00530976"/>
    <w:rsid w:val="00530CAC"/>
    <w:rsid w:val="0053116A"/>
    <w:rsid w:val="005315B8"/>
    <w:rsid w:val="005318D7"/>
    <w:rsid w:val="00534498"/>
    <w:rsid w:val="00534B5C"/>
    <w:rsid w:val="005362FB"/>
    <w:rsid w:val="00536AFA"/>
    <w:rsid w:val="00537531"/>
    <w:rsid w:val="005377B4"/>
    <w:rsid w:val="0054059D"/>
    <w:rsid w:val="005407F6"/>
    <w:rsid w:val="00540CCC"/>
    <w:rsid w:val="00540F33"/>
    <w:rsid w:val="00541024"/>
    <w:rsid w:val="00541921"/>
    <w:rsid w:val="00541E8A"/>
    <w:rsid w:val="00542A82"/>
    <w:rsid w:val="005445E0"/>
    <w:rsid w:val="00544914"/>
    <w:rsid w:val="00544DEE"/>
    <w:rsid w:val="005466E6"/>
    <w:rsid w:val="00546928"/>
    <w:rsid w:val="00546AB6"/>
    <w:rsid w:val="00546D91"/>
    <w:rsid w:val="00547EE3"/>
    <w:rsid w:val="00547F71"/>
    <w:rsid w:val="00550329"/>
    <w:rsid w:val="005510B1"/>
    <w:rsid w:val="0055138A"/>
    <w:rsid w:val="0055181A"/>
    <w:rsid w:val="005524C9"/>
    <w:rsid w:val="00552B95"/>
    <w:rsid w:val="00553611"/>
    <w:rsid w:val="00553843"/>
    <w:rsid w:val="00553A13"/>
    <w:rsid w:val="0055609E"/>
    <w:rsid w:val="00556624"/>
    <w:rsid w:val="005578A2"/>
    <w:rsid w:val="00560E8F"/>
    <w:rsid w:val="0056105C"/>
    <w:rsid w:val="005611D0"/>
    <w:rsid w:val="0056130D"/>
    <w:rsid w:val="00561790"/>
    <w:rsid w:val="00561BCC"/>
    <w:rsid w:val="00563C20"/>
    <w:rsid w:val="005644BE"/>
    <w:rsid w:val="0056486D"/>
    <w:rsid w:val="00565DA7"/>
    <w:rsid w:val="0056611B"/>
    <w:rsid w:val="005678F4"/>
    <w:rsid w:val="0057038C"/>
    <w:rsid w:val="0057059E"/>
    <w:rsid w:val="0057105C"/>
    <w:rsid w:val="005712EC"/>
    <w:rsid w:val="00572995"/>
    <w:rsid w:val="00572BF6"/>
    <w:rsid w:val="00573EE7"/>
    <w:rsid w:val="00574147"/>
    <w:rsid w:val="005744D6"/>
    <w:rsid w:val="00574E23"/>
    <w:rsid w:val="00575405"/>
    <w:rsid w:val="0057546E"/>
    <w:rsid w:val="00576582"/>
    <w:rsid w:val="00577645"/>
    <w:rsid w:val="005806C3"/>
    <w:rsid w:val="005809E1"/>
    <w:rsid w:val="00583E50"/>
    <w:rsid w:val="00583ECD"/>
    <w:rsid w:val="005848D0"/>
    <w:rsid w:val="00587600"/>
    <w:rsid w:val="00590E2C"/>
    <w:rsid w:val="0059162A"/>
    <w:rsid w:val="00591B04"/>
    <w:rsid w:val="00591EBB"/>
    <w:rsid w:val="00592115"/>
    <w:rsid w:val="00592F5F"/>
    <w:rsid w:val="0059323D"/>
    <w:rsid w:val="00593481"/>
    <w:rsid w:val="005941A3"/>
    <w:rsid w:val="00595F74"/>
    <w:rsid w:val="00597CAB"/>
    <w:rsid w:val="005A04AD"/>
    <w:rsid w:val="005A07BB"/>
    <w:rsid w:val="005A1789"/>
    <w:rsid w:val="005A18D2"/>
    <w:rsid w:val="005A1DFC"/>
    <w:rsid w:val="005A2389"/>
    <w:rsid w:val="005A2571"/>
    <w:rsid w:val="005A2FBB"/>
    <w:rsid w:val="005A32F5"/>
    <w:rsid w:val="005A4809"/>
    <w:rsid w:val="005A4DCB"/>
    <w:rsid w:val="005A687E"/>
    <w:rsid w:val="005A7598"/>
    <w:rsid w:val="005B094D"/>
    <w:rsid w:val="005B0D40"/>
    <w:rsid w:val="005B1219"/>
    <w:rsid w:val="005B13C3"/>
    <w:rsid w:val="005B1AFE"/>
    <w:rsid w:val="005B1EA9"/>
    <w:rsid w:val="005B3EB3"/>
    <w:rsid w:val="005B40AA"/>
    <w:rsid w:val="005B49A9"/>
    <w:rsid w:val="005B4AEC"/>
    <w:rsid w:val="005B61A8"/>
    <w:rsid w:val="005B7397"/>
    <w:rsid w:val="005C0943"/>
    <w:rsid w:val="005C20CC"/>
    <w:rsid w:val="005C2DA3"/>
    <w:rsid w:val="005C3136"/>
    <w:rsid w:val="005C4C92"/>
    <w:rsid w:val="005C533B"/>
    <w:rsid w:val="005C6357"/>
    <w:rsid w:val="005D04D5"/>
    <w:rsid w:val="005D0D83"/>
    <w:rsid w:val="005D2D30"/>
    <w:rsid w:val="005D3016"/>
    <w:rsid w:val="005D32B2"/>
    <w:rsid w:val="005D38EA"/>
    <w:rsid w:val="005D4299"/>
    <w:rsid w:val="005D4C0D"/>
    <w:rsid w:val="005D4EBE"/>
    <w:rsid w:val="005D5F0A"/>
    <w:rsid w:val="005D5FE6"/>
    <w:rsid w:val="005E21F9"/>
    <w:rsid w:val="005E2CEE"/>
    <w:rsid w:val="005E636B"/>
    <w:rsid w:val="005E7BBA"/>
    <w:rsid w:val="005F032B"/>
    <w:rsid w:val="005F07C5"/>
    <w:rsid w:val="005F0DDA"/>
    <w:rsid w:val="005F208E"/>
    <w:rsid w:val="005F2A6E"/>
    <w:rsid w:val="005F344B"/>
    <w:rsid w:val="005F37DA"/>
    <w:rsid w:val="005F3E62"/>
    <w:rsid w:val="005F4AD8"/>
    <w:rsid w:val="005F53F5"/>
    <w:rsid w:val="005F6DA3"/>
    <w:rsid w:val="005F740E"/>
    <w:rsid w:val="005F7494"/>
    <w:rsid w:val="005F76C2"/>
    <w:rsid w:val="00600FED"/>
    <w:rsid w:val="0060112A"/>
    <w:rsid w:val="006012CF"/>
    <w:rsid w:val="00601352"/>
    <w:rsid w:val="006026C8"/>
    <w:rsid w:val="00602821"/>
    <w:rsid w:val="00602ED4"/>
    <w:rsid w:val="006033F8"/>
    <w:rsid w:val="00603A1C"/>
    <w:rsid w:val="00603B35"/>
    <w:rsid w:val="00604ADD"/>
    <w:rsid w:val="0060552B"/>
    <w:rsid w:val="00606A7D"/>
    <w:rsid w:val="00606D1C"/>
    <w:rsid w:val="00607289"/>
    <w:rsid w:val="006079BC"/>
    <w:rsid w:val="00607CC0"/>
    <w:rsid w:val="0061024C"/>
    <w:rsid w:val="0061089C"/>
    <w:rsid w:val="0061268A"/>
    <w:rsid w:val="00613DE4"/>
    <w:rsid w:val="00615D2F"/>
    <w:rsid w:val="00617438"/>
    <w:rsid w:val="00617CD5"/>
    <w:rsid w:val="0062153D"/>
    <w:rsid w:val="00622AA2"/>
    <w:rsid w:val="00622C6F"/>
    <w:rsid w:val="006238A9"/>
    <w:rsid w:val="006247D9"/>
    <w:rsid w:val="006258BC"/>
    <w:rsid w:val="0062684A"/>
    <w:rsid w:val="00627401"/>
    <w:rsid w:val="006274EF"/>
    <w:rsid w:val="0062761C"/>
    <w:rsid w:val="00631467"/>
    <w:rsid w:val="00631788"/>
    <w:rsid w:val="006322AA"/>
    <w:rsid w:val="00632516"/>
    <w:rsid w:val="00633838"/>
    <w:rsid w:val="006339B9"/>
    <w:rsid w:val="00633B9E"/>
    <w:rsid w:val="00633CEA"/>
    <w:rsid w:val="00635A2B"/>
    <w:rsid w:val="00635C82"/>
    <w:rsid w:val="00636321"/>
    <w:rsid w:val="00636357"/>
    <w:rsid w:val="00637496"/>
    <w:rsid w:val="00637B0F"/>
    <w:rsid w:val="006403D2"/>
    <w:rsid w:val="00642695"/>
    <w:rsid w:val="00643D57"/>
    <w:rsid w:val="00644CE4"/>
    <w:rsid w:val="00644F32"/>
    <w:rsid w:val="00647606"/>
    <w:rsid w:val="00647AF1"/>
    <w:rsid w:val="00652842"/>
    <w:rsid w:val="00654328"/>
    <w:rsid w:val="006555A3"/>
    <w:rsid w:val="006560F8"/>
    <w:rsid w:val="0065685F"/>
    <w:rsid w:val="00656E09"/>
    <w:rsid w:val="00656F20"/>
    <w:rsid w:val="00657EF8"/>
    <w:rsid w:val="00660997"/>
    <w:rsid w:val="00660A7F"/>
    <w:rsid w:val="00660BE8"/>
    <w:rsid w:val="0066433E"/>
    <w:rsid w:val="00664ABC"/>
    <w:rsid w:val="00664AD5"/>
    <w:rsid w:val="0066523E"/>
    <w:rsid w:val="006656C5"/>
    <w:rsid w:val="00667357"/>
    <w:rsid w:val="006676CD"/>
    <w:rsid w:val="00667B1F"/>
    <w:rsid w:val="00671959"/>
    <w:rsid w:val="006719B4"/>
    <w:rsid w:val="00672020"/>
    <w:rsid w:val="00672D41"/>
    <w:rsid w:val="00672DF8"/>
    <w:rsid w:val="00673CD1"/>
    <w:rsid w:val="0067433E"/>
    <w:rsid w:val="00675D97"/>
    <w:rsid w:val="006762B4"/>
    <w:rsid w:val="006808AA"/>
    <w:rsid w:val="006814E7"/>
    <w:rsid w:val="0068275C"/>
    <w:rsid w:val="006839D5"/>
    <w:rsid w:val="00684432"/>
    <w:rsid w:val="0068530E"/>
    <w:rsid w:val="00685577"/>
    <w:rsid w:val="0068570A"/>
    <w:rsid w:val="00687B3C"/>
    <w:rsid w:val="00690908"/>
    <w:rsid w:val="00690C12"/>
    <w:rsid w:val="00690F5C"/>
    <w:rsid w:val="0069119D"/>
    <w:rsid w:val="006940E8"/>
    <w:rsid w:val="00694794"/>
    <w:rsid w:val="00696FAD"/>
    <w:rsid w:val="006A25D2"/>
    <w:rsid w:val="006A4A4A"/>
    <w:rsid w:val="006A5129"/>
    <w:rsid w:val="006A5200"/>
    <w:rsid w:val="006B08FC"/>
    <w:rsid w:val="006B1206"/>
    <w:rsid w:val="006B1EF1"/>
    <w:rsid w:val="006B263C"/>
    <w:rsid w:val="006B38F7"/>
    <w:rsid w:val="006B41D6"/>
    <w:rsid w:val="006B71BC"/>
    <w:rsid w:val="006C0009"/>
    <w:rsid w:val="006C0C1E"/>
    <w:rsid w:val="006C22F7"/>
    <w:rsid w:val="006C552B"/>
    <w:rsid w:val="006C68EA"/>
    <w:rsid w:val="006D165C"/>
    <w:rsid w:val="006D190D"/>
    <w:rsid w:val="006D27CC"/>
    <w:rsid w:val="006D2828"/>
    <w:rsid w:val="006D3969"/>
    <w:rsid w:val="006D4754"/>
    <w:rsid w:val="006D51E4"/>
    <w:rsid w:val="006D5FB3"/>
    <w:rsid w:val="006D618B"/>
    <w:rsid w:val="006D629B"/>
    <w:rsid w:val="006D6A23"/>
    <w:rsid w:val="006D7C22"/>
    <w:rsid w:val="006E136B"/>
    <w:rsid w:val="006E279C"/>
    <w:rsid w:val="006E428A"/>
    <w:rsid w:val="006E42BA"/>
    <w:rsid w:val="006E778D"/>
    <w:rsid w:val="006E7CBE"/>
    <w:rsid w:val="006F0D23"/>
    <w:rsid w:val="006F1289"/>
    <w:rsid w:val="006F1E11"/>
    <w:rsid w:val="006F25C0"/>
    <w:rsid w:val="006F2CDD"/>
    <w:rsid w:val="006F3453"/>
    <w:rsid w:val="006F4EBA"/>
    <w:rsid w:val="006F5C13"/>
    <w:rsid w:val="006F5E3E"/>
    <w:rsid w:val="0070002B"/>
    <w:rsid w:val="007004F1"/>
    <w:rsid w:val="007027B8"/>
    <w:rsid w:val="00702A9C"/>
    <w:rsid w:val="007043F3"/>
    <w:rsid w:val="0070446C"/>
    <w:rsid w:val="00704AFC"/>
    <w:rsid w:val="00705311"/>
    <w:rsid w:val="00707557"/>
    <w:rsid w:val="00710983"/>
    <w:rsid w:val="00710B2D"/>
    <w:rsid w:val="0071169E"/>
    <w:rsid w:val="00712D38"/>
    <w:rsid w:val="0071402E"/>
    <w:rsid w:val="0071452B"/>
    <w:rsid w:val="00715518"/>
    <w:rsid w:val="00716E9D"/>
    <w:rsid w:val="00716EB1"/>
    <w:rsid w:val="00717154"/>
    <w:rsid w:val="00717762"/>
    <w:rsid w:val="00717FD1"/>
    <w:rsid w:val="00720058"/>
    <w:rsid w:val="007211C2"/>
    <w:rsid w:val="007213F2"/>
    <w:rsid w:val="007221E8"/>
    <w:rsid w:val="007222F6"/>
    <w:rsid w:val="007223EE"/>
    <w:rsid w:val="00722A25"/>
    <w:rsid w:val="007230BC"/>
    <w:rsid w:val="00723364"/>
    <w:rsid w:val="00724448"/>
    <w:rsid w:val="00724678"/>
    <w:rsid w:val="00725E6C"/>
    <w:rsid w:val="00726ACA"/>
    <w:rsid w:val="00730144"/>
    <w:rsid w:val="00731EAD"/>
    <w:rsid w:val="00732034"/>
    <w:rsid w:val="00732796"/>
    <w:rsid w:val="00733120"/>
    <w:rsid w:val="00733D97"/>
    <w:rsid w:val="007343DA"/>
    <w:rsid w:val="00734A0C"/>
    <w:rsid w:val="007351EA"/>
    <w:rsid w:val="007356D7"/>
    <w:rsid w:val="00735A5F"/>
    <w:rsid w:val="00735C4E"/>
    <w:rsid w:val="007364F8"/>
    <w:rsid w:val="00740B16"/>
    <w:rsid w:val="00741168"/>
    <w:rsid w:val="007422A1"/>
    <w:rsid w:val="00744418"/>
    <w:rsid w:val="00745023"/>
    <w:rsid w:val="007471AD"/>
    <w:rsid w:val="00750373"/>
    <w:rsid w:val="007506F8"/>
    <w:rsid w:val="007521A6"/>
    <w:rsid w:val="007525F8"/>
    <w:rsid w:val="007528DE"/>
    <w:rsid w:val="00753CEC"/>
    <w:rsid w:val="0075544A"/>
    <w:rsid w:val="0075553D"/>
    <w:rsid w:val="0075621F"/>
    <w:rsid w:val="00756258"/>
    <w:rsid w:val="007564CB"/>
    <w:rsid w:val="00757656"/>
    <w:rsid w:val="00761D80"/>
    <w:rsid w:val="00761D85"/>
    <w:rsid w:val="00762607"/>
    <w:rsid w:val="0076306B"/>
    <w:rsid w:val="007641D3"/>
    <w:rsid w:val="00764C26"/>
    <w:rsid w:val="00764CB2"/>
    <w:rsid w:val="007656BB"/>
    <w:rsid w:val="007675C6"/>
    <w:rsid w:val="00771621"/>
    <w:rsid w:val="00771728"/>
    <w:rsid w:val="00775081"/>
    <w:rsid w:val="0077551B"/>
    <w:rsid w:val="00775529"/>
    <w:rsid w:val="00775B80"/>
    <w:rsid w:val="007760BF"/>
    <w:rsid w:val="00777DA3"/>
    <w:rsid w:val="00777EEE"/>
    <w:rsid w:val="00780259"/>
    <w:rsid w:val="00780A3F"/>
    <w:rsid w:val="00781915"/>
    <w:rsid w:val="00781AAE"/>
    <w:rsid w:val="0078279D"/>
    <w:rsid w:val="00782E01"/>
    <w:rsid w:val="0078432E"/>
    <w:rsid w:val="00784FFD"/>
    <w:rsid w:val="00786755"/>
    <w:rsid w:val="0079010F"/>
    <w:rsid w:val="007912F1"/>
    <w:rsid w:val="00793EAB"/>
    <w:rsid w:val="00794ADD"/>
    <w:rsid w:val="00795D01"/>
    <w:rsid w:val="00795E61"/>
    <w:rsid w:val="007A107E"/>
    <w:rsid w:val="007A1F60"/>
    <w:rsid w:val="007A25B0"/>
    <w:rsid w:val="007A2981"/>
    <w:rsid w:val="007A2BFB"/>
    <w:rsid w:val="007A544F"/>
    <w:rsid w:val="007A79F2"/>
    <w:rsid w:val="007B0C26"/>
    <w:rsid w:val="007B159B"/>
    <w:rsid w:val="007B1833"/>
    <w:rsid w:val="007B2552"/>
    <w:rsid w:val="007B2CD1"/>
    <w:rsid w:val="007B2D29"/>
    <w:rsid w:val="007B4371"/>
    <w:rsid w:val="007B551A"/>
    <w:rsid w:val="007B581B"/>
    <w:rsid w:val="007B5926"/>
    <w:rsid w:val="007B5C83"/>
    <w:rsid w:val="007B5D5B"/>
    <w:rsid w:val="007B61D8"/>
    <w:rsid w:val="007B7C77"/>
    <w:rsid w:val="007C068D"/>
    <w:rsid w:val="007C077F"/>
    <w:rsid w:val="007C13E5"/>
    <w:rsid w:val="007C22D7"/>
    <w:rsid w:val="007C2B1C"/>
    <w:rsid w:val="007C2B2F"/>
    <w:rsid w:val="007C2DBF"/>
    <w:rsid w:val="007C4ACE"/>
    <w:rsid w:val="007C59C4"/>
    <w:rsid w:val="007C674A"/>
    <w:rsid w:val="007C6DC7"/>
    <w:rsid w:val="007C7EDC"/>
    <w:rsid w:val="007D0487"/>
    <w:rsid w:val="007D05C1"/>
    <w:rsid w:val="007D07AF"/>
    <w:rsid w:val="007D09F1"/>
    <w:rsid w:val="007D2033"/>
    <w:rsid w:val="007D227F"/>
    <w:rsid w:val="007D28BC"/>
    <w:rsid w:val="007D33F5"/>
    <w:rsid w:val="007D3E84"/>
    <w:rsid w:val="007D41BF"/>
    <w:rsid w:val="007D4621"/>
    <w:rsid w:val="007D7AA2"/>
    <w:rsid w:val="007E04D6"/>
    <w:rsid w:val="007E0AC9"/>
    <w:rsid w:val="007E0CBF"/>
    <w:rsid w:val="007E1C6B"/>
    <w:rsid w:val="007E41E1"/>
    <w:rsid w:val="007E4B0D"/>
    <w:rsid w:val="007E4DB7"/>
    <w:rsid w:val="007E5143"/>
    <w:rsid w:val="007E5235"/>
    <w:rsid w:val="007E5BDE"/>
    <w:rsid w:val="007E613A"/>
    <w:rsid w:val="007E6F60"/>
    <w:rsid w:val="007E72C0"/>
    <w:rsid w:val="007F1F3F"/>
    <w:rsid w:val="007F226C"/>
    <w:rsid w:val="007F5301"/>
    <w:rsid w:val="007F670A"/>
    <w:rsid w:val="007F765E"/>
    <w:rsid w:val="008004CF"/>
    <w:rsid w:val="00802226"/>
    <w:rsid w:val="00802835"/>
    <w:rsid w:val="008028A4"/>
    <w:rsid w:val="008047F0"/>
    <w:rsid w:val="00804B4B"/>
    <w:rsid w:val="00804BCB"/>
    <w:rsid w:val="00807CC6"/>
    <w:rsid w:val="0081028D"/>
    <w:rsid w:val="008111EC"/>
    <w:rsid w:val="00811AE9"/>
    <w:rsid w:val="0081236D"/>
    <w:rsid w:val="00815464"/>
    <w:rsid w:val="00815AFF"/>
    <w:rsid w:val="00816010"/>
    <w:rsid w:val="00817020"/>
    <w:rsid w:val="0081707C"/>
    <w:rsid w:val="00817442"/>
    <w:rsid w:val="00817F5C"/>
    <w:rsid w:val="0082014A"/>
    <w:rsid w:val="008210FA"/>
    <w:rsid w:val="00821B6A"/>
    <w:rsid w:val="0082326F"/>
    <w:rsid w:val="008243B3"/>
    <w:rsid w:val="008255F5"/>
    <w:rsid w:val="00825BBC"/>
    <w:rsid w:val="00825EF3"/>
    <w:rsid w:val="0082699F"/>
    <w:rsid w:val="00826BD1"/>
    <w:rsid w:val="00827FA1"/>
    <w:rsid w:val="00830085"/>
    <w:rsid w:val="00830883"/>
    <w:rsid w:val="00831133"/>
    <w:rsid w:val="00831181"/>
    <w:rsid w:val="0083151E"/>
    <w:rsid w:val="00831616"/>
    <w:rsid w:val="008329ED"/>
    <w:rsid w:val="0083351F"/>
    <w:rsid w:val="0083498F"/>
    <w:rsid w:val="0083530C"/>
    <w:rsid w:val="0083552A"/>
    <w:rsid w:val="00836DFA"/>
    <w:rsid w:val="008418B7"/>
    <w:rsid w:val="00841A51"/>
    <w:rsid w:val="00841B9D"/>
    <w:rsid w:val="008423E7"/>
    <w:rsid w:val="008434C7"/>
    <w:rsid w:val="008437BF"/>
    <w:rsid w:val="00844BD8"/>
    <w:rsid w:val="00845BE9"/>
    <w:rsid w:val="00846323"/>
    <w:rsid w:val="00846B87"/>
    <w:rsid w:val="0085010F"/>
    <w:rsid w:val="0085074F"/>
    <w:rsid w:val="00851386"/>
    <w:rsid w:val="008513B5"/>
    <w:rsid w:val="008518E8"/>
    <w:rsid w:val="008519AC"/>
    <w:rsid w:val="00851F93"/>
    <w:rsid w:val="008533FC"/>
    <w:rsid w:val="008538FE"/>
    <w:rsid w:val="00853CBA"/>
    <w:rsid w:val="008543E3"/>
    <w:rsid w:val="00854DEC"/>
    <w:rsid w:val="00856691"/>
    <w:rsid w:val="008570DA"/>
    <w:rsid w:val="008578F7"/>
    <w:rsid w:val="0086021D"/>
    <w:rsid w:val="008619A4"/>
    <w:rsid w:val="00861C5E"/>
    <w:rsid w:val="00861F1A"/>
    <w:rsid w:val="00862AF4"/>
    <w:rsid w:val="008639FC"/>
    <w:rsid w:val="008641A2"/>
    <w:rsid w:val="008650F7"/>
    <w:rsid w:val="00865113"/>
    <w:rsid w:val="00867623"/>
    <w:rsid w:val="00871428"/>
    <w:rsid w:val="008721AB"/>
    <w:rsid w:val="0087259D"/>
    <w:rsid w:val="008731B0"/>
    <w:rsid w:val="00875130"/>
    <w:rsid w:val="00876CE8"/>
    <w:rsid w:val="00876D0E"/>
    <w:rsid w:val="00877D29"/>
    <w:rsid w:val="00880EA1"/>
    <w:rsid w:val="0088211A"/>
    <w:rsid w:val="008826D1"/>
    <w:rsid w:val="0088325B"/>
    <w:rsid w:val="008832F7"/>
    <w:rsid w:val="00883943"/>
    <w:rsid w:val="00884FF3"/>
    <w:rsid w:val="00885D8D"/>
    <w:rsid w:val="0088627F"/>
    <w:rsid w:val="00886B46"/>
    <w:rsid w:val="00886EE4"/>
    <w:rsid w:val="00891F14"/>
    <w:rsid w:val="00892954"/>
    <w:rsid w:val="00892B58"/>
    <w:rsid w:val="008933C0"/>
    <w:rsid w:val="00893623"/>
    <w:rsid w:val="00894B39"/>
    <w:rsid w:val="00897F7A"/>
    <w:rsid w:val="008A055E"/>
    <w:rsid w:val="008A05D2"/>
    <w:rsid w:val="008A1636"/>
    <w:rsid w:val="008A208A"/>
    <w:rsid w:val="008A2B75"/>
    <w:rsid w:val="008A2DD6"/>
    <w:rsid w:val="008A3512"/>
    <w:rsid w:val="008A37A2"/>
    <w:rsid w:val="008A387A"/>
    <w:rsid w:val="008A69C3"/>
    <w:rsid w:val="008A6CA4"/>
    <w:rsid w:val="008A6D56"/>
    <w:rsid w:val="008A76FE"/>
    <w:rsid w:val="008B112B"/>
    <w:rsid w:val="008B1173"/>
    <w:rsid w:val="008B21C2"/>
    <w:rsid w:val="008B24E9"/>
    <w:rsid w:val="008B3E3E"/>
    <w:rsid w:val="008B4137"/>
    <w:rsid w:val="008B4A12"/>
    <w:rsid w:val="008B6A1C"/>
    <w:rsid w:val="008B6E96"/>
    <w:rsid w:val="008B73B2"/>
    <w:rsid w:val="008B7B00"/>
    <w:rsid w:val="008B7E2E"/>
    <w:rsid w:val="008C1253"/>
    <w:rsid w:val="008C1C2E"/>
    <w:rsid w:val="008C2111"/>
    <w:rsid w:val="008C21E8"/>
    <w:rsid w:val="008C303F"/>
    <w:rsid w:val="008C30F7"/>
    <w:rsid w:val="008C33C1"/>
    <w:rsid w:val="008C4731"/>
    <w:rsid w:val="008C47A4"/>
    <w:rsid w:val="008C608D"/>
    <w:rsid w:val="008C706C"/>
    <w:rsid w:val="008C721A"/>
    <w:rsid w:val="008D1291"/>
    <w:rsid w:val="008D2566"/>
    <w:rsid w:val="008D28BB"/>
    <w:rsid w:val="008D3890"/>
    <w:rsid w:val="008D3DBB"/>
    <w:rsid w:val="008D3F8B"/>
    <w:rsid w:val="008D45F3"/>
    <w:rsid w:val="008D722F"/>
    <w:rsid w:val="008D739E"/>
    <w:rsid w:val="008D7D1B"/>
    <w:rsid w:val="008E06E5"/>
    <w:rsid w:val="008E08C8"/>
    <w:rsid w:val="008E109E"/>
    <w:rsid w:val="008E11A5"/>
    <w:rsid w:val="008E1386"/>
    <w:rsid w:val="008E1CDB"/>
    <w:rsid w:val="008E1DDD"/>
    <w:rsid w:val="008E243E"/>
    <w:rsid w:val="008E2C62"/>
    <w:rsid w:val="008E2D46"/>
    <w:rsid w:val="008E3115"/>
    <w:rsid w:val="008E3D3C"/>
    <w:rsid w:val="008E67E1"/>
    <w:rsid w:val="008E6DBE"/>
    <w:rsid w:val="008E725E"/>
    <w:rsid w:val="008E7D9A"/>
    <w:rsid w:val="008F0330"/>
    <w:rsid w:val="008F0BF2"/>
    <w:rsid w:val="008F1860"/>
    <w:rsid w:val="008F1B4E"/>
    <w:rsid w:val="008F2003"/>
    <w:rsid w:val="008F23F6"/>
    <w:rsid w:val="008F2610"/>
    <w:rsid w:val="008F310F"/>
    <w:rsid w:val="008F536C"/>
    <w:rsid w:val="008F5BA6"/>
    <w:rsid w:val="008F7169"/>
    <w:rsid w:val="008F7744"/>
    <w:rsid w:val="00900D34"/>
    <w:rsid w:val="00901B53"/>
    <w:rsid w:val="009022C8"/>
    <w:rsid w:val="00902DED"/>
    <w:rsid w:val="0090347A"/>
    <w:rsid w:val="00904B8F"/>
    <w:rsid w:val="0090551C"/>
    <w:rsid w:val="009060DE"/>
    <w:rsid w:val="00906486"/>
    <w:rsid w:val="009064A5"/>
    <w:rsid w:val="009067CB"/>
    <w:rsid w:val="009068AC"/>
    <w:rsid w:val="00911430"/>
    <w:rsid w:val="00912267"/>
    <w:rsid w:val="00912D73"/>
    <w:rsid w:val="00914855"/>
    <w:rsid w:val="009156FB"/>
    <w:rsid w:val="00915B12"/>
    <w:rsid w:val="00916AE8"/>
    <w:rsid w:val="009171E6"/>
    <w:rsid w:val="009171FA"/>
    <w:rsid w:val="00922306"/>
    <w:rsid w:val="00923B0D"/>
    <w:rsid w:val="00923B97"/>
    <w:rsid w:val="0092434C"/>
    <w:rsid w:val="00924D18"/>
    <w:rsid w:val="00925453"/>
    <w:rsid w:val="00925786"/>
    <w:rsid w:val="00926909"/>
    <w:rsid w:val="0093000D"/>
    <w:rsid w:val="009306D7"/>
    <w:rsid w:val="00931882"/>
    <w:rsid w:val="0093250C"/>
    <w:rsid w:val="00932D3A"/>
    <w:rsid w:val="00934C26"/>
    <w:rsid w:val="00935767"/>
    <w:rsid w:val="0093616A"/>
    <w:rsid w:val="00936B01"/>
    <w:rsid w:val="0093757A"/>
    <w:rsid w:val="00937C51"/>
    <w:rsid w:val="00937DF4"/>
    <w:rsid w:val="0094043C"/>
    <w:rsid w:val="00940DAE"/>
    <w:rsid w:val="009411DA"/>
    <w:rsid w:val="00941487"/>
    <w:rsid w:val="0094175A"/>
    <w:rsid w:val="00941961"/>
    <w:rsid w:val="00942651"/>
    <w:rsid w:val="009427B3"/>
    <w:rsid w:val="00942948"/>
    <w:rsid w:val="00942CA4"/>
    <w:rsid w:val="00943723"/>
    <w:rsid w:val="0094465D"/>
    <w:rsid w:val="0094528E"/>
    <w:rsid w:val="00945FAB"/>
    <w:rsid w:val="0094665F"/>
    <w:rsid w:val="009470F6"/>
    <w:rsid w:val="00950294"/>
    <w:rsid w:val="00950ACF"/>
    <w:rsid w:val="00951BFC"/>
    <w:rsid w:val="0095207D"/>
    <w:rsid w:val="0095225C"/>
    <w:rsid w:val="00953110"/>
    <w:rsid w:val="00953E98"/>
    <w:rsid w:val="009540BC"/>
    <w:rsid w:val="0095456A"/>
    <w:rsid w:val="00954A5D"/>
    <w:rsid w:val="00954C4B"/>
    <w:rsid w:val="0095673B"/>
    <w:rsid w:val="00960BD7"/>
    <w:rsid w:val="00960CF1"/>
    <w:rsid w:val="009627A1"/>
    <w:rsid w:val="00962E26"/>
    <w:rsid w:val="00963031"/>
    <w:rsid w:val="00964294"/>
    <w:rsid w:val="0096655A"/>
    <w:rsid w:val="0096692C"/>
    <w:rsid w:val="00966B21"/>
    <w:rsid w:val="009731AC"/>
    <w:rsid w:val="009738F8"/>
    <w:rsid w:val="0097489E"/>
    <w:rsid w:val="009763CA"/>
    <w:rsid w:val="00976C8B"/>
    <w:rsid w:val="00976CA0"/>
    <w:rsid w:val="00976F94"/>
    <w:rsid w:val="00977925"/>
    <w:rsid w:val="00980324"/>
    <w:rsid w:val="00981996"/>
    <w:rsid w:val="0098420E"/>
    <w:rsid w:val="00986869"/>
    <w:rsid w:val="009910CE"/>
    <w:rsid w:val="0099198E"/>
    <w:rsid w:val="00991A2A"/>
    <w:rsid w:val="00992459"/>
    <w:rsid w:val="00993E69"/>
    <w:rsid w:val="0099488D"/>
    <w:rsid w:val="009961E8"/>
    <w:rsid w:val="0099636D"/>
    <w:rsid w:val="0099646F"/>
    <w:rsid w:val="009964DB"/>
    <w:rsid w:val="00996545"/>
    <w:rsid w:val="0099681A"/>
    <w:rsid w:val="0099684E"/>
    <w:rsid w:val="00996901"/>
    <w:rsid w:val="009A0EC5"/>
    <w:rsid w:val="009A23D0"/>
    <w:rsid w:val="009A3B6F"/>
    <w:rsid w:val="009A4375"/>
    <w:rsid w:val="009A43D4"/>
    <w:rsid w:val="009A440B"/>
    <w:rsid w:val="009A446D"/>
    <w:rsid w:val="009A7678"/>
    <w:rsid w:val="009A7825"/>
    <w:rsid w:val="009A7BBE"/>
    <w:rsid w:val="009B0843"/>
    <w:rsid w:val="009B1150"/>
    <w:rsid w:val="009B115D"/>
    <w:rsid w:val="009B122A"/>
    <w:rsid w:val="009B1280"/>
    <w:rsid w:val="009B1EB1"/>
    <w:rsid w:val="009B1FAF"/>
    <w:rsid w:val="009B28AF"/>
    <w:rsid w:val="009B37AD"/>
    <w:rsid w:val="009B5169"/>
    <w:rsid w:val="009B5C2B"/>
    <w:rsid w:val="009B5E7D"/>
    <w:rsid w:val="009B7080"/>
    <w:rsid w:val="009B72AC"/>
    <w:rsid w:val="009C07EE"/>
    <w:rsid w:val="009C26C6"/>
    <w:rsid w:val="009C352A"/>
    <w:rsid w:val="009C3FE9"/>
    <w:rsid w:val="009C4F1D"/>
    <w:rsid w:val="009C54EB"/>
    <w:rsid w:val="009C5683"/>
    <w:rsid w:val="009C6A6E"/>
    <w:rsid w:val="009C6C3C"/>
    <w:rsid w:val="009C72B6"/>
    <w:rsid w:val="009D093E"/>
    <w:rsid w:val="009D3992"/>
    <w:rsid w:val="009D57FC"/>
    <w:rsid w:val="009D6D90"/>
    <w:rsid w:val="009D71A1"/>
    <w:rsid w:val="009D789D"/>
    <w:rsid w:val="009D7C2A"/>
    <w:rsid w:val="009E059B"/>
    <w:rsid w:val="009E214E"/>
    <w:rsid w:val="009E2663"/>
    <w:rsid w:val="009E2754"/>
    <w:rsid w:val="009E3FBE"/>
    <w:rsid w:val="009E5366"/>
    <w:rsid w:val="009E7B6E"/>
    <w:rsid w:val="009E7D68"/>
    <w:rsid w:val="009F0824"/>
    <w:rsid w:val="009F11B5"/>
    <w:rsid w:val="009F1342"/>
    <w:rsid w:val="009F136A"/>
    <w:rsid w:val="009F148F"/>
    <w:rsid w:val="009F1E27"/>
    <w:rsid w:val="009F23FE"/>
    <w:rsid w:val="009F2D98"/>
    <w:rsid w:val="009F346D"/>
    <w:rsid w:val="009F48DB"/>
    <w:rsid w:val="009F5604"/>
    <w:rsid w:val="009F6091"/>
    <w:rsid w:val="00A016F7"/>
    <w:rsid w:val="00A01C5E"/>
    <w:rsid w:val="00A02838"/>
    <w:rsid w:val="00A029B3"/>
    <w:rsid w:val="00A04B4E"/>
    <w:rsid w:val="00A050F1"/>
    <w:rsid w:val="00A079F5"/>
    <w:rsid w:val="00A07AB6"/>
    <w:rsid w:val="00A07CEC"/>
    <w:rsid w:val="00A1061D"/>
    <w:rsid w:val="00A11E00"/>
    <w:rsid w:val="00A12989"/>
    <w:rsid w:val="00A1383F"/>
    <w:rsid w:val="00A14B74"/>
    <w:rsid w:val="00A14D68"/>
    <w:rsid w:val="00A1514B"/>
    <w:rsid w:val="00A15479"/>
    <w:rsid w:val="00A15C5C"/>
    <w:rsid w:val="00A15CA0"/>
    <w:rsid w:val="00A1660C"/>
    <w:rsid w:val="00A169A0"/>
    <w:rsid w:val="00A16FEF"/>
    <w:rsid w:val="00A17D11"/>
    <w:rsid w:val="00A20590"/>
    <w:rsid w:val="00A20F71"/>
    <w:rsid w:val="00A231D0"/>
    <w:rsid w:val="00A239B7"/>
    <w:rsid w:val="00A23EA5"/>
    <w:rsid w:val="00A2418F"/>
    <w:rsid w:val="00A241E3"/>
    <w:rsid w:val="00A25432"/>
    <w:rsid w:val="00A2589E"/>
    <w:rsid w:val="00A25AF0"/>
    <w:rsid w:val="00A27454"/>
    <w:rsid w:val="00A321F7"/>
    <w:rsid w:val="00A32850"/>
    <w:rsid w:val="00A33FDE"/>
    <w:rsid w:val="00A36515"/>
    <w:rsid w:val="00A36EC7"/>
    <w:rsid w:val="00A373BE"/>
    <w:rsid w:val="00A4045B"/>
    <w:rsid w:val="00A4067A"/>
    <w:rsid w:val="00A4076F"/>
    <w:rsid w:val="00A40C22"/>
    <w:rsid w:val="00A4214F"/>
    <w:rsid w:val="00A42409"/>
    <w:rsid w:val="00A42B33"/>
    <w:rsid w:val="00A433A2"/>
    <w:rsid w:val="00A433E0"/>
    <w:rsid w:val="00A43B9E"/>
    <w:rsid w:val="00A43D7E"/>
    <w:rsid w:val="00A44606"/>
    <w:rsid w:val="00A44911"/>
    <w:rsid w:val="00A4543B"/>
    <w:rsid w:val="00A471E0"/>
    <w:rsid w:val="00A47AD8"/>
    <w:rsid w:val="00A47C81"/>
    <w:rsid w:val="00A50168"/>
    <w:rsid w:val="00A517F3"/>
    <w:rsid w:val="00A51F83"/>
    <w:rsid w:val="00A52D6D"/>
    <w:rsid w:val="00A53D03"/>
    <w:rsid w:val="00A540D7"/>
    <w:rsid w:val="00A60264"/>
    <w:rsid w:val="00A614E1"/>
    <w:rsid w:val="00A61525"/>
    <w:rsid w:val="00A619C6"/>
    <w:rsid w:val="00A62488"/>
    <w:rsid w:val="00A63B34"/>
    <w:rsid w:val="00A65145"/>
    <w:rsid w:val="00A66B74"/>
    <w:rsid w:val="00A67E42"/>
    <w:rsid w:val="00A70272"/>
    <w:rsid w:val="00A71EC2"/>
    <w:rsid w:val="00A7276D"/>
    <w:rsid w:val="00A72BA2"/>
    <w:rsid w:val="00A733BA"/>
    <w:rsid w:val="00A748CE"/>
    <w:rsid w:val="00A7584B"/>
    <w:rsid w:val="00A775D1"/>
    <w:rsid w:val="00A80E9A"/>
    <w:rsid w:val="00A82029"/>
    <w:rsid w:val="00A82045"/>
    <w:rsid w:val="00A82823"/>
    <w:rsid w:val="00A84E87"/>
    <w:rsid w:val="00A858AD"/>
    <w:rsid w:val="00A85F0D"/>
    <w:rsid w:val="00A866B1"/>
    <w:rsid w:val="00A871D5"/>
    <w:rsid w:val="00A87BDD"/>
    <w:rsid w:val="00A87C87"/>
    <w:rsid w:val="00A9013D"/>
    <w:rsid w:val="00A90CF0"/>
    <w:rsid w:val="00A91014"/>
    <w:rsid w:val="00A9164D"/>
    <w:rsid w:val="00A94CB7"/>
    <w:rsid w:val="00A956CC"/>
    <w:rsid w:val="00A95904"/>
    <w:rsid w:val="00A95AF4"/>
    <w:rsid w:val="00A9710F"/>
    <w:rsid w:val="00AA06C1"/>
    <w:rsid w:val="00AA1603"/>
    <w:rsid w:val="00AA21DF"/>
    <w:rsid w:val="00AA51F0"/>
    <w:rsid w:val="00AA52AE"/>
    <w:rsid w:val="00AA687B"/>
    <w:rsid w:val="00AA6D68"/>
    <w:rsid w:val="00AB08D8"/>
    <w:rsid w:val="00AB0BD3"/>
    <w:rsid w:val="00AB1CEB"/>
    <w:rsid w:val="00AB27CF"/>
    <w:rsid w:val="00AB2813"/>
    <w:rsid w:val="00AB3D02"/>
    <w:rsid w:val="00AB3EE6"/>
    <w:rsid w:val="00AB54B5"/>
    <w:rsid w:val="00AB57BA"/>
    <w:rsid w:val="00AB5BCB"/>
    <w:rsid w:val="00AB67EB"/>
    <w:rsid w:val="00AB7067"/>
    <w:rsid w:val="00AB7094"/>
    <w:rsid w:val="00AC0E7C"/>
    <w:rsid w:val="00AC1BCA"/>
    <w:rsid w:val="00AC3C3D"/>
    <w:rsid w:val="00AC3F5A"/>
    <w:rsid w:val="00AC48D1"/>
    <w:rsid w:val="00AC4F6D"/>
    <w:rsid w:val="00AC6D52"/>
    <w:rsid w:val="00AC7219"/>
    <w:rsid w:val="00AC721E"/>
    <w:rsid w:val="00AC7E6A"/>
    <w:rsid w:val="00AD046B"/>
    <w:rsid w:val="00AD059C"/>
    <w:rsid w:val="00AD143B"/>
    <w:rsid w:val="00AD1C5B"/>
    <w:rsid w:val="00AD2150"/>
    <w:rsid w:val="00AD3AE6"/>
    <w:rsid w:val="00AD63CC"/>
    <w:rsid w:val="00AD68A5"/>
    <w:rsid w:val="00AD6B34"/>
    <w:rsid w:val="00AD7A98"/>
    <w:rsid w:val="00AE1F14"/>
    <w:rsid w:val="00AE2314"/>
    <w:rsid w:val="00AE2658"/>
    <w:rsid w:val="00AE298A"/>
    <w:rsid w:val="00AE2E70"/>
    <w:rsid w:val="00AE4A89"/>
    <w:rsid w:val="00AE61E9"/>
    <w:rsid w:val="00AF0573"/>
    <w:rsid w:val="00AF1383"/>
    <w:rsid w:val="00AF25DD"/>
    <w:rsid w:val="00AF2993"/>
    <w:rsid w:val="00AF3BAD"/>
    <w:rsid w:val="00AF6195"/>
    <w:rsid w:val="00AF645F"/>
    <w:rsid w:val="00AF6D8A"/>
    <w:rsid w:val="00AF70EF"/>
    <w:rsid w:val="00B01406"/>
    <w:rsid w:val="00B01730"/>
    <w:rsid w:val="00B027C9"/>
    <w:rsid w:val="00B03471"/>
    <w:rsid w:val="00B042C6"/>
    <w:rsid w:val="00B04F23"/>
    <w:rsid w:val="00B05114"/>
    <w:rsid w:val="00B077A3"/>
    <w:rsid w:val="00B10730"/>
    <w:rsid w:val="00B115CE"/>
    <w:rsid w:val="00B116A1"/>
    <w:rsid w:val="00B1216B"/>
    <w:rsid w:val="00B1336F"/>
    <w:rsid w:val="00B1361C"/>
    <w:rsid w:val="00B145D6"/>
    <w:rsid w:val="00B16455"/>
    <w:rsid w:val="00B20DBF"/>
    <w:rsid w:val="00B211AC"/>
    <w:rsid w:val="00B2151F"/>
    <w:rsid w:val="00B21D57"/>
    <w:rsid w:val="00B21F11"/>
    <w:rsid w:val="00B236BE"/>
    <w:rsid w:val="00B24325"/>
    <w:rsid w:val="00B24A34"/>
    <w:rsid w:val="00B25087"/>
    <w:rsid w:val="00B26D4D"/>
    <w:rsid w:val="00B27B79"/>
    <w:rsid w:val="00B30299"/>
    <w:rsid w:val="00B3099D"/>
    <w:rsid w:val="00B3101E"/>
    <w:rsid w:val="00B314F9"/>
    <w:rsid w:val="00B32EEC"/>
    <w:rsid w:val="00B35B64"/>
    <w:rsid w:val="00B36041"/>
    <w:rsid w:val="00B37508"/>
    <w:rsid w:val="00B4092F"/>
    <w:rsid w:val="00B40B1C"/>
    <w:rsid w:val="00B40CFE"/>
    <w:rsid w:val="00B41239"/>
    <w:rsid w:val="00B43AF5"/>
    <w:rsid w:val="00B43B53"/>
    <w:rsid w:val="00B44362"/>
    <w:rsid w:val="00B4586B"/>
    <w:rsid w:val="00B45A7C"/>
    <w:rsid w:val="00B47C7E"/>
    <w:rsid w:val="00B47D2F"/>
    <w:rsid w:val="00B51197"/>
    <w:rsid w:val="00B5149C"/>
    <w:rsid w:val="00B51D1B"/>
    <w:rsid w:val="00B522E7"/>
    <w:rsid w:val="00B52471"/>
    <w:rsid w:val="00B52827"/>
    <w:rsid w:val="00B52D41"/>
    <w:rsid w:val="00B52E62"/>
    <w:rsid w:val="00B5430C"/>
    <w:rsid w:val="00B55B5C"/>
    <w:rsid w:val="00B56766"/>
    <w:rsid w:val="00B57174"/>
    <w:rsid w:val="00B57301"/>
    <w:rsid w:val="00B57341"/>
    <w:rsid w:val="00B573A4"/>
    <w:rsid w:val="00B64638"/>
    <w:rsid w:val="00B64D1B"/>
    <w:rsid w:val="00B64D91"/>
    <w:rsid w:val="00B65A6B"/>
    <w:rsid w:val="00B65AF6"/>
    <w:rsid w:val="00B65BEE"/>
    <w:rsid w:val="00B6682E"/>
    <w:rsid w:val="00B66BB3"/>
    <w:rsid w:val="00B672B6"/>
    <w:rsid w:val="00B67B58"/>
    <w:rsid w:val="00B70B72"/>
    <w:rsid w:val="00B70EF5"/>
    <w:rsid w:val="00B725FC"/>
    <w:rsid w:val="00B72713"/>
    <w:rsid w:val="00B72DC2"/>
    <w:rsid w:val="00B730F2"/>
    <w:rsid w:val="00B73814"/>
    <w:rsid w:val="00B74726"/>
    <w:rsid w:val="00B74C15"/>
    <w:rsid w:val="00B801FE"/>
    <w:rsid w:val="00B80569"/>
    <w:rsid w:val="00B80632"/>
    <w:rsid w:val="00B81780"/>
    <w:rsid w:val="00B81F4B"/>
    <w:rsid w:val="00B82947"/>
    <w:rsid w:val="00B837CB"/>
    <w:rsid w:val="00B843E1"/>
    <w:rsid w:val="00B84681"/>
    <w:rsid w:val="00B851A8"/>
    <w:rsid w:val="00B86C05"/>
    <w:rsid w:val="00B901A2"/>
    <w:rsid w:val="00B90323"/>
    <w:rsid w:val="00B9033D"/>
    <w:rsid w:val="00B9036F"/>
    <w:rsid w:val="00B9040E"/>
    <w:rsid w:val="00B907BA"/>
    <w:rsid w:val="00B920FE"/>
    <w:rsid w:val="00B9222C"/>
    <w:rsid w:val="00B9242D"/>
    <w:rsid w:val="00B95754"/>
    <w:rsid w:val="00B9672C"/>
    <w:rsid w:val="00B96F08"/>
    <w:rsid w:val="00BA0845"/>
    <w:rsid w:val="00BA0D59"/>
    <w:rsid w:val="00BA47C3"/>
    <w:rsid w:val="00BA645F"/>
    <w:rsid w:val="00BA70B1"/>
    <w:rsid w:val="00BA721C"/>
    <w:rsid w:val="00BA75E7"/>
    <w:rsid w:val="00BB0F4E"/>
    <w:rsid w:val="00BB1F04"/>
    <w:rsid w:val="00BB248C"/>
    <w:rsid w:val="00BB2DBF"/>
    <w:rsid w:val="00BB3007"/>
    <w:rsid w:val="00BB3C4E"/>
    <w:rsid w:val="00BB4006"/>
    <w:rsid w:val="00BB5650"/>
    <w:rsid w:val="00BB579F"/>
    <w:rsid w:val="00BB7DE3"/>
    <w:rsid w:val="00BC015F"/>
    <w:rsid w:val="00BC0789"/>
    <w:rsid w:val="00BC1364"/>
    <w:rsid w:val="00BC15EB"/>
    <w:rsid w:val="00BC3D1E"/>
    <w:rsid w:val="00BC466C"/>
    <w:rsid w:val="00BC4BFE"/>
    <w:rsid w:val="00BC4D59"/>
    <w:rsid w:val="00BC509D"/>
    <w:rsid w:val="00BC5E78"/>
    <w:rsid w:val="00BC6355"/>
    <w:rsid w:val="00BC6BF2"/>
    <w:rsid w:val="00BC7507"/>
    <w:rsid w:val="00BD0AB2"/>
    <w:rsid w:val="00BD173F"/>
    <w:rsid w:val="00BD2A7D"/>
    <w:rsid w:val="00BD3218"/>
    <w:rsid w:val="00BD3B34"/>
    <w:rsid w:val="00BD472F"/>
    <w:rsid w:val="00BD4A91"/>
    <w:rsid w:val="00BD586F"/>
    <w:rsid w:val="00BD5D70"/>
    <w:rsid w:val="00BD5FB4"/>
    <w:rsid w:val="00BD6284"/>
    <w:rsid w:val="00BD649B"/>
    <w:rsid w:val="00BD65F5"/>
    <w:rsid w:val="00BD7142"/>
    <w:rsid w:val="00BE0AC7"/>
    <w:rsid w:val="00BE0C70"/>
    <w:rsid w:val="00BE1653"/>
    <w:rsid w:val="00BE21A2"/>
    <w:rsid w:val="00BE2E1A"/>
    <w:rsid w:val="00BE3116"/>
    <w:rsid w:val="00BE45D2"/>
    <w:rsid w:val="00BE4ACB"/>
    <w:rsid w:val="00BE4C5D"/>
    <w:rsid w:val="00BE538A"/>
    <w:rsid w:val="00BE672A"/>
    <w:rsid w:val="00BE67C3"/>
    <w:rsid w:val="00BE7394"/>
    <w:rsid w:val="00BE75D7"/>
    <w:rsid w:val="00BF07AC"/>
    <w:rsid w:val="00BF0C80"/>
    <w:rsid w:val="00BF0F02"/>
    <w:rsid w:val="00BF128C"/>
    <w:rsid w:val="00BF26BD"/>
    <w:rsid w:val="00BF339A"/>
    <w:rsid w:val="00BF349C"/>
    <w:rsid w:val="00BF3523"/>
    <w:rsid w:val="00BF42B8"/>
    <w:rsid w:val="00BF456D"/>
    <w:rsid w:val="00BF4B40"/>
    <w:rsid w:val="00BF4FD5"/>
    <w:rsid w:val="00BF54DD"/>
    <w:rsid w:val="00BF59F0"/>
    <w:rsid w:val="00BF5F28"/>
    <w:rsid w:val="00BF6B7A"/>
    <w:rsid w:val="00BF7ED7"/>
    <w:rsid w:val="00C00C0D"/>
    <w:rsid w:val="00C015D1"/>
    <w:rsid w:val="00C01EA2"/>
    <w:rsid w:val="00C026C3"/>
    <w:rsid w:val="00C03B70"/>
    <w:rsid w:val="00C05460"/>
    <w:rsid w:val="00C063CD"/>
    <w:rsid w:val="00C10804"/>
    <w:rsid w:val="00C1106A"/>
    <w:rsid w:val="00C1155B"/>
    <w:rsid w:val="00C11A40"/>
    <w:rsid w:val="00C11CD7"/>
    <w:rsid w:val="00C1281B"/>
    <w:rsid w:val="00C12CD5"/>
    <w:rsid w:val="00C12D76"/>
    <w:rsid w:val="00C1362E"/>
    <w:rsid w:val="00C15338"/>
    <w:rsid w:val="00C161EA"/>
    <w:rsid w:val="00C16614"/>
    <w:rsid w:val="00C179FD"/>
    <w:rsid w:val="00C2376E"/>
    <w:rsid w:val="00C25493"/>
    <w:rsid w:val="00C30B23"/>
    <w:rsid w:val="00C30FE1"/>
    <w:rsid w:val="00C31DF6"/>
    <w:rsid w:val="00C320A4"/>
    <w:rsid w:val="00C331FF"/>
    <w:rsid w:val="00C34322"/>
    <w:rsid w:val="00C36209"/>
    <w:rsid w:val="00C36CB9"/>
    <w:rsid w:val="00C36EEF"/>
    <w:rsid w:val="00C371B8"/>
    <w:rsid w:val="00C3797D"/>
    <w:rsid w:val="00C37AAC"/>
    <w:rsid w:val="00C401FF"/>
    <w:rsid w:val="00C41BDD"/>
    <w:rsid w:val="00C42388"/>
    <w:rsid w:val="00C428E5"/>
    <w:rsid w:val="00C42CA1"/>
    <w:rsid w:val="00C50617"/>
    <w:rsid w:val="00C50A28"/>
    <w:rsid w:val="00C51E64"/>
    <w:rsid w:val="00C5405A"/>
    <w:rsid w:val="00C54135"/>
    <w:rsid w:val="00C548E0"/>
    <w:rsid w:val="00C56AFC"/>
    <w:rsid w:val="00C56DF7"/>
    <w:rsid w:val="00C56E9C"/>
    <w:rsid w:val="00C60052"/>
    <w:rsid w:val="00C60752"/>
    <w:rsid w:val="00C60CB9"/>
    <w:rsid w:val="00C61295"/>
    <w:rsid w:val="00C61A37"/>
    <w:rsid w:val="00C61FFA"/>
    <w:rsid w:val="00C6286E"/>
    <w:rsid w:val="00C62975"/>
    <w:rsid w:val="00C6696D"/>
    <w:rsid w:val="00C67C12"/>
    <w:rsid w:val="00C71855"/>
    <w:rsid w:val="00C71E44"/>
    <w:rsid w:val="00C720D3"/>
    <w:rsid w:val="00C72625"/>
    <w:rsid w:val="00C726F3"/>
    <w:rsid w:val="00C73712"/>
    <w:rsid w:val="00C73D82"/>
    <w:rsid w:val="00C73F20"/>
    <w:rsid w:val="00C76CA9"/>
    <w:rsid w:val="00C77922"/>
    <w:rsid w:val="00C80820"/>
    <w:rsid w:val="00C82E80"/>
    <w:rsid w:val="00C835D4"/>
    <w:rsid w:val="00C845E5"/>
    <w:rsid w:val="00C86793"/>
    <w:rsid w:val="00C86A49"/>
    <w:rsid w:val="00C8703C"/>
    <w:rsid w:val="00C90A84"/>
    <w:rsid w:val="00C90F2B"/>
    <w:rsid w:val="00C916E8"/>
    <w:rsid w:val="00C91760"/>
    <w:rsid w:val="00C91C37"/>
    <w:rsid w:val="00C91CFD"/>
    <w:rsid w:val="00C9251D"/>
    <w:rsid w:val="00C93EFB"/>
    <w:rsid w:val="00C9628C"/>
    <w:rsid w:val="00C9736D"/>
    <w:rsid w:val="00C97AC1"/>
    <w:rsid w:val="00C97F93"/>
    <w:rsid w:val="00CA0C94"/>
    <w:rsid w:val="00CA1387"/>
    <w:rsid w:val="00CA1F68"/>
    <w:rsid w:val="00CA334E"/>
    <w:rsid w:val="00CA682A"/>
    <w:rsid w:val="00CA6B15"/>
    <w:rsid w:val="00CA70C3"/>
    <w:rsid w:val="00CB1745"/>
    <w:rsid w:val="00CB2CB9"/>
    <w:rsid w:val="00CB302A"/>
    <w:rsid w:val="00CB37E3"/>
    <w:rsid w:val="00CB6880"/>
    <w:rsid w:val="00CB6958"/>
    <w:rsid w:val="00CB6AD9"/>
    <w:rsid w:val="00CB7448"/>
    <w:rsid w:val="00CB7B59"/>
    <w:rsid w:val="00CC0383"/>
    <w:rsid w:val="00CC046F"/>
    <w:rsid w:val="00CC1EE2"/>
    <w:rsid w:val="00CC2BEF"/>
    <w:rsid w:val="00CC2F47"/>
    <w:rsid w:val="00CC34BE"/>
    <w:rsid w:val="00CC3C73"/>
    <w:rsid w:val="00CC438D"/>
    <w:rsid w:val="00CC5AE6"/>
    <w:rsid w:val="00CC6405"/>
    <w:rsid w:val="00CC693D"/>
    <w:rsid w:val="00CD011A"/>
    <w:rsid w:val="00CD285D"/>
    <w:rsid w:val="00CD3BA0"/>
    <w:rsid w:val="00CD4884"/>
    <w:rsid w:val="00CD4F0E"/>
    <w:rsid w:val="00CD5369"/>
    <w:rsid w:val="00CD57CC"/>
    <w:rsid w:val="00CD63F8"/>
    <w:rsid w:val="00CD6B80"/>
    <w:rsid w:val="00CD77BB"/>
    <w:rsid w:val="00CD7F2F"/>
    <w:rsid w:val="00CE0507"/>
    <w:rsid w:val="00CE361A"/>
    <w:rsid w:val="00CE37F9"/>
    <w:rsid w:val="00CE52ED"/>
    <w:rsid w:val="00CE52F2"/>
    <w:rsid w:val="00CE59DA"/>
    <w:rsid w:val="00CE670A"/>
    <w:rsid w:val="00CE6C17"/>
    <w:rsid w:val="00CE7B7E"/>
    <w:rsid w:val="00CE7E48"/>
    <w:rsid w:val="00CF0877"/>
    <w:rsid w:val="00CF1B71"/>
    <w:rsid w:val="00CF26F9"/>
    <w:rsid w:val="00CF2AD9"/>
    <w:rsid w:val="00CF2B67"/>
    <w:rsid w:val="00CF33CB"/>
    <w:rsid w:val="00CF3EB1"/>
    <w:rsid w:val="00CF44DD"/>
    <w:rsid w:val="00CF6446"/>
    <w:rsid w:val="00D01230"/>
    <w:rsid w:val="00D014E0"/>
    <w:rsid w:val="00D01862"/>
    <w:rsid w:val="00D019FA"/>
    <w:rsid w:val="00D01CF8"/>
    <w:rsid w:val="00D01FFC"/>
    <w:rsid w:val="00D02DF4"/>
    <w:rsid w:val="00D05EA4"/>
    <w:rsid w:val="00D07555"/>
    <w:rsid w:val="00D106BF"/>
    <w:rsid w:val="00D10C13"/>
    <w:rsid w:val="00D11FAA"/>
    <w:rsid w:val="00D120B0"/>
    <w:rsid w:val="00D12D65"/>
    <w:rsid w:val="00D12E5A"/>
    <w:rsid w:val="00D1373E"/>
    <w:rsid w:val="00D14AA1"/>
    <w:rsid w:val="00D15E65"/>
    <w:rsid w:val="00D1778B"/>
    <w:rsid w:val="00D21270"/>
    <w:rsid w:val="00D22842"/>
    <w:rsid w:val="00D232C8"/>
    <w:rsid w:val="00D2345D"/>
    <w:rsid w:val="00D242F8"/>
    <w:rsid w:val="00D2432A"/>
    <w:rsid w:val="00D25D4C"/>
    <w:rsid w:val="00D25F24"/>
    <w:rsid w:val="00D2600C"/>
    <w:rsid w:val="00D26D35"/>
    <w:rsid w:val="00D27DF8"/>
    <w:rsid w:val="00D32DDB"/>
    <w:rsid w:val="00D3318C"/>
    <w:rsid w:val="00D33D1C"/>
    <w:rsid w:val="00D342DD"/>
    <w:rsid w:val="00D359D7"/>
    <w:rsid w:val="00D36B85"/>
    <w:rsid w:val="00D36E7D"/>
    <w:rsid w:val="00D377DD"/>
    <w:rsid w:val="00D379FC"/>
    <w:rsid w:val="00D37BC5"/>
    <w:rsid w:val="00D40DBF"/>
    <w:rsid w:val="00D4180D"/>
    <w:rsid w:val="00D41E73"/>
    <w:rsid w:val="00D43554"/>
    <w:rsid w:val="00D44432"/>
    <w:rsid w:val="00D449A7"/>
    <w:rsid w:val="00D44F46"/>
    <w:rsid w:val="00D4519D"/>
    <w:rsid w:val="00D46744"/>
    <w:rsid w:val="00D512C5"/>
    <w:rsid w:val="00D51315"/>
    <w:rsid w:val="00D53574"/>
    <w:rsid w:val="00D559E7"/>
    <w:rsid w:val="00D5672D"/>
    <w:rsid w:val="00D56E29"/>
    <w:rsid w:val="00D611AB"/>
    <w:rsid w:val="00D630B2"/>
    <w:rsid w:val="00D637AD"/>
    <w:rsid w:val="00D63ACD"/>
    <w:rsid w:val="00D63B46"/>
    <w:rsid w:val="00D63B4A"/>
    <w:rsid w:val="00D66243"/>
    <w:rsid w:val="00D66E3F"/>
    <w:rsid w:val="00D673DF"/>
    <w:rsid w:val="00D67A66"/>
    <w:rsid w:val="00D70364"/>
    <w:rsid w:val="00D703C1"/>
    <w:rsid w:val="00D706DF"/>
    <w:rsid w:val="00D72DAF"/>
    <w:rsid w:val="00D73D54"/>
    <w:rsid w:val="00D74240"/>
    <w:rsid w:val="00D744F4"/>
    <w:rsid w:val="00D74C02"/>
    <w:rsid w:val="00D753ED"/>
    <w:rsid w:val="00D819B9"/>
    <w:rsid w:val="00D825AA"/>
    <w:rsid w:val="00D83C60"/>
    <w:rsid w:val="00D851C5"/>
    <w:rsid w:val="00D85BA8"/>
    <w:rsid w:val="00D86B3A"/>
    <w:rsid w:val="00D87487"/>
    <w:rsid w:val="00D917DC"/>
    <w:rsid w:val="00D93DEF"/>
    <w:rsid w:val="00D95870"/>
    <w:rsid w:val="00D95F91"/>
    <w:rsid w:val="00D97089"/>
    <w:rsid w:val="00D975EE"/>
    <w:rsid w:val="00D975F1"/>
    <w:rsid w:val="00D97685"/>
    <w:rsid w:val="00D97A10"/>
    <w:rsid w:val="00DA0665"/>
    <w:rsid w:val="00DA12AA"/>
    <w:rsid w:val="00DA144C"/>
    <w:rsid w:val="00DA1EB1"/>
    <w:rsid w:val="00DA4C23"/>
    <w:rsid w:val="00DA5B94"/>
    <w:rsid w:val="00DA698E"/>
    <w:rsid w:val="00DA7B86"/>
    <w:rsid w:val="00DB1776"/>
    <w:rsid w:val="00DB1A36"/>
    <w:rsid w:val="00DB2086"/>
    <w:rsid w:val="00DB214A"/>
    <w:rsid w:val="00DB337B"/>
    <w:rsid w:val="00DB352E"/>
    <w:rsid w:val="00DB6307"/>
    <w:rsid w:val="00DB685D"/>
    <w:rsid w:val="00DB6BED"/>
    <w:rsid w:val="00DB7975"/>
    <w:rsid w:val="00DC012F"/>
    <w:rsid w:val="00DC022B"/>
    <w:rsid w:val="00DC051D"/>
    <w:rsid w:val="00DC2104"/>
    <w:rsid w:val="00DC2469"/>
    <w:rsid w:val="00DC3510"/>
    <w:rsid w:val="00DC3F91"/>
    <w:rsid w:val="00DC4694"/>
    <w:rsid w:val="00DD132A"/>
    <w:rsid w:val="00DD16E1"/>
    <w:rsid w:val="00DD1A74"/>
    <w:rsid w:val="00DD2114"/>
    <w:rsid w:val="00DD295E"/>
    <w:rsid w:val="00DD2A86"/>
    <w:rsid w:val="00DD39CA"/>
    <w:rsid w:val="00DD4281"/>
    <w:rsid w:val="00DD545B"/>
    <w:rsid w:val="00DD7539"/>
    <w:rsid w:val="00DD7592"/>
    <w:rsid w:val="00DD786B"/>
    <w:rsid w:val="00DD7C32"/>
    <w:rsid w:val="00DD7DB7"/>
    <w:rsid w:val="00DE000D"/>
    <w:rsid w:val="00DE07DF"/>
    <w:rsid w:val="00DE13FD"/>
    <w:rsid w:val="00DE161D"/>
    <w:rsid w:val="00DE1A28"/>
    <w:rsid w:val="00DE2EC2"/>
    <w:rsid w:val="00DE5297"/>
    <w:rsid w:val="00DE5B9C"/>
    <w:rsid w:val="00DE60C9"/>
    <w:rsid w:val="00DE7675"/>
    <w:rsid w:val="00DE7EB6"/>
    <w:rsid w:val="00DF07AB"/>
    <w:rsid w:val="00DF1465"/>
    <w:rsid w:val="00DF2160"/>
    <w:rsid w:val="00DF2366"/>
    <w:rsid w:val="00DF3C75"/>
    <w:rsid w:val="00DF45C5"/>
    <w:rsid w:val="00DF4644"/>
    <w:rsid w:val="00DF490C"/>
    <w:rsid w:val="00DF533B"/>
    <w:rsid w:val="00DF5A7A"/>
    <w:rsid w:val="00DF631F"/>
    <w:rsid w:val="00DF72D8"/>
    <w:rsid w:val="00E00D1D"/>
    <w:rsid w:val="00E0394D"/>
    <w:rsid w:val="00E0452B"/>
    <w:rsid w:val="00E0701B"/>
    <w:rsid w:val="00E10AEE"/>
    <w:rsid w:val="00E113D1"/>
    <w:rsid w:val="00E116FF"/>
    <w:rsid w:val="00E126FD"/>
    <w:rsid w:val="00E130BE"/>
    <w:rsid w:val="00E133AF"/>
    <w:rsid w:val="00E1388F"/>
    <w:rsid w:val="00E13EF2"/>
    <w:rsid w:val="00E1578B"/>
    <w:rsid w:val="00E1627B"/>
    <w:rsid w:val="00E16424"/>
    <w:rsid w:val="00E1778C"/>
    <w:rsid w:val="00E20DEB"/>
    <w:rsid w:val="00E20EFE"/>
    <w:rsid w:val="00E23079"/>
    <w:rsid w:val="00E23D07"/>
    <w:rsid w:val="00E24E3D"/>
    <w:rsid w:val="00E24F35"/>
    <w:rsid w:val="00E255F6"/>
    <w:rsid w:val="00E257D6"/>
    <w:rsid w:val="00E26EEC"/>
    <w:rsid w:val="00E271AC"/>
    <w:rsid w:val="00E27205"/>
    <w:rsid w:val="00E306BA"/>
    <w:rsid w:val="00E3103D"/>
    <w:rsid w:val="00E316A1"/>
    <w:rsid w:val="00E31E8A"/>
    <w:rsid w:val="00E33041"/>
    <w:rsid w:val="00E34C51"/>
    <w:rsid w:val="00E36332"/>
    <w:rsid w:val="00E36B9C"/>
    <w:rsid w:val="00E40B08"/>
    <w:rsid w:val="00E40B4B"/>
    <w:rsid w:val="00E41603"/>
    <w:rsid w:val="00E434EB"/>
    <w:rsid w:val="00E44882"/>
    <w:rsid w:val="00E45456"/>
    <w:rsid w:val="00E45975"/>
    <w:rsid w:val="00E47A0B"/>
    <w:rsid w:val="00E5026F"/>
    <w:rsid w:val="00E50465"/>
    <w:rsid w:val="00E5105B"/>
    <w:rsid w:val="00E52589"/>
    <w:rsid w:val="00E538A0"/>
    <w:rsid w:val="00E53B78"/>
    <w:rsid w:val="00E5413B"/>
    <w:rsid w:val="00E54EA7"/>
    <w:rsid w:val="00E55C01"/>
    <w:rsid w:val="00E55F12"/>
    <w:rsid w:val="00E60410"/>
    <w:rsid w:val="00E6100B"/>
    <w:rsid w:val="00E612DA"/>
    <w:rsid w:val="00E6335D"/>
    <w:rsid w:val="00E66052"/>
    <w:rsid w:val="00E7189D"/>
    <w:rsid w:val="00E723E4"/>
    <w:rsid w:val="00E729A9"/>
    <w:rsid w:val="00E73075"/>
    <w:rsid w:val="00E743CD"/>
    <w:rsid w:val="00E74A2B"/>
    <w:rsid w:val="00E76004"/>
    <w:rsid w:val="00E77743"/>
    <w:rsid w:val="00E77D8A"/>
    <w:rsid w:val="00E8155F"/>
    <w:rsid w:val="00E81C38"/>
    <w:rsid w:val="00E8264B"/>
    <w:rsid w:val="00E82C3F"/>
    <w:rsid w:val="00E84C0E"/>
    <w:rsid w:val="00E87866"/>
    <w:rsid w:val="00E879BE"/>
    <w:rsid w:val="00E902A8"/>
    <w:rsid w:val="00E90359"/>
    <w:rsid w:val="00E90729"/>
    <w:rsid w:val="00E90A36"/>
    <w:rsid w:val="00E9194B"/>
    <w:rsid w:val="00E91CFD"/>
    <w:rsid w:val="00E92AFF"/>
    <w:rsid w:val="00E9373D"/>
    <w:rsid w:val="00E9404D"/>
    <w:rsid w:val="00E94087"/>
    <w:rsid w:val="00E94848"/>
    <w:rsid w:val="00E94D1F"/>
    <w:rsid w:val="00E94E05"/>
    <w:rsid w:val="00E95079"/>
    <w:rsid w:val="00E950BD"/>
    <w:rsid w:val="00EA0562"/>
    <w:rsid w:val="00EA0FA5"/>
    <w:rsid w:val="00EA2435"/>
    <w:rsid w:val="00EA2C21"/>
    <w:rsid w:val="00EA2F72"/>
    <w:rsid w:val="00EA41BE"/>
    <w:rsid w:val="00EB147A"/>
    <w:rsid w:val="00EB3FD1"/>
    <w:rsid w:val="00EB40A9"/>
    <w:rsid w:val="00EB432B"/>
    <w:rsid w:val="00EB63FE"/>
    <w:rsid w:val="00EB6CFF"/>
    <w:rsid w:val="00EB7439"/>
    <w:rsid w:val="00EC0004"/>
    <w:rsid w:val="00EC26E2"/>
    <w:rsid w:val="00EC33A8"/>
    <w:rsid w:val="00EC341E"/>
    <w:rsid w:val="00EC3C2F"/>
    <w:rsid w:val="00EC3C9C"/>
    <w:rsid w:val="00EC6341"/>
    <w:rsid w:val="00EC64C1"/>
    <w:rsid w:val="00EC7C69"/>
    <w:rsid w:val="00ED0CA5"/>
    <w:rsid w:val="00ED1674"/>
    <w:rsid w:val="00ED2EB1"/>
    <w:rsid w:val="00ED39F1"/>
    <w:rsid w:val="00ED3AA6"/>
    <w:rsid w:val="00ED5322"/>
    <w:rsid w:val="00ED6BDF"/>
    <w:rsid w:val="00ED780D"/>
    <w:rsid w:val="00EE0174"/>
    <w:rsid w:val="00EE01D8"/>
    <w:rsid w:val="00EE034B"/>
    <w:rsid w:val="00EE03FB"/>
    <w:rsid w:val="00EE0B84"/>
    <w:rsid w:val="00EE1240"/>
    <w:rsid w:val="00EE140A"/>
    <w:rsid w:val="00EE2964"/>
    <w:rsid w:val="00EE3BBC"/>
    <w:rsid w:val="00EE4656"/>
    <w:rsid w:val="00EE6090"/>
    <w:rsid w:val="00EE68BF"/>
    <w:rsid w:val="00EE6B87"/>
    <w:rsid w:val="00EE7FE1"/>
    <w:rsid w:val="00EF0295"/>
    <w:rsid w:val="00EF04F3"/>
    <w:rsid w:val="00EF04FC"/>
    <w:rsid w:val="00EF07BD"/>
    <w:rsid w:val="00EF13D3"/>
    <w:rsid w:val="00EF191D"/>
    <w:rsid w:val="00EF202A"/>
    <w:rsid w:val="00EF2F5A"/>
    <w:rsid w:val="00EF4058"/>
    <w:rsid w:val="00EF43C6"/>
    <w:rsid w:val="00EF455B"/>
    <w:rsid w:val="00EF5E7E"/>
    <w:rsid w:val="00EF634E"/>
    <w:rsid w:val="00F00108"/>
    <w:rsid w:val="00F00257"/>
    <w:rsid w:val="00F002AA"/>
    <w:rsid w:val="00F01A91"/>
    <w:rsid w:val="00F01FF6"/>
    <w:rsid w:val="00F0276D"/>
    <w:rsid w:val="00F032B3"/>
    <w:rsid w:val="00F036D4"/>
    <w:rsid w:val="00F04025"/>
    <w:rsid w:val="00F0489C"/>
    <w:rsid w:val="00F07CB0"/>
    <w:rsid w:val="00F10148"/>
    <w:rsid w:val="00F11D24"/>
    <w:rsid w:val="00F12074"/>
    <w:rsid w:val="00F14E34"/>
    <w:rsid w:val="00F152D8"/>
    <w:rsid w:val="00F16A9E"/>
    <w:rsid w:val="00F20336"/>
    <w:rsid w:val="00F20ECD"/>
    <w:rsid w:val="00F22908"/>
    <w:rsid w:val="00F23823"/>
    <w:rsid w:val="00F2425E"/>
    <w:rsid w:val="00F24E17"/>
    <w:rsid w:val="00F26653"/>
    <w:rsid w:val="00F2668C"/>
    <w:rsid w:val="00F273E5"/>
    <w:rsid w:val="00F2776F"/>
    <w:rsid w:val="00F27A3A"/>
    <w:rsid w:val="00F30223"/>
    <w:rsid w:val="00F303BD"/>
    <w:rsid w:val="00F30871"/>
    <w:rsid w:val="00F31B32"/>
    <w:rsid w:val="00F32829"/>
    <w:rsid w:val="00F32913"/>
    <w:rsid w:val="00F33FC6"/>
    <w:rsid w:val="00F34421"/>
    <w:rsid w:val="00F34516"/>
    <w:rsid w:val="00F3493A"/>
    <w:rsid w:val="00F34A11"/>
    <w:rsid w:val="00F35DC5"/>
    <w:rsid w:val="00F36314"/>
    <w:rsid w:val="00F36E09"/>
    <w:rsid w:val="00F37114"/>
    <w:rsid w:val="00F41146"/>
    <w:rsid w:val="00F41429"/>
    <w:rsid w:val="00F41AF1"/>
    <w:rsid w:val="00F427A4"/>
    <w:rsid w:val="00F42E3B"/>
    <w:rsid w:val="00F42E60"/>
    <w:rsid w:val="00F438BD"/>
    <w:rsid w:val="00F44163"/>
    <w:rsid w:val="00F45E57"/>
    <w:rsid w:val="00F464D4"/>
    <w:rsid w:val="00F47FF9"/>
    <w:rsid w:val="00F503F2"/>
    <w:rsid w:val="00F505ED"/>
    <w:rsid w:val="00F5094C"/>
    <w:rsid w:val="00F50D66"/>
    <w:rsid w:val="00F51729"/>
    <w:rsid w:val="00F523F6"/>
    <w:rsid w:val="00F53462"/>
    <w:rsid w:val="00F53FB0"/>
    <w:rsid w:val="00F54AE4"/>
    <w:rsid w:val="00F55D8B"/>
    <w:rsid w:val="00F5678E"/>
    <w:rsid w:val="00F600B5"/>
    <w:rsid w:val="00F60537"/>
    <w:rsid w:val="00F613E0"/>
    <w:rsid w:val="00F61AF1"/>
    <w:rsid w:val="00F62F63"/>
    <w:rsid w:val="00F63FE7"/>
    <w:rsid w:val="00F648BC"/>
    <w:rsid w:val="00F6612B"/>
    <w:rsid w:val="00F66289"/>
    <w:rsid w:val="00F66584"/>
    <w:rsid w:val="00F67AA2"/>
    <w:rsid w:val="00F70DF6"/>
    <w:rsid w:val="00F7109B"/>
    <w:rsid w:val="00F728B8"/>
    <w:rsid w:val="00F740A9"/>
    <w:rsid w:val="00F7458F"/>
    <w:rsid w:val="00F7468B"/>
    <w:rsid w:val="00F76C99"/>
    <w:rsid w:val="00F7707C"/>
    <w:rsid w:val="00F7717D"/>
    <w:rsid w:val="00F77A99"/>
    <w:rsid w:val="00F807BD"/>
    <w:rsid w:val="00F80C02"/>
    <w:rsid w:val="00F80CBD"/>
    <w:rsid w:val="00F80F97"/>
    <w:rsid w:val="00F816C9"/>
    <w:rsid w:val="00F81896"/>
    <w:rsid w:val="00F81B28"/>
    <w:rsid w:val="00F81DCD"/>
    <w:rsid w:val="00F834B1"/>
    <w:rsid w:val="00F83EBE"/>
    <w:rsid w:val="00F844C3"/>
    <w:rsid w:val="00F85833"/>
    <w:rsid w:val="00F85998"/>
    <w:rsid w:val="00F85FCD"/>
    <w:rsid w:val="00F860B2"/>
    <w:rsid w:val="00F86369"/>
    <w:rsid w:val="00F9153B"/>
    <w:rsid w:val="00F92E9A"/>
    <w:rsid w:val="00F93530"/>
    <w:rsid w:val="00F93923"/>
    <w:rsid w:val="00FA03D3"/>
    <w:rsid w:val="00FA0A99"/>
    <w:rsid w:val="00FA198A"/>
    <w:rsid w:val="00FA1D03"/>
    <w:rsid w:val="00FA3A78"/>
    <w:rsid w:val="00FA4525"/>
    <w:rsid w:val="00FA59CA"/>
    <w:rsid w:val="00FA6DA1"/>
    <w:rsid w:val="00FA7C2B"/>
    <w:rsid w:val="00FB13E3"/>
    <w:rsid w:val="00FB2444"/>
    <w:rsid w:val="00FB29F7"/>
    <w:rsid w:val="00FB3938"/>
    <w:rsid w:val="00FB4373"/>
    <w:rsid w:val="00FB4DF4"/>
    <w:rsid w:val="00FB59C7"/>
    <w:rsid w:val="00FB6963"/>
    <w:rsid w:val="00FB6C3A"/>
    <w:rsid w:val="00FB750C"/>
    <w:rsid w:val="00FC11D3"/>
    <w:rsid w:val="00FC2448"/>
    <w:rsid w:val="00FC2697"/>
    <w:rsid w:val="00FC2ABE"/>
    <w:rsid w:val="00FC3FF7"/>
    <w:rsid w:val="00FC43A7"/>
    <w:rsid w:val="00FC612E"/>
    <w:rsid w:val="00FC6F94"/>
    <w:rsid w:val="00FD1088"/>
    <w:rsid w:val="00FD15E9"/>
    <w:rsid w:val="00FD1CC4"/>
    <w:rsid w:val="00FD3979"/>
    <w:rsid w:val="00FD431F"/>
    <w:rsid w:val="00FD519B"/>
    <w:rsid w:val="00FD63D8"/>
    <w:rsid w:val="00FD7946"/>
    <w:rsid w:val="00FE0A81"/>
    <w:rsid w:val="00FE118E"/>
    <w:rsid w:val="00FE45F7"/>
    <w:rsid w:val="00FE56C3"/>
    <w:rsid w:val="00FE5CE4"/>
    <w:rsid w:val="00FE7F78"/>
    <w:rsid w:val="00FF195F"/>
    <w:rsid w:val="00FF1F3C"/>
    <w:rsid w:val="00FF247C"/>
    <w:rsid w:val="00FF2E6B"/>
    <w:rsid w:val="00FF54E4"/>
    <w:rsid w:val="00FF6D5E"/>
    <w:rsid w:val="00FF6E9E"/>
    <w:rsid w:val="00FF7321"/>
    <w:rsid w:val="00FF7728"/>
    <w:rsid w:val="00FF7A89"/>
    <w:rsid w:val="00FF7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D1842"/>
  <w15:docId w15:val="{02B1D439-189F-47C3-B0BC-7F1312B7E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31103"/>
  </w:style>
  <w:style w:type="paragraph" w:styleId="Heading1">
    <w:name w:val="heading 1"/>
    <w:basedOn w:val="Normal"/>
    <w:next w:val="Normal"/>
    <w:link w:val="Heading1Char"/>
    <w:uiPriority w:val="9"/>
    <w:qFormat/>
    <w:rsid w:val="000F07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221E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1A528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819B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31103"/>
    <w:pPr>
      <w:spacing w:after="0" w:line="240" w:lineRule="auto"/>
    </w:pPr>
    <w:rPr>
      <w:sz w:val="20"/>
      <w:szCs w:val="20"/>
    </w:rPr>
  </w:style>
  <w:style w:type="character" w:customStyle="1" w:styleId="FootnoteTextChar">
    <w:name w:val="Footnote Text Char"/>
    <w:basedOn w:val="DefaultParagraphFont"/>
    <w:link w:val="FootnoteText"/>
    <w:uiPriority w:val="99"/>
    <w:rsid w:val="00231103"/>
    <w:rPr>
      <w:sz w:val="20"/>
      <w:szCs w:val="20"/>
    </w:rPr>
  </w:style>
  <w:style w:type="character" w:styleId="FootnoteReference">
    <w:name w:val="footnote reference"/>
    <w:basedOn w:val="DefaultParagraphFont"/>
    <w:uiPriority w:val="99"/>
    <w:unhideWhenUsed/>
    <w:rsid w:val="00231103"/>
    <w:rPr>
      <w:vertAlign w:val="superscript"/>
    </w:rPr>
  </w:style>
  <w:style w:type="table" w:styleId="TableGrid">
    <w:name w:val="Table Grid"/>
    <w:basedOn w:val="TableNormal"/>
    <w:uiPriority w:val="39"/>
    <w:rsid w:val="0023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6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45C"/>
  </w:style>
  <w:style w:type="paragraph" w:styleId="NoSpacing">
    <w:name w:val="No Spacing"/>
    <w:uiPriority w:val="1"/>
    <w:qFormat/>
    <w:rsid w:val="0004645C"/>
    <w:pPr>
      <w:spacing w:after="0" w:line="240" w:lineRule="auto"/>
    </w:pPr>
  </w:style>
  <w:style w:type="paragraph" w:styleId="ListParagraph">
    <w:name w:val="List Paragraph"/>
    <w:basedOn w:val="Normal"/>
    <w:uiPriority w:val="34"/>
    <w:qFormat/>
    <w:rsid w:val="00BB0F4E"/>
    <w:pPr>
      <w:ind w:left="720"/>
      <w:contextualSpacing/>
    </w:pPr>
  </w:style>
  <w:style w:type="character" w:styleId="CommentReference">
    <w:name w:val="annotation reference"/>
    <w:basedOn w:val="DefaultParagraphFont"/>
    <w:uiPriority w:val="99"/>
    <w:semiHidden/>
    <w:unhideWhenUsed/>
    <w:rsid w:val="008C1253"/>
    <w:rPr>
      <w:sz w:val="16"/>
      <w:szCs w:val="16"/>
    </w:rPr>
  </w:style>
  <w:style w:type="paragraph" w:styleId="CommentText">
    <w:name w:val="annotation text"/>
    <w:basedOn w:val="Normal"/>
    <w:link w:val="CommentTextChar"/>
    <w:uiPriority w:val="99"/>
    <w:semiHidden/>
    <w:unhideWhenUsed/>
    <w:rsid w:val="008C1253"/>
    <w:pPr>
      <w:spacing w:line="240" w:lineRule="auto"/>
    </w:pPr>
    <w:rPr>
      <w:sz w:val="20"/>
      <w:szCs w:val="20"/>
    </w:rPr>
  </w:style>
  <w:style w:type="character" w:customStyle="1" w:styleId="CommentTextChar">
    <w:name w:val="Comment Text Char"/>
    <w:basedOn w:val="DefaultParagraphFont"/>
    <w:link w:val="CommentText"/>
    <w:uiPriority w:val="99"/>
    <w:semiHidden/>
    <w:rsid w:val="008C1253"/>
    <w:rPr>
      <w:sz w:val="20"/>
      <w:szCs w:val="20"/>
    </w:rPr>
  </w:style>
  <w:style w:type="paragraph" w:styleId="CommentSubject">
    <w:name w:val="annotation subject"/>
    <w:basedOn w:val="CommentText"/>
    <w:next w:val="CommentText"/>
    <w:link w:val="CommentSubjectChar"/>
    <w:uiPriority w:val="99"/>
    <w:semiHidden/>
    <w:unhideWhenUsed/>
    <w:rsid w:val="008C1253"/>
    <w:rPr>
      <w:b/>
      <w:bCs/>
    </w:rPr>
  </w:style>
  <w:style w:type="character" w:customStyle="1" w:styleId="CommentSubjectChar">
    <w:name w:val="Comment Subject Char"/>
    <w:basedOn w:val="CommentTextChar"/>
    <w:link w:val="CommentSubject"/>
    <w:uiPriority w:val="99"/>
    <w:semiHidden/>
    <w:rsid w:val="008C1253"/>
    <w:rPr>
      <w:b/>
      <w:bCs/>
      <w:sz w:val="20"/>
      <w:szCs w:val="20"/>
    </w:rPr>
  </w:style>
  <w:style w:type="table" w:customStyle="1" w:styleId="GridTable4-Accent11">
    <w:name w:val="Grid Table 4 - Accent 11"/>
    <w:basedOn w:val="TableNormal"/>
    <w:uiPriority w:val="49"/>
    <w:rsid w:val="00CF2B67"/>
    <w:pPr>
      <w:spacing w:after="0" w:line="240" w:lineRule="auto"/>
    </w:pPr>
    <w:tblPr>
      <w:tblStyleRowBandSize w:val="1"/>
      <w:tblStyleColBandSize w:val="1"/>
      <w:tblBorders>
        <w:top w:val="single" w:sz="4" w:space="0" w:color="9FACD2"/>
        <w:left w:val="single" w:sz="4" w:space="0" w:color="9FACD2"/>
        <w:bottom w:val="single" w:sz="4" w:space="0" w:color="9FACD2"/>
        <w:right w:val="single" w:sz="4" w:space="0" w:color="9FACD2"/>
        <w:insideH w:val="single" w:sz="4" w:space="0" w:color="9FACD2"/>
        <w:insideV w:val="single" w:sz="4" w:space="0" w:color="9FACD2"/>
      </w:tblBorders>
    </w:tblPr>
    <w:tblStylePr w:type="firstRow">
      <w:rPr>
        <w:b/>
        <w:bCs/>
        <w:color w:val="FFFFFF"/>
      </w:rPr>
      <w:tblPr/>
      <w:tcPr>
        <w:tcBorders>
          <w:top w:val="single" w:sz="4" w:space="0" w:color="6076B4"/>
          <w:left w:val="single" w:sz="4" w:space="0" w:color="6076B4"/>
          <w:bottom w:val="single" w:sz="4" w:space="0" w:color="6076B4"/>
          <w:right w:val="single" w:sz="4" w:space="0" w:color="6076B4"/>
          <w:insideH w:val="nil"/>
          <w:insideV w:val="nil"/>
        </w:tcBorders>
        <w:shd w:val="clear" w:color="auto" w:fill="6076B4"/>
      </w:tcPr>
    </w:tblStylePr>
    <w:tblStylePr w:type="lastRow">
      <w:rPr>
        <w:b/>
        <w:bCs/>
      </w:rPr>
      <w:tblPr/>
      <w:tcPr>
        <w:tcBorders>
          <w:top w:val="double" w:sz="4" w:space="0" w:color="6076B4"/>
        </w:tcBorders>
      </w:tcPr>
    </w:tblStylePr>
    <w:tblStylePr w:type="firstCol">
      <w:rPr>
        <w:b/>
        <w:bCs/>
      </w:rPr>
    </w:tblStylePr>
    <w:tblStylePr w:type="lastCol">
      <w:rPr>
        <w:b/>
        <w:bCs/>
      </w:rPr>
    </w:tblStylePr>
    <w:tblStylePr w:type="band1Vert">
      <w:tblPr/>
      <w:tcPr>
        <w:shd w:val="clear" w:color="auto" w:fill="DFE3F0"/>
      </w:tcPr>
    </w:tblStylePr>
    <w:tblStylePr w:type="band1Horz">
      <w:tblPr/>
      <w:tcPr>
        <w:shd w:val="clear" w:color="auto" w:fill="DFE3F0"/>
      </w:tcPr>
    </w:tblStylePr>
  </w:style>
  <w:style w:type="paragraph" w:styleId="Caption">
    <w:name w:val="caption"/>
    <w:basedOn w:val="Normal"/>
    <w:next w:val="Normal"/>
    <w:uiPriority w:val="35"/>
    <w:unhideWhenUsed/>
    <w:qFormat/>
    <w:rsid w:val="00F7468B"/>
    <w:pPr>
      <w:spacing w:after="200" w:line="240" w:lineRule="auto"/>
    </w:pPr>
    <w:rPr>
      <w:i/>
      <w:iCs/>
      <w:color w:val="44546A" w:themeColor="text2"/>
      <w:sz w:val="18"/>
      <w:szCs w:val="18"/>
    </w:rPr>
  </w:style>
  <w:style w:type="paragraph" w:styleId="Footer">
    <w:name w:val="footer"/>
    <w:basedOn w:val="Normal"/>
    <w:link w:val="FooterChar"/>
    <w:uiPriority w:val="99"/>
    <w:unhideWhenUsed/>
    <w:rsid w:val="00127A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AF5"/>
  </w:style>
  <w:style w:type="character" w:styleId="Hyperlink">
    <w:name w:val="Hyperlink"/>
    <w:basedOn w:val="DefaultParagraphFont"/>
    <w:uiPriority w:val="99"/>
    <w:unhideWhenUsed/>
    <w:rsid w:val="00D10C13"/>
    <w:rPr>
      <w:color w:val="0563C1" w:themeColor="hyperlink"/>
      <w:u w:val="single"/>
    </w:rPr>
  </w:style>
  <w:style w:type="character" w:customStyle="1" w:styleId="UnresolvedMention">
    <w:name w:val="Unresolved Mention"/>
    <w:basedOn w:val="DefaultParagraphFont"/>
    <w:uiPriority w:val="99"/>
    <w:semiHidden/>
    <w:unhideWhenUsed/>
    <w:rsid w:val="00D10C13"/>
    <w:rPr>
      <w:color w:val="605E5C"/>
      <w:shd w:val="clear" w:color="auto" w:fill="E1DFDD"/>
    </w:rPr>
  </w:style>
  <w:style w:type="paragraph" w:styleId="EndnoteText">
    <w:name w:val="endnote text"/>
    <w:basedOn w:val="Normal"/>
    <w:link w:val="EndnoteTextChar"/>
    <w:uiPriority w:val="99"/>
    <w:semiHidden/>
    <w:unhideWhenUsed/>
    <w:rsid w:val="001925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2500"/>
    <w:rPr>
      <w:sz w:val="20"/>
      <w:szCs w:val="20"/>
    </w:rPr>
  </w:style>
  <w:style w:type="character" w:styleId="EndnoteReference">
    <w:name w:val="endnote reference"/>
    <w:basedOn w:val="DefaultParagraphFont"/>
    <w:uiPriority w:val="99"/>
    <w:semiHidden/>
    <w:unhideWhenUsed/>
    <w:rsid w:val="00192500"/>
    <w:rPr>
      <w:vertAlign w:val="superscript"/>
    </w:rPr>
  </w:style>
  <w:style w:type="character" w:customStyle="1" w:styleId="Heading1Char">
    <w:name w:val="Heading 1 Char"/>
    <w:basedOn w:val="DefaultParagraphFont"/>
    <w:link w:val="Heading1"/>
    <w:uiPriority w:val="9"/>
    <w:rsid w:val="000F0728"/>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1A5281"/>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semiHidden/>
    <w:rsid w:val="007221E8"/>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D819B9"/>
    <w:rPr>
      <w:rFonts w:asciiTheme="majorHAnsi" w:eastAsiaTheme="majorEastAsia" w:hAnsiTheme="majorHAnsi" w:cstheme="majorBidi"/>
      <w:color w:val="2F5496" w:themeColor="accent1" w:themeShade="BF"/>
    </w:rPr>
  </w:style>
  <w:style w:type="paragraph" w:styleId="PlainText">
    <w:name w:val="Plain Text"/>
    <w:basedOn w:val="Normal"/>
    <w:link w:val="PlainTextChar"/>
    <w:uiPriority w:val="99"/>
    <w:unhideWhenUsed/>
    <w:rsid w:val="005D2D30"/>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D2D30"/>
    <w:rPr>
      <w:rFonts w:ascii="Calibri" w:hAnsi="Calibri" w:cs="Calibri"/>
    </w:rPr>
  </w:style>
  <w:style w:type="paragraph" w:styleId="BalloonText">
    <w:name w:val="Balloon Text"/>
    <w:basedOn w:val="Normal"/>
    <w:link w:val="BalloonTextChar"/>
    <w:uiPriority w:val="99"/>
    <w:semiHidden/>
    <w:unhideWhenUsed/>
    <w:rsid w:val="008639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9FC"/>
    <w:rPr>
      <w:rFonts w:ascii="Tahoma" w:hAnsi="Tahoma" w:cs="Tahoma"/>
      <w:sz w:val="16"/>
      <w:szCs w:val="16"/>
    </w:rPr>
  </w:style>
  <w:style w:type="character" w:styleId="FollowedHyperlink">
    <w:name w:val="FollowedHyperlink"/>
    <w:basedOn w:val="DefaultParagraphFont"/>
    <w:uiPriority w:val="99"/>
    <w:semiHidden/>
    <w:unhideWhenUsed/>
    <w:rsid w:val="00EB3F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4295">
      <w:bodyDiv w:val="1"/>
      <w:marLeft w:val="0"/>
      <w:marRight w:val="0"/>
      <w:marTop w:val="0"/>
      <w:marBottom w:val="0"/>
      <w:divBdr>
        <w:top w:val="none" w:sz="0" w:space="0" w:color="auto"/>
        <w:left w:val="none" w:sz="0" w:space="0" w:color="auto"/>
        <w:bottom w:val="none" w:sz="0" w:space="0" w:color="auto"/>
        <w:right w:val="none" w:sz="0" w:space="0" w:color="auto"/>
      </w:divBdr>
    </w:div>
    <w:div w:id="118962358">
      <w:bodyDiv w:val="1"/>
      <w:marLeft w:val="0"/>
      <w:marRight w:val="0"/>
      <w:marTop w:val="0"/>
      <w:marBottom w:val="0"/>
      <w:divBdr>
        <w:top w:val="none" w:sz="0" w:space="0" w:color="auto"/>
        <w:left w:val="none" w:sz="0" w:space="0" w:color="auto"/>
        <w:bottom w:val="none" w:sz="0" w:space="0" w:color="auto"/>
        <w:right w:val="none" w:sz="0" w:space="0" w:color="auto"/>
      </w:divBdr>
      <w:divsChild>
        <w:div w:id="435173763">
          <w:marLeft w:val="0"/>
          <w:marRight w:val="0"/>
          <w:marTop w:val="0"/>
          <w:marBottom w:val="0"/>
          <w:divBdr>
            <w:top w:val="none" w:sz="0" w:space="0" w:color="auto"/>
            <w:left w:val="none" w:sz="0" w:space="0" w:color="auto"/>
            <w:bottom w:val="none" w:sz="0" w:space="0" w:color="auto"/>
            <w:right w:val="none" w:sz="0" w:space="0" w:color="auto"/>
          </w:divBdr>
        </w:div>
        <w:div w:id="1871333219">
          <w:marLeft w:val="0"/>
          <w:marRight w:val="0"/>
          <w:marTop w:val="75"/>
          <w:marBottom w:val="0"/>
          <w:divBdr>
            <w:top w:val="none" w:sz="0" w:space="0" w:color="auto"/>
            <w:left w:val="none" w:sz="0" w:space="0" w:color="auto"/>
            <w:bottom w:val="none" w:sz="0" w:space="0" w:color="auto"/>
            <w:right w:val="none" w:sz="0" w:space="0" w:color="auto"/>
          </w:divBdr>
        </w:div>
        <w:div w:id="1009864946">
          <w:marLeft w:val="0"/>
          <w:marRight w:val="0"/>
          <w:marTop w:val="75"/>
          <w:marBottom w:val="0"/>
          <w:divBdr>
            <w:top w:val="none" w:sz="0" w:space="0" w:color="auto"/>
            <w:left w:val="none" w:sz="0" w:space="0" w:color="auto"/>
            <w:bottom w:val="none" w:sz="0" w:space="0" w:color="auto"/>
            <w:right w:val="none" w:sz="0" w:space="0" w:color="auto"/>
          </w:divBdr>
        </w:div>
      </w:divsChild>
    </w:div>
    <w:div w:id="156844422">
      <w:bodyDiv w:val="1"/>
      <w:marLeft w:val="0"/>
      <w:marRight w:val="0"/>
      <w:marTop w:val="0"/>
      <w:marBottom w:val="0"/>
      <w:divBdr>
        <w:top w:val="none" w:sz="0" w:space="0" w:color="auto"/>
        <w:left w:val="none" w:sz="0" w:space="0" w:color="auto"/>
        <w:bottom w:val="none" w:sz="0" w:space="0" w:color="auto"/>
        <w:right w:val="none" w:sz="0" w:space="0" w:color="auto"/>
      </w:divBdr>
    </w:div>
    <w:div w:id="344287356">
      <w:bodyDiv w:val="1"/>
      <w:marLeft w:val="0"/>
      <w:marRight w:val="0"/>
      <w:marTop w:val="0"/>
      <w:marBottom w:val="0"/>
      <w:divBdr>
        <w:top w:val="none" w:sz="0" w:space="0" w:color="auto"/>
        <w:left w:val="none" w:sz="0" w:space="0" w:color="auto"/>
        <w:bottom w:val="none" w:sz="0" w:space="0" w:color="auto"/>
        <w:right w:val="none" w:sz="0" w:space="0" w:color="auto"/>
      </w:divBdr>
    </w:div>
    <w:div w:id="352222936">
      <w:bodyDiv w:val="1"/>
      <w:marLeft w:val="0"/>
      <w:marRight w:val="0"/>
      <w:marTop w:val="0"/>
      <w:marBottom w:val="0"/>
      <w:divBdr>
        <w:top w:val="none" w:sz="0" w:space="0" w:color="auto"/>
        <w:left w:val="none" w:sz="0" w:space="0" w:color="auto"/>
        <w:bottom w:val="none" w:sz="0" w:space="0" w:color="auto"/>
        <w:right w:val="none" w:sz="0" w:space="0" w:color="auto"/>
      </w:divBdr>
    </w:div>
    <w:div w:id="508180226">
      <w:bodyDiv w:val="1"/>
      <w:marLeft w:val="0"/>
      <w:marRight w:val="0"/>
      <w:marTop w:val="0"/>
      <w:marBottom w:val="0"/>
      <w:divBdr>
        <w:top w:val="none" w:sz="0" w:space="0" w:color="auto"/>
        <w:left w:val="none" w:sz="0" w:space="0" w:color="auto"/>
        <w:bottom w:val="none" w:sz="0" w:space="0" w:color="auto"/>
        <w:right w:val="none" w:sz="0" w:space="0" w:color="auto"/>
      </w:divBdr>
    </w:div>
    <w:div w:id="514466348">
      <w:bodyDiv w:val="1"/>
      <w:marLeft w:val="0"/>
      <w:marRight w:val="0"/>
      <w:marTop w:val="0"/>
      <w:marBottom w:val="0"/>
      <w:divBdr>
        <w:top w:val="none" w:sz="0" w:space="0" w:color="auto"/>
        <w:left w:val="none" w:sz="0" w:space="0" w:color="auto"/>
        <w:bottom w:val="none" w:sz="0" w:space="0" w:color="auto"/>
        <w:right w:val="none" w:sz="0" w:space="0" w:color="auto"/>
      </w:divBdr>
    </w:div>
    <w:div w:id="704864843">
      <w:bodyDiv w:val="1"/>
      <w:marLeft w:val="0"/>
      <w:marRight w:val="0"/>
      <w:marTop w:val="0"/>
      <w:marBottom w:val="0"/>
      <w:divBdr>
        <w:top w:val="none" w:sz="0" w:space="0" w:color="auto"/>
        <w:left w:val="none" w:sz="0" w:space="0" w:color="auto"/>
        <w:bottom w:val="none" w:sz="0" w:space="0" w:color="auto"/>
        <w:right w:val="none" w:sz="0" w:space="0" w:color="auto"/>
      </w:divBdr>
    </w:div>
    <w:div w:id="955019139">
      <w:bodyDiv w:val="1"/>
      <w:marLeft w:val="0"/>
      <w:marRight w:val="0"/>
      <w:marTop w:val="0"/>
      <w:marBottom w:val="0"/>
      <w:divBdr>
        <w:top w:val="none" w:sz="0" w:space="0" w:color="auto"/>
        <w:left w:val="none" w:sz="0" w:space="0" w:color="auto"/>
        <w:bottom w:val="none" w:sz="0" w:space="0" w:color="auto"/>
        <w:right w:val="none" w:sz="0" w:space="0" w:color="auto"/>
      </w:divBdr>
    </w:div>
    <w:div w:id="1135025418">
      <w:bodyDiv w:val="1"/>
      <w:marLeft w:val="0"/>
      <w:marRight w:val="0"/>
      <w:marTop w:val="0"/>
      <w:marBottom w:val="0"/>
      <w:divBdr>
        <w:top w:val="none" w:sz="0" w:space="0" w:color="auto"/>
        <w:left w:val="none" w:sz="0" w:space="0" w:color="auto"/>
        <w:bottom w:val="none" w:sz="0" w:space="0" w:color="auto"/>
        <w:right w:val="none" w:sz="0" w:space="0" w:color="auto"/>
      </w:divBdr>
    </w:div>
    <w:div w:id="1155873322">
      <w:bodyDiv w:val="1"/>
      <w:marLeft w:val="0"/>
      <w:marRight w:val="0"/>
      <w:marTop w:val="0"/>
      <w:marBottom w:val="0"/>
      <w:divBdr>
        <w:top w:val="none" w:sz="0" w:space="0" w:color="auto"/>
        <w:left w:val="none" w:sz="0" w:space="0" w:color="auto"/>
        <w:bottom w:val="none" w:sz="0" w:space="0" w:color="auto"/>
        <w:right w:val="none" w:sz="0" w:space="0" w:color="auto"/>
      </w:divBdr>
    </w:div>
    <w:div w:id="1380401142">
      <w:bodyDiv w:val="1"/>
      <w:marLeft w:val="0"/>
      <w:marRight w:val="0"/>
      <w:marTop w:val="0"/>
      <w:marBottom w:val="0"/>
      <w:divBdr>
        <w:top w:val="none" w:sz="0" w:space="0" w:color="auto"/>
        <w:left w:val="none" w:sz="0" w:space="0" w:color="auto"/>
        <w:bottom w:val="none" w:sz="0" w:space="0" w:color="auto"/>
        <w:right w:val="none" w:sz="0" w:space="0" w:color="auto"/>
      </w:divBdr>
      <w:divsChild>
        <w:div w:id="2043624412">
          <w:marLeft w:val="0"/>
          <w:marRight w:val="0"/>
          <w:marTop w:val="0"/>
          <w:marBottom w:val="0"/>
          <w:divBdr>
            <w:top w:val="none" w:sz="0" w:space="0" w:color="auto"/>
            <w:left w:val="none" w:sz="0" w:space="0" w:color="auto"/>
            <w:bottom w:val="none" w:sz="0" w:space="0" w:color="auto"/>
            <w:right w:val="none" w:sz="0" w:space="0" w:color="auto"/>
          </w:divBdr>
        </w:div>
        <w:div w:id="1879272329">
          <w:marLeft w:val="0"/>
          <w:marRight w:val="0"/>
          <w:marTop w:val="75"/>
          <w:marBottom w:val="0"/>
          <w:divBdr>
            <w:top w:val="none" w:sz="0" w:space="0" w:color="auto"/>
            <w:left w:val="none" w:sz="0" w:space="0" w:color="auto"/>
            <w:bottom w:val="none" w:sz="0" w:space="0" w:color="auto"/>
            <w:right w:val="none" w:sz="0" w:space="0" w:color="auto"/>
          </w:divBdr>
        </w:div>
        <w:div w:id="479074304">
          <w:marLeft w:val="0"/>
          <w:marRight w:val="0"/>
          <w:marTop w:val="75"/>
          <w:marBottom w:val="0"/>
          <w:divBdr>
            <w:top w:val="none" w:sz="0" w:space="0" w:color="auto"/>
            <w:left w:val="none" w:sz="0" w:space="0" w:color="auto"/>
            <w:bottom w:val="none" w:sz="0" w:space="0" w:color="auto"/>
            <w:right w:val="none" w:sz="0" w:space="0" w:color="auto"/>
          </w:divBdr>
        </w:div>
      </w:divsChild>
    </w:div>
    <w:div w:id="1486236883">
      <w:bodyDiv w:val="1"/>
      <w:marLeft w:val="0"/>
      <w:marRight w:val="0"/>
      <w:marTop w:val="0"/>
      <w:marBottom w:val="0"/>
      <w:divBdr>
        <w:top w:val="none" w:sz="0" w:space="0" w:color="auto"/>
        <w:left w:val="none" w:sz="0" w:space="0" w:color="auto"/>
        <w:bottom w:val="none" w:sz="0" w:space="0" w:color="auto"/>
        <w:right w:val="none" w:sz="0" w:space="0" w:color="auto"/>
      </w:divBdr>
    </w:div>
    <w:div w:id="1705060514">
      <w:bodyDiv w:val="1"/>
      <w:marLeft w:val="0"/>
      <w:marRight w:val="0"/>
      <w:marTop w:val="0"/>
      <w:marBottom w:val="0"/>
      <w:divBdr>
        <w:top w:val="none" w:sz="0" w:space="0" w:color="auto"/>
        <w:left w:val="none" w:sz="0" w:space="0" w:color="auto"/>
        <w:bottom w:val="none" w:sz="0" w:space="0" w:color="auto"/>
        <w:right w:val="none" w:sz="0" w:space="0" w:color="auto"/>
      </w:divBdr>
    </w:div>
    <w:div w:id="1859419014">
      <w:bodyDiv w:val="1"/>
      <w:marLeft w:val="0"/>
      <w:marRight w:val="0"/>
      <w:marTop w:val="0"/>
      <w:marBottom w:val="0"/>
      <w:divBdr>
        <w:top w:val="none" w:sz="0" w:space="0" w:color="auto"/>
        <w:left w:val="none" w:sz="0" w:space="0" w:color="auto"/>
        <w:bottom w:val="none" w:sz="0" w:space="0" w:color="auto"/>
        <w:right w:val="none" w:sz="0" w:space="0" w:color="auto"/>
      </w:divBdr>
      <w:divsChild>
        <w:div w:id="2144999642">
          <w:marLeft w:val="0"/>
          <w:marRight w:val="0"/>
          <w:marTop w:val="525"/>
          <w:marBottom w:val="0"/>
          <w:divBdr>
            <w:top w:val="none" w:sz="0" w:space="0" w:color="auto"/>
            <w:left w:val="none" w:sz="0" w:space="0" w:color="auto"/>
            <w:bottom w:val="none" w:sz="0" w:space="0" w:color="auto"/>
            <w:right w:val="none" w:sz="0" w:space="0" w:color="auto"/>
          </w:divBdr>
          <w:divsChild>
            <w:div w:id="320280941">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890607959">
      <w:bodyDiv w:val="1"/>
      <w:marLeft w:val="0"/>
      <w:marRight w:val="0"/>
      <w:marTop w:val="0"/>
      <w:marBottom w:val="0"/>
      <w:divBdr>
        <w:top w:val="none" w:sz="0" w:space="0" w:color="auto"/>
        <w:left w:val="none" w:sz="0" w:space="0" w:color="auto"/>
        <w:bottom w:val="none" w:sz="0" w:space="0" w:color="auto"/>
        <w:right w:val="none" w:sz="0" w:space="0" w:color="auto"/>
      </w:divBdr>
    </w:div>
    <w:div w:id="2056470288">
      <w:bodyDiv w:val="1"/>
      <w:marLeft w:val="0"/>
      <w:marRight w:val="0"/>
      <w:marTop w:val="0"/>
      <w:marBottom w:val="0"/>
      <w:divBdr>
        <w:top w:val="none" w:sz="0" w:space="0" w:color="auto"/>
        <w:left w:val="none" w:sz="0" w:space="0" w:color="auto"/>
        <w:bottom w:val="none" w:sz="0" w:space="0" w:color="auto"/>
        <w:right w:val="none" w:sz="0" w:space="0" w:color="auto"/>
      </w:divBdr>
    </w:div>
    <w:div w:id="209434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endnotes.xml.rels><?xml version="1.0" encoding="UTF-8" standalone="yes"?>
<Relationships xmlns="http://schemas.openxmlformats.org/package/2006/relationships"><Relationship Id="rId8" Type="http://schemas.openxmlformats.org/officeDocument/2006/relationships/hyperlink" Target="https://makesmokinghistory.org/wp-content/themes/makesmokinghistory/tafi/pdf/TAFI-Winchendon.pdf?pdf=Tafi" TargetMode="External"/><Relationship Id="rId3" Type="http://schemas.openxmlformats.org/officeDocument/2006/relationships/hyperlink" Target="https://www.nytimes.com/2021/05/05/health/operating-rooms-change-technology.html" TargetMode="External"/><Relationship Id="rId7" Type="http://schemas.openxmlformats.org/officeDocument/2006/relationships/hyperlink" Target="https://www.beckershospitalreview.com/quality/key-issues-for-perioperative-leaders-regarding-the-covid-19-pandemic.html" TargetMode="External"/><Relationship Id="rId2" Type="http://schemas.openxmlformats.org/officeDocument/2006/relationships/hyperlink" Target="https://www.dremed.com/medical_equipment_news/a-basic-guide-to-setting-up-todays-or/" TargetMode="External"/><Relationship Id="rId1" Type="http://schemas.openxmlformats.org/officeDocument/2006/relationships/hyperlink" Target="https://www.dremed.com/medical_equipment_news/a-basic-guide-to-setting-up-todays-or/" TargetMode="External"/><Relationship Id="rId6" Type="http://schemas.openxmlformats.org/officeDocument/2006/relationships/hyperlink" Target="https://www.hopkinsmedicine.org/news/media/releases/use_of_minimally_invasive_surgery_could_lower_health_care_costs_by_hundreds_of_millions_a_year" TargetMode="External"/><Relationship Id="rId11" Type="http://schemas.openxmlformats.org/officeDocument/2006/relationships/hyperlink" Target="https://effectivehealthcare.ahrq.gov/products/health-equity-preventive/protocol" TargetMode="External"/><Relationship Id="rId5" Type="http://schemas.openxmlformats.org/officeDocument/2006/relationships/hyperlink" Target="https://www.healthit.gov/topic/health-it-and-health-information-exchange-basics/improved-diagnostics-patientoutcomes" TargetMode="External"/><Relationship Id="rId10" Type="http://schemas.openxmlformats.org/officeDocument/2006/relationships/hyperlink" Target="https://www.policymap.com/" TargetMode="External"/><Relationship Id="rId4" Type="http://schemas.openxmlformats.org/officeDocument/2006/relationships/hyperlink" Target="https://www.heywood.org/files/dmHTMLFile/2018-heywood-healthcare-community-health-needs-assessment-full-report1.pdf" TargetMode="External"/><Relationship Id="rId9" Type="http://schemas.openxmlformats.org/officeDocument/2006/relationships/hyperlink" Target="http://makesmokinghistory.org/wp-content/themes/makesmokinghistory/tafi/pdf/TAFI-Gardner.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facs.org/quality-programs/mbsaqip" TargetMode="External"/><Relationship Id="rId1" Type="http://schemas.openxmlformats.org/officeDocument/2006/relationships/hyperlink" Target="https://www.ruralhealthinfo.org/topics/critical-access-hospit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4A111-7D10-4F5F-BAE4-34473B87A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32</Pages>
  <Words>10104</Words>
  <Characters>57594</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dc:creator>
  <cp:keywords/>
  <dc:description/>
  <cp:lastModifiedBy>Cioffari-Macphee, Diana (DPH)</cp:lastModifiedBy>
  <cp:revision>30</cp:revision>
  <cp:lastPrinted>2021-09-21T08:29:00Z</cp:lastPrinted>
  <dcterms:created xsi:type="dcterms:W3CDTF">2021-10-08T17:43:00Z</dcterms:created>
  <dcterms:modified xsi:type="dcterms:W3CDTF">2021-10-08T18:58:00Z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