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4561" w:type="pct"/>
        <w:tblLook w:val="04A0" w:firstRow="1" w:lastRow="0" w:firstColumn="1" w:lastColumn="0" w:noHBand="0" w:noVBand="1"/>
        <w:tblCaption w:val="Staff Report to the Public Health Council for a Determination of Need"/>
        <w:tblDescription w:val="STAFF REPORT TO THE PUBLIC HEALTH COUNCIL&#10;FOR A DETERMINATION OF NEED&#10;Applicant Name  PAM Cubed, LLC&#10;Applicant Address  909 Sumner Street, Stoughton, MA 02072&#10;Filing Date November 19, 2021&#10;Type of DoN Application Transfer of Ownership&#10;Total Value $7,500,000.00&#10;Project Number PAM-21111018-TO&#10;Ten Taxpayer Groups (TTG) No&#10;Community Health Initiative (CHI)  Exempt from Factor 6&#10;Staff Recommendation Approval with Conditions&#10;Public Health Council February 9, 2022&#10;Project Summary and Regulatory Review&#10;PAM Cubed, LLC and its subsidiaries (“PAM”), the Applicant, proposes to become the owner of Curahealth Stoughton, LLC, a long-term acute care hospital (LTCH) located in Stoughton, Massachusetts (the Hospital). In an agreement between PAM and Nautic Partners VII-A, L.P. and its subsidiaries, which include the Applicant and the Hospital, (collectively, the “Seller”), PAM will acquire 100% of the equity in the Applicant. Thereafter, the Hospital will be an indirect subsidiary of PAM. PAM and its affiliated entities are part of a national network that owns and operates LTCHs throughout the United States (collectively, PAM Health). &#10;&#10;This Determination of Need (DoN) Application falls within the definition of Transfer of Ownership, which are reviewed under the DoN regulation 105 CMR 100.000. The Department must determine that need exists for a Proposed Project, on the basis of material in the record, where the Applicant makes a clear and convincing demonstration that the Proposed Project meets each applicable DoN Factor set forth within 105 CMR 100.210. A DoN Application for a Transfer of Ownership is subject to factors 1, 2, 3, and 4 of the DoN regulation. This staff report addresses each of the four factors set forth in the regulation.&#10;&#10;The Department did not receive any written comments on this application nor were any Ten Taxpayer Groups formed.&#10;"/>
      </w:tblPr>
      <w:tblGrid>
        <w:gridCol w:w="4439"/>
        <w:gridCol w:w="5322"/>
      </w:tblGrid>
      <w:tr w:rsidR="008C0709" w:rsidRPr="007B6BF9" w14:paraId="5E2173C9" w14:textId="77777777" w:rsidTr="00C8214E">
        <w:trPr>
          <w:trHeight w:val="686"/>
          <w:tblHeader/>
        </w:trPr>
        <w:tc>
          <w:tcPr>
            <w:tcW w:w="5000" w:type="pct"/>
            <w:gridSpan w:val="2"/>
            <w:shd w:val="clear" w:color="auto" w:fill="DFE3F0"/>
            <w:vAlign w:val="center"/>
          </w:tcPr>
          <w:p w14:paraId="1B8C4D3E" w14:textId="77777777" w:rsidR="008C0709" w:rsidRPr="007A57C4" w:rsidRDefault="008C0709" w:rsidP="00E84078">
            <w:pPr>
              <w:pStyle w:val="NoSpacing"/>
              <w:ind w:right="540"/>
              <w:contextualSpacing/>
              <w:rPr>
                <w:rFonts w:ascii="Garamond" w:hAnsi="Garamond" w:cstheme="minorHAnsi"/>
                <w:b/>
                <w:sz w:val="24"/>
                <w:szCs w:val="24"/>
              </w:rPr>
            </w:pPr>
            <w:r w:rsidRPr="007A57C4">
              <w:rPr>
                <w:rFonts w:ascii="Garamond" w:hAnsi="Garamond" w:cstheme="minorHAnsi"/>
                <w:b/>
                <w:sz w:val="24"/>
                <w:szCs w:val="24"/>
              </w:rPr>
              <w:t>STAFF REPORT TO THE PUBLIC HEALTH COUNCIL</w:t>
            </w:r>
          </w:p>
          <w:p w14:paraId="707BF2E0" w14:textId="77777777" w:rsidR="008C0709" w:rsidRPr="007A57C4" w:rsidRDefault="008C0709" w:rsidP="00950189">
            <w:pPr>
              <w:pStyle w:val="Header"/>
              <w:ind w:right="540"/>
              <w:contextualSpacing/>
              <w:rPr>
                <w:rFonts w:ascii="Garamond" w:hAnsi="Garamond" w:cstheme="minorHAnsi"/>
                <w:b/>
              </w:rPr>
            </w:pPr>
            <w:r w:rsidRPr="007A57C4">
              <w:rPr>
                <w:rFonts w:ascii="Garamond" w:hAnsi="Garamond" w:cstheme="minorHAnsi"/>
                <w:b/>
              </w:rPr>
              <w:t>FOR A DETERMINATION OF NEED</w:t>
            </w:r>
          </w:p>
        </w:tc>
      </w:tr>
      <w:tr w:rsidR="004313D9" w:rsidRPr="007B6BF9" w14:paraId="37A21A4B" w14:textId="77777777" w:rsidTr="004313D9">
        <w:trPr>
          <w:trHeight w:val="454"/>
        </w:trPr>
        <w:tc>
          <w:tcPr>
            <w:tcW w:w="2274" w:type="pct"/>
            <w:shd w:val="clear" w:color="auto" w:fill="auto"/>
            <w:vAlign w:val="center"/>
          </w:tcPr>
          <w:p w14:paraId="4463BBF6" w14:textId="77777777" w:rsidR="004313D9" w:rsidRPr="007A57C4" w:rsidRDefault="004313D9" w:rsidP="004313D9">
            <w:pPr>
              <w:ind w:right="540"/>
              <w:contextualSpacing/>
              <w:rPr>
                <w:rFonts w:ascii="Garamond" w:hAnsi="Garamond" w:cstheme="minorHAnsi"/>
              </w:rPr>
            </w:pPr>
            <w:r w:rsidRPr="007A57C4">
              <w:rPr>
                <w:rFonts w:ascii="Garamond" w:hAnsi="Garamond" w:cstheme="minorHAnsi"/>
              </w:rPr>
              <w:t xml:space="preserve">Applicant Name </w:t>
            </w:r>
          </w:p>
        </w:tc>
        <w:tc>
          <w:tcPr>
            <w:tcW w:w="2726" w:type="pct"/>
            <w:shd w:val="clear" w:color="auto" w:fill="auto"/>
            <w:vAlign w:val="center"/>
          </w:tcPr>
          <w:p w14:paraId="412EB352" w14:textId="2C6BA401" w:rsidR="004313D9" w:rsidRPr="007A57C4" w:rsidRDefault="0001145D" w:rsidP="004313D9">
            <w:pPr>
              <w:ind w:right="540"/>
              <w:contextualSpacing/>
              <w:rPr>
                <w:rFonts w:ascii="Garamond" w:hAnsi="Garamond" w:cstheme="minorHAnsi"/>
              </w:rPr>
            </w:pPr>
            <w:r w:rsidRPr="0001145D">
              <w:rPr>
                <w:rFonts w:ascii="Garamond" w:hAnsi="Garamond" w:cstheme="minorHAnsi"/>
              </w:rPr>
              <w:t>PAM C</w:t>
            </w:r>
            <w:r w:rsidR="00C57885">
              <w:rPr>
                <w:rFonts w:ascii="Garamond" w:hAnsi="Garamond" w:cstheme="minorHAnsi"/>
              </w:rPr>
              <w:t>ubed</w:t>
            </w:r>
            <w:r w:rsidRPr="0001145D">
              <w:rPr>
                <w:rFonts w:ascii="Garamond" w:hAnsi="Garamond" w:cstheme="minorHAnsi"/>
              </w:rPr>
              <w:t>, LLC</w:t>
            </w:r>
          </w:p>
        </w:tc>
      </w:tr>
      <w:tr w:rsidR="004313D9" w:rsidRPr="007B6BF9" w14:paraId="7D5C8C8A" w14:textId="77777777" w:rsidTr="004313D9">
        <w:trPr>
          <w:trHeight w:val="306"/>
        </w:trPr>
        <w:tc>
          <w:tcPr>
            <w:tcW w:w="2274" w:type="pct"/>
            <w:shd w:val="clear" w:color="auto" w:fill="auto"/>
            <w:vAlign w:val="center"/>
          </w:tcPr>
          <w:p w14:paraId="60D7905A" w14:textId="77777777" w:rsidR="004313D9" w:rsidRPr="007A57C4" w:rsidRDefault="004313D9" w:rsidP="004313D9">
            <w:pPr>
              <w:ind w:right="540"/>
              <w:contextualSpacing/>
              <w:rPr>
                <w:rFonts w:ascii="Garamond" w:hAnsi="Garamond" w:cstheme="minorHAnsi"/>
              </w:rPr>
            </w:pPr>
            <w:r w:rsidRPr="007A57C4">
              <w:rPr>
                <w:rFonts w:ascii="Garamond" w:hAnsi="Garamond" w:cstheme="minorHAnsi"/>
              </w:rPr>
              <w:t xml:space="preserve">Applicant Address </w:t>
            </w:r>
          </w:p>
        </w:tc>
        <w:tc>
          <w:tcPr>
            <w:tcW w:w="2726" w:type="pct"/>
            <w:shd w:val="clear" w:color="auto" w:fill="auto"/>
            <w:vAlign w:val="center"/>
          </w:tcPr>
          <w:p w14:paraId="48C9B61F" w14:textId="09456D49" w:rsidR="004313D9" w:rsidRPr="007A57C4" w:rsidRDefault="0001145D" w:rsidP="004313D9">
            <w:pPr>
              <w:ind w:right="540"/>
              <w:contextualSpacing/>
              <w:rPr>
                <w:rFonts w:ascii="Garamond" w:hAnsi="Garamond" w:cstheme="minorHAnsi"/>
                <w:lang w:val="fr-FR"/>
              </w:rPr>
            </w:pPr>
            <w:r w:rsidRPr="0001145D">
              <w:rPr>
                <w:rFonts w:ascii="Garamond" w:hAnsi="Garamond" w:cstheme="minorHAnsi"/>
              </w:rPr>
              <w:t>909 Sumner Street, Stoughton, MA 02072</w:t>
            </w:r>
          </w:p>
        </w:tc>
      </w:tr>
      <w:tr w:rsidR="004313D9" w:rsidRPr="007B6BF9" w14:paraId="7F48402A" w14:textId="77777777" w:rsidTr="004313D9">
        <w:trPr>
          <w:trHeight w:val="323"/>
        </w:trPr>
        <w:tc>
          <w:tcPr>
            <w:tcW w:w="2274" w:type="pct"/>
            <w:shd w:val="clear" w:color="auto" w:fill="auto"/>
            <w:vAlign w:val="center"/>
          </w:tcPr>
          <w:p w14:paraId="62887CB2" w14:textId="77777777" w:rsidR="004313D9" w:rsidRPr="007A57C4" w:rsidRDefault="004313D9" w:rsidP="004313D9">
            <w:pPr>
              <w:ind w:right="540"/>
              <w:contextualSpacing/>
              <w:rPr>
                <w:rFonts w:ascii="Garamond" w:hAnsi="Garamond" w:cstheme="minorHAnsi"/>
              </w:rPr>
            </w:pPr>
            <w:r w:rsidRPr="007A57C4">
              <w:rPr>
                <w:rFonts w:ascii="Garamond" w:hAnsi="Garamond" w:cstheme="minorHAnsi"/>
              </w:rPr>
              <w:t>Filing Date</w:t>
            </w:r>
          </w:p>
        </w:tc>
        <w:tc>
          <w:tcPr>
            <w:tcW w:w="2726" w:type="pct"/>
            <w:shd w:val="clear" w:color="auto" w:fill="auto"/>
            <w:vAlign w:val="center"/>
          </w:tcPr>
          <w:p w14:paraId="2924AE87" w14:textId="4F721B58" w:rsidR="004313D9" w:rsidRPr="007A57C4" w:rsidRDefault="00AD07C9" w:rsidP="004313D9">
            <w:pPr>
              <w:ind w:right="540"/>
              <w:contextualSpacing/>
              <w:rPr>
                <w:rFonts w:ascii="Garamond" w:hAnsi="Garamond" w:cstheme="minorHAnsi"/>
              </w:rPr>
            </w:pPr>
            <w:r>
              <w:rPr>
                <w:rFonts w:ascii="Garamond" w:hAnsi="Garamond" w:cstheme="minorHAnsi"/>
              </w:rPr>
              <w:t>November 19, 2021</w:t>
            </w:r>
          </w:p>
        </w:tc>
      </w:tr>
      <w:tr w:rsidR="004313D9" w:rsidRPr="007B6BF9" w14:paraId="45BF54E4" w14:textId="77777777" w:rsidTr="004313D9">
        <w:trPr>
          <w:trHeight w:val="300"/>
        </w:trPr>
        <w:tc>
          <w:tcPr>
            <w:tcW w:w="2274" w:type="pct"/>
            <w:shd w:val="clear" w:color="auto" w:fill="auto"/>
            <w:vAlign w:val="center"/>
          </w:tcPr>
          <w:p w14:paraId="11D28445" w14:textId="77777777" w:rsidR="004313D9" w:rsidRPr="007A57C4" w:rsidRDefault="004313D9" w:rsidP="004313D9">
            <w:pPr>
              <w:ind w:right="540"/>
              <w:contextualSpacing/>
              <w:rPr>
                <w:rFonts w:ascii="Garamond" w:hAnsi="Garamond" w:cstheme="minorHAnsi"/>
              </w:rPr>
            </w:pPr>
            <w:r w:rsidRPr="007A57C4">
              <w:rPr>
                <w:rFonts w:ascii="Garamond" w:hAnsi="Garamond" w:cstheme="minorHAnsi"/>
              </w:rPr>
              <w:t>Type of DoN Application</w:t>
            </w:r>
          </w:p>
        </w:tc>
        <w:tc>
          <w:tcPr>
            <w:tcW w:w="2726" w:type="pct"/>
            <w:shd w:val="clear" w:color="auto" w:fill="auto"/>
            <w:vAlign w:val="center"/>
          </w:tcPr>
          <w:p w14:paraId="54290C07" w14:textId="436856D7" w:rsidR="004313D9" w:rsidRPr="007A57C4" w:rsidRDefault="0001145D" w:rsidP="004313D9">
            <w:pPr>
              <w:ind w:right="540"/>
              <w:contextualSpacing/>
              <w:rPr>
                <w:rFonts w:ascii="Garamond" w:hAnsi="Garamond" w:cstheme="minorHAnsi"/>
              </w:rPr>
            </w:pPr>
            <w:r w:rsidRPr="0001145D">
              <w:rPr>
                <w:rFonts w:ascii="Garamond" w:hAnsi="Garamond" w:cstheme="minorHAnsi"/>
              </w:rPr>
              <w:t>Transfer of Ownership</w:t>
            </w:r>
          </w:p>
        </w:tc>
      </w:tr>
      <w:tr w:rsidR="004313D9" w:rsidRPr="007B6BF9" w14:paraId="1C2D799A" w14:textId="77777777" w:rsidTr="004313D9">
        <w:trPr>
          <w:trHeight w:val="300"/>
        </w:trPr>
        <w:tc>
          <w:tcPr>
            <w:tcW w:w="2274" w:type="pct"/>
            <w:shd w:val="clear" w:color="auto" w:fill="auto"/>
            <w:vAlign w:val="center"/>
          </w:tcPr>
          <w:p w14:paraId="58287B54" w14:textId="77777777" w:rsidR="004313D9" w:rsidRPr="007A57C4" w:rsidRDefault="004313D9" w:rsidP="004313D9">
            <w:pPr>
              <w:ind w:right="540"/>
              <w:contextualSpacing/>
              <w:rPr>
                <w:rFonts w:ascii="Garamond" w:hAnsi="Garamond" w:cstheme="minorHAnsi"/>
              </w:rPr>
            </w:pPr>
            <w:r w:rsidRPr="007A57C4">
              <w:rPr>
                <w:rFonts w:ascii="Garamond" w:hAnsi="Garamond" w:cstheme="minorHAnsi"/>
              </w:rPr>
              <w:t>Total Value</w:t>
            </w:r>
          </w:p>
        </w:tc>
        <w:tc>
          <w:tcPr>
            <w:tcW w:w="2726" w:type="pct"/>
            <w:shd w:val="clear" w:color="auto" w:fill="auto"/>
            <w:vAlign w:val="center"/>
          </w:tcPr>
          <w:p w14:paraId="241030D1" w14:textId="433283FE" w:rsidR="004313D9" w:rsidRPr="007A57C4" w:rsidRDefault="0001145D" w:rsidP="004313D9">
            <w:pPr>
              <w:ind w:right="540"/>
              <w:contextualSpacing/>
              <w:rPr>
                <w:rFonts w:ascii="Garamond" w:hAnsi="Garamond" w:cstheme="minorHAnsi"/>
              </w:rPr>
            </w:pPr>
            <w:r w:rsidRPr="0001145D">
              <w:rPr>
                <w:rFonts w:ascii="Garamond" w:hAnsi="Garamond" w:cstheme="minorHAnsi"/>
              </w:rPr>
              <w:t>$7,500,000.00</w:t>
            </w:r>
          </w:p>
        </w:tc>
      </w:tr>
      <w:tr w:rsidR="004313D9" w:rsidRPr="007B6BF9" w14:paraId="375F89F8" w14:textId="77777777" w:rsidTr="004313D9">
        <w:trPr>
          <w:trHeight w:val="300"/>
        </w:trPr>
        <w:tc>
          <w:tcPr>
            <w:tcW w:w="2274" w:type="pct"/>
            <w:shd w:val="clear" w:color="auto" w:fill="auto"/>
            <w:vAlign w:val="center"/>
          </w:tcPr>
          <w:p w14:paraId="179EBADA" w14:textId="77777777" w:rsidR="004313D9" w:rsidRPr="007A57C4" w:rsidRDefault="004313D9" w:rsidP="004313D9">
            <w:pPr>
              <w:ind w:right="540"/>
              <w:contextualSpacing/>
              <w:rPr>
                <w:rFonts w:ascii="Garamond" w:hAnsi="Garamond" w:cstheme="minorHAnsi"/>
              </w:rPr>
            </w:pPr>
            <w:r w:rsidRPr="007A57C4">
              <w:rPr>
                <w:rFonts w:ascii="Garamond" w:hAnsi="Garamond" w:cstheme="minorHAnsi"/>
              </w:rPr>
              <w:t>Project Number</w:t>
            </w:r>
          </w:p>
        </w:tc>
        <w:tc>
          <w:tcPr>
            <w:tcW w:w="2726" w:type="pct"/>
            <w:shd w:val="clear" w:color="auto" w:fill="auto"/>
            <w:vAlign w:val="center"/>
          </w:tcPr>
          <w:p w14:paraId="3F72EF9F" w14:textId="7ED0FFD0" w:rsidR="004313D9" w:rsidRPr="007A57C4" w:rsidRDefault="0001145D" w:rsidP="004313D9">
            <w:pPr>
              <w:ind w:right="540"/>
              <w:contextualSpacing/>
              <w:rPr>
                <w:rFonts w:ascii="Garamond" w:hAnsi="Garamond" w:cstheme="minorHAnsi"/>
              </w:rPr>
            </w:pPr>
            <w:r w:rsidRPr="0001145D">
              <w:rPr>
                <w:rFonts w:ascii="Garamond" w:hAnsi="Garamond" w:cstheme="minorHAnsi"/>
              </w:rPr>
              <w:t>PAM-21111018-TO</w:t>
            </w:r>
          </w:p>
        </w:tc>
      </w:tr>
      <w:tr w:rsidR="004313D9" w:rsidRPr="007B6BF9" w14:paraId="5AB437F4" w14:textId="77777777" w:rsidTr="004313D9">
        <w:trPr>
          <w:trHeight w:val="300"/>
        </w:trPr>
        <w:tc>
          <w:tcPr>
            <w:tcW w:w="2274" w:type="pct"/>
            <w:shd w:val="clear" w:color="auto" w:fill="auto"/>
            <w:vAlign w:val="center"/>
          </w:tcPr>
          <w:p w14:paraId="673CB573" w14:textId="77777777" w:rsidR="004313D9" w:rsidRPr="007A57C4" w:rsidRDefault="004313D9" w:rsidP="004313D9">
            <w:pPr>
              <w:ind w:right="540"/>
              <w:contextualSpacing/>
              <w:rPr>
                <w:rFonts w:ascii="Garamond" w:hAnsi="Garamond" w:cstheme="minorHAnsi"/>
              </w:rPr>
            </w:pPr>
            <w:r w:rsidRPr="007A57C4">
              <w:rPr>
                <w:rFonts w:ascii="Garamond" w:hAnsi="Garamond" w:cstheme="minorHAnsi"/>
              </w:rPr>
              <w:t>Ten Taxpayer Groups (TTG)</w:t>
            </w:r>
          </w:p>
        </w:tc>
        <w:tc>
          <w:tcPr>
            <w:tcW w:w="2726" w:type="pct"/>
            <w:shd w:val="clear" w:color="auto" w:fill="auto"/>
            <w:vAlign w:val="center"/>
          </w:tcPr>
          <w:p w14:paraId="1F09EC20" w14:textId="1207C824" w:rsidR="004313D9" w:rsidRPr="007A57C4" w:rsidRDefault="004313D9" w:rsidP="004313D9">
            <w:pPr>
              <w:ind w:right="540"/>
              <w:contextualSpacing/>
              <w:rPr>
                <w:rFonts w:ascii="Garamond" w:hAnsi="Garamond" w:cstheme="minorHAnsi"/>
              </w:rPr>
            </w:pPr>
            <w:r>
              <w:rPr>
                <w:rFonts w:ascii="Garamond" w:hAnsi="Garamond" w:cstheme="minorHAnsi"/>
              </w:rPr>
              <w:t>No</w:t>
            </w:r>
          </w:p>
        </w:tc>
      </w:tr>
      <w:tr w:rsidR="004313D9" w:rsidRPr="007B6BF9" w14:paraId="4DC78A97" w14:textId="77777777" w:rsidTr="004313D9">
        <w:trPr>
          <w:trHeight w:val="300"/>
        </w:trPr>
        <w:tc>
          <w:tcPr>
            <w:tcW w:w="2274" w:type="pct"/>
            <w:shd w:val="clear" w:color="auto" w:fill="auto"/>
            <w:vAlign w:val="center"/>
          </w:tcPr>
          <w:p w14:paraId="4ED36B8C" w14:textId="77777777" w:rsidR="004313D9" w:rsidRPr="007A57C4" w:rsidRDefault="004313D9" w:rsidP="004313D9">
            <w:pPr>
              <w:ind w:right="540"/>
              <w:contextualSpacing/>
              <w:rPr>
                <w:rFonts w:ascii="Garamond" w:hAnsi="Garamond" w:cstheme="minorHAnsi"/>
              </w:rPr>
            </w:pPr>
            <w:r w:rsidRPr="007A57C4">
              <w:rPr>
                <w:rFonts w:ascii="Garamond" w:hAnsi="Garamond" w:cstheme="minorHAnsi"/>
              </w:rPr>
              <w:t>Community Health Initiative (CHI)</w:t>
            </w:r>
            <w:r w:rsidRPr="007A57C4" w:rsidDel="00FB532E">
              <w:rPr>
                <w:rFonts w:ascii="Garamond" w:hAnsi="Garamond" w:cstheme="minorHAnsi"/>
              </w:rPr>
              <w:t xml:space="preserve"> </w:t>
            </w:r>
          </w:p>
        </w:tc>
        <w:tc>
          <w:tcPr>
            <w:tcW w:w="2726" w:type="pct"/>
            <w:shd w:val="clear" w:color="auto" w:fill="auto"/>
            <w:vAlign w:val="center"/>
          </w:tcPr>
          <w:p w14:paraId="1FD1C6E2" w14:textId="7DF5F2A4" w:rsidR="004313D9" w:rsidRPr="007A57C4" w:rsidRDefault="00423590" w:rsidP="004313D9">
            <w:pPr>
              <w:ind w:right="540"/>
              <w:contextualSpacing/>
              <w:rPr>
                <w:rFonts w:ascii="Garamond" w:hAnsi="Garamond" w:cstheme="minorHAnsi"/>
              </w:rPr>
            </w:pPr>
            <w:r>
              <w:rPr>
                <w:rFonts w:ascii="Garamond" w:hAnsi="Garamond" w:cstheme="minorHAnsi"/>
              </w:rPr>
              <w:t>Exempt from Factor 6</w:t>
            </w:r>
          </w:p>
        </w:tc>
      </w:tr>
      <w:tr w:rsidR="004313D9" w:rsidRPr="007B6BF9" w14:paraId="328C674C" w14:textId="77777777" w:rsidTr="004313D9">
        <w:trPr>
          <w:trHeight w:val="300"/>
        </w:trPr>
        <w:tc>
          <w:tcPr>
            <w:tcW w:w="2274" w:type="pct"/>
            <w:shd w:val="clear" w:color="auto" w:fill="auto"/>
            <w:vAlign w:val="center"/>
          </w:tcPr>
          <w:p w14:paraId="7B1CAF6C" w14:textId="77777777" w:rsidR="004313D9" w:rsidRPr="007A57C4" w:rsidRDefault="004313D9" w:rsidP="004313D9">
            <w:pPr>
              <w:ind w:right="540"/>
              <w:contextualSpacing/>
              <w:rPr>
                <w:rFonts w:ascii="Garamond" w:hAnsi="Garamond" w:cstheme="minorHAnsi"/>
              </w:rPr>
            </w:pPr>
            <w:r w:rsidRPr="007A57C4">
              <w:rPr>
                <w:rFonts w:ascii="Garamond" w:hAnsi="Garamond" w:cstheme="minorHAnsi"/>
              </w:rPr>
              <w:t>Staff Recommendation</w:t>
            </w:r>
          </w:p>
        </w:tc>
        <w:tc>
          <w:tcPr>
            <w:tcW w:w="2726" w:type="pct"/>
            <w:shd w:val="clear" w:color="auto" w:fill="auto"/>
            <w:vAlign w:val="center"/>
          </w:tcPr>
          <w:p w14:paraId="1682CA02" w14:textId="5ECAF25C" w:rsidR="004313D9" w:rsidRPr="007A57C4" w:rsidRDefault="00414E8A" w:rsidP="004313D9">
            <w:pPr>
              <w:ind w:right="540"/>
              <w:contextualSpacing/>
              <w:rPr>
                <w:rFonts w:ascii="Garamond" w:hAnsi="Garamond" w:cstheme="minorHAnsi"/>
              </w:rPr>
            </w:pPr>
            <w:r w:rsidRPr="006108A7">
              <w:rPr>
                <w:rFonts w:ascii="Garamond" w:hAnsi="Garamond" w:cstheme="minorHAnsi"/>
              </w:rPr>
              <w:t>Approval with Conditions</w:t>
            </w:r>
          </w:p>
        </w:tc>
      </w:tr>
      <w:tr w:rsidR="004313D9" w:rsidRPr="007B6BF9" w14:paraId="40C51467" w14:textId="77777777" w:rsidTr="004313D9">
        <w:trPr>
          <w:trHeight w:val="300"/>
        </w:trPr>
        <w:tc>
          <w:tcPr>
            <w:tcW w:w="2274" w:type="pct"/>
            <w:shd w:val="clear" w:color="auto" w:fill="auto"/>
            <w:vAlign w:val="center"/>
          </w:tcPr>
          <w:p w14:paraId="4F63ADC5" w14:textId="50D08DEE" w:rsidR="004313D9" w:rsidRPr="007A57C4" w:rsidRDefault="00C40991" w:rsidP="004313D9">
            <w:pPr>
              <w:ind w:right="540"/>
              <w:contextualSpacing/>
              <w:rPr>
                <w:rFonts w:ascii="Garamond" w:hAnsi="Garamond" w:cstheme="minorHAnsi"/>
              </w:rPr>
            </w:pPr>
            <w:r>
              <w:rPr>
                <w:rFonts w:ascii="Garamond" w:hAnsi="Garamond" w:cstheme="minorHAnsi"/>
              </w:rPr>
              <w:t>Public Health Council</w:t>
            </w:r>
          </w:p>
        </w:tc>
        <w:tc>
          <w:tcPr>
            <w:tcW w:w="2726" w:type="pct"/>
            <w:shd w:val="clear" w:color="auto" w:fill="auto"/>
            <w:vAlign w:val="center"/>
          </w:tcPr>
          <w:p w14:paraId="3E0E2C44" w14:textId="3B53A15B" w:rsidR="004313D9" w:rsidRPr="007A57C4" w:rsidRDefault="00E44D3E" w:rsidP="004313D9">
            <w:pPr>
              <w:ind w:right="540"/>
              <w:contextualSpacing/>
              <w:rPr>
                <w:rFonts w:ascii="Garamond" w:hAnsi="Garamond" w:cstheme="minorHAnsi"/>
              </w:rPr>
            </w:pPr>
            <w:r>
              <w:rPr>
                <w:rFonts w:ascii="Garamond" w:hAnsi="Garamond" w:cstheme="minorHAnsi"/>
              </w:rPr>
              <w:t xml:space="preserve">February </w:t>
            </w:r>
            <w:r w:rsidR="00CA755D">
              <w:rPr>
                <w:rFonts w:ascii="Garamond" w:hAnsi="Garamond" w:cstheme="minorHAnsi"/>
              </w:rPr>
              <w:t>9</w:t>
            </w:r>
            <w:r>
              <w:rPr>
                <w:rFonts w:ascii="Garamond" w:hAnsi="Garamond" w:cstheme="minorHAnsi"/>
              </w:rPr>
              <w:t>, 202</w:t>
            </w:r>
            <w:r w:rsidR="00CA755D">
              <w:rPr>
                <w:rFonts w:ascii="Garamond" w:hAnsi="Garamond" w:cstheme="minorHAnsi"/>
              </w:rPr>
              <w:t>2</w:t>
            </w:r>
          </w:p>
        </w:tc>
      </w:tr>
      <w:tr w:rsidR="004313D9" w:rsidRPr="007B6BF9" w14:paraId="1EDDE24A" w14:textId="77777777" w:rsidTr="00C057B0">
        <w:tblPrEx>
          <w:tblLook w:val="0000" w:firstRow="0" w:lastRow="0" w:firstColumn="0" w:lastColumn="0" w:noHBand="0" w:noVBand="0"/>
        </w:tblPrEx>
        <w:trPr>
          <w:trHeight w:val="3509"/>
        </w:trPr>
        <w:tc>
          <w:tcPr>
            <w:tcW w:w="5000" w:type="pct"/>
            <w:gridSpan w:val="2"/>
          </w:tcPr>
          <w:p w14:paraId="51D9E9D3" w14:textId="77777777" w:rsidR="004313D9" w:rsidRPr="007B6BF9" w:rsidRDefault="004313D9" w:rsidP="004313D9">
            <w:pPr>
              <w:spacing w:after="200"/>
              <w:ind w:left="108"/>
              <w:jc w:val="center"/>
              <w:rPr>
                <w:rFonts w:ascii="Garamond" w:eastAsia="Calibri" w:hAnsi="Garamond"/>
                <w:b/>
              </w:rPr>
            </w:pPr>
            <w:r w:rsidRPr="007B6BF9">
              <w:rPr>
                <w:rFonts w:ascii="Garamond" w:eastAsia="Calibri" w:hAnsi="Garamond"/>
                <w:b/>
                <w:u w:val="single"/>
              </w:rPr>
              <w:t>Project Summary and Regulatory Review</w:t>
            </w:r>
          </w:p>
          <w:p w14:paraId="23510B6D" w14:textId="10876A33" w:rsidR="006C65F0" w:rsidRPr="007265F0" w:rsidRDefault="006C65F0" w:rsidP="006C65F0">
            <w:pPr>
              <w:ind w:left="108"/>
              <w:rPr>
                <w:rFonts w:ascii="Garamond" w:eastAsia="Calibri" w:hAnsi="Garamond"/>
              </w:rPr>
            </w:pPr>
            <w:r w:rsidRPr="007265F0">
              <w:rPr>
                <w:rFonts w:ascii="Garamond" w:eastAsia="Calibri" w:hAnsi="Garamond"/>
              </w:rPr>
              <w:t>PAM Cubed, LLC</w:t>
            </w:r>
            <w:r w:rsidR="00DF576B" w:rsidRPr="007265F0">
              <w:rPr>
                <w:rFonts w:ascii="Garamond" w:eastAsia="Calibri" w:hAnsi="Garamond"/>
              </w:rPr>
              <w:t xml:space="preserve"> </w:t>
            </w:r>
            <w:r w:rsidR="00DF576B" w:rsidRPr="007265F0">
              <w:rPr>
                <w:rFonts w:ascii="Garamond" w:hAnsi="Garamond"/>
              </w:rPr>
              <w:t>and its subsidiaries (“PAM”)</w:t>
            </w:r>
            <w:r w:rsidRPr="007265F0">
              <w:rPr>
                <w:rFonts w:ascii="Garamond" w:eastAsia="Calibri" w:hAnsi="Garamond"/>
              </w:rPr>
              <w:t xml:space="preserve">, the Applicant, proposes to become the owner of Curahealth Stoughton, LLC, a long-term acute care hospital (LTCH) located in Stoughton, Massachusetts (the Hospital). </w:t>
            </w:r>
            <w:r w:rsidR="00DF576B" w:rsidRPr="007265F0">
              <w:rPr>
                <w:rFonts w:ascii="Garamond" w:eastAsia="Calibri" w:hAnsi="Garamond"/>
              </w:rPr>
              <w:t xml:space="preserve">In an agreement between PAM and </w:t>
            </w:r>
            <w:r w:rsidR="00DF576B" w:rsidRPr="007265F0">
              <w:rPr>
                <w:rFonts w:ascii="Garamond" w:hAnsi="Garamond"/>
              </w:rPr>
              <w:t xml:space="preserve">Nautic Partners VII-A, L.P. and its subsidiaries, which include the Applicant and the Hospital, (collectively, the “Seller”), </w:t>
            </w:r>
            <w:r w:rsidRPr="007265F0">
              <w:rPr>
                <w:rFonts w:ascii="Garamond" w:eastAsia="Calibri" w:hAnsi="Garamond"/>
              </w:rPr>
              <w:t>PAM will acquire 100% of the equity in the Applicant. Thereafter, the Hospital will be an indirect subsidiary of PAM. PAM and its affiliated entities are part of a national network that owns and operates LTCHs throughout the United States (</w:t>
            </w:r>
            <w:r w:rsidR="000B6696" w:rsidRPr="007265F0">
              <w:rPr>
                <w:rFonts w:ascii="Garamond" w:eastAsia="Calibri" w:hAnsi="Garamond"/>
              </w:rPr>
              <w:t xml:space="preserve">collectively, </w:t>
            </w:r>
            <w:r w:rsidRPr="007265F0">
              <w:rPr>
                <w:rFonts w:ascii="Garamond" w:eastAsia="Calibri" w:hAnsi="Garamond"/>
              </w:rPr>
              <w:t xml:space="preserve">PAM Health). </w:t>
            </w:r>
          </w:p>
          <w:p w14:paraId="7730272A" w14:textId="77777777" w:rsidR="006C65F0" w:rsidRPr="006C65F0" w:rsidRDefault="006C65F0" w:rsidP="006C65F0">
            <w:pPr>
              <w:ind w:left="108"/>
              <w:rPr>
                <w:rFonts w:ascii="Garamond" w:eastAsia="Calibri" w:hAnsi="Garamond"/>
              </w:rPr>
            </w:pPr>
          </w:p>
          <w:p w14:paraId="7B3AB53A" w14:textId="50AF4BFF" w:rsidR="00423590" w:rsidRPr="00423590" w:rsidRDefault="00423590" w:rsidP="00423590">
            <w:pPr>
              <w:ind w:left="108"/>
              <w:rPr>
                <w:rFonts w:ascii="Garamond" w:eastAsia="Calibri" w:hAnsi="Garamond"/>
              </w:rPr>
            </w:pPr>
            <w:r w:rsidRPr="00423590">
              <w:rPr>
                <w:rFonts w:ascii="Garamond" w:eastAsia="Calibri" w:hAnsi="Garamond"/>
              </w:rPr>
              <w:t xml:space="preserve">This Determination of Need (DoN) Application falls within the definition of Transfer of Ownership, which are reviewed under the DoN regulation 105 CMR 100.000. The Department must determine that need exists for a Proposed Project, on the basis of material in the record, where the Applicant makes a clear and convincing demonstration that the Proposed Project meets each </w:t>
            </w:r>
            <w:r w:rsidR="000F3DAD">
              <w:rPr>
                <w:rFonts w:ascii="Garamond" w:eastAsia="Calibri" w:hAnsi="Garamond"/>
              </w:rPr>
              <w:t xml:space="preserve">applicable </w:t>
            </w:r>
            <w:r w:rsidRPr="00423590">
              <w:rPr>
                <w:rFonts w:ascii="Garamond" w:eastAsia="Calibri" w:hAnsi="Garamond"/>
              </w:rPr>
              <w:t>DoN Factor set forth within 105 CMR 100.210. A DoN Application for a Transfer of Ownership is subject to factors 1, 2, 3, and 4 of the DoN regulation. This staff report addresses each of the four factors set forth in the regulation.</w:t>
            </w:r>
          </w:p>
          <w:p w14:paraId="0B509288" w14:textId="77777777" w:rsidR="006C65F0" w:rsidRDefault="006C65F0" w:rsidP="006C65F0">
            <w:pPr>
              <w:ind w:left="115"/>
              <w:rPr>
                <w:rFonts w:ascii="Garamond" w:eastAsia="Calibri" w:hAnsi="Garamond"/>
                <w:highlight w:val="yellow"/>
              </w:rPr>
            </w:pPr>
          </w:p>
          <w:p w14:paraId="13F45141" w14:textId="4F5BAEDF" w:rsidR="004313D9" w:rsidRPr="007A57C4" w:rsidRDefault="00423590" w:rsidP="00423590">
            <w:pPr>
              <w:spacing w:after="200"/>
              <w:ind w:left="108"/>
              <w:rPr>
                <w:rFonts w:ascii="Garamond" w:eastAsia="Calibri" w:hAnsi="Garamond"/>
              </w:rPr>
            </w:pPr>
            <w:r w:rsidRPr="00AD07C9">
              <w:rPr>
                <w:rFonts w:ascii="Garamond" w:eastAsia="Calibri" w:hAnsi="Garamond"/>
              </w:rPr>
              <w:t>The Department did not receive any written comments on this application nor were any Ten Taxpayer Groups formed.</w:t>
            </w:r>
          </w:p>
        </w:tc>
      </w:tr>
    </w:tbl>
    <w:bookmarkStart w:id="0" w:name="_Toc18922391" w:displacedByCustomXml="next"/>
    <w:sdt>
      <w:sdtPr>
        <w:rPr>
          <w:rFonts w:ascii="Garamond" w:eastAsiaTheme="minorHAnsi" w:hAnsi="Garamond" w:cstheme="minorBidi"/>
          <w:color w:val="auto"/>
          <w:sz w:val="24"/>
          <w:szCs w:val="24"/>
        </w:rPr>
        <w:id w:val="1525591903"/>
        <w:docPartObj>
          <w:docPartGallery w:val="Table of Contents"/>
          <w:docPartUnique/>
        </w:docPartObj>
      </w:sdtPr>
      <w:sdtEndPr>
        <w:rPr>
          <w:rFonts w:eastAsia="Times New Roman" w:cs="Times New Roman"/>
          <w:b/>
          <w:bCs/>
          <w:noProof/>
        </w:rPr>
      </w:sdtEndPr>
      <w:sdtContent>
        <w:p w14:paraId="387E96CB" w14:textId="77777777" w:rsidR="001F6A09" w:rsidRDefault="001F6A09" w:rsidP="007A57C4">
          <w:pPr>
            <w:pStyle w:val="TOCHeading"/>
            <w:spacing w:line="240" w:lineRule="auto"/>
            <w:ind w:right="90"/>
            <w:rPr>
              <w:rFonts w:ascii="Garamond" w:eastAsiaTheme="minorHAnsi" w:hAnsi="Garamond" w:cstheme="minorBidi"/>
              <w:color w:val="auto"/>
              <w:sz w:val="24"/>
              <w:szCs w:val="24"/>
            </w:rPr>
          </w:pPr>
        </w:p>
        <w:p w14:paraId="2188942A" w14:textId="77777777" w:rsidR="001F6A09" w:rsidRDefault="001F6A09">
          <w:pPr>
            <w:spacing w:after="200" w:line="276" w:lineRule="auto"/>
            <w:rPr>
              <w:rFonts w:ascii="Garamond" w:eastAsiaTheme="minorHAnsi" w:hAnsi="Garamond" w:cstheme="minorBidi"/>
            </w:rPr>
          </w:pPr>
          <w:r>
            <w:rPr>
              <w:rFonts w:ascii="Garamond" w:eastAsiaTheme="minorHAnsi" w:hAnsi="Garamond" w:cstheme="minorBidi"/>
            </w:rPr>
            <w:br w:type="page"/>
          </w:r>
        </w:p>
        <w:p w14:paraId="166D7125" w14:textId="6B6BCC46" w:rsidR="00E8532F" w:rsidRPr="00164176" w:rsidRDefault="00E8532F" w:rsidP="007A57C4">
          <w:pPr>
            <w:pStyle w:val="TOCHeading"/>
            <w:spacing w:line="240" w:lineRule="auto"/>
            <w:ind w:right="90"/>
            <w:rPr>
              <w:rFonts w:ascii="Garamond" w:hAnsi="Garamond"/>
              <w:sz w:val="28"/>
              <w:szCs w:val="28"/>
            </w:rPr>
          </w:pPr>
          <w:r w:rsidRPr="00164176">
            <w:rPr>
              <w:rFonts w:ascii="Garamond" w:hAnsi="Garamond"/>
              <w:sz w:val="28"/>
              <w:szCs w:val="28"/>
            </w:rPr>
            <w:lastRenderedPageBreak/>
            <w:t>Table of Contents</w:t>
          </w:r>
          <w:r w:rsidR="00B5536D">
            <w:rPr>
              <w:rFonts w:ascii="Garamond" w:hAnsi="Garamond"/>
              <w:sz w:val="28"/>
              <w:szCs w:val="28"/>
            </w:rPr>
            <w:t xml:space="preserve"> </w:t>
          </w:r>
        </w:p>
        <w:p w14:paraId="62B45D99" w14:textId="49B429BD" w:rsidR="006C65F0" w:rsidRDefault="00E8532F" w:rsidP="006C65F0">
          <w:pPr>
            <w:pStyle w:val="TOC1"/>
            <w:rPr>
              <w:rFonts w:asciiTheme="minorHAnsi" w:eastAsiaTheme="minorEastAsia" w:hAnsiTheme="minorHAnsi" w:cstheme="minorBidi"/>
              <w:sz w:val="24"/>
              <w:szCs w:val="24"/>
            </w:rPr>
          </w:pPr>
          <w:r w:rsidRPr="00913467">
            <w:rPr>
              <w:rFonts w:eastAsia="Times New Roman" w:cs="Times New Roman"/>
              <w:noProof w:val="0"/>
              <w:sz w:val="24"/>
              <w:szCs w:val="24"/>
            </w:rPr>
            <w:fldChar w:fldCharType="begin"/>
          </w:r>
          <w:r w:rsidRPr="00913467">
            <w:rPr>
              <w:sz w:val="24"/>
              <w:szCs w:val="24"/>
            </w:rPr>
            <w:instrText xml:space="preserve"> TOC \o "1-3" \h \z \u </w:instrText>
          </w:r>
          <w:r w:rsidRPr="00913467">
            <w:rPr>
              <w:rFonts w:eastAsia="Times New Roman" w:cs="Times New Roman"/>
              <w:noProof w:val="0"/>
              <w:sz w:val="24"/>
              <w:szCs w:val="24"/>
            </w:rPr>
            <w:fldChar w:fldCharType="separate"/>
          </w:r>
          <w:hyperlink w:anchor="_Toc88515720" w:history="1">
            <w:r w:rsidR="006C65F0" w:rsidRPr="007D0D60">
              <w:rPr>
                <w:rStyle w:val="Hyperlink"/>
              </w:rPr>
              <w:t>Background: PAM Cubed, LLC and Application Overview</w:t>
            </w:r>
            <w:r w:rsidR="006C65F0">
              <w:rPr>
                <w:webHidden/>
              </w:rPr>
              <w:tab/>
            </w:r>
            <w:r w:rsidR="006C65F0">
              <w:rPr>
                <w:webHidden/>
              </w:rPr>
              <w:fldChar w:fldCharType="begin"/>
            </w:r>
            <w:r w:rsidR="006C65F0">
              <w:rPr>
                <w:webHidden/>
              </w:rPr>
              <w:instrText xml:space="preserve"> PAGEREF _Toc88515720 \h </w:instrText>
            </w:r>
            <w:r w:rsidR="006C65F0">
              <w:rPr>
                <w:webHidden/>
              </w:rPr>
            </w:r>
            <w:r w:rsidR="006C65F0">
              <w:rPr>
                <w:webHidden/>
              </w:rPr>
              <w:fldChar w:fldCharType="separate"/>
            </w:r>
            <w:r w:rsidR="0002143F">
              <w:rPr>
                <w:webHidden/>
              </w:rPr>
              <w:t>3</w:t>
            </w:r>
            <w:r w:rsidR="006C65F0">
              <w:rPr>
                <w:webHidden/>
              </w:rPr>
              <w:fldChar w:fldCharType="end"/>
            </w:r>
          </w:hyperlink>
        </w:p>
        <w:p w14:paraId="3C779B83" w14:textId="53F47FEE" w:rsidR="006C65F0" w:rsidRDefault="00D20530" w:rsidP="006C65F0">
          <w:pPr>
            <w:pStyle w:val="TOC1"/>
            <w:rPr>
              <w:rFonts w:asciiTheme="minorHAnsi" w:eastAsiaTheme="minorEastAsia" w:hAnsiTheme="minorHAnsi" w:cstheme="minorBidi"/>
              <w:sz w:val="24"/>
              <w:szCs w:val="24"/>
            </w:rPr>
          </w:pPr>
          <w:hyperlink w:anchor="_Toc88515721" w:history="1">
            <w:r w:rsidR="006C65F0" w:rsidRPr="007D0D60">
              <w:rPr>
                <w:rStyle w:val="Hyperlink"/>
              </w:rPr>
              <w:t>Patient Panel</w:t>
            </w:r>
            <w:r w:rsidR="006C65F0">
              <w:rPr>
                <w:webHidden/>
              </w:rPr>
              <w:tab/>
            </w:r>
            <w:r w:rsidR="006C65F0">
              <w:rPr>
                <w:webHidden/>
              </w:rPr>
              <w:fldChar w:fldCharType="begin"/>
            </w:r>
            <w:r w:rsidR="006C65F0">
              <w:rPr>
                <w:webHidden/>
              </w:rPr>
              <w:instrText xml:space="preserve"> PAGEREF _Toc88515721 \h </w:instrText>
            </w:r>
            <w:r w:rsidR="006C65F0">
              <w:rPr>
                <w:webHidden/>
              </w:rPr>
            </w:r>
            <w:r w:rsidR="006C65F0">
              <w:rPr>
                <w:webHidden/>
              </w:rPr>
              <w:fldChar w:fldCharType="separate"/>
            </w:r>
            <w:r w:rsidR="0002143F">
              <w:rPr>
                <w:webHidden/>
              </w:rPr>
              <w:t>5</w:t>
            </w:r>
            <w:r w:rsidR="006C65F0">
              <w:rPr>
                <w:webHidden/>
              </w:rPr>
              <w:fldChar w:fldCharType="end"/>
            </w:r>
          </w:hyperlink>
        </w:p>
        <w:p w14:paraId="5395BDC4" w14:textId="4D87C01B" w:rsidR="006C65F0" w:rsidRDefault="00D20530" w:rsidP="006C65F0">
          <w:pPr>
            <w:pStyle w:val="TOC1"/>
            <w:rPr>
              <w:rFonts w:asciiTheme="minorHAnsi" w:eastAsiaTheme="minorEastAsia" w:hAnsiTheme="minorHAnsi" w:cstheme="minorBidi"/>
              <w:sz w:val="24"/>
              <w:szCs w:val="24"/>
            </w:rPr>
          </w:pPr>
          <w:hyperlink w:anchor="_Toc88515722" w:history="1">
            <w:r w:rsidR="006C65F0" w:rsidRPr="007D0D60">
              <w:rPr>
                <w:rStyle w:val="Hyperlink"/>
                <w:rFonts w:eastAsia="Calibri"/>
              </w:rPr>
              <w:t>Factor 1a: Patient Panel Need</w:t>
            </w:r>
            <w:r w:rsidR="006C65F0">
              <w:rPr>
                <w:webHidden/>
              </w:rPr>
              <w:tab/>
            </w:r>
            <w:r w:rsidR="006C65F0">
              <w:rPr>
                <w:webHidden/>
              </w:rPr>
              <w:fldChar w:fldCharType="begin"/>
            </w:r>
            <w:r w:rsidR="006C65F0">
              <w:rPr>
                <w:webHidden/>
              </w:rPr>
              <w:instrText xml:space="preserve"> PAGEREF _Toc88515722 \h </w:instrText>
            </w:r>
            <w:r w:rsidR="006C65F0">
              <w:rPr>
                <w:webHidden/>
              </w:rPr>
            </w:r>
            <w:r w:rsidR="006C65F0">
              <w:rPr>
                <w:webHidden/>
              </w:rPr>
              <w:fldChar w:fldCharType="separate"/>
            </w:r>
            <w:r w:rsidR="0002143F">
              <w:rPr>
                <w:webHidden/>
              </w:rPr>
              <w:t>6</w:t>
            </w:r>
            <w:r w:rsidR="006C65F0">
              <w:rPr>
                <w:webHidden/>
              </w:rPr>
              <w:fldChar w:fldCharType="end"/>
            </w:r>
          </w:hyperlink>
        </w:p>
        <w:p w14:paraId="329DE57D" w14:textId="644C76FE" w:rsidR="006C65F0" w:rsidRDefault="00D20530" w:rsidP="006C65F0">
          <w:pPr>
            <w:pStyle w:val="TOC1"/>
            <w:rPr>
              <w:rFonts w:asciiTheme="minorHAnsi" w:eastAsiaTheme="minorEastAsia" w:hAnsiTheme="minorHAnsi" w:cstheme="minorBidi"/>
              <w:sz w:val="24"/>
              <w:szCs w:val="24"/>
            </w:rPr>
          </w:pPr>
          <w:hyperlink w:anchor="_Toc88515723" w:history="1">
            <w:r w:rsidR="006C65F0" w:rsidRPr="007D0D60">
              <w:rPr>
                <w:rStyle w:val="Hyperlink"/>
              </w:rPr>
              <w:t>Factor 1: b) Public health value, improved health outcomes and quality of life; assurances of health equity</w:t>
            </w:r>
            <w:r w:rsidR="006C65F0">
              <w:rPr>
                <w:webHidden/>
              </w:rPr>
              <w:tab/>
            </w:r>
            <w:r w:rsidR="006C65F0">
              <w:rPr>
                <w:webHidden/>
              </w:rPr>
              <w:fldChar w:fldCharType="begin"/>
            </w:r>
            <w:r w:rsidR="006C65F0">
              <w:rPr>
                <w:webHidden/>
              </w:rPr>
              <w:instrText xml:space="preserve"> PAGEREF _Toc88515723 \h </w:instrText>
            </w:r>
            <w:r w:rsidR="006C65F0">
              <w:rPr>
                <w:webHidden/>
              </w:rPr>
            </w:r>
            <w:r w:rsidR="006C65F0">
              <w:rPr>
                <w:webHidden/>
              </w:rPr>
              <w:fldChar w:fldCharType="separate"/>
            </w:r>
            <w:r w:rsidR="0002143F">
              <w:rPr>
                <w:webHidden/>
              </w:rPr>
              <w:t>7</w:t>
            </w:r>
            <w:r w:rsidR="006C65F0">
              <w:rPr>
                <w:webHidden/>
              </w:rPr>
              <w:fldChar w:fldCharType="end"/>
            </w:r>
          </w:hyperlink>
        </w:p>
        <w:p w14:paraId="6E79CBB7" w14:textId="5A197782" w:rsidR="006C65F0" w:rsidRDefault="00D20530" w:rsidP="006C65F0">
          <w:pPr>
            <w:pStyle w:val="TOC1"/>
            <w:rPr>
              <w:rFonts w:asciiTheme="minorHAnsi" w:eastAsiaTheme="minorEastAsia" w:hAnsiTheme="minorHAnsi" w:cstheme="minorBidi"/>
              <w:sz w:val="24"/>
              <w:szCs w:val="24"/>
            </w:rPr>
          </w:pPr>
          <w:hyperlink w:anchor="_Toc88515724" w:history="1">
            <w:r w:rsidR="006C65F0" w:rsidRPr="007D0D60">
              <w:rPr>
                <w:rStyle w:val="Hyperlink"/>
              </w:rPr>
              <w:t>Factor 1: c) Efficiency, Continuity of Care, Coordination of Care</w:t>
            </w:r>
            <w:r w:rsidR="006C65F0">
              <w:rPr>
                <w:webHidden/>
              </w:rPr>
              <w:tab/>
            </w:r>
            <w:r w:rsidR="006C65F0">
              <w:rPr>
                <w:webHidden/>
              </w:rPr>
              <w:fldChar w:fldCharType="begin"/>
            </w:r>
            <w:r w:rsidR="006C65F0">
              <w:rPr>
                <w:webHidden/>
              </w:rPr>
              <w:instrText xml:space="preserve"> PAGEREF _Toc88515724 \h </w:instrText>
            </w:r>
            <w:r w:rsidR="006C65F0">
              <w:rPr>
                <w:webHidden/>
              </w:rPr>
            </w:r>
            <w:r w:rsidR="006C65F0">
              <w:rPr>
                <w:webHidden/>
              </w:rPr>
              <w:fldChar w:fldCharType="separate"/>
            </w:r>
            <w:r w:rsidR="0002143F">
              <w:rPr>
                <w:webHidden/>
              </w:rPr>
              <w:t>9</w:t>
            </w:r>
            <w:r w:rsidR="006C65F0">
              <w:rPr>
                <w:webHidden/>
              </w:rPr>
              <w:fldChar w:fldCharType="end"/>
            </w:r>
          </w:hyperlink>
        </w:p>
        <w:p w14:paraId="51892D7B" w14:textId="2361407B" w:rsidR="006C65F0" w:rsidRDefault="00D20530" w:rsidP="006C65F0">
          <w:pPr>
            <w:pStyle w:val="TOC1"/>
            <w:rPr>
              <w:rFonts w:asciiTheme="minorHAnsi" w:eastAsiaTheme="minorEastAsia" w:hAnsiTheme="minorHAnsi" w:cstheme="minorBidi"/>
              <w:sz w:val="24"/>
              <w:szCs w:val="24"/>
            </w:rPr>
          </w:pPr>
          <w:hyperlink w:anchor="_Toc88515725" w:history="1">
            <w:r w:rsidR="006C65F0" w:rsidRPr="007D0D60">
              <w:rPr>
                <w:rStyle w:val="Hyperlink"/>
              </w:rPr>
              <w:t>Factor 1: d) Consultation</w:t>
            </w:r>
            <w:r w:rsidR="006C65F0">
              <w:rPr>
                <w:webHidden/>
              </w:rPr>
              <w:tab/>
            </w:r>
            <w:r w:rsidR="006C65F0">
              <w:rPr>
                <w:webHidden/>
              </w:rPr>
              <w:fldChar w:fldCharType="begin"/>
            </w:r>
            <w:r w:rsidR="006C65F0">
              <w:rPr>
                <w:webHidden/>
              </w:rPr>
              <w:instrText xml:space="preserve"> PAGEREF _Toc88515725 \h </w:instrText>
            </w:r>
            <w:r w:rsidR="006C65F0">
              <w:rPr>
                <w:webHidden/>
              </w:rPr>
            </w:r>
            <w:r w:rsidR="006C65F0">
              <w:rPr>
                <w:webHidden/>
              </w:rPr>
              <w:fldChar w:fldCharType="separate"/>
            </w:r>
            <w:r w:rsidR="0002143F">
              <w:rPr>
                <w:webHidden/>
              </w:rPr>
              <w:t>9</w:t>
            </w:r>
            <w:r w:rsidR="006C65F0">
              <w:rPr>
                <w:webHidden/>
              </w:rPr>
              <w:fldChar w:fldCharType="end"/>
            </w:r>
          </w:hyperlink>
        </w:p>
        <w:p w14:paraId="16A2A738" w14:textId="7E942D47" w:rsidR="006C65F0" w:rsidRDefault="00D20530" w:rsidP="006C65F0">
          <w:pPr>
            <w:pStyle w:val="TOC1"/>
            <w:rPr>
              <w:rFonts w:asciiTheme="minorHAnsi" w:eastAsiaTheme="minorEastAsia" w:hAnsiTheme="minorHAnsi" w:cstheme="minorBidi"/>
              <w:sz w:val="24"/>
              <w:szCs w:val="24"/>
            </w:rPr>
          </w:pPr>
          <w:hyperlink w:anchor="_Toc88515726" w:history="1">
            <w:r w:rsidR="006C65F0" w:rsidRPr="007D0D60">
              <w:rPr>
                <w:rStyle w:val="Hyperlink"/>
              </w:rPr>
              <w:t>Factor 1: e) Evidence of Sound Community Engagement through the Patient Panel</w:t>
            </w:r>
            <w:r w:rsidR="006C65F0">
              <w:rPr>
                <w:webHidden/>
              </w:rPr>
              <w:tab/>
            </w:r>
            <w:r w:rsidR="006C65F0">
              <w:rPr>
                <w:webHidden/>
              </w:rPr>
              <w:fldChar w:fldCharType="begin"/>
            </w:r>
            <w:r w:rsidR="006C65F0">
              <w:rPr>
                <w:webHidden/>
              </w:rPr>
              <w:instrText xml:space="preserve"> PAGEREF _Toc88515726 \h </w:instrText>
            </w:r>
            <w:r w:rsidR="006C65F0">
              <w:rPr>
                <w:webHidden/>
              </w:rPr>
            </w:r>
            <w:r w:rsidR="006C65F0">
              <w:rPr>
                <w:webHidden/>
              </w:rPr>
              <w:fldChar w:fldCharType="separate"/>
            </w:r>
            <w:r w:rsidR="0002143F">
              <w:rPr>
                <w:webHidden/>
              </w:rPr>
              <w:t>9</w:t>
            </w:r>
            <w:r w:rsidR="006C65F0">
              <w:rPr>
                <w:webHidden/>
              </w:rPr>
              <w:fldChar w:fldCharType="end"/>
            </w:r>
          </w:hyperlink>
        </w:p>
        <w:p w14:paraId="78F5D985" w14:textId="093120B8" w:rsidR="006C65F0" w:rsidRDefault="00D20530" w:rsidP="006C65F0">
          <w:pPr>
            <w:pStyle w:val="TOC1"/>
            <w:rPr>
              <w:rFonts w:asciiTheme="minorHAnsi" w:eastAsiaTheme="minorEastAsia" w:hAnsiTheme="minorHAnsi" w:cstheme="minorBidi"/>
              <w:sz w:val="24"/>
              <w:szCs w:val="24"/>
            </w:rPr>
          </w:pPr>
          <w:hyperlink w:anchor="_Toc88515727" w:history="1">
            <w:r w:rsidR="006C65F0" w:rsidRPr="007D0D60">
              <w:rPr>
                <w:rStyle w:val="Hyperlink"/>
              </w:rPr>
              <w:t>Factor 1: f) Competition on price, total medical expenses (TME), costs and other measures of health care spending</w:t>
            </w:r>
            <w:r w:rsidR="006C65F0">
              <w:rPr>
                <w:webHidden/>
              </w:rPr>
              <w:tab/>
            </w:r>
            <w:r w:rsidR="006C65F0">
              <w:rPr>
                <w:webHidden/>
              </w:rPr>
              <w:fldChar w:fldCharType="begin"/>
            </w:r>
            <w:r w:rsidR="006C65F0">
              <w:rPr>
                <w:webHidden/>
              </w:rPr>
              <w:instrText xml:space="preserve"> PAGEREF _Toc88515727 \h </w:instrText>
            </w:r>
            <w:r w:rsidR="006C65F0">
              <w:rPr>
                <w:webHidden/>
              </w:rPr>
            </w:r>
            <w:r w:rsidR="006C65F0">
              <w:rPr>
                <w:webHidden/>
              </w:rPr>
              <w:fldChar w:fldCharType="separate"/>
            </w:r>
            <w:r w:rsidR="0002143F">
              <w:rPr>
                <w:webHidden/>
              </w:rPr>
              <w:t>10</w:t>
            </w:r>
            <w:r w:rsidR="006C65F0">
              <w:rPr>
                <w:webHidden/>
              </w:rPr>
              <w:fldChar w:fldCharType="end"/>
            </w:r>
          </w:hyperlink>
        </w:p>
        <w:p w14:paraId="0AA6BCC7" w14:textId="73F747FB" w:rsidR="006C65F0" w:rsidRDefault="00D20530">
          <w:pPr>
            <w:pStyle w:val="TOC2"/>
            <w:rPr>
              <w:rFonts w:asciiTheme="minorHAnsi" w:eastAsiaTheme="minorEastAsia" w:hAnsiTheme="minorHAnsi"/>
              <w:color w:val="auto"/>
              <w:sz w:val="24"/>
              <w:szCs w:val="24"/>
            </w:rPr>
          </w:pPr>
          <w:hyperlink w:anchor="_Toc88515728" w:history="1">
            <w:r w:rsidR="006C65F0" w:rsidRPr="007D0D60">
              <w:rPr>
                <w:rStyle w:val="Hyperlink"/>
              </w:rPr>
              <w:t>Description of Suggested Conditions, FACTOR 1</w:t>
            </w:r>
            <w:r w:rsidR="006C65F0">
              <w:rPr>
                <w:webHidden/>
              </w:rPr>
              <w:tab/>
            </w:r>
            <w:r w:rsidR="006C65F0">
              <w:rPr>
                <w:webHidden/>
              </w:rPr>
              <w:fldChar w:fldCharType="begin"/>
            </w:r>
            <w:r w:rsidR="006C65F0">
              <w:rPr>
                <w:webHidden/>
              </w:rPr>
              <w:instrText xml:space="preserve"> PAGEREF _Toc88515728 \h </w:instrText>
            </w:r>
            <w:r w:rsidR="006C65F0">
              <w:rPr>
                <w:webHidden/>
              </w:rPr>
            </w:r>
            <w:r w:rsidR="006C65F0">
              <w:rPr>
                <w:webHidden/>
              </w:rPr>
              <w:fldChar w:fldCharType="separate"/>
            </w:r>
            <w:r w:rsidR="0002143F">
              <w:rPr>
                <w:webHidden/>
              </w:rPr>
              <w:t>10</w:t>
            </w:r>
            <w:r w:rsidR="006C65F0">
              <w:rPr>
                <w:webHidden/>
              </w:rPr>
              <w:fldChar w:fldCharType="end"/>
            </w:r>
          </w:hyperlink>
        </w:p>
        <w:p w14:paraId="39A4E2B4" w14:textId="51F471F4" w:rsidR="006C65F0" w:rsidRDefault="00D20530" w:rsidP="006C65F0">
          <w:pPr>
            <w:pStyle w:val="TOC1"/>
            <w:rPr>
              <w:rFonts w:asciiTheme="minorHAnsi" w:eastAsiaTheme="minorEastAsia" w:hAnsiTheme="minorHAnsi" w:cstheme="minorBidi"/>
              <w:sz w:val="24"/>
              <w:szCs w:val="24"/>
            </w:rPr>
          </w:pPr>
          <w:hyperlink w:anchor="_Toc88515729" w:history="1">
            <w:r w:rsidR="006C65F0" w:rsidRPr="007D0D60">
              <w:rPr>
                <w:rStyle w:val="Hyperlink"/>
                <w:rFonts w:cstheme="majorHAnsi"/>
              </w:rPr>
              <w:t>Factor</w:t>
            </w:r>
            <w:r w:rsidR="006C65F0" w:rsidRPr="007D0D60">
              <w:rPr>
                <w:rStyle w:val="Hyperlink"/>
              </w:rPr>
              <w:t xml:space="preserve"> 2: Cost containment, Improved Public Health Outcomes and Delivery System Transformation</w:t>
            </w:r>
            <w:r w:rsidR="006C65F0">
              <w:rPr>
                <w:webHidden/>
              </w:rPr>
              <w:tab/>
            </w:r>
            <w:r w:rsidR="006C65F0">
              <w:rPr>
                <w:webHidden/>
              </w:rPr>
              <w:fldChar w:fldCharType="begin"/>
            </w:r>
            <w:r w:rsidR="006C65F0">
              <w:rPr>
                <w:webHidden/>
              </w:rPr>
              <w:instrText xml:space="preserve"> PAGEREF _Toc88515729 \h </w:instrText>
            </w:r>
            <w:r w:rsidR="006C65F0">
              <w:rPr>
                <w:webHidden/>
              </w:rPr>
            </w:r>
            <w:r w:rsidR="006C65F0">
              <w:rPr>
                <w:webHidden/>
              </w:rPr>
              <w:fldChar w:fldCharType="separate"/>
            </w:r>
            <w:r w:rsidR="0002143F">
              <w:rPr>
                <w:webHidden/>
              </w:rPr>
              <w:t>11</w:t>
            </w:r>
            <w:r w:rsidR="006C65F0">
              <w:rPr>
                <w:webHidden/>
              </w:rPr>
              <w:fldChar w:fldCharType="end"/>
            </w:r>
          </w:hyperlink>
        </w:p>
        <w:p w14:paraId="0599E704" w14:textId="0016A0FF" w:rsidR="006C65F0" w:rsidRDefault="00D20530" w:rsidP="006C65F0">
          <w:pPr>
            <w:pStyle w:val="TOC1"/>
            <w:rPr>
              <w:rFonts w:asciiTheme="minorHAnsi" w:eastAsiaTheme="minorEastAsia" w:hAnsiTheme="minorHAnsi" w:cstheme="minorBidi"/>
              <w:sz w:val="24"/>
              <w:szCs w:val="24"/>
            </w:rPr>
          </w:pPr>
          <w:hyperlink w:anchor="_Toc88515730" w:history="1">
            <w:r w:rsidR="006C65F0" w:rsidRPr="007D0D60">
              <w:rPr>
                <w:rStyle w:val="Hyperlink"/>
              </w:rPr>
              <w:t>Summary, FACTOR 2</w:t>
            </w:r>
            <w:r w:rsidR="006C65F0">
              <w:rPr>
                <w:webHidden/>
              </w:rPr>
              <w:tab/>
            </w:r>
            <w:r w:rsidR="006C65F0">
              <w:rPr>
                <w:webHidden/>
              </w:rPr>
              <w:fldChar w:fldCharType="begin"/>
            </w:r>
            <w:r w:rsidR="006C65F0">
              <w:rPr>
                <w:webHidden/>
              </w:rPr>
              <w:instrText xml:space="preserve"> PAGEREF _Toc88515730 \h </w:instrText>
            </w:r>
            <w:r w:rsidR="006C65F0">
              <w:rPr>
                <w:webHidden/>
              </w:rPr>
            </w:r>
            <w:r w:rsidR="006C65F0">
              <w:rPr>
                <w:webHidden/>
              </w:rPr>
              <w:fldChar w:fldCharType="separate"/>
            </w:r>
            <w:r w:rsidR="0002143F">
              <w:rPr>
                <w:webHidden/>
              </w:rPr>
              <w:t>12</w:t>
            </w:r>
            <w:r w:rsidR="006C65F0">
              <w:rPr>
                <w:webHidden/>
              </w:rPr>
              <w:fldChar w:fldCharType="end"/>
            </w:r>
          </w:hyperlink>
        </w:p>
        <w:p w14:paraId="7C402CD6" w14:textId="3D06EB1E" w:rsidR="006C65F0" w:rsidRDefault="00D20530" w:rsidP="006C65F0">
          <w:pPr>
            <w:pStyle w:val="TOC1"/>
            <w:rPr>
              <w:rFonts w:asciiTheme="minorHAnsi" w:eastAsiaTheme="minorEastAsia" w:hAnsiTheme="minorHAnsi" w:cstheme="minorBidi"/>
              <w:sz w:val="24"/>
              <w:szCs w:val="24"/>
            </w:rPr>
          </w:pPr>
          <w:hyperlink w:anchor="_Toc88515731" w:history="1">
            <w:r w:rsidR="006C65F0" w:rsidRPr="007D0D60">
              <w:rPr>
                <w:rStyle w:val="Hyperlink"/>
              </w:rPr>
              <w:t>Factor 3: Relevant Licensure/Oversight Compliance</w:t>
            </w:r>
            <w:r w:rsidR="006C65F0">
              <w:rPr>
                <w:webHidden/>
              </w:rPr>
              <w:tab/>
            </w:r>
            <w:r w:rsidR="006C65F0">
              <w:rPr>
                <w:webHidden/>
              </w:rPr>
              <w:fldChar w:fldCharType="begin"/>
            </w:r>
            <w:r w:rsidR="006C65F0">
              <w:rPr>
                <w:webHidden/>
              </w:rPr>
              <w:instrText xml:space="preserve"> PAGEREF _Toc88515731 \h </w:instrText>
            </w:r>
            <w:r w:rsidR="006C65F0">
              <w:rPr>
                <w:webHidden/>
              </w:rPr>
            </w:r>
            <w:r w:rsidR="006C65F0">
              <w:rPr>
                <w:webHidden/>
              </w:rPr>
              <w:fldChar w:fldCharType="separate"/>
            </w:r>
            <w:r w:rsidR="0002143F">
              <w:rPr>
                <w:webHidden/>
              </w:rPr>
              <w:t>12</w:t>
            </w:r>
            <w:r w:rsidR="006C65F0">
              <w:rPr>
                <w:webHidden/>
              </w:rPr>
              <w:fldChar w:fldCharType="end"/>
            </w:r>
          </w:hyperlink>
        </w:p>
        <w:p w14:paraId="45050A46" w14:textId="33FC660A" w:rsidR="006C65F0" w:rsidRDefault="00D20530" w:rsidP="006C65F0">
          <w:pPr>
            <w:pStyle w:val="TOC1"/>
            <w:rPr>
              <w:rFonts w:asciiTheme="minorHAnsi" w:eastAsiaTheme="minorEastAsia" w:hAnsiTheme="minorHAnsi" w:cstheme="minorBidi"/>
              <w:sz w:val="24"/>
              <w:szCs w:val="24"/>
            </w:rPr>
          </w:pPr>
          <w:hyperlink w:anchor="_Toc88515732" w:history="1">
            <w:r w:rsidR="006C65F0" w:rsidRPr="007D0D60">
              <w:rPr>
                <w:rStyle w:val="Hyperlink"/>
              </w:rPr>
              <w:t>Factor 4: Demonstration of Sufficient Funds as Supported by an Independent CPA Analysis</w:t>
            </w:r>
            <w:r w:rsidR="006C65F0">
              <w:rPr>
                <w:webHidden/>
              </w:rPr>
              <w:tab/>
            </w:r>
            <w:r w:rsidR="006C65F0">
              <w:rPr>
                <w:webHidden/>
              </w:rPr>
              <w:fldChar w:fldCharType="begin"/>
            </w:r>
            <w:r w:rsidR="006C65F0">
              <w:rPr>
                <w:webHidden/>
              </w:rPr>
              <w:instrText xml:space="preserve"> PAGEREF _Toc88515732 \h </w:instrText>
            </w:r>
            <w:r w:rsidR="006C65F0">
              <w:rPr>
                <w:webHidden/>
              </w:rPr>
            </w:r>
            <w:r w:rsidR="006C65F0">
              <w:rPr>
                <w:webHidden/>
              </w:rPr>
              <w:fldChar w:fldCharType="separate"/>
            </w:r>
            <w:r w:rsidR="0002143F">
              <w:rPr>
                <w:webHidden/>
              </w:rPr>
              <w:t>12</w:t>
            </w:r>
            <w:r w:rsidR="006C65F0">
              <w:rPr>
                <w:webHidden/>
              </w:rPr>
              <w:fldChar w:fldCharType="end"/>
            </w:r>
          </w:hyperlink>
        </w:p>
        <w:p w14:paraId="6D67F512" w14:textId="5AFE7AA8" w:rsidR="006C65F0" w:rsidRDefault="00D20530" w:rsidP="006C65F0">
          <w:pPr>
            <w:pStyle w:val="TOC1"/>
            <w:rPr>
              <w:rFonts w:asciiTheme="minorHAnsi" w:eastAsiaTheme="minorEastAsia" w:hAnsiTheme="minorHAnsi" w:cstheme="minorBidi"/>
              <w:sz w:val="24"/>
              <w:szCs w:val="24"/>
            </w:rPr>
          </w:pPr>
          <w:hyperlink w:anchor="_Toc88515733" w:history="1">
            <w:r w:rsidR="006C65F0" w:rsidRPr="007D0D60">
              <w:rPr>
                <w:rStyle w:val="Hyperlink"/>
              </w:rPr>
              <w:t>Factor 5: Assessment of the Proposed Project’s Relative Merit</w:t>
            </w:r>
            <w:r w:rsidR="006C65F0">
              <w:rPr>
                <w:webHidden/>
              </w:rPr>
              <w:tab/>
            </w:r>
            <w:r w:rsidR="006C65F0">
              <w:rPr>
                <w:webHidden/>
              </w:rPr>
              <w:fldChar w:fldCharType="begin"/>
            </w:r>
            <w:r w:rsidR="006C65F0">
              <w:rPr>
                <w:webHidden/>
              </w:rPr>
              <w:instrText xml:space="preserve"> PAGEREF _Toc88515733 \h </w:instrText>
            </w:r>
            <w:r w:rsidR="006C65F0">
              <w:rPr>
                <w:webHidden/>
              </w:rPr>
            </w:r>
            <w:r w:rsidR="006C65F0">
              <w:rPr>
                <w:webHidden/>
              </w:rPr>
              <w:fldChar w:fldCharType="separate"/>
            </w:r>
            <w:r w:rsidR="0002143F">
              <w:rPr>
                <w:webHidden/>
              </w:rPr>
              <w:t>13</w:t>
            </w:r>
            <w:r w:rsidR="006C65F0">
              <w:rPr>
                <w:webHidden/>
              </w:rPr>
              <w:fldChar w:fldCharType="end"/>
            </w:r>
          </w:hyperlink>
        </w:p>
        <w:p w14:paraId="4831A4FB" w14:textId="185967E7" w:rsidR="006C65F0" w:rsidRDefault="00D20530" w:rsidP="006C65F0">
          <w:pPr>
            <w:pStyle w:val="TOC1"/>
            <w:rPr>
              <w:rFonts w:asciiTheme="minorHAnsi" w:eastAsiaTheme="minorEastAsia" w:hAnsiTheme="minorHAnsi" w:cstheme="minorBidi"/>
              <w:sz w:val="24"/>
              <w:szCs w:val="24"/>
            </w:rPr>
          </w:pPr>
          <w:hyperlink w:anchor="_Toc88515734" w:history="1">
            <w:r w:rsidR="006C65F0" w:rsidRPr="007D0D60">
              <w:rPr>
                <w:rStyle w:val="Hyperlink"/>
                <w:rFonts w:eastAsia="Times New Roman"/>
              </w:rPr>
              <w:t>Factor 6: Fulfillment of DPH Community-based Health Initiatives Guideline</w:t>
            </w:r>
            <w:r w:rsidR="006C65F0">
              <w:rPr>
                <w:webHidden/>
              </w:rPr>
              <w:tab/>
            </w:r>
            <w:r w:rsidR="006C65F0">
              <w:rPr>
                <w:webHidden/>
              </w:rPr>
              <w:fldChar w:fldCharType="begin"/>
            </w:r>
            <w:r w:rsidR="006C65F0">
              <w:rPr>
                <w:webHidden/>
              </w:rPr>
              <w:instrText xml:space="preserve"> PAGEREF _Toc88515734 \h </w:instrText>
            </w:r>
            <w:r w:rsidR="006C65F0">
              <w:rPr>
                <w:webHidden/>
              </w:rPr>
            </w:r>
            <w:r w:rsidR="006C65F0">
              <w:rPr>
                <w:webHidden/>
              </w:rPr>
              <w:fldChar w:fldCharType="separate"/>
            </w:r>
            <w:r w:rsidR="0002143F">
              <w:rPr>
                <w:webHidden/>
              </w:rPr>
              <w:t>13</w:t>
            </w:r>
            <w:r w:rsidR="006C65F0">
              <w:rPr>
                <w:webHidden/>
              </w:rPr>
              <w:fldChar w:fldCharType="end"/>
            </w:r>
          </w:hyperlink>
        </w:p>
        <w:p w14:paraId="33930B53" w14:textId="7B810226" w:rsidR="006C65F0" w:rsidRDefault="00D20530" w:rsidP="006C65F0">
          <w:pPr>
            <w:pStyle w:val="TOC1"/>
            <w:rPr>
              <w:rFonts w:asciiTheme="minorHAnsi" w:eastAsiaTheme="minorEastAsia" w:hAnsiTheme="minorHAnsi" w:cstheme="minorBidi"/>
              <w:sz w:val="24"/>
              <w:szCs w:val="24"/>
            </w:rPr>
          </w:pPr>
          <w:hyperlink w:anchor="_Toc88515735" w:history="1">
            <w:r w:rsidR="006C65F0" w:rsidRPr="007D0D60">
              <w:rPr>
                <w:rStyle w:val="Hyperlink"/>
                <w:rFonts w:eastAsia="Times New Roman"/>
              </w:rPr>
              <w:t>Conditions</w:t>
            </w:r>
            <w:r w:rsidR="006C65F0">
              <w:rPr>
                <w:webHidden/>
              </w:rPr>
              <w:tab/>
            </w:r>
            <w:r w:rsidR="006C65F0">
              <w:rPr>
                <w:webHidden/>
              </w:rPr>
              <w:fldChar w:fldCharType="begin"/>
            </w:r>
            <w:r w:rsidR="006C65F0">
              <w:rPr>
                <w:webHidden/>
              </w:rPr>
              <w:instrText xml:space="preserve"> PAGEREF _Toc88515735 \h </w:instrText>
            </w:r>
            <w:r w:rsidR="006C65F0">
              <w:rPr>
                <w:webHidden/>
              </w:rPr>
            </w:r>
            <w:r w:rsidR="006C65F0">
              <w:rPr>
                <w:webHidden/>
              </w:rPr>
              <w:fldChar w:fldCharType="separate"/>
            </w:r>
            <w:r w:rsidR="0002143F">
              <w:rPr>
                <w:webHidden/>
              </w:rPr>
              <w:t>13</w:t>
            </w:r>
            <w:r w:rsidR="006C65F0">
              <w:rPr>
                <w:webHidden/>
              </w:rPr>
              <w:fldChar w:fldCharType="end"/>
            </w:r>
          </w:hyperlink>
        </w:p>
        <w:p w14:paraId="0CA65F95" w14:textId="2B263656" w:rsidR="00E8532F" w:rsidRPr="00913467" w:rsidRDefault="00E8532F" w:rsidP="007A57C4">
          <w:pPr>
            <w:ind w:right="90"/>
            <w:rPr>
              <w:rFonts w:ascii="Garamond" w:hAnsi="Garamond"/>
            </w:rPr>
          </w:pPr>
          <w:r w:rsidRPr="00913467">
            <w:rPr>
              <w:rFonts w:ascii="Garamond" w:hAnsi="Garamond"/>
              <w:bCs/>
              <w:noProof/>
            </w:rPr>
            <w:fldChar w:fldCharType="end"/>
          </w:r>
        </w:p>
      </w:sdtContent>
    </w:sdt>
    <w:p w14:paraId="0DA9B556" w14:textId="039851C1" w:rsidR="00F109EA" w:rsidRPr="001F6A09" w:rsidRDefault="006020C2" w:rsidP="001F6A09">
      <w:pPr>
        <w:pStyle w:val="Heading1"/>
        <w:tabs>
          <w:tab w:val="left" w:pos="8055"/>
        </w:tabs>
        <w:spacing w:line="240" w:lineRule="auto"/>
        <w:rPr>
          <w:rFonts w:ascii="Garamond" w:hAnsi="Garamond"/>
          <w:sz w:val="24"/>
          <w:szCs w:val="24"/>
        </w:rPr>
      </w:pPr>
      <w:r>
        <w:rPr>
          <w:rFonts w:ascii="Garamond" w:hAnsi="Garamond"/>
          <w:sz w:val="24"/>
          <w:szCs w:val="24"/>
        </w:rPr>
        <w:t xml:space="preserve"> </w:t>
      </w:r>
    </w:p>
    <w:p w14:paraId="716E4497" w14:textId="77777777" w:rsidR="001F6A09" w:rsidRDefault="001F6A09">
      <w:pPr>
        <w:spacing w:after="200" w:line="276" w:lineRule="auto"/>
        <w:rPr>
          <w:rFonts w:ascii="Garamond" w:eastAsiaTheme="majorEastAsia" w:hAnsi="Garamond" w:cstheme="majorBidi"/>
          <w:b/>
          <w:bCs/>
          <w:color w:val="42558C" w:themeColor="accent1" w:themeShade="BF"/>
          <w:sz w:val="28"/>
          <w:szCs w:val="28"/>
        </w:rPr>
      </w:pPr>
      <w:bookmarkStart w:id="1" w:name="_Toc27567688"/>
      <w:bookmarkStart w:id="2" w:name="_Toc17151134"/>
      <w:bookmarkStart w:id="3" w:name="_Toc17228947"/>
      <w:bookmarkStart w:id="4" w:name="_Toc17731303"/>
      <w:bookmarkStart w:id="5" w:name="_Toc17748221"/>
      <w:bookmarkStart w:id="6" w:name="_Toc17748448"/>
      <w:bookmarkStart w:id="7" w:name="_Toc17748692"/>
      <w:bookmarkStart w:id="8" w:name="_Toc18922392"/>
      <w:bookmarkStart w:id="9" w:name="_Toc23110213"/>
      <w:bookmarkStart w:id="10" w:name="_Toc23157976"/>
      <w:bookmarkStart w:id="11" w:name="_Toc23323238"/>
      <w:bookmarkStart w:id="12" w:name="_Toc23324244"/>
      <w:bookmarkStart w:id="13" w:name="_Toc23424528"/>
      <w:bookmarkStart w:id="14" w:name="_Toc88515720"/>
      <w:bookmarkEnd w:id="0"/>
      <w:r>
        <w:rPr>
          <w:rFonts w:ascii="Garamond" w:hAnsi="Garamond"/>
        </w:rPr>
        <w:br w:type="page"/>
      </w:r>
    </w:p>
    <w:p w14:paraId="5E0BC33E" w14:textId="219997E7" w:rsidR="0089038F" w:rsidRPr="007A57C4" w:rsidRDefault="006B4303" w:rsidP="001F6A09">
      <w:pPr>
        <w:pStyle w:val="Heading1"/>
        <w:spacing w:line="240" w:lineRule="auto"/>
        <w:rPr>
          <w:rFonts w:ascii="Garamond" w:hAnsi="Garamond"/>
        </w:rPr>
      </w:pPr>
      <w:r w:rsidRPr="00E05A87">
        <w:rPr>
          <w:rFonts w:ascii="Garamond" w:hAnsi="Garamond"/>
        </w:rPr>
        <w:lastRenderedPageBreak/>
        <w:t>B</w:t>
      </w:r>
      <w:r w:rsidR="00234964" w:rsidRPr="00E05A87">
        <w:rPr>
          <w:rFonts w:ascii="Garamond" w:hAnsi="Garamond"/>
        </w:rPr>
        <w:t xml:space="preserve">ackground: </w:t>
      </w:r>
      <w:bookmarkEnd w:id="1"/>
      <w:bookmarkEnd w:id="2"/>
      <w:bookmarkEnd w:id="3"/>
      <w:bookmarkEnd w:id="4"/>
      <w:bookmarkEnd w:id="5"/>
      <w:bookmarkEnd w:id="6"/>
      <w:bookmarkEnd w:id="7"/>
      <w:bookmarkEnd w:id="8"/>
      <w:bookmarkEnd w:id="9"/>
      <w:bookmarkEnd w:id="10"/>
      <w:bookmarkEnd w:id="11"/>
      <w:bookmarkEnd w:id="12"/>
      <w:bookmarkEnd w:id="13"/>
      <w:r w:rsidR="00020821">
        <w:rPr>
          <w:rFonts w:ascii="Garamond" w:hAnsi="Garamond"/>
        </w:rPr>
        <w:t>PAM Cubed</w:t>
      </w:r>
      <w:r w:rsidR="00AF287F">
        <w:rPr>
          <w:rFonts w:ascii="Garamond" w:hAnsi="Garamond"/>
        </w:rPr>
        <w:t xml:space="preserve">, </w:t>
      </w:r>
      <w:r w:rsidR="00020821">
        <w:rPr>
          <w:rFonts w:ascii="Garamond" w:hAnsi="Garamond"/>
        </w:rPr>
        <w:t>LLC</w:t>
      </w:r>
      <w:r w:rsidR="008A5727" w:rsidRPr="00E05A87">
        <w:rPr>
          <w:rFonts w:ascii="Garamond" w:hAnsi="Garamond"/>
        </w:rPr>
        <w:t xml:space="preserve"> </w:t>
      </w:r>
      <w:r w:rsidRPr="00E05A87">
        <w:rPr>
          <w:rFonts w:ascii="Garamond" w:hAnsi="Garamond"/>
        </w:rPr>
        <w:t>and Application Overview</w:t>
      </w:r>
      <w:bookmarkEnd w:id="14"/>
      <w:r w:rsidR="00721AAD">
        <w:rPr>
          <w:rFonts w:ascii="Garamond" w:hAnsi="Garamond"/>
        </w:rPr>
        <w:t xml:space="preserve"> </w:t>
      </w:r>
      <w:bookmarkStart w:id="15" w:name="_Toc17474921"/>
    </w:p>
    <w:p w14:paraId="6A56F9B7" w14:textId="5ACFDC9C" w:rsidR="0044715C" w:rsidRDefault="00BD65DA" w:rsidP="0044715C">
      <w:pPr>
        <w:rPr>
          <w:rFonts w:ascii="Garamond" w:hAnsi="Garamond"/>
        </w:rPr>
      </w:pPr>
      <w:r>
        <w:rPr>
          <w:rFonts w:ascii="Garamond" w:hAnsi="Garamond"/>
        </w:rPr>
        <w:t xml:space="preserve">The Applicant, </w:t>
      </w:r>
      <w:r w:rsidR="0044715C" w:rsidRPr="0044715C">
        <w:rPr>
          <w:rFonts w:ascii="Garamond" w:hAnsi="Garamond"/>
        </w:rPr>
        <w:t>PAM Cubed</w:t>
      </w:r>
      <w:r w:rsidR="00FA1470">
        <w:rPr>
          <w:rFonts w:ascii="Garamond" w:hAnsi="Garamond"/>
        </w:rPr>
        <w:t xml:space="preserve"> and its</w:t>
      </w:r>
      <w:r w:rsidR="0044715C" w:rsidRPr="0044715C">
        <w:rPr>
          <w:rFonts w:ascii="Garamond" w:hAnsi="Garamond"/>
        </w:rPr>
        <w:t xml:space="preserve"> subsidiaries</w:t>
      </w:r>
      <w:r w:rsidR="00D674A3">
        <w:rPr>
          <w:rFonts w:ascii="Garamond" w:hAnsi="Garamond"/>
        </w:rPr>
        <w:t>, collectively</w:t>
      </w:r>
      <w:r w:rsidR="0044715C" w:rsidRPr="0044715C">
        <w:rPr>
          <w:rFonts w:ascii="Garamond" w:hAnsi="Garamond"/>
        </w:rPr>
        <w:t xml:space="preserve"> </w:t>
      </w:r>
      <w:r w:rsidR="0044715C">
        <w:rPr>
          <w:rFonts w:ascii="Garamond" w:hAnsi="Garamond"/>
        </w:rPr>
        <w:t xml:space="preserve">referred to as </w:t>
      </w:r>
      <w:r w:rsidR="0044715C" w:rsidRPr="0044715C">
        <w:rPr>
          <w:rFonts w:ascii="Garamond" w:hAnsi="Garamond"/>
        </w:rPr>
        <w:t>PAM</w:t>
      </w:r>
      <w:r>
        <w:rPr>
          <w:rFonts w:ascii="Garamond" w:hAnsi="Garamond"/>
        </w:rPr>
        <w:t>,</w:t>
      </w:r>
      <w:r w:rsidR="0044715C">
        <w:rPr>
          <w:rFonts w:ascii="Garamond" w:hAnsi="Garamond"/>
        </w:rPr>
        <w:t xml:space="preserve"> and its affiliates are </w:t>
      </w:r>
      <w:r w:rsidR="0044715C" w:rsidRPr="0044715C">
        <w:rPr>
          <w:rFonts w:ascii="Garamond" w:hAnsi="Garamond"/>
        </w:rPr>
        <w:t>part of a national network</w:t>
      </w:r>
      <w:r w:rsidR="001768CC">
        <w:rPr>
          <w:rFonts w:ascii="Garamond" w:hAnsi="Garamond"/>
        </w:rPr>
        <w:t xml:space="preserve"> </w:t>
      </w:r>
      <w:r w:rsidR="0044715C" w:rsidRPr="0044715C">
        <w:rPr>
          <w:rFonts w:ascii="Garamond" w:hAnsi="Garamond"/>
        </w:rPr>
        <w:t xml:space="preserve">that owns and operates </w:t>
      </w:r>
      <w:r w:rsidR="0044715C">
        <w:rPr>
          <w:rFonts w:ascii="Garamond" w:hAnsi="Garamond"/>
        </w:rPr>
        <w:t>long-term acute care hospitals (</w:t>
      </w:r>
      <w:r w:rsidR="0044715C" w:rsidRPr="0044715C">
        <w:rPr>
          <w:rFonts w:ascii="Garamond" w:hAnsi="Garamond"/>
        </w:rPr>
        <w:t>LTCHs</w:t>
      </w:r>
      <w:r w:rsidR="0044715C">
        <w:rPr>
          <w:rFonts w:ascii="Garamond" w:hAnsi="Garamond"/>
        </w:rPr>
        <w:t>)</w:t>
      </w:r>
      <w:r w:rsidR="0044715C" w:rsidRPr="0044715C">
        <w:rPr>
          <w:rFonts w:ascii="Garamond" w:hAnsi="Garamond"/>
        </w:rPr>
        <w:t xml:space="preserve"> throughout the United States (collectively PAM Health). PAM Health currently provides post-acute healthcare services through more than 50 LTCHs</w:t>
      </w:r>
      <w:r w:rsidR="001768CC">
        <w:rPr>
          <w:rFonts w:ascii="Garamond" w:hAnsi="Garamond"/>
        </w:rPr>
        <w:t xml:space="preserve"> </w:t>
      </w:r>
      <w:r w:rsidR="0044715C" w:rsidRPr="0044715C">
        <w:rPr>
          <w:rFonts w:ascii="Garamond" w:hAnsi="Garamond"/>
        </w:rPr>
        <w:t>and medical rehabilitation hospitals, as well as 18 outpatient physical therapy locations,</w:t>
      </w:r>
      <w:r w:rsidR="001768CC">
        <w:rPr>
          <w:rFonts w:ascii="Garamond" w:hAnsi="Garamond"/>
        </w:rPr>
        <w:t xml:space="preserve"> </w:t>
      </w:r>
      <w:r w:rsidR="0044715C" w:rsidRPr="0044715C">
        <w:rPr>
          <w:rFonts w:ascii="Garamond" w:hAnsi="Garamond"/>
        </w:rPr>
        <w:t>in 13 states.</w:t>
      </w:r>
    </w:p>
    <w:p w14:paraId="45C851A6" w14:textId="64D3FD36" w:rsidR="00D87F0D" w:rsidRDefault="00D87F0D" w:rsidP="00AB45D3">
      <w:pPr>
        <w:pStyle w:val="NoSpacing"/>
        <w:ind w:right="540"/>
        <w:contextualSpacing/>
        <w:rPr>
          <w:rFonts w:cstheme="minorHAnsi"/>
          <w:sz w:val="24"/>
          <w:szCs w:val="24"/>
          <w:u w:val="single"/>
        </w:rPr>
      </w:pPr>
    </w:p>
    <w:p w14:paraId="33A5FE0C" w14:textId="769F1C7C" w:rsidR="00175A04" w:rsidRPr="00175A04" w:rsidRDefault="00175A04" w:rsidP="00175A04">
      <w:pPr>
        <w:rPr>
          <w:rFonts w:ascii="Garamond" w:hAnsi="Garamond" w:cstheme="minorHAnsi"/>
        </w:rPr>
      </w:pPr>
      <w:bookmarkStart w:id="16" w:name="_Hlk90888528"/>
      <w:r w:rsidRPr="00175A04">
        <w:rPr>
          <w:rFonts w:ascii="Garamond" w:hAnsi="Garamond" w:cstheme="minorHAnsi"/>
        </w:rPr>
        <w:t>Curahealth Stoughton, LLC</w:t>
      </w:r>
      <w:r>
        <w:rPr>
          <w:rFonts w:ascii="Garamond" w:hAnsi="Garamond" w:cstheme="minorHAnsi"/>
        </w:rPr>
        <w:t xml:space="preserve"> </w:t>
      </w:r>
      <w:r w:rsidR="000F3DAD">
        <w:rPr>
          <w:rFonts w:ascii="Garamond" w:hAnsi="Garamond" w:cstheme="minorHAnsi"/>
        </w:rPr>
        <w:t xml:space="preserve">(“the Hospital” or “Curahealth”) </w:t>
      </w:r>
      <w:r w:rsidRPr="00AB45F3">
        <w:rPr>
          <w:rFonts w:ascii="Garamond" w:hAnsi="Garamond"/>
        </w:rPr>
        <w:t xml:space="preserve">is an LTCH </w:t>
      </w:r>
      <w:r w:rsidRPr="001768CC">
        <w:rPr>
          <w:rFonts w:ascii="Garamond" w:hAnsi="Garamond" w:cstheme="minorHAnsi"/>
        </w:rPr>
        <w:t>located in Stoughton, Massachusetts</w:t>
      </w:r>
      <w:r w:rsidRPr="00AB45F3">
        <w:rPr>
          <w:rFonts w:ascii="Garamond" w:hAnsi="Garamond"/>
        </w:rPr>
        <w:t xml:space="preserve"> that is licensed by the Department of Public Health (DPH) as a hospital</w:t>
      </w:r>
      <w:r>
        <w:rPr>
          <w:rFonts w:ascii="Garamond" w:hAnsi="Garamond"/>
        </w:rPr>
        <w:t xml:space="preserve"> with a total of 198 </w:t>
      </w:r>
      <w:r w:rsidR="00EB3E34">
        <w:rPr>
          <w:rFonts w:ascii="Garamond" w:hAnsi="Garamond"/>
        </w:rPr>
        <w:t xml:space="preserve">licensed </w:t>
      </w:r>
      <w:r>
        <w:rPr>
          <w:rFonts w:ascii="Garamond" w:hAnsi="Garamond"/>
        </w:rPr>
        <w:t>beds.</w:t>
      </w:r>
      <w:r w:rsidR="009E4562">
        <w:rPr>
          <w:rStyle w:val="FootnoteReference"/>
          <w:rFonts w:ascii="Garamond" w:hAnsi="Garamond"/>
        </w:rPr>
        <w:footnoteReference w:id="1"/>
      </w:r>
      <w:r>
        <w:rPr>
          <w:rFonts w:ascii="Garamond" w:hAnsi="Garamond"/>
        </w:rPr>
        <w:t xml:space="preserve"> </w:t>
      </w:r>
      <w:bookmarkEnd w:id="16"/>
      <w:r w:rsidRPr="00AB45F3">
        <w:rPr>
          <w:rFonts w:ascii="Garamond" w:hAnsi="Garamond"/>
        </w:rPr>
        <w:t>As an LTCH, the Hospital provides care to inpatients who have chronic needs and</w:t>
      </w:r>
      <w:r>
        <w:rPr>
          <w:rFonts w:ascii="Garamond" w:hAnsi="Garamond"/>
        </w:rPr>
        <w:t xml:space="preserve"> </w:t>
      </w:r>
      <w:r w:rsidRPr="00AB45F3">
        <w:rPr>
          <w:rFonts w:ascii="Garamond" w:hAnsi="Garamond"/>
        </w:rPr>
        <w:t>require an average length of stay of greater than 25 days and a higher level of care than can be</w:t>
      </w:r>
      <w:r>
        <w:rPr>
          <w:rFonts w:ascii="Garamond" w:hAnsi="Garamond"/>
        </w:rPr>
        <w:t xml:space="preserve"> </w:t>
      </w:r>
      <w:r w:rsidRPr="00AB45F3">
        <w:rPr>
          <w:rFonts w:ascii="Garamond" w:hAnsi="Garamond"/>
        </w:rPr>
        <w:t>provided in a skilled nursing facility. The Hospital also provides long-stay psychiatric services to</w:t>
      </w:r>
      <w:r>
        <w:rPr>
          <w:rFonts w:ascii="Garamond" w:hAnsi="Garamond"/>
        </w:rPr>
        <w:t xml:space="preserve"> </w:t>
      </w:r>
      <w:r w:rsidRPr="00AB45F3">
        <w:rPr>
          <w:rFonts w:ascii="Garamond" w:hAnsi="Garamond"/>
        </w:rPr>
        <w:t>a small patient population with traumatic brain injury (TBIs).</w:t>
      </w:r>
    </w:p>
    <w:p w14:paraId="141DB834" w14:textId="77777777" w:rsidR="00175A04" w:rsidRDefault="00175A04" w:rsidP="00AB45D3">
      <w:pPr>
        <w:pStyle w:val="NoSpacing"/>
        <w:ind w:right="540"/>
        <w:contextualSpacing/>
        <w:rPr>
          <w:rFonts w:cstheme="minorHAnsi"/>
          <w:sz w:val="24"/>
          <w:szCs w:val="24"/>
          <w:u w:val="single"/>
        </w:rPr>
      </w:pPr>
    </w:p>
    <w:p w14:paraId="32937F04" w14:textId="16F4E761" w:rsidR="001768CC" w:rsidRPr="001768CC" w:rsidRDefault="001768CC" w:rsidP="001768CC">
      <w:pPr>
        <w:autoSpaceDE w:val="0"/>
        <w:autoSpaceDN w:val="0"/>
        <w:adjustRightInd w:val="0"/>
        <w:rPr>
          <w:rFonts w:ascii="Garamond" w:hAnsi="Garamond" w:cstheme="minorHAnsi"/>
        </w:rPr>
      </w:pPr>
      <w:r w:rsidRPr="001768CC">
        <w:rPr>
          <w:rFonts w:ascii="Garamond" w:hAnsi="Garamond" w:cstheme="minorHAnsi"/>
        </w:rPr>
        <w:t>PAM proposes to become the owner of Curahealth Stoughton, LLC. PAM will acquire 100% of the equity in the Applicant. Thereafter, the Hospital will be an indirect subsidiary of PAM. As part of the same transaction</w:t>
      </w:r>
      <w:r w:rsidR="00D674A3">
        <w:rPr>
          <w:rFonts w:ascii="Garamond" w:hAnsi="Garamond" w:cstheme="minorHAnsi"/>
        </w:rPr>
        <w:t>,</w:t>
      </w:r>
      <w:r w:rsidRPr="001768CC">
        <w:rPr>
          <w:rFonts w:ascii="Garamond" w:hAnsi="Garamond" w:cstheme="minorHAnsi"/>
        </w:rPr>
        <w:t xml:space="preserve"> PAM also acquired 100% </w:t>
      </w:r>
      <w:r w:rsidR="00D674A3">
        <w:rPr>
          <w:rFonts w:ascii="Garamond" w:hAnsi="Garamond" w:cstheme="minorHAnsi"/>
        </w:rPr>
        <w:t xml:space="preserve">of </w:t>
      </w:r>
      <w:r w:rsidRPr="001768CC">
        <w:rPr>
          <w:rFonts w:ascii="Garamond" w:hAnsi="Garamond" w:cstheme="minorHAnsi"/>
        </w:rPr>
        <w:t>the equity in seven other LTCHs and seven inpatient rehabilitation hospitals in states other than Massachusetts, which will all be</w:t>
      </w:r>
      <w:r w:rsidR="003C1DBC">
        <w:rPr>
          <w:rFonts w:ascii="Garamond" w:hAnsi="Garamond" w:cstheme="minorHAnsi"/>
        </w:rPr>
        <w:t>come</w:t>
      </w:r>
      <w:r w:rsidRPr="001768CC">
        <w:rPr>
          <w:rFonts w:ascii="Garamond" w:hAnsi="Garamond" w:cstheme="minorHAnsi"/>
        </w:rPr>
        <w:t xml:space="preserve"> part of PAM Health.</w:t>
      </w:r>
    </w:p>
    <w:p w14:paraId="1906E116" w14:textId="37F5BE58" w:rsidR="001768CC" w:rsidRDefault="001768CC" w:rsidP="00AB45D3">
      <w:pPr>
        <w:pStyle w:val="NoSpacing"/>
        <w:ind w:right="540"/>
        <w:contextualSpacing/>
        <w:rPr>
          <w:rFonts w:cstheme="minorHAnsi"/>
          <w:sz w:val="24"/>
          <w:szCs w:val="24"/>
          <w:u w:val="single"/>
        </w:rPr>
      </w:pPr>
    </w:p>
    <w:p w14:paraId="65339D6D" w14:textId="777E7587" w:rsidR="00AB45D3" w:rsidRPr="00AB45D3" w:rsidRDefault="00AB45D3" w:rsidP="001F6A09">
      <w:pPr>
        <w:autoSpaceDE w:val="0"/>
        <w:autoSpaceDN w:val="0"/>
        <w:adjustRightInd w:val="0"/>
        <w:rPr>
          <w:rFonts w:ascii="Garamond" w:hAnsi="Garamond"/>
        </w:rPr>
      </w:pPr>
      <w:r w:rsidRPr="009E4562">
        <w:rPr>
          <w:rFonts w:ascii="Garamond" w:hAnsi="Garamond" w:cstheme="minorHAnsi"/>
        </w:rPr>
        <w:t>The</w:t>
      </w:r>
      <w:r w:rsidR="009E4562" w:rsidRPr="009E4562">
        <w:rPr>
          <w:rFonts w:ascii="Garamond" w:hAnsi="Garamond" w:cstheme="minorHAnsi"/>
        </w:rPr>
        <w:t xml:space="preserve"> Applicant</w:t>
      </w:r>
      <w:r w:rsidRPr="009E4562">
        <w:rPr>
          <w:rFonts w:ascii="Garamond" w:hAnsi="Garamond" w:cstheme="minorHAnsi"/>
        </w:rPr>
        <w:t xml:space="preserve"> assert</w:t>
      </w:r>
      <w:r w:rsidR="009E4562" w:rsidRPr="009E4562">
        <w:rPr>
          <w:rFonts w:ascii="Garamond" w:hAnsi="Garamond" w:cstheme="minorHAnsi"/>
        </w:rPr>
        <w:t>s</w:t>
      </w:r>
      <w:r w:rsidRPr="009E4562">
        <w:rPr>
          <w:rFonts w:ascii="Garamond" w:hAnsi="Garamond" w:cstheme="minorHAnsi"/>
        </w:rPr>
        <w:t xml:space="preserve"> that the Proposed Project will allow CuraHealth to benefit from PAM</w:t>
      </w:r>
      <w:r w:rsidR="007F0734">
        <w:rPr>
          <w:rFonts w:ascii="Garamond" w:hAnsi="Garamond" w:cstheme="minorHAnsi"/>
        </w:rPr>
        <w:t xml:space="preserve"> and PAM Health’s</w:t>
      </w:r>
      <w:r w:rsidRPr="009E4562">
        <w:rPr>
          <w:rFonts w:ascii="Garamond" w:hAnsi="Garamond" w:cstheme="minorHAnsi"/>
        </w:rPr>
        <w:t xml:space="preserve"> experienced clinicians, multi-factorial approach to care delivery, implementation of disease specific programs, and standardized policies and procedures with best practices to ensure that the Hospital delivers safe, effective and affordable care.</w:t>
      </w:r>
      <w:r w:rsidR="001F6A09" w:rsidRPr="00AB45D3">
        <w:rPr>
          <w:rFonts w:ascii="Garamond" w:hAnsi="Garamond"/>
        </w:rPr>
        <w:t xml:space="preserve"> </w:t>
      </w:r>
    </w:p>
    <w:p w14:paraId="428AE419" w14:textId="1DE53A8D" w:rsidR="00AB45D3" w:rsidRPr="006A74E0" w:rsidRDefault="00AB45D3" w:rsidP="00AB45D3">
      <w:pPr>
        <w:rPr>
          <w:rFonts w:ascii="Garamond" w:hAnsi="Garamond"/>
        </w:rPr>
        <w:sectPr w:rsidR="00AB45D3" w:rsidRPr="006A74E0" w:rsidSect="00571A0D">
          <w:footerReference w:type="default" r:id="rId8"/>
          <w:footerReference w:type="first" r:id="rId9"/>
          <w:endnotePr>
            <w:numFmt w:val="lowerLetter"/>
          </w:endnotePr>
          <w:pgSz w:w="12240" w:h="15840"/>
          <w:pgMar w:top="1440" w:right="450" w:bottom="1440" w:left="1080" w:header="720" w:footer="720" w:gutter="0"/>
          <w:cols w:space="720"/>
          <w:titlePg/>
          <w:docGrid w:linePitch="360"/>
        </w:sectPr>
      </w:pPr>
    </w:p>
    <w:p w14:paraId="655D7264" w14:textId="37F2F896" w:rsidR="00AC68E5" w:rsidRPr="00985335" w:rsidRDefault="00AC68E5" w:rsidP="007A57C4">
      <w:pPr>
        <w:contextualSpacing/>
        <w:jc w:val="center"/>
        <w:rPr>
          <w:rFonts w:ascii="Garamond" w:hAnsi="Garamond"/>
        </w:rPr>
      </w:pPr>
      <w:bookmarkStart w:id="17" w:name="_Toc17151136"/>
      <w:r w:rsidRPr="00985335">
        <w:rPr>
          <w:rFonts w:ascii="Garamond" w:hAnsi="Garamond"/>
          <w:b/>
          <w:bCs/>
        </w:rPr>
        <w:lastRenderedPageBreak/>
        <w:t>OVERVIEW of PROPOSED PROJECT AND FACTOR REVIEW</w:t>
      </w:r>
      <w:bookmarkEnd w:id="17"/>
    </w:p>
    <w:p w14:paraId="44AA3B60" w14:textId="77777777" w:rsidR="00AC68E5" w:rsidRDefault="00AC68E5" w:rsidP="007A57C4">
      <w:pPr>
        <w:contextualSpacing/>
        <w:rPr>
          <w:rFonts w:ascii="Garamond" w:hAnsi="Garamond"/>
        </w:rPr>
      </w:pPr>
    </w:p>
    <w:tbl>
      <w:tblPr>
        <w:tblStyle w:val="TableGrid"/>
        <w:tblW w:w="0" w:type="auto"/>
        <w:tblInd w:w="-635" w:type="dxa"/>
        <w:tblLook w:val="04A0" w:firstRow="1" w:lastRow="0" w:firstColumn="1" w:lastColumn="0" w:noHBand="0" w:noVBand="1"/>
        <w:tblCaption w:val="Overview of Proposed Project and Factor Review"/>
        <w:tblDescription w:val="&#10;Description of Proposed Project Component &#10;What’s Needed to Meet Factor 1: Demonstration of need; improved health outcomes and quality of life; assurances of health equity; continuity and coordination of care; evidence of community engagement; and competition on recognized measures of health care spending.&#10; &#10;What’s Needed to Meet Factor 2: Demonstration of cost containment, improved public health outcomes, and delivery system transformation.&#10; &#10;Factors 3 &amp; 4 &#10; Staff Report finds&#10; MEETS MEETS MEETS&#10;PAM Cubed, LLC, the Applicant, proposes to become the owner of Curahealth Stoughton, LLC, a long-term acute care hospital (LTCH) located in Stoughton, Massachusetts (the Hospital).    &#10;"/>
      </w:tblPr>
      <w:tblGrid>
        <w:gridCol w:w="3150"/>
        <w:gridCol w:w="5490"/>
        <w:gridCol w:w="3870"/>
        <w:gridCol w:w="1795"/>
      </w:tblGrid>
      <w:tr w:rsidR="00423590" w14:paraId="20B131E2" w14:textId="77777777" w:rsidTr="00C8214E">
        <w:trPr>
          <w:tblHeader/>
        </w:trPr>
        <w:tc>
          <w:tcPr>
            <w:tcW w:w="3150" w:type="dxa"/>
            <w:shd w:val="clear" w:color="auto" w:fill="BFC8E1" w:themeFill="accent1" w:themeFillTint="66"/>
          </w:tcPr>
          <w:p w14:paraId="7CD58E5D" w14:textId="77777777" w:rsidR="00423590" w:rsidRPr="007B6BF9" w:rsidRDefault="00423590" w:rsidP="00423590">
            <w:pPr>
              <w:contextualSpacing/>
              <w:rPr>
                <w:rFonts w:ascii="Garamond" w:hAnsi="Garamond" w:cstheme="majorHAnsi"/>
                <w:b/>
                <w:bCs/>
              </w:rPr>
            </w:pPr>
          </w:p>
          <w:p w14:paraId="0716F42B" w14:textId="27C37C79" w:rsidR="00423590" w:rsidRDefault="00423590" w:rsidP="00423590">
            <w:pPr>
              <w:tabs>
                <w:tab w:val="left" w:pos="9015"/>
              </w:tabs>
              <w:rPr>
                <w:rFonts w:ascii="Garamond" w:hAnsi="Garamond"/>
              </w:rPr>
            </w:pPr>
            <w:r w:rsidRPr="007B6BF9">
              <w:rPr>
                <w:rFonts w:ascii="Garamond" w:hAnsi="Garamond" w:cstheme="majorHAnsi"/>
              </w:rPr>
              <w:t>Description of Proposed Project Component</w:t>
            </w:r>
          </w:p>
        </w:tc>
        <w:tc>
          <w:tcPr>
            <w:tcW w:w="5490" w:type="dxa"/>
            <w:tcBorders>
              <w:bottom w:val="single" w:sz="4" w:space="0" w:color="auto"/>
            </w:tcBorders>
            <w:shd w:val="clear" w:color="auto" w:fill="BFC8E1" w:themeFill="accent1" w:themeFillTint="66"/>
          </w:tcPr>
          <w:p w14:paraId="6E32A562" w14:textId="77777777" w:rsidR="00423590" w:rsidRPr="007B6BF9" w:rsidRDefault="00423590" w:rsidP="00423590">
            <w:pPr>
              <w:contextualSpacing/>
              <w:rPr>
                <w:rFonts w:ascii="Garamond" w:hAnsi="Garamond" w:cstheme="majorHAnsi"/>
              </w:rPr>
            </w:pPr>
          </w:p>
          <w:p w14:paraId="27FF9B1C" w14:textId="77777777" w:rsidR="00423590" w:rsidRPr="007B6BF9" w:rsidRDefault="00423590" w:rsidP="00423590">
            <w:pPr>
              <w:contextualSpacing/>
              <w:rPr>
                <w:rFonts w:ascii="Garamond" w:hAnsi="Garamond" w:cstheme="majorHAnsi"/>
              </w:rPr>
            </w:pPr>
            <w:r w:rsidRPr="00423590">
              <w:rPr>
                <w:rFonts w:ascii="Garamond" w:hAnsi="Garamond" w:cstheme="majorHAnsi"/>
                <w:b/>
                <w:bCs/>
              </w:rPr>
              <w:t>What’s Needed to Meet Factor 1: Demonstration of</w:t>
            </w:r>
            <w:r w:rsidRPr="007B6BF9">
              <w:rPr>
                <w:rFonts w:ascii="Garamond" w:hAnsi="Garamond" w:cstheme="majorHAnsi"/>
              </w:rPr>
              <w:t xml:space="preserve"> need; improved health outcomes and quality of life; assurances of health equity; continuity and coordination of care; evidence of community engagement; and competition on recognized measures of health care spending.</w:t>
            </w:r>
          </w:p>
          <w:p w14:paraId="16A1C37B" w14:textId="77777777" w:rsidR="00423590" w:rsidRDefault="00423590" w:rsidP="00423590">
            <w:pPr>
              <w:tabs>
                <w:tab w:val="left" w:pos="9015"/>
              </w:tabs>
              <w:rPr>
                <w:rFonts w:ascii="Garamond" w:hAnsi="Garamond"/>
              </w:rPr>
            </w:pPr>
          </w:p>
        </w:tc>
        <w:tc>
          <w:tcPr>
            <w:tcW w:w="3870" w:type="dxa"/>
            <w:tcBorders>
              <w:bottom w:val="single" w:sz="4" w:space="0" w:color="auto"/>
            </w:tcBorders>
            <w:shd w:val="clear" w:color="auto" w:fill="BFC8E1" w:themeFill="accent1" w:themeFillTint="66"/>
          </w:tcPr>
          <w:p w14:paraId="13EE5A6A" w14:textId="77777777" w:rsidR="00423590" w:rsidRPr="007B6BF9" w:rsidRDefault="00423590" w:rsidP="00423590">
            <w:pPr>
              <w:contextualSpacing/>
              <w:rPr>
                <w:rFonts w:ascii="Garamond" w:hAnsi="Garamond" w:cstheme="majorHAnsi"/>
              </w:rPr>
            </w:pPr>
          </w:p>
          <w:p w14:paraId="3A0F54CC" w14:textId="77777777" w:rsidR="00423590" w:rsidRPr="007B6BF9" w:rsidRDefault="00423590" w:rsidP="00423590">
            <w:pPr>
              <w:contextualSpacing/>
              <w:rPr>
                <w:rFonts w:ascii="Garamond" w:hAnsi="Garamond" w:cstheme="majorHAnsi"/>
                <w:b/>
                <w:bCs/>
              </w:rPr>
            </w:pPr>
            <w:r w:rsidRPr="00423590">
              <w:rPr>
                <w:rFonts w:ascii="Garamond" w:hAnsi="Garamond" w:cstheme="majorHAnsi"/>
                <w:b/>
                <w:bCs/>
              </w:rPr>
              <w:t>What’s Needed to Meet Factor 2: Demonstration of</w:t>
            </w:r>
            <w:r w:rsidRPr="007B6BF9">
              <w:rPr>
                <w:rFonts w:ascii="Garamond" w:hAnsi="Garamond" w:cstheme="majorHAnsi"/>
              </w:rPr>
              <w:t xml:space="preserve"> cost containment, improved public health outcomes, and delivery system transformation.</w:t>
            </w:r>
          </w:p>
          <w:p w14:paraId="56D4FF74" w14:textId="77777777" w:rsidR="00423590" w:rsidRDefault="00423590" w:rsidP="00423590">
            <w:pPr>
              <w:tabs>
                <w:tab w:val="left" w:pos="9015"/>
              </w:tabs>
              <w:rPr>
                <w:rFonts w:ascii="Garamond" w:hAnsi="Garamond"/>
              </w:rPr>
            </w:pPr>
          </w:p>
        </w:tc>
        <w:tc>
          <w:tcPr>
            <w:tcW w:w="1795" w:type="dxa"/>
            <w:tcBorders>
              <w:bottom w:val="single" w:sz="4" w:space="0" w:color="auto"/>
            </w:tcBorders>
            <w:shd w:val="clear" w:color="auto" w:fill="BFC8E1" w:themeFill="accent1" w:themeFillTint="66"/>
          </w:tcPr>
          <w:p w14:paraId="4F800F00" w14:textId="77777777" w:rsidR="00423590" w:rsidRPr="007B6BF9" w:rsidRDefault="00423590" w:rsidP="00423590">
            <w:pPr>
              <w:ind w:left="146"/>
              <w:contextualSpacing/>
              <w:rPr>
                <w:rFonts w:ascii="Garamond" w:hAnsi="Garamond" w:cstheme="majorHAnsi"/>
                <w:b/>
                <w:bCs/>
              </w:rPr>
            </w:pPr>
          </w:p>
          <w:p w14:paraId="4458E0B4" w14:textId="7ECC584D" w:rsidR="00423590" w:rsidRDefault="00423590" w:rsidP="00423590">
            <w:pPr>
              <w:tabs>
                <w:tab w:val="left" w:pos="9015"/>
              </w:tabs>
              <w:rPr>
                <w:rFonts w:ascii="Garamond" w:hAnsi="Garamond"/>
              </w:rPr>
            </w:pPr>
            <w:r w:rsidRPr="007B6BF9">
              <w:rPr>
                <w:rFonts w:ascii="Garamond" w:hAnsi="Garamond" w:cstheme="majorHAnsi"/>
              </w:rPr>
              <w:t>Factors 3</w:t>
            </w:r>
            <w:r>
              <w:rPr>
                <w:rFonts w:ascii="Garamond" w:hAnsi="Garamond" w:cstheme="majorHAnsi"/>
                <w:b/>
                <w:bCs/>
              </w:rPr>
              <w:t xml:space="preserve"> </w:t>
            </w:r>
            <w:r w:rsidRPr="00423590">
              <w:rPr>
                <w:rFonts w:ascii="Garamond" w:hAnsi="Garamond" w:cstheme="majorHAnsi"/>
              </w:rPr>
              <w:t>&amp; 4</w:t>
            </w:r>
            <w:r w:rsidRPr="007B6BF9">
              <w:rPr>
                <w:rFonts w:ascii="Garamond" w:hAnsi="Garamond" w:cstheme="majorHAnsi"/>
                <w:vertAlign w:val="superscript"/>
              </w:rPr>
              <w:footnoteReference w:id="2"/>
            </w:r>
          </w:p>
        </w:tc>
      </w:tr>
      <w:tr w:rsidR="00423590" w14:paraId="78F6C20C" w14:textId="77777777" w:rsidTr="00423590">
        <w:tc>
          <w:tcPr>
            <w:tcW w:w="3150" w:type="dxa"/>
            <w:vMerge w:val="restart"/>
            <w:tcBorders>
              <w:right w:val="single" w:sz="4" w:space="0" w:color="9FACD2"/>
            </w:tcBorders>
            <w:shd w:val="clear" w:color="auto" w:fill="DFE3F0" w:themeFill="accent1" w:themeFillTint="33"/>
          </w:tcPr>
          <w:p w14:paraId="48D3726F" w14:textId="77777777" w:rsidR="00423590" w:rsidRDefault="00423590" w:rsidP="009A65F6">
            <w:pPr>
              <w:tabs>
                <w:tab w:val="left" w:pos="9015"/>
              </w:tabs>
              <w:rPr>
                <w:rFonts w:ascii="Garamond" w:hAnsi="Garamond"/>
              </w:rPr>
            </w:pPr>
            <w:bookmarkStart w:id="18" w:name="_GoBack" w:colFirst="0" w:colLast="0"/>
          </w:p>
        </w:tc>
        <w:tc>
          <w:tcPr>
            <w:tcW w:w="11155" w:type="dxa"/>
            <w:gridSpan w:val="3"/>
            <w:tcBorders>
              <w:left w:val="single" w:sz="4" w:space="0" w:color="9FACD2"/>
              <w:bottom w:val="single" w:sz="4" w:space="0" w:color="9FACD2" w:themeColor="accent1" w:themeTint="99"/>
            </w:tcBorders>
            <w:shd w:val="clear" w:color="auto" w:fill="DFE3F0" w:themeFill="accent1" w:themeFillTint="33"/>
          </w:tcPr>
          <w:p w14:paraId="322CBA60" w14:textId="2824FF51" w:rsidR="00423590" w:rsidRDefault="00423590" w:rsidP="00423590">
            <w:pPr>
              <w:tabs>
                <w:tab w:val="left" w:pos="9015"/>
              </w:tabs>
              <w:jc w:val="center"/>
              <w:rPr>
                <w:rFonts w:ascii="Garamond" w:hAnsi="Garamond"/>
              </w:rPr>
            </w:pPr>
            <w:r w:rsidRPr="007B6BF9">
              <w:rPr>
                <w:rFonts w:ascii="Garamond" w:hAnsi="Garamond" w:cstheme="majorHAnsi"/>
                <w:b/>
                <w:i/>
                <w:iCs/>
              </w:rPr>
              <w:t>Staff Report finds</w:t>
            </w:r>
          </w:p>
        </w:tc>
      </w:tr>
      <w:bookmarkEnd w:id="18"/>
      <w:tr w:rsidR="00423590" w14:paraId="48D3DD70" w14:textId="77777777" w:rsidTr="00423590">
        <w:tc>
          <w:tcPr>
            <w:tcW w:w="3150" w:type="dxa"/>
            <w:vMerge/>
            <w:tcBorders>
              <w:bottom w:val="single" w:sz="4" w:space="0" w:color="9FACD2"/>
              <w:right w:val="single" w:sz="4" w:space="0" w:color="9FACD2" w:themeColor="accent1" w:themeTint="99"/>
            </w:tcBorders>
            <w:shd w:val="clear" w:color="auto" w:fill="DFE3F0" w:themeFill="accent1" w:themeFillTint="33"/>
          </w:tcPr>
          <w:p w14:paraId="2D7F4A03" w14:textId="77777777" w:rsidR="00423590" w:rsidRDefault="00423590" w:rsidP="00423590">
            <w:pPr>
              <w:tabs>
                <w:tab w:val="left" w:pos="9015"/>
              </w:tabs>
              <w:rPr>
                <w:rFonts w:ascii="Garamond" w:hAnsi="Garamond"/>
              </w:rPr>
            </w:pPr>
          </w:p>
        </w:tc>
        <w:tc>
          <w:tcPr>
            <w:tcW w:w="5490" w:type="dxa"/>
            <w:tcBorders>
              <w:top w:val="single" w:sz="4" w:space="0" w:color="9FACD2" w:themeColor="accent1" w:themeTint="99"/>
              <w:left w:val="single" w:sz="4" w:space="0" w:color="9FACD2" w:themeColor="accent1" w:themeTint="99"/>
              <w:bottom w:val="single" w:sz="4" w:space="0" w:color="9FACD2" w:themeColor="accent1" w:themeTint="99"/>
              <w:right w:val="single" w:sz="4" w:space="0" w:color="9FACD2" w:themeColor="accent1" w:themeTint="99"/>
            </w:tcBorders>
            <w:shd w:val="clear" w:color="auto" w:fill="DFE3F0" w:themeFill="accent1" w:themeFillTint="33"/>
          </w:tcPr>
          <w:p w14:paraId="07470E1D" w14:textId="129AFBBB" w:rsidR="00423590" w:rsidRPr="00423590" w:rsidRDefault="00423590" w:rsidP="00423590">
            <w:pPr>
              <w:contextualSpacing/>
              <w:jc w:val="center"/>
              <w:rPr>
                <w:rFonts w:ascii="Garamond" w:hAnsi="Garamond" w:cstheme="majorHAnsi"/>
                <w:b/>
                <w:bCs/>
                <w:smallCaps/>
              </w:rPr>
            </w:pPr>
            <w:r w:rsidRPr="007B6BF9">
              <w:rPr>
                <w:rFonts w:ascii="Garamond" w:hAnsi="Garamond" w:cstheme="majorHAnsi"/>
                <w:b/>
                <w:bCs/>
                <w:smallCaps/>
              </w:rPr>
              <w:t>MEETS</w:t>
            </w:r>
          </w:p>
        </w:tc>
        <w:tc>
          <w:tcPr>
            <w:tcW w:w="3870" w:type="dxa"/>
            <w:tcBorders>
              <w:top w:val="single" w:sz="4" w:space="0" w:color="9FACD2" w:themeColor="accent1" w:themeTint="99"/>
              <w:left w:val="single" w:sz="4" w:space="0" w:color="9FACD2" w:themeColor="accent1" w:themeTint="99"/>
              <w:bottom w:val="single" w:sz="4" w:space="0" w:color="9FACD2" w:themeColor="accent1" w:themeTint="99"/>
              <w:right w:val="single" w:sz="4" w:space="0" w:color="9FACD2" w:themeColor="accent1" w:themeTint="99"/>
            </w:tcBorders>
            <w:shd w:val="clear" w:color="auto" w:fill="DFE3F0" w:themeFill="accent1" w:themeFillTint="33"/>
          </w:tcPr>
          <w:p w14:paraId="4BF52AC7" w14:textId="2B96128A" w:rsidR="00423590" w:rsidRPr="00423590" w:rsidRDefault="00423590" w:rsidP="00423590">
            <w:pPr>
              <w:contextualSpacing/>
              <w:jc w:val="center"/>
              <w:rPr>
                <w:rFonts w:ascii="Garamond" w:hAnsi="Garamond" w:cstheme="majorHAnsi"/>
                <w:b/>
                <w:bCs/>
                <w:smallCaps/>
              </w:rPr>
            </w:pPr>
            <w:r w:rsidRPr="007B6BF9">
              <w:rPr>
                <w:rFonts w:ascii="Garamond" w:hAnsi="Garamond" w:cstheme="majorHAnsi"/>
                <w:b/>
                <w:bCs/>
                <w:smallCaps/>
              </w:rPr>
              <w:t>MEETS</w:t>
            </w:r>
          </w:p>
        </w:tc>
        <w:tc>
          <w:tcPr>
            <w:tcW w:w="1795" w:type="dxa"/>
            <w:tcBorders>
              <w:top w:val="single" w:sz="4" w:space="0" w:color="9FACD2" w:themeColor="accent1" w:themeTint="99"/>
              <w:left w:val="single" w:sz="4" w:space="0" w:color="9FACD2" w:themeColor="accent1" w:themeTint="99"/>
              <w:bottom w:val="single" w:sz="4" w:space="0" w:color="9FACD2" w:themeColor="accent1" w:themeTint="99"/>
              <w:right w:val="single" w:sz="4" w:space="0" w:color="9FACD2" w:themeColor="accent1" w:themeTint="99"/>
            </w:tcBorders>
            <w:shd w:val="clear" w:color="auto" w:fill="DFE3F0" w:themeFill="accent1" w:themeFillTint="33"/>
          </w:tcPr>
          <w:p w14:paraId="1776EFA2" w14:textId="3751F26E" w:rsidR="00423590" w:rsidRPr="00423590" w:rsidRDefault="00423590" w:rsidP="00423590">
            <w:pPr>
              <w:contextualSpacing/>
              <w:jc w:val="center"/>
              <w:rPr>
                <w:rFonts w:ascii="Garamond" w:hAnsi="Garamond" w:cstheme="majorHAnsi"/>
                <w:b/>
                <w:bCs/>
                <w:smallCaps/>
              </w:rPr>
            </w:pPr>
            <w:r w:rsidRPr="007B6BF9">
              <w:rPr>
                <w:rFonts w:ascii="Garamond" w:hAnsi="Garamond" w:cstheme="majorHAnsi"/>
                <w:b/>
                <w:bCs/>
                <w:smallCaps/>
              </w:rPr>
              <w:t>MEETS</w:t>
            </w:r>
          </w:p>
        </w:tc>
      </w:tr>
      <w:tr w:rsidR="00423590" w14:paraId="08A764F5" w14:textId="77777777" w:rsidTr="00423590">
        <w:tc>
          <w:tcPr>
            <w:tcW w:w="3150" w:type="dxa"/>
            <w:tcBorders>
              <w:top w:val="single" w:sz="4" w:space="0" w:color="9FACD2"/>
              <w:bottom w:val="single" w:sz="4" w:space="0" w:color="9FACD2"/>
              <w:right w:val="single" w:sz="4" w:space="0" w:color="9FACD2"/>
            </w:tcBorders>
            <w:shd w:val="clear" w:color="auto" w:fill="DFE3F0" w:themeFill="accent1" w:themeFillTint="33"/>
          </w:tcPr>
          <w:p w14:paraId="02E2E563" w14:textId="27C642DF" w:rsidR="00423590" w:rsidRDefault="00AB45F3" w:rsidP="009A65F6">
            <w:pPr>
              <w:tabs>
                <w:tab w:val="left" w:pos="9015"/>
              </w:tabs>
              <w:rPr>
                <w:rFonts w:ascii="Garamond" w:hAnsi="Garamond"/>
              </w:rPr>
            </w:pPr>
            <w:r w:rsidRPr="00AB45F3">
              <w:rPr>
                <w:rFonts w:ascii="Garamond" w:hAnsi="Garamond"/>
              </w:rPr>
              <w:t>PAM Cubed, LLC, the Applicant, proposes to become the owner of Curahealth Stoughton, LLC, a long-term acute care hospital (LTCH) located in Stoughton, Massachusetts (the Hospital).</w:t>
            </w:r>
          </w:p>
        </w:tc>
        <w:tc>
          <w:tcPr>
            <w:tcW w:w="5490" w:type="dxa"/>
            <w:tcBorders>
              <w:top w:val="single" w:sz="4" w:space="0" w:color="9FACD2" w:themeColor="accent1" w:themeTint="99"/>
              <w:left w:val="single" w:sz="4" w:space="0" w:color="9FACD2"/>
              <w:bottom w:val="single" w:sz="4" w:space="0" w:color="9FACD2" w:themeColor="accent1" w:themeTint="99"/>
              <w:right w:val="single" w:sz="4" w:space="0" w:color="9FACD2" w:themeColor="accent1" w:themeTint="99"/>
            </w:tcBorders>
            <w:shd w:val="clear" w:color="auto" w:fill="DFE3F0" w:themeFill="accent1" w:themeFillTint="33"/>
          </w:tcPr>
          <w:p w14:paraId="5586B652" w14:textId="04EA8AB9" w:rsidR="00423590" w:rsidRPr="00423590" w:rsidRDefault="00373F13" w:rsidP="00423590">
            <w:pPr>
              <w:contextualSpacing/>
              <w:jc w:val="center"/>
              <w:rPr>
                <w:rFonts w:ascii="Garamond" w:hAnsi="Garamond" w:cstheme="majorHAnsi"/>
                <w:b/>
                <w:bCs/>
                <w:smallCaps/>
              </w:rPr>
            </w:pPr>
            <w:r w:rsidRPr="007B6BF9">
              <w:rPr>
                <w:rFonts w:ascii="Garamond" w:hAnsi="Garamond" w:cstheme="majorHAnsi"/>
              </w:rPr>
              <w:sym w:font="Wingdings 2" w:char="F050"/>
            </w:r>
          </w:p>
        </w:tc>
        <w:tc>
          <w:tcPr>
            <w:tcW w:w="3870" w:type="dxa"/>
            <w:tcBorders>
              <w:top w:val="single" w:sz="4" w:space="0" w:color="9FACD2" w:themeColor="accent1" w:themeTint="99"/>
              <w:left w:val="single" w:sz="4" w:space="0" w:color="9FACD2" w:themeColor="accent1" w:themeTint="99"/>
              <w:bottom w:val="single" w:sz="4" w:space="0" w:color="9FACD2" w:themeColor="accent1" w:themeTint="99"/>
              <w:right w:val="single" w:sz="4" w:space="0" w:color="9FACD2" w:themeColor="accent1" w:themeTint="99"/>
            </w:tcBorders>
            <w:shd w:val="clear" w:color="auto" w:fill="DFE3F0" w:themeFill="accent1" w:themeFillTint="33"/>
          </w:tcPr>
          <w:p w14:paraId="2C0D39D7" w14:textId="4829C2A6" w:rsidR="00423590" w:rsidRPr="00423590" w:rsidRDefault="00373F13" w:rsidP="00423590">
            <w:pPr>
              <w:contextualSpacing/>
              <w:jc w:val="center"/>
              <w:rPr>
                <w:rFonts w:ascii="Garamond" w:hAnsi="Garamond" w:cstheme="majorHAnsi"/>
                <w:b/>
                <w:bCs/>
                <w:smallCaps/>
              </w:rPr>
            </w:pPr>
            <w:r w:rsidRPr="007B6BF9">
              <w:rPr>
                <w:rFonts w:ascii="Garamond" w:hAnsi="Garamond" w:cstheme="majorHAnsi"/>
              </w:rPr>
              <w:sym w:font="Wingdings 2" w:char="F050"/>
            </w:r>
          </w:p>
        </w:tc>
        <w:tc>
          <w:tcPr>
            <w:tcW w:w="1795" w:type="dxa"/>
            <w:tcBorders>
              <w:top w:val="single" w:sz="4" w:space="0" w:color="9FACD2" w:themeColor="accent1" w:themeTint="99"/>
              <w:left w:val="single" w:sz="4" w:space="0" w:color="9FACD2" w:themeColor="accent1" w:themeTint="99"/>
              <w:bottom w:val="single" w:sz="4" w:space="0" w:color="9FACD2" w:themeColor="accent1" w:themeTint="99"/>
              <w:right w:val="single" w:sz="4" w:space="0" w:color="9FACD2" w:themeColor="accent1" w:themeTint="99"/>
            </w:tcBorders>
            <w:shd w:val="clear" w:color="auto" w:fill="DFE3F0" w:themeFill="accent1" w:themeFillTint="33"/>
          </w:tcPr>
          <w:p w14:paraId="1270B39E" w14:textId="13D5374F" w:rsidR="00423590" w:rsidRPr="00423590" w:rsidRDefault="00373F13" w:rsidP="00423590">
            <w:pPr>
              <w:contextualSpacing/>
              <w:jc w:val="center"/>
              <w:rPr>
                <w:rFonts w:ascii="Garamond" w:hAnsi="Garamond" w:cstheme="majorHAnsi"/>
                <w:b/>
                <w:bCs/>
                <w:smallCaps/>
              </w:rPr>
            </w:pPr>
            <w:r w:rsidRPr="00AE0E25">
              <w:rPr>
                <w:rFonts w:ascii="Garamond" w:hAnsi="Garamond" w:cstheme="majorHAnsi"/>
              </w:rPr>
              <w:sym w:font="Wingdings 2" w:char="F050"/>
            </w:r>
            <w:r w:rsidRPr="00AE0E25">
              <w:rPr>
                <w:rFonts w:ascii="Garamond" w:hAnsi="Garamond" w:cstheme="majorHAnsi"/>
              </w:rPr>
              <w:t xml:space="preserve"> </w:t>
            </w:r>
          </w:p>
        </w:tc>
      </w:tr>
    </w:tbl>
    <w:p w14:paraId="18803BEF" w14:textId="6FB58E59" w:rsidR="00337508" w:rsidRDefault="00337508" w:rsidP="009A65F6">
      <w:pPr>
        <w:tabs>
          <w:tab w:val="left" w:pos="9015"/>
        </w:tabs>
        <w:rPr>
          <w:rFonts w:ascii="Garamond" w:hAnsi="Garamond"/>
        </w:rPr>
      </w:pPr>
      <w:r>
        <w:rPr>
          <w:rFonts w:ascii="Garamond" w:hAnsi="Garamond"/>
        </w:rPr>
        <w:tab/>
      </w:r>
    </w:p>
    <w:p w14:paraId="39339322" w14:textId="0D221613" w:rsidR="00C04222" w:rsidRDefault="00337508" w:rsidP="009A65F6">
      <w:pPr>
        <w:tabs>
          <w:tab w:val="left" w:pos="9015"/>
        </w:tabs>
        <w:rPr>
          <w:rFonts w:ascii="Garamond" w:hAnsi="Garamond"/>
        </w:rPr>
        <w:sectPr w:rsidR="00C04222" w:rsidSect="00076B1A">
          <w:endnotePr>
            <w:numFmt w:val="lowerLetter"/>
          </w:endnotePr>
          <w:pgSz w:w="15840" w:h="12240" w:orient="landscape"/>
          <w:pgMar w:top="360" w:right="1080" w:bottom="1440" w:left="1080" w:header="720" w:footer="720" w:gutter="0"/>
          <w:cols w:space="720"/>
          <w:docGrid w:linePitch="360"/>
        </w:sectPr>
      </w:pPr>
      <w:r>
        <w:rPr>
          <w:rFonts w:ascii="Garamond" w:hAnsi="Garamond"/>
        </w:rPr>
        <w:tab/>
      </w:r>
    </w:p>
    <w:p w14:paraId="0AA04078" w14:textId="6383AF2D" w:rsidR="0060259B" w:rsidRDefault="0060259B" w:rsidP="007A57C4">
      <w:pPr>
        <w:pStyle w:val="Heading1"/>
        <w:spacing w:line="240" w:lineRule="auto"/>
        <w:rPr>
          <w:rFonts w:ascii="Garamond" w:hAnsi="Garamond"/>
        </w:rPr>
      </w:pPr>
      <w:bookmarkStart w:id="19" w:name="_Toc88515721"/>
      <w:bookmarkStart w:id="20" w:name="_Toc17151135"/>
      <w:bookmarkStart w:id="21" w:name="_Toc17731308"/>
      <w:bookmarkStart w:id="22" w:name="_Toc18420176"/>
      <w:bookmarkStart w:id="23" w:name="_Toc18922397"/>
      <w:bookmarkStart w:id="24" w:name="_Toc27567690"/>
      <w:bookmarkStart w:id="25" w:name="_Toc17151137"/>
      <w:r w:rsidRPr="00EF6E86">
        <w:rPr>
          <w:rFonts w:ascii="Garamond" w:hAnsi="Garamond"/>
        </w:rPr>
        <w:lastRenderedPageBreak/>
        <w:t>Patient Panel</w:t>
      </w:r>
      <w:r w:rsidRPr="00EF6E86">
        <w:rPr>
          <w:rFonts w:ascii="Garamond" w:hAnsi="Garamond"/>
          <w:b w:val="0"/>
          <w:vertAlign w:val="superscript"/>
        </w:rPr>
        <w:footnoteReference w:id="3"/>
      </w:r>
      <w:bookmarkEnd w:id="19"/>
    </w:p>
    <w:p w14:paraId="6B4FF3BF" w14:textId="18892ED9" w:rsidR="00F729FA" w:rsidRDefault="00AE3143" w:rsidP="00AB45F3">
      <w:pPr>
        <w:rPr>
          <w:rFonts w:ascii="Garamond" w:hAnsi="Garamond"/>
        </w:rPr>
      </w:pPr>
      <w:r>
        <w:rPr>
          <w:rFonts w:ascii="Garamond" w:hAnsi="Garamond"/>
        </w:rPr>
        <w:t xml:space="preserve">PAM does not currently own any health care facilities in Massachusetts. As such, the Patient Panel for </w:t>
      </w:r>
      <w:r w:rsidR="00FA1470">
        <w:rPr>
          <w:rFonts w:ascii="Garamond" w:hAnsi="Garamond"/>
        </w:rPr>
        <w:t>t</w:t>
      </w:r>
      <w:r w:rsidR="000F3DAD">
        <w:rPr>
          <w:rFonts w:ascii="Garamond" w:hAnsi="Garamond"/>
        </w:rPr>
        <w:t xml:space="preserve">he Hospital </w:t>
      </w:r>
      <w:r>
        <w:rPr>
          <w:rFonts w:ascii="Garamond" w:hAnsi="Garamond"/>
        </w:rPr>
        <w:t xml:space="preserve">will be evaluated. </w:t>
      </w:r>
      <w:r w:rsidR="00681110">
        <w:rPr>
          <w:rFonts w:ascii="Garamond" w:hAnsi="Garamond"/>
        </w:rPr>
        <w:t xml:space="preserve">Curahealth </w:t>
      </w:r>
      <w:r w:rsidR="00AB45F3" w:rsidRPr="00AB45F3">
        <w:rPr>
          <w:rFonts w:ascii="Garamond" w:hAnsi="Garamond"/>
        </w:rPr>
        <w:t xml:space="preserve">is a </w:t>
      </w:r>
      <w:r w:rsidR="003369A0">
        <w:rPr>
          <w:rFonts w:ascii="Garamond" w:hAnsi="Garamond"/>
        </w:rPr>
        <w:t>long-term acute care hospital</w:t>
      </w:r>
      <w:r w:rsidR="002E1837">
        <w:rPr>
          <w:rStyle w:val="FootnoteReference"/>
          <w:rFonts w:ascii="Garamond" w:hAnsi="Garamond"/>
        </w:rPr>
        <w:footnoteReference w:id="4"/>
      </w:r>
      <w:r w:rsidR="003369A0">
        <w:rPr>
          <w:rFonts w:ascii="Garamond" w:hAnsi="Garamond"/>
        </w:rPr>
        <w:t xml:space="preserve"> (</w:t>
      </w:r>
      <w:r w:rsidR="00AB45F3" w:rsidRPr="00AB45F3">
        <w:rPr>
          <w:rFonts w:ascii="Garamond" w:hAnsi="Garamond"/>
        </w:rPr>
        <w:t>LTCH</w:t>
      </w:r>
      <w:r w:rsidR="003369A0">
        <w:rPr>
          <w:rFonts w:ascii="Garamond" w:hAnsi="Garamond"/>
        </w:rPr>
        <w:t>)</w:t>
      </w:r>
      <w:r w:rsidR="00AB45F3" w:rsidRPr="00AB45F3">
        <w:rPr>
          <w:rFonts w:ascii="Garamond" w:hAnsi="Garamond"/>
        </w:rPr>
        <w:t xml:space="preserve"> that is licensed by the Department of Public Health (DPH). As a</w:t>
      </w:r>
      <w:r w:rsidR="00422151">
        <w:rPr>
          <w:rFonts w:ascii="Garamond" w:hAnsi="Garamond"/>
        </w:rPr>
        <w:t>n</w:t>
      </w:r>
      <w:r w:rsidR="00AB45F3" w:rsidRPr="00AB45F3">
        <w:rPr>
          <w:rFonts w:ascii="Garamond" w:hAnsi="Garamond"/>
        </w:rPr>
        <w:t xml:space="preserve"> LTCH, the Hospital provides care to inpatients who have chronic needs and</w:t>
      </w:r>
      <w:r w:rsidR="003369A0">
        <w:rPr>
          <w:rFonts w:ascii="Garamond" w:hAnsi="Garamond"/>
        </w:rPr>
        <w:t xml:space="preserve"> </w:t>
      </w:r>
      <w:r w:rsidR="00AB45F3" w:rsidRPr="00AB45F3">
        <w:rPr>
          <w:rFonts w:ascii="Garamond" w:hAnsi="Garamond"/>
        </w:rPr>
        <w:t>require an average length of stay of greater than 25 days and a higher level of care than can be</w:t>
      </w:r>
      <w:r w:rsidR="007D6DD6">
        <w:rPr>
          <w:rFonts w:ascii="Garamond" w:hAnsi="Garamond"/>
        </w:rPr>
        <w:t xml:space="preserve"> </w:t>
      </w:r>
      <w:r w:rsidR="00AB45F3" w:rsidRPr="00AB45F3">
        <w:rPr>
          <w:rFonts w:ascii="Garamond" w:hAnsi="Garamond"/>
        </w:rPr>
        <w:t>provided in a skilled nursing facility</w:t>
      </w:r>
      <w:r w:rsidR="00614943">
        <w:rPr>
          <w:rFonts w:ascii="Garamond" w:hAnsi="Garamond"/>
        </w:rPr>
        <w:t xml:space="preserve"> (SNF)</w:t>
      </w:r>
      <w:r w:rsidR="00AB45F3" w:rsidRPr="00AB45F3">
        <w:rPr>
          <w:rFonts w:ascii="Garamond" w:hAnsi="Garamond"/>
        </w:rPr>
        <w:t>. The Hospital also provides long-stay psychiatric services to</w:t>
      </w:r>
      <w:r w:rsidR="007D6DD6">
        <w:rPr>
          <w:rFonts w:ascii="Garamond" w:hAnsi="Garamond"/>
        </w:rPr>
        <w:t xml:space="preserve"> </w:t>
      </w:r>
      <w:r w:rsidR="00AB45F3" w:rsidRPr="00AB45F3">
        <w:rPr>
          <w:rFonts w:ascii="Garamond" w:hAnsi="Garamond"/>
        </w:rPr>
        <w:t>a small patient population with traumatic brain injury (TBIs).</w:t>
      </w:r>
    </w:p>
    <w:p w14:paraId="24392B48" w14:textId="7B2190BF" w:rsidR="00EB3E34" w:rsidRDefault="00EB3E34" w:rsidP="00AB45F3">
      <w:pPr>
        <w:rPr>
          <w:rFonts w:ascii="Garamond" w:hAnsi="Garamond"/>
        </w:rPr>
      </w:pPr>
    </w:p>
    <w:p w14:paraId="4E54C1AB" w14:textId="5BB479C1" w:rsidR="007265F0" w:rsidRDefault="007265F0" w:rsidP="007265F0">
      <w:pPr>
        <w:pStyle w:val="Caption"/>
        <w:spacing w:after="0"/>
        <w:contextualSpacing/>
        <w:rPr>
          <w:rFonts w:ascii="Garamond" w:hAnsi="Garamond"/>
          <w:color w:val="42558C" w:themeColor="accent1" w:themeShade="BF"/>
          <w:sz w:val="24"/>
          <w:szCs w:val="24"/>
        </w:rPr>
      </w:pPr>
      <w:r>
        <w:rPr>
          <w:rFonts w:ascii="Garamond" w:hAnsi="Garamond"/>
          <w:color w:val="42558C" w:themeColor="accent1" w:themeShade="BF"/>
          <w:sz w:val="24"/>
          <w:szCs w:val="24"/>
        </w:rPr>
        <w:t xml:space="preserve">Table 1: </w:t>
      </w:r>
      <w:r w:rsidRPr="0098239B">
        <w:rPr>
          <w:rFonts w:ascii="Garamond" w:hAnsi="Garamond"/>
          <w:color w:val="42558C" w:themeColor="accent1" w:themeShade="BF"/>
          <w:sz w:val="24"/>
          <w:szCs w:val="24"/>
        </w:rPr>
        <w:t xml:space="preserve">Overview of </w:t>
      </w:r>
      <w:r>
        <w:rPr>
          <w:rFonts w:ascii="Garamond" w:hAnsi="Garamond"/>
          <w:color w:val="42558C" w:themeColor="accent1" w:themeShade="BF"/>
          <w:sz w:val="24"/>
          <w:szCs w:val="24"/>
        </w:rPr>
        <w:t>Curahealth Stoughton Patient Panel, FY18-FY20</w:t>
      </w:r>
    </w:p>
    <w:tbl>
      <w:tblPr>
        <w:tblStyle w:val="TableGrid"/>
        <w:tblW w:w="0" w:type="auto"/>
        <w:tblLook w:val="04A0" w:firstRow="1" w:lastRow="0" w:firstColumn="1" w:lastColumn="0" w:noHBand="0" w:noVBand="1"/>
        <w:tblCaption w:val="Table 1: Overview of Curahealth Stoughton Patient Panel, FY18-FY20"/>
        <w:tblDescription w:val=" 2018 2019 2020&#10;Number of Unique Patients Served &#10;240 &#10;227 &#10;278&#10;"/>
      </w:tblPr>
      <w:tblGrid>
        <w:gridCol w:w="2420"/>
        <w:gridCol w:w="1780"/>
        <w:gridCol w:w="1780"/>
        <w:gridCol w:w="1780"/>
      </w:tblGrid>
      <w:tr w:rsidR="007265F0" w14:paraId="37B54C2E" w14:textId="77777777" w:rsidTr="00C8214E">
        <w:trPr>
          <w:trHeight w:val="368"/>
          <w:tblHeader/>
        </w:trPr>
        <w:tc>
          <w:tcPr>
            <w:tcW w:w="2420" w:type="dxa"/>
            <w:shd w:val="clear" w:color="auto" w:fill="auto"/>
          </w:tcPr>
          <w:p w14:paraId="2496AC3E" w14:textId="77777777" w:rsidR="007265F0" w:rsidRPr="001E36A8" w:rsidRDefault="007265F0" w:rsidP="00A14CEB">
            <w:pPr>
              <w:rPr>
                <w:rFonts w:ascii="Garamond" w:hAnsi="Garamond"/>
              </w:rPr>
            </w:pPr>
          </w:p>
        </w:tc>
        <w:tc>
          <w:tcPr>
            <w:tcW w:w="1780" w:type="dxa"/>
            <w:shd w:val="clear" w:color="auto" w:fill="auto"/>
          </w:tcPr>
          <w:p w14:paraId="032C2AFA" w14:textId="20A2A18A" w:rsidR="007265F0" w:rsidRPr="001E36A8" w:rsidRDefault="007265F0" w:rsidP="001E36A8">
            <w:pPr>
              <w:jc w:val="center"/>
              <w:rPr>
                <w:rFonts w:ascii="Garamond" w:eastAsia="Calibri" w:hAnsi="Garamond" w:cs="Calibri"/>
                <w:b/>
              </w:rPr>
            </w:pPr>
            <w:r w:rsidRPr="001E36A8">
              <w:rPr>
                <w:rFonts w:ascii="Garamond" w:eastAsia="Calibri" w:hAnsi="Garamond" w:cs="Calibri"/>
                <w:b/>
              </w:rPr>
              <w:t>2018</w:t>
            </w:r>
          </w:p>
        </w:tc>
        <w:tc>
          <w:tcPr>
            <w:tcW w:w="1780" w:type="dxa"/>
            <w:shd w:val="clear" w:color="auto" w:fill="auto"/>
          </w:tcPr>
          <w:p w14:paraId="5A317454" w14:textId="6EEF6C71" w:rsidR="007265F0" w:rsidRPr="001E36A8" w:rsidRDefault="007265F0" w:rsidP="001E36A8">
            <w:pPr>
              <w:jc w:val="center"/>
              <w:rPr>
                <w:rFonts w:ascii="Garamond" w:eastAsia="Calibri" w:hAnsi="Garamond" w:cs="Calibri"/>
                <w:b/>
              </w:rPr>
            </w:pPr>
            <w:r w:rsidRPr="001E36A8">
              <w:rPr>
                <w:rFonts w:ascii="Garamond" w:eastAsia="Calibri" w:hAnsi="Garamond" w:cs="Calibri"/>
                <w:b/>
              </w:rPr>
              <w:t>2019</w:t>
            </w:r>
          </w:p>
        </w:tc>
        <w:tc>
          <w:tcPr>
            <w:tcW w:w="1780" w:type="dxa"/>
            <w:shd w:val="clear" w:color="auto" w:fill="auto"/>
          </w:tcPr>
          <w:p w14:paraId="1D754A6F" w14:textId="6B40F290" w:rsidR="007265F0" w:rsidRPr="001E36A8" w:rsidRDefault="007265F0" w:rsidP="001E36A8">
            <w:pPr>
              <w:jc w:val="center"/>
              <w:rPr>
                <w:rFonts w:ascii="Garamond" w:eastAsia="Calibri" w:hAnsi="Garamond" w:cs="Calibri"/>
                <w:b/>
              </w:rPr>
            </w:pPr>
            <w:r w:rsidRPr="001E36A8">
              <w:rPr>
                <w:rFonts w:ascii="Garamond" w:eastAsia="Calibri" w:hAnsi="Garamond" w:cs="Calibri"/>
                <w:b/>
              </w:rPr>
              <w:t>2020</w:t>
            </w:r>
          </w:p>
        </w:tc>
      </w:tr>
      <w:tr w:rsidR="001E36A8" w14:paraId="40DA3E57" w14:textId="77777777" w:rsidTr="001E36A8">
        <w:trPr>
          <w:trHeight w:val="341"/>
        </w:trPr>
        <w:tc>
          <w:tcPr>
            <w:tcW w:w="2420" w:type="dxa"/>
            <w:shd w:val="clear" w:color="auto" w:fill="auto"/>
          </w:tcPr>
          <w:p w14:paraId="50AAD4D8" w14:textId="2520F4B6" w:rsidR="001E36A8" w:rsidRPr="001E36A8" w:rsidRDefault="001E36A8" w:rsidP="00A14CEB">
            <w:pPr>
              <w:rPr>
                <w:rFonts w:ascii="Garamond" w:hAnsi="Garamond"/>
              </w:rPr>
            </w:pPr>
            <w:r w:rsidRPr="001E36A8">
              <w:rPr>
                <w:rFonts w:ascii="Garamond" w:hAnsi="Garamond"/>
              </w:rPr>
              <w:t>Number of Unique Patients Served</w:t>
            </w:r>
          </w:p>
        </w:tc>
        <w:tc>
          <w:tcPr>
            <w:tcW w:w="1780" w:type="dxa"/>
            <w:shd w:val="clear" w:color="auto" w:fill="auto"/>
          </w:tcPr>
          <w:p w14:paraId="4CCC8BA4" w14:textId="77777777" w:rsidR="001E36A8" w:rsidRDefault="001E36A8" w:rsidP="00A14CEB">
            <w:pPr>
              <w:jc w:val="center"/>
              <w:rPr>
                <w:rFonts w:ascii="Garamond" w:eastAsia="Calibri" w:hAnsi="Garamond" w:cs="Calibri"/>
                <w:bCs/>
              </w:rPr>
            </w:pPr>
          </w:p>
          <w:p w14:paraId="44B44719" w14:textId="4F56B78D" w:rsidR="001E36A8" w:rsidRPr="001E36A8" w:rsidRDefault="001E36A8" w:rsidP="00A14CEB">
            <w:pPr>
              <w:jc w:val="center"/>
              <w:rPr>
                <w:rFonts w:ascii="Garamond" w:eastAsia="Calibri" w:hAnsi="Garamond" w:cs="Calibri"/>
                <w:bCs/>
              </w:rPr>
            </w:pPr>
            <w:r w:rsidRPr="001E36A8">
              <w:rPr>
                <w:rFonts w:ascii="Garamond" w:eastAsia="Calibri" w:hAnsi="Garamond" w:cs="Calibri"/>
                <w:bCs/>
              </w:rPr>
              <w:t>240</w:t>
            </w:r>
          </w:p>
        </w:tc>
        <w:tc>
          <w:tcPr>
            <w:tcW w:w="1780" w:type="dxa"/>
            <w:shd w:val="clear" w:color="auto" w:fill="auto"/>
          </w:tcPr>
          <w:p w14:paraId="55B36C08" w14:textId="77777777" w:rsidR="001E36A8" w:rsidRDefault="001E36A8" w:rsidP="00A14CEB">
            <w:pPr>
              <w:jc w:val="center"/>
              <w:rPr>
                <w:rFonts w:ascii="Garamond" w:eastAsia="Calibri" w:hAnsi="Garamond" w:cs="Calibri"/>
                <w:bCs/>
              </w:rPr>
            </w:pPr>
          </w:p>
          <w:p w14:paraId="531861BF" w14:textId="5772444F" w:rsidR="001E36A8" w:rsidRPr="001E36A8" w:rsidRDefault="001E36A8" w:rsidP="00A14CEB">
            <w:pPr>
              <w:jc w:val="center"/>
              <w:rPr>
                <w:rFonts w:ascii="Garamond" w:eastAsia="Calibri" w:hAnsi="Garamond" w:cs="Calibri"/>
                <w:bCs/>
              </w:rPr>
            </w:pPr>
            <w:r w:rsidRPr="001E36A8">
              <w:rPr>
                <w:rFonts w:ascii="Garamond" w:eastAsia="Calibri" w:hAnsi="Garamond" w:cs="Calibri"/>
                <w:bCs/>
              </w:rPr>
              <w:t>227</w:t>
            </w:r>
          </w:p>
        </w:tc>
        <w:tc>
          <w:tcPr>
            <w:tcW w:w="1780" w:type="dxa"/>
            <w:shd w:val="clear" w:color="auto" w:fill="auto"/>
          </w:tcPr>
          <w:p w14:paraId="22510A43" w14:textId="77777777" w:rsidR="001E36A8" w:rsidRDefault="001E36A8" w:rsidP="00A14CEB">
            <w:pPr>
              <w:jc w:val="center"/>
              <w:rPr>
                <w:rFonts w:ascii="Garamond" w:eastAsia="Calibri" w:hAnsi="Garamond" w:cs="Calibri"/>
                <w:bCs/>
              </w:rPr>
            </w:pPr>
          </w:p>
          <w:p w14:paraId="696ACA28" w14:textId="48C75692" w:rsidR="001E36A8" w:rsidRPr="001E36A8" w:rsidRDefault="001E36A8" w:rsidP="00A14CEB">
            <w:pPr>
              <w:jc w:val="center"/>
              <w:rPr>
                <w:rFonts w:ascii="Garamond" w:eastAsia="Calibri" w:hAnsi="Garamond" w:cs="Calibri"/>
                <w:bCs/>
              </w:rPr>
            </w:pPr>
            <w:r w:rsidRPr="001E36A8">
              <w:rPr>
                <w:rFonts w:ascii="Garamond" w:eastAsia="Calibri" w:hAnsi="Garamond" w:cs="Calibri"/>
                <w:bCs/>
              </w:rPr>
              <w:t>278</w:t>
            </w:r>
          </w:p>
        </w:tc>
      </w:tr>
    </w:tbl>
    <w:p w14:paraId="51BAE027" w14:textId="77777777" w:rsidR="007265F0" w:rsidRDefault="007265F0" w:rsidP="00AB45F3">
      <w:pPr>
        <w:rPr>
          <w:rFonts w:ascii="Garamond" w:hAnsi="Garamond"/>
        </w:rPr>
      </w:pPr>
    </w:p>
    <w:p w14:paraId="1F4327DD" w14:textId="77777777" w:rsidR="00AB45F3" w:rsidRPr="00733A9F" w:rsidRDefault="00AB45F3" w:rsidP="00AB45F3">
      <w:pPr>
        <w:rPr>
          <w:rFonts w:ascii="Garamond" w:hAnsi="Garamond"/>
          <w:sz w:val="12"/>
          <w:szCs w:val="12"/>
        </w:rPr>
      </w:pPr>
    </w:p>
    <w:p w14:paraId="18EEF3BF" w14:textId="33330239" w:rsidR="00F729FA" w:rsidRDefault="00F729FA" w:rsidP="004149CF">
      <w:pPr>
        <w:pStyle w:val="Caption"/>
        <w:spacing w:after="0"/>
        <w:contextualSpacing/>
        <w:rPr>
          <w:rFonts w:ascii="Garamond" w:hAnsi="Garamond"/>
          <w:color w:val="42558C" w:themeColor="accent1" w:themeShade="BF"/>
          <w:sz w:val="24"/>
          <w:szCs w:val="24"/>
        </w:rPr>
      </w:pPr>
      <w:r w:rsidRPr="0098239B">
        <w:rPr>
          <w:rFonts w:ascii="Garamond" w:hAnsi="Garamond"/>
          <w:color w:val="42558C" w:themeColor="accent1" w:themeShade="BF"/>
          <w:sz w:val="24"/>
          <w:szCs w:val="24"/>
        </w:rPr>
        <w:t xml:space="preserve">Table </w:t>
      </w:r>
      <w:r w:rsidR="00981BC8">
        <w:rPr>
          <w:rFonts w:ascii="Garamond" w:hAnsi="Garamond"/>
          <w:color w:val="42558C" w:themeColor="accent1" w:themeShade="BF"/>
          <w:sz w:val="24"/>
          <w:szCs w:val="24"/>
        </w:rPr>
        <w:t>2</w:t>
      </w:r>
      <w:r w:rsidRPr="0098239B">
        <w:rPr>
          <w:rFonts w:ascii="Garamond" w:hAnsi="Garamond"/>
          <w:color w:val="42558C" w:themeColor="accent1" w:themeShade="BF"/>
          <w:sz w:val="24"/>
          <w:szCs w:val="24"/>
        </w:rPr>
        <w:t xml:space="preserve">: Overview of </w:t>
      </w:r>
      <w:r w:rsidR="00184404">
        <w:rPr>
          <w:rFonts w:ascii="Garamond" w:hAnsi="Garamond"/>
          <w:color w:val="42558C" w:themeColor="accent1" w:themeShade="BF"/>
          <w:sz w:val="24"/>
          <w:szCs w:val="24"/>
        </w:rPr>
        <w:t>Cura</w:t>
      </w:r>
      <w:r w:rsidR="0008011B">
        <w:rPr>
          <w:rFonts w:ascii="Garamond" w:hAnsi="Garamond"/>
          <w:color w:val="42558C" w:themeColor="accent1" w:themeShade="BF"/>
          <w:sz w:val="24"/>
          <w:szCs w:val="24"/>
        </w:rPr>
        <w:t>h</w:t>
      </w:r>
      <w:r w:rsidR="00184404">
        <w:rPr>
          <w:rFonts w:ascii="Garamond" w:hAnsi="Garamond"/>
          <w:color w:val="42558C" w:themeColor="accent1" w:themeShade="BF"/>
          <w:sz w:val="24"/>
          <w:szCs w:val="24"/>
        </w:rPr>
        <w:t xml:space="preserve">ealth </w:t>
      </w:r>
      <w:r w:rsidR="007D6DD6">
        <w:rPr>
          <w:rFonts w:ascii="Garamond" w:hAnsi="Garamond"/>
          <w:color w:val="42558C" w:themeColor="accent1" w:themeShade="BF"/>
          <w:sz w:val="24"/>
          <w:szCs w:val="24"/>
        </w:rPr>
        <w:t xml:space="preserve">Stoughton </w:t>
      </w:r>
      <w:r w:rsidR="00184404">
        <w:rPr>
          <w:rFonts w:ascii="Garamond" w:hAnsi="Garamond"/>
          <w:color w:val="42558C" w:themeColor="accent1" w:themeShade="BF"/>
          <w:sz w:val="24"/>
          <w:szCs w:val="24"/>
        </w:rPr>
        <w:t>Patient</w:t>
      </w:r>
      <w:r w:rsidR="007D6DD6">
        <w:rPr>
          <w:rFonts w:ascii="Garamond" w:hAnsi="Garamond"/>
          <w:color w:val="42558C" w:themeColor="accent1" w:themeShade="BF"/>
          <w:sz w:val="24"/>
          <w:szCs w:val="24"/>
        </w:rPr>
        <w:t xml:space="preserve"> Panel</w:t>
      </w:r>
      <w:r w:rsidR="00184404">
        <w:rPr>
          <w:rFonts w:ascii="Garamond" w:hAnsi="Garamond"/>
          <w:color w:val="42558C" w:themeColor="accent1" w:themeShade="BF"/>
          <w:sz w:val="24"/>
          <w:szCs w:val="24"/>
        </w:rPr>
        <w:t>, FY20</w:t>
      </w:r>
      <w:r w:rsidR="004B3473">
        <w:rPr>
          <w:rFonts w:ascii="Garamond" w:hAnsi="Garamond"/>
          <w:color w:val="42558C" w:themeColor="accent1" w:themeShade="BF"/>
          <w:sz w:val="24"/>
          <w:szCs w:val="24"/>
        </w:rPr>
        <w:t xml:space="preserve"> </w:t>
      </w:r>
    </w:p>
    <w:tbl>
      <w:tblPr>
        <w:tblStyle w:val="TableGrid"/>
        <w:tblW w:w="0" w:type="auto"/>
        <w:tblLook w:val="04A0" w:firstRow="1" w:lastRow="0" w:firstColumn="1" w:lastColumn="0" w:noHBand="0" w:noVBand="1"/>
        <w:tblCaption w:val="Table 2: Overview of Curahealth Stoughton Patient Panel, FY20"/>
        <w:tblDescription w:val=" Total Percent&#10;Total Unique Patients 278 &#10;Gender&#10;Female&#10;Male &#10;114&#10;164 &#10;41%&#10;59%&#10;Age&#10;0-17&#10;18-64&#10;65+ &#10;0&#10;167&#10;111 &#10;0%&#10;60%&#10;40%&#10;Race&#10;African American &#10;Asian&#10;Caucasian &#10;Hispanic&#10;Other* &#10;32&#10;8&#10;201&#10;17&#10;20 &#10;12%&#10;3%&#10;72%&#10;6%&#10;7%&#10;Payer Mix&#10;Commercial&#10;Champus/ VA&#10;Medicaid&#10;Medicare&#10;Managed Medicaid&#10;Managed Medicare&#10;Other** &#10;12&#10;6&#10;58&#10;96&#10;50&#10;41&#10;15 &#10;4%&#10;2%&#10;21%&#10;35%&#10;18%&#10;15%&#10;5%&#10;"/>
      </w:tblPr>
      <w:tblGrid>
        <w:gridCol w:w="3140"/>
        <w:gridCol w:w="2310"/>
        <w:gridCol w:w="2310"/>
      </w:tblGrid>
      <w:tr w:rsidR="00982F05" w14:paraId="5080962B" w14:textId="2BF155EF" w:rsidTr="00C8214E">
        <w:trPr>
          <w:tblHeader/>
        </w:trPr>
        <w:tc>
          <w:tcPr>
            <w:tcW w:w="3140" w:type="dxa"/>
            <w:shd w:val="clear" w:color="auto" w:fill="DFE3F0" w:themeFill="accent1" w:themeFillTint="33"/>
          </w:tcPr>
          <w:p w14:paraId="5C8C45EA" w14:textId="77777777" w:rsidR="00982F05" w:rsidRPr="00B41EE8" w:rsidRDefault="00982F05" w:rsidP="00AF6565">
            <w:pPr>
              <w:rPr>
                <w:rFonts w:ascii="Garamond" w:hAnsi="Garamond"/>
                <w:sz w:val="22"/>
                <w:szCs w:val="22"/>
              </w:rPr>
            </w:pPr>
          </w:p>
        </w:tc>
        <w:tc>
          <w:tcPr>
            <w:tcW w:w="2310" w:type="dxa"/>
            <w:shd w:val="clear" w:color="auto" w:fill="DFE3F0" w:themeFill="accent1" w:themeFillTint="33"/>
          </w:tcPr>
          <w:p w14:paraId="0C631746" w14:textId="38A5CD95" w:rsidR="00982F05" w:rsidRPr="00B41EE8" w:rsidRDefault="00982F05" w:rsidP="006467EC">
            <w:pPr>
              <w:jc w:val="center"/>
              <w:rPr>
                <w:rFonts w:ascii="Garamond" w:eastAsia="Calibri" w:hAnsi="Garamond" w:cs="Calibri"/>
                <w:b/>
                <w:sz w:val="22"/>
                <w:szCs w:val="22"/>
              </w:rPr>
            </w:pPr>
            <w:r w:rsidRPr="00B41EE8">
              <w:rPr>
                <w:rFonts w:ascii="Garamond" w:eastAsia="Calibri" w:hAnsi="Garamond" w:cs="Calibri"/>
                <w:b/>
                <w:sz w:val="22"/>
                <w:szCs w:val="22"/>
              </w:rPr>
              <w:t>Total</w:t>
            </w:r>
          </w:p>
        </w:tc>
        <w:tc>
          <w:tcPr>
            <w:tcW w:w="2310" w:type="dxa"/>
            <w:shd w:val="clear" w:color="auto" w:fill="DFE3F0" w:themeFill="accent1" w:themeFillTint="33"/>
          </w:tcPr>
          <w:p w14:paraId="647A84D8" w14:textId="77B51BE9" w:rsidR="00982F05" w:rsidRPr="00B41EE8" w:rsidRDefault="00982F05" w:rsidP="006467EC">
            <w:pPr>
              <w:jc w:val="center"/>
              <w:rPr>
                <w:rFonts w:ascii="Garamond" w:eastAsia="Calibri" w:hAnsi="Garamond" w:cs="Calibri"/>
                <w:b/>
                <w:sz w:val="22"/>
                <w:szCs w:val="22"/>
              </w:rPr>
            </w:pPr>
            <w:r w:rsidRPr="00B41EE8">
              <w:rPr>
                <w:rFonts w:ascii="Garamond" w:eastAsia="Calibri" w:hAnsi="Garamond" w:cs="Calibri"/>
                <w:b/>
                <w:sz w:val="22"/>
                <w:szCs w:val="22"/>
              </w:rPr>
              <w:t>Percent</w:t>
            </w:r>
          </w:p>
        </w:tc>
      </w:tr>
      <w:tr w:rsidR="00982F05" w14:paraId="4A0C230F" w14:textId="4B473633" w:rsidTr="005D3BD5">
        <w:tc>
          <w:tcPr>
            <w:tcW w:w="3140" w:type="dxa"/>
          </w:tcPr>
          <w:p w14:paraId="700DE33C" w14:textId="6203D083" w:rsidR="00982F05" w:rsidRPr="00B41EE8" w:rsidRDefault="00982F05" w:rsidP="006467EC">
            <w:pPr>
              <w:rPr>
                <w:rFonts w:ascii="Garamond" w:hAnsi="Garamond"/>
                <w:sz w:val="22"/>
                <w:szCs w:val="22"/>
              </w:rPr>
            </w:pPr>
            <w:r w:rsidRPr="00B41EE8">
              <w:rPr>
                <w:rFonts w:ascii="Garamond" w:eastAsia="Calibri" w:hAnsi="Garamond" w:cs="Calibri"/>
                <w:b/>
                <w:sz w:val="22"/>
                <w:szCs w:val="22"/>
              </w:rPr>
              <w:t>Total Unique Patients</w:t>
            </w:r>
          </w:p>
        </w:tc>
        <w:tc>
          <w:tcPr>
            <w:tcW w:w="2310" w:type="dxa"/>
          </w:tcPr>
          <w:p w14:paraId="5FD3590D" w14:textId="6B8C4A9E" w:rsidR="00982F05" w:rsidRPr="00B41EE8" w:rsidRDefault="00982F05" w:rsidP="007044A9">
            <w:pPr>
              <w:ind w:left="720" w:hanging="557"/>
              <w:contextualSpacing/>
              <w:jc w:val="center"/>
              <w:rPr>
                <w:rFonts w:ascii="Garamond" w:eastAsia="Calibri" w:hAnsi="Garamond" w:cs="Calibri"/>
                <w:bCs/>
                <w:sz w:val="22"/>
                <w:szCs w:val="22"/>
              </w:rPr>
            </w:pPr>
            <w:r w:rsidRPr="00B41EE8">
              <w:rPr>
                <w:rFonts w:ascii="Garamond" w:eastAsia="Calibri" w:hAnsi="Garamond" w:cs="Calibri"/>
                <w:bCs/>
                <w:sz w:val="22"/>
                <w:szCs w:val="22"/>
              </w:rPr>
              <w:t>278</w:t>
            </w:r>
          </w:p>
        </w:tc>
        <w:tc>
          <w:tcPr>
            <w:tcW w:w="2310" w:type="dxa"/>
          </w:tcPr>
          <w:p w14:paraId="05F7134E" w14:textId="77777777" w:rsidR="00982F05" w:rsidRPr="00B41EE8" w:rsidRDefault="00982F05" w:rsidP="007044A9">
            <w:pPr>
              <w:ind w:left="720" w:hanging="557"/>
              <w:contextualSpacing/>
              <w:jc w:val="center"/>
              <w:rPr>
                <w:rFonts w:ascii="Garamond" w:eastAsia="Calibri" w:hAnsi="Garamond" w:cs="Calibri"/>
                <w:bCs/>
                <w:sz w:val="22"/>
                <w:szCs w:val="22"/>
              </w:rPr>
            </w:pPr>
          </w:p>
        </w:tc>
      </w:tr>
      <w:tr w:rsidR="00982F05" w14:paraId="6E48A777" w14:textId="72AC4377" w:rsidTr="005D3BD5">
        <w:tc>
          <w:tcPr>
            <w:tcW w:w="3140" w:type="dxa"/>
          </w:tcPr>
          <w:p w14:paraId="4763201C" w14:textId="77777777" w:rsidR="00982F05" w:rsidRPr="00B41EE8" w:rsidRDefault="00982F05" w:rsidP="006467EC">
            <w:pPr>
              <w:contextualSpacing/>
              <w:rPr>
                <w:rFonts w:ascii="Garamond" w:eastAsia="Calibri" w:hAnsi="Garamond" w:cs="Calibri"/>
                <w:bCs/>
                <w:sz w:val="22"/>
                <w:szCs w:val="22"/>
              </w:rPr>
            </w:pPr>
            <w:r w:rsidRPr="00B41EE8">
              <w:rPr>
                <w:rFonts w:ascii="Garamond" w:eastAsia="Calibri" w:hAnsi="Garamond" w:cs="Calibri"/>
                <w:b/>
                <w:sz w:val="22"/>
                <w:szCs w:val="22"/>
              </w:rPr>
              <w:t>Gender</w:t>
            </w:r>
          </w:p>
          <w:p w14:paraId="40D3A8F0" w14:textId="77777777" w:rsidR="00982F05" w:rsidRPr="00B41EE8" w:rsidRDefault="00982F05" w:rsidP="006467EC">
            <w:pPr>
              <w:ind w:left="720" w:hanging="557"/>
              <w:contextualSpacing/>
              <w:rPr>
                <w:rFonts w:ascii="Garamond" w:eastAsia="Calibri" w:hAnsi="Garamond" w:cs="Calibri"/>
                <w:bCs/>
                <w:sz w:val="22"/>
                <w:szCs w:val="22"/>
              </w:rPr>
            </w:pPr>
            <w:r w:rsidRPr="00B41EE8">
              <w:rPr>
                <w:rFonts w:ascii="Garamond" w:eastAsia="Calibri" w:hAnsi="Garamond" w:cs="Calibri"/>
                <w:bCs/>
                <w:sz w:val="22"/>
                <w:szCs w:val="22"/>
              </w:rPr>
              <w:t>Female</w:t>
            </w:r>
          </w:p>
          <w:p w14:paraId="4EA9E066" w14:textId="45880B79" w:rsidR="00982F05" w:rsidRPr="00B41EE8" w:rsidRDefault="00982F05" w:rsidP="006467EC">
            <w:pPr>
              <w:ind w:left="720" w:hanging="557"/>
              <w:contextualSpacing/>
              <w:rPr>
                <w:rFonts w:ascii="Garamond" w:hAnsi="Garamond"/>
                <w:sz w:val="22"/>
                <w:szCs w:val="22"/>
              </w:rPr>
            </w:pPr>
            <w:r w:rsidRPr="00B41EE8">
              <w:rPr>
                <w:rFonts w:ascii="Garamond" w:eastAsia="Calibri" w:hAnsi="Garamond" w:cs="Calibri"/>
                <w:bCs/>
                <w:sz w:val="22"/>
                <w:szCs w:val="22"/>
              </w:rPr>
              <w:t>Male</w:t>
            </w:r>
          </w:p>
        </w:tc>
        <w:tc>
          <w:tcPr>
            <w:tcW w:w="2310" w:type="dxa"/>
          </w:tcPr>
          <w:p w14:paraId="1DFC3964" w14:textId="77777777" w:rsidR="00982F05" w:rsidRPr="00B41EE8" w:rsidRDefault="00982F05" w:rsidP="007044A9">
            <w:pPr>
              <w:ind w:left="720" w:hanging="557"/>
              <w:contextualSpacing/>
              <w:jc w:val="center"/>
              <w:rPr>
                <w:rFonts w:ascii="Garamond" w:eastAsia="Calibri" w:hAnsi="Garamond" w:cs="Calibri"/>
                <w:bCs/>
                <w:sz w:val="22"/>
                <w:szCs w:val="22"/>
              </w:rPr>
            </w:pPr>
          </w:p>
          <w:p w14:paraId="5A59EF0A" w14:textId="77777777" w:rsidR="00982F05" w:rsidRPr="00B41EE8" w:rsidRDefault="00982F05" w:rsidP="007044A9">
            <w:pPr>
              <w:ind w:left="720" w:hanging="557"/>
              <w:contextualSpacing/>
              <w:jc w:val="center"/>
              <w:rPr>
                <w:rFonts w:ascii="Garamond" w:eastAsia="Calibri" w:hAnsi="Garamond" w:cs="Calibri"/>
                <w:bCs/>
                <w:sz w:val="22"/>
                <w:szCs w:val="22"/>
              </w:rPr>
            </w:pPr>
            <w:r w:rsidRPr="00B41EE8">
              <w:rPr>
                <w:rFonts w:ascii="Garamond" w:eastAsia="Calibri" w:hAnsi="Garamond" w:cs="Calibri"/>
                <w:bCs/>
                <w:sz w:val="22"/>
                <w:szCs w:val="22"/>
              </w:rPr>
              <w:t>114</w:t>
            </w:r>
          </w:p>
          <w:p w14:paraId="66127CBF" w14:textId="3C2E36C5" w:rsidR="00982F05" w:rsidRPr="00B41EE8" w:rsidRDefault="00982F05" w:rsidP="007044A9">
            <w:pPr>
              <w:ind w:left="720" w:hanging="557"/>
              <w:contextualSpacing/>
              <w:jc w:val="center"/>
              <w:rPr>
                <w:rFonts w:ascii="Garamond" w:eastAsia="Calibri" w:hAnsi="Garamond" w:cs="Calibri"/>
                <w:bCs/>
                <w:sz w:val="22"/>
                <w:szCs w:val="22"/>
              </w:rPr>
            </w:pPr>
            <w:r w:rsidRPr="00B41EE8">
              <w:rPr>
                <w:rFonts w:ascii="Garamond" w:eastAsia="Calibri" w:hAnsi="Garamond" w:cs="Calibri"/>
                <w:bCs/>
                <w:sz w:val="22"/>
                <w:szCs w:val="22"/>
              </w:rPr>
              <w:t>164</w:t>
            </w:r>
          </w:p>
        </w:tc>
        <w:tc>
          <w:tcPr>
            <w:tcW w:w="2310" w:type="dxa"/>
          </w:tcPr>
          <w:p w14:paraId="3C7D2EB3" w14:textId="77777777" w:rsidR="00982F05" w:rsidRPr="00B41EE8" w:rsidRDefault="00982F05" w:rsidP="007044A9">
            <w:pPr>
              <w:ind w:left="720" w:hanging="557"/>
              <w:contextualSpacing/>
              <w:jc w:val="center"/>
              <w:rPr>
                <w:rFonts w:ascii="Garamond" w:eastAsia="Calibri" w:hAnsi="Garamond" w:cs="Calibri"/>
                <w:bCs/>
                <w:sz w:val="22"/>
                <w:szCs w:val="22"/>
              </w:rPr>
            </w:pPr>
          </w:p>
          <w:p w14:paraId="40065B8B" w14:textId="77777777" w:rsidR="006F1101" w:rsidRPr="00B41EE8" w:rsidRDefault="006F1101" w:rsidP="007044A9">
            <w:pPr>
              <w:ind w:left="720" w:hanging="557"/>
              <w:contextualSpacing/>
              <w:jc w:val="center"/>
              <w:rPr>
                <w:rFonts w:ascii="Garamond" w:eastAsia="Calibri" w:hAnsi="Garamond" w:cs="Calibri"/>
                <w:bCs/>
                <w:sz w:val="22"/>
                <w:szCs w:val="22"/>
              </w:rPr>
            </w:pPr>
            <w:r w:rsidRPr="00B41EE8">
              <w:rPr>
                <w:rFonts w:ascii="Garamond" w:eastAsia="Calibri" w:hAnsi="Garamond" w:cs="Calibri"/>
                <w:bCs/>
                <w:sz w:val="22"/>
                <w:szCs w:val="22"/>
              </w:rPr>
              <w:t>41%</w:t>
            </w:r>
          </w:p>
          <w:p w14:paraId="55A52BE8" w14:textId="723732EC" w:rsidR="006F1101" w:rsidRPr="00B41EE8" w:rsidRDefault="006F1101" w:rsidP="007044A9">
            <w:pPr>
              <w:ind w:left="720" w:hanging="557"/>
              <w:contextualSpacing/>
              <w:jc w:val="center"/>
              <w:rPr>
                <w:rFonts w:ascii="Garamond" w:eastAsia="Calibri" w:hAnsi="Garamond" w:cs="Calibri"/>
                <w:bCs/>
                <w:sz w:val="22"/>
                <w:szCs w:val="22"/>
              </w:rPr>
            </w:pPr>
            <w:r w:rsidRPr="00B41EE8">
              <w:rPr>
                <w:rFonts w:ascii="Garamond" w:eastAsia="Calibri" w:hAnsi="Garamond" w:cs="Calibri"/>
                <w:bCs/>
                <w:sz w:val="22"/>
                <w:szCs w:val="22"/>
              </w:rPr>
              <w:t>59%</w:t>
            </w:r>
          </w:p>
        </w:tc>
      </w:tr>
      <w:tr w:rsidR="00982F05" w14:paraId="0FB93259" w14:textId="3C9250E7" w:rsidTr="005D3BD5">
        <w:tc>
          <w:tcPr>
            <w:tcW w:w="3140" w:type="dxa"/>
          </w:tcPr>
          <w:p w14:paraId="3DFADCB6" w14:textId="77777777" w:rsidR="00982F05" w:rsidRPr="00B41EE8" w:rsidRDefault="00982F05" w:rsidP="006467EC">
            <w:pPr>
              <w:contextualSpacing/>
              <w:rPr>
                <w:rFonts w:ascii="Garamond" w:eastAsia="Calibri" w:hAnsi="Garamond" w:cs="Calibri"/>
                <w:bCs/>
                <w:sz w:val="22"/>
                <w:szCs w:val="22"/>
              </w:rPr>
            </w:pPr>
            <w:r w:rsidRPr="00B41EE8">
              <w:rPr>
                <w:rFonts w:ascii="Garamond" w:eastAsia="Calibri" w:hAnsi="Garamond" w:cs="Calibri"/>
                <w:b/>
                <w:sz w:val="22"/>
                <w:szCs w:val="22"/>
              </w:rPr>
              <w:t>Age</w:t>
            </w:r>
          </w:p>
          <w:p w14:paraId="5BF21758" w14:textId="77777777" w:rsidR="00982F05" w:rsidRPr="00B41EE8" w:rsidRDefault="00982F05" w:rsidP="006467EC">
            <w:pPr>
              <w:ind w:left="720" w:hanging="557"/>
              <w:contextualSpacing/>
              <w:rPr>
                <w:rFonts w:ascii="Garamond" w:eastAsia="Calibri" w:hAnsi="Garamond" w:cs="Calibri"/>
                <w:bCs/>
                <w:sz w:val="22"/>
                <w:szCs w:val="22"/>
              </w:rPr>
            </w:pPr>
            <w:r w:rsidRPr="00B41EE8">
              <w:rPr>
                <w:rFonts w:ascii="Garamond" w:eastAsia="Calibri" w:hAnsi="Garamond" w:cs="Calibri"/>
                <w:bCs/>
                <w:sz w:val="22"/>
                <w:szCs w:val="22"/>
              </w:rPr>
              <w:t>0-17</w:t>
            </w:r>
          </w:p>
          <w:p w14:paraId="71767404" w14:textId="77777777" w:rsidR="00982F05" w:rsidRPr="00B41EE8" w:rsidRDefault="00982F05" w:rsidP="006467EC">
            <w:pPr>
              <w:ind w:left="720" w:hanging="557"/>
              <w:contextualSpacing/>
              <w:rPr>
                <w:rFonts w:ascii="Garamond" w:eastAsia="Calibri" w:hAnsi="Garamond" w:cs="Calibri"/>
                <w:bCs/>
                <w:sz w:val="22"/>
                <w:szCs w:val="22"/>
              </w:rPr>
            </w:pPr>
            <w:r w:rsidRPr="00B41EE8">
              <w:rPr>
                <w:rFonts w:ascii="Garamond" w:eastAsia="Calibri" w:hAnsi="Garamond" w:cs="Calibri"/>
                <w:bCs/>
                <w:sz w:val="22"/>
                <w:szCs w:val="22"/>
              </w:rPr>
              <w:t>18-64</w:t>
            </w:r>
          </w:p>
          <w:p w14:paraId="744D78A3" w14:textId="1951980E" w:rsidR="00982F05" w:rsidRPr="00B41EE8" w:rsidRDefault="00982F05" w:rsidP="006467EC">
            <w:pPr>
              <w:ind w:left="720" w:hanging="557"/>
              <w:contextualSpacing/>
              <w:rPr>
                <w:rFonts w:ascii="Garamond" w:hAnsi="Garamond"/>
                <w:sz w:val="22"/>
                <w:szCs w:val="22"/>
              </w:rPr>
            </w:pPr>
            <w:r w:rsidRPr="00B41EE8">
              <w:rPr>
                <w:rFonts w:ascii="Garamond" w:eastAsia="Calibri" w:hAnsi="Garamond" w:cs="Calibri"/>
                <w:bCs/>
                <w:sz w:val="22"/>
                <w:szCs w:val="22"/>
              </w:rPr>
              <w:t>65+</w:t>
            </w:r>
          </w:p>
        </w:tc>
        <w:tc>
          <w:tcPr>
            <w:tcW w:w="2310" w:type="dxa"/>
          </w:tcPr>
          <w:p w14:paraId="6A1223DA" w14:textId="77777777" w:rsidR="00982F05" w:rsidRPr="00B41EE8" w:rsidRDefault="00982F05" w:rsidP="007044A9">
            <w:pPr>
              <w:ind w:left="720" w:hanging="557"/>
              <w:contextualSpacing/>
              <w:jc w:val="center"/>
              <w:rPr>
                <w:rFonts w:ascii="Garamond" w:eastAsia="Calibri" w:hAnsi="Garamond" w:cs="Calibri"/>
                <w:bCs/>
                <w:sz w:val="22"/>
                <w:szCs w:val="22"/>
              </w:rPr>
            </w:pPr>
          </w:p>
          <w:p w14:paraId="3380D741" w14:textId="77777777" w:rsidR="00982F05" w:rsidRPr="00B41EE8" w:rsidRDefault="00982F05" w:rsidP="007044A9">
            <w:pPr>
              <w:ind w:left="720" w:hanging="557"/>
              <w:contextualSpacing/>
              <w:jc w:val="center"/>
              <w:rPr>
                <w:rFonts w:ascii="Garamond" w:eastAsia="Calibri" w:hAnsi="Garamond" w:cs="Calibri"/>
                <w:bCs/>
                <w:sz w:val="22"/>
                <w:szCs w:val="22"/>
              </w:rPr>
            </w:pPr>
            <w:r w:rsidRPr="00B41EE8">
              <w:rPr>
                <w:rFonts w:ascii="Garamond" w:eastAsia="Calibri" w:hAnsi="Garamond" w:cs="Calibri"/>
                <w:bCs/>
                <w:sz w:val="22"/>
                <w:szCs w:val="22"/>
              </w:rPr>
              <w:t>0</w:t>
            </w:r>
          </w:p>
          <w:p w14:paraId="719F6B09" w14:textId="77777777" w:rsidR="00982F05" w:rsidRPr="00B41EE8" w:rsidRDefault="00982F05" w:rsidP="007044A9">
            <w:pPr>
              <w:ind w:left="720" w:hanging="557"/>
              <w:contextualSpacing/>
              <w:jc w:val="center"/>
              <w:rPr>
                <w:rFonts w:ascii="Garamond" w:eastAsia="Calibri" w:hAnsi="Garamond" w:cs="Calibri"/>
                <w:bCs/>
                <w:sz w:val="22"/>
                <w:szCs w:val="22"/>
              </w:rPr>
            </w:pPr>
            <w:r w:rsidRPr="00B41EE8">
              <w:rPr>
                <w:rFonts w:ascii="Garamond" w:eastAsia="Calibri" w:hAnsi="Garamond" w:cs="Calibri"/>
                <w:bCs/>
                <w:sz w:val="22"/>
                <w:szCs w:val="22"/>
              </w:rPr>
              <w:t>167</w:t>
            </w:r>
          </w:p>
          <w:p w14:paraId="5B1A0185" w14:textId="43CACCC1" w:rsidR="00982F05" w:rsidRPr="00B41EE8" w:rsidRDefault="00982F05" w:rsidP="007044A9">
            <w:pPr>
              <w:ind w:left="720" w:hanging="557"/>
              <w:contextualSpacing/>
              <w:jc w:val="center"/>
              <w:rPr>
                <w:rFonts w:ascii="Garamond" w:eastAsia="Calibri" w:hAnsi="Garamond" w:cs="Calibri"/>
                <w:bCs/>
                <w:sz w:val="22"/>
                <w:szCs w:val="22"/>
              </w:rPr>
            </w:pPr>
            <w:r w:rsidRPr="00B41EE8">
              <w:rPr>
                <w:rFonts w:ascii="Garamond" w:eastAsia="Calibri" w:hAnsi="Garamond" w:cs="Calibri"/>
                <w:bCs/>
                <w:sz w:val="22"/>
                <w:szCs w:val="22"/>
              </w:rPr>
              <w:t>111</w:t>
            </w:r>
          </w:p>
        </w:tc>
        <w:tc>
          <w:tcPr>
            <w:tcW w:w="2310" w:type="dxa"/>
          </w:tcPr>
          <w:p w14:paraId="43788ABC" w14:textId="77777777" w:rsidR="00982F05" w:rsidRPr="00B41EE8" w:rsidRDefault="00982F05" w:rsidP="007044A9">
            <w:pPr>
              <w:ind w:left="720" w:hanging="557"/>
              <w:contextualSpacing/>
              <w:jc w:val="center"/>
              <w:rPr>
                <w:rFonts w:ascii="Garamond" w:eastAsia="Calibri" w:hAnsi="Garamond" w:cs="Calibri"/>
                <w:bCs/>
                <w:sz w:val="22"/>
                <w:szCs w:val="22"/>
              </w:rPr>
            </w:pPr>
          </w:p>
          <w:p w14:paraId="6A34B13E" w14:textId="77777777" w:rsidR="006F1101" w:rsidRPr="00B41EE8" w:rsidRDefault="006F1101" w:rsidP="007044A9">
            <w:pPr>
              <w:ind w:left="720" w:hanging="557"/>
              <w:contextualSpacing/>
              <w:jc w:val="center"/>
              <w:rPr>
                <w:rFonts w:ascii="Garamond" w:eastAsia="Calibri" w:hAnsi="Garamond" w:cs="Calibri"/>
                <w:bCs/>
                <w:sz w:val="22"/>
                <w:szCs w:val="22"/>
              </w:rPr>
            </w:pPr>
            <w:r w:rsidRPr="00B41EE8">
              <w:rPr>
                <w:rFonts w:ascii="Garamond" w:eastAsia="Calibri" w:hAnsi="Garamond" w:cs="Calibri"/>
                <w:bCs/>
                <w:sz w:val="22"/>
                <w:szCs w:val="22"/>
              </w:rPr>
              <w:t>0%</w:t>
            </w:r>
          </w:p>
          <w:p w14:paraId="1F77612D" w14:textId="77777777" w:rsidR="006F1101" w:rsidRPr="00B41EE8" w:rsidRDefault="00EB020A" w:rsidP="007044A9">
            <w:pPr>
              <w:ind w:left="720" w:hanging="557"/>
              <w:contextualSpacing/>
              <w:jc w:val="center"/>
              <w:rPr>
                <w:rFonts w:ascii="Garamond" w:eastAsia="Calibri" w:hAnsi="Garamond" w:cs="Calibri"/>
                <w:bCs/>
                <w:sz w:val="22"/>
                <w:szCs w:val="22"/>
              </w:rPr>
            </w:pPr>
            <w:r w:rsidRPr="00B41EE8">
              <w:rPr>
                <w:rFonts w:ascii="Garamond" w:eastAsia="Calibri" w:hAnsi="Garamond" w:cs="Calibri"/>
                <w:bCs/>
                <w:sz w:val="22"/>
                <w:szCs w:val="22"/>
              </w:rPr>
              <w:t>60%</w:t>
            </w:r>
          </w:p>
          <w:p w14:paraId="54367DCA" w14:textId="05CE9A58" w:rsidR="00EB020A" w:rsidRPr="00B41EE8" w:rsidRDefault="00EB020A" w:rsidP="007044A9">
            <w:pPr>
              <w:ind w:left="720" w:hanging="557"/>
              <w:contextualSpacing/>
              <w:jc w:val="center"/>
              <w:rPr>
                <w:rFonts w:ascii="Garamond" w:eastAsia="Calibri" w:hAnsi="Garamond" w:cs="Calibri"/>
                <w:bCs/>
                <w:sz w:val="22"/>
                <w:szCs w:val="22"/>
              </w:rPr>
            </w:pPr>
            <w:r w:rsidRPr="00B41EE8">
              <w:rPr>
                <w:rFonts w:ascii="Garamond" w:eastAsia="Calibri" w:hAnsi="Garamond" w:cs="Calibri"/>
                <w:bCs/>
                <w:sz w:val="22"/>
                <w:szCs w:val="22"/>
              </w:rPr>
              <w:t>40%</w:t>
            </w:r>
          </w:p>
        </w:tc>
      </w:tr>
      <w:tr w:rsidR="00982F05" w14:paraId="0E415912" w14:textId="4984A059" w:rsidTr="005D3BD5">
        <w:tc>
          <w:tcPr>
            <w:tcW w:w="3140" w:type="dxa"/>
          </w:tcPr>
          <w:p w14:paraId="077D7E49" w14:textId="77777777" w:rsidR="00982F05" w:rsidRPr="00B41EE8" w:rsidRDefault="00982F05" w:rsidP="006467EC">
            <w:pPr>
              <w:contextualSpacing/>
              <w:rPr>
                <w:rFonts w:ascii="Garamond" w:eastAsia="Calibri" w:hAnsi="Garamond" w:cs="Calibri"/>
                <w:bCs/>
                <w:sz w:val="22"/>
                <w:szCs w:val="22"/>
              </w:rPr>
            </w:pPr>
            <w:r w:rsidRPr="00B41EE8">
              <w:rPr>
                <w:rFonts w:ascii="Garamond" w:eastAsia="Calibri" w:hAnsi="Garamond" w:cs="Calibri"/>
                <w:b/>
                <w:sz w:val="22"/>
                <w:szCs w:val="22"/>
              </w:rPr>
              <w:t>Race</w:t>
            </w:r>
          </w:p>
          <w:p w14:paraId="746264AC" w14:textId="03E3581D" w:rsidR="00982F05" w:rsidRPr="00B41EE8" w:rsidRDefault="00982F05" w:rsidP="006467EC">
            <w:pPr>
              <w:ind w:left="720" w:hanging="557"/>
              <w:contextualSpacing/>
              <w:rPr>
                <w:rFonts w:ascii="Garamond" w:eastAsia="Calibri" w:hAnsi="Garamond" w:cs="Calibri"/>
                <w:bCs/>
                <w:sz w:val="22"/>
                <w:szCs w:val="22"/>
              </w:rPr>
            </w:pPr>
            <w:r w:rsidRPr="00B41EE8">
              <w:rPr>
                <w:rFonts w:ascii="Garamond" w:eastAsia="Calibri" w:hAnsi="Garamond" w:cs="Calibri"/>
                <w:bCs/>
                <w:sz w:val="22"/>
                <w:szCs w:val="22"/>
              </w:rPr>
              <w:t xml:space="preserve">African American </w:t>
            </w:r>
          </w:p>
          <w:p w14:paraId="7DBD167D" w14:textId="77777777" w:rsidR="00982F05" w:rsidRPr="00B41EE8" w:rsidRDefault="00982F05" w:rsidP="006467EC">
            <w:pPr>
              <w:ind w:left="720" w:hanging="557"/>
              <w:contextualSpacing/>
              <w:rPr>
                <w:rFonts w:ascii="Garamond" w:eastAsia="Calibri" w:hAnsi="Garamond" w:cs="Calibri"/>
                <w:bCs/>
                <w:sz w:val="22"/>
                <w:szCs w:val="22"/>
              </w:rPr>
            </w:pPr>
            <w:r w:rsidRPr="00B41EE8">
              <w:rPr>
                <w:rFonts w:ascii="Garamond" w:eastAsia="Calibri" w:hAnsi="Garamond" w:cs="Calibri"/>
                <w:bCs/>
                <w:sz w:val="22"/>
                <w:szCs w:val="22"/>
              </w:rPr>
              <w:t>Asian</w:t>
            </w:r>
          </w:p>
          <w:p w14:paraId="5A14AAED" w14:textId="27A8A6D7" w:rsidR="00982F05" w:rsidRPr="00B41EE8" w:rsidRDefault="00982F05" w:rsidP="006467EC">
            <w:pPr>
              <w:ind w:left="720" w:hanging="557"/>
              <w:contextualSpacing/>
              <w:rPr>
                <w:rFonts w:ascii="Garamond" w:eastAsia="Calibri" w:hAnsi="Garamond" w:cs="Calibri"/>
                <w:bCs/>
                <w:sz w:val="22"/>
                <w:szCs w:val="22"/>
              </w:rPr>
            </w:pPr>
            <w:r w:rsidRPr="00B41EE8">
              <w:rPr>
                <w:rFonts w:ascii="Garamond" w:eastAsia="Calibri" w:hAnsi="Garamond" w:cs="Calibri"/>
                <w:bCs/>
                <w:sz w:val="22"/>
                <w:szCs w:val="22"/>
              </w:rPr>
              <w:t xml:space="preserve">Caucasian </w:t>
            </w:r>
          </w:p>
          <w:p w14:paraId="65EE2721" w14:textId="3A637FFC" w:rsidR="00982F05" w:rsidRPr="00B41EE8" w:rsidRDefault="00982F05" w:rsidP="006467EC">
            <w:pPr>
              <w:ind w:left="720" w:hanging="557"/>
              <w:contextualSpacing/>
              <w:rPr>
                <w:rFonts w:ascii="Garamond" w:eastAsia="Calibri" w:hAnsi="Garamond" w:cs="Calibri"/>
                <w:bCs/>
                <w:sz w:val="22"/>
                <w:szCs w:val="22"/>
              </w:rPr>
            </w:pPr>
            <w:r w:rsidRPr="00B41EE8">
              <w:rPr>
                <w:rFonts w:ascii="Garamond" w:eastAsia="Calibri" w:hAnsi="Garamond" w:cs="Calibri"/>
                <w:bCs/>
                <w:sz w:val="22"/>
                <w:szCs w:val="22"/>
              </w:rPr>
              <w:t>Hispanic</w:t>
            </w:r>
          </w:p>
          <w:p w14:paraId="4ECD2A71" w14:textId="4FAF126F" w:rsidR="00982F05" w:rsidRPr="00B41EE8" w:rsidRDefault="00982F05" w:rsidP="006467EC">
            <w:pPr>
              <w:ind w:left="343" w:hanging="180"/>
              <w:contextualSpacing/>
              <w:rPr>
                <w:rFonts w:ascii="Garamond" w:hAnsi="Garamond"/>
                <w:sz w:val="22"/>
                <w:szCs w:val="22"/>
              </w:rPr>
            </w:pPr>
            <w:r w:rsidRPr="00B41EE8">
              <w:rPr>
                <w:rFonts w:ascii="Garamond" w:eastAsia="Calibri" w:hAnsi="Garamond" w:cs="Calibri"/>
                <w:bCs/>
                <w:sz w:val="22"/>
                <w:szCs w:val="22"/>
              </w:rPr>
              <w:t>Other*</w:t>
            </w:r>
          </w:p>
        </w:tc>
        <w:tc>
          <w:tcPr>
            <w:tcW w:w="2310" w:type="dxa"/>
          </w:tcPr>
          <w:p w14:paraId="5356808D" w14:textId="77777777" w:rsidR="00982F05" w:rsidRPr="00B41EE8" w:rsidRDefault="00982F05" w:rsidP="007044A9">
            <w:pPr>
              <w:ind w:left="720" w:hanging="557"/>
              <w:contextualSpacing/>
              <w:jc w:val="center"/>
              <w:rPr>
                <w:rFonts w:ascii="Garamond" w:eastAsia="Calibri" w:hAnsi="Garamond" w:cs="Calibri"/>
                <w:bCs/>
                <w:sz w:val="22"/>
                <w:szCs w:val="22"/>
              </w:rPr>
            </w:pPr>
          </w:p>
          <w:p w14:paraId="320BD78A" w14:textId="77777777" w:rsidR="00982F05" w:rsidRPr="00B41EE8" w:rsidRDefault="00982F05" w:rsidP="007044A9">
            <w:pPr>
              <w:ind w:left="720" w:hanging="557"/>
              <w:contextualSpacing/>
              <w:jc w:val="center"/>
              <w:rPr>
                <w:rFonts w:ascii="Garamond" w:eastAsia="Calibri" w:hAnsi="Garamond" w:cs="Calibri"/>
                <w:bCs/>
                <w:sz w:val="22"/>
                <w:szCs w:val="22"/>
              </w:rPr>
            </w:pPr>
            <w:r w:rsidRPr="00B41EE8">
              <w:rPr>
                <w:rFonts w:ascii="Garamond" w:eastAsia="Calibri" w:hAnsi="Garamond" w:cs="Calibri"/>
                <w:bCs/>
                <w:sz w:val="22"/>
                <w:szCs w:val="22"/>
              </w:rPr>
              <w:t>32</w:t>
            </w:r>
          </w:p>
          <w:p w14:paraId="3D18B7F5" w14:textId="77777777" w:rsidR="00982F05" w:rsidRPr="00B41EE8" w:rsidRDefault="00982F05" w:rsidP="007044A9">
            <w:pPr>
              <w:ind w:left="720" w:hanging="557"/>
              <w:contextualSpacing/>
              <w:jc w:val="center"/>
              <w:rPr>
                <w:rFonts w:ascii="Garamond" w:eastAsia="Calibri" w:hAnsi="Garamond" w:cs="Calibri"/>
                <w:bCs/>
                <w:sz w:val="22"/>
                <w:szCs w:val="22"/>
              </w:rPr>
            </w:pPr>
            <w:r w:rsidRPr="00B41EE8">
              <w:rPr>
                <w:rFonts w:ascii="Garamond" w:eastAsia="Calibri" w:hAnsi="Garamond" w:cs="Calibri"/>
                <w:bCs/>
                <w:sz w:val="22"/>
                <w:szCs w:val="22"/>
              </w:rPr>
              <w:t>8</w:t>
            </w:r>
          </w:p>
          <w:p w14:paraId="4FCC2AD5" w14:textId="77777777" w:rsidR="00982F05" w:rsidRPr="00B41EE8" w:rsidRDefault="00982F05" w:rsidP="007044A9">
            <w:pPr>
              <w:ind w:left="720" w:hanging="557"/>
              <w:contextualSpacing/>
              <w:jc w:val="center"/>
              <w:rPr>
                <w:rFonts w:ascii="Garamond" w:eastAsia="Calibri" w:hAnsi="Garamond" w:cs="Calibri"/>
                <w:bCs/>
                <w:sz w:val="22"/>
                <w:szCs w:val="22"/>
              </w:rPr>
            </w:pPr>
            <w:r w:rsidRPr="00B41EE8">
              <w:rPr>
                <w:rFonts w:ascii="Garamond" w:eastAsia="Calibri" w:hAnsi="Garamond" w:cs="Calibri"/>
                <w:bCs/>
                <w:sz w:val="22"/>
                <w:szCs w:val="22"/>
              </w:rPr>
              <w:t>201</w:t>
            </w:r>
          </w:p>
          <w:p w14:paraId="6B95AD76" w14:textId="77777777" w:rsidR="00982F05" w:rsidRPr="00B41EE8" w:rsidRDefault="00982F05" w:rsidP="007044A9">
            <w:pPr>
              <w:ind w:left="720" w:hanging="557"/>
              <w:contextualSpacing/>
              <w:jc w:val="center"/>
              <w:rPr>
                <w:rFonts w:ascii="Garamond" w:eastAsia="Calibri" w:hAnsi="Garamond" w:cs="Calibri"/>
                <w:bCs/>
                <w:sz w:val="22"/>
                <w:szCs w:val="22"/>
              </w:rPr>
            </w:pPr>
            <w:r w:rsidRPr="00B41EE8">
              <w:rPr>
                <w:rFonts w:ascii="Garamond" w:eastAsia="Calibri" w:hAnsi="Garamond" w:cs="Calibri"/>
                <w:bCs/>
                <w:sz w:val="22"/>
                <w:szCs w:val="22"/>
              </w:rPr>
              <w:t>17</w:t>
            </w:r>
          </w:p>
          <w:p w14:paraId="2FE20E0A" w14:textId="0D5EE3E2" w:rsidR="00982F05" w:rsidRPr="00B41EE8" w:rsidRDefault="00982F05" w:rsidP="007044A9">
            <w:pPr>
              <w:ind w:left="720" w:hanging="557"/>
              <w:contextualSpacing/>
              <w:jc w:val="center"/>
              <w:rPr>
                <w:rFonts w:ascii="Garamond" w:eastAsia="Calibri" w:hAnsi="Garamond" w:cs="Calibri"/>
                <w:bCs/>
                <w:sz w:val="22"/>
                <w:szCs w:val="22"/>
              </w:rPr>
            </w:pPr>
            <w:r w:rsidRPr="00B41EE8">
              <w:rPr>
                <w:rFonts w:ascii="Garamond" w:eastAsia="Calibri" w:hAnsi="Garamond" w:cs="Calibri"/>
                <w:bCs/>
                <w:sz w:val="22"/>
                <w:szCs w:val="22"/>
              </w:rPr>
              <w:t>20</w:t>
            </w:r>
          </w:p>
        </w:tc>
        <w:tc>
          <w:tcPr>
            <w:tcW w:w="2310" w:type="dxa"/>
          </w:tcPr>
          <w:p w14:paraId="384C6C63" w14:textId="77777777" w:rsidR="00982F05" w:rsidRPr="00B41EE8" w:rsidRDefault="00982F05" w:rsidP="007044A9">
            <w:pPr>
              <w:ind w:left="720" w:hanging="557"/>
              <w:contextualSpacing/>
              <w:jc w:val="center"/>
              <w:rPr>
                <w:rFonts w:ascii="Garamond" w:eastAsia="Calibri" w:hAnsi="Garamond" w:cs="Calibri"/>
                <w:bCs/>
                <w:sz w:val="22"/>
                <w:szCs w:val="22"/>
              </w:rPr>
            </w:pPr>
          </w:p>
          <w:p w14:paraId="41FEBAD2" w14:textId="56595FD3" w:rsidR="00EB020A" w:rsidRPr="00B41EE8" w:rsidRDefault="00EB020A" w:rsidP="007044A9">
            <w:pPr>
              <w:ind w:left="720" w:hanging="557"/>
              <w:contextualSpacing/>
              <w:jc w:val="center"/>
              <w:rPr>
                <w:rFonts w:ascii="Garamond" w:eastAsia="Calibri" w:hAnsi="Garamond" w:cs="Calibri"/>
                <w:bCs/>
                <w:sz w:val="22"/>
                <w:szCs w:val="22"/>
              </w:rPr>
            </w:pPr>
            <w:r w:rsidRPr="00B41EE8">
              <w:rPr>
                <w:rFonts w:ascii="Garamond" w:eastAsia="Calibri" w:hAnsi="Garamond" w:cs="Calibri"/>
                <w:bCs/>
                <w:sz w:val="22"/>
                <w:szCs w:val="22"/>
              </w:rPr>
              <w:t>1</w:t>
            </w:r>
            <w:r w:rsidR="00B35CA8" w:rsidRPr="00B41EE8">
              <w:rPr>
                <w:rFonts w:ascii="Garamond" w:eastAsia="Calibri" w:hAnsi="Garamond" w:cs="Calibri"/>
                <w:bCs/>
                <w:sz w:val="22"/>
                <w:szCs w:val="22"/>
              </w:rPr>
              <w:t>2</w:t>
            </w:r>
            <w:r w:rsidRPr="00B41EE8">
              <w:rPr>
                <w:rFonts w:ascii="Garamond" w:eastAsia="Calibri" w:hAnsi="Garamond" w:cs="Calibri"/>
                <w:bCs/>
                <w:sz w:val="22"/>
                <w:szCs w:val="22"/>
              </w:rPr>
              <w:t>%</w:t>
            </w:r>
          </w:p>
          <w:p w14:paraId="7529D5F2" w14:textId="77777777" w:rsidR="00EB020A" w:rsidRPr="00B41EE8" w:rsidRDefault="00EB020A" w:rsidP="007044A9">
            <w:pPr>
              <w:ind w:left="720" w:hanging="557"/>
              <w:contextualSpacing/>
              <w:jc w:val="center"/>
              <w:rPr>
                <w:rFonts w:ascii="Garamond" w:eastAsia="Calibri" w:hAnsi="Garamond" w:cs="Calibri"/>
                <w:bCs/>
                <w:sz w:val="22"/>
                <w:szCs w:val="22"/>
              </w:rPr>
            </w:pPr>
            <w:r w:rsidRPr="00B41EE8">
              <w:rPr>
                <w:rFonts w:ascii="Garamond" w:eastAsia="Calibri" w:hAnsi="Garamond" w:cs="Calibri"/>
                <w:bCs/>
                <w:sz w:val="22"/>
                <w:szCs w:val="22"/>
              </w:rPr>
              <w:t>3%</w:t>
            </w:r>
          </w:p>
          <w:p w14:paraId="4F9CE623" w14:textId="77777777" w:rsidR="00EB020A" w:rsidRPr="00B41EE8" w:rsidRDefault="00EB020A" w:rsidP="007044A9">
            <w:pPr>
              <w:ind w:left="720" w:hanging="557"/>
              <w:contextualSpacing/>
              <w:jc w:val="center"/>
              <w:rPr>
                <w:rFonts w:ascii="Garamond" w:eastAsia="Calibri" w:hAnsi="Garamond" w:cs="Calibri"/>
                <w:bCs/>
                <w:sz w:val="22"/>
                <w:szCs w:val="22"/>
              </w:rPr>
            </w:pPr>
            <w:r w:rsidRPr="00B41EE8">
              <w:rPr>
                <w:rFonts w:ascii="Garamond" w:eastAsia="Calibri" w:hAnsi="Garamond" w:cs="Calibri"/>
                <w:bCs/>
                <w:sz w:val="22"/>
                <w:szCs w:val="22"/>
              </w:rPr>
              <w:t>72%</w:t>
            </w:r>
          </w:p>
          <w:p w14:paraId="7BCF3B98" w14:textId="77777777" w:rsidR="00EB020A" w:rsidRPr="00B41EE8" w:rsidRDefault="00EB020A" w:rsidP="007044A9">
            <w:pPr>
              <w:ind w:left="720" w:hanging="557"/>
              <w:contextualSpacing/>
              <w:jc w:val="center"/>
              <w:rPr>
                <w:rFonts w:ascii="Garamond" w:eastAsia="Calibri" w:hAnsi="Garamond" w:cs="Calibri"/>
                <w:bCs/>
                <w:sz w:val="22"/>
                <w:szCs w:val="22"/>
              </w:rPr>
            </w:pPr>
            <w:r w:rsidRPr="00B41EE8">
              <w:rPr>
                <w:rFonts w:ascii="Garamond" w:eastAsia="Calibri" w:hAnsi="Garamond" w:cs="Calibri"/>
                <w:bCs/>
                <w:sz w:val="22"/>
                <w:szCs w:val="22"/>
              </w:rPr>
              <w:t>6%</w:t>
            </w:r>
          </w:p>
          <w:p w14:paraId="00085ABD" w14:textId="1AF8CFDB" w:rsidR="00EB020A" w:rsidRPr="00B41EE8" w:rsidRDefault="00EB020A" w:rsidP="007044A9">
            <w:pPr>
              <w:ind w:left="720" w:hanging="557"/>
              <w:contextualSpacing/>
              <w:jc w:val="center"/>
              <w:rPr>
                <w:rFonts w:ascii="Garamond" w:eastAsia="Calibri" w:hAnsi="Garamond" w:cs="Calibri"/>
                <w:bCs/>
                <w:sz w:val="22"/>
                <w:szCs w:val="22"/>
              </w:rPr>
            </w:pPr>
            <w:r w:rsidRPr="00B41EE8">
              <w:rPr>
                <w:rFonts w:ascii="Garamond" w:eastAsia="Calibri" w:hAnsi="Garamond" w:cs="Calibri"/>
                <w:bCs/>
                <w:sz w:val="22"/>
                <w:szCs w:val="22"/>
              </w:rPr>
              <w:t>7%</w:t>
            </w:r>
          </w:p>
        </w:tc>
      </w:tr>
      <w:tr w:rsidR="00982F05" w14:paraId="56082D06" w14:textId="5B8DC76B" w:rsidTr="005D3BD5">
        <w:tc>
          <w:tcPr>
            <w:tcW w:w="3140" w:type="dxa"/>
          </w:tcPr>
          <w:p w14:paraId="2BEAAF97" w14:textId="7F0FB569" w:rsidR="00982F05" w:rsidRPr="00B41EE8" w:rsidRDefault="00982F05" w:rsidP="006467EC">
            <w:pPr>
              <w:contextualSpacing/>
              <w:rPr>
                <w:rFonts w:ascii="Garamond" w:eastAsia="Calibri" w:hAnsi="Garamond" w:cs="Calibri"/>
                <w:b/>
                <w:sz w:val="22"/>
                <w:szCs w:val="22"/>
              </w:rPr>
            </w:pPr>
            <w:r w:rsidRPr="00B41EE8">
              <w:rPr>
                <w:rFonts w:ascii="Garamond" w:eastAsia="Calibri" w:hAnsi="Garamond" w:cs="Calibri"/>
                <w:b/>
                <w:sz w:val="22"/>
                <w:szCs w:val="22"/>
              </w:rPr>
              <w:t>Payer Mix</w:t>
            </w:r>
          </w:p>
          <w:p w14:paraId="41D291FD" w14:textId="77777777" w:rsidR="00982F05" w:rsidRPr="00B41EE8" w:rsidRDefault="00982F05" w:rsidP="00BE233A">
            <w:pPr>
              <w:ind w:left="720" w:hanging="557"/>
              <w:contextualSpacing/>
              <w:rPr>
                <w:rFonts w:ascii="Garamond" w:eastAsia="Calibri" w:hAnsi="Garamond" w:cs="Calibri"/>
                <w:bCs/>
                <w:sz w:val="22"/>
                <w:szCs w:val="22"/>
              </w:rPr>
            </w:pPr>
            <w:r w:rsidRPr="00B41EE8">
              <w:rPr>
                <w:rFonts w:ascii="Garamond" w:eastAsia="Calibri" w:hAnsi="Garamond" w:cs="Calibri"/>
                <w:bCs/>
                <w:sz w:val="22"/>
                <w:szCs w:val="22"/>
              </w:rPr>
              <w:t>Commercial</w:t>
            </w:r>
          </w:p>
          <w:p w14:paraId="5C678847" w14:textId="77777777" w:rsidR="00982F05" w:rsidRPr="00B41EE8" w:rsidRDefault="00982F05" w:rsidP="00BE233A">
            <w:pPr>
              <w:ind w:left="720" w:hanging="557"/>
              <w:contextualSpacing/>
              <w:rPr>
                <w:rFonts w:ascii="Garamond" w:eastAsia="Calibri" w:hAnsi="Garamond" w:cs="Calibri"/>
                <w:bCs/>
                <w:sz w:val="22"/>
                <w:szCs w:val="22"/>
              </w:rPr>
            </w:pPr>
            <w:r w:rsidRPr="00B41EE8">
              <w:rPr>
                <w:rFonts w:ascii="Garamond" w:eastAsia="Calibri" w:hAnsi="Garamond" w:cs="Calibri"/>
                <w:bCs/>
                <w:sz w:val="22"/>
                <w:szCs w:val="22"/>
              </w:rPr>
              <w:t>Champus/ VA</w:t>
            </w:r>
          </w:p>
          <w:p w14:paraId="797DA9E9" w14:textId="77777777" w:rsidR="00982F05" w:rsidRPr="00B41EE8" w:rsidRDefault="00982F05" w:rsidP="00BE233A">
            <w:pPr>
              <w:ind w:left="720" w:hanging="557"/>
              <w:contextualSpacing/>
              <w:rPr>
                <w:rFonts w:ascii="Garamond" w:eastAsia="Calibri" w:hAnsi="Garamond" w:cs="Calibri"/>
                <w:bCs/>
                <w:sz w:val="22"/>
                <w:szCs w:val="22"/>
              </w:rPr>
            </w:pPr>
            <w:r w:rsidRPr="00B41EE8">
              <w:rPr>
                <w:rFonts w:ascii="Garamond" w:eastAsia="Calibri" w:hAnsi="Garamond" w:cs="Calibri"/>
                <w:bCs/>
                <w:sz w:val="22"/>
                <w:szCs w:val="22"/>
              </w:rPr>
              <w:t>Medicaid</w:t>
            </w:r>
          </w:p>
          <w:p w14:paraId="6E5919DE" w14:textId="77777777" w:rsidR="00982F05" w:rsidRPr="00B41EE8" w:rsidRDefault="00982F05" w:rsidP="00BE233A">
            <w:pPr>
              <w:ind w:left="720" w:hanging="557"/>
              <w:contextualSpacing/>
              <w:rPr>
                <w:rFonts w:ascii="Garamond" w:eastAsia="Calibri" w:hAnsi="Garamond" w:cs="Calibri"/>
                <w:bCs/>
                <w:sz w:val="22"/>
                <w:szCs w:val="22"/>
              </w:rPr>
            </w:pPr>
            <w:r w:rsidRPr="00B41EE8">
              <w:rPr>
                <w:rFonts w:ascii="Garamond" w:eastAsia="Calibri" w:hAnsi="Garamond" w:cs="Calibri"/>
                <w:bCs/>
                <w:sz w:val="22"/>
                <w:szCs w:val="22"/>
              </w:rPr>
              <w:t>Medicare</w:t>
            </w:r>
          </w:p>
          <w:p w14:paraId="5BC9ECC9" w14:textId="77777777" w:rsidR="00982F05" w:rsidRPr="00B41EE8" w:rsidRDefault="00982F05" w:rsidP="00BE233A">
            <w:pPr>
              <w:ind w:left="720" w:hanging="557"/>
              <w:contextualSpacing/>
              <w:rPr>
                <w:rFonts w:ascii="Garamond" w:eastAsia="Calibri" w:hAnsi="Garamond" w:cs="Calibri"/>
                <w:bCs/>
                <w:sz w:val="22"/>
                <w:szCs w:val="22"/>
              </w:rPr>
            </w:pPr>
            <w:r w:rsidRPr="00B41EE8">
              <w:rPr>
                <w:rFonts w:ascii="Garamond" w:eastAsia="Calibri" w:hAnsi="Garamond" w:cs="Calibri"/>
                <w:bCs/>
                <w:sz w:val="22"/>
                <w:szCs w:val="22"/>
              </w:rPr>
              <w:t>Managed Medicaid</w:t>
            </w:r>
          </w:p>
          <w:p w14:paraId="1EC4DC3C" w14:textId="3FFEA474" w:rsidR="00982F05" w:rsidRPr="00B41EE8" w:rsidRDefault="001216D6" w:rsidP="00BE233A">
            <w:pPr>
              <w:ind w:left="720" w:hanging="557"/>
              <w:contextualSpacing/>
              <w:rPr>
                <w:rFonts w:ascii="Garamond" w:eastAsia="Calibri" w:hAnsi="Garamond" w:cs="Calibri"/>
                <w:bCs/>
                <w:sz w:val="22"/>
                <w:szCs w:val="22"/>
              </w:rPr>
            </w:pPr>
            <w:r w:rsidRPr="00B41EE8">
              <w:rPr>
                <w:rFonts w:ascii="Garamond" w:eastAsia="Calibri" w:hAnsi="Garamond" w:cs="Calibri"/>
                <w:bCs/>
                <w:sz w:val="22"/>
                <w:szCs w:val="22"/>
              </w:rPr>
              <w:t>Managed</w:t>
            </w:r>
            <w:r w:rsidR="00982F05" w:rsidRPr="00B41EE8">
              <w:rPr>
                <w:rFonts w:ascii="Garamond" w:eastAsia="Calibri" w:hAnsi="Garamond" w:cs="Calibri"/>
                <w:bCs/>
                <w:sz w:val="22"/>
                <w:szCs w:val="22"/>
              </w:rPr>
              <w:t xml:space="preserve"> Medicare</w:t>
            </w:r>
          </w:p>
          <w:p w14:paraId="5D6433E5" w14:textId="699319E1" w:rsidR="00982F05" w:rsidRPr="00B41EE8" w:rsidRDefault="00982F05" w:rsidP="00BE233A">
            <w:pPr>
              <w:ind w:left="720" w:hanging="557"/>
              <w:contextualSpacing/>
              <w:rPr>
                <w:rFonts w:ascii="Garamond" w:hAnsi="Garamond"/>
                <w:sz w:val="22"/>
                <w:szCs w:val="22"/>
              </w:rPr>
            </w:pPr>
            <w:r w:rsidRPr="00B41EE8">
              <w:rPr>
                <w:rFonts w:ascii="Garamond" w:eastAsia="Calibri" w:hAnsi="Garamond" w:cs="Calibri"/>
                <w:bCs/>
                <w:sz w:val="22"/>
                <w:szCs w:val="22"/>
              </w:rPr>
              <w:t>Other</w:t>
            </w:r>
            <w:r w:rsidR="007333AE" w:rsidRPr="00B41EE8">
              <w:rPr>
                <w:rFonts w:ascii="Garamond" w:eastAsia="Calibri" w:hAnsi="Garamond" w:cs="Calibri"/>
                <w:bCs/>
                <w:sz w:val="22"/>
                <w:szCs w:val="22"/>
              </w:rPr>
              <w:t>**</w:t>
            </w:r>
          </w:p>
        </w:tc>
        <w:tc>
          <w:tcPr>
            <w:tcW w:w="2310" w:type="dxa"/>
          </w:tcPr>
          <w:p w14:paraId="18F070D0" w14:textId="77777777" w:rsidR="00982F05" w:rsidRPr="00B41EE8" w:rsidRDefault="00982F05" w:rsidP="007044A9">
            <w:pPr>
              <w:ind w:left="720" w:hanging="557"/>
              <w:contextualSpacing/>
              <w:jc w:val="center"/>
              <w:rPr>
                <w:rFonts w:ascii="Garamond" w:eastAsia="Calibri" w:hAnsi="Garamond" w:cs="Calibri"/>
                <w:bCs/>
                <w:sz w:val="22"/>
                <w:szCs w:val="22"/>
              </w:rPr>
            </w:pPr>
          </w:p>
          <w:p w14:paraId="7440A49E" w14:textId="77777777" w:rsidR="00982F05" w:rsidRPr="00B41EE8" w:rsidRDefault="00982F05" w:rsidP="007044A9">
            <w:pPr>
              <w:ind w:left="720" w:hanging="557"/>
              <w:contextualSpacing/>
              <w:jc w:val="center"/>
              <w:rPr>
                <w:rFonts w:ascii="Garamond" w:eastAsia="Calibri" w:hAnsi="Garamond" w:cs="Calibri"/>
                <w:bCs/>
                <w:sz w:val="22"/>
                <w:szCs w:val="22"/>
              </w:rPr>
            </w:pPr>
            <w:r w:rsidRPr="00B41EE8">
              <w:rPr>
                <w:rFonts w:ascii="Garamond" w:eastAsia="Calibri" w:hAnsi="Garamond" w:cs="Calibri"/>
                <w:bCs/>
                <w:sz w:val="22"/>
                <w:szCs w:val="22"/>
              </w:rPr>
              <w:t>12</w:t>
            </w:r>
          </w:p>
          <w:p w14:paraId="3723A313" w14:textId="77777777" w:rsidR="00982F05" w:rsidRPr="00B41EE8" w:rsidRDefault="00982F05" w:rsidP="007044A9">
            <w:pPr>
              <w:ind w:left="720" w:hanging="557"/>
              <w:contextualSpacing/>
              <w:jc w:val="center"/>
              <w:rPr>
                <w:rFonts w:ascii="Garamond" w:eastAsia="Calibri" w:hAnsi="Garamond" w:cs="Calibri"/>
                <w:bCs/>
                <w:sz w:val="22"/>
                <w:szCs w:val="22"/>
              </w:rPr>
            </w:pPr>
            <w:r w:rsidRPr="00B41EE8">
              <w:rPr>
                <w:rFonts w:ascii="Garamond" w:eastAsia="Calibri" w:hAnsi="Garamond" w:cs="Calibri"/>
                <w:bCs/>
                <w:sz w:val="22"/>
                <w:szCs w:val="22"/>
              </w:rPr>
              <w:t>6</w:t>
            </w:r>
          </w:p>
          <w:p w14:paraId="70B7018B" w14:textId="77777777" w:rsidR="00982F05" w:rsidRPr="00B41EE8" w:rsidRDefault="00982F05" w:rsidP="007044A9">
            <w:pPr>
              <w:ind w:left="720" w:hanging="557"/>
              <w:contextualSpacing/>
              <w:jc w:val="center"/>
              <w:rPr>
                <w:rFonts w:ascii="Garamond" w:eastAsia="Calibri" w:hAnsi="Garamond" w:cs="Calibri"/>
                <w:bCs/>
                <w:sz w:val="22"/>
                <w:szCs w:val="22"/>
              </w:rPr>
            </w:pPr>
            <w:r w:rsidRPr="00B41EE8">
              <w:rPr>
                <w:rFonts w:ascii="Garamond" w:eastAsia="Calibri" w:hAnsi="Garamond" w:cs="Calibri"/>
                <w:bCs/>
                <w:sz w:val="22"/>
                <w:szCs w:val="22"/>
              </w:rPr>
              <w:t>58</w:t>
            </w:r>
          </w:p>
          <w:p w14:paraId="1655D6FA" w14:textId="77777777" w:rsidR="00982F05" w:rsidRPr="00B41EE8" w:rsidRDefault="00982F05" w:rsidP="007044A9">
            <w:pPr>
              <w:ind w:left="720" w:hanging="557"/>
              <w:contextualSpacing/>
              <w:jc w:val="center"/>
              <w:rPr>
                <w:rFonts w:ascii="Garamond" w:eastAsia="Calibri" w:hAnsi="Garamond" w:cs="Calibri"/>
                <w:bCs/>
                <w:sz w:val="22"/>
                <w:szCs w:val="22"/>
              </w:rPr>
            </w:pPr>
            <w:r w:rsidRPr="00B41EE8">
              <w:rPr>
                <w:rFonts w:ascii="Garamond" w:eastAsia="Calibri" w:hAnsi="Garamond" w:cs="Calibri"/>
                <w:bCs/>
                <w:sz w:val="22"/>
                <w:szCs w:val="22"/>
              </w:rPr>
              <w:t>96</w:t>
            </w:r>
          </w:p>
          <w:p w14:paraId="671A8293" w14:textId="77777777" w:rsidR="00982F05" w:rsidRPr="00B41EE8" w:rsidRDefault="00982F05" w:rsidP="007044A9">
            <w:pPr>
              <w:ind w:left="720" w:hanging="557"/>
              <w:contextualSpacing/>
              <w:jc w:val="center"/>
              <w:rPr>
                <w:rFonts w:ascii="Garamond" w:eastAsia="Calibri" w:hAnsi="Garamond" w:cs="Calibri"/>
                <w:bCs/>
                <w:sz w:val="22"/>
                <w:szCs w:val="22"/>
              </w:rPr>
            </w:pPr>
            <w:r w:rsidRPr="00B41EE8">
              <w:rPr>
                <w:rFonts w:ascii="Garamond" w:eastAsia="Calibri" w:hAnsi="Garamond" w:cs="Calibri"/>
                <w:bCs/>
                <w:sz w:val="22"/>
                <w:szCs w:val="22"/>
              </w:rPr>
              <w:t>50</w:t>
            </w:r>
          </w:p>
          <w:p w14:paraId="3BA6F698" w14:textId="77777777" w:rsidR="00982F05" w:rsidRPr="00B41EE8" w:rsidRDefault="00982F05" w:rsidP="007044A9">
            <w:pPr>
              <w:ind w:left="720" w:hanging="557"/>
              <w:contextualSpacing/>
              <w:jc w:val="center"/>
              <w:rPr>
                <w:rFonts w:ascii="Garamond" w:eastAsia="Calibri" w:hAnsi="Garamond" w:cs="Calibri"/>
                <w:bCs/>
                <w:sz w:val="22"/>
                <w:szCs w:val="22"/>
              </w:rPr>
            </w:pPr>
            <w:r w:rsidRPr="00B41EE8">
              <w:rPr>
                <w:rFonts w:ascii="Garamond" w:eastAsia="Calibri" w:hAnsi="Garamond" w:cs="Calibri"/>
                <w:bCs/>
                <w:sz w:val="22"/>
                <w:szCs w:val="22"/>
              </w:rPr>
              <w:t>41</w:t>
            </w:r>
          </w:p>
          <w:p w14:paraId="6827B2ED" w14:textId="64CC91EC" w:rsidR="00982F05" w:rsidRPr="00B41EE8" w:rsidRDefault="00982F05" w:rsidP="007044A9">
            <w:pPr>
              <w:ind w:left="720" w:hanging="557"/>
              <w:contextualSpacing/>
              <w:jc w:val="center"/>
              <w:rPr>
                <w:rFonts w:ascii="Garamond" w:eastAsia="Calibri" w:hAnsi="Garamond" w:cs="Calibri"/>
                <w:bCs/>
                <w:sz w:val="22"/>
                <w:szCs w:val="22"/>
              </w:rPr>
            </w:pPr>
            <w:r w:rsidRPr="00B41EE8">
              <w:rPr>
                <w:rFonts w:ascii="Garamond" w:eastAsia="Calibri" w:hAnsi="Garamond" w:cs="Calibri"/>
                <w:bCs/>
                <w:sz w:val="22"/>
                <w:szCs w:val="22"/>
              </w:rPr>
              <w:t>15</w:t>
            </w:r>
          </w:p>
        </w:tc>
        <w:tc>
          <w:tcPr>
            <w:tcW w:w="2310" w:type="dxa"/>
          </w:tcPr>
          <w:p w14:paraId="71B9B5F7" w14:textId="77777777" w:rsidR="00982F05" w:rsidRPr="00B41EE8" w:rsidRDefault="00982F05" w:rsidP="007044A9">
            <w:pPr>
              <w:ind w:left="720" w:hanging="557"/>
              <w:contextualSpacing/>
              <w:jc w:val="center"/>
              <w:rPr>
                <w:rFonts w:ascii="Garamond" w:eastAsia="Calibri" w:hAnsi="Garamond" w:cs="Calibri"/>
                <w:bCs/>
                <w:sz w:val="22"/>
                <w:szCs w:val="22"/>
              </w:rPr>
            </w:pPr>
          </w:p>
          <w:p w14:paraId="21168099" w14:textId="77777777" w:rsidR="00EB020A" w:rsidRPr="00B41EE8" w:rsidRDefault="00B35CA8" w:rsidP="007044A9">
            <w:pPr>
              <w:ind w:left="720" w:hanging="557"/>
              <w:contextualSpacing/>
              <w:jc w:val="center"/>
              <w:rPr>
                <w:rFonts w:ascii="Garamond" w:eastAsia="Calibri" w:hAnsi="Garamond" w:cs="Calibri"/>
                <w:bCs/>
                <w:sz w:val="22"/>
                <w:szCs w:val="22"/>
              </w:rPr>
            </w:pPr>
            <w:r w:rsidRPr="00B41EE8">
              <w:rPr>
                <w:rFonts w:ascii="Garamond" w:eastAsia="Calibri" w:hAnsi="Garamond" w:cs="Calibri"/>
                <w:bCs/>
                <w:sz w:val="22"/>
                <w:szCs w:val="22"/>
              </w:rPr>
              <w:t>4%</w:t>
            </w:r>
          </w:p>
          <w:p w14:paraId="195F37AF" w14:textId="77777777" w:rsidR="00B35CA8" w:rsidRPr="00B41EE8" w:rsidRDefault="00B35CA8" w:rsidP="007044A9">
            <w:pPr>
              <w:ind w:left="720" w:hanging="557"/>
              <w:contextualSpacing/>
              <w:jc w:val="center"/>
              <w:rPr>
                <w:rFonts w:ascii="Garamond" w:eastAsia="Calibri" w:hAnsi="Garamond" w:cs="Calibri"/>
                <w:bCs/>
                <w:sz w:val="22"/>
                <w:szCs w:val="22"/>
              </w:rPr>
            </w:pPr>
            <w:r w:rsidRPr="00B41EE8">
              <w:rPr>
                <w:rFonts w:ascii="Garamond" w:eastAsia="Calibri" w:hAnsi="Garamond" w:cs="Calibri"/>
                <w:bCs/>
                <w:sz w:val="22"/>
                <w:szCs w:val="22"/>
              </w:rPr>
              <w:t>2%</w:t>
            </w:r>
          </w:p>
          <w:p w14:paraId="5912D61F" w14:textId="47DBB64A" w:rsidR="00B35CA8" w:rsidRPr="00B41EE8" w:rsidRDefault="00B35CA8" w:rsidP="007044A9">
            <w:pPr>
              <w:ind w:left="720" w:hanging="557"/>
              <w:contextualSpacing/>
              <w:jc w:val="center"/>
              <w:rPr>
                <w:rFonts w:ascii="Garamond" w:eastAsia="Calibri" w:hAnsi="Garamond" w:cs="Calibri"/>
                <w:bCs/>
                <w:sz w:val="22"/>
                <w:szCs w:val="22"/>
              </w:rPr>
            </w:pPr>
            <w:r w:rsidRPr="00B41EE8">
              <w:rPr>
                <w:rFonts w:ascii="Garamond" w:eastAsia="Calibri" w:hAnsi="Garamond" w:cs="Calibri"/>
                <w:bCs/>
                <w:sz w:val="22"/>
                <w:szCs w:val="22"/>
              </w:rPr>
              <w:t>21%</w:t>
            </w:r>
          </w:p>
          <w:p w14:paraId="13CD0C90" w14:textId="77777777" w:rsidR="00B35CA8" w:rsidRPr="00B41EE8" w:rsidRDefault="00B35CA8" w:rsidP="007044A9">
            <w:pPr>
              <w:ind w:left="720" w:hanging="557"/>
              <w:contextualSpacing/>
              <w:jc w:val="center"/>
              <w:rPr>
                <w:rFonts w:ascii="Garamond" w:eastAsia="Calibri" w:hAnsi="Garamond" w:cs="Calibri"/>
                <w:bCs/>
                <w:sz w:val="22"/>
                <w:szCs w:val="22"/>
              </w:rPr>
            </w:pPr>
            <w:r w:rsidRPr="00B41EE8">
              <w:rPr>
                <w:rFonts w:ascii="Garamond" w:eastAsia="Calibri" w:hAnsi="Garamond" w:cs="Calibri"/>
                <w:bCs/>
                <w:sz w:val="22"/>
                <w:szCs w:val="22"/>
              </w:rPr>
              <w:t>35%</w:t>
            </w:r>
          </w:p>
          <w:p w14:paraId="4F8E05EB" w14:textId="77777777" w:rsidR="00B35CA8" w:rsidRPr="00B41EE8" w:rsidRDefault="00B35CA8" w:rsidP="007044A9">
            <w:pPr>
              <w:ind w:left="720" w:hanging="557"/>
              <w:contextualSpacing/>
              <w:jc w:val="center"/>
              <w:rPr>
                <w:rFonts w:ascii="Garamond" w:eastAsia="Calibri" w:hAnsi="Garamond" w:cs="Calibri"/>
                <w:bCs/>
                <w:sz w:val="22"/>
                <w:szCs w:val="22"/>
              </w:rPr>
            </w:pPr>
            <w:r w:rsidRPr="00B41EE8">
              <w:rPr>
                <w:rFonts w:ascii="Garamond" w:eastAsia="Calibri" w:hAnsi="Garamond" w:cs="Calibri"/>
                <w:bCs/>
                <w:sz w:val="22"/>
                <w:szCs w:val="22"/>
              </w:rPr>
              <w:t>18%</w:t>
            </w:r>
          </w:p>
          <w:p w14:paraId="20E573F0" w14:textId="625BBB3E" w:rsidR="00B35CA8" w:rsidRPr="00B41EE8" w:rsidRDefault="00B35CA8" w:rsidP="007044A9">
            <w:pPr>
              <w:ind w:left="720" w:hanging="557"/>
              <w:contextualSpacing/>
              <w:jc w:val="center"/>
              <w:rPr>
                <w:rFonts w:ascii="Garamond" w:eastAsia="Calibri" w:hAnsi="Garamond" w:cs="Calibri"/>
                <w:bCs/>
                <w:sz w:val="22"/>
                <w:szCs w:val="22"/>
              </w:rPr>
            </w:pPr>
            <w:r w:rsidRPr="00B41EE8">
              <w:rPr>
                <w:rFonts w:ascii="Garamond" w:eastAsia="Calibri" w:hAnsi="Garamond" w:cs="Calibri"/>
                <w:bCs/>
                <w:sz w:val="22"/>
                <w:szCs w:val="22"/>
              </w:rPr>
              <w:t>15%</w:t>
            </w:r>
          </w:p>
          <w:p w14:paraId="69284E01" w14:textId="029998FD" w:rsidR="00B35CA8" w:rsidRPr="00B41EE8" w:rsidRDefault="00B35CA8" w:rsidP="00B35CA8">
            <w:pPr>
              <w:ind w:left="720" w:hanging="557"/>
              <w:contextualSpacing/>
              <w:jc w:val="center"/>
              <w:rPr>
                <w:rFonts w:ascii="Garamond" w:eastAsia="Calibri" w:hAnsi="Garamond" w:cs="Calibri"/>
                <w:bCs/>
                <w:sz w:val="22"/>
                <w:szCs w:val="22"/>
              </w:rPr>
            </w:pPr>
            <w:r w:rsidRPr="00B41EE8">
              <w:rPr>
                <w:rFonts w:ascii="Garamond" w:eastAsia="Calibri" w:hAnsi="Garamond" w:cs="Calibri"/>
                <w:bCs/>
                <w:sz w:val="22"/>
                <w:szCs w:val="22"/>
              </w:rPr>
              <w:t>5%</w:t>
            </w:r>
          </w:p>
        </w:tc>
      </w:tr>
    </w:tbl>
    <w:p w14:paraId="166F362D" w14:textId="29ECA9F9" w:rsidR="00AE0E25" w:rsidRDefault="00AE0E25" w:rsidP="00AF6565">
      <w:pPr>
        <w:rPr>
          <w:rFonts w:ascii="Garamond" w:hAnsi="Garamond"/>
          <w:sz w:val="18"/>
          <w:szCs w:val="18"/>
        </w:rPr>
      </w:pPr>
      <w:r>
        <w:rPr>
          <w:rFonts w:ascii="Garamond" w:hAnsi="Garamond"/>
          <w:sz w:val="18"/>
          <w:szCs w:val="18"/>
        </w:rPr>
        <w:t xml:space="preserve">*Other includes patients who did not provide information or identified race/ethnicity other than the listed categories; LTCH: race/ethnicity other than </w:t>
      </w:r>
      <w:r w:rsidRPr="00AE0E25">
        <w:rPr>
          <w:rFonts w:ascii="Garamond" w:hAnsi="Garamond"/>
          <w:sz w:val="18"/>
          <w:szCs w:val="18"/>
        </w:rPr>
        <w:t xml:space="preserve">African-American, Asian, Caucasian, </w:t>
      </w:r>
      <w:r w:rsidR="009318DE" w:rsidRPr="00AE0E25">
        <w:rPr>
          <w:rFonts w:ascii="Garamond" w:hAnsi="Garamond"/>
          <w:sz w:val="18"/>
          <w:szCs w:val="18"/>
        </w:rPr>
        <w:t>or Hispanic</w:t>
      </w:r>
      <w:r>
        <w:rPr>
          <w:rFonts w:ascii="Garamond" w:hAnsi="Garamond"/>
          <w:sz w:val="18"/>
          <w:szCs w:val="18"/>
        </w:rPr>
        <w:t>; NRU: race/ethnicity other than Caucasian or Hispanic</w:t>
      </w:r>
    </w:p>
    <w:p w14:paraId="1BC2784C" w14:textId="29C7BFC3" w:rsidR="00B9632C" w:rsidRDefault="00B9632C" w:rsidP="00AF6565">
      <w:pPr>
        <w:rPr>
          <w:rFonts w:ascii="Garamond" w:hAnsi="Garamond"/>
          <w:sz w:val="18"/>
          <w:szCs w:val="18"/>
        </w:rPr>
      </w:pPr>
      <w:r>
        <w:rPr>
          <w:rFonts w:ascii="Garamond" w:hAnsi="Garamond"/>
          <w:sz w:val="18"/>
          <w:szCs w:val="18"/>
        </w:rPr>
        <w:t>**</w:t>
      </w:r>
      <w:r w:rsidR="007333AE">
        <w:rPr>
          <w:rFonts w:ascii="Garamond" w:hAnsi="Garamond"/>
          <w:sz w:val="18"/>
          <w:szCs w:val="18"/>
        </w:rPr>
        <w:t xml:space="preserve">Include </w:t>
      </w:r>
      <w:r>
        <w:rPr>
          <w:rFonts w:ascii="Garamond" w:hAnsi="Garamond"/>
          <w:sz w:val="18"/>
          <w:szCs w:val="18"/>
        </w:rPr>
        <w:t>Workers’ compensation, Veterans Affair, self-insured, or private pay</w:t>
      </w:r>
    </w:p>
    <w:p w14:paraId="36CE736B" w14:textId="4214CD38" w:rsidR="00AF6565" w:rsidRPr="00E47B41" w:rsidRDefault="00DC4FDA" w:rsidP="00AF6565">
      <w:pPr>
        <w:rPr>
          <w:rFonts w:ascii="Garamond" w:hAnsi="Garamond"/>
          <w:sz w:val="18"/>
          <w:szCs w:val="18"/>
        </w:rPr>
      </w:pPr>
      <w:r w:rsidRPr="00DC4FDA">
        <w:rPr>
          <w:rFonts w:ascii="Garamond" w:hAnsi="Garamond"/>
          <w:sz w:val="18"/>
          <w:szCs w:val="18"/>
          <w:vertAlign w:val="superscript"/>
        </w:rPr>
        <w:t>~</w:t>
      </w:r>
      <w:r w:rsidR="007044A9" w:rsidRPr="00E47B41">
        <w:rPr>
          <w:rFonts w:ascii="Garamond" w:hAnsi="Garamond"/>
          <w:sz w:val="18"/>
          <w:szCs w:val="18"/>
        </w:rPr>
        <w:t>Top 5 zip codes at discharge</w:t>
      </w:r>
    </w:p>
    <w:p w14:paraId="3ED5C7C8" w14:textId="77777777" w:rsidR="00A97A1C" w:rsidRDefault="00A97A1C" w:rsidP="00AF6565">
      <w:pPr>
        <w:rPr>
          <w:rFonts w:ascii="Garamond" w:hAnsi="Garamond"/>
        </w:rPr>
      </w:pPr>
    </w:p>
    <w:p w14:paraId="629545F2" w14:textId="2862D006" w:rsidR="003F3CE9" w:rsidRDefault="007D6DD6" w:rsidP="007A017B">
      <w:pPr>
        <w:autoSpaceDE w:val="0"/>
        <w:autoSpaceDN w:val="0"/>
        <w:adjustRightInd w:val="0"/>
        <w:rPr>
          <w:rFonts w:ascii="Garamond" w:hAnsi="Garamond"/>
        </w:rPr>
      </w:pPr>
      <w:r>
        <w:rPr>
          <w:rFonts w:ascii="Garamond" w:hAnsi="Garamond"/>
        </w:rPr>
        <w:t xml:space="preserve">Table </w:t>
      </w:r>
      <w:r w:rsidR="00981BC8">
        <w:rPr>
          <w:rFonts w:ascii="Garamond" w:hAnsi="Garamond"/>
        </w:rPr>
        <w:t xml:space="preserve">1 </w:t>
      </w:r>
      <w:r>
        <w:rPr>
          <w:rFonts w:ascii="Garamond" w:hAnsi="Garamond"/>
        </w:rPr>
        <w:t xml:space="preserve">provides </w:t>
      </w:r>
      <w:r w:rsidR="00981BC8">
        <w:rPr>
          <w:rFonts w:ascii="Garamond" w:hAnsi="Garamond"/>
        </w:rPr>
        <w:t xml:space="preserve">high level Patient Panel data over a three-year period. Table 2 provides more detailed </w:t>
      </w:r>
      <w:r>
        <w:rPr>
          <w:rFonts w:ascii="Garamond" w:hAnsi="Garamond"/>
        </w:rPr>
        <w:t>information on the Hospital’s Patient Panel</w:t>
      </w:r>
      <w:r w:rsidR="00981BC8">
        <w:rPr>
          <w:rFonts w:ascii="Garamond" w:hAnsi="Garamond"/>
        </w:rPr>
        <w:t xml:space="preserve"> for the most recent year of data provided</w:t>
      </w:r>
      <w:r w:rsidR="007F0734">
        <w:rPr>
          <w:rFonts w:ascii="Garamond" w:hAnsi="Garamond"/>
        </w:rPr>
        <w:t xml:space="preserve"> (detailed information </w:t>
      </w:r>
      <w:r w:rsidR="007F0734">
        <w:rPr>
          <w:rFonts w:ascii="Garamond" w:hAnsi="Garamond"/>
        </w:rPr>
        <w:lastRenderedPageBreak/>
        <w:t>on all three years of the Patient Panel are found in Appendix A)</w:t>
      </w:r>
      <w:r>
        <w:rPr>
          <w:rFonts w:ascii="Garamond" w:hAnsi="Garamond"/>
        </w:rPr>
        <w:t xml:space="preserve">. </w:t>
      </w:r>
      <w:r w:rsidR="00D674A3">
        <w:rPr>
          <w:rFonts w:ascii="Garamond" w:hAnsi="Garamond"/>
        </w:rPr>
        <w:t xml:space="preserve">In FY20, </w:t>
      </w:r>
      <w:r w:rsidR="00E074BA">
        <w:rPr>
          <w:rFonts w:ascii="Garamond" w:hAnsi="Garamond"/>
        </w:rPr>
        <w:t>o</w:t>
      </w:r>
      <w:r w:rsidR="009432A8">
        <w:rPr>
          <w:rFonts w:ascii="Garamond" w:hAnsi="Garamond"/>
        </w:rPr>
        <w:t xml:space="preserve">ver 50% of the patients were male. </w:t>
      </w:r>
      <w:r w:rsidR="003F3CE9">
        <w:rPr>
          <w:rFonts w:ascii="Garamond" w:hAnsi="Garamond"/>
        </w:rPr>
        <w:t>The Hospital</w:t>
      </w:r>
      <w:r w:rsidR="00F436AA">
        <w:rPr>
          <w:rFonts w:ascii="Garamond" w:hAnsi="Garamond"/>
        </w:rPr>
        <w:t xml:space="preserve">’s Patient Panel does not include </w:t>
      </w:r>
      <w:r w:rsidR="007A017B">
        <w:rPr>
          <w:rFonts w:ascii="Garamond" w:hAnsi="Garamond"/>
        </w:rPr>
        <w:t>patients aged 17 and younger;</w:t>
      </w:r>
      <w:r w:rsidR="009432A8">
        <w:rPr>
          <w:rFonts w:ascii="Garamond" w:hAnsi="Garamond"/>
        </w:rPr>
        <w:t xml:space="preserve"> </w:t>
      </w:r>
      <w:r w:rsidR="002418C5">
        <w:rPr>
          <w:rFonts w:ascii="Garamond" w:hAnsi="Garamond"/>
        </w:rPr>
        <w:t>the largest</w:t>
      </w:r>
      <w:r w:rsidR="009432A8">
        <w:rPr>
          <w:rFonts w:ascii="Garamond" w:hAnsi="Garamond"/>
        </w:rPr>
        <w:t xml:space="preserve"> proportion of its patients </w:t>
      </w:r>
      <w:r w:rsidR="00D674A3">
        <w:rPr>
          <w:rFonts w:ascii="Garamond" w:hAnsi="Garamond"/>
        </w:rPr>
        <w:t xml:space="preserve">was </w:t>
      </w:r>
      <w:r w:rsidR="009432A8">
        <w:rPr>
          <w:rFonts w:ascii="Garamond" w:hAnsi="Garamond"/>
        </w:rPr>
        <w:t>18-64 years</w:t>
      </w:r>
      <w:r w:rsidR="00D674A3">
        <w:rPr>
          <w:rFonts w:ascii="Garamond" w:hAnsi="Garamond"/>
        </w:rPr>
        <w:t xml:space="preserve"> old</w:t>
      </w:r>
      <w:r w:rsidR="001E71E5">
        <w:rPr>
          <w:rFonts w:ascii="Garamond" w:hAnsi="Garamond"/>
        </w:rPr>
        <w:t xml:space="preserve"> (55%)</w:t>
      </w:r>
      <w:r w:rsidR="009432A8">
        <w:rPr>
          <w:rFonts w:ascii="Garamond" w:hAnsi="Garamond"/>
        </w:rPr>
        <w:t>. A majority of the patients were Caucasian</w:t>
      </w:r>
      <w:r w:rsidR="001E71E5">
        <w:rPr>
          <w:rFonts w:ascii="Garamond" w:hAnsi="Garamond"/>
        </w:rPr>
        <w:t xml:space="preserve"> (72%)</w:t>
      </w:r>
      <w:r w:rsidR="009432A8">
        <w:rPr>
          <w:rFonts w:ascii="Garamond" w:hAnsi="Garamond"/>
        </w:rPr>
        <w:t xml:space="preserve">, </w:t>
      </w:r>
      <w:r w:rsidR="001E71E5">
        <w:rPr>
          <w:rFonts w:ascii="Garamond" w:hAnsi="Garamond"/>
        </w:rPr>
        <w:t>and they serve a large public payer mix</w:t>
      </w:r>
      <w:r w:rsidR="00C33487">
        <w:rPr>
          <w:rStyle w:val="FootnoteReference"/>
          <w:rFonts w:ascii="Garamond" w:hAnsi="Garamond"/>
        </w:rPr>
        <w:footnoteReference w:id="5"/>
      </w:r>
      <w:r w:rsidR="001E71E5">
        <w:rPr>
          <w:rFonts w:ascii="Garamond" w:hAnsi="Garamond"/>
        </w:rPr>
        <w:t xml:space="preserve">. </w:t>
      </w:r>
    </w:p>
    <w:p w14:paraId="60FCBF89" w14:textId="77777777" w:rsidR="003F3CE9" w:rsidRDefault="003F3CE9" w:rsidP="007A017B">
      <w:pPr>
        <w:autoSpaceDE w:val="0"/>
        <w:autoSpaceDN w:val="0"/>
        <w:adjustRightInd w:val="0"/>
        <w:rPr>
          <w:rFonts w:ascii="Garamond" w:hAnsi="Garamond"/>
        </w:rPr>
      </w:pPr>
    </w:p>
    <w:p w14:paraId="567F8D63" w14:textId="1CC334FF" w:rsidR="009432A8" w:rsidRDefault="009432A8" w:rsidP="003F3CE9">
      <w:pPr>
        <w:autoSpaceDE w:val="0"/>
        <w:autoSpaceDN w:val="0"/>
        <w:adjustRightInd w:val="0"/>
        <w:rPr>
          <w:rFonts w:ascii="Garamond" w:hAnsi="Garamond"/>
        </w:rPr>
      </w:pPr>
      <w:r>
        <w:rPr>
          <w:rFonts w:ascii="Garamond" w:hAnsi="Garamond"/>
        </w:rPr>
        <w:t xml:space="preserve">The Hospital’s </w:t>
      </w:r>
      <w:r w:rsidR="001619F1">
        <w:rPr>
          <w:rFonts w:ascii="Garamond" w:hAnsi="Garamond"/>
        </w:rPr>
        <w:t xml:space="preserve">sole </w:t>
      </w:r>
      <w:r>
        <w:rPr>
          <w:rFonts w:ascii="Garamond" w:hAnsi="Garamond"/>
        </w:rPr>
        <w:t>referral sources are acute care hospitals</w:t>
      </w:r>
      <w:r w:rsidR="007A017B">
        <w:rPr>
          <w:rFonts w:ascii="Garamond" w:hAnsi="Garamond"/>
        </w:rPr>
        <w:t xml:space="preserve"> </w:t>
      </w:r>
      <w:r w:rsidR="002418C5">
        <w:rPr>
          <w:rFonts w:ascii="Garamond" w:hAnsi="Garamond"/>
        </w:rPr>
        <w:t>statewide</w:t>
      </w:r>
      <w:r>
        <w:rPr>
          <w:rFonts w:ascii="Garamond" w:hAnsi="Garamond"/>
        </w:rPr>
        <w:t>.</w:t>
      </w:r>
      <w:r w:rsidR="003F3CE9">
        <w:rPr>
          <w:rFonts w:ascii="Garamond" w:hAnsi="Garamond"/>
        </w:rPr>
        <w:t xml:space="preserve"> The </w:t>
      </w:r>
      <w:r w:rsidR="003F3CE9" w:rsidRPr="003F3CE9">
        <w:rPr>
          <w:rFonts w:ascii="Garamond" w:hAnsi="Garamond"/>
        </w:rPr>
        <w:t>Hospital discharges patients to an average of 105 different zip codes each</w:t>
      </w:r>
      <w:r w:rsidR="003F3CE9">
        <w:rPr>
          <w:rFonts w:ascii="Garamond" w:hAnsi="Garamond"/>
        </w:rPr>
        <w:t xml:space="preserve"> </w:t>
      </w:r>
      <w:r w:rsidR="003F3CE9" w:rsidRPr="003F3CE9">
        <w:rPr>
          <w:rFonts w:ascii="Garamond" w:hAnsi="Garamond"/>
        </w:rPr>
        <w:t>year</w:t>
      </w:r>
      <w:r w:rsidR="003F3CE9">
        <w:rPr>
          <w:rFonts w:ascii="Garamond" w:hAnsi="Garamond"/>
        </w:rPr>
        <w:t>.</w:t>
      </w:r>
      <w:r w:rsidR="003F3CE9">
        <w:rPr>
          <w:rStyle w:val="FootnoteReference"/>
          <w:rFonts w:ascii="Garamond" w:hAnsi="Garamond"/>
        </w:rPr>
        <w:footnoteReference w:id="6"/>
      </w:r>
      <w:r w:rsidR="003F3CE9" w:rsidRPr="003F3CE9">
        <w:rPr>
          <w:rFonts w:ascii="Garamond" w:hAnsi="Garamond"/>
        </w:rPr>
        <w:t xml:space="preserve"> </w:t>
      </w:r>
    </w:p>
    <w:p w14:paraId="6489B603" w14:textId="77777777" w:rsidR="007D6DD6" w:rsidRDefault="007D6DD6" w:rsidP="00F436AA">
      <w:pPr>
        <w:contextualSpacing/>
        <w:rPr>
          <w:rFonts w:ascii="Garamond" w:eastAsia="Calibri" w:hAnsi="Garamond" w:cs="Calibri"/>
        </w:rPr>
      </w:pPr>
    </w:p>
    <w:p w14:paraId="19522680" w14:textId="204CA5E6" w:rsidR="00905BB3" w:rsidRDefault="005A7FA3" w:rsidP="00614943">
      <w:pPr>
        <w:autoSpaceDE w:val="0"/>
        <w:autoSpaceDN w:val="0"/>
        <w:adjustRightInd w:val="0"/>
        <w:rPr>
          <w:rFonts w:ascii="Garamond" w:hAnsi="Garamond"/>
        </w:rPr>
      </w:pPr>
      <w:r>
        <w:rPr>
          <w:rFonts w:ascii="Garamond" w:hAnsi="Garamond"/>
        </w:rPr>
        <w:t xml:space="preserve">As noted above, these patients </w:t>
      </w:r>
      <w:r w:rsidR="00D674A3">
        <w:rPr>
          <w:rFonts w:ascii="Garamond" w:hAnsi="Garamond"/>
        </w:rPr>
        <w:t xml:space="preserve">have longer lengths of stay and </w:t>
      </w:r>
      <w:r>
        <w:rPr>
          <w:rFonts w:ascii="Garamond" w:hAnsi="Garamond"/>
        </w:rPr>
        <w:t>require higher levels of care th</w:t>
      </w:r>
      <w:r w:rsidR="001619F1">
        <w:rPr>
          <w:rFonts w:ascii="Garamond" w:hAnsi="Garamond"/>
        </w:rPr>
        <w:t>a</w:t>
      </w:r>
      <w:r>
        <w:rPr>
          <w:rFonts w:ascii="Garamond" w:hAnsi="Garamond"/>
        </w:rPr>
        <w:t xml:space="preserve">n </w:t>
      </w:r>
      <w:r w:rsidR="007F0734">
        <w:rPr>
          <w:rFonts w:ascii="Garamond" w:hAnsi="Garamond"/>
        </w:rPr>
        <w:t>are available in a</w:t>
      </w:r>
      <w:r>
        <w:rPr>
          <w:rFonts w:ascii="Garamond" w:hAnsi="Garamond"/>
        </w:rPr>
        <w:t xml:space="preserve"> skilled nursing facility</w:t>
      </w:r>
      <w:r w:rsidR="00614943">
        <w:rPr>
          <w:rFonts w:ascii="Garamond" w:hAnsi="Garamond"/>
        </w:rPr>
        <w:t>, such as mechanical ventilation</w:t>
      </w:r>
      <w:r>
        <w:rPr>
          <w:rFonts w:ascii="Garamond" w:hAnsi="Garamond"/>
        </w:rPr>
        <w:t xml:space="preserve">. </w:t>
      </w:r>
      <w:r w:rsidR="00F436AA" w:rsidRPr="00D12158">
        <w:rPr>
          <w:rFonts w:ascii="Garamond" w:eastAsia="Calibri" w:hAnsi="Garamond" w:cs="Calibri"/>
        </w:rPr>
        <w:t>The top five diagnos</w:t>
      </w:r>
      <w:r w:rsidR="008A57FE">
        <w:rPr>
          <w:rFonts w:ascii="Garamond" w:eastAsia="Calibri" w:hAnsi="Garamond" w:cs="Calibri"/>
        </w:rPr>
        <w:t>e</w:t>
      </w:r>
      <w:r w:rsidR="00F436AA" w:rsidRPr="00D12158">
        <w:rPr>
          <w:rFonts w:ascii="Garamond" w:eastAsia="Calibri" w:hAnsi="Garamond" w:cs="Calibri"/>
        </w:rPr>
        <w:t xml:space="preserve">s </w:t>
      </w:r>
      <w:r w:rsidR="00F436AA">
        <w:rPr>
          <w:rFonts w:ascii="Garamond" w:eastAsia="Calibri" w:hAnsi="Garamond" w:cs="Calibri"/>
        </w:rPr>
        <w:t xml:space="preserve">at the time of </w:t>
      </w:r>
      <w:r w:rsidR="00F436AA" w:rsidRPr="00B0648E">
        <w:rPr>
          <w:rFonts w:ascii="Garamond" w:eastAsia="Calibri" w:hAnsi="Garamond" w:cs="Calibri"/>
        </w:rPr>
        <w:t>admissions between 2018-2020 were respiratory failure, sepsis, pneumonia, cellulitis and shortness of breath. These conditions</w:t>
      </w:r>
      <w:r w:rsidR="00B0648E" w:rsidRPr="00B0648E">
        <w:rPr>
          <w:rFonts w:ascii="Garamond" w:eastAsia="Calibri" w:hAnsi="Garamond" w:cs="Calibri"/>
        </w:rPr>
        <w:t xml:space="preserve"> are often combined with one or </w:t>
      </w:r>
      <w:r w:rsidR="00B0648E" w:rsidRPr="003F1134">
        <w:rPr>
          <w:rFonts w:ascii="Garamond" w:eastAsia="Calibri" w:hAnsi="Garamond" w:cs="Calibri"/>
        </w:rPr>
        <w:t>more other co-morbidities and</w:t>
      </w:r>
      <w:r w:rsidR="007D6DD6" w:rsidRPr="003F1134">
        <w:rPr>
          <w:rFonts w:ascii="Garamond" w:eastAsia="Calibri" w:hAnsi="Garamond" w:cs="Calibri"/>
        </w:rPr>
        <w:t xml:space="preserve"> </w:t>
      </w:r>
      <w:r w:rsidR="00F436AA" w:rsidRPr="003F1134">
        <w:rPr>
          <w:rFonts w:ascii="Garamond" w:eastAsia="Calibri" w:hAnsi="Garamond" w:cs="Calibri"/>
        </w:rPr>
        <w:t xml:space="preserve">are </w:t>
      </w:r>
      <w:r w:rsidR="00794419" w:rsidRPr="003F1134">
        <w:rPr>
          <w:rFonts w:ascii="Garamond" w:eastAsia="Calibri" w:hAnsi="Garamond" w:cs="Calibri"/>
        </w:rPr>
        <w:t xml:space="preserve">generally </w:t>
      </w:r>
      <w:r w:rsidR="00F436AA" w:rsidRPr="003F1134">
        <w:rPr>
          <w:rFonts w:ascii="Garamond" w:eastAsia="Calibri" w:hAnsi="Garamond" w:cs="Calibri"/>
        </w:rPr>
        <w:t xml:space="preserve">associated with </w:t>
      </w:r>
      <w:r w:rsidR="00B0648E" w:rsidRPr="003F1134">
        <w:rPr>
          <w:rFonts w:ascii="Garamond" w:eastAsia="Calibri" w:hAnsi="Garamond" w:cs="Calibri"/>
        </w:rPr>
        <w:t xml:space="preserve">patients who </w:t>
      </w:r>
      <w:r w:rsidR="00F436AA" w:rsidRPr="003F1134">
        <w:rPr>
          <w:rFonts w:ascii="Garamond" w:eastAsia="Calibri" w:hAnsi="Garamond" w:cs="Calibri"/>
        </w:rPr>
        <w:t>need</w:t>
      </w:r>
      <w:r w:rsidR="00B0648E" w:rsidRPr="003F1134">
        <w:rPr>
          <w:rFonts w:ascii="Garamond" w:eastAsia="Calibri" w:hAnsi="Garamond" w:cs="Calibri"/>
        </w:rPr>
        <w:t xml:space="preserve"> long-term acute care</w:t>
      </w:r>
      <w:r w:rsidR="00F436AA" w:rsidRPr="003F1134">
        <w:rPr>
          <w:rFonts w:ascii="Garamond" w:eastAsia="Calibri" w:hAnsi="Garamond" w:cs="Calibri"/>
        </w:rPr>
        <w:t xml:space="preserve">. </w:t>
      </w:r>
      <w:r w:rsidR="00D87F0D" w:rsidRPr="003F1134">
        <w:rPr>
          <w:rFonts w:ascii="Garamond" w:hAnsi="Garamond"/>
        </w:rPr>
        <w:t xml:space="preserve">The average length of stay for </w:t>
      </w:r>
      <w:r w:rsidR="00422151" w:rsidRPr="003F1134">
        <w:rPr>
          <w:rFonts w:ascii="Garamond" w:hAnsi="Garamond"/>
        </w:rPr>
        <w:t>an LTCH</w:t>
      </w:r>
      <w:r w:rsidR="00905E0E" w:rsidRPr="003F1134">
        <w:rPr>
          <w:rFonts w:ascii="Garamond" w:hAnsi="Garamond"/>
        </w:rPr>
        <w:t xml:space="preserve"> </w:t>
      </w:r>
      <w:r w:rsidR="00D87F0D" w:rsidRPr="003F1134">
        <w:rPr>
          <w:rFonts w:ascii="Garamond" w:hAnsi="Garamond"/>
        </w:rPr>
        <w:t xml:space="preserve">patient </w:t>
      </w:r>
      <w:r w:rsidR="001619F1" w:rsidRPr="003F1134">
        <w:rPr>
          <w:rFonts w:ascii="Garamond" w:hAnsi="Garamond"/>
        </w:rPr>
        <w:t xml:space="preserve">at the Hospital </w:t>
      </w:r>
      <w:r w:rsidR="00D87F0D" w:rsidRPr="003F1134">
        <w:rPr>
          <w:rFonts w:ascii="Garamond" w:hAnsi="Garamond"/>
        </w:rPr>
        <w:t>across a three-year period was 36 days</w:t>
      </w:r>
      <w:r w:rsidR="009432A8" w:rsidRPr="003F1134">
        <w:rPr>
          <w:rFonts w:ascii="Garamond" w:hAnsi="Garamond"/>
        </w:rPr>
        <w:t xml:space="preserve"> (Table 2)</w:t>
      </w:r>
      <w:r w:rsidR="00D87F0D" w:rsidRPr="003F1134">
        <w:rPr>
          <w:rFonts w:ascii="Garamond" w:hAnsi="Garamond"/>
        </w:rPr>
        <w:t>.</w:t>
      </w:r>
      <w:r w:rsidR="009432A8" w:rsidRPr="003F1134">
        <w:rPr>
          <w:rFonts w:ascii="Garamond" w:hAnsi="Garamond"/>
        </w:rPr>
        <w:t xml:space="preserve"> </w:t>
      </w:r>
      <w:r w:rsidR="00280639" w:rsidRPr="003F1134">
        <w:rPr>
          <w:rFonts w:ascii="Garamond" w:hAnsi="Garamond"/>
        </w:rPr>
        <w:t xml:space="preserve">The Applicant noted it serves a small number traumatic brain injury (TBI) patients who generally have </w:t>
      </w:r>
      <w:r w:rsidR="003F1134" w:rsidRPr="003F1134">
        <w:rPr>
          <w:rFonts w:ascii="Garamond" w:hAnsi="Garamond"/>
        </w:rPr>
        <w:t>longer</w:t>
      </w:r>
      <w:r w:rsidR="00280639" w:rsidRPr="003F1134">
        <w:rPr>
          <w:rFonts w:ascii="Garamond" w:hAnsi="Garamond"/>
        </w:rPr>
        <w:t xml:space="preserve"> </w:t>
      </w:r>
      <w:r w:rsidR="003F1134" w:rsidRPr="003F1134">
        <w:rPr>
          <w:rFonts w:ascii="Garamond" w:hAnsi="Garamond"/>
        </w:rPr>
        <w:t xml:space="preserve">lengths of </w:t>
      </w:r>
      <w:r w:rsidR="00280639" w:rsidRPr="003F1134">
        <w:rPr>
          <w:rFonts w:ascii="Garamond" w:hAnsi="Garamond"/>
        </w:rPr>
        <w:t xml:space="preserve">stay than </w:t>
      </w:r>
      <w:r w:rsidR="004C233F" w:rsidRPr="003F1134">
        <w:rPr>
          <w:rFonts w:ascii="Garamond" w:hAnsi="Garamond"/>
        </w:rPr>
        <w:t xml:space="preserve">LTCH </w:t>
      </w:r>
      <w:r w:rsidR="00280639" w:rsidRPr="003F1134">
        <w:rPr>
          <w:rFonts w:ascii="Garamond" w:hAnsi="Garamond"/>
        </w:rPr>
        <w:t>patients t</w:t>
      </w:r>
      <w:r w:rsidR="004C233F" w:rsidRPr="003F1134">
        <w:rPr>
          <w:rFonts w:ascii="Garamond" w:hAnsi="Garamond"/>
        </w:rPr>
        <w:t>h</w:t>
      </w:r>
      <w:r w:rsidR="00280639" w:rsidRPr="003F1134">
        <w:rPr>
          <w:rFonts w:ascii="Garamond" w:hAnsi="Garamond"/>
        </w:rPr>
        <w:t>ey serve.</w:t>
      </w:r>
    </w:p>
    <w:p w14:paraId="24F0CCAE" w14:textId="44E8E4C9" w:rsidR="00A120A9" w:rsidRDefault="00A120A9" w:rsidP="00F436AA">
      <w:pPr>
        <w:contextualSpacing/>
        <w:rPr>
          <w:rFonts w:ascii="Garamond" w:hAnsi="Garamond"/>
        </w:rPr>
      </w:pPr>
    </w:p>
    <w:p w14:paraId="4F0A1265" w14:textId="780EAFF4" w:rsidR="00E47B41" w:rsidRDefault="00E47B41" w:rsidP="00E47B41">
      <w:pPr>
        <w:autoSpaceDE w:val="0"/>
        <w:autoSpaceDN w:val="0"/>
        <w:adjustRightInd w:val="0"/>
      </w:pPr>
      <w:r w:rsidRPr="007C044B">
        <w:rPr>
          <w:rFonts w:ascii="Garamond" w:hAnsi="Garamond"/>
          <w:b/>
          <w:bCs/>
          <w:color w:val="42558C" w:themeColor="accent1" w:themeShade="BF"/>
        </w:rPr>
        <w:t xml:space="preserve">Table </w:t>
      </w:r>
      <w:r>
        <w:rPr>
          <w:rFonts w:ascii="Garamond" w:hAnsi="Garamond"/>
          <w:b/>
          <w:bCs/>
          <w:color w:val="42558C" w:themeColor="accent1" w:themeShade="BF"/>
        </w:rPr>
        <w:t>2</w:t>
      </w:r>
      <w:r w:rsidRPr="007C044B">
        <w:rPr>
          <w:rFonts w:ascii="Garamond" w:hAnsi="Garamond"/>
          <w:b/>
          <w:bCs/>
          <w:color w:val="42558C" w:themeColor="accent1" w:themeShade="BF"/>
        </w:rPr>
        <w:t>:</w:t>
      </w:r>
      <w:r>
        <w:rPr>
          <w:rFonts w:ascii="Garamond" w:hAnsi="Garamond"/>
          <w:b/>
          <w:bCs/>
          <w:color w:val="42558C" w:themeColor="accent1" w:themeShade="BF"/>
        </w:rPr>
        <w:t xml:space="preserve"> </w:t>
      </w:r>
      <w:r w:rsidR="00905E0E">
        <w:rPr>
          <w:rFonts w:ascii="Garamond" w:hAnsi="Garamond"/>
          <w:b/>
          <w:bCs/>
          <w:color w:val="42558C" w:themeColor="accent1" w:themeShade="BF"/>
        </w:rPr>
        <w:t xml:space="preserve">Average </w:t>
      </w:r>
      <w:r w:rsidRPr="00E47B41">
        <w:rPr>
          <w:rFonts w:ascii="Garamond" w:hAnsi="Garamond"/>
          <w:b/>
          <w:bCs/>
          <w:color w:val="42558C" w:themeColor="accent1" w:themeShade="BF"/>
        </w:rPr>
        <w:t>Length of Stay</w:t>
      </w:r>
      <w:r w:rsidR="00CC5A9D">
        <w:rPr>
          <w:rFonts w:ascii="Garamond" w:hAnsi="Garamond"/>
          <w:b/>
          <w:bCs/>
          <w:color w:val="42558C" w:themeColor="accent1" w:themeShade="BF"/>
        </w:rPr>
        <w:t xml:space="preserve"> (LOS)</w:t>
      </w:r>
      <w:r w:rsidRPr="00E47B41">
        <w:rPr>
          <w:rFonts w:ascii="Garamond" w:hAnsi="Garamond"/>
          <w:b/>
          <w:bCs/>
          <w:color w:val="42558C" w:themeColor="accent1" w:themeShade="BF"/>
        </w:rPr>
        <w:t xml:space="preserve"> by Days - LTCH</w:t>
      </w:r>
    </w:p>
    <w:tbl>
      <w:tblPr>
        <w:tblStyle w:val="TableGrid"/>
        <w:tblW w:w="0" w:type="auto"/>
        <w:tblLook w:val="04A0" w:firstRow="1" w:lastRow="0" w:firstColumn="1" w:lastColumn="0" w:noHBand="0" w:noVBand="1"/>
        <w:tblCaption w:val="Table 2: Average Length of Stay (LOS) by Days-LTCH"/>
        <w:tblDescription w:val="2018 2019 2020 Avg LOS (2018-2020)&#10;41 34 34 36&#10;"/>
      </w:tblPr>
      <w:tblGrid>
        <w:gridCol w:w="2517"/>
        <w:gridCol w:w="2517"/>
        <w:gridCol w:w="2518"/>
        <w:gridCol w:w="2518"/>
      </w:tblGrid>
      <w:tr w:rsidR="00E47B41" w14:paraId="751674F9" w14:textId="77777777" w:rsidTr="00C8214E">
        <w:trPr>
          <w:tblHeader/>
        </w:trPr>
        <w:tc>
          <w:tcPr>
            <w:tcW w:w="2517" w:type="dxa"/>
            <w:shd w:val="clear" w:color="auto" w:fill="DFE3F0" w:themeFill="accent1" w:themeFillTint="33"/>
          </w:tcPr>
          <w:p w14:paraId="5A3C380E" w14:textId="16F4533E" w:rsidR="00E47B41" w:rsidRPr="00D54849" w:rsidRDefault="00E47B41" w:rsidP="00E47B41">
            <w:pPr>
              <w:jc w:val="center"/>
              <w:rPr>
                <w:rFonts w:ascii="Garamond" w:hAnsi="Garamond"/>
                <w:b/>
                <w:bCs/>
              </w:rPr>
            </w:pPr>
            <w:r w:rsidRPr="00D54849">
              <w:rPr>
                <w:rFonts w:ascii="Garamond" w:hAnsi="Garamond"/>
                <w:b/>
                <w:bCs/>
              </w:rPr>
              <w:t>2018</w:t>
            </w:r>
          </w:p>
        </w:tc>
        <w:tc>
          <w:tcPr>
            <w:tcW w:w="2517" w:type="dxa"/>
            <w:shd w:val="clear" w:color="auto" w:fill="DFE3F0" w:themeFill="accent1" w:themeFillTint="33"/>
          </w:tcPr>
          <w:p w14:paraId="533F4EE5" w14:textId="37AF53B5" w:rsidR="00E47B41" w:rsidRPr="00D54849" w:rsidRDefault="00E47B41" w:rsidP="00E47B41">
            <w:pPr>
              <w:jc w:val="center"/>
              <w:rPr>
                <w:rFonts w:ascii="Garamond" w:hAnsi="Garamond"/>
                <w:b/>
                <w:bCs/>
              </w:rPr>
            </w:pPr>
            <w:r w:rsidRPr="00D54849">
              <w:rPr>
                <w:rFonts w:ascii="Garamond" w:hAnsi="Garamond"/>
                <w:b/>
                <w:bCs/>
              </w:rPr>
              <w:t>2019</w:t>
            </w:r>
          </w:p>
        </w:tc>
        <w:tc>
          <w:tcPr>
            <w:tcW w:w="2518" w:type="dxa"/>
            <w:shd w:val="clear" w:color="auto" w:fill="DFE3F0" w:themeFill="accent1" w:themeFillTint="33"/>
          </w:tcPr>
          <w:p w14:paraId="3EC290EA" w14:textId="08C872F3" w:rsidR="00E47B41" w:rsidRPr="00D54849" w:rsidRDefault="00E47B41" w:rsidP="00E47B41">
            <w:pPr>
              <w:jc w:val="center"/>
              <w:rPr>
                <w:rFonts w:ascii="Garamond" w:hAnsi="Garamond"/>
                <w:b/>
                <w:bCs/>
              </w:rPr>
            </w:pPr>
            <w:r w:rsidRPr="00D54849">
              <w:rPr>
                <w:rFonts w:ascii="Garamond" w:hAnsi="Garamond"/>
                <w:b/>
                <w:bCs/>
              </w:rPr>
              <w:t>2020</w:t>
            </w:r>
          </w:p>
        </w:tc>
        <w:tc>
          <w:tcPr>
            <w:tcW w:w="2518" w:type="dxa"/>
            <w:shd w:val="clear" w:color="auto" w:fill="DFE3F0" w:themeFill="accent1" w:themeFillTint="33"/>
          </w:tcPr>
          <w:p w14:paraId="493E4629" w14:textId="0FB5BBA7" w:rsidR="00E47B41" w:rsidRPr="00D54849" w:rsidRDefault="00E47B41" w:rsidP="00E47B41">
            <w:pPr>
              <w:jc w:val="center"/>
              <w:rPr>
                <w:rFonts w:ascii="Garamond" w:hAnsi="Garamond"/>
                <w:b/>
                <w:bCs/>
              </w:rPr>
            </w:pPr>
            <w:r w:rsidRPr="00D54849">
              <w:rPr>
                <w:rFonts w:ascii="Garamond" w:hAnsi="Garamond"/>
                <w:b/>
                <w:bCs/>
              </w:rPr>
              <w:t>Avg LOS (2018-2020)</w:t>
            </w:r>
          </w:p>
        </w:tc>
      </w:tr>
      <w:tr w:rsidR="00E47B41" w14:paraId="68F7E430" w14:textId="77777777" w:rsidTr="00E47B41">
        <w:tc>
          <w:tcPr>
            <w:tcW w:w="2517" w:type="dxa"/>
          </w:tcPr>
          <w:p w14:paraId="79926BBD" w14:textId="19386A10" w:rsidR="00E47B41" w:rsidRPr="00D54849" w:rsidRDefault="00E47B41" w:rsidP="00E47B41">
            <w:pPr>
              <w:autoSpaceDE w:val="0"/>
              <w:autoSpaceDN w:val="0"/>
              <w:adjustRightInd w:val="0"/>
              <w:jc w:val="center"/>
              <w:rPr>
                <w:rFonts w:ascii="Garamond" w:hAnsi="Garamond"/>
              </w:rPr>
            </w:pPr>
            <w:r w:rsidRPr="00D54849">
              <w:rPr>
                <w:rFonts w:ascii="Garamond" w:hAnsi="Garamond"/>
              </w:rPr>
              <w:t>41</w:t>
            </w:r>
          </w:p>
        </w:tc>
        <w:tc>
          <w:tcPr>
            <w:tcW w:w="2517" w:type="dxa"/>
          </w:tcPr>
          <w:p w14:paraId="013C3876" w14:textId="36E2B70A" w:rsidR="00E47B41" w:rsidRPr="00D54849" w:rsidRDefault="00E47B41" w:rsidP="00E47B41">
            <w:pPr>
              <w:autoSpaceDE w:val="0"/>
              <w:autoSpaceDN w:val="0"/>
              <w:adjustRightInd w:val="0"/>
              <w:jc w:val="center"/>
              <w:rPr>
                <w:rFonts w:ascii="Garamond" w:hAnsi="Garamond"/>
              </w:rPr>
            </w:pPr>
            <w:r w:rsidRPr="00D54849">
              <w:rPr>
                <w:rFonts w:ascii="Garamond" w:hAnsi="Garamond"/>
              </w:rPr>
              <w:t>34</w:t>
            </w:r>
          </w:p>
        </w:tc>
        <w:tc>
          <w:tcPr>
            <w:tcW w:w="2518" w:type="dxa"/>
          </w:tcPr>
          <w:p w14:paraId="7E4EB1A6" w14:textId="101E54DC" w:rsidR="00E47B41" w:rsidRPr="00D54849" w:rsidRDefault="00E47B41" w:rsidP="00E47B41">
            <w:pPr>
              <w:autoSpaceDE w:val="0"/>
              <w:autoSpaceDN w:val="0"/>
              <w:adjustRightInd w:val="0"/>
              <w:jc w:val="center"/>
              <w:rPr>
                <w:rFonts w:ascii="Garamond" w:hAnsi="Garamond"/>
              </w:rPr>
            </w:pPr>
            <w:r w:rsidRPr="00D54849">
              <w:rPr>
                <w:rFonts w:ascii="Garamond" w:hAnsi="Garamond"/>
              </w:rPr>
              <w:t>34</w:t>
            </w:r>
          </w:p>
        </w:tc>
        <w:tc>
          <w:tcPr>
            <w:tcW w:w="2518" w:type="dxa"/>
          </w:tcPr>
          <w:p w14:paraId="2C0222A5" w14:textId="7B701C23" w:rsidR="00E47B41" w:rsidRPr="00D54849" w:rsidRDefault="00E47B41" w:rsidP="00E47B41">
            <w:pPr>
              <w:autoSpaceDE w:val="0"/>
              <w:autoSpaceDN w:val="0"/>
              <w:adjustRightInd w:val="0"/>
              <w:jc w:val="center"/>
              <w:rPr>
                <w:rFonts w:ascii="Garamond" w:hAnsi="Garamond"/>
              </w:rPr>
            </w:pPr>
            <w:r w:rsidRPr="00D54849">
              <w:rPr>
                <w:rFonts w:ascii="Garamond" w:hAnsi="Garamond"/>
              </w:rPr>
              <w:t>36</w:t>
            </w:r>
          </w:p>
        </w:tc>
      </w:tr>
    </w:tbl>
    <w:p w14:paraId="643EBEBD" w14:textId="77777777" w:rsidR="00C90263" w:rsidRDefault="00C90263" w:rsidP="00E47B41">
      <w:pPr>
        <w:autoSpaceDE w:val="0"/>
        <w:autoSpaceDN w:val="0"/>
        <w:adjustRightInd w:val="0"/>
        <w:rPr>
          <w:rFonts w:ascii="Garamond" w:hAnsi="Garamond"/>
        </w:rPr>
      </w:pPr>
    </w:p>
    <w:p w14:paraId="71952509" w14:textId="0DAC11EA" w:rsidR="00AC68E5" w:rsidRPr="00EF6E86" w:rsidRDefault="00AC68E5" w:rsidP="003964D0">
      <w:pPr>
        <w:pStyle w:val="Heading1"/>
        <w:spacing w:before="0" w:line="240" w:lineRule="auto"/>
        <w:rPr>
          <w:rFonts w:ascii="Garamond" w:eastAsia="Calibri" w:hAnsi="Garamond"/>
        </w:rPr>
      </w:pPr>
      <w:bookmarkStart w:id="26" w:name="_Toc17731309"/>
      <w:bookmarkStart w:id="27" w:name="_Toc18922398"/>
      <w:bookmarkStart w:id="28" w:name="_Toc88515722"/>
      <w:bookmarkEnd w:id="20"/>
      <w:bookmarkEnd w:id="21"/>
      <w:bookmarkEnd w:id="22"/>
      <w:bookmarkEnd w:id="23"/>
      <w:bookmarkEnd w:id="24"/>
      <w:bookmarkEnd w:id="25"/>
      <w:r w:rsidRPr="00EF6E86">
        <w:rPr>
          <w:rFonts w:ascii="Garamond" w:eastAsia="Calibri" w:hAnsi="Garamond"/>
        </w:rPr>
        <w:t>Factor 1</w:t>
      </w:r>
      <w:r w:rsidR="00B85B1D" w:rsidRPr="00EF6E86">
        <w:rPr>
          <w:rFonts w:ascii="Garamond" w:eastAsia="Calibri" w:hAnsi="Garamond"/>
        </w:rPr>
        <w:t>a</w:t>
      </w:r>
      <w:r w:rsidRPr="00EF6E86">
        <w:rPr>
          <w:rFonts w:ascii="Garamond" w:eastAsia="Calibri" w:hAnsi="Garamond"/>
        </w:rPr>
        <w:t>: Patient Panel Need</w:t>
      </w:r>
      <w:bookmarkEnd w:id="26"/>
      <w:bookmarkEnd w:id="27"/>
      <w:bookmarkEnd w:id="28"/>
    </w:p>
    <w:p w14:paraId="01BAB4E6" w14:textId="3B77D3C3" w:rsidR="00AC68E5" w:rsidRPr="007A57C4" w:rsidRDefault="00AC68E5" w:rsidP="007A57C4">
      <w:pPr>
        <w:contextualSpacing/>
        <w:rPr>
          <w:rFonts w:ascii="Garamond" w:eastAsia="Calibri" w:hAnsi="Garamond" w:cs="Calibri"/>
        </w:rPr>
      </w:pPr>
      <w:r w:rsidRPr="007A57C4">
        <w:rPr>
          <w:rFonts w:ascii="Garamond" w:eastAsia="Calibri" w:hAnsi="Garamond" w:cs="Calibri"/>
        </w:rPr>
        <w:t xml:space="preserve">In this section, we assess if the Applicant has sufficiently addressed </w:t>
      </w:r>
      <w:r w:rsidR="00A03FEE" w:rsidRPr="007A57C4">
        <w:rPr>
          <w:rFonts w:ascii="Garamond" w:eastAsia="Calibri" w:hAnsi="Garamond" w:cs="Calibri"/>
        </w:rPr>
        <w:t>P</w:t>
      </w:r>
      <w:r w:rsidRPr="007A57C4">
        <w:rPr>
          <w:rFonts w:ascii="Garamond" w:eastAsia="Calibri" w:hAnsi="Garamond" w:cs="Calibri"/>
        </w:rPr>
        <w:t xml:space="preserve">atient </w:t>
      </w:r>
      <w:r w:rsidR="00A03FEE" w:rsidRPr="007A57C4">
        <w:rPr>
          <w:rFonts w:ascii="Garamond" w:eastAsia="Calibri" w:hAnsi="Garamond" w:cs="Calibri"/>
        </w:rPr>
        <w:t>P</w:t>
      </w:r>
      <w:r w:rsidRPr="007A57C4">
        <w:rPr>
          <w:rFonts w:ascii="Garamond" w:eastAsia="Calibri" w:hAnsi="Garamond" w:cs="Calibri"/>
        </w:rPr>
        <w:t xml:space="preserve">anel need for </w:t>
      </w:r>
      <w:r w:rsidR="007C63E7" w:rsidRPr="007A57C4">
        <w:rPr>
          <w:rFonts w:ascii="Garamond" w:eastAsia="Calibri" w:hAnsi="Garamond" w:cs="Calibri"/>
        </w:rPr>
        <w:t xml:space="preserve">the </w:t>
      </w:r>
      <w:r w:rsidR="0096329C">
        <w:rPr>
          <w:rFonts w:ascii="Garamond" w:eastAsia="Calibri" w:hAnsi="Garamond" w:cs="Calibri"/>
        </w:rPr>
        <w:t>Proposed Project</w:t>
      </w:r>
      <w:r w:rsidR="007C63E7" w:rsidRPr="007A57C4">
        <w:rPr>
          <w:rFonts w:ascii="Garamond" w:eastAsia="Calibri" w:hAnsi="Garamond" w:cs="Calibri"/>
        </w:rPr>
        <w:t xml:space="preserve">. </w:t>
      </w:r>
    </w:p>
    <w:p w14:paraId="013176C7" w14:textId="77777777" w:rsidR="00C61EAD" w:rsidRPr="007A57C4" w:rsidRDefault="00C61EAD" w:rsidP="007A57C4">
      <w:pPr>
        <w:contextualSpacing/>
        <w:rPr>
          <w:rFonts w:ascii="Garamond" w:eastAsia="Calibri" w:hAnsi="Garamond" w:cs="Calibri"/>
          <w:b/>
          <w:u w:val="single"/>
        </w:rPr>
      </w:pPr>
    </w:p>
    <w:bookmarkEnd w:id="15"/>
    <w:p w14:paraId="770B9A3D" w14:textId="08B2183C" w:rsidR="00956201" w:rsidRDefault="007C5560" w:rsidP="007A57C4">
      <w:pPr>
        <w:contextualSpacing/>
        <w:rPr>
          <w:rFonts w:ascii="Garamond" w:hAnsi="Garamond"/>
          <w:b/>
        </w:rPr>
      </w:pPr>
      <w:r w:rsidRPr="007A57C4">
        <w:rPr>
          <w:rFonts w:ascii="Garamond" w:hAnsi="Garamond"/>
          <w:b/>
        </w:rPr>
        <w:t>Patient Panel Need</w:t>
      </w:r>
    </w:p>
    <w:p w14:paraId="030BE811" w14:textId="01D3F0B0" w:rsidR="00A5552E" w:rsidRDefault="00A5552E" w:rsidP="00A5552E">
      <w:pPr>
        <w:autoSpaceDE w:val="0"/>
        <w:autoSpaceDN w:val="0"/>
        <w:adjustRightInd w:val="0"/>
        <w:rPr>
          <w:rFonts w:ascii="Garamond" w:hAnsi="Garamond" w:cs="Garamond"/>
          <w:color w:val="000000"/>
        </w:rPr>
      </w:pPr>
      <w:r w:rsidRPr="00BC5A3B">
        <w:rPr>
          <w:rFonts w:ascii="Garamond" w:hAnsi="Garamond" w:cs="Garamond"/>
          <w:color w:val="000000"/>
        </w:rPr>
        <w:t xml:space="preserve">The Applicant attributes the need </w:t>
      </w:r>
      <w:r w:rsidR="00806AF3">
        <w:rPr>
          <w:rFonts w:ascii="Garamond" w:hAnsi="Garamond" w:cs="Garamond"/>
          <w:color w:val="000000"/>
        </w:rPr>
        <w:t>for the transfer of ownership</w:t>
      </w:r>
      <w:r w:rsidRPr="00BC5A3B">
        <w:rPr>
          <w:rFonts w:ascii="Garamond" w:hAnsi="Garamond" w:cs="Garamond"/>
          <w:color w:val="000000"/>
        </w:rPr>
        <w:t xml:space="preserve"> to t</w:t>
      </w:r>
      <w:r w:rsidR="00D87F0D" w:rsidRPr="00BC5A3B">
        <w:rPr>
          <w:rFonts w:ascii="Garamond" w:hAnsi="Garamond" w:cs="Garamond"/>
          <w:color w:val="000000"/>
        </w:rPr>
        <w:t>wo</w:t>
      </w:r>
      <w:r w:rsidRPr="00BC5A3B">
        <w:rPr>
          <w:rFonts w:ascii="Garamond" w:hAnsi="Garamond" w:cs="Garamond"/>
          <w:color w:val="000000"/>
        </w:rPr>
        <w:t xml:space="preserve"> interrelated factors: </w:t>
      </w:r>
    </w:p>
    <w:p w14:paraId="24153F4E" w14:textId="77777777" w:rsidR="00265A28" w:rsidRPr="00BC5A3B" w:rsidRDefault="00265A28" w:rsidP="00A5552E">
      <w:pPr>
        <w:autoSpaceDE w:val="0"/>
        <w:autoSpaceDN w:val="0"/>
        <w:adjustRightInd w:val="0"/>
        <w:rPr>
          <w:rFonts w:ascii="Garamond" w:hAnsi="Garamond" w:cs="Garamond"/>
          <w:color w:val="000000"/>
        </w:rPr>
      </w:pPr>
    </w:p>
    <w:p w14:paraId="7AD28D6B" w14:textId="77DCEDC5" w:rsidR="00A5552E" w:rsidRPr="00BC5A3B" w:rsidRDefault="00A5552E" w:rsidP="00A5552E">
      <w:pPr>
        <w:autoSpaceDE w:val="0"/>
        <w:autoSpaceDN w:val="0"/>
        <w:adjustRightInd w:val="0"/>
        <w:rPr>
          <w:rFonts w:ascii="Garamond" w:hAnsi="Garamond" w:cs="Garamond"/>
          <w:color w:val="000000"/>
        </w:rPr>
      </w:pPr>
      <w:r w:rsidRPr="00BC5A3B">
        <w:rPr>
          <w:rFonts w:ascii="Garamond" w:hAnsi="Garamond" w:cs="Garamond"/>
          <w:color w:val="000000"/>
        </w:rPr>
        <w:t xml:space="preserve">a) </w:t>
      </w:r>
      <w:r w:rsidR="00037B9D" w:rsidRPr="00BC5A3B">
        <w:rPr>
          <w:rFonts w:ascii="Garamond" w:hAnsi="Garamond" w:cs="Garamond"/>
          <w:color w:val="000000"/>
        </w:rPr>
        <w:t>role of LTCHs</w:t>
      </w:r>
      <w:r w:rsidR="00D87F0D" w:rsidRPr="00BC5A3B">
        <w:rPr>
          <w:rFonts w:ascii="Garamond" w:hAnsi="Garamond" w:cs="Garamond"/>
          <w:color w:val="000000"/>
        </w:rPr>
        <w:t xml:space="preserve"> in the care continuum, and</w:t>
      </w:r>
    </w:p>
    <w:p w14:paraId="6F951CD3" w14:textId="3B2B5CD9" w:rsidR="00C33694" w:rsidRPr="001F6A09" w:rsidRDefault="00A5552E" w:rsidP="001F6A09">
      <w:pPr>
        <w:contextualSpacing/>
        <w:rPr>
          <w:rFonts w:ascii="Garamond" w:hAnsi="Garamond" w:cs="Garamond"/>
          <w:color w:val="000000"/>
        </w:rPr>
      </w:pPr>
      <w:r w:rsidRPr="00BC5A3B">
        <w:rPr>
          <w:rFonts w:ascii="Garamond" w:hAnsi="Garamond" w:cs="Garamond"/>
          <w:color w:val="000000"/>
        </w:rPr>
        <w:t xml:space="preserve">b) </w:t>
      </w:r>
      <w:r w:rsidR="00037B9D" w:rsidRPr="00BC5A3B">
        <w:rPr>
          <w:rFonts w:ascii="Garamond" w:hAnsi="Garamond" w:cs="Garamond"/>
          <w:color w:val="000000"/>
        </w:rPr>
        <w:t>leverag</w:t>
      </w:r>
      <w:r w:rsidR="00265A28">
        <w:rPr>
          <w:rFonts w:ascii="Garamond" w:hAnsi="Garamond" w:cs="Garamond"/>
          <w:color w:val="000000"/>
        </w:rPr>
        <w:t>ing</w:t>
      </w:r>
      <w:r w:rsidR="00037B9D" w:rsidRPr="00BC5A3B">
        <w:rPr>
          <w:rFonts w:ascii="Garamond" w:hAnsi="Garamond" w:cs="Garamond"/>
          <w:color w:val="000000"/>
        </w:rPr>
        <w:t xml:space="preserve"> </w:t>
      </w:r>
      <w:r w:rsidR="00D87F0D" w:rsidRPr="00BC5A3B">
        <w:rPr>
          <w:rFonts w:ascii="Garamond" w:hAnsi="Garamond" w:cs="Garamond"/>
          <w:color w:val="000000"/>
        </w:rPr>
        <w:t>PAM Health’s expertise</w:t>
      </w:r>
      <w:r w:rsidR="00BC5A3B" w:rsidRPr="00BC5A3B">
        <w:rPr>
          <w:rFonts w:ascii="Garamond" w:hAnsi="Garamond" w:cs="Garamond"/>
          <w:color w:val="000000"/>
        </w:rPr>
        <w:t>.</w:t>
      </w:r>
      <w:r w:rsidR="00D87F0D" w:rsidRPr="00BC5A3B">
        <w:rPr>
          <w:rFonts w:ascii="Garamond" w:hAnsi="Garamond" w:cs="Garamond"/>
          <w:color w:val="000000"/>
        </w:rPr>
        <w:t xml:space="preserve"> </w:t>
      </w:r>
    </w:p>
    <w:p w14:paraId="7662A4BC" w14:textId="5AE5B163" w:rsidR="00647FA8" w:rsidRDefault="00D87F0D" w:rsidP="007A57C4">
      <w:pPr>
        <w:pStyle w:val="ListParagraph"/>
        <w:numPr>
          <w:ilvl w:val="0"/>
          <w:numId w:val="8"/>
        </w:numPr>
        <w:spacing w:after="0" w:line="240" w:lineRule="auto"/>
        <w:rPr>
          <w:rFonts w:ascii="Garamond" w:hAnsi="Garamond" w:cs="Arial"/>
          <w:b/>
          <w:bCs/>
          <w:sz w:val="24"/>
          <w:szCs w:val="24"/>
        </w:rPr>
      </w:pPr>
      <w:r>
        <w:rPr>
          <w:rFonts w:ascii="Garamond" w:hAnsi="Garamond" w:cs="Arial"/>
          <w:b/>
          <w:bCs/>
          <w:sz w:val="24"/>
          <w:szCs w:val="24"/>
        </w:rPr>
        <w:t>Role</w:t>
      </w:r>
      <w:r w:rsidRPr="00D87F0D">
        <w:rPr>
          <w:rFonts w:ascii="Garamond" w:hAnsi="Garamond" w:cs="Arial"/>
          <w:b/>
          <w:bCs/>
          <w:sz w:val="24"/>
          <w:szCs w:val="24"/>
        </w:rPr>
        <w:t xml:space="preserve"> of LTCHs in the care continuum</w:t>
      </w:r>
    </w:p>
    <w:p w14:paraId="7066E5F5" w14:textId="4C41D010" w:rsidR="00BC5A3B" w:rsidRDefault="00BC5A3B" w:rsidP="002435F7">
      <w:pPr>
        <w:autoSpaceDE w:val="0"/>
        <w:autoSpaceDN w:val="0"/>
        <w:adjustRightInd w:val="0"/>
        <w:ind w:left="720"/>
        <w:rPr>
          <w:rFonts w:ascii="Garamond" w:hAnsi="Garamond" w:cs="Garamond"/>
          <w:color w:val="000000"/>
        </w:rPr>
      </w:pPr>
      <w:r>
        <w:rPr>
          <w:rFonts w:ascii="Garamond" w:hAnsi="Garamond" w:cs="Garamond"/>
          <w:color w:val="000000"/>
        </w:rPr>
        <w:t xml:space="preserve">Overall, LTCHs play an important role in treating the sickest patients who require extended hospital stay. LTCHs serve a high-acuity mix, and this necessitates </w:t>
      </w:r>
      <w:r w:rsidR="00F4542B">
        <w:rPr>
          <w:rFonts w:ascii="Garamond" w:hAnsi="Garamond" w:cs="Garamond"/>
          <w:color w:val="000000"/>
        </w:rPr>
        <w:t xml:space="preserve">wide ranging </w:t>
      </w:r>
      <w:r>
        <w:rPr>
          <w:rFonts w:ascii="Garamond" w:hAnsi="Garamond" w:cs="Garamond"/>
          <w:color w:val="000000"/>
        </w:rPr>
        <w:t xml:space="preserve">clinical teams and programs for </w:t>
      </w:r>
      <w:r w:rsidR="00F4542B">
        <w:rPr>
          <w:rFonts w:ascii="Garamond" w:hAnsi="Garamond" w:cs="Garamond"/>
          <w:color w:val="000000"/>
        </w:rPr>
        <w:t xml:space="preserve">conditions such as </w:t>
      </w:r>
      <w:r>
        <w:rPr>
          <w:rFonts w:ascii="Garamond" w:hAnsi="Garamond" w:cs="Garamond"/>
          <w:color w:val="000000"/>
        </w:rPr>
        <w:t>respiratory, infectious disease</w:t>
      </w:r>
      <w:r w:rsidR="00E15CA4">
        <w:rPr>
          <w:rFonts w:ascii="Garamond" w:hAnsi="Garamond" w:cs="Garamond"/>
          <w:color w:val="000000"/>
        </w:rPr>
        <w:t>,</w:t>
      </w:r>
      <w:r>
        <w:rPr>
          <w:rFonts w:ascii="Garamond" w:hAnsi="Garamond" w:cs="Garamond"/>
          <w:color w:val="000000"/>
        </w:rPr>
        <w:t xml:space="preserve"> and other comorbi</w:t>
      </w:r>
      <w:r w:rsidR="0045741D">
        <w:rPr>
          <w:rFonts w:ascii="Garamond" w:hAnsi="Garamond" w:cs="Garamond"/>
          <w:color w:val="000000"/>
        </w:rPr>
        <w:t>dit</w:t>
      </w:r>
      <w:r>
        <w:rPr>
          <w:rFonts w:ascii="Garamond" w:hAnsi="Garamond" w:cs="Garamond"/>
          <w:color w:val="000000"/>
        </w:rPr>
        <w:t xml:space="preserve">ies. </w:t>
      </w:r>
      <w:r w:rsidR="0049177C">
        <w:rPr>
          <w:rFonts w:ascii="Garamond" w:hAnsi="Garamond" w:cs="Garamond"/>
          <w:color w:val="000000"/>
        </w:rPr>
        <w:t xml:space="preserve">As the Applicant states, </w:t>
      </w:r>
      <w:r w:rsidR="00F4542B">
        <w:rPr>
          <w:rFonts w:ascii="Garamond" w:hAnsi="Garamond" w:cs="Garamond"/>
          <w:color w:val="000000"/>
        </w:rPr>
        <w:t xml:space="preserve">maximization of </w:t>
      </w:r>
      <w:r w:rsidR="0049177C">
        <w:rPr>
          <w:rFonts w:ascii="Garamond" w:hAnsi="Garamond" w:cs="Garamond"/>
          <w:color w:val="000000"/>
        </w:rPr>
        <w:t xml:space="preserve">LTCH services </w:t>
      </w:r>
      <w:r w:rsidR="00F4542B">
        <w:rPr>
          <w:rFonts w:ascii="Garamond" w:hAnsi="Garamond" w:cs="Garamond"/>
          <w:color w:val="000000"/>
        </w:rPr>
        <w:t xml:space="preserve">can </w:t>
      </w:r>
      <w:r w:rsidR="0049177C">
        <w:rPr>
          <w:rFonts w:ascii="Garamond" w:hAnsi="Garamond" w:cs="Garamond"/>
          <w:color w:val="000000"/>
        </w:rPr>
        <w:t>“reduce the burden on acute care hospitals by providing collaborative continuum of care</w:t>
      </w:r>
      <w:r w:rsidR="00F4542B">
        <w:rPr>
          <w:rFonts w:ascii="Garamond" w:hAnsi="Garamond" w:cs="Garamond"/>
          <w:color w:val="000000"/>
        </w:rPr>
        <w:t>,</w:t>
      </w:r>
      <w:r w:rsidR="0049177C">
        <w:rPr>
          <w:rFonts w:ascii="Garamond" w:hAnsi="Garamond" w:cs="Garamond"/>
          <w:color w:val="000000"/>
        </w:rPr>
        <w:t>”</w:t>
      </w:r>
      <w:r w:rsidR="00F4542B">
        <w:rPr>
          <w:rFonts w:ascii="Garamond" w:hAnsi="Garamond" w:cs="Garamond"/>
          <w:color w:val="000000"/>
        </w:rPr>
        <w:t xml:space="preserve"> particularly as these patients can be discharged to LTCHs.</w:t>
      </w:r>
      <w:r w:rsidR="0049177C">
        <w:rPr>
          <w:rFonts w:ascii="Garamond" w:hAnsi="Garamond" w:cs="Garamond"/>
          <w:color w:val="000000"/>
        </w:rPr>
        <w:t xml:space="preserve"> </w:t>
      </w:r>
      <w:r w:rsidRPr="00BC5A3B">
        <w:rPr>
          <w:rFonts w:ascii="Garamond" w:hAnsi="Garamond" w:cs="Garamond"/>
          <w:color w:val="000000"/>
        </w:rPr>
        <w:t>The Hospital received referrals</w:t>
      </w:r>
      <w:r>
        <w:rPr>
          <w:rFonts w:ascii="Garamond" w:hAnsi="Garamond" w:cs="Garamond"/>
          <w:color w:val="000000"/>
        </w:rPr>
        <w:t xml:space="preserve"> from over 40 acute care hospitals across Massachusetts between 2018-2020. This Proposed Project will ensure that the Hospital continues to provide its services in the community.</w:t>
      </w:r>
    </w:p>
    <w:p w14:paraId="20DF1A79" w14:textId="2A074842" w:rsidR="009A0B65" w:rsidRDefault="009A0B65" w:rsidP="002435F7">
      <w:pPr>
        <w:autoSpaceDE w:val="0"/>
        <w:autoSpaceDN w:val="0"/>
        <w:adjustRightInd w:val="0"/>
        <w:ind w:left="720"/>
        <w:rPr>
          <w:rFonts w:ascii="Garamond" w:hAnsi="Garamond" w:cs="Garamond"/>
          <w:color w:val="000000"/>
        </w:rPr>
      </w:pPr>
    </w:p>
    <w:p w14:paraId="27399FD3" w14:textId="7F904660" w:rsidR="00A65964" w:rsidRPr="002435F7" w:rsidRDefault="00DD1A10" w:rsidP="00A65964">
      <w:pPr>
        <w:pStyle w:val="ListParagraph"/>
        <w:numPr>
          <w:ilvl w:val="0"/>
          <w:numId w:val="8"/>
        </w:numPr>
        <w:spacing w:line="240" w:lineRule="auto"/>
        <w:rPr>
          <w:rFonts w:ascii="Garamond" w:hAnsi="Garamond"/>
          <w:sz w:val="24"/>
          <w:szCs w:val="24"/>
        </w:rPr>
      </w:pPr>
      <w:r>
        <w:rPr>
          <w:rFonts w:ascii="Garamond" w:hAnsi="Garamond"/>
          <w:b/>
          <w:sz w:val="24"/>
          <w:szCs w:val="24"/>
        </w:rPr>
        <w:t>L</w:t>
      </w:r>
      <w:r w:rsidRPr="00DD1A10">
        <w:rPr>
          <w:rFonts w:ascii="Garamond" w:hAnsi="Garamond"/>
          <w:b/>
          <w:sz w:val="24"/>
          <w:szCs w:val="24"/>
        </w:rPr>
        <w:t>everage PAM Health’s expertise</w:t>
      </w:r>
    </w:p>
    <w:p w14:paraId="5CE8D0C7" w14:textId="68E6D930" w:rsidR="002435F7" w:rsidRDefault="00AB1149" w:rsidP="005A7FA3">
      <w:pPr>
        <w:pStyle w:val="ListParagraph"/>
        <w:spacing w:line="240" w:lineRule="auto"/>
        <w:rPr>
          <w:rFonts w:ascii="Garamond" w:hAnsi="Garamond"/>
          <w:bCs/>
          <w:sz w:val="24"/>
          <w:szCs w:val="24"/>
        </w:rPr>
      </w:pPr>
      <w:r>
        <w:rPr>
          <w:rFonts w:ascii="Garamond" w:hAnsi="Garamond"/>
          <w:bCs/>
          <w:sz w:val="24"/>
          <w:szCs w:val="24"/>
        </w:rPr>
        <w:t xml:space="preserve">The Applicant, </w:t>
      </w:r>
      <w:r w:rsidR="0045741D">
        <w:rPr>
          <w:rFonts w:ascii="Garamond" w:hAnsi="Garamond"/>
          <w:bCs/>
          <w:sz w:val="24"/>
          <w:szCs w:val="24"/>
        </w:rPr>
        <w:t>PAM</w:t>
      </w:r>
      <w:r>
        <w:rPr>
          <w:rFonts w:ascii="Garamond" w:hAnsi="Garamond"/>
          <w:bCs/>
          <w:sz w:val="24"/>
          <w:szCs w:val="24"/>
        </w:rPr>
        <w:t>,</w:t>
      </w:r>
      <w:r w:rsidR="009F3E86">
        <w:rPr>
          <w:rFonts w:ascii="Garamond" w:hAnsi="Garamond"/>
          <w:bCs/>
          <w:sz w:val="24"/>
          <w:szCs w:val="24"/>
        </w:rPr>
        <w:t xml:space="preserve"> as part of the larger PAM Health,</w:t>
      </w:r>
      <w:r w:rsidR="0045741D">
        <w:rPr>
          <w:rFonts w:ascii="Garamond" w:hAnsi="Garamond"/>
          <w:bCs/>
          <w:sz w:val="24"/>
          <w:szCs w:val="24"/>
        </w:rPr>
        <w:t xml:space="preserve"> has 15 years of experience as a national provider of LTCH services</w:t>
      </w:r>
      <w:r w:rsidR="00B069C0">
        <w:rPr>
          <w:rFonts w:ascii="Garamond" w:hAnsi="Garamond"/>
          <w:bCs/>
          <w:sz w:val="24"/>
          <w:szCs w:val="24"/>
        </w:rPr>
        <w:t xml:space="preserve"> and states that the</w:t>
      </w:r>
      <w:r w:rsidR="0045741D">
        <w:rPr>
          <w:rFonts w:ascii="Garamond" w:hAnsi="Garamond"/>
          <w:bCs/>
          <w:sz w:val="24"/>
          <w:szCs w:val="24"/>
        </w:rPr>
        <w:t xml:space="preserve"> Proposed Project will enable </w:t>
      </w:r>
      <w:r w:rsidR="0045741D" w:rsidRPr="007626FC">
        <w:rPr>
          <w:rFonts w:ascii="Garamond" w:hAnsi="Garamond"/>
          <w:bCs/>
          <w:sz w:val="24"/>
          <w:szCs w:val="24"/>
        </w:rPr>
        <w:t>the Hospital to leverage th</w:t>
      </w:r>
      <w:r w:rsidR="00497CCD">
        <w:rPr>
          <w:rFonts w:ascii="Garamond" w:hAnsi="Garamond"/>
          <w:bCs/>
          <w:sz w:val="24"/>
          <w:szCs w:val="24"/>
        </w:rPr>
        <w:t xml:space="preserve">at </w:t>
      </w:r>
      <w:r w:rsidR="0045741D" w:rsidRPr="007626FC">
        <w:rPr>
          <w:rFonts w:ascii="Garamond" w:hAnsi="Garamond"/>
          <w:bCs/>
          <w:sz w:val="24"/>
          <w:szCs w:val="24"/>
        </w:rPr>
        <w:t>experience</w:t>
      </w:r>
      <w:r w:rsidR="004201E8">
        <w:rPr>
          <w:rFonts w:ascii="Garamond" w:hAnsi="Garamond"/>
          <w:bCs/>
          <w:sz w:val="24"/>
          <w:szCs w:val="24"/>
        </w:rPr>
        <w:t xml:space="preserve"> to </w:t>
      </w:r>
      <w:r w:rsidR="0045741D" w:rsidRPr="007626FC">
        <w:rPr>
          <w:rFonts w:ascii="Garamond" w:hAnsi="Garamond"/>
          <w:bCs/>
          <w:sz w:val="24"/>
          <w:szCs w:val="24"/>
        </w:rPr>
        <w:t xml:space="preserve">strengthen </w:t>
      </w:r>
      <w:r w:rsidR="004201E8">
        <w:rPr>
          <w:rFonts w:ascii="Garamond" w:hAnsi="Garamond"/>
          <w:bCs/>
          <w:sz w:val="24"/>
          <w:szCs w:val="24"/>
        </w:rPr>
        <w:t>the Hospital’s</w:t>
      </w:r>
      <w:r w:rsidR="0045741D" w:rsidRPr="007626FC">
        <w:rPr>
          <w:rFonts w:ascii="Garamond" w:hAnsi="Garamond"/>
          <w:bCs/>
          <w:sz w:val="24"/>
          <w:szCs w:val="24"/>
        </w:rPr>
        <w:t xml:space="preserve"> administrative and clinical infrastructure. </w:t>
      </w:r>
      <w:r w:rsidR="00497CCD">
        <w:rPr>
          <w:rFonts w:ascii="Garamond" w:hAnsi="Garamond"/>
          <w:bCs/>
          <w:sz w:val="24"/>
          <w:szCs w:val="24"/>
        </w:rPr>
        <w:t xml:space="preserve">Pam Health will provide </w:t>
      </w:r>
      <w:r w:rsidR="00030D19" w:rsidRPr="007626FC">
        <w:rPr>
          <w:rFonts w:ascii="Garamond" w:hAnsi="Garamond"/>
          <w:bCs/>
          <w:sz w:val="24"/>
          <w:szCs w:val="24"/>
        </w:rPr>
        <w:t xml:space="preserve">core corporate services </w:t>
      </w:r>
      <w:r w:rsidR="00E25056" w:rsidRPr="007626FC">
        <w:rPr>
          <w:rFonts w:ascii="Garamond" w:hAnsi="Garamond"/>
          <w:bCs/>
          <w:sz w:val="24"/>
          <w:szCs w:val="24"/>
        </w:rPr>
        <w:t xml:space="preserve">(e.g., human resources, </w:t>
      </w:r>
      <w:r w:rsidR="00E1385F" w:rsidRPr="007626FC">
        <w:rPr>
          <w:rFonts w:ascii="Garamond" w:hAnsi="Garamond"/>
          <w:bCs/>
          <w:sz w:val="24"/>
          <w:szCs w:val="24"/>
        </w:rPr>
        <w:t xml:space="preserve">compliance, </w:t>
      </w:r>
      <w:r w:rsidR="00E25056" w:rsidRPr="007626FC">
        <w:rPr>
          <w:rFonts w:ascii="Garamond" w:hAnsi="Garamond"/>
          <w:bCs/>
          <w:sz w:val="24"/>
          <w:szCs w:val="24"/>
        </w:rPr>
        <w:t>financial, legal</w:t>
      </w:r>
      <w:r w:rsidR="00E1385F" w:rsidRPr="007626FC">
        <w:rPr>
          <w:rFonts w:ascii="Garamond" w:hAnsi="Garamond"/>
          <w:bCs/>
          <w:sz w:val="24"/>
          <w:szCs w:val="24"/>
        </w:rPr>
        <w:t>, information technology</w:t>
      </w:r>
      <w:r w:rsidR="00E25056" w:rsidRPr="007626FC">
        <w:rPr>
          <w:rFonts w:ascii="Garamond" w:hAnsi="Garamond"/>
          <w:bCs/>
          <w:sz w:val="24"/>
          <w:szCs w:val="24"/>
        </w:rPr>
        <w:t xml:space="preserve">) </w:t>
      </w:r>
      <w:r w:rsidR="00497CCD">
        <w:rPr>
          <w:rFonts w:ascii="Garamond" w:hAnsi="Garamond"/>
          <w:bCs/>
          <w:sz w:val="24"/>
          <w:szCs w:val="24"/>
        </w:rPr>
        <w:t xml:space="preserve">to </w:t>
      </w:r>
      <w:r w:rsidR="00E1385F" w:rsidRPr="007626FC">
        <w:rPr>
          <w:rFonts w:ascii="Garamond" w:hAnsi="Garamond"/>
          <w:bCs/>
          <w:sz w:val="24"/>
          <w:szCs w:val="24"/>
        </w:rPr>
        <w:t>the Hospital</w:t>
      </w:r>
      <w:r w:rsidR="00497CCD">
        <w:rPr>
          <w:rFonts w:ascii="Garamond" w:hAnsi="Garamond"/>
          <w:bCs/>
          <w:sz w:val="24"/>
          <w:szCs w:val="24"/>
        </w:rPr>
        <w:t xml:space="preserve"> </w:t>
      </w:r>
      <w:r w:rsidR="009F3E86">
        <w:rPr>
          <w:rFonts w:ascii="Garamond" w:hAnsi="Garamond"/>
          <w:bCs/>
          <w:sz w:val="24"/>
          <w:szCs w:val="24"/>
        </w:rPr>
        <w:t>a</w:t>
      </w:r>
      <w:r w:rsidR="00497CCD">
        <w:rPr>
          <w:rFonts w:ascii="Garamond" w:hAnsi="Garamond"/>
          <w:bCs/>
          <w:sz w:val="24"/>
          <w:szCs w:val="24"/>
        </w:rPr>
        <w:t xml:space="preserve">s well as </w:t>
      </w:r>
      <w:r w:rsidR="00E25056" w:rsidRPr="007626FC">
        <w:rPr>
          <w:rFonts w:ascii="Garamond" w:hAnsi="Garamond"/>
          <w:bCs/>
          <w:sz w:val="24"/>
          <w:szCs w:val="24"/>
        </w:rPr>
        <w:t>t</w:t>
      </w:r>
      <w:r w:rsidR="00030D19" w:rsidRPr="007626FC">
        <w:rPr>
          <w:rFonts w:ascii="Garamond" w:hAnsi="Garamond"/>
          <w:bCs/>
          <w:sz w:val="24"/>
          <w:szCs w:val="24"/>
        </w:rPr>
        <w:t>heir</w:t>
      </w:r>
      <w:r w:rsidR="00030D19">
        <w:rPr>
          <w:rFonts w:ascii="Garamond" w:hAnsi="Garamond"/>
          <w:bCs/>
          <w:sz w:val="24"/>
          <w:szCs w:val="24"/>
        </w:rPr>
        <w:t xml:space="preserve"> national and regional </w:t>
      </w:r>
      <w:r w:rsidR="00497CCD">
        <w:rPr>
          <w:rFonts w:ascii="Garamond" w:hAnsi="Garamond"/>
          <w:bCs/>
          <w:sz w:val="24"/>
          <w:szCs w:val="24"/>
        </w:rPr>
        <w:t xml:space="preserve">clinical </w:t>
      </w:r>
      <w:r w:rsidR="00030D19">
        <w:rPr>
          <w:rFonts w:ascii="Garamond" w:hAnsi="Garamond"/>
          <w:bCs/>
          <w:sz w:val="24"/>
          <w:szCs w:val="24"/>
        </w:rPr>
        <w:t>leadership staff</w:t>
      </w:r>
      <w:r w:rsidR="00497CCD">
        <w:rPr>
          <w:rFonts w:ascii="Garamond" w:hAnsi="Garamond"/>
          <w:bCs/>
          <w:sz w:val="24"/>
          <w:szCs w:val="24"/>
        </w:rPr>
        <w:t xml:space="preserve">. </w:t>
      </w:r>
    </w:p>
    <w:p w14:paraId="2C7486DE" w14:textId="0D66CBF7" w:rsidR="005E2F28" w:rsidRDefault="005E2F28" w:rsidP="00E42510">
      <w:pPr>
        <w:pStyle w:val="ListParagraph"/>
        <w:spacing w:line="240" w:lineRule="auto"/>
        <w:rPr>
          <w:rFonts w:ascii="Garamond" w:hAnsi="Garamond"/>
          <w:bCs/>
          <w:sz w:val="24"/>
          <w:szCs w:val="24"/>
        </w:rPr>
      </w:pPr>
    </w:p>
    <w:p w14:paraId="51EFFDAD" w14:textId="3CACA231" w:rsidR="00C33694" w:rsidRDefault="00FC60FB" w:rsidP="007A57C4">
      <w:pPr>
        <w:pStyle w:val="ListParagraph"/>
        <w:spacing w:after="0" w:line="240" w:lineRule="auto"/>
        <w:ind w:left="0"/>
        <w:rPr>
          <w:rFonts w:ascii="Garamond" w:hAnsi="Garamond" w:cs="Arial"/>
          <w:b/>
          <w:i/>
          <w:sz w:val="24"/>
          <w:szCs w:val="24"/>
        </w:rPr>
      </w:pPr>
      <w:r w:rsidRPr="00AD1CA3">
        <w:rPr>
          <w:rFonts w:ascii="Garamond" w:hAnsi="Garamond" w:cs="Arial"/>
          <w:b/>
          <w:i/>
          <w:sz w:val="24"/>
          <w:szCs w:val="24"/>
        </w:rPr>
        <w:lastRenderedPageBreak/>
        <w:t>Analysis</w:t>
      </w:r>
    </w:p>
    <w:p w14:paraId="45F7F418" w14:textId="0C00E272" w:rsidR="00B4621C" w:rsidRDefault="00B4621C" w:rsidP="00AE67FD">
      <w:pPr>
        <w:pStyle w:val="ListParagraph"/>
        <w:spacing w:after="0" w:line="240" w:lineRule="auto"/>
        <w:ind w:left="0"/>
        <w:rPr>
          <w:rFonts w:ascii="Garamond" w:eastAsia="Calibri" w:hAnsi="Garamond" w:cs="Calibri"/>
          <w:sz w:val="24"/>
          <w:szCs w:val="24"/>
        </w:rPr>
      </w:pPr>
      <w:bookmarkStart w:id="29" w:name="_Toc28797402"/>
      <w:bookmarkStart w:id="30" w:name="_Toc17151180"/>
      <w:bookmarkStart w:id="31" w:name="_Toc17322392"/>
      <w:bookmarkStart w:id="32" w:name="_Toc18922408"/>
      <w:bookmarkStart w:id="33" w:name="_Toc17322387"/>
      <w:bookmarkStart w:id="34" w:name="_Toc18922403"/>
      <w:r>
        <w:rPr>
          <w:rFonts w:ascii="Garamond" w:eastAsia="Calibri" w:hAnsi="Garamond" w:cs="Calibri"/>
          <w:sz w:val="24"/>
          <w:szCs w:val="24"/>
        </w:rPr>
        <w:t>LTCH</w:t>
      </w:r>
      <w:r w:rsidR="00FC76D2">
        <w:rPr>
          <w:rFonts w:ascii="Garamond" w:eastAsia="Calibri" w:hAnsi="Garamond" w:cs="Calibri"/>
          <w:sz w:val="24"/>
          <w:szCs w:val="24"/>
        </w:rPr>
        <w:t>s</w:t>
      </w:r>
      <w:r>
        <w:rPr>
          <w:rFonts w:ascii="Garamond" w:eastAsia="Calibri" w:hAnsi="Garamond" w:cs="Calibri"/>
          <w:sz w:val="24"/>
          <w:szCs w:val="24"/>
        </w:rPr>
        <w:t xml:space="preserve"> provide care to patients requiring an average </w:t>
      </w:r>
      <w:r w:rsidR="00E15CA4">
        <w:rPr>
          <w:rFonts w:ascii="Garamond" w:eastAsia="Calibri" w:hAnsi="Garamond" w:cs="Calibri"/>
          <w:sz w:val="24"/>
          <w:szCs w:val="24"/>
        </w:rPr>
        <w:t xml:space="preserve">length of </w:t>
      </w:r>
      <w:r>
        <w:rPr>
          <w:rFonts w:ascii="Garamond" w:eastAsia="Calibri" w:hAnsi="Garamond" w:cs="Calibri"/>
          <w:sz w:val="24"/>
          <w:szCs w:val="24"/>
        </w:rPr>
        <w:t xml:space="preserve">stay longer than 25 days and </w:t>
      </w:r>
      <w:r w:rsidR="00F1295C">
        <w:rPr>
          <w:rFonts w:ascii="Garamond" w:eastAsia="Calibri" w:hAnsi="Garamond" w:cs="Calibri"/>
          <w:sz w:val="24"/>
          <w:szCs w:val="24"/>
        </w:rPr>
        <w:t xml:space="preserve">generally provide </w:t>
      </w:r>
      <w:r w:rsidR="007730AF">
        <w:rPr>
          <w:rFonts w:ascii="Garamond" w:eastAsia="Calibri" w:hAnsi="Garamond" w:cs="Calibri"/>
          <w:sz w:val="24"/>
          <w:szCs w:val="24"/>
        </w:rPr>
        <w:t>l</w:t>
      </w:r>
      <w:r w:rsidR="00F1295C">
        <w:rPr>
          <w:rFonts w:ascii="Garamond" w:eastAsia="Calibri" w:hAnsi="Garamond" w:cs="Calibri"/>
          <w:sz w:val="24"/>
          <w:szCs w:val="24"/>
        </w:rPr>
        <w:t>onger-term care</w:t>
      </w:r>
      <w:r>
        <w:rPr>
          <w:rFonts w:ascii="Garamond" w:eastAsia="Calibri" w:hAnsi="Garamond" w:cs="Calibri"/>
          <w:sz w:val="24"/>
          <w:szCs w:val="24"/>
        </w:rPr>
        <w:t xml:space="preserve">. </w:t>
      </w:r>
      <w:r w:rsidR="00B33887">
        <w:rPr>
          <w:rFonts w:ascii="Garamond" w:eastAsia="Calibri" w:hAnsi="Garamond" w:cs="Calibri"/>
          <w:sz w:val="24"/>
          <w:szCs w:val="24"/>
        </w:rPr>
        <w:t>In FY19, there were only four LTCHs in Massachusetts</w:t>
      </w:r>
      <w:r w:rsidR="007E1D86">
        <w:rPr>
          <w:rFonts w:ascii="Garamond" w:eastAsia="Calibri" w:hAnsi="Garamond" w:cs="Calibri"/>
          <w:sz w:val="24"/>
          <w:szCs w:val="24"/>
        </w:rPr>
        <w:t>,</w:t>
      </w:r>
      <w:r w:rsidR="00B33887">
        <w:rPr>
          <w:rFonts w:ascii="Garamond" w:eastAsia="Calibri" w:hAnsi="Garamond" w:cs="Calibri"/>
          <w:sz w:val="24"/>
          <w:szCs w:val="24"/>
        </w:rPr>
        <w:t xml:space="preserve"> including Curahealth</w:t>
      </w:r>
      <w:r w:rsidR="007E1D86">
        <w:rPr>
          <w:rFonts w:ascii="Garamond" w:eastAsia="Calibri" w:hAnsi="Garamond" w:cs="Calibri"/>
          <w:sz w:val="24"/>
          <w:szCs w:val="24"/>
        </w:rPr>
        <w:t>, which</w:t>
      </w:r>
      <w:r w:rsidR="007730AF">
        <w:rPr>
          <w:rFonts w:ascii="Garamond" w:eastAsia="Calibri" w:hAnsi="Garamond" w:cs="Calibri"/>
          <w:sz w:val="24"/>
          <w:szCs w:val="24"/>
        </w:rPr>
        <w:t xml:space="preserve"> were responsible for </w:t>
      </w:r>
      <w:r w:rsidR="007730AF" w:rsidRPr="00B4621C">
        <w:rPr>
          <w:rFonts w:ascii="Garamond" w:eastAsia="Calibri" w:hAnsi="Garamond" w:cs="Calibri"/>
          <w:sz w:val="24"/>
          <w:szCs w:val="24"/>
        </w:rPr>
        <w:t>16% of all chronic and rehabilitation discharges in FY19</w:t>
      </w:r>
      <w:r w:rsidR="007730AF">
        <w:rPr>
          <w:rFonts w:ascii="Garamond" w:eastAsia="Calibri" w:hAnsi="Garamond" w:cs="Calibri"/>
          <w:sz w:val="24"/>
          <w:szCs w:val="24"/>
        </w:rPr>
        <w:t xml:space="preserve">. </w:t>
      </w:r>
      <w:r w:rsidR="00733213">
        <w:rPr>
          <w:rFonts w:ascii="Garamond" w:eastAsia="Calibri" w:hAnsi="Garamond" w:cs="Calibri"/>
          <w:sz w:val="24"/>
          <w:szCs w:val="24"/>
        </w:rPr>
        <w:t xml:space="preserve">LTCHs </w:t>
      </w:r>
      <w:r w:rsidR="001F5B57">
        <w:rPr>
          <w:rFonts w:ascii="Garamond" w:eastAsia="Calibri" w:hAnsi="Garamond" w:cs="Calibri"/>
          <w:sz w:val="24"/>
          <w:szCs w:val="24"/>
        </w:rPr>
        <w:t>play an important role in health care, as r</w:t>
      </w:r>
      <w:r w:rsidR="00ED52A4">
        <w:rPr>
          <w:rFonts w:ascii="Garamond" w:eastAsia="Calibri" w:hAnsi="Garamond" w:cs="Calibri"/>
          <w:sz w:val="24"/>
          <w:szCs w:val="24"/>
        </w:rPr>
        <w:t xml:space="preserve">ecently demonstrated </w:t>
      </w:r>
      <w:r w:rsidR="001F5B57">
        <w:rPr>
          <w:rFonts w:ascii="Garamond" w:eastAsia="Calibri" w:hAnsi="Garamond" w:cs="Calibri"/>
          <w:sz w:val="24"/>
          <w:szCs w:val="24"/>
        </w:rPr>
        <w:t xml:space="preserve">during the </w:t>
      </w:r>
      <w:r w:rsidR="00ED52A4" w:rsidRPr="00ED52A4">
        <w:rPr>
          <w:rFonts w:ascii="Garamond" w:eastAsia="Calibri" w:hAnsi="Garamond" w:cs="Calibri"/>
          <w:sz w:val="24"/>
          <w:szCs w:val="24"/>
        </w:rPr>
        <w:t xml:space="preserve">national </w:t>
      </w:r>
      <w:r w:rsidR="001F5B57">
        <w:rPr>
          <w:rFonts w:ascii="Garamond" w:eastAsia="Calibri" w:hAnsi="Garamond" w:cs="Calibri"/>
          <w:sz w:val="24"/>
          <w:szCs w:val="24"/>
        </w:rPr>
        <w:t>COVID</w:t>
      </w:r>
      <w:r w:rsidR="00F501C2">
        <w:rPr>
          <w:rFonts w:ascii="Garamond" w:eastAsia="Calibri" w:hAnsi="Garamond" w:cs="Calibri"/>
          <w:sz w:val="24"/>
          <w:szCs w:val="24"/>
        </w:rPr>
        <w:t>-</w:t>
      </w:r>
      <w:r w:rsidR="001F5B57">
        <w:rPr>
          <w:rFonts w:ascii="Garamond" w:eastAsia="Calibri" w:hAnsi="Garamond" w:cs="Calibri"/>
          <w:sz w:val="24"/>
          <w:szCs w:val="24"/>
        </w:rPr>
        <w:t xml:space="preserve">19 </w:t>
      </w:r>
      <w:r w:rsidR="00ED52A4" w:rsidRPr="00ED52A4">
        <w:rPr>
          <w:rFonts w:ascii="Garamond" w:eastAsia="Calibri" w:hAnsi="Garamond" w:cs="Calibri"/>
          <w:sz w:val="24"/>
          <w:szCs w:val="24"/>
        </w:rPr>
        <w:t>health-care pandemic</w:t>
      </w:r>
      <w:r w:rsidR="00770CA3">
        <w:rPr>
          <w:rFonts w:ascii="Garamond" w:eastAsia="Calibri" w:hAnsi="Garamond" w:cs="Calibri"/>
          <w:sz w:val="24"/>
          <w:szCs w:val="24"/>
        </w:rPr>
        <w:t xml:space="preserve">, </w:t>
      </w:r>
      <w:r w:rsidR="00770CA3" w:rsidRPr="00EF3FAA">
        <w:rPr>
          <w:rFonts w:ascii="Garamond" w:eastAsia="Calibri" w:hAnsi="Garamond" w:cs="Calibri"/>
          <w:sz w:val="24"/>
          <w:szCs w:val="24"/>
        </w:rPr>
        <w:t xml:space="preserve">extending ICU capacity for COVID-19 </w:t>
      </w:r>
      <w:r w:rsidR="00614943">
        <w:rPr>
          <w:rFonts w:ascii="Garamond" w:eastAsia="Calibri" w:hAnsi="Garamond" w:cs="Calibri"/>
          <w:sz w:val="24"/>
          <w:szCs w:val="24"/>
        </w:rPr>
        <w:t>patients by allowing patients requiring mechanical ventilation to be transferred from an acute care hospital</w:t>
      </w:r>
      <w:r w:rsidR="00ED52A4">
        <w:rPr>
          <w:rFonts w:ascii="Garamond" w:eastAsia="Calibri" w:hAnsi="Garamond" w:cs="Calibri"/>
          <w:sz w:val="24"/>
          <w:szCs w:val="24"/>
        </w:rPr>
        <w:t>.</w:t>
      </w:r>
      <w:r w:rsidR="00ED52A4">
        <w:rPr>
          <w:rStyle w:val="EndnoteReference"/>
          <w:rFonts w:ascii="Garamond" w:eastAsia="Calibri" w:hAnsi="Garamond" w:cs="Calibri"/>
          <w:sz w:val="24"/>
          <w:szCs w:val="24"/>
        </w:rPr>
        <w:endnoteReference w:id="1"/>
      </w:r>
      <w:r w:rsidR="00ED52A4">
        <w:rPr>
          <w:rFonts w:ascii="Garamond" w:eastAsia="Calibri" w:hAnsi="Garamond" w:cs="Calibri"/>
          <w:sz w:val="24"/>
          <w:szCs w:val="24"/>
        </w:rPr>
        <w:t xml:space="preserve"> </w:t>
      </w:r>
      <w:r w:rsidR="00733213">
        <w:rPr>
          <w:rFonts w:ascii="Garamond" w:eastAsia="Calibri" w:hAnsi="Garamond" w:cs="Calibri"/>
          <w:sz w:val="24"/>
          <w:szCs w:val="24"/>
        </w:rPr>
        <w:t xml:space="preserve">The Proposed Project will ensure the Patient Panel has access to </w:t>
      </w:r>
      <w:r w:rsidR="00422151">
        <w:rPr>
          <w:rFonts w:ascii="Garamond" w:eastAsia="Calibri" w:hAnsi="Garamond" w:cs="Calibri"/>
          <w:sz w:val="24"/>
          <w:szCs w:val="24"/>
        </w:rPr>
        <w:t>an LTCH</w:t>
      </w:r>
      <w:r w:rsidR="00733213">
        <w:rPr>
          <w:rFonts w:ascii="Garamond" w:eastAsia="Calibri" w:hAnsi="Garamond" w:cs="Calibri"/>
          <w:sz w:val="24"/>
          <w:szCs w:val="24"/>
        </w:rPr>
        <w:t xml:space="preserve"> </w:t>
      </w:r>
      <w:r w:rsidR="00B33887">
        <w:rPr>
          <w:rFonts w:ascii="Garamond" w:eastAsia="Calibri" w:hAnsi="Garamond" w:cs="Calibri"/>
          <w:sz w:val="24"/>
          <w:szCs w:val="24"/>
        </w:rPr>
        <w:t xml:space="preserve">providing </w:t>
      </w:r>
      <w:r w:rsidR="00ED52A4">
        <w:rPr>
          <w:rFonts w:ascii="Garamond" w:eastAsia="Calibri" w:hAnsi="Garamond" w:cs="Calibri"/>
          <w:sz w:val="24"/>
          <w:szCs w:val="24"/>
        </w:rPr>
        <w:t>care</w:t>
      </w:r>
      <w:r w:rsidR="00B33887">
        <w:rPr>
          <w:rFonts w:ascii="Garamond" w:eastAsia="Calibri" w:hAnsi="Garamond" w:cs="Calibri"/>
          <w:sz w:val="24"/>
          <w:szCs w:val="24"/>
        </w:rPr>
        <w:t xml:space="preserve"> </w:t>
      </w:r>
      <w:r w:rsidR="007E2F82">
        <w:rPr>
          <w:rFonts w:ascii="Garamond" w:eastAsia="Calibri" w:hAnsi="Garamond" w:cs="Calibri"/>
          <w:sz w:val="24"/>
          <w:szCs w:val="24"/>
        </w:rPr>
        <w:t xml:space="preserve">in the community, </w:t>
      </w:r>
      <w:r w:rsidR="00733213">
        <w:rPr>
          <w:rFonts w:ascii="Garamond" w:eastAsia="Calibri" w:hAnsi="Garamond" w:cs="Calibri"/>
          <w:sz w:val="24"/>
          <w:szCs w:val="24"/>
        </w:rPr>
        <w:t xml:space="preserve">and they </w:t>
      </w:r>
      <w:r w:rsidR="009F3E86">
        <w:rPr>
          <w:rFonts w:ascii="Garamond" w:eastAsia="Calibri" w:hAnsi="Garamond" w:cs="Calibri"/>
          <w:sz w:val="24"/>
          <w:szCs w:val="24"/>
        </w:rPr>
        <w:t xml:space="preserve">can </w:t>
      </w:r>
      <w:r w:rsidR="00733213">
        <w:rPr>
          <w:rFonts w:ascii="Garamond" w:eastAsia="Calibri" w:hAnsi="Garamond" w:cs="Calibri"/>
          <w:sz w:val="24"/>
          <w:szCs w:val="24"/>
        </w:rPr>
        <w:t xml:space="preserve">receive care in the appropriate setting. </w:t>
      </w:r>
    </w:p>
    <w:p w14:paraId="35B06EEA" w14:textId="77777777" w:rsidR="00F17F61" w:rsidRDefault="00F17F61" w:rsidP="00890D8D">
      <w:bookmarkStart w:id="35" w:name="_Toc88515723"/>
    </w:p>
    <w:p w14:paraId="516E9A32" w14:textId="4EB5F623" w:rsidR="00A43951" w:rsidRPr="00EF6E86" w:rsidRDefault="00A43951" w:rsidP="00890D8D">
      <w:r w:rsidRPr="00EF6E86">
        <w:t xml:space="preserve">Factor 1: b) </w:t>
      </w:r>
      <w:r w:rsidR="004954E4" w:rsidRPr="00EF6E86">
        <w:t>P</w:t>
      </w:r>
      <w:r w:rsidRPr="00EF6E86">
        <w:t>ublic health value, improved health outcomes and quality of life; assurances of health equity</w:t>
      </w:r>
      <w:bookmarkEnd w:id="29"/>
      <w:bookmarkEnd w:id="35"/>
    </w:p>
    <w:p w14:paraId="69AE6155" w14:textId="7E3158A3" w:rsidR="00196BFC" w:rsidRPr="00933B43" w:rsidRDefault="00196BFC" w:rsidP="00196BFC">
      <w:pPr>
        <w:autoSpaceDE w:val="0"/>
        <w:autoSpaceDN w:val="0"/>
        <w:adjustRightInd w:val="0"/>
        <w:rPr>
          <w:rFonts w:ascii="Garamond" w:hAnsi="Garamond" w:cs="Garamond"/>
          <w:color w:val="000000"/>
        </w:rPr>
      </w:pPr>
      <w:bookmarkStart w:id="36" w:name="_Toc17149377"/>
      <w:bookmarkStart w:id="37" w:name="_Toc17151181"/>
      <w:bookmarkEnd w:id="30"/>
      <w:bookmarkEnd w:id="31"/>
      <w:bookmarkEnd w:id="32"/>
      <w:bookmarkEnd w:id="33"/>
      <w:bookmarkEnd w:id="34"/>
      <w:r w:rsidRPr="00933B43">
        <w:rPr>
          <w:rFonts w:ascii="Garamond" w:hAnsi="Garamond" w:cs="Garamond"/>
          <w:color w:val="000000"/>
        </w:rPr>
        <w:t>In</w:t>
      </w:r>
      <w:r w:rsidRPr="00933B43">
        <w:rPr>
          <w:rFonts w:ascii="Garamond" w:hAnsi="Garamond"/>
        </w:rPr>
        <w:t xml:space="preserve"> this section </w:t>
      </w:r>
      <w:proofErr w:type="gramStart"/>
      <w:r w:rsidR="009F3E86">
        <w:rPr>
          <w:rFonts w:ascii="Garamond" w:hAnsi="Garamond"/>
        </w:rPr>
        <w:t>staff</w:t>
      </w:r>
      <w:proofErr w:type="gramEnd"/>
      <w:r w:rsidR="009F3E86">
        <w:rPr>
          <w:rFonts w:ascii="Garamond" w:hAnsi="Garamond"/>
        </w:rPr>
        <w:t xml:space="preserve"> </w:t>
      </w:r>
      <w:r w:rsidRPr="00933B43">
        <w:rPr>
          <w:rFonts w:ascii="Garamond" w:hAnsi="Garamond"/>
        </w:rPr>
        <w:t xml:space="preserve">will assess if the Proposed Project </w:t>
      </w:r>
      <w:r w:rsidRPr="00933B43">
        <w:rPr>
          <w:rFonts w:ascii="Garamond" w:hAnsi="Garamond" w:cs="Garamond"/>
          <w:color w:val="000000"/>
        </w:rPr>
        <w:t xml:space="preserve">adds measurable public health value in terms of improved health outcomes and quality of life </w:t>
      </w:r>
      <w:r w:rsidR="00052556">
        <w:rPr>
          <w:rFonts w:ascii="Garamond" w:hAnsi="Garamond" w:cs="Garamond"/>
          <w:color w:val="000000"/>
        </w:rPr>
        <w:t>for</w:t>
      </w:r>
      <w:r w:rsidRPr="00933B43">
        <w:rPr>
          <w:rFonts w:ascii="Garamond" w:hAnsi="Garamond" w:cs="Garamond"/>
          <w:color w:val="000000"/>
        </w:rPr>
        <w:t xml:space="preserve"> the Applicant’s existing patient panel, while providing reasonable assurances of health equity. </w:t>
      </w:r>
    </w:p>
    <w:p w14:paraId="62D2DE72" w14:textId="440DDD3B" w:rsidR="0076192C" w:rsidRDefault="0076192C" w:rsidP="003D0381">
      <w:pPr>
        <w:autoSpaceDE w:val="0"/>
        <w:autoSpaceDN w:val="0"/>
        <w:adjustRightInd w:val="0"/>
        <w:rPr>
          <w:sz w:val="23"/>
          <w:szCs w:val="23"/>
        </w:rPr>
      </w:pPr>
    </w:p>
    <w:p w14:paraId="62ED00FA" w14:textId="74132C38" w:rsidR="002B07D6" w:rsidRDefault="002B07D6" w:rsidP="002B07D6">
      <w:pPr>
        <w:contextualSpacing/>
        <w:rPr>
          <w:rFonts w:ascii="Garamond" w:hAnsi="Garamond" w:cs="Arial"/>
          <w:b/>
          <w:bCs/>
        </w:rPr>
      </w:pPr>
      <w:r w:rsidRPr="002B07D6">
        <w:rPr>
          <w:rFonts w:ascii="Garamond" w:hAnsi="Garamond" w:cs="Arial"/>
          <w:b/>
          <w:bCs/>
        </w:rPr>
        <w:t>Public Health Value, Health Outcomes, and Quality of Life</w:t>
      </w:r>
    </w:p>
    <w:p w14:paraId="6B82D390" w14:textId="7B6427E1" w:rsidR="00933B43" w:rsidRPr="00933B43" w:rsidRDefault="00933B43" w:rsidP="00933B43">
      <w:pPr>
        <w:autoSpaceDE w:val="0"/>
        <w:autoSpaceDN w:val="0"/>
        <w:adjustRightInd w:val="0"/>
        <w:rPr>
          <w:rFonts w:ascii="Garamond" w:hAnsi="Garamond" w:cs="Garamond"/>
          <w:color w:val="000000"/>
        </w:rPr>
      </w:pPr>
      <w:r w:rsidRPr="00933B43">
        <w:rPr>
          <w:rFonts w:ascii="Garamond" w:hAnsi="Garamond" w:cs="Garamond"/>
          <w:color w:val="000000"/>
        </w:rPr>
        <w:t xml:space="preserve">The </w:t>
      </w:r>
      <w:r>
        <w:rPr>
          <w:rFonts w:ascii="Garamond" w:hAnsi="Garamond" w:cs="Garamond"/>
          <w:color w:val="000000"/>
        </w:rPr>
        <w:t xml:space="preserve">Applicant states that they have a </w:t>
      </w:r>
      <w:r w:rsidRPr="00933B43">
        <w:rPr>
          <w:rFonts w:ascii="Garamond" w:hAnsi="Garamond" w:cs="Garamond"/>
          <w:color w:val="000000"/>
        </w:rPr>
        <w:t>comprehensive quality assurance program that utilizes a multi-factorial</w:t>
      </w:r>
    </w:p>
    <w:p w14:paraId="6E13D881" w14:textId="66F71A2A" w:rsidR="009F3E86" w:rsidRDefault="00933B43" w:rsidP="00D267AA">
      <w:pPr>
        <w:autoSpaceDE w:val="0"/>
        <w:autoSpaceDN w:val="0"/>
        <w:adjustRightInd w:val="0"/>
        <w:rPr>
          <w:rFonts w:ascii="Garamond" w:hAnsi="Garamond" w:cs="Garamond"/>
          <w:color w:val="000000"/>
        </w:rPr>
      </w:pPr>
      <w:r w:rsidRPr="00933B43">
        <w:rPr>
          <w:rFonts w:ascii="Garamond" w:hAnsi="Garamond" w:cs="Garamond"/>
          <w:color w:val="000000"/>
        </w:rPr>
        <w:t>approach to improve quality</w:t>
      </w:r>
      <w:r w:rsidR="000F7C9A">
        <w:rPr>
          <w:rFonts w:ascii="Garamond" w:hAnsi="Garamond" w:cs="Garamond"/>
          <w:color w:val="000000"/>
        </w:rPr>
        <w:t>,</w:t>
      </w:r>
      <w:r w:rsidRPr="00933B43">
        <w:rPr>
          <w:rFonts w:ascii="Garamond" w:hAnsi="Garamond" w:cs="Garamond"/>
          <w:color w:val="000000"/>
        </w:rPr>
        <w:t xml:space="preserve"> delivery of care</w:t>
      </w:r>
      <w:r w:rsidR="000F7C9A">
        <w:rPr>
          <w:rFonts w:ascii="Garamond" w:hAnsi="Garamond" w:cs="Garamond"/>
          <w:color w:val="000000"/>
        </w:rPr>
        <w:t>, and outcomes</w:t>
      </w:r>
      <w:r w:rsidRPr="00933B43">
        <w:rPr>
          <w:rFonts w:ascii="Garamond" w:hAnsi="Garamond" w:cs="Garamond"/>
          <w:color w:val="000000"/>
        </w:rPr>
        <w:t xml:space="preserve"> for the Patient Panel</w:t>
      </w:r>
      <w:r>
        <w:rPr>
          <w:rFonts w:ascii="Garamond" w:hAnsi="Garamond" w:cs="Garamond"/>
          <w:color w:val="000000"/>
        </w:rPr>
        <w:t xml:space="preserve">. </w:t>
      </w:r>
      <w:r w:rsidR="000A303B">
        <w:rPr>
          <w:rFonts w:ascii="Garamond" w:hAnsi="Garamond" w:cs="Garamond"/>
          <w:color w:val="000000"/>
        </w:rPr>
        <w:t xml:space="preserve">The Applicant states </w:t>
      </w:r>
      <w:r w:rsidR="008B2825">
        <w:rPr>
          <w:rFonts w:ascii="Garamond" w:hAnsi="Garamond" w:cs="Garamond"/>
          <w:color w:val="000000"/>
        </w:rPr>
        <w:t xml:space="preserve">PAM Health LTCHs are above national averages in overall patient satisfaction and have </w:t>
      </w:r>
      <w:r w:rsidR="00EE219C">
        <w:rPr>
          <w:rFonts w:ascii="Garamond" w:hAnsi="Garamond" w:cs="Garamond"/>
          <w:color w:val="000000"/>
        </w:rPr>
        <w:t xml:space="preserve">fewer </w:t>
      </w:r>
      <w:r w:rsidR="008B2825">
        <w:rPr>
          <w:rFonts w:ascii="Garamond" w:hAnsi="Garamond" w:cs="Garamond"/>
          <w:color w:val="000000"/>
        </w:rPr>
        <w:t xml:space="preserve">falls and </w:t>
      </w:r>
      <w:r w:rsidR="00EE219C">
        <w:rPr>
          <w:rFonts w:ascii="Garamond" w:hAnsi="Garamond" w:cs="Garamond"/>
          <w:color w:val="000000"/>
        </w:rPr>
        <w:t xml:space="preserve">fewer </w:t>
      </w:r>
      <w:r w:rsidR="008B2825">
        <w:rPr>
          <w:rFonts w:ascii="Garamond" w:hAnsi="Garamond" w:cs="Garamond"/>
          <w:color w:val="000000"/>
        </w:rPr>
        <w:t xml:space="preserve">pressure ulcers. </w:t>
      </w:r>
      <w:r w:rsidR="000F7C9A">
        <w:rPr>
          <w:rFonts w:ascii="Garamond" w:hAnsi="Garamond" w:cs="Garamond"/>
          <w:color w:val="000000"/>
        </w:rPr>
        <w:t>One</w:t>
      </w:r>
      <w:r w:rsidR="008B2825">
        <w:rPr>
          <w:rFonts w:ascii="Garamond" w:hAnsi="Garamond" w:cs="Garamond"/>
          <w:color w:val="000000"/>
        </w:rPr>
        <w:t xml:space="preserve"> specific</w:t>
      </w:r>
      <w:r w:rsidR="000F7C9A">
        <w:rPr>
          <w:rFonts w:ascii="Garamond" w:hAnsi="Garamond" w:cs="Garamond"/>
          <w:color w:val="000000"/>
        </w:rPr>
        <w:t xml:space="preserve"> example cited </w:t>
      </w:r>
      <w:r w:rsidR="00F84DAB">
        <w:rPr>
          <w:rFonts w:ascii="Garamond" w:hAnsi="Garamond" w:cs="Garamond"/>
          <w:color w:val="000000"/>
        </w:rPr>
        <w:t xml:space="preserve">shows </w:t>
      </w:r>
      <w:r w:rsidR="000F7C9A">
        <w:rPr>
          <w:rFonts w:ascii="Garamond" w:hAnsi="Garamond" w:cs="Garamond"/>
          <w:color w:val="000000"/>
        </w:rPr>
        <w:t xml:space="preserve">that </w:t>
      </w:r>
      <w:r w:rsidR="000F7C9A" w:rsidRPr="000F7C9A">
        <w:rPr>
          <w:rFonts w:ascii="Garamond" w:hAnsi="Garamond" w:cs="Garamond"/>
          <w:color w:val="000000"/>
        </w:rPr>
        <w:t xml:space="preserve">PAM </w:t>
      </w:r>
      <w:r w:rsidR="009F3E86">
        <w:rPr>
          <w:rFonts w:ascii="Garamond" w:hAnsi="Garamond" w:cs="Garamond"/>
          <w:color w:val="000000"/>
        </w:rPr>
        <w:t>Health facilities</w:t>
      </w:r>
      <w:r w:rsidR="000F7C9A" w:rsidRPr="000F7C9A">
        <w:rPr>
          <w:rFonts w:ascii="Garamond" w:hAnsi="Garamond" w:cs="Garamond"/>
          <w:color w:val="000000"/>
        </w:rPr>
        <w:t xml:space="preserve"> ha</w:t>
      </w:r>
      <w:r w:rsidR="009F3E86">
        <w:rPr>
          <w:rFonts w:ascii="Garamond" w:hAnsi="Garamond" w:cs="Garamond"/>
          <w:color w:val="000000"/>
        </w:rPr>
        <w:t>ve</w:t>
      </w:r>
      <w:r w:rsidR="000F7C9A">
        <w:rPr>
          <w:rFonts w:ascii="Garamond" w:hAnsi="Garamond" w:cs="Garamond"/>
          <w:color w:val="000000"/>
        </w:rPr>
        <w:t xml:space="preserve"> </w:t>
      </w:r>
      <w:r w:rsidR="000F7C9A" w:rsidRPr="000F7C9A">
        <w:rPr>
          <w:rFonts w:ascii="Garamond" w:hAnsi="Garamond" w:cs="Garamond"/>
          <w:color w:val="000000"/>
        </w:rPr>
        <w:t>a wean rate from ventilators that is higher than the national average.</w:t>
      </w:r>
      <w:r w:rsidR="000F7C9A">
        <w:rPr>
          <w:rStyle w:val="FootnoteReference"/>
          <w:rFonts w:ascii="Garamond" w:hAnsi="Garamond" w:cs="Garamond"/>
          <w:color w:val="000000"/>
        </w:rPr>
        <w:footnoteReference w:id="7"/>
      </w:r>
      <w:r w:rsidR="000F7C9A" w:rsidRPr="000F7C9A">
        <w:rPr>
          <w:rFonts w:ascii="Garamond" w:hAnsi="Garamond" w:cs="Garamond"/>
          <w:color w:val="000000"/>
        </w:rPr>
        <w:t xml:space="preserve"> </w:t>
      </w:r>
      <w:r w:rsidR="00BE3C51">
        <w:rPr>
          <w:rFonts w:ascii="Garamond" w:hAnsi="Garamond" w:cs="Garamond"/>
          <w:color w:val="000000"/>
        </w:rPr>
        <w:t xml:space="preserve">Better outcomes on measures such as these lead to better health outcomes for patients as well as lower costs. Improved health outcomes are understood to lead to better quality of life. </w:t>
      </w:r>
    </w:p>
    <w:p w14:paraId="70CDF82F" w14:textId="246967F7" w:rsidR="009F3E86" w:rsidRDefault="009F3E86" w:rsidP="00D267AA">
      <w:pPr>
        <w:autoSpaceDE w:val="0"/>
        <w:autoSpaceDN w:val="0"/>
        <w:adjustRightInd w:val="0"/>
        <w:rPr>
          <w:rFonts w:ascii="Garamond" w:hAnsi="Garamond" w:cs="Garamond"/>
          <w:color w:val="000000"/>
        </w:rPr>
      </w:pPr>
    </w:p>
    <w:p w14:paraId="1DCF390A" w14:textId="1A0E43F0" w:rsidR="000B47E8" w:rsidRDefault="00933B43" w:rsidP="00D267AA">
      <w:pPr>
        <w:autoSpaceDE w:val="0"/>
        <w:autoSpaceDN w:val="0"/>
        <w:adjustRightInd w:val="0"/>
        <w:rPr>
          <w:rFonts w:ascii="Garamond" w:hAnsi="Garamond" w:cs="Garamond"/>
          <w:color w:val="000000"/>
        </w:rPr>
      </w:pPr>
      <w:r>
        <w:rPr>
          <w:rFonts w:ascii="Garamond" w:hAnsi="Garamond" w:cs="Garamond"/>
          <w:color w:val="000000"/>
        </w:rPr>
        <w:t xml:space="preserve">In the initial stages of the Proposed Project, the Applicant </w:t>
      </w:r>
      <w:r w:rsidR="00BC3347">
        <w:rPr>
          <w:rFonts w:ascii="Garamond" w:hAnsi="Garamond" w:cs="Garamond"/>
          <w:color w:val="000000"/>
        </w:rPr>
        <w:t xml:space="preserve">states it </w:t>
      </w:r>
      <w:r>
        <w:rPr>
          <w:rFonts w:ascii="Garamond" w:hAnsi="Garamond" w:cs="Garamond"/>
          <w:color w:val="000000"/>
        </w:rPr>
        <w:t xml:space="preserve">will identify areas for improvement through a review of the Hospital’s historic patient outcomes and operations. </w:t>
      </w:r>
      <w:r w:rsidR="002363F6">
        <w:rPr>
          <w:rFonts w:ascii="Garamond" w:hAnsi="Garamond" w:cs="Garamond"/>
          <w:color w:val="000000"/>
        </w:rPr>
        <w:t xml:space="preserve">It </w:t>
      </w:r>
      <w:r>
        <w:rPr>
          <w:rFonts w:ascii="Garamond" w:hAnsi="Garamond" w:cs="Garamond"/>
          <w:color w:val="000000"/>
        </w:rPr>
        <w:t xml:space="preserve">will also utilize this information to establish </w:t>
      </w:r>
      <w:r w:rsidR="00F6143E">
        <w:rPr>
          <w:rFonts w:ascii="Garamond" w:hAnsi="Garamond" w:cs="Garamond"/>
          <w:color w:val="000000"/>
        </w:rPr>
        <w:t xml:space="preserve">a </w:t>
      </w:r>
      <w:r>
        <w:rPr>
          <w:rFonts w:ascii="Garamond" w:hAnsi="Garamond" w:cs="Garamond"/>
          <w:color w:val="000000"/>
        </w:rPr>
        <w:t xml:space="preserve">baseline and goals for the identified improvement areas. </w:t>
      </w:r>
      <w:r w:rsidR="008A5580">
        <w:rPr>
          <w:rFonts w:ascii="Garamond" w:hAnsi="Garamond" w:cs="Garamond"/>
          <w:color w:val="000000"/>
        </w:rPr>
        <w:t>Of note, the Applicant will maintain the Hospital’s c</w:t>
      </w:r>
      <w:r w:rsidR="008A5580" w:rsidRPr="008A5580">
        <w:rPr>
          <w:rFonts w:ascii="Garamond" w:hAnsi="Garamond" w:cs="Garamond"/>
          <w:color w:val="000000"/>
        </w:rPr>
        <w:t>urrent accreditation with The Center for Improvement</w:t>
      </w:r>
      <w:r w:rsidR="000F7C9A">
        <w:rPr>
          <w:rFonts w:ascii="Garamond" w:hAnsi="Garamond" w:cs="Garamond"/>
          <w:color w:val="000000"/>
        </w:rPr>
        <w:t xml:space="preserve"> </w:t>
      </w:r>
      <w:r w:rsidR="008A5580" w:rsidRPr="008A5580">
        <w:rPr>
          <w:rFonts w:ascii="Garamond" w:hAnsi="Garamond" w:cs="Garamond"/>
          <w:color w:val="000000"/>
        </w:rPr>
        <w:t>in Healthcare Quality (CIHQ)</w:t>
      </w:r>
      <w:r w:rsidR="00D267AA">
        <w:rPr>
          <w:rFonts w:ascii="Garamond" w:hAnsi="Garamond" w:cs="Garamond"/>
          <w:color w:val="000000"/>
        </w:rPr>
        <w:t xml:space="preserve">, and </w:t>
      </w:r>
      <w:r w:rsidR="00052556">
        <w:rPr>
          <w:rFonts w:ascii="Garamond" w:hAnsi="Garamond" w:cs="Garamond"/>
          <w:color w:val="000000"/>
        </w:rPr>
        <w:t xml:space="preserve">in </w:t>
      </w:r>
      <w:r w:rsidR="00D267AA" w:rsidRPr="00D267AA">
        <w:rPr>
          <w:rFonts w:ascii="Garamond" w:hAnsi="Garamond" w:cs="Garamond"/>
          <w:color w:val="000000"/>
        </w:rPr>
        <w:t xml:space="preserve">Year </w:t>
      </w:r>
      <w:r w:rsidR="00052556">
        <w:rPr>
          <w:rFonts w:ascii="Garamond" w:hAnsi="Garamond" w:cs="Garamond"/>
          <w:color w:val="000000"/>
        </w:rPr>
        <w:t>2 or later</w:t>
      </w:r>
      <w:r w:rsidR="00D267AA" w:rsidRPr="00D267AA">
        <w:rPr>
          <w:rFonts w:ascii="Garamond" w:hAnsi="Garamond" w:cs="Garamond"/>
          <w:color w:val="000000"/>
        </w:rPr>
        <w:t xml:space="preserve"> of the Proposed Project</w:t>
      </w:r>
      <w:r w:rsidR="002363F6">
        <w:rPr>
          <w:rFonts w:ascii="Garamond" w:hAnsi="Garamond" w:cs="Garamond"/>
          <w:color w:val="000000"/>
        </w:rPr>
        <w:t>,</w:t>
      </w:r>
      <w:r w:rsidR="00D267AA">
        <w:rPr>
          <w:rFonts w:ascii="Garamond" w:hAnsi="Garamond" w:cs="Garamond"/>
          <w:color w:val="000000"/>
        </w:rPr>
        <w:t xml:space="preserve"> plan</w:t>
      </w:r>
      <w:r w:rsidR="00BC3347">
        <w:rPr>
          <w:rFonts w:ascii="Garamond" w:hAnsi="Garamond" w:cs="Garamond"/>
          <w:color w:val="000000"/>
        </w:rPr>
        <w:t>s</w:t>
      </w:r>
      <w:r w:rsidR="00F6143E">
        <w:rPr>
          <w:rFonts w:ascii="Garamond" w:hAnsi="Garamond" w:cs="Garamond"/>
          <w:color w:val="000000"/>
        </w:rPr>
        <w:t xml:space="preserve"> </w:t>
      </w:r>
      <w:r w:rsidR="00D267AA">
        <w:rPr>
          <w:rFonts w:ascii="Garamond" w:hAnsi="Garamond" w:cs="Garamond"/>
          <w:color w:val="000000"/>
        </w:rPr>
        <w:t xml:space="preserve">to transition the Hospital to </w:t>
      </w:r>
      <w:r w:rsidR="00D267AA" w:rsidRPr="00D267AA">
        <w:rPr>
          <w:rFonts w:ascii="Garamond" w:hAnsi="Garamond" w:cs="Garamond"/>
          <w:color w:val="000000"/>
        </w:rPr>
        <w:t>Joint Commission</w:t>
      </w:r>
      <w:r w:rsidR="00D267AA">
        <w:rPr>
          <w:rFonts w:ascii="Garamond" w:hAnsi="Garamond" w:cs="Garamond"/>
          <w:color w:val="000000"/>
        </w:rPr>
        <w:t xml:space="preserve"> </w:t>
      </w:r>
      <w:r w:rsidR="004B6228">
        <w:rPr>
          <w:rFonts w:ascii="Garamond" w:hAnsi="Garamond" w:cs="Garamond"/>
          <w:color w:val="000000"/>
        </w:rPr>
        <w:t>a</w:t>
      </w:r>
      <w:r w:rsidR="00D267AA" w:rsidRPr="00D267AA">
        <w:rPr>
          <w:rFonts w:ascii="Garamond" w:hAnsi="Garamond" w:cs="Garamond"/>
          <w:color w:val="000000"/>
        </w:rPr>
        <w:t>ccreditation</w:t>
      </w:r>
      <w:r w:rsidR="0089530F">
        <w:rPr>
          <w:rFonts w:ascii="Garamond" w:hAnsi="Garamond" w:cs="Garamond"/>
          <w:color w:val="000000"/>
        </w:rPr>
        <w:t xml:space="preserve">, which </w:t>
      </w:r>
      <w:r w:rsidR="00280639">
        <w:rPr>
          <w:rFonts w:ascii="Garamond" w:hAnsi="Garamond" w:cs="Garamond"/>
          <w:color w:val="000000"/>
        </w:rPr>
        <w:t>are aligned with</w:t>
      </w:r>
      <w:r w:rsidR="0089530F">
        <w:rPr>
          <w:rFonts w:ascii="Garamond" w:hAnsi="Garamond" w:cs="Garamond"/>
          <w:color w:val="000000"/>
        </w:rPr>
        <w:t xml:space="preserve"> state licensure</w:t>
      </w:r>
      <w:r w:rsidR="00280639">
        <w:rPr>
          <w:rFonts w:ascii="Garamond" w:hAnsi="Garamond" w:cs="Garamond"/>
          <w:color w:val="000000"/>
        </w:rPr>
        <w:t xml:space="preserve"> requirements</w:t>
      </w:r>
      <w:r w:rsidR="00D267AA" w:rsidRPr="00D267AA">
        <w:rPr>
          <w:rFonts w:ascii="Garamond" w:hAnsi="Garamond" w:cs="Garamond"/>
          <w:color w:val="000000"/>
        </w:rPr>
        <w:t>.</w:t>
      </w:r>
      <w:r w:rsidR="00EF5A22">
        <w:rPr>
          <w:rFonts w:ascii="Garamond" w:hAnsi="Garamond" w:cs="Garamond"/>
          <w:color w:val="000000"/>
        </w:rPr>
        <w:t xml:space="preserve"> Accreditation serves to ensure facilities are held to national standards of quality and safety</w:t>
      </w:r>
      <w:r w:rsidR="00C15391">
        <w:rPr>
          <w:rFonts w:ascii="Garamond" w:hAnsi="Garamond" w:cs="Garamond"/>
          <w:color w:val="000000"/>
        </w:rPr>
        <w:t xml:space="preserve">. Some of </w:t>
      </w:r>
      <w:r w:rsidR="002474B9">
        <w:rPr>
          <w:rFonts w:ascii="Garamond" w:hAnsi="Garamond" w:cs="Garamond"/>
          <w:color w:val="000000"/>
        </w:rPr>
        <w:t>The Joint Commissio</w:t>
      </w:r>
      <w:r w:rsidR="00D63AD0">
        <w:rPr>
          <w:rFonts w:ascii="Garamond" w:hAnsi="Garamond" w:cs="Garamond"/>
          <w:color w:val="000000"/>
        </w:rPr>
        <w:t xml:space="preserve">n’s requirements exceed CMS’ Conditions of Participation </w:t>
      </w:r>
      <w:r w:rsidR="00C15391">
        <w:rPr>
          <w:rFonts w:ascii="Garamond" w:hAnsi="Garamond" w:cs="Garamond"/>
          <w:color w:val="000000"/>
        </w:rPr>
        <w:t>(</w:t>
      </w:r>
      <w:r w:rsidR="00D63AD0">
        <w:rPr>
          <w:rFonts w:ascii="Garamond" w:hAnsi="Garamond" w:cs="Garamond"/>
          <w:color w:val="000000"/>
        </w:rPr>
        <w:t>CoPs</w:t>
      </w:r>
      <w:r w:rsidR="00C15391">
        <w:rPr>
          <w:rFonts w:ascii="Garamond" w:hAnsi="Garamond" w:cs="Garamond"/>
          <w:color w:val="000000"/>
        </w:rPr>
        <w:t>),</w:t>
      </w:r>
      <w:r w:rsidR="00C15391">
        <w:rPr>
          <w:rStyle w:val="FootnoteReference"/>
          <w:rFonts w:ascii="Garamond" w:hAnsi="Garamond" w:cs="Garamond"/>
          <w:color w:val="000000"/>
        </w:rPr>
        <w:footnoteReference w:id="8"/>
      </w:r>
      <w:r w:rsidR="00C15391">
        <w:rPr>
          <w:rFonts w:ascii="Garamond" w:hAnsi="Garamond" w:cs="Garamond"/>
          <w:color w:val="000000"/>
        </w:rPr>
        <w:t xml:space="preserve"> conditions required participate in Medicare and Medicaid</w:t>
      </w:r>
      <w:r w:rsidR="003E6360">
        <w:rPr>
          <w:rFonts w:ascii="Garamond" w:hAnsi="Garamond" w:cs="Garamond"/>
          <w:color w:val="000000"/>
        </w:rPr>
        <w:t>. Additionally, The Join</w:t>
      </w:r>
      <w:r w:rsidR="00721AAD">
        <w:rPr>
          <w:rFonts w:ascii="Garamond" w:hAnsi="Garamond" w:cs="Garamond"/>
          <w:color w:val="000000"/>
        </w:rPr>
        <w:t>t</w:t>
      </w:r>
      <w:r w:rsidR="003E6360">
        <w:rPr>
          <w:rFonts w:ascii="Garamond" w:hAnsi="Garamond" w:cs="Garamond"/>
          <w:color w:val="000000"/>
        </w:rPr>
        <w:t xml:space="preserve"> Commission accredits disease-specific certified programs </w:t>
      </w:r>
      <w:r w:rsidR="00EE4A07">
        <w:rPr>
          <w:rFonts w:ascii="Garamond" w:hAnsi="Garamond" w:cs="Garamond"/>
          <w:color w:val="000000"/>
        </w:rPr>
        <w:t>the Applicant</w:t>
      </w:r>
      <w:r w:rsidR="003E6360">
        <w:rPr>
          <w:rFonts w:ascii="Garamond" w:hAnsi="Garamond" w:cs="Garamond"/>
          <w:color w:val="000000"/>
        </w:rPr>
        <w:t xml:space="preserve"> will apply as appropriate at </w:t>
      </w:r>
      <w:proofErr w:type="spellStart"/>
      <w:r w:rsidR="003E6360">
        <w:rPr>
          <w:rFonts w:ascii="Garamond" w:hAnsi="Garamond" w:cs="Garamond"/>
          <w:color w:val="000000"/>
        </w:rPr>
        <w:t>Curahealth</w:t>
      </w:r>
      <w:proofErr w:type="spellEnd"/>
      <w:r w:rsidR="00EF5A22">
        <w:rPr>
          <w:rFonts w:ascii="Garamond" w:hAnsi="Garamond" w:cs="Garamond"/>
          <w:color w:val="000000"/>
        </w:rPr>
        <w:t>.</w:t>
      </w:r>
    </w:p>
    <w:p w14:paraId="385DB5D3" w14:textId="7E15421B" w:rsidR="00886888" w:rsidRDefault="00886888" w:rsidP="00D267AA">
      <w:pPr>
        <w:autoSpaceDE w:val="0"/>
        <w:autoSpaceDN w:val="0"/>
        <w:adjustRightInd w:val="0"/>
        <w:rPr>
          <w:rFonts w:ascii="Garamond" w:hAnsi="Garamond" w:cs="Garamond"/>
          <w:color w:val="000000"/>
        </w:rPr>
      </w:pPr>
    </w:p>
    <w:p w14:paraId="6494484E" w14:textId="77777777" w:rsidR="00886888" w:rsidRDefault="00886888" w:rsidP="00886888">
      <w:pPr>
        <w:autoSpaceDE w:val="0"/>
        <w:autoSpaceDN w:val="0"/>
        <w:adjustRightInd w:val="0"/>
        <w:rPr>
          <w:rFonts w:ascii="Garamond" w:hAnsi="Garamond" w:cs="Garamond"/>
          <w:color w:val="000000"/>
        </w:rPr>
      </w:pPr>
      <w:r w:rsidRPr="00721AAD">
        <w:rPr>
          <w:rFonts w:ascii="Garamond" w:hAnsi="Garamond" w:cs="Garamond"/>
          <w:color w:val="000000"/>
        </w:rPr>
        <w:t>Using PAM Health’s expertise, they will be able to evaluate and identify areas of enhancement which will support the Hospital’s clinical capabilities and service quality. For example, the Applicant will assess specific market needs for programs and the Hospital’s patient</w:t>
      </w:r>
      <w:r>
        <w:rPr>
          <w:rFonts w:ascii="Garamond" w:hAnsi="Garamond" w:cs="Garamond"/>
          <w:color w:val="000000"/>
        </w:rPr>
        <w:t xml:space="preserve"> population to determine if it can implement any of its nine disease-specific certified programs that are accredited by The Joint Commission.</w:t>
      </w:r>
      <w:r>
        <w:rPr>
          <w:rStyle w:val="FootnoteReference"/>
          <w:rFonts w:ascii="Garamond" w:hAnsi="Garamond" w:cs="Garamond"/>
          <w:color w:val="000000"/>
        </w:rPr>
        <w:footnoteReference w:id="9"/>
      </w:r>
      <w:r>
        <w:rPr>
          <w:rFonts w:ascii="Garamond" w:hAnsi="Garamond" w:cs="Garamond"/>
          <w:color w:val="000000"/>
        </w:rPr>
        <w:t xml:space="preserve"> These programs include standardized measures that the Applicant can use to compare the Hospital’s performance across both PAM Health and nationally.</w:t>
      </w:r>
    </w:p>
    <w:p w14:paraId="01472A96" w14:textId="77777777" w:rsidR="00D13359" w:rsidRDefault="00D13359" w:rsidP="00D13359">
      <w:pPr>
        <w:autoSpaceDE w:val="0"/>
        <w:autoSpaceDN w:val="0"/>
        <w:adjustRightInd w:val="0"/>
        <w:rPr>
          <w:rFonts w:ascii="Garamond" w:hAnsi="Garamond" w:cs="Garamond"/>
          <w:color w:val="000000"/>
        </w:rPr>
      </w:pPr>
    </w:p>
    <w:p w14:paraId="22397EA8" w14:textId="77777777" w:rsidR="00D13359" w:rsidRDefault="00D13359" w:rsidP="00D13359">
      <w:pPr>
        <w:autoSpaceDE w:val="0"/>
        <w:autoSpaceDN w:val="0"/>
        <w:adjustRightInd w:val="0"/>
        <w:rPr>
          <w:rFonts w:ascii="Garamond" w:hAnsi="Garamond" w:cs="Garamond"/>
          <w:color w:val="000000"/>
        </w:rPr>
      </w:pPr>
      <w:r>
        <w:rPr>
          <w:rFonts w:ascii="Garamond" w:hAnsi="Garamond" w:cs="Garamond"/>
          <w:color w:val="000000"/>
        </w:rPr>
        <w:lastRenderedPageBreak/>
        <w:t xml:space="preserve">PAM will be able to draw from its experiences working with other hospitals nationally and bring the value of the many hospitals to the Hospital. PAM Health has a range of specialized services from advanced wound care programs to early mobility programs and vent weaning, to bariatric services to hyperbaric oxygen therapy. PAM Health dedicates all necessary resources to support the program and the healthcare professionals providing services to patients. </w:t>
      </w:r>
    </w:p>
    <w:p w14:paraId="7432F2F8" w14:textId="77777777" w:rsidR="00D13359" w:rsidRDefault="00D13359" w:rsidP="008A5580">
      <w:pPr>
        <w:autoSpaceDE w:val="0"/>
        <w:autoSpaceDN w:val="0"/>
        <w:adjustRightInd w:val="0"/>
      </w:pPr>
    </w:p>
    <w:p w14:paraId="5D6AA4DA" w14:textId="6733DEDD" w:rsidR="00933B43" w:rsidRDefault="00933B43" w:rsidP="00963E82">
      <w:pPr>
        <w:autoSpaceDE w:val="0"/>
        <w:autoSpaceDN w:val="0"/>
        <w:adjustRightInd w:val="0"/>
        <w:rPr>
          <w:rFonts w:ascii="Garamond" w:hAnsi="Garamond" w:cs="Garamond"/>
          <w:color w:val="000000"/>
        </w:rPr>
      </w:pPr>
      <w:r>
        <w:rPr>
          <w:rFonts w:ascii="Garamond" w:hAnsi="Garamond" w:cs="Garamond"/>
          <w:color w:val="000000"/>
        </w:rPr>
        <w:t xml:space="preserve">As previously mentioned, the Applicant will use its experiences </w:t>
      </w:r>
      <w:r w:rsidR="003F277D">
        <w:rPr>
          <w:rFonts w:ascii="Garamond" w:hAnsi="Garamond" w:cs="Garamond"/>
          <w:color w:val="000000"/>
        </w:rPr>
        <w:t>in</w:t>
      </w:r>
      <w:r>
        <w:rPr>
          <w:rFonts w:ascii="Garamond" w:hAnsi="Garamond" w:cs="Garamond"/>
          <w:color w:val="000000"/>
        </w:rPr>
        <w:t xml:space="preserve"> other PAM Health </w:t>
      </w:r>
      <w:r w:rsidR="00BC3347">
        <w:rPr>
          <w:rFonts w:ascii="Garamond" w:hAnsi="Garamond" w:cs="Garamond"/>
          <w:color w:val="000000"/>
        </w:rPr>
        <w:t xml:space="preserve">LTCH </w:t>
      </w:r>
      <w:r w:rsidR="00EF5A22">
        <w:rPr>
          <w:rFonts w:ascii="Garamond" w:hAnsi="Garamond" w:cs="Garamond"/>
          <w:color w:val="000000"/>
        </w:rPr>
        <w:t xml:space="preserve">facilities </w:t>
      </w:r>
      <w:r>
        <w:rPr>
          <w:rFonts w:ascii="Garamond" w:hAnsi="Garamond" w:cs="Garamond"/>
          <w:color w:val="000000"/>
        </w:rPr>
        <w:t>to implement best practices at the Hospital</w:t>
      </w:r>
      <w:r w:rsidR="00161472">
        <w:rPr>
          <w:rFonts w:ascii="Garamond" w:hAnsi="Garamond" w:cs="Garamond"/>
          <w:color w:val="000000"/>
        </w:rPr>
        <w:t xml:space="preserve"> </w:t>
      </w:r>
      <w:r w:rsidR="008A5580">
        <w:rPr>
          <w:rFonts w:ascii="Garamond" w:hAnsi="Garamond" w:cs="Garamond"/>
          <w:color w:val="000000"/>
        </w:rPr>
        <w:t>to</w:t>
      </w:r>
      <w:r w:rsidR="00161472">
        <w:rPr>
          <w:rFonts w:ascii="Garamond" w:hAnsi="Garamond" w:cs="Garamond"/>
          <w:color w:val="000000"/>
        </w:rPr>
        <w:t xml:space="preserve"> </w:t>
      </w:r>
      <w:r w:rsidR="001C73C9">
        <w:rPr>
          <w:rFonts w:ascii="Garamond" w:hAnsi="Garamond" w:cs="Garamond"/>
          <w:color w:val="000000"/>
        </w:rPr>
        <w:t>improve access to care</w:t>
      </w:r>
      <w:r w:rsidR="008A5580">
        <w:rPr>
          <w:rFonts w:ascii="Garamond" w:hAnsi="Garamond" w:cs="Garamond"/>
          <w:color w:val="000000"/>
        </w:rPr>
        <w:t xml:space="preserve"> and ensure the Hospital is delivering safe and effective care</w:t>
      </w:r>
      <w:r w:rsidR="00161472">
        <w:rPr>
          <w:rFonts w:ascii="Garamond" w:hAnsi="Garamond" w:cs="Garamond"/>
          <w:color w:val="000000"/>
        </w:rPr>
        <w:t>.</w:t>
      </w:r>
      <w:r w:rsidR="008B2825">
        <w:rPr>
          <w:rFonts w:ascii="Garamond" w:hAnsi="Garamond" w:cs="Garamond"/>
          <w:color w:val="000000"/>
        </w:rPr>
        <w:t xml:space="preserve"> Also, the Applicant</w:t>
      </w:r>
      <w:r w:rsidR="00B069C0">
        <w:rPr>
          <w:rFonts w:ascii="Garamond" w:hAnsi="Garamond" w:cs="Garamond"/>
          <w:color w:val="000000"/>
        </w:rPr>
        <w:t xml:space="preserve"> states it</w:t>
      </w:r>
      <w:r w:rsidR="008B2825">
        <w:rPr>
          <w:rFonts w:ascii="Garamond" w:hAnsi="Garamond" w:cs="Garamond"/>
          <w:color w:val="000000"/>
        </w:rPr>
        <w:t xml:space="preserve"> devotes its seasoned corporate team to ensure patients receive the highest quality care. </w:t>
      </w:r>
      <w:r w:rsidR="00BC3347">
        <w:rPr>
          <w:rFonts w:ascii="Garamond" w:hAnsi="Garamond" w:cs="Garamond"/>
          <w:color w:val="000000"/>
        </w:rPr>
        <w:t xml:space="preserve">It </w:t>
      </w:r>
      <w:r w:rsidR="002363F6">
        <w:rPr>
          <w:rFonts w:ascii="Garamond" w:hAnsi="Garamond" w:cs="Garamond"/>
          <w:color w:val="000000"/>
        </w:rPr>
        <w:t xml:space="preserve">strives </w:t>
      </w:r>
      <w:r w:rsidR="001C73C9">
        <w:rPr>
          <w:rFonts w:ascii="Garamond" w:hAnsi="Garamond" w:cs="Garamond"/>
          <w:color w:val="000000"/>
        </w:rPr>
        <w:t xml:space="preserve">to improve health outcomes and quality of life through </w:t>
      </w:r>
      <w:r w:rsidR="001C73C9" w:rsidRPr="001C73C9">
        <w:rPr>
          <w:rFonts w:ascii="Garamond" w:hAnsi="Garamond" w:cs="Garamond"/>
          <w:color w:val="000000"/>
        </w:rPr>
        <w:t>its standardized clinical practices, disease specific programs and best practices.</w:t>
      </w:r>
      <w:r w:rsidR="00C67958">
        <w:rPr>
          <w:rFonts w:ascii="Garamond" w:hAnsi="Garamond" w:cs="Garamond"/>
          <w:color w:val="000000"/>
        </w:rPr>
        <w:t xml:space="preserve"> </w:t>
      </w:r>
      <w:r w:rsidR="008B2825">
        <w:rPr>
          <w:rFonts w:ascii="Garamond" w:hAnsi="Garamond" w:cs="Garamond"/>
          <w:color w:val="000000"/>
        </w:rPr>
        <w:t>The Applicant stated that quality indicators, such as ventilator wean rates, are at the core of its operations.</w:t>
      </w:r>
      <w:r w:rsidR="00052556">
        <w:rPr>
          <w:rFonts w:ascii="Garamond" w:hAnsi="Garamond" w:cs="Garamond"/>
          <w:color w:val="000000"/>
        </w:rPr>
        <w:t xml:space="preserve"> </w:t>
      </w:r>
      <w:r w:rsidR="001106D5">
        <w:rPr>
          <w:rFonts w:ascii="Garamond" w:hAnsi="Garamond" w:cs="Garamond"/>
          <w:color w:val="000000"/>
        </w:rPr>
        <w:t>The Applicant will also concentrate on patient satisfaction and implement PAM Health’s “We Care” program.</w:t>
      </w:r>
      <w:r w:rsidR="001106D5">
        <w:rPr>
          <w:rStyle w:val="FootnoteReference"/>
          <w:rFonts w:ascii="Garamond" w:hAnsi="Garamond" w:cs="Garamond"/>
          <w:color w:val="000000"/>
        </w:rPr>
        <w:footnoteReference w:id="10"/>
      </w:r>
    </w:p>
    <w:p w14:paraId="20BA404C" w14:textId="24416CAB" w:rsidR="008B2825" w:rsidRDefault="008B2825" w:rsidP="00963E82">
      <w:pPr>
        <w:autoSpaceDE w:val="0"/>
        <w:autoSpaceDN w:val="0"/>
        <w:adjustRightInd w:val="0"/>
        <w:rPr>
          <w:rFonts w:ascii="Garamond" w:hAnsi="Garamond" w:cs="Garamond"/>
          <w:color w:val="000000"/>
        </w:rPr>
      </w:pPr>
    </w:p>
    <w:p w14:paraId="5719B213" w14:textId="6605E083" w:rsidR="00426343" w:rsidRDefault="001A6ADC" w:rsidP="007A57C4">
      <w:pPr>
        <w:rPr>
          <w:rFonts w:ascii="Garamond" w:hAnsi="Garamond" w:cs="Arial"/>
          <w:b/>
          <w:i/>
        </w:rPr>
      </w:pPr>
      <w:r w:rsidRPr="007A57C4">
        <w:rPr>
          <w:rFonts w:ascii="Garamond" w:hAnsi="Garamond" w:cs="Arial"/>
          <w:b/>
          <w:i/>
        </w:rPr>
        <w:t xml:space="preserve">Analysis </w:t>
      </w:r>
    </w:p>
    <w:p w14:paraId="3BB95CC3" w14:textId="2BE5CC83" w:rsidR="00822C58" w:rsidRPr="00057E7A" w:rsidRDefault="00236373" w:rsidP="007A57C4">
      <w:pPr>
        <w:rPr>
          <w:rFonts w:ascii="Garamond" w:hAnsi="Garamond" w:cs="Arial"/>
          <w:b/>
          <w:i/>
          <w:sz w:val="28"/>
          <w:szCs w:val="28"/>
        </w:rPr>
      </w:pPr>
      <w:r w:rsidRPr="00057E7A">
        <w:rPr>
          <w:rFonts w:ascii="Garamond" w:hAnsi="Garamond" w:cs="Garamond"/>
          <w:color w:val="000000"/>
        </w:rPr>
        <w:t xml:space="preserve">Staff has reviewed </w:t>
      </w:r>
      <w:r w:rsidR="002363F6">
        <w:rPr>
          <w:rFonts w:ascii="Garamond" w:hAnsi="Garamond" w:cs="Garamond"/>
          <w:color w:val="000000"/>
        </w:rPr>
        <w:t xml:space="preserve">and concurs </w:t>
      </w:r>
      <w:r w:rsidR="004B6228">
        <w:rPr>
          <w:rFonts w:ascii="Garamond" w:hAnsi="Garamond" w:cs="Garamond"/>
          <w:color w:val="000000"/>
        </w:rPr>
        <w:t xml:space="preserve">that there is </w:t>
      </w:r>
      <w:r w:rsidR="0089530F">
        <w:rPr>
          <w:rFonts w:ascii="Garamond" w:hAnsi="Garamond" w:cs="Garamond"/>
          <w:color w:val="000000"/>
        </w:rPr>
        <w:t xml:space="preserve">value </w:t>
      </w:r>
      <w:r w:rsidR="004B6228">
        <w:rPr>
          <w:rFonts w:ascii="Garamond" w:hAnsi="Garamond" w:cs="Garamond"/>
          <w:color w:val="000000"/>
        </w:rPr>
        <w:t xml:space="preserve">to </w:t>
      </w:r>
      <w:r w:rsidR="0089530F">
        <w:rPr>
          <w:rFonts w:ascii="Garamond" w:hAnsi="Garamond" w:cs="Garamond"/>
          <w:color w:val="000000"/>
        </w:rPr>
        <w:t>the new owner rea</w:t>
      </w:r>
      <w:r w:rsidRPr="00057E7A">
        <w:rPr>
          <w:rFonts w:ascii="Garamond" w:hAnsi="Garamond" w:cs="Garamond"/>
          <w:color w:val="000000"/>
        </w:rPr>
        <w:t>ssessing appropriateness of care and conducting quality im</w:t>
      </w:r>
      <w:r w:rsidRPr="00BF6C09">
        <w:rPr>
          <w:rFonts w:ascii="Garamond" w:hAnsi="Garamond" w:cs="Garamond"/>
          <w:color w:val="000000"/>
        </w:rPr>
        <w:t>provement</w:t>
      </w:r>
      <w:r w:rsidR="004B6228">
        <w:rPr>
          <w:rFonts w:ascii="Garamond" w:hAnsi="Garamond" w:cs="Garamond"/>
          <w:color w:val="000000"/>
        </w:rPr>
        <w:t>s within the Hospital</w:t>
      </w:r>
      <w:r w:rsidR="0089530F">
        <w:rPr>
          <w:rFonts w:ascii="Garamond" w:hAnsi="Garamond" w:cs="Garamond"/>
          <w:color w:val="000000"/>
        </w:rPr>
        <w:t>. This</w:t>
      </w:r>
      <w:r w:rsidRPr="00BF6C09">
        <w:rPr>
          <w:rFonts w:ascii="Garamond" w:hAnsi="Garamond" w:cs="Garamond"/>
          <w:color w:val="000000"/>
        </w:rPr>
        <w:t xml:space="preserve"> </w:t>
      </w:r>
      <w:r w:rsidR="00BF6C09" w:rsidRPr="00BF6C09">
        <w:rPr>
          <w:rFonts w:ascii="Garamond" w:hAnsi="Garamond"/>
        </w:rPr>
        <w:t xml:space="preserve">will add </w:t>
      </w:r>
      <w:r w:rsidR="00B57671">
        <w:rPr>
          <w:rFonts w:ascii="Garamond" w:hAnsi="Garamond"/>
        </w:rPr>
        <w:t xml:space="preserve">to </w:t>
      </w:r>
      <w:r w:rsidR="00BF6C09" w:rsidRPr="00BF6C09">
        <w:rPr>
          <w:rFonts w:ascii="Garamond" w:hAnsi="Garamond"/>
        </w:rPr>
        <w:t>public health value in terms of improved health outcomes and quality of life of the Applicant's Patient Panel.</w:t>
      </w:r>
      <w:r w:rsidR="00C15391">
        <w:rPr>
          <w:rFonts w:ascii="Garamond" w:hAnsi="Garamond"/>
        </w:rPr>
        <w:t xml:space="preserve"> </w:t>
      </w:r>
      <w:r w:rsidR="00C15391">
        <w:rPr>
          <w:rFonts w:ascii="Garamond" w:eastAsia="Calibri" w:hAnsi="Garamond" w:cs="Calibri"/>
        </w:rPr>
        <w:t>Further, the Hospital’s Patient Panel will benefit from PAM Health’s experiences</w:t>
      </w:r>
      <w:r w:rsidR="00AE3991">
        <w:rPr>
          <w:rFonts w:ascii="Garamond" w:eastAsia="Calibri" w:hAnsi="Garamond" w:cs="Calibri"/>
        </w:rPr>
        <w:t>, which</w:t>
      </w:r>
      <w:r w:rsidR="00C15391">
        <w:rPr>
          <w:rFonts w:ascii="Garamond" w:eastAsia="Calibri" w:hAnsi="Garamond" w:cs="Calibri"/>
        </w:rPr>
        <w:t xml:space="preserve"> will enhance the service quality and availability of programs.</w:t>
      </w:r>
    </w:p>
    <w:p w14:paraId="6A79C37D" w14:textId="5C4D8978" w:rsidR="00537715" w:rsidRDefault="00537715" w:rsidP="007A57C4">
      <w:pPr>
        <w:contextualSpacing/>
        <w:rPr>
          <w:rFonts w:ascii="Garamond" w:hAnsi="Garamond" w:cs="Arial"/>
          <w:b/>
          <w:bCs/>
        </w:rPr>
      </w:pPr>
    </w:p>
    <w:p w14:paraId="6CA30811" w14:textId="77777777" w:rsidR="00236373" w:rsidRDefault="00CA4FE8" w:rsidP="00236373">
      <w:pPr>
        <w:contextualSpacing/>
        <w:rPr>
          <w:rFonts w:ascii="Garamond" w:hAnsi="Garamond" w:cs="Arial"/>
          <w:b/>
          <w:bCs/>
        </w:rPr>
      </w:pPr>
      <w:r w:rsidRPr="007A57C4">
        <w:rPr>
          <w:rFonts w:ascii="Garamond" w:hAnsi="Garamond" w:cs="Arial"/>
          <w:b/>
          <w:bCs/>
        </w:rPr>
        <w:t>Health Equity</w:t>
      </w:r>
      <w:r w:rsidR="00236373">
        <w:rPr>
          <w:rFonts w:ascii="Garamond" w:hAnsi="Garamond" w:cs="Arial"/>
          <w:b/>
          <w:bCs/>
        </w:rPr>
        <w:t xml:space="preserve"> and </w:t>
      </w:r>
      <w:r w:rsidR="00236373" w:rsidRPr="00EC0572">
        <w:rPr>
          <w:rFonts w:ascii="Garamond" w:hAnsi="Garamond" w:cs="Arial"/>
          <w:b/>
          <w:bCs/>
        </w:rPr>
        <w:t>Social Determinants of Health (SDoH)</w:t>
      </w:r>
      <w:r w:rsidR="00236373" w:rsidRPr="007A57C4">
        <w:rPr>
          <w:rFonts w:ascii="Garamond" w:hAnsi="Garamond" w:cs="Arial"/>
          <w:b/>
          <w:bCs/>
        </w:rPr>
        <w:t xml:space="preserve"> </w:t>
      </w:r>
    </w:p>
    <w:p w14:paraId="479402A9" w14:textId="10335A36" w:rsidR="00B57671" w:rsidRDefault="00A55E89" w:rsidP="0072220B">
      <w:pPr>
        <w:autoSpaceDE w:val="0"/>
        <w:autoSpaceDN w:val="0"/>
        <w:adjustRightInd w:val="0"/>
        <w:rPr>
          <w:rFonts w:ascii="Garamond" w:hAnsi="Garamond" w:cs="Garamond"/>
          <w:color w:val="000000"/>
        </w:rPr>
      </w:pPr>
      <w:r w:rsidRPr="00057E7A">
        <w:rPr>
          <w:rFonts w:ascii="Garamond" w:hAnsi="Garamond" w:cs="Garamond"/>
          <w:color w:val="000000"/>
        </w:rPr>
        <w:t xml:space="preserve">The Applicant </w:t>
      </w:r>
      <w:r w:rsidR="00C05F62">
        <w:rPr>
          <w:rFonts w:ascii="Garamond" w:hAnsi="Garamond" w:cs="Garamond"/>
          <w:color w:val="000000"/>
        </w:rPr>
        <w:t xml:space="preserve">states that they </w:t>
      </w:r>
      <w:r w:rsidRPr="00057E7A">
        <w:rPr>
          <w:rFonts w:ascii="Garamond" w:hAnsi="Garamond" w:cs="Garamond"/>
          <w:color w:val="000000"/>
        </w:rPr>
        <w:t>plan to continue efforts to promote health equity</w:t>
      </w:r>
      <w:r w:rsidR="00C05F62">
        <w:rPr>
          <w:rFonts w:ascii="Garamond" w:hAnsi="Garamond" w:cs="Garamond"/>
          <w:color w:val="000000"/>
        </w:rPr>
        <w:t xml:space="preserve"> at the Hospital</w:t>
      </w:r>
      <w:r w:rsidRPr="00057E7A">
        <w:rPr>
          <w:rFonts w:ascii="Garamond" w:hAnsi="Garamond" w:cs="Garamond"/>
          <w:color w:val="000000"/>
        </w:rPr>
        <w:t xml:space="preserve">. It is stated in the application </w:t>
      </w:r>
      <w:r w:rsidR="001D5843" w:rsidRPr="00057E7A">
        <w:rPr>
          <w:rFonts w:ascii="Garamond" w:hAnsi="Garamond" w:cs="Garamond"/>
          <w:color w:val="000000"/>
        </w:rPr>
        <w:t xml:space="preserve">that </w:t>
      </w:r>
      <w:r w:rsidR="00C05F62">
        <w:rPr>
          <w:rFonts w:ascii="Garamond" w:hAnsi="Garamond" w:cs="Garamond"/>
          <w:color w:val="000000"/>
        </w:rPr>
        <w:t>the Applicant</w:t>
      </w:r>
      <w:r w:rsidR="0053158D" w:rsidRPr="00057E7A">
        <w:rPr>
          <w:rFonts w:ascii="Garamond" w:hAnsi="Garamond" w:cs="Garamond"/>
          <w:color w:val="000000"/>
        </w:rPr>
        <w:t xml:space="preserve"> </w:t>
      </w:r>
      <w:r w:rsidR="001D5843" w:rsidRPr="00057E7A">
        <w:rPr>
          <w:rFonts w:ascii="Garamond" w:hAnsi="Garamond" w:cs="Garamond"/>
          <w:color w:val="000000"/>
        </w:rPr>
        <w:t>compl</w:t>
      </w:r>
      <w:r w:rsidR="0053158D">
        <w:rPr>
          <w:rFonts w:ascii="Garamond" w:hAnsi="Garamond" w:cs="Garamond"/>
          <w:color w:val="000000"/>
        </w:rPr>
        <w:t>ies</w:t>
      </w:r>
      <w:r w:rsidR="001D5843" w:rsidRPr="00057E7A">
        <w:rPr>
          <w:rFonts w:ascii="Garamond" w:hAnsi="Garamond" w:cs="Garamond"/>
          <w:color w:val="000000"/>
        </w:rPr>
        <w:t xml:space="preserve"> with all applicable federal and state laws and does not discriminate on the</w:t>
      </w:r>
      <w:r w:rsidRPr="00057E7A">
        <w:rPr>
          <w:rFonts w:ascii="Garamond" w:hAnsi="Garamond" w:cs="Garamond"/>
          <w:color w:val="000000"/>
        </w:rPr>
        <w:t xml:space="preserve"> </w:t>
      </w:r>
      <w:r w:rsidR="001D5843" w:rsidRPr="00057E7A">
        <w:rPr>
          <w:rFonts w:ascii="Garamond" w:hAnsi="Garamond" w:cs="Garamond"/>
          <w:color w:val="000000"/>
        </w:rPr>
        <w:t xml:space="preserve">basis of race, color, national origin, age, disability or sex. </w:t>
      </w:r>
      <w:r w:rsidR="0072220B" w:rsidRPr="00057E7A">
        <w:rPr>
          <w:rFonts w:ascii="Garamond" w:hAnsi="Garamond" w:cs="Garamond"/>
          <w:color w:val="000000"/>
        </w:rPr>
        <w:t xml:space="preserve">The Hospital is a certified Medicare and MassHealth provider serving the entire Commonwealth. </w:t>
      </w:r>
      <w:r w:rsidR="0053158D">
        <w:rPr>
          <w:rFonts w:ascii="Garamond" w:hAnsi="Garamond" w:cs="Garamond"/>
          <w:color w:val="000000"/>
        </w:rPr>
        <w:t>It</w:t>
      </w:r>
      <w:r w:rsidR="0053158D" w:rsidRPr="00057E7A">
        <w:rPr>
          <w:rFonts w:ascii="Garamond" w:hAnsi="Garamond" w:cs="Garamond"/>
          <w:color w:val="000000"/>
        </w:rPr>
        <w:t xml:space="preserve"> </w:t>
      </w:r>
      <w:r w:rsidR="001D5843" w:rsidRPr="00057E7A">
        <w:rPr>
          <w:rFonts w:ascii="Garamond" w:hAnsi="Garamond" w:cs="Garamond"/>
          <w:color w:val="000000"/>
        </w:rPr>
        <w:t>will continue to serve a high mix of public payers including MassHealth</w:t>
      </w:r>
      <w:r w:rsidR="00B57671">
        <w:rPr>
          <w:rFonts w:ascii="Garamond" w:hAnsi="Garamond" w:cs="Garamond"/>
          <w:color w:val="000000"/>
        </w:rPr>
        <w:t>.</w:t>
      </w:r>
    </w:p>
    <w:p w14:paraId="739CAB28" w14:textId="77777777" w:rsidR="00B57671" w:rsidRDefault="00B57671" w:rsidP="0072220B">
      <w:pPr>
        <w:autoSpaceDE w:val="0"/>
        <w:autoSpaceDN w:val="0"/>
        <w:adjustRightInd w:val="0"/>
        <w:rPr>
          <w:rFonts w:ascii="Garamond" w:hAnsi="Garamond" w:cs="Garamond"/>
          <w:color w:val="000000"/>
        </w:rPr>
      </w:pPr>
    </w:p>
    <w:p w14:paraId="27732DE4" w14:textId="5FD96694" w:rsidR="00913007" w:rsidRPr="00057E7A" w:rsidRDefault="00C05F62" w:rsidP="0072220B">
      <w:pPr>
        <w:autoSpaceDE w:val="0"/>
        <w:autoSpaceDN w:val="0"/>
        <w:adjustRightInd w:val="0"/>
        <w:rPr>
          <w:rFonts w:ascii="Garamond" w:hAnsi="Garamond" w:cs="Garamond"/>
          <w:color w:val="000000"/>
        </w:rPr>
      </w:pPr>
      <w:r>
        <w:rPr>
          <w:rFonts w:ascii="Garamond" w:hAnsi="Garamond" w:cs="Garamond"/>
          <w:color w:val="000000"/>
        </w:rPr>
        <w:t>The</w:t>
      </w:r>
      <w:r w:rsidR="004B6228">
        <w:rPr>
          <w:rFonts w:ascii="Garamond" w:hAnsi="Garamond" w:cs="Garamond"/>
          <w:color w:val="000000"/>
        </w:rPr>
        <w:t xml:space="preserve"> </w:t>
      </w:r>
      <w:r>
        <w:rPr>
          <w:rFonts w:ascii="Garamond" w:hAnsi="Garamond" w:cs="Garamond"/>
          <w:color w:val="000000"/>
        </w:rPr>
        <w:t xml:space="preserve">Hospital </w:t>
      </w:r>
      <w:r w:rsidR="00B57671">
        <w:rPr>
          <w:rFonts w:ascii="Garamond" w:hAnsi="Garamond" w:cs="Garamond"/>
          <w:color w:val="000000"/>
        </w:rPr>
        <w:t xml:space="preserve">will also </w:t>
      </w:r>
      <w:r w:rsidR="001D5843" w:rsidRPr="00057E7A">
        <w:rPr>
          <w:rFonts w:ascii="Garamond" w:hAnsi="Garamond" w:cs="Garamond"/>
          <w:color w:val="000000"/>
        </w:rPr>
        <w:t>provide culturally and linguistically appropriate language services that include aids and translation services to patients so that they are able communicate with their providers</w:t>
      </w:r>
      <w:r w:rsidR="001D5843" w:rsidRPr="00662E22">
        <w:rPr>
          <w:rFonts w:ascii="Garamond" w:hAnsi="Garamond" w:cs="Garamond"/>
          <w:color w:val="000000"/>
        </w:rPr>
        <w:t xml:space="preserve">. </w:t>
      </w:r>
      <w:r w:rsidR="00662E22" w:rsidRPr="00662E22">
        <w:rPr>
          <w:rFonts w:ascii="Garamond" w:hAnsi="Garamond" w:cs="Garamond"/>
          <w:color w:val="000000"/>
        </w:rPr>
        <w:t>L</w:t>
      </w:r>
      <w:r w:rsidR="00A55E89" w:rsidRPr="00662E22">
        <w:rPr>
          <w:rFonts w:ascii="Garamond" w:hAnsi="Garamond" w:cs="Garamond"/>
          <w:color w:val="000000"/>
        </w:rPr>
        <w:t>anguage</w:t>
      </w:r>
      <w:r w:rsidR="00662E22" w:rsidRPr="00662E22">
        <w:rPr>
          <w:rFonts w:ascii="Garamond" w:hAnsi="Garamond" w:cs="Garamond"/>
          <w:color w:val="000000"/>
        </w:rPr>
        <w:t>L</w:t>
      </w:r>
      <w:r w:rsidR="00A55E89" w:rsidRPr="00662E22">
        <w:rPr>
          <w:rFonts w:ascii="Garamond" w:hAnsi="Garamond" w:cs="Garamond"/>
          <w:color w:val="000000"/>
        </w:rPr>
        <w:t>ine</w:t>
      </w:r>
      <w:r w:rsidR="00057E7A" w:rsidRPr="00662E22">
        <w:rPr>
          <w:rFonts w:ascii="Garamond" w:hAnsi="Garamond" w:cs="Garamond"/>
          <w:color w:val="000000"/>
        </w:rPr>
        <w:t xml:space="preserve"> </w:t>
      </w:r>
      <w:r w:rsidR="0053158D">
        <w:rPr>
          <w:rFonts w:ascii="Garamond" w:hAnsi="Garamond" w:cs="Garamond"/>
          <w:color w:val="000000"/>
        </w:rPr>
        <w:t xml:space="preserve">is currently used </w:t>
      </w:r>
      <w:r w:rsidR="00057E7A" w:rsidRPr="00662E22">
        <w:rPr>
          <w:rFonts w:ascii="Garamond" w:hAnsi="Garamond" w:cs="Garamond"/>
          <w:color w:val="000000"/>
        </w:rPr>
        <w:t>for translational service</w:t>
      </w:r>
      <w:r w:rsidR="00662E22" w:rsidRPr="00662E22">
        <w:rPr>
          <w:rFonts w:ascii="Garamond" w:hAnsi="Garamond" w:cs="Garamond"/>
          <w:color w:val="000000"/>
        </w:rPr>
        <w:t>s, which provides access to over 240 different languages, including American Sign Language, and over 14,000 professional linguists.</w:t>
      </w:r>
      <w:r w:rsidR="00A55E89" w:rsidRPr="00662E22">
        <w:rPr>
          <w:rFonts w:ascii="Garamond" w:hAnsi="Garamond" w:cs="Garamond"/>
          <w:color w:val="000000"/>
        </w:rPr>
        <w:t xml:space="preserve"> </w:t>
      </w:r>
      <w:r w:rsidR="00662E22" w:rsidRPr="00662E22">
        <w:rPr>
          <w:rFonts w:ascii="Garamond" w:hAnsi="Garamond" w:cs="Garamond"/>
          <w:color w:val="000000"/>
        </w:rPr>
        <w:t xml:space="preserve">These services are available 24 hours per day through video conference, telephone, and in-person. </w:t>
      </w:r>
      <w:r w:rsidR="001D5843" w:rsidRPr="00662E22">
        <w:rPr>
          <w:rFonts w:ascii="Garamond" w:hAnsi="Garamond" w:cs="Garamond"/>
          <w:color w:val="000000"/>
        </w:rPr>
        <w:t xml:space="preserve">Additionally, </w:t>
      </w:r>
      <w:r w:rsidR="001D5843" w:rsidRPr="00057E7A">
        <w:rPr>
          <w:rFonts w:ascii="Garamond" w:hAnsi="Garamond" w:cs="Garamond"/>
          <w:color w:val="000000"/>
        </w:rPr>
        <w:t>written information in accessible formats including large print, audio, and electronic</w:t>
      </w:r>
      <w:r w:rsidR="0053158D">
        <w:rPr>
          <w:rFonts w:ascii="Garamond" w:hAnsi="Garamond" w:cs="Garamond"/>
          <w:color w:val="000000"/>
        </w:rPr>
        <w:t xml:space="preserve"> will be provided as needed</w:t>
      </w:r>
      <w:r w:rsidR="001D5843" w:rsidRPr="00057E7A">
        <w:rPr>
          <w:rFonts w:ascii="Garamond" w:hAnsi="Garamond" w:cs="Garamond"/>
          <w:color w:val="000000"/>
        </w:rPr>
        <w:t xml:space="preserve">. </w:t>
      </w:r>
      <w:r w:rsidR="00057E7A" w:rsidRPr="00057E7A">
        <w:rPr>
          <w:rFonts w:ascii="Garamond" w:hAnsi="Garamond" w:cs="Garamond"/>
          <w:color w:val="000000"/>
        </w:rPr>
        <w:t>The Applicant</w:t>
      </w:r>
      <w:r w:rsidR="00B4280F" w:rsidRPr="00057E7A">
        <w:rPr>
          <w:rFonts w:ascii="Garamond" w:hAnsi="Garamond" w:cs="Garamond"/>
          <w:color w:val="000000"/>
        </w:rPr>
        <w:t xml:space="preserve"> also provides cultural competence trainings and hosts a comprehensive employee voice strategy “to maintain a supportive and inclusive workplace culture.”</w:t>
      </w:r>
    </w:p>
    <w:p w14:paraId="67DC3EDB" w14:textId="77777777" w:rsidR="00A120A9" w:rsidRPr="00057E7A" w:rsidRDefault="00A120A9" w:rsidP="001D5843">
      <w:pPr>
        <w:autoSpaceDE w:val="0"/>
        <w:autoSpaceDN w:val="0"/>
        <w:adjustRightInd w:val="0"/>
        <w:rPr>
          <w:rFonts w:ascii="Garamond" w:hAnsi="Garamond" w:cs="Garamond"/>
          <w:color w:val="000000"/>
        </w:rPr>
      </w:pPr>
    </w:p>
    <w:p w14:paraId="458F5850" w14:textId="4B8C66D7" w:rsidR="00B4280F" w:rsidRDefault="009475F7" w:rsidP="001D5843">
      <w:pPr>
        <w:autoSpaceDE w:val="0"/>
        <w:autoSpaceDN w:val="0"/>
        <w:adjustRightInd w:val="0"/>
        <w:rPr>
          <w:rFonts w:ascii="Garamond" w:hAnsi="Garamond" w:cs="Garamond"/>
          <w:color w:val="000000"/>
        </w:rPr>
      </w:pPr>
      <w:r w:rsidRPr="00FA0218">
        <w:rPr>
          <w:rFonts w:ascii="Garamond" w:hAnsi="Garamond" w:cs="Garamond"/>
          <w:color w:val="000000"/>
        </w:rPr>
        <w:t>As a part of the discharge planning process, one of the factors consider</w:t>
      </w:r>
      <w:r w:rsidR="0053158D">
        <w:rPr>
          <w:rFonts w:ascii="Garamond" w:hAnsi="Garamond" w:cs="Garamond"/>
          <w:color w:val="000000"/>
        </w:rPr>
        <w:t>ed</w:t>
      </w:r>
      <w:r w:rsidRPr="00FA0218">
        <w:rPr>
          <w:rFonts w:ascii="Garamond" w:hAnsi="Garamond" w:cs="Garamond"/>
          <w:color w:val="000000"/>
        </w:rPr>
        <w:t xml:space="preserve"> is social determinants of health</w:t>
      </w:r>
      <w:r w:rsidRPr="00057E7A">
        <w:rPr>
          <w:rFonts w:ascii="Garamond" w:hAnsi="Garamond" w:cs="Garamond"/>
          <w:color w:val="000000"/>
        </w:rPr>
        <w:t xml:space="preserve"> </w:t>
      </w:r>
      <w:r w:rsidRPr="00057E7A">
        <w:rPr>
          <w:rFonts w:ascii="Garamond" w:hAnsi="Garamond"/>
          <w:bCs/>
        </w:rPr>
        <w:t>(e.g.</w:t>
      </w:r>
      <w:r>
        <w:rPr>
          <w:rFonts w:ascii="Garamond" w:hAnsi="Garamond"/>
          <w:bCs/>
        </w:rPr>
        <w:t>,</w:t>
      </w:r>
      <w:r w:rsidRPr="00057E7A">
        <w:rPr>
          <w:rFonts w:ascii="Garamond" w:hAnsi="Garamond"/>
          <w:bCs/>
        </w:rPr>
        <w:t xml:space="preserve"> availability/accessibility to adequate housing and transportation)</w:t>
      </w:r>
      <w:r w:rsidRPr="00057E7A">
        <w:rPr>
          <w:rFonts w:ascii="Garamond" w:hAnsi="Garamond" w:cs="Garamond"/>
          <w:color w:val="000000"/>
        </w:rPr>
        <w:t xml:space="preserve">. </w:t>
      </w:r>
      <w:r w:rsidR="00B4280F" w:rsidRPr="00FA0218">
        <w:rPr>
          <w:rFonts w:ascii="Garamond" w:hAnsi="Garamond" w:cs="Garamond"/>
          <w:color w:val="000000"/>
        </w:rPr>
        <w:t xml:space="preserve">The Applicant </w:t>
      </w:r>
      <w:r w:rsidR="00FA0218" w:rsidRPr="00FA0218">
        <w:rPr>
          <w:rFonts w:ascii="Garamond" w:hAnsi="Garamond" w:cs="Garamond"/>
          <w:color w:val="000000"/>
        </w:rPr>
        <w:t xml:space="preserve">uses a team-based approach for its discharge planning and </w:t>
      </w:r>
      <w:r>
        <w:rPr>
          <w:rFonts w:ascii="Garamond" w:hAnsi="Garamond" w:cs="Garamond"/>
          <w:color w:val="000000"/>
        </w:rPr>
        <w:t>ask</w:t>
      </w:r>
      <w:r w:rsidR="0053158D">
        <w:rPr>
          <w:rFonts w:ascii="Garamond" w:hAnsi="Garamond" w:cs="Garamond"/>
          <w:color w:val="000000"/>
        </w:rPr>
        <w:t>s</w:t>
      </w:r>
      <w:r>
        <w:rPr>
          <w:rFonts w:ascii="Garamond" w:hAnsi="Garamond" w:cs="Garamond"/>
          <w:color w:val="000000"/>
        </w:rPr>
        <w:t xml:space="preserve"> questions and evaluate</w:t>
      </w:r>
      <w:r w:rsidR="0053158D">
        <w:rPr>
          <w:rFonts w:ascii="Garamond" w:hAnsi="Garamond" w:cs="Garamond"/>
          <w:color w:val="000000"/>
        </w:rPr>
        <w:t>s</w:t>
      </w:r>
      <w:r>
        <w:rPr>
          <w:rFonts w:ascii="Garamond" w:hAnsi="Garamond" w:cs="Garamond"/>
          <w:color w:val="000000"/>
        </w:rPr>
        <w:t xml:space="preserve"> </w:t>
      </w:r>
      <w:r w:rsidRPr="00FA0218">
        <w:rPr>
          <w:rFonts w:ascii="Garamond" w:hAnsi="Garamond" w:cs="Garamond"/>
          <w:color w:val="000000"/>
        </w:rPr>
        <w:t>patients’</w:t>
      </w:r>
      <w:r w:rsidR="00B4280F" w:rsidRPr="00FA0218">
        <w:rPr>
          <w:rFonts w:ascii="Garamond" w:hAnsi="Garamond" w:cs="Garamond"/>
          <w:color w:val="000000"/>
        </w:rPr>
        <w:t xml:space="preserve"> </w:t>
      </w:r>
      <w:r>
        <w:rPr>
          <w:rFonts w:ascii="Garamond" w:hAnsi="Garamond" w:cs="Garamond"/>
          <w:color w:val="000000"/>
        </w:rPr>
        <w:t>responses</w:t>
      </w:r>
      <w:r w:rsidR="00C05F62">
        <w:rPr>
          <w:rFonts w:ascii="Garamond" w:hAnsi="Garamond" w:cs="Garamond"/>
          <w:color w:val="000000"/>
        </w:rPr>
        <w:t xml:space="preserve"> to</w:t>
      </w:r>
      <w:r>
        <w:rPr>
          <w:rFonts w:ascii="Garamond" w:hAnsi="Garamond" w:cs="Garamond"/>
          <w:color w:val="000000"/>
        </w:rPr>
        <w:t xml:space="preserve"> identify</w:t>
      </w:r>
      <w:r w:rsidR="00C05F62">
        <w:rPr>
          <w:rFonts w:ascii="Garamond" w:hAnsi="Garamond" w:cs="Garamond"/>
          <w:color w:val="000000"/>
        </w:rPr>
        <w:t xml:space="preserve"> </w:t>
      </w:r>
      <w:r>
        <w:rPr>
          <w:rFonts w:ascii="Garamond" w:hAnsi="Garamond" w:cs="Garamond"/>
          <w:color w:val="000000"/>
        </w:rPr>
        <w:t>challenges patients may face post-discharge including</w:t>
      </w:r>
      <w:r w:rsidR="00C05F62">
        <w:rPr>
          <w:rFonts w:ascii="Garamond" w:hAnsi="Garamond" w:cs="Garamond"/>
          <w:color w:val="000000"/>
        </w:rPr>
        <w:t xml:space="preserve"> deficits in</w:t>
      </w:r>
      <w:r>
        <w:rPr>
          <w:rFonts w:ascii="Garamond" w:hAnsi="Garamond" w:cs="Garamond"/>
          <w:color w:val="000000"/>
        </w:rPr>
        <w:t xml:space="preserve"> </w:t>
      </w:r>
      <w:r w:rsidR="00FA0218" w:rsidRPr="00FA0218">
        <w:rPr>
          <w:rFonts w:ascii="Garamond" w:hAnsi="Garamond" w:cs="Garamond"/>
          <w:color w:val="000000"/>
        </w:rPr>
        <w:t>social and economic resources, education and literacy, support networks, and physical and social environments</w:t>
      </w:r>
      <w:r w:rsidR="00B4280F" w:rsidRPr="00FA0218">
        <w:rPr>
          <w:rFonts w:ascii="Garamond" w:hAnsi="Garamond" w:cs="Garamond"/>
          <w:color w:val="000000"/>
        </w:rPr>
        <w:t xml:space="preserve">. </w:t>
      </w:r>
      <w:r w:rsidR="00FA0218">
        <w:rPr>
          <w:rFonts w:ascii="Garamond" w:hAnsi="Garamond" w:cs="Garamond"/>
          <w:color w:val="000000"/>
        </w:rPr>
        <w:t xml:space="preserve">PAM Health identifies patient’s needs early in the process so that the team is able to consult with available programs and providers to address those needs. </w:t>
      </w:r>
      <w:r>
        <w:rPr>
          <w:rFonts w:ascii="Garamond" w:hAnsi="Garamond" w:cs="Garamond"/>
          <w:color w:val="000000"/>
        </w:rPr>
        <w:t>During the patient’s stay</w:t>
      </w:r>
      <w:r w:rsidR="0053158D">
        <w:rPr>
          <w:rFonts w:ascii="Garamond" w:hAnsi="Garamond" w:cs="Garamond"/>
          <w:color w:val="000000"/>
        </w:rPr>
        <w:t>,</w:t>
      </w:r>
      <w:r>
        <w:rPr>
          <w:rFonts w:ascii="Garamond" w:hAnsi="Garamond" w:cs="Garamond"/>
          <w:color w:val="000000"/>
        </w:rPr>
        <w:t xml:space="preserve"> the team evaluates the needs of the patient and consults with both family and other medical professionals to outline a post-discharge plan. </w:t>
      </w:r>
    </w:p>
    <w:p w14:paraId="7C6063DA" w14:textId="77777777" w:rsidR="008451B2" w:rsidRDefault="008451B2" w:rsidP="007A57C4">
      <w:pPr>
        <w:spacing w:after="120"/>
        <w:contextualSpacing/>
        <w:rPr>
          <w:rFonts w:ascii="Garamond" w:hAnsi="Garamond"/>
        </w:rPr>
      </w:pPr>
    </w:p>
    <w:bookmarkEnd w:id="36"/>
    <w:bookmarkEnd w:id="37"/>
    <w:p w14:paraId="53F10A0A" w14:textId="3EEF5B81" w:rsidR="00CA308F" w:rsidRDefault="00786D0B" w:rsidP="007A57C4">
      <w:pPr>
        <w:contextualSpacing/>
        <w:rPr>
          <w:rFonts w:ascii="Garamond" w:hAnsi="Garamond" w:cs="Arial"/>
          <w:b/>
          <w:i/>
        </w:rPr>
      </w:pPr>
      <w:r w:rsidRPr="007A57C4">
        <w:rPr>
          <w:rFonts w:ascii="Garamond" w:hAnsi="Garamond" w:cs="Arial"/>
          <w:b/>
          <w:i/>
        </w:rPr>
        <w:t>Analysis</w:t>
      </w:r>
      <w:r w:rsidR="007105FC">
        <w:rPr>
          <w:rFonts w:ascii="Garamond" w:hAnsi="Garamond" w:cs="Arial"/>
          <w:b/>
          <w:i/>
        </w:rPr>
        <w:t>: Health Equity</w:t>
      </w:r>
      <w:r w:rsidR="00E304EA">
        <w:rPr>
          <w:rFonts w:ascii="Garamond" w:hAnsi="Garamond" w:cs="Arial"/>
          <w:b/>
          <w:i/>
        </w:rPr>
        <w:t xml:space="preserve"> and SDoH</w:t>
      </w:r>
    </w:p>
    <w:p w14:paraId="190E43EA" w14:textId="6FADCE6E" w:rsidR="00BE02FC" w:rsidRPr="00057E7A" w:rsidRDefault="004B2111" w:rsidP="00BE02FC">
      <w:pPr>
        <w:contextualSpacing/>
        <w:rPr>
          <w:rFonts w:ascii="Garamond" w:hAnsi="Garamond" w:cs="Arial"/>
          <w:b/>
          <w:i/>
          <w:sz w:val="28"/>
          <w:szCs w:val="28"/>
        </w:rPr>
      </w:pPr>
      <w:r w:rsidRPr="00057E7A">
        <w:rPr>
          <w:rFonts w:ascii="Garamond" w:hAnsi="Garamond" w:cs="Garamond"/>
          <w:color w:val="000000"/>
        </w:rPr>
        <w:lastRenderedPageBreak/>
        <w:t>The DoN Staff</w:t>
      </w:r>
      <w:r w:rsidR="00FB1D31" w:rsidRPr="00057E7A">
        <w:rPr>
          <w:rFonts w:ascii="Garamond" w:hAnsi="Garamond" w:cs="Garamond"/>
          <w:color w:val="000000"/>
        </w:rPr>
        <w:t>’s</w:t>
      </w:r>
      <w:r w:rsidRPr="00057E7A">
        <w:rPr>
          <w:rFonts w:ascii="Garamond" w:hAnsi="Garamond" w:cs="Garamond"/>
          <w:color w:val="000000"/>
        </w:rPr>
        <w:t xml:space="preserve"> </w:t>
      </w:r>
      <w:r w:rsidR="00E61D9C" w:rsidRPr="00057E7A">
        <w:rPr>
          <w:rFonts w:ascii="Garamond" w:hAnsi="Garamond" w:cs="Garamond"/>
          <w:color w:val="000000"/>
        </w:rPr>
        <w:t>review</w:t>
      </w:r>
      <w:r w:rsidR="00FB1D31" w:rsidRPr="00057E7A">
        <w:rPr>
          <w:rFonts w:ascii="Garamond" w:hAnsi="Garamond" w:cs="Garamond"/>
          <w:color w:val="000000"/>
        </w:rPr>
        <w:t xml:space="preserve"> assessed </w:t>
      </w:r>
      <w:r w:rsidR="00E61D9C" w:rsidRPr="00057E7A">
        <w:rPr>
          <w:rFonts w:ascii="Garamond" w:hAnsi="Garamond" w:cs="Garamond"/>
          <w:color w:val="000000"/>
        </w:rPr>
        <w:t>th</w:t>
      </w:r>
      <w:r w:rsidR="00FB1D31" w:rsidRPr="00057E7A">
        <w:rPr>
          <w:rFonts w:ascii="Garamond" w:hAnsi="Garamond" w:cs="Garamond"/>
          <w:color w:val="000000"/>
        </w:rPr>
        <w:t>e</w:t>
      </w:r>
      <w:r w:rsidR="00E61D9C" w:rsidRPr="00057E7A">
        <w:rPr>
          <w:rFonts w:ascii="Garamond" w:hAnsi="Garamond" w:cs="Garamond"/>
          <w:color w:val="000000"/>
        </w:rPr>
        <w:t xml:space="preserve"> </w:t>
      </w:r>
      <w:r w:rsidR="00FB1D31" w:rsidRPr="00057E7A">
        <w:rPr>
          <w:rFonts w:ascii="Garamond" w:hAnsi="Garamond" w:cs="Garamond"/>
          <w:color w:val="000000"/>
        </w:rPr>
        <w:t>Proposed P</w:t>
      </w:r>
      <w:r w:rsidR="00E61D9C" w:rsidRPr="00057E7A">
        <w:rPr>
          <w:rFonts w:ascii="Garamond" w:hAnsi="Garamond" w:cs="Garamond"/>
          <w:color w:val="000000"/>
        </w:rPr>
        <w:t>roject</w:t>
      </w:r>
      <w:r w:rsidR="00FB1D31" w:rsidRPr="00057E7A">
        <w:rPr>
          <w:rFonts w:ascii="Garamond" w:hAnsi="Garamond" w:cs="Garamond"/>
          <w:color w:val="000000"/>
        </w:rPr>
        <w:t>’s</w:t>
      </w:r>
      <w:r w:rsidR="00E61D9C" w:rsidRPr="00057E7A">
        <w:rPr>
          <w:rFonts w:ascii="Garamond" w:hAnsi="Garamond" w:cs="Garamond"/>
          <w:color w:val="000000"/>
        </w:rPr>
        <w:t xml:space="preserve"> impact on</w:t>
      </w:r>
      <w:r w:rsidRPr="00057E7A">
        <w:rPr>
          <w:rFonts w:ascii="Garamond" w:hAnsi="Garamond" w:cs="Garamond"/>
          <w:color w:val="000000"/>
        </w:rPr>
        <w:t xml:space="preserve"> equitable access to care. </w:t>
      </w:r>
      <w:r w:rsidR="00815983" w:rsidRPr="00057E7A">
        <w:rPr>
          <w:rFonts w:ascii="Garamond" w:hAnsi="Garamond" w:cs="Garamond"/>
          <w:color w:val="000000"/>
        </w:rPr>
        <w:t>S</w:t>
      </w:r>
      <w:r w:rsidR="00BE02FC" w:rsidRPr="00057E7A">
        <w:rPr>
          <w:rFonts w:ascii="Garamond" w:hAnsi="Garamond" w:cs="Garamond"/>
          <w:color w:val="000000"/>
        </w:rPr>
        <w:t xml:space="preserve">taff finds that the Applicant has sufficiently </w:t>
      </w:r>
      <w:r w:rsidR="0089530F">
        <w:rPr>
          <w:rFonts w:ascii="Garamond" w:hAnsi="Garamond" w:cs="Garamond"/>
          <w:color w:val="000000"/>
        </w:rPr>
        <w:t xml:space="preserve">generally </w:t>
      </w:r>
      <w:r w:rsidR="00BE02FC" w:rsidRPr="00057E7A">
        <w:rPr>
          <w:rFonts w:ascii="Garamond" w:hAnsi="Garamond" w:cs="Garamond"/>
          <w:color w:val="000000"/>
        </w:rPr>
        <w:t>outlined a</w:t>
      </w:r>
      <w:r w:rsidR="004220F5" w:rsidRPr="00057E7A">
        <w:rPr>
          <w:rFonts w:ascii="Garamond" w:hAnsi="Garamond" w:cs="Garamond"/>
          <w:color w:val="000000"/>
        </w:rPr>
        <w:t xml:space="preserve"> case for improved health outcomes and health equity</w:t>
      </w:r>
      <w:r w:rsidR="00BE02FC" w:rsidRPr="00057E7A">
        <w:rPr>
          <w:rFonts w:ascii="Garamond" w:hAnsi="Garamond" w:cs="Garamond"/>
          <w:color w:val="000000"/>
        </w:rPr>
        <w:t>.</w:t>
      </w:r>
    </w:p>
    <w:p w14:paraId="462CDF9A" w14:textId="77777777" w:rsidR="003E2749" w:rsidRDefault="003E2749" w:rsidP="003E2749">
      <w:pPr>
        <w:pStyle w:val="Heading1"/>
        <w:spacing w:before="0"/>
        <w:rPr>
          <w:rFonts w:ascii="Garamond" w:hAnsi="Garamond"/>
        </w:rPr>
      </w:pPr>
      <w:bookmarkStart w:id="38" w:name="_Toc18922409"/>
      <w:bookmarkStart w:id="39" w:name="_Toc17151150"/>
      <w:bookmarkStart w:id="40" w:name="_Toc17322394"/>
    </w:p>
    <w:p w14:paraId="4E8BED05" w14:textId="7E95716A" w:rsidR="00BB7B4F" w:rsidRPr="007D0223" w:rsidRDefault="00BB7B4F" w:rsidP="003E2749">
      <w:pPr>
        <w:pStyle w:val="Heading1"/>
        <w:spacing w:before="0"/>
        <w:rPr>
          <w:rFonts w:ascii="Garamond" w:hAnsi="Garamond"/>
        </w:rPr>
      </w:pPr>
      <w:bookmarkStart w:id="41" w:name="_Toc88515724"/>
      <w:r w:rsidRPr="007D0223">
        <w:rPr>
          <w:rFonts w:ascii="Garamond" w:hAnsi="Garamond"/>
        </w:rPr>
        <w:t>Factor 1: c) Efficiency, Continuity of Care, Coordination of Care</w:t>
      </w:r>
      <w:bookmarkStart w:id="42" w:name="_Toc17322393"/>
      <w:bookmarkStart w:id="43" w:name="_Toc17748465"/>
      <w:bookmarkEnd w:id="38"/>
      <w:bookmarkEnd w:id="41"/>
    </w:p>
    <w:bookmarkEnd w:id="42"/>
    <w:bookmarkEnd w:id="43"/>
    <w:p w14:paraId="6E9C7BAE" w14:textId="7C44C4F6" w:rsidR="00CE58AB" w:rsidRPr="00844F86" w:rsidRDefault="00C44070" w:rsidP="004E4E14">
      <w:pPr>
        <w:autoSpaceDE w:val="0"/>
        <w:autoSpaceDN w:val="0"/>
        <w:adjustRightInd w:val="0"/>
        <w:rPr>
          <w:rFonts w:ascii="Garamond" w:hAnsi="Garamond"/>
          <w:bCs/>
        </w:rPr>
      </w:pPr>
      <w:r w:rsidRPr="00844F86">
        <w:rPr>
          <w:rFonts w:ascii="Garamond" w:hAnsi="Garamond"/>
        </w:rPr>
        <w:t xml:space="preserve">The Applicant states </w:t>
      </w:r>
      <w:r w:rsidR="00727AF3" w:rsidRPr="00844F86">
        <w:rPr>
          <w:rFonts w:ascii="Garamond" w:hAnsi="Garamond"/>
        </w:rPr>
        <w:t>its</w:t>
      </w:r>
      <w:r w:rsidRPr="00844F86">
        <w:rPr>
          <w:rFonts w:ascii="Garamond" w:hAnsi="Garamond"/>
        </w:rPr>
        <w:t xml:space="preserve"> goal is to </w:t>
      </w:r>
      <w:r w:rsidRPr="00844F86">
        <w:rPr>
          <w:rFonts w:ascii="Garamond" w:hAnsi="Garamond" w:cstheme="minorBidi"/>
        </w:rPr>
        <w:t>ensure that patients are discharged to the most appropriate level of care</w:t>
      </w:r>
      <w:r w:rsidR="00101B15">
        <w:rPr>
          <w:rFonts w:ascii="Garamond" w:hAnsi="Garamond" w:cstheme="minorBidi"/>
        </w:rPr>
        <w:t xml:space="preserve"> with a particular eye toward reducing avoidable readmissions</w:t>
      </w:r>
      <w:r w:rsidR="00E851C5">
        <w:rPr>
          <w:rFonts w:ascii="Garamond" w:hAnsi="Garamond" w:cstheme="minorBidi"/>
        </w:rPr>
        <w:t>.</w:t>
      </w:r>
      <w:r w:rsidR="00727AF3" w:rsidRPr="00844F86">
        <w:rPr>
          <w:rFonts w:ascii="Garamond" w:hAnsi="Garamond"/>
        </w:rPr>
        <w:t xml:space="preserve"> </w:t>
      </w:r>
      <w:r w:rsidR="004C7023">
        <w:rPr>
          <w:rFonts w:ascii="Garamond" w:hAnsi="Garamond"/>
        </w:rPr>
        <w:t xml:space="preserve">Discharge planning begins immediately upon admission, and patients are assigned a case manager and PAM Health clinical professionals along with the patient’s treating and consulting physician. </w:t>
      </w:r>
      <w:r w:rsidR="00727AF3" w:rsidRPr="00844F86">
        <w:rPr>
          <w:rFonts w:ascii="Garamond" w:hAnsi="Garamond"/>
          <w:bCs/>
        </w:rPr>
        <w:t xml:space="preserve">The Applicant asserts </w:t>
      </w:r>
      <w:r w:rsidR="0053158D">
        <w:rPr>
          <w:rFonts w:ascii="Garamond" w:hAnsi="Garamond"/>
          <w:bCs/>
        </w:rPr>
        <w:t>it</w:t>
      </w:r>
      <w:r w:rsidR="00727AF3" w:rsidRPr="00844F86">
        <w:rPr>
          <w:rFonts w:ascii="Garamond" w:hAnsi="Garamond"/>
          <w:bCs/>
        </w:rPr>
        <w:t xml:space="preserve"> will </w:t>
      </w:r>
      <w:r w:rsidR="0053158D">
        <w:rPr>
          <w:rFonts w:ascii="Garamond" w:hAnsi="Garamond"/>
          <w:bCs/>
        </w:rPr>
        <w:t>implement</w:t>
      </w:r>
      <w:r w:rsidR="0053158D" w:rsidRPr="00844F86">
        <w:rPr>
          <w:rFonts w:ascii="Garamond" w:hAnsi="Garamond"/>
          <w:bCs/>
        </w:rPr>
        <w:t xml:space="preserve"> </w:t>
      </w:r>
      <w:r w:rsidR="00727AF3" w:rsidRPr="00844F86">
        <w:rPr>
          <w:rFonts w:ascii="Garamond" w:hAnsi="Garamond"/>
          <w:bCs/>
        </w:rPr>
        <w:t>an interdisciplinary collaborative discharge planning process while focusing on the patient</w:t>
      </w:r>
      <w:r w:rsidR="00844F86">
        <w:rPr>
          <w:rFonts w:ascii="Garamond" w:hAnsi="Garamond"/>
          <w:bCs/>
        </w:rPr>
        <w:t>’</w:t>
      </w:r>
      <w:r w:rsidR="00727AF3" w:rsidRPr="00844F86">
        <w:rPr>
          <w:rFonts w:ascii="Garamond" w:hAnsi="Garamond"/>
          <w:bCs/>
        </w:rPr>
        <w:t>s goals and treatment preferences</w:t>
      </w:r>
      <w:r w:rsidR="0053158D">
        <w:rPr>
          <w:rFonts w:ascii="Garamond" w:hAnsi="Garamond"/>
          <w:bCs/>
        </w:rPr>
        <w:t>,</w:t>
      </w:r>
      <w:r w:rsidR="00727AF3" w:rsidRPr="00844F86">
        <w:rPr>
          <w:rFonts w:ascii="Garamond" w:hAnsi="Garamond"/>
          <w:bCs/>
        </w:rPr>
        <w:t xml:space="preserve"> </w:t>
      </w:r>
      <w:r w:rsidR="00727AF3" w:rsidRPr="00844F86">
        <w:rPr>
          <w:rFonts w:ascii="Garamond" w:hAnsi="Garamond"/>
        </w:rPr>
        <w:t>a</w:t>
      </w:r>
      <w:r w:rsidR="00844F86">
        <w:rPr>
          <w:rFonts w:ascii="Garamond" w:hAnsi="Garamond"/>
        </w:rPr>
        <w:t>s well as</w:t>
      </w:r>
      <w:r w:rsidR="00727AF3" w:rsidRPr="00844F86">
        <w:rPr>
          <w:rFonts w:ascii="Garamond" w:hAnsi="Garamond" w:cstheme="minorBidi"/>
        </w:rPr>
        <w:t xml:space="preserve"> ensure proper durable medical</w:t>
      </w:r>
      <w:r w:rsidR="004E4E14">
        <w:rPr>
          <w:rFonts w:ascii="Garamond" w:hAnsi="Garamond" w:cstheme="minorBidi"/>
        </w:rPr>
        <w:t xml:space="preserve"> </w:t>
      </w:r>
      <w:r w:rsidR="00727AF3" w:rsidRPr="00844F86">
        <w:rPr>
          <w:rFonts w:ascii="Garamond" w:hAnsi="Garamond" w:cstheme="minorBidi"/>
        </w:rPr>
        <w:t xml:space="preserve">equipment and community support </w:t>
      </w:r>
      <w:r w:rsidR="00727AF3" w:rsidRPr="00844F86">
        <w:rPr>
          <w:rFonts w:ascii="Garamond" w:hAnsi="Garamond"/>
        </w:rPr>
        <w:t>are</w:t>
      </w:r>
      <w:r w:rsidR="00727AF3" w:rsidRPr="00844F86">
        <w:rPr>
          <w:rFonts w:ascii="Garamond" w:hAnsi="Garamond" w:cstheme="minorBidi"/>
        </w:rPr>
        <w:t xml:space="preserve"> provided as needed</w:t>
      </w:r>
      <w:r w:rsidR="00727AF3" w:rsidRPr="00844F86">
        <w:rPr>
          <w:rFonts w:ascii="Garamond" w:hAnsi="Garamond"/>
          <w:bCs/>
        </w:rPr>
        <w:t xml:space="preserve">. This process is a shared responsibility of the interdisciplinary healthcare team, patient, and designated patient support caregiver. Additionally, </w:t>
      </w:r>
      <w:r w:rsidR="0053158D">
        <w:rPr>
          <w:rFonts w:ascii="Garamond" w:hAnsi="Garamond"/>
          <w:bCs/>
        </w:rPr>
        <w:t>a</w:t>
      </w:r>
      <w:r w:rsidR="00806AF3">
        <w:rPr>
          <w:rFonts w:ascii="Garamond" w:hAnsi="Garamond"/>
          <w:bCs/>
        </w:rPr>
        <w:t xml:space="preserve"> </w:t>
      </w:r>
      <w:r w:rsidR="00727AF3" w:rsidRPr="00844F86">
        <w:rPr>
          <w:rFonts w:ascii="Garamond" w:hAnsi="Garamond"/>
          <w:bCs/>
        </w:rPr>
        <w:t>collaborative</w:t>
      </w:r>
      <w:r w:rsidR="0053158D">
        <w:rPr>
          <w:rFonts w:ascii="Garamond" w:hAnsi="Garamond"/>
          <w:bCs/>
        </w:rPr>
        <w:t xml:space="preserve"> process is used </w:t>
      </w:r>
      <w:r w:rsidR="00727AF3" w:rsidRPr="00844F86">
        <w:rPr>
          <w:rFonts w:ascii="Garamond" w:hAnsi="Garamond"/>
          <w:bCs/>
        </w:rPr>
        <w:t xml:space="preserve">with </w:t>
      </w:r>
      <w:r w:rsidR="00727AF3" w:rsidRPr="00844F86">
        <w:rPr>
          <w:rFonts w:ascii="Garamond" w:hAnsi="Garamond" w:cstheme="minorBidi"/>
        </w:rPr>
        <w:t xml:space="preserve">the patient, patient’s physician, and family </w:t>
      </w:r>
      <w:r w:rsidR="00844F86">
        <w:rPr>
          <w:rFonts w:ascii="Garamond" w:hAnsi="Garamond" w:cstheme="minorBidi"/>
        </w:rPr>
        <w:t xml:space="preserve">to </w:t>
      </w:r>
      <w:r w:rsidR="00727AF3" w:rsidRPr="00844F86">
        <w:rPr>
          <w:rFonts w:ascii="Garamond" w:hAnsi="Garamond" w:cstheme="minorBidi"/>
        </w:rPr>
        <w:t>review discharge goals</w:t>
      </w:r>
      <w:r w:rsidR="00727AF3" w:rsidRPr="00844F86">
        <w:rPr>
          <w:rFonts w:ascii="Garamond" w:hAnsi="Garamond"/>
          <w:bCs/>
        </w:rPr>
        <w:t xml:space="preserve"> and conduct daily evaluations of patients</w:t>
      </w:r>
      <w:r w:rsidR="00844F86">
        <w:rPr>
          <w:rFonts w:ascii="Garamond" w:hAnsi="Garamond"/>
          <w:bCs/>
        </w:rPr>
        <w:t>’</w:t>
      </w:r>
      <w:r w:rsidR="00727AF3" w:rsidRPr="00844F86">
        <w:rPr>
          <w:rFonts w:ascii="Garamond" w:hAnsi="Garamond"/>
          <w:bCs/>
        </w:rPr>
        <w:t xml:space="preserve"> clinical </w:t>
      </w:r>
      <w:r w:rsidR="00727AF3" w:rsidRPr="00844F86">
        <w:rPr>
          <w:rFonts w:ascii="Garamond" w:hAnsi="Garamond" w:cstheme="minorBidi"/>
        </w:rPr>
        <w:t>and physical capabilities</w:t>
      </w:r>
      <w:r w:rsidR="00727AF3" w:rsidRPr="00844F86">
        <w:rPr>
          <w:rFonts w:ascii="Garamond" w:hAnsi="Garamond"/>
        </w:rPr>
        <w:t>.</w:t>
      </w:r>
      <w:r w:rsidR="00CE58AB" w:rsidRPr="00844F86">
        <w:rPr>
          <w:rFonts w:ascii="Garamond" w:hAnsi="Garamond"/>
        </w:rPr>
        <w:t xml:space="preserve"> </w:t>
      </w:r>
      <w:r w:rsidR="00896FEF">
        <w:rPr>
          <w:rFonts w:ascii="Garamond" w:hAnsi="Garamond"/>
          <w:bCs/>
        </w:rPr>
        <w:t xml:space="preserve">The Applicant </w:t>
      </w:r>
      <w:r w:rsidR="00191DC1">
        <w:rPr>
          <w:rFonts w:ascii="Garamond" w:hAnsi="Garamond"/>
          <w:bCs/>
        </w:rPr>
        <w:t xml:space="preserve">will </w:t>
      </w:r>
      <w:r w:rsidR="00896FEF">
        <w:rPr>
          <w:rFonts w:ascii="Garamond" w:hAnsi="Garamond"/>
          <w:bCs/>
        </w:rPr>
        <w:t xml:space="preserve">also provide relevant training to the patient and caregiver. </w:t>
      </w:r>
      <w:r w:rsidR="00CE58AB" w:rsidRPr="00844F86">
        <w:rPr>
          <w:rFonts w:ascii="Garamond" w:hAnsi="Garamond"/>
          <w:bCs/>
        </w:rPr>
        <w:t xml:space="preserve">This will help to ensure that patients have a smooth transition from hospital to post-discharge care and can reduce potential factors that lead to preventable hospital readmission. </w:t>
      </w:r>
    </w:p>
    <w:p w14:paraId="13268910" w14:textId="7158516B" w:rsidR="00C44070" w:rsidRPr="00844F86" w:rsidRDefault="00C44070" w:rsidP="00C44070">
      <w:pPr>
        <w:autoSpaceDE w:val="0"/>
        <w:autoSpaceDN w:val="0"/>
        <w:adjustRightInd w:val="0"/>
        <w:rPr>
          <w:rFonts w:ascii="Garamond" w:hAnsi="Garamond" w:cstheme="minorBidi"/>
        </w:rPr>
      </w:pPr>
    </w:p>
    <w:p w14:paraId="1461EB23" w14:textId="0D866A68" w:rsidR="00896FEF" w:rsidRDefault="00C44070" w:rsidP="002C3360">
      <w:pPr>
        <w:autoSpaceDE w:val="0"/>
        <w:autoSpaceDN w:val="0"/>
        <w:adjustRightInd w:val="0"/>
        <w:rPr>
          <w:rFonts w:ascii="Garamond" w:hAnsi="Garamond" w:cs="Garamond"/>
          <w:color w:val="000000"/>
          <w:sz w:val="23"/>
          <w:szCs w:val="23"/>
        </w:rPr>
      </w:pPr>
      <w:r w:rsidRPr="00844F86">
        <w:rPr>
          <w:rFonts w:ascii="Garamond" w:hAnsi="Garamond" w:cstheme="minorBidi"/>
        </w:rPr>
        <w:t xml:space="preserve">At admission and upon patient request, the Applicant </w:t>
      </w:r>
      <w:r w:rsidR="001E0D4E">
        <w:rPr>
          <w:rFonts w:ascii="Garamond" w:hAnsi="Garamond" w:cstheme="minorBidi"/>
        </w:rPr>
        <w:t xml:space="preserve">establishes contacts </w:t>
      </w:r>
      <w:r w:rsidR="00726BF3">
        <w:rPr>
          <w:rFonts w:ascii="Garamond" w:hAnsi="Garamond" w:cstheme="minorBidi"/>
        </w:rPr>
        <w:t xml:space="preserve">with </w:t>
      </w:r>
      <w:r w:rsidRPr="00844F86">
        <w:rPr>
          <w:rFonts w:ascii="Garamond" w:hAnsi="Garamond" w:cstheme="minorBidi"/>
        </w:rPr>
        <w:t>the patient’s primary care provider</w:t>
      </w:r>
      <w:r w:rsidR="00373605">
        <w:rPr>
          <w:rFonts w:ascii="Garamond" w:hAnsi="Garamond" w:cstheme="minorBidi"/>
        </w:rPr>
        <w:t>,</w:t>
      </w:r>
      <w:r w:rsidR="001E0D4E">
        <w:rPr>
          <w:rFonts w:ascii="Garamond" w:hAnsi="Garamond" w:cstheme="minorBidi"/>
        </w:rPr>
        <w:t xml:space="preserve"> </w:t>
      </w:r>
      <w:r w:rsidR="007665B1">
        <w:rPr>
          <w:rFonts w:ascii="Garamond" w:hAnsi="Garamond" w:cstheme="minorBidi"/>
        </w:rPr>
        <w:t>a</w:t>
      </w:r>
      <w:r w:rsidR="001E0D4E">
        <w:rPr>
          <w:rFonts w:ascii="Garamond" w:hAnsi="Garamond" w:cstheme="minorBidi"/>
        </w:rPr>
        <w:t>nd t</w:t>
      </w:r>
      <w:r w:rsidRPr="00844F86">
        <w:rPr>
          <w:rFonts w:ascii="Garamond" w:hAnsi="Garamond" w:cstheme="minorBidi"/>
        </w:rPr>
        <w:t>he patient’s attending physician at the Hospital will communicate with the patient’s primary care</w:t>
      </w:r>
      <w:r w:rsidR="00726BF3">
        <w:rPr>
          <w:rFonts w:ascii="Garamond" w:hAnsi="Garamond" w:cstheme="minorBidi"/>
        </w:rPr>
        <w:t xml:space="preserve"> </w:t>
      </w:r>
      <w:r w:rsidRPr="00844F86">
        <w:rPr>
          <w:rFonts w:ascii="Garamond" w:hAnsi="Garamond" w:cstheme="minorBidi"/>
        </w:rPr>
        <w:t>provider throughout the patient</w:t>
      </w:r>
      <w:r w:rsidR="00844F86">
        <w:rPr>
          <w:rFonts w:ascii="Garamond" w:hAnsi="Garamond" w:cstheme="minorBidi"/>
        </w:rPr>
        <w:t>’</w:t>
      </w:r>
      <w:r w:rsidRPr="00844F86">
        <w:rPr>
          <w:rFonts w:ascii="Garamond" w:hAnsi="Garamond" w:cstheme="minorBidi"/>
        </w:rPr>
        <w:t xml:space="preserve">s stay as needed. </w:t>
      </w:r>
      <w:r w:rsidR="002C3360">
        <w:rPr>
          <w:rFonts w:ascii="Garamond" w:hAnsi="Garamond"/>
          <w:bCs/>
        </w:rPr>
        <w:t xml:space="preserve">The Applicant will also support patients in scheduling post-discharge appointments with primary care providers and, if needed, with specialists. </w:t>
      </w:r>
      <w:r w:rsidR="00896FEF">
        <w:rPr>
          <w:rFonts w:ascii="Garamond" w:hAnsi="Garamond"/>
          <w:bCs/>
        </w:rPr>
        <w:t xml:space="preserve">As a part of continuity of care, </w:t>
      </w:r>
      <w:r w:rsidR="007665B1">
        <w:rPr>
          <w:rFonts w:ascii="Garamond" w:hAnsi="Garamond"/>
          <w:bCs/>
        </w:rPr>
        <w:t xml:space="preserve">it </w:t>
      </w:r>
      <w:r w:rsidR="00896FEF">
        <w:rPr>
          <w:rFonts w:ascii="Garamond" w:hAnsi="Garamond"/>
          <w:bCs/>
        </w:rPr>
        <w:t>also ensure</w:t>
      </w:r>
      <w:r w:rsidR="007665B1">
        <w:rPr>
          <w:rFonts w:ascii="Garamond" w:hAnsi="Garamond"/>
          <w:bCs/>
        </w:rPr>
        <w:t>s</w:t>
      </w:r>
      <w:r w:rsidR="00896FEF">
        <w:rPr>
          <w:rFonts w:ascii="Garamond" w:hAnsi="Garamond"/>
          <w:bCs/>
        </w:rPr>
        <w:t xml:space="preserve"> the transfer of patients’ medical information for post-discharge services and/or follow-up needs. </w:t>
      </w:r>
    </w:p>
    <w:p w14:paraId="218EA8BD" w14:textId="5A16E8DB" w:rsidR="00B84304" w:rsidRDefault="00B84304" w:rsidP="007A57C4">
      <w:pPr>
        <w:contextualSpacing/>
      </w:pPr>
    </w:p>
    <w:bookmarkEnd w:id="39"/>
    <w:bookmarkEnd w:id="40"/>
    <w:p w14:paraId="015DF065" w14:textId="77777777" w:rsidR="001E6E05" w:rsidRPr="009D31AA" w:rsidRDefault="001E6E05" w:rsidP="001E6E05">
      <w:pPr>
        <w:ind w:right="540"/>
        <w:contextualSpacing/>
        <w:rPr>
          <w:rFonts w:ascii="Garamond" w:eastAsia="Calibri" w:hAnsi="Garamond" w:cs="Calibri"/>
          <w:b/>
          <w:i/>
        </w:rPr>
      </w:pPr>
      <w:r w:rsidRPr="009D31AA">
        <w:rPr>
          <w:rFonts w:ascii="Garamond" w:eastAsia="Calibri" w:hAnsi="Garamond" w:cs="Calibri"/>
          <w:b/>
          <w:i/>
        </w:rPr>
        <w:t xml:space="preserve">Analysis </w:t>
      </w:r>
    </w:p>
    <w:p w14:paraId="0BDC165B" w14:textId="6B013F43" w:rsidR="001E6E05" w:rsidRPr="0068015A" w:rsidRDefault="001E6E05" w:rsidP="001E6E05">
      <w:pPr>
        <w:autoSpaceDE w:val="0"/>
        <w:autoSpaceDN w:val="0"/>
        <w:adjustRightInd w:val="0"/>
        <w:rPr>
          <w:rFonts w:ascii="Garamond" w:hAnsi="Garamond" w:cs="Garamond"/>
          <w:color w:val="000000"/>
        </w:rPr>
      </w:pPr>
      <w:r w:rsidRPr="0068015A">
        <w:rPr>
          <w:rFonts w:ascii="Garamond" w:hAnsi="Garamond" w:cs="Garamond"/>
          <w:color w:val="000000"/>
        </w:rPr>
        <w:t>Staff finds that the Applicant’s care coordination and discharge processes will contribute positively to efficiency, continuity, and coordination of care. Care coordination needs for residents in long-term care facilities are particularly important.</w:t>
      </w:r>
    </w:p>
    <w:p w14:paraId="12A18786" w14:textId="77777777" w:rsidR="001E6E05" w:rsidRPr="0068015A" w:rsidRDefault="001E6E05" w:rsidP="001E6E05">
      <w:pPr>
        <w:autoSpaceDE w:val="0"/>
        <w:autoSpaceDN w:val="0"/>
        <w:adjustRightInd w:val="0"/>
        <w:rPr>
          <w:rFonts w:ascii="Garamond" w:hAnsi="Garamond" w:cs="Garamond"/>
          <w:color w:val="000000"/>
        </w:rPr>
      </w:pPr>
    </w:p>
    <w:p w14:paraId="59D8DA62" w14:textId="69C9D21F" w:rsidR="001E6E05" w:rsidRPr="0068015A" w:rsidRDefault="001E6E05" w:rsidP="001E6E05">
      <w:pPr>
        <w:ind w:right="540"/>
        <w:contextualSpacing/>
        <w:rPr>
          <w:rFonts w:ascii="Garamond" w:hAnsi="Garamond" w:cs="Garamond"/>
          <w:color w:val="000000"/>
        </w:rPr>
      </w:pPr>
      <w:r w:rsidRPr="0068015A">
        <w:rPr>
          <w:rFonts w:ascii="Garamond" w:hAnsi="Garamond" w:cs="Garamond"/>
          <w:color w:val="000000"/>
        </w:rPr>
        <w:t xml:space="preserve">Staff concurs that the </w:t>
      </w:r>
      <w:r w:rsidR="003929D8" w:rsidRPr="0068015A">
        <w:rPr>
          <w:rFonts w:ascii="Garamond" w:hAnsi="Garamond" w:cs="Garamond"/>
          <w:color w:val="000000"/>
        </w:rPr>
        <w:t>Applicant</w:t>
      </w:r>
      <w:r w:rsidRPr="0068015A">
        <w:rPr>
          <w:rFonts w:ascii="Garamond" w:hAnsi="Garamond" w:cs="Garamond"/>
          <w:color w:val="000000"/>
        </w:rPr>
        <w:t xml:space="preserve">’s </w:t>
      </w:r>
      <w:r w:rsidR="003929D8" w:rsidRPr="0068015A">
        <w:rPr>
          <w:rFonts w:ascii="Garamond" w:hAnsi="Garamond" w:cs="Garamond"/>
          <w:color w:val="000000"/>
        </w:rPr>
        <w:t xml:space="preserve">interdisciplinary collaborative approach </w:t>
      </w:r>
      <w:r w:rsidRPr="0068015A">
        <w:rPr>
          <w:rFonts w:ascii="Garamond" w:hAnsi="Garamond" w:cs="Garamond"/>
          <w:color w:val="000000"/>
        </w:rPr>
        <w:t xml:space="preserve">on care transitions and other supports for </w:t>
      </w:r>
      <w:r w:rsidR="003929D8" w:rsidRPr="0068015A">
        <w:rPr>
          <w:rFonts w:ascii="Garamond" w:hAnsi="Garamond" w:cs="Garamond"/>
          <w:color w:val="000000"/>
        </w:rPr>
        <w:t>patients</w:t>
      </w:r>
      <w:r w:rsidRPr="0068015A">
        <w:rPr>
          <w:rFonts w:ascii="Garamond" w:hAnsi="Garamond" w:cs="Garamond"/>
          <w:color w:val="000000"/>
        </w:rPr>
        <w:t xml:space="preserve"> discharged is appropriate. </w:t>
      </w:r>
    </w:p>
    <w:p w14:paraId="4376FEDB" w14:textId="5DD5E89D" w:rsidR="004F051B" w:rsidRPr="007A57C4" w:rsidRDefault="004F051B" w:rsidP="007A57C4">
      <w:pPr>
        <w:autoSpaceDE w:val="0"/>
        <w:autoSpaceDN w:val="0"/>
        <w:adjustRightInd w:val="0"/>
        <w:contextualSpacing/>
        <w:rPr>
          <w:rFonts w:ascii="Garamond" w:hAnsi="Garamond" w:cs="Arial"/>
          <w:bCs/>
        </w:rPr>
      </w:pPr>
    </w:p>
    <w:p w14:paraId="0521E143" w14:textId="613C6119" w:rsidR="00E40FAA" w:rsidRPr="007D0223" w:rsidRDefault="00371842" w:rsidP="007A57C4">
      <w:pPr>
        <w:pStyle w:val="Heading1"/>
        <w:spacing w:before="0" w:line="240" w:lineRule="auto"/>
        <w:rPr>
          <w:rFonts w:ascii="Garamond" w:hAnsi="Garamond"/>
        </w:rPr>
      </w:pPr>
      <w:bookmarkStart w:id="44" w:name="_Toc18922415"/>
      <w:bookmarkStart w:id="45" w:name="_Toc88515725"/>
      <w:r w:rsidRPr="007D0223">
        <w:rPr>
          <w:rFonts w:ascii="Garamond" w:hAnsi="Garamond"/>
        </w:rPr>
        <w:t>Factor 1: d) Consultatio</w:t>
      </w:r>
      <w:bookmarkEnd w:id="44"/>
      <w:r w:rsidR="00114B38" w:rsidRPr="007D0223">
        <w:rPr>
          <w:rFonts w:ascii="Garamond" w:hAnsi="Garamond"/>
        </w:rPr>
        <w:t>n</w:t>
      </w:r>
      <w:bookmarkEnd w:id="45"/>
    </w:p>
    <w:p w14:paraId="7FCB6C6D" w14:textId="77777777" w:rsidR="00D346E3" w:rsidRPr="007A57C4" w:rsidRDefault="00C12BBA" w:rsidP="003964D0">
      <w:pPr>
        <w:rPr>
          <w:rStyle w:val="Heading1Char"/>
          <w:rFonts w:ascii="Garamond" w:hAnsi="Garamond"/>
          <w:b w:val="0"/>
          <w:bCs w:val="0"/>
          <w:sz w:val="24"/>
          <w:szCs w:val="24"/>
        </w:rPr>
      </w:pPr>
      <w:r w:rsidRPr="007A57C4">
        <w:rPr>
          <w:rFonts w:ascii="Garamond" w:hAnsi="Garamond"/>
        </w:rPr>
        <w:t xml:space="preserve">The Applicant has provided evidence of consultation, both prior to and after the Filing Date, with all </w:t>
      </w:r>
      <w:r w:rsidR="00C06F05" w:rsidRPr="007A57C4">
        <w:rPr>
          <w:rFonts w:ascii="Garamond" w:hAnsi="Garamond"/>
        </w:rPr>
        <w:t>government agencies that have</w:t>
      </w:r>
      <w:r w:rsidRPr="007A57C4">
        <w:rPr>
          <w:rFonts w:ascii="Garamond" w:hAnsi="Garamond"/>
        </w:rPr>
        <w:t xml:space="preserve"> licensure, certification, or ot</w:t>
      </w:r>
      <w:r w:rsidR="00C06F05" w:rsidRPr="007A57C4">
        <w:rPr>
          <w:rFonts w:ascii="Garamond" w:hAnsi="Garamond"/>
        </w:rPr>
        <w:t>her regulatory oversight, which has been done and will not be addressed further in this report.</w:t>
      </w:r>
      <w:bookmarkStart w:id="46" w:name="_Toc18922416"/>
    </w:p>
    <w:p w14:paraId="160F177F" w14:textId="77777777" w:rsidR="003964D0" w:rsidRDefault="003964D0" w:rsidP="003964D0">
      <w:pPr>
        <w:pStyle w:val="Heading1"/>
        <w:spacing w:before="0" w:line="240" w:lineRule="auto"/>
        <w:rPr>
          <w:rStyle w:val="Heading1Char"/>
          <w:rFonts w:ascii="Garamond" w:hAnsi="Garamond"/>
          <w:b/>
          <w:bCs/>
        </w:rPr>
      </w:pPr>
    </w:p>
    <w:p w14:paraId="3A0B8E6E" w14:textId="460056CF" w:rsidR="00076B1A" w:rsidRPr="007D0223" w:rsidRDefault="00076B1A" w:rsidP="003964D0">
      <w:pPr>
        <w:pStyle w:val="Heading1"/>
        <w:spacing w:before="0" w:line="240" w:lineRule="auto"/>
        <w:rPr>
          <w:rFonts w:ascii="Garamond" w:hAnsi="Garamond"/>
        </w:rPr>
      </w:pPr>
      <w:bookmarkStart w:id="47" w:name="_Toc88515726"/>
      <w:r w:rsidRPr="007D0223">
        <w:rPr>
          <w:rStyle w:val="Heading1Char"/>
          <w:rFonts w:ascii="Garamond" w:hAnsi="Garamond"/>
          <w:b/>
          <w:bCs/>
        </w:rPr>
        <w:t>Factor 1: e) Evidence of Sound Community Engagement through the Patient Panel</w:t>
      </w:r>
      <w:bookmarkEnd w:id="47"/>
      <w:r w:rsidRPr="007D0223">
        <w:rPr>
          <w:rFonts w:ascii="Garamond" w:hAnsi="Garamond"/>
        </w:rPr>
        <w:t xml:space="preserve"> </w:t>
      </w:r>
    </w:p>
    <w:p w14:paraId="705387AA" w14:textId="5CA80EF8" w:rsidR="00811286" w:rsidRDefault="00076B1A" w:rsidP="00963E82">
      <w:pPr>
        <w:contextualSpacing/>
        <w:rPr>
          <w:rFonts w:ascii="Garamond" w:hAnsi="Garamond"/>
        </w:rPr>
      </w:pPr>
      <w:r w:rsidRPr="007A57C4">
        <w:rPr>
          <w:rFonts w:ascii="Garamond" w:eastAsia="Calibri" w:hAnsi="Garamond"/>
        </w:rPr>
        <w:t>The Department’s Guideline</w:t>
      </w:r>
      <w:r w:rsidRPr="007A57C4">
        <w:rPr>
          <w:rFonts w:ascii="Garamond" w:eastAsia="Calibri" w:hAnsi="Garamond"/>
          <w:vertAlign w:val="superscript"/>
        </w:rPr>
        <w:footnoteReference w:id="11"/>
      </w:r>
      <w:r w:rsidRPr="007A57C4">
        <w:rPr>
          <w:rFonts w:ascii="Garamond" w:eastAsia="Calibri" w:hAnsi="Garamond"/>
        </w:rPr>
        <w:t xml:space="preserve"> for community engagement defines “community” as the Patient Panel and requires that</w:t>
      </w:r>
      <w:r w:rsidR="00BA5773">
        <w:rPr>
          <w:rFonts w:ascii="Garamond" w:eastAsia="Calibri" w:hAnsi="Garamond"/>
        </w:rPr>
        <w:t>,</w:t>
      </w:r>
      <w:r w:rsidRPr="007A57C4">
        <w:rPr>
          <w:rFonts w:ascii="Garamond" w:eastAsia="Calibri" w:hAnsi="Garamond"/>
        </w:rPr>
        <w:t xml:space="preserve"> at minimum, the Applicant must “consult” with groups representative of the Applicant</w:t>
      </w:r>
      <w:r w:rsidR="004220F5">
        <w:rPr>
          <w:rFonts w:ascii="Garamond" w:eastAsia="Calibri" w:hAnsi="Garamond"/>
        </w:rPr>
        <w:t>’</w:t>
      </w:r>
      <w:r w:rsidRPr="007A57C4">
        <w:rPr>
          <w:rFonts w:ascii="Garamond" w:eastAsia="Calibri" w:hAnsi="Garamond"/>
        </w:rPr>
        <w:t xml:space="preserve">s Patient Panel. </w:t>
      </w:r>
      <w:r w:rsidRPr="007A57C4">
        <w:rPr>
          <w:rFonts w:ascii="Garamond" w:eastAsia="Calibri" w:hAnsi="Garamond" w:cs="Calibri"/>
        </w:rPr>
        <w:t xml:space="preserve">Regulations state that </w:t>
      </w:r>
      <w:r w:rsidR="00976959" w:rsidRPr="007A57C4">
        <w:rPr>
          <w:rFonts w:ascii="Garamond" w:eastAsia="Calibri" w:hAnsi="Garamond" w:cs="Calibri"/>
        </w:rPr>
        <w:t xml:space="preserve">efforts in </w:t>
      </w:r>
      <w:r w:rsidRPr="007A57C4">
        <w:rPr>
          <w:rFonts w:ascii="Garamond" w:eastAsia="Calibri" w:hAnsi="Garamond" w:cs="Calibri"/>
        </w:rPr>
        <w:t xml:space="preserve">such </w:t>
      </w:r>
      <w:r w:rsidRPr="00967A82">
        <w:rPr>
          <w:rFonts w:ascii="Garamond" w:eastAsia="Calibri" w:hAnsi="Garamond" w:cs="Calibri"/>
        </w:rPr>
        <w:t>consultation</w:t>
      </w:r>
      <w:r w:rsidR="00976959" w:rsidRPr="00967A82">
        <w:rPr>
          <w:rFonts w:ascii="Garamond" w:eastAsia="Calibri" w:hAnsi="Garamond" w:cs="Calibri"/>
        </w:rPr>
        <w:t xml:space="preserve"> should </w:t>
      </w:r>
      <w:r w:rsidRPr="00967A82">
        <w:rPr>
          <w:rFonts w:ascii="Garamond" w:eastAsia="Calibri" w:hAnsi="Garamond" w:cs="Calibri"/>
        </w:rPr>
        <w:t xml:space="preserve">consist of </w:t>
      </w:r>
      <w:r w:rsidR="00976959" w:rsidRPr="00967A82">
        <w:rPr>
          <w:rFonts w:ascii="Garamond" w:eastAsia="Calibri" w:hAnsi="Garamond" w:cs="Calibri"/>
        </w:rPr>
        <w:t>engaging</w:t>
      </w:r>
      <w:r w:rsidRPr="00967A82">
        <w:rPr>
          <w:rFonts w:ascii="Garamond" w:eastAsia="Calibri" w:hAnsi="Garamond" w:cs="Calibri"/>
        </w:rPr>
        <w:t xml:space="preserve"> </w:t>
      </w:r>
      <w:r w:rsidRPr="00967A82">
        <w:rPr>
          <w:rFonts w:ascii="Garamond" w:hAnsi="Garamond"/>
        </w:rPr>
        <w:t>“community coalition</w:t>
      </w:r>
      <w:r w:rsidR="00976959" w:rsidRPr="00967A82">
        <w:rPr>
          <w:rFonts w:ascii="Garamond" w:hAnsi="Garamond"/>
        </w:rPr>
        <w:t>s</w:t>
      </w:r>
      <w:r w:rsidRPr="00967A82">
        <w:rPr>
          <w:rFonts w:ascii="Garamond" w:hAnsi="Garamond"/>
        </w:rPr>
        <w:t xml:space="preserve"> statistically representative of the </w:t>
      </w:r>
      <w:r w:rsidR="00976959" w:rsidRPr="00967A82">
        <w:rPr>
          <w:rFonts w:ascii="Garamond" w:hAnsi="Garamond"/>
        </w:rPr>
        <w:t>P</w:t>
      </w:r>
      <w:r w:rsidRPr="00967A82">
        <w:rPr>
          <w:rFonts w:ascii="Garamond" w:hAnsi="Garamond"/>
        </w:rPr>
        <w:t xml:space="preserve">atient </w:t>
      </w:r>
      <w:r w:rsidR="00976959" w:rsidRPr="00967A82">
        <w:rPr>
          <w:rFonts w:ascii="Garamond" w:hAnsi="Garamond"/>
        </w:rPr>
        <w:t>P</w:t>
      </w:r>
      <w:r w:rsidRPr="00967A82">
        <w:rPr>
          <w:rFonts w:ascii="Garamond" w:hAnsi="Garamond"/>
        </w:rPr>
        <w:t>anel.”</w:t>
      </w:r>
      <w:r w:rsidRPr="00967A82">
        <w:rPr>
          <w:rFonts w:ascii="Garamond" w:hAnsi="Garamond"/>
          <w:vertAlign w:val="superscript"/>
        </w:rPr>
        <w:footnoteReference w:id="12"/>
      </w:r>
      <w:r w:rsidR="00AE13B0" w:rsidRPr="00967A82">
        <w:rPr>
          <w:rFonts w:ascii="Garamond" w:hAnsi="Garamond"/>
        </w:rPr>
        <w:t xml:space="preserve"> </w:t>
      </w:r>
    </w:p>
    <w:p w14:paraId="36532BC4" w14:textId="5E36902C" w:rsidR="00963E82" w:rsidRDefault="00963E82" w:rsidP="00963E82">
      <w:pPr>
        <w:contextualSpacing/>
        <w:rPr>
          <w:rFonts w:ascii="Garamond" w:hAnsi="Garamond"/>
        </w:rPr>
      </w:pPr>
    </w:p>
    <w:p w14:paraId="60915530" w14:textId="1B298100" w:rsidR="00D63F79" w:rsidRDefault="00963E82" w:rsidP="00D63F79">
      <w:pPr>
        <w:contextualSpacing/>
        <w:rPr>
          <w:rFonts w:ascii="Garamond" w:eastAsia="Calibri" w:hAnsi="Garamond"/>
        </w:rPr>
      </w:pPr>
      <w:r w:rsidRPr="00D63F79">
        <w:rPr>
          <w:rFonts w:ascii="Garamond" w:eastAsia="Calibri" w:hAnsi="Garamond"/>
        </w:rPr>
        <w:t xml:space="preserve">The Applicant has </w:t>
      </w:r>
      <w:r w:rsidR="00D63F79">
        <w:rPr>
          <w:rFonts w:ascii="Garamond" w:eastAsia="Calibri" w:hAnsi="Garamond"/>
        </w:rPr>
        <w:t xml:space="preserve">contacted key governmental and regulatory stakeholders. There were town halls held with Hospital employees and Applicant’s leadership as well as individual meetings with employees. Once the </w:t>
      </w:r>
      <w:r w:rsidR="00D63F79">
        <w:rPr>
          <w:rFonts w:ascii="Garamond" w:eastAsia="Calibri" w:hAnsi="Garamond"/>
        </w:rPr>
        <w:lastRenderedPageBreak/>
        <w:t>Proposed Project has been approved, the Applicant</w:t>
      </w:r>
      <w:r w:rsidR="00117538">
        <w:rPr>
          <w:rFonts w:ascii="Garamond" w:eastAsia="Calibri" w:hAnsi="Garamond"/>
        </w:rPr>
        <w:t xml:space="preserve"> plans to</w:t>
      </w:r>
      <w:r w:rsidR="00D63F79">
        <w:rPr>
          <w:rFonts w:ascii="Garamond" w:eastAsia="Calibri" w:hAnsi="Garamond"/>
        </w:rPr>
        <w:t xml:space="preserve"> take a broad community engagement approach that includes issuing a press release to local media outlets to inform the Patient Panel and the local community as well as publish in their quarterly newsletter, website, and social media channels. They will also reach out to the Hospital’s referral sources and primary care providers in the region about the Proposed Project. </w:t>
      </w:r>
    </w:p>
    <w:bookmarkEnd w:id="46"/>
    <w:p w14:paraId="49BC0ED6" w14:textId="77777777" w:rsidR="007954F0" w:rsidRPr="00D63F79" w:rsidRDefault="007954F0" w:rsidP="00D63F79">
      <w:pPr>
        <w:rPr>
          <w:rFonts w:ascii="Garamond" w:hAnsi="Garamond"/>
        </w:rPr>
      </w:pPr>
    </w:p>
    <w:p w14:paraId="2730A298" w14:textId="10214793" w:rsidR="00C06F05" w:rsidRDefault="00C06F05" w:rsidP="007A57C4">
      <w:pPr>
        <w:contextualSpacing/>
        <w:rPr>
          <w:rFonts w:ascii="Garamond" w:hAnsi="Garamond" w:cs="Arial"/>
          <w:b/>
          <w:i/>
        </w:rPr>
      </w:pPr>
      <w:r w:rsidRPr="007A57C4">
        <w:rPr>
          <w:rFonts w:ascii="Garamond" w:hAnsi="Garamond" w:cs="Arial"/>
          <w:b/>
          <w:i/>
        </w:rPr>
        <w:t>Analysis</w:t>
      </w:r>
    </w:p>
    <w:p w14:paraId="67C38906" w14:textId="2E1DABE8" w:rsidR="008916DE" w:rsidRPr="00117538" w:rsidRDefault="008916DE" w:rsidP="008916DE">
      <w:pPr>
        <w:autoSpaceDE w:val="0"/>
        <w:autoSpaceDN w:val="0"/>
        <w:adjustRightInd w:val="0"/>
        <w:rPr>
          <w:rFonts w:ascii="Garamond" w:hAnsi="Garamond" w:cs="Garamond"/>
          <w:color w:val="000000"/>
        </w:rPr>
      </w:pPr>
      <w:r w:rsidRPr="00117538">
        <w:rPr>
          <w:rFonts w:ascii="Garamond" w:hAnsi="Garamond" w:cs="Garamond"/>
          <w:color w:val="000000"/>
        </w:rPr>
        <w:t>Staff reviewed the information on the Applicant’s community engagement and finds that the Applicant has met the required community engagement standard of Consult in the planning phase of the Proposed Project.</w:t>
      </w:r>
      <w:r w:rsidR="008A0BBF" w:rsidRPr="00117538">
        <w:rPr>
          <w:rFonts w:ascii="Garamond" w:hAnsi="Garamond" w:cs="Garamond"/>
          <w:color w:val="000000"/>
        </w:rPr>
        <w:t xml:space="preserve"> </w:t>
      </w:r>
    </w:p>
    <w:p w14:paraId="631BC88E" w14:textId="77777777" w:rsidR="003964D0" w:rsidRDefault="003964D0" w:rsidP="00890D8D">
      <w:bookmarkStart w:id="48" w:name="_Toc18922417"/>
      <w:bookmarkStart w:id="49" w:name="_Toc17322399"/>
    </w:p>
    <w:p w14:paraId="4A960CCB" w14:textId="06576DCB" w:rsidR="00E40FAA" w:rsidRPr="00102683" w:rsidRDefault="00E40FAA" w:rsidP="00890D8D">
      <w:bookmarkStart w:id="50" w:name="_Toc88515727"/>
      <w:r w:rsidRPr="00102683">
        <w:t xml:space="preserve">Factor 1: f) Competition on price, </w:t>
      </w:r>
      <w:r w:rsidR="00371842" w:rsidRPr="00102683">
        <w:t>total medical expenses (TME)</w:t>
      </w:r>
      <w:r w:rsidRPr="00102683">
        <w:t>, costs and other measures of health care spending</w:t>
      </w:r>
      <w:bookmarkEnd w:id="48"/>
      <w:bookmarkEnd w:id="50"/>
    </w:p>
    <w:bookmarkEnd w:id="49"/>
    <w:p w14:paraId="66E5CE00" w14:textId="1AF2A689" w:rsidR="00A120A9" w:rsidRDefault="00102683" w:rsidP="00AE2D4F">
      <w:pPr>
        <w:contextualSpacing/>
        <w:rPr>
          <w:rFonts w:ascii="Garamond" w:hAnsi="Garamond" w:cs="Arial"/>
          <w:bCs/>
          <w:iCs/>
        </w:rPr>
      </w:pPr>
      <w:r w:rsidRPr="0021693B">
        <w:rPr>
          <w:rFonts w:ascii="Garamond" w:hAnsi="Garamond" w:cs="Arial"/>
          <w:bCs/>
          <w:iCs/>
        </w:rPr>
        <w:t xml:space="preserve">The Applicant asserts </w:t>
      </w:r>
      <w:r w:rsidR="0089530F">
        <w:rPr>
          <w:rFonts w:ascii="Garamond" w:hAnsi="Garamond" w:cs="Arial"/>
          <w:bCs/>
          <w:iCs/>
        </w:rPr>
        <w:t xml:space="preserve">that as a result of the facility’s high public payor mix, </w:t>
      </w:r>
      <w:r w:rsidRPr="0021693B">
        <w:rPr>
          <w:rFonts w:ascii="Garamond" w:hAnsi="Garamond" w:cs="Arial"/>
          <w:bCs/>
          <w:iCs/>
        </w:rPr>
        <w:t xml:space="preserve">the </w:t>
      </w:r>
      <w:r w:rsidR="00B747C7" w:rsidRPr="0021693B">
        <w:rPr>
          <w:rFonts w:ascii="Garamond" w:hAnsi="Garamond" w:cs="Arial"/>
          <w:bCs/>
          <w:iCs/>
        </w:rPr>
        <w:t>Proposed P</w:t>
      </w:r>
      <w:r w:rsidRPr="0021693B">
        <w:rPr>
          <w:rFonts w:ascii="Garamond" w:hAnsi="Garamond" w:cs="Arial"/>
          <w:bCs/>
          <w:iCs/>
        </w:rPr>
        <w:t xml:space="preserve">roject </w:t>
      </w:r>
      <w:r w:rsidR="00CE3A32" w:rsidRPr="0021693B">
        <w:rPr>
          <w:rFonts w:ascii="Garamond" w:hAnsi="Garamond" w:cs="Arial"/>
          <w:bCs/>
          <w:iCs/>
        </w:rPr>
        <w:t xml:space="preserve">should </w:t>
      </w:r>
      <w:r w:rsidR="0020481E" w:rsidRPr="0021693B">
        <w:rPr>
          <w:rFonts w:ascii="Garamond" w:hAnsi="Garamond" w:cs="Arial"/>
          <w:bCs/>
          <w:iCs/>
        </w:rPr>
        <w:t xml:space="preserve">“either have a net neutral impact or reduce the Hospital’s total medical expenses (TME). </w:t>
      </w:r>
      <w:r w:rsidR="007874A2">
        <w:rPr>
          <w:rFonts w:ascii="Garamond" w:hAnsi="Garamond" w:cs="Arial"/>
          <w:bCs/>
          <w:iCs/>
        </w:rPr>
        <w:t xml:space="preserve">Additionally, </w:t>
      </w:r>
      <w:r w:rsidR="007874A2" w:rsidRPr="00C46EBF">
        <w:rPr>
          <w:rFonts w:ascii="Garamond" w:hAnsi="Garamond" w:cs="Arial"/>
          <w:bCs/>
          <w:iCs/>
        </w:rPr>
        <w:t>patients</w:t>
      </w:r>
      <w:r w:rsidR="00C46EBF" w:rsidRPr="00C46EBF">
        <w:rPr>
          <w:rFonts w:ascii="Garamond" w:hAnsi="Garamond" w:cs="Arial"/>
          <w:bCs/>
          <w:iCs/>
        </w:rPr>
        <w:t xml:space="preserve"> </w:t>
      </w:r>
      <w:r w:rsidR="004B6228">
        <w:rPr>
          <w:rFonts w:ascii="Garamond" w:hAnsi="Garamond" w:cs="Arial"/>
          <w:bCs/>
          <w:iCs/>
        </w:rPr>
        <w:t xml:space="preserve">who no longer need hospital-level care but who need a higher level of care than provided in </w:t>
      </w:r>
      <w:r w:rsidR="00D13359">
        <w:rPr>
          <w:rFonts w:ascii="Garamond" w:hAnsi="Garamond" w:cs="Arial"/>
          <w:bCs/>
          <w:iCs/>
        </w:rPr>
        <w:t xml:space="preserve">a SNF </w:t>
      </w:r>
      <w:r w:rsidR="00C46EBF">
        <w:rPr>
          <w:rFonts w:ascii="Garamond" w:hAnsi="Garamond" w:cs="Arial"/>
          <w:bCs/>
          <w:iCs/>
        </w:rPr>
        <w:t xml:space="preserve">can be discharged from higher cost </w:t>
      </w:r>
      <w:r w:rsidR="00C46EBF" w:rsidRPr="00C46EBF">
        <w:rPr>
          <w:rFonts w:ascii="Garamond" w:hAnsi="Garamond" w:cs="Arial"/>
          <w:bCs/>
          <w:iCs/>
        </w:rPr>
        <w:t>acute care hospital beds</w:t>
      </w:r>
      <w:r w:rsidR="004B6228">
        <w:rPr>
          <w:rFonts w:ascii="Garamond" w:hAnsi="Garamond" w:cs="Arial"/>
          <w:bCs/>
          <w:iCs/>
        </w:rPr>
        <w:t xml:space="preserve"> to Curahealth</w:t>
      </w:r>
      <w:r w:rsidR="00D13359">
        <w:rPr>
          <w:rFonts w:ascii="Garamond" w:hAnsi="Garamond" w:cs="Arial"/>
          <w:bCs/>
          <w:iCs/>
        </w:rPr>
        <w:t xml:space="preserve">. </w:t>
      </w:r>
      <w:r w:rsidR="0020481E" w:rsidRPr="0021693B">
        <w:rPr>
          <w:rFonts w:ascii="Garamond" w:hAnsi="Garamond" w:cs="Arial"/>
          <w:bCs/>
          <w:iCs/>
        </w:rPr>
        <w:t xml:space="preserve">Further, the Applicant </w:t>
      </w:r>
      <w:r w:rsidR="004B6228">
        <w:rPr>
          <w:rFonts w:ascii="Garamond" w:hAnsi="Garamond" w:cs="Arial"/>
          <w:bCs/>
          <w:iCs/>
        </w:rPr>
        <w:t>states</w:t>
      </w:r>
      <w:r w:rsidR="004B6228" w:rsidRPr="0021693B">
        <w:rPr>
          <w:rFonts w:ascii="Garamond" w:hAnsi="Garamond" w:cs="Arial"/>
          <w:bCs/>
          <w:iCs/>
        </w:rPr>
        <w:t xml:space="preserve"> </w:t>
      </w:r>
      <w:r w:rsidR="0020481E" w:rsidRPr="0021693B">
        <w:rPr>
          <w:rFonts w:ascii="Garamond" w:hAnsi="Garamond" w:cs="Arial"/>
          <w:bCs/>
          <w:iCs/>
        </w:rPr>
        <w:t xml:space="preserve">that the </w:t>
      </w:r>
      <w:r w:rsidR="00AE2D4F" w:rsidRPr="0021693B">
        <w:rPr>
          <w:rFonts w:ascii="Garamond" w:hAnsi="Garamond" w:cs="Arial"/>
          <w:bCs/>
          <w:iCs/>
        </w:rPr>
        <w:t>Hospital</w:t>
      </w:r>
      <w:r w:rsidR="0020481E" w:rsidRPr="0021693B">
        <w:rPr>
          <w:rFonts w:ascii="Garamond" w:hAnsi="Garamond" w:cs="Arial"/>
          <w:bCs/>
          <w:iCs/>
        </w:rPr>
        <w:t xml:space="preserve"> will </w:t>
      </w:r>
      <w:r w:rsidR="00AE2D4F" w:rsidRPr="0021693B">
        <w:rPr>
          <w:rFonts w:ascii="Garamond" w:hAnsi="Garamond" w:cs="Arial"/>
          <w:bCs/>
          <w:iCs/>
        </w:rPr>
        <w:t xml:space="preserve">adopt PAM Health’s mission to provide quality health care services by continuing </w:t>
      </w:r>
      <w:r w:rsidR="0021693B">
        <w:rPr>
          <w:rFonts w:ascii="Garamond" w:hAnsi="Garamond" w:cs="Arial"/>
          <w:bCs/>
          <w:iCs/>
        </w:rPr>
        <w:t xml:space="preserve">to </w:t>
      </w:r>
      <w:r w:rsidR="00AE2D4F" w:rsidRPr="0021693B">
        <w:rPr>
          <w:rFonts w:ascii="Garamond" w:hAnsi="Garamond" w:cs="Arial"/>
          <w:bCs/>
          <w:iCs/>
        </w:rPr>
        <w:t xml:space="preserve">build an environment that “fosters meaningful improvement and recovery for post-acute services for people with injuries, illness and disabilities to the services.” Leveraging PAM Health’s </w:t>
      </w:r>
      <w:r w:rsidR="00AE2D4F" w:rsidRPr="00D82246">
        <w:rPr>
          <w:rFonts w:ascii="Garamond" w:hAnsi="Garamond" w:cs="Arial"/>
          <w:bCs/>
          <w:iCs/>
        </w:rPr>
        <w:t xml:space="preserve">network, particularly its corporate support services and staff, the Hospital will be able to obtain economies of scale and reduce non-clinical expenses. </w:t>
      </w:r>
      <w:r w:rsidR="00D82246" w:rsidRPr="00D82246">
        <w:rPr>
          <w:rFonts w:ascii="Garamond" w:hAnsi="Garamond" w:cs="Arial"/>
          <w:bCs/>
          <w:iCs/>
        </w:rPr>
        <w:t>T</w:t>
      </w:r>
      <w:r w:rsidR="00AE2D4F" w:rsidRPr="00D82246">
        <w:rPr>
          <w:rFonts w:ascii="Garamond" w:hAnsi="Garamond" w:cs="Arial"/>
          <w:bCs/>
          <w:iCs/>
        </w:rPr>
        <w:t xml:space="preserve">he Applicant has </w:t>
      </w:r>
      <w:r w:rsidR="00D82246" w:rsidRPr="00D82246">
        <w:rPr>
          <w:rFonts w:ascii="Garamond" w:hAnsi="Garamond" w:cs="Arial"/>
          <w:bCs/>
          <w:iCs/>
        </w:rPr>
        <w:t xml:space="preserve">business services and national contracts for services and supplies including but not limited to hospital equipment and pharmaceuticals. </w:t>
      </w:r>
      <w:r w:rsidR="004974BA">
        <w:rPr>
          <w:rFonts w:ascii="Garamond" w:hAnsi="Garamond" w:cs="Arial"/>
          <w:bCs/>
          <w:iCs/>
        </w:rPr>
        <w:t>As a result of</w:t>
      </w:r>
      <w:r w:rsidR="00D82246" w:rsidRPr="00D82246">
        <w:rPr>
          <w:rFonts w:ascii="Garamond" w:hAnsi="Garamond" w:cs="Arial"/>
          <w:bCs/>
          <w:iCs/>
        </w:rPr>
        <w:t xml:space="preserve"> PAM Health’s scale and size, it is </w:t>
      </w:r>
      <w:r w:rsidR="002010BA" w:rsidRPr="00D82246">
        <w:rPr>
          <w:rFonts w:ascii="Garamond" w:hAnsi="Garamond" w:cs="Arial"/>
          <w:bCs/>
          <w:iCs/>
        </w:rPr>
        <w:t>able</w:t>
      </w:r>
      <w:r w:rsidR="00D82246" w:rsidRPr="00D82246">
        <w:rPr>
          <w:rFonts w:ascii="Garamond" w:hAnsi="Garamond" w:cs="Arial"/>
          <w:bCs/>
          <w:iCs/>
        </w:rPr>
        <w:t xml:space="preserve"> to negotiate more favorable terms </w:t>
      </w:r>
      <w:r w:rsidR="004974BA">
        <w:rPr>
          <w:rFonts w:ascii="Garamond" w:hAnsi="Garamond" w:cs="Arial"/>
          <w:bCs/>
          <w:iCs/>
        </w:rPr>
        <w:t xml:space="preserve">for contracts </w:t>
      </w:r>
      <w:r w:rsidR="00D82246" w:rsidRPr="00D82246">
        <w:rPr>
          <w:rFonts w:ascii="Garamond" w:hAnsi="Garamond" w:cs="Arial"/>
          <w:bCs/>
          <w:iCs/>
        </w:rPr>
        <w:t>which will reduce the Hospital’s non-clinical costs.</w:t>
      </w:r>
      <w:r w:rsidR="00AE2D4F" w:rsidRPr="0021693B">
        <w:rPr>
          <w:rFonts w:ascii="Garamond" w:hAnsi="Garamond" w:cs="Arial"/>
          <w:bCs/>
          <w:iCs/>
        </w:rPr>
        <w:t xml:space="preserve"> </w:t>
      </w:r>
      <w:r w:rsidR="00D82246">
        <w:rPr>
          <w:rFonts w:ascii="Garamond" w:hAnsi="Garamond" w:cs="Arial"/>
          <w:bCs/>
          <w:iCs/>
        </w:rPr>
        <w:t xml:space="preserve">The Hospital will also be able to </w:t>
      </w:r>
      <w:r w:rsidR="004974BA">
        <w:rPr>
          <w:rFonts w:ascii="Garamond" w:hAnsi="Garamond" w:cs="Arial"/>
          <w:bCs/>
          <w:iCs/>
        </w:rPr>
        <w:t xml:space="preserve">consolidate </w:t>
      </w:r>
      <w:r w:rsidR="00D82246">
        <w:rPr>
          <w:rFonts w:ascii="Garamond" w:hAnsi="Garamond" w:cs="Arial"/>
          <w:bCs/>
          <w:iCs/>
        </w:rPr>
        <w:t>administrative services as the Applicant provides</w:t>
      </w:r>
      <w:r w:rsidR="004974BA">
        <w:rPr>
          <w:rFonts w:ascii="Garamond" w:hAnsi="Garamond" w:cs="Arial"/>
          <w:bCs/>
          <w:iCs/>
        </w:rPr>
        <w:t xml:space="preserve"> centralized</w:t>
      </w:r>
      <w:r w:rsidR="00D82246">
        <w:rPr>
          <w:rFonts w:ascii="Garamond" w:hAnsi="Garamond" w:cs="Arial"/>
          <w:bCs/>
          <w:iCs/>
        </w:rPr>
        <w:t xml:space="preserve"> billing and collection support.</w:t>
      </w:r>
      <w:r w:rsidR="004974BA">
        <w:rPr>
          <w:rFonts w:ascii="Garamond" w:hAnsi="Garamond" w:cs="Arial"/>
          <w:bCs/>
          <w:iCs/>
        </w:rPr>
        <w:t xml:space="preserve"> These </w:t>
      </w:r>
      <w:r w:rsidR="00BF6C09">
        <w:rPr>
          <w:rFonts w:ascii="Garamond" w:hAnsi="Garamond" w:cs="Arial"/>
          <w:bCs/>
          <w:iCs/>
        </w:rPr>
        <w:t>changes will contribute to cost savings.</w:t>
      </w:r>
      <w:r w:rsidR="00D82246">
        <w:rPr>
          <w:rFonts w:ascii="Garamond" w:hAnsi="Garamond" w:cs="Arial"/>
          <w:bCs/>
          <w:iCs/>
        </w:rPr>
        <w:t xml:space="preserve"> </w:t>
      </w:r>
      <w:r w:rsidR="006D79FA">
        <w:rPr>
          <w:rFonts w:ascii="Garamond" w:hAnsi="Garamond" w:cs="Arial"/>
          <w:bCs/>
          <w:iCs/>
        </w:rPr>
        <w:t>The</w:t>
      </w:r>
      <w:r w:rsidR="00AE2D4F" w:rsidRPr="0021693B">
        <w:rPr>
          <w:rFonts w:ascii="Garamond" w:hAnsi="Garamond" w:cs="Arial"/>
          <w:bCs/>
          <w:iCs/>
        </w:rPr>
        <w:t xml:space="preserve"> Applicant states </w:t>
      </w:r>
      <w:r w:rsidR="006D79FA">
        <w:rPr>
          <w:rFonts w:ascii="Garamond" w:hAnsi="Garamond" w:cs="Arial"/>
          <w:bCs/>
          <w:iCs/>
        </w:rPr>
        <w:t>that</w:t>
      </w:r>
      <w:r w:rsidR="006D79FA" w:rsidRPr="0021693B">
        <w:rPr>
          <w:rFonts w:ascii="Garamond" w:hAnsi="Garamond" w:cs="Arial"/>
          <w:bCs/>
          <w:iCs/>
        </w:rPr>
        <w:t xml:space="preserve"> through the Hospital’s collaborative continuum of care</w:t>
      </w:r>
      <w:r w:rsidR="006D79FA">
        <w:rPr>
          <w:rFonts w:ascii="Garamond" w:hAnsi="Garamond" w:cs="Arial"/>
          <w:bCs/>
          <w:iCs/>
        </w:rPr>
        <w:t xml:space="preserve"> it </w:t>
      </w:r>
      <w:r w:rsidR="00AE2D4F" w:rsidRPr="0021693B">
        <w:rPr>
          <w:rFonts w:ascii="Garamond" w:hAnsi="Garamond" w:cs="Arial"/>
          <w:bCs/>
          <w:iCs/>
        </w:rPr>
        <w:t xml:space="preserve">will </w:t>
      </w:r>
      <w:r w:rsidR="006D79FA">
        <w:rPr>
          <w:rFonts w:ascii="Garamond" w:hAnsi="Garamond" w:cs="Arial"/>
          <w:bCs/>
          <w:iCs/>
        </w:rPr>
        <w:t>provide enhanced support to</w:t>
      </w:r>
      <w:r w:rsidR="006D79FA" w:rsidRPr="0021693B">
        <w:rPr>
          <w:rFonts w:ascii="Garamond" w:hAnsi="Garamond" w:cs="Arial"/>
          <w:bCs/>
          <w:iCs/>
        </w:rPr>
        <w:t xml:space="preserve"> </w:t>
      </w:r>
      <w:r w:rsidR="00AE2D4F" w:rsidRPr="0021693B">
        <w:rPr>
          <w:rFonts w:ascii="Garamond" w:hAnsi="Garamond" w:cs="Arial"/>
          <w:bCs/>
          <w:iCs/>
        </w:rPr>
        <w:t xml:space="preserve">the Hospital’s LTCH services, </w:t>
      </w:r>
      <w:r w:rsidR="009F35DA">
        <w:rPr>
          <w:rFonts w:ascii="Garamond" w:hAnsi="Garamond" w:cs="Arial"/>
          <w:bCs/>
          <w:iCs/>
        </w:rPr>
        <w:t xml:space="preserve">which </w:t>
      </w:r>
      <w:r w:rsidR="00AE2D4F" w:rsidRPr="0021693B">
        <w:rPr>
          <w:rFonts w:ascii="Garamond" w:hAnsi="Garamond" w:cs="Arial"/>
          <w:bCs/>
          <w:iCs/>
        </w:rPr>
        <w:t xml:space="preserve">will </w:t>
      </w:r>
      <w:r w:rsidR="00B84CBC" w:rsidRPr="0021693B">
        <w:rPr>
          <w:rFonts w:ascii="Garamond" w:hAnsi="Garamond" w:cs="Arial"/>
          <w:bCs/>
          <w:iCs/>
        </w:rPr>
        <w:t>ease</w:t>
      </w:r>
      <w:r w:rsidR="00AE2D4F" w:rsidRPr="0021693B">
        <w:rPr>
          <w:rFonts w:ascii="Garamond" w:hAnsi="Garamond" w:cs="Arial"/>
          <w:bCs/>
          <w:iCs/>
        </w:rPr>
        <w:t xml:space="preserve"> the burden on acute care hospitals. </w:t>
      </w:r>
    </w:p>
    <w:p w14:paraId="04AE10BD" w14:textId="200511A0" w:rsidR="002D535F" w:rsidRPr="007A57C4" w:rsidRDefault="002D535F" w:rsidP="007A57C4">
      <w:pPr>
        <w:contextualSpacing/>
        <w:rPr>
          <w:rFonts w:ascii="Garamond" w:hAnsi="Garamond" w:cs="Arial"/>
          <w:b/>
          <w:i/>
        </w:rPr>
      </w:pPr>
      <w:r w:rsidRPr="00583FBE">
        <w:rPr>
          <w:rFonts w:ascii="Garamond" w:hAnsi="Garamond" w:cs="Arial"/>
          <w:b/>
          <w:i/>
        </w:rPr>
        <w:t>Analysis</w:t>
      </w:r>
    </w:p>
    <w:p w14:paraId="711E75CF" w14:textId="360C8CB7" w:rsidR="00562778" w:rsidRPr="0021693B" w:rsidRDefault="00F50E45" w:rsidP="00EC7B3C">
      <w:pPr>
        <w:contextualSpacing/>
        <w:rPr>
          <w:rFonts w:ascii="Garamond" w:hAnsi="Garamond" w:cs="Arial"/>
          <w:bCs/>
          <w:iCs/>
        </w:rPr>
      </w:pPr>
      <w:bookmarkStart w:id="51" w:name="_Hlk17663634"/>
      <w:r w:rsidRPr="0021693B">
        <w:rPr>
          <w:rFonts w:ascii="Garamond" w:hAnsi="Garamond" w:cs="Arial"/>
          <w:bCs/>
          <w:iCs/>
        </w:rPr>
        <w:t>The Proposed Project has the potential to reduce the total costs of care</w:t>
      </w:r>
      <w:r w:rsidR="006F20A0">
        <w:rPr>
          <w:rFonts w:ascii="Garamond" w:hAnsi="Garamond" w:cs="Arial"/>
          <w:bCs/>
          <w:iCs/>
        </w:rPr>
        <w:t xml:space="preserve"> through</w:t>
      </w:r>
      <w:r w:rsidR="00611197" w:rsidRPr="00611197">
        <w:rPr>
          <w:rFonts w:ascii="Garamond" w:hAnsi="Garamond" w:cs="Arial"/>
          <w:bCs/>
          <w:iCs/>
        </w:rPr>
        <w:t xml:space="preserve"> a combination of enhanced coordination of care</w:t>
      </w:r>
      <w:r w:rsidR="00465793">
        <w:rPr>
          <w:rFonts w:ascii="Garamond" w:hAnsi="Garamond" w:cs="Arial"/>
          <w:bCs/>
          <w:iCs/>
        </w:rPr>
        <w:t>,</w:t>
      </w:r>
      <w:r w:rsidR="00611197" w:rsidRPr="00611197">
        <w:rPr>
          <w:rFonts w:ascii="Garamond" w:hAnsi="Garamond" w:cs="Arial"/>
          <w:bCs/>
          <w:iCs/>
        </w:rPr>
        <w:t xml:space="preserve"> as discussed above in Factor 1c</w:t>
      </w:r>
      <w:r w:rsidR="00465793">
        <w:rPr>
          <w:rFonts w:ascii="Garamond" w:hAnsi="Garamond" w:cs="Arial"/>
          <w:bCs/>
          <w:iCs/>
        </w:rPr>
        <w:t>, which</w:t>
      </w:r>
      <w:r w:rsidR="00611197">
        <w:rPr>
          <w:rFonts w:ascii="Garamond" w:hAnsi="Garamond" w:cs="Arial"/>
          <w:bCs/>
          <w:iCs/>
        </w:rPr>
        <w:t xml:space="preserve"> </w:t>
      </w:r>
      <w:r w:rsidR="00465793">
        <w:rPr>
          <w:rFonts w:ascii="Garamond" w:hAnsi="Garamond" w:cs="Arial"/>
          <w:bCs/>
          <w:iCs/>
        </w:rPr>
        <w:t xml:space="preserve">can help </w:t>
      </w:r>
      <w:r w:rsidR="00611197">
        <w:rPr>
          <w:rFonts w:ascii="Garamond" w:hAnsi="Garamond" w:cs="Arial"/>
          <w:bCs/>
          <w:iCs/>
        </w:rPr>
        <w:t xml:space="preserve">prevent costly </w:t>
      </w:r>
      <w:r w:rsidR="00124BCB">
        <w:rPr>
          <w:rFonts w:ascii="Garamond" w:hAnsi="Garamond" w:cs="Arial"/>
          <w:bCs/>
          <w:iCs/>
        </w:rPr>
        <w:t xml:space="preserve">readmissions, </w:t>
      </w:r>
      <w:r w:rsidR="00124BCB" w:rsidRPr="00611197">
        <w:rPr>
          <w:rFonts w:ascii="Garamond" w:hAnsi="Garamond" w:cs="Arial"/>
          <w:bCs/>
          <w:iCs/>
        </w:rPr>
        <w:t>maintaining</w:t>
      </w:r>
      <w:r w:rsidR="00611197">
        <w:rPr>
          <w:rFonts w:ascii="Garamond" w:hAnsi="Garamond" w:cs="Arial"/>
          <w:bCs/>
          <w:iCs/>
        </w:rPr>
        <w:t xml:space="preserve"> the </w:t>
      </w:r>
      <w:r w:rsidR="00465793">
        <w:rPr>
          <w:rFonts w:ascii="Garamond" w:hAnsi="Garamond" w:cs="Arial"/>
          <w:bCs/>
          <w:iCs/>
        </w:rPr>
        <w:t xml:space="preserve">Hospital’s </w:t>
      </w:r>
      <w:r w:rsidR="00611197">
        <w:rPr>
          <w:rFonts w:ascii="Garamond" w:hAnsi="Garamond" w:cs="Arial"/>
          <w:bCs/>
          <w:iCs/>
        </w:rPr>
        <w:t xml:space="preserve">high public payer mix, and capitalizing on </w:t>
      </w:r>
      <w:r w:rsidR="006F20A0">
        <w:rPr>
          <w:rFonts w:ascii="Garamond" w:hAnsi="Garamond" w:cs="Arial"/>
          <w:bCs/>
          <w:iCs/>
        </w:rPr>
        <w:t xml:space="preserve">the Applicant’s centralized services and purchasing agreements </w:t>
      </w:r>
      <w:r w:rsidR="00611197">
        <w:rPr>
          <w:rFonts w:ascii="Garamond" w:hAnsi="Garamond" w:cs="Arial"/>
          <w:bCs/>
          <w:iCs/>
        </w:rPr>
        <w:t xml:space="preserve">to </w:t>
      </w:r>
      <w:r w:rsidR="009F35DA">
        <w:rPr>
          <w:rFonts w:ascii="Garamond" w:hAnsi="Garamond" w:cs="Arial"/>
          <w:bCs/>
          <w:iCs/>
        </w:rPr>
        <w:t>reduce</w:t>
      </w:r>
      <w:r w:rsidR="00611197">
        <w:rPr>
          <w:rFonts w:ascii="Garamond" w:hAnsi="Garamond" w:cs="Arial"/>
          <w:bCs/>
          <w:iCs/>
        </w:rPr>
        <w:t xml:space="preserve"> cost</w:t>
      </w:r>
      <w:r w:rsidR="009F35DA">
        <w:rPr>
          <w:rFonts w:ascii="Garamond" w:hAnsi="Garamond" w:cs="Arial"/>
          <w:bCs/>
          <w:iCs/>
        </w:rPr>
        <w:t>s where possible</w:t>
      </w:r>
      <w:r w:rsidR="00611197">
        <w:rPr>
          <w:rFonts w:ascii="Garamond" w:hAnsi="Garamond" w:cs="Arial"/>
          <w:bCs/>
          <w:iCs/>
        </w:rPr>
        <w:t>.</w:t>
      </w:r>
      <w:r w:rsidR="006F20A0" w:rsidRPr="0021693B">
        <w:rPr>
          <w:rFonts w:ascii="Garamond" w:hAnsi="Garamond" w:cs="Arial"/>
          <w:bCs/>
          <w:iCs/>
        </w:rPr>
        <w:t xml:space="preserve"> </w:t>
      </w:r>
      <w:r w:rsidR="00280639">
        <w:rPr>
          <w:rFonts w:ascii="Garamond" w:hAnsi="Garamond" w:cs="Arial"/>
          <w:bCs/>
          <w:iCs/>
        </w:rPr>
        <w:t xml:space="preserve">The Applicant </w:t>
      </w:r>
      <w:r w:rsidR="00B77D47">
        <w:rPr>
          <w:rFonts w:ascii="Garamond" w:hAnsi="Garamond" w:cs="Arial"/>
          <w:bCs/>
          <w:iCs/>
        </w:rPr>
        <w:t>utilizes t</w:t>
      </w:r>
      <w:r w:rsidR="00124BCB">
        <w:rPr>
          <w:rFonts w:ascii="Garamond" w:hAnsi="Garamond" w:cs="Arial"/>
          <w:bCs/>
          <w:iCs/>
        </w:rPr>
        <w:t>he</w:t>
      </w:r>
      <w:r w:rsidR="006F20A0">
        <w:rPr>
          <w:rFonts w:ascii="Garamond" w:hAnsi="Garamond" w:cs="Arial"/>
          <w:bCs/>
          <w:iCs/>
        </w:rPr>
        <w:t xml:space="preserve"> </w:t>
      </w:r>
      <w:r w:rsidR="00E63DC8" w:rsidRPr="0021693B">
        <w:rPr>
          <w:rFonts w:ascii="Garamond" w:hAnsi="Garamond" w:cs="Arial"/>
          <w:bCs/>
          <w:iCs/>
        </w:rPr>
        <w:t xml:space="preserve">collaborative approach with families and providers </w:t>
      </w:r>
      <w:r w:rsidR="006F20A0" w:rsidRPr="0021693B">
        <w:rPr>
          <w:rFonts w:ascii="Garamond" w:hAnsi="Garamond" w:cs="Arial"/>
          <w:bCs/>
          <w:iCs/>
        </w:rPr>
        <w:t xml:space="preserve">LTCHs </w:t>
      </w:r>
      <w:r w:rsidR="006F20A0">
        <w:rPr>
          <w:rFonts w:ascii="Garamond" w:hAnsi="Garamond" w:cs="Arial"/>
          <w:bCs/>
          <w:iCs/>
        </w:rPr>
        <w:t xml:space="preserve">implement </w:t>
      </w:r>
      <w:r w:rsidR="00E63DC8" w:rsidRPr="0021693B">
        <w:rPr>
          <w:rFonts w:ascii="Garamond" w:hAnsi="Garamond" w:cs="Arial"/>
          <w:bCs/>
          <w:iCs/>
        </w:rPr>
        <w:t>to ensure patients receive care in the appropriate acute care setting contributes to improvement in patient outcomes and overall cost efficiency. Additionally, LTCHs play an important role in value-based networks and accountable care organizations as they have 39% lower per-day payments than short-term acute care hospitals.</w:t>
      </w:r>
      <w:r w:rsidR="009D31AA" w:rsidRPr="0021693B">
        <w:rPr>
          <w:rStyle w:val="EndnoteReference"/>
          <w:rFonts w:ascii="Garamond" w:hAnsi="Garamond" w:cs="Arial"/>
          <w:bCs/>
          <w:iCs/>
        </w:rPr>
        <w:endnoteReference w:id="2"/>
      </w:r>
      <w:r w:rsidR="00E63DC8" w:rsidRPr="0021693B">
        <w:rPr>
          <w:rFonts w:ascii="Garamond" w:hAnsi="Garamond" w:cs="Arial"/>
          <w:bCs/>
          <w:iCs/>
        </w:rPr>
        <w:t xml:space="preserve"> </w:t>
      </w:r>
    </w:p>
    <w:p w14:paraId="7CC5C22E" w14:textId="49F986E2" w:rsidR="00EC7B3C" w:rsidRDefault="00EC7B3C" w:rsidP="00EC7B3C">
      <w:pPr>
        <w:contextualSpacing/>
        <w:rPr>
          <w:rFonts w:ascii="Garamond" w:hAnsi="Garamond"/>
          <w:color w:val="42558C" w:themeColor="accent1" w:themeShade="BF"/>
          <w:sz w:val="28"/>
          <w:szCs w:val="28"/>
        </w:rPr>
      </w:pPr>
    </w:p>
    <w:p w14:paraId="2BC86BE0" w14:textId="28B98029" w:rsidR="002D535F" w:rsidRPr="00FC0010" w:rsidRDefault="00726BF3" w:rsidP="007A57C4">
      <w:pPr>
        <w:pStyle w:val="Heading2"/>
        <w:spacing w:before="0" w:line="240" w:lineRule="auto"/>
        <w:contextualSpacing/>
        <w:rPr>
          <w:rFonts w:ascii="Garamond" w:hAnsi="Garamond"/>
          <w:color w:val="42558C" w:themeColor="accent1" w:themeShade="BF"/>
          <w:sz w:val="28"/>
          <w:szCs w:val="28"/>
        </w:rPr>
      </w:pPr>
      <w:bookmarkStart w:id="52" w:name="_Toc88515728"/>
      <w:r w:rsidRPr="00124BCB">
        <w:rPr>
          <w:rFonts w:ascii="Garamond" w:hAnsi="Garamond"/>
          <w:color w:val="42558C" w:themeColor="accent1" w:themeShade="BF"/>
          <w:sz w:val="28"/>
          <w:szCs w:val="28"/>
        </w:rPr>
        <w:t xml:space="preserve">Summary, </w:t>
      </w:r>
      <w:r w:rsidR="002D535F" w:rsidRPr="00FC0010">
        <w:rPr>
          <w:rFonts w:ascii="Garamond" w:hAnsi="Garamond"/>
          <w:color w:val="42558C" w:themeColor="accent1" w:themeShade="BF"/>
          <w:sz w:val="28"/>
          <w:szCs w:val="28"/>
        </w:rPr>
        <w:t>FACTOR 1</w:t>
      </w:r>
      <w:bookmarkEnd w:id="52"/>
      <w:r w:rsidR="002D535F" w:rsidRPr="00FC0010">
        <w:rPr>
          <w:rFonts w:ascii="Garamond" w:hAnsi="Garamond"/>
          <w:color w:val="42558C" w:themeColor="accent1" w:themeShade="BF"/>
          <w:sz w:val="28"/>
          <w:szCs w:val="28"/>
        </w:rPr>
        <w:t xml:space="preserve"> </w:t>
      </w:r>
    </w:p>
    <w:p w14:paraId="5A354BE7" w14:textId="21A7E165" w:rsidR="00140989" w:rsidRDefault="002D535F" w:rsidP="009A65F6">
      <w:pPr>
        <w:rPr>
          <w:rFonts w:ascii="Garamond" w:hAnsi="Garamond"/>
        </w:rPr>
      </w:pPr>
      <w:r w:rsidRPr="007A57C4">
        <w:rPr>
          <w:rFonts w:ascii="Garamond" w:hAnsi="Garamond"/>
        </w:rPr>
        <w:t xml:space="preserve">As a result of </w:t>
      </w:r>
      <w:r w:rsidR="0088421A">
        <w:rPr>
          <w:rFonts w:ascii="Garamond" w:hAnsi="Garamond"/>
        </w:rPr>
        <w:t xml:space="preserve">the </w:t>
      </w:r>
      <w:r w:rsidRPr="007A57C4">
        <w:rPr>
          <w:rFonts w:ascii="Garamond" w:hAnsi="Garamond"/>
        </w:rPr>
        <w:t>information provided by the Applicant and additional analysis, staf</w:t>
      </w:r>
      <w:r w:rsidR="00D07308" w:rsidRPr="007A57C4">
        <w:rPr>
          <w:rFonts w:ascii="Garamond" w:hAnsi="Garamond"/>
        </w:rPr>
        <w:t xml:space="preserve">f finds </w:t>
      </w:r>
      <w:r w:rsidR="0014242D">
        <w:rPr>
          <w:rFonts w:ascii="Garamond" w:hAnsi="Garamond"/>
        </w:rPr>
        <w:t>tha</w:t>
      </w:r>
      <w:r w:rsidR="00562778">
        <w:rPr>
          <w:rFonts w:ascii="Garamond" w:hAnsi="Garamond"/>
        </w:rPr>
        <w:t xml:space="preserve">t </w:t>
      </w:r>
      <w:r w:rsidRPr="007A57C4">
        <w:rPr>
          <w:rFonts w:ascii="Garamond" w:hAnsi="Garamond"/>
        </w:rPr>
        <w:t xml:space="preserve">the Applicant has demonstrated that the Proposed Project </w:t>
      </w:r>
      <w:r w:rsidR="00251229" w:rsidRPr="007A57C4">
        <w:rPr>
          <w:rFonts w:ascii="Garamond" w:hAnsi="Garamond"/>
        </w:rPr>
        <w:t>meets</w:t>
      </w:r>
      <w:r w:rsidRPr="007A57C4">
        <w:rPr>
          <w:rFonts w:ascii="Garamond" w:hAnsi="Garamond"/>
        </w:rPr>
        <w:t xml:space="preserve"> Factors 1(a-f). </w:t>
      </w:r>
    </w:p>
    <w:p w14:paraId="715718EC" w14:textId="2503B568" w:rsidR="0002143F" w:rsidRDefault="0002143F" w:rsidP="0017310C">
      <w:pPr>
        <w:pStyle w:val="Heading1"/>
        <w:spacing w:before="0" w:line="240" w:lineRule="auto"/>
        <w:rPr>
          <w:rFonts w:ascii="Garamond" w:hAnsi="Garamond" w:cstheme="majorHAnsi"/>
        </w:rPr>
      </w:pPr>
      <w:bookmarkStart w:id="53" w:name="_Toc88515729"/>
      <w:bookmarkEnd w:id="51"/>
    </w:p>
    <w:p w14:paraId="36BC3E73" w14:textId="573041BF" w:rsidR="002D535F" w:rsidRPr="00231124" w:rsidRDefault="00664406" w:rsidP="0017310C">
      <w:pPr>
        <w:pStyle w:val="Heading1"/>
        <w:spacing w:before="0" w:line="240" w:lineRule="auto"/>
        <w:rPr>
          <w:rFonts w:ascii="Garamond" w:hAnsi="Garamond"/>
        </w:rPr>
      </w:pPr>
      <w:r w:rsidRPr="00231124">
        <w:rPr>
          <w:rFonts w:ascii="Garamond" w:hAnsi="Garamond" w:cstheme="majorHAnsi"/>
        </w:rPr>
        <w:t>Factor</w:t>
      </w:r>
      <w:r w:rsidR="002D535F" w:rsidRPr="00231124">
        <w:rPr>
          <w:rFonts w:ascii="Garamond" w:hAnsi="Garamond"/>
        </w:rPr>
        <w:t xml:space="preserve"> 2: Cost containment, Improved Public Health Outcomes and Delivery System Transformation</w:t>
      </w:r>
      <w:bookmarkEnd w:id="53"/>
      <w:r w:rsidR="002D535F" w:rsidRPr="00231124">
        <w:rPr>
          <w:rFonts w:ascii="Garamond" w:hAnsi="Garamond"/>
        </w:rPr>
        <w:t xml:space="preserve"> </w:t>
      </w:r>
    </w:p>
    <w:p w14:paraId="57CAB6A0" w14:textId="77777777" w:rsidR="0002143F" w:rsidRDefault="0002143F" w:rsidP="007A57C4">
      <w:pPr>
        <w:contextualSpacing/>
        <w:rPr>
          <w:rFonts w:ascii="Garamond" w:hAnsi="Garamond"/>
          <w:b/>
          <w:bCs/>
        </w:rPr>
      </w:pPr>
      <w:bookmarkStart w:id="54" w:name="_Toc17731329"/>
      <w:bookmarkStart w:id="55" w:name="_Toc17748249"/>
      <w:bookmarkStart w:id="56" w:name="_Toc17748476"/>
      <w:bookmarkStart w:id="57" w:name="_Toc17748720"/>
      <w:bookmarkStart w:id="58" w:name="_Toc18420199"/>
      <w:bookmarkStart w:id="59" w:name="_Toc18922420"/>
    </w:p>
    <w:p w14:paraId="1EF14E89" w14:textId="3563FC16" w:rsidR="002D535F" w:rsidRPr="007A57C4" w:rsidRDefault="002D535F" w:rsidP="007A57C4">
      <w:pPr>
        <w:contextualSpacing/>
        <w:rPr>
          <w:rFonts w:ascii="Garamond" w:hAnsi="Garamond"/>
          <w:b/>
          <w:bCs/>
        </w:rPr>
      </w:pPr>
      <w:r w:rsidRPr="007A57C4">
        <w:rPr>
          <w:rFonts w:ascii="Garamond" w:hAnsi="Garamond"/>
          <w:b/>
          <w:bCs/>
        </w:rPr>
        <w:t>Cost Containment</w:t>
      </w:r>
      <w:bookmarkEnd w:id="54"/>
      <w:bookmarkEnd w:id="55"/>
      <w:bookmarkEnd w:id="56"/>
      <w:bookmarkEnd w:id="57"/>
      <w:bookmarkEnd w:id="58"/>
      <w:bookmarkEnd w:id="59"/>
      <w:r w:rsidRPr="007A57C4">
        <w:rPr>
          <w:rFonts w:ascii="Garamond" w:hAnsi="Garamond"/>
          <w:b/>
          <w:bCs/>
        </w:rPr>
        <w:t xml:space="preserve"> </w:t>
      </w:r>
    </w:p>
    <w:p w14:paraId="403F7C40" w14:textId="65748CD6" w:rsidR="007353F4" w:rsidRDefault="009106B4" w:rsidP="007A57C4">
      <w:pPr>
        <w:contextualSpacing/>
        <w:rPr>
          <w:rFonts w:ascii="Garamond" w:hAnsi="Garamond"/>
          <w:bCs/>
        </w:rPr>
      </w:pPr>
      <w:bookmarkStart w:id="60" w:name="_Toc17731330"/>
      <w:bookmarkStart w:id="61" w:name="_Toc17748250"/>
      <w:bookmarkStart w:id="62" w:name="_Toc17748477"/>
      <w:bookmarkStart w:id="63" w:name="_Toc17748721"/>
      <w:bookmarkStart w:id="64" w:name="_Toc18420200"/>
      <w:bookmarkStart w:id="65" w:name="_Toc18922421"/>
      <w:r>
        <w:rPr>
          <w:rFonts w:ascii="Garamond" w:hAnsi="Garamond"/>
          <w:bCs/>
        </w:rPr>
        <w:t xml:space="preserve">The Applicant asserts several elements collectively will contribute to the Commonwealth’s goals for cost containment. </w:t>
      </w:r>
      <w:r w:rsidR="00CB639C">
        <w:rPr>
          <w:rFonts w:ascii="Garamond" w:hAnsi="Garamond"/>
          <w:bCs/>
        </w:rPr>
        <w:t xml:space="preserve">The </w:t>
      </w:r>
      <w:r>
        <w:rPr>
          <w:rFonts w:ascii="Garamond" w:hAnsi="Garamond"/>
          <w:bCs/>
        </w:rPr>
        <w:t>A</w:t>
      </w:r>
      <w:r w:rsidR="00CB639C">
        <w:rPr>
          <w:rFonts w:ascii="Garamond" w:hAnsi="Garamond"/>
          <w:bCs/>
        </w:rPr>
        <w:t>pplicant</w:t>
      </w:r>
      <w:r>
        <w:rPr>
          <w:rFonts w:ascii="Garamond" w:hAnsi="Garamond"/>
          <w:bCs/>
        </w:rPr>
        <w:t xml:space="preserve"> plans to </w:t>
      </w:r>
      <w:r w:rsidRPr="00662E22">
        <w:rPr>
          <w:rFonts w:ascii="Garamond" w:hAnsi="Garamond"/>
          <w:bCs/>
        </w:rPr>
        <w:t xml:space="preserve">collaborate with acute care hospitals, its </w:t>
      </w:r>
      <w:r w:rsidR="00465793">
        <w:rPr>
          <w:rFonts w:ascii="Garamond" w:hAnsi="Garamond"/>
          <w:bCs/>
        </w:rPr>
        <w:t>sole</w:t>
      </w:r>
      <w:r w:rsidR="00465793" w:rsidRPr="00662E22">
        <w:rPr>
          <w:rFonts w:ascii="Garamond" w:hAnsi="Garamond"/>
          <w:bCs/>
        </w:rPr>
        <w:t xml:space="preserve"> </w:t>
      </w:r>
      <w:r w:rsidRPr="00662E22">
        <w:rPr>
          <w:rFonts w:ascii="Garamond" w:hAnsi="Garamond"/>
          <w:bCs/>
        </w:rPr>
        <w:t xml:space="preserve">referral sources, to ensure </w:t>
      </w:r>
      <w:r w:rsidRPr="00662E22">
        <w:rPr>
          <w:rFonts w:ascii="Garamond" w:hAnsi="Garamond"/>
          <w:bCs/>
        </w:rPr>
        <w:lastRenderedPageBreak/>
        <w:t>patients receive care in the appropriate setting</w:t>
      </w:r>
      <w:r w:rsidR="00611197">
        <w:rPr>
          <w:rFonts w:ascii="Garamond" w:hAnsi="Garamond"/>
          <w:bCs/>
        </w:rPr>
        <w:t xml:space="preserve"> as </w:t>
      </w:r>
      <w:r w:rsidR="00465793">
        <w:rPr>
          <w:rFonts w:ascii="Garamond" w:hAnsi="Garamond"/>
          <w:bCs/>
        </w:rPr>
        <w:t xml:space="preserve">was done </w:t>
      </w:r>
      <w:r w:rsidR="00611197">
        <w:rPr>
          <w:rFonts w:ascii="Garamond" w:hAnsi="Garamond"/>
          <w:bCs/>
        </w:rPr>
        <w:t xml:space="preserve">during </w:t>
      </w:r>
      <w:r w:rsidR="00465793">
        <w:rPr>
          <w:rFonts w:ascii="Garamond" w:hAnsi="Garamond"/>
          <w:bCs/>
        </w:rPr>
        <w:t xml:space="preserve">the </w:t>
      </w:r>
      <w:r w:rsidR="00611197">
        <w:rPr>
          <w:rFonts w:ascii="Garamond" w:hAnsi="Garamond"/>
          <w:bCs/>
        </w:rPr>
        <w:t xml:space="preserve">COVID-19 </w:t>
      </w:r>
      <w:r w:rsidR="00465793">
        <w:rPr>
          <w:rFonts w:ascii="Garamond" w:hAnsi="Garamond"/>
          <w:bCs/>
        </w:rPr>
        <w:t xml:space="preserve">pandemic, </w:t>
      </w:r>
      <w:r w:rsidR="00611197">
        <w:rPr>
          <w:rFonts w:ascii="Garamond" w:hAnsi="Garamond"/>
          <w:bCs/>
        </w:rPr>
        <w:t>as noted above</w:t>
      </w:r>
      <w:r w:rsidRPr="00662E22">
        <w:rPr>
          <w:rFonts w:ascii="Garamond" w:hAnsi="Garamond"/>
          <w:bCs/>
        </w:rPr>
        <w:t xml:space="preserve">. </w:t>
      </w:r>
      <w:r w:rsidR="00101B15" w:rsidRPr="00662E22">
        <w:rPr>
          <w:rFonts w:ascii="Garamond" w:hAnsi="Garamond"/>
          <w:bCs/>
        </w:rPr>
        <w:t xml:space="preserve">Providing </w:t>
      </w:r>
      <w:r w:rsidRPr="00662E22">
        <w:rPr>
          <w:rFonts w:ascii="Garamond" w:hAnsi="Garamond"/>
          <w:bCs/>
        </w:rPr>
        <w:t>patients with chronic needs</w:t>
      </w:r>
      <w:r w:rsidR="0092142E" w:rsidRPr="00662E22">
        <w:rPr>
          <w:rFonts w:ascii="Garamond" w:hAnsi="Garamond"/>
          <w:bCs/>
        </w:rPr>
        <w:t xml:space="preserve"> the</w:t>
      </w:r>
      <w:r w:rsidRPr="00662E22">
        <w:rPr>
          <w:rFonts w:ascii="Garamond" w:hAnsi="Garamond"/>
          <w:bCs/>
        </w:rPr>
        <w:t xml:space="preserve"> </w:t>
      </w:r>
      <w:r w:rsidR="0092142E" w:rsidRPr="00662E22">
        <w:rPr>
          <w:rFonts w:ascii="Garamond" w:hAnsi="Garamond"/>
          <w:bCs/>
        </w:rPr>
        <w:t xml:space="preserve">long-term acute hospital services they require in the appropriate setting can </w:t>
      </w:r>
      <w:r w:rsidRPr="00662E22">
        <w:rPr>
          <w:rFonts w:ascii="Garamond" w:hAnsi="Garamond"/>
          <w:bCs/>
        </w:rPr>
        <w:t>increase capacity at acute care hospitals. As previously mentioned, implementing some of the nine disease</w:t>
      </w:r>
      <w:r w:rsidR="0092142E" w:rsidRPr="00662E22">
        <w:rPr>
          <w:rFonts w:ascii="Garamond" w:hAnsi="Garamond"/>
          <w:bCs/>
        </w:rPr>
        <w:t>-</w:t>
      </w:r>
      <w:r w:rsidRPr="00662E22">
        <w:rPr>
          <w:rFonts w:ascii="Garamond" w:hAnsi="Garamond"/>
          <w:bCs/>
        </w:rPr>
        <w:t>specific certified programs will improve quality of care and health outcomes that will ultimately reduce the burden on acute hospital system and allow for more discharges home instead to long-term care facilities.</w:t>
      </w:r>
      <w:r>
        <w:rPr>
          <w:rFonts w:ascii="Garamond" w:hAnsi="Garamond"/>
          <w:bCs/>
        </w:rPr>
        <w:t xml:space="preserve">  </w:t>
      </w:r>
    </w:p>
    <w:p w14:paraId="08B1F2AB" w14:textId="7E2C1FF6" w:rsidR="002D535F" w:rsidRPr="002F5457" w:rsidRDefault="002D535F" w:rsidP="007A57C4">
      <w:pPr>
        <w:contextualSpacing/>
        <w:rPr>
          <w:rFonts w:ascii="Garamond" w:hAnsi="Garamond"/>
          <w:b/>
          <w:i/>
          <w:iCs/>
        </w:rPr>
      </w:pPr>
      <w:r w:rsidRPr="002F5457">
        <w:rPr>
          <w:rFonts w:ascii="Garamond" w:hAnsi="Garamond"/>
          <w:b/>
          <w:i/>
          <w:iCs/>
        </w:rPr>
        <w:t>Analysis: Cost Containment</w:t>
      </w:r>
    </w:p>
    <w:p w14:paraId="3FBAF5B8" w14:textId="16E950DC" w:rsidR="00CD2B33" w:rsidRDefault="00D64E8B" w:rsidP="00C50675">
      <w:pPr>
        <w:rPr>
          <w:rFonts w:ascii="Garamond" w:hAnsi="Garamond"/>
          <w:bCs/>
        </w:rPr>
      </w:pPr>
      <w:r w:rsidRPr="002F5457">
        <w:rPr>
          <w:rFonts w:ascii="Garamond" w:hAnsi="Garamond"/>
          <w:bCs/>
        </w:rPr>
        <w:t>Staff finds that the Applicant has adequately explained how it aligns with cost containment goals</w:t>
      </w:r>
      <w:r w:rsidR="009036F9">
        <w:rPr>
          <w:rFonts w:ascii="Garamond" w:hAnsi="Garamond"/>
          <w:bCs/>
        </w:rPr>
        <w:t xml:space="preserve"> through the availability of its LTCH services and programs</w:t>
      </w:r>
      <w:r w:rsidRPr="002F5457">
        <w:rPr>
          <w:rFonts w:ascii="Garamond" w:hAnsi="Garamond"/>
          <w:bCs/>
        </w:rPr>
        <w:t xml:space="preserve">. </w:t>
      </w:r>
      <w:r w:rsidR="009036F9">
        <w:rPr>
          <w:rFonts w:ascii="Garamond" w:hAnsi="Garamond"/>
          <w:bCs/>
        </w:rPr>
        <w:t xml:space="preserve">The Proposed Project is intended </w:t>
      </w:r>
      <w:r w:rsidR="00794C2A">
        <w:rPr>
          <w:rFonts w:ascii="Garamond" w:hAnsi="Garamond"/>
          <w:bCs/>
        </w:rPr>
        <w:t xml:space="preserve">to </w:t>
      </w:r>
      <w:r w:rsidR="009036F9">
        <w:rPr>
          <w:rFonts w:ascii="Garamond" w:hAnsi="Garamond"/>
          <w:bCs/>
        </w:rPr>
        <w:t>provid</w:t>
      </w:r>
      <w:r w:rsidR="00794C2A">
        <w:rPr>
          <w:rFonts w:ascii="Garamond" w:hAnsi="Garamond"/>
          <w:bCs/>
        </w:rPr>
        <w:t>e</w:t>
      </w:r>
      <w:r w:rsidR="009036F9">
        <w:rPr>
          <w:rFonts w:ascii="Garamond" w:hAnsi="Garamond"/>
          <w:bCs/>
        </w:rPr>
        <w:t xml:space="preserve"> care for patients with long-term chronic needs in an appropriate setting and potentially increase discharges to homes </w:t>
      </w:r>
      <w:r w:rsidR="0092142E">
        <w:rPr>
          <w:rFonts w:ascii="Garamond" w:hAnsi="Garamond"/>
          <w:bCs/>
        </w:rPr>
        <w:t xml:space="preserve">rather </w:t>
      </w:r>
      <w:r w:rsidR="009036F9">
        <w:rPr>
          <w:rFonts w:ascii="Garamond" w:hAnsi="Garamond"/>
          <w:bCs/>
        </w:rPr>
        <w:t xml:space="preserve">than long-term care facilities. </w:t>
      </w:r>
    </w:p>
    <w:p w14:paraId="3180130C" w14:textId="77777777" w:rsidR="00117338" w:rsidRDefault="00117338" w:rsidP="00D46510">
      <w:pPr>
        <w:rPr>
          <w:rFonts w:ascii="Garamond" w:hAnsi="Garamond"/>
          <w:b/>
          <w:bCs/>
        </w:rPr>
      </w:pPr>
    </w:p>
    <w:p w14:paraId="54450B46" w14:textId="331B184D" w:rsidR="002D535F" w:rsidRDefault="002D535F" w:rsidP="00D46510">
      <w:pPr>
        <w:rPr>
          <w:rFonts w:ascii="Garamond" w:hAnsi="Garamond"/>
          <w:b/>
          <w:bCs/>
        </w:rPr>
      </w:pPr>
      <w:r w:rsidRPr="008F42EC">
        <w:rPr>
          <w:rFonts w:ascii="Garamond" w:hAnsi="Garamond"/>
          <w:b/>
          <w:bCs/>
        </w:rPr>
        <w:t>Improved Public Health Outcomes</w:t>
      </w:r>
      <w:bookmarkEnd w:id="60"/>
      <w:bookmarkEnd w:id="61"/>
      <w:bookmarkEnd w:id="62"/>
      <w:bookmarkEnd w:id="63"/>
      <w:bookmarkEnd w:id="64"/>
      <w:bookmarkEnd w:id="65"/>
      <w:r w:rsidRPr="007A57C4">
        <w:rPr>
          <w:rFonts w:ascii="Garamond" w:hAnsi="Garamond"/>
          <w:b/>
          <w:bCs/>
        </w:rPr>
        <w:t xml:space="preserve"> </w:t>
      </w:r>
    </w:p>
    <w:p w14:paraId="3C2B85F1" w14:textId="1CEF5B52" w:rsidR="00326761" w:rsidRDefault="00326761" w:rsidP="00C02FE8">
      <w:pPr>
        <w:rPr>
          <w:rFonts w:ascii="Garamond" w:hAnsi="Garamond"/>
          <w:bCs/>
        </w:rPr>
      </w:pPr>
      <w:r>
        <w:rPr>
          <w:rFonts w:ascii="Garamond" w:hAnsi="Garamond"/>
          <w:bCs/>
        </w:rPr>
        <w:t xml:space="preserve">As previously discussed, the Applicant will </w:t>
      </w:r>
      <w:r w:rsidR="00C02FE8">
        <w:rPr>
          <w:rFonts w:ascii="Garamond" w:hAnsi="Garamond"/>
          <w:bCs/>
        </w:rPr>
        <w:t>apply their experiences</w:t>
      </w:r>
      <w:r w:rsidR="008F42EC">
        <w:rPr>
          <w:rFonts w:ascii="Garamond" w:hAnsi="Garamond"/>
          <w:bCs/>
        </w:rPr>
        <w:t xml:space="preserve"> and expertise</w:t>
      </w:r>
      <w:r w:rsidR="00C02FE8">
        <w:rPr>
          <w:rFonts w:ascii="Garamond" w:hAnsi="Garamond"/>
          <w:bCs/>
        </w:rPr>
        <w:t xml:space="preserve"> in other PAM Health hospitals and implement best practices at the Hospital. By adding evidence-based service lines and programs, they will improve access to care. </w:t>
      </w:r>
      <w:r w:rsidR="00E86D6C">
        <w:rPr>
          <w:rFonts w:ascii="Garamond" w:hAnsi="Garamond"/>
          <w:bCs/>
        </w:rPr>
        <w:t xml:space="preserve">Also, as mentioned above, they have a comprehensive quality assurance program that they plan to implement at the Hospital. </w:t>
      </w:r>
      <w:r w:rsidR="00C02FE8">
        <w:rPr>
          <w:rFonts w:ascii="Garamond" w:hAnsi="Garamond"/>
          <w:bCs/>
        </w:rPr>
        <w:t xml:space="preserve">The Applicant notes that they will continue to work </w:t>
      </w:r>
      <w:r w:rsidR="00C02FE8" w:rsidRPr="001E5B50">
        <w:rPr>
          <w:rFonts w:ascii="Garamond" w:hAnsi="Garamond"/>
          <w:bCs/>
        </w:rPr>
        <w:t>with other organizations</w:t>
      </w:r>
      <w:r w:rsidR="001E5B50">
        <w:rPr>
          <w:rFonts w:ascii="Garamond" w:hAnsi="Garamond"/>
          <w:bCs/>
        </w:rPr>
        <w:t xml:space="preserve"> </w:t>
      </w:r>
      <w:r w:rsidR="001E5B50" w:rsidRPr="00C02FE8">
        <w:rPr>
          <w:rFonts w:ascii="Garamond" w:hAnsi="Garamond"/>
          <w:bCs/>
        </w:rPr>
        <w:t>in the state and across the</w:t>
      </w:r>
      <w:r w:rsidR="001E5B50">
        <w:rPr>
          <w:rFonts w:ascii="Garamond" w:hAnsi="Garamond"/>
          <w:bCs/>
        </w:rPr>
        <w:t xml:space="preserve"> </w:t>
      </w:r>
      <w:r w:rsidR="001E5B50" w:rsidRPr="00C02FE8">
        <w:rPr>
          <w:rFonts w:ascii="Garamond" w:hAnsi="Garamond"/>
          <w:bCs/>
        </w:rPr>
        <w:t>country to enhance patient quality and outcomes</w:t>
      </w:r>
      <w:r w:rsidR="001E5B50">
        <w:rPr>
          <w:rFonts w:ascii="Garamond" w:hAnsi="Garamond"/>
          <w:bCs/>
        </w:rPr>
        <w:t>. These organizations include but not limited to The Joint Commission, physicians, especially those with specialties applicable to LTCH patients, veteran organizations, social service, and advocacy groups.</w:t>
      </w:r>
    </w:p>
    <w:p w14:paraId="5FF41D76" w14:textId="77777777" w:rsidR="00117338" w:rsidRDefault="00117338" w:rsidP="007A57C4">
      <w:pPr>
        <w:contextualSpacing/>
        <w:rPr>
          <w:rFonts w:ascii="Garamond" w:hAnsi="Garamond"/>
          <w:b/>
          <w:i/>
          <w:iCs/>
          <w:highlight w:val="yellow"/>
        </w:rPr>
      </w:pPr>
      <w:bookmarkStart w:id="66" w:name="_Toc17731331"/>
      <w:bookmarkStart w:id="67" w:name="_Toc17748251"/>
      <w:bookmarkStart w:id="68" w:name="_Toc17748479"/>
      <w:bookmarkStart w:id="69" w:name="_Toc17748723"/>
      <w:bookmarkStart w:id="70" w:name="_Toc18420202"/>
      <w:bookmarkStart w:id="71" w:name="_Toc18922423"/>
    </w:p>
    <w:p w14:paraId="2F8C527F" w14:textId="7E8F7122" w:rsidR="002D535F" w:rsidRPr="004420F1" w:rsidRDefault="002D535F" w:rsidP="007A57C4">
      <w:pPr>
        <w:contextualSpacing/>
        <w:rPr>
          <w:rFonts w:ascii="Garamond" w:hAnsi="Garamond"/>
          <w:b/>
          <w:i/>
          <w:iCs/>
        </w:rPr>
      </w:pPr>
      <w:r w:rsidRPr="004420F1">
        <w:rPr>
          <w:rFonts w:ascii="Garamond" w:hAnsi="Garamond"/>
          <w:b/>
          <w:i/>
          <w:iCs/>
        </w:rPr>
        <w:t>Analysis: Public Health Outcomes</w:t>
      </w:r>
    </w:p>
    <w:p w14:paraId="104FAECD" w14:textId="258F0BD1" w:rsidR="00A02B72" w:rsidRPr="001768CC" w:rsidRDefault="004420F1" w:rsidP="00A02B72">
      <w:pPr>
        <w:autoSpaceDE w:val="0"/>
        <w:autoSpaceDN w:val="0"/>
        <w:adjustRightInd w:val="0"/>
        <w:rPr>
          <w:rFonts w:ascii="Garamond" w:hAnsi="Garamond" w:cs="Garamond"/>
          <w:color w:val="000000"/>
        </w:rPr>
      </w:pPr>
      <w:r w:rsidRPr="004420F1">
        <w:rPr>
          <w:rFonts w:ascii="Garamond" w:hAnsi="Garamond" w:cs="Garamond"/>
          <w:color w:val="000000"/>
        </w:rPr>
        <w:t>Staff finds that t</w:t>
      </w:r>
      <w:r w:rsidR="00A02B72" w:rsidRPr="004420F1">
        <w:rPr>
          <w:rFonts w:ascii="Garamond" w:hAnsi="Garamond" w:cs="Garamond"/>
          <w:color w:val="000000"/>
        </w:rPr>
        <w:t>he</w:t>
      </w:r>
      <w:r w:rsidRPr="004420F1">
        <w:rPr>
          <w:rFonts w:ascii="Garamond" w:hAnsi="Garamond" w:cs="Garamond"/>
          <w:color w:val="000000"/>
        </w:rPr>
        <w:t xml:space="preserve"> </w:t>
      </w:r>
      <w:r w:rsidR="00A02B72" w:rsidRPr="004420F1">
        <w:rPr>
          <w:rFonts w:ascii="Garamond" w:hAnsi="Garamond" w:cs="Garamond"/>
          <w:color w:val="000000"/>
        </w:rPr>
        <w:t xml:space="preserve">Applicant intends to </w:t>
      </w:r>
      <w:r w:rsidRPr="004420F1">
        <w:rPr>
          <w:rFonts w:ascii="Garamond" w:hAnsi="Garamond" w:cs="Garamond"/>
          <w:color w:val="000000"/>
        </w:rPr>
        <w:t>ensure and further strengthen the delivery of</w:t>
      </w:r>
      <w:r w:rsidR="00A02B72" w:rsidRPr="004420F1">
        <w:rPr>
          <w:rFonts w:ascii="Garamond" w:hAnsi="Garamond" w:cs="Garamond"/>
          <w:color w:val="000000"/>
        </w:rPr>
        <w:t xml:space="preserve"> quality care </w:t>
      </w:r>
      <w:r w:rsidRPr="004420F1">
        <w:rPr>
          <w:rFonts w:ascii="Garamond" w:hAnsi="Garamond" w:cs="Garamond"/>
          <w:color w:val="000000"/>
        </w:rPr>
        <w:t>and implement best practices that has the potential to improve health outcomes</w:t>
      </w:r>
      <w:r w:rsidR="00A02B72" w:rsidRPr="004420F1">
        <w:rPr>
          <w:rFonts w:ascii="Garamond" w:hAnsi="Garamond" w:cs="Garamond"/>
          <w:color w:val="000000"/>
        </w:rPr>
        <w:t xml:space="preserve">. </w:t>
      </w:r>
      <w:r w:rsidRPr="004420F1">
        <w:rPr>
          <w:rFonts w:ascii="Garamond" w:hAnsi="Garamond" w:cs="Garamond"/>
          <w:color w:val="000000"/>
        </w:rPr>
        <w:t xml:space="preserve">This can be evidenced by PAM Health’s ventilation wean rate </w:t>
      </w:r>
      <w:r w:rsidR="000F2FF8">
        <w:rPr>
          <w:rFonts w:ascii="Garamond" w:hAnsi="Garamond" w:cs="Garamond"/>
          <w:color w:val="000000"/>
        </w:rPr>
        <w:t xml:space="preserve">which is </w:t>
      </w:r>
      <w:r w:rsidR="000F2FF8" w:rsidRPr="004420F1">
        <w:rPr>
          <w:rFonts w:ascii="Garamond" w:hAnsi="Garamond" w:cs="Garamond"/>
          <w:color w:val="000000"/>
        </w:rPr>
        <w:t xml:space="preserve">better </w:t>
      </w:r>
      <w:r w:rsidRPr="004420F1">
        <w:rPr>
          <w:rFonts w:ascii="Garamond" w:hAnsi="Garamond" w:cs="Garamond"/>
          <w:color w:val="000000"/>
        </w:rPr>
        <w:t xml:space="preserve">than the national rate. </w:t>
      </w:r>
      <w:r>
        <w:rPr>
          <w:rFonts w:ascii="Garamond" w:hAnsi="Garamond" w:cs="Garamond"/>
          <w:color w:val="000000"/>
        </w:rPr>
        <w:t>The literature also supports that LTCHs ha</w:t>
      </w:r>
      <w:r w:rsidR="00543107">
        <w:rPr>
          <w:rFonts w:ascii="Garamond" w:hAnsi="Garamond" w:cs="Garamond"/>
          <w:color w:val="000000"/>
        </w:rPr>
        <w:t>ve</w:t>
      </w:r>
      <w:r>
        <w:rPr>
          <w:rFonts w:ascii="Garamond" w:hAnsi="Garamond" w:cs="Garamond"/>
          <w:color w:val="000000"/>
        </w:rPr>
        <w:t xml:space="preserve"> the potential to</w:t>
      </w:r>
      <w:r w:rsidR="00343835" w:rsidRPr="00343835">
        <w:rPr>
          <w:rFonts w:ascii="Garamond" w:hAnsi="Garamond" w:cs="Garamond"/>
          <w:color w:val="000000"/>
        </w:rPr>
        <w:t xml:space="preserve"> improve patient outcomes </w:t>
      </w:r>
      <w:r w:rsidR="00343835">
        <w:rPr>
          <w:rFonts w:ascii="Garamond" w:hAnsi="Garamond" w:cs="Garamond"/>
          <w:color w:val="000000"/>
        </w:rPr>
        <w:t>through</w:t>
      </w:r>
      <w:r w:rsidR="00343835" w:rsidRPr="00343835">
        <w:rPr>
          <w:rFonts w:ascii="Garamond" w:hAnsi="Garamond" w:cs="Garamond"/>
          <w:color w:val="000000"/>
        </w:rPr>
        <w:t xml:space="preserve"> specialized care programs for medically complex and chronically critically ill patients over an extended inpatient period.</w:t>
      </w:r>
      <w:r w:rsidR="00343835">
        <w:rPr>
          <w:rStyle w:val="EndnoteReference"/>
          <w:rFonts w:ascii="Garamond" w:hAnsi="Garamond" w:cs="Garamond"/>
          <w:color w:val="000000"/>
        </w:rPr>
        <w:endnoteReference w:id="3"/>
      </w:r>
      <w:r w:rsidR="001768CC" w:rsidRPr="001768CC">
        <w:rPr>
          <w:rFonts w:ascii="Garamond" w:hAnsi="Garamond" w:cs="Garamond"/>
          <w:color w:val="000000"/>
          <w:vertAlign w:val="superscript"/>
        </w:rPr>
        <w:t>,</w:t>
      </w:r>
      <w:r w:rsidR="001768CC">
        <w:rPr>
          <w:rStyle w:val="EndnoteReference"/>
          <w:rFonts w:ascii="Garamond" w:hAnsi="Garamond" w:cs="Garamond"/>
          <w:color w:val="000000"/>
        </w:rPr>
        <w:endnoteReference w:id="4"/>
      </w:r>
    </w:p>
    <w:p w14:paraId="5E85DF78" w14:textId="77777777" w:rsidR="00A02B72" w:rsidRPr="004E3B63" w:rsidRDefault="00A02B72" w:rsidP="00A02B72">
      <w:pPr>
        <w:autoSpaceDE w:val="0"/>
        <w:autoSpaceDN w:val="0"/>
        <w:adjustRightInd w:val="0"/>
        <w:rPr>
          <w:rFonts w:ascii="Garamond" w:hAnsi="Garamond" w:cs="Garamond"/>
          <w:color w:val="000000"/>
          <w:highlight w:val="yellow"/>
        </w:rPr>
      </w:pPr>
    </w:p>
    <w:p w14:paraId="378B8E21" w14:textId="0D261F9F" w:rsidR="002D535F" w:rsidRPr="007A57C4" w:rsidRDefault="002D535F" w:rsidP="007A57C4">
      <w:pPr>
        <w:contextualSpacing/>
        <w:rPr>
          <w:rFonts w:ascii="Garamond" w:hAnsi="Garamond"/>
          <w:b/>
          <w:bCs/>
        </w:rPr>
      </w:pPr>
      <w:r w:rsidRPr="007A57C4">
        <w:rPr>
          <w:rFonts w:ascii="Garamond" w:hAnsi="Garamond"/>
          <w:b/>
          <w:bCs/>
        </w:rPr>
        <w:t>Delivery System Transformation</w:t>
      </w:r>
      <w:bookmarkEnd w:id="66"/>
      <w:bookmarkEnd w:id="67"/>
      <w:bookmarkEnd w:id="68"/>
      <w:bookmarkEnd w:id="69"/>
      <w:bookmarkEnd w:id="70"/>
      <w:bookmarkEnd w:id="71"/>
      <w:r w:rsidRPr="007A57C4">
        <w:rPr>
          <w:rFonts w:ascii="Garamond" w:hAnsi="Garamond"/>
          <w:b/>
          <w:bCs/>
        </w:rPr>
        <w:t xml:space="preserve"> </w:t>
      </w:r>
    </w:p>
    <w:p w14:paraId="3840D9AB" w14:textId="68AC24B7" w:rsidR="00737CD8" w:rsidRDefault="00B707DE" w:rsidP="00D63F79">
      <w:pPr>
        <w:contextualSpacing/>
        <w:rPr>
          <w:rFonts w:ascii="Garamond" w:hAnsi="Garamond"/>
          <w:bCs/>
        </w:rPr>
      </w:pPr>
      <w:r>
        <w:rPr>
          <w:rFonts w:ascii="Garamond" w:hAnsi="Garamond"/>
          <w:bCs/>
        </w:rPr>
        <w:t xml:space="preserve">The Hospital provides care to a large proportion of public payer patients, which they plan to continue after the Proposed Project is executed. </w:t>
      </w:r>
      <w:r w:rsidR="00300CA5">
        <w:rPr>
          <w:rFonts w:ascii="Garamond" w:hAnsi="Garamond"/>
          <w:bCs/>
        </w:rPr>
        <w:t>As mentioned above, t</w:t>
      </w:r>
      <w:r w:rsidR="008451B2">
        <w:rPr>
          <w:rFonts w:ascii="Garamond" w:hAnsi="Garamond"/>
          <w:bCs/>
        </w:rPr>
        <w:t xml:space="preserve">he Applicant asserts that they will provide an interdisciplinary collaborative discharge planning process while focusing on the patients’ goals and treatment preferences. </w:t>
      </w:r>
      <w:r w:rsidR="00737CD8">
        <w:rPr>
          <w:rFonts w:ascii="Garamond" w:hAnsi="Garamond"/>
          <w:bCs/>
        </w:rPr>
        <w:t xml:space="preserve">This process is a shared responsibility of the interdisciplinary healthcare team, patient, and designated patient support caregiver. </w:t>
      </w:r>
      <w:r w:rsidR="008451B2">
        <w:rPr>
          <w:rFonts w:ascii="Garamond" w:hAnsi="Garamond"/>
          <w:bCs/>
        </w:rPr>
        <w:t xml:space="preserve">Several factors are considered in this process, which include </w:t>
      </w:r>
      <w:r w:rsidR="008451B2" w:rsidRPr="008451B2">
        <w:rPr>
          <w:rFonts w:ascii="Garamond" w:hAnsi="Garamond"/>
          <w:bCs/>
        </w:rPr>
        <w:t>patient functionality, patient caregiver supports, social support systems, and social</w:t>
      </w:r>
      <w:r w:rsidR="006C11E7">
        <w:rPr>
          <w:rFonts w:ascii="Garamond" w:hAnsi="Garamond"/>
          <w:bCs/>
        </w:rPr>
        <w:t xml:space="preserve"> </w:t>
      </w:r>
      <w:r w:rsidR="008451B2" w:rsidRPr="008451B2">
        <w:rPr>
          <w:rFonts w:ascii="Garamond" w:hAnsi="Garamond"/>
          <w:bCs/>
        </w:rPr>
        <w:t>determinates of health (e.g.</w:t>
      </w:r>
      <w:r w:rsidR="00300CA5">
        <w:rPr>
          <w:rFonts w:ascii="Garamond" w:hAnsi="Garamond"/>
          <w:bCs/>
        </w:rPr>
        <w:t>,</w:t>
      </w:r>
      <w:r w:rsidR="008451B2" w:rsidRPr="008451B2">
        <w:rPr>
          <w:rFonts w:ascii="Garamond" w:hAnsi="Garamond"/>
          <w:bCs/>
        </w:rPr>
        <w:t xml:space="preserve"> avai</w:t>
      </w:r>
      <w:r w:rsidR="008451B2">
        <w:rPr>
          <w:rFonts w:ascii="Garamond" w:hAnsi="Garamond"/>
          <w:bCs/>
        </w:rPr>
        <w:t>la</w:t>
      </w:r>
      <w:r w:rsidR="008451B2" w:rsidRPr="008451B2">
        <w:rPr>
          <w:rFonts w:ascii="Garamond" w:hAnsi="Garamond"/>
          <w:bCs/>
        </w:rPr>
        <w:t>b</w:t>
      </w:r>
      <w:r w:rsidR="008451B2">
        <w:rPr>
          <w:rFonts w:ascii="Garamond" w:hAnsi="Garamond"/>
          <w:bCs/>
        </w:rPr>
        <w:t>i</w:t>
      </w:r>
      <w:r w:rsidR="008451B2" w:rsidRPr="008451B2">
        <w:rPr>
          <w:rFonts w:ascii="Garamond" w:hAnsi="Garamond"/>
          <w:bCs/>
        </w:rPr>
        <w:t>lity/accessibility to adequate housing and transportation).</w:t>
      </w:r>
      <w:r w:rsidR="008451B2">
        <w:rPr>
          <w:rFonts w:ascii="Garamond" w:hAnsi="Garamond"/>
          <w:bCs/>
        </w:rPr>
        <w:t xml:space="preserve"> </w:t>
      </w:r>
      <w:r w:rsidR="006C11E7">
        <w:rPr>
          <w:rFonts w:ascii="Garamond" w:hAnsi="Garamond"/>
          <w:bCs/>
        </w:rPr>
        <w:t xml:space="preserve">The Applicant makes referrals as needed and based on patients’ choice that </w:t>
      </w:r>
      <w:r w:rsidR="000F2FF8">
        <w:rPr>
          <w:rFonts w:ascii="Garamond" w:hAnsi="Garamond"/>
          <w:bCs/>
        </w:rPr>
        <w:t>are</w:t>
      </w:r>
      <w:r w:rsidR="006C11E7">
        <w:rPr>
          <w:rFonts w:ascii="Garamond" w:hAnsi="Garamond"/>
          <w:bCs/>
        </w:rPr>
        <w:t xml:space="preserve"> consistent with the discharge plan and patients’ goals and/or preferences</w:t>
      </w:r>
      <w:r w:rsidR="00D63F79">
        <w:rPr>
          <w:rFonts w:ascii="Garamond" w:hAnsi="Garamond"/>
          <w:bCs/>
        </w:rPr>
        <w:t xml:space="preserve"> </w:t>
      </w:r>
      <w:r w:rsidR="00D63F79" w:rsidRPr="00D63F79">
        <w:rPr>
          <w:rFonts w:ascii="Garamond" w:hAnsi="Garamond"/>
          <w:bCs/>
        </w:rPr>
        <w:t>to community-based resources</w:t>
      </w:r>
      <w:r w:rsidR="006C11E7">
        <w:rPr>
          <w:rFonts w:ascii="Garamond" w:hAnsi="Garamond"/>
          <w:bCs/>
        </w:rPr>
        <w:t xml:space="preserve">. </w:t>
      </w:r>
    </w:p>
    <w:p w14:paraId="220BC651" w14:textId="77777777" w:rsidR="00B707DE" w:rsidRDefault="00B707DE" w:rsidP="008451B2">
      <w:pPr>
        <w:contextualSpacing/>
        <w:rPr>
          <w:rFonts w:ascii="Garamond" w:hAnsi="Garamond"/>
          <w:bCs/>
        </w:rPr>
      </w:pPr>
    </w:p>
    <w:p w14:paraId="6B677A26" w14:textId="7042E0D8" w:rsidR="002D535F" w:rsidRDefault="002D535F" w:rsidP="007A57C4">
      <w:pPr>
        <w:contextualSpacing/>
        <w:rPr>
          <w:rFonts w:ascii="Garamond" w:hAnsi="Garamond"/>
          <w:b/>
          <w:bCs/>
        </w:rPr>
      </w:pPr>
      <w:r w:rsidRPr="00CF26FE">
        <w:rPr>
          <w:rFonts w:ascii="Garamond" w:hAnsi="Garamond"/>
          <w:b/>
          <w:i/>
          <w:iCs/>
        </w:rPr>
        <w:t xml:space="preserve">Analysis: </w:t>
      </w:r>
      <w:r w:rsidRPr="00CF26FE">
        <w:rPr>
          <w:rFonts w:ascii="Garamond" w:hAnsi="Garamond"/>
          <w:b/>
          <w:bCs/>
          <w:i/>
          <w:iCs/>
        </w:rPr>
        <w:t>Delivery System Transformation</w:t>
      </w:r>
    </w:p>
    <w:p w14:paraId="126B3F95" w14:textId="0BC6E782" w:rsidR="000E4DCD" w:rsidRDefault="00936F6C" w:rsidP="007A57C4">
      <w:pPr>
        <w:contextualSpacing/>
        <w:rPr>
          <w:rFonts w:ascii="Garamond" w:hAnsi="Garamond"/>
          <w:bCs/>
          <w:highlight w:val="yellow"/>
        </w:rPr>
      </w:pPr>
      <w:r w:rsidRPr="00CF26FE">
        <w:rPr>
          <w:rFonts w:ascii="Garamond" w:hAnsi="Garamond"/>
          <w:bCs/>
        </w:rPr>
        <w:t xml:space="preserve">Central to the goal of Delivery System Transformation is the integration of social services and community-based expertise. </w:t>
      </w:r>
      <w:r w:rsidR="003D0133" w:rsidRPr="000E4DCD">
        <w:rPr>
          <w:rFonts w:ascii="Garamond" w:hAnsi="Garamond"/>
          <w:bCs/>
        </w:rPr>
        <w:t>The Applicant described how</w:t>
      </w:r>
      <w:r w:rsidR="000F2FF8">
        <w:rPr>
          <w:rFonts w:ascii="Garamond" w:hAnsi="Garamond"/>
          <w:bCs/>
        </w:rPr>
        <w:t xml:space="preserve"> it</w:t>
      </w:r>
      <w:r w:rsidR="000E4DCD" w:rsidRPr="000E4DCD">
        <w:rPr>
          <w:rFonts w:ascii="Garamond" w:hAnsi="Garamond"/>
          <w:bCs/>
        </w:rPr>
        <w:t xml:space="preserve"> use</w:t>
      </w:r>
      <w:r w:rsidR="000F2FF8">
        <w:rPr>
          <w:rFonts w:ascii="Garamond" w:hAnsi="Garamond"/>
          <w:bCs/>
        </w:rPr>
        <w:t>s</w:t>
      </w:r>
      <w:r w:rsidR="000E4DCD" w:rsidRPr="000E4DCD">
        <w:rPr>
          <w:rFonts w:ascii="Garamond" w:hAnsi="Garamond"/>
          <w:bCs/>
        </w:rPr>
        <w:t xml:space="preserve"> an interdisciplinary approach to connect </w:t>
      </w:r>
      <w:r w:rsidR="00CF26FE" w:rsidRPr="000E4DCD">
        <w:rPr>
          <w:rFonts w:ascii="Garamond" w:hAnsi="Garamond"/>
          <w:bCs/>
        </w:rPr>
        <w:t>patie</w:t>
      </w:r>
      <w:r w:rsidR="000E4DCD" w:rsidRPr="000E4DCD">
        <w:rPr>
          <w:rFonts w:ascii="Garamond" w:hAnsi="Garamond"/>
          <w:bCs/>
        </w:rPr>
        <w:t xml:space="preserve">nts to appropriate community-based services that also align with patients’ goals and discharge plans. </w:t>
      </w:r>
      <w:r w:rsidR="001E1A3F">
        <w:rPr>
          <w:rFonts w:ascii="Garamond" w:hAnsi="Garamond"/>
          <w:bCs/>
        </w:rPr>
        <w:t xml:space="preserve">The Applicant’s efforts in screening patients along the spectrum of care </w:t>
      </w:r>
      <w:r w:rsidR="000F2FF8">
        <w:rPr>
          <w:rFonts w:ascii="Garamond" w:hAnsi="Garamond"/>
          <w:bCs/>
        </w:rPr>
        <w:t xml:space="preserve">starting </w:t>
      </w:r>
      <w:r w:rsidR="001E1A3F">
        <w:rPr>
          <w:rFonts w:ascii="Garamond" w:hAnsi="Garamond"/>
          <w:bCs/>
        </w:rPr>
        <w:t xml:space="preserve">prior to intake </w:t>
      </w:r>
      <w:r w:rsidR="000F2FF8">
        <w:rPr>
          <w:rFonts w:ascii="Garamond" w:hAnsi="Garamond"/>
          <w:bCs/>
        </w:rPr>
        <w:t xml:space="preserve">and occur through </w:t>
      </w:r>
      <w:r w:rsidR="001E1A3F">
        <w:rPr>
          <w:rFonts w:ascii="Garamond" w:hAnsi="Garamond"/>
          <w:bCs/>
        </w:rPr>
        <w:t>post-discharge will enable identif</w:t>
      </w:r>
      <w:r w:rsidR="000F2FF8">
        <w:rPr>
          <w:rFonts w:ascii="Garamond" w:hAnsi="Garamond"/>
          <w:bCs/>
        </w:rPr>
        <w:t>ication of</w:t>
      </w:r>
      <w:r w:rsidR="001E1A3F">
        <w:rPr>
          <w:rFonts w:ascii="Garamond" w:hAnsi="Garamond"/>
          <w:bCs/>
        </w:rPr>
        <w:t xml:space="preserve"> patient social needs and appropriate referrals. Further, the mechanisms they have in place has the potential to improve the continuity of care.</w:t>
      </w:r>
    </w:p>
    <w:p w14:paraId="131A8B75" w14:textId="77777777" w:rsidR="00155601" w:rsidRDefault="00155601" w:rsidP="00155601">
      <w:pPr>
        <w:pStyle w:val="Heading1"/>
        <w:spacing w:before="0" w:line="240" w:lineRule="auto"/>
        <w:rPr>
          <w:rFonts w:ascii="Garamond" w:hAnsi="Garamond"/>
        </w:rPr>
      </w:pPr>
      <w:bookmarkStart w:id="72" w:name="_Toc17748725"/>
      <w:bookmarkStart w:id="73" w:name="_Toc17748726"/>
    </w:p>
    <w:p w14:paraId="76E22F0E" w14:textId="4B80466C" w:rsidR="002D535F" w:rsidRPr="00231124" w:rsidRDefault="002D535F" w:rsidP="00155601">
      <w:pPr>
        <w:pStyle w:val="Heading1"/>
        <w:spacing w:before="0" w:line="240" w:lineRule="auto"/>
        <w:rPr>
          <w:rFonts w:ascii="Garamond" w:hAnsi="Garamond"/>
        </w:rPr>
      </w:pPr>
      <w:bookmarkStart w:id="74" w:name="_Toc88515730"/>
      <w:r w:rsidRPr="00231124">
        <w:rPr>
          <w:rFonts w:ascii="Garamond" w:hAnsi="Garamond"/>
        </w:rPr>
        <w:t>Summary, FACTOR 2</w:t>
      </w:r>
      <w:bookmarkEnd w:id="74"/>
      <w:r w:rsidRPr="00231124">
        <w:rPr>
          <w:rFonts w:ascii="Garamond" w:hAnsi="Garamond"/>
        </w:rPr>
        <w:t xml:space="preserve"> </w:t>
      </w:r>
    </w:p>
    <w:p w14:paraId="40E20CBC" w14:textId="68CECCD3" w:rsidR="00C05378" w:rsidRPr="007A57C4" w:rsidRDefault="00C05378" w:rsidP="007A57C4">
      <w:pPr>
        <w:tabs>
          <w:tab w:val="left" w:pos="3240"/>
        </w:tabs>
        <w:contextualSpacing/>
        <w:rPr>
          <w:rFonts w:ascii="Garamond" w:hAnsi="Garamond" w:cs="Arial"/>
        </w:rPr>
      </w:pPr>
      <w:r w:rsidRPr="00C05378">
        <w:rPr>
          <w:rFonts w:ascii="Garamond" w:hAnsi="Garamond" w:cs="Arial"/>
        </w:rPr>
        <w:t>As a result of information provided, staff finds that the Proposed Transfer of Ownership has sufficiently met the requirements of Factor 2.</w:t>
      </w:r>
    </w:p>
    <w:p w14:paraId="0F6F08D8" w14:textId="77777777" w:rsidR="002D535F" w:rsidRPr="007A57C4" w:rsidRDefault="002D535F" w:rsidP="007A57C4">
      <w:pPr>
        <w:contextualSpacing/>
        <w:rPr>
          <w:rFonts w:ascii="Garamond" w:eastAsia="Calibri" w:hAnsi="Garamond"/>
          <w:bCs/>
        </w:rPr>
      </w:pPr>
    </w:p>
    <w:p w14:paraId="31B30376" w14:textId="77777777" w:rsidR="002D535F" w:rsidRPr="0098402E" w:rsidRDefault="002D535F" w:rsidP="007A57C4">
      <w:pPr>
        <w:pStyle w:val="Heading1"/>
        <w:spacing w:before="0" w:line="240" w:lineRule="auto"/>
        <w:contextualSpacing/>
        <w:rPr>
          <w:rFonts w:ascii="Garamond" w:hAnsi="Garamond"/>
        </w:rPr>
      </w:pPr>
      <w:bookmarkStart w:id="75" w:name="_Toc88515731"/>
      <w:r w:rsidRPr="0098402E">
        <w:rPr>
          <w:rFonts w:ascii="Garamond" w:hAnsi="Garamond"/>
        </w:rPr>
        <w:t>Factor 3: Relevant Licensure/Oversight Compliance</w:t>
      </w:r>
      <w:bookmarkEnd w:id="72"/>
      <w:bookmarkEnd w:id="75"/>
    </w:p>
    <w:p w14:paraId="685EFDFE" w14:textId="564693CA" w:rsidR="002D535F" w:rsidRPr="007B6BF9" w:rsidRDefault="00414E8A" w:rsidP="00414E8A">
      <w:pPr>
        <w:contextualSpacing/>
        <w:rPr>
          <w:rFonts w:ascii="Garamond" w:hAnsi="Garamond"/>
        </w:rPr>
      </w:pPr>
      <w:r w:rsidRPr="00414E8A">
        <w:rPr>
          <w:rFonts w:ascii="Garamond" w:hAnsi="Garamond"/>
        </w:rPr>
        <w:t xml:space="preserve">The Applicant has provided evidence of compliance and good standing with federal, state, and local laws and regulations and </w:t>
      </w:r>
      <w:r w:rsidR="001377D8">
        <w:rPr>
          <w:rFonts w:ascii="Garamond" w:hAnsi="Garamond"/>
        </w:rPr>
        <w:t xml:space="preserve">this Factor </w:t>
      </w:r>
      <w:r w:rsidRPr="00414E8A">
        <w:rPr>
          <w:rFonts w:ascii="Garamond" w:hAnsi="Garamond"/>
        </w:rPr>
        <w:t>will not be addressed further in this report. As a result of information provided by the Applicant, staff finds the Applicant has reasonably met the standards of Factor 3.</w:t>
      </w:r>
    </w:p>
    <w:p w14:paraId="745D1D6C" w14:textId="77777777" w:rsidR="004E3B63" w:rsidRDefault="004E3B63" w:rsidP="007A57C4">
      <w:pPr>
        <w:pStyle w:val="Heading1"/>
        <w:spacing w:before="0" w:line="240" w:lineRule="auto"/>
        <w:contextualSpacing/>
        <w:rPr>
          <w:rFonts w:ascii="Garamond" w:hAnsi="Garamond"/>
        </w:rPr>
      </w:pPr>
      <w:bookmarkStart w:id="76" w:name="_Toc88515732"/>
    </w:p>
    <w:p w14:paraId="1F42F715" w14:textId="0B025AAC" w:rsidR="002D535F" w:rsidRPr="0098402E" w:rsidRDefault="002D535F" w:rsidP="007A57C4">
      <w:pPr>
        <w:pStyle w:val="Heading1"/>
        <w:spacing w:before="0" w:line="240" w:lineRule="auto"/>
        <w:contextualSpacing/>
        <w:rPr>
          <w:rFonts w:ascii="Garamond" w:hAnsi="Garamond"/>
        </w:rPr>
      </w:pPr>
      <w:r w:rsidRPr="0098402E">
        <w:rPr>
          <w:rFonts w:ascii="Garamond" w:hAnsi="Garamond"/>
        </w:rPr>
        <w:t>Factor 4: Demonstration of Sufficient Funds as Supported by an Independent CPA Analysis</w:t>
      </w:r>
      <w:bookmarkEnd w:id="73"/>
      <w:bookmarkEnd w:id="76"/>
    </w:p>
    <w:p w14:paraId="4EA1EBF6" w14:textId="3803CCFE" w:rsidR="00B22267" w:rsidRPr="0019686D" w:rsidRDefault="008E4C41" w:rsidP="0019686D">
      <w:pPr>
        <w:contextualSpacing/>
        <w:rPr>
          <w:rFonts w:ascii="Garamond" w:hAnsi="Garamond"/>
          <w:highlight w:val="yellow"/>
        </w:rPr>
      </w:pPr>
      <w:r w:rsidRPr="008E4C41">
        <w:rPr>
          <w:rFonts w:ascii="Garamond" w:hAnsi="Garamond"/>
        </w:rPr>
        <w:t>Under factor 4, the Applicant must demonstrate that it has sufficient funds available for capital and operating costs necessary to support the Proposed Project without negative effects or consequences to the existing Patient Panel. Documentation sufficient to make such finding must be supported by an analysis by an independent CPA</w:t>
      </w:r>
      <w:r>
        <w:rPr>
          <w:rFonts w:ascii="Garamond" w:hAnsi="Garamond"/>
        </w:rPr>
        <w:t>.</w:t>
      </w:r>
      <w:r w:rsidR="007B50D6">
        <w:rPr>
          <w:rFonts w:ascii="Garamond" w:hAnsi="Garamond"/>
        </w:rPr>
        <w:t xml:space="preserve"> The Applicant submitted a CPA report compiled by</w:t>
      </w:r>
      <w:r w:rsidR="00D82246">
        <w:rPr>
          <w:rFonts w:ascii="Garamond" w:hAnsi="Garamond"/>
        </w:rPr>
        <w:t xml:space="preserve"> BDO</w:t>
      </w:r>
      <w:r w:rsidR="007B50D6">
        <w:rPr>
          <w:rFonts w:ascii="Garamond" w:hAnsi="Garamond"/>
        </w:rPr>
        <w:t xml:space="preserve">. </w:t>
      </w:r>
      <w:r w:rsidR="00B22267" w:rsidRPr="00C06ABB">
        <w:rPr>
          <w:rFonts w:ascii="Garamond" w:hAnsi="Garamond"/>
        </w:rPr>
        <w:t xml:space="preserve">The CPA analysis </w:t>
      </w:r>
      <w:r w:rsidR="00B22267">
        <w:rPr>
          <w:rFonts w:ascii="Garamond" w:hAnsi="Garamond"/>
        </w:rPr>
        <w:t>was limited to six-year financial projections for the Applicant (FY2021</w:t>
      </w:r>
      <w:r w:rsidR="00243602">
        <w:rPr>
          <w:rFonts w:ascii="Garamond" w:hAnsi="Garamond"/>
        </w:rPr>
        <w:t>-</w:t>
      </w:r>
      <w:r w:rsidR="00B22267">
        <w:rPr>
          <w:rFonts w:ascii="Garamond" w:hAnsi="Garamond"/>
        </w:rPr>
        <w:t xml:space="preserve">2026). </w:t>
      </w:r>
    </w:p>
    <w:p w14:paraId="135896E6" w14:textId="767A5149" w:rsidR="00B22267" w:rsidRDefault="00B22267" w:rsidP="007A57C4">
      <w:pPr>
        <w:contextualSpacing/>
        <w:rPr>
          <w:rFonts w:ascii="Garamond" w:hAnsi="Garamond"/>
          <w:highlight w:val="yellow"/>
        </w:rPr>
      </w:pPr>
    </w:p>
    <w:p w14:paraId="3AA72B9D" w14:textId="39F76FD0" w:rsidR="0057380B" w:rsidRPr="007B5665" w:rsidRDefault="006904D3" w:rsidP="006904D3">
      <w:pPr>
        <w:contextualSpacing/>
        <w:rPr>
          <w:rFonts w:ascii="Garamond" w:hAnsi="Garamond"/>
        </w:rPr>
      </w:pPr>
      <w:r w:rsidRPr="006904D3">
        <w:rPr>
          <w:rFonts w:ascii="Garamond" w:hAnsi="Garamond"/>
        </w:rPr>
        <w:t xml:space="preserve">The CPA Report </w:t>
      </w:r>
      <w:r w:rsidR="007B5665">
        <w:rPr>
          <w:rFonts w:ascii="Garamond" w:hAnsi="Garamond"/>
        </w:rPr>
        <w:t xml:space="preserve">reviewed and is based on several documents including </w:t>
      </w:r>
      <w:r>
        <w:rPr>
          <w:rFonts w:ascii="Garamond" w:hAnsi="Garamond"/>
        </w:rPr>
        <w:t xml:space="preserve">the Applicant’s </w:t>
      </w:r>
      <w:r w:rsidR="007B5665">
        <w:rPr>
          <w:rFonts w:ascii="Garamond" w:hAnsi="Garamond"/>
        </w:rPr>
        <w:t>f</w:t>
      </w:r>
      <w:r>
        <w:rPr>
          <w:rFonts w:ascii="Garamond" w:hAnsi="Garamond"/>
        </w:rPr>
        <w:t xml:space="preserve">inancial </w:t>
      </w:r>
      <w:r w:rsidR="007B5665">
        <w:rPr>
          <w:rFonts w:ascii="Garamond" w:hAnsi="Garamond"/>
        </w:rPr>
        <w:t>m</w:t>
      </w:r>
      <w:r>
        <w:rPr>
          <w:rFonts w:ascii="Garamond" w:hAnsi="Garamond"/>
        </w:rPr>
        <w:t xml:space="preserve">odel, </w:t>
      </w:r>
      <w:r w:rsidR="007B5665">
        <w:rPr>
          <w:rFonts w:ascii="Garamond" w:hAnsi="Garamond"/>
        </w:rPr>
        <w:t>f</w:t>
      </w:r>
      <w:r>
        <w:rPr>
          <w:rFonts w:ascii="Garamond" w:hAnsi="Garamond"/>
        </w:rPr>
        <w:t xml:space="preserve">iscal </w:t>
      </w:r>
      <w:r w:rsidR="007B5665">
        <w:rPr>
          <w:rFonts w:ascii="Garamond" w:hAnsi="Garamond"/>
        </w:rPr>
        <w:t>y</w:t>
      </w:r>
      <w:r>
        <w:rPr>
          <w:rFonts w:ascii="Garamond" w:hAnsi="Garamond"/>
        </w:rPr>
        <w:t xml:space="preserve">ear 2021 </w:t>
      </w:r>
      <w:r w:rsidR="007B5665">
        <w:rPr>
          <w:rFonts w:ascii="Garamond" w:hAnsi="Garamond"/>
        </w:rPr>
        <w:t>f</w:t>
      </w:r>
      <w:r>
        <w:rPr>
          <w:rFonts w:ascii="Garamond" w:hAnsi="Garamond"/>
        </w:rPr>
        <w:t xml:space="preserve">inancial </w:t>
      </w:r>
      <w:r w:rsidR="007B5665">
        <w:rPr>
          <w:rFonts w:ascii="Garamond" w:hAnsi="Garamond"/>
        </w:rPr>
        <w:t>b</w:t>
      </w:r>
      <w:r>
        <w:rPr>
          <w:rFonts w:ascii="Garamond" w:hAnsi="Garamond"/>
        </w:rPr>
        <w:t xml:space="preserve">udget, </w:t>
      </w:r>
      <w:r w:rsidR="007B5665">
        <w:rPr>
          <w:rFonts w:ascii="Garamond" w:hAnsi="Garamond"/>
        </w:rPr>
        <w:t>i</w:t>
      </w:r>
      <w:r>
        <w:rPr>
          <w:rFonts w:ascii="Garamond" w:hAnsi="Garamond"/>
        </w:rPr>
        <w:t xml:space="preserve">nternal </w:t>
      </w:r>
      <w:r w:rsidR="007B5665">
        <w:rPr>
          <w:rFonts w:ascii="Garamond" w:hAnsi="Garamond"/>
        </w:rPr>
        <w:t>f</w:t>
      </w:r>
      <w:r>
        <w:rPr>
          <w:rFonts w:ascii="Garamond" w:hAnsi="Garamond"/>
        </w:rPr>
        <w:t xml:space="preserve">inancial </w:t>
      </w:r>
      <w:r w:rsidR="007B5665">
        <w:rPr>
          <w:rFonts w:ascii="Garamond" w:hAnsi="Garamond"/>
        </w:rPr>
        <w:t>s</w:t>
      </w:r>
      <w:r>
        <w:rPr>
          <w:rFonts w:ascii="Garamond" w:hAnsi="Garamond"/>
        </w:rPr>
        <w:t xml:space="preserve">tatements, </w:t>
      </w:r>
      <w:r w:rsidR="007B5665">
        <w:rPr>
          <w:rFonts w:ascii="Garamond" w:hAnsi="Garamond"/>
        </w:rPr>
        <w:t>a</w:t>
      </w:r>
      <w:r>
        <w:rPr>
          <w:rFonts w:ascii="Garamond" w:hAnsi="Garamond"/>
        </w:rPr>
        <w:t xml:space="preserve">udited </w:t>
      </w:r>
      <w:r w:rsidR="007B5665">
        <w:rPr>
          <w:rFonts w:ascii="Garamond" w:hAnsi="Garamond"/>
        </w:rPr>
        <w:t>c</w:t>
      </w:r>
      <w:r>
        <w:rPr>
          <w:rFonts w:ascii="Garamond" w:hAnsi="Garamond"/>
        </w:rPr>
        <w:t xml:space="preserve">onsolidated </w:t>
      </w:r>
      <w:r w:rsidR="007B5665">
        <w:rPr>
          <w:rFonts w:ascii="Garamond" w:hAnsi="Garamond"/>
        </w:rPr>
        <w:t>f</w:t>
      </w:r>
      <w:r>
        <w:rPr>
          <w:rFonts w:ascii="Garamond" w:hAnsi="Garamond"/>
        </w:rPr>
        <w:t xml:space="preserve">inancial </w:t>
      </w:r>
      <w:r w:rsidR="007B5665">
        <w:rPr>
          <w:rFonts w:ascii="Garamond" w:hAnsi="Garamond"/>
        </w:rPr>
        <w:t>s</w:t>
      </w:r>
      <w:r>
        <w:rPr>
          <w:rFonts w:ascii="Garamond" w:hAnsi="Garamond"/>
        </w:rPr>
        <w:t xml:space="preserve">tatements and </w:t>
      </w:r>
      <w:r w:rsidR="007B5665">
        <w:rPr>
          <w:rFonts w:ascii="Garamond" w:hAnsi="Garamond"/>
        </w:rPr>
        <w:t>s</w:t>
      </w:r>
      <w:r>
        <w:rPr>
          <w:rFonts w:ascii="Garamond" w:hAnsi="Garamond"/>
        </w:rPr>
        <w:t xml:space="preserve">upplementary </w:t>
      </w:r>
      <w:r w:rsidR="007B5665">
        <w:rPr>
          <w:rFonts w:ascii="Garamond" w:hAnsi="Garamond"/>
        </w:rPr>
        <w:t>i</w:t>
      </w:r>
      <w:r>
        <w:rPr>
          <w:rFonts w:ascii="Garamond" w:hAnsi="Garamond"/>
        </w:rPr>
        <w:t xml:space="preserve">nformation for </w:t>
      </w:r>
      <w:r w:rsidR="006B2292">
        <w:rPr>
          <w:rFonts w:ascii="Garamond" w:hAnsi="Garamond"/>
        </w:rPr>
        <w:t>post-acute</w:t>
      </w:r>
      <w:r>
        <w:rPr>
          <w:rFonts w:ascii="Garamond" w:hAnsi="Garamond"/>
        </w:rPr>
        <w:t xml:space="preserve"> and </w:t>
      </w:r>
      <w:r w:rsidR="007B5665">
        <w:rPr>
          <w:rFonts w:ascii="Garamond" w:hAnsi="Garamond"/>
        </w:rPr>
        <w:t>s</w:t>
      </w:r>
      <w:r>
        <w:rPr>
          <w:rFonts w:ascii="Garamond" w:hAnsi="Garamond"/>
        </w:rPr>
        <w:t>ubsidiaries</w:t>
      </w:r>
      <w:r w:rsidR="007B5665">
        <w:rPr>
          <w:rFonts w:ascii="Garamond" w:hAnsi="Garamond"/>
        </w:rPr>
        <w:t>, and historical and projected net revenue by payor</w:t>
      </w:r>
      <w:r w:rsidR="001377D8">
        <w:rPr>
          <w:rFonts w:ascii="Garamond" w:hAnsi="Garamond"/>
        </w:rPr>
        <w:t>s</w:t>
      </w:r>
      <w:r>
        <w:rPr>
          <w:rFonts w:ascii="Garamond" w:hAnsi="Garamond"/>
        </w:rPr>
        <w:t xml:space="preserve"> as well as for Curahealth Hospital</w:t>
      </w:r>
      <w:r w:rsidR="00543107">
        <w:rPr>
          <w:rFonts w:ascii="Garamond" w:hAnsi="Garamond"/>
        </w:rPr>
        <w:t>’</w:t>
      </w:r>
      <w:r>
        <w:rPr>
          <w:rFonts w:ascii="Garamond" w:hAnsi="Garamond"/>
        </w:rPr>
        <w:t>s consolidated pro forma, internal financial statements</w:t>
      </w:r>
      <w:r w:rsidR="007B5665">
        <w:rPr>
          <w:rFonts w:ascii="Garamond" w:hAnsi="Garamond"/>
        </w:rPr>
        <w:t xml:space="preserve">, and estimated projected maintenance capital expenditures. </w:t>
      </w:r>
      <w:r w:rsidRPr="007B5665">
        <w:rPr>
          <w:rFonts w:ascii="Garamond" w:hAnsi="Garamond"/>
        </w:rPr>
        <w:t xml:space="preserve">The CPA reviewed the Applicant’s financial assumptions used in preparing the </w:t>
      </w:r>
      <w:r w:rsidR="007B5665" w:rsidRPr="007B5665">
        <w:rPr>
          <w:rFonts w:ascii="Garamond" w:hAnsi="Garamond"/>
        </w:rPr>
        <w:t>projections</w:t>
      </w:r>
      <w:r w:rsidR="00EC5588">
        <w:rPr>
          <w:rFonts w:ascii="Garamond" w:hAnsi="Garamond"/>
        </w:rPr>
        <w:t xml:space="preserve"> </w:t>
      </w:r>
      <w:r w:rsidR="007B5665" w:rsidRPr="007B5665">
        <w:rPr>
          <w:rFonts w:ascii="Garamond" w:hAnsi="Garamond"/>
        </w:rPr>
        <w:t>and</w:t>
      </w:r>
      <w:r w:rsidRPr="007B5665">
        <w:rPr>
          <w:rFonts w:ascii="Garamond" w:hAnsi="Garamond"/>
        </w:rPr>
        <w:t xml:space="preserve"> found that those assumptions were reasonable.</w:t>
      </w:r>
    </w:p>
    <w:p w14:paraId="6B995B0D" w14:textId="77777777" w:rsidR="0057380B" w:rsidRDefault="0057380B" w:rsidP="007A57C4">
      <w:pPr>
        <w:contextualSpacing/>
        <w:rPr>
          <w:rFonts w:ascii="Garamond" w:hAnsi="Garamond"/>
          <w:highlight w:val="yellow"/>
        </w:rPr>
      </w:pPr>
    </w:p>
    <w:p w14:paraId="4FFC73A4" w14:textId="003F68E3" w:rsidR="00661915" w:rsidRDefault="00661915" w:rsidP="00661915">
      <w:pPr>
        <w:rPr>
          <w:rFonts w:ascii="Garamond" w:hAnsi="Garamond"/>
        </w:rPr>
      </w:pPr>
      <w:r w:rsidRPr="001418D7">
        <w:rPr>
          <w:rFonts w:ascii="Garamond" w:hAnsi="Garamond"/>
        </w:rPr>
        <w:t>The projected revenue is</w:t>
      </w:r>
      <w:r>
        <w:rPr>
          <w:rFonts w:ascii="Garamond" w:hAnsi="Garamond"/>
        </w:rPr>
        <w:t xml:space="preserve"> estimated</w:t>
      </w:r>
      <w:r w:rsidRPr="001418D7">
        <w:rPr>
          <w:rFonts w:ascii="Garamond" w:hAnsi="Garamond"/>
        </w:rPr>
        <w:t xml:space="preserve"> based on </w:t>
      </w:r>
      <w:r>
        <w:rPr>
          <w:rFonts w:ascii="Garamond" w:hAnsi="Garamond"/>
        </w:rPr>
        <w:t>net inpatient revenue</w:t>
      </w:r>
      <w:r w:rsidR="00EC5588">
        <w:rPr>
          <w:rStyle w:val="FootnoteReference"/>
          <w:rFonts w:ascii="Garamond" w:hAnsi="Garamond"/>
        </w:rPr>
        <w:footnoteReference w:id="13"/>
      </w:r>
      <w:r>
        <w:rPr>
          <w:rFonts w:ascii="Garamond" w:hAnsi="Garamond"/>
        </w:rPr>
        <w:t xml:space="preserve"> and net outpatient revenue</w:t>
      </w:r>
      <w:r w:rsidR="00EC5588">
        <w:rPr>
          <w:rStyle w:val="FootnoteReference"/>
          <w:rFonts w:ascii="Garamond" w:hAnsi="Garamond"/>
        </w:rPr>
        <w:footnoteReference w:id="14"/>
      </w:r>
      <w:r w:rsidR="00414A6D">
        <w:rPr>
          <w:rFonts w:ascii="Garamond" w:hAnsi="Garamond"/>
        </w:rPr>
        <w:t>.</w:t>
      </w:r>
      <w:r w:rsidR="0019686D">
        <w:rPr>
          <w:rFonts w:ascii="Garamond" w:hAnsi="Garamond"/>
        </w:rPr>
        <w:t xml:space="preserve"> The review was based on historical operations of PAM and Curahealth and anticipated market movements</w:t>
      </w:r>
      <w:r>
        <w:rPr>
          <w:rFonts w:ascii="Garamond" w:hAnsi="Garamond"/>
        </w:rPr>
        <w:t>. Approximately 99% of revenue relates to net inpatient revenue</w:t>
      </w:r>
      <w:r w:rsidR="0019686D">
        <w:rPr>
          <w:rFonts w:ascii="Garamond" w:hAnsi="Garamond"/>
        </w:rPr>
        <w:t>, which considered volume (inpatient days) and rate adjustments</w:t>
      </w:r>
      <w:r w:rsidR="0019686D">
        <w:rPr>
          <w:rStyle w:val="FootnoteReference"/>
          <w:rFonts w:ascii="Garamond" w:hAnsi="Garamond"/>
        </w:rPr>
        <w:footnoteReference w:id="15"/>
      </w:r>
      <w:r>
        <w:rPr>
          <w:rFonts w:ascii="Garamond" w:hAnsi="Garamond"/>
        </w:rPr>
        <w:t xml:space="preserve">. </w:t>
      </w:r>
      <w:r w:rsidR="0019686D">
        <w:rPr>
          <w:rFonts w:ascii="Garamond" w:hAnsi="Garamond"/>
        </w:rPr>
        <w:t xml:space="preserve">The net outpatient revenue is expected to grow by 2% per quarter from the first quarter of 2022 through the fourth quarter of 2026. </w:t>
      </w:r>
    </w:p>
    <w:p w14:paraId="7B6C76C6" w14:textId="77777777" w:rsidR="00661915" w:rsidRDefault="00661915" w:rsidP="00661915">
      <w:pPr>
        <w:rPr>
          <w:rFonts w:ascii="Garamond" w:hAnsi="Garamond"/>
        </w:rPr>
      </w:pPr>
    </w:p>
    <w:p w14:paraId="0B15795A" w14:textId="52DACFA2" w:rsidR="00661915" w:rsidRDefault="00661915" w:rsidP="00661915">
      <w:pPr>
        <w:rPr>
          <w:rFonts w:ascii="Garamond" w:hAnsi="Garamond"/>
        </w:rPr>
      </w:pPr>
      <w:r w:rsidRPr="00653CCD">
        <w:rPr>
          <w:rFonts w:ascii="Garamond" w:hAnsi="Garamond"/>
        </w:rPr>
        <w:t>The CPA also reviewed the Applicant’s projected operating expenses</w:t>
      </w:r>
      <w:r w:rsidR="007D66E4">
        <w:rPr>
          <w:rFonts w:ascii="Garamond" w:hAnsi="Garamond"/>
        </w:rPr>
        <w:t>.</w:t>
      </w:r>
      <w:r w:rsidR="007D66E4">
        <w:rPr>
          <w:rStyle w:val="FootnoteReference"/>
          <w:rFonts w:ascii="Garamond" w:hAnsi="Garamond"/>
        </w:rPr>
        <w:footnoteReference w:id="16"/>
      </w:r>
      <w:r w:rsidR="007D66E4">
        <w:rPr>
          <w:rFonts w:ascii="Garamond" w:hAnsi="Garamond"/>
        </w:rPr>
        <w:t xml:space="preserve"> </w:t>
      </w:r>
      <w:r w:rsidR="007D66E4" w:rsidRPr="007D66E4">
        <w:rPr>
          <w:rFonts w:ascii="Garamond" w:hAnsi="Garamond"/>
        </w:rPr>
        <w:t>Salaries, wages, and benefits account for approximately 57</w:t>
      </w:r>
      <w:r w:rsidR="007D66E4">
        <w:rPr>
          <w:rFonts w:ascii="Garamond" w:hAnsi="Garamond"/>
        </w:rPr>
        <w:t>%</w:t>
      </w:r>
      <w:r w:rsidR="007D66E4" w:rsidRPr="007D66E4">
        <w:rPr>
          <w:rFonts w:ascii="Garamond" w:hAnsi="Garamond"/>
        </w:rPr>
        <w:t xml:space="preserve"> of total operating expenses and other operating expenses account for approximately 27</w:t>
      </w:r>
      <w:r w:rsidR="007D66E4">
        <w:rPr>
          <w:rFonts w:ascii="Garamond" w:hAnsi="Garamond"/>
        </w:rPr>
        <w:t>%</w:t>
      </w:r>
      <w:r w:rsidR="007D66E4" w:rsidRPr="007D66E4">
        <w:rPr>
          <w:rFonts w:ascii="Garamond" w:hAnsi="Garamond"/>
        </w:rPr>
        <w:t xml:space="preserve"> of total operating expenses throughout the projection period.</w:t>
      </w:r>
      <w:r w:rsidR="00FF5464">
        <w:rPr>
          <w:rFonts w:ascii="Garamond" w:hAnsi="Garamond"/>
        </w:rPr>
        <w:t xml:space="preserve"> </w:t>
      </w:r>
      <w:r w:rsidRPr="00653CCD">
        <w:rPr>
          <w:rFonts w:ascii="Garamond" w:hAnsi="Garamond"/>
        </w:rPr>
        <w:t xml:space="preserve">Overall, the majority of expenses are projected to increase </w:t>
      </w:r>
      <w:r w:rsidR="00243602">
        <w:rPr>
          <w:rFonts w:ascii="Garamond" w:hAnsi="Garamond"/>
        </w:rPr>
        <w:t>2</w:t>
      </w:r>
      <w:r w:rsidRPr="00653CCD">
        <w:rPr>
          <w:rFonts w:ascii="Garamond" w:hAnsi="Garamond"/>
        </w:rPr>
        <w:t>% annually</w:t>
      </w:r>
      <w:r w:rsidR="00243602">
        <w:rPr>
          <w:rFonts w:ascii="Garamond" w:hAnsi="Garamond"/>
        </w:rPr>
        <w:t xml:space="preserve"> (FY2023-2026)</w:t>
      </w:r>
      <w:r w:rsidRPr="00653CCD">
        <w:rPr>
          <w:rFonts w:ascii="Garamond" w:hAnsi="Garamond"/>
        </w:rPr>
        <w:t xml:space="preserve">, except for </w:t>
      </w:r>
      <w:r>
        <w:rPr>
          <w:rFonts w:ascii="Garamond" w:hAnsi="Garamond"/>
        </w:rPr>
        <w:t xml:space="preserve">rent </w:t>
      </w:r>
      <w:r w:rsidR="00243602">
        <w:rPr>
          <w:rFonts w:ascii="Garamond" w:hAnsi="Garamond"/>
        </w:rPr>
        <w:t>that is anticipated to grow 3% (FY2022-2026)</w:t>
      </w:r>
      <w:r w:rsidRPr="00653CCD">
        <w:rPr>
          <w:rFonts w:ascii="Garamond" w:hAnsi="Garamond"/>
        </w:rPr>
        <w:t>.</w:t>
      </w:r>
      <w:r>
        <w:rPr>
          <w:rFonts w:ascii="Garamond" w:hAnsi="Garamond"/>
        </w:rPr>
        <w:t xml:space="preserve"> </w:t>
      </w:r>
    </w:p>
    <w:p w14:paraId="51DD2911" w14:textId="77777777" w:rsidR="00661915" w:rsidRDefault="00661915" w:rsidP="00661915">
      <w:pPr>
        <w:rPr>
          <w:rFonts w:ascii="Garamond" w:hAnsi="Garamond"/>
        </w:rPr>
      </w:pPr>
    </w:p>
    <w:p w14:paraId="43914C85" w14:textId="5626A1A0" w:rsidR="00D82246" w:rsidRPr="000D709A" w:rsidRDefault="00661915" w:rsidP="007A57C4">
      <w:pPr>
        <w:rPr>
          <w:rFonts w:ascii="Garamond" w:hAnsi="Garamond"/>
        </w:rPr>
      </w:pPr>
      <w:r w:rsidRPr="00617320">
        <w:rPr>
          <w:rFonts w:ascii="Garamond" w:hAnsi="Garamond"/>
        </w:rPr>
        <w:t xml:space="preserve">The CPA reported on </w:t>
      </w:r>
      <w:r w:rsidR="004E04A6">
        <w:rPr>
          <w:rFonts w:ascii="Garamond" w:hAnsi="Garamond"/>
        </w:rPr>
        <w:t>the Applicant</w:t>
      </w:r>
      <w:r w:rsidRPr="00617320">
        <w:rPr>
          <w:rFonts w:ascii="Garamond" w:hAnsi="Garamond"/>
        </w:rPr>
        <w:t>’s</w:t>
      </w:r>
      <w:r>
        <w:rPr>
          <w:rFonts w:ascii="Garamond" w:hAnsi="Garamond"/>
        </w:rPr>
        <w:t xml:space="preserve"> </w:t>
      </w:r>
      <w:r w:rsidR="004E04A6">
        <w:rPr>
          <w:rFonts w:ascii="Garamond" w:hAnsi="Garamond"/>
        </w:rPr>
        <w:t xml:space="preserve">projected </w:t>
      </w:r>
      <w:r>
        <w:rPr>
          <w:rFonts w:ascii="Garamond" w:hAnsi="Garamond"/>
        </w:rPr>
        <w:t>E</w:t>
      </w:r>
      <w:r w:rsidRPr="00886069">
        <w:rPr>
          <w:rFonts w:ascii="Garamond" w:hAnsi="Garamond"/>
        </w:rPr>
        <w:t xml:space="preserve">arnings before </w:t>
      </w:r>
      <w:r w:rsidR="0001695B">
        <w:rPr>
          <w:rFonts w:ascii="Garamond" w:hAnsi="Garamond"/>
        </w:rPr>
        <w:t>Interest</w:t>
      </w:r>
      <w:r w:rsidRPr="00886069">
        <w:rPr>
          <w:rFonts w:ascii="Garamond" w:hAnsi="Garamond"/>
        </w:rPr>
        <w:t xml:space="preserve">, </w:t>
      </w:r>
      <w:r w:rsidR="0001695B">
        <w:rPr>
          <w:rFonts w:ascii="Garamond" w:hAnsi="Garamond"/>
        </w:rPr>
        <w:t xml:space="preserve">Taxes, </w:t>
      </w:r>
      <w:r>
        <w:rPr>
          <w:rFonts w:ascii="Garamond" w:hAnsi="Garamond"/>
        </w:rPr>
        <w:t>D</w:t>
      </w:r>
      <w:r w:rsidRPr="00886069">
        <w:rPr>
          <w:rFonts w:ascii="Garamond" w:hAnsi="Garamond"/>
        </w:rPr>
        <w:t xml:space="preserve">epreciation, and </w:t>
      </w:r>
      <w:r>
        <w:rPr>
          <w:rFonts w:ascii="Garamond" w:hAnsi="Garamond"/>
        </w:rPr>
        <w:t>A</w:t>
      </w:r>
      <w:r w:rsidRPr="00886069">
        <w:rPr>
          <w:rFonts w:ascii="Garamond" w:hAnsi="Garamond"/>
        </w:rPr>
        <w:t>mortization</w:t>
      </w:r>
      <w:r w:rsidRPr="00617320">
        <w:rPr>
          <w:rFonts w:ascii="Garamond" w:hAnsi="Garamond"/>
        </w:rPr>
        <w:t xml:space="preserve"> </w:t>
      </w:r>
      <w:r>
        <w:rPr>
          <w:rFonts w:ascii="Garamond" w:hAnsi="Garamond"/>
        </w:rPr>
        <w:t>(</w:t>
      </w:r>
      <w:r w:rsidRPr="00617320">
        <w:rPr>
          <w:rFonts w:ascii="Garamond" w:hAnsi="Garamond"/>
        </w:rPr>
        <w:t>EBI</w:t>
      </w:r>
      <w:r w:rsidR="0001695B">
        <w:rPr>
          <w:rFonts w:ascii="Garamond" w:hAnsi="Garamond"/>
        </w:rPr>
        <w:t>T</w:t>
      </w:r>
      <w:r w:rsidRPr="00617320">
        <w:rPr>
          <w:rFonts w:ascii="Garamond" w:hAnsi="Garamond"/>
        </w:rPr>
        <w:t>D</w:t>
      </w:r>
      <w:r>
        <w:rPr>
          <w:rFonts w:ascii="Garamond" w:hAnsi="Garamond"/>
        </w:rPr>
        <w:t xml:space="preserve">A). The projected </w:t>
      </w:r>
      <w:r w:rsidR="007F3A4A">
        <w:rPr>
          <w:rFonts w:ascii="Garamond" w:hAnsi="Garamond"/>
        </w:rPr>
        <w:t xml:space="preserve">cumulative </w:t>
      </w:r>
      <w:r>
        <w:rPr>
          <w:rFonts w:ascii="Garamond" w:hAnsi="Garamond"/>
        </w:rPr>
        <w:t>EBI</w:t>
      </w:r>
      <w:r w:rsidR="0001695B">
        <w:rPr>
          <w:rFonts w:ascii="Garamond" w:hAnsi="Garamond"/>
        </w:rPr>
        <w:t>T</w:t>
      </w:r>
      <w:r>
        <w:rPr>
          <w:rFonts w:ascii="Garamond" w:hAnsi="Garamond"/>
        </w:rPr>
        <w:t xml:space="preserve">DA </w:t>
      </w:r>
      <w:r w:rsidR="007F3A4A">
        <w:rPr>
          <w:rFonts w:ascii="Garamond" w:hAnsi="Garamond"/>
        </w:rPr>
        <w:t xml:space="preserve">surplus </w:t>
      </w:r>
      <w:r>
        <w:rPr>
          <w:rFonts w:ascii="Garamond" w:hAnsi="Garamond"/>
        </w:rPr>
        <w:t>is</w:t>
      </w:r>
      <w:r w:rsidR="007F3A4A">
        <w:rPr>
          <w:rFonts w:ascii="Garamond" w:hAnsi="Garamond"/>
        </w:rPr>
        <w:t xml:space="preserve"> approximately 15.3% of cumulative projected revenue for PAM f</w:t>
      </w:r>
      <w:r w:rsidR="0001695B">
        <w:rPr>
          <w:rFonts w:ascii="Garamond" w:hAnsi="Garamond"/>
        </w:rPr>
        <w:t>or</w:t>
      </w:r>
      <w:r w:rsidR="007F3A4A">
        <w:rPr>
          <w:rFonts w:ascii="Garamond" w:hAnsi="Garamond"/>
        </w:rPr>
        <w:t xml:space="preserve"> FY2021 through FY2026</w:t>
      </w:r>
      <w:r w:rsidR="0001695B">
        <w:rPr>
          <w:rFonts w:ascii="Garamond" w:hAnsi="Garamond"/>
        </w:rPr>
        <w:t xml:space="preserve">, and the CPA finds that </w:t>
      </w:r>
      <w:r w:rsidR="004E04A6">
        <w:rPr>
          <w:rFonts w:ascii="Garamond" w:hAnsi="Garamond"/>
        </w:rPr>
        <w:t xml:space="preserve">it </w:t>
      </w:r>
      <w:r w:rsidR="0001695B" w:rsidRPr="004E04A6">
        <w:rPr>
          <w:rFonts w:ascii="Garamond" w:hAnsi="Garamond"/>
        </w:rPr>
        <w:t xml:space="preserve">is a reasonable </w:t>
      </w:r>
      <w:r w:rsidR="0001695B" w:rsidRPr="004E04A6">
        <w:rPr>
          <w:rFonts w:ascii="Garamond" w:hAnsi="Garamond"/>
        </w:rPr>
        <w:lastRenderedPageBreak/>
        <w:t>expectation and based upon feasible financial assumptions.</w:t>
      </w:r>
      <w:r w:rsidR="0001695B">
        <w:rPr>
          <w:rFonts w:ascii="Garamond" w:hAnsi="Garamond"/>
        </w:rPr>
        <w:t xml:space="preserve"> </w:t>
      </w:r>
      <w:r w:rsidR="000D709A" w:rsidRPr="000D709A">
        <w:rPr>
          <w:rFonts w:ascii="Garamond" w:hAnsi="Garamond"/>
        </w:rPr>
        <w:t>The CPA report found</w:t>
      </w:r>
      <w:r w:rsidR="000D709A">
        <w:rPr>
          <w:rFonts w:ascii="Garamond" w:hAnsi="Garamond"/>
        </w:rPr>
        <w:t xml:space="preserve"> that “the Projections are reasonable and feasible, and not likely to have a negative impact on the Applicant’s patient panel or result in a liquidation of PAM’s assets.”</w:t>
      </w:r>
    </w:p>
    <w:p w14:paraId="5A382010" w14:textId="77777777" w:rsidR="00D82246" w:rsidRDefault="00D82246" w:rsidP="007A57C4">
      <w:pPr>
        <w:contextualSpacing/>
        <w:rPr>
          <w:rFonts w:ascii="Garamond" w:hAnsi="Garamond"/>
          <w:highlight w:val="yellow"/>
        </w:rPr>
      </w:pPr>
    </w:p>
    <w:p w14:paraId="2AE3B581" w14:textId="60F8852D" w:rsidR="004F445B" w:rsidRDefault="00BE1C48" w:rsidP="007B50D6">
      <w:pPr>
        <w:rPr>
          <w:rFonts w:ascii="Garamond" w:hAnsi="Garamond"/>
        </w:rPr>
      </w:pPr>
      <w:r w:rsidRPr="00D82246">
        <w:rPr>
          <w:rFonts w:ascii="Garamond" w:hAnsi="Garamond"/>
        </w:rPr>
        <w:t>With the CPA analysis, staff has determined that the Applicant has provided sufficient documentation of the availability of sufficient funds for capital and ongoing operating costs necessary to support the Proposed Project without negative impacts or consequences to the Applicant</w:t>
      </w:r>
      <w:r w:rsidR="004220F5" w:rsidRPr="00D82246">
        <w:rPr>
          <w:rFonts w:ascii="Garamond" w:hAnsi="Garamond"/>
        </w:rPr>
        <w:t>’</w:t>
      </w:r>
      <w:r w:rsidRPr="00D82246">
        <w:rPr>
          <w:rFonts w:ascii="Garamond" w:hAnsi="Garamond"/>
        </w:rPr>
        <w:t>s Patient Panel.</w:t>
      </w:r>
    </w:p>
    <w:p w14:paraId="71DBAE47" w14:textId="77777777" w:rsidR="004F445B" w:rsidRDefault="004F445B" w:rsidP="007B50D6">
      <w:pPr>
        <w:rPr>
          <w:rFonts w:ascii="Garamond" w:hAnsi="Garamond"/>
        </w:rPr>
      </w:pPr>
    </w:p>
    <w:p w14:paraId="21EFEEA8" w14:textId="518639E4" w:rsidR="002D535F" w:rsidRDefault="002D535F" w:rsidP="007A57C4">
      <w:pPr>
        <w:pStyle w:val="Heading1"/>
        <w:spacing w:before="0" w:line="240" w:lineRule="auto"/>
        <w:contextualSpacing/>
        <w:rPr>
          <w:rFonts w:ascii="Garamond" w:hAnsi="Garamond"/>
        </w:rPr>
      </w:pPr>
      <w:bookmarkStart w:id="77" w:name="_Toc88515733"/>
      <w:r w:rsidRPr="0098402E">
        <w:rPr>
          <w:rFonts w:ascii="Garamond" w:hAnsi="Garamond"/>
        </w:rPr>
        <w:t>Factor 5: Assessment of the Proposed Project’s Relative Merit</w:t>
      </w:r>
      <w:bookmarkEnd w:id="77"/>
    </w:p>
    <w:p w14:paraId="06FB666D" w14:textId="77777777" w:rsidR="00414E8A" w:rsidRPr="00414E8A" w:rsidRDefault="00414E8A" w:rsidP="00414E8A">
      <w:pPr>
        <w:rPr>
          <w:rFonts w:ascii="Garamond" w:hAnsi="Garamond"/>
          <w:i/>
          <w:iCs/>
        </w:rPr>
      </w:pPr>
      <w:bookmarkStart w:id="78" w:name="_Toc17151192"/>
      <w:bookmarkStart w:id="79" w:name="_Toc17322410"/>
      <w:r w:rsidRPr="00414E8A">
        <w:rPr>
          <w:rFonts w:ascii="Garamond" w:hAnsi="Garamond"/>
          <w:i/>
          <w:iCs/>
        </w:rPr>
        <w:t>Transfer of Ownership Applications are exempt from this factor</w:t>
      </w:r>
      <w:r>
        <w:rPr>
          <w:rFonts w:ascii="Garamond" w:hAnsi="Garamond"/>
          <w:i/>
          <w:iCs/>
        </w:rPr>
        <w:t>.</w:t>
      </w:r>
    </w:p>
    <w:p w14:paraId="1AB25283" w14:textId="77777777" w:rsidR="00923527" w:rsidRDefault="00923527" w:rsidP="00155601">
      <w:pPr>
        <w:pStyle w:val="Heading1"/>
        <w:spacing w:before="0" w:line="240" w:lineRule="auto"/>
        <w:rPr>
          <w:rFonts w:ascii="Garamond" w:eastAsia="Times New Roman" w:hAnsi="Garamond"/>
        </w:rPr>
      </w:pPr>
    </w:p>
    <w:p w14:paraId="0D81F87A" w14:textId="652A169C" w:rsidR="00FC68C0" w:rsidRPr="0098402E" w:rsidRDefault="002D535F" w:rsidP="00155601">
      <w:pPr>
        <w:pStyle w:val="Heading1"/>
        <w:spacing w:before="0" w:line="240" w:lineRule="auto"/>
        <w:rPr>
          <w:rFonts w:ascii="Garamond" w:eastAsia="Times New Roman" w:hAnsi="Garamond"/>
        </w:rPr>
      </w:pPr>
      <w:bookmarkStart w:id="80" w:name="_Toc88515734"/>
      <w:r w:rsidRPr="0098402E">
        <w:rPr>
          <w:rFonts w:ascii="Garamond" w:eastAsia="Times New Roman" w:hAnsi="Garamond"/>
        </w:rPr>
        <w:t>Factor 6: Fulfillment of DPH Community-based Health Initiatives Guideline</w:t>
      </w:r>
      <w:bookmarkEnd w:id="80"/>
    </w:p>
    <w:bookmarkEnd w:id="78"/>
    <w:bookmarkEnd w:id="79"/>
    <w:p w14:paraId="21406692" w14:textId="3237A132" w:rsidR="00687989" w:rsidRPr="00414E8A" w:rsidRDefault="00414E8A" w:rsidP="00414E8A">
      <w:pPr>
        <w:rPr>
          <w:rFonts w:ascii="Garamond" w:hAnsi="Garamond"/>
          <w:i/>
          <w:iCs/>
        </w:rPr>
      </w:pPr>
      <w:r w:rsidRPr="00414E8A">
        <w:rPr>
          <w:rFonts w:ascii="Garamond" w:hAnsi="Garamond"/>
          <w:i/>
          <w:iCs/>
        </w:rPr>
        <w:t>Transfer of Ownership Applications are exempt from this factor</w:t>
      </w:r>
      <w:r>
        <w:rPr>
          <w:rFonts w:ascii="Garamond" w:hAnsi="Garamond"/>
          <w:i/>
          <w:iCs/>
        </w:rPr>
        <w:t>.</w:t>
      </w:r>
    </w:p>
    <w:p w14:paraId="60E051F5" w14:textId="77777777" w:rsidR="00D12158" w:rsidRPr="00D12158" w:rsidRDefault="00D12158" w:rsidP="00687989">
      <w:pPr>
        <w:pStyle w:val="Heading1"/>
        <w:spacing w:before="0" w:line="240" w:lineRule="auto"/>
        <w:rPr>
          <w:rFonts w:ascii="Garamond" w:eastAsia="Times New Roman" w:hAnsi="Garamond"/>
          <w:b w:val="0"/>
          <w:bCs w:val="0"/>
          <w:sz w:val="24"/>
          <w:szCs w:val="24"/>
        </w:rPr>
      </w:pPr>
      <w:bookmarkStart w:id="81" w:name="_Toc88515735"/>
    </w:p>
    <w:p w14:paraId="6298736C" w14:textId="60CAD87E" w:rsidR="002D535F" w:rsidRPr="00C807B9" w:rsidRDefault="00A7428F" w:rsidP="00687989">
      <w:pPr>
        <w:pStyle w:val="Heading1"/>
        <w:spacing w:before="0" w:line="240" w:lineRule="auto"/>
        <w:rPr>
          <w:rFonts w:ascii="Garamond" w:hAnsi="Garamond"/>
        </w:rPr>
      </w:pPr>
      <w:r>
        <w:rPr>
          <w:rFonts w:ascii="Garamond" w:eastAsia="Times New Roman" w:hAnsi="Garamond"/>
        </w:rPr>
        <w:t>Conditions</w:t>
      </w:r>
      <w:bookmarkEnd w:id="81"/>
    </w:p>
    <w:p w14:paraId="7E506A31" w14:textId="7B87DC21" w:rsidR="00872E50" w:rsidRDefault="002D535F" w:rsidP="00155601">
      <w:pPr>
        <w:rPr>
          <w:rFonts w:ascii="Garamond" w:hAnsi="Garamond"/>
        </w:rPr>
      </w:pPr>
      <w:r w:rsidRPr="007A57C4">
        <w:rPr>
          <w:rFonts w:ascii="Garamond" w:hAnsi="Garamond"/>
        </w:rPr>
        <w:t>Based upon a review of the materials submitted, Staff finds that</w:t>
      </w:r>
      <w:r w:rsidR="00687989">
        <w:rPr>
          <w:rFonts w:ascii="Garamond" w:hAnsi="Garamond"/>
        </w:rPr>
        <w:t xml:space="preserve"> </w:t>
      </w:r>
      <w:r w:rsidRPr="007A57C4">
        <w:rPr>
          <w:rFonts w:ascii="Garamond" w:hAnsi="Garamond"/>
        </w:rPr>
        <w:t xml:space="preserve">the Applicant has met each DoN Factor for the Proposed Project and recommends that the Department approve this Determination of Need, subject to all applicable </w:t>
      </w:r>
      <w:r w:rsidR="00245328">
        <w:rPr>
          <w:rFonts w:ascii="Garamond" w:hAnsi="Garamond"/>
        </w:rPr>
        <w:t>S</w:t>
      </w:r>
      <w:r w:rsidRPr="007A57C4">
        <w:rPr>
          <w:rFonts w:ascii="Garamond" w:hAnsi="Garamond"/>
        </w:rPr>
        <w:t>tandard</w:t>
      </w:r>
      <w:r w:rsidR="00687989">
        <w:rPr>
          <w:rFonts w:ascii="Garamond" w:hAnsi="Garamond"/>
        </w:rPr>
        <w:t xml:space="preserve"> </w:t>
      </w:r>
      <w:r w:rsidRPr="007A57C4">
        <w:rPr>
          <w:rFonts w:ascii="Garamond" w:hAnsi="Garamond"/>
        </w:rPr>
        <w:t>Conditions.</w:t>
      </w:r>
    </w:p>
    <w:p w14:paraId="19CDD319" w14:textId="658A568B" w:rsidR="00F83160" w:rsidRDefault="00F83160" w:rsidP="003D3F28">
      <w:pPr>
        <w:contextualSpacing/>
        <w:rPr>
          <w:rFonts w:ascii="Garamond" w:hAnsi="Garamond" w:cs="Arial"/>
          <w:b/>
          <w:bCs/>
          <w:iCs/>
        </w:rPr>
      </w:pPr>
    </w:p>
    <w:p w14:paraId="13EA3BFD" w14:textId="5EC067BD" w:rsidR="00465793" w:rsidRDefault="001C189F" w:rsidP="003F7ADD">
      <w:pPr>
        <w:rPr>
          <w:rFonts w:ascii="Garamond" w:hAnsi="Garamond"/>
        </w:rPr>
      </w:pPr>
      <w:r w:rsidRPr="001C189F">
        <w:rPr>
          <w:rFonts w:ascii="Garamond" w:hAnsi="Garamond"/>
        </w:rPr>
        <w:t xml:space="preserve">The Holder shall provide, in its annual report to the Department, the following outcome measures. These metrics will become part of the annual reporting on the approved DoN, required pursuant to 105 CMR 100.310(A)(12). Reporting will include a description of numerators and denominators. </w:t>
      </w:r>
    </w:p>
    <w:p w14:paraId="018C497D" w14:textId="77777777" w:rsidR="00726BF3" w:rsidRPr="003F7ADD" w:rsidRDefault="00726BF3" w:rsidP="003F7ADD">
      <w:pPr>
        <w:rPr>
          <w:rFonts w:ascii="Garamond" w:hAnsi="Garamond"/>
        </w:rPr>
      </w:pPr>
    </w:p>
    <w:p w14:paraId="748D7314" w14:textId="55311039" w:rsidR="00791EA4" w:rsidRPr="00727E3F" w:rsidRDefault="00791EA4" w:rsidP="00791EA4">
      <w:pPr>
        <w:autoSpaceDE w:val="0"/>
        <w:autoSpaceDN w:val="0"/>
        <w:adjustRightInd w:val="0"/>
        <w:rPr>
          <w:rFonts w:ascii="Garamond" w:hAnsi="Garamond"/>
          <w:color w:val="000000"/>
        </w:rPr>
      </w:pPr>
      <w:r w:rsidRPr="00727E3F">
        <w:rPr>
          <w:rFonts w:ascii="Garamond" w:hAnsi="Garamond"/>
          <w:color w:val="000000"/>
          <w:u w:val="single"/>
        </w:rPr>
        <w:t>1. Patient Satisfaction.</w:t>
      </w:r>
      <w:r w:rsidRPr="00727E3F">
        <w:rPr>
          <w:rFonts w:ascii="Garamond" w:hAnsi="Garamond"/>
          <w:color w:val="000000"/>
        </w:rPr>
        <w:t xml:space="preserve"> The Applicant will review patient satisfaction levels with LTCH</w:t>
      </w:r>
      <w:r w:rsidR="00FC4DB4" w:rsidRPr="00727E3F">
        <w:rPr>
          <w:rFonts w:ascii="Garamond" w:hAnsi="Garamond"/>
          <w:color w:val="000000"/>
        </w:rPr>
        <w:t xml:space="preserve"> </w:t>
      </w:r>
      <w:r w:rsidRPr="00727E3F">
        <w:rPr>
          <w:rFonts w:ascii="Garamond" w:hAnsi="Garamond"/>
          <w:color w:val="000000"/>
        </w:rPr>
        <w:t>services.</w:t>
      </w:r>
    </w:p>
    <w:p w14:paraId="56DCCE39" w14:textId="77777777" w:rsidR="00FC4DB4" w:rsidRPr="00727E3F" w:rsidRDefault="00FC4DB4" w:rsidP="00791EA4">
      <w:pPr>
        <w:autoSpaceDE w:val="0"/>
        <w:autoSpaceDN w:val="0"/>
        <w:adjustRightInd w:val="0"/>
        <w:rPr>
          <w:rFonts w:ascii="Garamond" w:hAnsi="Garamond"/>
          <w:color w:val="000000"/>
        </w:rPr>
      </w:pPr>
    </w:p>
    <w:p w14:paraId="0DF838C2" w14:textId="2828C3D2" w:rsidR="00791EA4" w:rsidRPr="00727E3F" w:rsidRDefault="00791EA4" w:rsidP="00791EA4">
      <w:pPr>
        <w:autoSpaceDE w:val="0"/>
        <w:autoSpaceDN w:val="0"/>
        <w:adjustRightInd w:val="0"/>
        <w:rPr>
          <w:rFonts w:ascii="Garamond" w:hAnsi="Garamond"/>
          <w:color w:val="000000"/>
        </w:rPr>
      </w:pPr>
      <w:r w:rsidRPr="00727E3F">
        <w:rPr>
          <w:rFonts w:ascii="Garamond" w:hAnsi="Garamond"/>
          <w:color w:val="000000"/>
        </w:rPr>
        <w:t>Measure: PAM Health’s “We Care” program will be provided to all eligible</w:t>
      </w:r>
      <w:r w:rsidR="00FC4DB4" w:rsidRPr="00727E3F">
        <w:rPr>
          <w:rFonts w:ascii="Garamond" w:hAnsi="Garamond"/>
          <w:color w:val="000000"/>
        </w:rPr>
        <w:t xml:space="preserve"> </w:t>
      </w:r>
      <w:r w:rsidRPr="00727E3F">
        <w:rPr>
          <w:rFonts w:ascii="Garamond" w:hAnsi="Garamond"/>
          <w:color w:val="000000"/>
        </w:rPr>
        <w:t xml:space="preserve">patients. The </w:t>
      </w:r>
      <w:r w:rsidR="008B6BE9">
        <w:rPr>
          <w:rFonts w:ascii="Garamond" w:hAnsi="Garamond"/>
          <w:color w:val="000000"/>
        </w:rPr>
        <w:t xml:space="preserve">Applicant states that the </w:t>
      </w:r>
      <w:r w:rsidRPr="00727E3F">
        <w:rPr>
          <w:rFonts w:ascii="Garamond" w:hAnsi="Garamond"/>
          <w:color w:val="000000"/>
        </w:rPr>
        <w:t>“We Care” program focus</w:t>
      </w:r>
      <w:r w:rsidR="008B6BE9">
        <w:rPr>
          <w:rFonts w:ascii="Garamond" w:hAnsi="Garamond"/>
          <w:color w:val="000000"/>
        </w:rPr>
        <w:t>es</w:t>
      </w:r>
      <w:r w:rsidRPr="00727E3F">
        <w:rPr>
          <w:rFonts w:ascii="Garamond" w:hAnsi="Garamond"/>
          <w:color w:val="000000"/>
        </w:rPr>
        <w:t xml:space="preserve"> on the following key areas:</w:t>
      </w:r>
    </w:p>
    <w:p w14:paraId="06A61EDB" w14:textId="61A7ED03" w:rsidR="00791EA4" w:rsidRPr="00727E3F" w:rsidRDefault="00791EA4" w:rsidP="00791EA4">
      <w:pPr>
        <w:pStyle w:val="ListParagraph"/>
        <w:numPr>
          <w:ilvl w:val="0"/>
          <w:numId w:val="41"/>
        </w:numPr>
        <w:autoSpaceDE w:val="0"/>
        <w:autoSpaceDN w:val="0"/>
        <w:adjustRightInd w:val="0"/>
        <w:spacing w:after="0" w:line="240" w:lineRule="auto"/>
        <w:rPr>
          <w:rFonts w:ascii="Garamond" w:hAnsi="Garamond" w:cs="Times New Roman"/>
          <w:color w:val="000000"/>
          <w:sz w:val="24"/>
          <w:szCs w:val="24"/>
        </w:rPr>
      </w:pPr>
      <w:r w:rsidRPr="00727E3F">
        <w:rPr>
          <w:rFonts w:ascii="Garamond" w:hAnsi="Garamond" w:cs="Times New Roman"/>
          <w:color w:val="000000"/>
          <w:sz w:val="24"/>
          <w:szCs w:val="24"/>
        </w:rPr>
        <w:t>Delivering exceptional experiences for our patients</w:t>
      </w:r>
    </w:p>
    <w:p w14:paraId="2DFA69C3" w14:textId="3E9DD919" w:rsidR="00791EA4" w:rsidRPr="00727E3F" w:rsidRDefault="00791EA4" w:rsidP="00791EA4">
      <w:pPr>
        <w:pStyle w:val="ListParagraph"/>
        <w:numPr>
          <w:ilvl w:val="0"/>
          <w:numId w:val="41"/>
        </w:numPr>
        <w:autoSpaceDE w:val="0"/>
        <w:autoSpaceDN w:val="0"/>
        <w:adjustRightInd w:val="0"/>
        <w:spacing w:after="0" w:line="240" w:lineRule="auto"/>
        <w:rPr>
          <w:rFonts w:ascii="Garamond" w:hAnsi="Garamond" w:cs="Times New Roman"/>
          <w:color w:val="000000"/>
          <w:sz w:val="24"/>
          <w:szCs w:val="24"/>
        </w:rPr>
      </w:pPr>
      <w:r w:rsidRPr="00727E3F">
        <w:rPr>
          <w:rFonts w:ascii="Garamond" w:hAnsi="Garamond" w:cs="Times New Roman"/>
          <w:color w:val="000000"/>
          <w:sz w:val="24"/>
          <w:szCs w:val="24"/>
        </w:rPr>
        <w:t>Ensuring safe and quality outcomes</w:t>
      </w:r>
    </w:p>
    <w:p w14:paraId="7AB82C23" w14:textId="1231320A" w:rsidR="00791EA4" w:rsidRPr="00727E3F" w:rsidRDefault="00791EA4" w:rsidP="00791EA4">
      <w:pPr>
        <w:pStyle w:val="ListParagraph"/>
        <w:numPr>
          <w:ilvl w:val="0"/>
          <w:numId w:val="41"/>
        </w:numPr>
        <w:autoSpaceDE w:val="0"/>
        <w:autoSpaceDN w:val="0"/>
        <w:adjustRightInd w:val="0"/>
        <w:spacing w:after="0" w:line="240" w:lineRule="auto"/>
        <w:rPr>
          <w:rFonts w:ascii="Garamond" w:hAnsi="Garamond" w:cs="Times New Roman"/>
          <w:color w:val="000000"/>
          <w:sz w:val="24"/>
          <w:szCs w:val="24"/>
        </w:rPr>
      </w:pPr>
      <w:r w:rsidRPr="00727E3F">
        <w:rPr>
          <w:rFonts w:ascii="Garamond" w:hAnsi="Garamond" w:cs="Times New Roman"/>
          <w:color w:val="000000"/>
          <w:sz w:val="24"/>
          <w:szCs w:val="24"/>
        </w:rPr>
        <w:t>Engaging our patients and their loved ones in their care plan</w:t>
      </w:r>
    </w:p>
    <w:p w14:paraId="07278A90" w14:textId="77777777" w:rsidR="00FC4DB4" w:rsidRPr="00727E3F" w:rsidRDefault="00FC4DB4" w:rsidP="00791EA4">
      <w:pPr>
        <w:autoSpaceDE w:val="0"/>
        <w:autoSpaceDN w:val="0"/>
        <w:adjustRightInd w:val="0"/>
        <w:rPr>
          <w:rFonts w:ascii="Garamond" w:hAnsi="Garamond"/>
          <w:color w:val="000000"/>
        </w:rPr>
      </w:pPr>
    </w:p>
    <w:p w14:paraId="0F1F36EE" w14:textId="73425C3B" w:rsidR="00791EA4" w:rsidRDefault="00791EA4" w:rsidP="00791EA4">
      <w:pPr>
        <w:autoSpaceDE w:val="0"/>
        <w:autoSpaceDN w:val="0"/>
        <w:adjustRightInd w:val="0"/>
        <w:rPr>
          <w:rFonts w:ascii="Garamond" w:hAnsi="Garamond"/>
          <w:color w:val="000000"/>
        </w:rPr>
      </w:pPr>
      <w:r w:rsidRPr="00727E3F">
        <w:rPr>
          <w:rFonts w:ascii="Garamond" w:hAnsi="Garamond"/>
          <w:color w:val="000000"/>
        </w:rPr>
        <w:t>Projections: The Hospital’s current overall rating under the current ownership’s</w:t>
      </w:r>
      <w:r w:rsidR="00FC4DB4" w:rsidRPr="00727E3F">
        <w:rPr>
          <w:rFonts w:ascii="Garamond" w:hAnsi="Garamond"/>
          <w:color w:val="000000"/>
        </w:rPr>
        <w:t xml:space="preserve"> </w:t>
      </w:r>
      <w:r w:rsidRPr="00727E3F">
        <w:rPr>
          <w:rFonts w:ascii="Garamond" w:hAnsi="Garamond"/>
          <w:color w:val="000000"/>
        </w:rPr>
        <w:t>patient satisfaction program is projected to be 51% for CY2021. Since the</w:t>
      </w:r>
      <w:r w:rsidR="00FC4DB4" w:rsidRPr="00727E3F">
        <w:rPr>
          <w:rFonts w:ascii="Garamond" w:hAnsi="Garamond"/>
          <w:color w:val="000000"/>
        </w:rPr>
        <w:t xml:space="preserve"> </w:t>
      </w:r>
      <w:r w:rsidRPr="00727E3F">
        <w:rPr>
          <w:rFonts w:ascii="Garamond" w:hAnsi="Garamond"/>
          <w:color w:val="000000"/>
        </w:rPr>
        <w:t>Proposed Project has not occurred, the Applicant will establish a benchmark of 70%</w:t>
      </w:r>
      <w:r w:rsidR="00FC4DB4" w:rsidRPr="00727E3F">
        <w:rPr>
          <w:rFonts w:ascii="Garamond" w:hAnsi="Garamond"/>
          <w:color w:val="000000"/>
        </w:rPr>
        <w:t xml:space="preserve"> </w:t>
      </w:r>
      <w:r w:rsidRPr="00727E3F">
        <w:rPr>
          <w:rFonts w:ascii="Garamond" w:hAnsi="Garamond"/>
          <w:color w:val="000000"/>
        </w:rPr>
        <w:t>for the overall rating of care.</w:t>
      </w:r>
    </w:p>
    <w:p w14:paraId="53D9467B" w14:textId="5171D10C" w:rsidR="00743EA6" w:rsidRDefault="00743EA6" w:rsidP="00791EA4">
      <w:pPr>
        <w:autoSpaceDE w:val="0"/>
        <w:autoSpaceDN w:val="0"/>
        <w:adjustRightInd w:val="0"/>
        <w:rPr>
          <w:rFonts w:ascii="Garamond" w:hAnsi="Garamond"/>
          <w:color w:val="000000"/>
        </w:rPr>
      </w:pPr>
    </w:p>
    <w:p w14:paraId="065F4C64" w14:textId="3F2CB0C4" w:rsidR="00791EA4" w:rsidRPr="00727E3F" w:rsidRDefault="00791EA4" w:rsidP="00FC4DB4">
      <w:pPr>
        <w:autoSpaceDE w:val="0"/>
        <w:autoSpaceDN w:val="0"/>
        <w:adjustRightInd w:val="0"/>
        <w:rPr>
          <w:rFonts w:ascii="Garamond" w:hAnsi="Garamond"/>
          <w:color w:val="000000"/>
        </w:rPr>
      </w:pPr>
      <w:r w:rsidRPr="00727E3F">
        <w:rPr>
          <w:rFonts w:ascii="Garamond" w:hAnsi="Garamond"/>
          <w:color w:val="000000"/>
        </w:rPr>
        <w:t>Monitoring: Any category receiving less than</w:t>
      </w:r>
      <w:r w:rsidR="00430FDB">
        <w:rPr>
          <w:rFonts w:ascii="Garamond" w:hAnsi="Garamond"/>
          <w:color w:val="000000"/>
        </w:rPr>
        <w:t xml:space="preserve"> the </w:t>
      </w:r>
      <w:r w:rsidRPr="00727E3F">
        <w:rPr>
          <w:rFonts w:ascii="Garamond" w:hAnsi="Garamond"/>
          <w:color w:val="000000"/>
        </w:rPr>
        <w:t xml:space="preserve">national benchmark </w:t>
      </w:r>
      <w:r w:rsidR="00430FDB">
        <w:rPr>
          <w:rFonts w:ascii="Garamond" w:hAnsi="Garamond"/>
          <w:color w:val="000000"/>
        </w:rPr>
        <w:t xml:space="preserve">of PAM </w:t>
      </w:r>
      <w:r w:rsidR="006E2237">
        <w:rPr>
          <w:rFonts w:ascii="Garamond" w:hAnsi="Garamond"/>
          <w:color w:val="000000"/>
        </w:rPr>
        <w:t>LTCHs nationally</w:t>
      </w:r>
      <w:r w:rsidR="00430FDB">
        <w:rPr>
          <w:rFonts w:ascii="Garamond" w:hAnsi="Garamond"/>
          <w:color w:val="000000"/>
        </w:rPr>
        <w:t xml:space="preserve"> </w:t>
      </w:r>
      <w:r w:rsidRPr="00727E3F">
        <w:rPr>
          <w:rFonts w:ascii="Garamond" w:hAnsi="Garamond"/>
          <w:color w:val="000000"/>
        </w:rPr>
        <w:t>will be</w:t>
      </w:r>
      <w:r w:rsidR="00FC4DB4" w:rsidRPr="00727E3F">
        <w:rPr>
          <w:rFonts w:ascii="Garamond" w:hAnsi="Garamond"/>
          <w:color w:val="000000"/>
        </w:rPr>
        <w:t xml:space="preserve"> </w:t>
      </w:r>
      <w:r w:rsidRPr="00727E3F">
        <w:rPr>
          <w:rFonts w:ascii="Garamond" w:hAnsi="Garamond"/>
          <w:color w:val="000000"/>
        </w:rPr>
        <w:t xml:space="preserve">evaluated and policy changes instituted as appropriate. </w:t>
      </w:r>
      <w:r w:rsidR="00685A73">
        <w:rPr>
          <w:rFonts w:ascii="Garamond" w:hAnsi="Garamond"/>
          <w:color w:val="000000"/>
        </w:rPr>
        <w:t>PAM Health will review m</w:t>
      </w:r>
      <w:r w:rsidRPr="00727E3F">
        <w:rPr>
          <w:rFonts w:ascii="Garamond" w:hAnsi="Garamond"/>
          <w:color w:val="000000"/>
        </w:rPr>
        <w:t>etrics</w:t>
      </w:r>
      <w:r w:rsidR="00FC4DB4" w:rsidRPr="00727E3F">
        <w:rPr>
          <w:rFonts w:ascii="Garamond" w:hAnsi="Garamond"/>
          <w:color w:val="000000"/>
        </w:rPr>
        <w:t xml:space="preserve"> </w:t>
      </w:r>
      <w:r w:rsidRPr="00727E3F">
        <w:rPr>
          <w:rFonts w:ascii="Garamond" w:hAnsi="Garamond"/>
          <w:color w:val="000000"/>
        </w:rPr>
        <w:t>monthly</w:t>
      </w:r>
      <w:r w:rsidR="00685A73">
        <w:rPr>
          <w:rFonts w:ascii="Garamond" w:hAnsi="Garamond"/>
          <w:color w:val="000000"/>
        </w:rPr>
        <w:t xml:space="preserve"> and will report a yearly summary to the DoN</w:t>
      </w:r>
      <w:r w:rsidRPr="00727E3F">
        <w:rPr>
          <w:rFonts w:ascii="Garamond" w:hAnsi="Garamond"/>
          <w:color w:val="000000"/>
        </w:rPr>
        <w:t>.</w:t>
      </w:r>
    </w:p>
    <w:p w14:paraId="12747EA5" w14:textId="4077C195" w:rsidR="00791EA4" w:rsidRDefault="00791EA4" w:rsidP="00791EA4">
      <w:pPr>
        <w:contextualSpacing/>
        <w:rPr>
          <w:color w:val="000000"/>
        </w:rPr>
      </w:pPr>
    </w:p>
    <w:p w14:paraId="256B647D" w14:textId="7A39BA35" w:rsidR="002F510C" w:rsidRDefault="002F510C" w:rsidP="00791EA4">
      <w:pPr>
        <w:contextualSpacing/>
        <w:rPr>
          <w:color w:val="000000"/>
        </w:rPr>
      </w:pPr>
    </w:p>
    <w:p w14:paraId="0B2F63B2" w14:textId="7DEBF29C" w:rsidR="00791EA4" w:rsidRDefault="00791EA4" w:rsidP="00791EA4">
      <w:pPr>
        <w:autoSpaceDE w:val="0"/>
        <w:autoSpaceDN w:val="0"/>
        <w:adjustRightInd w:val="0"/>
        <w:rPr>
          <w:rFonts w:ascii="Garamond" w:hAnsi="Garamond"/>
          <w:u w:val="single"/>
        </w:rPr>
      </w:pPr>
      <w:r w:rsidRPr="00727E3F">
        <w:rPr>
          <w:rFonts w:ascii="Garamond" w:hAnsi="Garamond"/>
          <w:u w:val="single"/>
        </w:rPr>
        <w:t>2. Clinical Quality.</w:t>
      </w:r>
    </w:p>
    <w:p w14:paraId="5FC73F56" w14:textId="77777777" w:rsidR="00726BF3" w:rsidRPr="00727E3F" w:rsidRDefault="00726BF3" w:rsidP="00791EA4">
      <w:pPr>
        <w:autoSpaceDE w:val="0"/>
        <w:autoSpaceDN w:val="0"/>
        <w:adjustRightInd w:val="0"/>
        <w:rPr>
          <w:rFonts w:ascii="Garamond" w:hAnsi="Garamond"/>
          <w:u w:val="single"/>
        </w:rPr>
      </w:pPr>
    </w:p>
    <w:p w14:paraId="241C3D98" w14:textId="60A11AB8" w:rsidR="00B846B4" w:rsidRPr="00727E3F" w:rsidRDefault="00791EA4" w:rsidP="00791EA4">
      <w:pPr>
        <w:autoSpaceDE w:val="0"/>
        <w:autoSpaceDN w:val="0"/>
        <w:adjustRightInd w:val="0"/>
        <w:rPr>
          <w:rFonts w:ascii="Garamond" w:hAnsi="Garamond"/>
        </w:rPr>
      </w:pPr>
      <w:r w:rsidRPr="00727E3F">
        <w:rPr>
          <w:rFonts w:ascii="Garamond" w:hAnsi="Garamond"/>
          <w:i/>
          <w:iCs/>
        </w:rPr>
        <w:t>a. Vent Wean Rates.</w:t>
      </w:r>
      <w:r w:rsidRPr="00727E3F">
        <w:rPr>
          <w:rFonts w:ascii="Garamond" w:hAnsi="Garamond"/>
        </w:rPr>
        <w:t xml:space="preserve"> This measure evaluates the number of patients that are</w:t>
      </w:r>
      <w:r w:rsidR="00FC4DB4" w:rsidRPr="00727E3F">
        <w:rPr>
          <w:rFonts w:ascii="Garamond" w:hAnsi="Garamond"/>
        </w:rPr>
        <w:t xml:space="preserve"> </w:t>
      </w:r>
      <w:r w:rsidRPr="00727E3F">
        <w:rPr>
          <w:rFonts w:ascii="Garamond" w:hAnsi="Garamond"/>
        </w:rPr>
        <w:t>weaned from ventilators, i.e.</w:t>
      </w:r>
      <w:r w:rsidR="00B846B4" w:rsidRPr="00727E3F">
        <w:rPr>
          <w:rFonts w:ascii="Garamond" w:hAnsi="Garamond"/>
        </w:rPr>
        <w:t>,</w:t>
      </w:r>
      <w:r w:rsidRPr="00727E3F">
        <w:rPr>
          <w:rFonts w:ascii="Garamond" w:hAnsi="Garamond"/>
        </w:rPr>
        <w:t xml:space="preserve"> decreasing the degree of ventilator support and</w:t>
      </w:r>
      <w:r w:rsidR="00FC4DB4" w:rsidRPr="00727E3F">
        <w:rPr>
          <w:rFonts w:ascii="Garamond" w:hAnsi="Garamond"/>
        </w:rPr>
        <w:t xml:space="preserve"> </w:t>
      </w:r>
      <w:r w:rsidRPr="00727E3F">
        <w:rPr>
          <w:rFonts w:ascii="Garamond" w:hAnsi="Garamond"/>
        </w:rPr>
        <w:t>allowing the patient to assume a greater proportion of their own ventilation.</w:t>
      </w:r>
      <w:r w:rsidR="00FC4DB4" w:rsidRPr="00727E3F">
        <w:rPr>
          <w:rFonts w:ascii="Garamond" w:hAnsi="Garamond"/>
        </w:rPr>
        <w:t xml:space="preserve"> </w:t>
      </w:r>
    </w:p>
    <w:p w14:paraId="328601F8" w14:textId="5A0663C7" w:rsidR="00B846B4" w:rsidRPr="00727E3F" w:rsidRDefault="00B846B4" w:rsidP="00791EA4">
      <w:pPr>
        <w:autoSpaceDE w:val="0"/>
        <w:autoSpaceDN w:val="0"/>
        <w:adjustRightInd w:val="0"/>
        <w:rPr>
          <w:rFonts w:ascii="Garamond" w:hAnsi="Garamond"/>
        </w:rPr>
      </w:pPr>
    </w:p>
    <w:p w14:paraId="5343C3C9" w14:textId="30F12E9B" w:rsidR="00791EA4" w:rsidRDefault="00791EA4" w:rsidP="00FC4DB4">
      <w:pPr>
        <w:autoSpaceDE w:val="0"/>
        <w:autoSpaceDN w:val="0"/>
        <w:adjustRightInd w:val="0"/>
        <w:rPr>
          <w:rFonts w:ascii="Garamond" w:hAnsi="Garamond"/>
        </w:rPr>
      </w:pPr>
      <w:r w:rsidRPr="00727E3F">
        <w:rPr>
          <w:rFonts w:ascii="Garamond" w:hAnsi="Garamond"/>
        </w:rPr>
        <w:t>Measure: The wean rate is determined by the number of patients on a ventilator</w:t>
      </w:r>
      <w:r w:rsidR="00FC4DB4" w:rsidRPr="00727E3F">
        <w:rPr>
          <w:rFonts w:ascii="Garamond" w:hAnsi="Garamond"/>
        </w:rPr>
        <w:t xml:space="preserve"> </w:t>
      </w:r>
      <w:r w:rsidRPr="00727E3F">
        <w:rPr>
          <w:rFonts w:ascii="Garamond" w:hAnsi="Garamond"/>
        </w:rPr>
        <w:t xml:space="preserve">that </w:t>
      </w:r>
      <w:r w:rsidR="008B6BE9">
        <w:rPr>
          <w:rFonts w:ascii="Garamond" w:hAnsi="Garamond"/>
        </w:rPr>
        <w:t>have been</w:t>
      </w:r>
      <w:r w:rsidR="008B6BE9" w:rsidRPr="00727E3F">
        <w:rPr>
          <w:rFonts w:ascii="Garamond" w:hAnsi="Garamond"/>
        </w:rPr>
        <w:t xml:space="preserve"> </w:t>
      </w:r>
      <w:r w:rsidRPr="00727E3F">
        <w:rPr>
          <w:rFonts w:ascii="Garamond" w:hAnsi="Garamond"/>
        </w:rPr>
        <w:t xml:space="preserve">successfully weaned </w:t>
      </w:r>
      <w:r w:rsidR="00430FDB">
        <w:rPr>
          <w:rFonts w:ascii="Garamond" w:hAnsi="Garamond"/>
        </w:rPr>
        <w:t xml:space="preserve">for more than </w:t>
      </w:r>
      <w:r w:rsidRPr="00727E3F">
        <w:rPr>
          <w:rFonts w:ascii="Garamond" w:hAnsi="Garamond"/>
        </w:rPr>
        <w:t>48 hours at the time of discharge.</w:t>
      </w:r>
    </w:p>
    <w:p w14:paraId="556952C2" w14:textId="77777777" w:rsidR="00430FDB" w:rsidRDefault="00430FDB" w:rsidP="00430FDB">
      <w:pPr>
        <w:autoSpaceDE w:val="0"/>
        <w:autoSpaceDN w:val="0"/>
        <w:adjustRightInd w:val="0"/>
        <w:rPr>
          <w:rFonts w:ascii="Garamond" w:hAnsi="Garamond"/>
        </w:rPr>
      </w:pPr>
    </w:p>
    <w:p w14:paraId="1EEA62C0" w14:textId="504015BC" w:rsidR="00791EA4" w:rsidRDefault="00791EA4" w:rsidP="00791EA4">
      <w:pPr>
        <w:autoSpaceDE w:val="0"/>
        <w:autoSpaceDN w:val="0"/>
        <w:adjustRightInd w:val="0"/>
        <w:rPr>
          <w:rFonts w:ascii="Garamond" w:hAnsi="Garamond"/>
        </w:rPr>
      </w:pPr>
      <w:r w:rsidRPr="00727E3F">
        <w:rPr>
          <w:rFonts w:ascii="Garamond" w:hAnsi="Garamond"/>
        </w:rPr>
        <w:t>Projections: The Applicant through PAM Health has demonstrated a wean rate</w:t>
      </w:r>
      <w:r w:rsidR="00FC4DB4" w:rsidRPr="00727E3F">
        <w:rPr>
          <w:rFonts w:ascii="Garamond" w:hAnsi="Garamond"/>
        </w:rPr>
        <w:t xml:space="preserve"> </w:t>
      </w:r>
      <w:r w:rsidRPr="00727E3F">
        <w:rPr>
          <w:rFonts w:ascii="Garamond" w:hAnsi="Garamond"/>
        </w:rPr>
        <w:t>from ventilators that is higher than the national average. PAM Health’s average is</w:t>
      </w:r>
      <w:r w:rsidR="00FC4DB4" w:rsidRPr="00727E3F">
        <w:rPr>
          <w:rFonts w:ascii="Garamond" w:hAnsi="Garamond"/>
        </w:rPr>
        <w:t xml:space="preserve"> </w:t>
      </w:r>
      <w:r w:rsidRPr="00727E3F">
        <w:rPr>
          <w:rFonts w:ascii="Garamond" w:hAnsi="Garamond"/>
        </w:rPr>
        <w:t>76% compared to the national average of 53%. Since the Proposed Project has not</w:t>
      </w:r>
      <w:r w:rsidR="00FC4DB4" w:rsidRPr="00727E3F">
        <w:rPr>
          <w:rFonts w:ascii="Garamond" w:hAnsi="Garamond"/>
        </w:rPr>
        <w:t xml:space="preserve"> </w:t>
      </w:r>
      <w:r w:rsidRPr="00727E3F">
        <w:rPr>
          <w:rFonts w:ascii="Garamond" w:hAnsi="Garamond"/>
        </w:rPr>
        <w:t xml:space="preserve">occurred, the Applicant will establish a benchmark of 70% for </w:t>
      </w:r>
      <w:r w:rsidR="00987893">
        <w:rPr>
          <w:rFonts w:ascii="Garamond" w:hAnsi="Garamond"/>
        </w:rPr>
        <w:t xml:space="preserve">this facility for </w:t>
      </w:r>
      <w:r w:rsidRPr="00727E3F">
        <w:rPr>
          <w:rFonts w:ascii="Garamond" w:hAnsi="Garamond"/>
        </w:rPr>
        <w:t>this measure.</w:t>
      </w:r>
    </w:p>
    <w:p w14:paraId="71CC2944" w14:textId="77777777" w:rsidR="00FC4DB4" w:rsidRPr="00727E3F" w:rsidRDefault="00FC4DB4" w:rsidP="00791EA4">
      <w:pPr>
        <w:autoSpaceDE w:val="0"/>
        <w:autoSpaceDN w:val="0"/>
        <w:adjustRightInd w:val="0"/>
        <w:rPr>
          <w:rFonts w:ascii="Garamond" w:hAnsi="Garamond"/>
        </w:rPr>
      </w:pPr>
    </w:p>
    <w:p w14:paraId="29F99368" w14:textId="3A96161E" w:rsidR="00465793" w:rsidRDefault="00791EA4" w:rsidP="00791EA4">
      <w:pPr>
        <w:autoSpaceDE w:val="0"/>
        <w:autoSpaceDN w:val="0"/>
        <w:adjustRightInd w:val="0"/>
        <w:rPr>
          <w:rFonts w:ascii="Garamond" w:hAnsi="Garamond"/>
        </w:rPr>
      </w:pPr>
      <w:r w:rsidRPr="00727E3F">
        <w:rPr>
          <w:rFonts w:ascii="Garamond" w:hAnsi="Garamond"/>
        </w:rPr>
        <w:t xml:space="preserve">Monitoring: </w:t>
      </w:r>
      <w:r w:rsidR="00685A73">
        <w:rPr>
          <w:rFonts w:ascii="Garamond" w:hAnsi="Garamond"/>
        </w:rPr>
        <w:t>PAM Health will review m</w:t>
      </w:r>
      <w:r w:rsidR="00C84579">
        <w:rPr>
          <w:rFonts w:ascii="Garamond" w:hAnsi="Garamond"/>
        </w:rPr>
        <w:t>etrics</w:t>
      </w:r>
      <w:r w:rsidRPr="00727E3F">
        <w:rPr>
          <w:rFonts w:ascii="Garamond" w:hAnsi="Garamond"/>
        </w:rPr>
        <w:t xml:space="preserve"> monthly</w:t>
      </w:r>
      <w:r w:rsidR="00685A73">
        <w:rPr>
          <w:rFonts w:ascii="Garamond" w:hAnsi="Garamond"/>
        </w:rPr>
        <w:t xml:space="preserve"> and will report a yearly summary to the DoN</w:t>
      </w:r>
      <w:r w:rsidR="00C84579">
        <w:rPr>
          <w:rFonts w:ascii="Garamond" w:hAnsi="Garamond"/>
        </w:rPr>
        <w:t>.</w:t>
      </w:r>
    </w:p>
    <w:p w14:paraId="00DAC371" w14:textId="3E514975" w:rsidR="00430FDB" w:rsidRDefault="00430FDB" w:rsidP="00791EA4">
      <w:pPr>
        <w:autoSpaceDE w:val="0"/>
        <w:autoSpaceDN w:val="0"/>
        <w:adjustRightInd w:val="0"/>
        <w:rPr>
          <w:rFonts w:ascii="Garamond" w:hAnsi="Garamond"/>
        </w:rPr>
      </w:pPr>
    </w:p>
    <w:p w14:paraId="26A4A170" w14:textId="5CEA12D5" w:rsidR="00430FDB" w:rsidRPr="00743EA6" w:rsidRDefault="00430FDB" w:rsidP="00430FDB">
      <w:pPr>
        <w:autoSpaceDE w:val="0"/>
        <w:autoSpaceDN w:val="0"/>
        <w:adjustRightInd w:val="0"/>
        <w:rPr>
          <w:rFonts w:ascii="Garamond" w:hAnsi="Garamond"/>
          <w:i/>
          <w:iCs/>
        </w:rPr>
      </w:pPr>
      <w:r w:rsidRPr="00743EA6">
        <w:rPr>
          <w:rFonts w:ascii="Garamond" w:hAnsi="Garamond"/>
          <w:i/>
          <w:iCs/>
        </w:rPr>
        <w:t>b.</w:t>
      </w:r>
      <w:r w:rsidR="00150255" w:rsidRPr="00743EA6">
        <w:rPr>
          <w:rFonts w:ascii="Garamond" w:hAnsi="Garamond"/>
          <w:i/>
          <w:iCs/>
        </w:rPr>
        <w:t xml:space="preserve"> To evaluate outcomes of patients on a ventilator, the Applicant </w:t>
      </w:r>
      <w:r w:rsidR="00465793" w:rsidRPr="00743EA6">
        <w:rPr>
          <w:rFonts w:ascii="Garamond" w:hAnsi="Garamond"/>
          <w:i/>
          <w:iCs/>
        </w:rPr>
        <w:t>must</w:t>
      </w:r>
      <w:r w:rsidR="00150255" w:rsidRPr="00743EA6">
        <w:rPr>
          <w:rFonts w:ascii="Garamond" w:hAnsi="Garamond"/>
          <w:i/>
          <w:iCs/>
        </w:rPr>
        <w:t xml:space="preserve"> provide additional data for patients on a ventilator.</w:t>
      </w:r>
      <w:r w:rsidRPr="00743EA6">
        <w:rPr>
          <w:rFonts w:ascii="Garamond" w:hAnsi="Garamond"/>
          <w:i/>
          <w:iCs/>
        </w:rPr>
        <w:t xml:space="preserve"> </w:t>
      </w:r>
    </w:p>
    <w:p w14:paraId="1B0DC80C" w14:textId="77777777" w:rsidR="00150255" w:rsidRDefault="00150255" w:rsidP="00150255">
      <w:pPr>
        <w:autoSpaceDE w:val="0"/>
        <w:autoSpaceDN w:val="0"/>
        <w:adjustRightInd w:val="0"/>
        <w:rPr>
          <w:rFonts w:ascii="Garamond" w:hAnsi="Garamond"/>
        </w:rPr>
      </w:pPr>
    </w:p>
    <w:p w14:paraId="7C58D7C1" w14:textId="4A7F8A65" w:rsidR="00150255" w:rsidRPr="00727E3F" w:rsidRDefault="00430FDB" w:rsidP="00150255">
      <w:pPr>
        <w:autoSpaceDE w:val="0"/>
        <w:autoSpaceDN w:val="0"/>
        <w:adjustRightInd w:val="0"/>
        <w:rPr>
          <w:rFonts w:ascii="Garamond" w:hAnsi="Garamond"/>
        </w:rPr>
      </w:pPr>
      <w:r>
        <w:rPr>
          <w:rFonts w:ascii="Garamond" w:hAnsi="Garamond"/>
        </w:rPr>
        <w:t xml:space="preserve">Measure: </w:t>
      </w:r>
      <w:r w:rsidR="001216D6">
        <w:rPr>
          <w:rFonts w:ascii="Garamond" w:hAnsi="Garamond"/>
        </w:rPr>
        <w:t>T</w:t>
      </w:r>
      <w:r w:rsidR="00150255">
        <w:rPr>
          <w:rFonts w:ascii="Garamond" w:hAnsi="Garamond"/>
        </w:rPr>
        <w:t xml:space="preserve">he Applicant will provide </w:t>
      </w:r>
      <w:r w:rsidR="00150255" w:rsidRPr="00052664">
        <w:rPr>
          <w:rFonts w:ascii="Garamond" w:hAnsi="Garamond"/>
        </w:rPr>
        <w:t>average length of stay and discharge location (e.g., home, hospital, SNF) for patients on a ventilator.</w:t>
      </w:r>
      <w:r w:rsidR="00150255" w:rsidRPr="00727E3F">
        <w:rPr>
          <w:rFonts w:ascii="Garamond" w:hAnsi="Garamond"/>
        </w:rPr>
        <w:t xml:space="preserve"> </w:t>
      </w:r>
    </w:p>
    <w:p w14:paraId="0BC67434" w14:textId="77777777" w:rsidR="00FC4DB4" w:rsidRPr="00727E3F" w:rsidRDefault="00FC4DB4" w:rsidP="00791EA4">
      <w:pPr>
        <w:autoSpaceDE w:val="0"/>
        <w:autoSpaceDN w:val="0"/>
        <w:adjustRightInd w:val="0"/>
        <w:rPr>
          <w:rFonts w:ascii="Garamond" w:hAnsi="Garamond"/>
        </w:rPr>
      </w:pPr>
    </w:p>
    <w:p w14:paraId="412E9B9B" w14:textId="1ECAFE27" w:rsidR="00791EA4" w:rsidRPr="00727E3F" w:rsidRDefault="00430FDB" w:rsidP="00791EA4">
      <w:pPr>
        <w:autoSpaceDE w:val="0"/>
        <w:autoSpaceDN w:val="0"/>
        <w:adjustRightInd w:val="0"/>
        <w:rPr>
          <w:rFonts w:ascii="Garamond" w:hAnsi="Garamond"/>
        </w:rPr>
      </w:pPr>
      <w:r>
        <w:rPr>
          <w:rFonts w:ascii="Garamond" w:hAnsi="Garamond"/>
          <w:i/>
          <w:iCs/>
        </w:rPr>
        <w:t>c</w:t>
      </w:r>
      <w:r w:rsidR="00791EA4" w:rsidRPr="00727E3F">
        <w:rPr>
          <w:rFonts w:ascii="Garamond" w:hAnsi="Garamond"/>
          <w:i/>
          <w:iCs/>
        </w:rPr>
        <w:t>. New or Worsened</w:t>
      </w:r>
      <w:r w:rsidR="00B846B4" w:rsidRPr="00727E3F">
        <w:rPr>
          <w:rFonts w:ascii="Garamond" w:hAnsi="Garamond"/>
          <w:i/>
          <w:iCs/>
        </w:rPr>
        <w:t xml:space="preserve"> Hospital Acquired Pressure Ulcer</w:t>
      </w:r>
      <w:r w:rsidR="00791EA4" w:rsidRPr="00727E3F">
        <w:rPr>
          <w:rFonts w:ascii="Garamond" w:hAnsi="Garamond"/>
          <w:i/>
          <w:iCs/>
        </w:rPr>
        <w:t xml:space="preserve"> </w:t>
      </w:r>
      <w:r w:rsidR="00B846B4" w:rsidRPr="00727E3F">
        <w:rPr>
          <w:rFonts w:ascii="Garamond" w:hAnsi="Garamond"/>
          <w:i/>
          <w:iCs/>
        </w:rPr>
        <w:t>(</w:t>
      </w:r>
      <w:r w:rsidR="00791EA4" w:rsidRPr="00727E3F">
        <w:rPr>
          <w:rFonts w:ascii="Garamond" w:hAnsi="Garamond"/>
          <w:i/>
          <w:iCs/>
        </w:rPr>
        <w:t>HAPUs</w:t>
      </w:r>
      <w:r w:rsidR="00B846B4" w:rsidRPr="00727E3F">
        <w:rPr>
          <w:rFonts w:ascii="Garamond" w:hAnsi="Garamond"/>
          <w:i/>
          <w:iCs/>
        </w:rPr>
        <w:t>)</w:t>
      </w:r>
      <w:r w:rsidR="00791EA4" w:rsidRPr="00727E3F">
        <w:rPr>
          <w:rFonts w:ascii="Garamond" w:hAnsi="Garamond"/>
          <w:i/>
          <w:iCs/>
        </w:rPr>
        <w:t>.</w:t>
      </w:r>
      <w:r w:rsidR="00791EA4" w:rsidRPr="00727E3F">
        <w:rPr>
          <w:rFonts w:ascii="Garamond" w:hAnsi="Garamond"/>
        </w:rPr>
        <w:t xml:space="preserve"> LTCHs by their nature serve chronic conditions that</w:t>
      </w:r>
      <w:r w:rsidR="00FC4DB4" w:rsidRPr="00727E3F">
        <w:rPr>
          <w:rFonts w:ascii="Garamond" w:hAnsi="Garamond"/>
        </w:rPr>
        <w:t xml:space="preserve"> </w:t>
      </w:r>
      <w:r w:rsidR="00791EA4" w:rsidRPr="00727E3F">
        <w:rPr>
          <w:rFonts w:ascii="Garamond" w:hAnsi="Garamond"/>
        </w:rPr>
        <w:t>include complex wounds. PAM Health’s average</w:t>
      </w:r>
      <w:r w:rsidR="00465793">
        <w:rPr>
          <w:rFonts w:ascii="Garamond" w:hAnsi="Garamond"/>
        </w:rPr>
        <w:t xml:space="preserve"> rate of HAPUs</w:t>
      </w:r>
      <w:r w:rsidR="00791EA4" w:rsidRPr="00727E3F">
        <w:rPr>
          <w:rFonts w:ascii="Garamond" w:hAnsi="Garamond"/>
        </w:rPr>
        <w:t xml:space="preserve"> is 1.9% compared to the national</w:t>
      </w:r>
      <w:r w:rsidR="00FC4DB4" w:rsidRPr="00727E3F">
        <w:rPr>
          <w:rFonts w:ascii="Garamond" w:hAnsi="Garamond"/>
        </w:rPr>
        <w:t xml:space="preserve"> </w:t>
      </w:r>
      <w:r w:rsidR="006E2237">
        <w:rPr>
          <w:rFonts w:ascii="Garamond" w:hAnsi="Garamond"/>
        </w:rPr>
        <w:t xml:space="preserve">LTCH </w:t>
      </w:r>
      <w:r w:rsidR="00791EA4" w:rsidRPr="00727E3F">
        <w:rPr>
          <w:rFonts w:ascii="Garamond" w:hAnsi="Garamond"/>
        </w:rPr>
        <w:t>average of 2.5%.</w:t>
      </w:r>
    </w:p>
    <w:p w14:paraId="56FA865C" w14:textId="77777777" w:rsidR="00743EA6" w:rsidRPr="00727E3F" w:rsidRDefault="00743EA6" w:rsidP="00791EA4">
      <w:pPr>
        <w:autoSpaceDE w:val="0"/>
        <w:autoSpaceDN w:val="0"/>
        <w:adjustRightInd w:val="0"/>
        <w:rPr>
          <w:rFonts w:ascii="Garamond" w:hAnsi="Garamond"/>
        </w:rPr>
      </w:pPr>
    </w:p>
    <w:p w14:paraId="08817991" w14:textId="36E4ECE3" w:rsidR="00791EA4" w:rsidRPr="00727E3F" w:rsidRDefault="00791EA4" w:rsidP="00791EA4">
      <w:pPr>
        <w:autoSpaceDE w:val="0"/>
        <w:autoSpaceDN w:val="0"/>
        <w:adjustRightInd w:val="0"/>
        <w:rPr>
          <w:rFonts w:ascii="Garamond" w:hAnsi="Garamond"/>
        </w:rPr>
      </w:pPr>
      <w:r w:rsidRPr="00727E3F">
        <w:rPr>
          <w:rFonts w:ascii="Garamond" w:hAnsi="Garamond"/>
        </w:rPr>
        <w:t>Measure: The number</w:t>
      </w:r>
      <w:r w:rsidR="00430FDB">
        <w:rPr>
          <w:rFonts w:ascii="Garamond" w:hAnsi="Garamond"/>
        </w:rPr>
        <w:t xml:space="preserve"> and percentage</w:t>
      </w:r>
      <w:r w:rsidRPr="00727E3F">
        <w:rPr>
          <w:rFonts w:ascii="Garamond" w:hAnsi="Garamond"/>
        </w:rPr>
        <w:t xml:space="preserve"> of patients with Stage 2-4 pressure ulcers, or unstageable</w:t>
      </w:r>
      <w:r w:rsidR="00FC4DB4" w:rsidRPr="00727E3F">
        <w:rPr>
          <w:rFonts w:ascii="Garamond" w:hAnsi="Garamond"/>
        </w:rPr>
        <w:t xml:space="preserve"> </w:t>
      </w:r>
      <w:r w:rsidRPr="00727E3F">
        <w:rPr>
          <w:rFonts w:ascii="Garamond" w:hAnsi="Garamond"/>
        </w:rPr>
        <w:t>pressure ulcers due to slough/eschar, non-removable dressing/device, or deep tissue</w:t>
      </w:r>
      <w:r w:rsidR="00FC4DB4" w:rsidRPr="00727E3F">
        <w:rPr>
          <w:rFonts w:ascii="Garamond" w:hAnsi="Garamond"/>
        </w:rPr>
        <w:t xml:space="preserve"> </w:t>
      </w:r>
      <w:r w:rsidRPr="00727E3F">
        <w:rPr>
          <w:rFonts w:ascii="Garamond" w:hAnsi="Garamond"/>
        </w:rPr>
        <w:t>injury, that were not present or were at a lesser stage on admission.</w:t>
      </w:r>
    </w:p>
    <w:p w14:paraId="035FF4A7" w14:textId="77777777" w:rsidR="00FC4DB4" w:rsidRPr="00727E3F" w:rsidRDefault="00FC4DB4" w:rsidP="00791EA4">
      <w:pPr>
        <w:autoSpaceDE w:val="0"/>
        <w:autoSpaceDN w:val="0"/>
        <w:adjustRightInd w:val="0"/>
        <w:rPr>
          <w:rFonts w:ascii="Garamond" w:hAnsi="Garamond"/>
        </w:rPr>
      </w:pPr>
    </w:p>
    <w:p w14:paraId="1F838E38" w14:textId="3F12F0CE" w:rsidR="00791EA4" w:rsidRPr="00727E3F" w:rsidRDefault="00791EA4" w:rsidP="00791EA4">
      <w:pPr>
        <w:autoSpaceDE w:val="0"/>
        <w:autoSpaceDN w:val="0"/>
        <w:adjustRightInd w:val="0"/>
        <w:rPr>
          <w:rFonts w:ascii="Garamond" w:hAnsi="Garamond"/>
        </w:rPr>
      </w:pPr>
      <w:r w:rsidRPr="00727E3F">
        <w:rPr>
          <w:rFonts w:ascii="Garamond" w:hAnsi="Garamond"/>
        </w:rPr>
        <w:t>Projections: Since the proposed project has not occurred, the Applicant will</w:t>
      </w:r>
      <w:r w:rsidR="00FC4DB4" w:rsidRPr="00727E3F">
        <w:rPr>
          <w:rFonts w:ascii="Garamond" w:hAnsi="Garamond"/>
        </w:rPr>
        <w:t xml:space="preserve"> </w:t>
      </w:r>
      <w:r w:rsidR="00430FDB">
        <w:rPr>
          <w:rFonts w:ascii="Garamond" w:hAnsi="Garamond"/>
        </w:rPr>
        <w:t>adopt</w:t>
      </w:r>
      <w:r w:rsidR="00430FDB" w:rsidRPr="00727E3F">
        <w:rPr>
          <w:rFonts w:ascii="Garamond" w:hAnsi="Garamond"/>
        </w:rPr>
        <w:t xml:space="preserve"> </w:t>
      </w:r>
      <w:r w:rsidRPr="00727E3F">
        <w:rPr>
          <w:rFonts w:ascii="Garamond" w:hAnsi="Garamond"/>
        </w:rPr>
        <w:t xml:space="preserve">the national </w:t>
      </w:r>
      <w:r w:rsidR="006E2237">
        <w:rPr>
          <w:rFonts w:ascii="Garamond" w:hAnsi="Garamond"/>
        </w:rPr>
        <w:t xml:space="preserve">LTCH </w:t>
      </w:r>
      <w:r w:rsidRPr="00727E3F">
        <w:rPr>
          <w:rFonts w:ascii="Garamond" w:hAnsi="Garamond"/>
        </w:rPr>
        <w:t>benchmark of 2.5%</w:t>
      </w:r>
      <w:r w:rsidR="00FC4DB4" w:rsidRPr="00727E3F">
        <w:rPr>
          <w:rFonts w:ascii="Garamond" w:hAnsi="Garamond"/>
        </w:rPr>
        <w:t>.</w:t>
      </w:r>
    </w:p>
    <w:p w14:paraId="1925B6E7" w14:textId="77777777" w:rsidR="00FC4DB4" w:rsidRPr="00727E3F" w:rsidRDefault="00FC4DB4" w:rsidP="00791EA4">
      <w:pPr>
        <w:contextualSpacing/>
        <w:rPr>
          <w:rFonts w:ascii="Garamond" w:hAnsi="Garamond"/>
        </w:rPr>
      </w:pPr>
    </w:p>
    <w:p w14:paraId="6A1C97A9" w14:textId="20517ECE" w:rsidR="00791EA4" w:rsidRPr="00727E3F" w:rsidRDefault="00791EA4" w:rsidP="00791EA4">
      <w:pPr>
        <w:contextualSpacing/>
        <w:rPr>
          <w:rFonts w:ascii="Garamond" w:hAnsi="Garamond"/>
          <w:color w:val="000000"/>
        </w:rPr>
      </w:pPr>
      <w:r w:rsidRPr="00727E3F">
        <w:rPr>
          <w:rFonts w:ascii="Garamond" w:hAnsi="Garamond"/>
        </w:rPr>
        <w:t xml:space="preserve">Monitoring: </w:t>
      </w:r>
      <w:r w:rsidR="002F510C">
        <w:rPr>
          <w:rFonts w:ascii="Garamond" w:hAnsi="Garamond"/>
        </w:rPr>
        <w:t>PAM Health will review m</w:t>
      </w:r>
      <w:r w:rsidR="00C84579">
        <w:rPr>
          <w:rFonts w:ascii="Garamond" w:hAnsi="Garamond"/>
        </w:rPr>
        <w:t xml:space="preserve">etrics </w:t>
      </w:r>
      <w:r w:rsidRPr="00727E3F">
        <w:rPr>
          <w:rFonts w:ascii="Garamond" w:hAnsi="Garamond"/>
        </w:rPr>
        <w:t>quarterly</w:t>
      </w:r>
      <w:r w:rsidR="002F510C">
        <w:rPr>
          <w:rFonts w:ascii="Garamond" w:hAnsi="Garamond"/>
        </w:rPr>
        <w:t xml:space="preserve"> and will report a yearly summary to the DoN</w:t>
      </w:r>
      <w:r w:rsidR="00C84579">
        <w:rPr>
          <w:rFonts w:ascii="Garamond" w:hAnsi="Garamond"/>
        </w:rPr>
        <w:t>.</w:t>
      </w:r>
    </w:p>
    <w:p w14:paraId="0529EF84" w14:textId="77777777" w:rsidR="00791EA4" w:rsidRPr="00791EA4" w:rsidRDefault="00791EA4" w:rsidP="00791EA4">
      <w:pPr>
        <w:contextualSpacing/>
        <w:rPr>
          <w:rFonts w:ascii="Garamond" w:hAnsi="Garamond" w:cs="Arial"/>
          <w:iCs/>
        </w:rPr>
      </w:pPr>
    </w:p>
    <w:p w14:paraId="08282733" w14:textId="3EA5BAD8" w:rsidR="00F83160" w:rsidRDefault="00F83160" w:rsidP="007A57C4">
      <w:pPr>
        <w:contextualSpacing/>
        <w:rPr>
          <w:rFonts w:ascii="Garamond" w:hAnsi="Garamond" w:cs="Arial"/>
          <w:b/>
          <w:bCs/>
          <w:iCs/>
        </w:rPr>
      </w:pPr>
    </w:p>
    <w:p w14:paraId="0EF8237E" w14:textId="69497678" w:rsidR="002D535F" w:rsidRPr="007A57C4" w:rsidRDefault="002D535F" w:rsidP="007A57C4">
      <w:pPr>
        <w:contextualSpacing/>
        <w:rPr>
          <w:rFonts w:ascii="Garamond" w:hAnsi="Garamond" w:cs="Arial"/>
          <w:b/>
          <w:bCs/>
          <w:iCs/>
        </w:rPr>
      </w:pPr>
      <w:r w:rsidRPr="007A57C4">
        <w:rPr>
          <w:rFonts w:ascii="Garamond" w:hAnsi="Garamond" w:cs="Arial"/>
          <w:b/>
          <w:bCs/>
          <w:iCs/>
        </w:rPr>
        <w:t>REFERENCES</w:t>
      </w:r>
    </w:p>
    <w:sectPr w:rsidR="002D535F" w:rsidRPr="007A57C4" w:rsidSect="00E523BE">
      <w:headerReference w:type="even" r:id="rId10"/>
      <w:headerReference w:type="default" r:id="rId11"/>
      <w:footerReference w:type="default" r:id="rId12"/>
      <w:headerReference w:type="first" r:id="rId13"/>
      <w:endnotePr>
        <w:numFmt w:val="lowerLetter"/>
      </w:endnotePr>
      <w:pgSz w:w="12240" w:h="15840"/>
      <w:pgMar w:top="90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BAE86" w14:textId="77777777" w:rsidR="009A19EE" w:rsidRDefault="009A19EE" w:rsidP="008C0709">
      <w:r>
        <w:separator/>
      </w:r>
    </w:p>
  </w:endnote>
  <w:endnote w:type="continuationSeparator" w:id="0">
    <w:p w14:paraId="59DF79B2" w14:textId="77777777" w:rsidR="009A19EE" w:rsidRDefault="009A19EE" w:rsidP="008C0709">
      <w:r>
        <w:continuationSeparator/>
      </w:r>
    </w:p>
  </w:endnote>
  <w:endnote w:id="1">
    <w:p w14:paraId="7C78E8E6" w14:textId="25695784" w:rsidR="00ED52A4" w:rsidRPr="00ED52A4" w:rsidRDefault="00ED52A4" w:rsidP="00343835">
      <w:r>
        <w:rPr>
          <w:rStyle w:val="EndnoteReference"/>
        </w:rPr>
        <w:endnoteRef/>
      </w:r>
      <w:r>
        <w:t xml:space="preserve"> </w:t>
      </w:r>
      <w:r w:rsidRPr="00ED52A4">
        <w:rPr>
          <w:rFonts w:ascii="Garamond" w:eastAsiaTheme="minorHAnsi" w:hAnsi="Garamond" w:cstheme="minorBidi"/>
          <w:sz w:val="20"/>
          <w:szCs w:val="20"/>
        </w:rPr>
        <w:t>Grigonis, A., Mathews, K., Benka-Coker, W., Dawson, A., &amp; Hammerman, S. (2021). Long-Term Acute Care Hospitals Extend ICU Capacity for COVID-19 Response and Recovery. </w:t>
      </w:r>
      <w:r w:rsidRPr="00ED52A4">
        <w:rPr>
          <w:rFonts w:ascii="Garamond" w:eastAsiaTheme="minorHAnsi" w:hAnsi="Garamond" w:cstheme="minorBidi"/>
          <w:i/>
          <w:iCs/>
          <w:sz w:val="20"/>
          <w:szCs w:val="20"/>
        </w:rPr>
        <w:t>Chest</w:t>
      </w:r>
      <w:r w:rsidRPr="00ED52A4">
        <w:rPr>
          <w:rFonts w:ascii="Garamond" w:eastAsiaTheme="minorHAnsi" w:hAnsi="Garamond" w:cstheme="minorBidi"/>
          <w:sz w:val="20"/>
          <w:szCs w:val="20"/>
        </w:rPr>
        <w:t>, 159(5), 1894-1901. https://doi.org/10.1016/j.chest.2020.12.001</w:t>
      </w:r>
      <w:r>
        <w:rPr>
          <w:rFonts w:ascii="Garamond" w:hAnsi="Garamond"/>
          <w:sz w:val="20"/>
          <w:szCs w:val="20"/>
        </w:rPr>
        <w:t>.</w:t>
      </w:r>
    </w:p>
  </w:endnote>
  <w:endnote w:id="2">
    <w:p w14:paraId="64CB0EB2" w14:textId="70A04D91" w:rsidR="009D31AA" w:rsidRDefault="009D31AA" w:rsidP="00343835">
      <w:r>
        <w:rPr>
          <w:rStyle w:val="EndnoteReference"/>
        </w:rPr>
        <w:endnoteRef/>
      </w:r>
      <w:r>
        <w:t xml:space="preserve"> </w:t>
      </w:r>
      <w:r w:rsidR="00462B8A" w:rsidRPr="00462B8A">
        <w:rPr>
          <w:rFonts w:ascii="Garamond" w:hAnsi="Garamond" w:cs="Open Sans"/>
          <w:color w:val="000000"/>
          <w:sz w:val="20"/>
          <w:szCs w:val="20"/>
          <w:shd w:val="clear" w:color="auto" w:fill="FFFFFF"/>
        </w:rPr>
        <w:t>Kindred, I. (2021). </w:t>
      </w:r>
      <w:r w:rsidR="00462B8A" w:rsidRPr="00462B8A">
        <w:rPr>
          <w:rFonts w:ascii="Garamond" w:hAnsi="Garamond" w:cs="Open Sans"/>
          <w:i/>
          <w:iCs/>
          <w:color w:val="000000"/>
          <w:sz w:val="20"/>
          <w:szCs w:val="20"/>
        </w:rPr>
        <w:t>Addressing Medically Complex Patient Challenges: How LTACHs Help Health Systems Improve Care and Reduce Cost</w:t>
      </w:r>
      <w:r w:rsidR="00462B8A" w:rsidRPr="00462B8A">
        <w:rPr>
          <w:rFonts w:ascii="Garamond" w:hAnsi="Garamond" w:cs="Open Sans"/>
          <w:color w:val="000000"/>
          <w:sz w:val="20"/>
          <w:szCs w:val="20"/>
          <w:shd w:val="clear" w:color="auto" w:fill="FFFFFF"/>
        </w:rPr>
        <w:t xml:space="preserve">. Beckershospitalreview.com. Retrieved </w:t>
      </w:r>
      <w:r w:rsidR="00343835">
        <w:rPr>
          <w:rFonts w:ascii="Garamond" w:hAnsi="Garamond" w:cs="Open Sans"/>
          <w:color w:val="000000"/>
          <w:sz w:val="20"/>
          <w:szCs w:val="20"/>
          <w:shd w:val="clear" w:color="auto" w:fill="FFFFFF"/>
        </w:rPr>
        <w:t>6</w:t>
      </w:r>
      <w:r w:rsidR="00462B8A" w:rsidRPr="00462B8A">
        <w:rPr>
          <w:rFonts w:ascii="Garamond" w:hAnsi="Garamond" w:cs="Open Sans"/>
          <w:color w:val="000000"/>
          <w:sz w:val="20"/>
          <w:szCs w:val="20"/>
          <w:shd w:val="clear" w:color="auto" w:fill="FFFFFF"/>
        </w:rPr>
        <w:t xml:space="preserve"> December 2021, from https://www.beckershospitalreview.com/addressing-medically-complex-patient-challenges-how-ltachs-help-health-systems-improve-care-and-reduce-cost.html.</w:t>
      </w:r>
    </w:p>
  </w:endnote>
  <w:endnote w:id="3">
    <w:p w14:paraId="243560D3" w14:textId="04AB4F18" w:rsidR="00343835" w:rsidRDefault="00343835" w:rsidP="001768CC">
      <w:r>
        <w:rPr>
          <w:rStyle w:val="EndnoteReference"/>
        </w:rPr>
        <w:endnoteRef/>
      </w:r>
      <w:r>
        <w:t xml:space="preserve"> </w:t>
      </w:r>
      <w:r w:rsidRPr="00343835">
        <w:rPr>
          <w:rFonts w:ascii="Garamond" w:hAnsi="Garamond" w:cs="Open Sans"/>
          <w:color w:val="000000"/>
          <w:sz w:val="20"/>
          <w:szCs w:val="20"/>
          <w:shd w:val="clear" w:color="auto" w:fill="FFFFFF"/>
        </w:rPr>
        <w:t>Koenig, L., Demiralp, B., Saavoss, J., &amp; Zhang, Q. (2015). The Role of Long-term Acute Care Hospitals in Treating the Critically Ill and Medically Complex.</w:t>
      </w:r>
      <w:r w:rsidRPr="00343835">
        <w:rPr>
          <w:rStyle w:val="apple-converted-space"/>
          <w:rFonts w:ascii="Garamond" w:hAnsi="Garamond" w:cs="Open Sans"/>
          <w:color w:val="000000"/>
          <w:sz w:val="20"/>
          <w:szCs w:val="20"/>
          <w:shd w:val="clear" w:color="auto" w:fill="FFFFFF"/>
        </w:rPr>
        <w:t> </w:t>
      </w:r>
      <w:r w:rsidRPr="00343835">
        <w:rPr>
          <w:rFonts w:ascii="Garamond" w:hAnsi="Garamond" w:cs="Open Sans"/>
          <w:i/>
          <w:iCs/>
          <w:color w:val="000000"/>
          <w:sz w:val="20"/>
          <w:szCs w:val="20"/>
        </w:rPr>
        <w:t>Medical Care</w:t>
      </w:r>
      <w:r w:rsidRPr="00343835">
        <w:rPr>
          <w:rFonts w:ascii="Garamond" w:hAnsi="Garamond" w:cs="Open Sans"/>
          <w:color w:val="000000"/>
          <w:sz w:val="20"/>
          <w:szCs w:val="20"/>
          <w:shd w:val="clear" w:color="auto" w:fill="FFFFFF"/>
        </w:rPr>
        <w:t>,</w:t>
      </w:r>
      <w:r w:rsidRPr="00343835">
        <w:rPr>
          <w:rStyle w:val="apple-converted-space"/>
          <w:rFonts w:ascii="Garamond" w:hAnsi="Garamond" w:cs="Open Sans"/>
          <w:color w:val="000000"/>
          <w:sz w:val="20"/>
          <w:szCs w:val="20"/>
          <w:shd w:val="clear" w:color="auto" w:fill="FFFFFF"/>
        </w:rPr>
        <w:t> </w:t>
      </w:r>
      <w:r w:rsidRPr="00343835">
        <w:rPr>
          <w:rFonts w:ascii="Garamond" w:hAnsi="Garamond" w:cs="Open Sans"/>
          <w:i/>
          <w:iCs/>
          <w:color w:val="000000"/>
          <w:sz w:val="20"/>
          <w:szCs w:val="20"/>
        </w:rPr>
        <w:t>53</w:t>
      </w:r>
      <w:r w:rsidRPr="00343835">
        <w:rPr>
          <w:rFonts w:ascii="Garamond" w:hAnsi="Garamond" w:cs="Open Sans"/>
          <w:color w:val="000000"/>
          <w:sz w:val="20"/>
          <w:szCs w:val="20"/>
          <w:shd w:val="clear" w:color="auto" w:fill="FFFFFF"/>
        </w:rPr>
        <w:t>(7), 582-590. https://doi.org/10.1097/mlr.0000000000000382.</w:t>
      </w:r>
    </w:p>
  </w:endnote>
  <w:endnote w:id="4">
    <w:p w14:paraId="13633527" w14:textId="098FF536" w:rsidR="00150255" w:rsidRDefault="001768CC" w:rsidP="00150255">
      <w:r>
        <w:rPr>
          <w:rStyle w:val="EndnoteReference"/>
        </w:rPr>
        <w:endnoteRef/>
      </w:r>
      <w:r>
        <w:t xml:space="preserve"> </w:t>
      </w:r>
      <w:r w:rsidRPr="00343835">
        <w:rPr>
          <w:rFonts w:ascii="Garamond" w:hAnsi="Garamond" w:cs="Open Sans"/>
          <w:color w:val="000000"/>
          <w:sz w:val="20"/>
          <w:szCs w:val="20"/>
          <w:shd w:val="clear" w:color="auto" w:fill="FFFFFF"/>
        </w:rPr>
        <w:t>Votto, J., Scalise, P., Barton, R., &amp; Vogel, C. (2011). An analysis of clinical outcomes and costs of a long term acute care hospital.</w:t>
      </w:r>
      <w:r w:rsidRPr="00343835">
        <w:rPr>
          <w:rStyle w:val="apple-converted-space"/>
          <w:rFonts w:ascii="Garamond" w:hAnsi="Garamond" w:cs="Open Sans"/>
          <w:color w:val="000000"/>
          <w:sz w:val="20"/>
          <w:szCs w:val="20"/>
          <w:shd w:val="clear" w:color="auto" w:fill="FFFFFF"/>
        </w:rPr>
        <w:t> </w:t>
      </w:r>
      <w:r w:rsidRPr="00343835">
        <w:rPr>
          <w:rFonts w:ascii="Garamond" w:hAnsi="Garamond" w:cs="Open Sans"/>
          <w:i/>
          <w:iCs/>
          <w:color w:val="000000"/>
          <w:sz w:val="20"/>
          <w:szCs w:val="20"/>
        </w:rPr>
        <w:t>Journal Of Medical Economics</w:t>
      </w:r>
      <w:r w:rsidRPr="00343835">
        <w:rPr>
          <w:rFonts w:ascii="Garamond" w:hAnsi="Garamond" w:cs="Open Sans"/>
          <w:color w:val="000000"/>
          <w:sz w:val="20"/>
          <w:szCs w:val="20"/>
          <w:shd w:val="clear" w:color="auto" w:fill="FFFFFF"/>
        </w:rPr>
        <w:t>,</w:t>
      </w:r>
      <w:r w:rsidRPr="00343835">
        <w:rPr>
          <w:rStyle w:val="apple-converted-space"/>
          <w:rFonts w:ascii="Garamond" w:hAnsi="Garamond" w:cs="Open Sans"/>
          <w:color w:val="000000"/>
          <w:sz w:val="20"/>
          <w:szCs w:val="20"/>
          <w:shd w:val="clear" w:color="auto" w:fill="FFFFFF"/>
        </w:rPr>
        <w:t> </w:t>
      </w:r>
      <w:r w:rsidRPr="00343835">
        <w:rPr>
          <w:rFonts w:ascii="Garamond" w:hAnsi="Garamond" w:cs="Open Sans"/>
          <w:i/>
          <w:iCs/>
          <w:color w:val="000000"/>
          <w:sz w:val="20"/>
          <w:szCs w:val="20"/>
        </w:rPr>
        <w:t>14</w:t>
      </w:r>
      <w:r w:rsidRPr="00343835">
        <w:rPr>
          <w:rFonts w:ascii="Garamond" w:hAnsi="Garamond" w:cs="Open Sans"/>
          <w:color w:val="000000"/>
          <w:sz w:val="20"/>
          <w:szCs w:val="20"/>
          <w:shd w:val="clear" w:color="auto" w:fill="FFFFFF"/>
        </w:rPr>
        <w:t>(2), 141-146. https://doi.org/10.3111/13696998.2010.551163.</w:t>
      </w:r>
      <w:r w:rsidR="001F6A09">
        <w:t xml:space="preserve"> </w:t>
      </w:r>
    </w:p>
    <w:p w14:paraId="24DE1B95" w14:textId="65800FBE" w:rsidR="00150255" w:rsidRPr="00124BCB" w:rsidRDefault="00150255" w:rsidP="00150255">
      <w:pPr>
        <w:jc w:val="center"/>
        <w:rPr>
          <w:rFonts w:ascii="Garamond" w:hAnsi="Garamond"/>
          <w:sz w:val="28"/>
          <w:szCs w:val="28"/>
        </w:rPr>
      </w:pPr>
      <w:r w:rsidRPr="00124BCB">
        <w:rPr>
          <w:rFonts w:ascii="Garamond" w:hAnsi="Garamond"/>
          <w:sz w:val="28"/>
          <w:szCs w:val="28"/>
        </w:rPr>
        <w:t>Appendix A</w:t>
      </w:r>
    </w:p>
    <w:p w14:paraId="4BAAE4F7" w14:textId="77777777" w:rsidR="00150255" w:rsidRPr="00150255" w:rsidRDefault="00150255" w:rsidP="00150255">
      <w:pPr>
        <w:jc w:val="center"/>
      </w:pPr>
    </w:p>
    <w:p w14:paraId="2477314E" w14:textId="47C0B6FA" w:rsidR="00953A6A" w:rsidRDefault="00953A6A" w:rsidP="00953A6A">
      <w:pPr>
        <w:pStyle w:val="Caption"/>
        <w:spacing w:after="0"/>
        <w:contextualSpacing/>
        <w:rPr>
          <w:rFonts w:ascii="Garamond" w:hAnsi="Garamond"/>
          <w:color w:val="42558C" w:themeColor="accent1" w:themeShade="BF"/>
          <w:sz w:val="24"/>
          <w:szCs w:val="24"/>
        </w:rPr>
      </w:pPr>
      <w:r w:rsidRPr="0098239B">
        <w:rPr>
          <w:rFonts w:ascii="Garamond" w:hAnsi="Garamond"/>
          <w:color w:val="42558C" w:themeColor="accent1" w:themeShade="BF"/>
          <w:sz w:val="24"/>
          <w:szCs w:val="24"/>
        </w:rPr>
        <w:t xml:space="preserve">Overview of </w:t>
      </w:r>
      <w:r>
        <w:rPr>
          <w:rFonts w:ascii="Garamond" w:hAnsi="Garamond"/>
          <w:color w:val="42558C" w:themeColor="accent1" w:themeShade="BF"/>
          <w:sz w:val="24"/>
          <w:szCs w:val="24"/>
        </w:rPr>
        <w:t>Curahealth Stoughton (the Hospital) Patient Panel, FY18-FY20</w:t>
      </w:r>
    </w:p>
    <w:tbl>
      <w:tblPr>
        <w:tblStyle w:val="TableGrid"/>
        <w:tblW w:w="0" w:type="auto"/>
        <w:tblLook w:val="04A0" w:firstRow="1" w:lastRow="0" w:firstColumn="1" w:lastColumn="0" w:noHBand="0" w:noVBand="1"/>
        <w:tblCaption w:val="Overview of Curahealth Stoughton (the Hospital) Patient Panel, FY18-FY20"/>
        <w:tblDescription w:val=" 2018&#10;(n=240) 2019 &#10;(n=227) 2020&#10; (n=278)&#10; &#10;# &#10;% &#10;# &#10;% &#10;# &#10;%&#10;Gender&#10;Female&#10;Male &#10;84&#10;156 &#10;35%&#10;65% &#10;81&#10;146 &#10;36%&#10;64% &#10;114&#10;164&#10; &#10;41%&#10;59%&#10;Age&#10;0-17&#10;18-64&#10;65+ &#10;0&#10;111&#10;129 &#10;0%&#10;46%&#10;54% &#10;0&#10;129&#10;98 &#10;0%&#10;57%&#10;43% &#10;0&#10;167&#10;111 &#10;0%&#10;60%&#10;40%&#10;Race&#10;African American &#10;Asian&#10;Caucasian &#10;Hispanic&#10;Other* &#10;24&#10;2&#10;181&#10;1&#10;32 &#10;10%&#10;1%&#10;75%&#10;0.4%&#10;13% &#10;31&#10;4&#10;148&#10;5&#10;39 &#10;14%&#10;2%&#10;65%&#10;2%&#10;17% &#10;32&#10;8&#10;201&#10;17&#10;20 &#10;12%&#10;3%&#10;72%&#10;6%&#10;7%&#10;Payer Mix&#10;Commercial&#10;Champus/ VA&#10;Medicaid&#10;Medicare&#10;Managed Medicaid&#10;Manged Medicare&#10;Other** &#10;16&#10;--&#10;54&#10;122&#10;11&#10;26&#10;11 &#10;7%&#10;--&#10;23%&#10;51%&#10;5%&#10;11%&#10;5% &#10;10&#10;--&#10;47&#10;95&#10;31&#10;34&#10;10 &#10;4%&#10;--&#10;21%&#10;42%&#10;14%&#10;15%&#10;4% &#10;12&#10;6&#10;58&#10;96&#10;50&#10;41&#10;15 &#10;4%&#10;2%&#10;21%&#10;35%&#10;18%&#10;15%&#10;5%&#10;"/>
      </w:tblPr>
      <w:tblGrid>
        <w:gridCol w:w="1942"/>
        <w:gridCol w:w="1336"/>
        <w:gridCol w:w="1041"/>
        <w:gridCol w:w="1041"/>
        <w:gridCol w:w="1041"/>
        <w:gridCol w:w="1041"/>
        <w:gridCol w:w="1041"/>
      </w:tblGrid>
      <w:tr w:rsidR="00AC09C7" w14:paraId="6483949F" w14:textId="12A3C170" w:rsidTr="00C8214E">
        <w:trPr>
          <w:trHeight w:val="445"/>
        </w:trPr>
        <w:tc>
          <w:tcPr>
            <w:tcW w:w="1942" w:type="dxa"/>
            <w:shd w:val="clear" w:color="auto" w:fill="DFE3F0" w:themeFill="accent1" w:themeFillTint="33"/>
          </w:tcPr>
          <w:p w14:paraId="0BAB329D" w14:textId="77777777" w:rsidR="00AC09C7" w:rsidRDefault="00AC09C7" w:rsidP="00AC09C7">
            <w:pPr>
              <w:rPr>
                <w:rFonts w:ascii="Garamond" w:hAnsi="Garamond"/>
              </w:rPr>
            </w:pPr>
          </w:p>
        </w:tc>
        <w:tc>
          <w:tcPr>
            <w:tcW w:w="2377" w:type="dxa"/>
            <w:gridSpan w:val="2"/>
            <w:shd w:val="clear" w:color="auto" w:fill="DFE3F0" w:themeFill="accent1" w:themeFillTint="33"/>
          </w:tcPr>
          <w:p w14:paraId="6BF3763C" w14:textId="77777777" w:rsidR="00AC09C7" w:rsidRDefault="00AC09C7" w:rsidP="00AC09C7">
            <w:pPr>
              <w:jc w:val="center"/>
              <w:rPr>
                <w:rFonts w:ascii="Garamond" w:eastAsia="Calibri" w:hAnsi="Garamond" w:cs="Calibri"/>
                <w:b/>
                <w:sz w:val="20"/>
                <w:szCs w:val="20"/>
              </w:rPr>
            </w:pPr>
            <w:r>
              <w:rPr>
                <w:rFonts w:ascii="Garamond" w:eastAsia="Calibri" w:hAnsi="Garamond" w:cs="Calibri"/>
                <w:b/>
                <w:sz w:val="20"/>
                <w:szCs w:val="20"/>
              </w:rPr>
              <w:t>2018</w:t>
            </w:r>
          </w:p>
          <w:p w14:paraId="2F40AD18" w14:textId="26F12054" w:rsidR="00AC09C7" w:rsidRDefault="00AC09C7" w:rsidP="00AC09C7">
            <w:pPr>
              <w:jc w:val="center"/>
              <w:rPr>
                <w:rFonts w:ascii="Garamond" w:eastAsia="Calibri" w:hAnsi="Garamond" w:cs="Calibri"/>
                <w:b/>
                <w:sz w:val="20"/>
                <w:szCs w:val="20"/>
              </w:rPr>
            </w:pPr>
            <w:r>
              <w:rPr>
                <w:rFonts w:ascii="Garamond" w:eastAsia="Calibri" w:hAnsi="Garamond" w:cs="Calibri"/>
                <w:b/>
                <w:sz w:val="20"/>
                <w:szCs w:val="20"/>
              </w:rPr>
              <w:t>(n=240)</w:t>
            </w:r>
          </w:p>
        </w:tc>
        <w:tc>
          <w:tcPr>
            <w:tcW w:w="2082" w:type="dxa"/>
            <w:gridSpan w:val="2"/>
            <w:shd w:val="clear" w:color="auto" w:fill="DFE3F0" w:themeFill="accent1" w:themeFillTint="33"/>
          </w:tcPr>
          <w:p w14:paraId="1FA94190" w14:textId="77777777" w:rsidR="00AC09C7" w:rsidRDefault="00AC09C7" w:rsidP="00AC09C7">
            <w:pPr>
              <w:jc w:val="center"/>
              <w:rPr>
                <w:rFonts w:ascii="Garamond" w:eastAsia="Calibri" w:hAnsi="Garamond" w:cs="Calibri"/>
                <w:b/>
                <w:sz w:val="20"/>
                <w:szCs w:val="20"/>
              </w:rPr>
            </w:pPr>
            <w:r>
              <w:rPr>
                <w:rFonts w:ascii="Garamond" w:eastAsia="Calibri" w:hAnsi="Garamond" w:cs="Calibri"/>
                <w:b/>
                <w:sz w:val="20"/>
                <w:szCs w:val="20"/>
              </w:rPr>
              <w:t xml:space="preserve">2019 </w:t>
            </w:r>
          </w:p>
          <w:p w14:paraId="5F3D4F87" w14:textId="29C16FBA" w:rsidR="00AC09C7" w:rsidRDefault="00AC09C7" w:rsidP="00AC09C7">
            <w:pPr>
              <w:jc w:val="center"/>
              <w:rPr>
                <w:rFonts w:ascii="Garamond" w:eastAsia="Calibri" w:hAnsi="Garamond" w:cs="Calibri"/>
                <w:b/>
                <w:sz w:val="20"/>
                <w:szCs w:val="20"/>
              </w:rPr>
            </w:pPr>
            <w:r>
              <w:rPr>
                <w:rFonts w:ascii="Garamond" w:eastAsia="Calibri" w:hAnsi="Garamond" w:cs="Calibri"/>
                <w:b/>
                <w:sz w:val="20"/>
                <w:szCs w:val="20"/>
              </w:rPr>
              <w:t>(n=227)</w:t>
            </w:r>
          </w:p>
        </w:tc>
        <w:tc>
          <w:tcPr>
            <w:tcW w:w="2082" w:type="dxa"/>
            <w:gridSpan w:val="2"/>
            <w:shd w:val="clear" w:color="auto" w:fill="DFE3F0" w:themeFill="accent1" w:themeFillTint="33"/>
          </w:tcPr>
          <w:p w14:paraId="620B7254" w14:textId="77777777" w:rsidR="00AC09C7" w:rsidRDefault="00AC09C7" w:rsidP="00AC09C7">
            <w:pPr>
              <w:jc w:val="center"/>
              <w:rPr>
                <w:rFonts w:ascii="Garamond" w:eastAsia="Calibri" w:hAnsi="Garamond" w:cs="Calibri"/>
                <w:b/>
                <w:sz w:val="20"/>
                <w:szCs w:val="20"/>
              </w:rPr>
            </w:pPr>
            <w:r>
              <w:rPr>
                <w:rFonts w:ascii="Garamond" w:eastAsia="Calibri" w:hAnsi="Garamond" w:cs="Calibri"/>
                <w:b/>
                <w:sz w:val="20"/>
                <w:szCs w:val="20"/>
              </w:rPr>
              <w:t>2020</w:t>
            </w:r>
          </w:p>
          <w:p w14:paraId="4E20D7C4" w14:textId="504D8550" w:rsidR="00AC09C7" w:rsidRDefault="00AC09C7" w:rsidP="00AC09C7">
            <w:pPr>
              <w:jc w:val="center"/>
              <w:rPr>
                <w:rFonts w:ascii="Garamond" w:eastAsia="Calibri" w:hAnsi="Garamond" w:cs="Calibri"/>
                <w:b/>
                <w:sz w:val="20"/>
                <w:szCs w:val="20"/>
              </w:rPr>
            </w:pPr>
            <w:r>
              <w:rPr>
                <w:rFonts w:ascii="Garamond" w:eastAsia="Calibri" w:hAnsi="Garamond" w:cs="Calibri"/>
                <w:b/>
                <w:sz w:val="20"/>
                <w:szCs w:val="20"/>
              </w:rPr>
              <w:t xml:space="preserve"> (n=278)</w:t>
            </w:r>
          </w:p>
        </w:tc>
      </w:tr>
      <w:tr w:rsidR="00AC09C7" w14:paraId="77B7586C" w14:textId="3F110824" w:rsidTr="00C8214E">
        <w:trPr>
          <w:trHeight w:val="449"/>
        </w:trPr>
        <w:tc>
          <w:tcPr>
            <w:tcW w:w="1942" w:type="dxa"/>
          </w:tcPr>
          <w:p w14:paraId="7D80184B" w14:textId="5FD08020" w:rsidR="00AC09C7" w:rsidRDefault="00AC09C7" w:rsidP="00AC09C7">
            <w:pPr>
              <w:ind w:left="720" w:hanging="557"/>
              <w:contextualSpacing/>
              <w:rPr>
                <w:rFonts w:ascii="Garamond" w:hAnsi="Garamond"/>
              </w:rPr>
            </w:pPr>
          </w:p>
        </w:tc>
        <w:tc>
          <w:tcPr>
            <w:tcW w:w="1336" w:type="dxa"/>
          </w:tcPr>
          <w:p w14:paraId="13CA8963" w14:textId="77777777" w:rsidR="00AC09C7" w:rsidRPr="00AC09C7" w:rsidRDefault="00AC09C7" w:rsidP="00AC09C7">
            <w:pPr>
              <w:ind w:left="720" w:hanging="557"/>
              <w:contextualSpacing/>
              <w:jc w:val="center"/>
              <w:rPr>
                <w:rFonts w:ascii="Garamond" w:eastAsia="Calibri" w:hAnsi="Garamond" w:cs="Calibri"/>
                <w:b/>
                <w:sz w:val="20"/>
                <w:szCs w:val="20"/>
              </w:rPr>
            </w:pPr>
          </w:p>
          <w:p w14:paraId="7D0DC39D" w14:textId="5C055D33" w:rsidR="00AC09C7" w:rsidRPr="00AC09C7" w:rsidRDefault="00AC09C7" w:rsidP="00AC09C7">
            <w:pPr>
              <w:ind w:left="720" w:hanging="557"/>
              <w:contextualSpacing/>
              <w:jc w:val="center"/>
              <w:rPr>
                <w:rFonts w:ascii="Garamond" w:eastAsia="Calibri" w:hAnsi="Garamond" w:cs="Calibri"/>
                <w:b/>
                <w:sz w:val="20"/>
                <w:szCs w:val="20"/>
              </w:rPr>
            </w:pPr>
            <w:r w:rsidRPr="00AC09C7">
              <w:rPr>
                <w:rFonts w:ascii="Garamond" w:eastAsia="Calibri" w:hAnsi="Garamond" w:cs="Calibri"/>
                <w:b/>
                <w:sz w:val="20"/>
                <w:szCs w:val="20"/>
              </w:rPr>
              <w:t>#</w:t>
            </w:r>
          </w:p>
        </w:tc>
        <w:tc>
          <w:tcPr>
            <w:tcW w:w="1041" w:type="dxa"/>
          </w:tcPr>
          <w:p w14:paraId="18670D0F" w14:textId="77777777" w:rsidR="00AC09C7" w:rsidRPr="00AC09C7" w:rsidRDefault="00AC09C7" w:rsidP="00AC09C7">
            <w:pPr>
              <w:ind w:left="720" w:hanging="557"/>
              <w:contextualSpacing/>
              <w:jc w:val="center"/>
              <w:rPr>
                <w:rFonts w:ascii="Garamond" w:eastAsia="Calibri" w:hAnsi="Garamond" w:cs="Calibri"/>
                <w:b/>
                <w:sz w:val="20"/>
                <w:szCs w:val="20"/>
              </w:rPr>
            </w:pPr>
          </w:p>
          <w:p w14:paraId="0B721E01" w14:textId="446CC3C1" w:rsidR="00AC09C7" w:rsidRPr="00AC09C7" w:rsidRDefault="00AC09C7" w:rsidP="00AC09C7">
            <w:pPr>
              <w:ind w:left="720" w:hanging="557"/>
              <w:contextualSpacing/>
              <w:jc w:val="center"/>
              <w:rPr>
                <w:rFonts w:ascii="Garamond" w:eastAsia="Calibri" w:hAnsi="Garamond" w:cs="Calibri"/>
                <w:b/>
                <w:sz w:val="20"/>
                <w:szCs w:val="20"/>
              </w:rPr>
            </w:pPr>
            <w:r w:rsidRPr="00AC09C7">
              <w:rPr>
                <w:rFonts w:ascii="Garamond" w:eastAsia="Calibri" w:hAnsi="Garamond" w:cs="Calibri"/>
                <w:b/>
                <w:sz w:val="20"/>
                <w:szCs w:val="20"/>
              </w:rPr>
              <w:t>%</w:t>
            </w:r>
          </w:p>
        </w:tc>
        <w:tc>
          <w:tcPr>
            <w:tcW w:w="1041" w:type="dxa"/>
          </w:tcPr>
          <w:p w14:paraId="4FDD3D85" w14:textId="77777777" w:rsidR="00AC09C7" w:rsidRPr="00AC09C7" w:rsidRDefault="00AC09C7" w:rsidP="00AC09C7">
            <w:pPr>
              <w:ind w:left="720" w:hanging="557"/>
              <w:contextualSpacing/>
              <w:jc w:val="center"/>
              <w:rPr>
                <w:rFonts w:ascii="Garamond" w:eastAsia="Calibri" w:hAnsi="Garamond" w:cs="Calibri"/>
                <w:b/>
                <w:sz w:val="20"/>
                <w:szCs w:val="20"/>
              </w:rPr>
            </w:pPr>
          </w:p>
          <w:p w14:paraId="1757BE52" w14:textId="758DE83C" w:rsidR="00AC09C7" w:rsidRDefault="00AC09C7" w:rsidP="00AC09C7">
            <w:pPr>
              <w:ind w:left="720" w:hanging="557"/>
              <w:contextualSpacing/>
              <w:jc w:val="center"/>
              <w:rPr>
                <w:rFonts w:ascii="Garamond" w:eastAsia="Calibri" w:hAnsi="Garamond" w:cs="Calibri"/>
                <w:bCs/>
                <w:sz w:val="20"/>
                <w:szCs w:val="20"/>
              </w:rPr>
            </w:pPr>
            <w:r w:rsidRPr="00AC09C7">
              <w:rPr>
                <w:rFonts w:ascii="Garamond" w:eastAsia="Calibri" w:hAnsi="Garamond" w:cs="Calibri"/>
                <w:b/>
                <w:sz w:val="20"/>
                <w:szCs w:val="20"/>
              </w:rPr>
              <w:t>#</w:t>
            </w:r>
          </w:p>
        </w:tc>
        <w:tc>
          <w:tcPr>
            <w:tcW w:w="1041" w:type="dxa"/>
          </w:tcPr>
          <w:p w14:paraId="60134C97" w14:textId="77777777" w:rsidR="00AC09C7" w:rsidRPr="00AC09C7" w:rsidRDefault="00AC09C7" w:rsidP="00AC09C7">
            <w:pPr>
              <w:ind w:left="720" w:hanging="557"/>
              <w:contextualSpacing/>
              <w:jc w:val="center"/>
              <w:rPr>
                <w:rFonts w:ascii="Garamond" w:eastAsia="Calibri" w:hAnsi="Garamond" w:cs="Calibri"/>
                <w:b/>
                <w:sz w:val="20"/>
                <w:szCs w:val="20"/>
              </w:rPr>
            </w:pPr>
          </w:p>
          <w:p w14:paraId="33F5C66F" w14:textId="5F6E345D" w:rsidR="00AC09C7" w:rsidRDefault="00AC09C7" w:rsidP="00AC09C7">
            <w:pPr>
              <w:ind w:left="720" w:hanging="557"/>
              <w:contextualSpacing/>
              <w:jc w:val="center"/>
              <w:rPr>
                <w:rFonts w:ascii="Garamond" w:eastAsia="Calibri" w:hAnsi="Garamond" w:cs="Calibri"/>
                <w:bCs/>
                <w:sz w:val="20"/>
                <w:szCs w:val="20"/>
              </w:rPr>
            </w:pPr>
            <w:r w:rsidRPr="00AC09C7">
              <w:rPr>
                <w:rFonts w:ascii="Garamond" w:eastAsia="Calibri" w:hAnsi="Garamond" w:cs="Calibri"/>
                <w:b/>
                <w:sz w:val="20"/>
                <w:szCs w:val="20"/>
              </w:rPr>
              <w:t>%</w:t>
            </w:r>
          </w:p>
        </w:tc>
        <w:tc>
          <w:tcPr>
            <w:tcW w:w="1041" w:type="dxa"/>
          </w:tcPr>
          <w:p w14:paraId="21DBC920" w14:textId="77777777" w:rsidR="00AC09C7" w:rsidRPr="00AC09C7" w:rsidRDefault="00AC09C7" w:rsidP="00AC09C7">
            <w:pPr>
              <w:ind w:left="720" w:hanging="557"/>
              <w:contextualSpacing/>
              <w:jc w:val="center"/>
              <w:rPr>
                <w:rFonts w:ascii="Garamond" w:eastAsia="Calibri" w:hAnsi="Garamond" w:cs="Calibri"/>
                <w:b/>
                <w:sz w:val="20"/>
                <w:szCs w:val="20"/>
              </w:rPr>
            </w:pPr>
          </w:p>
          <w:p w14:paraId="4BBA5396" w14:textId="07BF9557" w:rsidR="00AC09C7" w:rsidRDefault="00AC09C7" w:rsidP="00AC09C7">
            <w:pPr>
              <w:ind w:left="720" w:hanging="557"/>
              <w:contextualSpacing/>
              <w:jc w:val="center"/>
              <w:rPr>
                <w:rFonts w:ascii="Garamond" w:eastAsia="Calibri" w:hAnsi="Garamond" w:cs="Calibri"/>
                <w:bCs/>
                <w:sz w:val="20"/>
                <w:szCs w:val="20"/>
              </w:rPr>
            </w:pPr>
            <w:r w:rsidRPr="00AC09C7">
              <w:rPr>
                <w:rFonts w:ascii="Garamond" w:eastAsia="Calibri" w:hAnsi="Garamond" w:cs="Calibri"/>
                <w:b/>
                <w:sz w:val="20"/>
                <w:szCs w:val="20"/>
              </w:rPr>
              <w:t>#</w:t>
            </w:r>
          </w:p>
        </w:tc>
        <w:tc>
          <w:tcPr>
            <w:tcW w:w="1041" w:type="dxa"/>
          </w:tcPr>
          <w:p w14:paraId="5BD0CD5F" w14:textId="77777777" w:rsidR="00AC09C7" w:rsidRPr="00AC09C7" w:rsidRDefault="00AC09C7" w:rsidP="00AC09C7">
            <w:pPr>
              <w:ind w:left="720" w:hanging="557"/>
              <w:contextualSpacing/>
              <w:jc w:val="center"/>
              <w:rPr>
                <w:rFonts w:ascii="Garamond" w:eastAsia="Calibri" w:hAnsi="Garamond" w:cs="Calibri"/>
                <w:b/>
                <w:sz w:val="20"/>
                <w:szCs w:val="20"/>
              </w:rPr>
            </w:pPr>
          </w:p>
          <w:p w14:paraId="76CA6165" w14:textId="74639A23" w:rsidR="00AC09C7" w:rsidRDefault="00AC09C7" w:rsidP="00AC09C7">
            <w:pPr>
              <w:ind w:left="720" w:hanging="557"/>
              <w:contextualSpacing/>
              <w:jc w:val="center"/>
              <w:rPr>
                <w:rFonts w:ascii="Garamond" w:eastAsia="Calibri" w:hAnsi="Garamond" w:cs="Calibri"/>
                <w:bCs/>
                <w:sz w:val="20"/>
                <w:szCs w:val="20"/>
              </w:rPr>
            </w:pPr>
            <w:r w:rsidRPr="00AC09C7">
              <w:rPr>
                <w:rFonts w:ascii="Garamond" w:eastAsia="Calibri" w:hAnsi="Garamond" w:cs="Calibri"/>
                <w:b/>
                <w:sz w:val="20"/>
                <w:szCs w:val="20"/>
              </w:rPr>
              <w:t>%</w:t>
            </w:r>
          </w:p>
        </w:tc>
      </w:tr>
      <w:tr w:rsidR="00782D15" w14:paraId="5A671706" w14:textId="2C4A84B8" w:rsidTr="00C8214E">
        <w:trPr>
          <w:trHeight w:val="891"/>
        </w:trPr>
        <w:tc>
          <w:tcPr>
            <w:tcW w:w="1942" w:type="dxa"/>
          </w:tcPr>
          <w:p w14:paraId="4F363800" w14:textId="77777777" w:rsidR="00782D15" w:rsidRPr="006A5244" w:rsidRDefault="00782D15" w:rsidP="00782D15">
            <w:pPr>
              <w:contextualSpacing/>
              <w:rPr>
                <w:rFonts w:ascii="Garamond" w:eastAsia="Calibri" w:hAnsi="Garamond" w:cs="Calibri"/>
                <w:bCs/>
                <w:sz w:val="20"/>
                <w:szCs w:val="20"/>
              </w:rPr>
            </w:pPr>
            <w:r w:rsidRPr="006A5244">
              <w:rPr>
                <w:rFonts w:ascii="Garamond" w:eastAsia="Calibri" w:hAnsi="Garamond" w:cs="Calibri"/>
                <w:b/>
                <w:sz w:val="20"/>
                <w:szCs w:val="20"/>
              </w:rPr>
              <w:t>Gender</w:t>
            </w:r>
          </w:p>
          <w:p w14:paraId="6E0F313D" w14:textId="77777777" w:rsidR="00782D15" w:rsidRPr="006A5244" w:rsidRDefault="00782D15" w:rsidP="00782D15">
            <w:pPr>
              <w:ind w:left="720" w:hanging="557"/>
              <w:contextualSpacing/>
              <w:rPr>
                <w:rFonts w:ascii="Garamond" w:eastAsia="Calibri" w:hAnsi="Garamond" w:cs="Calibri"/>
                <w:bCs/>
                <w:sz w:val="20"/>
                <w:szCs w:val="20"/>
              </w:rPr>
            </w:pPr>
            <w:r w:rsidRPr="006A5244">
              <w:rPr>
                <w:rFonts w:ascii="Garamond" w:eastAsia="Calibri" w:hAnsi="Garamond" w:cs="Calibri"/>
                <w:bCs/>
                <w:sz w:val="20"/>
                <w:szCs w:val="20"/>
              </w:rPr>
              <w:t>Female</w:t>
            </w:r>
          </w:p>
          <w:p w14:paraId="0C72C3D3" w14:textId="57E0D7D0" w:rsidR="00782D15" w:rsidRDefault="00782D15" w:rsidP="00782D15">
            <w:pPr>
              <w:ind w:left="720" w:hanging="557"/>
              <w:contextualSpacing/>
              <w:rPr>
                <w:rFonts w:ascii="Garamond" w:hAnsi="Garamond"/>
              </w:rPr>
            </w:pPr>
            <w:r w:rsidRPr="006A5244">
              <w:rPr>
                <w:rFonts w:ascii="Garamond" w:eastAsia="Calibri" w:hAnsi="Garamond" w:cs="Calibri"/>
                <w:bCs/>
                <w:sz w:val="20"/>
                <w:szCs w:val="20"/>
              </w:rPr>
              <w:t>Male</w:t>
            </w:r>
          </w:p>
        </w:tc>
        <w:tc>
          <w:tcPr>
            <w:tcW w:w="1336" w:type="dxa"/>
          </w:tcPr>
          <w:p w14:paraId="526FE603" w14:textId="77777777" w:rsidR="00782D15" w:rsidRDefault="00782D15" w:rsidP="00782D15">
            <w:pPr>
              <w:ind w:left="720" w:hanging="557"/>
              <w:contextualSpacing/>
              <w:jc w:val="center"/>
              <w:rPr>
                <w:rFonts w:ascii="Garamond" w:eastAsia="Calibri" w:hAnsi="Garamond" w:cs="Calibri"/>
                <w:bCs/>
                <w:sz w:val="20"/>
                <w:szCs w:val="20"/>
              </w:rPr>
            </w:pPr>
          </w:p>
          <w:p w14:paraId="72BA28D5" w14:textId="25301D18" w:rsidR="00BD3178" w:rsidRDefault="00BD3178"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84</w:t>
            </w:r>
          </w:p>
          <w:p w14:paraId="28337C37" w14:textId="58494BEF" w:rsidR="00BD3178" w:rsidRPr="007044A9" w:rsidRDefault="00BD3178"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156</w:t>
            </w:r>
          </w:p>
        </w:tc>
        <w:tc>
          <w:tcPr>
            <w:tcW w:w="1041" w:type="dxa"/>
          </w:tcPr>
          <w:p w14:paraId="67C41AB4" w14:textId="77777777" w:rsidR="00782D15" w:rsidRDefault="00782D15" w:rsidP="00782D15">
            <w:pPr>
              <w:ind w:left="720" w:hanging="557"/>
              <w:contextualSpacing/>
              <w:jc w:val="center"/>
              <w:rPr>
                <w:rFonts w:ascii="Garamond" w:eastAsia="Calibri" w:hAnsi="Garamond" w:cs="Calibri"/>
                <w:bCs/>
                <w:sz w:val="20"/>
                <w:szCs w:val="20"/>
              </w:rPr>
            </w:pPr>
          </w:p>
          <w:p w14:paraId="69416AEB" w14:textId="77777777" w:rsidR="00782D15" w:rsidRDefault="00782D15"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35%</w:t>
            </w:r>
          </w:p>
          <w:p w14:paraId="41D25691" w14:textId="0DAF990F" w:rsidR="00782D15" w:rsidRDefault="00782D15"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65%</w:t>
            </w:r>
          </w:p>
        </w:tc>
        <w:tc>
          <w:tcPr>
            <w:tcW w:w="1041" w:type="dxa"/>
          </w:tcPr>
          <w:p w14:paraId="48F79829" w14:textId="77777777" w:rsidR="00782D15" w:rsidRDefault="00782D15" w:rsidP="00782D15">
            <w:pPr>
              <w:ind w:left="720" w:hanging="557"/>
              <w:contextualSpacing/>
              <w:jc w:val="center"/>
              <w:rPr>
                <w:rFonts w:ascii="Garamond" w:eastAsia="Calibri" w:hAnsi="Garamond" w:cs="Calibri"/>
                <w:bCs/>
                <w:sz w:val="20"/>
                <w:szCs w:val="20"/>
              </w:rPr>
            </w:pPr>
          </w:p>
          <w:p w14:paraId="2C16E76C" w14:textId="77777777" w:rsidR="00BD3178" w:rsidRDefault="00BD3178"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81</w:t>
            </w:r>
          </w:p>
          <w:p w14:paraId="190FD004" w14:textId="24B18C9D" w:rsidR="00BD3178" w:rsidRDefault="00BD3178"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146</w:t>
            </w:r>
          </w:p>
        </w:tc>
        <w:tc>
          <w:tcPr>
            <w:tcW w:w="1041" w:type="dxa"/>
          </w:tcPr>
          <w:p w14:paraId="0245A0E1" w14:textId="77777777" w:rsidR="00782D15" w:rsidRDefault="00782D15" w:rsidP="00782D15">
            <w:pPr>
              <w:ind w:left="720" w:hanging="557"/>
              <w:contextualSpacing/>
              <w:jc w:val="center"/>
              <w:rPr>
                <w:rFonts w:ascii="Garamond" w:eastAsia="Calibri" w:hAnsi="Garamond" w:cs="Calibri"/>
                <w:bCs/>
                <w:sz w:val="20"/>
                <w:szCs w:val="20"/>
              </w:rPr>
            </w:pPr>
          </w:p>
          <w:p w14:paraId="4439958E" w14:textId="77777777" w:rsidR="00782D15" w:rsidRDefault="00782D15"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36%</w:t>
            </w:r>
          </w:p>
          <w:p w14:paraId="3D4FDCB5" w14:textId="702B3CCE" w:rsidR="00782D15" w:rsidRDefault="00782D15"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64%</w:t>
            </w:r>
          </w:p>
        </w:tc>
        <w:tc>
          <w:tcPr>
            <w:tcW w:w="1041" w:type="dxa"/>
          </w:tcPr>
          <w:p w14:paraId="1CFDF4FE" w14:textId="77777777" w:rsidR="00782D15" w:rsidRDefault="00782D15" w:rsidP="00782D15">
            <w:pPr>
              <w:ind w:left="720" w:hanging="557"/>
              <w:contextualSpacing/>
              <w:jc w:val="center"/>
              <w:rPr>
                <w:rFonts w:ascii="Garamond" w:eastAsia="Calibri" w:hAnsi="Garamond" w:cs="Calibri"/>
                <w:bCs/>
                <w:sz w:val="20"/>
                <w:szCs w:val="20"/>
              </w:rPr>
            </w:pPr>
          </w:p>
          <w:p w14:paraId="78D29795" w14:textId="62D7378A" w:rsidR="00BD3178" w:rsidRDefault="00BD3178"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114</w:t>
            </w:r>
          </w:p>
          <w:p w14:paraId="757A8FC8" w14:textId="44C73634" w:rsidR="00BD3178" w:rsidRDefault="00BD3178"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164</w:t>
            </w:r>
          </w:p>
          <w:p w14:paraId="25A60CD0" w14:textId="2D999AC1" w:rsidR="00BD3178" w:rsidRDefault="00BD3178" w:rsidP="00782D15">
            <w:pPr>
              <w:ind w:left="720" w:hanging="557"/>
              <w:contextualSpacing/>
              <w:jc w:val="center"/>
              <w:rPr>
                <w:rFonts w:ascii="Garamond" w:eastAsia="Calibri" w:hAnsi="Garamond" w:cs="Calibri"/>
                <w:bCs/>
                <w:sz w:val="20"/>
                <w:szCs w:val="20"/>
              </w:rPr>
            </w:pPr>
          </w:p>
        </w:tc>
        <w:tc>
          <w:tcPr>
            <w:tcW w:w="1041" w:type="dxa"/>
          </w:tcPr>
          <w:p w14:paraId="488D6E9E" w14:textId="77777777" w:rsidR="00782D15" w:rsidRDefault="00782D15" w:rsidP="00782D15">
            <w:pPr>
              <w:ind w:left="720" w:hanging="557"/>
              <w:contextualSpacing/>
              <w:jc w:val="center"/>
              <w:rPr>
                <w:rFonts w:ascii="Garamond" w:eastAsia="Calibri" w:hAnsi="Garamond" w:cs="Calibri"/>
                <w:bCs/>
                <w:sz w:val="20"/>
                <w:szCs w:val="20"/>
              </w:rPr>
            </w:pPr>
          </w:p>
          <w:p w14:paraId="74D96EC6" w14:textId="77777777" w:rsidR="00782D15" w:rsidRDefault="00782D15"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41%</w:t>
            </w:r>
          </w:p>
          <w:p w14:paraId="3BD2D20A" w14:textId="547B97CA" w:rsidR="00782D15" w:rsidRDefault="00782D15"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59%</w:t>
            </w:r>
          </w:p>
        </w:tc>
      </w:tr>
      <w:tr w:rsidR="00782D15" w14:paraId="7F2B8249" w14:textId="588A13C1" w:rsidTr="00C8214E">
        <w:trPr>
          <w:trHeight w:val="1337"/>
        </w:trPr>
        <w:tc>
          <w:tcPr>
            <w:tcW w:w="1942" w:type="dxa"/>
          </w:tcPr>
          <w:p w14:paraId="478B9AD6" w14:textId="77777777" w:rsidR="00782D15" w:rsidRDefault="00782D15" w:rsidP="00782D15">
            <w:pPr>
              <w:contextualSpacing/>
              <w:rPr>
                <w:rFonts w:ascii="Garamond" w:eastAsia="Calibri" w:hAnsi="Garamond" w:cs="Calibri"/>
                <w:bCs/>
                <w:sz w:val="20"/>
                <w:szCs w:val="20"/>
              </w:rPr>
            </w:pPr>
            <w:r w:rsidRPr="00AE0E25">
              <w:rPr>
                <w:rFonts w:ascii="Garamond" w:eastAsia="Calibri" w:hAnsi="Garamond" w:cs="Calibri"/>
                <w:b/>
                <w:sz w:val="20"/>
                <w:szCs w:val="20"/>
              </w:rPr>
              <w:t>Age</w:t>
            </w:r>
          </w:p>
          <w:p w14:paraId="51BFED9D" w14:textId="77777777" w:rsidR="00782D15" w:rsidRDefault="00782D15" w:rsidP="00782D15">
            <w:pPr>
              <w:ind w:left="720" w:hanging="557"/>
              <w:contextualSpacing/>
              <w:rPr>
                <w:rFonts w:ascii="Garamond" w:eastAsia="Calibri" w:hAnsi="Garamond" w:cs="Calibri"/>
                <w:bCs/>
                <w:sz w:val="20"/>
                <w:szCs w:val="20"/>
              </w:rPr>
            </w:pPr>
            <w:r>
              <w:rPr>
                <w:rFonts w:ascii="Garamond" w:eastAsia="Calibri" w:hAnsi="Garamond" w:cs="Calibri"/>
                <w:bCs/>
                <w:sz w:val="20"/>
                <w:szCs w:val="20"/>
              </w:rPr>
              <w:t>0-17</w:t>
            </w:r>
          </w:p>
          <w:p w14:paraId="4B0B9320" w14:textId="77777777" w:rsidR="00782D15" w:rsidRDefault="00782D15" w:rsidP="00782D15">
            <w:pPr>
              <w:ind w:left="720" w:hanging="557"/>
              <w:contextualSpacing/>
              <w:rPr>
                <w:rFonts w:ascii="Garamond" w:eastAsia="Calibri" w:hAnsi="Garamond" w:cs="Calibri"/>
                <w:bCs/>
                <w:sz w:val="20"/>
                <w:szCs w:val="20"/>
              </w:rPr>
            </w:pPr>
            <w:r>
              <w:rPr>
                <w:rFonts w:ascii="Garamond" w:eastAsia="Calibri" w:hAnsi="Garamond" w:cs="Calibri"/>
                <w:bCs/>
                <w:sz w:val="20"/>
                <w:szCs w:val="20"/>
              </w:rPr>
              <w:t>18-64</w:t>
            </w:r>
          </w:p>
          <w:p w14:paraId="0016A9A2" w14:textId="16180C78" w:rsidR="00782D15" w:rsidRDefault="00782D15" w:rsidP="00782D15">
            <w:pPr>
              <w:ind w:left="343" w:hanging="180"/>
              <w:contextualSpacing/>
              <w:rPr>
                <w:rFonts w:ascii="Garamond" w:hAnsi="Garamond"/>
              </w:rPr>
            </w:pPr>
            <w:r>
              <w:rPr>
                <w:rFonts w:ascii="Garamond" w:eastAsia="Calibri" w:hAnsi="Garamond" w:cs="Calibri"/>
                <w:bCs/>
                <w:sz w:val="20"/>
                <w:szCs w:val="20"/>
              </w:rPr>
              <w:t>65+</w:t>
            </w:r>
          </w:p>
        </w:tc>
        <w:tc>
          <w:tcPr>
            <w:tcW w:w="1336" w:type="dxa"/>
          </w:tcPr>
          <w:p w14:paraId="4BB49210" w14:textId="77777777" w:rsidR="00782D15" w:rsidRDefault="00782D15" w:rsidP="00782D15">
            <w:pPr>
              <w:ind w:left="720" w:hanging="557"/>
              <w:contextualSpacing/>
              <w:jc w:val="center"/>
              <w:rPr>
                <w:rFonts w:ascii="Garamond" w:eastAsia="Calibri" w:hAnsi="Garamond" w:cs="Calibri"/>
                <w:bCs/>
                <w:sz w:val="20"/>
                <w:szCs w:val="20"/>
              </w:rPr>
            </w:pPr>
          </w:p>
          <w:p w14:paraId="6C8BBD7C" w14:textId="77777777" w:rsidR="00BD3178" w:rsidRDefault="00BD3178"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0</w:t>
            </w:r>
          </w:p>
          <w:p w14:paraId="525182E9" w14:textId="77777777" w:rsidR="00BD3178" w:rsidRDefault="00BD3178"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111</w:t>
            </w:r>
          </w:p>
          <w:p w14:paraId="5A2CB129" w14:textId="70837071" w:rsidR="00BD3178" w:rsidRPr="007044A9" w:rsidRDefault="00BD3178"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129</w:t>
            </w:r>
          </w:p>
        </w:tc>
        <w:tc>
          <w:tcPr>
            <w:tcW w:w="1041" w:type="dxa"/>
          </w:tcPr>
          <w:p w14:paraId="33A302E7" w14:textId="77777777" w:rsidR="00782D15" w:rsidRDefault="00782D15" w:rsidP="00782D15">
            <w:pPr>
              <w:ind w:left="720" w:hanging="557"/>
              <w:contextualSpacing/>
              <w:jc w:val="center"/>
              <w:rPr>
                <w:rFonts w:ascii="Garamond" w:eastAsia="Calibri" w:hAnsi="Garamond" w:cs="Calibri"/>
                <w:bCs/>
                <w:sz w:val="20"/>
                <w:szCs w:val="20"/>
              </w:rPr>
            </w:pPr>
          </w:p>
          <w:p w14:paraId="0FB33150" w14:textId="77777777" w:rsidR="00782D15" w:rsidRDefault="00782D15"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0%</w:t>
            </w:r>
          </w:p>
          <w:p w14:paraId="687771EC" w14:textId="77777777" w:rsidR="00782D15" w:rsidRDefault="00782D15"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46%</w:t>
            </w:r>
          </w:p>
          <w:p w14:paraId="4424B2A6" w14:textId="495A5CDA" w:rsidR="00782D15" w:rsidRDefault="00782D15"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54%</w:t>
            </w:r>
          </w:p>
        </w:tc>
        <w:tc>
          <w:tcPr>
            <w:tcW w:w="1041" w:type="dxa"/>
          </w:tcPr>
          <w:p w14:paraId="636873E0" w14:textId="77777777" w:rsidR="00782D15" w:rsidRDefault="00782D15" w:rsidP="00782D15">
            <w:pPr>
              <w:ind w:left="720" w:hanging="557"/>
              <w:contextualSpacing/>
              <w:jc w:val="center"/>
              <w:rPr>
                <w:rFonts w:ascii="Garamond" w:eastAsia="Calibri" w:hAnsi="Garamond" w:cs="Calibri"/>
                <w:bCs/>
                <w:sz w:val="20"/>
                <w:szCs w:val="20"/>
              </w:rPr>
            </w:pPr>
          </w:p>
          <w:p w14:paraId="54695E4D" w14:textId="77777777" w:rsidR="00BD3178" w:rsidRDefault="00BD3178"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0</w:t>
            </w:r>
          </w:p>
          <w:p w14:paraId="72B6A507" w14:textId="77777777" w:rsidR="00BD3178" w:rsidRDefault="00BD3178"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129</w:t>
            </w:r>
          </w:p>
          <w:p w14:paraId="050DBE60" w14:textId="56116899" w:rsidR="00BD3178" w:rsidRDefault="00BD3178"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98</w:t>
            </w:r>
          </w:p>
        </w:tc>
        <w:tc>
          <w:tcPr>
            <w:tcW w:w="1041" w:type="dxa"/>
          </w:tcPr>
          <w:p w14:paraId="45C8A1F9" w14:textId="77777777" w:rsidR="00782D15" w:rsidRDefault="00782D15" w:rsidP="00782D15">
            <w:pPr>
              <w:ind w:left="720" w:hanging="557"/>
              <w:contextualSpacing/>
              <w:jc w:val="center"/>
              <w:rPr>
                <w:rFonts w:ascii="Garamond" w:eastAsia="Calibri" w:hAnsi="Garamond" w:cs="Calibri"/>
                <w:bCs/>
                <w:sz w:val="20"/>
                <w:szCs w:val="20"/>
              </w:rPr>
            </w:pPr>
          </w:p>
          <w:p w14:paraId="3CFAA01A" w14:textId="77777777" w:rsidR="00782D15" w:rsidRDefault="00782D15"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0%</w:t>
            </w:r>
          </w:p>
          <w:p w14:paraId="75DCECB2" w14:textId="77777777" w:rsidR="00782D15" w:rsidRDefault="00782D15"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57%</w:t>
            </w:r>
          </w:p>
          <w:p w14:paraId="4EE6547C" w14:textId="37714E0B" w:rsidR="00782D15" w:rsidRDefault="00782D15"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43%</w:t>
            </w:r>
          </w:p>
        </w:tc>
        <w:tc>
          <w:tcPr>
            <w:tcW w:w="1041" w:type="dxa"/>
          </w:tcPr>
          <w:p w14:paraId="71B9BC7C" w14:textId="77777777" w:rsidR="00782D15" w:rsidRDefault="00782D15" w:rsidP="00782D15">
            <w:pPr>
              <w:ind w:left="720" w:hanging="557"/>
              <w:contextualSpacing/>
              <w:jc w:val="center"/>
              <w:rPr>
                <w:rFonts w:ascii="Garamond" w:eastAsia="Calibri" w:hAnsi="Garamond" w:cs="Calibri"/>
                <w:bCs/>
                <w:sz w:val="20"/>
                <w:szCs w:val="20"/>
              </w:rPr>
            </w:pPr>
          </w:p>
          <w:p w14:paraId="047E81C5" w14:textId="77777777" w:rsidR="00BD3178" w:rsidRDefault="00BD3178"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0</w:t>
            </w:r>
          </w:p>
          <w:p w14:paraId="50727A91" w14:textId="77777777" w:rsidR="00BD3178" w:rsidRDefault="00BD3178"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167</w:t>
            </w:r>
          </w:p>
          <w:p w14:paraId="1B251456" w14:textId="0BCD2AAE" w:rsidR="00BD3178" w:rsidRDefault="00BD3178"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111</w:t>
            </w:r>
          </w:p>
        </w:tc>
        <w:tc>
          <w:tcPr>
            <w:tcW w:w="1041" w:type="dxa"/>
          </w:tcPr>
          <w:p w14:paraId="247B15F3" w14:textId="77777777" w:rsidR="00782D15" w:rsidRDefault="00782D15" w:rsidP="00782D15">
            <w:pPr>
              <w:ind w:left="720" w:hanging="557"/>
              <w:contextualSpacing/>
              <w:jc w:val="center"/>
              <w:rPr>
                <w:rFonts w:ascii="Garamond" w:eastAsia="Calibri" w:hAnsi="Garamond" w:cs="Calibri"/>
                <w:bCs/>
                <w:sz w:val="20"/>
                <w:szCs w:val="20"/>
              </w:rPr>
            </w:pPr>
          </w:p>
          <w:p w14:paraId="2105BE88" w14:textId="77777777" w:rsidR="00782D15" w:rsidRDefault="00782D15"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0%</w:t>
            </w:r>
          </w:p>
          <w:p w14:paraId="746B242C" w14:textId="77777777" w:rsidR="00782D15" w:rsidRDefault="00782D15"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60%</w:t>
            </w:r>
          </w:p>
          <w:p w14:paraId="7543EC24" w14:textId="4D5791BD" w:rsidR="00782D15" w:rsidRDefault="00782D15"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40%</w:t>
            </w:r>
          </w:p>
        </w:tc>
      </w:tr>
      <w:tr w:rsidR="00782D15" w14:paraId="1C852614" w14:textId="741B9DF1" w:rsidTr="00C8214E">
        <w:trPr>
          <w:trHeight w:val="1791"/>
        </w:trPr>
        <w:tc>
          <w:tcPr>
            <w:tcW w:w="1942" w:type="dxa"/>
          </w:tcPr>
          <w:p w14:paraId="15A8E27D" w14:textId="77777777" w:rsidR="00782D15" w:rsidRDefault="00782D15" w:rsidP="00782D15">
            <w:pPr>
              <w:contextualSpacing/>
              <w:rPr>
                <w:rFonts w:ascii="Garamond" w:eastAsia="Calibri" w:hAnsi="Garamond" w:cs="Calibri"/>
                <w:bCs/>
                <w:sz w:val="20"/>
                <w:szCs w:val="20"/>
              </w:rPr>
            </w:pPr>
            <w:r w:rsidRPr="006A5244">
              <w:rPr>
                <w:rFonts w:ascii="Garamond" w:eastAsia="Calibri" w:hAnsi="Garamond" w:cs="Calibri"/>
                <w:b/>
                <w:sz w:val="20"/>
                <w:szCs w:val="20"/>
              </w:rPr>
              <w:t>Race</w:t>
            </w:r>
          </w:p>
          <w:p w14:paraId="0B059A1F" w14:textId="77777777" w:rsidR="00782D15" w:rsidRDefault="00782D15" w:rsidP="00782D15">
            <w:pPr>
              <w:ind w:left="720" w:hanging="557"/>
              <w:contextualSpacing/>
              <w:rPr>
                <w:rFonts w:ascii="Garamond" w:eastAsia="Calibri" w:hAnsi="Garamond" w:cs="Calibri"/>
                <w:bCs/>
                <w:sz w:val="20"/>
                <w:szCs w:val="20"/>
              </w:rPr>
            </w:pPr>
            <w:r>
              <w:rPr>
                <w:rFonts w:ascii="Garamond" w:eastAsia="Calibri" w:hAnsi="Garamond" w:cs="Calibri"/>
                <w:bCs/>
                <w:sz w:val="20"/>
                <w:szCs w:val="20"/>
              </w:rPr>
              <w:t xml:space="preserve">African American </w:t>
            </w:r>
          </w:p>
          <w:p w14:paraId="70F66064" w14:textId="77777777" w:rsidR="00782D15" w:rsidRDefault="00782D15" w:rsidP="00782D15">
            <w:pPr>
              <w:ind w:left="720" w:hanging="557"/>
              <w:contextualSpacing/>
              <w:rPr>
                <w:rFonts w:ascii="Garamond" w:eastAsia="Calibri" w:hAnsi="Garamond" w:cs="Calibri"/>
                <w:bCs/>
                <w:sz w:val="20"/>
                <w:szCs w:val="20"/>
              </w:rPr>
            </w:pPr>
            <w:r>
              <w:rPr>
                <w:rFonts w:ascii="Garamond" w:eastAsia="Calibri" w:hAnsi="Garamond" w:cs="Calibri"/>
                <w:bCs/>
                <w:sz w:val="20"/>
                <w:szCs w:val="20"/>
              </w:rPr>
              <w:t>Asian</w:t>
            </w:r>
          </w:p>
          <w:p w14:paraId="36DCC0F5" w14:textId="77777777" w:rsidR="00782D15" w:rsidRDefault="00782D15" w:rsidP="00782D15">
            <w:pPr>
              <w:ind w:left="720" w:hanging="557"/>
              <w:contextualSpacing/>
              <w:rPr>
                <w:rFonts w:ascii="Garamond" w:eastAsia="Calibri" w:hAnsi="Garamond" w:cs="Calibri"/>
                <w:bCs/>
                <w:sz w:val="20"/>
                <w:szCs w:val="20"/>
              </w:rPr>
            </w:pPr>
            <w:r>
              <w:rPr>
                <w:rFonts w:ascii="Garamond" w:eastAsia="Calibri" w:hAnsi="Garamond" w:cs="Calibri"/>
                <w:bCs/>
                <w:sz w:val="20"/>
                <w:szCs w:val="20"/>
              </w:rPr>
              <w:t xml:space="preserve">Caucasian </w:t>
            </w:r>
          </w:p>
          <w:p w14:paraId="4DE34EBF" w14:textId="77777777" w:rsidR="00782D15" w:rsidRDefault="00782D15" w:rsidP="00782D15">
            <w:pPr>
              <w:ind w:left="720" w:hanging="557"/>
              <w:contextualSpacing/>
              <w:rPr>
                <w:rFonts w:ascii="Garamond" w:eastAsia="Calibri" w:hAnsi="Garamond" w:cs="Calibri"/>
                <w:bCs/>
                <w:sz w:val="20"/>
                <w:szCs w:val="20"/>
              </w:rPr>
            </w:pPr>
            <w:r>
              <w:rPr>
                <w:rFonts w:ascii="Garamond" w:eastAsia="Calibri" w:hAnsi="Garamond" w:cs="Calibri"/>
                <w:bCs/>
                <w:sz w:val="20"/>
                <w:szCs w:val="20"/>
              </w:rPr>
              <w:t>Hispanic</w:t>
            </w:r>
          </w:p>
          <w:p w14:paraId="5EF14482" w14:textId="2450C3C4" w:rsidR="00782D15" w:rsidRDefault="00782D15" w:rsidP="00782D15">
            <w:pPr>
              <w:ind w:left="720" w:hanging="557"/>
              <w:contextualSpacing/>
              <w:rPr>
                <w:rFonts w:ascii="Garamond" w:hAnsi="Garamond"/>
              </w:rPr>
            </w:pPr>
            <w:r>
              <w:rPr>
                <w:rFonts w:ascii="Garamond" w:eastAsia="Calibri" w:hAnsi="Garamond" w:cs="Calibri"/>
                <w:bCs/>
                <w:sz w:val="20"/>
                <w:szCs w:val="20"/>
              </w:rPr>
              <w:t>Other*</w:t>
            </w:r>
          </w:p>
        </w:tc>
        <w:tc>
          <w:tcPr>
            <w:tcW w:w="1336" w:type="dxa"/>
          </w:tcPr>
          <w:p w14:paraId="2E1F428F" w14:textId="77777777" w:rsidR="00782D15" w:rsidRDefault="00782D15" w:rsidP="00782D15">
            <w:pPr>
              <w:ind w:left="720" w:hanging="557"/>
              <w:contextualSpacing/>
              <w:jc w:val="center"/>
              <w:rPr>
                <w:rFonts w:ascii="Garamond" w:eastAsia="Calibri" w:hAnsi="Garamond" w:cs="Calibri"/>
                <w:bCs/>
                <w:sz w:val="20"/>
                <w:szCs w:val="20"/>
              </w:rPr>
            </w:pPr>
          </w:p>
          <w:p w14:paraId="37A6A526" w14:textId="77777777" w:rsidR="00091793" w:rsidRDefault="00091793"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24</w:t>
            </w:r>
          </w:p>
          <w:p w14:paraId="1024A40D" w14:textId="77777777" w:rsidR="00091793" w:rsidRDefault="00091793"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2</w:t>
            </w:r>
          </w:p>
          <w:p w14:paraId="17296110" w14:textId="77777777" w:rsidR="00091793" w:rsidRDefault="00091793"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181</w:t>
            </w:r>
          </w:p>
          <w:p w14:paraId="4B0DF874" w14:textId="77777777" w:rsidR="00091793" w:rsidRDefault="00091793"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1</w:t>
            </w:r>
          </w:p>
          <w:p w14:paraId="512FF680" w14:textId="49A885D5" w:rsidR="00091793" w:rsidRPr="007044A9" w:rsidRDefault="00091793"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32</w:t>
            </w:r>
          </w:p>
        </w:tc>
        <w:tc>
          <w:tcPr>
            <w:tcW w:w="1041" w:type="dxa"/>
          </w:tcPr>
          <w:p w14:paraId="4972E987" w14:textId="77777777" w:rsidR="00782D15" w:rsidRDefault="00782D15" w:rsidP="00782D15">
            <w:pPr>
              <w:ind w:left="720" w:hanging="557"/>
              <w:contextualSpacing/>
              <w:jc w:val="center"/>
              <w:rPr>
                <w:rFonts w:ascii="Garamond" w:eastAsia="Calibri" w:hAnsi="Garamond" w:cs="Calibri"/>
                <w:bCs/>
                <w:sz w:val="20"/>
                <w:szCs w:val="20"/>
              </w:rPr>
            </w:pPr>
          </w:p>
          <w:p w14:paraId="5875CA24" w14:textId="77777777" w:rsidR="00782D15" w:rsidRDefault="00782D15"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10%</w:t>
            </w:r>
          </w:p>
          <w:p w14:paraId="39D8A8B6" w14:textId="77777777" w:rsidR="00782D15" w:rsidRDefault="00782D15"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1%</w:t>
            </w:r>
          </w:p>
          <w:p w14:paraId="47CD1B98" w14:textId="77777777" w:rsidR="00782D15" w:rsidRDefault="00782D15"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75%</w:t>
            </w:r>
          </w:p>
          <w:p w14:paraId="22A86904" w14:textId="77777777" w:rsidR="00782D15" w:rsidRDefault="00782D15"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0.4%</w:t>
            </w:r>
          </w:p>
          <w:p w14:paraId="62871FC8" w14:textId="31D18D47" w:rsidR="00782D15" w:rsidRDefault="00782D15"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13%</w:t>
            </w:r>
          </w:p>
        </w:tc>
        <w:tc>
          <w:tcPr>
            <w:tcW w:w="1041" w:type="dxa"/>
          </w:tcPr>
          <w:p w14:paraId="2E382255" w14:textId="77777777" w:rsidR="00782D15" w:rsidRDefault="00782D15" w:rsidP="00782D15">
            <w:pPr>
              <w:ind w:left="720" w:hanging="557"/>
              <w:contextualSpacing/>
              <w:jc w:val="center"/>
              <w:rPr>
                <w:rFonts w:ascii="Garamond" w:eastAsia="Calibri" w:hAnsi="Garamond" w:cs="Calibri"/>
                <w:bCs/>
                <w:sz w:val="20"/>
                <w:szCs w:val="20"/>
              </w:rPr>
            </w:pPr>
          </w:p>
          <w:p w14:paraId="37CDC69A" w14:textId="77777777" w:rsidR="00F2181E" w:rsidRDefault="00F2181E"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31</w:t>
            </w:r>
          </w:p>
          <w:p w14:paraId="783871B6" w14:textId="77777777" w:rsidR="00F2181E" w:rsidRDefault="00F2181E"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4</w:t>
            </w:r>
          </w:p>
          <w:p w14:paraId="17C8CBC2" w14:textId="77777777" w:rsidR="00F2181E" w:rsidRDefault="00F2181E"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148</w:t>
            </w:r>
          </w:p>
          <w:p w14:paraId="03C1128D" w14:textId="77777777" w:rsidR="00F2181E" w:rsidRDefault="00F2181E"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5</w:t>
            </w:r>
          </w:p>
          <w:p w14:paraId="184BDD81" w14:textId="64E220FD" w:rsidR="00F2181E" w:rsidRDefault="00F2181E"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39</w:t>
            </w:r>
          </w:p>
        </w:tc>
        <w:tc>
          <w:tcPr>
            <w:tcW w:w="1041" w:type="dxa"/>
          </w:tcPr>
          <w:p w14:paraId="10CBCCB2" w14:textId="77777777" w:rsidR="00782D15" w:rsidRDefault="00782D15" w:rsidP="00782D15">
            <w:pPr>
              <w:ind w:left="720" w:hanging="557"/>
              <w:contextualSpacing/>
              <w:jc w:val="center"/>
              <w:rPr>
                <w:rFonts w:ascii="Garamond" w:eastAsia="Calibri" w:hAnsi="Garamond" w:cs="Calibri"/>
                <w:bCs/>
                <w:sz w:val="20"/>
                <w:szCs w:val="20"/>
              </w:rPr>
            </w:pPr>
          </w:p>
          <w:p w14:paraId="75789430" w14:textId="77777777" w:rsidR="00782D15" w:rsidRDefault="00782D15"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14%</w:t>
            </w:r>
          </w:p>
          <w:p w14:paraId="2DD9F93D" w14:textId="77777777" w:rsidR="00782D15" w:rsidRDefault="00782D15"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2%</w:t>
            </w:r>
          </w:p>
          <w:p w14:paraId="1E3B601F" w14:textId="77777777" w:rsidR="00782D15" w:rsidRDefault="00782D15"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65%</w:t>
            </w:r>
          </w:p>
          <w:p w14:paraId="66E33943" w14:textId="77777777" w:rsidR="00782D15" w:rsidRDefault="00782D15"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2%</w:t>
            </w:r>
          </w:p>
          <w:p w14:paraId="74DB37F6" w14:textId="36189B6D" w:rsidR="00782D15" w:rsidRDefault="00782D15"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17%</w:t>
            </w:r>
          </w:p>
        </w:tc>
        <w:tc>
          <w:tcPr>
            <w:tcW w:w="1041" w:type="dxa"/>
          </w:tcPr>
          <w:p w14:paraId="6710B864" w14:textId="77777777" w:rsidR="00782D15" w:rsidRDefault="00782D15" w:rsidP="00782D15">
            <w:pPr>
              <w:ind w:left="720" w:hanging="557"/>
              <w:contextualSpacing/>
              <w:jc w:val="center"/>
              <w:rPr>
                <w:rFonts w:ascii="Garamond" w:eastAsia="Calibri" w:hAnsi="Garamond" w:cs="Calibri"/>
                <w:bCs/>
                <w:sz w:val="20"/>
                <w:szCs w:val="20"/>
              </w:rPr>
            </w:pPr>
          </w:p>
          <w:p w14:paraId="4797DAC5" w14:textId="77777777" w:rsidR="00F2181E" w:rsidRDefault="00F2181E"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32</w:t>
            </w:r>
          </w:p>
          <w:p w14:paraId="3C36CE78" w14:textId="77777777" w:rsidR="00F2181E" w:rsidRDefault="00F2181E"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8</w:t>
            </w:r>
          </w:p>
          <w:p w14:paraId="2F5B9D11" w14:textId="77777777" w:rsidR="00F2181E" w:rsidRDefault="00F2181E"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201</w:t>
            </w:r>
          </w:p>
          <w:p w14:paraId="20EEE987" w14:textId="77777777" w:rsidR="00F2181E" w:rsidRDefault="00F2181E"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17</w:t>
            </w:r>
          </w:p>
          <w:p w14:paraId="5E4A777A" w14:textId="1A252460" w:rsidR="00F2181E" w:rsidRDefault="00F2181E"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20</w:t>
            </w:r>
          </w:p>
        </w:tc>
        <w:tc>
          <w:tcPr>
            <w:tcW w:w="1041" w:type="dxa"/>
          </w:tcPr>
          <w:p w14:paraId="337ECCEA" w14:textId="77777777" w:rsidR="00782D15" w:rsidRDefault="00782D15" w:rsidP="00782D15">
            <w:pPr>
              <w:ind w:left="720" w:hanging="557"/>
              <w:contextualSpacing/>
              <w:jc w:val="center"/>
              <w:rPr>
                <w:rFonts w:ascii="Garamond" w:eastAsia="Calibri" w:hAnsi="Garamond" w:cs="Calibri"/>
                <w:bCs/>
                <w:sz w:val="20"/>
                <w:szCs w:val="20"/>
              </w:rPr>
            </w:pPr>
          </w:p>
          <w:p w14:paraId="2287EAE7" w14:textId="77777777" w:rsidR="00782D15" w:rsidRDefault="00782D15"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12%</w:t>
            </w:r>
          </w:p>
          <w:p w14:paraId="534B54BE" w14:textId="77777777" w:rsidR="00782D15" w:rsidRDefault="00782D15"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3%</w:t>
            </w:r>
          </w:p>
          <w:p w14:paraId="0BFED90A" w14:textId="77777777" w:rsidR="00782D15" w:rsidRDefault="00782D15"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72%</w:t>
            </w:r>
          </w:p>
          <w:p w14:paraId="4AD90A35" w14:textId="77777777" w:rsidR="00782D15" w:rsidRDefault="00782D15"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6%</w:t>
            </w:r>
          </w:p>
          <w:p w14:paraId="18FEBF52" w14:textId="0369683A" w:rsidR="00782D15" w:rsidRDefault="00782D15"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7%</w:t>
            </w:r>
          </w:p>
        </w:tc>
      </w:tr>
      <w:tr w:rsidR="00782D15" w14:paraId="40B20802" w14:textId="77777777" w:rsidTr="00C8214E">
        <w:trPr>
          <w:trHeight w:val="1791"/>
        </w:trPr>
        <w:tc>
          <w:tcPr>
            <w:tcW w:w="1942" w:type="dxa"/>
          </w:tcPr>
          <w:p w14:paraId="4228AFFE" w14:textId="59483F87" w:rsidR="00782D15" w:rsidRPr="00BE233A" w:rsidRDefault="00782D15" w:rsidP="00782D15">
            <w:pPr>
              <w:contextualSpacing/>
              <w:rPr>
                <w:rFonts w:ascii="Garamond" w:eastAsia="Calibri" w:hAnsi="Garamond" w:cs="Calibri"/>
                <w:b/>
                <w:sz w:val="20"/>
                <w:szCs w:val="20"/>
              </w:rPr>
            </w:pPr>
            <w:r w:rsidRPr="00BE233A">
              <w:rPr>
                <w:rFonts w:ascii="Garamond" w:eastAsia="Calibri" w:hAnsi="Garamond" w:cs="Calibri"/>
                <w:b/>
                <w:sz w:val="20"/>
                <w:szCs w:val="20"/>
              </w:rPr>
              <w:t>Payer Mix</w:t>
            </w:r>
          </w:p>
          <w:p w14:paraId="2DF47625" w14:textId="77777777" w:rsidR="00782D15" w:rsidRPr="00BE233A" w:rsidRDefault="00782D15" w:rsidP="00782D15">
            <w:pPr>
              <w:ind w:left="720" w:hanging="557"/>
              <w:contextualSpacing/>
              <w:rPr>
                <w:rFonts w:ascii="Garamond" w:eastAsia="Calibri" w:hAnsi="Garamond" w:cs="Calibri"/>
                <w:bCs/>
                <w:sz w:val="20"/>
                <w:szCs w:val="20"/>
              </w:rPr>
            </w:pPr>
            <w:r w:rsidRPr="00BE233A">
              <w:rPr>
                <w:rFonts w:ascii="Garamond" w:eastAsia="Calibri" w:hAnsi="Garamond" w:cs="Calibri"/>
                <w:bCs/>
                <w:sz w:val="20"/>
                <w:szCs w:val="20"/>
              </w:rPr>
              <w:t>Commercial</w:t>
            </w:r>
          </w:p>
          <w:p w14:paraId="16653F3D" w14:textId="77777777" w:rsidR="00782D15" w:rsidRPr="00BE233A" w:rsidRDefault="00782D15" w:rsidP="00782D15">
            <w:pPr>
              <w:ind w:left="720" w:hanging="557"/>
              <w:contextualSpacing/>
              <w:rPr>
                <w:rFonts w:ascii="Garamond" w:eastAsia="Calibri" w:hAnsi="Garamond" w:cs="Calibri"/>
                <w:bCs/>
                <w:sz w:val="20"/>
                <w:szCs w:val="20"/>
              </w:rPr>
            </w:pPr>
            <w:r w:rsidRPr="00BE233A">
              <w:rPr>
                <w:rFonts w:ascii="Garamond" w:eastAsia="Calibri" w:hAnsi="Garamond" w:cs="Calibri"/>
                <w:bCs/>
                <w:sz w:val="20"/>
                <w:szCs w:val="20"/>
              </w:rPr>
              <w:t>Champus/ VA</w:t>
            </w:r>
          </w:p>
          <w:p w14:paraId="4537B9D0" w14:textId="77777777" w:rsidR="00782D15" w:rsidRPr="00BE233A" w:rsidRDefault="00782D15" w:rsidP="00782D15">
            <w:pPr>
              <w:ind w:left="720" w:hanging="557"/>
              <w:contextualSpacing/>
              <w:rPr>
                <w:rFonts w:ascii="Garamond" w:eastAsia="Calibri" w:hAnsi="Garamond" w:cs="Calibri"/>
                <w:bCs/>
                <w:sz w:val="20"/>
                <w:szCs w:val="20"/>
              </w:rPr>
            </w:pPr>
            <w:r w:rsidRPr="00BE233A">
              <w:rPr>
                <w:rFonts w:ascii="Garamond" w:eastAsia="Calibri" w:hAnsi="Garamond" w:cs="Calibri"/>
                <w:bCs/>
                <w:sz w:val="20"/>
                <w:szCs w:val="20"/>
              </w:rPr>
              <w:t>Medicaid</w:t>
            </w:r>
          </w:p>
          <w:p w14:paraId="05E03250" w14:textId="77777777" w:rsidR="00782D15" w:rsidRPr="00BE233A" w:rsidRDefault="00782D15" w:rsidP="00782D15">
            <w:pPr>
              <w:ind w:left="720" w:hanging="557"/>
              <w:contextualSpacing/>
              <w:rPr>
                <w:rFonts w:ascii="Garamond" w:eastAsia="Calibri" w:hAnsi="Garamond" w:cs="Calibri"/>
                <w:bCs/>
                <w:sz w:val="20"/>
                <w:szCs w:val="20"/>
              </w:rPr>
            </w:pPr>
            <w:r w:rsidRPr="00BE233A">
              <w:rPr>
                <w:rFonts w:ascii="Garamond" w:eastAsia="Calibri" w:hAnsi="Garamond" w:cs="Calibri"/>
                <w:bCs/>
                <w:sz w:val="20"/>
                <w:szCs w:val="20"/>
              </w:rPr>
              <w:t>Medicare</w:t>
            </w:r>
          </w:p>
          <w:p w14:paraId="04F6E110" w14:textId="77777777" w:rsidR="00782D15" w:rsidRPr="00BE233A" w:rsidRDefault="00782D15" w:rsidP="00782D15">
            <w:pPr>
              <w:ind w:left="720" w:hanging="557"/>
              <w:contextualSpacing/>
              <w:rPr>
                <w:rFonts w:ascii="Garamond" w:eastAsia="Calibri" w:hAnsi="Garamond" w:cs="Calibri"/>
                <w:bCs/>
                <w:sz w:val="20"/>
                <w:szCs w:val="20"/>
              </w:rPr>
            </w:pPr>
            <w:r w:rsidRPr="00BE233A">
              <w:rPr>
                <w:rFonts w:ascii="Garamond" w:eastAsia="Calibri" w:hAnsi="Garamond" w:cs="Calibri"/>
                <w:bCs/>
                <w:sz w:val="20"/>
                <w:szCs w:val="20"/>
              </w:rPr>
              <w:t>Managed Medicaid</w:t>
            </w:r>
          </w:p>
          <w:p w14:paraId="0E24C68F" w14:textId="77777777" w:rsidR="00782D15" w:rsidRDefault="00782D15" w:rsidP="00782D15">
            <w:pPr>
              <w:ind w:left="720" w:hanging="557"/>
              <w:contextualSpacing/>
              <w:rPr>
                <w:rFonts w:ascii="Garamond" w:eastAsia="Calibri" w:hAnsi="Garamond" w:cs="Calibri"/>
                <w:bCs/>
                <w:sz w:val="20"/>
                <w:szCs w:val="20"/>
              </w:rPr>
            </w:pPr>
            <w:r w:rsidRPr="00BE233A">
              <w:rPr>
                <w:rFonts w:ascii="Garamond" w:eastAsia="Calibri" w:hAnsi="Garamond" w:cs="Calibri"/>
                <w:bCs/>
                <w:sz w:val="20"/>
                <w:szCs w:val="20"/>
              </w:rPr>
              <w:t>Manged Medicare</w:t>
            </w:r>
          </w:p>
          <w:p w14:paraId="57B511FD" w14:textId="08C48C2B" w:rsidR="00782D15" w:rsidRPr="00BE233A" w:rsidRDefault="00782D15" w:rsidP="007333AE">
            <w:pPr>
              <w:ind w:left="720" w:hanging="557"/>
              <w:contextualSpacing/>
              <w:rPr>
                <w:rFonts w:ascii="Garamond" w:eastAsia="Calibri" w:hAnsi="Garamond" w:cs="Calibri"/>
                <w:b/>
                <w:sz w:val="20"/>
                <w:szCs w:val="20"/>
              </w:rPr>
            </w:pPr>
            <w:r>
              <w:rPr>
                <w:rFonts w:ascii="Garamond" w:eastAsia="Calibri" w:hAnsi="Garamond" w:cs="Calibri"/>
                <w:bCs/>
                <w:sz w:val="20"/>
                <w:szCs w:val="20"/>
              </w:rPr>
              <w:t>Other</w:t>
            </w:r>
            <w:r w:rsidR="007333AE">
              <w:rPr>
                <w:rFonts w:ascii="Garamond" w:eastAsia="Calibri" w:hAnsi="Garamond" w:cs="Calibri"/>
                <w:bCs/>
                <w:sz w:val="20"/>
                <w:szCs w:val="20"/>
              </w:rPr>
              <w:t>**</w:t>
            </w:r>
          </w:p>
        </w:tc>
        <w:tc>
          <w:tcPr>
            <w:tcW w:w="1336" w:type="dxa"/>
          </w:tcPr>
          <w:p w14:paraId="524239B2" w14:textId="77777777" w:rsidR="00782D15" w:rsidRDefault="00782D15" w:rsidP="00782D15">
            <w:pPr>
              <w:ind w:left="720" w:hanging="557"/>
              <w:contextualSpacing/>
              <w:jc w:val="center"/>
              <w:rPr>
                <w:rFonts w:ascii="Garamond" w:eastAsia="Calibri" w:hAnsi="Garamond" w:cs="Calibri"/>
                <w:bCs/>
                <w:sz w:val="20"/>
                <w:szCs w:val="20"/>
              </w:rPr>
            </w:pPr>
          </w:p>
          <w:p w14:paraId="3EB79856" w14:textId="77777777" w:rsidR="00F2181E" w:rsidRDefault="00F2181E"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16</w:t>
            </w:r>
          </w:p>
          <w:p w14:paraId="38DEBC33" w14:textId="54EEED16" w:rsidR="00F2181E" w:rsidRDefault="00F2181E"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w:t>
            </w:r>
          </w:p>
          <w:p w14:paraId="2B7B2C5A" w14:textId="1A729585" w:rsidR="00F2181E" w:rsidRDefault="00F2181E"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54</w:t>
            </w:r>
          </w:p>
          <w:p w14:paraId="124513EC" w14:textId="77777777" w:rsidR="00F2181E" w:rsidRDefault="00F2181E"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122</w:t>
            </w:r>
          </w:p>
          <w:p w14:paraId="7A6B1614" w14:textId="77777777" w:rsidR="00F2181E" w:rsidRDefault="00F2181E"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11</w:t>
            </w:r>
          </w:p>
          <w:p w14:paraId="1B2AE6A1" w14:textId="77777777" w:rsidR="00F2181E" w:rsidRDefault="00F2181E"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26</w:t>
            </w:r>
          </w:p>
          <w:p w14:paraId="58800E58" w14:textId="74235D3E" w:rsidR="00F2181E" w:rsidRPr="007044A9" w:rsidRDefault="00F2181E"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11</w:t>
            </w:r>
          </w:p>
        </w:tc>
        <w:tc>
          <w:tcPr>
            <w:tcW w:w="1041" w:type="dxa"/>
          </w:tcPr>
          <w:p w14:paraId="006891F1" w14:textId="77777777" w:rsidR="00782D15" w:rsidRDefault="00782D15" w:rsidP="00782D15">
            <w:pPr>
              <w:ind w:left="720" w:hanging="557"/>
              <w:contextualSpacing/>
              <w:jc w:val="center"/>
              <w:rPr>
                <w:rFonts w:ascii="Garamond" w:eastAsia="Calibri" w:hAnsi="Garamond" w:cs="Calibri"/>
                <w:bCs/>
                <w:sz w:val="20"/>
                <w:szCs w:val="20"/>
              </w:rPr>
            </w:pPr>
          </w:p>
          <w:p w14:paraId="46B37077" w14:textId="77777777" w:rsidR="00782D15" w:rsidRDefault="00782D15"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7%</w:t>
            </w:r>
          </w:p>
          <w:p w14:paraId="6CEE5B9F" w14:textId="77777777" w:rsidR="00782D15" w:rsidRDefault="00782D15"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w:t>
            </w:r>
          </w:p>
          <w:p w14:paraId="0F3DDB8D" w14:textId="77777777" w:rsidR="00782D15" w:rsidRDefault="00782D15"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23%</w:t>
            </w:r>
          </w:p>
          <w:p w14:paraId="531C5C34" w14:textId="77777777" w:rsidR="00782D15" w:rsidRDefault="00782D15"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51%</w:t>
            </w:r>
          </w:p>
          <w:p w14:paraId="020A28A3" w14:textId="77777777" w:rsidR="00782D15" w:rsidRDefault="00782D15"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5%</w:t>
            </w:r>
          </w:p>
          <w:p w14:paraId="5AC59E59" w14:textId="77777777" w:rsidR="00782D15" w:rsidRDefault="00782D15"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11%</w:t>
            </w:r>
          </w:p>
          <w:p w14:paraId="43B33457" w14:textId="6A58B1D2" w:rsidR="00782D15" w:rsidRDefault="00782D15"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5%</w:t>
            </w:r>
          </w:p>
        </w:tc>
        <w:tc>
          <w:tcPr>
            <w:tcW w:w="1041" w:type="dxa"/>
          </w:tcPr>
          <w:p w14:paraId="1A743225" w14:textId="77777777" w:rsidR="00782D15" w:rsidRDefault="00782D15" w:rsidP="00782D15">
            <w:pPr>
              <w:ind w:left="720" w:hanging="557"/>
              <w:contextualSpacing/>
              <w:jc w:val="center"/>
              <w:rPr>
                <w:rFonts w:ascii="Garamond" w:eastAsia="Calibri" w:hAnsi="Garamond" w:cs="Calibri"/>
                <w:bCs/>
                <w:sz w:val="20"/>
                <w:szCs w:val="20"/>
              </w:rPr>
            </w:pPr>
          </w:p>
          <w:p w14:paraId="5FA97AB7" w14:textId="77777777" w:rsidR="00F2181E" w:rsidRDefault="00F2181E"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10</w:t>
            </w:r>
          </w:p>
          <w:p w14:paraId="33FBF079" w14:textId="77777777" w:rsidR="00F2181E" w:rsidRDefault="00F2181E"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w:t>
            </w:r>
          </w:p>
          <w:p w14:paraId="4C87F4AE" w14:textId="49A219CE" w:rsidR="00F2181E" w:rsidRDefault="00F2181E"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47</w:t>
            </w:r>
          </w:p>
          <w:p w14:paraId="3FC1DBBE" w14:textId="77777777" w:rsidR="00F2181E" w:rsidRDefault="00F2181E"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95</w:t>
            </w:r>
          </w:p>
          <w:p w14:paraId="4BA7A190" w14:textId="77777777" w:rsidR="00F2181E" w:rsidRDefault="00F2181E"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31</w:t>
            </w:r>
          </w:p>
          <w:p w14:paraId="15F8D48E" w14:textId="77777777" w:rsidR="00F2181E" w:rsidRDefault="00F2181E"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34</w:t>
            </w:r>
          </w:p>
          <w:p w14:paraId="4CEBB66F" w14:textId="744FF1FA" w:rsidR="00F2181E" w:rsidRDefault="00F2181E"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10</w:t>
            </w:r>
          </w:p>
        </w:tc>
        <w:tc>
          <w:tcPr>
            <w:tcW w:w="1041" w:type="dxa"/>
          </w:tcPr>
          <w:p w14:paraId="690F8780" w14:textId="77777777" w:rsidR="00782D15" w:rsidRDefault="00782D15" w:rsidP="00782D15">
            <w:pPr>
              <w:ind w:left="720" w:hanging="557"/>
              <w:contextualSpacing/>
              <w:jc w:val="center"/>
              <w:rPr>
                <w:rFonts w:ascii="Garamond" w:eastAsia="Calibri" w:hAnsi="Garamond" w:cs="Calibri"/>
                <w:bCs/>
                <w:sz w:val="20"/>
                <w:szCs w:val="20"/>
              </w:rPr>
            </w:pPr>
          </w:p>
          <w:p w14:paraId="13CE30B7" w14:textId="77777777" w:rsidR="00782D15" w:rsidRDefault="00782D15"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4%</w:t>
            </w:r>
          </w:p>
          <w:p w14:paraId="682F8F94" w14:textId="77777777" w:rsidR="00782D15" w:rsidRDefault="00782D15"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w:t>
            </w:r>
          </w:p>
          <w:p w14:paraId="03A41C54" w14:textId="77777777" w:rsidR="00782D15" w:rsidRDefault="00782D15"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21%</w:t>
            </w:r>
          </w:p>
          <w:p w14:paraId="49DF63C9" w14:textId="77777777" w:rsidR="00782D15" w:rsidRDefault="00782D15"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42%</w:t>
            </w:r>
          </w:p>
          <w:p w14:paraId="1A03E260" w14:textId="77777777" w:rsidR="00782D15" w:rsidRDefault="00782D15"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14%</w:t>
            </w:r>
          </w:p>
          <w:p w14:paraId="221033E0" w14:textId="77777777" w:rsidR="00782D15" w:rsidRDefault="00782D15"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15%</w:t>
            </w:r>
          </w:p>
          <w:p w14:paraId="09C2AF72" w14:textId="62A2D849" w:rsidR="00782D15" w:rsidRDefault="00782D15"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4%</w:t>
            </w:r>
          </w:p>
        </w:tc>
        <w:tc>
          <w:tcPr>
            <w:tcW w:w="1041" w:type="dxa"/>
          </w:tcPr>
          <w:p w14:paraId="4AE39356" w14:textId="77777777" w:rsidR="00782D15" w:rsidRDefault="00782D15" w:rsidP="00782D15">
            <w:pPr>
              <w:ind w:left="720" w:hanging="557"/>
              <w:contextualSpacing/>
              <w:jc w:val="center"/>
              <w:rPr>
                <w:rFonts w:ascii="Garamond" w:eastAsia="Calibri" w:hAnsi="Garamond" w:cs="Calibri"/>
                <w:bCs/>
                <w:sz w:val="20"/>
                <w:szCs w:val="20"/>
              </w:rPr>
            </w:pPr>
          </w:p>
          <w:p w14:paraId="231E2BFF" w14:textId="77777777" w:rsidR="00F2181E" w:rsidRDefault="00F2181E"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12</w:t>
            </w:r>
          </w:p>
          <w:p w14:paraId="2789EACD" w14:textId="77777777" w:rsidR="00F2181E" w:rsidRDefault="00F2181E"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6</w:t>
            </w:r>
          </w:p>
          <w:p w14:paraId="5BAF0541" w14:textId="77777777" w:rsidR="00F2181E" w:rsidRDefault="00F2181E"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58</w:t>
            </w:r>
          </w:p>
          <w:p w14:paraId="74400D47" w14:textId="77777777" w:rsidR="00F2181E" w:rsidRDefault="00F2181E"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96</w:t>
            </w:r>
          </w:p>
          <w:p w14:paraId="6450AAA4" w14:textId="77777777" w:rsidR="00F2181E" w:rsidRDefault="00F2181E"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50</w:t>
            </w:r>
          </w:p>
          <w:p w14:paraId="7E597E4F" w14:textId="77777777" w:rsidR="00F2181E" w:rsidRDefault="00F2181E"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41</w:t>
            </w:r>
          </w:p>
          <w:p w14:paraId="0CD16A34" w14:textId="785B638D" w:rsidR="00F2181E" w:rsidRDefault="00F2181E"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15</w:t>
            </w:r>
          </w:p>
        </w:tc>
        <w:tc>
          <w:tcPr>
            <w:tcW w:w="1041" w:type="dxa"/>
          </w:tcPr>
          <w:p w14:paraId="7DD02BCB" w14:textId="77777777" w:rsidR="00782D15" w:rsidRDefault="00782D15" w:rsidP="00782D15">
            <w:pPr>
              <w:ind w:left="720" w:hanging="557"/>
              <w:contextualSpacing/>
              <w:jc w:val="center"/>
              <w:rPr>
                <w:rFonts w:ascii="Garamond" w:eastAsia="Calibri" w:hAnsi="Garamond" w:cs="Calibri"/>
                <w:bCs/>
                <w:sz w:val="20"/>
                <w:szCs w:val="20"/>
              </w:rPr>
            </w:pPr>
          </w:p>
          <w:p w14:paraId="362D09D3" w14:textId="77777777" w:rsidR="00782D15" w:rsidRDefault="00782D15"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4%</w:t>
            </w:r>
          </w:p>
          <w:p w14:paraId="78DEBFE3" w14:textId="77777777" w:rsidR="00782D15" w:rsidRDefault="00782D15"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2%</w:t>
            </w:r>
          </w:p>
          <w:p w14:paraId="1474584F" w14:textId="77777777" w:rsidR="00782D15" w:rsidRDefault="00782D15"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21%</w:t>
            </w:r>
          </w:p>
          <w:p w14:paraId="4E6C9774" w14:textId="77777777" w:rsidR="00782D15" w:rsidRDefault="00782D15"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35%</w:t>
            </w:r>
          </w:p>
          <w:p w14:paraId="36FB254B" w14:textId="77777777" w:rsidR="00782D15" w:rsidRDefault="00782D15"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18%</w:t>
            </w:r>
          </w:p>
          <w:p w14:paraId="5BD27427" w14:textId="77777777" w:rsidR="00782D15" w:rsidRDefault="00782D15"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15%</w:t>
            </w:r>
          </w:p>
          <w:p w14:paraId="58E412CC" w14:textId="33BEE811" w:rsidR="00782D15" w:rsidRDefault="00782D15" w:rsidP="00782D15">
            <w:pPr>
              <w:ind w:left="720" w:hanging="557"/>
              <w:contextualSpacing/>
              <w:jc w:val="center"/>
              <w:rPr>
                <w:rFonts w:ascii="Garamond" w:eastAsia="Calibri" w:hAnsi="Garamond" w:cs="Calibri"/>
                <w:bCs/>
                <w:sz w:val="20"/>
                <w:szCs w:val="20"/>
              </w:rPr>
            </w:pPr>
            <w:r>
              <w:rPr>
                <w:rFonts w:ascii="Garamond" w:eastAsia="Calibri" w:hAnsi="Garamond" w:cs="Calibri"/>
                <w:bCs/>
                <w:sz w:val="20"/>
                <w:szCs w:val="20"/>
              </w:rPr>
              <w:t>5%</w:t>
            </w:r>
          </w:p>
        </w:tc>
      </w:tr>
    </w:tbl>
    <w:p w14:paraId="2998E31E" w14:textId="77777777" w:rsidR="007333AE" w:rsidRDefault="007333AE" w:rsidP="007333AE">
      <w:pPr>
        <w:rPr>
          <w:rFonts w:ascii="Garamond" w:hAnsi="Garamond"/>
          <w:sz w:val="18"/>
          <w:szCs w:val="18"/>
        </w:rPr>
      </w:pPr>
      <w:r>
        <w:rPr>
          <w:rFonts w:ascii="Garamond" w:hAnsi="Garamond"/>
          <w:sz w:val="18"/>
          <w:szCs w:val="18"/>
        </w:rPr>
        <w:t xml:space="preserve">*Other includes patients who did not provide information or identified race/ethnicity other than the listed categories; LTCH: race/ethnicity other than </w:t>
      </w:r>
      <w:r w:rsidRPr="00AE0E25">
        <w:rPr>
          <w:rFonts w:ascii="Garamond" w:hAnsi="Garamond"/>
          <w:sz w:val="18"/>
          <w:szCs w:val="18"/>
        </w:rPr>
        <w:t>African-American, Asian, Caucasian, or Hispanic</w:t>
      </w:r>
      <w:r>
        <w:rPr>
          <w:rFonts w:ascii="Garamond" w:hAnsi="Garamond"/>
          <w:sz w:val="18"/>
          <w:szCs w:val="18"/>
        </w:rPr>
        <w:t>; NRU: race/ethnicity other than Caucasian or Hispanic</w:t>
      </w:r>
    </w:p>
    <w:p w14:paraId="694DBA02" w14:textId="77777777" w:rsidR="007333AE" w:rsidRDefault="007333AE" w:rsidP="007333AE">
      <w:pPr>
        <w:rPr>
          <w:rFonts w:ascii="Garamond" w:hAnsi="Garamond"/>
          <w:sz w:val="18"/>
          <w:szCs w:val="18"/>
        </w:rPr>
      </w:pPr>
      <w:r>
        <w:rPr>
          <w:rFonts w:ascii="Garamond" w:hAnsi="Garamond"/>
          <w:sz w:val="18"/>
          <w:szCs w:val="18"/>
        </w:rPr>
        <w:t>**Include Workers’ compensation, Veterans Affair, self-insured, or private pay</w:t>
      </w:r>
    </w:p>
    <w:p w14:paraId="5C470728" w14:textId="24B66772" w:rsidR="001768CC" w:rsidRDefault="001768CC">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HQIEQ S+ Times New">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7EEED" w14:textId="1C4F2C5F" w:rsidR="00905BB3" w:rsidRPr="00022292" w:rsidRDefault="00D20530">
    <w:pPr>
      <w:pStyle w:val="Footer"/>
      <w:jc w:val="center"/>
      <w:rPr>
        <w:rFonts w:ascii="Garamond" w:hAnsi="Garamond"/>
        <w:sz w:val="24"/>
        <w:szCs w:val="24"/>
      </w:rPr>
    </w:pPr>
    <w:sdt>
      <w:sdtPr>
        <w:id w:val="-1581132719"/>
        <w:docPartObj>
          <w:docPartGallery w:val="Page Numbers (Bottom of Page)"/>
          <w:docPartUnique/>
        </w:docPartObj>
      </w:sdtPr>
      <w:sdtEndPr>
        <w:rPr>
          <w:rFonts w:ascii="Garamond" w:hAnsi="Garamond"/>
          <w:noProof/>
          <w:sz w:val="24"/>
          <w:szCs w:val="24"/>
        </w:rPr>
      </w:sdtEndPr>
      <w:sdtContent>
        <w:r w:rsidR="00905BB3" w:rsidRPr="00022292">
          <w:rPr>
            <w:rFonts w:ascii="Garamond" w:hAnsi="Garamond"/>
            <w:sz w:val="24"/>
            <w:szCs w:val="24"/>
          </w:rPr>
          <w:fldChar w:fldCharType="begin"/>
        </w:r>
        <w:r w:rsidR="00905BB3" w:rsidRPr="00022292">
          <w:rPr>
            <w:rFonts w:ascii="Garamond" w:hAnsi="Garamond"/>
            <w:sz w:val="24"/>
            <w:szCs w:val="24"/>
          </w:rPr>
          <w:instrText xml:space="preserve"> PAGE   \* MERGEFORMAT </w:instrText>
        </w:r>
        <w:r w:rsidR="00905BB3" w:rsidRPr="00022292">
          <w:rPr>
            <w:rFonts w:ascii="Garamond" w:hAnsi="Garamond"/>
            <w:sz w:val="24"/>
            <w:szCs w:val="24"/>
          </w:rPr>
          <w:fldChar w:fldCharType="separate"/>
        </w:r>
        <w:r w:rsidR="006357D2">
          <w:rPr>
            <w:rFonts w:ascii="Garamond" w:hAnsi="Garamond"/>
            <w:noProof/>
            <w:sz w:val="24"/>
            <w:szCs w:val="24"/>
          </w:rPr>
          <w:t>4</w:t>
        </w:r>
        <w:r w:rsidR="00905BB3" w:rsidRPr="00022292">
          <w:rPr>
            <w:rFonts w:ascii="Garamond" w:hAnsi="Garamond"/>
            <w:noProof/>
            <w:sz w:val="24"/>
            <w:szCs w:val="24"/>
          </w:rPr>
          <w:fldChar w:fldCharType="end"/>
        </w:r>
      </w:sdtContent>
    </w:sdt>
  </w:p>
  <w:p w14:paraId="01D5D66A" w14:textId="77777777" w:rsidR="00905BB3" w:rsidRDefault="00905B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1070645"/>
      <w:docPartObj>
        <w:docPartGallery w:val="Page Numbers (Bottom of Page)"/>
        <w:docPartUnique/>
      </w:docPartObj>
    </w:sdtPr>
    <w:sdtEndPr>
      <w:rPr>
        <w:rFonts w:ascii="Garamond" w:hAnsi="Garamond"/>
        <w:noProof/>
        <w:sz w:val="24"/>
        <w:szCs w:val="24"/>
      </w:rPr>
    </w:sdtEndPr>
    <w:sdtContent>
      <w:p w14:paraId="2B53CAB5" w14:textId="34743C48" w:rsidR="00905BB3" w:rsidRPr="005E4832" w:rsidRDefault="00905BB3">
        <w:pPr>
          <w:pStyle w:val="Footer"/>
          <w:jc w:val="center"/>
          <w:rPr>
            <w:rFonts w:ascii="Garamond" w:hAnsi="Garamond"/>
            <w:sz w:val="24"/>
            <w:szCs w:val="24"/>
          </w:rPr>
        </w:pPr>
        <w:r w:rsidRPr="005E4832">
          <w:rPr>
            <w:rFonts w:ascii="Garamond" w:hAnsi="Garamond"/>
            <w:sz w:val="24"/>
            <w:szCs w:val="24"/>
          </w:rPr>
          <w:fldChar w:fldCharType="begin"/>
        </w:r>
        <w:r w:rsidRPr="005E4832">
          <w:rPr>
            <w:rFonts w:ascii="Garamond" w:hAnsi="Garamond"/>
            <w:sz w:val="24"/>
            <w:szCs w:val="24"/>
          </w:rPr>
          <w:instrText xml:space="preserve"> PAGE   \* MERGEFORMAT </w:instrText>
        </w:r>
        <w:r w:rsidRPr="005E4832">
          <w:rPr>
            <w:rFonts w:ascii="Garamond" w:hAnsi="Garamond"/>
            <w:sz w:val="24"/>
            <w:szCs w:val="24"/>
          </w:rPr>
          <w:fldChar w:fldCharType="separate"/>
        </w:r>
        <w:r w:rsidR="006357D2">
          <w:rPr>
            <w:rFonts w:ascii="Garamond" w:hAnsi="Garamond"/>
            <w:noProof/>
            <w:sz w:val="24"/>
            <w:szCs w:val="24"/>
          </w:rPr>
          <w:t>1</w:t>
        </w:r>
        <w:r w:rsidRPr="005E4832">
          <w:rPr>
            <w:rFonts w:ascii="Garamond" w:hAnsi="Garamond"/>
            <w:noProof/>
            <w:sz w:val="24"/>
            <w:szCs w:val="24"/>
          </w:rPr>
          <w:fldChar w:fldCharType="end"/>
        </w:r>
      </w:p>
    </w:sdtContent>
  </w:sdt>
  <w:p w14:paraId="48944CF9" w14:textId="77777777" w:rsidR="00905BB3" w:rsidRDefault="00905B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0018266"/>
      <w:docPartObj>
        <w:docPartGallery w:val="Page Numbers (Bottom of Page)"/>
        <w:docPartUnique/>
      </w:docPartObj>
    </w:sdtPr>
    <w:sdtEndPr>
      <w:rPr>
        <w:rFonts w:ascii="Garamond" w:hAnsi="Garamond"/>
        <w:noProof/>
        <w:sz w:val="24"/>
        <w:szCs w:val="24"/>
      </w:rPr>
    </w:sdtEndPr>
    <w:sdtContent>
      <w:p w14:paraId="3D3B6AFF" w14:textId="30BBEC25" w:rsidR="00905BB3" w:rsidRPr="003E6FCA" w:rsidRDefault="00905BB3">
        <w:pPr>
          <w:pStyle w:val="Footer"/>
          <w:jc w:val="center"/>
          <w:rPr>
            <w:rFonts w:ascii="Garamond" w:hAnsi="Garamond"/>
            <w:sz w:val="24"/>
            <w:szCs w:val="24"/>
          </w:rPr>
        </w:pPr>
        <w:r w:rsidRPr="003E6FCA">
          <w:rPr>
            <w:rFonts w:ascii="Garamond" w:hAnsi="Garamond"/>
            <w:sz w:val="24"/>
            <w:szCs w:val="24"/>
          </w:rPr>
          <w:fldChar w:fldCharType="begin"/>
        </w:r>
        <w:r w:rsidRPr="003E6FCA">
          <w:rPr>
            <w:rFonts w:ascii="Garamond" w:hAnsi="Garamond"/>
            <w:sz w:val="24"/>
            <w:szCs w:val="24"/>
          </w:rPr>
          <w:instrText xml:space="preserve"> PAGE   \* MERGEFORMAT </w:instrText>
        </w:r>
        <w:r w:rsidRPr="003E6FCA">
          <w:rPr>
            <w:rFonts w:ascii="Garamond" w:hAnsi="Garamond"/>
            <w:sz w:val="24"/>
            <w:szCs w:val="24"/>
          </w:rPr>
          <w:fldChar w:fldCharType="separate"/>
        </w:r>
        <w:r w:rsidR="006357D2">
          <w:rPr>
            <w:rFonts w:ascii="Garamond" w:hAnsi="Garamond"/>
            <w:noProof/>
            <w:sz w:val="24"/>
            <w:szCs w:val="24"/>
          </w:rPr>
          <w:t>15</w:t>
        </w:r>
        <w:r w:rsidRPr="003E6FCA">
          <w:rPr>
            <w:rFonts w:ascii="Garamond" w:hAnsi="Garamond"/>
            <w:noProof/>
            <w:sz w:val="24"/>
            <w:szCs w:val="24"/>
          </w:rPr>
          <w:fldChar w:fldCharType="end"/>
        </w:r>
      </w:p>
    </w:sdtContent>
  </w:sdt>
  <w:p w14:paraId="2B84946D" w14:textId="77777777" w:rsidR="00905BB3" w:rsidRDefault="00905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44394" w14:textId="77777777" w:rsidR="009A19EE" w:rsidRDefault="009A19EE" w:rsidP="008C0709">
      <w:r>
        <w:separator/>
      </w:r>
    </w:p>
  </w:footnote>
  <w:footnote w:type="continuationSeparator" w:id="0">
    <w:p w14:paraId="6D070ADF" w14:textId="77777777" w:rsidR="009A19EE" w:rsidRDefault="009A19EE" w:rsidP="008C0709">
      <w:r>
        <w:continuationSeparator/>
      </w:r>
    </w:p>
  </w:footnote>
  <w:footnote w:id="1">
    <w:p w14:paraId="032573E5" w14:textId="34B65680" w:rsidR="009E4562" w:rsidRPr="009E4562" w:rsidRDefault="009E4562">
      <w:pPr>
        <w:pStyle w:val="FootnoteText"/>
        <w:rPr>
          <w:rFonts w:ascii="Arial" w:hAnsi="Arial" w:cs="Arial"/>
          <w:sz w:val="18"/>
          <w:szCs w:val="18"/>
        </w:rPr>
      </w:pPr>
      <w:r w:rsidRPr="009E4562">
        <w:rPr>
          <w:rStyle w:val="FootnoteReference"/>
          <w:rFonts w:ascii="Arial" w:hAnsi="Arial" w:cs="Arial"/>
          <w:sz w:val="18"/>
          <w:szCs w:val="18"/>
        </w:rPr>
        <w:footnoteRef/>
      </w:r>
      <w:r w:rsidRPr="009E4562">
        <w:rPr>
          <w:rFonts w:ascii="Arial" w:hAnsi="Arial" w:cs="Arial"/>
          <w:sz w:val="18"/>
          <w:szCs w:val="18"/>
        </w:rPr>
        <w:t xml:space="preserve"> </w:t>
      </w:r>
      <w:r w:rsidR="003C1DBC" w:rsidRPr="00E074BA">
        <w:rPr>
          <w:rFonts w:ascii="Arial Narrow" w:hAnsi="Arial Narrow" w:cs="Calibri Light"/>
          <w:sz w:val="18"/>
          <w:szCs w:val="18"/>
        </w:rPr>
        <w:t xml:space="preserve">Of the licensed beds </w:t>
      </w:r>
      <w:r w:rsidRPr="009E4562">
        <w:rPr>
          <w:rFonts w:ascii="Arial Narrow" w:hAnsi="Arial Narrow" w:cs="Calibri Light"/>
          <w:sz w:val="18"/>
          <w:szCs w:val="18"/>
        </w:rPr>
        <w:t xml:space="preserve">41 </w:t>
      </w:r>
      <w:r w:rsidR="003C1DBC">
        <w:rPr>
          <w:rFonts w:ascii="Arial Narrow" w:hAnsi="Arial Narrow" w:cs="Calibri Light"/>
          <w:sz w:val="18"/>
          <w:szCs w:val="18"/>
        </w:rPr>
        <w:t xml:space="preserve">are </w:t>
      </w:r>
      <w:r w:rsidRPr="009E4562">
        <w:rPr>
          <w:rFonts w:ascii="Arial Narrow" w:hAnsi="Arial Narrow" w:cs="Calibri Light"/>
          <w:sz w:val="18"/>
          <w:szCs w:val="18"/>
        </w:rPr>
        <w:t>locked psychiatric beds</w:t>
      </w:r>
      <w:r w:rsidR="003C1DBC">
        <w:rPr>
          <w:rFonts w:ascii="Arial Narrow" w:hAnsi="Arial Narrow" w:cs="Calibri Light"/>
          <w:sz w:val="18"/>
          <w:szCs w:val="18"/>
        </w:rPr>
        <w:t xml:space="preserve"> and </w:t>
      </w:r>
      <w:r w:rsidRPr="009E4562">
        <w:rPr>
          <w:rFonts w:ascii="Arial Narrow" w:hAnsi="Arial Narrow" w:cs="Calibri Light"/>
          <w:sz w:val="18"/>
          <w:szCs w:val="18"/>
        </w:rPr>
        <w:t xml:space="preserve">157 chronic disease beds </w:t>
      </w:r>
      <w:r w:rsidR="004F4954">
        <w:rPr>
          <w:rFonts w:ascii="Arial Narrow" w:hAnsi="Arial Narrow" w:cs="Calibri Light"/>
          <w:sz w:val="18"/>
          <w:szCs w:val="18"/>
        </w:rPr>
        <w:t>(</w:t>
      </w:r>
      <w:r w:rsidRPr="009E4562">
        <w:rPr>
          <w:rFonts w:ascii="Arial Narrow" w:hAnsi="Arial Narrow" w:cs="Calibri Light"/>
          <w:sz w:val="18"/>
          <w:szCs w:val="18"/>
        </w:rPr>
        <w:t>47 chronic disease beds in operations</w:t>
      </w:r>
      <w:r w:rsidR="004F4954">
        <w:rPr>
          <w:rFonts w:ascii="Arial Narrow" w:hAnsi="Arial Narrow" w:cs="Calibri Light"/>
          <w:sz w:val="18"/>
          <w:szCs w:val="18"/>
        </w:rPr>
        <w:t>/110 chronic beds out-of-service beds)</w:t>
      </w:r>
    </w:p>
  </w:footnote>
  <w:footnote w:id="2">
    <w:p w14:paraId="006471FF" w14:textId="77777777" w:rsidR="00423590" w:rsidRPr="009F3D65" w:rsidRDefault="00423590" w:rsidP="00AC68E5">
      <w:pPr>
        <w:pStyle w:val="FootnoteText"/>
        <w:rPr>
          <w:rFonts w:ascii="Arial Narrow" w:hAnsi="Arial Narrow" w:cs="Calibri Light"/>
          <w:sz w:val="18"/>
          <w:szCs w:val="18"/>
        </w:rPr>
      </w:pPr>
      <w:r w:rsidRPr="009F3D65">
        <w:rPr>
          <w:rStyle w:val="FootnoteReference"/>
          <w:rFonts w:ascii="Arial Narrow" w:hAnsi="Arial Narrow" w:cs="Calibri Light"/>
          <w:sz w:val="18"/>
          <w:szCs w:val="18"/>
        </w:rPr>
        <w:footnoteRef/>
      </w:r>
      <w:r w:rsidRPr="009F3D65">
        <w:rPr>
          <w:rFonts w:ascii="Arial Narrow" w:hAnsi="Arial Narrow" w:cs="Calibri Light"/>
          <w:sz w:val="18"/>
          <w:szCs w:val="18"/>
        </w:rPr>
        <w:t xml:space="preserve"> </w:t>
      </w:r>
      <w:r>
        <w:rPr>
          <w:rFonts w:ascii="Arial Narrow" w:hAnsi="Arial Narrow" w:cs="Calibri Light"/>
          <w:sz w:val="18"/>
          <w:szCs w:val="18"/>
        </w:rPr>
        <w:t xml:space="preserve">Factor </w:t>
      </w:r>
      <w:r w:rsidRPr="009F3D65">
        <w:rPr>
          <w:rFonts w:ascii="Arial Narrow" w:hAnsi="Arial Narrow" w:cs="Calibri Light"/>
          <w:sz w:val="18"/>
          <w:szCs w:val="18"/>
        </w:rPr>
        <w:t>3: Sufficient evidence of compliance and good standing with federal, state, and local laws and regulations</w:t>
      </w:r>
    </w:p>
    <w:p w14:paraId="2875E608" w14:textId="77777777" w:rsidR="00423590" w:rsidRPr="009F3D65" w:rsidRDefault="00423590" w:rsidP="00AC68E5">
      <w:pPr>
        <w:pStyle w:val="FootnoteText"/>
        <w:rPr>
          <w:rFonts w:ascii="Arial Narrow" w:hAnsi="Arial Narrow" w:cs="Calibri Light"/>
          <w:sz w:val="18"/>
          <w:szCs w:val="18"/>
        </w:rPr>
      </w:pPr>
      <w:r>
        <w:rPr>
          <w:rFonts w:ascii="Arial Narrow" w:hAnsi="Arial Narrow" w:cs="Calibri Light"/>
          <w:sz w:val="18"/>
          <w:szCs w:val="18"/>
        </w:rPr>
        <w:t xml:space="preserve">Factor </w:t>
      </w:r>
      <w:r w:rsidRPr="009F3D65">
        <w:rPr>
          <w:rFonts w:ascii="Arial Narrow" w:hAnsi="Arial Narrow" w:cs="Calibri Light"/>
          <w:sz w:val="18"/>
          <w:szCs w:val="18"/>
        </w:rPr>
        <w:t>4: Sufficient documentation of the availability of sufficient funds for capital and ongoing operating costs necessary to support the Project without negative impacts or consequences to the Applicant's existing Patient Panel</w:t>
      </w:r>
    </w:p>
  </w:footnote>
  <w:footnote w:id="3">
    <w:p w14:paraId="3969B69A" w14:textId="77777777" w:rsidR="00905BB3" w:rsidRPr="00A62397" w:rsidRDefault="00905BB3" w:rsidP="0060259B">
      <w:pPr>
        <w:pStyle w:val="FootnoteText"/>
        <w:rPr>
          <w:rFonts w:ascii="Arial Narrow" w:hAnsi="Arial Narrow" w:cs="Calibri Light"/>
          <w:sz w:val="18"/>
          <w:szCs w:val="18"/>
        </w:rPr>
      </w:pPr>
      <w:r w:rsidRPr="00A62397">
        <w:rPr>
          <w:rStyle w:val="FootnoteReference"/>
          <w:rFonts w:ascii="Arial Narrow" w:hAnsi="Arial Narrow" w:cs="Calibri Light"/>
          <w:sz w:val="18"/>
          <w:szCs w:val="18"/>
        </w:rPr>
        <w:footnoteRef/>
      </w:r>
      <w:r w:rsidRPr="00A62397">
        <w:rPr>
          <w:rFonts w:ascii="Arial Narrow" w:hAnsi="Arial Narrow" w:cs="Calibri Light"/>
          <w:sz w:val="18"/>
          <w:szCs w:val="18"/>
        </w:rPr>
        <w:t xml:space="preserve"> As defined in 105 CMR 100.100, Patient Panel is the total of the individual patients regardless of payer, including those patients seen within an emergency department(s) if applicable, seen over the course of the most recent complete 36-month period by the Applicant or Holder.</w:t>
      </w:r>
    </w:p>
  </w:footnote>
  <w:footnote w:id="4">
    <w:p w14:paraId="69D92390" w14:textId="77777777" w:rsidR="002E1837" w:rsidRPr="00AD1CA3" w:rsidRDefault="002E1837" w:rsidP="002E1837">
      <w:pPr>
        <w:pStyle w:val="NormalWeb"/>
        <w:rPr>
          <w:rFonts w:ascii="Arial" w:eastAsia="Times New Roman" w:hAnsi="Arial" w:cs="Arial"/>
          <w:sz w:val="18"/>
          <w:szCs w:val="18"/>
        </w:rPr>
      </w:pPr>
      <w:r>
        <w:rPr>
          <w:rStyle w:val="FootnoteReference"/>
        </w:rPr>
        <w:footnoteRef/>
      </w:r>
      <w:r>
        <w:t xml:space="preserve"> </w:t>
      </w:r>
      <w:r w:rsidRPr="003F3CE9">
        <w:rPr>
          <w:rFonts w:ascii="Arial Narrow" w:hAnsi="Arial Narrow" w:cs="Calibri Light"/>
          <w:sz w:val="18"/>
          <w:szCs w:val="18"/>
        </w:rPr>
        <w:t>Medicare classifies chronic hospitals as Long-Term Care Hospitals</w:t>
      </w:r>
      <w:r>
        <w:rPr>
          <w:rFonts w:ascii="Arial Narrow" w:hAnsi="Arial Narrow" w:cs="Calibri Light"/>
          <w:sz w:val="18"/>
          <w:szCs w:val="18"/>
        </w:rPr>
        <w:t>.</w:t>
      </w:r>
    </w:p>
    <w:p w14:paraId="0E5F5136" w14:textId="4A363137" w:rsidR="002E1837" w:rsidRDefault="002E1837">
      <w:pPr>
        <w:pStyle w:val="FootnoteText"/>
      </w:pPr>
    </w:p>
  </w:footnote>
  <w:footnote w:id="5">
    <w:p w14:paraId="4FA2C15F" w14:textId="322F911F" w:rsidR="00C33487" w:rsidRDefault="00C33487" w:rsidP="00C33487">
      <w:pPr>
        <w:autoSpaceDE w:val="0"/>
        <w:autoSpaceDN w:val="0"/>
        <w:adjustRightInd w:val="0"/>
      </w:pPr>
      <w:r w:rsidRPr="003F277D">
        <w:rPr>
          <w:rStyle w:val="FootnoteReference"/>
          <w:rFonts w:ascii="Arial" w:hAnsi="Arial" w:cs="Arial"/>
          <w:sz w:val="18"/>
          <w:szCs w:val="18"/>
        </w:rPr>
        <w:footnoteRef/>
      </w:r>
      <w:r>
        <w:t xml:space="preserve"> </w:t>
      </w:r>
      <w:r w:rsidRPr="00C33487">
        <w:rPr>
          <w:rFonts w:ascii="Arial Narrow" w:hAnsi="Arial Narrow" w:cs="Calibri Light"/>
          <w:sz w:val="18"/>
          <w:szCs w:val="18"/>
        </w:rPr>
        <w:t>Public payer mix was 90%: 62% Medicare and Managed Medicare and 38% Medicaid and Managed Medicaid and .8% VA, and the remaining 10% of the payer mix includes commercial pay and other.</w:t>
      </w:r>
    </w:p>
  </w:footnote>
  <w:footnote w:id="6">
    <w:p w14:paraId="39DEDEC1" w14:textId="49CB953E" w:rsidR="003F3CE9" w:rsidRPr="003F3CE9" w:rsidRDefault="003F3CE9" w:rsidP="003F3CE9">
      <w:pPr>
        <w:autoSpaceDE w:val="0"/>
        <w:autoSpaceDN w:val="0"/>
        <w:adjustRightInd w:val="0"/>
        <w:rPr>
          <w:rFonts w:ascii="Arial" w:hAnsi="Arial" w:cs="Arial"/>
          <w:sz w:val="18"/>
          <w:szCs w:val="18"/>
        </w:rPr>
      </w:pPr>
      <w:r w:rsidRPr="003F3CE9">
        <w:rPr>
          <w:rStyle w:val="FootnoteReference"/>
          <w:rFonts w:ascii="Arial" w:hAnsi="Arial" w:cs="Arial"/>
          <w:sz w:val="18"/>
          <w:szCs w:val="18"/>
        </w:rPr>
        <w:footnoteRef/>
      </w:r>
      <w:r w:rsidRPr="003F3CE9">
        <w:rPr>
          <w:rFonts w:ascii="Arial" w:hAnsi="Arial" w:cs="Arial"/>
          <w:sz w:val="18"/>
          <w:szCs w:val="18"/>
        </w:rPr>
        <w:t xml:space="preserve"> </w:t>
      </w:r>
      <w:r>
        <w:rPr>
          <w:rFonts w:ascii="Arial Narrow" w:hAnsi="Arial Narrow" w:cs="Calibri Light"/>
          <w:sz w:val="18"/>
          <w:szCs w:val="18"/>
        </w:rPr>
        <w:t>A</w:t>
      </w:r>
      <w:r w:rsidRPr="003F3CE9">
        <w:rPr>
          <w:rFonts w:ascii="Arial Narrow" w:hAnsi="Arial Narrow" w:cs="Calibri Light"/>
          <w:sz w:val="18"/>
          <w:szCs w:val="18"/>
        </w:rPr>
        <w:t>pproximately 26% of the Patient Panel came from five zip codes on the South Shore with 18% from zip codes less than 10 miles from the Hospital</w:t>
      </w:r>
      <w:r>
        <w:rPr>
          <w:rFonts w:ascii="Arial Narrow" w:hAnsi="Arial Narrow" w:cs="Calibri Light"/>
          <w:sz w:val="18"/>
          <w:szCs w:val="18"/>
        </w:rPr>
        <w:t>.</w:t>
      </w:r>
    </w:p>
  </w:footnote>
  <w:footnote w:id="7">
    <w:p w14:paraId="0E1499D9" w14:textId="3C37D2D8" w:rsidR="000F7C9A" w:rsidRPr="000F7C9A" w:rsidRDefault="000F7C9A" w:rsidP="000F7C9A">
      <w:pPr>
        <w:autoSpaceDE w:val="0"/>
        <w:autoSpaceDN w:val="0"/>
        <w:adjustRightInd w:val="0"/>
      </w:pPr>
      <w:r w:rsidRPr="003F277D">
        <w:rPr>
          <w:rStyle w:val="FootnoteReference"/>
          <w:rFonts w:ascii="Arial" w:eastAsiaTheme="minorHAnsi" w:hAnsi="Arial" w:cs="Arial"/>
          <w:sz w:val="18"/>
          <w:szCs w:val="18"/>
        </w:rPr>
        <w:footnoteRef/>
      </w:r>
      <w:r w:rsidRPr="003F277D">
        <w:rPr>
          <w:rStyle w:val="FootnoteReference"/>
          <w:rFonts w:ascii="Arial" w:eastAsiaTheme="minorHAnsi" w:hAnsi="Arial" w:cs="Arial"/>
          <w:sz w:val="18"/>
          <w:szCs w:val="18"/>
        </w:rPr>
        <w:t xml:space="preserve"> </w:t>
      </w:r>
      <w:r w:rsidRPr="003F277D">
        <w:rPr>
          <w:rFonts w:ascii="Arial Narrow" w:hAnsi="Arial Narrow" w:cs="Calibri Light"/>
          <w:sz w:val="18"/>
          <w:szCs w:val="18"/>
        </w:rPr>
        <w:t>The</w:t>
      </w:r>
      <w:r w:rsidRPr="000F7C9A">
        <w:rPr>
          <w:rFonts w:ascii="Arial Narrow" w:hAnsi="Arial Narrow" w:cs="Calibri Light"/>
          <w:sz w:val="18"/>
          <w:szCs w:val="18"/>
        </w:rPr>
        <w:t xml:space="preserve"> wean rate is determined by the number of patients on a ventilator that are successfully weaned (&gt;48 hours) at the time of discharge. PAM Health’s average is 76% compared to the national average of 53%.</w:t>
      </w:r>
    </w:p>
  </w:footnote>
  <w:footnote w:id="8">
    <w:p w14:paraId="30C45381" w14:textId="0AED8B57" w:rsidR="00C15391" w:rsidRPr="00AE52A5" w:rsidRDefault="00C15391">
      <w:pPr>
        <w:pStyle w:val="FootnoteText"/>
        <w:rPr>
          <w:rFonts w:ascii="Arial Narrow" w:eastAsia="Times New Roman" w:hAnsi="Arial Narrow" w:cs="Calibri Light"/>
          <w:sz w:val="18"/>
          <w:szCs w:val="18"/>
        </w:rPr>
      </w:pPr>
      <w:r w:rsidRPr="00241267">
        <w:rPr>
          <w:rStyle w:val="FootnoteReference"/>
        </w:rPr>
        <w:footnoteRef/>
      </w:r>
      <w:r w:rsidRPr="00241267">
        <w:rPr>
          <w:rStyle w:val="FootnoteReference"/>
        </w:rPr>
        <w:t xml:space="preserve"> </w:t>
      </w:r>
      <w:r w:rsidR="00241267" w:rsidRPr="00AE52A5">
        <w:rPr>
          <w:rFonts w:ascii="Arial Narrow" w:hAnsi="Arial Narrow" w:cs="Calibri Light"/>
          <w:sz w:val="18"/>
          <w:szCs w:val="18"/>
        </w:rPr>
        <w:t xml:space="preserve">May Fennel, C. (2021). Accreditation options: Selecting an accrediting source. Beckershospitalreview.com. Retrieved </w:t>
      </w:r>
      <w:r w:rsidR="009A3032" w:rsidRPr="00AE52A5">
        <w:rPr>
          <w:rFonts w:ascii="Arial Narrow" w:hAnsi="Arial Narrow" w:cs="Calibri Light"/>
          <w:sz w:val="18"/>
          <w:szCs w:val="18"/>
        </w:rPr>
        <w:t>24</w:t>
      </w:r>
      <w:r w:rsidR="00241267" w:rsidRPr="00AE52A5">
        <w:rPr>
          <w:rFonts w:ascii="Arial Narrow" w:hAnsi="Arial Narrow" w:cs="Calibri Light"/>
          <w:sz w:val="18"/>
          <w:szCs w:val="18"/>
        </w:rPr>
        <w:t xml:space="preserve"> December 2021, from https://www.beckershospitalreview.com/quality/accreditation-options-selecting-an-accrediting-source.html.</w:t>
      </w:r>
    </w:p>
  </w:footnote>
  <w:footnote w:id="9">
    <w:p w14:paraId="27A6B240" w14:textId="77777777" w:rsidR="00886888" w:rsidRDefault="00886888" w:rsidP="00886888">
      <w:pPr>
        <w:pStyle w:val="FootnoteText"/>
      </w:pPr>
      <w:r>
        <w:rPr>
          <w:rStyle w:val="FootnoteReference"/>
        </w:rPr>
        <w:footnoteRef/>
      </w:r>
      <w:r>
        <w:t xml:space="preserve"> </w:t>
      </w:r>
      <w:r w:rsidRPr="00907FBF">
        <w:rPr>
          <w:rFonts w:ascii="Arial Narrow" w:eastAsia="Times New Roman" w:hAnsi="Arial Narrow" w:cs="Calibri Light"/>
          <w:sz w:val="18"/>
          <w:szCs w:val="18"/>
        </w:rPr>
        <w:t>These programs include Stroke, Amputee, Parkinson’s Disease, Spinal Cord Injury, Traumatic Brain Injury and Brain Injury Rehabilitation along with Respiratory and Health Failure and Wound Care.</w:t>
      </w:r>
    </w:p>
  </w:footnote>
  <w:footnote w:id="10">
    <w:p w14:paraId="65568EA0" w14:textId="73AD8B7E" w:rsidR="001106D5" w:rsidRPr="00AE52A5" w:rsidRDefault="001106D5" w:rsidP="00AE52A5">
      <w:pPr>
        <w:pStyle w:val="FootnoteText"/>
        <w:rPr>
          <w:rFonts w:ascii="Arial Narrow" w:eastAsia="Times New Roman" w:hAnsi="Arial Narrow" w:cs="Calibri Light"/>
          <w:sz w:val="18"/>
          <w:szCs w:val="18"/>
        </w:rPr>
      </w:pPr>
      <w:r w:rsidRPr="003F277D">
        <w:rPr>
          <w:rStyle w:val="FootnoteReference"/>
          <w:rFonts w:ascii="Arial" w:hAnsi="Arial" w:cs="Arial"/>
          <w:sz w:val="18"/>
          <w:szCs w:val="18"/>
        </w:rPr>
        <w:footnoteRef/>
      </w:r>
      <w:r>
        <w:t xml:space="preserve"> </w:t>
      </w:r>
      <w:r w:rsidRPr="00AE52A5">
        <w:rPr>
          <w:rFonts w:ascii="Arial Narrow" w:eastAsia="Times New Roman" w:hAnsi="Arial Narrow" w:cs="Calibri Light"/>
          <w:sz w:val="18"/>
          <w:szCs w:val="18"/>
        </w:rPr>
        <w:t>This program includes enhanced patient rounding to connect and encourage communication between patients, families, physicians, other care</w:t>
      </w:r>
    </w:p>
    <w:p w14:paraId="763F78B1" w14:textId="44AA76B4" w:rsidR="001106D5" w:rsidRDefault="001106D5" w:rsidP="00AE52A5">
      <w:pPr>
        <w:pStyle w:val="FootnoteText"/>
      </w:pPr>
      <w:r w:rsidRPr="00AE52A5">
        <w:rPr>
          <w:rFonts w:ascii="Arial Narrow" w:eastAsia="Times New Roman" w:hAnsi="Arial Narrow" w:cs="Calibri Light"/>
          <w:sz w:val="18"/>
          <w:szCs w:val="18"/>
        </w:rPr>
        <w:t>providers, and the health care team.</w:t>
      </w:r>
    </w:p>
  </w:footnote>
  <w:footnote w:id="11">
    <w:p w14:paraId="03C4F38B" w14:textId="42A8D62B" w:rsidR="00905BB3" w:rsidRPr="00130BE3" w:rsidRDefault="00905BB3" w:rsidP="00076B1A">
      <w:pPr>
        <w:pStyle w:val="FootnoteText"/>
        <w:contextualSpacing/>
        <w:rPr>
          <w:rFonts w:ascii="Arial Narrow" w:hAnsi="Arial Narrow" w:cstheme="minorHAnsi"/>
          <w:sz w:val="18"/>
          <w:szCs w:val="18"/>
        </w:rPr>
      </w:pPr>
      <w:r w:rsidRPr="00130BE3">
        <w:rPr>
          <w:rStyle w:val="FootnoteReference"/>
          <w:rFonts w:ascii="Arial Narrow" w:hAnsi="Arial Narrow" w:cstheme="minorHAnsi"/>
          <w:sz w:val="18"/>
          <w:szCs w:val="18"/>
        </w:rPr>
        <w:footnoteRef/>
      </w:r>
      <w:r w:rsidRPr="00130BE3">
        <w:rPr>
          <w:rFonts w:ascii="Arial Narrow" w:hAnsi="Arial Narrow" w:cstheme="minorHAnsi"/>
          <w:sz w:val="18"/>
          <w:szCs w:val="18"/>
        </w:rPr>
        <w:t xml:space="preserve"> </w:t>
      </w:r>
      <w:r w:rsidRPr="00AE52A5">
        <w:rPr>
          <w:rFonts w:ascii="Arial Narrow" w:eastAsia="Times New Roman" w:hAnsi="Arial Narrow" w:cs="Calibri Light"/>
          <w:sz w:val="18"/>
          <w:szCs w:val="18"/>
        </w:rPr>
        <w:t>Community Engagement Standards for Community Health Planning Guideline. https://www.mass.gov/doc/community-engagement-guidelines-for-community-health-planning-pdf/download</w:t>
      </w:r>
      <w:r w:rsidR="00AE52A5">
        <w:rPr>
          <w:rFonts w:ascii="Arial Narrow" w:eastAsia="Times New Roman" w:hAnsi="Arial Narrow" w:cs="Calibri Light"/>
          <w:sz w:val="18"/>
          <w:szCs w:val="18"/>
        </w:rPr>
        <w:t>.</w:t>
      </w:r>
      <w:r w:rsidRPr="00130BE3">
        <w:rPr>
          <w:rFonts w:ascii="Arial Narrow" w:hAnsi="Arial Narrow" w:cstheme="minorHAnsi"/>
          <w:sz w:val="18"/>
          <w:szCs w:val="18"/>
        </w:rPr>
        <w:t xml:space="preserve"> </w:t>
      </w:r>
    </w:p>
  </w:footnote>
  <w:footnote w:id="12">
    <w:p w14:paraId="35BFD950" w14:textId="3E6449C7" w:rsidR="00905BB3" w:rsidRPr="00623530" w:rsidRDefault="00905BB3" w:rsidP="00076B1A">
      <w:pPr>
        <w:pStyle w:val="FootnoteText"/>
        <w:rPr>
          <w:rFonts w:ascii="Arial Narrow" w:hAnsi="Arial Narrow" w:cstheme="minorHAnsi"/>
          <w:sz w:val="18"/>
          <w:szCs w:val="18"/>
        </w:rPr>
      </w:pPr>
      <w:r w:rsidRPr="00130BE3">
        <w:rPr>
          <w:rStyle w:val="FootnoteReference"/>
          <w:rFonts w:ascii="Arial Narrow" w:hAnsi="Arial Narrow" w:cstheme="minorHAnsi"/>
          <w:sz w:val="18"/>
          <w:szCs w:val="18"/>
        </w:rPr>
        <w:footnoteRef/>
      </w:r>
      <w:r w:rsidRPr="00130BE3">
        <w:rPr>
          <w:rFonts w:ascii="Arial Narrow" w:hAnsi="Arial Narrow" w:cstheme="minorHAnsi"/>
          <w:sz w:val="18"/>
          <w:szCs w:val="18"/>
        </w:rPr>
        <w:t xml:space="preserve"> DoN Regulation 100.210 (A)(1)(e). </w:t>
      </w:r>
      <w:hyperlink r:id="rId1" w:history="1">
        <w:r w:rsidR="00040DA6">
          <w:rPr>
            <w:rStyle w:val="Hyperlink"/>
            <w:rFonts w:ascii="Arial Narrow" w:hAnsi="Arial Narrow" w:cstheme="minorHAnsi"/>
            <w:color w:val="auto"/>
            <w:sz w:val="18"/>
            <w:szCs w:val="18"/>
          </w:rPr>
          <w:t>at https://www.mass.gov/files/documents/2018/12/31/jud-lib-105cmr100.pdf</w:t>
        </w:r>
      </w:hyperlink>
      <w:r w:rsidR="00AE52A5" w:rsidRPr="00AE52A5">
        <w:rPr>
          <w:rStyle w:val="Hyperlink"/>
          <w:rFonts w:ascii="Arial Narrow" w:hAnsi="Arial Narrow" w:cstheme="minorHAnsi"/>
          <w:color w:val="auto"/>
          <w:sz w:val="18"/>
          <w:szCs w:val="18"/>
          <w:u w:val="none"/>
        </w:rPr>
        <w:t>.</w:t>
      </w:r>
    </w:p>
  </w:footnote>
  <w:footnote w:id="13">
    <w:p w14:paraId="71895CDE" w14:textId="7AF6486E" w:rsidR="00EC5588" w:rsidRDefault="00EC5588">
      <w:pPr>
        <w:pStyle w:val="FootnoteText"/>
      </w:pPr>
      <w:r>
        <w:rPr>
          <w:rStyle w:val="FootnoteReference"/>
        </w:rPr>
        <w:footnoteRef/>
      </w:r>
      <w:r>
        <w:t xml:space="preserve"> </w:t>
      </w:r>
      <w:r w:rsidRPr="00AE52A5">
        <w:rPr>
          <w:rFonts w:ascii="Arial Narrow" w:eastAsia="Times New Roman" w:hAnsi="Arial Narrow" w:cs="Calibri Light"/>
          <w:sz w:val="18"/>
          <w:szCs w:val="18"/>
        </w:rPr>
        <w:t xml:space="preserve">Projected net inpatient revenue for FY 2021 is based upon actuals for January through July and the Applicant’s 2021 budget for August through December, updated to include the acquisition of Curahealth Hospitals for October through December. The projections for Curahealth Hospitals for October through December 2021 </w:t>
      </w:r>
      <w:r w:rsidR="001216D6" w:rsidRPr="00AE52A5">
        <w:rPr>
          <w:rFonts w:ascii="Arial Narrow" w:eastAsia="Times New Roman" w:hAnsi="Arial Narrow" w:cs="Calibri Light"/>
          <w:sz w:val="18"/>
          <w:szCs w:val="18"/>
        </w:rPr>
        <w:t>are</w:t>
      </w:r>
      <w:r w:rsidRPr="00AE52A5">
        <w:rPr>
          <w:rFonts w:ascii="Arial Narrow" w:eastAsia="Times New Roman" w:hAnsi="Arial Narrow" w:cs="Calibri Light"/>
          <w:sz w:val="18"/>
          <w:szCs w:val="18"/>
        </w:rPr>
        <w:t xml:space="preserve"> based on a historical per patient day cost and average daily census by location.</w:t>
      </w:r>
    </w:p>
  </w:footnote>
  <w:footnote w:id="14">
    <w:p w14:paraId="4B4338CE" w14:textId="2DF15C94" w:rsidR="00EC5588" w:rsidRDefault="00EC5588">
      <w:pPr>
        <w:pStyle w:val="FootnoteText"/>
      </w:pPr>
      <w:r>
        <w:rPr>
          <w:rStyle w:val="FootnoteReference"/>
        </w:rPr>
        <w:footnoteRef/>
      </w:r>
      <w:r>
        <w:t xml:space="preserve"> </w:t>
      </w:r>
      <w:r w:rsidR="00006FCD" w:rsidRPr="00006FCD">
        <w:rPr>
          <w:rFonts w:ascii="Arial Narrow" w:hAnsi="Arial Narrow"/>
          <w:sz w:val="18"/>
          <w:szCs w:val="18"/>
        </w:rPr>
        <w:t>Net outpatient revenue for FY 2021 is based upon actuals for January through July and the Applicant’s 2021 budget for August through December.</w:t>
      </w:r>
    </w:p>
  </w:footnote>
  <w:footnote w:id="15">
    <w:p w14:paraId="79939E12" w14:textId="241AC371" w:rsidR="0019686D" w:rsidRDefault="0019686D">
      <w:pPr>
        <w:pStyle w:val="FootnoteText"/>
      </w:pPr>
      <w:r>
        <w:rPr>
          <w:rStyle w:val="FootnoteReference"/>
        </w:rPr>
        <w:footnoteRef/>
      </w:r>
      <w:r>
        <w:t xml:space="preserve"> </w:t>
      </w:r>
      <w:r w:rsidRPr="00AE52A5">
        <w:rPr>
          <w:rFonts w:ascii="Arial Narrow" w:eastAsia="Times New Roman" w:hAnsi="Arial Narrow" w:cs="Calibri Light"/>
          <w:sz w:val="18"/>
          <w:szCs w:val="18"/>
        </w:rPr>
        <w:t>FY2022—rate adjustment of 2% and FY2023-2026—rate adjustment of 3%</w:t>
      </w:r>
      <w:r w:rsidR="00AE52A5">
        <w:rPr>
          <w:rFonts w:ascii="Arial Narrow" w:eastAsia="Times New Roman" w:hAnsi="Arial Narrow" w:cs="Calibri Light"/>
          <w:sz w:val="18"/>
          <w:szCs w:val="18"/>
        </w:rPr>
        <w:t>.</w:t>
      </w:r>
    </w:p>
  </w:footnote>
  <w:footnote w:id="16">
    <w:p w14:paraId="6FADA4F0" w14:textId="4A0ED5A9" w:rsidR="007D66E4" w:rsidRDefault="007D66E4" w:rsidP="007D66E4">
      <w:pPr>
        <w:pStyle w:val="FootnoteText"/>
      </w:pPr>
      <w:r>
        <w:rPr>
          <w:rStyle w:val="FootnoteReference"/>
        </w:rPr>
        <w:footnoteRef/>
      </w:r>
      <w:r>
        <w:t xml:space="preserve"> </w:t>
      </w:r>
      <w:r>
        <w:rPr>
          <w:rFonts w:ascii="Arial Narrow" w:hAnsi="Arial Narrow"/>
          <w:sz w:val="18"/>
          <w:szCs w:val="18"/>
        </w:rPr>
        <w:t>A</w:t>
      </w:r>
      <w:r w:rsidRPr="007D66E4">
        <w:rPr>
          <w:rFonts w:ascii="Arial Narrow" w:hAnsi="Arial Narrow"/>
          <w:sz w:val="18"/>
          <w:szCs w:val="18"/>
        </w:rPr>
        <w:t>nalysis is based on salaries, wages, and benefits, supplies, contract services, professional fees, repairs/maintenance, utilities expense, bad debt expense, corporate services fee, and other operating expenses</w:t>
      </w:r>
      <w:r>
        <w:rPr>
          <w:rFonts w:ascii="Arial Narrow" w:hAnsi="Arial Narrow"/>
          <w:sz w:val="18"/>
          <w:szCs w:val="18"/>
        </w:rPr>
        <w:t>.</w:t>
      </w:r>
      <w:r w:rsidR="00EA2562">
        <w:rPr>
          <w:rFonts w:ascii="Arial Narrow" w:hAnsi="Arial Narrow"/>
          <w:sz w:val="18"/>
          <w:szCs w:val="18"/>
        </w:rPr>
        <w:t xml:space="preserve"> </w:t>
      </w:r>
      <w:r w:rsidR="00EA2562" w:rsidRPr="00EA2562">
        <w:rPr>
          <w:rFonts w:ascii="Arial Narrow" w:hAnsi="Arial Narrow"/>
          <w:sz w:val="18"/>
          <w:szCs w:val="18"/>
        </w:rPr>
        <w:t>All expenses for FY 2021 are based upon actuals for January through July and the Applicant’s 2021 budget for August through December, updated to include the acquisition of Curahealth Hospitals for October through December.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0951F" w14:textId="26F9D772" w:rsidR="00905BB3" w:rsidRDefault="00905B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C9540" w14:textId="59CB02AF" w:rsidR="00905BB3" w:rsidRDefault="00905B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37C0D" w14:textId="40480BCF" w:rsidR="00905BB3" w:rsidRDefault="00905B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14DF1"/>
    <w:multiLevelType w:val="hybridMultilevel"/>
    <w:tmpl w:val="B5203286"/>
    <w:lvl w:ilvl="0" w:tplc="04090001">
      <w:start w:val="1"/>
      <w:numFmt w:val="bullet"/>
      <w:lvlText w:val=""/>
      <w:lvlJc w:val="left"/>
      <w:pPr>
        <w:ind w:left="720" w:hanging="360"/>
      </w:pPr>
      <w:rPr>
        <w:rFonts w:ascii="Symbol" w:hAnsi="Symbol" w:hint="default"/>
      </w:rPr>
    </w:lvl>
    <w:lvl w:ilvl="1" w:tplc="A5E8603E">
      <w:numFmt w:val="bullet"/>
      <w:lvlText w:val="•"/>
      <w:lvlJc w:val="left"/>
      <w:pPr>
        <w:ind w:left="1800" w:hanging="720"/>
      </w:pPr>
      <w:rPr>
        <w:rFonts w:ascii="Garamond" w:eastAsiaTheme="minorHAnsi" w:hAnsi="Garamond"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A30D2"/>
    <w:multiLevelType w:val="hybridMultilevel"/>
    <w:tmpl w:val="4CE69DA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6F970DD"/>
    <w:multiLevelType w:val="hybridMultilevel"/>
    <w:tmpl w:val="C4BCE8FA"/>
    <w:lvl w:ilvl="0" w:tplc="D7823EB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7A431BB"/>
    <w:multiLevelType w:val="hybridMultilevel"/>
    <w:tmpl w:val="3704F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807E9"/>
    <w:multiLevelType w:val="hybridMultilevel"/>
    <w:tmpl w:val="4FB8CE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5F28AF"/>
    <w:multiLevelType w:val="hybridMultilevel"/>
    <w:tmpl w:val="E98C3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B765EFC">
      <w:numFmt w:val="bullet"/>
      <w:lvlText w:val="-"/>
      <w:lvlJc w:val="left"/>
      <w:pPr>
        <w:ind w:left="2160" w:hanging="360"/>
      </w:pPr>
      <w:rPr>
        <w:rFonts w:ascii="Garamond" w:eastAsiaTheme="minorHAnsi" w:hAnsi="Garamond"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D0A29"/>
    <w:multiLevelType w:val="hybridMultilevel"/>
    <w:tmpl w:val="62D4B588"/>
    <w:lvl w:ilvl="0" w:tplc="16C61CE8">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7" w15:restartNumberingAfterBreak="0">
    <w:nsid w:val="220722FD"/>
    <w:multiLevelType w:val="hybridMultilevel"/>
    <w:tmpl w:val="F866E4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7FF0A4B"/>
    <w:multiLevelType w:val="hybridMultilevel"/>
    <w:tmpl w:val="1FCE7CE6"/>
    <w:lvl w:ilvl="0" w:tplc="92542C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82B2657"/>
    <w:multiLevelType w:val="hybridMultilevel"/>
    <w:tmpl w:val="397E069A"/>
    <w:lvl w:ilvl="0" w:tplc="B67C3F20">
      <w:start w:val="1"/>
      <w:numFmt w:val="bullet"/>
      <w:lvlText w:val="-"/>
      <w:lvlJc w:val="left"/>
      <w:pPr>
        <w:ind w:left="2148" w:hanging="360"/>
      </w:pPr>
      <w:rPr>
        <w:rFonts w:ascii="Garamond" w:eastAsiaTheme="minorHAnsi" w:hAnsi="Garamond" w:cs="Arial" w:hint="default"/>
      </w:rPr>
    </w:lvl>
    <w:lvl w:ilvl="1" w:tplc="04090003" w:tentative="1">
      <w:start w:val="1"/>
      <w:numFmt w:val="bullet"/>
      <w:lvlText w:val="o"/>
      <w:lvlJc w:val="left"/>
      <w:pPr>
        <w:ind w:left="2868" w:hanging="360"/>
      </w:pPr>
      <w:rPr>
        <w:rFonts w:ascii="Courier New" w:hAnsi="Courier New" w:cs="Courier New" w:hint="default"/>
      </w:rPr>
    </w:lvl>
    <w:lvl w:ilvl="2" w:tplc="04090005" w:tentative="1">
      <w:start w:val="1"/>
      <w:numFmt w:val="bullet"/>
      <w:lvlText w:val=""/>
      <w:lvlJc w:val="left"/>
      <w:pPr>
        <w:ind w:left="3588" w:hanging="360"/>
      </w:pPr>
      <w:rPr>
        <w:rFonts w:ascii="Wingdings" w:hAnsi="Wingdings" w:hint="default"/>
      </w:rPr>
    </w:lvl>
    <w:lvl w:ilvl="3" w:tplc="04090001" w:tentative="1">
      <w:start w:val="1"/>
      <w:numFmt w:val="bullet"/>
      <w:lvlText w:val=""/>
      <w:lvlJc w:val="left"/>
      <w:pPr>
        <w:ind w:left="4308" w:hanging="360"/>
      </w:pPr>
      <w:rPr>
        <w:rFonts w:ascii="Symbol" w:hAnsi="Symbol" w:hint="default"/>
      </w:rPr>
    </w:lvl>
    <w:lvl w:ilvl="4" w:tplc="04090003" w:tentative="1">
      <w:start w:val="1"/>
      <w:numFmt w:val="bullet"/>
      <w:lvlText w:val="o"/>
      <w:lvlJc w:val="left"/>
      <w:pPr>
        <w:ind w:left="5028" w:hanging="360"/>
      </w:pPr>
      <w:rPr>
        <w:rFonts w:ascii="Courier New" w:hAnsi="Courier New" w:cs="Courier New" w:hint="default"/>
      </w:rPr>
    </w:lvl>
    <w:lvl w:ilvl="5" w:tplc="04090005" w:tentative="1">
      <w:start w:val="1"/>
      <w:numFmt w:val="bullet"/>
      <w:lvlText w:val=""/>
      <w:lvlJc w:val="left"/>
      <w:pPr>
        <w:ind w:left="5748" w:hanging="360"/>
      </w:pPr>
      <w:rPr>
        <w:rFonts w:ascii="Wingdings" w:hAnsi="Wingdings" w:hint="default"/>
      </w:rPr>
    </w:lvl>
    <w:lvl w:ilvl="6" w:tplc="04090001" w:tentative="1">
      <w:start w:val="1"/>
      <w:numFmt w:val="bullet"/>
      <w:lvlText w:val=""/>
      <w:lvlJc w:val="left"/>
      <w:pPr>
        <w:ind w:left="6468" w:hanging="360"/>
      </w:pPr>
      <w:rPr>
        <w:rFonts w:ascii="Symbol" w:hAnsi="Symbol" w:hint="default"/>
      </w:rPr>
    </w:lvl>
    <w:lvl w:ilvl="7" w:tplc="04090003" w:tentative="1">
      <w:start w:val="1"/>
      <w:numFmt w:val="bullet"/>
      <w:lvlText w:val="o"/>
      <w:lvlJc w:val="left"/>
      <w:pPr>
        <w:ind w:left="7188" w:hanging="360"/>
      </w:pPr>
      <w:rPr>
        <w:rFonts w:ascii="Courier New" w:hAnsi="Courier New" w:cs="Courier New" w:hint="default"/>
      </w:rPr>
    </w:lvl>
    <w:lvl w:ilvl="8" w:tplc="04090005" w:tentative="1">
      <w:start w:val="1"/>
      <w:numFmt w:val="bullet"/>
      <w:lvlText w:val=""/>
      <w:lvlJc w:val="left"/>
      <w:pPr>
        <w:ind w:left="7908" w:hanging="360"/>
      </w:pPr>
      <w:rPr>
        <w:rFonts w:ascii="Wingdings" w:hAnsi="Wingdings" w:hint="default"/>
      </w:rPr>
    </w:lvl>
  </w:abstractNum>
  <w:abstractNum w:abstractNumId="10" w15:restartNumberingAfterBreak="0">
    <w:nsid w:val="29251AD1"/>
    <w:multiLevelType w:val="hybridMultilevel"/>
    <w:tmpl w:val="7C904644"/>
    <w:lvl w:ilvl="0" w:tplc="1CB24236">
      <w:start w:val="4"/>
      <w:numFmt w:val="bullet"/>
      <w:lvlText w:val=""/>
      <w:lvlJc w:val="left"/>
      <w:pPr>
        <w:ind w:left="1080" w:hanging="360"/>
      </w:pPr>
      <w:rPr>
        <w:rFonts w:ascii="Symbol" w:eastAsiaTheme="minorHAnsi" w:hAnsi="Symbol" w:cstheme="minorBidi" w:hint="default"/>
        <w:b w:val="0"/>
        <w:i w:val="0"/>
        <w:iC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AC4B4D"/>
    <w:multiLevelType w:val="hybridMultilevel"/>
    <w:tmpl w:val="6304153C"/>
    <w:lvl w:ilvl="0" w:tplc="FD8C8FCE">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FA334FA"/>
    <w:multiLevelType w:val="hybridMultilevel"/>
    <w:tmpl w:val="3F367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9F3442"/>
    <w:multiLevelType w:val="hybridMultilevel"/>
    <w:tmpl w:val="026C629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D51A2F"/>
    <w:multiLevelType w:val="hybridMultilevel"/>
    <w:tmpl w:val="7C9AC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E432BC"/>
    <w:multiLevelType w:val="hybridMultilevel"/>
    <w:tmpl w:val="CA2EC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1B376E"/>
    <w:multiLevelType w:val="hybridMultilevel"/>
    <w:tmpl w:val="C7602A5C"/>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BD922A0"/>
    <w:multiLevelType w:val="multilevel"/>
    <w:tmpl w:val="FFDC2B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0D24C3"/>
    <w:multiLevelType w:val="hybridMultilevel"/>
    <w:tmpl w:val="D72A08F4"/>
    <w:lvl w:ilvl="0" w:tplc="C9182EC2">
      <w:start w:val="1"/>
      <w:numFmt w:val="low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4335FD"/>
    <w:multiLevelType w:val="hybridMultilevel"/>
    <w:tmpl w:val="D23E3328"/>
    <w:lvl w:ilvl="0" w:tplc="04090001">
      <w:start w:val="1"/>
      <w:numFmt w:val="bullet"/>
      <w:lvlText w:val=""/>
      <w:lvlJc w:val="left"/>
      <w:pPr>
        <w:ind w:left="720" w:hanging="360"/>
      </w:pPr>
      <w:rPr>
        <w:rFonts w:ascii="Symbol" w:hAnsi="Symbol" w:hint="default"/>
      </w:rPr>
    </w:lvl>
    <w:lvl w:ilvl="1" w:tplc="8A321DBC">
      <w:numFmt w:val="bullet"/>
      <w:lvlText w:val="-"/>
      <w:lvlJc w:val="left"/>
      <w:pPr>
        <w:ind w:left="1800" w:hanging="720"/>
      </w:pPr>
      <w:rPr>
        <w:rFonts w:ascii="Garamond" w:eastAsiaTheme="minorHAnsi" w:hAnsi="Garamond"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C35705"/>
    <w:multiLevelType w:val="hybridMultilevel"/>
    <w:tmpl w:val="6982FA88"/>
    <w:lvl w:ilvl="0" w:tplc="08BA1D14">
      <w:start w:val="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1C4392C"/>
    <w:multiLevelType w:val="hybridMultilevel"/>
    <w:tmpl w:val="E94EE5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4A2BFF"/>
    <w:multiLevelType w:val="hybridMultilevel"/>
    <w:tmpl w:val="1AE893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175DB0"/>
    <w:multiLevelType w:val="hybridMultilevel"/>
    <w:tmpl w:val="20C0B322"/>
    <w:lvl w:ilvl="0" w:tplc="AB9AC9F0">
      <w:start w:val="1"/>
      <w:numFmt w:val="decimal"/>
      <w:lvlText w:val="%1."/>
      <w:lvlJc w:val="left"/>
      <w:pPr>
        <w:ind w:left="1080" w:hanging="720"/>
      </w:pPr>
      <w:rPr>
        <w:rFonts w:hint="default"/>
      </w:rPr>
    </w:lvl>
    <w:lvl w:ilvl="1" w:tplc="B7C8F6A0">
      <w:start w:val="1"/>
      <w:numFmt w:val="lowerLetter"/>
      <w:lvlText w:val="%2."/>
      <w:lvlJc w:val="left"/>
      <w:pPr>
        <w:ind w:left="90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87427E"/>
    <w:multiLevelType w:val="hybridMultilevel"/>
    <w:tmpl w:val="17FA4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555E61"/>
    <w:multiLevelType w:val="hybridMultilevel"/>
    <w:tmpl w:val="3CDC5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70030B"/>
    <w:multiLevelType w:val="hybridMultilevel"/>
    <w:tmpl w:val="0EFE7F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5FD11B0"/>
    <w:multiLevelType w:val="hybridMultilevel"/>
    <w:tmpl w:val="22C8D0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2B2009"/>
    <w:multiLevelType w:val="hybridMultilevel"/>
    <w:tmpl w:val="6A18B702"/>
    <w:lvl w:ilvl="0" w:tplc="4DB0F092">
      <w:start w:val="1"/>
      <w:numFmt w:val="bullet"/>
      <w:lvlText w:val=""/>
      <w:lvlJc w:val="left"/>
      <w:pPr>
        <w:ind w:left="720" w:hanging="360"/>
      </w:pPr>
      <w:rPr>
        <w:rFonts w:ascii="Symbol" w:hAnsi="Symbol" w:hint="default"/>
      </w:rPr>
    </w:lvl>
    <w:lvl w:ilvl="1" w:tplc="4DB0F092">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C231A5"/>
    <w:multiLevelType w:val="hybridMultilevel"/>
    <w:tmpl w:val="2F52DE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6E7788"/>
    <w:multiLevelType w:val="hybridMultilevel"/>
    <w:tmpl w:val="DC123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5624C2"/>
    <w:multiLevelType w:val="hybridMultilevel"/>
    <w:tmpl w:val="DD42DEB8"/>
    <w:lvl w:ilvl="0" w:tplc="8A321DBC">
      <w:numFmt w:val="bullet"/>
      <w:lvlText w:val="-"/>
      <w:lvlJc w:val="left"/>
      <w:pPr>
        <w:ind w:left="1440" w:hanging="360"/>
      </w:pPr>
      <w:rPr>
        <w:rFonts w:ascii="Garamond" w:eastAsiaTheme="minorHAnsi" w:hAnsi="Garamond"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0817FCB"/>
    <w:multiLevelType w:val="hybridMultilevel"/>
    <w:tmpl w:val="FD2C13A4"/>
    <w:lvl w:ilvl="0" w:tplc="95FA20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5B3B0E"/>
    <w:multiLevelType w:val="hybridMultilevel"/>
    <w:tmpl w:val="26260752"/>
    <w:lvl w:ilvl="0" w:tplc="0304F3B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6BD3A06"/>
    <w:multiLevelType w:val="hybridMultilevel"/>
    <w:tmpl w:val="6E68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4F5E28"/>
    <w:multiLevelType w:val="hybridMultilevel"/>
    <w:tmpl w:val="99A6257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33807CC"/>
    <w:multiLevelType w:val="hybridMultilevel"/>
    <w:tmpl w:val="71E82C2A"/>
    <w:lvl w:ilvl="0" w:tplc="3D88143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758251B0"/>
    <w:multiLevelType w:val="multilevel"/>
    <w:tmpl w:val="361AC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DE4AA3"/>
    <w:multiLevelType w:val="hybridMultilevel"/>
    <w:tmpl w:val="3CA881C4"/>
    <w:lvl w:ilvl="0" w:tplc="E12E55B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5B37FD"/>
    <w:multiLevelType w:val="hybridMultilevel"/>
    <w:tmpl w:val="2DA8E448"/>
    <w:lvl w:ilvl="0" w:tplc="04090017">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B356230"/>
    <w:multiLevelType w:val="hybridMultilevel"/>
    <w:tmpl w:val="5E962C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D311FD8"/>
    <w:multiLevelType w:val="hybridMultilevel"/>
    <w:tmpl w:val="B21EADF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F0F25D7"/>
    <w:multiLevelType w:val="hybridMultilevel"/>
    <w:tmpl w:val="300A5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2"/>
  </w:num>
  <w:num w:numId="3">
    <w:abstractNumId w:val="38"/>
  </w:num>
  <w:num w:numId="4">
    <w:abstractNumId w:val="33"/>
  </w:num>
  <w:num w:numId="5">
    <w:abstractNumId w:val="2"/>
  </w:num>
  <w:num w:numId="6">
    <w:abstractNumId w:val="15"/>
  </w:num>
  <w:num w:numId="7">
    <w:abstractNumId w:val="39"/>
  </w:num>
  <w:num w:numId="8">
    <w:abstractNumId w:val="18"/>
  </w:num>
  <w:num w:numId="9">
    <w:abstractNumId w:val="27"/>
  </w:num>
  <w:num w:numId="10">
    <w:abstractNumId w:val="16"/>
  </w:num>
  <w:num w:numId="11">
    <w:abstractNumId w:val="1"/>
  </w:num>
  <w:num w:numId="12">
    <w:abstractNumId w:val="26"/>
  </w:num>
  <w:num w:numId="13">
    <w:abstractNumId w:val="12"/>
  </w:num>
  <w:num w:numId="14">
    <w:abstractNumId w:val="31"/>
  </w:num>
  <w:num w:numId="15">
    <w:abstractNumId w:val="19"/>
  </w:num>
  <w:num w:numId="16">
    <w:abstractNumId w:val="30"/>
  </w:num>
  <w:num w:numId="17">
    <w:abstractNumId w:val="36"/>
  </w:num>
  <w:num w:numId="18">
    <w:abstractNumId w:val="13"/>
  </w:num>
  <w:num w:numId="19">
    <w:abstractNumId w:val="35"/>
  </w:num>
  <w:num w:numId="20">
    <w:abstractNumId w:val="40"/>
  </w:num>
  <w:num w:numId="21">
    <w:abstractNumId w:val="29"/>
  </w:num>
  <w:num w:numId="22">
    <w:abstractNumId w:val="32"/>
  </w:num>
  <w:num w:numId="23">
    <w:abstractNumId w:val="9"/>
  </w:num>
  <w:num w:numId="24">
    <w:abstractNumId w:val="8"/>
  </w:num>
  <w:num w:numId="25">
    <w:abstractNumId w:val="4"/>
  </w:num>
  <w:num w:numId="26">
    <w:abstractNumId w:val="23"/>
  </w:num>
  <w:num w:numId="27">
    <w:abstractNumId w:val="7"/>
  </w:num>
  <w:num w:numId="28">
    <w:abstractNumId w:val="20"/>
  </w:num>
  <w:num w:numId="29">
    <w:abstractNumId w:val="10"/>
  </w:num>
  <w:num w:numId="30">
    <w:abstractNumId w:val="6"/>
  </w:num>
  <w:num w:numId="31">
    <w:abstractNumId w:val="3"/>
  </w:num>
  <w:num w:numId="32">
    <w:abstractNumId w:val="11"/>
  </w:num>
  <w:num w:numId="33">
    <w:abstractNumId w:val="22"/>
  </w:num>
  <w:num w:numId="34">
    <w:abstractNumId w:val="21"/>
  </w:num>
  <w:num w:numId="35">
    <w:abstractNumId w:val="25"/>
  </w:num>
  <w:num w:numId="36">
    <w:abstractNumId w:val="24"/>
  </w:num>
  <w:num w:numId="37">
    <w:abstractNumId w:val="5"/>
  </w:num>
  <w:num w:numId="38">
    <w:abstractNumId w:val="28"/>
  </w:num>
  <w:num w:numId="39">
    <w:abstractNumId w:val="37"/>
  </w:num>
  <w:num w:numId="40">
    <w:abstractNumId w:val="17"/>
  </w:num>
  <w:num w:numId="41">
    <w:abstractNumId w:val="34"/>
  </w:num>
  <w:num w:numId="42">
    <w:abstractNumId w:val="14"/>
  </w:num>
  <w:num w:numId="43">
    <w:abstractNumId w:val="4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0" w:nlCheck="1" w:checkStyle="1"/>
  <w:activeWritingStyle w:appName="MSWord" w:lang="fr-FR" w:vendorID="64" w:dllVersion="0" w:nlCheck="1" w:checkStyle="1"/>
  <w:proofState w:spelling="clean" w:grammar="clean"/>
  <w:defaultTabStop w:val="720"/>
  <w:characterSpacingControl w:val="doNotCompress"/>
  <w:hdrShapeDefaults>
    <o:shapedefaults v:ext="edit" spidmax="2050"/>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K0NDA0MTK2sDA3MTZU0lEKTi0uzszPAykwMqsFALHAzVAtAAAA"/>
  </w:docVars>
  <w:rsids>
    <w:rsidRoot w:val="008C0709"/>
    <w:rsid w:val="000002A7"/>
    <w:rsid w:val="00000925"/>
    <w:rsid w:val="00000F02"/>
    <w:rsid w:val="00000FDF"/>
    <w:rsid w:val="000015D7"/>
    <w:rsid w:val="00001880"/>
    <w:rsid w:val="00001B46"/>
    <w:rsid w:val="00001D68"/>
    <w:rsid w:val="00001E0F"/>
    <w:rsid w:val="000023B5"/>
    <w:rsid w:val="00002A76"/>
    <w:rsid w:val="00002ADE"/>
    <w:rsid w:val="0000364F"/>
    <w:rsid w:val="00003AE8"/>
    <w:rsid w:val="0000516F"/>
    <w:rsid w:val="00005226"/>
    <w:rsid w:val="000053FA"/>
    <w:rsid w:val="00005421"/>
    <w:rsid w:val="00005945"/>
    <w:rsid w:val="00006043"/>
    <w:rsid w:val="00006964"/>
    <w:rsid w:val="00006B6F"/>
    <w:rsid w:val="00006FCD"/>
    <w:rsid w:val="000073EC"/>
    <w:rsid w:val="00007818"/>
    <w:rsid w:val="0000789D"/>
    <w:rsid w:val="00010084"/>
    <w:rsid w:val="0001067C"/>
    <w:rsid w:val="000111B6"/>
    <w:rsid w:val="00011399"/>
    <w:rsid w:val="0001145D"/>
    <w:rsid w:val="000114A8"/>
    <w:rsid w:val="000115ED"/>
    <w:rsid w:val="00012039"/>
    <w:rsid w:val="00012296"/>
    <w:rsid w:val="00012B79"/>
    <w:rsid w:val="00012E91"/>
    <w:rsid w:val="00014493"/>
    <w:rsid w:val="000147B7"/>
    <w:rsid w:val="00014C77"/>
    <w:rsid w:val="0001519C"/>
    <w:rsid w:val="00015479"/>
    <w:rsid w:val="0001582B"/>
    <w:rsid w:val="00015A86"/>
    <w:rsid w:val="0001695B"/>
    <w:rsid w:val="00017A92"/>
    <w:rsid w:val="00017EBE"/>
    <w:rsid w:val="00020068"/>
    <w:rsid w:val="00020821"/>
    <w:rsid w:val="00020965"/>
    <w:rsid w:val="00020FD7"/>
    <w:rsid w:val="0002143F"/>
    <w:rsid w:val="0002218C"/>
    <w:rsid w:val="00022292"/>
    <w:rsid w:val="00022966"/>
    <w:rsid w:val="00022C7E"/>
    <w:rsid w:val="000239AD"/>
    <w:rsid w:val="00023A81"/>
    <w:rsid w:val="00023D70"/>
    <w:rsid w:val="00023E8F"/>
    <w:rsid w:val="000242E8"/>
    <w:rsid w:val="00024662"/>
    <w:rsid w:val="00025C87"/>
    <w:rsid w:val="000262A9"/>
    <w:rsid w:val="0002723A"/>
    <w:rsid w:val="00027413"/>
    <w:rsid w:val="00027565"/>
    <w:rsid w:val="00027B44"/>
    <w:rsid w:val="00027BB8"/>
    <w:rsid w:val="00027C0E"/>
    <w:rsid w:val="00027DD7"/>
    <w:rsid w:val="00030D16"/>
    <w:rsid w:val="00030D19"/>
    <w:rsid w:val="000319DE"/>
    <w:rsid w:val="00031B05"/>
    <w:rsid w:val="00031DD4"/>
    <w:rsid w:val="0003203D"/>
    <w:rsid w:val="000323B4"/>
    <w:rsid w:val="000325AF"/>
    <w:rsid w:val="0003285D"/>
    <w:rsid w:val="00032F3A"/>
    <w:rsid w:val="000332B4"/>
    <w:rsid w:val="000336D9"/>
    <w:rsid w:val="000338CF"/>
    <w:rsid w:val="00034075"/>
    <w:rsid w:val="00034426"/>
    <w:rsid w:val="0003540A"/>
    <w:rsid w:val="00035726"/>
    <w:rsid w:val="00035882"/>
    <w:rsid w:val="000365BB"/>
    <w:rsid w:val="0003678F"/>
    <w:rsid w:val="00037248"/>
    <w:rsid w:val="0003777C"/>
    <w:rsid w:val="0003779F"/>
    <w:rsid w:val="000378C9"/>
    <w:rsid w:val="000378CE"/>
    <w:rsid w:val="00037AF0"/>
    <w:rsid w:val="00037B9D"/>
    <w:rsid w:val="00040884"/>
    <w:rsid w:val="00040DA6"/>
    <w:rsid w:val="000415F0"/>
    <w:rsid w:val="00041BFC"/>
    <w:rsid w:val="00041F4C"/>
    <w:rsid w:val="000422A3"/>
    <w:rsid w:val="000424D3"/>
    <w:rsid w:val="000427E0"/>
    <w:rsid w:val="00042D93"/>
    <w:rsid w:val="0004323A"/>
    <w:rsid w:val="00043F4F"/>
    <w:rsid w:val="00046064"/>
    <w:rsid w:val="00046895"/>
    <w:rsid w:val="000468BC"/>
    <w:rsid w:val="00047574"/>
    <w:rsid w:val="00047905"/>
    <w:rsid w:val="00047AFC"/>
    <w:rsid w:val="000503A8"/>
    <w:rsid w:val="00050530"/>
    <w:rsid w:val="00050D37"/>
    <w:rsid w:val="00051634"/>
    <w:rsid w:val="000518D9"/>
    <w:rsid w:val="00051CCE"/>
    <w:rsid w:val="00052086"/>
    <w:rsid w:val="00052215"/>
    <w:rsid w:val="00052556"/>
    <w:rsid w:val="00052664"/>
    <w:rsid w:val="00052B92"/>
    <w:rsid w:val="0005358D"/>
    <w:rsid w:val="00053849"/>
    <w:rsid w:val="00054A7A"/>
    <w:rsid w:val="00054F01"/>
    <w:rsid w:val="00056445"/>
    <w:rsid w:val="000565B9"/>
    <w:rsid w:val="000565D5"/>
    <w:rsid w:val="00056E07"/>
    <w:rsid w:val="000572C6"/>
    <w:rsid w:val="00057B2F"/>
    <w:rsid w:val="00057E7A"/>
    <w:rsid w:val="00057EB5"/>
    <w:rsid w:val="00060374"/>
    <w:rsid w:val="00060472"/>
    <w:rsid w:val="00060584"/>
    <w:rsid w:val="000607E5"/>
    <w:rsid w:val="00060D20"/>
    <w:rsid w:val="0006171E"/>
    <w:rsid w:val="0006177D"/>
    <w:rsid w:val="000635A1"/>
    <w:rsid w:val="00063ADA"/>
    <w:rsid w:val="00063F91"/>
    <w:rsid w:val="00063FB5"/>
    <w:rsid w:val="000646E0"/>
    <w:rsid w:val="00064AB0"/>
    <w:rsid w:val="00065360"/>
    <w:rsid w:val="00065CD6"/>
    <w:rsid w:val="00065E14"/>
    <w:rsid w:val="00066603"/>
    <w:rsid w:val="000672AF"/>
    <w:rsid w:val="00067A9B"/>
    <w:rsid w:val="00067B9B"/>
    <w:rsid w:val="00067D64"/>
    <w:rsid w:val="00067F0D"/>
    <w:rsid w:val="0007003D"/>
    <w:rsid w:val="00070074"/>
    <w:rsid w:val="00070785"/>
    <w:rsid w:val="00070D6C"/>
    <w:rsid w:val="0007184A"/>
    <w:rsid w:val="00071A16"/>
    <w:rsid w:val="0007293D"/>
    <w:rsid w:val="00073735"/>
    <w:rsid w:val="00074313"/>
    <w:rsid w:val="000744F1"/>
    <w:rsid w:val="00074526"/>
    <w:rsid w:val="00074538"/>
    <w:rsid w:val="00074600"/>
    <w:rsid w:val="000751CD"/>
    <w:rsid w:val="000752CD"/>
    <w:rsid w:val="0007553D"/>
    <w:rsid w:val="000759EA"/>
    <w:rsid w:val="00075AB0"/>
    <w:rsid w:val="00076654"/>
    <w:rsid w:val="0007689E"/>
    <w:rsid w:val="00076B1A"/>
    <w:rsid w:val="000776F9"/>
    <w:rsid w:val="00077700"/>
    <w:rsid w:val="00077DB8"/>
    <w:rsid w:val="0008011B"/>
    <w:rsid w:val="00080430"/>
    <w:rsid w:val="00080666"/>
    <w:rsid w:val="00080BE8"/>
    <w:rsid w:val="000810E3"/>
    <w:rsid w:val="00082044"/>
    <w:rsid w:val="0008227E"/>
    <w:rsid w:val="00082400"/>
    <w:rsid w:val="00082461"/>
    <w:rsid w:val="00082892"/>
    <w:rsid w:val="00083335"/>
    <w:rsid w:val="0008356D"/>
    <w:rsid w:val="000839C1"/>
    <w:rsid w:val="00083FCD"/>
    <w:rsid w:val="000843CF"/>
    <w:rsid w:val="00084415"/>
    <w:rsid w:val="000844CD"/>
    <w:rsid w:val="0008479B"/>
    <w:rsid w:val="00084AE5"/>
    <w:rsid w:val="00085226"/>
    <w:rsid w:val="0008574D"/>
    <w:rsid w:val="0008582A"/>
    <w:rsid w:val="00085D7B"/>
    <w:rsid w:val="00086D9D"/>
    <w:rsid w:val="0008716C"/>
    <w:rsid w:val="0008752D"/>
    <w:rsid w:val="00087634"/>
    <w:rsid w:val="0008768C"/>
    <w:rsid w:val="00087B5A"/>
    <w:rsid w:val="000905E0"/>
    <w:rsid w:val="00090688"/>
    <w:rsid w:val="00090989"/>
    <w:rsid w:val="00090E01"/>
    <w:rsid w:val="00090EE1"/>
    <w:rsid w:val="000911E7"/>
    <w:rsid w:val="000913AB"/>
    <w:rsid w:val="00091793"/>
    <w:rsid w:val="000923B5"/>
    <w:rsid w:val="00092A70"/>
    <w:rsid w:val="00092E92"/>
    <w:rsid w:val="0009304B"/>
    <w:rsid w:val="000939BD"/>
    <w:rsid w:val="00093E2B"/>
    <w:rsid w:val="00093FC3"/>
    <w:rsid w:val="000942E8"/>
    <w:rsid w:val="0009553E"/>
    <w:rsid w:val="000955A1"/>
    <w:rsid w:val="00095AFF"/>
    <w:rsid w:val="0009600B"/>
    <w:rsid w:val="0009626C"/>
    <w:rsid w:val="00096856"/>
    <w:rsid w:val="00096EC2"/>
    <w:rsid w:val="000971C8"/>
    <w:rsid w:val="00097838"/>
    <w:rsid w:val="00097C23"/>
    <w:rsid w:val="00097DE0"/>
    <w:rsid w:val="00097E6A"/>
    <w:rsid w:val="00097EAE"/>
    <w:rsid w:val="000A05FC"/>
    <w:rsid w:val="000A22A9"/>
    <w:rsid w:val="000A301C"/>
    <w:rsid w:val="000A303B"/>
    <w:rsid w:val="000A3524"/>
    <w:rsid w:val="000A3A57"/>
    <w:rsid w:val="000A44CC"/>
    <w:rsid w:val="000A45A0"/>
    <w:rsid w:val="000A45D5"/>
    <w:rsid w:val="000A47FB"/>
    <w:rsid w:val="000A4809"/>
    <w:rsid w:val="000A4B0E"/>
    <w:rsid w:val="000A546C"/>
    <w:rsid w:val="000A549C"/>
    <w:rsid w:val="000A5C36"/>
    <w:rsid w:val="000A6BFD"/>
    <w:rsid w:val="000A70D9"/>
    <w:rsid w:val="000A7478"/>
    <w:rsid w:val="000A7AC1"/>
    <w:rsid w:val="000A7B1A"/>
    <w:rsid w:val="000A7E9E"/>
    <w:rsid w:val="000A7FA5"/>
    <w:rsid w:val="000B0D2C"/>
    <w:rsid w:val="000B1838"/>
    <w:rsid w:val="000B1AE3"/>
    <w:rsid w:val="000B1B58"/>
    <w:rsid w:val="000B1CB9"/>
    <w:rsid w:val="000B20B5"/>
    <w:rsid w:val="000B245D"/>
    <w:rsid w:val="000B25B3"/>
    <w:rsid w:val="000B371A"/>
    <w:rsid w:val="000B383F"/>
    <w:rsid w:val="000B410F"/>
    <w:rsid w:val="000B41F8"/>
    <w:rsid w:val="000B437C"/>
    <w:rsid w:val="000B44F9"/>
    <w:rsid w:val="000B4610"/>
    <w:rsid w:val="000B4783"/>
    <w:rsid w:val="000B47E8"/>
    <w:rsid w:val="000B51AD"/>
    <w:rsid w:val="000B524F"/>
    <w:rsid w:val="000B5767"/>
    <w:rsid w:val="000B58B5"/>
    <w:rsid w:val="000B661C"/>
    <w:rsid w:val="000B6696"/>
    <w:rsid w:val="000B72C0"/>
    <w:rsid w:val="000B741C"/>
    <w:rsid w:val="000B7B63"/>
    <w:rsid w:val="000C0407"/>
    <w:rsid w:val="000C0753"/>
    <w:rsid w:val="000C1123"/>
    <w:rsid w:val="000C1911"/>
    <w:rsid w:val="000C2263"/>
    <w:rsid w:val="000C299C"/>
    <w:rsid w:val="000C2E83"/>
    <w:rsid w:val="000C35A1"/>
    <w:rsid w:val="000C408D"/>
    <w:rsid w:val="000C4360"/>
    <w:rsid w:val="000C4797"/>
    <w:rsid w:val="000C5065"/>
    <w:rsid w:val="000C55F3"/>
    <w:rsid w:val="000C5873"/>
    <w:rsid w:val="000C58C2"/>
    <w:rsid w:val="000C5F7B"/>
    <w:rsid w:val="000C6213"/>
    <w:rsid w:val="000C63A9"/>
    <w:rsid w:val="000C6565"/>
    <w:rsid w:val="000C698A"/>
    <w:rsid w:val="000C7226"/>
    <w:rsid w:val="000C79C7"/>
    <w:rsid w:val="000C7B09"/>
    <w:rsid w:val="000D0ADC"/>
    <w:rsid w:val="000D0C8C"/>
    <w:rsid w:val="000D0ED8"/>
    <w:rsid w:val="000D12F2"/>
    <w:rsid w:val="000D1948"/>
    <w:rsid w:val="000D1D38"/>
    <w:rsid w:val="000D2043"/>
    <w:rsid w:val="000D20F1"/>
    <w:rsid w:val="000D272A"/>
    <w:rsid w:val="000D2A7D"/>
    <w:rsid w:val="000D2AFA"/>
    <w:rsid w:val="000D2CBA"/>
    <w:rsid w:val="000D2E2C"/>
    <w:rsid w:val="000D3A86"/>
    <w:rsid w:val="000D40DF"/>
    <w:rsid w:val="000D458A"/>
    <w:rsid w:val="000D4C43"/>
    <w:rsid w:val="000D5247"/>
    <w:rsid w:val="000D565B"/>
    <w:rsid w:val="000D6622"/>
    <w:rsid w:val="000D6A68"/>
    <w:rsid w:val="000D6AF2"/>
    <w:rsid w:val="000D6E6E"/>
    <w:rsid w:val="000D6F8E"/>
    <w:rsid w:val="000D709A"/>
    <w:rsid w:val="000D7BA6"/>
    <w:rsid w:val="000D7BFE"/>
    <w:rsid w:val="000D7E3B"/>
    <w:rsid w:val="000E0C47"/>
    <w:rsid w:val="000E1041"/>
    <w:rsid w:val="000E1182"/>
    <w:rsid w:val="000E1CBB"/>
    <w:rsid w:val="000E1F11"/>
    <w:rsid w:val="000E3F36"/>
    <w:rsid w:val="000E441E"/>
    <w:rsid w:val="000E4791"/>
    <w:rsid w:val="000E4DCD"/>
    <w:rsid w:val="000E4ED3"/>
    <w:rsid w:val="000E5195"/>
    <w:rsid w:val="000E5CD6"/>
    <w:rsid w:val="000E5F08"/>
    <w:rsid w:val="000E6158"/>
    <w:rsid w:val="000E6AC6"/>
    <w:rsid w:val="000E72BB"/>
    <w:rsid w:val="000F02D7"/>
    <w:rsid w:val="000F0F2E"/>
    <w:rsid w:val="000F115E"/>
    <w:rsid w:val="000F12F9"/>
    <w:rsid w:val="000F200E"/>
    <w:rsid w:val="000F2589"/>
    <w:rsid w:val="000F2FF8"/>
    <w:rsid w:val="000F30D4"/>
    <w:rsid w:val="000F3C99"/>
    <w:rsid w:val="000F3DAD"/>
    <w:rsid w:val="000F3E5B"/>
    <w:rsid w:val="000F4347"/>
    <w:rsid w:val="000F4A8E"/>
    <w:rsid w:val="000F4BDC"/>
    <w:rsid w:val="000F4C9D"/>
    <w:rsid w:val="000F505F"/>
    <w:rsid w:val="000F5579"/>
    <w:rsid w:val="000F58A4"/>
    <w:rsid w:val="000F5CBC"/>
    <w:rsid w:val="000F5D39"/>
    <w:rsid w:val="000F5D9D"/>
    <w:rsid w:val="000F6105"/>
    <w:rsid w:val="000F6390"/>
    <w:rsid w:val="000F65A5"/>
    <w:rsid w:val="000F6D1C"/>
    <w:rsid w:val="000F73C6"/>
    <w:rsid w:val="000F7421"/>
    <w:rsid w:val="000F7808"/>
    <w:rsid w:val="000F789B"/>
    <w:rsid w:val="000F7C26"/>
    <w:rsid w:val="000F7C9A"/>
    <w:rsid w:val="000F7DFB"/>
    <w:rsid w:val="00100082"/>
    <w:rsid w:val="001004B8"/>
    <w:rsid w:val="001005C6"/>
    <w:rsid w:val="0010120C"/>
    <w:rsid w:val="00101837"/>
    <w:rsid w:val="00101943"/>
    <w:rsid w:val="00101B15"/>
    <w:rsid w:val="001020EE"/>
    <w:rsid w:val="00102683"/>
    <w:rsid w:val="00102D4C"/>
    <w:rsid w:val="00103383"/>
    <w:rsid w:val="001039A7"/>
    <w:rsid w:val="00103B28"/>
    <w:rsid w:val="00104BB8"/>
    <w:rsid w:val="00104C61"/>
    <w:rsid w:val="00104CD5"/>
    <w:rsid w:val="00104E11"/>
    <w:rsid w:val="00104FED"/>
    <w:rsid w:val="00105784"/>
    <w:rsid w:val="00105A50"/>
    <w:rsid w:val="00105B76"/>
    <w:rsid w:val="00106691"/>
    <w:rsid w:val="001068A0"/>
    <w:rsid w:val="00106CA8"/>
    <w:rsid w:val="00106F7D"/>
    <w:rsid w:val="00107893"/>
    <w:rsid w:val="001100CE"/>
    <w:rsid w:val="001106D5"/>
    <w:rsid w:val="00110CCC"/>
    <w:rsid w:val="001114BC"/>
    <w:rsid w:val="0011211C"/>
    <w:rsid w:val="00112E30"/>
    <w:rsid w:val="0011318D"/>
    <w:rsid w:val="00113894"/>
    <w:rsid w:val="001140E5"/>
    <w:rsid w:val="0011440B"/>
    <w:rsid w:val="00114B38"/>
    <w:rsid w:val="00114DF7"/>
    <w:rsid w:val="00114F4A"/>
    <w:rsid w:val="0011583A"/>
    <w:rsid w:val="00115F6B"/>
    <w:rsid w:val="0011621B"/>
    <w:rsid w:val="001163BA"/>
    <w:rsid w:val="001166DA"/>
    <w:rsid w:val="00117338"/>
    <w:rsid w:val="001173E5"/>
    <w:rsid w:val="00117538"/>
    <w:rsid w:val="00117721"/>
    <w:rsid w:val="00117917"/>
    <w:rsid w:val="0012039D"/>
    <w:rsid w:val="001203DA"/>
    <w:rsid w:val="001207E1"/>
    <w:rsid w:val="001208D8"/>
    <w:rsid w:val="00120B32"/>
    <w:rsid w:val="00120D62"/>
    <w:rsid w:val="0012122D"/>
    <w:rsid w:val="00121240"/>
    <w:rsid w:val="00121453"/>
    <w:rsid w:val="001215C9"/>
    <w:rsid w:val="001216D6"/>
    <w:rsid w:val="00122462"/>
    <w:rsid w:val="00122561"/>
    <w:rsid w:val="00122642"/>
    <w:rsid w:val="0012336A"/>
    <w:rsid w:val="0012367E"/>
    <w:rsid w:val="0012392C"/>
    <w:rsid w:val="00124050"/>
    <w:rsid w:val="00124894"/>
    <w:rsid w:val="00124BCB"/>
    <w:rsid w:val="00124E50"/>
    <w:rsid w:val="0012521D"/>
    <w:rsid w:val="001259C3"/>
    <w:rsid w:val="001265B4"/>
    <w:rsid w:val="001265FC"/>
    <w:rsid w:val="00126E8A"/>
    <w:rsid w:val="00127222"/>
    <w:rsid w:val="00127DBA"/>
    <w:rsid w:val="001300AE"/>
    <w:rsid w:val="001301CB"/>
    <w:rsid w:val="00130275"/>
    <w:rsid w:val="00130BE3"/>
    <w:rsid w:val="00130EB0"/>
    <w:rsid w:val="0013103B"/>
    <w:rsid w:val="001310BB"/>
    <w:rsid w:val="001314DD"/>
    <w:rsid w:val="0013187E"/>
    <w:rsid w:val="001319F2"/>
    <w:rsid w:val="00131FF5"/>
    <w:rsid w:val="001321C4"/>
    <w:rsid w:val="0013238C"/>
    <w:rsid w:val="00132A79"/>
    <w:rsid w:val="00132B54"/>
    <w:rsid w:val="00132EB1"/>
    <w:rsid w:val="0013312B"/>
    <w:rsid w:val="00133363"/>
    <w:rsid w:val="00133883"/>
    <w:rsid w:val="0013398A"/>
    <w:rsid w:val="001339F6"/>
    <w:rsid w:val="0013437E"/>
    <w:rsid w:val="00134568"/>
    <w:rsid w:val="00134697"/>
    <w:rsid w:val="00135286"/>
    <w:rsid w:val="0013591D"/>
    <w:rsid w:val="001359C8"/>
    <w:rsid w:val="00135B96"/>
    <w:rsid w:val="00135D92"/>
    <w:rsid w:val="00135E14"/>
    <w:rsid w:val="00135E81"/>
    <w:rsid w:val="0013679C"/>
    <w:rsid w:val="00136B09"/>
    <w:rsid w:val="0013724C"/>
    <w:rsid w:val="001373D9"/>
    <w:rsid w:val="001377D8"/>
    <w:rsid w:val="00137C5B"/>
    <w:rsid w:val="001401F2"/>
    <w:rsid w:val="00140989"/>
    <w:rsid w:val="00141004"/>
    <w:rsid w:val="00141279"/>
    <w:rsid w:val="001412F5"/>
    <w:rsid w:val="001418D7"/>
    <w:rsid w:val="00141E82"/>
    <w:rsid w:val="0014242D"/>
    <w:rsid w:val="00142BE7"/>
    <w:rsid w:val="00142FC9"/>
    <w:rsid w:val="00143664"/>
    <w:rsid w:val="001438F2"/>
    <w:rsid w:val="00143A5F"/>
    <w:rsid w:val="00143C83"/>
    <w:rsid w:val="00143D18"/>
    <w:rsid w:val="00143F1D"/>
    <w:rsid w:val="00144119"/>
    <w:rsid w:val="00144153"/>
    <w:rsid w:val="00144A1A"/>
    <w:rsid w:val="001458A7"/>
    <w:rsid w:val="00146710"/>
    <w:rsid w:val="0014702B"/>
    <w:rsid w:val="00147B20"/>
    <w:rsid w:val="00147C38"/>
    <w:rsid w:val="00150255"/>
    <w:rsid w:val="0015037D"/>
    <w:rsid w:val="00150D2E"/>
    <w:rsid w:val="001512D3"/>
    <w:rsid w:val="001522A9"/>
    <w:rsid w:val="00152B48"/>
    <w:rsid w:val="00153CB3"/>
    <w:rsid w:val="00154CF4"/>
    <w:rsid w:val="001550CE"/>
    <w:rsid w:val="001550EF"/>
    <w:rsid w:val="00155601"/>
    <w:rsid w:val="00155FFE"/>
    <w:rsid w:val="001571E0"/>
    <w:rsid w:val="001578D7"/>
    <w:rsid w:val="0016022B"/>
    <w:rsid w:val="0016038D"/>
    <w:rsid w:val="00160781"/>
    <w:rsid w:val="00160C58"/>
    <w:rsid w:val="00161097"/>
    <w:rsid w:val="001611A7"/>
    <w:rsid w:val="00161472"/>
    <w:rsid w:val="001619F1"/>
    <w:rsid w:val="00162356"/>
    <w:rsid w:val="0016297E"/>
    <w:rsid w:val="00162F38"/>
    <w:rsid w:val="0016309B"/>
    <w:rsid w:val="00163223"/>
    <w:rsid w:val="0016369C"/>
    <w:rsid w:val="001636B5"/>
    <w:rsid w:val="001636D9"/>
    <w:rsid w:val="00163EF3"/>
    <w:rsid w:val="00163EFA"/>
    <w:rsid w:val="00164176"/>
    <w:rsid w:val="001657DB"/>
    <w:rsid w:val="00166275"/>
    <w:rsid w:val="001664D3"/>
    <w:rsid w:val="00166AFB"/>
    <w:rsid w:val="00167738"/>
    <w:rsid w:val="00171342"/>
    <w:rsid w:val="001714B2"/>
    <w:rsid w:val="00171823"/>
    <w:rsid w:val="00171FF0"/>
    <w:rsid w:val="00172262"/>
    <w:rsid w:val="001727FD"/>
    <w:rsid w:val="00172EDB"/>
    <w:rsid w:val="0017310C"/>
    <w:rsid w:val="00173CC9"/>
    <w:rsid w:val="00174C7E"/>
    <w:rsid w:val="001752FB"/>
    <w:rsid w:val="00175766"/>
    <w:rsid w:val="0017586D"/>
    <w:rsid w:val="00175A04"/>
    <w:rsid w:val="00175AF1"/>
    <w:rsid w:val="00176749"/>
    <w:rsid w:val="001768CC"/>
    <w:rsid w:val="0017737E"/>
    <w:rsid w:val="001773CB"/>
    <w:rsid w:val="00177898"/>
    <w:rsid w:val="00180307"/>
    <w:rsid w:val="00180C5A"/>
    <w:rsid w:val="00181B5A"/>
    <w:rsid w:val="00181FCF"/>
    <w:rsid w:val="00182FCF"/>
    <w:rsid w:val="00183967"/>
    <w:rsid w:val="00183E43"/>
    <w:rsid w:val="001843D1"/>
    <w:rsid w:val="00184404"/>
    <w:rsid w:val="0018463C"/>
    <w:rsid w:val="001846C2"/>
    <w:rsid w:val="00185387"/>
    <w:rsid w:val="00185E34"/>
    <w:rsid w:val="00186706"/>
    <w:rsid w:val="00186DEE"/>
    <w:rsid w:val="0019142C"/>
    <w:rsid w:val="00191A1D"/>
    <w:rsid w:val="00191B8C"/>
    <w:rsid w:val="00191DB0"/>
    <w:rsid w:val="00191DC1"/>
    <w:rsid w:val="00191FB6"/>
    <w:rsid w:val="001921C9"/>
    <w:rsid w:val="001921FD"/>
    <w:rsid w:val="0019376A"/>
    <w:rsid w:val="00193AE7"/>
    <w:rsid w:val="00193F34"/>
    <w:rsid w:val="0019415A"/>
    <w:rsid w:val="0019497C"/>
    <w:rsid w:val="00195E58"/>
    <w:rsid w:val="00196087"/>
    <w:rsid w:val="0019686D"/>
    <w:rsid w:val="00196BFC"/>
    <w:rsid w:val="00196F36"/>
    <w:rsid w:val="00196FCD"/>
    <w:rsid w:val="001971E3"/>
    <w:rsid w:val="001973F9"/>
    <w:rsid w:val="001978E9"/>
    <w:rsid w:val="0019796B"/>
    <w:rsid w:val="00197BBF"/>
    <w:rsid w:val="001A041E"/>
    <w:rsid w:val="001A05BE"/>
    <w:rsid w:val="001A07C8"/>
    <w:rsid w:val="001A0F44"/>
    <w:rsid w:val="001A1B1D"/>
    <w:rsid w:val="001A1BB7"/>
    <w:rsid w:val="001A1CEE"/>
    <w:rsid w:val="001A21B5"/>
    <w:rsid w:val="001A281F"/>
    <w:rsid w:val="001A2BC4"/>
    <w:rsid w:val="001A3354"/>
    <w:rsid w:val="001A3618"/>
    <w:rsid w:val="001A3A08"/>
    <w:rsid w:val="001A3D30"/>
    <w:rsid w:val="001A41E7"/>
    <w:rsid w:val="001A4E7D"/>
    <w:rsid w:val="001A55BE"/>
    <w:rsid w:val="001A59BC"/>
    <w:rsid w:val="001A5C40"/>
    <w:rsid w:val="001A641F"/>
    <w:rsid w:val="001A6912"/>
    <w:rsid w:val="001A6ADC"/>
    <w:rsid w:val="001A6E8C"/>
    <w:rsid w:val="001A6EFE"/>
    <w:rsid w:val="001A6F6E"/>
    <w:rsid w:val="001A71FB"/>
    <w:rsid w:val="001A72A6"/>
    <w:rsid w:val="001A7B48"/>
    <w:rsid w:val="001B0631"/>
    <w:rsid w:val="001B0DF8"/>
    <w:rsid w:val="001B1348"/>
    <w:rsid w:val="001B1550"/>
    <w:rsid w:val="001B163C"/>
    <w:rsid w:val="001B1667"/>
    <w:rsid w:val="001B2522"/>
    <w:rsid w:val="001B2928"/>
    <w:rsid w:val="001B2AAD"/>
    <w:rsid w:val="001B2B2D"/>
    <w:rsid w:val="001B2C1D"/>
    <w:rsid w:val="001B3A66"/>
    <w:rsid w:val="001B3B64"/>
    <w:rsid w:val="001B55F0"/>
    <w:rsid w:val="001B5782"/>
    <w:rsid w:val="001B5884"/>
    <w:rsid w:val="001B5EA1"/>
    <w:rsid w:val="001B6D5E"/>
    <w:rsid w:val="001B7288"/>
    <w:rsid w:val="001B7902"/>
    <w:rsid w:val="001B79BC"/>
    <w:rsid w:val="001B7B43"/>
    <w:rsid w:val="001C0FA7"/>
    <w:rsid w:val="001C120C"/>
    <w:rsid w:val="001C189F"/>
    <w:rsid w:val="001C1B5E"/>
    <w:rsid w:val="001C1E4A"/>
    <w:rsid w:val="001C21EF"/>
    <w:rsid w:val="001C233A"/>
    <w:rsid w:val="001C263E"/>
    <w:rsid w:val="001C27AA"/>
    <w:rsid w:val="001C27E6"/>
    <w:rsid w:val="001C281E"/>
    <w:rsid w:val="001C2BC9"/>
    <w:rsid w:val="001C3554"/>
    <w:rsid w:val="001C3E16"/>
    <w:rsid w:val="001C3E2E"/>
    <w:rsid w:val="001C3FAF"/>
    <w:rsid w:val="001C409F"/>
    <w:rsid w:val="001C4107"/>
    <w:rsid w:val="001C4161"/>
    <w:rsid w:val="001C42C9"/>
    <w:rsid w:val="001C42DD"/>
    <w:rsid w:val="001C4FE6"/>
    <w:rsid w:val="001C5983"/>
    <w:rsid w:val="001C68C8"/>
    <w:rsid w:val="001C69E6"/>
    <w:rsid w:val="001C6CA3"/>
    <w:rsid w:val="001C73C9"/>
    <w:rsid w:val="001C773B"/>
    <w:rsid w:val="001C7752"/>
    <w:rsid w:val="001C7980"/>
    <w:rsid w:val="001D0000"/>
    <w:rsid w:val="001D09EF"/>
    <w:rsid w:val="001D0BB1"/>
    <w:rsid w:val="001D0F36"/>
    <w:rsid w:val="001D147E"/>
    <w:rsid w:val="001D27EC"/>
    <w:rsid w:val="001D297B"/>
    <w:rsid w:val="001D2C2F"/>
    <w:rsid w:val="001D2CEE"/>
    <w:rsid w:val="001D337B"/>
    <w:rsid w:val="001D34FF"/>
    <w:rsid w:val="001D363E"/>
    <w:rsid w:val="001D3E95"/>
    <w:rsid w:val="001D48FC"/>
    <w:rsid w:val="001D4A01"/>
    <w:rsid w:val="001D4A57"/>
    <w:rsid w:val="001D4B36"/>
    <w:rsid w:val="001D4D2D"/>
    <w:rsid w:val="001D5843"/>
    <w:rsid w:val="001D5A4B"/>
    <w:rsid w:val="001D5D52"/>
    <w:rsid w:val="001D61B8"/>
    <w:rsid w:val="001D7C41"/>
    <w:rsid w:val="001D7F16"/>
    <w:rsid w:val="001D7FD7"/>
    <w:rsid w:val="001E03C5"/>
    <w:rsid w:val="001E0B84"/>
    <w:rsid w:val="001E0D4E"/>
    <w:rsid w:val="001E0E87"/>
    <w:rsid w:val="001E0F3B"/>
    <w:rsid w:val="001E1A3F"/>
    <w:rsid w:val="001E36A8"/>
    <w:rsid w:val="001E481E"/>
    <w:rsid w:val="001E4939"/>
    <w:rsid w:val="001E4F1C"/>
    <w:rsid w:val="001E5266"/>
    <w:rsid w:val="001E59F7"/>
    <w:rsid w:val="001E5B50"/>
    <w:rsid w:val="001E5B7D"/>
    <w:rsid w:val="001E6402"/>
    <w:rsid w:val="001E6E05"/>
    <w:rsid w:val="001E711E"/>
    <w:rsid w:val="001E71E5"/>
    <w:rsid w:val="001E75F1"/>
    <w:rsid w:val="001E77E1"/>
    <w:rsid w:val="001E7832"/>
    <w:rsid w:val="001E7C3B"/>
    <w:rsid w:val="001E7E17"/>
    <w:rsid w:val="001F0933"/>
    <w:rsid w:val="001F1873"/>
    <w:rsid w:val="001F18EC"/>
    <w:rsid w:val="001F2180"/>
    <w:rsid w:val="001F37CE"/>
    <w:rsid w:val="001F4DDB"/>
    <w:rsid w:val="001F5310"/>
    <w:rsid w:val="001F548F"/>
    <w:rsid w:val="001F5A13"/>
    <w:rsid w:val="001F5B57"/>
    <w:rsid w:val="001F6848"/>
    <w:rsid w:val="001F6A09"/>
    <w:rsid w:val="001F7027"/>
    <w:rsid w:val="001F7225"/>
    <w:rsid w:val="001F7272"/>
    <w:rsid w:val="001F747C"/>
    <w:rsid w:val="00200289"/>
    <w:rsid w:val="00200807"/>
    <w:rsid w:val="002010BA"/>
    <w:rsid w:val="002016A8"/>
    <w:rsid w:val="002019A7"/>
    <w:rsid w:val="002019F5"/>
    <w:rsid w:val="0020236F"/>
    <w:rsid w:val="002028D8"/>
    <w:rsid w:val="002029AA"/>
    <w:rsid w:val="00203BBE"/>
    <w:rsid w:val="00203C32"/>
    <w:rsid w:val="00203E24"/>
    <w:rsid w:val="0020429B"/>
    <w:rsid w:val="002042F6"/>
    <w:rsid w:val="0020445E"/>
    <w:rsid w:val="002044F9"/>
    <w:rsid w:val="00204531"/>
    <w:rsid w:val="0020481E"/>
    <w:rsid w:val="002048F3"/>
    <w:rsid w:val="00204975"/>
    <w:rsid w:val="0020499A"/>
    <w:rsid w:val="0020515B"/>
    <w:rsid w:val="002052D9"/>
    <w:rsid w:val="00205875"/>
    <w:rsid w:val="00206428"/>
    <w:rsid w:val="0020757B"/>
    <w:rsid w:val="0021008C"/>
    <w:rsid w:val="002103AA"/>
    <w:rsid w:val="00210BE8"/>
    <w:rsid w:val="00210EF8"/>
    <w:rsid w:val="00211915"/>
    <w:rsid w:val="00211A5C"/>
    <w:rsid w:val="00211E9C"/>
    <w:rsid w:val="002124EE"/>
    <w:rsid w:val="00212832"/>
    <w:rsid w:val="002141D4"/>
    <w:rsid w:val="002142B6"/>
    <w:rsid w:val="0021453E"/>
    <w:rsid w:val="00214650"/>
    <w:rsid w:val="00214EA6"/>
    <w:rsid w:val="00214F37"/>
    <w:rsid w:val="002152B7"/>
    <w:rsid w:val="002155BC"/>
    <w:rsid w:val="0021582E"/>
    <w:rsid w:val="0021693B"/>
    <w:rsid w:val="00216C90"/>
    <w:rsid w:val="00216D29"/>
    <w:rsid w:val="002177C1"/>
    <w:rsid w:val="00217E2E"/>
    <w:rsid w:val="00217F91"/>
    <w:rsid w:val="002200C6"/>
    <w:rsid w:val="00220809"/>
    <w:rsid w:val="00220DE3"/>
    <w:rsid w:val="002212CB"/>
    <w:rsid w:val="00221472"/>
    <w:rsid w:val="00221C91"/>
    <w:rsid w:val="00222A53"/>
    <w:rsid w:val="00222B74"/>
    <w:rsid w:val="00223A7B"/>
    <w:rsid w:val="00223CD3"/>
    <w:rsid w:val="00224058"/>
    <w:rsid w:val="00224078"/>
    <w:rsid w:val="002242AC"/>
    <w:rsid w:val="00224731"/>
    <w:rsid w:val="0022497C"/>
    <w:rsid w:val="00225028"/>
    <w:rsid w:val="002252A2"/>
    <w:rsid w:val="0022549A"/>
    <w:rsid w:val="00225626"/>
    <w:rsid w:val="00225D76"/>
    <w:rsid w:val="002270FB"/>
    <w:rsid w:val="0022769C"/>
    <w:rsid w:val="002300A0"/>
    <w:rsid w:val="0023025C"/>
    <w:rsid w:val="002305D0"/>
    <w:rsid w:val="00231124"/>
    <w:rsid w:val="00231128"/>
    <w:rsid w:val="002316D5"/>
    <w:rsid w:val="00231792"/>
    <w:rsid w:val="00231AB4"/>
    <w:rsid w:val="002328B1"/>
    <w:rsid w:val="00232C79"/>
    <w:rsid w:val="002333D0"/>
    <w:rsid w:val="0023342D"/>
    <w:rsid w:val="00233478"/>
    <w:rsid w:val="0023374F"/>
    <w:rsid w:val="002338FD"/>
    <w:rsid w:val="00234300"/>
    <w:rsid w:val="002347EF"/>
    <w:rsid w:val="00234964"/>
    <w:rsid w:val="002349CC"/>
    <w:rsid w:val="00234DE2"/>
    <w:rsid w:val="00235229"/>
    <w:rsid w:val="002355A2"/>
    <w:rsid w:val="00236222"/>
    <w:rsid w:val="00236373"/>
    <w:rsid w:val="002363F6"/>
    <w:rsid w:val="00237553"/>
    <w:rsid w:val="00237618"/>
    <w:rsid w:val="00237DDB"/>
    <w:rsid w:val="00237F51"/>
    <w:rsid w:val="00237F66"/>
    <w:rsid w:val="00240DA8"/>
    <w:rsid w:val="00240E70"/>
    <w:rsid w:val="00240F43"/>
    <w:rsid w:val="00241267"/>
    <w:rsid w:val="002418C5"/>
    <w:rsid w:val="00241FD7"/>
    <w:rsid w:val="00242B88"/>
    <w:rsid w:val="00242E67"/>
    <w:rsid w:val="00242E76"/>
    <w:rsid w:val="00242EB7"/>
    <w:rsid w:val="002435DA"/>
    <w:rsid w:val="002435F7"/>
    <w:rsid w:val="00243602"/>
    <w:rsid w:val="00243663"/>
    <w:rsid w:val="00244134"/>
    <w:rsid w:val="00244505"/>
    <w:rsid w:val="00244C8D"/>
    <w:rsid w:val="00245328"/>
    <w:rsid w:val="00245EEE"/>
    <w:rsid w:val="00246810"/>
    <w:rsid w:val="00247190"/>
    <w:rsid w:val="002473C0"/>
    <w:rsid w:val="002474B9"/>
    <w:rsid w:val="0024765B"/>
    <w:rsid w:val="0024787A"/>
    <w:rsid w:val="002479FB"/>
    <w:rsid w:val="002501D6"/>
    <w:rsid w:val="002505DD"/>
    <w:rsid w:val="00250EBB"/>
    <w:rsid w:val="00251229"/>
    <w:rsid w:val="00251254"/>
    <w:rsid w:val="0025126D"/>
    <w:rsid w:val="00251F4D"/>
    <w:rsid w:val="00252431"/>
    <w:rsid w:val="00252586"/>
    <w:rsid w:val="002532A4"/>
    <w:rsid w:val="00253348"/>
    <w:rsid w:val="00253406"/>
    <w:rsid w:val="00253599"/>
    <w:rsid w:val="00253B94"/>
    <w:rsid w:val="00253DE8"/>
    <w:rsid w:val="0025455E"/>
    <w:rsid w:val="002554CB"/>
    <w:rsid w:val="00255985"/>
    <w:rsid w:val="00256D96"/>
    <w:rsid w:val="002574A3"/>
    <w:rsid w:val="002578D9"/>
    <w:rsid w:val="00257D54"/>
    <w:rsid w:val="00260429"/>
    <w:rsid w:val="002606E9"/>
    <w:rsid w:val="0026071B"/>
    <w:rsid w:val="00260D4E"/>
    <w:rsid w:val="00260D6F"/>
    <w:rsid w:val="00260F6E"/>
    <w:rsid w:val="00261362"/>
    <w:rsid w:val="00261528"/>
    <w:rsid w:val="00261A68"/>
    <w:rsid w:val="00261B67"/>
    <w:rsid w:val="002620F3"/>
    <w:rsid w:val="0026293E"/>
    <w:rsid w:val="00262DFA"/>
    <w:rsid w:val="00263256"/>
    <w:rsid w:val="00263332"/>
    <w:rsid w:val="00263513"/>
    <w:rsid w:val="0026387E"/>
    <w:rsid w:val="00263D57"/>
    <w:rsid w:val="00263D59"/>
    <w:rsid w:val="002644B6"/>
    <w:rsid w:val="00264704"/>
    <w:rsid w:val="002652BE"/>
    <w:rsid w:val="002658A9"/>
    <w:rsid w:val="00265A28"/>
    <w:rsid w:val="00265C05"/>
    <w:rsid w:val="00265D78"/>
    <w:rsid w:val="00267548"/>
    <w:rsid w:val="00267B78"/>
    <w:rsid w:val="00267CB8"/>
    <w:rsid w:val="00267D85"/>
    <w:rsid w:val="00267E93"/>
    <w:rsid w:val="00270832"/>
    <w:rsid w:val="002716CA"/>
    <w:rsid w:val="002716F0"/>
    <w:rsid w:val="00271A00"/>
    <w:rsid w:val="00272683"/>
    <w:rsid w:val="00272AF5"/>
    <w:rsid w:val="00274B67"/>
    <w:rsid w:val="00274D85"/>
    <w:rsid w:val="00275324"/>
    <w:rsid w:val="0027537F"/>
    <w:rsid w:val="002758F5"/>
    <w:rsid w:val="002759C7"/>
    <w:rsid w:val="00275F25"/>
    <w:rsid w:val="0027620E"/>
    <w:rsid w:val="002768D8"/>
    <w:rsid w:val="00276E8E"/>
    <w:rsid w:val="002800EF"/>
    <w:rsid w:val="00280639"/>
    <w:rsid w:val="002806D0"/>
    <w:rsid w:val="00282613"/>
    <w:rsid w:val="00283023"/>
    <w:rsid w:val="00283233"/>
    <w:rsid w:val="002833C5"/>
    <w:rsid w:val="0028347D"/>
    <w:rsid w:val="00283918"/>
    <w:rsid w:val="00283C63"/>
    <w:rsid w:val="00283D23"/>
    <w:rsid w:val="00283E62"/>
    <w:rsid w:val="00283F23"/>
    <w:rsid w:val="0028488A"/>
    <w:rsid w:val="002852EB"/>
    <w:rsid w:val="00285428"/>
    <w:rsid w:val="002855D6"/>
    <w:rsid w:val="00285851"/>
    <w:rsid w:val="00285FBC"/>
    <w:rsid w:val="002866B9"/>
    <w:rsid w:val="00286ED6"/>
    <w:rsid w:val="00287204"/>
    <w:rsid w:val="00287B7B"/>
    <w:rsid w:val="00287B7F"/>
    <w:rsid w:val="00287D17"/>
    <w:rsid w:val="002904FA"/>
    <w:rsid w:val="0029122A"/>
    <w:rsid w:val="0029190A"/>
    <w:rsid w:val="00292079"/>
    <w:rsid w:val="00293B0F"/>
    <w:rsid w:val="00293CC9"/>
    <w:rsid w:val="00293E43"/>
    <w:rsid w:val="00294487"/>
    <w:rsid w:val="00294671"/>
    <w:rsid w:val="0029476B"/>
    <w:rsid w:val="00294B17"/>
    <w:rsid w:val="00295393"/>
    <w:rsid w:val="002958C9"/>
    <w:rsid w:val="00296539"/>
    <w:rsid w:val="0029752F"/>
    <w:rsid w:val="00297AEF"/>
    <w:rsid w:val="002A0250"/>
    <w:rsid w:val="002A02C6"/>
    <w:rsid w:val="002A067D"/>
    <w:rsid w:val="002A08DB"/>
    <w:rsid w:val="002A1A23"/>
    <w:rsid w:val="002A1C2F"/>
    <w:rsid w:val="002A22A5"/>
    <w:rsid w:val="002A305B"/>
    <w:rsid w:val="002A4FDF"/>
    <w:rsid w:val="002A67D1"/>
    <w:rsid w:val="002A6A2D"/>
    <w:rsid w:val="002A7457"/>
    <w:rsid w:val="002A7AC5"/>
    <w:rsid w:val="002B0000"/>
    <w:rsid w:val="002B003D"/>
    <w:rsid w:val="002B07D6"/>
    <w:rsid w:val="002B0DB2"/>
    <w:rsid w:val="002B1F17"/>
    <w:rsid w:val="002B342D"/>
    <w:rsid w:val="002B3B4C"/>
    <w:rsid w:val="002B3B9E"/>
    <w:rsid w:val="002B3C6F"/>
    <w:rsid w:val="002B3EEE"/>
    <w:rsid w:val="002B544C"/>
    <w:rsid w:val="002B598D"/>
    <w:rsid w:val="002B6554"/>
    <w:rsid w:val="002B6D88"/>
    <w:rsid w:val="002B72EA"/>
    <w:rsid w:val="002B74D4"/>
    <w:rsid w:val="002B7A96"/>
    <w:rsid w:val="002C0763"/>
    <w:rsid w:val="002C0C20"/>
    <w:rsid w:val="002C11E2"/>
    <w:rsid w:val="002C25AD"/>
    <w:rsid w:val="002C2B96"/>
    <w:rsid w:val="002C2CE1"/>
    <w:rsid w:val="002C2DBC"/>
    <w:rsid w:val="002C3360"/>
    <w:rsid w:val="002C3B08"/>
    <w:rsid w:val="002C3E4C"/>
    <w:rsid w:val="002C4601"/>
    <w:rsid w:val="002C4B24"/>
    <w:rsid w:val="002C5267"/>
    <w:rsid w:val="002C585A"/>
    <w:rsid w:val="002C654D"/>
    <w:rsid w:val="002C715A"/>
    <w:rsid w:val="002C728D"/>
    <w:rsid w:val="002C765F"/>
    <w:rsid w:val="002C7AB6"/>
    <w:rsid w:val="002D002B"/>
    <w:rsid w:val="002D01E5"/>
    <w:rsid w:val="002D0382"/>
    <w:rsid w:val="002D0E7A"/>
    <w:rsid w:val="002D1649"/>
    <w:rsid w:val="002D2E0C"/>
    <w:rsid w:val="002D3984"/>
    <w:rsid w:val="002D452D"/>
    <w:rsid w:val="002D4618"/>
    <w:rsid w:val="002D464C"/>
    <w:rsid w:val="002D4902"/>
    <w:rsid w:val="002D4C32"/>
    <w:rsid w:val="002D535F"/>
    <w:rsid w:val="002D54A7"/>
    <w:rsid w:val="002D55B9"/>
    <w:rsid w:val="002D565E"/>
    <w:rsid w:val="002D5686"/>
    <w:rsid w:val="002D5974"/>
    <w:rsid w:val="002D6167"/>
    <w:rsid w:val="002D6186"/>
    <w:rsid w:val="002D6207"/>
    <w:rsid w:val="002D6285"/>
    <w:rsid w:val="002D71C7"/>
    <w:rsid w:val="002D736B"/>
    <w:rsid w:val="002D7A10"/>
    <w:rsid w:val="002D7D23"/>
    <w:rsid w:val="002E00DA"/>
    <w:rsid w:val="002E088D"/>
    <w:rsid w:val="002E0A71"/>
    <w:rsid w:val="002E1837"/>
    <w:rsid w:val="002E1AFB"/>
    <w:rsid w:val="002E3100"/>
    <w:rsid w:val="002E3344"/>
    <w:rsid w:val="002E3DC8"/>
    <w:rsid w:val="002E4467"/>
    <w:rsid w:val="002E5176"/>
    <w:rsid w:val="002E719D"/>
    <w:rsid w:val="002E71CE"/>
    <w:rsid w:val="002E73A8"/>
    <w:rsid w:val="002E762D"/>
    <w:rsid w:val="002F0065"/>
    <w:rsid w:val="002F021B"/>
    <w:rsid w:val="002F095E"/>
    <w:rsid w:val="002F0C48"/>
    <w:rsid w:val="002F1159"/>
    <w:rsid w:val="002F1D45"/>
    <w:rsid w:val="002F2165"/>
    <w:rsid w:val="002F2575"/>
    <w:rsid w:val="002F2688"/>
    <w:rsid w:val="002F27DC"/>
    <w:rsid w:val="002F44A3"/>
    <w:rsid w:val="002F50C8"/>
    <w:rsid w:val="002F510C"/>
    <w:rsid w:val="002F5457"/>
    <w:rsid w:val="002F57BD"/>
    <w:rsid w:val="002F63D1"/>
    <w:rsid w:val="002F63F0"/>
    <w:rsid w:val="002F6791"/>
    <w:rsid w:val="002F6D2A"/>
    <w:rsid w:val="002F756A"/>
    <w:rsid w:val="00300145"/>
    <w:rsid w:val="00300AD0"/>
    <w:rsid w:val="00300CA5"/>
    <w:rsid w:val="00300D64"/>
    <w:rsid w:val="0030103B"/>
    <w:rsid w:val="0030134E"/>
    <w:rsid w:val="00301934"/>
    <w:rsid w:val="00301C1C"/>
    <w:rsid w:val="00301DCF"/>
    <w:rsid w:val="003021F9"/>
    <w:rsid w:val="00302263"/>
    <w:rsid w:val="003038A3"/>
    <w:rsid w:val="00304376"/>
    <w:rsid w:val="003046AA"/>
    <w:rsid w:val="0030486A"/>
    <w:rsid w:val="00305595"/>
    <w:rsid w:val="00307076"/>
    <w:rsid w:val="00310195"/>
    <w:rsid w:val="00310551"/>
    <w:rsid w:val="00310EA3"/>
    <w:rsid w:val="00310F6C"/>
    <w:rsid w:val="00311198"/>
    <w:rsid w:val="00311BA6"/>
    <w:rsid w:val="00311D30"/>
    <w:rsid w:val="00312447"/>
    <w:rsid w:val="00312AE9"/>
    <w:rsid w:val="0031307D"/>
    <w:rsid w:val="00313518"/>
    <w:rsid w:val="00314305"/>
    <w:rsid w:val="00315192"/>
    <w:rsid w:val="003154A9"/>
    <w:rsid w:val="0031714F"/>
    <w:rsid w:val="003173DF"/>
    <w:rsid w:val="00317B97"/>
    <w:rsid w:val="00317F62"/>
    <w:rsid w:val="003201F8"/>
    <w:rsid w:val="0032125A"/>
    <w:rsid w:val="00321E51"/>
    <w:rsid w:val="00322151"/>
    <w:rsid w:val="00322AED"/>
    <w:rsid w:val="00322ED5"/>
    <w:rsid w:val="003230A5"/>
    <w:rsid w:val="00323698"/>
    <w:rsid w:val="00323FFC"/>
    <w:rsid w:val="0032411E"/>
    <w:rsid w:val="00324267"/>
    <w:rsid w:val="003253C6"/>
    <w:rsid w:val="00326761"/>
    <w:rsid w:val="00326F8D"/>
    <w:rsid w:val="00327ADC"/>
    <w:rsid w:val="003301E3"/>
    <w:rsid w:val="00330782"/>
    <w:rsid w:val="00330A95"/>
    <w:rsid w:val="0033127D"/>
    <w:rsid w:val="003317B8"/>
    <w:rsid w:val="00331CAE"/>
    <w:rsid w:val="00332085"/>
    <w:rsid w:val="0033284A"/>
    <w:rsid w:val="00332D9D"/>
    <w:rsid w:val="00333666"/>
    <w:rsid w:val="00333EA3"/>
    <w:rsid w:val="00334923"/>
    <w:rsid w:val="00334DA8"/>
    <w:rsid w:val="00334F21"/>
    <w:rsid w:val="00335FDA"/>
    <w:rsid w:val="003361A1"/>
    <w:rsid w:val="0033626E"/>
    <w:rsid w:val="003369A0"/>
    <w:rsid w:val="00336BA0"/>
    <w:rsid w:val="00337410"/>
    <w:rsid w:val="00337508"/>
    <w:rsid w:val="00337846"/>
    <w:rsid w:val="00337AFC"/>
    <w:rsid w:val="0034024F"/>
    <w:rsid w:val="00340576"/>
    <w:rsid w:val="003408C0"/>
    <w:rsid w:val="00340D7E"/>
    <w:rsid w:val="003411C0"/>
    <w:rsid w:val="00343835"/>
    <w:rsid w:val="00343D33"/>
    <w:rsid w:val="00344FC2"/>
    <w:rsid w:val="003459AF"/>
    <w:rsid w:val="00346046"/>
    <w:rsid w:val="0034670F"/>
    <w:rsid w:val="00346ABF"/>
    <w:rsid w:val="00347748"/>
    <w:rsid w:val="00347D27"/>
    <w:rsid w:val="00347DC8"/>
    <w:rsid w:val="00347DD6"/>
    <w:rsid w:val="00347F5E"/>
    <w:rsid w:val="00350E11"/>
    <w:rsid w:val="00351549"/>
    <w:rsid w:val="00352116"/>
    <w:rsid w:val="003522FB"/>
    <w:rsid w:val="00352302"/>
    <w:rsid w:val="0035294B"/>
    <w:rsid w:val="00353553"/>
    <w:rsid w:val="00353FBE"/>
    <w:rsid w:val="00355171"/>
    <w:rsid w:val="003556DC"/>
    <w:rsid w:val="00355C11"/>
    <w:rsid w:val="00356C0A"/>
    <w:rsid w:val="00356CB6"/>
    <w:rsid w:val="003573A9"/>
    <w:rsid w:val="003600C5"/>
    <w:rsid w:val="003600E1"/>
    <w:rsid w:val="00360540"/>
    <w:rsid w:val="00360CC4"/>
    <w:rsid w:val="00360CE1"/>
    <w:rsid w:val="00360D35"/>
    <w:rsid w:val="00360DD5"/>
    <w:rsid w:val="00360EB9"/>
    <w:rsid w:val="00361671"/>
    <w:rsid w:val="00361ADC"/>
    <w:rsid w:val="00362407"/>
    <w:rsid w:val="00362F66"/>
    <w:rsid w:val="00363200"/>
    <w:rsid w:val="00363367"/>
    <w:rsid w:val="0036336C"/>
    <w:rsid w:val="00363404"/>
    <w:rsid w:val="00363D01"/>
    <w:rsid w:val="0036543A"/>
    <w:rsid w:val="0036568A"/>
    <w:rsid w:val="003656CA"/>
    <w:rsid w:val="00367010"/>
    <w:rsid w:val="00367965"/>
    <w:rsid w:val="00367BD9"/>
    <w:rsid w:val="00370303"/>
    <w:rsid w:val="003714BE"/>
    <w:rsid w:val="00371842"/>
    <w:rsid w:val="00371F6E"/>
    <w:rsid w:val="0037243A"/>
    <w:rsid w:val="00372BBD"/>
    <w:rsid w:val="00372D83"/>
    <w:rsid w:val="00373605"/>
    <w:rsid w:val="00373A79"/>
    <w:rsid w:val="00373B27"/>
    <w:rsid w:val="00373F13"/>
    <w:rsid w:val="0037456F"/>
    <w:rsid w:val="00374C94"/>
    <w:rsid w:val="00374F9B"/>
    <w:rsid w:val="00375009"/>
    <w:rsid w:val="003751F1"/>
    <w:rsid w:val="00376206"/>
    <w:rsid w:val="00376280"/>
    <w:rsid w:val="00376305"/>
    <w:rsid w:val="00376508"/>
    <w:rsid w:val="00377313"/>
    <w:rsid w:val="00377C7E"/>
    <w:rsid w:val="00377E40"/>
    <w:rsid w:val="0038012B"/>
    <w:rsid w:val="00380992"/>
    <w:rsid w:val="00381D4B"/>
    <w:rsid w:val="003825FA"/>
    <w:rsid w:val="003826C7"/>
    <w:rsid w:val="003828B3"/>
    <w:rsid w:val="0038376A"/>
    <w:rsid w:val="003838B3"/>
    <w:rsid w:val="0038410B"/>
    <w:rsid w:val="003844A8"/>
    <w:rsid w:val="003848E7"/>
    <w:rsid w:val="00384D60"/>
    <w:rsid w:val="0038538E"/>
    <w:rsid w:val="0038596E"/>
    <w:rsid w:val="00386929"/>
    <w:rsid w:val="00386AF1"/>
    <w:rsid w:val="00386BF8"/>
    <w:rsid w:val="003877C1"/>
    <w:rsid w:val="003879C3"/>
    <w:rsid w:val="00387EEE"/>
    <w:rsid w:val="00390290"/>
    <w:rsid w:val="0039062A"/>
    <w:rsid w:val="00390B13"/>
    <w:rsid w:val="00391025"/>
    <w:rsid w:val="003910F8"/>
    <w:rsid w:val="0039207A"/>
    <w:rsid w:val="003925E0"/>
    <w:rsid w:val="00392610"/>
    <w:rsid w:val="00392841"/>
    <w:rsid w:val="003929D8"/>
    <w:rsid w:val="00393BD5"/>
    <w:rsid w:val="003949A7"/>
    <w:rsid w:val="00394BDF"/>
    <w:rsid w:val="00394E1B"/>
    <w:rsid w:val="0039548B"/>
    <w:rsid w:val="003955DE"/>
    <w:rsid w:val="0039577D"/>
    <w:rsid w:val="003964D0"/>
    <w:rsid w:val="00396BC2"/>
    <w:rsid w:val="003974CD"/>
    <w:rsid w:val="00397C9E"/>
    <w:rsid w:val="003A19C7"/>
    <w:rsid w:val="003A1B00"/>
    <w:rsid w:val="003A1CFE"/>
    <w:rsid w:val="003A221F"/>
    <w:rsid w:val="003A243B"/>
    <w:rsid w:val="003A2DFE"/>
    <w:rsid w:val="003A35EB"/>
    <w:rsid w:val="003A39A5"/>
    <w:rsid w:val="003A3B1E"/>
    <w:rsid w:val="003A5254"/>
    <w:rsid w:val="003A5552"/>
    <w:rsid w:val="003A6431"/>
    <w:rsid w:val="003A663E"/>
    <w:rsid w:val="003A73BA"/>
    <w:rsid w:val="003A7669"/>
    <w:rsid w:val="003A7C39"/>
    <w:rsid w:val="003A7D45"/>
    <w:rsid w:val="003A7EA8"/>
    <w:rsid w:val="003B0FB8"/>
    <w:rsid w:val="003B1753"/>
    <w:rsid w:val="003B1AA5"/>
    <w:rsid w:val="003B22B3"/>
    <w:rsid w:val="003B22E3"/>
    <w:rsid w:val="003B236A"/>
    <w:rsid w:val="003B2D8F"/>
    <w:rsid w:val="003B3666"/>
    <w:rsid w:val="003B44FD"/>
    <w:rsid w:val="003B4BD7"/>
    <w:rsid w:val="003B4E85"/>
    <w:rsid w:val="003B4FEA"/>
    <w:rsid w:val="003B53B4"/>
    <w:rsid w:val="003B560C"/>
    <w:rsid w:val="003B5A78"/>
    <w:rsid w:val="003B6698"/>
    <w:rsid w:val="003B66FF"/>
    <w:rsid w:val="003B70C5"/>
    <w:rsid w:val="003B796A"/>
    <w:rsid w:val="003B7DD4"/>
    <w:rsid w:val="003B7E0B"/>
    <w:rsid w:val="003C0150"/>
    <w:rsid w:val="003C0640"/>
    <w:rsid w:val="003C0FA7"/>
    <w:rsid w:val="003C14E5"/>
    <w:rsid w:val="003C1DBC"/>
    <w:rsid w:val="003C2367"/>
    <w:rsid w:val="003C2839"/>
    <w:rsid w:val="003C29A0"/>
    <w:rsid w:val="003C2ADA"/>
    <w:rsid w:val="003C38B6"/>
    <w:rsid w:val="003C395B"/>
    <w:rsid w:val="003C4324"/>
    <w:rsid w:val="003C4417"/>
    <w:rsid w:val="003C44CF"/>
    <w:rsid w:val="003C4A5A"/>
    <w:rsid w:val="003C4AD0"/>
    <w:rsid w:val="003C5116"/>
    <w:rsid w:val="003C5E53"/>
    <w:rsid w:val="003C5FAD"/>
    <w:rsid w:val="003C64E5"/>
    <w:rsid w:val="003C661E"/>
    <w:rsid w:val="003C667D"/>
    <w:rsid w:val="003C6C21"/>
    <w:rsid w:val="003C6EA8"/>
    <w:rsid w:val="003C7535"/>
    <w:rsid w:val="003C78E0"/>
    <w:rsid w:val="003D0133"/>
    <w:rsid w:val="003D016B"/>
    <w:rsid w:val="003D018E"/>
    <w:rsid w:val="003D0291"/>
    <w:rsid w:val="003D0381"/>
    <w:rsid w:val="003D0638"/>
    <w:rsid w:val="003D08F7"/>
    <w:rsid w:val="003D2130"/>
    <w:rsid w:val="003D2446"/>
    <w:rsid w:val="003D32DF"/>
    <w:rsid w:val="003D39DA"/>
    <w:rsid w:val="003D3A89"/>
    <w:rsid w:val="003D3E00"/>
    <w:rsid w:val="003D3F00"/>
    <w:rsid w:val="003D3F28"/>
    <w:rsid w:val="003D4389"/>
    <w:rsid w:val="003D45CC"/>
    <w:rsid w:val="003D486E"/>
    <w:rsid w:val="003D55B4"/>
    <w:rsid w:val="003D590A"/>
    <w:rsid w:val="003D5D1D"/>
    <w:rsid w:val="003D5D83"/>
    <w:rsid w:val="003D6339"/>
    <w:rsid w:val="003D6427"/>
    <w:rsid w:val="003D6FC1"/>
    <w:rsid w:val="003D7099"/>
    <w:rsid w:val="003D73C3"/>
    <w:rsid w:val="003D761E"/>
    <w:rsid w:val="003E04FD"/>
    <w:rsid w:val="003E13B6"/>
    <w:rsid w:val="003E13D4"/>
    <w:rsid w:val="003E1AA1"/>
    <w:rsid w:val="003E2749"/>
    <w:rsid w:val="003E2EE8"/>
    <w:rsid w:val="003E31F8"/>
    <w:rsid w:val="003E3BF9"/>
    <w:rsid w:val="003E3C9B"/>
    <w:rsid w:val="003E3EDA"/>
    <w:rsid w:val="003E40DF"/>
    <w:rsid w:val="003E43AC"/>
    <w:rsid w:val="003E4D3F"/>
    <w:rsid w:val="003E517A"/>
    <w:rsid w:val="003E5241"/>
    <w:rsid w:val="003E528A"/>
    <w:rsid w:val="003E53EB"/>
    <w:rsid w:val="003E5408"/>
    <w:rsid w:val="003E5CDC"/>
    <w:rsid w:val="003E5DFF"/>
    <w:rsid w:val="003E6079"/>
    <w:rsid w:val="003E6091"/>
    <w:rsid w:val="003E631D"/>
    <w:rsid w:val="003E6360"/>
    <w:rsid w:val="003E6C92"/>
    <w:rsid w:val="003E6E06"/>
    <w:rsid w:val="003E6E31"/>
    <w:rsid w:val="003E6FCA"/>
    <w:rsid w:val="003E7334"/>
    <w:rsid w:val="003E763F"/>
    <w:rsid w:val="003E7982"/>
    <w:rsid w:val="003E79A6"/>
    <w:rsid w:val="003F057A"/>
    <w:rsid w:val="003F0C5E"/>
    <w:rsid w:val="003F0D07"/>
    <w:rsid w:val="003F1134"/>
    <w:rsid w:val="003F1173"/>
    <w:rsid w:val="003F174C"/>
    <w:rsid w:val="003F277D"/>
    <w:rsid w:val="003F27F5"/>
    <w:rsid w:val="003F29A4"/>
    <w:rsid w:val="003F2ED0"/>
    <w:rsid w:val="003F345D"/>
    <w:rsid w:val="003F377E"/>
    <w:rsid w:val="003F3CE9"/>
    <w:rsid w:val="003F4BC9"/>
    <w:rsid w:val="003F4BD0"/>
    <w:rsid w:val="003F4C9B"/>
    <w:rsid w:val="003F62E7"/>
    <w:rsid w:val="003F6321"/>
    <w:rsid w:val="003F6D8A"/>
    <w:rsid w:val="003F7ADD"/>
    <w:rsid w:val="003F7E20"/>
    <w:rsid w:val="0040001D"/>
    <w:rsid w:val="00401931"/>
    <w:rsid w:val="004023F7"/>
    <w:rsid w:val="00402B0F"/>
    <w:rsid w:val="00403969"/>
    <w:rsid w:val="004040D3"/>
    <w:rsid w:val="004043EB"/>
    <w:rsid w:val="00405A93"/>
    <w:rsid w:val="00405B9F"/>
    <w:rsid w:val="00405D0E"/>
    <w:rsid w:val="00406608"/>
    <w:rsid w:val="004067B2"/>
    <w:rsid w:val="00406938"/>
    <w:rsid w:val="00406B97"/>
    <w:rsid w:val="00406D40"/>
    <w:rsid w:val="004075A6"/>
    <w:rsid w:val="004108A2"/>
    <w:rsid w:val="00411A6A"/>
    <w:rsid w:val="00411AB4"/>
    <w:rsid w:val="00411D5C"/>
    <w:rsid w:val="0041225B"/>
    <w:rsid w:val="0041232A"/>
    <w:rsid w:val="00412CAC"/>
    <w:rsid w:val="004134FA"/>
    <w:rsid w:val="00413FDF"/>
    <w:rsid w:val="004140CD"/>
    <w:rsid w:val="004149CF"/>
    <w:rsid w:val="00414A6D"/>
    <w:rsid w:val="00414E8A"/>
    <w:rsid w:val="004152CA"/>
    <w:rsid w:val="004156B1"/>
    <w:rsid w:val="00416869"/>
    <w:rsid w:val="00417203"/>
    <w:rsid w:val="004173BD"/>
    <w:rsid w:val="004173BF"/>
    <w:rsid w:val="00417E1A"/>
    <w:rsid w:val="004201C4"/>
    <w:rsid w:val="004201E8"/>
    <w:rsid w:val="00420722"/>
    <w:rsid w:val="0042114B"/>
    <w:rsid w:val="00421203"/>
    <w:rsid w:val="00421250"/>
    <w:rsid w:val="00421423"/>
    <w:rsid w:val="00421476"/>
    <w:rsid w:val="00421888"/>
    <w:rsid w:val="00421BFE"/>
    <w:rsid w:val="004220F5"/>
    <w:rsid w:val="00422151"/>
    <w:rsid w:val="004229D9"/>
    <w:rsid w:val="00422BAC"/>
    <w:rsid w:val="0042318F"/>
    <w:rsid w:val="00423590"/>
    <w:rsid w:val="00423B8A"/>
    <w:rsid w:val="004243F5"/>
    <w:rsid w:val="00425106"/>
    <w:rsid w:val="004251BE"/>
    <w:rsid w:val="00425599"/>
    <w:rsid w:val="00425CE4"/>
    <w:rsid w:val="00425E96"/>
    <w:rsid w:val="00426343"/>
    <w:rsid w:val="0042673E"/>
    <w:rsid w:val="004268F2"/>
    <w:rsid w:val="00426ABE"/>
    <w:rsid w:val="00426B47"/>
    <w:rsid w:val="0042773C"/>
    <w:rsid w:val="00427D13"/>
    <w:rsid w:val="0043000B"/>
    <w:rsid w:val="0043031B"/>
    <w:rsid w:val="004309DB"/>
    <w:rsid w:val="00430AE1"/>
    <w:rsid w:val="00430D3D"/>
    <w:rsid w:val="00430FDB"/>
    <w:rsid w:val="00431392"/>
    <w:rsid w:val="004313D9"/>
    <w:rsid w:val="00431A10"/>
    <w:rsid w:val="0043284B"/>
    <w:rsid w:val="00432E24"/>
    <w:rsid w:val="00433A2E"/>
    <w:rsid w:val="00433B06"/>
    <w:rsid w:val="00433BFC"/>
    <w:rsid w:val="00433E7A"/>
    <w:rsid w:val="00433EB9"/>
    <w:rsid w:val="00434BE0"/>
    <w:rsid w:val="00434FFC"/>
    <w:rsid w:val="00435A10"/>
    <w:rsid w:val="00435A66"/>
    <w:rsid w:val="00435D04"/>
    <w:rsid w:val="0043624E"/>
    <w:rsid w:val="00436292"/>
    <w:rsid w:val="0043632F"/>
    <w:rsid w:val="00436678"/>
    <w:rsid w:val="00436B25"/>
    <w:rsid w:val="00436B4D"/>
    <w:rsid w:val="00436B5E"/>
    <w:rsid w:val="0043730D"/>
    <w:rsid w:val="00437379"/>
    <w:rsid w:val="00437E8B"/>
    <w:rsid w:val="00437EDA"/>
    <w:rsid w:val="0044022F"/>
    <w:rsid w:val="00440AE9"/>
    <w:rsid w:val="00440CAA"/>
    <w:rsid w:val="004412C5"/>
    <w:rsid w:val="0044181F"/>
    <w:rsid w:val="00441B1F"/>
    <w:rsid w:val="00441B90"/>
    <w:rsid w:val="00441C10"/>
    <w:rsid w:val="00441FA7"/>
    <w:rsid w:val="004420F1"/>
    <w:rsid w:val="004428C1"/>
    <w:rsid w:val="00442BD8"/>
    <w:rsid w:val="00442E73"/>
    <w:rsid w:val="00442F76"/>
    <w:rsid w:val="00443252"/>
    <w:rsid w:val="00443ED2"/>
    <w:rsid w:val="0044459F"/>
    <w:rsid w:val="0044469B"/>
    <w:rsid w:val="00444C12"/>
    <w:rsid w:val="00444F1F"/>
    <w:rsid w:val="00445466"/>
    <w:rsid w:val="004459DC"/>
    <w:rsid w:val="00446652"/>
    <w:rsid w:val="00446B17"/>
    <w:rsid w:val="0044715C"/>
    <w:rsid w:val="0044749C"/>
    <w:rsid w:val="00447567"/>
    <w:rsid w:val="00447B46"/>
    <w:rsid w:val="00447C26"/>
    <w:rsid w:val="00450003"/>
    <w:rsid w:val="0045005A"/>
    <w:rsid w:val="00450409"/>
    <w:rsid w:val="00450A9C"/>
    <w:rsid w:val="00451266"/>
    <w:rsid w:val="00451534"/>
    <w:rsid w:val="004517B4"/>
    <w:rsid w:val="00451C23"/>
    <w:rsid w:val="00451CF5"/>
    <w:rsid w:val="00451F6E"/>
    <w:rsid w:val="00452048"/>
    <w:rsid w:val="00452050"/>
    <w:rsid w:val="0045285C"/>
    <w:rsid w:val="004529C3"/>
    <w:rsid w:val="00452EDD"/>
    <w:rsid w:val="00453B09"/>
    <w:rsid w:val="00453E38"/>
    <w:rsid w:val="00454030"/>
    <w:rsid w:val="00454476"/>
    <w:rsid w:val="0045453D"/>
    <w:rsid w:val="004547F9"/>
    <w:rsid w:val="00454AB1"/>
    <w:rsid w:val="00454E4C"/>
    <w:rsid w:val="00454F68"/>
    <w:rsid w:val="004550AE"/>
    <w:rsid w:val="00455CCF"/>
    <w:rsid w:val="00455F11"/>
    <w:rsid w:val="00455F7C"/>
    <w:rsid w:val="00456D24"/>
    <w:rsid w:val="00456F7E"/>
    <w:rsid w:val="004571D1"/>
    <w:rsid w:val="0045722E"/>
    <w:rsid w:val="0045729D"/>
    <w:rsid w:val="0045741D"/>
    <w:rsid w:val="0046031C"/>
    <w:rsid w:val="00460A58"/>
    <w:rsid w:val="0046109A"/>
    <w:rsid w:val="00461863"/>
    <w:rsid w:val="00461D5D"/>
    <w:rsid w:val="00462B8A"/>
    <w:rsid w:val="00462BC7"/>
    <w:rsid w:val="00463759"/>
    <w:rsid w:val="004637E0"/>
    <w:rsid w:val="00464E71"/>
    <w:rsid w:val="00464F43"/>
    <w:rsid w:val="00465167"/>
    <w:rsid w:val="00465793"/>
    <w:rsid w:val="00465BC9"/>
    <w:rsid w:val="004665E2"/>
    <w:rsid w:val="0046708C"/>
    <w:rsid w:val="00467309"/>
    <w:rsid w:val="00467C6E"/>
    <w:rsid w:val="00470791"/>
    <w:rsid w:val="004708AD"/>
    <w:rsid w:val="004710D3"/>
    <w:rsid w:val="00471314"/>
    <w:rsid w:val="00473966"/>
    <w:rsid w:val="004739CF"/>
    <w:rsid w:val="00474055"/>
    <w:rsid w:val="0047468F"/>
    <w:rsid w:val="00474A7C"/>
    <w:rsid w:val="0047570E"/>
    <w:rsid w:val="004764F5"/>
    <w:rsid w:val="00476524"/>
    <w:rsid w:val="00477111"/>
    <w:rsid w:val="0047759C"/>
    <w:rsid w:val="004777A7"/>
    <w:rsid w:val="00480561"/>
    <w:rsid w:val="004806D0"/>
    <w:rsid w:val="00480CBB"/>
    <w:rsid w:val="00481571"/>
    <w:rsid w:val="0048189A"/>
    <w:rsid w:val="004818A9"/>
    <w:rsid w:val="004819B2"/>
    <w:rsid w:val="00481AA4"/>
    <w:rsid w:val="00483659"/>
    <w:rsid w:val="00483EEC"/>
    <w:rsid w:val="004840AB"/>
    <w:rsid w:val="00484101"/>
    <w:rsid w:val="004846F7"/>
    <w:rsid w:val="00485996"/>
    <w:rsid w:val="004859E9"/>
    <w:rsid w:val="00486591"/>
    <w:rsid w:val="00486FB4"/>
    <w:rsid w:val="00487683"/>
    <w:rsid w:val="004876BF"/>
    <w:rsid w:val="004879A5"/>
    <w:rsid w:val="004903E2"/>
    <w:rsid w:val="00490D71"/>
    <w:rsid w:val="0049156A"/>
    <w:rsid w:val="0049177C"/>
    <w:rsid w:val="00491787"/>
    <w:rsid w:val="00491BD8"/>
    <w:rsid w:val="00491D89"/>
    <w:rsid w:val="004926D9"/>
    <w:rsid w:val="004928C4"/>
    <w:rsid w:val="00492BD6"/>
    <w:rsid w:val="00492C49"/>
    <w:rsid w:val="00492D64"/>
    <w:rsid w:val="00493745"/>
    <w:rsid w:val="00493792"/>
    <w:rsid w:val="004938C4"/>
    <w:rsid w:val="00493B8E"/>
    <w:rsid w:val="00494EC6"/>
    <w:rsid w:val="004954E4"/>
    <w:rsid w:val="004957CB"/>
    <w:rsid w:val="0049583B"/>
    <w:rsid w:val="00495985"/>
    <w:rsid w:val="00495F28"/>
    <w:rsid w:val="00495FA3"/>
    <w:rsid w:val="004963D0"/>
    <w:rsid w:val="00496806"/>
    <w:rsid w:val="004968CE"/>
    <w:rsid w:val="00496E7A"/>
    <w:rsid w:val="00497007"/>
    <w:rsid w:val="0049726C"/>
    <w:rsid w:val="0049738B"/>
    <w:rsid w:val="004974BA"/>
    <w:rsid w:val="004975A1"/>
    <w:rsid w:val="0049787E"/>
    <w:rsid w:val="00497883"/>
    <w:rsid w:val="00497CCD"/>
    <w:rsid w:val="00497F18"/>
    <w:rsid w:val="004A00CB"/>
    <w:rsid w:val="004A01EB"/>
    <w:rsid w:val="004A1762"/>
    <w:rsid w:val="004A1FC3"/>
    <w:rsid w:val="004A219D"/>
    <w:rsid w:val="004A242D"/>
    <w:rsid w:val="004A26AD"/>
    <w:rsid w:val="004A28C1"/>
    <w:rsid w:val="004A3805"/>
    <w:rsid w:val="004A38A2"/>
    <w:rsid w:val="004A38B0"/>
    <w:rsid w:val="004A38C2"/>
    <w:rsid w:val="004A3BD4"/>
    <w:rsid w:val="004A3F6B"/>
    <w:rsid w:val="004A4752"/>
    <w:rsid w:val="004A4A95"/>
    <w:rsid w:val="004A4AFC"/>
    <w:rsid w:val="004A4F7D"/>
    <w:rsid w:val="004A508C"/>
    <w:rsid w:val="004A54EC"/>
    <w:rsid w:val="004A5DF8"/>
    <w:rsid w:val="004A6D58"/>
    <w:rsid w:val="004A6E5F"/>
    <w:rsid w:val="004A700E"/>
    <w:rsid w:val="004A72BF"/>
    <w:rsid w:val="004A72FD"/>
    <w:rsid w:val="004A7319"/>
    <w:rsid w:val="004A74C1"/>
    <w:rsid w:val="004A7930"/>
    <w:rsid w:val="004A7D27"/>
    <w:rsid w:val="004B10E9"/>
    <w:rsid w:val="004B1105"/>
    <w:rsid w:val="004B176F"/>
    <w:rsid w:val="004B18F9"/>
    <w:rsid w:val="004B1FF5"/>
    <w:rsid w:val="004B2111"/>
    <w:rsid w:val="004B30AC"/>
    <w:rsid w:val="004B3473"/>
    <w:rsid w:val="004B41D0"/>
    <w:rsid w:val="004B4653"/>
    <w:rsid w:val="004B485F"/>
    <w:rsid w:val="004B537C"/>
    <w:rsid w:val="004B5919"/>
    <w:rsid w:val="004B6228"/>
    <w:rsid w:val="004B686D"/>
    <w:rsid w:val="004B6AD9"/>
    <w:rsid w:val="004B6BEA"/>
    <w:rsid w:val="004B6E52"/>
    <w:rsid w:val="004B7139"/>
    <w:rsid w:val="004B7ECA"/>
    <w:rsid w:val="004C0154"/>
    <w:rsid w:val="004C0F21"/>
    <w:rsid w:val="004C1114"/>
    <w:rsid w:val="004C1D9E"/>
    <w:rsid w:val="004C2101"/>
    <w:rsid w:val="004C21CC"/>
    <w:rsid w:val="004C233F"/>
    <w:rsid w:val="004C28CD"/>
    <w:rsid w:val="004C3C4D"/>
    <w:rsid w:val="004C44E1"/>
    <w:rsid w:val="004C46A6"/>
    <w:rsid w:val="004C493C"/>
    <w:rsid w:val="004C5199"/>
    <w:rsid w:val="004C59DE"/>
    <w:rsid w:val="004C5A37"/>
    <w:rsid w:val="004C5CE3"/>
    <w:rsid w:val="004C5D8A"/>
    <w:rsid w:val="004C63C8"/>
    <w:rsid w:val="004C6520"/>
    <w:rsid w:val="004C6718"/>
    <w:rsid w:val="004C6A3C"/>
    <w:rsid w:val="004C6BAF"/>
    <w:rsid w:val="004C6C70"/>
    <w:rsid w:val="004C6F1D"/>
    <w:rsid w:val="004C7023"/>
    <w:rsid w:val="004C7863"/>
    <w:rsid w:val="004C78F6"/>
    <w:rsid w:val="004C7FB1"/>
    <w:rsid w:val="004D0218"/>
    <w:rsid w:val="004D03F2"/>
    <w:rsid w:val="004D08E6"/>
    <w:rsid w:val="004D16DD"/>
    <w:rsid w:val="004D175C"/>
    <w:rsid w:val="004D2272"/>
    <w:rsid w:val="004D238A"/>
    <w:rsid w:val="004D29D1"/>
    <w:rsid w:val="004D2BA0"/>
    <w:rsid w:val="004D2F2D"/>
    <w:rsid w:val="004D3F21"/>
    <w:rsid w:val="004D45DD"/>
    <w:rsid w:val="004D506B"/>
    <w:rsid w:val="004D5257"/>
    <w:rsid w:val="004D5369"/>
    <w:rsid w:val="004D5A35"/>
    <w:rsid w:val="004D604D"/>
    <w:rsid w:val="004D62FE"/>
    <w:rsid w:val="004D723D"/>
    <w:rsid w:val="004D7A78"/>
    <w:rsid w:val="004D7E13"/>
    <w:rsid w:val="004E0378"/>
    <w:rsid w:val="004E04A6"/>
    <w:rsid w:val="004E0FBA"/>
    <w:rsid w:val="004E1540"/>
    <w:rsid w:val="004E195C"/>
    <w:rsid w:val="004E1E9C"/>
    <w:rsid w:val="004E38E8"/>
    <w:rsid w:val="004E3B63"/>
    <w:rsid w:val="004E3FBF"/>
    <w:rsid w:val="004E4038"/>
    <w:rsid w:val="004E41A7"/>
    <w:rsid w:val="004E4E14"/>
    <w:rsid w:val="004E5103"/>
    <w:rsid w:val="004E53A1"/>
    <w:rsid w:val="004E566F"/>
    <w:rsid w:val="004E5698"/>
    <w:rsid w:val="004E5B84"/>
    <w:rsid w:val="004E5C83"/>
    <w:rsid w:val="004E648B"/>
    <w:rsid w:val="004F0019"/>
    <w:rsid w:val="004F02D1"/>
    <w:rsid w:val="004F051B"/>
    <w:rsid w:val="004F055F"/>
    <w:rsid w:val="004F0608"/>
    <w:rsid w:val="004F0CFC"/>
    <w:rsid w:val="004F11C0"/>
    <w:rsid w:val="004F174C"/>
    <w:rsid w:val="004F1D19"/>
    <w:rsid w:val="004F21BC"/>
    <w:rsid w:val="004F2244"/>
    <w:rsid w:val="004F28F0"/>
    <w:rsid w:val="004F2AD8"/>
    <w:rsid w:val="004F2EE3"/>
    <w:rsid w:val="004F3757"/>
    <w:rsid w:val="004F394E"/>
    <w:rsid w:val="004F445B"/>
    <w:rsid w:val="004F48E4"/>
    <w:rsid w:val="004F4954"/>
    <w:rsid w:val="004F4DFC"/>
    <w:rsid w:val="004F51F0"/>
    <w:rsid w:val="004F5236"/>
    <w:rsid w:val="004F53C2"/>
    <w:rsid w:val="004F55EA"/>
    <w:rsid w:val="004F60BF"/>
    <w:rsid w:val="004F6D98"/>
    <w:rsid w:val="004F6DE7"/>
    <w:rsid w:val="004F6FC5"/>
    <w:rsid w:val="004F74C3"/>
    <w:rsid w:val="004F7515"/>
    <w:rsid w:val="004F7927"/>
    <w:rsid w:val="004F7AD4"/>
    <w:rsid w:val="004F7B5C"/>
    <w:rsid w:val="004F7F70"/>
    <w:rsid w:val="00500BCB"/>
    <w:rsid w:val="00500DC0"/>
    <w:rsid w:val="00501473"/>
    <w:rsid w:val="00502740"/>
    <w:rsid w:val="005027D1"/>
    <w:rsid w:val="00503A1B"/>
    <w:rsid w:val="005047C9"/>
    <w:rsid w:val="00504F92"/>
    <w:rsid w:val="005052A2"/>
    <w:rsid w:val="00505658"/>
    <w:rsid w:val="00505B2A"/>
    <w:rsid w:val="005060C1"/>
    <w:rsid w:val="00506363"/>
    <w:rsid w:val="00506523"/>
    <w:rsid w:val="00506525"/>
    <w:rsid w:val="00506B5C"/>
    <w:rsid w:val="00506DD4"/>
    <w:rsid w:val="0050722D"/>
    <w:rsid w:val="005077CD"/>
    <w:rsid w:val="00507CEC"/>
    <w:rsid w:val="00507ED8"/>
    <w:rsid w:val="005107A8"/>
    <w:rsid w:val="005114A3"/>
    <w:rsid w:val="005118EB"/>
    <w:rsid w:val="005119DD"/>
    <w:rsid w:val="00511E0E"/>
    <w:rsid w:val="00511E57"/>
    <w:rsid w:val="00513276"/>
    <w:rsid w:val="00513350"/>
    <w:rsid w:val="005137A2"/>
    <w:rsid w:val="00513AB7"/>
    <w:rsid w:val="005148DA"/>
    <w:rsid w:val="00515204"/>
    <w:rsid w:val="00515A9F"/>
    <w:rsid w:val="00515C23"/>
    <w:rsid w:val="00515E28"/>
    <w:rsid w:val="0051609A"/>
    <w:rsid w:val="005161F1"/>
    <w:rsid w:val="0051637E"/>
    <w:rsid w:val="005173E0"/>
    <w:rsid w:val="005174FE"/>
    <w:rsid w:val="00520366"/>
    <w:rsid w:val="00520B6B"/>
    <w:rsid w:val="00520E96"/>
    <w:rsid w:val="0052276A"/>
    <w:rsid w:val="00522C3C"/>
    <w:rsid w:val="0052312B"/>
    <w:rsid w:val="005231A2"/>
    <w:rsid w:val="00524146"/>
    <w:rsid w:val="00524B49"/>
    <w:rsid w:val="00524EF0"/>
    <w:rsid w:val="00525076"/>
    <w:rsid w:val="00525240"/>
    <w:rsid w:val="005253E3"/>
    <w:rsid w:val="005264C5"/>
    <w:rsid w:val="00526737"/>
    <w:rsid w:val="0052682D"/>
    <w:rsid w:val="00526C3C"/>
    <w:rsid w:val="00527059"/>
    <w:rsid w:val="00527782"/>
    <w:rsid w:val="005278B3"/>
    <w:rsid w:val="00527983"/>
    <w:rsid w:val="0053020D"/>
    <w:rsid w:val="0053063E"/>
    <w:rsid w:val="00530816"/>
    <w:rsid w:val="00530CF6"/>
    <w:rsid w:val="00531092"/>
    <w:rsid w:val="0053158D"/>
    <w:rsid w:val="00531E88"/>
    <w:rsid w:val="005323FE"/>
    <w:rsid w:val="00532EA1"/>
    <w:rsid w:val="005342C5"/>
    <w:rsid w:val="005344DB"/>
    <w:rsid w:val="00534C78"/>
    <w:rsid w:val="0053520F"/>
    <w:rsid w:val="0053537B"/>
    <w:rsid w:val="00535594"/>
    <w:rsid w:val="005356B7"/>
    <w:rsid w:val="00536326"/>
    <w:rsid w:val="00536613"/>
    <w:rsid w:val="00536B63"/>
    <w:rsid w:val="00537715"/>
    <w:rsid w:val="0054020D"/>
    <w:rsid w:val="0054030B"/>
    <w:rsid w:val="00540430"/>
    <w:rsid w:val="00540622"/>
    <w:rsid w:val="0054087B"/>
    <w:rsid w:val="00540E0A"/>
    <w:rsid w:val="005414DC"/>
    <w:rsid w:val="005418E6"/>
    <w:rsid w:val="00542698"/>
    <w:rsid w:val="00542B67"/>
    <w:rsid w:val="00542CBD"/>
    <w:rsid w:val="00543107"/>
    <w:rsid w:val="005433CC"/>
    <w:rsid w:val="00543534"/>
    <w:rsid w:val="0054396C"/>
    <w:rsid w:val="00543FBC"/>
    <w:rsid w:val="00544110"/>
    <w:rsid w:val="00544B99"/>
    <w:rsid w:val="00545277"/>
    <w:rsid w:val="0054551B"/>
    <w:rsid w:val="00545BCA"/>
    <w:rsid w:val="00546911"/>
    <w:rsid w:val="005469A9"/>
    <w:rsid w:val="0054718D"/>
    <w:rsid w:val="0054757E"/>
    <w:rsid w:val="00547C9E"/>
    <w:rsid w:val="005505B1"/>
    <w:rsid w:val="00550AF5"/>
    <w:rsid w:val="00550C64"/>
    <w:rsid w:val="00550CA9"/>
    <w:rsid w:val="005519A4"/>
    <w:rsid w:val="00551A84"/>
    <w:rsid w:val="0055255C"/>
    <w:rsid w:val="00552A4D"/>
    <w:rsid w:val="00553E62"/>
    <w:rsid w:val="005543FE"/>
    <w:rsid w:val="00554414"/>
    <w:rsid w:val="0055487A"/>
    <w:rsid w:val="00554ABF"/>
    <w:rsid w:val="00554C2C"/>
    <w:rsid w:val="005550F9"/>
    <w:rsid w:val="00555396"/>
    <w:rsid w:val="0055551E"/>
    <w:rsid w:val="005556D3"/>
    <w:rsid w:val="00555A8E"/>
    <w:rsid w:val="00555F1F"/>
    <w:rsid w:val="0055672F"/>
    <w:rsid w:val="00556DFC"/>
    <w:rsid w:val="0055705C"/>
    <w:rsid w:val="00557E1F"/>
    <w:rsid w:val="00560162"/>
    <w:rsid w:val="005603F9"/>
    <w:rsid w:val="005609FC"/>
    <w:rsid w:val="00560C3D"/>
    <w:rsid w:val="00560DD3"/>
    <w:rsid w:val="00560E78"/>
    <w:rsid w:val="005619F4"/>
    <w:rsid w:val="00561A71"/>
    <w:rsid w:val="00561BB7"/>
    <w:rsid w:val="0056267F"/>
    <w:rsid w:val="00562778"/>
    <w:rsid w:val="00562F41"/>
    <w:rsid w:val="0056313E"/>
    <w:rsid w:val="00563217"/>
    <w:rsid w:val="00563EFE"/>
    <w:rsid w:val="00564427"/>
    <w:rsid w:val="00564C0A"/>
    <w:rsid w:val="00564CE0"/>
    <w:rsid w:val="00565047"/>
    <w:rsid w:val="005653F0"/>
    <w:rsid w:val="005659C0"/>
    <w:rsid w:val="00565BFA"/>
    <w:rsid w:val="0056600F"/>
    <w:rsid w:val="0056633E"/>
    <w:rsid w:val="00566736"/>
    <w:rsid w:val="0056702A"/>
    <w:rsid w:val="005670D4"/>
    <w:rsid w:val="00567323"/>
    <w:rsid w:val="0056754B"/>
    <w:rsid w:val="00567FF2"/>
    <w:rsid w:val="005701AF"/>
    <w:rsid w:val="00570416"/>
    <w:rsid w:val="0057072E"/>
    <w:rsid w:val="00570B7A"/>
    <w:rsid w:val="00570C13"/>
    <w:rsid w:val="00570FDA"/>
    <w:rsid w:val="00571999"/>
    <w:rsid w:val="00571A0D"/>
    <w:rsid w:val="00571BEC"/>
    <w:rsid w:val="00571D9B"/>
    <w:rsid w:val="00572A2B"/>
    <w:rsid w:val="00572CF2"/>
    <w:rsid w:val="00573125"/>
    <w:rsid w:val="0057380B"/>
    <w:rsid w:val="00573A5B"/>
    <w:rsid w:val="00573FD1"/>
    <w:rsid w:val="00574178"/>
    <w:rsid w:val="00574CA5"/>
    <w:rsid w:val="00574CE8"/>
    <w:rsid w:val="00574D70"/>
    <w:rsid w:val="0057555B"/>
    <w:rsid w:val="00575D7B"/>
    <w:rsid w:val="00576017"/>
    <w:rsid w:val="00577053"/>
    <w:rsid w:val="00577183"/>
    <w:rsid w:val="00577400"/>
    <w:rsid w:val="00577F69"/>
    <w:rsid w:val="00580F32"/>
    <w:rsid w:val="00582639"/>
    <w:rsid w:val="005828A9"/>
    <w:rsid w:val="00582FBF"/>
    <w:rsid w:val="00583680"/>
    <w:rsid w:val="00583784"/>
    <w:rsid w:val="00583FBE"/>
    <w:rsid w:val="00584293"/>
    <w:rsid w:val="005843F7"/>
    <w:rsid w:val="005846AC"/>
    <w:rsid w:val="00584AA5"/>
    <w:rsid w:val="00584C7D"/>
    <w:rsid w:val="0058565F"/>
    <w:rsid w:val="00585929"/>
    <w:rsid w:val="00587235"/>
    <w:rsid w:val="00587722"/>
    <w:rsid w:val="00590227"/>
    <w:rsid w:val="005904BA"/>
    <w:rsid w:val="005905E8"/>
    <w:rsid w:val="00590A05"/>
    <w:rsid w:val="00591568"/>
    <w:rsid w:val="00591FA0"/>
    <w:rsid w:val="00592955"/>
    <w:rsid w:val="00593968"/>
    <w:rsid w:val="00593D36"/>
    <w:rsid w:val="00594BE7"/>
    <w:rsid w:val="00594E58"/>
    <w:rsid w:val="00595366"/>
    <w:rsid w:val="00595B8E"/>
    <w:rsid w:val="00595FBC"/>
    <w:rsid w:val="00596021"/>
    <w:rsid w:val="00596510"/>
    <w:rsid w:val="005966CA"/>
    <w:rsid w:val="00596D15"/>
    <w:rsid w:val="005970F9"/>
    <w:rsid w:val="005976C9"/>
    <w:rsid w:val="005977A4"/>
    <w:rsid w:val="0059790A"/>
    <w:rsid w:val="00597C5D"/>
    <w:rsid w:val="00597E9C"/>
    <w:rsid w:val="005A01CC"/>
    <w:rsid w:val="005A0222"/>
    <w:rsid w:val="005A0492"/>
    <w:rsid w:val="005A0BFD"/>
    <w:rsid w:val="005A10A7"/>
    <w:rsid w:val="005A1297"/>
    <w:rsid w:val="005A1652"/>
    <w:rsid w:val="005A1726"/>
    <w:rsid w:val="005A285A"/>
    <w:rsid w:val="005A29DC"/>
    <w:rsid w:val="005A29EC"/>
    <w:rsid w:val="005A3307"/>
    <w:rsid w:val="005A4ACB"/>
    <w:rsid w:val="005A5242"/>
    <w:rsid w:val="005A54C7"/>
    <w:rsid w:val="005A55D9"/>
    <w:rsid w:val="005A5612"/>
    <w:rsid w:val="005A650D"/>
    <w:rsid w:val="005A698B"/>
    <w:rsid w:val="005A6ABA"/>
    <w:rsid w:val="005A6B3E"/>
    <w:rsid w:val="005A7004"/>
    <w:rsid w:val="005A7849"/>
    <w:rsid w:val="005A7DDA"/>
    <w:rsid w:val="005A7EC0"/>
    <w:rsid w:val="005A7FA3"/>
    <w:rsid w:val="005B01EB"/>
    <w:rsid w:val="005B05B0"/>
    <w:rsid w:val="005B06C8"/>
    <w:rsid w:val="005B0A11"/>
    <w:rsid w:val="005B0B2B"/>
    <w:rsid w:val="005B0C28"/>
    <w:rsid w:val="005B17A1"/>
    <w:rsid w:val="005B1E23"/>
    <w:rsid w:val="005B1E4F"/>
    <w:rsid w:val="005B2648"/>
    <w:rsid w:val="005B3109"/>
    <w:rsid w:val="005B37DD"/>
    <w:rsid w:val="005B3FBA"/>
    <w:rsid w:val="005B4204"/>
    <w:rsid w:val="005B4F27"/>
    <w:rsid w:val="005B51E3"/>
    <w:rsid w:val="005B6014"/>
    <w:rsid w:val="005B6E5B"/>
    <w:rsid w:val="005C052A"/>
    <w:rsid w:val="005C069F"/>
    <w:rsid w:val="005C0727"/>
    <w:rsid w:val="005C07FE"/>
    <w:rsid w:val="005C138F"/>
    <w:rsid w:val="005C1C79"/>
    <w:rsid w:val="005C1CCE"/>
    <w:rsid w:val="005C1E1B"/>
    <w:rsid w:val="005C22A0"/>
    <w:rsid w:val="005C22BC"/>
    <w:rsid w:val="005C2394"/>
    <w:rsid w:val="005C2CC6"/>
    <w:rsid w:val="005C36AE"/>
    <w:rsid w:val="005C3B0C"/>
    <w:rsid w:val="005C4174"/>
    <w:rsid w:val="005C4ADF"/>
    <w:rsid w:val="005C4D57"/>
    <w:rsid w:val="005C5BE1"/>
    <w:rsid w:val="005C5C0A"/>
    <w:rsid w:val="005C5D99"/>
    <w:rsid w:val="005C654C"/>
    <w:rsid w:val="005C66FC"/>
    <w:rsid w:val="005C681D"/>
    <w:rsid w:val="005C6B0C"/>
    <w:rsid w:val="005C7C50"/>
    <w:rsid w:val="005D0027"/>
    <w:rsid w:val="005D0E23"/>
    <w:rsid w:val="005D0E58"/>
    <w:rsid w:val="005D11C0"/>
    <w:rsid w:val="005D1586"/>
    <w:rsid w:val="005D1BD0"/>
    <w:rsid w:val="005D2539"/>
    <w:rsid w:val="005D2820"/>
    <w:rsid w:val="005D2F33"/>
    <w:rsid w:val="005D34B9"/>
    <w:rsid w:val="005D397D"/>
    <w:rsid w:val="005D3AF7"/>
    <w:rsid w:val="005D3CBE"/>
    <w:rsid w:val="005D44E3"/>
    <w:rsid w:val="005D46E0"/>
    <w:rsid w:val="005D53FD"/>
    <w:rsid w:val="005D542D"/>
    <w:rsid w:val="005D58A5"/>
    <w:rsid w:val="005D5F95"/>
    <w:rsid w:val="005D61E6"/>
    <w:rsid w:val="005D620B"/>
    <w:rsid w:val="005D6A5D"/>
    <w:rsid w:val="005D7257"/>
    <w:rsid w:val="005D73EF"/>
    <w:rsid w:val="005D798C"/>
    <w:rsid w:val="005D7B4A"/>
    <w:rsid w:val="005D7B60"/>
    <w:rsid w:val="005D7E2A"/>
    <w:rsid w:val="005E0969"/>
    <w:rsid w:val="005E1041"/>
    <w:rsid w:val="005E146F"/>
    <w:rsid w:val="005E18F9"/>
    <w:rsid w:val="005E1910"/>
    <w:rsid w:val="005E1BA3"/>
    <w:rsid w:val="005E2F28"/>
    <w:rsid w:val="005E3A44"/>
    <w:rsid w:val="005E3AB6"/>
    <w:rsid w:val="005E3D3B"/>
    <w:rsid w:val="005E4832"/>
    <w:rsid w:val="005E4AAF"/>
    <w:rsid w:val="005E4F4A"/>
    <w:rsid w:val="005E588F"/>
    <w:rsid w:val="005E5AB0"/>
    <w:rsid w:val="005E5EE9"/>
    <w:rsid w:val="005E600B"/>
    <w:rsid w:val="005E623E"/>
    <w:rsid w:val="005E628D"/>
    <w:rsid w:val="005E662E"/>
    <w:rsid w:val="005E6C9C"/>
    <w:rsid w:val="005E6ED5"/>
    <w:rsid w:val="005E7D97"/>
    <w:rsid w:val="005F0DA9"/>
    <w:rsid w:val="005F1431"/>
    <w:rsid w:val="005F1EA3"/>
    <w:rsid w:val="005F1F4C"/>
    <w:rsid w:val="005F2421"/>
    <w:rsid w:val="005F3189"/>
    <w:rsid w:val="005F343A"/>
    <w:rsid w:val="005F44C8"/>
    <w:rsid w:val="005F52A6"/>
    <w:rsid w:val="005F55CC"/>
    <w:rsid w:val="005F5AC0"/>
    <w:rsid w:val="005F741E"/>
    <w:rsid w:val="005F7CBE"/>
    <w:rsid w:val="00600139"/>
    <w:rsid w:val="00600361"/>
    <w:rsid w:val="00600914"/>
    <w:rsid w:val="00600EDA"/>
    <w:rsid w:val="0060141C"/>
    <w:rsid w:val="006015AB"/>
    <w:rsid w:val="006017B6"/>
    <w:rsid w:val="00601E2C"/>
    <w:rsid w:val="006020C2"/>
    <w:rsid w:val="0060259B"/>
    <w:rsid w:val="006026E1"/>
    <w:rsid w:val="00602F50"/>
    <w:rsid w:val="00603014"/>
    <w:rsid w:val="00603236"/>
    <w:rsid w:val="006033C2"/>
    <w:rsid w:val="006034E6"/>
    <w:rsid w:val="0060354B"/>
    <w:rsid w:val="006035D1"/>
    <w:rsid w:val="006036FF"/>
    <w:rsid w:val="00603774"/>
    <w:rsid w:val="00604B45"/>
    <w:rsid w:val="00605401"/>
    <w:rsid w:val="0060560B"/>
    <w:rsid w:val="00605996"/>
    <w:rsid w:val="006059B3"/>
    <w:rsid w:val="006064B6"/>
    <w:rsid w:val="006068B2"/>
    <w:rsid w:val="00606F1E"/>
    <w:rsid w:val="0060709C"/>
    <w:rsid w:val="00607669"/>
    <w:rsid w:val="006076B7"/>
    <w:rsid w:val="00607B70"/>
    <w:rsid w:val="00607E71"/>
    <w:rsid w:val="006108A7"/>
    <w:rsid w:val="00610D2D"/>
    <w:rsid w:val="00610D32"/>
    <w:rsid w:val="0061112D"/>
    <w:rsid w:val="00611197"/>
    <w:rsid w:val="006115E5"/>
    <w:rsid w:val="00611E5B"/>
    <w:rsid w:val="0061239A"/>
    <w:rsid w:val="0061259F"/>
    <w:rsid w:val="006125DA"/>
    <w:rsid w:val="006135F6"/>
    <w:rsid w:val="00613796"/>
    <w:rsid w:val="006140A7"/>
    <w:rsid w:val="00614278"/>
    <w:rsid w:val="0061448E"/>
    <w:rsid w:val="00614906"/>
    <w:rsid w:val="00614943"/>
    <w:rsid w:val="00614947"/>
    <w:rsid w:val="00614C7E"/>
    <w:rsid w:val="00614E61"/>
    <w:rsid w:val="00615216"/>
    <w:rsid w:val="006163C6"/>
    <w:rsid w:val="00616505"/>
    <w:rsid w:val="00616D32"/>
    <w:rsid w:val="00616D78"/>
    <w:rsid w:val="00616F1F"/>
    <w:rsid w:val="00616FB7"/>
    <w:rsid w:val="00617320"/>
    <w:rsid w:val="0061747F"/>
    <w:rsid w:val="006176BA"/>
    <w:rsid w:val="006179FA"/>
    <w:rsid w:val="00617B7B"/>
    <w:rsid w:val="00620638"/>
    <w:rsid w:val="00620F1E"/>
    <w:rsid w:val="00621417"/>
    <w:rsid w:val="00621636"/>
    <w:rsid w:val="00621792"/>
    <w:rsid w:val="00621CB5"/>
    <w:rsid w:val="00621D47"/>
    <w:rsid w:val="00622566"/>
    <w:rsid w:val="00623530"/>
    <w:rsid w:val="006238A4"/>
    <w:rsid w:val="00623CD5"/>
    <w:rsid w:val="00623D36"/>
    <w:rsid w:val="00624045"/>
    <w:rsid w:val="0062408B"/>
    <w:rsid w:val="006244BD"/>
    <w:rsid w:val="0062483C"/>
    <w:rsid w:val="00624A67"/>
    <w:rsid w:val="00624B17"/>
    <w:rsid w:val="0062526E"/>
    <w:rsid w:val="00625D48"/>
    <w:rsid w:val="00625E81"/>
    <w:rsid w:val="00626A2B"/>
    <w:rsid w:val="0062706B"/>
    <w:rsid w:val="006271FC"/>
    <w:rsid w:val="0062768B"/>
    <w:rsid w:val="006301B1"/>
    <w:rsid w:val="00630A03"/>
    <w:rsid w:val="00630CB2"/>
    <w:rsid w:val="0063120E"/>
    <w:rsid w:val="006313DB"/>
    <w:rsid w:val="00631450"/>
    <w:rsid w:val="00631768"/>
    <w:rsid w:val="00631E31"/>
    <w:rsid w:val="00632D46"/>
    <w:rsid w:val="006331E9"/>
    <w:rsid w:val="006336F9"/>
    <w:rsid w:val="00633984"/>
    <w:rsid w:val="00633F25"/>
    <w:rsid w:val="00633F9F"/>
    <w:rsid w:val="00634370"/>
    <w:rsid w:val="00634440"/>
    <w:rsid w:val="006348F8"/>
    <w:rsid w:val="00634BE1"/>
    <w:rsid w:val="00634FCD"/>
    <w:rsid w:val="00635274"/>
    <w:rsid w:val="0063571C"/>
    <w:rsid w:val="006357D2"/>
    <w:rsid w:val="00636031"/>
    <w:rsid w:val="0063641F"/>
    <w:rsid w:val="00636B8E"/>
    <w:rsid w:val="00637685"/>
    <w:rsid w:val="00637693"/>
    <w:rsid w:val="00641194"/>
    <w:rsid w:val="00641D53"/>
    <w:rsid w:val="00643176"/>
    <w:rsid w:val="006431EA"/>
    <w:rsid w:val="00643361"/>
    <w:rsid w:val="006435F6"/>
    <w:rsid w:val="00644B91"/>
    <w:rsid w:val="0064512C"/>
    <w:rsid w:val="0064556D"/>
    <w:rsid w:val="006455C9"/>
    <w:rsid w:val="006459FC"/>
    <w:rsid w:val="00645EBD"/>
    <w:rsid w:val="00646000"/>
    <w:rsid w:val="0064647C"/>
    <w:rsid w:val="006467EC"/>
    <w:rsid w:val="00646A44"/>
    <w:rsid w:val="006473C8"/>
    <w:rsid w:val="00647FA8"/>
    <w:rsid w:val="00650F7A"/>
    <w:rsid w:val="00651487"/>
    <w:rsid w:val="006516FE"/>
    <w:rsid w:val="00651BEA"/>
    <w:rsid w:val="00651E2D"/>
    <w:rsid w:val="0065270C"/>
    <w:rsid w:val="00652D1E"/>
    <w:rsid w:val="00652E40"/>
    <w:rsid w:val="00653276"/>
    <w:rsid w:val="00653AF3"/>
    <w:rsid w:val="00653CCD"/>
    <w:rsid w:val="0065419D"/>
    <w:rsid w:val="00655C42"/>
    <w:rsid w:val="006566F2"/>
    <w:rsid w:val="006573F6"/>
    <w:rsid w:val="00657666"/>
    <w:rsid w:val="0065790A"/>
    <w:rsid w:val="006604DF"/>
    <w:rsid w:val="00660A55"/>
    <w:rsid w:val="00660A9E"/>
    <w:rsid w:val="00660B0F"/>
    <w:rsid w:val="00660D79"/>
    <w:rsid w:val="00661915"/>
    <w:rsid w:val="00661CA6"/>
    <w:rsid w:val="00661F7D"/>
    <w:rsid w:val="00662E22"/>
    <w:rsid w:val="00663186"/>
    <w:rsid w:val="00664351"/>
    <w:rsid w:val="00664406"/>
    <w:rsid w:val="00664765"/>
    <w:rsid w:val="006648DC"/>
    <w:rsid w:val="00664A7B"/>
    <w:rsid w:val="00664BC0"/>
    <w:rsid w:val="00665518"/>
    <w:rsid w:val="006659C8"/>
    <w:rsid w:val="006660BB"/>
    <w:rsid w:val="00667259"/>
    <w:rsid w:val="00667424"/>
    <w:rsid w:val="00667AE6"/>
    <w:rsid w:val="00667B3E"/>
    <w:rsid w:val="00671169"/>
    <w:rsid w:val="00671173"/>
    <w:rsid w:val="00671ACA"/>
    <w:rsid w:val="00672CF8"/>
    <w:rsid w:val="00672E4B"/>
    <w:rsid w:val="00672EDF"/>
    <w:rsid w:val="006734E2"/>
    <w:rsid w:val="00673723"/>
    <w:rsid w:val="00673BD6"/>
    <w:rsid w:val="00674236"/>
    <w:rsid w:val="00674E9A"/>
    <w:rsid w:val="0067522E"/>
    <w:rsid w:val="006752C9"/>
    <w:rsid w:val="00675C94"/>
    <w:rsid w:val="00675FA3"/>
    <w:rsid w:val="00676134"/>
    <w:rsid w:val="006763EB"/>
    <w:rsid w:val="00676C6F"/>
    <w:rsid w:val="00676D26"/>
    <w:rsid w:val="00676EB1"/>
    <w:rsid w:val="006772B7"/>
    <w:rsid w:val="006775BD"/>
    <w:rsid w:val="006775F2"/>
    <w:rsid w:val="00677850"/>
    <w:rsid w:val="00677859"/>
    <w:rsid w:val="00677B46"/>
    <w:rsid w:val="00677CA0"/>
    <w:rsid w:val="00677F31"/>
    <w:rsid w:val="0068015A"/>
    <w:rsid w:val="006807CE"/>
    <w:rsid w:val="006809B4"/>
    <w:rsid w:val="00680E37"/>
    <w:rsid w:val="00681110"/>
    <w:rsid w:val="006815BF"/>
    <w:rsid w:val="00681860"/>
    <w:rsid w:val="006819A3"/>
    <w:rsid w:val="00681A5A"/>
    <w:rsid w:val="00681C3D"/>
    <w:rsid w:val="006820B5"/>
    <w:rsid w:val="006824C6"/>
    <w:rsid w:val="006836A6"/>
    <w:rsid w:val="00683E05"/>
    <w:rsid w:val="00684275"/>
    <w:rsid w:val="006847BD"/>
    <w:rsid w:val="00685182"/>
    <w:rsid w:val="00685945"/>
    <w:rsid w:val="00685A73"/>
    <w:rsid w:val="00685C3D"/>
    <w:rsid w:val="00685CFC"/>
    <w:rsid w:val="00686150"/>
    <w:rsid w:val="00686D18"/>
    <w:rsid w:val="00687989"/>
    <w:rsid w:val="0069046F"/>
    <w:rsid w:val="006904D3"/>
    <w:rsid w:val="00690A2E"/>
    <w:rsid w:val="00690D04"/>
    <w:rsid w:val="00691822"/>
    <w:rsid w:val="006920D1"/>
    <w:rsid w:val="006923D0"/>
    <w:rsid w:val="0069253D"/>
    <w:rsid w:val="00692581"/>
    <w:rsid w:val="006929A2"/>
    <w:rsid w:val="00692AB1"/>
    <w:rsid w:val="00692DDF"/>
    <w:rsid w:val="00693796"/>
    <w:rsid w:val="006939D8"/>
    <w:rsid w:val="00693A3E"/>
    <w:rsid w:val="00693B2F"/>
    <w:rsid w:val="006940B8"/>
    <w:rsid w:val="00694730"/>
    <w:rsid w:val="00695095"/>
    <w:rsid w:val="00696201"/>
    <w:rsid w:val="006967E1"/>
    <w:rsid w:val="00696CE0"/>
    <w:rsid w:val="00697814"/>
    <w:rsid w:val="00697EDA"/>
    <w:rsid w:val="006A091E"/>
    <w:rsid w:val="006A12AC"/>
    <w:rsid w:val="006A1357"/>
    <w:rsid w:val="006A19DA"/>
    <w:rsid w:val="006A1BFF"/>
    <w:rsid w:val="006A1D95"/>
    <w:rsid w:val="006A2A93"/>
    <w:rsid w:val="006A4455"/>
    <w:rsid w:val="006A4B1B"/>
    <w:rsid w:val="006A4EC5"/>
    <w:rsid w:val="006A53D1"/>
    <w:rsid w:val="006A5613"/>
    <w:rsid w:val="006A62E3"/>
    <w:rsid w:val="006A6947"/>
    <w:rsid w:val="006A704C"/>
    <w:rsid w:val="006A7453"/>
    <w:rsid w:val="006A74E0"/>
    <w:rsid w:val="006B0575"/>
    <w:rsid w:val="006B07ED"/>
    <w:rsid w:val="006B0877"/>
    <w:rsid w:val="006B161C"/>
    <w:rsid w:val="006B187E"/>
    <w:rsid w:val="006B2292"/>
    <w:rsid w:val="006B303B"/>
    <w:rsid w:val="006B3A00"/>
    <w:rsid w:val="006B4303"/>
    <w:rsid w:val="006B4C1B"/>
    <w:rsid w:val="006B5115"/>
    <w:rsid w:val="006B6C69"/>
    <w:rsid w:val="006B6E79"/>
    <w:rsid w:val="006B7198"/>
    <w:rsid w:val="006B719E"/>
    <w:rsid w:val="006B7644"/>
    <w:rsid w:val="006C006D"/>
    <w:rsid w:val="006C0B02"/>
    <w:rsid w:val="006C11E7"/>
    <w:rsid w:val="006C14F1"/>
    <w:rsid w:val="006C196D"/>
    <w:rsid w:val="006C1BF0"/>
    <w:rsid w:val="006C2EDA"/>
    <w:rsid w:val="006C30E0"/>
    <w:rsid w:val="006C3610"/>
    <w:rsid w:val="006C3A19"/>
    <w:rsid w:val="006C3DDF"/>
    <w:rsid w:val="006C44E2"/>
    <w:rsid w:val="006C467C"/>
    <w:rsid w:val="006C4DCE"/>
    <w:rsid w:val="006C600B"/>
    <w:rsid w:val="006C65F0"/>
    <w:rsid w:val="006C67DD"/>
    <w:rsid w:val="006C6CF8"/>
    <w:rsid w:val="006C7309"/>
    <w:rsid w:val="006C74A2"/>
    <w:rsid w:val="006C783A"/>
    <w:rsid w:val="006C78C0"/>
    <w:rsid w:val="006C7C59"/>
    <w:rsid w:val="006C7D61"/>
    <w:rsid w:val="006C7E7F"/>
    <w:rsid w:val="006D068A"/>
    <w:rsid w:val="006D0A19"/>
    <w:rsid w:val="006D102B"/>
    <w:rsid w:val="006D10B0"/>
    <w:rsid w:val="006D1B48"/>
    <w:rsid w:val="006D1BCC"/>
    <w:rsid w:val="006D2CD5"/>
    <w:rsid w:val="006D2F2A"/>
    <w:rsid w:val="006D31EE"/>
    <w:rsid w:val="006D37A8"/>
    <w:rsid w:val="006D3934"/>
    <w:rsid w:val="006D3B38"/>
    <w:rsid w:val="006D4176"/>
    <w:rsid w:val="006D496B"/>
    <w:rsid w:val="006D4A80"/>
    <w:rsid w:val="006D4C69"/>
    <w:rsid w:val="006D4D71"/>
    <w:rsid w:val="006D56EB"/>
    <w:rsid w:val="006D589C"/>
    <w:rsid w:val="006D5BBC"/>
    <w:rsid w:val="006D7303"/>
    <w:rsid w:val="006D763A"/>
    <w:rsid w:val="006D79FA"/>
    <w:rsid w:val="006E00CE"/>
    <w:rsid w:val="006E10B9"/>
    <w:rsid w:val="006E1376"/>
    <w:rsid w:val="006E1DF4"/>
    <w:rsid w:val="006E1EB3"/>
    <w:rsid w:val="006E2237"/>
    <w:rsid w:val="006E2A1D"/>
    <w:rsid w:val="006E33E6"/>
    <w:rsid w:val="006E380E"/>
    <w:rsid w:val="006E3937"/>
    <w:rsid w:val="006E3C6E"/>
    <w:rsid w:val="006E45AB"/>
    <w:rsid w:val="006E471B"/>
    <w:rsid w:val="006E52F5"/>
    <w:rsid w:val="006E5462"/>
    <w:rsid w:val="006E566C"/>
    <w:rsid w:val="006E65DF"/>
    <w:rsid w:val="006E725A"/>
    <w:rsid w:val="006F04AE"/>
    <w:rsid w:val="006F04D5"/>
    <w:rsid w:val="006F1101"/>
    <w:rsid w:val="006F12B4"/>
    <w:rsid w:val="006F192F"/>
    <w:rsid w:val="006F20A0"/>
    <w:rsid w:val="006F2494"/>
    <w:rsid w:val="006F2637"/>
    <w:rsid w:val="006F2AB7"/>
    <w:rsid w:val="006F33B7"/>
    <w:rsid w:val="006F3A21"/>
    <w:rsid w:val="006F3D73"/>
    <w:rsid w:val="006F3DBE"/>
    <w:rsid w:val="006F3F65"/>
    <w:rsid w:val="006F431E"/>
    <w:rsid w:val="006F4791"/>
    <w:rsid w:val="006F4B80"/>
    <w:rsid w:val="006F5052"/>
    <w:rsid w:val="006F5114"/>
    <w:rsid w:val="006F5697"/>
    <w:rsid w:val="006F69FA"/>
    <w:rsid w:val="006F6B85"/>
    <w:rsid w:val="006F6D77"/>
    <w:rsid w:val="006F6F35"/>
    <w:rsid w:val="006F79A8"/>
    <w:rsid w:val="00700549"/>
    <w:rsid w:val="00700A2F"/>
    <w:rsid w:val="00701A7F"/>
    <w:rsid w:val="0070203B"/>
    <w:rsid w:val="0070299A"/>
    <w:rsid w:val="007032B9"/>
    <w:rsid w:val="00703717"/>
    <w:rsid w:val="007041EF"/>
    <w:rsid w:val="007042F0"/>
    <w:rsid w:val="007044A9"/>
    <w:rsid w:val="00705295"/>
    <w:rsid w:val="00705386"/>
    <w:rsid w:val="007058E0"/>
    <w:rsid w:val="00705AF6"/>
    <w:rsid w:val="00705E43"/>
    <w:rsid w:val="00705FA4"/>
    <w:rsid w:val="00706005"/>
    <w:rsid w:val="00707138"/>
    <w:rsid w:val="0070714E"/>
    <w:rsid w:val="007078B0"/>
    <w:rsid w:val="00710217"/>
    <w:rsid w:val="00710539"/>
    <w:rsid w:val="007105FC"/>
    <w:rsid w:val="0071172F"/>
    <w:rsid w:val="007119A2"/>
    <w:rsid w:val="007123EC"/>
    <w:rsid w:val="00713482"/>
    <w:rsid w:val="00713BA7"/>
    <w:rsid w:val="00713BBE"/>
    <w:rsid w:val="00713F54"/>
    <w:rsid w:val="0071474D"/>
    <w:rsid w:val="007147C4"/>
    <w:rsid w:val="00714B00"/>
    <w:rsid w:val="00714E10"/>
    <w:rsid w:val="00715F42"/>
    <w:rsid w:val="00715F45"/>
    <w:rsid w:val="00715F86"/>
    <w:rsid w:val="00717347"/>
    <w:rsid w:val="00717B1C"/>
    <w:rsid w:val="00717BC6"/>
    <w:rsid w:val="00717F4B"/>
    <w:rsid w:val="00720417"/>
    <w:rsid w:val="00720B9E"/>
    <w:rsid w:val="007213ED"/>
    <w:rsid w:val="00721AAD"/>
    <w:rsid w:val="0072220B"/>
    <w:rsid w:val="00722230"/>
    <w:rsid w:val="00722356"/>
    <w:rsid w:val="007226E2"/>
    <w:rsid w:val="007228C8"/>
    <w:rsid w:val="0072323C"/>
    <w:rsid w:val="00723BB7"/>
    <w:rsid w:val="00723DAF"/>
    <w:rsid w:val="007240B1"/>
    <w:rsid w:val="00724653"/>
    <w:rsid w:val="0072508F"/>
    <w:rsid w:val="00725A65"/>
    <w:rsid w:val="00725BC3"/>
    <w:rsid w:val="0072619E"/>
    <w:rsid w:val="007262D9"/>
    <w:rsid w:val="007265F0"/>
    <w:rsid w:val="007267CB"/>
    <w:rsid w:val="007269CD"/>
    <w:rsid w:val="00726BF3"/>
    <w:rsid w:val="00727155"/>
    <w:rsid w:val="00727363"/>
    <w:rsid w:val="00727AF3"/>
    <w:rsid w:val="00727E3F"/>
    <w:rsid w:val="007300CF"/>
    <w:rsid w:val="00730937"/>
    <w:rsid w:val="007309AA"/>
    <w:rsid w:val="00730A70"/>
    <w:rsid w:val="00730EF4"/>
    <w:rsid w:val="00731372"/>
    <w:rsid w:val="007314FA"/>
    <w:rsid w:val="007315C7"/>
    <w:rsid w:val="00731F7B"/>
    <w:rsid w:val="0073208D"/>
    <w:rsid w:val="007324C0"/>
    <w:rsid w:val="0073279E"/>
    <w:rsid w:val="00732FC7"/>
    <w:rsid w:val="00733213"/>
    <w:rsid w:val="007333AE"/>
    <w:rsid w:val="007337C4"/>
    <w:rsid w:val="00733A9F"/>
    <w:rsid w:val="00733AF5"/>
    <w:rsid w:val="00733DC6"/>
    <w:rsid w:val="00733E9A"/>
    <w:rsid w:val="0073424B"/>
    <w:rsid w:val="00734AE5"/>
    <w:rsid w:val="00734B19"/>
    <w:rsid w:val="00734C11"/>
    <w:rsid w:val="00734C74"/>
    <w:rsid w:val="00734ED8"/>
    <w:rsid w:val="00734F93"/>
    <w:rsid w:val="00735183"/>
    <w:rsid w:val="007353F4"/>
    <w:rsid w:val="0073554B"/>
    <w:rsid w:val="00735574"/>
    <w:rsid w:val="007365F1"/>
    <w:rsid w:val="00736FBD"/>
    <w:rsid w:val="00737062"/>
    <w:rsid w:val="007372DB"/>
    <w:rsid w:val="007377F5"/>
    <w:rsid w:val="00737CD8"/>
    <w:rsid w:val="00737F1C"/>
    <w:rsid w:val="00740077"/>
    <w:rsid w:val="00741753"/>
    <w:rsid w:val="007423E4"/>
    <w:rsid w:val="007428C2"/>
    <w:rsid w:val="00742D2F"/>
    <w:rsid w:val="00743EA6"/>
    <w:rsid w:val="0074415F"/>
    <w:rsid w:val="007447B7"/>
    <w:rsid w:val="00744BC6"/>
    <w:rsid w:val="007454DF"/>
    <w:rsid w:val="00746628"/>
    <w:rsid w:val="00746880"/>
    <w:rsid w:val="0074690B"/>
    <w:rsid w:val="00746FC3"/>
    <w:rsid w:val="00747BBB"/>
    <w:rsid w:val="00751133"/>
    <w:rsid w:val="00751CE0"/>
    <w:rsid w:val="00751E37"/>
    <w:rsid w:val="0075221D"/>
    <w:rsid w:val="0075227E"/>
    <w:rsid w:val="0075237A"/>
    <w:rsid w:val="007524F3"/>
    <w:rsid w:val="0075271C"/>
    <w:rsid w:val="007527FE"/>
    <w:rsid w:val="0075287F"/>
    <w:rsid w:val="00752A46"/>
    <w:rsid w:val="00752F7E"/>
    <w:rsid w:val="00752FBB"/>
    <w:rsid w:val="00753488"/>
    <w:rsid w:val="00754AB3"/>
    <w:rsid w:val="00754F30"/>
    <w:rsid w:val="0075531C"/>
    <w:rsid w:val="00755419"/>
    <w:rsid w:val="007559A3"/>
    <w:rsid w:val="007559FC"/>
    <w:rsid w:val="00756C06"/>
    <w:rsid w:val="0075710B"/>
    <w:rsid w:val="0075715F"/>
    <w:rsid w:val="00760B03"/>
    <w:rsid w:val="007610D8"/>
    <w:rsid w:val="0076133D"/>
    <w:rsid w:val="0076161F"/>
    <w:rsid w:val="0076192C"/>
    <w:rsid w:val="00761D21"/>
    <w:rsid w:val="0076233C"/>
    <w:rsid w:val="007626FC"/>
    <w:rsid w:val="007628F9"/>
    <w:rsid w:val="007631CD"/>
    <w:rsid w:val="00763281"/>
    <w:rsid w:val="007641F7"/>
    <w:rsid w:val="00765668"/>
    <w:rsid w:val="00765BFA"/>
    <w:rsid w:val="007665B1"/>
    <w:rsid w:val="00766D03"/>
    <w:rsid w:val="00770014"/>
    <w:rsid w:val="00770CA3"/>
    <w:rsid w:val="00770FA2"/>
    <w:rsid w:val="007716B9"/>
    <w:rsid w:val="007716E8"/>
    <w:rsid w:val="00772226"/>
    <w:rsid w:val="00772D77"/>
    <w:rsid w:val="007730AF"/>
    <w:rsid w:val="00773265"/>
    <w:rsid w:val="00773B55"/>
    <w:rsid w:val="00774E02"/>
    <w:rsid w:val="007752FA"/>
    <w:rsid w:val="00775812"/>
    <w:rsid w:val="00775B38"/>
    <w:rsid w:val="00775B5A"/>
    <w:rsid w:val="0077617B"/>
    <w:rsid w:val="007764FB"/>
    <w:rsid w:val="00777341"/>
    <w:rsid w:val="00777C05"/>
    <w:rsid w:val="007800A5"/>
    <w:rsid w:val="00780B01"/>
    <w:rsid w:val="007810C2"/>
    <w:rsid w:val="00782459"/>
    <w:rsid w:val="00782CBC"/>
    <w:rsid w:val="00782D01"/>
    <w:rsid w:val="00782D15"/>
    <w:rsid w:val="007837DC"/>
    <w:rsid w:val="0078388E"/>
    <w:rsid w:val="007841C0"/>
    <w:rsid w:val="007842F7"/>
    <w:rsid w:val="0078466D"/>
    <w:rsid w:val="00784851"/>
    <w:rsid w:val="00784D27"/>
    <w:rsid w:val="00785722"/>
    <w:rsid w:val="007861F5"/>
    <w:rsid w:val="00786D0B"/>
    <w:rsid w:val="007874A2"/>
    <w:rsid w:val="00787C16"/>
    <w:rsid w:val="00790420"/>
    <w:rsid w:val="00790791"/>
    <w:rsid w:val="00790A2E"/>
    <w:rsid w:val="00790AF0"/>
    <w:rsid w:val="00790D6C"/>
    <w:rsid w:val="00790FEB"/>
    <w:rsid w:val="007913B0"/>
    <w:rsid w:val="007916BE"/>
    <w:rsid w:val="00791EA4"/>
    <w:rsid w:val="007923FF"/>
    <w:rsid w:val="007927D6"/>
    <w:rsid w:val="00792E77"/>
    <w:rsid w:val="00793938"/>
    <w:rsid w:val="00793D7B"/>
    <w:rsid w:val="00794419"/>
    <w:rsid w:val="00794BC0"/>
    <w:rsid w:val="00794C2A"/>
    <w:rsid w:val="00794F23"/>
    <w:rsid w:val="007954F0"/>
    <w:rsid w:val="0079576F"/>
    <w:rsid w:val="0079594B"/>
    <w:rsid w:val="00796002"/>
    <w:rsid w:val="00796557"/>
    <w:rsid w:val="00796A0B"/>
    <w:rsid w:val="00796A50"/>
    <w:rsid w:val="00796AF9"/>
    <w:rsid w:val="00796CC3"/>
    <w:rsid w:val="007971B5"/>
    <w:rsid w:val="007974E2"/>
    <w:rsid w:val="00797C89"/>
    <w:rsid w:val="007A0137"/>
    <w:rsid w:val="007A017B"/>
    <w:rsid w:val="007A094A"/>
    <w:rsid w:val="007A0FFD"/>
    <w:rsid w:val="007A111C"/>
    <w:rsid w:val="007A1532"/>
    <w:rsid w:val="007A1767"/>
    <w:rsid w:val="007A31A9"/>
    <w:rsid w:val="007A32BE"/>
    <w:rsid w:val="007A529A"/>
    <w:rsid w:val="007A55E4"/>
    <w:rsid w:val="007A55E7"/>
    <w:rsid w:val="007A57C4"/>
    <w:rsid w:val="007A5A7D"/>
    <w:rsid w:val="007A61C5"/>
    <w:rsid w:val="007A6272"/>
    <w:rsid w:val="007A6623"/>
    <w:rsid w:val="007A680D"/>
    <w:rsid w:val="007A6F8C"/>
    <w:rsid w:val="007B03DB"/>
    <w:rsid w:val="007B0576"/>
    <w:rsid w:val="007B0D6A"/>
    <w:rsid w:val="007B1247"/>
    <w:rsid w:val="007B1733"/>
    <w:rsid w:val="007B1CBD"/>
    <w:rsid w:val="007B203F"/>
    <w:rsid w:val="007B2529"/>
    <w:rsid w:val="007B28E5"/>
    <w:rsid w:val="007B3D9A"/>
    <w:rsid w:val="007B50D6"/>
    <w:rsid w:val="007B54CB"/>
    <w:rsid w:val="007B5665"/>
    <w:rsid w:val="007B5B31"/>
    <w:rsid w:val="007B5D4C"/>
    <w:rsid w:val="007B5D7D"/>
    <w:rsid w:val="007B6751"/>
    <w:rsid w:val="007B692A"/>
    <w:rsid w:val="007B6BF9"/>
    <w:rsid w:val="007B6C1D"/>
    <w:rsid w:val="007B755C"/>
    <w:rsid w:val="007B7DB4"/>
    <w:rsid w:val="007C014D"/>
    <w:rsid w:val="007C044B"/>
    <w:rsid w:val="007C2EEC"/>
    <w:rsid w:val="007C33A1"/>
    <w:rsid w:val="007C3458"/>
    <w:rsid w:val="007C35F7"/>
    <w:rsid w:val="007C3716"/>
    <w:rsid w:val="007C3973"/>
    <w:rsid w:val="007C5006"/>
    <w:rsid w:val="007C5257"/>
    <w:rsid w:val="007C528D"/>
    <w:rsid w:val="007C5560"/>
    <w:rsid w:val="007C5707"/>
    <w:rsid w:val="007C58B1"/>
    <w:rsid w:val="007C58CF"/>
    <w:rsid w:val="007C5A99"/>
    <w:rsid w:val="007C5E2C"/>
    <w:rsid w:val="007C63E7"/>
    <w:rsid w:val="007C647C"/>
    <w:rsid w:val="007C7607"/>
    <w:rsid w:val="007C763F"/>
    <w:rsid w:val="007C79A9"/>
    <w:rsid w:val="007C7D63"/>
    <w:rsid w:val="007D00C6"/>
    <w:rsid w:val="007D0223"/>
    <w:rsid w:val="007D023C"/>
    <w:rsid w:val="007D041C"/>
    <w:rsid w:val="007D0628"/>
    <w:rsid w:val="007D0AA4"/>
    <w:rsid w:val="007D0F4B"/>
    <w:rsid w:val="007D10C9"/>
    <w:rsid w:val="007D173E"/>
    <w:rsid w:val="007D1EE8"/>
    <w:rsid w:val="007D21B0"/>
    <w:rsid w:val="007D230A"/>
    <w:rsid w:val="007D2573"/>
    <w:rsid w:val="007D2EEC"/>
    <w:rsid w:val="007D3580"/>
    <w:rsid w:val="007D3C7D"/>
    <w:rsid w:val="007D4404"/>
    <w:rsid w:val="007D4CF5"/>
    <w:rsid w:val="007D4D0E"/>
    <w:rsid w:val="007D4EAB"/>
    <w:rsid w:val="007D547A"/>
    <w:rsid w:val="007D5982"/>
    <w:rsid w:val="007D5C86"/>
    <w:rsid w:val="007D5CA2"/>
    <w:rsid w:val="007D66CE"/>
    <w:rsid w:val="007D66E4"/>
    <w:rsid w:val="007D6B8B"/>
    <w:rsid w:val="007D6DD6"/>
    <w:rsid w:val="007D6E1D"/>
    <w:rsid w:val="007D7EA8"/>
    <w:rsid w:val="007E05E9"/>
    <w:rsid w:val="007E08E0"/>
    <w:rsid w:val="007E0D62"/>
    <w:rsid w:val="007E11EA"/>
    <w:rsid w:val="007E188E"/>
    <w:rsid w:val="007E18C6"/>
    <w:rsid w:val="007E1953"/>
    <w:rsid w:val="007E1D86"/>
    <w:rsid w:val="007E200C"/>
    <w:rsid w:val="007E228B"/>
    <w:rsid w:val="007E24B0"/>
    <w:rsid w:val="007E250A"/>
    <w:rsid w:val="007E265C"/>
    <w:rsid w:val="007E2E61"/>
    <w:rsid w:val="007E2F82"/>
    <w:rsid w:val="007E3058"/>
    <w:rsid w:val="007E36AF"/>
    <w:rsid w:val="007E398B"/>
    <w:rsid w:val="007E3C35"/>
    <w:rsid w:val="007E4279"/>
    <w:rsid w:val="007E484C"/>
    <w:rsid w:val="007E4861"/>
    <w:rsid w:val="007E4BFC"/>
    <w:rsid w:val="007E4D4C"/>
    <w:rsid w:val="007E7331"/>
    <w:rsid w:val="007E7829"/>
    <w:rsid w:val="007F0448"/>
    <w:rsid w:val="007F0734"/>
    <w:rsid w:val="007F07E5"/>
    <w:rsid w:val="007F0E82"/>
    <w:rsid w:val="007F0EED"/>
    <w:rsid w:val="007F1D5D"/>
    <w:rsid w:val="007F246C"/>
    <w:rsid w:val="007F28F3"/>
    <w:rsid w:val="007F2AC2"/>
    <w:rsid w:val="007F2C2F"/>
    <w:rsid w:val="007F308B"/>
    <w:rsid w:val="007F31AB"/>
    <w:rsid w:val="007F34BF"/>
    <w:rsid w:val="007F37E3"/>
    <w:rsid w:val="007F3A4A"/>
    <w:rsid w:val="007F46E0"/>
    <w:rsid w:val="007F4844"/>
    <w:rsid w:val="007F4CD4"/>
    <w:rsid w:val="007F4D4A"/>
    <w:rsid w:val="007F5003"/>
    <w:rsid w:val="007F5164"/>
    <w:rsid w:val="007F5E5A"/>
    <w:rsid w:val="007F5E92"/>
    <w:rsid w:val="007F611B"/>
    <w:rsid w:val="007F67AB"/>
    <w:rsid w:val="007F6DF4"/>
    <w:rsid w:val="00800433"/>
    <w:rsid w:val="00800EC2"/>
    <w:rsid w:val="008017C1"/>
    <w:rsid w:val="0080181E"/>
    <w:rsid w:val="00801EB2"/>
    <w:rsid w:val="00802B28"/>
    <w:rsid w:val="00802B84"/>
    <w:rsid w:val="00804118"/>
    <w:rsid w:val="00804D66"/>
    <w:rsid w:val="00805076"/>
    <w:rsid w:val="00805415"/>
    <w:rsid w:val="00806834"/>
    <w:rsid w:val="00806AF3"/>
    <w:rsid w:val="00806CCF"/>
    <w:rsid w:val="00806F54"/>
    <w:rsid w:val="00806FC0"/>
    <w:rsid w:val="00807CFF"/>
    <w:rsid w:val="00807F9E"/>
    <w:rsid w:val="008102D7"/>
    <w:rsid w:val="00810A1E"/>
    <w:rsid w:val="00810AEE"/>
    <w:rsid w:val="00811286"/>
    <w:rsid w:val="008112C0"/>
    <w:rsid w:val="00811813"/>
    <w:rsid w:val="00812766"/>
    <w:rsid w:val="008130BF"/>
    <w:rsid w:val="00813A04"/>
    <w:rsid w:val="00813D10"/>
    <w:rsid w:val="00814D3E"/>
    <w:rsid w:val="008151DB"/>
    <w:rsid w:val="00815983"/>
    <w:rsid w:val="00815A33"/>
    <w:rsid w:val="008160B1"/>
    <w:rsid w:val="00816F24"/>
    <w:rsid w:val="008173E1"/>
    <w:rsid w:val="00817D7E"/>
    <w:rsid w:val="00820653"/>
    <w:rsid w:val="008210CC"/>
    <w:rsid w:val="008211D9"/>
    <w:rsid w:val="008217B7"/>
    <w:rsid w:val="008217E0"/>
    <w:rsid w:val="008227BD"/>
    <w:rsid w:val="00822AA4"/>
    <w:rsid w:val="00822C58"/>
    <w:rsid w:val="00823EB8"/>
    <w:rsid w:val="0082445C"/>
    <w:rsid w:val="00824837"/>
    <w:rsid w:val="00824938"/>
    <w:rsid w:val="00825B0D"/>
    <w:rsid w:val="00825FEA"/>
    <w:rsid w:val="00826409"/>
    <w:rsid w:val="008266C7"/>
    <w:rsid w:val="00826796"/>
    <w:rsid w:val="00826B82"/>
    <w:rsid w:val="008270C7"/>
    <w:rsid w:val="008272BA"/>
    <w:rsid w:val="008272C3"/>
    <w:rsid w:val="00827DDE"/>
    <w:rsid w:val="00827ECE"/>
    <w:rsid w:val="00830164"/>
    <w:rsid w:val="00830DBA"/>
    <w:rsid w:val="00830DD5"/>
    <w:rsid w:val="008316CA"/>
    <w:rsid w:val="00831A1A"/>
    <w:rsid w:val="00831DA6"/>
    <w:rsid w:val="008326F0"/>
    <w:rsid w:val="0083289A"/>
    <w:rsid w:val="008336A9"/>
    <w:rsid w:val="0083410E"/>
    <w:rsid w:val="0083482E"/>
    <w:rsid w:val="00834D25"/>
    <w:rsid w:val="00835153"/>
    <w:rsid w:val="00835A89"/>
    <w:rsid w:val="00835C5A"/>
    <w:rsid w:val="00836E5D"/>
    <w:rsid w:val="00840ACA"/>
    <w:rsid w:val="00840C2F"/>
    <w:rsid w:val="008419C9"/>
    <w:rsid w:val="00841D60"/>
    <w:rsid w:val="008425BB"/>
    <w:rsid w:val="00842C33"/>
    <w:rsid w:val="00842EF7"/>
    <w:rsid w:val="00843024"/>
    <w:rsid w:val="00843730"/>
    <w:rsid w:val="00844F86"/>
    <w:rsid w:val="008451B2"/>
    <w:rsid w:val="00845278"/>
    <w:rsid w:val="008461F2"/>
    <w:rsid w:val="0084626D"/>
    <w:rsid w:val="0084684B"/>
    <w:rsid w:val="00846D8D"/>
    <w:rsid w:val="00847295"/>
    <w:rsid w:val="00847EE8"/>
    <w:rsid w:val="00850639"/>
    <w:rsid w:val="008510D6"/>
    <w:rsid w:val="008513B9"/>
    <w:rsid w:val="0085290B"/>
    <w:rsid w:val="00853708"/>
    <w:rsid w:val="00854AE2"/>
    <w:rsid w:val="00854C3B"/>
    <w:rsid w:val="00855A1A"/>
    <w:rsid w:val="0085652F"/>
    <w:rsid w:val="008566B8"/>
    <w:rsid w:val="00856C23"/>
    <w:rsid w:val="00856D5D"/>
    <w:rsid w:val="00857CDA"/>
    <w:rsid w:val="00860153"/>
    <w:rsid w:val="00860F2D"/>
    <w:rsid w:val="0086119F"/>
    <w:rsid w:val="008617AB"/>
    <w:rsid w:val="008619CB"/>
    <w:rsid w:val="00862743"/>
    <w:rsid w:val="008630DB"/>
    <w:rsid w:val="00863C41"/>
    <w:rsid w:val="00864519"/>
    <w:rsid w:val="00865480"/>
    <w:rsid w:val="00865AB1"/>
    <w:rsid w:val="0086650F"/>
    <w:rsid w:val="008668B9"/>
    <w:rsid w:val="00867064"/>
    <w:rsid w:val="0086784D"/>
    <w:rsid w:val="0087025D"/>
    <w:rsid w:val="0087063C"/>
    <w:rsid w:val="00870E00"/>
    <w:rsid w:val="00871A75"/>
    <w:rsid w:val="00871B94"/>
    <w:rsid w:val="00872852"/>
    <w:rsid w:val="00872E50"/>
    <w:rsid w:val="0087329E"/>
    <w:rsid w:val="00873905"/>
    <w:rsid w:val="008740CF"/>
    <w:rsid w:val="00874785"/>
    <w:rsid w:val="00874972"/>
    <w:rsid w:val="00874F9C"/>
    <w:rsid w:val="0087563F"/>
    <w:rsid w:val="008759F5"/>
    <w:rsid w:val="0087718C"/>
    <w:rsid w:val="0087792A"/>
    <w:rsid w:val="00877D28"/>
    <w:rsid w:val="00880B78"/>
    <w:rsid w:val="00880EC9"/>
    <w:rsid w:val="008815C5"/>
    <w:rsid w:val="00881808"/>
    <w:rsid w:val="008819C1"/>
    <w:rsid w:val="0088244E"/>
    <w:rsid w:val="008824A8"/>
    <w:rsid w:val="00882AD1"/>
    <w:rsid w:val="00882BF3"/>
    <w:rsid w:val="00883F33"/>
    <w:rsid w:val="00883F6E"/>
    <w:rsid w:val="0088421A"/>
    <w:rsid w:val="0088422A"/>
    <w:rsid w:val="008842A4"/>
    <w:rsid w:val="008845DF"/>
    <w:rsid w:val="008846ED"/>
    <w:rsid w:val="00884792"/>
    <w:rsid w:val="00884895"/>
    <w:rsid w:val="0088494D"/>
    <w:rsid w:val="0088566B"/>
    <w:rsid w:val="00885937"/>
    <w:rsid w:val="00886069"/>
    <w:rsid w:val="008866B3"/>
    <w:rsid w:val="00886888"/>
    <w:rsid w:val="00886919"/>
    <w:rsid w:val="00886AE2"/>
    <w:rsid w:val="00886D2E"/>
    <w:rsid w:val="00886F75"/>
    <w:rsid w:val="00887621"/>
    <w:rsid w:val="008877D3"/>
    <w:rsid w:val="00887B2B"/>
    <w:rsid w:val="00887C83"/>
    <w:rsid w:val="0089038F"/>
    <w:rsid w:val="008904EF"/>
    <w:rsid w:val="008905DB"/>
    <w:rsid w:val="00890A8C"/>
    <w:rsid w:val="00890D8D"/>
    <w:rsid w:val="008915CF"/>
    <w:rsid w:val="008916DE"/>
    <w:rsid w:val="00891783"/>
    <w:rsid w:val="00891D4F"/>
    <w:rsid w:val="008926C3"/>
    <w:rsid w:val="00892957"/>
    <w:rsid w:val="0089463C"/>
    <w:rsid w:val="00894CBF"/>
    <w:rsid w:val="0089530F"/>
    <w:rsid w:val="008955F4"/>
    <w:rsid w:val="00895D87"/>
    <w:rsid w:val="00895D92"/>
    <w:rsid w:val="008961B5"/>
    <w:rsid w:val="00896328"/>
    <w:rsid w:val="00896975"/>
    <w:rsid w:val="00896FEF"/>
    <w:rsid w:val="00897728"/>
    <w:rsid w:val="00897C8C"/>
    <w:rsid w:val="00897E16"/>
    <w:rsid w:val="008A05BE"/>
    <w:rsid w:val="008A0890"/>
    <w:rsid w:val="008A089F"/>
    <w:rsid w:val="008A093B"/>
    <w:rsid w:val="008A0BBF"/>
    <w:rsid w:val="008A0FF8"/>
    <w:rsid w:val="008A252E"/>
    <w:rsid w:val="008A2706"/>
    <w:rsid w:val="008A272F"/>
    <w:rsid w:val="008A29DA"/>
    <w:rsid w:val="008A2A3D"/>
    <w:rsid w:val="008A321B"/>
    <w:rsid w:val="008A3B5D"/>
    <w:rsid w:val="008A4040"/>
    <w:rsid w:val="008A409C"/>
    <w:rsid w:val="008A40E7"/>
    <w:rsid w:val="008A41B4"/>
    <w:rsid w:val="008A4685"/>
    <w:rsid w:val="008A468C"/>
    <w:rsid w:val="008A4BC0"/>
    <w:rsid w:val="008A4C08"/>
    <w:rsid w:val="008A51EE"/>
    <w:rsid w:val="008A5580"/>
    <w:rsid w:val="008A559A"/>
    <w:rsid w:val="008A5727"/>
    <w:rsid w:val="008A5799"/>
    <w:rsid w:val="008A57FE"/>
    <w:rsid w:val="008A5963"/>
    <w:rsid w:val="008A5B12"/>
    <w:rsid w:val="008A5D50"/>
    <w:rsid w:val="008A61AE"/>
    <w:rsid w:val="008A6B9D"/>
    <w:rsid w:val="008A7E87"/>
    <w:rsid w:val="008B03B0"/>
    <w:rsid w:val="008B04D4"/>
    <w:rsid w:val="008B0FEA"/>
    <w:rsid w:val="008B18AD"/>
    <w:rsid w:val="008B1F86"/>
    <w:rsid w:val="008B2825"/>
    <w:rsid w:val="008B2A44"/>
    <w:rsid w:val="008B30EE"/>
    <w:rsid w:val="008B3146"/>
    <w:rsid w:val="008B3547"/>
    <w:rsid w:val="008B39D1"/>
    <w:rsid w:val="008B55CF"/>
    <w:rsid w:val="008B5911"/>
    <w:rsid w:val="008B5BB6"/>
    <w:rsid w:val="008B63FF"/>
    <w:rsid w:val="008B655B"/>
    <w:rsid w:val="008B6BE9"/>
    <w:rsid w:val="008B71ED"/>
    <w:rsid w:val="008B7B41"/>
    <w:rsid w:val="008B7DA5"/>
    <w:rsid w:val="008B7F74"/>
    <w:rsid w:val="008C046C"/>
    <w:rsid w:val="008C0709"/>
    <w:rsid w:val="008C18F2"/>
    <w:rsid w:val="008C25BA"/>
    <w:rsid w:val="008C2A1E"/>
    <w:rsid w:val="008C3450"/>
    <w:rsid w:val="008C36E8"/>
    <w:rsid w:val="008C3976"/>
    <w:rsid w:val="008C41BC"/>
    <w:rsid w:val="008C5B21"/>
    <w:rsid w:val="008C5E13"/>
    <w:rsid w:val="008C5E80"/>
    <w:rsid w:val="008C6A2A"/>
    <w:rsid w:val="008C7111"/>
    <w:rsid w:val="008C7A79"/>
    <w:rsid w:val="008C7F9A"/>
    <w:rsid w:val="008D002B"/>
    <w:rsid w:val="008D0341"/>
    <w:rsid w:val="008D04B9"/>
    <w:rsid w:val="008D0E9D"/>
    <w:rsid w:val="008D1856"/>
    <w:rsid w:val="008D2342"/>
    <w:rsid w:val="008D281D"/>
    <w:rsid w:val="008D2A9D"/>
    <w:rsid w:val="008D39D6"/>
    <w:rsid w:val="008D3CC5"/>
    <w:rsid w:val="008D4345"/>
    <w:rsid w:val="008D456F"/>
    <w:rsid w:val="008D55CF"/>
    <w:rsid w:val="008D574E"/>
    <w:rsid w:val="008D583C"/>
    <w:rsid w:val="008D6439"/>
    <w:rsid w:val="008D6A6C"/>
    <w:rsid w:val="008D6DE1"/>
    <w:rsid w:val="008D719F"/>
    <w:rsid w:val="008D7A22"/>
    <w:rsid w:val="008D7FCC"/>
    <w:rsid w:val="008E038C"/>
    <w:rsid w:val="008E04A4"/>
    <w:rsid w:val="008E0F3C"/>
    <w:rsid w:val="008E1285"/>
    <w:rsid w:val="008E1511"/>
    <w:rsid w:val="008E20BB"/>
    <w:rsid w:val="008E2BD2"/>
    <w:rsid w:val="008E2CFA"/>
    <w:rsid w:val="008E327F"/>
    <w:rsid w:val="008E33EB"/>
    <w:rsid w:val="008E3400"/>
    <w:rsid w:val="008E3745"/>
    <w:rsid w:val="008E4267"/>
    <w:rsid w:val="008E4617"/>
    <w:rsid w:val="008E477F"/>
    <w:rsid w:val="008E47B7"/>
    <w:rsid w:val="008E4ABD"/>
    <w:rsid w:val="008E4C41"/>
    <w:rsid w:val="008E6418"/>
    <w:rsid w:val="008E646C"/>
    <w:rsid w:val="008E69E5"/>
    <w:rsid w:val="008E6F52"/>
    <w:rsid w:val="008E72C7"/>
    <w:rsid w:val="008E7AEF"/>
    <w:rsid w:val="008E7BD5"/>
    <w:rsid w:val="008E7CC4"/>
    <w:rsid w:val="008F0587"/>
    <w:rsid w:val="008F08BE"/>
    <w:rsid w:val="008F0DF8"/>
    <w:rsid w:val="008F135D"/>
    <w:rsid w:val="008F1817"/>
    <w:rsid w:val="008F19B5"/>
    <w:rsid w:val="008F34B3"/>
    <w:rsid w:val="008F35D0"/>
    <w:rsid w:val="008F3E2F"/>
    <w:rsid w:val="008F4149"/>
    <w:rsid w:val="008F42EC"/>
    <w:rsid w:val="008F4367"/>
    <w:rsid w:val="008F446D"/>
    <w:rsid w:val="008F4EE9"/>
    <w:rsid w:val="008F4F6A"/>
    <w:rsid w:val="008F706F"/>
    <w:rsid w:val="008F7354"/>
    <w:rsid w:val="008F7866"/>
    <w:rsid w:val="008F7EC8"/>
    <w:rsid w:val="009001F9"/>
    <w:rsid w:val="009005A8"/>
    <w:rsid w:val="009007E4"/>
    <w:rsid w:val="00900A6B"/>
    <w:rsid w:val="00901B5E"/>
    <w:rsid w:val="0090258B"/>
    <w:rsid w:val="009026F1"/>
    <w:rsid w:val="00902B9C"/>
    <w:rsid w:val="00902DF5"/>
    <w:rsid w:val="009035CB"/>
    <w:rsid w:val="009036F9"/>
    <w:rsid w:val="00903C45"/>
    <w:rsid w:val="00904115"/>
    <w:rsid w:val="009044EE"/>
    <w:rsid w:val="00905886"/>
    <w:rsid w:val="00905B1B"/>
    <w:rsid w:val="00905BB3"/>
    <w:rsid w:val="00905D69"/>
    <w:rsid w:val="00905E0E"/>
    <w:rsid w:val="00905E69"/>
    <w:rsid w:val="00905E9C"/>
    <w:rsid w:val="00905F03"/>
    <w:rsid w:val="00906131"/>
    <w:rsid w:val="00906FF3"/>
    <w:rsid w:val="00907390"/>
    <w:rsid w:val="00907CBA"/>
    <w:rsid w:val="00907D11"/>
    <w:rsid w:val="00907D54"/>
    <w:rsid w:val="00907FBF"/>
    <w:rsid w:val="0091049C"/>
    <w:rsid w:val="009106B4"/>
    <w:rsid w:val="00910E0C"/>
    <w:rsid w:val="0091186A"/>
    <w:rsid w:val="009121FB"/>
    <w:rsid w:val="0091232D"/>
    <w:rsid w:val="00912E42"/>
    <w:rsid w:val="00912F67"/>
    <w:rsid w:val="00913007"/>
    <w:rsid w:val="00913467"/>
    <w:rsid w:val="00913728"/>
    <w:rsid w:val="009139EA"/>
    <w:rsid w:val="009141F5"/>
    <w:rsid w:val="00914821"/>
    <w:rsid w:val="00914CDF"/>
    <w:rsid w:val="009156F0"/>
    <w:rsid w:val="00915909"/>
    <w:rsid w:val="00915DAB"/>
    <w:rsid w:val="0091682C"/>
    <w:rsid w:val="0091695E"/>
    <w:rsid w:val="00916AA5"/>
    <w:rsid w:val="00916C83"/>
    <w:rsid w:val="00916FB0"/>
    <w:rsid w:val="00917CCE"/>
    <w:rsid w:val="00920E6C"/>
    <w:rsid w:val="00921210"/>
    <w:rsid w:val="0092142E"/>
    <w:rsid w:val="00921658"/>
    <w:rsid w:val="0092176E"/>
    <w:rsid w:val="00922388"/>
    <w:rsid w:val="00922A01"/>
    <w:rsid w:val="00922C9B"/>
    <w:rsid w:val="00923527"/>
    <w:rsid w:val="00923C7E"/>
    <w:rsid w:val="00923EDC"/>
    <w:rsid w:val="00926BC1"/>
    <w:rsid w:val="00926CD8"/>
    <w:rsid w:val="00926F01"/>
    <w:rsid w:val="00927084"/>
    <w:rsid w:val="00927BB7"/>
    <w:rsid w:val="00927C5B"/>
    <w:rsid w:val="00930C58"/>
    <w:rsid w:val="0093171A"/>
    <w:rsid w:val="009318DE"/>
    <w:rsid w:val="00931B74"/>
    <w:rsid w:val="00931E1B"/>
    <w:rsid w:val="009321B9"/>
    <w:rsid w:val="009324C1"/>
    <w:rsid w:val="00932787"/>
    <w:rsid w:val="0093333C"/>
    <w:rsid w:val="00933B43"/>
    <w:rsid w:val="00934CC8"/>
    <w:rsid w:val="00934E42"/>
    <w:rsid w:val="00934FB1"/>
    <w:rsid w:val="00935037"/>
    <w:rsid w:val="0093512B"/>
    <w:rsid w:val="0093622E"/>
    <w:rsid w:val="009363D0"/>
    <w:rsid w:val="009364B5"/>
    <w:rsid w:val="00936540"/>
    <w:rsid w:val="00936CFA"/>
    <w:rsid w:val="00936D22"/>
    <w:rsid w:val="00936F66"/>
    <w:rsid w:val="00936F6C"/>
    <w:rsid w:val="009377A7"/>
    <w:rsid w:val="00937890"/>
    <w:rsid w:val="00937F24"/>
    <w:rsid w:val="009403CC"/>
    <w:rsid w:val="00940691"/>
    <w:rsid w:val="00940811"/>
    <w:rsid w:val="00940948"/>
    <w:rsid w:val="00940ACC"/>
    <w:rsid w:val="00940E73"/>
    <w:rsid w:val="00941758"/>
    <w:rsid w:val="0094196F"/>
    <w:rsid w:val="00942076"/>
    <w:rsid w:val="0094213B"/>
    <w:rsid w:val="00942865"/>
    <w:rsid w:val="009432A8"/>
    <w:rsid w:val="00943D7A"/>
    <w:rsid w:val="009445F1"/>
    <w:rsid w:val="00944B59"/>
    <w:rsid w:val="00944CAC"/>
    <w:rsid w:val="00944CB0"/>
    <w:rsid w:val="0094516D"/>
    <w:rsid w:val="00945477"/>
    <w:rsid w:val="009455E6"/>
    <w:rsid w:val="00945F78"/>
    <w:rsid w:val="00946718"/>
    <w:rsid w:val="00946881"/>
    <w:rsid w:val="00946E09"/>
    <w:rsid w:val="0094738E"/>
    <w:rsid w:val="009475F7"/>
    <w:rsid w:val="009476A4"/>
    <w:rsid w:val="00947B97"/>
    <w:rsid w:val="00950016"/>
    <w:rsid w:val="00950116"/>
    <w:rsid w:val="00950189"/>
    <w:rsid w:val="0095026C"/>
    <w:rsid w:val="00950A49"/>
    <w:rsid w:val="00950F7A"/>
    <w:rsid w:val="00951579"/>
    <w:rsid w:val="00951F41"/>
    <w:rsid w:val="009522C5"/>
    <w:rsid w:val="00952D0D"/>
    <w:rsid w:val="0095338E"/>
    <w:rsid w:val="00953998"/>
    <w:rsid w:val="00953A6A"/>
    <w:rsid w:val="00953F20"/>
    <w:rsid w:val="009544CC"/>
    <w:rsid w:val="009556AC"/>
    <w:rsid w:val="009558B0"/>
    <w:rsid w:val="00955939"/>
    <w:rsid w:val="009560A4"/>
    <w:rsid w:val="00956201"/>
    <w:rsid w:val="00956626"/>
    <w:rsid w:val="00956E39"/>
    <w:rsid w:val="00957EE7"/>
    <w:rsid w:val="00960835"/>
    <w:rsid w:val="00960C64"/>
    <w:rsid w:val="00960F50"/>
    <w:rsid w:val="009610D4"/>
    <w:rsid w:val="00961E3C"/>
    <w:rsid w:val="009621F5"/>
    <w:rsid w:val="00963058"/>
    <w:rsid w:val="0096329C"/>
    <w:rsid w:val="009633A3"/>
    <w:rsid w:val="009635FC"/>
    <w:rsid w:val="00963678"/>
    <w:rsid w:val="00963C47"/>
    <w:rsid w:val="00963E82"/>
    <w:rsid w:val="009643D1"/>
    <w:rsid w:val="0096465D"/>
    <w:rsid w:val="009649C8"/>
    <w:rsid w:val="009653C9"/>
    <w:rsid w:val="009654F5"/>
    <w:rsid w:val="00965BA3"/>
    <w:rsid w:val="0096655A"/>
    <w:rsid w:val="00966CCD"/>
    <w:rsid w:val="0096718F"/>
    <w:rsid w:val="0096735E"/>
    <w:rsid w:val="00967864"/>
    <w:rsid w:val="00967A82"/>
    <w:rsid w:val="00967DD3"/>
    <w:rsid w:val="00970F15"/>
    <w:rsid w:val="009710A8"/>
    <w:rsid w:val="00971A33"/>
    <w:rsid w:val="00971A4C"/>
    <w:rsid w:val="00971A50"/>
    <w:rsid w:val="0097222F"/>
    <w:rsid w:val="00972789"/>
    <w:rsid w:val="00972E70"/>
    <w:rsid w:val="00973068"/>
    <w:rsid w:val="009737D6"/>
    <w:rsid w:val="00973A58"/>
    <w:rsid w:val="009747B6"/>
    <w:rsid w:val="00974B13"/>
    <w:rsid w:val="00974BC6"/>
    <w:rsid w:val="00974E14"/>
    <w:rsid w:val="00974FE3"/>
    <w:rsid w:val="009757EC"/>
    <w:rsid w:val="00976959"/>
    <w:rsid w:val="009769A7"/>
    <w:rsid w:val="00976A8B"/>
    <w:rsid w:val="009771A9"/>
    <w:rsid w:val="00980000"/>
    <w:rsid w:val="00980037"/>
    <w:rsid w:val="009800B3"/>
    <w:rsid w:val="009800D4"/>
    <w:rsid w:val="009814B9"/>
    <w:rsid w:val="00981BC8"/>
    <w:rsid w:val="00981C07"/>
    <w:rsid w:val="00981C41"/>
    <w:rsid w:val="00982312"/>
    <w:rsid w:val="0098239B"/>
    <w:rsid w:val="00982F05"/>
    <w:rsid w:val="009834DC"/>
    <w:rsid w:val="00983C1D"/>
    <w:rsid w:val="0098402E"/>
    <w:rsid w:val="009846BE"/>
    <w:rsid w:val="00984D77"/>
    <w:rsid w:val="00985109"/>
    <w:rsid w:val="00985335"/>
    <w:rsid w:val="00985542"/>
    <w:rsid w:val="009861A4"/>
    <w:rsid w:val="009862F6"/>
    <w:rsid w:val="009866B5"/>
    <w:rsid w:val="00986C33"/>
    <w:rsid w:val="009876AD"/>
    <w:rsid w:val="00987893"/>
    <w:rsid w:val="0099021D"/>
    <w:rsid w:val="00990290"/>
    <w:rsid w:val="009902FF"/>
    <w:rsid w:val="0099095A"/>
    <w:rsid w:val="00990AC8"/>
    <w:rsid w:val="00990D8B"/>
    <w:rsid w:val="00990FA4"/>
    <w:rsid w:val="00991412"/>
    <w:rsid w:val="00991C5C"/>
    <w:rsid w:val="0099217C"/>
    <w:rsid w:val="0099237C"/>
    <w:rsid w:val="009924DF"/>
    <w:rsid w:val="009934AC"/>
    <w:rsid w:val="0099403A"/>
    <w:rsid w:val="00994802"/>
    <w:rsid w:val="009948FE"/>
    <w:rsid w:val="00994951"/>
    <w:rsid w:val="009949AF"/>
    <w:rsid w:val="00994A48"/>
    <w:rsid w:val="00994BCD"/>
    <w:rsid w:val="009952F9"/>
    <w:rsid w:val="00995E3B"/>
    <w:rsid w:val="00996314"/>
    <w:rsid w:val="00996373"/>
    <w:rsid w:val="009965A0"/>
    <w:rsid w:val="009967A1"/>
    <w:rsid w:val="0099684E"/>
    <w:rsid w:val="00996E1C"/>
    <w:rsid w:val="00997A48"/>
    <w:rsid w:val="00997D4E"/>
    <w:rsid w:val="00997E70"/>
    <w:rsid w:val="009A08A2"/>
    <w:rsid w:val="009A0B65"/>
    <w:rsid w:val="009A1315"/>
    <w:rsid w:val="009A1917"/>
    <w:rsid w:val="009A19EE"/>
    <w:rsid w:val="009A1C80"/>
    <w:rsid w:val="009A1FAF"/>
    <w:rsid w:val="009A23E4"/>
    <w:rsid w:val="009A2F40"/>
    <w:rsid w:val="009A3032"/>
    <w:rsid w:val="009A32EC"/>
    <w:rsid w:val="009A3AFE"/>
    <w:rsid w:val="009A3EA6"/>
    <w:rsid w:val="009A45AE"/>
    <w:rsid w:val="009A54D0"/>
    <w:rsid w:val="009A595B"/>
    <w:rsid w:val="009A5A32"/>
    <w:rsid w:val="009A5CE6"/>
    <w:rsid w:val="009A65F6"/>
    <w:rsid w:val="009A6A03"/>
    <w:rsid w:val="009A6FE3"/>
    <w:rsid w:val="009A73A8"/>
    <w:rsid w:val="009A7A58"/>
    <w:rsid w:val="009A7D60"/>
    <w:rsid w:val="009A7E9B"/>
    <w:rsid w:val="009B0074"/>
    <w:rsid w:val="009B07BB"/>
    <w:rsid w:val="009B0AD9"/>
    <w:rsid w:val="009B19F9"/>
    <w:rsid w:val="009B1CA2"/>
    <w:rsid w:val="009B1E60"/>
    <w:rsid w:val="009B1F0E"/>
    <w:rsid w:val="009B1FC6"/>
    <w:rsid w:val="009B2709"/>
    <w:rsid w:val="009B2D21"/>
    <w:rsid w:val="009B35B7"/>
    <w:rsid w:val="009B3A47"/>
    <w:rsid w:val="009B3C11"/>
    <w:rsid w:val="009B3F9D"/>
    <w:rsid w:val="009B418C"/>
    <w:rsid w:val="009B42A8"/>
    <w:rsid w:val="009B445A"/>
    <w:rsid w:val="009B541E"/>
    <w:rsid w:val="009B59D2"/>
    <w:rsid w:val="009B5DDC"/>
    <w:rsid w:val="009B6037"/>
    <w:rsid w:val="009B6434"/>
    <w:rsid w:val="009B7150"/>
    <w:rsid w:val="009B7BAE"/>
    <w:rsid w:val="009C0007"/>
    <w:rsid w:val="009C0058"/>
    <w:rsid w:val="009C0569"/>
    <w:rsid w:val="009C0C71"/>
    <w:rsid w:val="009C0E09"/>
    <w:rsid w:val="009C1418"/>
    <w:rsid w:val="009C142F"/>
    <w:rsid w:val="009C1A4B"/>
    <w:rsid w:val="009C385B"/>
    <w:rsid w:val="009C424F"/>
    <w:rsid w:val="009C42DA"/>
    <w:rsid w:val="009C4549"/>
    <w:rsid w:val="009C45A7"/>
    <w:rsid w:val="009C45F2"/>
    <w:rsid w:val="009C4BE9"/>
    <w:rsid w:val="009C5869"/>
    <w:rsid w:val="009C58BA"/>
    <w:rsid w:val="009C58D5"/>
    <w:rsid w:val="009C5C02"/>
    <w:rsid w:val="009C5E9D"/>
    <w:rsid w:val="009C6059"/>
    <w:rsid w:val="009C63D4"/>
    <w:rsid w:val="009C6C00"/>
    <w:rsid w:val="009C739C"/>
    <w:rsid w:val="009C73D5"/>
    <w:rsid w:val="009C7A51"/>
    <w:rsid w:val="009C7E75"/>
    <w:rsid w:val="009D02DC"/>
    <w:rsid w:val="009D074E"/>
    <w:rsid w:val="009D0B17"/>
    <w:rsid w:val="009D0BCC"/>
    <w:rsid w:val="009D1929"/>
    <w:rsid w:val="009D1CA7"/>
    <w:rsid w:val="009D1F4B"/>
    <w:rsid w:val="009D2A21"/>
    <w:rsid w:val="009D30A9"/>
    <w:rsid w:val="009D31AA"/>
    <w:rsid w:val="009D3329"/>
    <w:rsid w:val="009D3520"/>
    <w:rsid w:val="009D3721"/>
    <w:rsid w:val="009D3778"/>
    <w:rsid w:val="009D3AC5"/>
    <w:rsid w:val="009D3EB5"/>
    <w:rsid w:val="009D6140"/>
    <w:rsid w:val="009D646B"/>
    <w:rsid w:val="009D68C7"/>
    <w:rsid w:val="009D712D"/>
    <w:rsid w:val="009D73AB"/>
    <w:rsid w:val="009D7DEC"/>
    <w:rsid w:val="009E003D"/>
    <w:rsid w:val="009E059E"/>
    <w:rsid w:val="009E063F"/>
    <w:rsid w:val="009E07C1"/>
    <w:rsid w:val="009E094A"/>
    <w:rsid w:val="009E0E2E"/>
    <w:rsid w:val="009E1DF6"/>
    <w:rsid w:val="009E2B57"/>
    <w:rsid w:val="009E3141"/>
    <w:rsid w:val="009E32B4"/>
    <w:rsid w:val="009E375D"/>
    <w:rsid w:val="009E3CB7"/>
    <w:rsid w:val="009E4562"/>
    <w:rsid w:val="009E4BB0"/>
    <w:rsid w:val="009E4F1E"/>
    <w:rsid w:val="009E5780"/>
    <w:rsid w:val="009E5877"/>
    <w:rsid w:val="009E5896"/>
    <w:rsid w:val="009E58A5"/>
    <w:rsid w:val="009E6825"/>
    <w:rsid w:val="009E6BCE"/>
    <w:rsid w:val="009E6EAE"/>
    <w:rsid w:val="009E77D7"/>
    <w:rsid w:val="009E7C95"/>
    <w:rsid w:val="009E7FF0"/>
    <w:rsid w:val="009F005B"/>
    <w:rsid w:val="009F2306"/>
    <w:rsid w:val="009F35DA"/>
    <w:rsid w:val="009F37E9"/>
    <w:rsid w:val="009F3AF1"/>
    <w:rsid w:val="009F3D65"/>
    <w:rsid w:val="009F3E86"/>
    <w:rsid w:val="009F3FA8"/>
    <w:rsid w:val="009F427F"/>
    <w:rsid w:val="009F45D0"/>
    <w:rsid w:val="009F4AF6"/>
    <w:rsid w:val="009F4B50"/>
    <w:rsid w:val="009F536C"/>
    <w:rsid w:val="009F5620"/>
    <w:rsid w:val="009F5698"/>
    <w:rsid w:val="009F66C7"/>
    <w:rsid w:val="009F67A2"/>
    <w:rsid w:val="009F70E3"/>
    <w:rsid w:val="009F7C7F"/>
    <w:rsid w:val="00A0040A"/>
    <w:rsid w:val="00A00D8A"/>
    <w:rsid w:val="00A00F8E"/>
    <w:rsid w:val="00A0120B"/>
    <w:rsid w:val="00A01467"/>
    <w:rsid w:val="00A02143"/>
    <w:rsid w:val="00A025BB"/>
    <w:rsid w:val="00A02B72"/>
    <w:rsid w:val="00A02F90"/>
    <w:rsid w:val="00A0378E"/>
    <w:rsid w:val="00A03FEE"/>
    <w:rsid w:val="00A04D38"/>
    <w:rsid w:val="00A053D4"/>
    <w:rsid w:val="00A05435"/>
    <w:rsid w:val="00A05461"/>
    <w:rsid w:val="00A05577"/>
    <w:rsid w:val="00A055E8"/>
    <w:rsid w:val="00A055F5"/>
    <w:rsid w:val="00A064C0"/>
    <w:rsid w:val="00A06891"/>
    <w:rsid w:val="00A06CBC"/>
    <w:rsid w:val="00A07033"/>
    <w:rsid w:val="00A0765F"/>
    <w:rsid w:val="00A07846"/>
    <w:rsid w:val="00A07AD0"/>
    <w:rsid w:val="00A07B93"/>
    <w:rsid w:val="00A105A8"/>
    <w:rsid w:val="00A10710"/>
    <w:rsid w:val="00A10C6F"/>
    <w:rsid w:val="00A110F2"/>
    <w:rsid w:val="00A120A9"/>
    <w:rsid w:val="00A12646"/>
    <w:rsid w:val="00A12ADD"/>
    <w:rsid w:val="00A13957"/>
    <w:rsid w:val="00A13A95"/>
    <w:rsid w:val="00A142DD"/>
    <w:rsid w:val="00A14838"/>
    <w:rsid w:val="00A15771"/>
    <w:rsid w:val="00A15B58"/>
    <w:rsid w:val="00A15D92"/>
    <w:rsid w:val="00A161FE"/>
    <w:rsid w:val="00A16C96"/>
    <w:rsid w:val="00A16EAD"/>
    <w:rsid w:val="00A17FA1"/>
    <w:rsid w:val="00A20C4C"/>
    <w:rsid w:val="00A20DFC"/>
    <w:rsid w:val="00A20E84"/>
    <w:rsid w:val="00A211AB"/>
    <w:rsid w:val="00A214CC"/>
    <w:rsid w:val="00A2160D"/>
    <w:rsid w:val="00A21A62"/>
    <w:rsid w:val="00A22899"/>
    <w:rsid w:val="00A22A1B"/>
    <w:rsid w:val="00A22B2D"/>
    <w:rsid w:val="00A22B9D"/>
    <w:rsid w:val="00A22CB1"/>
    <w:rsid w:val="00A22CDC"/>
    <w:rsid w:val="00A22D9C"/>
    <w:rsid w:val="00A23500"/>
    <w:rsid w:val="00A23AB2"/>
    <w:rsid w:val="00A23CEB"/>
    <w:rsid w:val="00A2452F"/>
    <w:rsid w:val="00A24C38"/>
    <w:rsid w:val="00A251C5"/>
    <w:rsid w:val="00A256C8"/>
    <w:rsid w:val="00A25922"/>
    <w:rsid w:val="00A25ED2"/>
    <w:rsid w:val="00A26005"/>
    <w:rsid w:val="00A26299"/>
    <w:rsid w:val="00A262C9"/>
    <w:rsid w:val="00A2661C"/>
    <w:rsid w:val="00A2672F"/>
    <w:rsid w:val="00A2681D"/>
    <w:rsid w:val="00A26A42"/>
    <w:rsid w:val="00A273E3"/>
    <w:rsid w:val="00A27915"/>
    <w:rsid w:val="00A27B02"/>
    <w:rsid w:val="00A30615"/>
    <w:rsid w:val="00A308E9"/>
    <w:rsid w:val="00A30C09"/>
    <w:rsid w:val="00A30D62"/>
    <w:rsid w:val="00A31841"/>
    <w:rsid w:val="00A318F9"/>
    <w:rsid w:val="00A32589"/>
    <w:rsid w:val="00A325B3"/>
    <w:rsid w:val="00A3288D"/>
    <w:rsid w:val="00A32A35"/>
    <w:rsid w:val="00A33044"/>
    <w:rsid w:val="00A3314B"/>
    <w:rsid w:val="00A331CB"/>
    <w:rsid w:val="00A33B28"/>
    <w:rsid w:val="00A33C94"/>
    <w:rsid w:val="00A3423E"/>
    <w:rsid w:val="00A343E3"/>
    <w:rsid w:val="00A347B3"/>
    <w:rsid w:val="00A34844"/>
    <w:rsid w:val="00A3494B"/>
    <w:rsid w:val="00A349AF"/>
    <w:rsid w:val="00A35598"/>
    <w:rsid w:val="00A35707"/>
    <w:rsid w:val="00A35763"/>
    <w:rsid w:val="00A359A0"/>
    <w:rsid w:val="00A35D0B"/>
    <w:rsid w:val="00A35DD7"/>
    <w:rsid w:val="00A36CBA"/>
    <w:rsid w:val="00A370E0"/>
    <w:rsid w:val="00A373F8"/>
    <w:rsid w:val="00A37851"/>
    <w:rsid w:val="00A400C7"/>
    <w:rsid w:val="00A40270"/>
    <w:rsid w:val="00A407CA"/>
    <w:rsid w:val="00A40C14"/>
    <w:rsid w:val="00A414A0"/>
    <w:rsid w:val="00A41A0C"/>
    <w:rsid w:val="00A41FAA"/>
    <w:rsid w:val="00A42106"/>
    <w:rsid w:val="00A42442"/>
    <w:rsid w:val="00A43315"/>
    <w:rsid w:val="00A43951"/>
    <w:rsid w:val="00A43B3D"/>
    <w:rsid w:val="00A43D4C"/>
    <w:rsid w:val="00A441AC"/>
    <w:rsid w:val="00A44314"/>
    <w:rsid w:val="00A44A9F"/>
    <w:rsid w:val="00A44C3B"/>
    <w:rsid w:val="00A450C9"/>
    <w:rsid w:val="00A45143"/>
    <w:rsid w:val="00A455AD"/>
    <w:rsid w:val="00A4693F"/>
    <w:rsid w:val="00A46C59"/>
    <w:rsid w:val="00A46F98"/>
    <w:rsid w:val="00A4724B"/>
    <w:rsid w:val="00A4781B"/>
    <w:rsid w:val="00A478D4"/>
    <w:rsid w:val="00A479EA"/>
    <w:rsid w:val="00A47AEE"/>
    <w:rsid w:val="00A47B37"/>
    <w:rsid w:val="00A47E8E"/>
    <w:rsid w:val="00A50AAB"/>
    <w:rsid w:val="00A50E64"/>
    <w:rsid w:val="00A512F6"/>
    <w:rsid w:val="00A51F27"/>
    <w:rsid w:val="00A523ED"/>
    <w:rsid w:val="00A53146"/>
    <w:rsid w:val="00A5352F"/>
    <w:rsid w:val="00A535F6"/>
    <w:rsid w:val="00A537A6"/>
    <w:rsid w:val="00A5384F"/>
    <w:rsid w:val="00A53E1F"/>
    <w:rsid w:val="00A53FBD"/>
    <w:rsid w:val="00A540A1"/>
    <w:rsid w:val="00A54B3E"/>
    <w:rsid w:val="00A54E12"/>
    <w:rsid w:val="00A55064"/>
    <w:rsid w:val="00A55424"/>
    <w:rsid w:val="00A5552E"/>
    <w:rsid w:val="00A558E0"/>
    <w:rsid w:val="00A55BBA"/>
    <w:rsid w:val="00A55E89"/>
    <w:rsid w:val="00A55EC1"/>
    <w:rsid w:val="00A56242"/>
    <w:rsid w:val="00A56500"/>
    <w:rsid w:val="00A56690"/>
    <w:rsid w:val="00A56698"/>
    <w:rsid w:val="00A56A48"/>
    <w:rsid w:val="00A56B4C"/>
    <w:rsid w:val="00A56F56"/>
    <w:rsid w:val="00A57A2C"/>
    <w:rsid w:val="00A57CB5"/>
    <w:rsid w:val="00A57EAE"/>
    <w:rsid w:val="00A6137A"/>
    <w:rsid w:val="00A614F8"/>
    <w:rsid w:val="00A618DA"/>
    <w:rsid w:val="00A62056"/>
    <w:rsid w:val="00A620C4"/>
    <w:rsid w:val="00A622AD"/>
    <w:rsid w:val="00A62397"/>
    <w:rsid w:val="00A62479"/>
    <w:rsid w:val="00A624D1"/>
    <w:rsid w:val="00A628F1"/>
    <w:rsid w:val="00A62EF3"/>
    <w:rsid w:val="00A630A2"/>
    <w:rsid w:val="00A6319A"/>
    <w:rsid w:val="00A635C5"/>
    <w:rsid w:val="00A649E1"/>
    <w:rsid w:val="00A65820"/>
    <w:rsid w:val="00A65964"/>
    <w:rsid w:val="00A65EF7"/>
    <w:rsid w:val="00A6618D"/>
    <w:rsid w:val="00A66372"/>
    <w:rsid w:val="00A66376"/>
    <w:rsid w:val="00A6647C"/>
    <w:rsid w:val="00A66803"/>
    <w:rsid w:val="00A66D9B"/>
    <w:rsid w:val="00A67215"/>
    <w:rsid w:val="00A67395"/>
    <w:rsid w:val="00A678A3"/>
    <w:rsid w:val="00A67DA4"/>
    <w:rsid w:val="00A704E4"/>
    <w:rsid w:val="00A705D3"/>
    <w:rsid w:val="00A7088C"/>
    <w:rsid w:val="00A708E4"/>
    <w:rsid w:val="00A70B55"/>
    <w:rsid w:val="00A71E3A"/>
    <w:rsid w:val="00A722A0"/>
    <w:rsid w:val="00A72767"/>
    <w:rsid w:val="00A72A08"/>
    <w:rsid w:val="00A72AE5"/>
    <w:rsid w:val="00A72DFF"/>
    <w:rsid w:val="00A734FF"/>
    <w:rsid w:val="00A73565"/>
    <w:rsid w:val="00A73981"/>
    <w:rsid w:val="00A7428F"/>
    <w:rsid w:val="00A74E13"/>
    <w:rsid w:val="00A75191"/>
    <w:rsid w:val="00A752B2"/>
    <w:rsid w:val="00A75503"/>
    <w:rsid w:val="00A7578E"/>
    <w:rsid w:val="00A75A6C"/>
    <w:rsid w:val="00A76A59"/>
    <w:rsid w:val="00A77A9B"/>
    <w:rsid w:val="00A8071A"/>
    <w:rsid w:val="00A80BD3"/>
    <w:rsid w:val="00A81149"/>
    <w:rsid w:val="00A8137A"/>
    <w:rsid w:val="00A81574"/>
    <w:rsid w:val="00A817F3"/>
    <w:rsid w:val="00A81C40"/>
    <w:rsid w:val="00A82136"/>
    <w:rsid w:val="00A82304"/>
    <w:rsid w:val="00A82785"/>
    <w:rsid w:val="00A82C7A"/>
    <w:rsid w:val="00A83128"/>
    <w:rsid w:val="00A83383"/>
    <w:rsid w:val="00A84D82"/>
    <w:rsid w:val="00A84E96"/>
    <w:rsid w:val="00A857F8"/>
    <w:rsid w:val="00A858FD"/>
    <w:rsid w:val="00A86688"/>
    <w:rsid w:val="00A86974"/>
    <w:rsid w:val="00A86EE7"/>
    <w:rsid w:val="00A907A4"/>
    <w:rsid w:val="00A91337"/>
    <w:rsid w:val="00A91773"/>
    <w:rsid w:val="00A91DB1"/>
    <w:rsid w:val="00A91E59"/>
    <w:rsid w:val="00A92D51"/>
    <w:rsid w:val="00A93C68"/>
    <w:rsid w:val="00A93C8E"/>
    <w:rsid w:val="00A93D3E"/>
    <w:rsid w:val="00A93F28"/>
    <w:rsid w:val="00A94D6A"/>
    <w:rsid w:val="00A95A73"/>
    <w:rsid w:val="00A95F28"/>
    <w:rsid w:val="00A96B9F"/>
    <w:rsid w:val="00A96EFC"/>
    <w:rsid w:val="00A97A1C"/>
    <w:rsid w:val="00A97F21"/>
    <w:rsid w:val="00AA0195"/>
    <w:rsid w:val="00AA03A0"/>
    <w:rsid w:val="00AA0DCF"/>
    <w:rsid w:val="00AA18CA"/>
    <w:rsid w:val="00AA194D"/>
    <w:rsid w:val="00AA1D51"/>
    <w:rsid w:val="00AA2083"/>
    <w:rsid w:val="00AA3484"/>
    <w:rsid w:val="00AA3A0C"/>
    <w:rsid w:val="00AA3A48"/>
    <w:rsid w:val="00AA3C05"/>
    <w:rsid w:val="00AA3C3A"/>
    <w:rsid w:val="00AA462A"/>
    <w:rsid w:val="00AA486F"/>
    <w:rsid w:val="00AA55BA"/>
    <w:rsid w:val="00AA5DE9"/>
    <w:rsid w:val="00AA60E5"/>
    <w:rsid w:val="00AA734B"/>
    <w:rsid w:val="00AA73DF"/>
    <w:rsid w:val="00AA7C01"/>
    <w:rsid w:val="00AA7D55"/>
    <w:rsid w:val="00AB1149"/>
    <w:rsid w:val="00AB1710"/>
    <w:rsid w:val="00AB1FC9"/>
    <w:rsid w:val="00AB2311"/>
    <w:rsid w:val="00AB23E0"/>
    <w:rsid w:val="00AB2B78"/>
    <w:rsid w:val="00AB2F15"/>
    <w:rsid w:val="00AB3764"/>
    <w:rsid w:val="00AB3EAC"/>
    <w:rsid w:val="00AB425F"/>
    <w:rsid w:val="00AB45D3"/>
    <w:rsid w:val="00AB45F3"/>
    <w:rsid w:val="00AB47EE"/>
    <w:rsid w:val="00AB48D0"/>
    <w:rsid w:val="00AB4C89"/>
    <w:rsid w:val="00AB4FE1"/>
    <w:rsid w:val="00AB5516"/>
    <w:rsid w:val="00AB604B"/>
    <w:rsid w:val="00AB62ED"/>
    <w:rsid w:val="00AB67BF"/>
    <w:rsid w:val="00AB71D6"/>
    <w:rsid w:val="00AB7538"/>
    <w:rsid w:val="00AB7AB1"/>
    <w:rsid w:val="00AB7EE7"/>
    <w:rsid w:val="00AB7F17"/>
    <w:rsid w:val="00AC01B4"/>
    <w:rsid w:val="00AC0239"/>
    <w:rsid w:val="00AC0923"/>
    <w:rsid w:val="00AC093D"/>
    <w:rsid w:val="00AC09C7"/>
    <w:rsid w:val="00AC1005"/>
    <w:rsid w:val="00AC123B"/>
    <w:rsid w:val="00AC1413"/>
    <w:rsid w:val="00AC165A"/>
    <w:rsid w:val="00AC1F0E"/>
    <w:rsid w:val="00AC222F"/>
    <w:rsid w:val="00AC2765"/>
    <w:rsid w:val="00AC3205"/>
    <w:rsid w:val="00AC344C"/>
    <w:rsid w:val="00AC3978"/>
    <w:rsid w:val="00AC3FE7"/>
    <w:rsid w:val="00AC4855"/>
    <w:rsid w:val="00AC57BE"/>
    <w:rsid w:val="00AC5893"/>
    <w:rsid w:val="00AC5AEB"/>
    <w:rsid w:val="00AC5B06"/>
    <w:rsid w:val="00AC5DD1"/>
    <w:rsid w:val="00AC68E5"/>
    <w:rsid w:val="00AC6B44"/>
    <w:rsid w:val="00AC7545"/>
    <w:rsid w:val="00AC7943"/>
    <w:rsid w:val="00AD07C9"/>
    <w:rsid w:val="00AD0BBD"/>
    <w:rsid w:val="00AD1CA3"/>
    <w:rsid w:val="00AD1DE7"/>
    <w:rsid w:val="00AD23B9"/>
    <w:rsid w:val="00AD2965"/>
    <w:rsid w:val="00AD2B23"/>
    <w:rsid w:val="00AD2B27"/>
    <w:rsid w:val="00AD34A8"/>
    <w:rsid w:val="00AD38C4"/>
    <w:rsid w:val="00AD3A4B"/>
    <w:rsid w:val="00AD3C01"/>
    <w:rsid w:val="00AD3C0B"/>
    <w:rsid w:val="00AD41D5"/>
    <w:rsid w:val="00AD48B3"/>
    <w:rsid w:val="00AD4983"/>
    <w:rsid w:val="00AD4B6D"/>
    <w:rsid w:val="00AD4B9C"/>
    <w:rsid w:val="00AD4EFE"/>
    <w:rsid w:val="00AD536A"/>
    <w:rsid w:val="00AD578B"/>
    <w:rsid w:val="00AD5E1F"/>
    <w:rsid w:val="00AD694D"/>
    <w:rsid w:val="00AD6E9E"/>
    <w:rsid w:val="00AD6FD0"/>
    <w:rsid w:val="00AD7289"/>
    <w:rsid w:val="00AD7516"/>
    <w:rsid w:val="00AD7F84"/>
    <w:rsid w:val="00AE05FE"/>
    <w:rsid w:val="00AE08BA"/>
    <w:rsid w:val="00AE0B53"/>
    <w:rsid w:val="00AE0E25"/>
    <w:rsid w:val="00AE10F2"/>
    <w:rsid w:val="00AE112B"/>
    <w:rsid w:val="00AE13B0"/>
    <w:rsid w:val="00AE142F"/>
    <w:rsid w:val="00AE1738"/>
    <w:rsid w:val="00AE1D9B"/>
    <w:rsid w:val="00AE2021"/>
    <w:rsid w:val="00AE20DC"/>
    <w:rsid w:val="00AE23F1"/>
    <w:rsid w:val="00AE2999"/>
    <w:rsid w:val="00AE29D0"/>
    <w:rsid w:val="00AE2A35"/>
    <w:rsid w:val="00AE2A49"/>
    <w:rsid w:val="00AE2D4F"/>
    <w:rsid w:val="00AE2DE6"/>
    <w:rsid w:val="00AE2E38"/>
    <w:rsid w:val="00AE3143"/>
    <w:rsid w:val="00AE3260"/>
    <w:rsid w:val="00AE330C"/>
    <w:rsid w:val="00AE34F2"/>
    <w:rsid w:val="00AE368C"/>
    <w:rsid w:val="00AE3991"/>
    <w:rsid w:val="00AE3CD0"/>
    <w:rsid w:val="00AE3F27"/>
    <w:rsid w:val="00AE4457"/>
    <w:rsid w:val="00AE47B0"/>
    <w:rsid w:val="00AE5133"/>
    <w:rsid w:val="00AE5241"/>
    <w:rsid w:val="00AE52A5"/>
    <w:rsid w:val="00AE598E"/>
    <w:rsid w:val="00AE6429"/>
    <w:rsid w:val="00AE67FD"/>
    <w:rsid w:val="00AE68EF"/>
    <w:rsid w:val="00AE6A13"/>
    <w:rsid w:val="00AE7629"/>
    <w:rsid w:val="00AE79EA"/>
    <w:rsid w:val="00AF0017"/>
    <w:rsid w:val="00AF0277"/>
    <w:rsid w:val="00AF112B"/>
    <w:rsid w:val="00AF234C"/>
    <w:rsid w:val="00AF2561"/>
    <w:rsid w:val="00AF25BB"/>
    <w:rsid w:val="00AF2622"/>
    <w:rsid w:val="00AF287F"/>
    <w:rsid w:val="00AF3241"/>
    <w:rsid w:val="00AF34EF"/>
    <w:rsid w:val="00AF35F6"/>
    <w:rsid w:val="00AF369D"/>
    <w:rsid w:val="00AF36C1"/>
    <w:rsid w:val="00AF3BEF"/>
    <w:rsid w:val="00AF4090"/>
    <w:rsid w:val="00AF4119"/>
    <w:rsid w:val="00AF45E2"/>
    <w:rsid w:val="00AF4656"/>
    <w:rsid w:val="00AF4DF4"/>
    <w:rsid w:val="00AF6565"/>
    <w:rsid w:val="00AF67D6"/>
    <w:rsid w:val="00AF75D4"/>
    <w:rsid w:val="00AF7AF8"/>
    <w:rsid w:val="00AF7F8F"/>
    <w:rsid w:val="00B00356"/>
    <w:rsid w:val="00B004DA"/>
    <w:rsid w:val="00B00709"/>
    <w:rsid w:val="00B00969"/>
    <w:rsid w:val="00B00AEE"/>
    <w:rsid w:val="00B00C55"/>
    <w:rsid w:val="00B01806"/>
    <w:rsid w:val="00B018DE"/>
    <w:rsid w:val="00B01911"/>
    <w:rsid w:val="00B01E83"/>
    <w:rsid w:val="00B022B5"/>
    <w:rsid w:val="00B02963"/>
    <w:rsid w:val="00B02B20"/>
    <w:rsid w:val="00B02D9F"/>
    <w:rsid w:val="00B035F9"/>
    <w:rsid w:val="00B046E9"/>
    <w:rsid w:val="00B051B0"/>
    <w:rsid w:val="00B05265"/>
    <w:rsid w:val="00B052EA"/>
    <w:rsid w:val="00B0648E"/>
    <w:rsid w:val="00B06854"/>
    <w:rsid w:val="00B069C0"/>
    <w:rsid w:val="00B072D4"/>
    <w:rsid w:val="00B0747E"/>
    <w:rsid w:val="00B076C6"/>
    <w:rsid w:val="00B07AD0"/>
    <w:rsid w:val="00B1003E"/>
    <w:rsid w:val="00B104BA"/>
    <w:rsid w:val="00B10E64"/>
    <w:rsid w:val="00B113DD"/>
    <w:rsid w:val="00B124F8"/>
    <w:rsid w:val="00B12E62"/>
    <w:rsid w:val="00B12E9F"/>
    <w:rsid w:val="00B13098"/>
    <w:rsid w:val="00B1353B"/>
    <w:rsid w:val="00B13F69"/>
    <w:rsid w:val="00B141DA"/>
    <w:rsid w:val="00B1424B"/>
    <w:rsid w:val="00B14794"/>
    <w:rsid w:val="00B14938"/>
    <w:rsid w:val="00B14FE5"/>
    <w:rsid w:val="00B15D42"/>
    <w:rsid w:val="00B15D8A"/>
    <w:rsid w:val="00B15F83"/>
    <w:rsid w:val="00B165F3"/>
    <w:rsid w:val="00B1697B"/>
    <w:rsid w:val="00B17990"/>
    <w:rsid w:val="00B17B3D"/>
    <w:rsid w:val="00B17B64"/>
    <w:rsid w:val="00B20696"/>
    <w:rsid w:val="00B2082C"/>
    <w:rsid w:val="00B20F40"/>
    <w:rsid w:val="00B2121B"/>
    <w:rsid w:val="00B2191C"/>
    <w:rsid w:val="00B21D36"/>
    <w:rsid w:val="00B22076"/>
    <w:rsid w:val="00B22267"/>
    <w:rsid w:val="00B222EB"/>
    <w:rsid w:val="00B22748"/>
    <w:rsid w:val="00B228B5"/>
    <w:rsid w:val="00B2298B"/>
    <w:rsid w:val="00B22BF7"/>
    <w:rsid w:val="00B22C27"/>
    <w:rsid w:val="00B22E9D"/>
    <w:rsid w:val="00B22EFB"/>
    <w:rsid w:val="00B2334F"/>
    <w:rsid w:val="00B239B5"/>
    <w:rsid w:val="00B24271"/>
    <w:rsid w:val="00B24311"/>
    <w:rsid w:val="00B243CC"/>
    <w:rsid w:val="00B249B2"/>
    <w:rsid w:val="00B24A2B"/>
    <w:rsid w:val="00B24B23"/>
    <w:rsid w:val="00B24D30"/>
    <w:rsid w:val="00B2518F"/>
    <w:rsid w:val="00B254F9"/>
    <w:rsid w:val="00B25F88"/>
    <w:rsid w:val="00B2613F"/>
    <w:rsid w:val="00B26FE7"/>
    <w:rsid w:val="00B27634"/>
    <w:rsid w:val="00B27B23"/>
    <w:rsid w:val="00B27E04"/>
    <w:rsid w:val="00B301A2"/>
    <w:rsid w:val="00B3054C"/>
    <w:rsid w:val="00B30DF4"/>
    <w:rsid w:val="00B30E02"/>
    <w:rsid w:val="00B31457"/>
    <w:rsid w:val="00B3172B"/>
    <w:rsid w:val="00B31755"/>
    <w:rsid w:val="00B3185B"/>
    <w:rsid w:val="00B318CD"/>
    <w:rsid w:val="00B31939"/>
    <w:rsid w:val="00B31CF1"/>
    <w:rsid w:val="00B325AF"/>
    <w:rsid w:val="00B329E7"/>
    <w:rsid w:val="00B3348D"/>
    <w:rsid w:val="00B33822"/>
    <w:rsid w:val="00B33887"/>
    <w:rsid w:val="00B34C22"/>
    <w:rsid w:val="00B34D3D"/>
    <w:rsid w:val="00B34F59"/>
    <w:rsid w:val="00B35241"/>
    <w:rsid w:val="00B358E3"/>
    <w:rsid w:val="00B35CA8"/>
    <w:rsid w:val="00B35E6C"/>
    <w:rsid w:val="00B369ED"/>
    <w:rsid w:val="00B36DE6"/>
    <w:rsid w:val="00B3744A"/>
    <w:rsid w:val="00B378B8"/>
    <w:rsid w:val="00B37950"/>
    <w:rsid w:val="00B37B3B"/>
    <w:rsid w:val="00B4032D"/>
    <w:rsid w:val="00B404A0"/>
    <w:rsid w:val="00B40543"/>
    <w:rsid w:val="00B408DD"/>
    <w:rsid w:val="00B40AAC"/>
    <w:rsid w:val="00B40B9E"/>
    <w:rsid w:val="00B40E00"/>
    <w:rsid w:val="00B40EC0"/>
    <w:rsid w:val="00B4131A"/>
    <w:rsid w:val="00B4151C"/>
    <w:rsid w:val="00B415C4"/>
    <w:rsid w:val="00B41A17"/>
    <w:rsid w:val="00B41EE8"/>
    <w:rsid w:val="00B426AA"/>
    <w:rsid w:val="00B4280F"/>
    <w:rsid w:val="00B42879"/>
    <w:rsid w:val="00B42BE3"/>
    <w:rsid w:val="00B43091"/>
    <w:rsid w:val="00B43648"/>
    <w:rsid w:val="00B44ADF"/>
    <w:rsid w:val="00B4602F"/>
    <w:rsid w:val="00B4621C"/>
    <w:rsid w:val="00B46815"/>
    <w:rsid w:val="00B46A3D"/>
    <w:rsid w:val="00B46C2E"/>
    <w:rsid w:val="00B46FF7"/>
    <w:rsid w:val="00B470FF"/>
    <w:rsid w:val="00B472A2"/>
    <w:rsid w:val="00B4771B"/>
    <w:rsid w:val="00B47AC4"/>
    <w:rsid w:val="00B47F3E"/>
    <w:rsid w:val="00B5072A"/>
    <w:rsid w:val="00B50CFE"/>
    <w:rsid w:val="00B50E79"/>
    <w:rsid w:val="00B51052"/>
    <w:rsid w:val="00B5173C"/>
    <w:rsid w:val="00B518CF"/>
    <w:rsid w:val="00B52146"/>
    <w:rsid w:val="00B52F88"/>
    <w:rsid w:val="00B53452"/>
    <w:rsid w:val="00B53525"/>
    <w:rsid w:val="00B53A55"/>
    <w:rsid w:val="00B53EB7"/>
    <w:rsid w:val="00B54232"/>
    <w:rsid w:val="00B54EC9"/>
    <w:rsid w:val="00B552FA"/>
    <w:rsid w:val="00B5536D"/>
    <w:rsid w:val="00B55616"/>
    <w:rsid w:val="00B5596F"/>
    <w:rsid w:val="00B55AAD"/>
    <w:rsid w:val="00B5611F"/>
    <w:rsid w:val="00B57671"/>
    <w:rsid w:val="00B57E7D"/>
    <w:rsid w:val="00B57FB6"/>
    <w:rsid w:val="00B611B8"/>
    <w:rsid w:val="00B614E3"/>
    <w:rsid w:val="00B61C09"/>
    <w:rsid w:val="00B61C73"/>
    <w:rsid w:val="00B61D27"/>
    <w:rsid w:val="00B62150"/>
    <w:rsid w:val="00B62203"/>
    <w:rsid w:val="00B6258E"/>
    <w:rsid w:val="00B62A17"/>
    <w:rsid w:val="00B64090"/>
    <w:rsid w:val="00B64578"/>
    <w:rsid w:val="00B657C6"/>
    <w:rsid w:val="00B66AC2"/>
    <w:rsid w:val="00B707DE"/>
    <w:rsid w:val="00B70928"/>
    <w:rsid w:val="00B70A3A"/>
    <w:rsid w:val="00B71684"/>
    <w:rsid w:val="00B717E8"/>
    <w:rsid w:val="00B71F68"/>
    <w:rsid w:val="00B722B0"/>
    <w:rsid w:val="00B722DA"/>
    <w:rsid w:val="00B7265D"/>
    <w:rsid w:val="00B72C56"/>
    <w:rsid w:val="00B7435E"/>
    <w:rsid w:val="00B7448D"/>
    <w:rsid w:val="00B747C7"/>
    <w:rsid w:val="00B74928"/>
    <w:rsid w:val="00B74DA1"/>
    <w:rsid w:val="00B7511E"/>
    <w:rsid w:val="00B75750"/>
    <w:rsid w:val="00B75B39"/>
    <w:rsid w:val="00B75C3D"/>
    <w:rsid w:val="00B7616B"/>
    <w:rsid w:val="00B76394"/>
    <w:rsid w:val="00B77D47"/>
    <w:rsid w:val="00B77FCE"/>
    <w:rsid w:val="00B80677"/>
    <w:rsid w:val="00B812C8"/>
    <w:rsid w:val="00B813E0"/>
    <w:rsid w:val="00B81452"/>
    <w:rsid w:val="00B81F35"/>
    <w:rsid w:val="00B82161"/>
    <w:rsid w:val="00B8265E"/>
    <w:rsid w:val="00B84304"/>
    <w:rsid w:val="00B8433C"/>
    <w:rsid w:val="00B846B4"/>
    <w:rsid w:val="00B84847"/>
    <w:rsid w:val="00B84BA0"/>
    <w:rsid w:val="00B84BA1"/>
    <w:rsid w:val="00B84CBC"/>
    <w:rsid w:val="00B850C9"/>
    <w:rsid w:val="00B852B4"/>
    <w:rsid w:val="00B85819"/>
    <w:rsid w:val="00B85B1D"/>
    <w:rsid w:val="00B85FDF"/>
    <w:rsid w:val="00B868A3"/>
    <w:rsid w:val="00B86DDE"/>
    <w:rsid w:val="00B87213"/>
    <w:rsid w:val="00B87A98"/>
    <w:rsid w:val="00B9030A"/>
    <w:rsid w:val="00B91BFA"/>
    <w:rsid w:val="00B926F9"/>
    <w:rsid w:val="00B92D03"/>
    <w:rsid w:val="00B93278"/>
    <w:rsid w:val="00B941CA"/>
    <w:rsid w:val="00B94292"/>
    <w:rsid w:val="00B94293"/>
    <w:rsid w:val="00B94555"/>
    <w:rsid w:val="00B9509A"/>
    <w:rsid w:val="00B953DF"/>
    <w:rsid w:val="00B95471"/>
    <w:rsid w:val="00B9554D"/>
    <w:rsid w:val="00B957CF"/>
    <w:rsid w:val="00B9604B"/>
    <w:rsid w:val="00B960B8"/>
    <w:rsid w:val="00B9632C"/>
    <w:rsid w:val="00B96B2B"/>
    <w:rsid w:val="00BA01AE"/>
    <w:rsid w:val="00BA01EB"/>
    <w:rsid w:val="00BA08C5"/>
    <w:rsid w:val="00BA0BCE"/>
    <w:rsid w:val="00BA1199"/>
    <w:rsid w:val="00BA1427"/>
    <w:rsid w:val="00BA1667"/>
    <w:rsid w:val="00BA17EA"/>
    <w:rsid w:val="00BA1A12"/>
    <w:rsid w:val="00BA1BF2"/>
    <w:rsid w:val="00BA2278"/>
    <w:rsid w:val="00BA291E"/>
    <w:rsid w:val="00BA2943"/>
    <w:rsid w:val="00BA2AF1"/>
    <w:rsid w:val="00BA2F69"/>
    <w:rsid w:val="00BA3011"/>
    <w:rsid w:val="00BA31BF"/>
    <w:rsid w:val="00BA484F"/>
    <w:rsid w:val="00BA50B2"/>
    <w:rsid w:val="00BA5773"/>
    <w:rsid w:val="00BA59A1"/>
    <w:rsid w:val="00BA6213"/>
    <w:rsid w:val="00BA65DB"/>
    <w:rsid w:val="00BA6C0F"/>
    <w:rsid w:val="00BA793E"/>
    <w:rsid w:val="00BB005A"/>
    <w:rsid w:val="00BB00E4"/>
    <w:rsid w:val="00BB063A"/>
    <w:rsid w:val="00BB0913"/>
    <w:rsid w:val="00BB1BB5"/>
    <w:rsid w:val="00BB1BB8"/>
    <w:rsid w:val="00BB1BC5"/>
    <w:rsid w:val="00BB1D9F"/>
    <w:rsid w:val="00BB200C"/>
    <w:rsid w:val="00BB2325"/>
    <w:rsid w:val="00BB296D"/>
    <w:rsid w:val="00BB39B3"/>
    <w:rsid w:val="00BB43D4"/>
    <w:rsid w:val="00BB4848"/>
    <w:rsid w:val="00BB531B"/>
    <w:rsid w:val="00BB550B"/>
    <w:rsid w:val="00BB589C"/>
    <w:rsid w:val="00BB6479"/>
    <w:rsid w:val="00BB6C65"/>
    <w:rsid w:val="00BB6C87"/>
    <w:rsid w:val="00BB6CD5"/>
    <w:rsid w:val="00BB6FCD"/>
    <w:rsid w:val="00BB76DC"/>
    <w:rsid w:val="00BB7B4F"/>
    <w:rsid w:val="00BC01D9"/>
    <w:rsid w:val="00BC08D7"/>
    <w:rsid w:val="00BC146A"/>
    <w:rsid w:val="00BC1C0C"/>
    <w:rsid w:val="00BC1D65"/>
    <w:rsid w:val="00BC24B1"/>
    <w:rsid w:val="00BC2809"/>
    <w:rsid w:val="00BC3347"/>
    <w:rsid w:val="00BC349B"/>
    <w:rsid w:val="00BC3CB5"/>
    <w:rsid w:val="00BC48C4"/>
    <w:rsid w:val="00BC4B49"/>
    <w:rsid w:val="00BC5244"/>
    <w:rsid w:val="00BC5A3B"/>
    <w:rsid w:val="00BC5A4B"/>
    <w:rsid w:val="00BC5CBC"/>
    <w:rsid w:val="00BC6034"/>
    <w:rsid w:val="00BC617D"/>
    <w:rsid w:val="00BC7803"/>
    <w:rsid w:val="00BD02AE"/>
    <w:rsid w:val="00BD04BD"/>
    <w:rsid w:val="00BD076C"/>
    <w:rsid w:val="00BD09EF"/>
    <w:rsid w:val="00BD0B52"/>
    <w:rsid w:val="00BD12C2"/>
    <w:rsid w:val="00BD1E99"/>
    <w:rsid w:val="00BD1F75"/>
    <w:rsid w:val="00BD270A"/>
    <w:rsid w:val="00BD2C99"/>
    <w:rsid w:val="00BD3178"/>
    <w:rsid w:val="00BD3435"/>
    <w:rsid w:val="00BD3478"/>
    <w:rsid w:val="00BD35FF"/>
    <w:rsid w:val="00BD4F62"/>
    <w:rsid w:val="00BD5DA3"/>
    <w:rsid w:val="00BD659A"/>
    <w:rsid w:val="00BD65DA"/>
    <w:rsid w:val="00BD65FD"/>
    <w:rsid w:val="00BD68C8"/>
    <w:rsid w:val="00BD6DDA"/>
    <w:rsid w:val="00BD6E42"/>
    <w:rsid w:val="00BD7117"/>
    <w:rsid w:val="00BD7252"/>
    <w:rsid w:val="00BD7A92"/>
    <w:rsid w:val="00BD7E29"/>
    <w:rsid w:val="00BE02FC"/>
    <w:rsid w:val="00BE0747"/>
    <w:rsid w:val="00BE188C"/>
    <w:rsid w:val="00BE1C48"/>
    <w:rsid w:val="00BE233A"/>
    <w:rsid w:val="00BE2BBB"/>
    <w:rsid w:val="00BE3C51"/>
    <w:rsid w:val="00BE41F4"/>
    <w:rsid w:val="00BE47A2"/>
    <w:rsid w:val="00BE4B76"/>
    <w:rsid w:val="00BE525C"/>
    <w:rsid w:val="00BE529C"/>
    <w:rsid w:val="00BE5A13"/>
    <w:rsid w:val="00BE6667"/>
    <w:rsid w:val="00BE6B3B"/>
    <w:rsid w:val="00BE6D91"/>
    <w:rsid w:val="00BE75DA"/>
    <w:rsid w:val="00BF0695"/>
    <w:rsid w:val="00BF1640"/>
    <w:rsid w:val="00BF183B"/>
    <w:rsid w:val="00BF19EB"/>
    <w:rsid w:val="00BF1D08"/>
    <w:rsid w:val="00BF22B1"/>
    <w:rsid w:val="00BF22BD"/>
    <w:rsid w:val="00BF24D4"/>
    <w:rsid w:val="00BF27AA"/>
    <w:rsid w:val="00BF2A9D"/>
    <w:rsid w:val="00BF2B94"/>
    <w:rsid w:val="00BF2EC5"/>
    <w:rsid w:val="00BF3030"/>
    <w:rsid w:val="00BF4057"/>
    <w:rsid w:val="00BF4AAB"/>
    <w:rsid w:val="00BF5C6E"/>
    <w:rsid w:val="00BF6C09"/>
    <w:rsid w:val="00BF7237"/>
    <w:rsid w:val="00BF777D"/>
    <w:rsid w:val="00BF789F"/>
    <w:rsid w:val="00C00ED2"/>
    <w:rsid w:val="00C013F1"/>
    <w:rsid w:val="00C01453"/>
    <w:rsid w:val="00C0196B"/>
    <w:rsid w:val="00C01EE5"/>
    <w:rsid w:val="00C021E3"/>
    <w:rsid w:val="00C02FE8"/>
    <w:rsid w:val="00C0313B"/>
    <w:rsid w:val="00C03598"/>
    <w:rsid w:val="00C03DED"/>
    <w:rsid w:val="00C04222"/>
    <w:rsid w:val="00C046D0"/>
    <w:rsid w:val="00C048BB"/>
    <w:rsid w:val="00C04A96"/>
    <w:rsid w:val="00C0508E"/>
    <w:rsid w:val="00C050FD"/>
    <w:rsid w:val="00C05378"/>
    <w:rsid w:val="00C057B0"/>
    <w:rsid w:val="00C05D2F"/>
    <w:rsid w:val="00C05E81"/>
    <w:rsid w:val="00C05F62"/>
    <w:rsid w:val="00C06365"/>
    <w:rsid w:val="00C063AA"/>
    <w:rsid w:val="00C06450"/>
    <w:rsid w:val="00C06970"/>
    <w:rsid w:val="00C06ABB"/>
    <w:rsid w:val="00C06B72"/>
    <w:rsid w:val="00C06F05"/>
    <w:rsid w:val="00C07124"/>
    <w:rsid w:val="00C07A97"/>
    <w:rsid w:val="00C07CF4"/>
    <w:rsid w:val="00C07D81"/>
    <w:rsid w:val="00C10C94"/>
    <w:rsid w:val="00C11017"/>
    <w:rsid w:val="00C1174E"/>
    <w:rsid w:val="00C119B7"/>
    <w:rsid w:val="00C11C30"/>
    <w:rsid w:val="00C11FE3"/>
    <w:rsid w:val="00C120B4"/>
    <w:rsid w:val="00C12BBA"/>
    <w:rsid w:val="00C13381"/>
    <w:rsid w:val="00C13728"/>
    <w:rsid w:val="00C13DD1"/>
    <w:rsid w:val="00C1418E"/>
    <w:rsid w:val="00C14BBC"/>
    <w:rsid w:val="00C14C99"/>
    <w:rsid w:val="00C15030"/>
    <w:rsid w:val="00C15391"/>
    <w:rsid w:val="00C156CE"/>
    <w:rsid w:val="00C15752"/>
    <w:rsid w:val="00C15F87"/>
    <w:rsid w:val="00C16597"/>
    <w:rsid w:val="00C17192"/>
    <w:rsid w:val="00C17258"/>
    <w:rsid w:val="00C17320"/>
    <w:rsid w:val="00C173D5"/>
    <w:rsid w:val="00C17446"/>
    <w:rsid w:val="00C17C3C"/>
    <w:rsid w:val="00C17CA4"/>
    <w:rsid w:val="00C2085B"/>
    <w:rsid w:val="00C2093C"/>
    <w:rsid w:val="00C21151"/>
    <w:rsid w:val="00C2150F"/>
    <w:rsid w:val="00C21741"/>
    <w:rsid w:val="00C21E9C"/>
    <w:rsid w:val="00C2229F"/>
    <w:rsid w:val="00C22BB7"/>
    <w:rsid w:val="00C22DA2"/>
    <w:rsid w:val="00C22FF7"/>
    <w:rsid w:val="00C239E4"/>
    <w:rsid w:val="00C23A18"/>
    <w:rsid w:val="00C24178"/>
    <w:rsid w:val="00C24DDD"/>
    <w:rsid w:val="00C24F11"/>
    <w:rsid w:val="00C25453"/>
    <w:rsid w:val="00C2548F"/>
    <w:rsid w:val="00C255D6"/>
    <w:rsid w:val="00C26052"/>
    <w:rsid w:val="00C262F8"/>
    <w:rsid w:val="00C26555"/>
    <w:rsid w:val="00C2655E"/>
    <w:rsid w:val="00C26864"/>
    <w:rsid w:val="00C269DD"/>
    <w:rsid w:val="00C26E94"/>
    <w:rsid w:val="00C2717E"/>
    <w:rsid w:val="00C278E7"/>
    <w:rsid w:val="00C27A71"/>
    <w:rsid w:val="00C27A87"/>
    <w:rsid w:val="00C27C61"/>
    <w:rsid w:val="00C303B8"/>
    <w:rsid w:val="00C30584"/>
    <w:rsid w:val="00C30CE9"/>
    <w:rsid w:val="00C30F6B"/>
    <w:rsid w:val="00C312BF"/>
    <w:rsid w:val="00C315F1"/>
    <w:rsid w:val="00C318E2"/>
    <w:rsid w:val="00C31E8E"/>
    <w:rsid w:val="00C31F61"/>
    <w:rsid w:val="00C32C1C"/>
    <w:rsid w:val="00C33487"/>
    <w:rsid w:val="00C3352C"/>
    <w:rsid w:val="00C33694"/>
    <w:rsid w:val="00C339AE"/>
    <w:rsid w:val="00C33BCD"/>
    <w:rsid w:val="00C33BD2"/>
    <w:rsid w:val="00C33DF0"/>
    <w:rsid w:val="00C33F47"/>
    <w:rsid w:val="00C344AA"/>
    <w:rsid w:val="00C348FB"/>
    <w:rsid w:val="00C34B54"/>
    <w:rsid w:val="00C354D9"/>
    <w:rsid w:val="00C355F6"/>
    <w:rsid w:val="00C35726"/>
    <w:rsid w:val="00C36704"/>
    <w:rsid w:val="00C367AC"/>
    <w:rsid w:val="00C36971"/>
    <w:rsid w:val="00C369F7"/>
    <w:rsid w:val="00C36AD6"/>
    <w:rsid w:val="00C3728D"/>
    <w:rsid w:val="00C372EF"/>
    <w:rsid w:val="00C374C2"/>
    <w:rsid w:val="00C4045B"/>
    <w:rsid w:val="00C40991"/>
    <w:rsid w:val="00C40B07"/>
    <w:rsid w:val="00C413E1"/>
    <w:rsid w:val="00C41D18"/>
    <w:rsid w:val="00C41E8B"/>
    <w:rsid w:val="00C423F6"/>
    <w:rsid w:val="00C4266B"/>
    <w:rsid w:val="00C42A87"/>
    <w:rsid w:val="00C432A0"/>
    <w:rsid w:val="00C435AF"/>
    <w:rsid w:val="00C43ACB"/>
    <w:rsid w:val="00C44070"/>
    <w:rsid w:val="00C44404"/>
    <w:rsid w:val="00C4479F"/>
    <w:rsid w:val="00C45437"/>
    <w:rsid w:val="00C45602"/>
    <w:rsid w:val="00C45642"/>
    <w:rsid w:val="00C46AC0"/>
    <w:rsid w:val="00C46EBF"/>
    <w:rsid w:val="00C47138"/>
    <w:rsid w:val="00C4772A"/>
    <w:rsid w:val="00C47F01"/>
    <w:rsid w:val="00C50675"/>
    <w:rsid w:val="00C5158B"/>
    <w:rsid w:val="00C51C7F"/>
    <w:rsid w:val="00C5241A"/>
    <w:rsid w:val="00C52A5E"/>
    <w:rsid w:val="00C52AC9"/>
    <w:rsid w:val="00C52CA7"/>
    <w:rsid w:val="00C5331A"/>
    <w:rsid w:val="00C533D4"/>
    <w:rsid w:val="00C5369D"/>
    <w:rsid w:val="00C538F5"/>
    <w:rsid w:val="00C53FE4"/>
    <w:rsid w:val="00C56E2F"/>
    <w:rsid w:val="00C56E9A"/>
    <w:rsid w:val="00C5702E"/>
    <w:rsid w:val="00C57885"/>
    <w:rsid w:val="00C57A32"/>
    <w:rsid w:val="00C57C61"/>
    <w:rsid w:val="00C57FB6"/>
    <w:rsid w:val="00C60854"/>
    <w:rsid w:val="00C6093B"/>
    <w:rsid w:val="00C60C40"/>
    <w:rsid w:val="00C60E8F"/>
    <w:rsid w:val="00C61B80"/>
    <w:rsid w:val="00C61E0A"/>
    <w:rsid w:val="00C61EAD"/>
    <w:rsid w:val="00C62134"/>
    <w:rsid w:val="00C62CE1"/>
    <w:rsid w:val="00C639ED"/>
    <w:rsid w:val="00C640B7"/>
    <w:rsid w:val="00C6469C"/>
    <w:rsid w:val="00C64784"/>
    <w:rsid w:val="00C64BA0"/>
    <w:rsid w:val="00C64DEA"/>
    <w:rsid w:val="00C6519C"/>
    <w:rsid w:val="00C6523E"/>
    <w:rsid w:val="00C653B2"/>
    <w:rsid w:val="00C65AED"/>
    <w:rsid w:val="00C65BFB"/>
    <w:rsid w:val="00C65C47"/>
    <w:rsid w:val="00C65EFA"/>
    <w:rsid w:val="00C6699F"/>
    <w:rsid w:val="00C67958"/>
    <w:rsid w:val="00C679CE"/>
    <w:rsid w:val="00C67A75"/>
    <w:rsid w:val="00C706C6"/>
    <w:rsid w:val="00C7130F"/>
    <w:rsid w:val="00C716DE"/>
    <w:rsid w:val="00C71E97"/>
    <w:rsid w:val="00C722B3"/>
    <w:rsid w:val="00C73094"/>
    <w:rsid w:val="00C73A88"/>
    <w:rsid w:val="00C74560"/>
    <w:rsid w:val="00C753C6"/>
    <w:rsid w:val="00C755A8"/>
    <w:rsid w:val="00C75E00"/>
    <w:rsid w:val="00C76379"/>
    <w:rsid w:val="00C7695D"/>
    <w:rsid w:val="00C76A58"/>
    <w:rsid w:val="00C76D38"/>
    <w:rsid w:val="00C77E3E"/>
    <w:rsid w:val="00C800EF"/>
    <w:rsid w:val="00C8019A"/>
    <w:rsid w:val="00C805B0"/>
    <w:rsid w:val="00C807B9"/>
    <w:rsid w:val="00C80F99"/>
    <w:rsid w:val="00C81237"/>
    <w:rsid w:val="00C81CD3"/>
    <w:rsid w:val="00C81ED9"/>
    <w:rsid w:val="00C82098"/>
    <w:rsid w:val="00C8214E"/>
    <w:rsid w:val="00C823CA"/>
    <w:rsid w:val="00C825B7"/>
    <w:rsid w:val="00C82774"/>
    <w:rsid w:val="00C82A17"/>
    <w:rsid w:val="00C82D1A"/>
    <w:rsid w:val="00C82ED6"/>
    <w:rsid w:val="00C83073"/>
    <w:rsid w:val="00C83587"/>
    <w:rsid w:val="00C84579"/>
    <w:rsid w:val="00C845F7"/>
    <w:rsid w:val="00C848FF"/>
    <w:rsid w:val="00C85086"/>
    <w:rsid w:val="00C85422"/>
    <w:rsid w:val="00C857BA"/>
    <w:rsid w:val="00C857EB"/>
    <w:rsid w:val="00C859AE"/>
    <w:rsid w:val="00C8664A"/>
    <w:rsid w:val="00C86DA7"/>
    <w:rsid w:val="00C875F8"/>
    <w:rsid w:val="00C875FB"/>
    <w:rsid w:val="00C90091"/>
    <w:rsid w:val="00C90263"/>
    <w:rsid w:val="00C911E6"/>
    <w:rsid w:val="00C91F21"/>
    <w:rsid w:val="00C92058"/>
    <w:rsid w:val="00C923E7"/>
    <w:rsid w:val="00C92496"/>
    <w:rsid w:val="00C9264F"/>
    <w:rsid w:val="00C9284D"/>
    <w:rsid w:val="00C92A8A"/>
    <w:rsid w:val="00C92F41"/>
    <w:rsid w:val="00C93C1D"/>
    <w:rsid w:val="00C93D00"/>
    <w:rsid w:val="00C94188"/>
    <w:rsid w:val="00C944C3"/>
    <w:rsid w:val="00C94840"/>
    <w:rsid w:val="00C94EEA"/>
    <w:rsid w:val="00C952AF"/>
    <w:rsid w:val="00C95625"/>
    <w:rsid w:val="00C95787"/>
    <w:rsid w:val="00C95C64"/>
    <w:rsid w:val="00C97254"/>
    <w:rsid w:val="00C97791"/>
    <w:rsid w:val="00C9799E"/>
    <w:rsid w:val="00C97F62"/>
    <w:rsid w:val="00C97F7F"/>
    <w:rsid w:val="00CA084E"/>
    <w:rsid w:val="00CA08AF"/>
    <w:rsid w:val="00CA23C3"/>
    <w:rsid w:val="00CA25E5"/>
    <w:rsid w:val="00CA29A5"/>
    <w:rsid w:val="00CA308F"/>
    <w:rsid w:val="00CA3417"/>
    <w:rsid w:val="00CA351D"/>
    <w:rsid w:val="00CA3630"/>
    <w:rsid w:val="00CA40D3"/>
    <w:rsid w:val="00CA4FE8"/>
    <w:rsid w:val="00CA50FE"/>
    <w:rsid w:val="00CA5138"/>
    <w:rsid w:val="00CA558C"/>
    <w:rsid w:val="00CA572F"/>
    <w:rsid w:val="00CA58C6"/>
    <w:rsid w:val="00CA613C"/>
    <w:rsid w:val="00CA67CE"/>
    <w:rsid w:val="00CA6873"/>
    <w:rsid w:val="00CA68C5"/>
    <w:rsid w:val="00CA6932"/>
    <w:rsid w:val="00CA6B1B"/>
    <w:rsid w:val="00CA6BA8"/>
    <w:rsid w:val="00CA6C23"/>
    <w:rsid w:val="00CA6FAE"/>
    <w:rsid w:val="00CA755D"/>
    <w:rsid w:val="00CA77E7"/>
    <w:rsid w:val="00CB0871"/>
    <w:rsid w:val="00CB2AEF"/>
    <w:rsid w:val="00CB2F2E"/>
    <w:rsid w:val="00CB35CC"/>
    <w:rsid w:val="00CB3B84"/>
    <w:rsid w:val="00CB4B55"/>
    <w:rsid w:val="00CB635F"/>
    <w:rsid w:val="00CB639C"/>
    <w:rsid w:val="00CB766B"/>
    <w:rsid w:val="00CB7957"/>
    <w:rsid w:val="00CB7A74"/>
    <w:rsid w:val="00CB7C75"/>
    <w:rsid w:val="00CB7D58"/>
    <w:rsid w:val="00CB7DDF"/>
    <w:rsid w:val="00CC0466"/>
    <w:rsid w:val="00CC15D8"/>
    <w:rsid w:val="00CC1F5C"/>
    <w:rsid w:val="00CC20B0"/>
    <w:rsid w:val="00CC2B3A"/>
    <w:rsid w:val="00CC2D63"/>
    <w:rsid w:val="00CC2F55"/>
    <w:rsid w:val="00CC3149"/>
    <w:rsid w:val="00CC3935"/>
    <w:rsid w:val="00CC3AEC"/>
    <w:rsid w:val="00CC3BFC"/>
    <w:rsid w:val="00CC3E4B"/>
    <w:rsid w:val="00CC4576"/>
    <w:rsid w:val="00CC4B2B"/>
    <w:rsid w:val="00CC511D"/>
    <w:rsid w:val="00CC545B"/>
    <w:rsid w:val="00CC5A9D"/>
    <w:rsid w:val="00CC5AA9"/>
    <w:rsid w:val="00CC6428"/>
    <w:rsid w:val="00CC6A46"/>
    <w:rsid w:val="00CC6B8E"/>
    <w:rsid w:val="00CC6BB7"/>
    <w:rsid w:val="00CC7105"/>
    <w:rsid w:val="00CC751D"/>
    <w:rsid w:val="00CC79C6"/>
    <w:rsid w:val="00CC7B93"/>
    <w:rsid w:val="00CD067D"/>
    <w:rsid w:val="00CD0F6C"/>
    <w:rsid w:val="00CD16F0"/>
    <w:rsid w:val="00CD196D"/>
    <w:rsid w:val="00CD2867"/>
    <w:rsid w:val="00CD2B33"/>
    <w:rsid w:val="00CD2F4C"/>
    <w:rsid w:val="00CD3F8F"/>
    <w:rsid w:val="00CD4D06"/>
    <w:rsid w:val="00CD4DDF"/>
    <w:rsid w:val="00CD4ECD"/>
    <w:rsid w:val="00CD4F92"/>
    <w:rsid w:val="00CD5961"/>
    <w:rsid w:val="00CD5B76"/>
    <w:rsid w:val="00CD6156"/>
    <w:rsid w:val="00CD6549"/>
    <w:rsid w:val="00CD6E3F"/>
    <w:rsid w:val="00CD6EEC"/>
    <w:rsid w:val="00CD6FF6"/>
    <w:rsid w:val="00CD70C2"/>
    <w:rsid w:val="00CD74D6"/>
    <w:rsid w:val="00CD7672"/>
    <w:rsid w:val="00CD77D4"/>
    <w:rsid w:val="00CD79E6"/>
    <w:rsid w:val="00CE0F23"/>
    <w:rsid w:val="00CE1F91"/>
    <w:rsid w:val="00CE282C"/>
    <w:rsid w:val="00CE2BA0"/>
    <w:rsid w:val="00CE2C19"/>
    <w:rsid w:val="00CE306B"/>
    <w:rsid w:val="00CE30D5"/>
    <w:rsid w:val="00CE33E2"/>
    <w:rsid w:val="00CE395D"/>
    <w:rsid w:val="00CE3A32"/>
    <w:rsid w:val="00CE3B7C"/>
    <w:rsid w:val="00CE4644"/>
    <w:rsid w:val="00CE50E1"/>
    <w:rsid w:val="00CE53DF"/>
    <w:rsid w:val="00CE5706"/>
    <w:rsid w:val="00CE58AB"/>
    <w:rsid w:val="00CE6072"/>
    <w:rsid w:val="00CE62A0"/>
    <w:rsid w:val="00CE68B5"/>
    <w:rsid w:val="00CE6B93"/>
    <w:rsid w:val="00CE7023"/>
    <w:rsid w:val="00CE78DB"/>
    <w:rsid w:val="00CF0424"/>
    <w:rsid w:val="00CF0F28"/>
    <w:rsid w:val="00CF1962"/>
    <w:rsid w:val="00CF19EC"/>
    <w:rsid w:val="00CF1D1F"/>
    <w:rsid w:val="00CF2395"/>
    <w:rsid w:val="00CF26FE"/>
    <w:rsid w:val="00CF2792"/>
    <w:rsid w:val="00CF283E"/>
    <w:rsid w:val="00CF3157"/>
    <w:rsid w:val="00CF36FC"/>
    <w:rsid w:val="00CF3C53"/>
    <w:rsid w:val="00CF3DBD"/>
    <w:rsid w:val="00CF5031"/>
    <w:rsid w:val="00CF5270"/>
    <w:rsid w:val="00CF5867"/>
    <w:rsid w:val="00CF5AE5"/>
    <w:rsid w:val="00CF5F77"/>
    <w:rsid w:val="00CF6E88"/>
    <w:rsid w:val="00CF71C4"/>
    <w:rsid w:val="00CF7FE9"/>
    <w:rsid w:val="00D00131"/>
    <w:rsid w:val="00D0029F"/>
    <w:rsid w:val="00D009F9"/>
    <w:rsid w:val="00D01019"/>
    <w:rsid w:val="00D02B76"/>
    <w:rsid w:val="00D02B8E"/>
    <w:rsid w:val="00D031C8"/>
    <w:rsid w:val="00D036E9"/>
    <w:rsid w:val="00D03B9C"/>
    <w:rsid w:val="00D03D47"/>
    <w:rsid w:val="00D0509E"/>
    <w:rsid w:val="00D0539D"/>
    <w:rsid w:val="00D055DF"/>
    <w:rsid w:val="00D056D5"/>
    <w:rsid w:val="00D05C48"/>
    <w:rsid w:val="00D05DCA"/>
    <w:rsid w:val="00D05E01"/>
    <w:rsid w:val="00D05FC5"/>
    <w:rsid w:val="00D0609F"/>
    <w:rsid w:val="00D0686B"/>
    <w:rsid w:val="00D06B60"/>
    <w:rsid w:val="00D06D61"/>
    <w:rsid w:val="00D07308"/>
    <w:rsid w:val="00D10982"/>
    <w:rsid w:val="00D109B8"/>
    <w:rsid w:val="00D10C9F"/>
    <w:rsid w:val="00D11BD3"/>
    <w:rsid w:val="00D12158"/>
    <w:rsid w:val="00D13359"/>
    <w:rsid w:val="00D13804"/>
    <w:rsid w:val="00D13D0D"/>
    <w:rsid w:val="00D1476A"/>
    <w:rsid w:val="00D149B0"/>
    <w:rsid w:val="00D155F6"/>
    <w:rsid w:val="00D15781"/>
    <w:rsid w:val="00D15E1D"/>
    <w:rsid w:val="00D16565"/>
    <w:rsid w:val="00D16674"/>
    <w:rsid w:val="00D16CBF"/>
    <w:rsid w:val="00D16DC7"/>
    <w:rsid w:val="00D1703E"/>
    <w:rsid w:val="00D173C2"/>
    <w:rsid w:val="00D17EA8"/>
    <w:rsid w:val="00D20082"/>
    <w:rsid w:val="00D204CD"/>
    <w:rsid w:val="00D205F2"/>
    <w:rsid w:val="00D21691"/>
    <w:rsid w:val="00D21901"/>
    <w:rsid w:val="00D21AB4"/>
    <w:rsid w:val="00D220FE"/>
    <w:rsid w:val="00D223BF"/>
    <w:rsid w:val="00D23506"/>
    <w:rsid w:val="00D23546"/>
    <w:rsid w:val="00D2386A"/>
    <w:rsid w:val="00D2467B"/>
    <w:rsid w:val="00D24BA2"/>
    <w:rsid w:val="00D25C5A"/>
    <w:rsid w:val="00D266E6"/>
    <w:rsid w:val="00D267AA"/>
    <w:rsid w:val="00D26CB3"/>
    <w:rsid w:val="00D26FDA"/>
    <w:rsid w:val="00D272F8"/>
    <w:rsid w:val="00D27767"/>
    <w:rsid w:val="00D30055"/>
    <w:rsid w:val="00D30A18"/>
    <w:rsid w:val="00D319DB"/>
    <w:rsid w:val="00D31A37"/>
    <w:rsid w:val="00D31F4E"/>
    <w:rsid w:val="00D32E69"/>
    <w:rsid w:val="00D336CB"/>
    <w:rsid w:val="00D33F57"/>
    <w:rsid w:val="00D340A5"/>
    <w:rsid w:val="00D346E3"/>
    <w:rsid w:val="00D3474E"/>
    <w:rsid w:val="00D3476B"/>
    <w:rsid w:val="00D3503F"/>
    <w:rsid w:val="00D35255"/>
    <w:rsid w:val="00D35839"/>
    <w:rsid w:val="00D35C62"/>
    <w:rsid w:val="00D35DF7"/>
    <w:rsid w:val="00D35FC5"/>
    <w:rsid w:val="00D3695B"/>
    <w:rsid w:val="00D37555"/>
    <w:rsid w:val="00D37B32"/>
    <w:rsid w:val="00D37E44"/>
    <w:rsid w:val="00D40305"/>
    <w:rsid w:val="00D41213"/>
    <w:rsid w:val="00D42092"/>
    <w:rsid w:val="00D42839"/>
    <w:rsid w:val="00D42EC4"/>
    <w:rsid w:val="00D4373D"/>
    <w:rsid w:val="00D43755"/>
    <w:rsid w:val="00D44C9F"/>
    <w:rsid w:val="00D4589C"/>
    <w:rsid w:val="00D45A7C"/>
    <w:rsid w:val="00D45C95"/>
    <w:rsid w:val="00D45E8A"/>
    <w:rsid w:val="00D46510"/>
    <w:rsid w:val="00D46E6F"/>
    <w:rsid w:val="00D46F21"/>
    <w:rsid w:val="00D47002"/>
    <w:rsid w:val="00D474DB"/>
    <w:rsid w:val="00D50514"/>
    <w:rsid w:val="00D50697"/>
    <w:rsid w:val="00D50A4A"/>
    <w:rsid w:val="00D50D5C"/>
    <w:rsid w:val="00D51AD1"/>
    <w:rsid w:val="00D51CC5"/>
    <w:rsid w:val="00D52480"/>
    <w:rsid w:val="00D53603"/>
    <w:rsid w:val="00D53C59"/>
    <w:rsid w:val="00D53F22"/>
    <w:rsid w:val="00D540F4"/>
    <w:rsid w:val="00D54169"/>
    <w:rsid w:val="00D54849"/>
    <w:rsid w:val="00D55A5B"/>
    <w:rsid w:val="00D55D17"/>
    <w:rsid w:val="00D55D5D"/>
    <w:rsid w:val="00D5623A"/>
    <w:rsid w:val="00D56AE5"/>
    <w:rsid w:val="00D56C98"/>
    <w:rsid w:val="00D57434"/>
    <w:rsid w:val="00D57800"/>
    <w:rsid w:val="00D579B3"/>
    <w:rsid w:val="00D57E2A"/>
    <w:rsid w:val="00D61397"/>
    <w:rsid w:val="00D61A8F"/>
    <w:rsid w:val="00D61F38"/>
    <w:rsid w:val="00D62037"/>
    <w:rsid w:val="00D622AF"/>
    <w:rsid w:val="00D6263F"/>
    <w:rsid w:val="00D62CD1"/>
    <w:rsid w:val="00D62D3A"/>
    <w:rsid w:val="00D635DC"/>
    <w:rsid w:val="00D63AD0"/>
    <w:rsid w:val="00D63B02"/>
    <w:rsid w:val="00D63D3E"/>
    <w:rsid w:val="00D63E4A"/>
    <w:rsid w:val="00D63F79"/>
    <w:rsid w:val="00D6409B"/>
    <w:rsid w:val="00D64238"/>
    <w:rsid w:val="00D643E8"/>
    <w:rsid w:val="00D64E8B"/>
    <w:rsid w:val="00D6559F"/>
    <w:rsid w:val="00D659BA"/>
    <w:rsid w:val="00D661B6"/>
    <w:rsid w:val="00D66C4A"/>
    <w:rsid w:val="00D674A3"/>
    <w:rsid w:val="00D6780E"/>
    <w:rsid w:val="00D6794D"/>
    <w:rsid w:val="00D679EB"/>
    <w:rsid w:val="00D70364"/>
    <w:rsid w:val="00D70A60"/>
    <w:rsid w:val="00D70AB8"/>
    <w:rsid w:val="00D70CB4"/>
    <w:rsid w:val="00D70F98"/>
    <w:rsid w:val="00D71504"/>
    <w:rsid w:val="00D721C1"/>
    <w:rsid w:val="00D72890"/>
    <w:rsid w:val="00D72DA3"/>
    <w:rsid w:val="00D731F0"/>
    <w:rsid w:val="00D73CDA"/>
    <w:rsid w:val="00D75CA4"/>
    <w:rsid w:val="00D75D18"/>
    <w:rsid w:val="00D75D3E"/>
    <w:rsid w:val="00D7634E"/>
    <w:rsid w:val="00D76DF8"/>
    <w:rsid w:val="00D8030B"/>
    <w:rsid w:val="00D806CD"/>
    <w:rsid w:val="00D807E1"/>
    <w:rsid w:val="00D80ADB"/>
    <w:rsid w:val="00D80C4F"/>
    <w:rsid w:val="00D80DA6"/>
    <w:rsid w:val="00D81323"/>
    <w:rsid w:val="00D82066"/>
    <w:rsid w:val="00D82246"/>
    <w:rsid w:val="00D82309"/>
    <w:rsid w:val="00D83A3E"/>
    <w:rsid w:val="00D84182"/>
    <w:rsid w:val="00D84FCD"/>
    <w:rsid w:val="00D852B7"/>
    <w:rsid w:val="00D85FF4"/>
    <w:rsid w:val="00D86B88"/>
    <w:rsid w:val="00D86F2C"/>
    <w:rsid w:val="00D87016"/>
    <w:rsid w:val="00D87044"/>
    <w:rsid w:val="00D873C4"/>
    <w:rsid w:val="00D87673"/>
    <w:rsid w:val="00D87F0D"/>
    <w:rsid w:val="00D90345"/>
    <w:rsid w:val="00D907BE"/>
    <w:rsid w:val="00D90AB3"/>
    <w:rsid w:val="00D90C9B"/>
    <w:rsid w:val="00D91AB2"/>
    <w:rsid w:val="00D9260D"/>
    <w:rsid w:val="00D9298D"/>
    <w:rsid w:val="00D92A70"/>
    <w:rsid w:val="00D92BB7"/>
    <w:rsid w:val="00D9338C"/>
    <w:rsid w:val="00D935B7"/>
    <w:rsid w:val="00D942EF"/>
    <w:rsid w:val="00D94A82"/>
    <w:rsid w:val="00D94D14"/>
    <w:rsid w:val="00D94F60"/>
    <w:rsid w:val="00D955CB"/>
    <w:rsid w:val="00D97030"/>
    <w:rsid w:val="00D97A3E"/>
    <w:rsid w:val="00D97D88"/>
    <w:rsid w:val="00D97FB5"/>
    <w:rsid w:val="00DA0061"/>
    <w:rsid w:val="00DA115C"/>
    <w:rsid w:val="00DA15D2"/>
    <w:rsid w:val="00DA1ABA"/>
    <w:rsid w:val="00DA1D37"/>
    <w:rsid w:val="00DA2133"/>
    <w:rsid w:val="00DA3373"/>
    <w:rsid w:val="00DA3500"/>
    <w:rsid w:val="00DA3874"/>
    <w:rsid w:val="00DA391C"/>
    <w:rsid w:val="00DA3934"/>
    <w:rsid w:val="00DA42A7"/>
    <w:rsid w:val="00DA557A"/>
    <w:rsid w:val="00DA5D22"/>
    <w:rsid w:val="00DA5DC5"/>
    <w:rsid w:val="00DA6424"/>
    <w:rsid w:val="00DB00D0"/>
    <w:rsid w:val="00DB0273"/>
    <w:rsid w:val="00DB0729"/>
    <w:rsid w:val="00DB10F8"/>
    <w:rsid w:val="00DB1147"/>
    <w:rsid w:val="00DB1A31"/>
    <w:rsid w:val="00DB1C1B"/>
    <w:rsid w:val="00DB21E9"/>
    <w:rsid w:val="00DB255D"/>
    <w:rsid w:val="00DB2615"/>
    <w:rsid w:val="00DB279E"/>
    <w:rsid w:val="00DB393B"/>
    <w:rsid w:val="00DB42F6"/>
    <w:rsid w:val="00DB457F"/>
    <w:rsid w:val="00DB4979"/>
    <w:rsid w:val="00DB4D58"/>
    <w:rsid w:val="00DB5134"/>
    <w:rsid w:val="00DB5339"/>
    <w:rsid w:val="00DB5358"/>
    <w:rsid w:val="00DB580B"/>
    <w:rsid w:val="00DB5F98"/>
    <w:rsid w:val="00DB6275"/>
    <w:rsid w:val="00DB62C0"/>
    <w:rsid w:val="00DB64D9"/>
    <w:rsid w:val="00DB6A43"/>
    <w:rsid w:val="00DB7081"/>
    <w:rsid w:val="00DB7B0E"/>
    <w:rsid w:val="00DB7EFA"/>
    <w:rsid w:val="00DC00B3"/>
    <w:rsid w:val="00DC03B4"/>
    <w:rsid w:val="00DC0517"/>
    <w:rsid w:val="00DC0E1C"/>
    <w:rsid w:val="00DC1108"/>
    <w:rsid w:val="00DC1405"/>
    <w:rsid w:val="00DC144E"/>
    <w:rsid w:val="00DC2793"/>
    <w:rsid w:val="00DC29A6"/>
    <w:rsid w:val="00DC2C4A"/>
    <w:rsid w:val="00DC2E88"/>
    <w:rsid w:val="00DC331F"/>
    <w:rsid w:val="00DC36E8"/>
    <w:rsid w:val="00DC3F37"/>
    <w:rsid w:val="00DC4453"/>
    <w:rsid w:val="00DC4890"/>
    <w:rsid w:val="00DC4BCF"/>
    <w:rsid w:val="00DC4FDA"/>
    <w:rsid w:val="00DC5567"/>
    <w:rsid w:val="00DC5CFE"/>
    <w:rsid w:val="00DC5DDA"/>
    <w:rsid w:val="00DC6E34"/>
    <w:rsid w:val="00DC7501"/>
    <w:rsid w:val="00DD009A"/>
    <w:rsid w:val="00DD14AD"/>
    <w:rsid w:val="00DD14EE"/>
    <w:rsid w:val="00DD1A10"/>
    <w:rsid w:val="00DD34F0"/>
    <w:rsid w:val="00DD3B41"/>
    <w:rsid w:val="00DD3CB8"/>
    <w:rsid w:val="00DD4092"/>
    <w:rsid w:val="00DD41E8"/>
    <w:rsid w:val="00DD493D"/>
    <w:rsid w:val="00DD4AE2"/>
    <w:rsid w:val="00DD4C68"/>
    <w:rsid w:val="00DD58E7"/>
    <w:rsid w:val="00DD6320"/>
    <w:rsid w:val="00DD7254"/>
    <w:rsid w:val="00DD74BB"/>
    <w:rsid w:val="00DD7A2A"/>
    <w:rsid w:val="00DE02AE"/>
    <w:rsid w:val="00DE110F"/>
    <w:rsid w:val="00DE13D7"/>
    <w:rsid w:val="00DE19DE"/>
    <w:rsid w:val="00DE1D3E"/>
    <w:rsid w:val="00DE20EE"/>
    <w:rsid w:val="00DE2D46"/>
    <w:rsid w:val="00DE2DA7"/>
    <w:rsid w:val="00DE2E97"/>
    <w:rsid w:val="00DE3350"/>
    <w:rsid w:val="00DE36E5"/>
    <w:rsid w:val="00DE3834"/>
    <w:rsid w:val="00DE39F9"/>
    <w:rsid w:val="00DE3B24"/>
    <w:rsid w:val="00DE546F"/>
    <w:rsid w:val="00DE54B1"/>
    <w:rsid w:val="00DE5898"/>
    <w:rsid w:val="00DE5909"/>
    <w:rsid w:val="00DE60EC"/>
    <w:rsid w:val="00DE6C00"/>
    <w:rsid w:val="00DE75C1"/>
    <w:rsid w:val="00DE78DA"/>
    <w:rsid w:val="00DE7D59"/>
    <w:rsid w:val="00DF02F1"/>
    <w:rsid w:val="00DF0946"/>
    <w:rsid w:val="00DF158F"/>
    <w:rsid w:val="00DF1648"/>
    <w:rsid w:val="00DF1866"/>
    <w:rsid w:val="00DF1A34"/>
    <w:rsid w:val="00DF1AAF"/>
    <w:rsid w:val="00DF2217"/>
    <w:rsid w:val="00DF2259"/>
    <w:rsid w:val="00DF2418"/>
    <w:rsid w:val="00DF263C"/>
    <w:rsid w:val="00DF3AB1"/>
    <w:rsid w:val="00DF4208"/>
    <w:rsid w:val="00DF446B"/>
    <w:rsid w:val="00DF4586"/>
    <w:rsid w:val="00DF4A84"/>
    <w:rsid w:val="00DF4F27"/>
    <w:rsid w:val="00DF52C9"/>
    <w:rsid w:val="00DF576B"/>
    <w:rsid w:val="00DF5D78"/>
    <w:rsid w:val="00DF5FCE"/>
    <w:rsid w:val="00DF6B69"/>
    <w:rsid w:val="00DF6BD7"/>
    <w:rsid w:val="00DF6CE4"/>
    <w:rsid w:val="00DF761B"/>
    <w:rsid w:val="00DF7C65"/>
    <w:rsid w:val="00DF7EFC"/>
    <w:rsid w:val="00DF7F6B"/>
    <w:rsid w:val="00E01235"/>
    <w:rsid w:val="00E01542"/>
    <w:rsid w:val="00E0177A"/>
    <w:rsid w:val="00E01EFB"/>
    <w:rsid w:val="00E0253F"/>
    <w:rsid w:val="00E025BC"/>
    <w:rsid w:val="00E027DB"/>
    <w:rsid w:val="00E0295B"/>
    <w:rsid w:val="00E02B22"/>
    <w:rsid w:val="00E03724"/>
    <w:rsid w:val="00E0522E"/>
    <w:rsid w:val="00E053D0"/>
    <w:rsid w:val="00E05761"/>
    <w:rsid w:val="00E05A87"/>
    <w:rsid w:val="00E05D7D"/>
    <w:rsid w:val="00E06160"/>
    <w:rsid w:val="00E062AA"/>
    <w:rsid w:val="00E066B7"/>
    <w:rsid w:val="00E06A10"/>
    <w:rsid w:val="00E06B03"/>
    <w:rsid w:val="00E074BA"/>
    <w:rsid w:val="00E078DE"/>
    <w:rsid w:val="00E07FD4"/>
    <w:rsid w:val="00E10247"/>
    <w:rsid w:val="00E10397"/>
    <w:rsid w:val="00E11026"/>
    <w:rsid w:val="00E111E6"/>
    <w:rsid w:val="00E11377"/>
    <w:rsid w:val="00E11380"/>
    <w:rsid w:val="00E113C5"/>
    <w:rsid w:val="00E1173F"/>
    <w:rsid w:val="00E11F4C"/>
    <w:rsid w:val="00E122FA"/>
    <w:rsid w:val="00E136F3"/>
    <w:rsid w:val="00E1385F"/>
    <w:rsid w:val="00E13A1B"/>
    <w:rsid w:val="00E13E47"/>
    <w:rsid w:val="00E1407A"/>
    <w:rsid w:val="00E141FA"/>
    <w:rsid w:val="00E14494"/>
    <w:rsid w:val="00E1468E"/>
    <w:rsid w:val="00E15796"/>
    <w:rsid w:val="00E15CA4"/>
    <w:rsid w:val="00E15FA0"/>
    <w:rsid w:val="00E160C4"/>
    <w:rsid w:val="00E1622F"/>
    <w:rsid w:val="00E163CD"/>
    <w:rsid w:val="00E1663A"/>
    <w:rsid w:val="00E17052"/>
    <w:rsid w:val="00E1720A"/>
    <w:rsid w:val="00E17273"/>
    <w:rsid w:val="00E20200"/>
    <w:rsid w:val="00E2061A"/>
    <w:rsid w:val="00E2145E"/>
    <w:rsid w:val="00E2180C"/>
    <w:rsid w:val="00E21A19"/>
    <w:rsid w:val="00E21B17"/>
    <w:rsid w:val="00E21D1E"/>
    <w:rsid w:val="00E223DF"/>
    <w:rsid w:val="00E223E2"/>
    <w:rsid w:val="00E226A9"/>
    <w:rsid w:val="00E22D15"/>
    <w:rsid w:val="00E22DA3"/>
    <w:rsid w:val="00E2312D"/>
    <w:rsid w:val="00E23F2B"/>
    <w:rsid w:val="00E240C3"/>
    <w:rsid w:val="00E2422D"/>
    <w:rsid w:val="00E25056"/>
    <w:rsid w:val="00E26247"/>
    <w:rsid w:val="00E27119"/>
    <w:rsid w:val="00E278DD"/>
    <w:rsid w:val="00E27A1B"/>
    <w:rsid w:val="00E30235"/>
    <w:rsid w:val="00E30460"/>
    <w:rsid w:val="00E304EA"/>
    <w:rsid w:val="00E30866"/>
    <w:rsid w:val="00E30967"/>
    <w:rsid w:val="00E3141B"/>
    <w:rsid w:val="00E31510"/>
    <w:rsid w:val="00E316CA"/>
    <w:rsid w:val="00E319A9"/>
    <w:rsid w:val="00E31A07"/>
    <w:rsid w:val="00E31BC3"/>
    <w:rsid w:val="00E32393"/>
    <w:rsid w:val="00E33001"/>
    <w:rsid w:val="00E3318C"/>
    <w:rsid w:val="00E332A2"/>
    <w:rsid w:val="00E33A3E"/>
    <w:rsid w:val="00E33FC7"/>
    <w:rsid w:val="00E341A0"/>
    <w:rsid w:val="00E343A2"/>
    <w:rsid w:val="00E348BC"/>
    <w:rsid w:val="00E34E7E"/>
    <w:rsid w:val="00E35E8D"/>
    <w:rsid w:val="00E36495"/>
    <w:rsid w:val="00E36886"/>
    <w:rsid w:val="00E368E5"/>
    <w:rsid w:val="00E36B48"/>
    <w:rsid w:val="00E36D54"/>
    <w:rsid w:val="00E37BC5"/>
    <w:rsid w:val="00E37F50"/>
    <w:rsid w:val="00E40480"/>
    <w:rsid w:val="00E4090B"/>
    <w:rsid w:val="00E40A4B"/>
    <w:rsid w:val="00E40FAA"/>
    <w:rsid w:val="00E41350"/>
    <w:rsid w:val="00E4146C"/>
    <w:rsid w:val="00E41755"/>
    <w:rsid w:val="00E41AE9"/>
    <w:rsid w:val="00E4213C"/>
    <w:rsid w:val="00E423E7"/>
    <w:rsid w:val="00E42510"/>
    <w:rsid w:val="00E43100"/>
    <w:rsid w:val="00E43B57"/>
    <w:rsid w:val="00E43CE7"/>
    <w:rsid w:val="00E446B3"/>
    <w:rsid w:val="00E44D3E"/>
    <w:rsid w:val="00E44EA6"/>
    <w:rsid w:val="00E44EBB"/>
    <w:rsid w:val="00E45CC9"/>
    <w:rsid w:val="00E461D4"/>
    <w:rsid w:val="00E47015"/>
    <w:rsid w:val="00E470B2"/>
    <w:rsid w:val="00E47810"/>
    <w:rsid w:val="00E479D2"/>
    <w:rsid w:val="00E47B41"/>
    <w:rsid w:val="00E47D6C"/>
    <w:rsid w:val="00E50252"/>
    <w:rsid w:val="00E502FB"/>
    <w:rsid w:val="00E51843"/>
    <w:rsid w:val="00E523BE"/>
    <w:rsid w:val="00E5273E"/>
    <w:rsid w:val="00E52864"/>
    <w:rsid w:val="00E52B78"/>
    <w:rsid w:val="00E52D27"/>
    <w:rsid w:val="00E52F3A"/>
    <w:rsid w:val="00E53135"/>
    <w:rsid w:val="00E537E4"/>
    <w:rsid w:val="00E53E98"/>
    <w:rsid w:val="00E548D9"/>
    <w:rsid w:val="00E54A1D"/>
    <w:rsid w:val="00E54B91"/>
    <w:rsid w:val="00E55A1B"/>
    <w:rsid w:val="00E564CC"/>
    <w:rsid w:val="00E56558"/>
    <w:rsid w:val="00E56699"/>
    <w:rsid w:val="00E56922"/>
    <w:rsid w:val="00E56931"/>
    <w:rsid w:val="00E56DA9"/>
    <w:rsid w:val="00E56F72"/>
    <w:rsid w:val="00E5731F"/>
    <w:rsid w:val="00E575E6"/>
    <w:rsid w:val="00E60245"/>
    <w:rsid w:val="00E608E3"/>
    <w:rsid w:val="00E60D67"/>
    <w:rsid w:val="00E610AC"/>
    <w:rsid w:val="00E61267"/>
    <w:rsid w:val="00E6162B"/>
    <w:rsid w:val="00E617A5"/>
    <w:rsid w:val="00E61D9C"/>
    <w:rsid w:val="00E62122"/>
    <w:rsid w:val="00E6314B"/>
    <w:rsid w:val="00E631DA"/>
    <w:rsid w:val="00E63354"/>
    <w:rsid w:val="00E63483"/>
    <w:rsid w:val="00E63A79"/>
    <w:rsid w:val="00E63BC7"/>
    <w:rsid w:val="00E63DC8"/>
    <w:rsid w:val="00E642D9"/>
    <w:rsid w:val="00E6520F"/>
    <w:rsid w:val="00E65630"/>
    <w:rsid w:val="00E65CAE"/>
    <w:rsid w:val="00E66063"/>
    <w:rsid w:val="00E6651E"/>
    <w:rsid w:val="00E66C1C"/>
    <w:rsid w:val="00E66C77"/>
    <w:rsid w:val="00E66F17"/>
    <w:rsid w:val="00E66FE6"/>
    <w:rsid w:val="00E670FA"/>
    <w:rsid w:val="00E67388"/>
    <w:rsid w:val="00E67617"/>
    <w:rsid w:val="00E67934"/>
    <w:rsid w:val="00E67E7C"/>
    <w:rsid w:val="00E70440"/>
    <w:rsid w:val="00E705CC"/>
    <w:rsid w:val="00E70638"/>
    <w:rsid w:val="00E70B77"/>
    <w:rsid w:val="00E713F9"/>
    <w:rsid w:val="00E714F3"/>
    <w:rsid w:val="00E71813"/>
    <w:rsid w:val="00E71AA8"/>
    <w:rsid w:val="00E728A9"/>
    <w:rsid w:val="00E7343D"/>
    <w:rsid w:val="00E737A0"/>
    <w:rsid w:val="00E743C0"/>
    <w:rsid w:val="00E74891"/>
    <w:rsid w:val="00E75A0D"/>
    <w:rsid w:val="00E75C45"/>
    <w:rsid w:val="00E75D44"/>
    <w:rsid w:val="00E75DC6"/>
    <w:rsid w:val="00E761AD"/>
    <w:rsid w:val="00E76E07"/>
    <w:rsid w:val="00E76E6A"/>
    <w:rsid w:val="00E76FE4"/>
    <w:rsid w:val="00E77A30"/>
    <w:rsid w:val="00E8002F"/>
    <w:rsid w:val="00E8045D"/>
    <w:rsid w:val="00E8076C"/>
    <w:rsid w:val="00E80B37"/>
    <w:rsid w:val="00E80E98"/>
    <w:rsid w:val="00E815F6"/>
    <w:rsid w:val="00E816E0"/>
    <w:rsid w:val="00E81D1A"/>
    <w:rsid w:val="00E81DB2"/>
    <w:rsid w:val="00E8235F"/>
    <w:rsid w:val="00E828D2"/>
    <w:rsid w:val="00E828F2"/>
    <w:rsid w:val="00E828F3"/>
    <w:rsid w:val="00E830F6"/>
    <w:rsid w:val="00E835E4"/>
    <w:rsid w:val="00E83642"/>
    <w:rsid w:val="00E8375F"/>
    <w:rsid w:val="00E83818"/>
    <w:rsid w:val="00E839D2"/>
    <w:rsid w:val="00E83B60"/>
    <w:rsid w:val="00E84078"/>
    <w:rsid w:val="00E8414C"/>
    <w:rsid w:val="00E84618"/>
    <w:rsid w:val="00E846A4"/>
    <w:rsid w:val="00E84BCF"/>
    <w:rsid w:val="00E84F08"/>
    <w:rsid w:val="00E851C5"/>
    <w:rsid w:val="00E8532F"/>
    <w:rsid w:val="00E867FB"/>
    <w:rsid w:val="00E86861"/>
    <w:rsid w:val="00E86BDA"/>
    <w:rsid w:val="00E86D0A"/>
    <w:rsid w:val="00E86D6C"/>
    <w:rsid w:val="00E87C44"/>
    <w:rsid w:val="00E87FB7"/>
    <w:rsid w:val="00E90880"/>
    <w:rsid w:val="00E909F5"/>
    <w:rsid w:val="00E910D0"/>
    <w:rsid w:val="00E91363"/>
    <w:rsid w:val="00E913B3"/>
    <w:rsid w:val="00E9182B"/>
    <w:rsid w:val="00E91BC9"/>
    <w:rsid w:val="00E91C22"/>
    <w:rsid w:val="00E921CF"/>
    <w:rsid w:val="00E92277"/>
    <w:rsid w:val="00E923D8"/>
    <w:rsid w:val="00E927B0"/>
    <w:rsid w:val="00E927B8"/>
    <w:rsid w:val="00E929E0"/>
    <w:rsid w:val="00E935A9"/>
    <w:rsid w:val="00E935DD"/>
    <w:rsid w:val="00E935E5"/>
    <w:rsid w:val="00E93866"/>
    <w:rsid w:val="00E9480E"/>
    <w:rsid w:val="00E948E4"/>
    <w:rsid w:val="00E94D06"/>
    <w:rsid w:val="00E94E6D"/>
    <w:rsid w:val="00E95087"/>
    <w:rsid w:val="00E95E25"/>
    <w:rsid w:val="00E96275"/>
    <w:rsid w:val="00E96346"/>
    <w:rsid w:val="00E9678D"/>
    <w:rsid w:val="00E96E4E"/>
    <w:rsid w:val="00E975C2"/>
    <w:rsid w:val="00EA0C6A"/>
    <w:rsid w:val="00EA166E"/>
    <w:rsid w:val="00EA1BE9"/>
    <w:rsid w:val="00EA22C9"/>
    <w:rsid w:val="00EA2562"/>
    <w:rsid w:val="00EA2D04"/>
    <w:rsid w:val="00EA30F4"/>
    <w:rsid w:val="00EA3623"/>
    <w:rsid w:val="00EA3670"/>
    <w:rsid w:val="00EA3D41"/>
    <w:rsid w:val="00EA3FF4"/>
    <w:rsid w:val="00EA516F"/>
    <w:rsid w:val="00EA523F"/>
    <w:rsid w:val="00EA56AD"/>
    <w:rsid w:val="00EA5894"/>
    <w:rsid w:val="00EA5E45"/>
    <w:rsid w:val="00EA6122"/>
    <w:rsid w:val="00EA6ABE"/>
    <w:rsid w:val="00EA7364"/>
    <w:rsid w:val="00EA7AF6"/>
    <w:rsid w:val="00EB020A"/>
    <w:rsid w:val="00EB04C7"/>
    <w:rsid w:val="00EB0C34"/>
    <w:rsid w:val="00EB0D18"/>
    <w:rsid w:val="00EB16AF"/>
    <w:rsid w:val="00EB1875"/>
    <w:rsid w:val="00EB1BC5"/>
    <w:rsid w:val="00EB1F01"/>
    <w:rsid w:val="00EB29BF"/>
    <w:rsid w:val="00EB2B1F"/>
    <w:rsid w:val="00EB2BA0"/>
    <w:rsid w:val="00EB2BB6"/>
    <w:rsid w:val="00EB2BD5"/>
    <w:rsid w:val="00EB2D2F"/>
    <w:rsid w:val="00EB32A5"/>
    <w:rsid w:val="00EB3885"/>
    <w:rsid w:val="00EB3AB3"/>
    <w:rsid w:val="00EB3E34"/>
    <w:rsid w:val="00EB3FB7"/>
    <w:rsid w:val="00EB4558"/>
    <w:rsid w:val="00EB456E"/>
    <w:rsid w:val="00EB4680"/>
    <w:rsid w:val="00EB4856"/>
    <w:rsid w:val="00EB4895"/>
    <w:rsid w:val="00EB4DD3"/>
    <w:rsid w:val="00EB4E93"/>
    <w:rsid w:val="00EB560F"/>
    <w:rsid w:val="00EB565D"/>
    <w:rsid w:val="00EB6E26"/>
    <w:rsid w:val="00EB7A69"/>
    <w:rsid w:val="00EB7C35"/>
    <w:rsid w:val="00EC0207"/>
    <w:rsid w:val="00EC0278"/>
    <w:rsid w:val="00EC0572"/>
    <w:rsid w:val="00EC2E82"/>
    <w:rsid w:val="00EC2F90"/>
    <w:rsid w:val="00EC3389"/>
    <w:rsid w:val="00EC3491"/>
    <w:rsid w:val="00EC372F"/>
    <w:rsid w:val="00EC3D98"/>
    <w:rsid w:val="00EC3E60"/>
    <w:rsid w:val="00EC4188"/>
    <w:rsid w:val="00EC44BF"/>
    <w:rsid w:val="00EC5588"/>
    <w:rsid w:val="00EC5B95"/>
    <w:rsid w:val="00EC5D29"/>
    <w:rsid w:val="00EC6883"/>
    <w:rsid w:val="00EC6A3E"/>
    <w:rsid w:val="00EC72C4"/>
    <w:rsid w:val="00EC7595"/>
    <w:rsid w:val="00EC75F2"/>
    <w:rsid w:val="00EC764C"/>
    <w:rsid w:val="00EC7B3C"/>
    <w:rsid w:val="00ED08D7"/>
    <w:rsid w:val="00ED0AA1"/>
    <w:rsid w:val="00ED0D2E"/>
    <w:rsid w:val="00ED1133"/>
    <w:rsid w:val="00ED13D4"/>
    <w:rsid w:val="00ED1576"/>
    <w:rsid w:val="00ED1BC9"/>
    <w:rsid w:val="00ED1F26"/>
    <w:rsid w:val="00ED266A"/>
    <w:rsid w:val="00ED26A8"/>
    <w:rsid w:val="00ED2880"/>
    <w:rsid w:val="00ED2AC0"/>
    <w:rsid w:val="00ED3B62"/>
    <w:rsid w:val="00ED3BB5"/>
    <w:rsid w:val="00ED3E55"/>
    <w:rsid w:val="00ED4A03"/>
    <w:rsid w:val="00ED52A4"/>
    <w:rsid w:val="00ED543D"/>
    <w:rsid w:val="00ED5AF3"/>
    <w:rsid w:val="00ED6A5F"/>
    <w:rsid w:val="00ED7595"/>
    <w:rsid w:val="00ED75A8"/>
    <w:rsid w:val="00ED7E0C"/>
    <w:rsid w:val="00EE037A"/>
    <w:rsid w:val="00EE075B"/>
    <w:rsid w:val="00EE10E5"/>
    <w:rsid w:val="00EE13BC"/>
    <w:rsid w:val="00EE1CDC"/>
    <w:rsid w:val="00EE219C"/>
    <w:rsid w:val="00EE366B"/>
    <w:rsid w:val="00EE4352"/>
    <w:rsid w:val="00EE4A07"/>
    <w:rsid w:val="00EE7416"/>
    <w:rsid w:val="00EE748A"/>
    <w:rsid w:val="00EE770C"/>
    <w:rsid w:val="00EE7DB2"/>
    <w:rsid w:val="00EF02AF"/>
    <w:rsid w:val="00EF02E3"/>
    <w:rsid w:val="00EF0619"/>
    <w:rsid w:val="00EF0A05"/>
    <w:rsid w:val="00EF0A59"/>
    <w:rsid w:val="00EF0CDD"/>
    <w:rsid w:val="00EF177B"/>
    <w:rsid w:val="00EF1E34"/>
    <w:rsid w:val="00EF221A"/>
    <w:rsid w:val="00EF2C2E"/>
    <w:rsid w:val="00EF2D8F"/>
    <w:rsid w:val="00EF2DBE"/>
    <w:rsid w:val="00EF2F0C"/>
    <w:rsid w:val="00EF309E"/>
    <w:rsid w:val="00EF3BCB"/>
    <w:rsid w:val="00EF3E7E"/>
    <w:rsid w:val="00EF3FAA"/>
    <w:rsid w:val="00EF3FB4"/>
    <w:rsid w:val="00EF41E1"/>
    <w:rsid w:val="00EF554B"/>
    <w:rsid w:val="00EF5666"/>
    <w:rsid w:val="00EF5A22"/>
    <w:rsid w:val="00EF5E52"/>
    <w:rsid w:val="00EF5FF2"/>
    <w:rsid w:val="00EF6168"/>
    <w:rsid w:val="00EF671A"/>
    <w:rsid w:val="00EF6B29"/>
    <w:rsid w:val="00EF6E86"/>
    <w:rsid w:val="00EF74D8"/>
    <w:rsid w:val="00F00634"/>
    <w:rsid w:val="00F00B4F"/>
    <w:rsid w:val="00F016F0"/>
    <w:rsid w:val="00F01A3A"/>
    <w:rsid w:val="00F01B62"/>
    <w:rsid w:val="00F038BE"/>
    <w:rsid w:val="00F03B30"/>
    <w:rsid w:val="00F04CC7"/>
    <w:rsid w:val="00F04E94"/>
    <w:rsid w:val="00F05335"/>
    <w:rsid w:val="00F05782"/>
    <w:rsid w:val="00F05D76"/>
    <w:rsid w:val="00F05F52"/>
    <w:rsid w:val="00F06F14"/>
    <w:rsid w:val="00F075A1"/>
    <w:rsid w:val="00F10101"/>
    <w:rsid w:val="00F109EA"/>
    <w:rsid w:val="00F113F1"/>
    <w:rsid w:val="00F116C2"/>
    <w:rsid w:val="00F12867"/>
    <w:rsid w:val="00F1295C"/>
    <w:rsid w:val="00F13197"/>
    <w:rsid w:val="00F1370A"/>
    <w:rsid w:val="00F137CB"/>
    <w:rsid w:val="00F1392A"/>
    <w:rsid w:val="00F143D4"/>
    <w:rsid w:val="00F14883"/>
    <w:rsid w:val="00F14916"/>
    <w:rsid w:val="00F14AA3"/>
    <w:rsid w:val="00F14B2D"/>
    <w:rsid w:val="00F14DCB"/>
    <w:rsid w:val="00F15104"/>
    <w:rsid w:val="00F15B7E"/>
    <w:rsid w:val="00F1634B"/>
    <w:rsid w:val="00F16475"/>
    <w:rsid w:val="00F164C6"/>
    <w:rsid w:val="00F168DB"/>
    <w:rsid w:val="00F16FE5"/>
    <w:rsid w:val="00F1745E"/>
    <w:rsid w:val="00F17F61"/>
    <w:rsid w:val="00F20956"/>
    <w:rsid w:val="00F20ADC"/>
    <w:rsid w:val="00F210DD"/>
    <w:rsid w:val="00F2159C"/>
    <w:rsid w:val="00F2181E"/>
    <w:rsid w:val="00F21A2A"/>
    <w:rsid w:val="00F222B7"/>
    <w:rsid w:val="00F22B6F"/>
    <w:rsid w:val="00F22FF7"/>
    <w:rsid w:val="00F23459"/>
    <w:rsid w:val="00F2345D"/>
    <w:rsid w:val="00F234E0"/>
    <w:rsid w:val="00F237CE"/>
    <w:rsid w:val="00F23ED9"/>
    <w:rsid w:val="00F2401F"/>
    <w:rsid w:val="00F245E2"/>
    <w:rsid w:val="00F24739"/>
    <w:rsid w:val="00F25775"/>
    <w:rsid w:val="00F25968"/>
    <w:rsid w:val="00F2602F"/>
    <w:rsid w:val="00F27B84"/>
    <w:rsid w:val="00F304C8"/>
    <w:rsid w:val="00F305D3"/>
    <w:rsid w:val="00F30902"/>
    <w:rsid w:val="00F30B06"/>
    <w:rsid w:val="00F313A2"/>
    <w:rsid w:val="00F31A3A"/>
    <w:rsid w:val="00F31AE7"/>
    <w:rsid w:val="00F3200E"/>
    <w:rsid w:val="00F32483"/>
    <w:rsid w:val="00F3265E"/>
    <w:rsid w:val="00F336DE"/>
    <w:rsid w:val="00F339C4"/>
    <w:rsid w:val="00F33AF8"/>
    <w:rsid w:val="00F33DDE"/>
    <w:rsid w:val="00F33EE6"/>
    <w:rsid w:val="00F344A8"/>
    <w:rsid w:val="00F34881"/>
    <w:rsid w:val="00F34CA2"/>
    <w:rsid w:val="00F34E9C"/>
    <w:rsid w:val="00F34EA3"/>
    <w:rsid w:val="00F34F43"/>
    <w:rsid w:val="00F352EC"/>
    <w:rsid w:val="00F35CF1"/>
    <w:rsid w:val="00F3624C"/>
    <w:rsid w:val="00F365BD"/>
    <w:rsid w:val="00F367CE"/>
    <w:rsid w:val="00F374BA"/>
    <w:rsid w:val="00F37B4D"/>
    <w:rsid w:val="00F37B77"/>
    <w:rsid w:val="00F37D89"/>
    <w:rsid w:val="00F37E24"/>
    <w:rsid w:val="00F37E2F"/>
    <w:rsid w:val="00F37E6D"/>
    <w:rsid w:val="00F4030C"/>
    <w:rsid w:val="00F40ECF"/>
    <w:rsid w:val="00F41110"/>
    <w:rsid w:val="00F41403"/>
    <w:rsid w:val="00F418EC"/>
    <w:rsid w:val="00F418FF"/>
    <w:rsid w:val="00F41ADC"/>
    <w:rsid w:val="00F41B17"/>
    <w:rsid w:val="00F42267"/>
    <w:rsid w:val="00F422E1"/>
    <w:rsid w:val="00F422E4"/>
    <w:rsid w:val="00F423FC"/>
    <w:rsid w:val="00F42772"/>
    <w:rsid w:val="00F436AA"/>
    <w:rsid w:val="00F43BE0"/>
    <w:rsid w:val="00F43C37"/>
    <w:rsid w:val="00F43CE4"/>
    <w:rsid w:val="00F44056"/>
    <w:rsid w:val="00F4488B"/>
    <w:rsid w:val="00F44C53"/>
    <w:rsid w:val="00F4512B"/>
    <w:rsid w:val="00F4542B"/>
    <w:rsid w:val="00F45554"/>
    <w:rsid w:val="00F460D6"/>
    <w:rsid w:val="00F47158"/>
    <w:rsid w:val="00F471EA"/>
    <w:rsid w:val="00F474FD"/>
    <w:rsid w:val="00F476FC"/>
    <w:rsid w:val="00F47AFF"/>
    <w:rsid w:val="00F5005F"/>
    <w:rsid w:val="00F501C2"/>
    <w:rsid w:val="00F50529"/>
    <w:rsid w:val="00F50635"/>
    <w:rsid w:val="00F50E45"/>
    <w:rsid w:val="00F51831"/>
    <w:rsid w:val="00F5197E"/>
    <w:rsid w:val="00F51C19"/>
    <w:rsid w:val="00F520BF"/>
    <w:rsid w:val="00F525E5"/>
    <w:rsid w:val="00F5321A"/>
    <w:rsid w:val="00F53D59"/>
    <w:rsid w:val="00F53EE9"/>
    <w:rsid w:val="00F54441"/>
    <w:rsid w:val="00F54725"/>
    <w:rsid w:val="00F558A3"/>
    <w:rsid w:val="00F5615F"/>
    <w:rsid w:val="00F56465"/>
    <w:rsid w:val="00F56638"/>
    <w:rsid w:val="00F56938"/>
    <w:rsid w:val="00F56973"/>
    <w:rsid w:val="00F57003"/>
    <w:rsid w:val="00F5710C"/>
    <w:rsid w:val="00F57F2E"/>
    <w:rsid w:val="00F60035"/>
    <w:rsid w:val="00F601C0"/>
    <w:rsid w:val="00F6098A"/>
    <w:rsid w:val="00F6143E"/>
    <w:rsid w:val="00F621A4"/>
    <w:rsid w:val="00F625B8"/>
    <w:rsid w:val="00F6317F"/>
    <w:rsid w:val="00F63C28"/>
    <w:rsid w:val="00F645DE"/>
    <w:rsid w:val="00F64A7C"/>
    <w:rsid w:val="00F64E5B"/>
    <w:rsid w:val="00F651B3"/>
    <w:rsid w:val="00F65858"/>
    <w:rsid w:val="00F65C77"/>
    <w:rsid w:val="00F65CFA"/>
    <w:rsid w:val="00F666C3"/>
    <w:rsid w:val="00F66C69"/>
    <w:rsid w:val="00F66E84"/>
    <w:rsid w:val="00F66EC3"/>
    <w:rsid w:val="00F67106"/>
    <w:rsid w:val="00F70533"/>
    <w:rsid w:val="00F7070D"/>
    <w:rsid w:val="00F70AD0"/>
    <w:rsid w:val="00F70DFE"/>
    <w:rsid w:val="00F70F96"/>
    <w:rsid w:val="00F7110F"/>
    <w:rsid w:val="00F712B4"/>
    <w:rsid w:val="00F717B2"/>
    <w:rsid w:val="00F71B84"/>
    <w:rsid w:val="00F71C5D"/>
    <w:rsid w:val="00F72186"/>
    <w:rsid w:val="00F7266F"/>
    <w:rsid w:val="00F729FA"/>
    <w:rsid w:val="00F73838"/>
    <w:rsid w:val="00F7412C"/>
    <w:rsid w:val="00F74CBB"/>
    <w:rsid w:val="00F74E3E"/>
    <w:rsid w:val="00F754C8"/>
    <w:rsid w:val="00F75540"/>
    <w:rsid w:val="00F75690"/>
    <w:rsid w:val="00F75C50"/>
    <w:rsid w:val="00F76296"/>
    <w:rsid w:val="00F76474"/>
    <w:rsid w:val="00F76F98"/>
    <w:rsid w:val="00F77819"/>
    <w:rsid w:val="00F8004A"/>
    <w:rsid w:val="00F805F8"/>
    <w:rsid w:val="00F81477"/>
    <w:rsid w:val="00F82E2E"/>
    <w:rsid w:val="00F83160"/>
    <w:rsid w:val="00F83334"/>
    <w:rsid w:val="00F835B0"/>
    <w:rsid w:val="00F8379B"/>
    <w:rsid w:val="00F839E5"/>
    <w:rsid w:val="00F83AAA"/>
    <w:rsid w:val="00F83ADA"/>
    <w:rsid w:val="00F8427A"/>
    <w:rsid w:val="00F84454"/>
    <w:rsid w:val="00F84579"/>
    <w:rsid w:val="00F84AB8"/>
    <w:rsid w:val="00F84DAB"/>
    <w:rsid w:val="00F84FB6"/>
    <w:rsid w:val="00F85896"/>
    <w:rsid w:val="00F8602E"/>
    <w:rsid w:val="00F86067"/>
    <w:rsid w:val="00F8643D"/>
    <w:rsid w:val="00F86686"/>
    <w:rsid w:val="00F86A46"/>
    <w:rsid w:val="00F8709D"/>
    <w:rsid w:val="00F87686"/>
    <w:rsid w:val="00F8797E"/>
    <w:rsid w:val="00F87B85"/>
    <w:rsid w:val="00F87E5A"/>
    <w:rsid w:val="00F9009F"/>
    <w:rsid w:val="00F90426"/>
    <w:rsid w:val="00F904D0"/>
    <w:rsid w:val="00F907BB"/>
    <w:rsid w:val="00F908F3"/>
    <w:rsid w:val="00F90D79"/>
    <w:rsid w:val="00F91A93"/>
    <w:rsid w:val="00F92278"/>
    <w:rsid w:val="00F923DF"/>
    <w:rsid w:val="00F926AF"/>
    <w:rsid w:val="00F926D0"/>
    <w:rsid w:val="00F929F4"/>
    <w:rsid w:val="00F92D64"/>
    <w:rsid w:val="00F92D83"/>
    <w:rsid w:val="00F92DDC"/>
    <w:rsid w:val="00F93569"/>
    <w:rsid w:val="00F937FC"/>
    <w:rsid w:val="00F93F99"/>
    <w:rsid w:val="00F9400F"/>
    <w:rsid w:val="00F94CFD"/>
    <w:rsid w:val="00F94E4D"/>
    <w:rsid w:val="00F9588F"/>
    <w:rsid w:val="00F961A7"/>
    <w:rsid w:val="00F96D77"/>
    <w:rsid w:val="00F96FB5"/>
    <w:rsid w:val="00F972AA"/>
    <w:rsid w:val="00F978C5"/>
    <w:rsid w:val="00FA0218"/>
    <w:rsid w:val="00FA0D79"/>
    <w:rsid w:val="00FA1470"/>
    <w:rsid w:val="00FA16D9"/>
    <w:rsid w:val="00FA233A"/>
    <w:rsid w:val="00FA2620"/>
    <w:rsid w:val="00FA2FAE"/>
    <w:rsid w:val="00FA311F"/>
    <w:rsid w:val="00FA4462"/>
    <w:rsid w:val="00FA4BB8"/>
    <w:rsid w:val="00FA4E90"/>
    <w:rsid w:val="00FA4ED4"/>
    <w:rsid w:val="00FA5CED"/>
    <w:rsid w:val="00FA6085"/>
    <w:rsid w:val="00FA64A7"/>
    <w:rsid w:val="00FA65EB"/>
    <w:rsid w:val="00FB0718"/>
    <w:rsid w:val="00FB0CB2"/>
    <w:rsid w:val="00FB0EF3"/>
    <w:rsid w:val="00FB12D6"/>
    <w:rsid w:val="00FB16FD"/>
    <w:rsid w:val="00FB1D31"/>
    <w:rsid w:val="00FB2298"/>
    <w:rsid w:val="00FB2781"/>
    <w:rsid w:val="00FB2837"/>
    <w:rsid w:val="00FB2D77"/>
    <w:rsid w:val="00FB2EEE"/>
    <w:rsid w:val="00FB3246"/>
    <w:rsid w:val="00FB4044"/>
    <w:rsid w:val="00FB42B0"/>
    <w:rsid w:val="00FB4714"/>
    <w:rsid w:val="00FB47EC"/>
    <w:rsid w:val="00FB49B6"/>
    <w:rsid w:val="00FB4AFE"/>
    <w:rsid w:val="00FB4B76"/>
    <w:rsid w:val="00FB4E54"/>
    <w:rsid w:val="00FB62B7"/>
    <w:rsid w:val="00FB689C"/>
    <w:rsid w:val="00FB6FA2"/>
    <w:rsid w:val="00FB71DA"/>
    <w:rsid w:val="00FB7469"/>
    <w:rsid w:val="00FB75B3"/>
    <w:rsid w:val="00FB7650"/>
    <w:rsid w:val="00FB7804"/>
    <w:rsid w:val="00FB7C5E"/>
    <w:rsid w:val="00FB7D8D"/>
    <w:rsid w:val="00FC0010"/>
    <w:rsid w:val="00FC06C9"/>
    <w:rsid w:val="00FC0A02"/>
    <w:rsid w:val="00FC101B"/>
    <w:rsid w:val="00FC1740"/>
    <w:rsid w:val="00FC17EE"/>
    <w:rsid w:val="00FC1970"/>
    <w:rsid w:val="00FC27A0"/>
    <w:rsid w:val="00FC2EDD"/>
    <w:rsid w:val="00FC3483"/>
    <w:rsid w:val="00FC36F4"/>
    <w:rsid w:val="00FC4BF9"/>
    <w:rsid w:val="00FC4DB4"/>
    <w:rsid w:val="00FC60FB"/>
    <w:rsid w:val="00FC6116"/>
    <w:rsid w:val="00FC68C0"/>
    <w:rsid w:val="00FC70B4"/>
    <w:rsid w:val="00FC70C9"/>
    <w:rsid w:val="00FC76D2"/>
    <w:rsid w:val="00FC788E"/>
    <w:rsid w:val="00FC7D34"/>
    <w:rsid w:val="00FD0594"/>
    <w:rsid w:val="00FD0A93"/>
    <w:rsid w:val="00FD0D4F"/>
    <w:rsid w:val="00FD1323"/>
    <w:rsid w:val="00FD1352"/>
    <w:rsid w:val="00FD1B18"/>
    <w:rsid w:val="00FD1DA7"/>
    <w:rsid w:val="00FD333D"/>
    <w:rsid w:val="00FD37F7"/>
    <w:rsid w:val="00FD40A5"/>
    <w:rsid w:val="00FD4E04"/>
    <w:rsid w:val="00FD667B"/>
    <w:rsid w:val="00FD675F"/>
    <w:rsid w:val="00FD6A06"/>
    <w:rsid w:val="00FD7276"/>
    <w:rsid w:val="00FD763D"/>
    <w:rsid w:val="00FD7702"/>
    <w:rsid w:val="00FD77DE"/>
    <w:rsid w:val="00FD7AB3"/>
    <w:rsid w:val="00FD7AD5"/>
    <w:rsid w:val="00FD7B71"/>
    <w:rsid w:val="00FE01BF"/>
    <w:rsid w:val="00FE02A0"/>
    <w:rsid w:val="00FE0757"/>
    <w:rsid w:val="00FE07BC"/>
    <w:rsid w:val="00FE0AD0"/>
    <w:rsid w:val="00FE11D5"/>
    <w:rsid w:val="00FE138C"/>
    <w:rsid w:val="00FE1DDA"/>
    <w:rsid w:val="00FE2B15"/>
    <w:rsid w:val="00FE2C35"/>
    <w:rsid w:val="00FE2F12"/>
    <w:rsid w:val="00FE3B63"/>
    <w:rsid w:val="00FE3C9C"/>
    <w:rsid w:val="00FE3EF7"/>
    <w:rsid w:val="00FE45FC"/>
    <w:rsid w:val="00FE4B88"/>
    <w:rsid w:val="00FE4D7E"/>
    <w:rsid w:val="00FE523E"/>
    <w:rsid w:val="00FE555D"/>
    <w:rsid w:val="00FE5A37"/>
    <w:rsid w:val="00FE71EC"/>
    <w:rsid w:val="00FE722E"/>
    <w:rsid w:val="00FE7E48"/>
    <w:rsid w:val="00FF0599"/>
    <w:rsid w:val="00FF0E15"/>
    <w:rsid w:val="00FF0E71"/>
    <w:rsid w:val="00FF0FA7"/>
    <w:rsid w:val="00FF1662"/>
    <w:rsid w:val="00FF1D2E"/>
    <w:rsid w:val="00FF2773"/>
    <w:rsid w:val="00FF2855"/>
    <w:rsid w:val="00FF2A2F"/>
    <w:rsid w:val="00FF399F"/>
    <w:rsid w:val="00FF41E1"/>
    <w:rsid w:val="00FF4DE3"/>
    <w:rsid w:val="00FF5464"/>
    <w:rsid w:val="00FF5627"/>
    <w:rsid w:val="00FF627D"/>
    <w:rsid w:val="00FF6499"/>
    <w:rsid w:val="00FF6787"/>
    <w:rsid w:val="00FF6B1E"/>
    <w:rsid w:val="00FF6E5F"/>
    <w:rsid w:val="00FF7344"/>
    <w:rsid w:val="00FF7864"/>
    <w:rsid w:val="00FF7CB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815AC"/>
  <w15:docId w15:val="{39906E72-C280-4E92-B5E2-E65C1B680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B020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253C6"/>
    <w:pPr>
      <w:keepNext/>
      <w:keepLines/>
      <w:spacing w:before="480" w:line="259" w:lineRule="auto"/>
      <w:outlineLvl w:val="0"/>
    </w:pPr>
    <w:rPr>
      <w:rFonts w:asciiTheme="majorHAnsi" w:eastAsiaTheme="majorEastAsia" w:hAnsiTheme="majorHAnsi" w:cstheme="majorBidi"/>
      <w:b/>
      <w:bCs/>
      <w:color w:val="42558C" w:themeColor="accent1" w:themeShade="BF"/>
      <w:sz w:val="28"/>
      <w:szCs w:val="28"/>
    </w:rPr>
  </w:style>
  <w:style w:type="paragraph" w:styleId="Heading2">
    <w:name w:val="heading 2"/>
    <w:basedOn w:val="Normal"/>
    <w:next w:val="Normal"/>
    <w:link w:val="Heading2Char"/>
    <w:uiPriority w:val="9"/>
    <w:unhideWhenUsed/>
    <w:qFormat/>
    <w:rsid w:val="006D589C"/>
    <w:pPr>
      <w:keepNext/>
      <w:keepLines/>
      <w:spacing w:before="200" w:line="276" w:lineRule="auto"/>
      <w:outlineLvl w:val="1"/>
    </w:pPr>
    <w:rPr>
      <w:rFonts w:asciiTheme="majorHAnsi" w:eastAsiaTheme="majorEastAsia" w:hAnsiTheme="majorHAnsi" w:cstheme="majorBidi"/>
      <w:b/>
      <w:bCs/>
      <w:color w:val="6076B4" w:themeColor="accent1"/>
      <w:sz w:val="26"/>
      <w:szCs w:val="26"/>
    </w:rPr>
  </w:style>
  <w:style w:type="paragraph" w:styleId="Heading3">
    <w:name w:val="heading 3"/>
    <w:basedOn w:val="Normal"/>
    <w:next w:val="Normal"/>
    <w:link w:val="Heading3Char"/>
    <w:uiPriority w:val="9"/>
    <w:semiHidden/>
    <w:unhideWhenUsed/>
    <w:qFormat/>
    <w:rsid w:val="009E7FF0"/>
    <w:pPr>
      <w:keepNext/>
      <w:keepLines/>
      <w:spacing w:before="200" w:line="276" w:lineRule="auto"/>
      <w:outlineLvl w:val="2"/>
    </w:pPr>
    <w:rPr>
      <w:rFonts w:asciiTheme="majorHAnsi" w:eastAsiaTheme="majorEastAsia" w:hAnsiTheme="majorHAnsi" w:cstheme="majorBidi"/>
      <w:b/>
      <w:bCs/>
      <w:color w:val="6076B4" w:themeColor="accent1"/>
      <w:sz w:val="22"/>
      <w:szCs w:val="22"/>
    </w:rPr>
  </w:style>
  <w:style w:type="paragraph" w:styleId="Heading4">
    <w:name w:val="heading 4"/>
    <w:basedOn w:val="Normal"/>
    <w:next w:val="Normal"/>
    <w:link w:val="Heading4Char"/>
    <w:uiPriority w:val="9"/>
    <w:semiHidden/>
    <w:unhideWhenUsed/>
    <w:qFormat/>
    <w:rsid w:val="00CC3BFC"/>
    <w:pPr>
      <w:keepNext/>
      <w:keepLines/>
      <w:spacing w:before="200" w:line="276" w:lineRule="auto"/>
      <w:outlineLvl w:val="3"/>
    </w:pPr>
    <w:rPr>
      <w:rFonts w:asciiTheme="majorHAnsi" w:eastAsiaTheme="majorEastAsia" w:hAnsiTheme="majorHAnsi" w:cstheme="majorBidi"/>
      <w:b/>
      <w:bCs/>
      <w:i/>
      <w:iCs/>
      <w:color w:val="6076B4" w:themeColor="accent1"/>
      <w:sz w:val="22"/>
      <w:szCs w:val="22"/>
    </w:rPr>
  </w:style>
  <w:style w:type="paragraph" w:styleId="Heading6">
    <w:name w:val="heading 6"/>
    <w:basedOn w:val="Normal"/>
    <w:next w:val="Normal"/>
    <w:link w:val="Heading6Char"/>
    <w:uiPriority w:val="9"/>
    <w:semiHidden/>
    <w:unhideWhenUsed/>
    <w:qFormat/>
    <w:rsid w:val="00EF5FF2"/>
    <w:pPr>
      <w:keepNext/>
      <w:keepLines/>
      <w:spacing w:before="200" w:line="276" w:lineRule="auto"/>
      <w:outlineLvl w:val="5"/>
    </w:pPr>
    <w:rPr>
      <w:rFonts w:asciiTheme="majorHAnsi" w:eastAsiaTheme="majorEastAsia" w:hAnsiTheme="majorHAnsi" w:cstheme="majorBidi"/>
      <w:i/>
      <w:iCs/>
      <w:color w:val="2C385D"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0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070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C0709"/>
  </w:style>
  <w:style w:type="paragraph" w:styleId="NoSpacing">
    <w:name w:val="No Spacing"/>
    <w:uiPriority w:val="1"/>
    <w:qFormat/>
    <w:rsid w:val="008C0709"/>
    <w:pPr>
      <w:spacing w:after="0" w:line="240" w:lineRule="auto"/>
    </w:pPr>
  </w:style>
  <w:style w:type="paragraph" w:styleId="FootnoteText">
    <w:name w:val="footnote text"/>
    <w:basedOn w:val="Normal"/>
    <w:link w:val="FootnoteTextChar"/>
    <w:uiPriority w:val="99"/>
    <w:unhideWhenUsed/>
    <w:rsid w:val="008C0709"/>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8C0709"/>
    <w:rPr>
      <w:sz w:val="20"/>
      <w:szCs w:val="20"/>
    </w:rPr>
  </w:style>
  <w:style w:type="character" w:styleId="FootnoteReference">
    <w:name w:val="footnote reference"/>
    <w:basedOn w:val="DefaultParagraphFont"/>
    <w:uiPriority w:val="99"/>
    <w:unhideWhenUsed/>
    <w:rsid w:val="008C0709"/>
    <w:rPr>
      <w:vertAlign w:val="superscript"/>
    </w:rPr>
  </w:style>
  <w:style w:type="paragraph" w:styleId="ListParagraph">
    <w:name w:val="List Paragraph"/>
    <w:basedOn w:val="Normal"/>
    <w:link w:val="ListParagraphChar"/>
    <w:uiPriority w:val="34"/>
    <w:qFormat/>
    <w:rsid w:val="00C12BBA"/>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C12BBA"/>
    <w:pPr>
      <w:autoSpaceDE w:val="0"/>
      <w:autoSpaceDN w:val="0"/>
      <w:adjustRightInd w:val="0"/>
      <w:spacing w:after="0" w:line="240" w:lineRule="auto"/>
    </w:pPr>
    <w:rPr>
      <w:rFonts w:ascii="HQIEQ S+ Times New" w:hAnsi="HQIEQ S+ Times New" w:cs="HQIEQ S+ Times New"/>
      <w:color w:val="000000"/>
      <w:sz w:val="24"/>
      <w:szCs w:val="24"/>
    </w:rPr>
  </w:style>
  <w:style w:type="paragraph" w:styleId="EndnoteText">
    <w:name w:val="endnote text"/>
    <w:basedOn w:val="Normal"/>
    <w:link w:val="EndnoteTextChar"/>
    <w:uiPriority w:val="99"/>
    <w:unhideWhenUsed/>
    <w:rsid w:val="003253C6"/>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3253C6"/>
    <w:rPr>
      <w:sz w:val="20"/>
      <w:szCs w:val="20"/>
    </w:rPr>
  </w:style>
  <w:style w:type="character" w:styleId="EndnoteReference">
    <w:name w:val="endnote reference"/>
    <w:basedOn w:val="DefaultParagraphFont"/>
    <w:uiPriority w:val="99"/>
    <w:semiHidden/>
    <w:unhideWhenUsed/>
    <w:rsid w:val="003253C6"/>
    <w:rPr>
      <w:vertAlign w:val="superscript"/>
    </w:rPr>
  </w:style>
  <w:style w:type="character" w:styleId="Hyperlink">
    <w:name w:val="Hyperlink"/>
    <w:basedOn w:val="DefaultParagraphFont"/>
    <w:uiPriority w:val="99"/>
    <w:unhideWhenUsed/>
    <w:rsid w:val="003253C6"/>
    <w:rPr>
      <w:color w:val="3399FF" w:themeColor="hyperlink"/>
      <w:u w:val="single"/>
    </w:rPr>
  </w:style>
  <w:style w:type="paragraph" w:styleId="BalloonText">
    <w:name w:val="Balloon Text"/>
    <w:basedOn w:val="Normal"/>
    <w:link w:val="BalloonTextChar"/>
    <w:uiPriority w:val="99"/>
    <w:semiHidden/>
    <w:unhideWhenUsed/>
    <w:rsid w:val="003253C6"/>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3253C6"/>
    <w:rPr>
      <w:rFonts w:ascii="Tahoma" w:hAnsi="Tahoma" w:cs="Tahoma"/>
      <w:sz w:val="16"/>
      <w:szCs w:val="16"/>
    </w:rPr>
  </w:style>
  <w:style w:type="character" w:customStyle="1" w:styleId="Heading1Char">
    <w:name w:val="Heading 1 Char"/>
    <w:basedOn w:val="DefaultParagraphFont"/>
    <w:link w:val="Heading1"/>
    <w:uiPriority w:val="9"/>
    <w:rsid w:val="003253C6"/>
    <w:rPr>
      <w:rFonts w:asciiTheme="majorHAnsi" w:eastAsiaTheme="majorEastAsia" w:hAnsiTheme="majorHAnsi" w:cstheme="majorBidi"/>
      <w:b/>
      <w:bCs/>
      <w:color w:val="42558C" w:themeColor="accent1" w:themeShade="BF"/>
      <w:sz w:val="28"/>
      <w:szCs w:val="28"/>
    </w:rPr>
  </w:style>
  <w:style w:type="character" w:styleId="CommentReference">
    <w:name w:val="annotation reference"/>
    <w:basedOn w:val="DefaultParagraphFont"/>
    <w:uiPriority w:val="99"/>
    <w:semiHidden/>
    <w:unhideWhenUsed/>
    <w:rsid w:val="003826C7"/>
    <w:rPr>
      <w:sz w:val="16"/>
      <w:szCs w:val="16"/>
    </w:rPr>
  </w:style>
  <w:style w:type="paragraph" w:styleId="CommentText">
    <w:name w:val="annotation text"/>
    <w:basedOn w:val="Normal"/>
    <w:link w:val="CommentTextChar"/>
    <w:uiPriority w:val="99"/>
    <w:unhideWhenUsed/>
    <w:rsid w:val="003826C7"/>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3826C7"/>
    <w:rPr>
      <w:sz w:val="20"/>
      <w:szCs w:val="20"/>
    </w:rPr>
  </w:style>
  <w:style w:type="paragraph" w:styleId="CommentSubject">
    <w:name w:val="annotation subject"/>
    <w:basedOn w:val="CommentText"/>
    <w:next w:val="CommentText"/>
    <w:link w:val="CommentSubjectChar"/>
    <w:uiPriority w:val="99"/>
    <w:semiHidden/>
    <w:unhideWhenUsed/>
    <w:rsid w:val="003826C7"/>
    <w:rPr>
      <w:b/>
      <w:bCs/>
    </w:rPr>
  </w:style>
  <w:style w:type="character" w:customStyle="1" w:styleId="CommentSubjectChar">
    <w:name w:val="Comment Subject Char"/>
    <w:basedOn w:val="CommentTextChar"/>
    <w:link w:val="CommentSubject"/>
    <w:uiPriority w:val="99"/>
    <w:semiHidden/>
    <w:rsid w:val="003826C7"/>
    <w:rPr>
      <w:b/>
      <w:bCs/>
      <w:sz w:val="20"/>
      <w:szCs w:val="20"/>
    </w:rPr>
  </w:style>
  <w:style w:type="paragraph" w:styleId="BodyText">
    <w:name w:val="Body Text"/>
    <w:basedOn w:val="Normal"/>
    <w:link w:val="BodyTextChar"/>
    <w:uiPriority w:val="99"/>
    <w:semiHidden/>
    <w:unhideWhenUsed/>
    <w:rsid w:val="00C722B3"/>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C722B3"/>
  </w:style>
  <w:style w:type="paragraph" w:styleId="Footer">
    <w:name w:val="footer"/>
    <w:basedOn w:val="Normal"/>
    <w:link w:val="FooterChar"/>
    <w:uiPriority w:val="99"/>
    <w:unhideWhenUsed/>
    <w:rsid w:val="00D1656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16565"/>
  </w:style>
  <w:style w:type="character" w:customStyle="1" w:styleId="Heading2Char">
    <w:name w:val="Heading 2 Char"/>
    <w:basedOn w:val="DefaultParagraphFont"/>
    <w:link w:val="Heading2"/>
    <w:uiPriority w:val="9"/>
    <w:rsid w:val="006D589C"/>
    <w:rPr>
      <w:rFonts w:asciiTheme="majorHAnsi" w:eastAsiaTheme="majorEastAsia" w:hAnsiTheme="majorHAnsi" w:cstheme="majorBidi"/>
      <w:b/>
      <w:bCs/>
      <w:color w:val="6076B4" w:themeColor="accent1"/>
      <w:sz w:val="26"/>
      <w:szCs w:val="26"/>
    </w:rPr>
  </w:style>
  <w:style w:type="character" w:customStyle="1" w:styleId="ListParagraphChar">
    <w:name w:val="List Paragraph Char"/>
    <w:basedOn w:val="DefaultParagraphFont"/>
    <w:link w:val="ListParagraph"/>
    <w:uiPriority w:val="34"/>
    <w:locked/>
    <w:rsid w:val="00AC68E5"/>
  </w:style>
  <w:style w:type="table" w:customStyle="1" w:styleId="GridTable4-Accent11">
    <w:name w:val="Grid Table 4 - Accent 11"/>
    <w:basedOn w:val="TableNormal"/>
    <w:uiPriority w:val="49"/>
    <w:rsid w:val="00AC68E5"/>
    <w:pPr>
      <w:spacing w:after="0" w:line="240" w:lineRule="auto"/>
    </w:pPr>
    <w:tblPr>
      <w:tblStyleRowBandSize w:val="1"/>
      <w:tblStyleColBandSize w:val="1"/>
      <w:tblBorders>
        <w:top w:val="single" w:sz="4" w:space="0" w:color="9FACD2" w:themeColor="accent1" w:themeTint="99"/>
        <w:left w:val="single" w:sz="4" w:space="0" w:color="9FACD2" w:themeColor="accent1" w:themeTint="99"/>
        <w:bottom w:val="single" w:sz="4" w:space="0" w:color="9FACD2" w:themeColor="accent1" w:themeTint="99"/>
        <w:right w:val="single" w:sz="4" w:space="0" w:color="9FACD2" w:themeColor="accent1" w:themeTint="99"/>
        <w:insideH w:val="single" w:sz="4" w:space="0" w:color="9FACD2" w:themeColor="accent1" w:themeTint="99"/>
        <w:insideV w:val="single" w:sz="4" w:space="0" w:color="9FACD2" w:themeColor="accent1" w:themeTint="99"/>
      </w:tblBorders>
    </w:tblPr>
    <w:tblStylePr w:type="firstRow">
      <w:rPr>
        <w:b/>
        <w:bCs/>
        <w:color w:val="FFFFFF" w:themeColor="background1"/>
      </w:rPr>
      <w:tblPr/>
      <w:tcPr>
        <w:tcBorders>
          <w:top w:val="single" w:sz="4" w:space="0" w:color="6076B4" w:themeColor="accent1"/>
          <w:left w:val="single" w:sz="4" w:space="0" w:color="6076B4" w:themeColor="accent1"/>
          <w:bottom w:val="single" w:sz="4" w:space="0" w:color="6076B4" w:themeColor="accent1"/>
          <w:right w:val="single" w:sz="4" w:space="0" w:color="6076B4" w:themeColor="accent1"/>
          <w:insideH w:val="nil"/>
          <w:insideV w:val="nil"/>
        </w:tcBorders>
        <w:shd w:val="clear" w:color="auto" w:fill="6076B4" w:themeFill="accent1"/>
      </w:tcPr>
    </w:tblStylePr>
    <w:tblStylePr w:type="lastRow">
      <w:rPr>
        <w:b/>
        <w:bCs/>
      </w:rPr>
      <w:tblPr/>
      <w:tcPr>
        <w:tcBorders>
          <w:top w:val="double" w:sz="4" w:space="0" w:color="6076B4" w:themeColor="accent1"/>
        </w:tcBorders>
      </w:tcPr>
    </w:tblStylePr>
    <w:tblStylePr w:type="firstCol">
      <w:rPr>
        <w:b/>
        <w:bCs/>
      </w:rPr>
    </w:tblStylePr>
    <w:tblStylePr w:type="lastCol">
      <w:rPr>
        <w:b/>
        <w:bCs/>
      </w:rPr>
    </w:tblStylePr>
    <w:tblStylePr w:type="band1Vert">
      <w:tblPr/>
      <w:tcPr>
        <w:shd w:val="clear" w:color="auto" w:fill="DFE3F0" w:themeFill="accent1" w:themeFillTint="33"/>
      </w:tcPr>
    </w:tblStylePr>
    <w:tblStylePr w:type="band1Horz">
      <w:tblPr/>
      <w:tcPr>
        <w:shd w:val="clear" w:color="auto" w:fill="DFE3F0" w:themeFill="accent1" w:themeFillTint="33"/>
      </w:tcPr>
    </w:tblStylePr>
  </w:style>
  <w:style w:type="paragraph" w:styleId="Revision">
    <w:name w:val="Revision"/>
    <w:hidden/>
    <w:uiPriority w:val="99"/>
    <w:semiHidden/>
    <w:rsid w:val="00D1476A"/>
    <w:pPr>
      <w:spacing w:after="0" w:line="240" w:lineRule="auto"/>
    </w:pPr>
  </w:style>
  <w:style w:type="character" w:customStyle="1" w:styleId="UnresolvedMention1">
    <w:name w:val="Unresolved Mention1"/>
    <w:basedOn w:val="DefaultParagraphFont"/>
    <w:uiPriority w:val="99"/>
    <w:semiHidden/>
    <w:unhideWhenUsed/>
    <w:rsid w:val="004954E4"/>
    <w:rPr>
      <w:color w:val="605E5C"/>
      <w:shd w:val="clear" w:color="auto" w:fill="E1DFDD"/>
    </w:rPr>
  </w:style>
  <w:style w:type="paragraph" w:styleId="TOCHeading">
    <w:name w:val="TOC Heading"/>
    <w:basedOn w:val="Heading1"/>
    <w:next w:val="Normal"/>
    <w:uiPriority w:val="39"/>
    <w:unhideWhenUsed/>
    <w:qFormat/>
    <w:rsid w:val="00E8532F"/>
    <w:pPr>
      <w:spacing w:before="240"/>
      <w:outlineLvl w:val="9"/>
    </w:pPr>
    <w:rPr>
      <w:b w:val="0"/>
      <w:bCs w:val="0"/>
      <w:sz w:val="32"/>
      <w:szCs w:val="32"/>
    </w:rPr>
  </w:style>
  <w:style w:type="paragraph" w:styleId="TOC1">
    <w:name w:val="toc 1"/>
    <w:basedOn w:val="Normal"/>
    <w:next w:val="Normal"/>
    <w:autoRedefine/>
    <w:uiPriority w:val="39"/>
    <w:unhideWhenUsed/>
    <w:rsid w:val="006C65F0"/>
    <w:pPr>
      <w:tabs>
        <w:tab w:val="right" w:leader="dot" w:pos="9450"/>
      </w:tabs>
      <w:spacing w:after="100" w:line="276" w:lineRule="auto"/>
      <w:ind w:left="450"/>
    </w:pPr>
    <w:rPr>
      <w:rFonts w:ascii="Garamond" w:eastAsiaTheme="majorEastAsia" w:hAnsi="Garamond" w:cstheme="majorBidi"/>
      <w:noProof/>
      <w:sz w:val="22"/>
      <w:szCs w:val="22"/>
    </w:rPr>
  </w:style>
  <w:style w:type="paragraph" w:styleId="TOC2">
    <w:name w:val="toc 2"/>
    <w:basedOn w:val="Normal"/>
    <w:next w:val="Normal"/>
    <w:autoRedefine/>
    <w:uiPriority w:val="39"/>
    <w:unhideWhenUsed/>
    <w:rsid w:val="00D6794D"/>
    <w:pPr>
      <w:tabs>
        <w:tab w:val="right" w:leader="dot" w:pos="9450"/>
      </w:tabs>
      <w:spacing w:after="100" w:line="276" w:lineRule="auto"/>
      <w:ind w:left="450"/>
    </w:pPr>
    <w:rPr>
      <w:rFonts w:ascii="Garamond" w:eastAsiaTheme="minorHAnsi" w:hAnsi="Garamond" w:cstheme="minorBidi"/>
      <w:noProof/>
      <w:color w:val="000000" w:themeColor="text1"/>
      <w:sz w:val="22"/>
      <w:szCs w:val="22"/>
    </w:rPr>
  </w:style>
  <w:style w:type="paragraph" w:styleId="NormalWeb">
    <w:name w:val="Normal (Web)"/>
    <w:basedOn w:val="Normal"/>
    <w:uiPriority w:val="99"/>
    <w:unhideWhenUsed/>
    <w:rsid w:val="00040884"/>
    <w:rPr>
      <w:rFonts w:eastAsiaTheme="minorHAnsi"/>
    </w:rPr>
  </w:style>
  <w:style w:type="character" w:customStyle="1" w:styleId="Heading4Char">
    <w:name w:val="Heading 4 Char"/>
    <w:basedOn w:val="DefaultParagraphFont"/>
    <w:link w:val="Heading4"/>
    <w:uiPriority w:val="9"/>
    <w:semiHidden/>
    <w:rsid w:val="00CC3BFC"/>
    <w:rPr>
      <w:rFonts w:asciiTheme="majorHAnsi" w:eastAsiaTheme="majorEastAsia" w:hAnsiTheme="majorHAnsi" w:cstheme="majorBidi"/>
      <w:b/>
      <w:bCs/>
      <w:i/>
      <w:iCs/>
      <w:color w:val="6076B4" w:themeColor="accent1"/>
    </w:rPr>
  </w:style>
  <w:style w:type="table" w:customStyle="1" w:styleId="TableGrid1">
    <w:name w:val="Table Grid1"/>
    <w:basedOn w:val="TableNormal"/>
    <w:next w:val="TableGrid"/>
    <w:uiPriority w:val="59"/>
    <w:rsid w:val="00E83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EF5FF2"/>
    <w:rPr>
      <w:rFonts w:asciiTheme="majorHAnsi" w:eastAsiaTheme="majorEastAsia" w:hAnsiTheme="majorHAnsi" w:cstheme="majorBidi"/>
      <w:i/>
      <w:iCs/>
      <w:color w:val="2C385D" w:themeColor="accent1" w:themeShade="7F"/>
    </w:rPr>
  </w:style>
  <w:style w:type="character" w:customStyle="1" w:styleId="UnresolvedMention2">
    <w:name w:val="Unresolved Mention2"/>
    <w:basedOn w:val="DefaultParagraphFont"/>
    <w:uiPriority w:val="99"/>
    <w:semiHidden/>
    <w:unhideWhenUsed/>
    <w:rsid w:val="002252A2"/>
    <w:rPr>
      <w:color w:val="605E5C"/>
      <w:shd w:val="clear" w:color="auto" w:fill="E1DFDD"/>
    </w:rPr>
  </w:style>
  <w:style w:type="paragraph" w:styleId="PlainText">
    <w:name w:val="Plain Text"/>
    <w:basedOn w:val="Normal"/>
    <w:link w:val="PlainTextChar"/>
    <w:uiPriority w:val="99"/>
    <w:semiHidden/>
    <w:unhideWhenUsed/>
    <w:rsid w:val="009E7FF0"/>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9E7FF0"/>
    <w:rPr>
      <w:rFonts w:ascii="Calibri" w:hAnsi="Calibri" w:cs="Calibri"/>
    </w:rPr>
  </w:style>
  <w:style w:type="character" w:customStyle="1" w:styleId="Heading3Char">
    <w:name w:val="Heading 3 Char"/>
    <w:basedOn w:val="DefaultParagraphFont"/>
    <w:link w:val="Heading3"/>
    <w:uiPriority w:val="9"/>
    <w:semiHidden/>
    <w:rsid w:val="009E7FF0"/>
    <w:rPr>
      <w:rFonts w:asciiTheme="majorHAnsi" w:eastAsiaTheme="majorEastAsia" w:hAnsiTheme="majorHAnsi" w:cstheme="majorBidi"/>
      <w:b/>
      <w:bCs/>
      <w:color w:val="6076B4" w:themeColor="accent1"/>
    </w:rPr>
  </w:style>
  <w:style w:type="paragraph" w:styleId="HTMLPreformatted">
    <w:name w:val="HTML Preformatted"/>
    <w:basedOn w:val="Normal"/>
    <w:link w:val="HTMLPreformattedChar"/>
    <w:uiPriority w:val="99"/>
    <w:unhideWhenUsed/>
    <w:rsid w:val="0011211C"/>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rsid w:val="0011211C"/>
    <w:rPr>
      <w:rFonts w:ascii="Consolas" w:hAnsi="Consolas" w:cs="Consolas"/>
      <w:sz w:val="20"/>
      <w:szCs w:val="20"/>
    </w:rPr>
  </w:style>
  <w:style w:type="character" w:customStyle="1" w:styleId="date-display-single">
    <w:name w:val="date-display-single"/>
    <w:basedOn w:val="DefaultParagraphFont"/>
    <w:rsid w:val="0011211C"/>
  </w:style>
  <w:style w:type="paragraph" w:styleId="Caption">
    <w:name w:val="caption"/>
    <w:basedOn w:val="Normal"/>
    <w:next w:val="Normal"/>
    <w:uiPriority w:val="35"/>
    <w:unhideWhenUsed/>
    <w:qFormat/>
    <w:rsid w:val="00980000"/>
    <w:pPr>
      <w:spacing w:after="200"/>
    </w:pPr>
    <w:rPr>
      <w:rFonts w:asciiTheme="minorHAnsi" w:eastAsiaTheme="minorHAnsi" w:hAnsiTheme="minorHAnsi" w:cstheme="minorBidi"/>
      <w:b/>
      <w:bCs/>
      <w:color w:val="6076B4" w:themeColor="accent1"/>
      <w:sz w:val="18"/>
      <w:szCs w:val="18"/>
    </w:rPr>
  </w:style>
  <w:style w:type="character" w:customStyle="1" w:styleId="UnresolvedMention3">
    <w:name w:val="Unresolved Mention3"/>
    <w:basedOn w:val="DefaultParagraphFont"/>
    <w:uiPriority w:val="99"/>
    <w:semiHidden/>
    <w:unhideWhenUsed/>
    <w:rsid w:val="00260429"/>
    <w:rPr>
      <w:color w:val="605E5C"/>
      <w:shd w:val="clear" w:color="auto" w:fill="E1DFDD"/>
    </w:rPr>
  </w:style>
  <w:style w:type="character" w:styleId="FollowedHyperlink">
    <w:name w:val="FollowedHyperlink"/>
    <w:basedOn w:val="DefaultParagraphFont"/>
    <w:uiPriority w:val="99"/>
    <w:semiHidden/>
    <w:unhideWhenUsed/>
    <w:rsid w:val="00C15030"/>
    <w:rPr>
      <w:color w:val="B2B2B2" w:themeColor="followedHyperlink"/>
      <w:u w:val="single"/>
    </w:rPr>
  </w:style>
  <w:style w:type="character" w:customStyle="1" w:styleId="UnresolvedMention4">
    <w:name w:val="Unresolved Mention4"/>
    <w:basedOn w:val="DefaultParagraphFont"/>
    <w:uiPriority w:val="99"/>
    <w:semiHidden/>
    <w:unhideWhenUsed/>
    <w:rsid w:val="00671169"/>
    <w:rPr>
      <w:color w:val="605E5C"/>
      <w:shd w:val="clear" w:color="auto" w:fill="E1DFDD"/>
    </w:rPr>
  </w:style>
  <w:style w:type="character" w:customStyle="1" w:styleId="UnresolvedMention5">
    <w:name w:val="Unresolved Mention5"/>
    <w:basedOn w:val="DefaultParagraphFont"/>
    <w:uiPriority w:val="99"/>
    <w:semiHidden/>
    <w:unhideWhenUsed/>
    <w:rsid w:val="00EB560F"/>
    <w:rPr>
      <w:color w:val="605E5C"/>
      <w:shd w:val="clear" w:color="auto" w:fill="E1DFDD"/>
    </w:rPr>
  </w:style>
  <w:style w:type="character" w:customStyle="1" w:styleId="UnresolvedMention6">
    <w:name w:val="Unresolved Mention6"/>
    <w:basedOn w:val="DefaultParagraphFont"/>
    <w:uiPriority w:val="99"/>
    <w:semiHidden/>
    <w:unhideWhenUsed/>
    <w:rsid w:val="002D2E0C"/>
    <w:rPr>
      <w:color w:val="605E5C"/>
      <w:shd w:val="clear" w:color="auto" w:fill="E1DFDD"/>
    </w:rPr>
  </w:style>
  <w:style w:type="character" w:customStyle="1" w:styleId="UnresolvedMention">
    <w:name w:val="Unresolved Mention"/>
    <w:basedOn w:val="DefaultParagraphFont"/>
    <w:uiPriority w:val="99"/>
    <w:semiHidden/>
    <w:unhideWhenUsed/>
    <w:rsid w:val="00826796"/>
    <w:rPr>
      <w:color w:val="605E5C"/>
      <w:shd w:val="clear" w:color="auto" w:fill="E1DFDD"/>
    </w:rPr>
  </w:style>
  <w:style w:type="paragraph" w:customStyle="1" w:styleId="CM4">
    <w:name w:val="CM4"/>
    <w:basedOn w:val="Default"/>
    <w:next w:val="Default"/>
    <w:uiPriority w:val="99"/>
    <w:rsid w:val="001A7B48"/>
    <w:pPr>
      <w:spacing w:line="280" w:lineRule="atLeast"/>
    </w:pPr>
    <w:rPr>
      <w:rFonts w:cstheme="minorBidi"/>
      <w:color w:val="auto"/>
    </w:rPr>
  </w:style>
  <w:style w:type="character" w:styleId="Strong">
    <w:name w:val="Strong"/>
    <w:basedOn w:val="DefaultParagraphFont"/>
    <w:uiPriority w:val="22"/>
    <w:qFormat/>
    <w:rsid w:val="00D52480"/>
    <w:rPr>
      <w:b/>
      <w:bCs/>
    </w:rPr>
  </w:style>
  <w:style w:type="character" w:customStyle="1" w:styleId="authors">
    <w:name w:val="authors"/>
    <w:basedOn w:val="DefaultParagraphFont"/>
    <w:rsid w:val="009C45F2"/>
  </w:style>
  <w:style w:type="character" w:customStyle="1" w:styleId="full-stop">
    <w:name w:val="full-stop"/>
    <w:basedOn w:val="DefaultParagraphFont"/>
    <w:rsid w:val="009C45F2"/>
  </w:style>
  <w:style w:type="character" w:customStyle="1" w:styleId="item-title">
    <w:name w:val="item-title"/>
    <w:basedOn w:val="DefaultParagraphFont"/>
    <w:rsid w:val="009C45F2"/>
  </w:style>
  <w:style w:type="character" w:customStyle="1" w:styleId="italicized">
    <w:name w:val="italicized"/>
    <w:basedOn w:val="DefaultParagraphFont"/>
    <w:rsid w:val="009C45F2"/>
  </w:style>
  <w:style w:type="character" w:customStyle="1" w:styleId="yop">
    <w:name w:val="yop"/>
    <w:basedOn w:val="DefaultParagraphFont"/>
    <w:rsid w:val="009C45F2"/>
  </w:style>
  <w:style w:type="character" w:customStyle="1" w:styleId="volissue">
    <w:name w:val="volissue"/>
    <w:basedOn w:val="DefaultParagraphFont"/>
    <w:rsid w:val="009C45F2"/>
  </w:style>
  <w:style w:type="character" w:customStyle="1" w:styleId="pages">
    <w:name w:val="pages"/>
    <w:basedOn w:val="DefaultParagraphFont"/>
    <w:rsid w:val="009C45F2"/>
  </w:style>
  <w:style w:type="character" w:customStyle="1" w:styleId="pub-url">
    <w:name w:val="pub-url"/>
    <w:basedOn w:val="DefaultParagraphFont"/>
    <w:rsid w:val="009C45F2"/>
  </w:style>
  <w:style w:type="character" w:customStyle="1" w:styleId="doi">
    <w:name w:val="doi"/>
    <w:basedOn w:val="DefaultParagraphFont"/>
    <w:rsid w:val="009C45F2"/>
  </w:style>
  <w:style w:type="character" w:customStyle="1" w:styleId="apple-converted-space">
    <w:name w:val="apple-converted-space"/>
    <w:basedOn w:val="DefaultParagraphFont"/>
    <w:rsid w:val="00E63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34727">
      <w:bodyDiv w:val="1"/>
      <w:marLeft w:val="0"/>
      <w:marRight w:val="0"/>
      <w:marTop w:val="0"/>
      <w:marBottom w:val="0"/>
      <w:divBdr>
        <w:top w:val="none" w:sz="0" w:space="0" w:color="auto"/>
        <w:left w:val="none" w:sz="0" w:space="0" w:color="auto"/>
        <w:bottom w:val="none" w:sz="0" w:space="0" w:color="auto"/>
        <w:right w:val="none" w:sz="0" w:space="0" w:color="auto"/>
      </w:divBdr>
    </w:div>
    <w:div w:id="48655317">
      <w:bodyDiv w:val="1"/>
      <w:marLeft w:val="0"/>
      <w:marRight w:val="0"/>
      <w:marTop w:val="0"/>
      <w:marBottom w:val="0"/>
      <w:divBdr>
        <w:top w:val="none" w:sz="0" w:space="0" w:color="auto"/>
        <w:left w:val="none" w:sz="0" w:space="0" w:color="auto"/>
        <w:bottom w:val="none" w:sz="0" w:space="0" w:color="auto"/>
        <w:right w:val="none" w:sz="0" w:space="0" w:color="auto"/>
      </w:divBdr>
    </w:div>
    <w:div w:id="81608576">
      <w:bodyDiv w:val="1"/>
      <w:marLeft w:val="0"/>
      <w:marRight w:val="0"/>
      <w:marTop w:val="0"/>
      <w:marBottom w:val="0"/>
      <w:divBdr>
        <w:top w:val="none" w:sz="0" w:space="0" w:color="auto"/>
        <w:left w:val="none" w:sz="0" w:space="0" w:color="auto"/>
        <w:bottom w:val="none" w:sz="0" w:space="0" w:color="auto"/>
        <w:right w:val="none" w:sz="0" w:space="0" w:color="auto"/>
      </w:divBdr>
      <w:divsChild>
        <w:div w:id="405301629">
          <w:marLeft w:val="1440"/>
          <w:marRight w:val="0"/>
          <w:marTop w:val="0"/>
          <w:marBottom w:val="0"/>
          <w:divBdr>
            <w:top w:val="none" w:sz="0" w:space="0" w:color="auto"/>
            <w:left w:val="none" w:sz="0" w:space="0" w:color="auto"/>
            <w:bottom w:val="none" w:sz="0" w:space="0" w:color="auto"/>
            <w:right w:val="none" w:sz="0" w:space="0" w:color="auto"/>
          </w:divBdr>
        </w:div>
      </w:divsChild>
    </w:div>
    <w:div w:id="106003901">
      <w:bodyDiv w:val="1"/>
      <w:marLeft w:val="0"/>
      <w:marRight w:val="0"/>
      <w:marTop w:val="0"/>
      <w:marBottom w:val="0"/>
      <w:divBdr>
        <w:top w:val="none" w:sz="0" w:space="0" w:color="auto"/>
        <w:left w:val="none" w:sz="0" w:space="0" w:color="auto"/>
        <w:bottom w:val="none" w:sz="0" w:space="0" w:color="auto"/>
        <w:right w:val="none" w:sz="0" w:space="0" w:color="auto"/>
      </w:divBdr>
    </w:div>
    <w:div w:id="111173961">
      <w:bodyDiv w:val="1"/>
      <w:marLeft w:val="0"/>
      <w:marRight w:val="0"/>
      <w:marTop w:val="0"/>
      <w:marBottom w:val="0"/>
      <w:divBdr>
        <w:top w:val="none" w:sz="0" w:space="0" w:color="auto"/>
        <w:left w:val="none" w:sz="0" w:space="0" w:color="auto"/>
        <w:bottom w:val="none" w:sz="0" w:space="0" w:color="auto"/>
        <w:right w:val="none" w:sz="0" w:space="0" w:color="auto"/>
      </w:divBdr>
    </w:div>
    <w:div w:id="112873127">
      <w:bodyDiv w:val="1"/>
      <w:marLeft w:val="0"/>
      <w:marRight w:val="0"/>
      <w:marTop w:val="0"/>
      <w:marBottom w:val="0"/>
      <w:divBdr>
        <w:top w:val="none" w:sz="0" w:space="0" w:color="auto"/>
        <w:left w:val="none" w:sz="0" w:space="0" w:color="auto"/>
        <w:bottom w:val="none" w:sz="0" w:space="0" w:color="auto"/>
        <w:right w:val="none" w:sz="0" w:space="0" w:color="auto"/>
      </w:divBdr>
    </w:div>
    <w:div w:id="171456256">
      <w:bodyDiv w:val="1"/>
      <w:marLeft w:val="0"/>
      <w:marRight w:val="0"/>
      <w:marTop w:val="0"/>
      <w:marBottom w:val="0"/>
      <w:divBdr>
        <w:top w:val="none" w:sz="0" w:space="0" w:color="auto"/>
        <w:left w:val="none" w:sz="0" w:space="0" w:color="auto"/>
        <w:bottom w:val="none" w:sz="0" w:space="0" w:color="auto"/>
        <w:right w:val="none" w:sz="0" w:space="0" w:color="auto"/>
      </w:divBdr>
    </w:div>
    <w:div w:id="217472627">
      <w:bodyDiv w:val="1"/>
      <w:marLeft w:val="0"/>
      <w:marRight w:val="0"/>
      <w:marTop w:val="0"/>
      <w:marBottom w:val="0"/>
      <w:divBdr>
        <w:top w:val="none" w:sz="0" w:space="0" w:color="auto"/>
        <w:left w:val="none" w:sz="0" w:space="0" w:color="auto"/>
        <w:bottom w:val="none" w:sz="0" w:space="0" w:color="auto"/>
        <w:right w:val="none" w:sz="0" w:space="0" w:color="auto"/>
      </w:divBdr>
    </w:div>
    <w:div w:id="230434385">
      <w:bodyDiv w:val="1"/>
      <w:marLeft w:val="0"/>
      <w:marRight w:val="0"/>
      <w:marTop w:val="0"/>
      <w:marBottom w:val="0"/>
      <w:divBdr>
        <w:top w:val="none" w:sz="0" w:space="0" w:color="auto"/>
        <w:left w:val="none" w:sz="0" w:space="0" w:color="auto"/>
        <w:bottom w:val="none" w:sz="0" w:space="0" w:color="auto"/>
        <w:right w:val="none" w:sz="0" w:space="0" w:color="auto"/>
      </w:divBdr>
    </w:div>
    <w:div w:id="232201397">
      <w:bodyDiv w:val="1"/>
      <w:marLeft w:val="0"/>
      <w:marRight w:val="0"/>
      <w:marTop w:val="0"/>
      <w:marBottom w:val="0"/>
      <w:divBdr>
        <w:top w:val="none" w:sz="0" w:space="0" w:color="auto"/>
        <w:left w:val="none" w:sz="0" w:space="0" w:color="auto"/>
        <w:bottom w:val="none" w:sz="0" w:space="0" w:color="auto"/>
        <w:right w:val="none" w:sz="0" w:space="0" w:color="auto"/>
      </w:divBdr>
    </w:div>
    <w:div w:id="243420985">
      <w:bodyDiv w:val="1"/>
      <w:marLeft w:val="0"/>
      <w:marRight w:val="0"/>
      <w:marTop w:val="0"/>
      <w:marBottom w:val="0"/>
      <w:divBdr>
        <w:top w:val="none" w:sz="0" w:space="0" w:color="auto"/>
        <w:left w:val="none" w:sz="0" w:space="0" w:color="auto"/>
        <w:bottom w:val="none" w:sz="0" w:space="0" w:color="auto"/>
        <w:right w:val="none" w:sz="0" w:space="0" w:color="auto"/>
      </w:divBdr>
    </w:div>
    <w:div w:id="247159749">
      <w:bodyDiv w:val="1"/>
      <w:marLeft w:val="0"/>
      <w:marRight w:val="0"/>
      <w:marTop w:val="0"/>
      <w:marBottom w:val="0"/>
      <w:divBdr>
        <w:top w:val="none" w:sz="0" w:space="0" w:color="auto"/>
        <w:left w:val="none" w:sz="0" w:space="0" w:color="auto"/>
        <w:bottom w:val="none" w:sz="0" w:space="0" w:color="auto"/>
        <w:right w:val="none" w:sz="0" w:space="0" w:color="auto"/>
      </w:divBdr>
    </w:div>
    <w:div w:id="263928468">
      <w:bodyDiv w:val="1"/>
      <w:marLeft w:val="0"/>
      <w:marRight w:val="0"/>
      <w:marTop w:val="0"/>
      <w:marBottom w:val="0"/>
      <w:divBdr>
        <w:top w:val="none" w:sz="0" w:space="0" w:color="auto"/>
        <w:left w:val="none" w:sz="0" w:space="0" w:color="auto"/>
        <w:bottom w:val="none" w:sz="0" w:space="0" w:color="auto"/>
        <w:right w:val="none" w:sz="0" w:space="0" w:color="auto"/>
      </w:divBdr>
    </w:div>
    <w:div w:id="268321797">
      <w:bodyDiv w:val="1"/>
      <w:marLeft w:val="0"/>
      <w:marRight w:val="0"/>
      <w:marTop w:val="0"/>
      <w:marBottom w:val="0"/>
      <w:divBdr>
        <w:top w:val="none" w:sz="0" w:space="0" w:color="auto"/>
        <w:left w:val="none" w:sz="0" w:space="0" w:color="auto"/>
        <w:bottom w:val="none" w:sz="0" w:space="0" w:color="auto"/>
        <w:right w:val="none" w:sz="0" w:space="0" w:color="auto"/>
      </w:divBdr>
    </w:div>
    <w:div w:id="289477920">
      <w:bodyDiv w:val="1"/>
      <w:marLeft w:val="0"/>
      <w:marRight w:val="0"/>
      <w:marTop w:val="0"/>
      <w:marBottom w:val="0"/>
      <w:divBdr>
        <w:top w:val="none" w:sz="0" w:space="0" w:color="auto"/>
        <w:left w:val="none" w:sz="0" w:space="0" w:color="auto"/>
        <w:bottom w:val="none" w:sz="0" w:space="0" w:color="auto"/>
        <w:right w:val="none" w:sz="0" w:space="0" w:color="auto"/>
      </w:divBdr>
    </w:div>
    <w:div w:id="350762283">
      <w:bodyDiv w:val="1"/>
      <w:marLeft w:val="0"/>
      <w:marRight w:val="0"/>
      <w:marTop w:val="0"/>
      <w:marBottom w:val="0"/>
      <w:divBdr>
        <w:top w:val="none" w:sz="0" w:space="0" w:color="auto"/>
        <w:left w:val="none" w:sz="0" w:space="0" w:color="auto"/>
        <w:bottom w:val="none" w:sz="0" w:space="0" w:color="auto"/>
        <w:right w:val="none" w:sz="0" w:space="0" w:color="auto"/>
      </w:divBdr>
    </w:div>
    <w:div w:id="351535664">
      <w:bodyDiv w:val="1"/>
      <w:marLeft w:val="0"/>
      <w:marRight w:val="0"/>
      <w:marTop w:val="0"/>
      <w:marBottom w:val="0"/>
      <w:divBdr>
        <w:top w:val="none" w:sz="0" w:space="0" w:color="auto"/>
        <w:left w:val="none" w:sz="0" w:space="0" w:color="auto"/>
        <w:bottom w:val="none" w:sz="0" w:space="0" w:color="auto"/>
        <w:right w:val="none" w:sz="0" w:space="0" w:color="auto"/>
      </w:divBdr>
    </w:div>
    <w:div w:id="354573098">
      <w:bodyDiv w:val="1"/>
      <w:marLeft w:val="0"/>
      <w:marRight w:val="0"/>
      <w:marTop w:val="0"/>
      <w:marBottom w:val="0"/>
      <w:divBdr>
        <w:top w:val="none" w:sz="0" w:space="0" w:color="auto"/>
        <w:left w:val="none" w:sz="0" w:space="0" w:color="auto"/>
        <w:bottom w:val="none" w:sz="0" w:space="0" w:color="auto"/>
        <w:right w:val="none" w:sz="0" w:space="0" w:color="auto"/>
      </w:divBdr>
    </w:div>
    <w:div w:id="405147599">
      <w:bodyDiv w:val="1"/>
      <w:marLeft w:val="0"/>
      <w:marRight w:val="0"/>
      <w:marTop w:val="0"/>
      <w:marBottom w:val="0"/>
      <w:divBdr>
        <w:top w:val="none" w:sz="0" w:space="0" w:color="auto"/>
        <w:left w:val="none" w:sz="0" w:space="0" w:color="auto"/>
        <w:bottom w:val="none" w:sz="0" w:space="0" w:color="auto"/>
        <w:right w:val="none" w:sz="0" w:space="0" w:color="auto"/>
      </w:divBdr>
    </w:div>
    <w:div w:id="456798103">
      <w:bodyDiv w:val="1"/>
      <w:marLeft w:val="0"/>
      <w:marRight w:val="0"/>
      <w:marTop w:val="0"/>
      <w:marBottom w:val="0"/>
      <w:divBdr>
        <w:top w:val="none" w:sz="0" w:space="0" w:color="auto"/>
        <w:left w:val="none" w:sz="0" w:space="0" w:color="auto"/>
        <w:bottom w:val="none" w:sz="0" w:space="0" w:color="auto"/>
        <w:right w:val="none" w:sz="0" w:space="0" w:color="auto"/>
      </w:divBdr>
    </w:div>
    <w:div w:id="471869951">
      <w:bodyDiv w:val="1"/>
      <w:marLeft w:val="0"/>
      <w:marRight w:val="0"/>
      <w:marTop w:val="0"/>
      <w:marBottom w:val="0"/>
      <w:divBdr>
        <w:top w:val="none" w:sz="0" w:space="0" w:color="auto"/>
        <w:left w:val="none" w:sz="0" w:space="0" w:color="auto"/>
        <w:bottom w:val="none" w:sz="0" w:space="0" w:color="auto"/>
        <w:right w:val="none" w:sz="0" w:space="0" w:color="auto"/>
      </w:divBdr>
    </w:div>
    <w:div w:id="490221621">
      <w:bodyDiv w:val="1"/>
      <w:marLeft w:val="0"/>
      <w:marRight w:val="0"/>
      <w:marTop w:val="0"/>
      <w:marBottom w:val="0"/>
      <w:divBdr>
        <w:top w:val="none" w:sz="0" w:space="0" w:color="auto"/>
        <w:left w:val="none" w:sz="0" w:space="0" w:color="auto"/>
        <w:bottom w:val="none" w:sz="0" w:space="0" w:color="auto"/>
        <w:right w:val="none" w:sz="0" w:space="0" w:color="auto"/>
      </w:divBdr>
    </w:div>
    <w:div w:id="500658582">
      <w:bodyDiv w:val="1"/>
      <w:marLeft w:val="0"/>
      <w:marRight w:val="0"/>
      <w:marTop w:val="0"/>
      <w:marBottom w:val="0"/>
      <w:divBdr>
        <w:top w:val="none" w:sz="0" w:space="0" w:color="auto"/>
        <w:left w:val="none" w:sz="0" w:space="0" w:color="auto"/>
        <w:bottom w:val="none" w:sz="0" w:space="0" w:color="auto"/>
        <w:right w:val="none" w:sz="0" w:space="0" w:color="auto"/>
      </w:divBdr>
    </w:div>
    <w:div w:id="507600032">
      <w:bodyDiv w:val="1"/>
      <w:marLeft w:val="0"/>
      <w:marRight w:val="0"/>
      <w:marTop w:val="0"/>
      <w:marBottom w:val="0"/>
      <w:divBdr>
        <w:top w:val="none" w:sz="0" w:space="0" w:color="auto"/>
        <w:left w:val="none" w:sz="0" w:space="0" w:color="auto"/>
        <w:bottom w:val="none" w:sz="0" w:space="0" w:color="auto"/>
        <w:right w:val="none" w:sz="0" w:space="0" w:color="auto"/>
      </w:divBdr>
    </w:div>
    <w:div w:id="517811194">
      <w:bodyDiv w:val="1"/>
      <w:marLeft w:val="0"/>
      <w:marRight w:val="0"/>
      <w:marTop w:val="0"/>
      <w:marBottom w:val="0"/>
      <w:divBdr>
        <w:top w:val="none" w:sz="0" w:space="0" w:color="auto"/>
        <w:left w:val="none" w:sz="0" w:space="0" w:color="auto"/>
        <w:bottom w:val="none" w:sz="0" w:space="0" w:color="auto"/>
        <w:right w:val="none" w:sz="0" w:space="0" w:color="auto"/>
      </w:divBdr>
    </w:div>
    <w:div w:id="526909837">
      <w:bodyDiv w:val="1"/>
      <w:marLeft w:val="0"/>
      <w:marRight w:val="0"/>
      <w:marTop w:val="0"/>
      <w:marBottom w:val="0"/>
      <w:divBdr>
        <w:top w:val="none" w:sz="0" w:space="0" w:color="auto"/>
        <w:left w:val="none" w:sz="0" w:space="0" w:color="auto"/>
        <w:bottom w:val="none" w:sz="0" w:space="0" w:color="auto"/>
        <w:right w:val="none" w:sz="0" w:space="0" w:color="auto"/>
      </w:divBdr>
    </w:div>
    <w:div w:id="541746553">
      <w:bodyDiv w:val="1"/>
      <w:marLeft w:val="0"/>
      <w:marRight w:val="0"/>
      <w:marTop w:val="0"/>
      <w:marBottom w:val="0"/>
      <w:divBdr>
        <w:top w:val="none" w:sz="0" w:space="0" w:color="auto"/>
        <w:left w:val="none" w:sz="0" w:space="0" w:color="auto"/>
        <w:bottom w:val="none" w:sz="0" w:space="0" w:color="auto"/>
        <w:right w:val="none" w:sz="0" w:space="0" w:color="auto"/>
      </w:divBdr>
      <w:divsChild>
        <w:div w:id="2130512681">
          <w:marLeft w:val="0"/>
          <w:marRight w:val="0"/>
          <w:marTop w:val="0"/>
          <w:marBottom w:val="0"/>
          <w:divBdr>
            <w:top w:val="none" w:sz="0" w:space="0" w:color="auto"/>
            <w:left w:val="none" w:sz="0" w:space="0" w:color="auto"/>
            <w:bottom w:val="none" w:sz="0" w:space="0" w:color="auto"/>
            <w:right w:val="none" w:sz="0" w:space="0" w:color="auto"/>
          </w:divBdr>
          <w:divsChild>
            <w:div w:id="1312052687">
              <w:marLeft w:val="0"/>
              <w:marRight w:val="0"/>
              <w:marTop w:val="0"/>
              <w:marBottom w:val="0"/>
              <w:divBdr>
                <w:top w:val="none" w:sz="0" w:space="0" w:color="auto"/>
                <w:left w:val="none" w:sz="0" w:space="0" w:color="auto"/>
                <w:bottom w:val="none" w:sz="0" w:space="0" w:color="auto"/>
                <w:right w:val="none" w:sz="0" w:space="0" w:color="auto"/>
              </w:divBdr>
              <w:divsChild>
                <w:div w:id="1526558129">
                  <w:marLeft w:val="0"/>
                  <w:marRight w:val="0"/>
                  <w:marTop w:val="0"/>
                  <w:marBottom w:val="0"/>
                  <w:divBdr>
                    <w:top w:val="none" w:sz="0" w:space="0" w:color="auto"/>
                    <w:left w:val="none" w:sz="0" w:space="0" w:color="auto"/>
                    <w:bottom w:val="none" w:sz="0" w:space="0" w:color="auto"/>
                    <w:right w:val="none" w:sz="0" w:space="0" w:color="auto"/>
                  </w:divBdr>
                  <w:divsChild>
                    <w:div w:id="154844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072421">
      <w:bodyDiv w:val="1"/>
      <w:marLeft w:val="0"/>
      <w:marRight w:val="0"/>
      <w:marTop w:val="0"/>
      <w:marBottom w:val="0"/>
      <w:divBdr>
        <w:top w:val="none" w:sz="0" w:space="0" w:color="auto"/>
        <w:left w:val="none" w:sz="0" w:space="0" w:color="auto"/>
        <w:bottom w:val="none" w:sz="0" w:space="0" w:color="auto"/>
        <w:right w:val="none" w:sz="0" w:space="0" w:color="auto"/>
      </w:divBdr>
    </w:div>
    <w:div w:id="555942438">
      <w:bodyDiv w:val="1"/>
      <w:marLeft w:val="0"/>
      <w:marRight w:val="0"/>
      <w:marTop w:val="0"/>
      <w:marBottom w:val="0"/>
      <w:divBdr>
        <w:top w:val="none" w:sz="0" w:space="0" w:color="auto"/>
        <w:left w:val="none" w:sz="0" w:space="0" w:color="auto"/>
        <w:bottom w:val="none" w:sz="0" w:space="0" w:color="auto"/>
        <w:right w:val="none" w:sz="0" w:space="0" w:color="auto"/>
      </w:divBdr>
    </w:div>
    <w:div w:id="572468195">
      <w:bodyDiv w:val="1"/>
      <w:marLeft w:val="0"/>
      <w:marRight w:val="0"/>
      <w:marTop w:val="0"/>
      <w:marBottom w:val="0"/>
      <w:divBdr>
        <w:top w:val="none" w:sz="0" w:space="0" w:color="auto"/>
        <w:left w:val="none" w:sz="0" w:space="0" w:color="auto"/>
        <w:bottom w:val="none" w:sz="0" w:space="0" w:color="auto"/>
        <w:right w:val="none" w:sz="0" w:space="0" w:color="auto"/>
      </w:divBdr>
    </w:div>
    <w:div w:id="591814540">
      <w:bodyDiv w:val="1"/>
      <w:marLeft w:val="0"/>
      <w:marRight w:val="0"/>
      <w:marTop w:val="0"/>
      <w:marBottom w:val="0"/>
      <w:divBdr>
        <w:top w:val="none" w:sz="0" w:space="0" w:color="auto"/>
        <w:left w:val="none" w:sz="0" w:space="0" w:color="auto"/>
        <w:bottom w:val="none" w:sz="0" w:space="0" w:color="auto"/>
        <w:right w:val="none" w:sz="0" w:space="0" w:color="auto"/>
      </w:divBdr>
    </w:div>
    <w:div w:id="618873533">
      <w:bodyDiv w:val="1"/>
      <w:marLeft w:val="0"/>
      <w:marRight w:val="0"/>
      <w:marTop w:val="0"/>
      <w:marBottom w:val="0"/>
      <w:divBdr>
        <w:top w:val="none" w:sz="0" w:space="0" w:color="auto"/>
        <w:left w:val="none" w:sz="0" w:space="0" w:color="auto"/>
        <w:bottom w:val="none" w:sz="0" w:space="0" w:color="auto"/>
        <w:right w:val="none" w:sz="0" w:space="0" w:color="auto"/>
      </w:divBdr>
    </w:div>
    <w:div w:id="661660289">
      <w:bodyDiv w:val="1"/>
      <w:marLeft w:val="0"/>
      <w:marRight w:val="0"/>
      <w:marTop w:val="0"/>
      <w:marBottom w:val="0"/>
      <w:divBdr>
        <w:top w:val="none" w:sz="0" w:space="0" w:color="auto"/>
        <w:left w:val="none" w:sz="0" w:space="0" w:color="auto"/>
        <w:bottom w:val="none" w:sz="0" w:space="0" w:color="auto"/>
        <w:right w:val="none" w:sz="0" w:space="0" w:color="auto"/>
      </w:divBdr>
    </w:div>
    <w:div w:id="663171556">
      <w:bodyDiv w:val="1"/>
      <w:marLeft w:val="0"/>
      <w:marRight w:val="0"/>
      <w:marTop w:val="0"/>
      <w:marBottom w:val="0"/>
      <w:divBdr>
        <w:top w:val="none" w:sz="0" w:space="0" w:color="auto"/>
        <w:left w:val="none" w:sz="0" w:space="0" w:color="auto"/>
        <w:bottom w:val="none" w:sz="0" w:space="0" w:color="auto"/>
        <w:right w:val="none" w:sz="0" w:space="0" w:color="auto"/>
      </w:divBdr>
    </w:div>
    <w:div w:id="668482729">
      <w:bodyDiv w:val="1"/>
      <w:marLeft w:val="0"/>
      <w:marRight w:val="0"/>
      <w:marTop w:val="0"/>
      <w:marBottom w:val="0"/>
      <w:divBdr>
        <w:top w:val="none" w:sz="0" w:space="0" w:color="auto"/>
        <w:left w:val="none" w:sz="0" w:space="0" w:color="auto"/>
        <w:bottom w:val="none" w:sz="0" w:space="0" w:color="auto"/>
        <w:right w:val="none" w:sz="0" w:space="0" w:color="auto"/>
      </w:divBdr>
    </w:div>
    <w:div w:id="717243833">
      <w:bodyDiv w:val="1"/>
      <w:marLeft w:val="0"/>
      <w:marRight w:val="0"/>
      <w:marTop w:val="0"/>
      <w:marBottom w:val="0"/>
      <w:divBdr>
        <w:top w:val="none" w:sz="0" w:space="0" w:color="auto"/>
        <w:left w:val="none" w:sz="0" w:space="0" w:color="auto"/>
        <w:bottom w:val="none" w:sz="0" w:space="0" w:color="auto"/>
        <w:right w:val="none" w:sz="0" w:space="0" w:color="auto"/>
      </w:divBdr>
    </w:div>
    <w:div w:id="727848187">
      <w:bodyDiv w:val="1"/>
      <w:marLeft w:val="0"/>
      <w:marRight w:val="0"/>
      <w:marTop w:val="0"/>
      <w:marBottom w:val="0"/>
      <w:divBdr>
        <w:top w:val="none" w:sz="0" w:space="0" w:color="auto"/>
        <w:left w:val="none" w:sz="0" w:space="0" w:color="auto"/>
        <w:bottom w:val="none" w:sz="0" w:space="0" w:color="auto"/>
        <w:right w:val="none" w:sz="0" w:space="0" w:color="auto"/>
      </w:divBdr>
    </w:div>
    <w:div w:id="731002573">
      <w:bodyDiv w:val="1"/>
      <w:marLeft w:val="0"/>
      <w:marRight w:val="0"/>
      <w:marTop w:val="0"/>
      <w:marBottom w:val="0"/>
      <w:divBdr>
        <w:top w:val="none" w:sz="0" w:space="0" w:color="auto"/>
        <w:left w:val="none" w:sz="0" w:space="0" w:color="auto"/>
        <w:bottom w:val="none" w:sz="0" w:space="0" w:color="auto"/>
        <w:right w:val="none" w:sz="0" w:space="0" w:color="auto"/>
      </w:divBdr>
    </w:div>
    <w:div w:id="765737133">
      <w:bodyDiv w:val="1"/>
      <w:marLeft w:val="0"/>
      <w:marRight w:val="0"/>
      <w:marTop w:val="0"/>
      <w:marBottom w:val="0"/>
      <w:divBdr>
        <w:top w:val="none" w:sz="0" w:space="0" w:color="auto"/>
        <w:left w:val="none" w:sz="0" w:space="0" w:color="auto"/>
        <w:bottom w:val="none" w:sz="0" w:space="0" w:color="auto"/>
        <w:right w:val="none" w:sz="0" w:space="0" w:color="auto"/>
      </w:divBdr>
    </w:div>
    <w:div w:id="806438760">
      <w:bodyDiv w:val="1"/>
      <w:marLeft w:val="0"/>
      <w:marRight w:val="0"/>
      <w:marTop w:val="0"/>
      <w:marBottom w:val="0"/>
      <w:divBdr>
        <w:top w:val="none" w:sz="0" w:space="0" w:color="auto"/>
        <w:left w:val="none" w:sz="0" w:space="0" w:color="auto"/>
        <w:bottom w:val="none" w:sz="0" w:space="0" w:color="auto"/>
        <w:right w:val="none" w:sz="0" w:space="0" w:color="auto"/>
      </w:divBdr>
    </w:div>
    <w:div w:id="819999722">
      <w:bodyDiv w:val="1"/>
      <w:marLeft w:val="0"/>
      <w:marRight w:val="0"/>
      <w:marTop w:val="0"/>
      <w:marBottom w:val="0"/>
      <w:divBdr>
        <w:top w:val="none" w:sz="0" w:space="0" w:color="auto"/>
        <w:left w:val="none" w:sz="0" w:space="0" w:color="auto"/>
        <w:bottom w:val="none" w:sz="0" w:space="0" w:color="auto"/>
        <w:right w:val="none" w:sz="0" w:space="0" w:color="auto"/>
      </w:divBdr>
    </w:div>
    <w:div w:id="844831525">
      <w:bodyDiv w:val="1"/>
      <w:marLeft w:val="0"/>
      <w:marRight w:val="0"/>
      <w:marTop w:val="0"/>
      <w:marBottom w:val="0"/>
      <w:divBdr>
        <w:top w:val="none" w:sz="0" w:space="0" w:color="auto"/>
        <w:left w:val="none" w:sz="0" w:space="0" w:color="auto"/>
        <w:bottom w:val="none" w:sz="0" w:space="0" w:color="auto"/>
        <w:right w:val="none" w:sz="0" w:space="0" w:color="auto"/>
      </w:divBdr>
    </w:div>
    <w:div w:id="853231783">
      <w:bodyDiv w:val="1"/>
      <w:marLeft w:val="0"/>
      <w:marRight w:val="0"/>
      <w:marTop w:val="0"/>
      <w:marBottom w:val="0"/>
      <w:divBdr>
        <w:top w:val="none" w:sz="0" w:space="0" w:color="auto"/>
        <w:left w:val="none" w:sz="0" w:space="0" w:color="auto"/>
        <w:bottom w:val="none" w:sz="0" w:space="0" w:color="auto"/>
        <w:right w:val="none" w:sz="0" w:space="0" w:color="auto"/>
      </w:divBdr>
    </w:div>
    <w:div w:id="863206632">
      <w:bodyDiv w:val="1"/>
      <w:marLeft w:val="0"/>
      <w:marRight w:val="0"/>
      <w:marTop w:val="0"/>
      <w:marBottom w:val="0"/>
      <w:divBdr>
        <w:top w:val="none" w:sz="0" w:space="0" w:color="auto"/>
        <w:left w:val="none" w:sz="0" w:space="0" w:color="auto"/>
        <w:bottom w:val="none" w:sz="0" w:space="0" w:color="auto"/>
        <w:right w:val="none" w:sz="0" w:space="0" w:color="auto"/>
      </w:divBdr>
      <w:divsChild>
        <w:div w:id="608510268">
          <w:marLeft w:val="0"/>
          <w:marRight w:val="0"/>
          <w:marTop w:val="0"/>
          <w:marBottom w:val="0"/>
          <w:divBdr>
            <w:top w:val="none" w:sz="0" w:space="0" w:color="auto"/>
            <w:left w:val="none" w:sz="0" w:space="0" w:color="auto"/>
            <w:bottom w:val="none" w:sz="0" w:space="0" w:color="auto"/>
            <w:right w:val="none" w:sz="0" w:space="0" w:color="auto"/>
          </w:divBdr>
        </w:div>
        <w:div w:id="1438670082">
          <w:marLeft w:val="0"/>
          <w:marRight w:val="0"/>
          <w:marTop w:val="0"/>
          <w:marBottom w:val="0"/>
          <w:divBdr>
            <w:top w:val="none" w:sz="0" w:space="0" w:color="auto"/>
            <w:left w:val="none" w:sz="0" w:space="0" w:color="auto"/>
            <w:bottom w:val="none" w:sz="0" w:space="0" w:color="auto"/>
            <w:right w:val="none" w:sz="0" w:space="0" w:color="auto"/>
          </w:divBdr>
          <w:divsChild>
            <w:div w:id="148787161">
              <w:marLeft w:val="0"/>
              <w:marRight w:val="0"/>
              <w:marTop w:val="0"/>
              <w:marBottom w:val="0"/>
              <w:divBdr>
                <w:top w:val="none" w:sz="0" w:space="0" w:color="auto"/>
                <w:left w:val="none" w:sz="0" w:space="0" w:color="auto"/>
                <w:bottom w:val="none" w:sz="0" w:space="0" w:color="auto"/>
                <w:right w:val="none" w:sz="0" w:space="0" w:color="auto"/>
              </w:divBdr>
            </w:div>
            <w:div w:id="1215895067">
              <w:marLeft w:val="0"/>
              <w:marRight w:val="0"/>
              <w:marTop w:val="0"/>
              <w:marBottom w:val="0"/>
              <w:divBdr>
                <w:top w:val="none" w:sz="0" w:space="0" w:color="auto"/>
                <w:left w:val="none" w:sz="0" w:space="0" w:color="auto"/>
                <w:bottom w:val="none" w:sz="0" w:space="0" w:color="auto"/>
                <w:right w:val="none" w:sz="0" w:space="0" w:color="auto"/>
              </w:divBdr>
            </w:div>
            <w:div w:id="57424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14764">
      <w:bodyDiv w:val="1"/>
      <w:marLeft w:val="0"/>
      <w:marRight w:val="0"/>
      <w:marTop w:val="0"/>
      <w:marBottom w:val="0"/>
      <w:divBdr>
        <w:top w:val="none" w:sz="0" w:space="0" w:color="auto"/>
        <w:left w:val="none" w:sz="0" w:space="0" w:color="auto"/>
        <w:bottom w:val="none" w:sz="0" w:space="0" w:color="auto"/>
        <w:right w:val="none" w:sz="0" w:space="0" w:color="auto"/>
      </w:divBdr>
    </w:div>
    <w:div w:id="886330571">
      <w:bodyDiv w:val="1"/>
      <w:marLeft w:val="0"/>
      <w:marRight w:val="0"/>
      <w:marTop w:val="0"/>
      <w:marBottom w:val="0"/>
      <w:divBdr>
        <w:top w:val="none" w:sz="0" w:space="0" w:color="auto"/>
        <w:left w:val="none" w:sz="0" w:space="0" w:color="auto"/>
        <w:bottom w:val="none" w:sz="0" w:space="0" w:color="auto"/>
        <w:right w:val="none" w:sz="0" w:space="0" w:color="auto"/>
      </w:divBdr>
    </w:div>
    <w:div w:id="903686046">
      <w:bodyDiv w:val="1"/>
      <w:marLeft w:val="0"/>
      <w:marRight w:val="0"/>
      <w:marTop w:val="0"/>
      <w:marBottom w:val="0"/>
      <w:divBdr>
        <w:top w:val="none" w:sz="0" w:space="0" w:color="auto"/>
        <w:left w:val="none" w:sz="0" w:space="0" w:color="auto"/>
        <w:bottom w:val="none" w:sz="0" w:space="0" w:color="auto"/>
        <w:right w:val="none" w:sz="0" w:space="0" w:color="auto"/>
      </w:divBdr>
    </w:div>
    <w:div w:id="912395761">
      <w:bodyDiv w:val="1"/>
      <w:marLeft w:val="0"/>
      <w:marRight w:val="0"/>
      <w:marTop w:val="0"/>
      <w:marBottom w:val="0"/>
      <w:divBdr>
        <w:top w:val="none" w:sz="0" w:space="0" w:color="auto"/>
        <w:left w:val="none" w:sz="0" w:space="0" w:color="auto"/>
        <w:bottom w:val="none" w:sz="0" w:space="0" w:color="auto"/>
        <w:right w:val="none" w:sz="0" w:space="0" w:color="auto"/>
      </w:divBdr>
    </w:div>
    <w:div w:id="962926301">
      <w:bodyDiv w:val="1"/>
      <w:marLeft w:val="0"/>
      <w:marRight w:val="0"/>
      <w:marTop w:val="0"/>
      <w:marBottom w:val="0"/>
      <w:divBdr>
        <w:top w:val="none" w:sz="0" w:space="0" w:color="auto"/>
        <w:left w:val="none" w:sz="0" w:space="0" w:color="auto"/>
        <w:bottom w:val="none" w:sz="0" w:space="0" w:color="auto"/>
        <w:right w:val="none" w:sz="0" w:space="0" w:color="auto"/>
      </w:divBdr>
    </w:div>
    <w:div w:id="967012075">
      <w:bodyDiv w:val="1"/>
      <w:marLeft w:val="0"/>
      <w:marRight w:val="0"/>
      <w:marTop w:val="0"/>
      <w:marBottom w:val="0"/>
      <w:divBdr>
        <w:top w:val="none" w:sz="0" w:space="0" w:color="auto"/>
        <w:left w:val="none" w:sz="0" w:space="0" w:color="auto"/>
        <w:bottom w:val="none" w:sz="0" w:space="0" w:color="auto"/>
        <w:right w:val="none" w:sz="0" w:space="0" w:color="auto"/>
      </w:divBdr>
    </w:div>
    <w:div w:id="973101413">
      <w:bodyDiv w:val="1"/>
      <w:marLeft w:val="0"/>
      <w:marRight w:val="0"/>
      <w:marTop w:val="0"/>
      <w:marBottom w:val="0"/>
      <w:divBdr>
        <w:top w:val="none" w:sz="0" w:space="0" w:color="auto"/>
        <w:left w:val="none" w:sz="0" w:space="0" w:color="auto"/>
        <w:bottom w:val="none" w:sz="0" w:space="0" w:color="auto"/>
        <w:right w:val="none" w:sz="0" w:space="0" w:color="auto"/>
      </w:divBdr>
    </w:div>
    <w:div w:id="1012492941">
      <w:bodyDiv w:val="1"/>
      <w:marLeft w:val="0"/>
      <w:marRight w:val="0"/>
      <w:marTop w:val="0"/>
      <w:marBottom w:val="0"/>
      <w:divBdr>
        <w:top w:val="none" w:sz="0" w:space="0" w:color="auto"/>
        <w:left w:val="none" w:sz="0" w:space="0" w:color="auto"/>
        <w:bottom w:val="none" w:sz="0" w:space="0" w:color="auto"/>
        <w:right w:val="none" w:sz="0" w:space="0" w:color="auto"/>
      </w:divBdr>
      <w:divsChild>
        <w:div w:id="167062844">
          <w:marLeft w:val="0"/>
          <w:marRight w:val="0"/>
          <w:marTop w:val="0"/>
          <w:marBottom w:val="0"/>
          <w:divBdr>
            <w:top w:val="none" w:sz="0" w:space="0" w:color="auto"/>
            <w:left w:val="none" w:sz="0" w:space="0" w:color="auto"/>
            <w:bottom w:val="none" w:sz="0" w:space="0" w:color="auto"/>
            <w:right w:val="none" w:sz="0" w:space="0" w:color="auto"/>
          </w:divBdr>
          <w:divsChild>
            <w:div w:id="176694325">
              <w:marLeft w:val="0"/>
              <w:marRight w:val="0"/>
              <w:marTop w:val="0"/>
              <w:marBottom w:val="0"/>
              <w:divBdr>
                <w:top w:val="none" w:sz="0" w:space="0" w:color="auto"/>
                <w:left w:val="none" w:sz="0" w:space="0" w:color="auto"/>
                <w:bottom w:val="none" w:sz="0" w:space="0" w:color="auto"/>
                <w:right w:val="none" w:sz="0" w:space="0" w:color="auto"/>
              </w:divBdr>
              <w:divsChild>
                <w:div w:id="540167651">
                  <w:marLeft w:val="0"/>
                  <w:marRight w:val="0"/>
                  <w:marTop w:val="0"/>
                  <w:marBottom w:val="0"/>
                  <w:divBdr>
                    <w:top w:val="none" w:sz="0" w:space="0" w:color="auto"/>
                    <w:left w:val="none" w:sz="0" w:space="0" w:color="auto"/>
                    <w:bottom w:val="none" w:sz="0" w:space="0" w:color="auto"/>
                    <w:right w:val="none" w:sz="0" w:space="0" w:color="auto"/>
                  </w:divBdr>
                  <w:divsChild>
                    <w:div w:id="1297417884">
                      <w:marLeft w:val="0"/>
                      <w:marRight w:val="0"/>
                      <w:marTop w:val="0"/>
                      <w:marBottom w:val="0"/>
                      <w:divBdr>
                        <w:top w:val="none" w:sz="0" w:space="0" w:color="auto"/>
                        <w:left w:val="none" w:sz="0" w:space="0" w:color="auto"/>
                        <w:bottom w:val="none" w:sz="0" w:space="0" w:color="auto"/>
                        <w:right w:val="none" w:sz="0" w:space="0" w:color="auto"/>
                      </w:divBdr>
                      <w:divsChild>
                        <w:div w:id="1626813989">
                          <w:marLeft w:val="0"/>
                          <w:marRight w:val="0"/>
                          <w:marTop w:val="0"/>
                          <w:marBottom w:val="0"/>
                          <w:divBdr>
                            <w:top w:val="none" w:sz="0" w:space="0" w:color="auto"/>
                            <w:left w:val="none" w:sz="0" w:space="0" w:color="auto"/>
                            <w:bottom w:val="none" w:sz="0" w:space="0" w:color="auto"/>
                            <w:right w:val="none" w:sz="0" w:space="0" w:color="auto"/>
                          </w:divBdr>
                          <w:divsChild>
                            <w:div w:id="1241210866">
                              <w:marLeft w:val="0"/>
                              <w:marRight w:val="0"/>
                              <w:marTop w:val="0"/>
                              <w:marBottom w:val="0"/>
                              <w:divBdr>
                                <w:top w:val="none" w:sz="0" w:space="0" w:color="auto"/>
                                <w:left w:val="none" w:sz="0" w:space="0" w:color="auto"/>
                                <w:bottom w:val="none" w:sz="0" w:space="0" w:color="auto"/>
                                <w:right w:val="none" w:sz="0" w:space="0" w:color="auto"/>
                              </w:divBdr>
                              <w:divsChild>
                                <w:div w:id="32971004">
                                  <w:marLeft w:val="0"/>
                                  <w:marRight w:val="0"/>
                                  <w:marTop w:val="0"/>
                                  <w:marBottom w:val="0"/>
                                  <w:divBdr>
                                    <w:top w:val="none" w:sz="0" w:space="0" w:color="auto"/>
                                    <w:left w:val="none" w:sz="0" w:space="0" w:color="auto"/>
                                    <w:bottom w:val="none" w:sz="0" w:space="0" w:color="auto"/>
                                    <w:right w:val="none" w:sz="0" w:space="0" w:color="auto"/>
                                  </w:divBdr>
                                </w:div>
                                <w:div w:id="357895234">
                                  <w:marLeft w:val="0"/>
                                  <w:marRight w:val="0"/>
                                  <w:marTop w:val="0"/>
                                  <w:marBottom w:val="0"/>
                                  <w:divBdr>
                                    <w:top w:val="none" w:sz="0" w:space="0" w:color="auto"/>
                                    <w:left w:val="none" w:sz="0" w:space="0" w:color="auto"/>
                                    <w:bottom w:val="none" w:sz="0" w:space="0" w:color="auto"/>
                                    <w:right w:val="none" w:sz="0" w:space="0" w:color="auto"/>
                                  </w:divBdr>
                                </w:div>
                              </w:divsChild>
                            </w:div>
                            <w:div w:id="910314830">
                              <w:marLeft w:val="0"/>
                              <w:marRight w:val="0"/>
                              <w:marTop w:val="0"/>
                              <w:marBottom w:val="0"/>
                              <w:divBdr>
                                <w:top w:val="none" w:sz="0" w:space="0" w:color="auto"/>
                                <w:left w:val="none" w:sz="0" w:space="0" w:color="auto"/>
                                <w:bottom w:val="none" w:sz="0" w:space="0" w:color="auto"/>
                                <w:right w:val="none" w:sz="0" w:space="0" w:color="auto"/>
                              </w:divBdr>
                              <w:divsChild>
                                <w:div w:id="2074504698">
                                  <w:marLeft w:val="0"/>
                                  <w:marRight w:val="0"/>
                                  <w:marTop w:val="0"/>
                                  <w:marBottom w:val="0"/>
                                  <w:divBdr>
                                    <w:top w:val="none" w:sz="0" w:space="0" w:color="auto"/>
                                    <w:left w:val="none" w:sz="0" w:space="0" w:color="auto"/>
                                    <w:bottom w:val="none" w:sz="0" w:space="0" w:color="auto"/>
                                    <w:right w:val="none" w:sz="0" w:space="0" w:color="auto"/>
                                  </w:divBdr>
                                </w:div>
                                <w:div w:id="897085896">
                                  <w:marLeft w:val="0"/>
                                  <w:marRight w:val="0"/>
                                  <w:marTop w:val="0"/>
                                  <w:marBottom w:val="0"/>
                                  <w:divBdr>
                                    <w:top w:val="none" w:sz="0" w:space="0" w:color="auto"/>
                                    <w:left w:val="none" w:sz="0" w:space="0" w:color="auto"/>
                                    <w:bottom w:val="none" w:sz="0" w:space="0" w:color="auto"/>
                                    <w:right w:val="none" w:sz="0" w:space="0" w:color="auto"/>
                                  </w:divBdr>
                                </w:div>
                              </w:divsChild>
                            </w:div>
                            <w:div w:id="592856061">
                              <w:marLeft w:val="0"/>
                              <w:marRight w:val="0"/>
                              <w:marTop w:val="0"/>
                              <w:marBottom w:val="0"/>
                              <w:divBdr>
                                <w:top w:val="none" w:sz="0" w:space="0" w:color="auto"/>
                                <w:left w:val="none" w:sz="0" w:space="0" w:color="auto"/>
                                <w:bottom w:val="none" w:sz="0" w:space="0" w:color="auto"/>
                                <w:right w:val="none" w:sz="0" w:space="0" w:color="auto"/>
                              </w:divBdr>
                              <w:divsChild>
                                <w:div w:id="1147089755">
                                  <w:marLeft w:val="0"/>
                                  <w:marRight w:val="0"/>
                                  <w:marTop w:val="0"/>
                                  <w:marBottom w:val="0"/>
                                  <w:divBdr>
                                    <w:top w:val="none" w:sz="0" w:space="0" w:color="auto"/>
                                    <w:left w:val="none" w:sz="0" w:space="0" w:color="auto"/>
                                    <w:bottom w:val="none" w:sz="0" w:space="0" w:color="auto"/>
                                    <w:right w:val="none" w:sz="0" w:space="0" w:color="auto"/>
                                  </w:divBdr>
                                </w:div>
                                <w:div w:id="13856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165594">
                          <w:marLeft w:val="0"/>
                          <w:marRight w:val="0"/>
                          <w:marTop w:val="0"/>
                          <w:marBottom w:val="0"/>
                          <w:divBdr>
                            <w:top w:val="none" w:sz="0" w:space="0" w:color="auto"/>
                            <w:left w:val="none" w:sz="0" w:space="0" w:color="auto"/>
                            <w:bottom w:val="none" w:sz="0" w:space="0" w:color="auto"/>
                            <w:right w:val="none" w:sz="0" w:space="0" w:color="auto"/>
                          </w:divBdr>
                        </w:div>
                        <w:div w:id="1131904966">
                          <w:marLeft w:val="0"/>
                          <w:marRight w:val="0"/>
                          <w:marTop w:val="0"/>
                          <w:marBottom w:val="0"/>
                          <w:divBdr>
                            <w:top w:val="none" w:sz="0" w:space="0" w:color="auto"/>
                            <w:left w:val="none" w:sz="0" w:space="0" w:color="auto"/>
                            <w:bottom w:val="none" w:sz="0" w:space="0" w:color="auto"/>
                            <w:right w:val="none" w:sz="0" w:space="0" w:color="auto"/>
                          </w:divBdr>
                        </w:div>
                        <w:div w:id="1811945320">
                          <w:marLeft w:val="0"/>
                          <w:marRight w:val="0"/>
                          <w:marTop w:val="0"/>
                          <w:marBottom w:val="0"/>
                          <w:divBdr>
                            <w:top w:val="none" w:sz="0" w:space="0" w:color="auto"/>
                            <w:left w:val="none" w:sz="0" w:space="0" w:color="auto"/>
                            <w:bottom w:val="none" w:sz="0" w:space="0" w:color="auto"/>
                            <w:right w:val="none" w:sz="0" w:space="0" w:color="auto"/>
                          </w:divBdr>
                        </w:div>
                        <w:div w:id="2026400977">
                          <w:marLeft w:val="0"/>
                          <w:marRight w:val="0"/>
                          <w:marTop w:val="0"/>
                          <w:marBottom w:val="0"/>
                          <w:divBdr>
                            <w:top w:val="none" w:sz="0" w:space="0" w:color="auto"/>
                            <w:left w:val="none" w:sz="0" w:space="0" w:color="auto"/>
                            <w:bottom w:val="none" w:sz="0" w:space="0" w:color="auto"/>
                            <w:right w:val="none" w:sz="0" w:space="0" w:color="auto"/>
                          </w:divBdr>
                        </w:div>
                        <w:div w:id="599071602">
                          <w:marLeft w:val="0"/>
                          <w:marRight w:val="0"/>
                          <w:marTop w:val="0"/>
                          <w:marBottom w:val="0"/>
                          <w:divBdr>
                            <w:top w:val="none" w:sz="0" w:space="0" w:color="auto"/>
                            <w:left w:val="none" w:sz="0" w:space="0" w:color="auto"/>
                            <w:bottom w:val="none" w:sz="0" w:space="0" w:color="auto"/>
                            <w:right w:val="none" w:sz="0" w:space="0" w:color="auto"/>
                          </w:divBdr>
                        </w:div>
                        <w:div w:id="60106122">
                          <w:marLeft w:val="0"/>
                          <w:marRight w:val="0"/>
                          <w:marTop w:val="0"/>
                          <w:marBottom w:val="0"/>
                          <w:divBdr>
                            <w:top w:val="none" w:sz="0" w:space="0" w:color="auto"/>
                            <w:left w:val="none" w:sz="0" w:space="0" w:color="auto"/>
                            <w:bottom w:val="none" w:sz="0" w:space="0" w:color="auto"/>
                            <w:right w:val="none" w:sz="0" w:space="0" w:color="auto"/>
                          </w:divBdr>
                        </w:div>
                        <w:div w:id="1118912291">
                          <w:marLeft w:val="0"/>
                          <w:marRight w:val="0"/>
                          <w:marTop w:val="0"/>
                          <w:marBottom w:val="0"/>
                          <w:divBdr>
                            <w:top w:val="none" w:sz="0" w:space="0" w:color="auto"/>
                            <w:left w:val="none" w:sz="0" w:space="0" w:color="auto"/>
                            <w:bottom w:val="none" w:sz="0" w:space="0" w:color="auto"/>
                            <w:right w:val="none" w:sz="0" w:space="0" w:color="auto"/>
                          </w:divBdr>
                          <w:divsChild>
                            <w:div w:id="1058438630">
                              <w:marLeft w:val="0"/>
                              <w:marRight w:val="0"/>
                              <w:marTop w:val="0"/>
                              <w:marBottom w:val="0"/>
                              <w:divBdr>
                                <w:top w:val="none" w:sz="0" w:space="0" w:color="auto"/>
                                <w:left w:val="none" w:sz="0" w:space="0" w:color="auto"/>
                                <w:bottom w:val="none" w:sz="0" w:space="0" w:color="auto"/>
                                <w:right w:val="none" w:sz="0" w:space="0" w:color="auto"/>
                              </w:divBdr>
                            </w:div>
                            <w:div w:id="2093434111">
                              <w:marLeft w:val="0"/>
                              <w:marRight w:val="0"/>
                              <w:marTop w:val="0"/>
                              <w:marBottom w:val="0"/>
                              <w:divBdr>
                                <w:top w:val="none" w:sz="0" w:space="0" w:color="auto"/>
                                <w:left w:val="none" w:sz="0" w:space="0" w:color="auto"/>
                                <w:bottom w:val="none" w:sz="0" w:space="0" w:color="auto"/>
                                <w:right w:val="none" w:sz="0" w:space="0" w:color="auto"/>
                              </w:divBdr>
                            </w:div>
                            <w:div w:id="1186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988332">
          <w:marLeft w:val="0"/>
          <w:marRight w:val="0"/>
          <w:marTop w:val="0"/>
          <w:marBottom w:val="0"/>
          <w:divBdr>
            <w:top w:val="none" w:sz="0" w:space="0" w:color="auto"/>
            <w:left w:val="none" w:sz="0" w:space="0" w:color="auto"/>
            <w:bottom w:val="none" w:sz="0" w:space="0" w:color="auto"/>
            <w:right w:val="none" w:sz="0" w:space="0" w:color="auto"/>
          </w:divBdr>
          <w:divsChild>
            <w:div w:id="1669938366">
              <w:marLeft w:val="0"/>
              <w:marRight w:val="0"/>
              <w:marTop w:val="0"/>
              <w:marBottom w:val="0"/>
              <w:divBdr>
                <w:top w:val="none" w:sz="0" w:space="0" w:color="auto"/>
                <w:left w:val="none" w:sz="0" w:space="0" w:color="auto"/>
                <w:bottom w:val="none" w:sz="0" w:space="0" w:color="auto"/>
                <w:right w:val="none" w:sz="0" w:space="0" w:color="auto"/>
              </w:divBdr>
              <w:divsChild>
                <w:div w:id="12267095">
                  <w:marLeft w:val="0"/>
                  <w:marRight w:val="0"/>
                  <w:marTop w:val="0"/>
                  <w:marBottom w:val="0"/>
                  <w:divBdr>
                    <w:top w:val="none" w:sz="0" w:space="0" w:color="auto"/>
                    <w:left w:val="none" w:sz="0" w:space="0" w:color="auto"/>
                    <w:bottom w:val="none" w:sz="0" w:space="0" w:color="auto"/>
                    <w:right w:val="none" w:sz="0" w:space="0" w:color="auto"/>
                  </w:divBdr>
                  <w:divsChild>
                    <w:div w:id="1771120431">
                      <w:marLeft w:val="0"/>
                      <w:marRight w:val="240"/>
                      <w:marTop w:val="0"/>
                      <w:marBottom w:val="0"/>
                      <w:divBdr>
                        <w:top w:val="none" w:sz="0" w:space="0" w:color="auto"/>
                        <w:left w:val="none" w:sz="0" w:space="0" w:color="auto"/>
                        <w:bottom w:val="none" w:sz="0" w:space="0" w:color="auto"/>
                        <w:right w:val="none" w:sz="0" w:space="0" w:color="auto"/>
                      </w:divBdr>
                    </w:div>
                    <w:div w:id="914900893">
                      <w:marLeft w:val="0"/>
                      <w:marRight w:val="0"/>
                      <w:marTop w:val="0"/>
                      <w:marBottom w:val="0"/>
                      <w:divBdr>
                        <w:top w:val="none" w:sz="0" w:space="0" w:color="auto"/>
                        <w:left w:val="none" w:sz="0" w:space="0" w:color="auto"/>
                        <w:bottom w:val="none" w:sz="0" w:space="0" w:color="auto"/>
                        <w:right w:val="none" w:sz="0" w:space="0" w:color="auto"/>
                      </w:divBdr>
                      <w:divsChild>
                        <w:div w:id="1178958863">
                          <w:marLeft w:val="0"/>
                          <w:marRight w:val="0"/>
                          <w:marTop w:val="0"/>
                          <w:marBottom w:val="0"/>
                          <w:divBdr>
                            <w:top w:val="none" w:sz="0" w:space="0" w:color="auto"/>
                            <w:left w:val="none" w:sz="0" w:space="0" w:color="auto"/>
                            <w:bottom w:val="none" w:sz="0" w:space="0" w:color="auto"/>
                            <w:right w:val="none" w:sz="0" w:space="0" w:color="auto"/>
                          </w:divBdr>
                          <w:divsChild>
                            <w:div w:id="1377705578">
                              <w:marLeft w:val="0"/>
                              <w:marRight w:val="0"/>
                              <w:marTop w:val="0"/>
                              <w:marBottom w:val="0"/>
                              <w:divBdr>
                                <w:top w:val="none" w:sz="0" w:space="0" w:color="auto"/>
                                <w:left w:val="none" w:sz="0" w:space="0" w:color="auto"/>
                                <w:bottom w:val="none" w:sz="0" w:space="0" w:color="auto"/>
                                <w:right w:val="none" w:sz="0" w:space="0" w:color="auto"/>
                              </w:divBdr>
                              <w:divsChild>
                                <w:div w:id="1504390884">
                                  <w:marLeft w:val="0"/>
                                  <w:marRight w:val="0"/>
                                  <w:marTop w:val="0"/>
                                  <w:marBottom w:val="0"/>
                                  <w:divBdr>
                                    <w:top w:val="none" w:sz="0" w:space="0" w:color="auto"/>
                                    <w:left w:val="none" w:sz="0" w:space="0" w:color="auto"/>
                                    <w:bottom w:val="none" w:sz="0" w:space="0" w:color="auto"/>
                                    <w:right w:val="none" w:sz="0" w:space="0" w:color="auto"/>
                                  </w:divBdr>
                                </w:div>
                                <w:div w:id="1903909129">
                                  <w:marLeft w:val="0"/>
                                  <w:marRight w:val="0"/>
                                  <w:marTop w:val="0"/>
                                  <w:marBottom w:val="0"/>
                                  <w:divBdr>
                                    <w:top w:val="none" w:sz="0" w:space="0" w:color="auto"/>
                                    <w:left w:val="none" w:sz="0" w:space="0" w:color="auto"/>
                                    <w:bottom w:val="none" w:sz="0" w:space="0" w:color="auto"/>
                                    <w:right w:val="none" w:sz="0" w:space="0" w:color="auto"/>
                                  </w:divBdr>
                                </w:div>
                              </w:divsChild>
                            </w:div>
                            <w:div w:id="765806931">
                              <w:marLeft w:val="0"/>
                              <w:marRight w:val="0"/>
                              <w:marTop w:val="0"/>
                              <w:marBottom w:val="0"/>
                              <w:divBdr>
                                <w:top w:val="none" w:sz="0" w:space="0" w:color="auto"/>
                                <w:left w:val="none" w:sz="0" w:space="0" w:color="auto"/>
                                <w:bottom w:val="none" w:sz="0" w:space="0" w:color="auto"/>
                                <w:right w:val="none" w:sz="0" w:space="0" w:color="auto"/>
                              </w:divBdr>
                              <w:divsChild>
                                <w:div w:id="1374891545">
                                  <w:marLeft w:val="0"/>
                                  <w:marRight w:val="0"/>
                                  <w:marTop w:val="0"/>
                                  <w:marBottom w:val="0"/>
                                  <w:divBdr>
                                    <w:top w:val="none" w:sz="0" w:space="0" w:color="auto"/>
                                    <w:left w:val="none" w:sz="0" w:space="0" w:color="auto"/>
                                    <w:bottom w:val="none" w:sz="0" w:space="0" w:color="auto"/>
                                    <w:right w:val="none" w:sz="0" w:space="0" w:color="auto"/>
                                  </w:divBdr>
                                </w:div>
                                <w:div w:id="245313297">
                                  <w:marLeft w:val="0"/>
                                  <w:marRight w:val="0"/>
                                  <w:marTop w:val="0"/>
                                  <w:marBottom w:val="0"/>
                                  <w:divBdr>
                                    <w:top w:val="none" w:sz="0" w:space="0" w:color="auto"/>
                                    <w:left w:val="none" w:sz="0" w:space="0" w:color="auto"/>
                                    <w:bottom w:val="none" w:sz="0" w:space="0" w:color="auto"/>
                                    <w:right w:val="none" w:sz="0" w:space="0" w:color="auto"/>
                                  </w:divBdr>
                                </w:div>
                              </w:divsChild>
                            </w:div>
                            <w:div w:id="865094056">
                              <w:marLeft w:val="0"/>
                              <w:marRight w:val="0"/>
                              <w:marTop w:val="0"/>
                              <w:marBottom w:val="0"/>
                              <w:divBdr>
                                <w:top w:val="none" w:sz="0" w:space="0" w:color="auto"/>
                                <w:left w:val="none" w:sz="0" w:space="0" w:color="auto"/>
                                <w:bottom w:val="none" w:sz="0" w:space="0" w:color="auto"/>
                                <w:right w:val="none" w:sz="0" w:space="0" w:color="auto"/>
                              </w:divBdr>
                              <w:divsChild>
                                <w:div w:id="634801355">
                                  <w:marLeft w:val="0"/>
                                  <w:marRight w:val="0"/>
                                  <w:marTop w:val="0"/>
                                  <w:marBottom w:val="0"/>
                                  <w:divBdr>
                                    <w:top w:val="none" w:sz="0" w:space="0" w:color="auto"/>
                                    <w:left w:val="none" w:sz="0" w:space="0" w:color="auto"/>
                                    <w:bottom w:val="none" w:sz="0" w:space="0" w:color="auto"/>
                                    <w:right w:val="none" w:sz="0" w:space="0" w:color="auto"/>
                                  </w:divBdr>
                                </w:div>
                                <w:div w:id="86451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6283">
                          <w:marLeft w:val="0"/>
                          <w:marRight w:val="0"/>
                          <w:marTop w:val="0"/>
                          <w:marBottom w:val="0"/>
                          <w:divBdr>
                            <w:top w:val="none" w:sz="0" w:space="0" w:color="auto"/>
                            <w:left w:val="none" w:sz="0" w:space="0" w:color="auto"/>
                            <w:bottom w:val="none" w:sz="0" w:space="0" w:color="auto"/>
                            <w:right w:val="none" w:sz="0" w:space="0" w:color="auto"/>
                          </w:divBdr>
                        </w:div>
                        <w:div w:id="439448843">
                          <w:marLeft w:val="0"/>
                          <w:marRight w:val="0"/>
                          <w:marTop w:val="0"/>
                          <w:marBottom w:val="0"/>
                          <w:divBdr>
                            <w:top w:val="none" w:sz="0" w:space="0" w:color="auto"/>
                            <w:left w:val="none" w:sz="0" w:space="0" w:color="auto"/>
                            <w:bottom w:val="none" w:sz="0" w:space="0" w:color="auto"/>
                            <w:right w:val="none" w:sz="0" w:space="0" w:color="auto"/>
                          </w:divBdr>
                        </w:div>
                        <w:div w:id="1145900591">
                          <w:marLeft w:val="0"/>
                          <w:marRight w:val="0"/>
                          <w:marTop w:val="0"/>
                          <w:marBottom w:val="0"/>
                          <w:divBdr>
                            <w:top w:val="none" w:sz="0" w:space="0" w:color="auto"/>
                            <w:left w:val="none" w:sz="0" w:space="0" w:color="auto"/>
                            <w:bottom w:val="none" w:sz="0" w:space="0" w:color="auto"/>
                            <w:right w:val="none" w:sz="0" w:space="0" w:color="auto"/>
                          </w:divBdr>
                        </w:div>
                        <w:div w:id="733358008">
                          <w:marLeft w:val="0"/>
                          <w:marRight w:val="0"/>
                          <w:marTop w:val="0"/>
                          <w:marBottom w:val="0"/>
                          <w:divBdr>
                            <w:top w:val="none" w:sz="0" w:space="0" w:color="auto"/>
                            <w:left w:val="none" w:sz="0" w:space="0" w:color="auto"/>
                            <w:bottom w:val="none" w:sz="0" w:space="0" w:color="auto"/>
                            <w:right w:val="none" w:sz="0" w:space="0" w:color="auto"/>
                          </w:divBdr>
                        </w:div>
                        <w:div w:id="1388912218">
                          <w:marLeft w:val="0"/>
                          <w:marRight w:val="0"/>
                          <w:marTop w:val="0"/>
                          <w:marBottom w:val="0"/>
                          <w:divBdr>
                            <w:top w:val="none" w:sz="0" w:space="0" w:color="auto"/>
                            <w:left w:val="none" w:sz="0" w:space="0" w:color="auto"/>
                            <w:bottom w:val="none" w:sz="0" w:space="0" w:color="auto"/>
                            <w:right w:val="none" w:sz="0" w:space="0" w:color="auto"/>
                          </w:divBdr>
                        </w:div>
                        <w:div w:id="21174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551433">
      <w:bodyDiv w:val="1"/>
      <w:marLeft w:val="0"/>
      <w:marRight w:val="0"/>
      <w:marTop w:val="0"/>
      <w:marBottom w:val="0"/>
      <w:divBdr>
        <w:top w:val="none" w:sz="0" w:space="0" w:color="auto"/>
        <w:left w:val="none" w:sz="0" w:space="0" w:color="auto"/>
        <w:bottom w:val="none" w:sz="0" w:space="0" w:color="auto"/>
        <w:right w:val="none" w:sz="0" w:space="0" w:color="auto"/>
      </w:divBdr>
    </w:div>
    <w:div w:id="1178230784">
      <w:bodyDiv w:val="1"/>
      <w:marLeft w:val="0"/>
      <w:marRight w:val="0"/>
      <w:marTop w:val="0"/>
      <w:marBottom w:val="0"/>
      <w:divBdr>
        <w:top w:val="none" w:sz="0" w:space="0" w:color="auto"/>
        <w:left w:val="none" w:sz="0" w:space="0" w:color="auto"/>
        <w:bottom w:val="none" w:sz="0" w:space="0" w:color="auto"/>
        <w:right w:val="none" w:sz="0" w:space="0" w:color="auto"/>
      </w:divBdr>
    </w:div>
    <w:div w:id="1229028369">
      <w:bodyDiv w:val="1"/>
      <w:marLeft w:val="0"/>
      <w:marRight w:val="0"/>
      <w:marTop w:val="0"/>
      <w:marBottom w:val="0"/>
      <w:divBdr>
        <w:top w:val="none" w:sz="0" w:space="0" w:color="auto"/>
        <w:left w:val="none" w:sz="0" w:space="0" w:color="auto"/>
        <w:bottom w:val="none" w:sz="0" w:space="0" w:color="auto"/>
        <w:right w:val="none" w:sz="0" w:space="0" w:color="auto"/>
      </w:divBdr>
    </w:div>
    <w:div w:id="1262101265">
      <w:bodyDiv w:val="1"/>
      <w:marLeft w:val="0"/>
      <w:marRight w:val="0"/>
      <w:marTop w:val="0"/>
      <w:marBottom w:val="0"/>
      <w:divBdr>
        <w:top w:val="none" w:sz="0" w:space="0" w:color="auto"/>
        <w:left w:val="none" w:sz="0" w:space="0" w:color="auto"/>
        <w:bottom w:val="none" w:sz="0" w:space="0" w:color="auto"/>
        <w:right w:val="none" w:sz="0" w:space="0" w:color="auto"/>
      </w:divBdr>
    </w:div>
    <w:div w:id="1349989321">
      <w:bodyDiv w:val="1"/>
      <w:marLeft w:val="0"/>
      <w:marRight w:val="0"/>
      <w:marTop w:val="0"/>
      <w:marBottom w:val="0"/>
      <w:divBdr>
        <w:top w:val="none" w:sz="0" w:space="0" w:color="auto"/>
        <w:left w:val="none" w:sz="0" w:space="0" w:color="auto"/>
        <w:bottom w:val="none" w:sz="0" w:space="0" w:color="auto"/>
        <w:right w:val="none" w:sz="0" w:space="0" w:color="auto"/>
      </w:divBdr>
    </w:div>
    <w:div w:id="1438404305">
      <w:bodyDiv w:val="1"/>
      <w:marLeft w:val="0"/>
      <w:marRight w:val="0"/>
      <w:marTop w:val="0"/>
      <w:marBottom w:val="0"/>
      <w:divBdr>
        <w:top w:val="none" w:sz="0" w:space="0" w:color="auto"/>
        <w:left w:val="none" w:sz="0" w:space="0" w:color="auto"/>
        <w:bottom w:val="none" w:sz="0" w:space="0" w:color="auto"/>
        <w:right w:val="none" w:sz="0" w:space="0" w:color="auto"/>
      </w:divBdr>
      <w:divsChild>
        <w:div w:id="2118789058">
          <w:marLeft w:val="0"/>
          <w:marRight w:val="0"/>
          <w:marTop w:val="0"/>
          <w:marBottom w:val="0"/>
          <w:divBdr>
            <w:top w:val="none" w:sz="0" w:space="0" w:color="auto"/>
            <w:left w:val="none" w:sz="0" w:space="0" w:color="auto"/>
            <w:bottom w:val="none" w:sz="0" w:space="0" w:color="auto"/>
            <w:right w:val="none" w:sz="0" w:space="0" w:color="auto"/>
          </w:divBdr>
          <w:divsChild>
            <w:div w:id="2130970331">
              <w:marLeft w:val="0"/>
              <w:marRight w:val="0"/>
              <w:marTop w:val="0"/>
              <w:marBottom w:val="0"/>
              <w:divBdr>
                <w:top w:val="none" w:sz="0" w:space="0" w:color="auto"/>
                <w:left w:val="none" w:sz="0" w:space="0" w:color="auto"/>
                <w:bottom w:val="none" w:sz="0" w:space="0" w:color="auto"/>
                <w:right w:val="none" w:sz="0" w:space="0" w:color="auto"/>
              </w:divBdr>
              <w:divsChild>
                <w:div w:id="765804185">
                  <w:marLeft w:val="-240"/>
                  <w:marRight w:val="-240"/>
                  <w:marTop w:val="0"/>
                  <w:marBottom w:val="0"/>
                  <w:divBdr>
                    <w:top w:val="none" w:sz="0" w:space="0" w:color="auto"/>
                    <w:left w:val="none" w:sz="0" w:space="0" w:color="auto"/>
                    <w:bottom w:val="none" w:sz="0" w:space="0" w:color="auto"/>
                    <w:right w:val="none" w:sz="0" w:space="0" w:color="auto"/>
                  </w:divBdr>
                  <w:divsChild>
                    <w:div w:id="100401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849593">
      <w:bodyDiv w:val="1"/>
      <w:marLeft w:val="0"/>
      <w:marRight w:val="0"/>
      <w:marTop w:val="0"/>
      <w:marBottom w:val="0"/>
      <w:divBdr>
        <w:top w:val="none" w:sz="0" w:space="0" w:color="auto"/>
        <w:left w:val="none" w:sz="0" w:space="0" w:color="auto"/>
        <w:bottom w:val="none" w:sz="0" w:space="0" w:color="auto"/>
        <w:right w:val="none" w:sz="0" w:space="0" w:color="auto"/>
      </w:divBdr>
    </w:div>
    <w:div w:id="1482425471">
      <w:bodyDiv w:val="1"/>
      <w:marLeft w:val="0"/>
      <w:marRight w:val="0"/>
      <w:marTop w:val="0"/>
      <w:marBottom w:val="0"/>
      <w:divBdr>
        <w:top w:val="none" w:sz="0" w:space="0" w:color="auto"/>
        <w:left w:val="none" w:sz="0" w:space="0" w:color="auto"/>
        <w:bottom w:val="none" w:sz="0" w:space="0" w:color="auto"/>
        <w:right w:val="none" w:sz="0" w:space="0" w:color="auto"/>
      </w:divBdr>
    </w:div>
    <w:div w:id="1499538814">
      <w:bodyDiv w:val="1"/>
      <w:marLeft w:val="0"/>
      <w:marRight w:val="0"/>
      <w:marTop w:val="0"/>
      <w:marBottom w:val="0"/>
      <w:divBdr>
        <w:top w:val="none" w:sz="0" w:space="0" w:color="auto"/>
        <w:left w:val="none" w:sz="0" w:space="0" w:color="auto"/>
        <w:bottom w:val="none" w:sz="0" w:space="0" w:color="auto"/>
        <w:right w:val="none" w:sz="0" w:space="0" w:color="auto"/>
      </w:divBdr>
      <w:divsChild>
        <w:div w:id="9534141">
          <w:marLeft w:val="0"/>
          <w:marRight w:val="0"/>
          <w:marTop w:val="0"/>
          <w:marBottom w:val="0"/>
          <w:divBdr>
            <w:top w:val="none" w:sz="0" w:space="0" w:color="auto"/>
            <w:left w:val="none" w:sz="0" w:space="0" w:color="auto"/>
            <w:bottom w:val="none" w:sz="0" w:space="0" w:color="auto"/>
            <w:right w:val="none" w:sz="0" w:space="0" w:color="auto"/>
          </w:divBdr>
          <w:divsChild>
            <w:div w:id="1368140956">
              <w:marLeft w:val="0"/>
              <w:marRight w:val="0"/>
              <w:marTop w:val="0"/>
              <w:marBottom w:val="0"/>
              <w:divBdr>
                <w:top w:val="none" w:sz="0" w:space="0" w:color="auto"/>
                <w:left w:val="none" w:sz="0" w:space="0" w:color="auto"/>
                <w:bottom w:val="none" w:sz="0" w:space="0" w:color="auto"/>
                <w:right w:val="none" w:sz="0" w:space="0" w:color="auto"/>
              </w:divBdr>
              <w:divsChild>
                <w:div w:id="1130978553">
                  <w:marLeft w:val="0"/>
                  <w:marRight w:val="0"/>
                  <w:marTop w:val="0"/>
                  <w:marBottom w:val="0"/>
                  <w:divBdr>
                    <w:top w:val="none" w:sz="0" w:space="0" w:color="auto"/>
                    <w:left w:val="none" w:sz="0" w:space="0" w:color="auto"/>
                    <w:bottom w:val="none" w:sz="0" w:space="0" w:color="auto"/>
                    <w:right w:val="none" w:sz="0" w:space="0" w:color="auto"/>
                  </w:divBdr>
                  <w:divsChild>
                    <w:div w:id="157550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431893">
      <w:bodyDiv w:val="1"/>
      <w:marLeft w:val="0"/>
      <w:marRight w:val="0"/>
      <w:marTop w:val="0"/>
      <w:marBottom w:val="0"/>
      <w:divBdr>
        <w:top w:val="none" w:sz="0" w:space="0" w:color="auto"/>
        <w:left w:val="none" w:sz="0" w:space="0" w:color="auto"/>
        <w:bottom w:val="none" w:sz="0" w:space="0" w:color="auto"/>
        <w:right w:val="none" w:sz="0" w:space="0" w:color="auto"/>
      </w:divBdr>
    </w:div>
    <w:div w:id="1603219972">
      <w:bodyDiv w:val="1"/>
      <w:marLeft w:val="0"/>
      <w:marRight w:val="0"/>
      <w:marTop w:val="0"/>
      <w:marBottom w:val="0"/>
      <w:divBdr>
        <w:top w:val="none" w:sz="0" w:space="0" w:color="auto"/>
        <w:left w:val="none" w:sz="0" w:space="0" w:color="auto"/>
        <w:bottom w:val="none" w:sz="0" w:space="0" w:color="auto"/>
        <w:right w:val="none" w:sz="0" w:space="0" w:color="auto"/>
      </w:divBdr>
      <w:divsChild>
        <w:div w:id="346030459">
          <w:marLeft w:val="0"/>
          <w:marRight w:val="0"/>
          <w:marTop w:val="0"/>
          <w:marBottom w:val="0"/>
          <w:divBdr>
            <w:top w:val="none" w:sz="0" w:space="0" w:color="auto"/>
            <w:left w:val="none" w:sz="0" w:space="0" w:color="auto"/>
            <w:bottom w:val="none" w:sz="0" w:space="0" w:color="auto"/>
            <w:right w:val="none" w:sz="0" w:space="0" w:color="auto"/>
          </w:divBdr>
          <w:divsChild>
            <w:div w:id="1362317168">
              <w:marLeft w:val="0"/>
              <w:marRight w:val="0"/>
              <w:marTop w:val="0"/>
              <w:marBottom w:val="0"/>
              <w:divBdr>
                <w:top w:val="none" w:sz="0" w:space="0" w:color="auto"/>
                <w:left w:val="none" w:sz="0" w:space="0" w:color="auto"/>
                <w:bottom w:val="none" w:sz="0" w:space="0" w:color="auto"/>
                <w:right w:val="none" w:sz="0" w:space="0" w:color="auto"/>
              </w:divBdr>
              <w:divsChild>
                <w:div w:id="2031754945">
                  <w:marLeft w:val="-240"/>
                  <w:marRight w:val="-240"/>
                  <w:marTop w:val="0"/>
                  <w:marBottom w:val="0"/>
                  <w:divBdr>
                    <w:top w:val="none" w:sz="0" w:space="0" w:color="auto"/>
                    <w:left w:val="none" w:sz="0" w:space="0" w:color="auto"/>
                    <w:bottom w:val="none" w:sz="0" w:space="0" w:color="auto"/>
                    <w:right w:val="none" w:sz="0" w:space="0" w:color="auto"/>
                  </w:divBdr>
                  <w:divsChild>
                    <w:div w:id="164773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709973">
      <w:bodyDiv w:val="1"/>
      <w:marLeft w:val="0"/>
      <w:marRight w:val="0"/>
      <w:marTop w:val="0"/>
      <w:marBottom w:val="0"/>
      <w:divBdr>
        <w:top w:val="none" w:sz="0" w:space="0" w:color="auto"/>
        <w:left w:val="none" w:sz="0" w:space="0" w:color="auto"/>
        <w:bottom w:val="none" w:sz="0" w:space="0" w:color="auto"/>
        <w:right w:val="none" w:sz="0" w:space="0" w:color="auto"/>
      </w:divBdr>
    </w:div>
    <w:div w:id="1656764343">
      <w:bodyDiv w:val="1"/>
      <w:marLeft w:val="0"/>
      <w:marRight w:val="0"/>
      <w:marTop w:val="0"/>
      <w:marBottom w:val="0"/>
      <w:divBdr>
        <w:top w:val="none" w:sz="0" w:space="0" w:color="auto"/>
        <w:left w:val="none" w:sz="0" w:space="0" w:color="auto"/>
        <w:bottom w:val="none" w:sz="0" w:space="0" w:color="auto"/>
        <w:right w:val="none" w:sz="0" w:space="0" w:color="auto"/>
      </w:divBdr>
    </w:div>
    <w:div w:id="1657758254">
      <w:bodyDiv w:val="1"/>
      <w:marLeft w:val="0"/>
      <w:marRight w:val="0"/>
      <w:marTop w:val="0"/>
      <w:marBottom w:val="0"/>
      <w:divBdr>
        <w:top w:val="none" w:sz="0" w:space="0" w:color="auto"/>
        <w:left w:val="none" w:sz="0" w:space="0" w:color="auto"/>
        <w:bottom w:val="none" w:sz="0" w:space="0" w:color="auto"/>
        <w:right w:val="none" w:sz="0" w:space="0" w:color="auto"/>
      </w:divBdr>
    </w:div>
    <w:div w:id="1676109960">
      <w:bodyDiv w:val="1"/>
      <w:marLeft w:val="0"/>
      <w:marRight w:val="0"/>
      <w:marTop w:val="0"/>
      <w:marBottom w:val="0"/>
      <w:divBdr>
        <w:top w:val="none" w:sz="0" w:space="0" w:color="auto"/>
        <w:left w:val="none" w:sz="0" w:space="0" w:color="auto"/>
        <w:bottom w:val="none" w:sz="0" w:space="0" w:color="auto"/>
        <w:right w:val="none" w:sz="0" w:space="0" w:color="auto"/>
      </w:divBdr>
    </w:div>
    <w:div w:id="1680692525">
      <w:bodyDiv w:val="1"/>
      <w:marLeft w:val="0"/>
      <w:marRight w:val="0"/>
      <w:marTop w:val="0"/>
      <w:marBottom w:val="0"/>
      <w:divBdr>
        <w:top w:val="none" w:sz="0" w:space="0" w:color="auto"/>
        <w:left w:val="none" w:sz="0" w:space="0" w:color="auto"/>
        <w:bottom w:val="none" w:sz="0" w:space="0" w:color="auto"/>
        <w:right w:val="none" w:sz="0" w:space="0" w:color="auto"/>
      </w:divBdr>
    </w:div>
    <w:div w:id="1741707323">
      <w:bodyDiv w:val="1"/>
      <w:marLeft w:val="0"/>
      <w:marRight w:val="0"/>
      <w:marTop w:val="0"/>
      <w:marBottom w:val="0"/>
      <w:divBdr>
        <w:top w:val="none" w:sz="0" w:space="0" w:color="auto"/>
        <w:left w:val="none" w:sz="0" w:space="0" w:color="auto"/>
        <w:bottom w:val="none" w:sz="0" w:space="0" w:color="auto"/>
        <w:right w:val="none" w:sz="0" w:space="0" w:color="auto"/>
      </w:divBdr>
    </w:div>
    <w:div w:id="1793133758">
      <w:bodyDiv w:val="1"/>
      <w:marLeft w:val="0"/>
      <w:marRight w:val="0"/>
      <w:marTop w:val="0"/>
      <w:marBottom w:val="0"/>
      <w:divBdr>
        <w:top w:val="none" w:sz="0" w:space="0" w:color="auto"/>
        <w:left w:val="none" w:sz="0" w:space="0" w:color="auto"/>
        <w:bottom w:val="none" w:sz="0" w:space="0" w:color="auto"/>
        <w:right w:val="none" w:sz="0" w:space="0" w:color="auto"/>
      </w:divBdr>
    </w:div>
    <w:div w:id="1837573180">
      <w:bodyDiv w:val="1"/>
      <w:marLeft w:val="0"/>
      <w:marRight w:val="0"/>
      <w:marTop w:val="0"/>
      <w:marBottom w:val="0"/>
      <w:divBdr>
        <w:top w:val="none" w:sz="0" w:space="0" w:color="auto"/>
        <w:left w:val="none" w:sz="0" w:space="0" w:color="auto"/>
        <w:bottom w:val="none" w:sz="0" w:space="0" w:color="auto"/>
        <w:right w:val="none" w:sz="0" w:space="0" w:color="auto"/>
      </w:divBdr>
    </w:div>
    <w:div w:id="1853450196">
      <w:bodyDiv w:val="1"/>
      <w:marLeft w:val="0"/>
      <w:marRight w:val="0"/>
      <w:marTop w:val="0"/>
      <w:marBottom w:val="0"/>
      <w:divBdr>
        <w:top w:val="none" w:sz="0" w:space="0" w:color="auto"/>
        <w:left w:val="none" w:sz="0" w:space="0" w:color="auto"/>
        <w:bottom w:val="none" w:sz="0" w:space="0" w:color="auto"/>
        <w:right w:val="none" w:sz="0" w:space="0" w:color="auto"/>
      </w:divBdr>
    </w:div>
    <w:div w:id="1919288915">
      <w:bodyDiv w:val="1"/>
      <w:marLeft w:val="0"/>
      <w:marRight w:val="0"/>
      <w:marTop w:val="0"/>
      <w:marBottom w:val="0"/>
      <w:divBdr>
        <w:top w:val="none" w:sz="0" w:space="0" w:color="auto"/>
        <w:left w:val="none" w:sz="0" w:space="0" w:color="auto"/>
        <w:bottom w:val="none" w:sz="0" w:space="0" w:color="auto"/>
        <w:right w:val="none" w:sz="0" w:space="0" w:color="auto"/>
      </w:divBdr>
    </w:div>
    <w:div w:id="1969043332">
      <w:bodyDiv w:val="1"/>
      <w:marLeft w:val="0"/>
      <w:marRight w:val="0"/>
      <w:marTop w:val="0"/>
      <w:marBottom w:val="0"/>
      <w:divBdr>
        <w:top w:val="none" w:sz="0" w:space="0" w:color="auto"/>
        <w:left w:val="none" w:sz="0" w:space="0" w:color="auto"/>
        <w:bottom w:val="none" w:sz="0" w:space="0" w:color="auto"/>
        <w:right w:val="none" w:sz="0" w:space="0" w:color="auto"/>
      </w:divBdr>
    </w:div>
    <w:div w:id="2027291951">
      <w:bodyDiv w:val="1"/>
      <w:marLeft w:val="0"/>
      <w:marRight w:val="0"/>
      <w:marTop w:val="0"/>
      <w:marBottom w:val="0"/>
      <w:divBdr>
        <w:top w:val="none" w:sz="0" w:space="0" w:color="auto"/>
        <w:left w:val="none" w:sz="0" w:space="0" w:color="auto"/>
        <w:bottom w:val="none" w:sz="0" w:space="0" w:color="auto"/>
        <w:right w:val="none" w:sz="0" w:space="0" w:color="auto"/>
      </w:divBdr>
    </w:div>
    <w:div w:id="203557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mass.gov/files/documents/2018/12/31/jud-lib-105cmr100.pdf" TargetMode="External"/></Relationships>
</file>

<file path=word/theme/theme1.xml><?xml version="1.0" encoding="utf-8"?>
<a:theme xmlns:a="http://schemas.openxmlformats.org/drawingml/2006/main" name="Office Them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95FDA-5EE7-4A51-8FEB-72A0BBA9A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15</Pages>
  <Words>5404</Words>
  <Characters>30804</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Lynn</dc:creator>
  <cp:lastModifiedBy>Cioffari-Macphee, Diana (DPH)</cp:lastModifiedBy>
  <cp:revision>16</cp:revision>
  <cp:lastPrinted>2020-12-13T15:58:00Z</cp:lastPrinted>
  <dcterms:created xsi:type="dcterms:W3CDTF">2022-01-07T20:41:00Z</dcterms:created>
  <dcterms:modified xsi:type="dcterms:W3CDTF">2022-01-07T21:16:00Z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