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Wellman Healthcare Group, Inc.&#10;Applicant Address  250 Shearer Street Palmer, MA &#10;Filing Date November 17, 2021&#10;Type of DoN Application Long Term Care Substantial Capital Expenditure &#10;Total Value $18,838,384.00&#10;Project Number PHC-21052014-LE&#10;Ten Taxpayer Group (TTG) None &#10;Community Health Initiative (CHI)  $565,151.52&#10;Staff Recommendation Approval &#10;Public Health Council February 9, 2022&#10;Project Summary and Regulatory Review&#10;Wellman Healthcare Group, Inc. (Applicant), submitted an application for a substantial capital expenditure to expand their long-term care facility through construction of a 46,225 gross square foot (gsf) replacement facility with 82 beds (of which 21 will be new beds). The replacement facility includes: two floors each with 41 beds including 20 semiprivate rooms and one private room. The second floor will be a locked memory care unit; plus, an enclosed exterior garden on the first floor and a roof patio. The capital expenditure for the Proposed Project is $18,838,384.00; and the Community Health Initiatives (CHI) commitment is $565,151.52.&#10;&#10;This Application for Determination of Need (DoN) falls within the definition of Substantial Capital Expenditure, which are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The Department did not receive any written comments on this application, nor were any Ten&#10;Taxpayer Groups formed.&#10;"/>
      </w:tblPr>
      <w:tblGrid>
        <w:gridCol w:w="4607"/>
        <w:gridCol w:w="4743"/>
      </w:tblGrid>
      <w:tr w:rsidR="00276DC7" w:rsidRPr="007B1C0B" w14:paraId="5EB01BCA" w14:textId="77777777" w:rsidTr="008E1C0D">
        <w:trPr>
          <w:trHeight w:val="350"/>
          <w:tblHeader/>
        </w:trPr>
        <w:tc>
          <w:tcPr>
            <w:tcW w:w="0" w:type="auto"/>
            <w:shd w:val="clear" w:color="auto" w:fill="D9E2F3" w:themeFill="accent1" w:themeFillTint="33"/>
            <w:vAlign w:val="center"/>
          </w:tcPr>
          <w:p w14:paraId="7EFE15CA" w14:textId="1C986F11" w:rsidR="00276DC7" w:rsidRPr="00515206" w:rsidRDefault="00276DC7" w:rsidP="00A67E02">
            <w:pPr>
              <w:pStyle w:val="NoSpacing"/>
              <w:ind w:right="540"/>
              <w:contextualSpacing/>
              <w:jc w:val="center"/>
              <w:rPr>
                <w:rFonts w:cstheme="minorHAnsi"/>
                <w:b/>
                <w:sz w:val="24"/>
                <w:szCs w:val="24"/>
              </w:rPr>
            </w:pPr>
            <w:r w:rsidRPr="00515206">
              <w:rPr>
                <w:rFonts w:cstheme="minorHAnsi"/>
                <w:b/>
                <w:sz w:val="24"/>
                <w:szCs w:val="24"/>
              </w:rPr>
              <w:t>STAFF REPORT TO THE PUBLIC HEALTH COUNCIL FOR A DETERMINATION OF NEED</w:t>
            </w:r>
          </w:p>
        </w:tc>
        <w:tc>
          <w:tcPr>
            <w:tcW w:w="0" w:type="auto"/>
            <w:shd w:val="clear" w:color="auto" w:fill="D9E2F3" w:themeFill="accent1" w:themeFillTint="33"/>
            <w:vAlign w:val="center"/>
          </w:tcPr>
          <w:p w14:paraId="56C5007A" w14:textId="675BFD41" w:rsidR="00276DC7" w:rsidRPr="00515206" w:rsidRDefault="00276DC7" w:rsidP="00A67E02">
            <w:pPr>
              <w:pStyle w:val="Header"/>
              <w:ind w:right="540"/>
              <w:contextualSpacing/>
              <w:jc w:val="center"/>
              <w:rPr>
                <w:rFonts w:cstheme="minorHAnsi"/>
                <w:b/>
                <w:sz w:val="24"/>
                <w:szCs w:val="24"/>
              </w:rPr>
            </w:pPr>
          </w:p>
        </w:tc>
      </w:tr>
      <w:tr w:rsidR="00DF2366" w:rsidRPr="007B1C0B" w14:paraId="45C24D2A" w14:textId="77777777" w:rsidTr="00276DC7">
        <w:trPr>
          <w:trHeight w:val="413"/>
        </w:trPr>
        <w:tc>
          <w:tcPr>
            <w:tcW w:w="4401" w:type="dxa"/>
            <w:shd w:val="clear" w:color="auto" w:fill="auto"/>
            <w:vAlign w:val="center"/>
          </w:tcPr>
          <w:p w14:paraId="2526FB9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Name </w:t>
            </w:r>
          </w:p>
        </w:tc>
        <w:tc>
          <w:tcPr>
            <w:tcW w:w="4949" w:type="dxa"/>
            <w:shd w:val="clear" w:color="auto" w:fill="auto"/>
            <w:vAlign w:val="center"/>
          </w:tcPr>
          <w:p w14:paraId="638D7B5B" w14:textId="47850E7A" w:rsidR="0004645C" w:rsidRPr="00515206" w:rsidRDefault="00D344EB" w:rsidP="00A67E02">
            <w:pPr>
              <w:ind w:right="540"/>
              <w:contextualSpacing/>
              <w:rPr>
                <w:rFonts w:cstheme="minorHAnsi"/>
                <w:sz w:val="24"/>
                <w:szCs w:val="24"/>
              </w:rPr>
            </w:pPr>
            <w:r w:rsidRPr="00D344EB">
              <w:rPr>
                <w:rFonts w:cstheme="minorHAnsi"/>
                <w:sz w:val="24"/>
                <w:szCs w:val="24"/>
              </w:rPr>
              <w:t>Wellman Healthcare Group, Inc.</w:t>
            </w:r>
          </w:p>
        </w:tc>
      </w:tr>
      <w:tr w:rsidR="00DF2366" w:rsidRPr="007B1C0B" w14:paraId="3239374E" w14:textId="77777777" w:rsidTr="00276DC7">
        <w:trPr>
          <w:trHeight w:val="357"/>
        </w:trPr>
        <w:tc>
          <w:tcPr>
            <w:tcW w:w="4401" w:type="dxa"/>
            <w:shd w:val="clear" w:color="auto" w:fill="auto"/>
            <w:vAlign w:val="center"/>
          </w:tcPr>
          <w:p w14:paraId="4A172ECE"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Applicant Address </w:t>
            </w:r>
          </w:p>
        </w:tc>
        <w:tc>
          <w:tcPr>
            <w:tcW w:w="4949" w:type="dxa"/>
            <w:shd w:val="clear" w:color="auto" w:fill="auto"/>
            <w:vAlign w:val="center"/>
          </w:tcPr>
          <w:p w14:paraId="1430E120" w14:textId="1B988966" w:rsidR="0004645C" w:rsidRPr="00515206" w:rsidRDefault="00C4391B" w:rsidP="00DF2366">
            <w:pPr>
              <w:ind w:right="540"/>
              <w:contextualSpacing/>
              <w:rPr>
                <w:rFonts w:cstheme="minorHAnsi"/>
                <w:sz w:val="24"/>
                <w:szCs w:val="24"/>
                <w:lang w:val="fr-FR"/>
              </w:rPr>
            </w:pPr>
            <w:r w:rsidRPr="00C4391B">
              <w:rPr>
                <w:rFonts w:cstheme="minorHAnsi"/>
                <w:sz w:val="24"/>
                <w:szCs w:val="24"/>
                <w:lang w:val="fr-FR"/>
              </w:rPr>
              <w:t xml:space="preserve">250 </w:t>
            </w:r>
            <w:proofErr w:type="spellStart"/>
            <w:r w:rsidRPr="00C4391B">
              <w:rPr>
                <w:rFonts w:cstheme="minorHAnsi"/>
                <w:sz w:val="24"/>
                <w:szCs w:val="24"/>
                <w:lang w:val="fr-FR"/>
              </w:rPr>
              <w:t>Shearer</w:t>
            </w:r>
            <w:proofErr w:type="spellEnd"/>
            <w:r w:rsidRPr="00C4391B">
              <w:rPr>
                <w:rFonts w:cstheme="minorHAnsi"/>
                <w:sz w:val="24"/>
                <w:szCs w:val="24"/>
                <w:lang w:val="fr-FR"/>
              </w:rPr>
              <w:t xml:space="preserve"> Street</w:t>
            </w:r>
            <w:r>
              <w:rPr>
                <w:rFonts w:cstheme="minorHAnsi"/>
                <w:sz w:val="24"/>
                <w:szCs w:val="24"/>
                <w:lang w:val="fr-FR"/>
              </w:rPr>
              <w:t xml:space="preserve"> Palmer</w:t>
            </w:r>
            <w:r w:rsidR="00BE45D2">
              <w:rPr>
                <w:rFonts w:cstheme="minorHAnsi"/>
                <w:sz w:val="24"/>
                <w:szCs w:val="24"/>
                <w:lang w:val="fr-FR"/>
              </w:rPr>
              <w:t xml:space="preserve">, MA </w:t>
            </w:r>
          </w:p>
        </w:tc>
      </w:tr>
      <w:tr w:rsidR="00DF2366" w:rsidRPr="007B1C0B" w14:paraId="7699AB21" w14:textId="77777777" w:rsidTr="00276DC7">
        <w:trPr>
          <w:trHeight w:val="377"/>
        </w:trPr>
        <w:tc>
          <w:tcPr>
            <w:tcW w:w="4401" w:type="dxa"/>
            <w:shd w:val="clear" w:color="auto" w:fill="auto"/>
            <w:vAlign w:val="center"/>
          </w:tcPr>
          <w:p w14:paraId="580B8B65" w14:textId="77777777" w:rsidR="0004645C" w:rsidRPr="00515206" w:rsidRDefault="0004645C" w:rsidP="00A67E02">
            <w:pPr>
              <w:ind w:right="540"/>
              <w:contextualSpacing/>
              <w:rPr>
                <w:rFonts w:cstheme="minorHAnsi"/>
                <w:sz w:val="24"/>
                <w:szCs w:val="24"/>
              </w:rPr>
            </w:pPr>
            <w:r w:rsidRPr="00515206">
              <w:rPr>
                <w:rFonts w:cstheme="minorHAnsi"/>
                <w:sz w:val="24"/>
                <w:szCs w:val="24"/>
              </w:rPr>
              <w:t>Filing Date</w:t>
            </w:r>
          </w:p>
        </w:tc>
        <w:tc>
          <w:tcPr>
            <w:tcW w:w="4949" w:type="dxa"/>
            <w:shd w:val="clear" w:color="auto" w:fill="auto"/>
            <w:vAlign w:val="center"/>
          </w:tcPr>
          <w:p w14:paraId="4DEF7649" w14:textId="745DDFFD" w:rsidR="0004645C" w:rsidRPr="00515206" w:rsidRDefault="008B66C5" w:rsidP="00A67E02">
            <w:pPr>
              <w:ind w:right="540"/>
              <w:contextualSpacing/>
              <w:rPr>
                <w:rFonts w:cstheme="minorHAnsi"/>
                <w:sz w:val="24"/>
                <w:szCs w:val="24"/>
              </w:rPr>
            </w:pPr>
            <w:r>
              <w:rPr>
                <w:rFonts w:cstheme="minorHAnsi"/>
                <w:sz w:val="24"/>
                <w:szCs w:val="24"/>
              </w:rPr>
              <w:t>November 17</w:t>
            </w:r>
            <w:r w:rsidR="00BE45D2">
              <w:rPr>
                <w:rFonts w:cstheme="minorHAnsi"/>
                <w:sz w:val="24"/>
                <w:szCs w:val="24"/>
              </w:rPr>
              <w:t>, 2021</w:t>
            </w:r>
          </w:p>
        </w:tc>
      </w:tr>
      <w:tr w:rsidR="00DF2366" w:rsidRPr="007B1C0B" w14:paraId="03895EBE" w14:textId="77777777" w:rsidTr="00276DC7">
        <w:trPr>
          <w:trHeight w:val="350"/>
        </w:trPr>
        <w:tc>
          <w:tcPr>
            <w:tcW w:w="4401" w:type="dxa"/>
            <w:shd w:val="clear" w:color="auto" w:fill="auto"/>
            <w:vAlign w:val="center"/>
          </w:tcPr>
          <w:p w14:paraId="0046FE50" w14:textId="77777777" w:rsidR="0004645C" w:rsidRPr="00515206" w:rsidRDefault="0004645C" w:rsidP="00A67E02">
            <w:pPr>
              <w:ind w:right="540"/>
              <w:contextualSpacing/>
              <w:rPr>
                <w:rFonts w:cstheme="minorHAnsi"/>
                <w:sz w:val="24"/>
                <w:szCs w:val="24"/>
              </w:rPr>
            </w:pPr>
            <w:r w:rsidRPr="00515206">
              <w:rPr>
                <w:rFonts w:cstheme="minorHAnsi"/>
                <w:sz w:val="24"/>
                <w:szCs w:val="24"/>
              </w:rPr>
              <w:t xml:space="preserve">Type of </w:t>
            </w:r>
            <w:proofErr w:type="spellStart"/>
            <w:r w:rsidRPr="00515206">
              <w:rPr>
                <w:rFonts w:cstheme="minorHAnsi"/>
                <w:sz w:val="24"/>
                <w:szCs w:val="24"/>
              </w:rPr>
              <w:t>DoN</w:t>
            </w:r>
            <w:proofErr w:type="spellEnd"/>
            <w:r w:rsidRPr="00515206">
              <w:rPr>
                <w:rFonts w:cstheme="minorHAnsi"/>
                <w:sz w:val="24"/>
                <w:szCs w:val="24"/>
              </w:rPr>
              <w:t xml:space="preserve"> Application</w:t>
            </w:r>
          </w:p>
        </w:tc>
        <w:tc>
          <w:tcPr>
            <w:tcW w:w="4949" w:type="dxa"/>
            <w:shd w:val="clear" w:color="auto" w:fill="auto"/>
            <w:vAlign w:val="center"/>
          </w:tcPr>
          <w:p w14:paraId="4093DCC6" w14:textId="0285EB9E" w:rsidR="0004645C" w:rsidRPr="00515206" w:rsidRDefault="001D124B" w:rsidP="00A67E02">
            <w:pPr>
              <w:ind w:right="540"/>
              <w:contextualSpacing/>
              <w:rPr>
                <w:rFonts w:cstheme="minorHAnsi"/>
                <w:sz w:val="24"/>
                <w:szCs w:val="24"/>
              </w:rPr>
            </w:pPr>
            <w:r>
              <w:rPr>
                <w:rFonts w:cstheme="minorHAnsi"/>
                <w:sz w:val="24"/>
                <w:szCs w:val="24"/>
              </w:rPr>
              <w:t xml:space="preserve">Long Term Care </w:t>
            </w:r>
            <w:r w:rsidR="00BE45D2">
              <w:rPr>
                <w:rFonts w:cstheme="minorHAnsi"/>
                <w:sz w:val="24"/>
                <w:szCs w:val="24"/>
              </w:rPr>
              <w:t xml:space="preserve">Substantial Capital Expenditure </w:t>
            </w:r>
          </w:p>
        </w:tc>
      </w:tr>
      <w:tr w:rsidR="00DF2366" w:rsidRPr="007B1C0B" w14:paraId="0465C8F3" w14:textId="77777777" w:rsidTr="00276DC7">
        <w:trPr>
          <w:trHeight w:val="350"/>
        </w:trPr>
        <w:tc>
          <w:tcPr>
            <w:tcW w:w="4401" w:type="dxa"/>
            <w:shd w:val="clear" w:color="auto" w:fill="auto"/>
            <w:vAlign w:val="center"/>
          </w:tcPr>
          <w:p w14:paraId="48044516" w14:textId="77777777" w:rsidR="0004645C" w:rsidRPr="00515206" w:rsidRDefault="0004645C" w:rsidP="00A67E02">
            <w:pPr>
              <w:ind w:right="540"/>
              <w:contextualSpacing/>
              <w:rPr>
                <w:rFonts w:cstheme="minorHAnsi"/>
                <w:sz w:val="24"/>
                <w:szCs w:val="24"/>
              </w:rPr>
            </w:pPr>
            <w:r w:rsidRPr="00515206">
              <w:rPr>
                <w:rFonts w:cstheme="minorHAnsi"/>
                <w:sz w:val="24"/>
                <w:szCs w:val="24"/>
              </w:rPr>
              <w:t>Total Value</w:t>
            </w:r>
          </w:p>
        </w:tc>
        <w:tc>
          <w:tcPr>
            <w:tcW w:w="4949" w:type="dxa"/>
            <w:shd w:val="clear" w:color="auto" w:fill="auto"/>
            <w:vAlign w:val="center"/>
          </w:tcPr>
          <w:p w14:paraId="66DB4152" w14:textId="04DA4C09" w:rsidR="0004645C" w:rsidRPr="00515206" w:rsidRDefault="00BE45D2" w:rsidP="00A67E02">
            <w:pPr>
              <w:ind w:right="540"/>
              <w:contextualSpacing/>
              <w:rPr>
                <w:rFonts w:cstheme="minorHAnsi"/>
                <w:sz w:val="24"/>
                <w:szCs w:val="24"/>
              </w:rPr>
            </w:pPr>
            <w:r>
              <w:rPr>
                <w:rFonts w:cstheme="minorHAnsi"/>
                <w:sz w:val="24"/>
                <w:szCs w:val="24"/>
              </w:rPr>
              <w:t>$</w:t>
            </w:r>
            <w:r w:rsidR="00B81008" w:rsidRPr="00B81008">
              <w:rPr>
                <w:rFonts w:cstheme="minorHAnsi"/>
                <w:sz w:val="24"/>
                <w:szCs w:val="24"/>
              </w:rPr>
              <w:t>18,838,384.00</w:t>
            </w:r>
          </w:p>
        </w:tc>
      </w:tr>
      <w:tr w:rsidR="00DF2366" w:rsidRPr="007B1C0B" w14:paraId="29718D41" w14:textId="77777777" w:rsidTr="00276DC7">
        <w:trPr>
          <w:trHeight w:val="350"/>
        </w:trPr>
        <w:tc>
          <w:tcPr>
            <w:tcW w:w="4401" w:type="dxa"/>
            <w:shd w:val="clear" w:color="auto" w:fill="auto"/>
            <w:vAlign w:val="center"/>
          </w:tcPr>
          <w:p w14:paraId="4FDAC3CE" w14:textId="77777777" w:rsidR="0004645C" w:rsidRPr="00515206" w:rsidRDefault="0004645C" w:rsidP="00A67E02">
            <w:pPr>
              <w:ind w:right="540"/>
              <w:contextualSpacing/>
              <w:rPr>
                <w:rFonts w:cstheme="minorHAnsi"/>
                <w:sz w:val="24"/>
                <w:szCs w:val="24"/>
              </w:rPr>
            </w:pPr>
            <w:r w:rsidRPr="00515206">
              <w:rPr>
                <w:rFonts w:cstheme="minorHAnsi"/>
                <w:sz w:val="24"/>
                <w:szCs w:val="24"/>
              </w:rPr>
              <w:t>Project Number</w:t>
            </w:r>
          </w:p>
        </w:tc>
        <w:tc>
          <w:tcPr>
            <w:tcW w:w="4949" w:type="dxa"/>
            <w:shd w:val="clear" w:color="auto" w:fill="auto"/>
            <w:vAlign w:val="center"/>
          </w:tcPr>
          <w:p w14:paraId="16969227" w14:textId="6900AB86" w:rsidR="0004645C" w:rsidRPr="00515206" w:rsidRDefault="00DB3E1C" w:rsidP="00A67E02">
            <w:pPr>
              <w:ind w:right="540"/>
              <w:contextualSpacing/>
              <w:rPr>
                <w:rFonts w:cstheme="minorHAnsi"/>
                <w:sz w:val="24"/>
                <w:szCs w:val="24"/>
              </w:rPr>
            </w:pPr>
            <w:r w:rsidRPr="00DB3E1C">
              <w:rPr>
                <w:rFonts w:cstheme="minorHAnsi"/>
                <w:sz w:val="24"/>
                <w:szCs w:val="24"/>
              </w:rPr>
              <w:t>PHC-21052014-LE</w:t>
            </w:r>
          </w:p>
        </w:tc>
      </w:tr>
      <w:tr w:rsidR="00DF2366" w:rsidRPr="007B1C0B" w14:paraId="03E9F91E" w14:textId="77777777" w:rsidTr="00276DC7">
        <w:trPr>
          <w:trHeight w:val="350"/>
        </w:trPr>
        <w:tc>
          <w:tcPr>
            <w:tcW w:w="4401" w:type="dxa"/>
            <w:shd w:val="clear" w:color="auto" w:fill="auto"/>
            <w:vAlign w:val="center"/>
          </w:tcPr>
          <w:p w14:paraId="0444BB1A" w14:textId="77777777" w:rsidR="0004645C" w:rsidRPr="00515206" w:rsidRDefault="0004645C" w:rsidP="00A67E02">
            <w:pPr>
              <w:ind w:right="540"/>
              <w:contextualSpacing/>
              <w:rPr>
                <w:rFonts w:cstheme="minorHAnsi"/>
                <w:sz w:val="24"/>
                <w:szCs w:val="24"/>
              </w:rPr>
            </w:pPr>
            <w:r w:rsidRPr="00515206">
              <w:rPr>
                <w:rFonts w:cstheme="minorHAnsi"/>
                <w:sz w:val="24"/>
                <w:szCs w:val="24"/>
              </w:rPr>
              <w:t>Ten Taxpayer Group (TTG)</w:t>
            </w:r>
          </w:p>
        </w:tc>
        <w:tc>
          <w:tcPr>
            <w:tcW w:w="4949" w:type="dxa"/>
            <w:shd w:val="clear" w:color="auto" w:fill="auto"/>
            <w:vAlign w:val="center"/>
          </w:tcPr>
          <w:p w14:paraId="5BCA88AB" w14:textId="596AB83A" w:rsidR="0004645C" w:rsidRPr="00515206" w:rsidRDefault="00BE45D2" w:rsidP="00A67E02">
            <w:pPr>
              <w:ind w:right="540"/>
              <w:contextualSpacing/>
              <w:rPr>
                <w:rFonts w:cstheme="minorHAnsi"/>
                <w:sz w:val="24"/>
                <w:szCs w:val="24"/>
              </w:rPr>
            </w:pPr>
            <w:r>
              <w:rPr>
                <w:rFonts w:cstheme="minorHAnsi"/>
                <w:sz w:val="24"/>
                <w:szCs w:val="24"/>
              </w:rPr>
              <w:t xml:space="preserve">None </w:t>
            </w:r>
          </w:p>
        </w:tc>
      </w:tr>
      <w:tr w:rsidR="00DF2366" w:rsidRPr="007B1C0B" w14:paraId="6325A40F" w14:textId="77777777" w:rsidTr="00276DC7">
        <w:trPr>
          <w:trHeight w:val="350"/>
        </w:trPr>
        <w:tc>
          <w:tcPr>
            <w:tcW w:w="4401" w:type="dxa"/>
            <w:shd w:val="clear" w:color="auto" w:fill="auto"/>
            <w:vAlign w:val="center"/>
          </w:tcPr>
          <w:p w14:paraId="4206A414" w14:textId="77777777" w:rsidR="0004645C" w:rsidRPr="00515206" w:rsidRDefault="0004645C" w:rsidP="00A67E02">
            <w:pPr>
              <w:ind w:right="540"/>
              <w:contextualSpacing/>
              <w:rPr>
                <w:rFonts w:cstheme="minorHAnsi"/>
                <w:sz w:val="24"/>
                <w:szCs w:val="24"/>
              </w:rPr>
            </w:pPr>
            <w:r w:rsidRPr="00515206">
              <w:rPr>
                <w:rFonts w:cstheme="minorHAnsi"/>
                <w:sz w:val="24"/>
                <w:szCs w:val="24"/>
              </w:rPr>
              <w:t>Community Health Initiative (CHI)</w:t>
            </w:r>
            <w:r w:rsidRPr="00515206" w:rsidDel="00FB532E">
              <w:rPr>
                <w:rFonts w:cstheme="minorHAnsi"/>
                <w:sz w:val="24"/>
                <w:szCs w:val="24"/>
              </w:rPr>
              <w:t xml:space="preserve"> </w:t>
            </w:r>
          </w:p>
        </w:tc>
        <w:tc>
          <w:tcPr>
            <w:tcW w:w="4949" w:type="dxa"/>
            <w:shd w:val="clear" w:color="auto" w:fill="auto"/>
            <w:vAlign w:val="center"/>
          </w:tcPr>
          <w:p w14:paraId="13D1653D" w14:textId="1953A690" w:rsidR="0004645C" w:rsidRPr="00515206" w:rsidRDefault="00BE45D2" w:rsidP="00A67E02">
            <w:pPr>
              <w:ind w:right="540"/>
              <w:contextualSpacing/>
              <w:rPr>
                <w:rFonts w:cstheme="minorHAnsi"/>
                <w:sz w:val="24"/>
                <w:szCs w:val="24"/>
              </w:rPr>
            </w:pPr>
            <w:r>
              <w:rPr>
                <w:rFonts w:cstheme="minorHAnsi"/>
                <w:sz w:val="24"/>
                <w:szCs w:val="24"/>
              </w:rPr>
              <w:t>$</w:t>
            </w:r>
            <w:r w:rsidR="00071411" w:rsidRPr="00071411">
              <w:rPr>
                <w:rFonts w:cstheme="minorHAnsi"/>
                <w:sz w:val="24"/>
                <w:szCs w:val="24"/>
              </w:rPr>
              <w:t>565,151.52</w:t>
            </w:r>
          </w:p>
        </w:tc>
      </w:tr>
      <w:tr w:rsidR="00DF2366" w:rsidRPr="007B1C0B" w14:paraId="121BE900" w14:textId="77777777" w:rsidTr="00276DC7">
        <w:trPr>
          <w:trHeight w:val="350"/>
        </w:trPr>
        <w:tc>
          <w:tcPr>
            <w:tcW w:w="4401" w:type="dxa"/>
            <w:shd w:val="clear" w:color="auto" w:fill="auto"/>
            <w:vAlign w:val="center"/>
          </w:tcPr>
          <w:p w14:paraId="3613B78E" w14:textId="77777777" w:rsidR="0004645C" w:rsidRPr="00515206" w:rsidRDefault="0004645C" w:rsidP="00A67E02">
            <w:pPr>
              <w:ind w:right="540"/>
              <w:contextualSpacing/>
              <w:rPr>
                <w:rFonts w:cstheme="minorHAnsi"/>
                <w:sz w:val="24"/>
                <w:szCs w:val="24"/>
              </w:rPr>
            </w:pPr>
            <w:r w:rsidRPr="00515206">
              <w:rPr>
                <w:rFonts w:cstheme="minorHAnsi"/>
                <w:sz w:val="24"/>
                <w:szCs w:val="24"/>
              </w:rPr>
              <w:t>Staff Recommendation</w:t>
            </w:r>
          </w:p>
        </w:tc>
        <w:tc>
          <w:tcPr>
            <w:tcW w:w="4949" w:type="dxa"/>
            <w:shd w:val="clear" w:color="auto" w:fill="auto"/>
            <w:vAlign w:val="center"/>
          </w:tcPr>
          <w:p w14:paraId="2D758FD7" w14:textId="35B62883" w:rsidR="0004645C" w:rsidRPr="00044DB9" w:rsidRDefault="00BE45D2" w:rsidP="00A67E02">
            <w:pPr>
              <w:ind w:right="540"/>
              <w:contextualSpacing/>
              <w:rPr>
                <w:rFonts w:cstheme="minorHAnsi"/>
                <w:sz w:val="24"/>
                <w:szCs w:val="24"/>
              </w:rPr>
            </w:pPr>
            <w:r w:rsidRPr="00044DB9">
              <w:rPr>
                <w:rFonts w:cstheme="minorHAnsi"/>
                <w:sz w:val="24"/>
                <w:szCs w:val="24"/>
              </w:rPr>
              <w:t xml:space="preserve">Approval </w:t>
            </w:r>
          </w:p>
        </w:tc>
      </w:tr>
      <w:tr w:rsidR="00DF2366" w:rsidRPr="007B1C0B" w14:paraId="31DB88B2" w14:textId="77777777" w:rsidTr="00276DC7">
        <w:trPr>
          <w:trHeight w:val="350"/>
        </w:trPr>
        <w:tc>
          <w:tcPr>
            <w:tcW w:w="4401" w:type="dxa"/>
            <w:shd w:val="clear" w:color="auto" w:fill="auto"/>
            <w:vAlign w:val="center"/>
          </w:tcPr>
          <w:p w14:paraId="53C659D3" w14:textId="7F5EB7DE" w:rsidR="0004645C" w:rsidRPr="00EB6EA6" w:rsidRDefault="00BE538A" w:rsidP="00A67E02">
            <w:pPr>
              <w:ind w:right="540"/>
              <w:contextualSpacing/>
              <w:rPr>
                <w:rFonts w:cstheme="minorHAnsi"/>
                <w:sz w:val="24"/>
                <w:szCs w:val="24"/>
              </w:rPr>
            </w:pPr>
            <w:r w:rsidRPr="00EB6EA6">
              <w:rPr>
                <w:rFonts w:cstheme="minorHAnsi"/>
                <w:sz w:val="24"/>
                <w:szCs w:val="24"/>
              </w:rPr>
              <w:t>Public Health Council</w:t>
            </w:r>
          </w:p>
        </w:tc>
        <w:tc>
          <w:tcPr>
            <w:tcW w:w="4949" w:type="dxa"/>
            <w:shd w:val="clear" w:color="auto" w:fill="auto"/>
            <w:vAlign w:val="center"/>
          </w:tcPr>
          <w:p w14:paraId="7B70CFA9" w14:textId="76B6DC7F" w:rsidR="0004645C" w:rsidRPr="00EB6EA6" w:rsidRDefault="008B66C5" w:rsidP="00A67E02">
            <w:pPr>
              <w:ind w:right="540"/>
              <w:contextualSpacing/>
              <w:rPr>
                <w:rFonts w:cstheme="minorHAnsi"/>
                <w:sz w:val="24"/>
                <w:szCs w:val="24"/>
              </w:rPr>
            </w:pPr>
            <w:r>
              <w:rPr>
                <w:rFonts w:cstheme="minorHAnsi"/>
                <w:sz w:val="24"/>
                <w:szCs w:val="24"/>
              </w:rPr>
              <w:t>February 9</w:t>
            </w:r>
            <w:r w:rsidR="00BE45D2" w:rsidRPr="00EB6EA6">
              <w:rPr>
                <w:rFonts w:cstheme="minorHAnsi"/>
                <w:sz w:val="24"/>
                <w:szCs w:val="24"/>
              </w:rPr>
              <w:t xml:space="preserve">, </w:t>
            </w:r>
            <w:r w:rsidR="00386EEA" w:rsidRPr="00EB6EA6">
              <w:rPr>
                <w:rFonts w:cstheme="minorHAnsi"/>
                <w:sz w:val="24"/>
                <w:szCs w:val="24"/>
              </w:rPr>
              <w:t>202</w:t>
            </w:r>
            <w:r w:rsidR="00533555" w:rsidRPr="00EB6EA6">
              <w:rPr>
                <w:rFonts w:cstheme="minorHAnsi"/>
                <w:sz w:val="24"/>
                <w:szCs w:val="24"/>
              </w:rPr>
              <w:t>2</w:t>
            </w:r>
          </w:p>
        </w:tc>
      </w:tr>
      <w:tr w:rsidR="00BD3B34" w:rsidRPr="007B1C0B" w14:paraId="4A1568E9" w14:textId="77777777" w:rsidTr="00A67E02">
        <w:trPr>
          <w:trHeight w:val="2436"/>
        </w:trPr>
        <w:tc>
          <w:tcPr>
            <w:tcW w:w="0" w:type="auto"/>
            <w:gridSpan w:val="2"/>
            <w:shd w:val="clear" w:color="auto" w:fill="auto"/>
            <w:vAlign w:val="center"/>
          </w:tcPr>
          <w:p w14:paraId="066DA4D1" w14:textId="77777777" w:rsidR="0004645C" w:rsidRPr="00515206" w:rsidRDefault="0004645C" w:rsidP="00A67E02">
            <w:pPr>
              <w:pStyle w:val="NoSpacing"/>
              <w:ind w:right="540"/>
              <w:contextualSpacing/>
              <w:jc w:val="center"/>
              <w:rPr>
                <w:rFonts w:cstheme="minorHAnsi"/>
                <w:sz w:val="24"/>
                <w:szCs w:val="24"/>
              </w:rPr>
            </w:pPr>
            <w:r w:rsidRPr="00515206">
              <w:rPr>
                <w:rFonts w:cstheme="minorHAnsi"/>
                <w:sz w:val="24"/>
                <w:szCs w:val="24"/>
                <w:u w:val="single"/>
              </w:rPr>
              <w:t>Project Summary and Regulatory Review</w:t>
            </w:r>
          </w:p>
          <w:p w14:paraId="20FC7F06" w14:textId="0FD83DE8" w:rsidR="00D63B4A" w:rsidRDefault="007B30E7" w:rsidP="00D851C5">
            <w:pPr>
              <w:pStyle w:val="NoSpacing"/>
              <w:contextualSpacing/>
              <w:rPr>
                <w:rFonts w:cstheme="minorHAnsi"/>
                <w:sz w:val="24"/>
                <w:szCs w:val="24"/>
              </w:rPr>
            </w:pPr>
            <w:r>
              <w:rPr>
                <w:rFonts w:cstheme="minorHAnsi"/>
                <w:sz w:val="24"/>
                <w:szCs w:val="24"/>
              </w:rPr>
              <w:t>Wellman Healthcare Group</w:t>
            </w:r>
            <w:r w:rsidR="00C56E9C">
              <w:rPr>
                <w:rFonts w:cstheme="minorHAnsi"/>
                <w:sz w:val="24"/>
                <w:szCs w:val="24"/>
              </w:rPr>
              <w:t xml:space="preserve">, Inc. (Applicant), submitted an application for a substantial capital expenditure to expand their </w:t>
            </w:r>
            <w:r w:rsidR="000458F5">
              <w:rPr>
                <w:rFonts w:cstheme="minorHAnsi"/>
                <w:sz w:val="24"/>
                <w:szCs w:val="24"/>
              </w:rPr>
              <w:t>long-term care facility</w:t>
            </w:r>
            <w:r w:rsidR="00C56E9C">
              <w:rPr>
                <w:rFonts w:cstheme="minorHAnsi"/>
                <w:sz w:val="24"/>
                <w:szCs w:val="24"/>
              </w:rPr>
              <w:t xml:space="preserve"> through construction of a </w:t>
            </w:r>
            <w:proofErr w:type="gramStart"/>
            <w:r w:rsidR="00D1688C">
              <w:rPr>
                <w:rFonts w:cstheme="minorHAnsi"/>
                <w:sz w:val="24"/>
                <w:szCs w:val="24"/>
              </w:rPr>
              <w:t xml:space="preserve">46,225 </w:t>
            </w:r>
            <w:r w:rsidR="00CD4F0E">
              <w:rPr>
                <w:rFonts w:cstheme="minorHAnsi"/>
                <w:sz w:val="24"/>
                <w:szCs w:val="24"/>
              </w:rPr>
              <w:t>gross</w:t>
            </w:r>
            <w:proofErr w:type="gramEnd"/>
            <w:r w:rsidR="00CD4F0E">
              <w:rPr>
                <w:rFonts w:cstheme="minorHAnsi"/>
                <w:sz w:val="24"/>
                <w:szCs w:val="24"/>
              </w:rPr>
              <w:t xml:space="preserve"> square foot (</w:t>
            </w:r>
            <w:proofErr w:type="spellStart"/>
            <w:r w:rsidR="005C2DA3">
              <w:rPr>
                <w:rFonts w:cstheme="minorHAnsi"/>
                <w:sz w:val="24"/>
                <w:szCs w:val="24"/>
              </w:rPr>
              <w:t>gsf</w:t>
            </w:r>
            <w:proofErr w:type="spellEnd"/>
            <w:r w:rsidR="00CD4F0E">
              <w:rPr>
                <w:rFonts w:cstheme="minorHAnsi"/>
                <w:sz w:val="24"/>
                <w:szCs w:val="24"/>
              </w:rPr>
              <w:t xml:space="preserve">) </w:t>
            </w:r>
            <w:r w:rsidR="000458F5">
              <w:rPr>
                <w:rFonts w:cstheme="minorHAnsi"/>
                <w:sz w:val="24"/>
                <w:szCs w:val="24"/>
              </w:rPr>
              <w:t xml:space="preserve">replacement facility </w:t>
            </w:r>
            <w:r w:rsidR="006B7316">
              <w:rPr>
                <w:rFonts w:cstheme="minorHAnsi"/>
                <w:sz w:val="24"/>
                <w:szCs w:val="24"/>
              </w:rPr>
              <w:t>with</w:t>
            </w:r>
            <w:r w:rsidR="00D1688C">
              <w:rPr>
                <w:rFonts w:cstheme="minorHAnsi"/>
                <w:sz w:val="24"/>
                <w:szCs w:val="24"/>
              </w:rPr>
              <w:t xml:space="preserve"> 82 beds</w:t>
            </w:r>
            <w:r w:rsidR="00DF1F31">
              <w:rPr>
                <w:rFonts w:cstheme="minorHAnsi"/>
                <w:sz w:val="24"/>
                <w:szCs w:val="24"/>
              </w:rPr>
              <w:t xml:space="preserve"> (of which 21 will be new beds)</w:t>
            </w:r>
            <w:r w:rsidR="005F5CC3">
              <w:rPr>
                <w:rFonts w:cstheme="minorHAnsi"/>
                <w:sz w:val="24"/>
                <w:szCs w:val="24"/>
              </w:rPr>
              <w:t xml:space="preserve">. </w:t>
            </w:r>
            <w:r w:rsidR="00BC1CC7">
              <w:rPr>
                <w:rFonts w:cstheme="minorHAnsi"/>
                <w:sz w:val="24"/>
                <w:szCs w:val="24"/>
              </w:rPr>
              <w:t>The replacement facility</w:t>
            </w:r>
            <w:r w:rsidR="00D1688C">
              <w:rPr>
                <w:rFonts w:cstheme="minorHAnsi"/>
                <w:sz w:val="24"/>
                <w:szCs w:val="24"/>
              </w:rPr>
              <w:t xml:space="preserve"> </w:t>
            </w:r>
            <w:r w:rsidR="00BC1CC7">
              <w:rPr>
                <w:rFonts w:cstheme="minorHAnsi"/>
                <w:sz w:val="24"/>
                <w:szCs w:val="24"/>
              </w:rPr>
              <w:t>includes</w:t>
            </w:r>
            <w:r w:rsidR="00C56E9C">
              <w:rPr>
                <w:rFonts w:cstheme="minorHAnsi"/>
                <w:sz w:val="24"/>
                <w:szCs w:val="24"/>
              </w:rPr>
              <w:t xml:space="preserve">: </w:t>
            </w:r>
            <w:r w:rsidR="005F5CC3">
              <w:rPr>
                <w:rFonts w:cstheme="minorHAnsi"/>
                <w:sz w:val="24"/>
                <w:szCs w:val="24"/>
              </w:rPr>
              <w:t xml:space="preserve">two </w:t>
            </w:r>
            <w:r w:rsidR="00D1688C">
              <w:rPr>
                <w:rFonts w:cstheme="minorHAnsi"/>
                <w:sz w:val="24"/>
                <w:szCs w:val="24"/>
              </w:rPr>
              <w:t>floor</w:t>
            </w:r>
            <w:r w:rsidR="005F5CC3">
              <w:rPr>
                <w:rFonts w:cstheme="minorHAnsi"/>
                <w:sz w:val="24"/>
                <w:szCs w:val="24"/>
              </w:rPr>
              <w:t>s each</w:t>
            </w:r>
            <w:r w:rsidR="00D1688C">
              <w:rPr>
                <w:rFonts w:cstheme="minorHAnsi"/>
                <w:sz w:val="24"/>
                <w:szCs w:val="24"/>
              </w:rPr>
              <w:t xml:space="preserve"> with </w:t>
            </w:r>
            <w:r w:rsidR="005F5CC3">
              <w:rPr>
                <w:rFonts w:cstheme="minorHAnsi"/>
                <w:sz w:val="24"/>
                <w:szCs w:val="24"/>
              </w:rPr>
              <w:t xml:space="preserve">41 beds including </w:t>
            </w:r>
            <w:r w:rsidR="00D1688C">
              <w:rPr>
                <w:rFonts w:cstheme="minorHAnsi"/>
                <w:sz w:val="24"/>
                <w:szCs w:val="24"/>
              </w:rPr>
              <w:t>20 semiprivate rooms and one private room</w:t>
            </w:r>
            <w:r w:rsidR="005F5CC3">
              <w:rPr>
                <w:rFonts w:cstheme="minorHAnsi"/>
                <w:sz w:val="24"/>
                <w:szCs w:val="24"/>
              </w:rPr>
              <w:t xml:space="preserve">. The second floor will be </w:t>
            </w:r>
            <w:r w:rsidR="00D1688C">
              <w:rPr>
                <w:rFonts w:cstheme="minorHAnsi"/>
                <w:sz w:val="24"/>
                <w:szCs w:val="24"/>
              </w:rPr>
              <w:t>a locked memory care unit</w:t>
            </w:r>
            <w:r w:rsidR="00C56E9C">
              <w:rPr>
                <w:rFonts w:cstheme="minorHAnsi"/>
                <w:sz w:val="24"/>
                <w:szCs w:val="24"/>
              </w:rPr>
              <w:t xml:space="preserve">; </w:t>
            </w:r>
            <w:r w:rsidR="005F5CC3">
              <w:rPr>
                <w:rFonts w:cstheme="minorHAnsi"/>
                <w:sz w:val="24"/>
                <w:szCs w:val="24"/>
              </w:rPr>
              <w:t>plus,</w:t>
            </w:r>
            <w:r w:rsidR="00102068">
              <w:rPr>
                <w:rFonts w:cstheme="minorHAnsi"/>
                <w:sz w:val="24"/>
                <w:szCs w:val="24"/>
              </w:rPr>
              <w:t xml:space="preserve"> an enclosed exterior garden on the first floor and a roof patio</w:t>
            </w:r>
            <w:r w:rsidR="00C56E9C">
              <w:rPr>
                <w:rFonts w:cstheme="minorHAnsi"/>
                <w:sz w:val="24"/>
                <w:szCs w:val="24"/>
              </w:rPr>
              <w:t xml:space="preserve">. </w:t>
            </w:r>
            <w:r w:rsidR="00CD4F0E" w:rsidRPr="00CD4F0E">
              <w:rPr>
                <w:rFonts w:cstheme="minorHAnsi"/>
                <w:sz w:val="24"/>
                <w:szCs w:val="24"/>
              </w:rPr>
              <w:t xml:space="preserve">The capital expenditure for the Proposed Project is </w:t>
            </w:r>
            <w:r w:rsidR="00071411">
              <w:rPr>
                <w:rFonts w:cstheme="minorHAnsi"/>
                <w:sz w:val="24"/>
                <w:szCs w:val="24"/>
              </w:rPr>
              <w:t>$</w:t>
            </w:r>
            <w:r w:rsidR="00071411" w:rsidRPr="00B81008">
              <w:rPr>
                <w:rFonts w:cstheme="minorHAnsi"/>
                <w:sz w:val="24"/>
                <w:szCs w:val="24"/>
              </w:rPr>
              <w:t>18,838,384.00</w:t>
            </w:r>
            <w:r w:rsidR="00CD4F0E" w:rsidRPr="00CD4F0E">
              <w:rPr>
                <w:rFonts w:cstheme="minorHAnsi"/>
                <w:sz w:val="24"/>
                <w:szCs w:val="24"/>
              </w:rPr>
              <w:t>; and the Community Health Initiatives (CHI) commitment is $</w:t>
            </w:r>
            <w:r w:rsidR="00071411" w:rsidRPr="00071411">
              <w:rPr>
                <w:rFonts w:cstheme="minorHAnsi"/>
                <w:sz w:val="24"/>
                <w:szCs w:val="24"/>
              </w:rPr>
              <w:t>565,151.52</w:t>
            </w:r>
            <w:r w:rsidR="00CD4F0E" w:rsidRPr="00CD4F0E">
              <w:rPr>
                <w:rFonts w:cstheme="minorHAnsi"/>
                <w:sz w:val="24"/>
                <w:szCs w:val="24"/>
              </w:rPr>
              <w:t>.</w:t>
            </w:r>
          </w:p>
          <w:p w14:paraId="09139990" w14:textId="77777777" w:rsidR="00D63B4A" w:rsidRDefault="00D63B4A" w:rsidP="00A67E02">
            <w:pPr>
              <w:pStyle w:val="NoSpacing"/>
              <w:contextualSpacing/>
              <w:rPr>
                <w:rFonts w:cstheme="minorHAnsi"/>
                <w:sz w:val="24"/>
                <w:szCs w:val="24"/>
              </w:rPr>
            </w:pPr>
          </w:p>
          <w:p w14:paraId="7F67C29A" w14:textId="2F7747C1" w:rsidR="0004645C" w:rsidRDefault="00D63B4A" w:rsidP="00A67E02">
            <w:pPr>
              <w:pStyle w:val="NoSpacing"/>
              <w:contextualSpacing/>
              <w:rPr>
                <w:rFonts w:cstheme="minorHAnsi"/>
                <w:sz w:val="24"/>
                <w:szCs w:val="24"/>
              </w:rPr>
            </w:pPr>
            <w:r w:rsidRPr="00D63B4A">
              <w:rPr>
                <w:rFonts w:cstheme="minorHAnsi"/>
                <w:sz w:val="24"/>
                <w:szCs w:val="24"/>
              </w:rPr>
              <w:t xml:space="preserve">This </w:t>
            </w:r>
            <w:r w:rsidR="00733802">
              <w:rPr>
                <w:rFonts w:cstheme="minorHAnsi"/>
                <w:sz w:val="24"/>
                <w:szCs w:val="24"/>
              </w:rPr>
              <w:t>A</w:t>
            </w:r>
            <w:r w:rsidRPr="00D63B4A">
              <w:rPr>
                <w:rFonts w:cstheme="minorHAnsi"/>
                <w:sz w:val="24"/>
                <w:szCs w:val="24"/>
              </w:rPr>
              <w:t xml:space="preserve">pplication </w:t>
            </w:r>
            <w:r w:rsidR="00733802">
              <w:rPr>
                <w:rFonts w:cstheme="minorHAnsi"/>
                <w:sz w:val="24"/>
                <w:szCs w:val="24"/>
              </w:rPr>
              <w:t>for Determination of Need (</w:t>
            </w:r>
            <w:proofErr w:type="spellStart"/>
            <w:r w:rsidR="00733802">
              <w:rPr>
                <w:rFonts w:cstheme="minorHAnsi"/>
                <w:sz w:val="24"/>
                <w:szCs w:val="24"/>
              </w:rPr>
              <w:t>DoN</w:t>
            </w:r>
            <w:proofErr w:type="spellEnd"/>
            <w:r w:rsidR="00733802">
              <w:rPr>
                <w:rFonts w:cstheme="minorHAnsi"/>
                <w:sz w:val="24"/>
                <w:szCs w:val="24"/>
              </w:rPr>
              <w:t xml:space="preserve">) </w:t>
            </w:r>
            <w:r w:rsidRPr="00D63B4A">
              <w:rPr>
                <w:rFonts w:cstheme="minorHAnsi"/>
                <w:sz w:val="24"/>
                <w:szCs w:val="24"/>
              </w:rPr>
              <w:t xml:space="preserve">falls within the definition of </w:t>
            </w:r>
            <w:r w:rsidR="006814E7">
              <w:rPr>
                <w:rFonts w:cstheme="minorHAnsi"/>
                <w:sz w:val="24"/>
                <w:szCs w:val="24"/>
              </w:rPr>
              <w:t xml:space="preserve">Substantial </w:t>
            </w:r>
            <w:r w:rsidR="00CD4F0E">
              <w:rPr>
                <w:rFonts w:cstheme="minorHAnsi"/>
                <w:sz w:val="24"/>
                <w:szCs w:val="24"/>
              </w:rPr>
              <w:t>Capital Expenditure</w:t>
            </w:r>
            <w:r w:rsidRPr="00D63B4A">
              <w:rPr>
                <w:rFonts w:cstheme="minorHAnsi"/>
                <w:sz w:val="24"/>
                <w:szCs w:val="24"/>
              </w:rPr>
              <w:t xml:space="preserve">, which are reviewed under the </w:t>
            </w:r>
            <w:proofErr w:type="spellStart"/>
            <w:r w:rsidRPr="00D63B4A">
              <w:rPr>
                <w:rFonts w:cstheme="minorHAnsi"/>
                <w:sz w:val="24"/>
                <w:szCs w:val="24"/>
              </w:rPr>
              <w:t>DoN</w:t>
            </w:r>
            <w:proofErr w:type="spellEnd"/>
            <w:r w:rsidRPr="00D63B4A">
              <w:rPr>
                <w:rFonts w:cstheme="minorHAnsi"/>
                <w:sz w:val="24"/>
                <w:szCs w:val="24"/>
              </w:rPr>
              <w:t xml:space="preserve"> regulation 105 CMR 100.000. The Department must determine that need exists for a Proposed Project, </w:t>
            </w:r>
            <w:proofErr w:type="gramStart"/>
            <w:r w:rsidRPr="00D63B4A">
              <w:rPr>
                <w:rFonts w:cstheme="minorHAnsi"/>
                <w:sz w:val="24"/>
                <w:szCs w:val="24"/>
              </w:rPr>
              <w:t>on the basis of</w:t>
            </w:r>
            <w:proofErr w:type="gramEnd"/>
            <w:r w:rsidRPr="00D63B4A">
              <w:rPr>
                <w:rFonts w:cstheme="minorHAnsi"/>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r w:rsidR="006403D2">
              <w:rPr>
                <w:rFonts w:cstheme="minorHAnsi"/>
                <w:sz w:val="24"/>
                <w:szCs w:val="24"/>
              </w:rPr>
              <w:t>.</w:t>
            </w:r>
          </w:p>
          <w:p w14:paraId="32448013" w14:textId="77777777" w:rsidR="005F344B" w:rsidRDefault="005F344B" w:rsidP="00A67E02">
            <w:pPr>
              <w:pStyle w:val="NoSpacing"/>
              <w:contextualSpacing/>
              <w:rPr>
                <w:rFonts w:cstheme="minorHAnsi"/>
                <w:sz w:val="24"/>
                <w:szCs w:val="24"/>
              </w:rPr>
            </w:pPr>
          </w:p>
          <w:p w14:paraId="1AC28F84" w14:textId="7B06A0C9" w:rsidR="005F344B" w:rsidRPr="005F344B" w:rsidRDefault="005F344B" w:rsidP="005F344B">
            <w:pPr>
              <w:pStyle w:val="NoSpacing"/>
              <w:contextualSpacing/>
              <w:rPr>
                <w:rFonts w:cstheme="minorHAnsi"/>
                <w:sz w:val="24"/>
                <w:szCs w:val="24"/>
              </w:rPr>
            </w:pPr>
            <w:r w:rsidRPr="005F344B">
              <w:rPr>
                <w:rFonts w:cstheme="minorHAnsi"/>
                <w:sz w:val="24"/>
                <w:szCs w:val="24"/>
              </w:rPr>
              <w:t>The Department did not receive any written comments on this application</w:t>
            </w:r>
            <w:r w:rsidR="00317353">
              <w:rPr>
                <w:rFonts w:cstheme="minorHAnsi"/>
                <w:sz w:val="24"/>
                <w:szCs w:val="24"/>
              </w:rPr>
              <w:t>,</w:t>
            </w:r>
            <w:r w:rsidRPr="005F344B">
              <w:rPr>
                <w:rFonts w:cstheme="minorHAnsi"/>
                <w:sz w:val="24"/>
                <w:szCs w:val="24"/>
              </w:rPr>
              <w:t xml:space="preserve"> nor were any Ten</w:t>
            </w:r>
          </w:p>
          <w:p w14:paraId="2DC718F6" w14:textId="35088C67" w:rsidR="005F344B" w:rsidRPr="00515206" w:rsidRDefault="005F344B" w:rsidP="005F344B">
            <w:pPr>
              <w:pStyle w:val="NoSpacing"/>
              <w:contextualSpacing/>
              <w:rPr>
                <w:rFonts w:cstheme="minorHAnsi"/>
                <w:sz w:val="24"/>
                <w:szCs w:val="24"/>
              </w:rPr>
            </w:pPr>
            <w:r w:rsidRPr="005F344B">
              <w:rPr>
                <w:rFonts w:cstheme="minorHAnsi"/>
                <w:sz w:val="24"/>
                <w:szCs w:val="24"/>
              </w:rPr>
              <w:t>Taxpayer Groups formed.</w:t>
            </w:r>
          </w:p>
        </w:tc>
      </w:tr>
    </w:tbl>
    <w:p w14:paraId="294215F3" w14:textId="77777777" w:rsidR="00747A26" w:rsidRDefault="00747A26">
      <w:r>
        <w:br w:type="page"/>
      </w:r>
    </w:p>
    <w:p w14:paraId="402419AE" w14:textId="77777777" w:rsidR="00860AA5" w:rsidRDefault="00860AA5" w:rsidP="009C3FE9">
      <w:pPr>
        <w:rPr>
          <w:b/>
          <w:bCs/>
          <w:sz w:val="28"/>
          <w:szCs w:val="28"/>
        </w:rPr>
      </w:pPr>
    </w:p>
    <w:p w14:paraId="50898849" w14:textId="694967E8" w:rsidR="009C3FE9" w:rsidRPr="009C3FE9" w:rsidRDefault="00667B1F" w:rsidP="009C3FE9">
      <w:pPr>
        <w:rPr>
          <w:b/>
          <w:bCs/>
          <w:sz w:val="28"/>
          <w:szCs w:val="28"/>
        </w:rPr>
      </w:pPr>
      <w:r>
        <w:rPr>
          <w:b/>
          <w:bCs/>
          <w:sz w:val="28"/>
          <w:szCs w:val="28"/>
        </w:rPr>
        <w:t>Application Overview</w:t>
      </w:r>
      <w:r w:rsidR="009C3FE9" w:rsidRPr="006B66D0">
        <w:rPr>
          <w:sz w:val="24"/>
          <w:szCs w:val="24"/>
        </w:rPr>
        <w:t xml:space="preserve"> </w:t>
      </w:r>
    </w:p>
    <w:p w14:paraId="7C755764" w14:textId="4F994A87" w:rsidR="009F5F26" w:rsidRDefault="007B30E7" w:rsidP="00533681">
      <w:pPr>
        <w:spacing w:after="0" w:line="240" w:lineRule="auto"/>
        <w:rPr>
          <w:sz w:val="24"/>
          <w:szCs w:val="24"/>
        </w:rPr>
      </w:pPr>
      <w:r w:rsidRPr="00262DB7">
        <w:rPr>
          <w:sz w:val="24"/>
          <w:szCs w:val="24"/>
        </w:rPr>
        <w:t>Wellman Healthcare Group, Inc. (</w:t>
      </w:r>
      <w:r w:rsidR="00745ACF" w:rsidRPr="00262DB7">
        <w:rPr>
          <w:sz w:val="24"/>
          <w:szCs w:val="24"/>
        </w:rPr>
        <w:t>“</w:t>
      </w:r>
      <w:r w:rsidRPr="00262DB7">
        <w:rPr>
          <w:sz w:val="24"/>
          <w:szCs w:val="24"/>
        </w:rPr>
        <w:t>Wellman</w:t>
      </w:r>
      <w:r w:rsidR="00745ACF" w:rsidRPr="00262DB7">
        <w:rPr>
          <w:sz w:val="24"/>
          <w:szCs w:val="24"/>
        </w:rPr>
        <w:t>” or the “Applicant”</w:t>
      </w:r>
      <w:r w:rsidRPr="00262DB7">
        <w:rPr>
          <w:sz w:val="24"/>
          <w:szCs w:val="24"/>
        </w:rPr>
        <w:t xml:space="preserve">) is a healthcare system that </w:t>
      </w:r>
      <w:r w:rsidR="00843DA6" w:rsidRPr="00262DB7">
        <w:rPr>
          <w:sz w:val="24"/>
          <w:szCs w:val="24"/>
        </w:rPr>
        <w:t>operates P</w:t>
      </w:r>
      <w:r w:rsidR="00745ACF" w:rsidRPr="00262DB7">
        <w:rPr>
          <w:sz w:val="24"/>
          <w:szCs w:val="24"/>
        </w:rPr>
        <w:t>almer Healthcare Center (“PHC” or the “Facility”)</w:t>
      </w:r>
      <w:r w:rsidR="00843DA6" w:rsidRPr="00262DB7">
        <w:rPr>
          <w:sz w:val="24"/>
          <w:szCs w:val="24"/>
        </w:rPr>
        <w:t>,</w:t>
      </w:r>
      <w:r w:rsidR="00745ACF" w:rsidRPr="00745ACF">
        <w:rPr>
          <w:sz w:val="24"/>
          <w:szCs w:val="24"/>
        </w:rPr>
        <w:t xml:space="preserve"> a 61-bed skilled nursing facility located on</w:t>
      </w:r>
      <w:r w:rsidR="00843DA6">
        <w:rPr>
          <w:sz w:val="24"/>
          <w:szCs w:val="24"/>
        </w:rPr>
        <w:t xml:space="preserve"> a </w:t>
      </w:r>
      <w:r w:rsidR="0031584E" w:rsidRPr="00745ACF">
        <w:rPr>
          <w:sz w:val="24"/>
          <w:szCs w:val="24"/>
        </w:rPr>
        <w:t>12.6-acre</w:t>
      </w:r>
      <w:r w:rsidR="00745ACF" w:rsidRPr="00745ACF">
        <w:rPr>
          <w:sz w:val="24"/>
          <w:szCs w:val="24"/>
        </w:rPr>
        <w:t xml:space="preserve"> campus in Palmer, Massachusetts</w:t>
      </w:r>
      <w:r w:rsidR="00843DA6">
        <w:rPr>
          <w:sz w:val="24"/>
          <w:szCs w:val="24"/>
        </w:rPr>
        <w:t>. The Facility has</w:t>
      </w:r>
      <w:r w:rsidR="00745ACF" w:rsidRPr="00745ACF">
        <w:rPr>
          <w:sz w:val="24"/>
          <w:szCs w:val="24"/>
        </w:rPr>
        <w:t xml:space="preserve"> been serving the greater Palmer community for over 55 years</w:t>
      </w:r>
      <w:r w:rsidR="00745ACF">
        <w:rPr>
          <w:sz w:val="24"/>
          <w:szCs w:val="24"/>
        </w:rPr>
        <w:t>.</w:t>
      </w:r>
      <w:r w:rsidR="00000A3D">
        <w:rPr>
          <w:sz w:val="24"/>
          <w:szCs w:val="24"/>
        </w:rPr>
        <w:t xml:space="preserve"> It is a high Medicaid </w:t>
      </w:r>
      <w:r w:rsidR="00BC1CC7">
        <w:rPr>
          <w:sz w:val="24"/>
          <w:szCs w:val="24"/>
        </w:rPr>
        <w:t>provider,</w:t>
      </w:r>
      <w:r w:rsidR="00000A3D">
        <w:rPr>
          <w:sz w:val="24"/>
          <w:szCs w:val="24"/>
        </w:rPr>
        <w:t xml:space="preserve"> with approximately 80% of their patients enrolled in Medicaid</w:t>
      </w:r>
      <w:r w:rsidR="00BC1CC7">
        <w:rPr>
          <w:sz w:val="24"/>
          <w:szCs w:val="24"/>
        </w:rPr>
        <w:t xml:space="preserve"> as of August 2021</w:t>
      </w:r>
      <w:r w:rsidR="00000A3D">
        <w:rPr>
          <w:sz w:val="24"/>
          <w:szCs w:val="24"/>
        </w:rPr>
        <w:t xml:space="preserve">. </w:t>
      </w:r>
      <w:r w:rsidR="00383DE9">
        <w:rPr>
          <w:sz w:val="24"/>
          <w:szCs w:val="24"/>
        </w:rPr>
        <w:t>It is a CMS four-star rated facility.</w:t>
      </w:r>
    </w:p>
    <w:p w14:paraId="278247E6" w14:textId="77777777" w:rsidR="009F5F26" w:rsidRDefault="009F5F26" w:rsidP="00533681">
      <w:pPr>
        <w:spacing w:after="0" w:line="240" w:lineRule="auto"/>
        <w:rPr>
          <w:sz w:val="24"/>
          <w:szCs w:val="24"/>
        </w:rPr>
      </w:pPr>
    </w:p>
    <w:p w14:paraId="461A1B47" w14:textId="6920160B" w:rsidR="00667B1F" w:rsidRPr="00FC2ABE" w:rsidRDefault="00FC2ABE">
      <w:pPr>
        <w:rPr>
          <w:b/>
          <w:bCs/>
          <w:sz w:val="24"/>
          <w:szCs w:val="24"/>
        </w:rPr>
      </w:pPr>
      <w:r w:rsidRPr="00FC2ABE">
        <w:rPr>
          <w:b/>
          <w:bCs/>
          <w:sz w:val="24"/>
          <w:szCs w:val="24"/>
        </w:rPr>
        <w:t>Proposed Project</w:t>
      </w:r>
    </w:p>
    <w:p w14:paraId="045F6557" w14:textId="5F69339A" w:rsidR="00D85326" w:rsidRDefault="002E7B27" w:rsidP="005C06FD">
      <w:pPr>
        <w:spacing w:after="0" w:line="240" w:lineRule="auto"/>
        <w:rPr>
          <w:sz w:val="24"/>
          <w:szCs w:val="24"/>
        </w:rPr>
      </w:pPr>
      <w:r>
        <w:rPr>
          <w:sz w:val="24"/>
          <w:szCs w:val="24"/>
        </w:rPr>
        <w:t xml:space="preserve">The Facility </w:t>
      </w:r>
      <w:r w:rsidRPr="002E7B27">
        <w:rPr>
          <w:sz w:val="24"/>
          <w:szCs w:val="24"/>
        </w:rPr>
        <w:t>was</w:t>
      </w:r>
      <w:r w:rsidR="00D85326">
        <w:rPr>
          <w:sz w:val="24"/>
          <w:szCs w:val="24"/>
        </w:rPr>
        <w:t xml:space="preserve"> originally</w:t>
      </w:r>
      <w:r w:rsidRPr="002E7B27">
        <w:rPr>
          <w:sz w:val="24"/>
          <w:szCs w:val="24"/>
        </w:rPr>
        <w:t xml:space="preserve"> built in 1963 a</w:t>
      </w:r>
      <w:r w:rsidR="00D85326">
        <w:rPr>
          <w:sz w:val="24"/>
          <w:szCs w:val="24"/>
        </w:rPr>
        <w:t>s</w:t>
      </w:r>
      <w:r>
        <w:rPr>
          <w:sz w:val="24"/>
          <w:szCs w:val="24"/>
        </w:rPr>
        <w:t xml:space="preserve"> </w:t>
      </w:r>
      <w:r w:rsidRPr="002E7B27">
        <w:rPr>
          <w:sz w:val="24"/>
          <w:szCs w:val="24"/>
        </w:rPr>
        <w:t>a single story, 20,976 gross square feet (“GSF”) building with 20 rooms</w:t>
      </w:r>
      <w:r>
        <w:rPr>
          <w:sz w:val="24"/>
          <w:szCs w:val="24"/>
        </w:rPr>
        <w:t xml:space="preserve"> comprised of 61 beds, with five</w:t>
      </w:r>
      <w:r w:rsidR="00317353">
        <w:rPr>
          <w:sz w:val="24"/>
          <w:szCs w:val="24"/>
        </w:rPr>
        <w:t xml:space="preserve"> (5)</w:t>
      </w:r>
      <w:r>
        <w:rPr>
          <w:sz w:val="24"/>
          <w:szCs w:val="24"/>
        </w:rPr>
        <w:t xml:space="preserve"> 4-bedded rooms, eleven</w:t>
      </w:r>
      <w:r w:rsidR="00317353">
        <w:rPr>
          <w:sz w:val="24"/>
          <w:szCs w:val="24"/>
        </w:rPr>
        <w:t xml:space="preserve"> (11)</w:t>
      </w:r>
      <w:r>
        <w:rPr>
          <w:sz w:val="24"/>
          <w:szCs w:val="24"/>
        </w:rPr>
        <w:t xml:space="preserve"> 3-bedded rooms, and four </w:t>
      </w:r>
      <w:r w:rsidR="00317353">
        <w:rPr>
          <w:sz w:val="24"/>
          <w:szCs w:val="24"/>
        </w:rPr>
        <w:t xml:space="preserve">(4) </w:t>
      </w:r>
      <w:r>
        <w:rPr>
          <w:sz w:val="24"/>
          <w:szCs w:val="24"/>
        </w:rPr>
        <w:t>semiprivate rooms</w:t>
      </w:r>
      <w:r w:rsidR="006B7316">
        <w:rPr>
          <w:sz w:val="24"/>
          <w:szCs w:val="24"/>
        </w:rPr>
        <w:t xml:space="preserve"> with two (2) beds each</w:t>
      </w:r>
      <w:r>
        <w:rPr>
          <w:sz w:val="24"/>
          <w:szCs w:val="24"/>
        </w:rPr>
        <w:t xml:space="preserve">. </w:t>
      </w:r>
      <w:r w:rsidR="002B5545">
        <w:rPr>
          <w:sz w:val="24"/>
          <w:szCs w:val="24"/>
        </w:rPr>
        <w:t xml:space="preserve">The unit is a locked unit. </w:t>
      </w:r>
      <w:r w:rsidR="00D85326">
        <w:rPr>
          <w:sz w:val="24"/>
          <w:szCs w:val="24"/>
        </w:rPr>
        <w:t xml:space="preserve">The Facility </w:t>
      </w:r>
      <w:proofErr w:type="gramStart"/>
      <w:r w:rsidR="00D85326">
        <w:rPr>
          <w:sz w:val="24"/>
          <w:szCs w:val="24"/>
        </w:rPr>
        <w:t>is located in</w:t>
      </w:r>
      <w:proofErr w:type="gramEnd"/>
      <w:r w:rsidR="00D85326">
        <w:rPr>
          <w:sz w:val="24"/>
          <w:szCs w:val="24"/>
        </w:rPr>
        <w:t xml:space="preserve"> a rural</w:t>
      </w:r>
      <w:r w:rsidR="00533681">
        <w:rPr>
          <w:sz w:val="24"/>
          <w:szCs w:val="24"/>
        </w:rPr>
        <w:t xml:space="preserve"> area and serves a high volume of patients with government payers</w:t>
      </w:r>
      <w:r w:rsidR="00BC1CC7">
        <w:rPr>
          <w:sz w:val="24"/>
          <w:szCs w:val="24"/>
        </w:rPr>
        <w:t>. It</w:t>
      </w:r>
      <w:r w:rsidR="00DF1F31">
        <w:rPr>
          <w:sz w:val="24"/>
          <w:szCs w:val="24"/>
        </w:rPr>
        <w:t xml:space="preserve"> </w:t>
      </w:r>
      <w:r w:rsidR="0044723C">
        <w:rPr>
          <w:sz w:val="24"/>
          <w:szCs w:val="24"/>
        </w:rPr>
        <w:t>provides dementia care and geriatric services</w:t>
      </w:r>
      <w:r w:rsidR="00935DF4">
        <w:rPr>
          <w:sz w:val="24"/>
          <w:szCs w:val="24"/>
        </w:rPr>
        <w:t xml:space="preserve">, although the current facility does not have a licensed Dementia Special Care Unit, largely due to the </w:t>
      </w:r>
      <w:r w:rsidR="00D45872">
        <w:rPr>
          <w:sz w:val="24"/>
          <w:szCs w:val="24"/>
        </w:rPr>
        <w:t xml:space="preserve">prohibitive cost </w:t>
      </w:r>
      <w:r w:rsidR="00935DF4">
        <w:rPr>
          <w:sz w:val="24"/>
          <w:szCs w:val="24"/>
        </w:rPr>
        <w:t>to meet physical plant requirements in the current space</w:t>
      </w:r>
      <w:r w:rsidR="00D85326">
        <w:rPr>
          <w:sz w:val="24"/>
          <w:szCs w:val="24"/>
        </w:rPr>
        <w:t>.</w:t>
      </w:r>
    </w:p>
    <w:p w14:paraId="1F8129E1" w14:textId="77777777" w:rsidR="00DF1F31" w:rsidRDefault="00DF1F31" w:rsidP="00DF1F31">
      <w:pPr>
        <w:spacing w:after="0" w:line="240" w:lineRule="auto"/>
        <w:rPr>
          <w:sz w:val="24"/>
          <w:szCs w:val="24"/>
        </w:rPr>
      </w:pPr>
    </w:p>
    <w:p w14:paraId="62CF0EFF" w14:textId="77777777" w:rsidR="00DF1F31" w:rsidRPr="009F5F26" w:rsidRDefault="00DF1F31" w:rsidP="00DF1F31">
      <w:pPr>
        <w:spacing w:after="0" w:line="240" w:lineRule="auto"/>
        <w:rPr>
          <w:sz w:val="24"/>
          <w:szCs w:val="24"/>
        </w:rPr>
      </w:pPr>
      <w:r w:rsidRPr="009F5F26">
        <w:rPr>
          <w:sz w:val="24"/>
          <w:szCs w:val="24"/>
        </w:rPr>
        <w:t xml:space="preserve">As the Applicant was found to fit the criteria set forth in the </w:t>
      </w:r>
      <w:proofErr w:type="spellStart"/>
      <w:r w:rsidRPr="009F5F26">
        <w:rPr>
          <w:sz w:val="24"/>
          <w:szCs w:val="24"/>
        </w:rPr>
        <w:t>DoN</w:t>
      </w:r>
      <w:proofErr w:type="spellEnd"/>
      <w:r w:rsidRPr="009F5F26">
        <w:rPr>
          <w:sz w:val="24"/>
          <w:szCs w:val="24"/>
        </w:rPr>
        <w:t xml:space="preserve"> Memorandum </w:t>
      </w:r>
      <w:r w:rsidRPr="00EC528C">
        <w:rPr>
          <w:sz w:val="24"/>
          <w:szCs w:val="24"/>
        </w:rPr>
        <w:t>“Applications for Determination of Need for Long-Term Care Facilities</w:t>
      </w:r>
      <w:r>
        <w:rPr>
          <w:sz w:val="24"/>
          <w:szCs w:val="24"/>
        </w:rPr>
        <w:t>,</w:t>
      </w:r>
      <w:r w:rsidRPr="00EC528C">
        <w:rPr>
          <w:sz w:val="24"/>
          <w:szCs w:val="24"/>
        </w:rPr>
        <w:t>”</w:t>
      </w:r>
      <w:r>
        <w:rPr>
          <w:rStyle w:val="FootnoteReference"/>
          <w:sz w:val="24"/>
          <w:szCs w:val="24"/>
        </w:rPr>
        <w:footnoteReference w:id="1"/>
      </w:r>
      <w:r w:rsidRPr="009F5F26">
        <w:rPr>
          <w:sz w:val="24"/>
          <w:szCs w:val="24"/>
        </w:rPr>
        <w:t xml:space="preserve"> </w:t>
      </w:r>
      <w:r>
        <w:rPr>
          <w:sz w:val="24"/>
          <w:szCs w:val="24"/>
        </w:rPr>
        <w:t xml:space="preserve">it </w:t>
      </w:r>
      <w:r w:rsidRPr="009F5F26">
        <w:rPr>
          <w:sz w:val="24"/>
          <w:szCs w:val="24"/>
        </w:rPr>
        <w:t xml:space="preserve">received approval to submit a </w:t>
      </w:r>
      <w:proofErr w:type="spellStart"/>
      <w:r w:rsidRPr="009F5F26">
        <w:rPr>
          <w:sz w:val="24"/>
          <w:szCs w:val="24"/>
        </w:rPr>
        <w:t>DoN</w:t>
      </w:r>
      <w:proofErr w:type="spellEnd"/>
      <w:r w:rsidRPr="009F5F26">
        <w:rPr>
          <w:sz w:val="24"/>
          <w:szCs w:val="24"/>
        </w:rPr>
        <w:t xml:space="preserve"> Application to add twenty-one (21) new Level II long-term care beds to its 61-bed skilled facility</w:t>
      </w:r>
      <w:r>
        <w:rPr>
          <w:sz w:val="24"/>
          <w:szCs w:val="24"/>
        </w:rPr>
        <w:t>.</w:t>
      </w:r>
      <w:r w:rsidRPr="009F5F26">
        <w:rPr>
          <w:sz w:val="24"/>
          <w:szCs w:val="24"/>
        </w:rPr>
        <w:t xml:space="preserve"> </w:t>
      </w:r>
    </w:p>
    <w:p w14:paraId="7D36CA10" w14:textId="77777777" w:rsidR="00D85326" w:rsidRDefault="00D85326" w:rsidP="005C06FD">
      <w:pPr>
        <w:spacing w:after="0" w:line="240" w:lineRule="auto"/>
        <w:rPr>
          <w:sz w:val="24"/>
          <w:szCs w:val="24"/>
        </w:rPr>
      </w:pPr>
    </w:p>
    <w:p w14:paraId="15E12692" w14:textId="749662FF" w:rsidR="0017609C" w:rsidRDefault="000E4E82" w:rsidP="00052060">
      <w:pPr>
        <w:spacing w:after="0" w:line="240" w:lineRule="auto"/>
        <w:rPr>
          <w:sz w:val="24"/>
          <w:szCs w:val="24"/>
        </w:rPr>
      </w:pPr>
      <w:r>
        <w:rPr>
          <w:sz w:val="24"/>
          <w:szCs w:val="24"/>
        </w:rPr>
        <w:t xml:space="preserve">The Applicant must </w:t>
      </w:r>
      <w:r w:rsidR="00772B4C">
        <w:rPr>
          <w:sz w:val="24"/>
          <w:szCs w:val="24"/>
        </w:rPr>
        <w:t xml:space="preserve">come into compliance with </w:t>
      </w:r>
      <w:r w:rsidR="002E7B27">
        <w:rPr>
          <w:sz w:val="24"/>
          <w:szCs w:val="24"/>
        </w:rPr>
        <w:t xml:space="preserve">new </w:t>
      </w:r>
      <w:r w:rsidR="00775BD7">
        <w:rPr>
          <w:sz w:val="24"/>
          <w:szCs w:val="24"/>
        </w:rPr>
        <w:t>Department of Public Health (“</w:t>
      </w:r>
      <w:r>
        <w:rPr>
          <w:sz w:val="24"/>
          <w:szCs w:val="24"/>
        </w:rPr>
        <w:t>DPH</w:t>
      </w:r>
      <w:r w:rsidR="00775BD7">
        <w:rPr>
          <w:sz w:val="24"/>
          <w:szCs w:val="24"/>
        </w:rPr>
        <w:t>”</w:t>
      </w:r>
      <w:r>
        <w:rPr>
          <w:sz w:val="24"/>
          <w:szCs w:val="24"/>
        </w:rPr>
        <w:t xml:space="preserve"> </w:t>
      </w:r>
      <w:r w:rsidR="005C06FD" w:rsidRPr="005C06FD">
        <w:rPr>
          <w:sz w:val="24"/>
          <w:szCs w:val="24"/>
        </w:rPr>
        <w:t>de</w:t>
      </w:r>
      <w:r w:rsidR="00875792">
        <w:rPr>
          <w:sz w:val="24"/>
          <w:szCs w:val="24"/>
        </w:rPr>
        <w:t>-</w:t>
      </w:r>
      <w:r w:rsidR="005C06FD" w:rsidRPr="005C06FD">
        <w:rPr>
          <w:sz w:val="24"/>
          <w:szCs w:val="24"/>
        </w:rPr>
        <w:t>densification</w:t>
      </w:r>
      <w:r w:rsidR="005C06FD">
        <w:rPr>
          <w:sz w:val="24"/>
          <w:szCs w:val="24"/>
        </w:rPr>
        <w:t xml:space="preserve"> </w:t>
      </w:r>
      <w:r w:rsidR="005C06FD" w:rsidRPr="005C06FD">
        <w:rPr>
          <w:sz w:val="24"/>
          <w:szCs w:val="24"/>
        </w:rPr>
        <w:t xml:space="preserve">licensure requirements for long-term care facilities </w:t>
      </w:r>
      <w:r w:rsidR="00775BD7">
        <w:rPr>
          <w:sz w:val="24"/>
          <w:szCs w:val="24"/>
        </w:rPr>
        <w:t>set out in</w:t>
      </w:r>
      <w:r w:rsidR="00772B4C">
        <w:rPr>
          <w:sz w:val="24"/>
          <w:szCs w:val="24"/>
        </w:rPr>
        <w:t xml:space="preserve"> </w:t>
      </w:r>
      <w:r w:rsidR="005C06FD" w:rsidRPr="005C06FD">
        <w:rPr>
          <w:sz w:val="24"/>
          <w:szCs w:val="24"/>
        </w:rPr>
        <w:t>105 CMR 150.320(B) (the “De-Densification Requirements”)</w:t>
      </w:r>
      <w:r w:rsidR="00775BD7">
        <w:rPr>
          <w:sz w:val="24"/>
          <w:szCs w:val="24"/>
        </w:rPr>
        <w:t>.  The Applicant has asserted that to meet the De-</w:t>
      </w:r>
      <w:proofErr w:type="spellStart"/>
      <w:r w:rsidR="00775BD7">
        <w:rPr>
          <w:sz w:val="24"/>
          <w:szCs w:val="24"/>
        </w:rPr>
        <w:t>Dedensification</w:t>
      </w:r>
      <w:proofErr w:type="spellEnd"/>
      <w:r w:rsidR="00775BD7">
        <w:rPr>
          <w:sz w:val="24"/>
          <w:szCs w:val="24"/>
        </w:rPr>
        <w:t xml:space="preserve"> Requirements</w:t>
      </w:r>
      <w:r w:rsidR="005C06FD" w:rsidRPr="005C06FD">
        <w:rPr>
          <w:sz w:val="24"/>
          <w:szCs w:val="24"/>
        </w:rPr>
        <w:t xml:space="preserve"> </w:t>
      </w:r>
      <w:r w:rsidR="00775BD7">
        <w:rPr>
          <w:sz w:val="24"/>
          <w:szCs w:val="24"/>
        </w:rPr>
        <w:t xml:space="preserve">in its current building </w:t>
      </w:r>
      <w:r w:rsidR="005C06FD" w:rsidRPr="005C06FD">
        <w:rPr>
          <w:sz w:val="24"/>
          <w:szCs w:val="24"/>
        </w:rPr>
        <w:t xml:space="preserve">would reduce the </w:t>
      </w:r>
      <w:r w:rsidR="00747A26">
        <w:rPr>
          <w:sz w:val="24"/>
          <w:szCs w:val="24"/>
        </w:rPr>
        <w:t xml:space="preserve">existing </w:t>
      </w:r>
      <w:r w:rsidR="005C06FD" w:rsidRPr="005C06FD">
        <w:rPr>
          <w:sz w:val="24"/>
          <w:szCs w:val="24"/>
        </w:rPr>
        <w:t>Facility to only 40 beds</w:t>
      </w:r>
      <w:r w:rsidR="00D55DAA">
        <w:rPr>
          <w:sz w:val="24"/>
          <w:szCs w:val="24"/>
        </w:rPr>
        <w:t xml:space="preserve"> which </w:t>
      </w:r>
      <w:r w:rsidR="005C06FD">
        <w:rPr>
          <w:sz w:val="24"/>
          <w:szCs w:val="24"/>
        </w:rPr>
        <w:t>would</w:t>
      </w:r>
      <w:r w:rsidR="00FD3193">
        <w:rPr>
          <w:spacing w:val="1"/>
          <w:sz w:val="24"/>
        </w:rPr>
        <w:t xml:space="preserve"> </w:t>
      </w:r>
      <w:r w:rsidR="00FD3193">
        <w:rPr>
          <w:sz w:val="24"/>
        </w:rPr>
        <w:t>not</w:t>
      </w:r>
      <w:r w:rsidR="00FD3193">
        <w:rPr>
          <w:spacing w:val="-1"/>
          <w:sz w:val="24"/>
        </w:rPr>
        <w:t xml:space="preserve"> </w:t>
      </w:r>
      <w:r w:rsidR="00FD3193">
        <w:rPr>
          <w:sz w:val="24"/>
        </w:rPr>
        <w:t>be sufficient to serve</w:t>
      </w:r>
      <w:r w:rsidR="00FD3193">
        <w:rPr>
          <w:spacing w:val="1"/>
          <w:sz w:val="24"/>
        </w:rPr>
        <w:t xml:space="preserve"> </w:t>
      </w:r>
      <w:r w:rsidR="00FD3193">
        <w:rPr>
          <w:sz w:val="24"/>
        </w:rPr>
        <w:t>the Applicant’s Patient Panel</w:t>
      </w:r>
      <w:r w:rsidR="008E7843">
        <w:rPr>
          <w:sz w:val="24"/>
          <w:szCs w:val="24"/>
        </w:rPr>
        <w:t xml:space="preserve">. </w:t>
      </w:r>
    </w:p>
    <w:p w14:paraId="7DC95016" w14:textId="53D37D80" w:rsidR="00D1688C" w:rsidRDefault="00D1688C" w:rsidP="005C06FD">
      <w:pPr>
        <w:spacing w:after="0" w:line="240" w:lineRule="auto"/>
        <w:rPr>
          <w:sz w:val="24"/>
          <w:szCs w:val="24"/>
        </w:rPr>
      </w:pPr>
    </w:p>
    <w:p w14:paraId="58BBBC2B" w14:textId="3080B28A" w:rsidR="00860AA5" w:rsidRDefault="00D1688C" w:rsidP="00860AA5">
      <w:pPr>
        <w:spacing w:after="0" w:line="240" w:lineRule="auto"/>
        <w:rPr>
          <w:sz w:val="24"/>
          <w:szCs w:val="24"/>
        </w:rPr>
      </w:pPr>
      <w:r>
        <w:rPr>
          <w:sz w:val="24"/>
          <w:szCs w:val="24"/>
        </w:rPr>
        <w:t xml:space="preserve">The Applicant proposes to build a replacement facility (the “Replacement Facility”) </w:t>
      </w:r>
      <w:r w:rsidR="00775BD7">
        <w:rPr>
          <w:sz w:val="24"/>
          <w:szCs w:val="24"/>
        </w:rPr>
        <w:t xml:space="preserve">with </w:t>
      </w:r>
      <w:r>
        <w:rPr>
          <w:sz w:val="24"/>
          <w:szCs w:val="24"/>
        </w:rPr>
        <w:t xml:space="preserve">82 beds </w:t>
      </w:r>
      <w:proofErr w:type="gramStart"/>
      <w:r>
        <w:rPr>
          <w:sz w:val="24"/>
          <w:szCs w:val="24"/>
        </w:rPr>
        <w:t>in order to</w:t>
      </w:r>
      <w:proofErr w:type="gramEnd"/>
      <w:r>
        <w:rPr>
          <w:sz w:val="24"/>
          <w:szCs w:val="24"/>
        </w:rPr>
        <w:t xml:space="preserve"> both comply with the </w:t>
      </w:r>
      <w:r w:rsidRPr="005C06FD">
        <w:rPr>
          <w:sz w:val="24"/>
          <w:szCs w:val="24"/>
        </w:rPr>
        <w:t>De-Densification Requirements</w:t>
      </w:r>
      <w:r>
        <w:rPr>
          <w:sz w:val="24"/>
          <w:szCs w:val="24"/>
        </w:rPr>
        <w:t xml:space="preserve"> and </w:t>
      </w:r>
      <w:r w:rsidR="00EC528C">
        <w:rPr>
          <w:sz w:val="24"/>
          <w:szCs w:val="24"/>
        </w:rPr>
        <w:t xml:space="preserve">remain </w:t>
      </w:r>
      <w:r w:rsidR="000C3D94">
        <w:rPr>
          <w:sz w:val="24"/>
          <w:szCs w:val="24"/>
        </w:rPr>
        <w:t xml:space="preserve">financially </w:t>
      </w:r>
      <w:r w:rsidR="0044723C">
        <w:rPr>
          <w:sz w:val="24"/>
          <w:szCs w:val="24"/>
        </w:rPr>
        <w:t>viable</w:t>
      </w:r>
      <w:r w:rsidR="00EE406C">
        <w:rPr>
          <w:sz w:val="24"/>
          <w:szCs w:val="24"/>
        </w:rPr>
        <w:t>, while serving its patient panel</w:t>
      </w:r>
      <w:r>
        <w:rPr>
          <w:sz w:val="24"/>
          <w:szCs w:val="24"/>
        </w:rPr>
        <w:t xml:space="preserve">. </w:t>
      </w:r>
      <w:r w:rsidR="00843DA6">
        <w:rPr>
          <w:sz w:val="24"/>
          <w:szCs w:val="24"/>
        </w:rPr>
        <w:t xml:space="preserve">This Replacement Facility will be located adjacent to the current Facility </w:t>
      </w:r>
      <w:r w:rsidR="00775BD7">
        <w:rPr>
          <w:sz w:val="24"/>
          <w:szCs w:val="24"/>
        </w:rPr>
        <w:t xml:space="preserve">on its campus located </w:t>
      </w:r>
      <w:r w:rsidR="00843DA6">
        <w:rPr>
          <w:sz w:val="24"/>
          <w:szCs w:val="24"/>
        </w:rPr>
        <w:t xml:space="preserve">at 250 Shearer St., Palmer, Massachusetts. </w:t>
      </w:r>
    </w:p>
    <w:p w14:paraId="5A9A3754" w14:textId="77777777" w:rsidR="00860AA5" w:rsidRDefault="00860AA5" w:rsidP="00E311EB">
      <w:pPr>
        <w:spacing w:after="0" w:line="240" w:lineRule="auto"/>
        <w:rPr>
          <w:sz w:val="24"/>
          <w:szCs w:val="24"/>
        </w:rPr>
      </w:pPr>
    </w:p>
    <w:p w14:paraId="12923867" w14:textId="77777777" w:rsidR="00A07030" w:rsidRDefault="00E311EB" w:rsidP="00A07030">
      <w:pPr>
        <w:spacing w:after="0" w:line="240" w:lineRule="auto"/>
        <w:rPr>
          <w:sz w:val="24"/>
          <w:szCs w:val="24"/>
        </w:rPr>
      </w:pPr>
      <w:r>
        <w:rPr>
          <w:sz w:val="24"/>
          <w:szCs w:val="24"/>
        </w:rPr>
        <w:t>A summary of changes proposed by the Applicant is presented in Table 1.</w:t>
      </w:r>
    </w:p>
    <w:p w14:paraId="70A68FCA" w14:textId="77777777" w:rsidR="00A07030" w:rsidRDefault="00A07030">
      <w:pPr>
        <w:rPr>
          <w:sz w:val="24"/>
          <w:szCs w:val="24"/>
        </w:rPr>
      </w:pPr>
      <w:r>
        <w:rPr>
          <w:sz w:val="24"/>
          <w:szCs w:val="24"/>
        </w:rPr>
        <w:br w:type="page"/>
      </w:r>
    </w:p>
    <w:p w14:paraId="3C47AF00" w14:textId="0E8A7491" w:rsidR="00860AA5" w:rsidRDefault="00A07030" w:rsidP="00A07030">
      <w:pPr>
        <w:spacing w:after="0" w:line="240" w:lineRule="auto"/>
        <w:rPr>
          <w:b/>
          <w:bCs/>
          <w:i/>
          <w:iCs/>
          <w:sz w:val="24"/>
          <w:szCs w:val="24"/>
        </w:rPr>
      </w:pPr>
      <w:r>
        <w:rPr>
          <w:b/>
          <w:bCs/>
          <w:i/>
          <w:iCs/>
          <w:sz w:val="24"/>
          <w:szCs w:val="24"/>
        </w:rPr>
        <w:lastRenderedPageBreak/>
        <w:t xml:space="preserve"> </w:t>
      </w:r>
    </w:p>
    <w:p w14:paraId="55B88EAE" w14:textId="7507835E" w:rsidR="00E311EB" w:rsidRPr="003E2C27" w:rsidRDefault="00E311EB" w:rsidP="00E311EB">
      <w:pPr>
        <w:pStyle w:val="Caption"/>
        <w:jc w:val="center"/>
        <w:rPr>
          <w:b/>
          <w:bCs/>
          <w:i w:val="0"/>
          <w:iCs w:val="0"/>
          <w:color w:val="auto"/>
          <w:sz w:val="24"/>
          <w:szCs w:val="24"/>
        </w:rPr>
      </w:pPr>
      <w:r w:rsidRPr="003E2C27">
        <w:rPr>
          <w:b/>
          <w:bCs/>
          <w:i w:val="0"/>
          <w:iCs w:val="0"/>
          <w:color w:val="auto"/>
          <w:sz w:val="24"/>
          <w:szCs w:val="24"/>
        </w:rPr>
        <w:t xml:space="preserve">Table </w:t>
      </w:r>
      <w:r>
        <w:rPr>
          <w:b/>
          <w:bCs/>
          <w:i w:val="0"/>
          <w:iCs w:val="0"/>
          <w:color w:val="auto"/>
          <w:sz w:val="24"/>
          <w:szCs w:val="24"/>
        </w:rPr>
        <w:t>1</w:t>
      </w:r>
      <w:r w:rsidRPr="003E2C27">
        <w:rPr>
          <w:b/>
          <w:bCs/>
          <w:i w:val="0"/>
          <w:iCs w:val="0"/>
          <w:color w:val="auto"/>
          <w:sz w:val="24"/>
          <w:szCs w:val="24"/>
        </w:rPr>
        <w:t xml:space="preserve">: </w:t>
      </w:r>
      <w:r>
        <w:rPr>
          <w:b/>
          <w:bCs/>
          <w:i w:val="0"/>
          <w:iCs w:val="0"/>
          <w:color w:val="auto"/>
          <w:sz w:val="24"/>
          <w:szCs w:val="24"/>
        </w:rPr>
        <w:t>Overview of the De</w:t>
      </w:r>
      <w:r w:rsidR="00860AA5">
        <w:rPr>
          <w:b/>
          <w:bCs/>
          <w:i w:val="0"/>
          <w:iCs w:val="0"/>
          <w:color w:val="auto"/>
          <w:sz w:val="24"/>
          <w:szCs w:val="24"/>
        </w:rPr>
        <w:t>-D</w:t>
      </w:r>
      <w:r>
        <w:rPr>
          <w:b/>
          <w:bCs/>
          <w:i w:val="0"/>
          <w:iCs w:val="0"/>
          <w:color w:val="auto"/>
          <w:sz w:val="24"/>
          <w:szCs w:val="24"/>
        </w:rPr>
        <w:t>ensification Project</w:t>
      </w:r>
    </w:p>
    <w:tbl>
      <w:tblPr>
        <w:tblStyle w:val="TableGrid"/>
        <w:tblW w:w="0" w:type="auto"/>
        <w:jc w:val="center"/>
        <w:tblLook w:val="04A0" w:firstRow="1" w:lastRow="0" w:firstColumn="1" w:lastColumn="0" w:noHBand="0" w:noVBand="1"/>
        <w:tblCaption w:val="Table 1: Overview of the De-Densification Project"/>
        <w:tblDescription w:val=" Pre-Project (#) Post-Project (#)&#10;Rooms  &#10;4-bedded rooms 5 0&#10;3-bedded rooms 11 0&#10;2-bedded rooms 4 40*&#10;Private rooms 0 2&#10;Total beds 61 82&#10;Area  &#10;Floors 1 2&#10;Dementia Special Care Units 0 1&#10;Gross Sq Feet 20,976 46,225&#10;"/>
      </w:tblPr>
      <w:tblGrid>
        <w:gridCol w:w="3235"/>
        <w:gridCol w:w="2342"/>
        <w:gridCol w:w="1628"/>
      </w:tblGrid>
      <w:tr w:rsidR="00E311EB" w:rsidRPr="00745ACF" w14:paraId="5DEA1C33" w14:textId="77777777" w:rsidTr="006475CB">
        <w:trPr>
          <w:tblHeader/>
          <w:jc w:val="center"/>
        </w:trPr>
        <w:tc>
          <w:tcPr>
            <w:tcW w:w="3235" w:type="dxa"/>
            <w:tcBorders>
              <w:bottom w:val="single" w:sz="4" w:space="0" w:color="auto"/>
            </w:tcBorders>
            <w:shd w:val="clear" w:color="auto" w:fill="E7E6E6" w:themeFill="background2"/>
          </w:tcPr>
          <w:p w14:paraId="24468C6B" w14:textId="77777777" w:rsidR="00E311EB" w:rsidRDefault="00E311EB" w:rsidP="008547F2">
            <w:pPr>
              <w:contextualSpacing/>
              <w:rPr>
                <w:rFonts w:cstheme="minorHAnsi"/>
                <w:b/>
              </w:rPr>
            </w:pPr>
          </w:p>
        </w:tc>
        <w:tc>
          <w:tcPr>
            <w:tcW w:w="2342" w:type="dxa"/>
            <w:tcBorders>
              <w:bottom w:val="single" w:sz="4" w:space="0" w:color="auto"/>
            </w:tcBorders>
            <w:shd w:val="clear" w:color="auto" w:fill="E7E6E6" w:themeFill="background2"/>
          </w:tcPr>
          <w:p w14:paraId="4185AB3B" w14:textId="77777777" w:rsidR="00E311EB" w:rsidRPr="003E2C27" w:rsidRDefault="00E311EB" w:rsidP="008547F2">
            <w:pPr>
              <w:contextualSpacing/>
              <w:rPr>
                <w:rFonts w:cstheme="minorHAnsi"/>
                <w:b/>
              </w:rPr>
            </w:pPr>
            <w:r>
              <w:rPr>
                <w:rFonts w:cstheme="minorHAnsi"/>
                <w:b/>
              </w:rPr>
              <w:t>Pre-Project (#)</w:t>
            </w:r>
          </w:p>
        </w:tc>
        <w:tc>
          <w:tcPr>
            <w:tcW w:w="0" w:type="auto"/>
            <w:tcBorders>
              <w:bottom w:val="single" w:sz="4" w:space="0" w:color="auto"/>
            </w:tcBorders>
            <w:shd w:val="clear" w:color="auto" w:fill="E7E6E6" w:themeFill="background2"/>
          </w:tcPr>
          <w:p w14:paraId="4006BF6A" w14:textId="77777777" w:rsidR="00E311EB" w:rsidRPr="0031584E" w:rsidRDefault="00E311EB" w:rsidP="008547F2">
            <w:pPr>
              <w:contextualSpacing/>
              <w:rPr>
                <w:rFonts w:cstheme="minorHAnsi"/>
                <w:b/>
                <w:bCs/>
              </w:rPr>
            </w:pPr>
            <w:r>
              <w:rPr>
                <w:rFonts w:cstheme="minorHAnsi"/>
                <w:b/>
                <w:bCs/>
              </w:rPr>
              <w:t>Post-Project (#)</w:t>
            </w:r>
          </w:p>
        </w:tc>
      </w:tr>
      <w:tr w:rsidR="00E311EB" w:rsidRPr="00745ACF" w14:paraId="58543FCE" w14:textId="77777777" w:rsidTr="0023264C">
        <w:trPr>
          <w:jc w:val="center"/>
        </w:trPr>
        <w:tc>
          <w:tcPr>
            <w:tcW w:w="3235" w:type="dxa"/>
          </w:tcPr>
          <w:p w14:paraId="7948B06F" w14:textId="0BF06273" w:rsidR="00E311EB" w:rsidRPr="00BC2220" w:rsidRDefault="00E311EB" w:rsidP="008547F2">
            <w:pPr>
              <w:ind w:left="65"/>
              <w:contextualSpacing/>
              <w:rPr>
                <w:rFonts w:cstheme="minorHAnsi"/>
                <w:b/>
                <w:bCs/>
              </w:rPr>
            </w:pPr>
            <w:r w:rsidRPr="00BC2220">
              <w:rPr>
                <w:rFonts w:cstheme="minorHAnsi"/>
                <w:b/>
                <w:bCs/>
              </w:rPr>
              <w:t>Rooms</w:t>
            </w:r>
          </w:p>
        </w:tc>
        <w:tc>
          <w:tcPr>
            <w:tcW w:w="2342" w:type="dxa"/>
          </w:tcPr>
          <w:p w14:paraId="74A57F58" w14:textId="77777777" w:rsidR="00E311EB" w:rsidRDefault="00E311EB" w:rsidP="008547F2">
            <w:pPr>
              <w:contextualSpacing/>
              <w:rPr>
                <w:rFonts w:cstheme="minorHAnsi"/>
              </w:rPr>
            </w:pPr>
          </w:p>
        </w:tc>
        <w:tc>
          <w:tcPr>
            <w:tcW w:w="0" w:type="auto"/>
          </w:tcPr>
          <w:p w14:paraId="0C1337E7" w14:textId="77777777" w:rsidR="00E311EB" w:rsidRPr="003E2C27" w:rsidRDefault="00E311EB" w:rsidP="008547F2">
            <w:pPr>
              <w:contextualSpacing/>
              <w:jc w:val="center"/>
              <w:rPr>
                <w:rFonts w:cstheme="minorHAnsi"/>
              </w:rPr>
            </w:pPr>
          </w:p>
        </w:tc>
      </w:tr>
      <w:tr w:rsidR="00E311EB" w:rsidRPr="00745ACF" w14:paraId="0575FA2B" w14:textId="77777777" w:rsidTr="0023264C">
        <w:trPr>
          <w:jc w:val="center"/>
        </w:trPr>
        <w:tc>
          <w:tcPr>
            <w:tcW w:w="3235" w:type="dxa"/>
          </w:tcPr>
          <w:p w14:paraId="3320A617" w14:textId="77777777" w:rsidR="00E311EB" w:rsidRPr="003E2C27" w:rsidRDefault="00E311EB" w:rsidP="008547F2">
            <w:pPr>
              <w:ind w:left="245"/>
              <w:contextualSpacing/>
              <w:rPr>
                <w:rFonts w:cstheme="minorHAnsi"/>
              </w:rPr>
            </w:pPr>
            <w:r>
              <w:rPr>
                <w:rFonts w:cstheme="minorHAnsi"/>
              </w:rPr>
              <w:t>4-bedded rooms</w:t>
            </w:r>
          </w:p>
        </w:tc>
        <w:tc>
          <w:tcPr>
            <w:tcW w:w="2342" w:type="dxa"/>
          </w:tcPr>
          <w:p w14:paraId="06909B8C" w14:textId="77777777" w:rsidR="00E311EB" w:rsidRPr="003E2C27" w:rsidRDefault="00E311EB" w:rsidP="008547F2">
            <w:pPr>
              <w:contextualSpacing/>
              <w:jc w:val="center"/>
              <w:rPr>
                <w:rFonts w:cstheme="minorHAnsi"/>
              </w:rPr>
            </w:pPr>
            <w:r>
              <w:rPr>
                <w:rFonts w:cstheme="minorHAnsi"/>
              </w:rPr>
              <w:t>5</w:t>
            </w:r>
          </w:p>
        </w:tc>
        <w:tc>
          <w:tcPr>
            <w:tcW w:w="0" w:type="auto"/>
          </w:tcPr>
          <w:p w14:paraId="74ABFF81" w14:textId="77777777" w:rsidR="00E311EB" w:rsidRPr="003E2C27" w:rsidRDefault="00E311EB" w:rsidP="008547F2">
            <w:pPr>
              <w:contextualSpacing/>
              <w:jc w:val="center"/>
              <w:rPr>
                <w:rFonts w:cstheme="minorHAnsi"/>
              </w:rPr>
            </w:pPr>
            <w:r>
              <w:rPr>
                <w:rFonts w:cstheme="minorHAnsi"/>
              </w:rPr>
              <w:t>0</w:t>
            </w:r>
          </w:p>
        </w:tc>
      </w:tr>
      <w:tr w:rsidR="00E311EB" w:rsidRPr="00745ACF" w14:paraId="6BF68A1C" w14:textId="77777777" w:rsidTr="00093175">
        <w:trPr>
          <w:jc w:val="center"/>
        </w:trPr>
        <w:tc>
          <w:tcPr>
            <w:tcW w:w="3235" w:type="dxa"/>
          </w:tcPr>
          <w:p w14:paraId="1A0AF24E" w14:textId="77777777" w:rsidR="00E311EB" w:rsidRPr="003E2C27" w:rsidRDefault="00E311EB" w:rsidP="008547F2">
            <w:pPr>
              <w:ind w:left="245"/>
              <w:contextualSpacing/>
              <w:rPr>
                <w:rFonts w:cstheme="minorHAnsi"/>
              </w:rPr>
            </w:pPr>
            <w:r>
              <w:rPr>
                <w:rFonts w:cstheme="minorHAnsi"/>
              </w:rPr>
              <w:t>3-bedded rooms</w:t>
            </w:r>
          </w:p>
        </w:tc>
        <w:tc>
          <w:tcPr>
            <w:tcW w:w="2342" w:type="dxa"/>
          </w:tcPr>
          <w:p w14:paraId="30FE5408" w14:textId="77777777" w:rsidR="00E311EB" w:rsidRPr="003E2C27" w:rsidRDefault="00E311EB" w:rsidP="008547F2">
            <w:pPr>
              <w:contextualSpacing/>
              <w:jc w:val="center"/>
              <w:rPr>
                <w:rFonts w:cstheme="minorHAnsi"/>
              </w:rPr>
            </w:pPr>
            <w:r>
              <w:rPr>
                <w:rFonts w:cstheme="minorHAnsi"/>
              </w:rPr>
              <w:t>11</w:t>
            </w:r>
          </w:p>
        </w:tc>
        <w:tc>
          <w:tcPr>
            <w:tcW w:w="0" w:type="auto"/>
          </w:tcPr>
          <w:p w14:paraId="27EA8B81" w14:textId="77777777" w:rsidR="00E311EB" w:rsidRPr="003E2C27" w:rsidRDefault="00E311EB" w:rsidP="008547F2">
            <w:pPr>
              <w:contextualSpacing/>
              <w:jc w:val="center"/>
              <w:rPr>
                <w:rFonts w:cstheme="minorHAnsi"/>
              </w:rPr>
            </w:pPr>
            <w:r>
              <w:rPr>
                <w:rFonts w:cstheme="minorHAnsi"/>
              </w:rPr>
              <w:t>0</w:t>
            </w:r>
          </w:p>
        </w:tc>
      </w:tr>
      <w:tr w:rsidR="00E311EB" w:rsidRPr="00745ACF" w14:paraId="16F53824" w14:textId="77777777" w:rsidTr="00093175">
        <w:trPr>
          <w:jc w:val="center"/>
        </w:trPr>
        <w:tc>
          <w:tcPr>
            <w:tcW w:w="3235" w:type="dxa"/>
          </w:tcPr>
          <w:p w14:paraId="6C1D417D" w14:textId="6925494C" w:rsidR="00E311EB" w:rsidRDefault="00775BD7" w:rsidP="008547F2">
            <w:pPr>
              <w:ind w:left="245"/>
              <w:contextualSpacing/>
              <w:rPr>
                <w:rFonts w:cstheme="minorHAnsi"/>
              </w:rPr>
            </w:pPr>
            <w:r>
              <w:rPr>
                <w:rFonts w:cstheme="minorHAnsi"/>
              </w:rPr>
              <w:t xml:space="preserve">2-bedded </w:t>
            </w:r>
            <w:r w:rsidR="00E311EB">
              <w:rPr>
                <w:rFonts w:cstheme="minorHAnsi"/>
              </w:rPr>
              <w:t>rooms</w:t>
            </w:r>
          </w:p>
        </w:tc>
        <w:tc>
          <w:tcPr>
            <w:tcW w:w="2342" w:type="dxa"/>
          </w:tcPr>
          <w:p w14:paraId="39665936" w14:textId="77777777" w:rsidR="00E311EB" w:rsidRPr="003E2C27" w:rsidRDefault="00E311EB" w:rsidP="008547F2">
            <w:pPr>
              <w:contextualSpacing/>
              <w:jc w:val="center"/>
              <w:rPr>
                <w:rFonts w:cstheme="minorHAnsi"/>
              </w:rPr>
            </w:pPr>
            <w:r>
              <w:rPr>
                <w:rFonts w:cstheme="minorHAnsi"/>
              </w:rPr>
              <w:t>4</w:t>
            </w:r>
          </w:p>
        </w:tc>
        <w:tc>
          <w:tcPr>
            <w:tcW w:w="0" w:type="auto"/>
          </w:tcPr>
          <w:p w14:paraId="26794FC0" w14:textId="40EC2F62" w:rsidR="00E311EB" w:rsidRPr="003E2C27" w:rsidRDefault="00D45872" w:rsidP="008547F2">
            <w:pPr>
              <w:contextualSpacing/>
              <w:jc w:val="center"/>
              <w:rPr>
                <w:rFonts w:cstheme="minorHAnsi"/>
              </w:rPr>
            </w:pPr>
            <w:r>
              <w:rPr>
                <w:rFonts w:cstheme="minorHAnsi"/>
              </w:rPr>
              <w:t>4</w:t>
            </w:r>
            <w:r w:rsidR="00E311EB">
              <w:rPr>
                <w:rFonts w:cstheme="minorHAnsi"/>
              </w:rPr>
              <w:t>0</w:t>
            </w:r>
            <w:r w:rsidR="006B7316">
              <w:rPr>
                <w:rFonts w:cstheme="minorHAnsi"/>
              </w:rPr>
              <w:t>*</w:t>
            </w:r>
          </w:p>
        </w:tc>
      </w:tr>
      <w:tr w:rsidR="00E311EB" w:rsidRPr="00745ACF" w14:paraId="356E83CC" w14:textId="77777777" w:rsidTr="00093175">
        <w:trPr>
          <w:jc w:val="center"/>
        </w:trPr>
        <w:tc>
          <w:tcPr>
            <w:tcW w:w="3235" w:type="dxa"/>
          </w:tcPr>
          <w:p w14:paraId="58778A2E" w14:textId="77777777" w:rsidR="00E311EB" w:rsidRDefault="00E311EB" w:rsidP="008547F2">
            <w:pPr>
              <w:ind w:left="245"/>
              <w:contextualSpacing/>
              <w:rPr>
                <w:rFonts w:cstheme="minorHAnsi"/>
              </w:rPr>
            </w:pPr>
            <w:r>
              <w:rPr>
                <w:rFonts w:cstheme="minorHAnsi"/>
              </w:rPr>
              <w:t>Private rooms</w:t>
            </w:r>
          </w:p>
        </w:tc>
        <w:tc>
          <w:tcPr>
            <w:tcW w:w="2342" w:type="dxa"/>
          </w:tcPr>
          <w:p w14:paraId="7CFCDD06" w14:textId="77777777" w:rsidR="00E311EB" w:rsidRPr="003E2C27" w:rsidRDefault="00E311EB" w:rsidP="008547F2">
            <w:pPr>
              <w:contextualSpacing/>
              <w:jc w:val="center"/>
              <w:rPr>
                <w:rFonts w:cstheme="minorHAnsi"/>
              </w:rPr>
            </w:pPr>
            <w:r>
              <w:rPr>
                <w:rFonts w:cstheme="minorHAnsi"/>
              </w:rPr>
              <w:t>0</w:t>
            </w:r>
          </w:p>
        </w:tc>
        <w:tc>
          <w:tcPr>
            <w:tcW w:w="0" w:type="auto"/>
          </w:tcPr>
          <w:p w14:paraId="0BB838FA" w14:textId="3FE28DAE" w:rsidR="00E311EB" w:rsidRPr="003E2C27" w:rsidRDefault="00D45872" w:rsidP="008547F2">
            <w:pPr>
              <w:contextualSpacing/>
              <w:jc w:val="center"/>
              <w:rPr>
                <w:rFonts w:cstheme="minorHAnsi"/>
              </w:rPr>
            </w:pPr>
            <w:r>
              <w:rPr>
                <w:rFonts w:cstheme="minorHAnsi"/>
              </w:rPr>
              <w:t>2</w:t>
            </w:r>
          </w:p>
        </w:tc>
      </w:tr>
      <w:tr w:rsidR="00E311EB" w:rsidRPr="00745ACF" w14:paraId="7694CCD3" w14:textId="77777777" w:rsidTr="00093175">
        <w:trPr>
          <w:jc w:val="center"/>
        </w:trPr>
        <w:tc>
          <w:tcPr>
            <w:tcW w:w="3235" w:type="dxa"/>
          </w:tcPr>
          <w:p w14:paraId="6E460962" w14:textId="254F5F13" w:rsidR="00E311EB" w:rsidRPr="0031584E" w:rsidRDefault="00E311EB" w:rsidP="00D45872">
            <w:pPr>
              <w:ind w:left="245"/>
              <w:contextualSpacing/>
              <w:rPr>
                <w:rFonts w:cstheme="minorHAnsi"/>
                <w:i/>
                <w:iCs/>
              </w:rPr>
            </w:pPr>
            <w:r w:rsidRPr="0031584E">
              <w:rPr>
                <w:rFonts w:cstheme="minorHAnsi"/>
                <w:i/>
                <w:iCs/>
              </w:rPr>
              <w:t xml:space="preserve">Total </w:t>
            </w:r>
            <w:r>
              <w:rPr>
                <w:rFonts w:cstheme="minorHAnsi"/>
                <w:i/>
                <w:iCs/>
              </w:rPr>
              <w:t>beds</w:t>
            </w:r>
          </w:p>
        </w:tc>
        <w:tc>
          <w:tcPr>
            <w:tcW w:w="2342" w:type="dxa"/>
          </w:tcPr>
          <w:p w14:paraId="0FE2D4F6" w14:textId="77777777" w:rsidR="00E311EB" w:rsidRPr="003E2C27" w:rsidRDefault="00E311EB" w:rsidP="008547F2">
            <w:pPr>
              <w:contextualSpacing/>
              <w:jc w:val="center"/>
              <w:rPr>
                <w:rFonts w:cstheme="minorHAnsi"/>
              </w:rPr>
            </w:pPr>
            <w:r>
              <w:rPr>
                <w:rFonts w:cstheme="minorHAnsi"/>
              </w:rPr>
              <w:t>61</w:t>
            </w:r>
          </w:p>
        </w:tc>
        <w:tc>
          <w:tcPr>
            <w:tcW w:w="0" w:type="auto"/>
          </w:tcPr>
          <w:p w14:paraId="0C10ABA0" w14:textId="07258993" w:rsidR="00E311EB" w:rsidRPr="003E2C27" w:rsidRDefault="00E311EB" w:rsidP="008547F2">
            <w:pPr>
              <w:contextualSpacing/>
              <w:jc w:val="center"/>
              <w:rPr>
                <w:rFonts w:cstheme="minorHAnsi"/>
              </w:rPr>
            </w:pPr>
            <w:r>
              <w:rPr>
                <w:rFonts w:cstheme="minorHAnsi"/>
              </w:rPr>
              <w:t>82</w:t>
            </w:r>
          </w:p>
        </w:tc>
      </w:tr>
      <w:tr w:rsidR="00E311EB" w:rsidRPr="00745ACF" w14:paraId="208A3E6D" w14:textId="77777777" w:rsidTr="00093175">
        <w:trPr>
          <w:jc w:val="center"/>
        </w:trPr>
        <w:tc>
          <w:tcPr>
            <w:tcW w:w="3235" w:type="dxa"/>
          </w:tcPr>
          <w:p w14:paraId="4582A13B" w14:textId="77777777" w:rsidR="00E311EB" w:rsidRPr="00BA1C5F" w:rsidRDefault="00E311EB" w:rsidP="008547F2">
            <w:pPr>
              <w:ind w:left="65"/>
              <w:contextualSpacing/>
              <w:rPr>
                <w:rFonts w:cstheme="minorHAnsi"/>
                <w:b/>
                <w:bCs/>
              </w:rPr>
            </w:pPr>
            <w:r w:rsidRPr="00BA1C5F">
              <w:rPr>
                <w:rFonts w:cstheme="minorHAnsi"/>
                <w:b/>
                <w:bCs/>
              </w:rPr>
              <w:t>Area</w:t>
            </w:r>
          </w:p>
        </w:tc>
        <w:tc>
          <w:tcPr>
            <w:tcW w:w="2342" w:type="dxa"/>
          </w:tcPr>
          <w:p w14:paraId="3F702189" w14:textId="77777777" w:rsidR="00E311EB" w:rsidRDefault="00E311EB" w:rsidP="008547F2">
            <w:pPr>
              <w:contextualSpacing/>
              <w:jc w:val="center"/>
              <w:rPr>
                <w:rFonts w:cstheme="minorHAnsi"/>
              </w:rPr>
            </w:pPr>
          </w:p>
        </w:tc>
        <w:tc>
          <w:tcPr>
            <w:tcW w:w="0" w:type="auto"/>
          </w:tcPr>
          <w:p w14:paraId="4BC35B16" w14:textId="77777777" w:rsidR="00E311EB" w:rsidRPr="003E2C27" w:rsidRDefault="00E311EB" w:rsidP="008547F2">
            <w:pPr>
              <w:contextualSpacing/>
              <w:jc w:val="center"/>
              <w:rPr>
                <w:rFonts w:cstheme="minorHAnsi"/>
              </w:rPr>
            </w:pPr>
          </w:p>
        </w:tc>
      </w:tr>
      <w:tr w:rsidR="00E311EB" w:rsidRPr="00745ACF" w14:paraId="19F9B2B2" w14:textId="77777777" w:rsidTr="00093175">
        <w:trPr>
          <w:jc w:val="center"/>
        </w:trPr>
        <w:tc>
          <w:tcPr>
            <w:tcW w:w="3235" w:type="dxa"/>
          </w:tcPr>
          <w:p w14:paraId="7289907F" w14:textId="77777777" w:rsidR="00E311EB" w:rsidRPr="00BA1C5F" w:rsidRDefault="00E311EB" w:rsidP="008547F2">
            <w:pPr>
              <w:ind w:left="245"/>
              <w:contextualSpacing/>
              <w:rPr>
                <w:rFonts w:cstheme="minorHAnsi"/>
              </w:rPr>
            </w:pPr>
            <w:r>
              <w:rPr>
                <w:rFonts w:cstheme="minorHAnsi"/>
              </w:rPr>
              <w:t>Floors</w:t>
            </w:r>
          </w:p>
        </w:tc>
        <w:tc>
          <w:tcPr>
            <w:tcW w:w="2342" w:type="dxa"/>
          </w:tcPr>
          <w:p w14:paraId="22793B1E" w14:textId="77777777" w:rsidR="00E311EB" w:rsidRDefault="00E311EB" w:rsidP="008547F2">
            <w:pPr>
              <w:contextualSpacing/>
              <w:jc w:val="center"/>
              <w:rPr>
                <w:rFonts w:cstheme="minorHAnsi"/>
              </w:rPr>
            </w:pPr>
            <w:r>
              <w:rPr>
                <w:rFonts w:cstheme="minorHAnsi"/>
              </w:rPr>
              <w:t>1</w:t>
            </w:r>
          </w:p>
        </w:tc>
        <w:tc>
          <w:tcPr>
            <w:tcW w:w="0" w:type="auto"/>
          </w:tcPr>
          <w:p w14:paraId="1FDDC5CB" w14:textId="77777777" w:rsidR="00E311EB" w:rsidRPr="003E2C27" w:rsidRDefault="00E311EB" w:rsidP="008547F2">
            <w:pPr>
              <w:contextualSpacing/>
              <w:jc w:val="center"/>
              <w:rPr>
                <w:rFonts w:cstheme="minorHAnsi"/>
              </w:rPr>
            </w:pPr>
            <w:r>
              <w:rPr>
                <w:rFonts w:cstheme="minorHAnsi"/>
              </w:rPr>
              <w:t>2</w:t>
            </w:r>
          </w:p>
        </w:tc>
      </w:tr>
      <w:tr w:rsidR="00D45872" w:rsidRPr="00745ACF" w14:paraId="3F66175E" w14:textId="77777777" w:rsidTr="00093175">
        <w:trPr>
          <w:jc w:val="center"/>
        </w:trPr>
        <w:tc>
          <w:tcPr>
            <w:tcW w:w="3235" w:type="dxa"/>
          </w:tcPr>
          <w:p w14:paraId="42A34FAC" w14:textId="1FFE0004" w:rsidR="00D45872" w:rsidRDefault="00E23B75" w:rsidP="008547F2">
            <w:pPr>
              <w:ind w:left="245"/>
              <w:contextualSpacing/>
              <w:rPr>
                <w:rFonts w:cstheme="minorHAnsi"/>
              </w:rPr>
            </w:pPr>
            <w:r>
              <w:rPr>
                <w:rFonts w:cstheme="minorHAnsi"/>
              </w:rPr>
              <w:t>Dementia Special Care Units</w:t>
            </w:r>
          </w:p>
        </w:tc>
        <w:tc>
          <w:tcPr>
            <w:tcW w:w="2342" w:type="dxa"/>
          </w:tcPr>
          <w:p w14:paraId="0E3460DE" w14:textId="11DB6A6D" w:rsidR="00D45872" w:rsidRDefault="00E23B75" w:rsidP="008547F2">
            <w:pPr>
              <w:contextualSpacing/>
              <w:jc w:val="center"/>
              <w:rPr>
                <w:rFonts w:cstheme="minorHAnsi"/>
              </w:rPr>
            </w:pPr>
            <w:r>
              <w:rPr>
                <w:rFonts w:cstheme="minorHAnsi"/>
              </w:rPr>
              <w:t>0</w:t>
            </w:r>
          </w:p>
        </w:tc>
        <w:tc>
          <w:tcPr>
            <w:tcW w:w="0" w:type="auto"/>
          </w:tcPr>
          <w:p w14:paraId="0A74D6EE" w14:textId="6D58A09D" w:rsidR="00D45872" w:rsidRDefault="00E23B75" w:rsidP="008547F2">
            <w:pPr>
              <w:contextualSpacing/>
              <w:jc w:val="center"/>
              <w:rPr>
                <w:rFonts w:cstheme="minorHAnsi"/>
              </w:rPr>
            </w:pPr>
            <w:r>
              <w:rPr>
                <w:rFonts w:cstheme="minorHAnsi"/>
              </w:rPr>
              <w:t>1</w:t>
            </w:r>
          </w:p>
        </w:tc>
      </w:tr>
      <w:tr w:rsidR="00E311EB" w:rsidRPr="00745ACF" w14:paraId="216FDF69" w14:textId="77777777" w:rsidTr="00093175">
        <w:trPr>
          <w:jc w:val="center"/>
        </w:trPr>
        <w:tc>
          <w:tcPr>
            <w:tcW w:w="3235" w:type="dxa"/>
          </w:tcPr>
          <w:p w14:paraId="1B49281D" w14:textId="77777777" w:rsidR="00E311EB" w:rsidRDefault="00E311EB" w:rsidP="008547F2">
            <w:pPr>
              <w:ind w:left="245"/>
              <w:contextualSpacing/>
              <w:rPr>
                <w:rFonts w:cstheme="minorHAnsi"/>
              </w:rPr>
            </w:pPr>
            <w:r>
              <w:rPr>
                <w:rFonts w:cstheme="minorHAnsi"/>
              </w:rPr>
              <w:t xml:space="preserve">Gross </w:t>
            </w:r>
            <w:proofErr w:type="spellStart"/>
            <w:r>
              <w:rPr>
                <w:rFonts w:cstheme="minorHAnsi"/>
              </w:rPr>
              <w:t>Sq</w:t>
            </w:r>
            <w:proofErr w:type="spellEnd"/>
            <w:r>
              <w:rPr>
                <w:rFonts w:cstheme="minorHAnsi"/>
              </w:rPr>
              <w:t xml:space="preserve"> Feet</w:t>
            </w:r>
          </w:p>
        </w:tc>
        <w:tc>
          <w:tcPr>
            <w:tcW w:w="2342" w:type="dxa"/>
          </w:tcPr>
          <w:p w14:paraId="6094A505" w14:textId="77777777" w:rsidR="00E311EB" w:rsidRDefault="00E311EB" w:rsidP="008547F2">
            <w:pPr>
              <w:contextualSpacing/>
              <w:jc w:val="center"/>
              <w:rPr>
                <w:rFonts w:cstheme="minorHAnsi"/>
              </w:rPr>
            </w:pPr>
            <w:r>
              <w:rPr>
                <w:rFonts w:cstheme="minorHAnsi"/>
              </w:rPr>
              <w:t>20,976</w:t>
            </w:r>
          </w:p>
        </w:tc>
        <w:tc>
          <w:tcPr>
            <w:tcW w:w="0" w:type="auto"/>
          </w:tcPr>
          <w:p w14:paraId="418B8B68" w14:textId="77777777" w:rsidR="00E311EB" w:rsidRPr="003E2C27" w:rsidRDefault="00E311EB" w:rsidP="008547F2">
            <w:pPr>
              <w:contextualSpacing/>
              <w:jc w:val="center"/>
              <w:rPr>
                <w:rFonts w:cstheme="minorHAnsi"/>
              </w:rPr>
            </w:pPr>
            <w:r>
              <w:rPr>
                <w:rFonts w:cstheme="minorHAnsi"/>
              </w:rPr>
              <w:t>46,225</w:t>
            </w:r>
          </w:p>
        </w:tc>
      </w:tr>
    </w:tbl>
    <w:p w14:paraId="5BDA95AF" w14:textId="7962EEE1" w:rsidR="00E311EB" w:rsidRPr="00763B66" w:rsidRDefault="00763B66" w:rsidP="00763B66">
      <w:pPr>
        <w:spacing w:after="0" w:line="240" w:lineRule="auto"/>
        <w:ind w:left="1440"/>
        <w:rPr>
          <w:sz w:val="18"/>
          <w:szCs w:val="18"/>
        </w:rPr>
      </w:pPr>
      <w:r>
        <w:rPr>
          <w:sz w:val="18"/>
          <w:szCs w:val="18"/>
        </w:rPr>
        <w:t>*</w:t>
      </w:r>
      <w:r w:rsidR="006B7316" w:rsidRPr="00763B66">
        <w:rPr>
          <w:sz w:val="18"/>
          <w:szCs w:val="18"/>
        </w:rPr>
        <w:t xml:space="preserve">The Replacement Facility will include 20 </w:t>
      </w:r>
      <w:r w:rsidRPr="00763B66">
        <w:rPr>
          <w:sz w:val="18"/>
          <w:szCs w:val="18"/>
        </w:rPr>
        <w:t>semi-private hybrid rooms which meet the licensure requirements for single room and can be used as a single or double as needed by the Applicant</w:t>
      </w:r>
    </w:p>
    <w:p w14:paraId="33500A62" w14:textId="77777777" w:rsidR="00763B66" w:rsidRPr="00763B66" w:rsidRDefault="00763B66" w:rsidP="00791A02">
      <w:pPr>
        <w:pStyle w:val="ListParagraph"/>
        <w:spacing w:after="0" w:line="240" w:lineRule="auto"/>
        <w:ind w:left="1800"/>
        <w:rPr>
          <w:sz w:val="18"/>
          <w:szCs w:val="18"/>
        </w:rPr>
      </w:pPr>
    </w:p>
    <w:p w14:paraId="4E04C8A6" w14:textId="10B6BD13" w:rsidR="00935DF4" w:rsidRDefault="00935DF4" w:rsidP="00E60729">
      <w:pPr>
        <w:spacing w:after="0" w:line="240" w:lineRule="auto"/>
        <w:rPr>
          <w:sz w:val="24"/>
          <w:szCs w:val="24"/>
        </w:rPr>
      </w:pPr>
      <w:r>
        <w:rPr>
          <w:sz w:val="24"/>
          <w:szCs w:val="24"/>
        </w:rPr>
        <w:t>Each of the two floors will have 21 rooms: one private room and 20 rooms that can be flexed to serve as either single- or double-bedded rooms.</w:t>
      </w:r>
      <w:r w:rsidR="002B5545">
        <w:rPr>
          <w:sz w:val="24"/>
          <w:szCs w:val="24"/>
        </w:rPr>
        <w:t xml:space="preserve"> Only the second floor will be locked.</w:t>
      </w:r>
    </w:p>
    <w:p w14:paraId="691861D2" w14:textId="77777777" w:rsidR="00935DF4" w:rsidRDefault="00935DF4" w:rsidP="00E60729">
      <w:pPr>
        <w:spacing w:after="0" w:line="240" w:lineRule="auto"/>
        <w:rPr>
          <w:sz w:val="24"/>
          <w:szCs w:val="24"/>
        </w:rPr>
      </w:pPr>
    </w:p>
    <w:p w14:paraId="6CAF2E52" w14:textId="1A807B3E" w:rsidR="00E60729" w:rsidRDefault="00D1688C" w:rsidP="00E60729">
      <w:pPr>
        <w:spacing w:after="0" w:line="240" w:lineRule="auto"/>
        <w:rPr>
          <w:sz w:val="24"/>
          <w:szCs w:val="24"/>
        </w:rPr>
      </w:pPr>
      <w:r>
        <w:rPr>
          <w:sz w:val="24"/>
          <w:szCs w:val="24"/>
        </w:rPr>
        <w:t xml:space="preserve">The </w:t>
      </w:r>
      <w:r w:rsidR="000C3D94">
        <w:rPr>
          <w:sz w:val="24"/>
          <w:szCs w:val="24"/>
        </w:rPr>
        <w:t xml:space="preserve">Applicant states its </w:t>
      </w:r>
      <w:r>
        <w:rPr>
          <w:sz w:val="24"/>
          <w:szCs w:val="24"/>
        </w:rPr>
        <w:t>Replacement Facility</w:t>
      </w:r>
      <w:r w:rsidR="00E60729">
        <w:rPr>
          <w:sz w:val="24"/>
          <w:szCs w:val="24"/>
        </w:rPr>
        <w:t xml:space="preserve"> will </w:t>
      </w:r>
      <w:r w:rsidR="000C3D94">
        <w:rPr>
          <w:sz w:val="24"/>
          <w:szCs w:val="24"/>
        </w:rPr>
        <w:t xml:space="preserve">prioritize </w:t>
      </w:r>
      <w:r w:rsidR="00E60729">
        <w:rPr>
          <w:sz w:val="24"/>
          <w:szCs w:val="24"/>
        </w:rPr>
        <w:t xml:space="preserve">infection control measures against COVID-19 and other transmittable disease by: </w:t>
      </w:r>
    </w:p>
    <w:p w14:paraId="72AFEBB6" w14:textId="0FFD6838" w:rsidR="00E60729" w:rsidRPr="00E0242D" w:rsidRDefault="00BB49CA" w:rsidP="00E0242D">
      <w:pPr>
        <w:pStyle w:val="ListParagraph"/>
        <w:numPr>
          <w:ilvl w:val="0"/>
          <w:numId w:val="39"/>
        </w:numPr>
        <w:spacing w:after="0" w:line="240" w:lineRule="auto"/>
        <w:rPr>
          <w:sz w:val="24"/>
          <w:szCs w:val="24"/>
        </w:rPr>
      </w:pPr>
      <w:r w:rsidRPr="00E0242D">
        <w:rPr>
          <w:sz w:val="24"/>
          <w:szCs w:val="24"/>
        </w:rPr>
        <w:t>Hav</w:t>
      </w:r>
      <w:r w:rsidR="00E60729" w:rsidRPr="00E0242D">
        <w:rPr>
          <w:sz w:val="24"/>
          <w:szCs w:val="24"/>
        </w:rPr>
        <w:t xml:space="preserve">ing a separate entrance and exit vestibule </w:t>
      </w:r>
      <w:r w:rsidR="000C3D94">
        <w:rPr>
          <w:sz w:val="24"/>
          <w:szCs w:val="24"/>
        </w:rPr>
        <w:t xml:space="preserve">to </w:t>
      </w:r>
      <w:r w:rsidR="00B10A4D">
        <w:rPr>
          <w:sz w:val="24"/>
          <w:szCs w:val="24"/>
        </w:rPr>
        <w:t xml:space="preserve">allow for </w:t>
      </w:r>
      <w:r w:rsidR="00DA6A23">
        <w:rPr>
          <w:sz w:val="24"/>
          <w:szCs w:val="24"/>
        </w:rPr>
        <w:t>enhanced</w:t>
      </w:r>
      <w:r w:rsidR="00DA6A23" w:rsidRPr="00E0242D">
        <w:rPr>
          <w:sz w:val="24"/>
          <w:szCs w:val="24"/>
        </w:rPr>
        <w:t xml:space="preserve"> screening</w:t>
      </w:r>
      <w:r w:rsidR="00E60729" w:rsidRPr="00E0242D">
        <w:rPr>
          <w:sz w:val="24"/>
          <w:szCs w:val="24"/>
        </w:rPr>
        <w:t xml:space="preserve"> and infection control measures </w:t>
      </w:r>
    </w:p>
    <w:p w14:paraId="7745016B" w14:textId="0347621C" w:rsidR="00E60729" w:rsidRPr="00E0242D" w:rsidRDefault="00BB49CA" w:rsidP="00E0242D">
      <w:pPr>
        <w:pStyle w:val="ListParagraph"/>
        <w:numPr>
          <w:ilvl w:val="0"/>
          <w:numId w:val="39"/>
        </w:numPr>
        <w:spacing w:after="0" w:line="240" w:lineRule="auto"/>
        <w:rPr>
          <w:sz w:val="24"/>
          <w:szCs w:val="24"/>
        </w:rPr>
      </w:pPr>
      <w:r w:rsidRPr="00E0242D">
        <w:rPr>
          <w:sz w:val="24"/>
          <w:szCs w:val="24"/>
        </w:rPr>
        <w:t>H</w:t>
      </w:r>
      <w:r w:rsidR="00B10A4D">
        <w:rPr>
          <w:sz w:val="24"/>
          <w:szCs w:val="24"/>
        </w:rPr>
        <w:t>aving a h</w:t>
      </w:r>
      <w:r w:rsidRPr="00E0242D">
        <w:rPr>
          <w:sz w:val="24"/>
          <w:szCs w:val="24"/>
        </w:rPr>
        <w:t>andwashing sink near the</w:t>
      </w:r>
      <w:r w:rsidR="00E60729" w:rsidRPr="00E0242D">
        <w:rPr>
          <w:sz w:val="24"/>
          <w:szCs w:val="24"/>
        </w:rPr>
        <w:t xml:space="preserve"> </w:t>
      </w:r>
      <w:r w:rsidRPr="00E0242D">
        <w:rPr>
          <w:sz w:val="24"/>
          <w:szCs w:val="24"/>
        </w:rPr>
        <w:t>replacement facility’s entrance</w:t>
      </w:r>
    </w:p>
    <w:p w14:paraId="73827C20" w14:textId="02DB69B6" w:rsidR="00D1688C" w:rsidRDefault="00BB49CA" w:rsidP="00E0242D">
      <w:pPr>
        <w:pStyle w:val="ListParagraph"/>
        <w:numPr>
          <w:ilvl w:val="0"/>
          <w:numId w:val="39"/>
        </w:numPr>
        <w:spacing w:after="0" w:line="240" w:lineRule="auto"/>
        <w:rPr>
          <w:sz w:val="24"/>
          <w:szCs w:val="24"/>
        </w:rPr>
      </w:pPr>
      <w:r w:rsidRPr="00E0242D">
        <w:rPr>
          <w:sz w:val="24"/>
          <w:szCs w:val="24"/>
        </w:rPr>
        <w:t>Implementing a</w:t>
      </w:r>
      <w:r w:rsidR="00E60729" w:rsidRPr="00E0242D">
        <w:rPr>
          <w:sz w:val="24"/>
          <w:szCs w:val="24"/>
        </w:rPr>
        <w:t xml:space="preserve"> layered approach to maximizing outdoor air ventilation and/or reducing recirculation of air indoors, consistent with the layered approach described in the Centers for Disease Control and Prevention Guidelines.</w:t>
      </w:r>
      <w:r w:rsidR="00251919" w:rsidRPr="00E0242D">
        <w:rPr>
          <w:rStyle w:val="FootnoteReference"/>
          <w:sz w:val="24"/>
          <w:szCs w:val="24"/>
        </w:rPr>
        <w:footnoteReference w:id="2"/>
      </w:r>
    </w:p>
    <w:p w14:paraId="50354A9C" w14:textId="7414EEF8" w:rsidR="002E1E76" w:rsidRPr="00DA6A23" w:rsidRDefault="000C3D94" w:rsidP="002E1E76">
      <w:pPr>
        <w:pStyle w:val="ListParagraph"/>
        <w:numPr>
          <w:ilvl w:val="0"/>
          <w:numId w:val="39"/>
        </w:numPr>
        <w:spacing w:after="0" w:line="240" w:lineRule="auto"/>
        <w:rPr>
          <w:sz w:val="24"/>
          <w:szCs w:val="24"/>
        </w:rPr>
      </w:pPr>
      <w:r w:rsidRPr="00DA6A23">
        <w:rPr>
          <w:sz w:val="24"/>
          <w:szCs w:val="24"/>
        </w:rPr>
        <w:t>I</w:t>
      </w:r>
      <w:r w:rsidR="002E1E76" w:rsidRPr="00DA6A23">
        <w:rPr>
          <w:sz w:val="24"/>
          <w:szCs w:val="24"/>
        </w:rPr>
        <w:t>nstalling</w:t>
      </w:r>
      <w:r w:rsidRPr="00DA6A23">
        <w:rPr>
          <w:sz w:val="24"/>
          <w:szCs w:val="24"/>
        </w:rPr>
        <w:t xml:space="preserve"> a state-of-the-art </w:t>
      </w:r>
      <w:r w:rsidR="002E1E76" w:rsidRPr="00DA6A23">
        <w:rPr>
          <w:sz w:val="24"/>
          <w:szCs w:val="24"/>
        </w:rPr>
        <w:t>variable refrigerant flow (</w:t>
      </w:r>
      <w:r w:rsidRPr="00DA6A23">
        <w:rPr>
          <w:sz w:val="24"/>
          <w:szCs w:val="24"/>
        </w:rPr>
        <w:t>VRF</w:t>
      </w:r>
      <w:r w:rsidR="002E1E76" w:rsidRPr="00DA6A23">
        <w:rPr>
          <w:sz w:val="24"/>
          <w:szCs w:val="24"/>
        </w:rPr>
        <w:t>)</w:t>
      </w:r>
      <w:r w:rsidRPr="00DA6A23">
        <w:rPr>
          <w:sz w:val="24"/>
          <w:szCs w:val="24"/>
        </w:rPr>
        <w:t xml:space="preserve"> forced air HVAC system which </w:t>
      </w:r>
      <w:r w:rsidR="002E1E76" w:rsidRPr="00DA6A23">
        <w:rPr>
          <w:sz w:val="24"/>
          <w:szCs w:val="24"/>
        </w:rPr>
        <w:t>will</w:t>
      </w:r>
      <w:r w:rsidRPr="00DA6A23">
        <w:rPr>
          <w:sz w:val="24"/>
          <w:szCs w:val="24"/>
        </w:rPr>
        <w:t xml:space="preserve"> include mechanical fresh air provided by a series of Energy Recovery Ventilators (ERV’s) which pre-condition incoming outside air with heated or cooled air, thereby increasing energy efficiency and maximizing infection control by achieving the required level of air exchanges and filtering the fresh air with MERV-13 filtration throughout the building, which effectively targets airborne contaminants. </w:t>
      </w:r>
    </w:p>
    <w:p w14:paraId="5577D659" w14:textId="1C7E6745" w:rsidR="001C73D7" w:rsidRPr="00DA6A23" w:rsidRDefault="00B10A4D" w:rsidP="002E1E76">
      <w:pPr>
        <w:pStyle w:val="ListParagraph"/>
        <w:numPr>
          <w:ilvl w:val="0"/>
          <w:numId w:val="39"/>
        </w:numPr>
        <w:spacing w:after="0" w:line="240" w:lineRule="auto"/>
        <w:rPr>
          <w:sz w:val="24"/>
          <w:szCs w:val="24"/>
        </w:rPr>
      </w:pPr>
      <w:r w:rsidRPr="00DA6A23">
        <w:rPr>
          <w:sz w:val="24"/>
          <w:szCs w:val="24"/>
        </w:rPr>
        <w:t>H</w:t>
      </w:r>
      <w:r w:rsidR="000C3D94" w:rsidRPr="00DA6A23">
        <w:rPr>
          <w:sz w:val="24"/>
          <w:szCs w:val="24"/>
        </w:rPr>
        <w:t>av</w:t>
      </w:r>
      <w:r w:rsidRPr="00DA6A23">
        <w:rPr>
          <w:sz w:val="24"/>
          <w:szCs w:val="24"/>
        </w:rPr>
        <w:t>ing</w:t>
      </w:r>
      <w:r w:rsidR="000C3D94" w:rsidRPr="00DA6A23">
        <w:rPr>
          <w:sz w:val="24"/>
          <w:szCs w:val="24"/>
        </w:rPr>
        <w:t xml:space="preserve"> a localized air filtration and interior mechanical air exchange which has been shown to improve the indoor air quality (IAQ) and further mitigate air contamination.</w:t>
      </w:r>
    </w:p>
    <w:p w14:paraId="483D71DB" w14:textId="77777777" w:rsidR="002E1E76" w:rsidRDefault="002E1E76" w:rsidP="002D4CBC">
      <w:pPr>
        <w:spacing w:after="0" w:line="240" w:lineRule="auto"/>
        <w:rPr>
          <w:sz w:val="24"/>
          <w:szCs w:val="24"/>
        </w:rPr>
      </w:pPr>
    </w:p>
    <w:p w14:paraId="4162FC96" w14:textId="4FB14FFE" w:rsidR="00BB440E" w:rsidRDefault="001C73D7" w:rsidP="002D4CBC">
      <w:pPr>
        <w:spacing w:after="0" w:line="240" w:lineRule="auto"/>
        <w:rPr>
          <w:sz w:val="24"/>
          <w:szCs w:val="24"/>
        </w:rPr>
      </w:pPr>
      <w:r>
        <w:rPr>
          <w:sz w:val="24"/>
          <w:szCs w:val="24"/>
        </w:rPr>
        <w:t xml:space="preserve">The Replacement Facility will have the capacity to serve </w:t>
      </w:r>
      <w:r w:rsidR="002D4CBC" w:rsidRPr="002D4CBC">
        <w:rPr>
          <w:sz w:val="24"/>
          <w:szCs w:val="24"/>
        </w:rPr>
        <w:t>individuals with geriatric-psychiatric or dementia diagnosis who need access to skilled nursing care in a secure facility</w:t>
      </w:r>
      <w:r w:rsidR="006234E1">
        <w:rPr>
          <w:sz w:val="24"/>
          <w:szCs w:val="24"/>
        </w:rPr>
        <w:t>,</w:t>
      </w:r>
      <w:r w:rsidR="00266B58">
        <w:rPr>
          <w:sz w:val="24"/>
          <w:szCs w:val="24"/>
        </w:rPr>
        <w:t xml:space="preserve"> </w:t>
      </w:r>
      <w:r w:rsidR="002D4CBC" w:rsidRPr="002D4CBC">
        <w:rPr>
          <w:sz w:val="24"/>
          <w:szCs w:val="24"/>
        </w:rPr>
        <w:t>individuals with COVID-19 (or other similar infectious, airborne diseases)</w:t>
      </w:r>
      <w:r w:rsidR="00B10A4D">
        <w:rPr>
          <w:sz w:val="24"/>
          <w:szCs w:val="24"/>
        </w:rPr>
        <w:t>,</w:t>
      </w:r>
      <w:r w:rsidR="006234E1">
        <w:rPr>
          <w:sz w:val="24"/>
          <w:szCs w:val="24"/>
        </w:rPr>
        <w:t xml:space="preserve"> a</w:t>
      </w:r>
      <w:r w:rsidR="00B10A4D">
        <w:rPr>
          <w:sz w:val="24"/>
          <w:szCs w:val="24"/>
        </w:rPr>
        <w:t>nd</w:t>
      </w:r>
      <w:r w:rsidR="006234E1">
        <w:rPr>
          <w:sz w:val="24"/>
          <w:szCs w:val="24"/>
        </w:rPr>
        <w:t xml:space="preserve"> </w:t>
      </w:r>
      <w:r w:rsidR="006234E1" w:rsidRPr="006234E1">
        <w:rPr>
          <w:sz w:val="24"/>
          <w:szCs w:val="24"/>
        </w:rPr>
        <w:t>individuals with</w:t>
      </w:r>
      <w:r w:rsidR="00B10A4D">
        <w:rPr>
          <w:sz w:val="24"/>
          <w:szCs w:val="24"/>
        </w:rPr>
        <w:t xml:space="preserve"> </w:t>
      </w:r>
      <w:r w:rsidR="00B77716" w:rsidRPr="006234E1">
        <w:rPr>
          <w:sz w:val="24"/>
          <w:szCs w:val="24"/>
        </w:rPr>
        <w:t>short-term</w:t>
      </w:r>
      <w:r w:rsidR="006234E1">
        <w:rPr>
          <w:sz w:val="24"/>
          <w:szCs w:val="24"/>
        </w:rPr>
        <w:t xml:space="preserve"> </w:t>
      </w:r>
      <w:r w:rsidR="006234E1" w:rsidRPr="006234E1">
        <w:rPr>
          <w:sz w:val="24"/>
          <w:szCs w:val="24"/>
        </w:rPr>
        <w:t xml:space="preserve">skilled </w:t>
      </w:r>
      <w:r w:rsidR="00733802">
        <w:rPr>
          <w:sz w:val="24"/>
          <w:szCs w:val="24"/>
        </w:rPr>
        <w:t xml:space="preserve">nursing </w:t>
      </w:r>
      <w:r w:rsidR="006234E1" w:rsidRPr="006234E1">
        <w:rPr>
          <w:sz w:val="24"/>
          <w:szCs w:val="24"/>
        </w:rPr>
        <w:t>care needs</w:t>
      </w:r>
      <w:r w:rsidR="002D4CBC" w:rsidRPr="002D4CBC">
        <w:rPr>
          <w:sz w:val="24"/>
          <w:szCs w:val="24"/>
        </w:rPr>
        <w:t>.</w:t>
      </w:r>
    </w:p>
    <w:p w14:paraId="23670C59" w14:textId="77777777" w:rsidR="0031584E" w:rsidRDefault="0031584E" w:rsidP="002D4CBC">
      <w:pPr>
        <w:spacing w:after="0" w:line="240" w:lineRule="auto"/>
        <w:rPr>
          <w:sz w:val="24"/>
          <w:szCs w:val="24"/>
        </w:rPr>
      </w:pPr>
    </w:p>
    <w:p w14:paraId="3A762C93" w14:textId="47818517" w:rsidR="0068019E" w:rsidRDefault="0068019E" w:rsidP="002E1E76">
      <w:pPr>
        <w:spacing w:after="0" w:line="240" w:lineRule="auto"/>
        <w:contextualSpacing/>
        <w:rPr>
          <w:rFonts w:ascii="Garamond" w:eastAsia="Calibri" w:hAnsi="Garamond" w:cs="Times New Roman"/>
          <w:b/>
          <w:bCs/>
          <w:sz w:val="32"/>
          <w:szCs w:val="32"/>
        </w:rPr>
      </w:pPr>
      <w:bookmarkStart w:id="0" w:name="_Toc17151136"/>
    </w:p>
    <w:p w14:paraId="7F7BFF7F" w14:textId="0AF6DD80" w:rsidR="00CF2B67" w:rsidRPr="00860AA5" w:rsidRDefault="00266B58" w:rsidP="00860AA5">
      <w:pPr>
        <w:rPr>
          <w:rFonts w:ascii="Garamond" w:eastAsia="Calibri" w:hAnsi="Garamond" w:cs="Times New Roman"/>
          <w:b/>
          <w:bCs/>
          <w:sz w:val="32"/>
          <w:szCs w:val="32"/>
        </w:rPr>
      </w:pPr>
      <w:r>
        <w:rPr>
          <w:rFonts w:ascii="Garamond" w:eastAsia="Calibri" w:hAnsi="Garamond" w:cs="Times New Roman"/>
          <w:b/>
          <w:bCs/>
          <w:sz w:val="32"/>
          <w:szCs w:val="32"/>
        </w:rPr>
        <w:br w:type="page"/>
      </w:r>
      <w:r w:rsidR="00CF2B67" w:rsidRPr="00CF2B67">
        <w:rPr>
          <w:rFonts w:ascii="Garamond" w:eastAsia="Calibri" w:hAnsi="Garamond" w:cs="Times New Roman"/>
          <w:b/>
          <w:bCs/>
          <w:sz w:val="32"/>
          <w:szCs w:val="32"/>
        </w:rPr>
        <w:lastRenderedPageBreak/>
        <w:t>OVERVIEW of PROPOSED PROJECT AND FACTOR REVIEW</w:t>
      </w:r>
      <w:bookmarkEnd w:id="0"/>
    </w:p>
    <w:tbl>
      <w:tblPr>
        <w:tblStyle w:val="GridTable4-Accent11"/>
        <w:tblW w:w="0" w:type="auto"/>
        <w:tblInd w:w="-643" w:type="dxa"/>
        <w:tblBorders>
          <w:top w:val="single" w:sz="12" w:space="0" w:color="9FACD2"/>
          <w:left w:val="single" w:sz="12" w:space="0" w:color="9FACD2"/>
          <w:bottom w:val="single" w:sz="12" w:space="0" w:color="9FACD2"/>
          <w:right w:val="single" w:sz="12" w:space="0" w:color="9FACD2"/>
          <w:insideH w:val="single" w:sz="12" w:space="0" w:color="9FACD2"/>
          <w:insideV w:val="single" w:sz="12" w:space="0" w:color="9FACD2"/>
        </w:tblBorders>
        <w:tblCellMar>
          <w:left w:w="115" w:type="dxa"/>
          <w:right w:w="115" w:type="dxa"/>
        </w:tblCellMar>
        <w:tblLook w:val="04A0" w:firstRow="1" w:lastRow="0" w:firstColumn="1" w:lastColumn="0" w:noHBand="0" w:noVBand="1"/>
        <w:tblCaption w:val="Overview of Proposed Project and Factor Review"/>
        <w:tblDescription w:val="Description What’s Needed to Meet Factor 1: Demonstration of need; improved health outcomes and quality of life; assurances of health equity; continuity and coordination of care; evidence of community engagement; and competition on recognized measures of health care spending.&#10; What’s Needed to Meet Factor 2: Demonstration of cost containment, improved public health outcomes, and delivery system transformation&#10; Factors 3, 4 &amp; 5  What’s Needed to Meet Factor 6: Demonstration of plans for fulfilling … responsibilities … in the DPH Community-based Health Initiatives Guideline.&#10; Staff Report finds &#10; MEETS MEETS MEETS&#10; MEETS&#10;The Applicant is proposing to replace their existing facility, increasing the number of beds from 61 to 82, in order to: 1) comply with the new Dedensification Requirements and 2) continue performing at their maximum efficiency level.     &#10;"/>
      </w:tblPr>
      <w:tblGrid>
        <w:gridCol w:w="2075"/>
        <w:gridCol w:w="3138"/>
        <w:gridCol w:w="1865"/>
        <w:gridCol w:w="1102"/>
        <w:gridCol w:w="1793"/>
      </w:tblGrid>
      <w:tr w:rsidR="00747A26" w:rsidRPr="00CF2B67" w14:paraId="64840DC0" w14:textId="77777777" w:rsidTr="005662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78" w:type="dxa"/>
            <w:tcBorders>
              <w:right w:val="single" w:sz="4" w:space="0" w:color="6076B4"/>
            </w:tcBorders>
            <w:shd w:val="clear" w:color="auto" w:fill="BFC8E1"/>
          </w:tcPr>
          <w:p w14:paraId="5305BA83" w14:textId="77777777" w:rsidR="00CF2B67" w:rsidRPr="00CF2B67" w:rsidRDefault="00CF2B67" w:rsidP="00CF2B67">
            <w:pPr>
              <w:contextualSpacing/>
              <w:rPr>
                <w:rFonts w:ascii="Garamond" w:eastAsia="Calibri" w:hAnsi="Garamond" w:cs="Cambria"/>
                <w:color w:val="auto"/>
              </w:rPr>
            </w:pPr>
            <w:r w:rsidRPr="00CF2B67">
              <w:rPr>
                <w:rFonts w:ascii="Garamond" w:eastAsia="Calibri" w:hAnsi="Garamond" w:cs="Cambria"/>
                <w:color w:val="auto"/>
              </w:rPr>
              <w:t>Description</w:t>
            </w:r>
          </w:p>
        </w:tc>
        <w:tc>
          <w:tcPr>
            <w:tcW w:w="3150" w:type="dxa"/>
            <w:tcBorders>
              <w:left w:val="single" w:sz="4" w:space="0" w:color="6076B4"/>
              <w:right w:val="single" w:sz="4" w:space="0" w:color="6076B4"/>
            </w:tcBorders>
            <w:shd w:val="clear" w:color="auto" w:fill="BFC8E1"/>
          </w:tcPr>
          <w:p w14:paraId="1DD11021"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1: Demonstration of need; improved health outcomes and quality of life; assurances of health equity; continuity and coordination of care; evidence of community engagement; and competition on recognized measures of health care spending.</w:t>
            </w:r>
          </w:p>
          <w:p w14:paraId="786481F9"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smallCaps/>
                <w:color w:val="auto"/>
                <w:sz w:val="21"/>
                <w:szCs w:val="21"/>
              </w:rPr>
            </w:pPr>
          </w:p>
        </w:tc>
        <w:tc>
          <w:tcPr>
            <w:tcW w:w="1867" w:type="dxa"/>
            <w:tcBorders>
              <w:left w:val="single" w:sz="4" w:space="0" w:color="6076B4"/>
              <w:right w:val="single" w:sz="4" w:space="0" w:color="6076B4"/>
            </w:tcBorders>
            <w:shd w:val="clear" w:color="auto" w:fill="BFC8E1"/>
          </w:tcPr>
          <w:p w14:paraId="42DB324E"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2: Demonstration of cost containment, improved public health outcomes, and delivery system transformation</w:t>
            </w:r>
          </w:p>
          <w:p w14:paraId="6E25B61F"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p>
        </w:tc>
        <w:tc>
          <w:tcPr>
            <w:tcW w:w="1103" w:type="dxa"/>
            <w:tcBorders>
              <w:left w:val="single" w:sz="4" w:space="0" w:color="6076B4"/>
              <w:right w:val="single" w:sz="4" w:space="0" w:color="6076B4"/>
            </w:tcBorders>
            <w:shd w:val="clear" w:color="auto" w:fill="BFC8E1"/>
          </w:tcPr>
          <w:p w14:paraId="37C8B0A8"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Factors 3, 4 &amp; 5</w:t>
            </w:r>
            <w:r w:rsidRPr="00566205">
              <w:rPr>
                <w:rFonts w:ascii="Garamond" w:eastAsia="Calibri" w:hAnsi="Garamond" w:cs="Cambria"/>
                <w:color w:val="auto"/>
                <w:sz w:val="21"/>
                <w:szCs w:val="21"/>
                <w:vertAlign w:val="superscript"/>
              </w:rPr>
              <w:footnoteReference w:id="3"/>
            </w:r>
          </w:p>
        </w:tc>
        <w:tc>
          <w:tcPr>
            <w:tcW w:w="1795" w:type="dxa"/>
            <w:tcBorders>
              <w:left w:val="single" w:sz="4" w:space="0" w:color="6076B4"/>
            </w:tcBorders>
            <w:shd w:val="clear" w:color="auto" w:fill="BFC8E1"/>
          </w:tcPr>
          <w:p w14:paraId="292DFE5D" w14:textId="77777777" w:rsidR="00CF2B67" w:rsidRPr="00566205" w:rsidRDefault="00CF2B67" w:rsidP="00CF2B67">
            <w:pPr>
              <w:contextualSpacing/>
              <w:cnfStyle w:val="100000000000" w:firstRow="1" w:lastRow="0" w:firstColumn="0" w:lastColumn="0" w:oddVBand="0" w:evenVBand="0" w:oddHBand="0" w:evenHBand="0" w:firstRowFirstColumn="0" w:firstRowLastColumn="0" w:lastRowFirstColumn="0" w:lastRowLastColumn="0"/>
              <w:rPr>
                <w:rFonts w:ascii="Garamond" w:eastAsia="Calibri" w:hAnsi="Garamond" w:cs="Cambria"/>
                <w:color w:val="auto"/>
                <w:sz w:val="21"/>
                <w:szCs w:val="21"/>
              </w:rPr>
            </w:pPr>
            <w:r w:rsidRPr="00566205">
              <w:rPr>
                <w:rFonts w:ascii="Garamond" w:eastAsia="Calibri" w:hAnsi="Garamond" w:cs="Cambria"/>
                <w:color w:val="auto"/>
                <w:sz w:val="21"/>
                <w:szCs w:val="21"/>
              </w:rPr>
              <w:t>What’s Needed to Meet Factor 6: Demonstration of plans for fulfilling … responsibilities … in the DPH Community-based Health Initiatives Guideline.</w:t>
            </w:r>
          </w:p>
        </w:tc>
      </w:tr>
      <w:tr w:rsidR="00566205" w:rsidRPr="00CF2B67" w14:paraId="70B96818" w14:textId="77777777" w:rsidTr="00566205">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078" w:type="dxa"/>
            <w:vMerge w:val="restart"/>
          </w:tcPr>
          <w:p w14:paraId="39106208" w14:textId="77777777" w:rsidR="00CF2B67" w:rsidRPr="00CF2B67" w:rsidRDefault="00CF2B67" w:rsidP="00CF2B67">
            <w:pPr>
              <w:contextualSpacing/>
              <w:rPr>
                <w:rFonts w:ascii="Garamond" w:eastAsia="Calibri" w:hAnsi="Garamond" w:cs="Cambria"/>
              </w:rPr>
            </w:pPr>
            <w:bookmarkStart w:id="1" w:name="_GoBack" w:colFirst="0" w:colLast="0"/>
          </w:p>
        </w:tc>
        <w:tc>
          <w:tcPr>
            <w:tcW w:w="6120" w:type="dxa"/>
            <w:gridSpan w:val="3"/>
          </w:tcPr>
          <w:p w14:paraId="448D9A3B"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i/>
                <w:iCs/>
                <w:smallCaps/>
              </w:rPr>
            </w:pPr>
            <w:r w:rsidRPr="00CF2B67">
              <w:rPr>
                <w:rFonts w:ascii="Garamond" w:eastAsia="Calibri" w:hAnsi="Garamond" w:cs="Cambria"/>
                <w:b/>
                <w:i/>
                <w:iCs/>
              </w:rPr>
              <w:t>Staff Report finds</w:t>
            </w:r>
          </w:p>
        </w:tc>
        <w:tc>
          <w:tcPr>
            <w:tcW w:w="1795" w:type="dxa"/>
          </w:tcPr>
          <w:p w14:paraId="0762B4A9" w14:textId="77777777" w:rsidR="00CF2B67" w:rsidRPr="00CF2B67" w:rsidRDefault="00CF2B67" w:rsidP="00CF2B67">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i/>
                <w:iCs/>
              </w:rPr>
            </w:pPr>
          </w:p>
        </w:tc>
      </w:tr>
      <w:bookmarkEnd w:id="1"/>
      <w:tr w:rsidR="00747A26" w:rsidRPr="00CF2B67" w14:paraId="550C5136" w14:textId="77777777" w:rsidTr="00566205">
        <w:trPr>
          <w:trHeight w:val="323"/>
        </w:trPr>
        <w:tc>
          <w:tcPr>
            <w:cnfStyle w:val="001000000000" w:firstRow="0" w:lastRow="0" w:firstColumn="1" w:lastColumn="0" w:oddVBand="0" w:evenVBand="0" w:oddHBand="0" w:evenHBand="0" w:firstRowFirstColumn="0" w:firstRowLastColumn="0" w:lastRowFirstColumn="0" w:lastRowLastColumn="0"/>
            <w:tcW w:w="2078" w:type="dxa"/>
            <w:vMerge/>
          </w:tcPr>
          <w:p w14:paraId="13DB6379" w14:textId="77777777" w:rsidR="00CF2B67" w:rsidRPr="00CF2B67" w:rsidRDefault="00CF2B67" w:rsidP="00CF2B67">
            <w:pPr>
              <w:contextualSpacing/>
              <w:rPr>
                <w:rFonts w:ascii="Garamond" w:eastAsia="Calibri" w:hAnsi="Garamond" w:cs="Cambria"/>
              </w:rPr>
            </w:pPr>
          </w:p>
        </w:tc>
        <w:tc>
          <w:tcPr>
            <w:tcW w:w="3150" w:type="dxa"/>
            <w:shd w:val="clear" w:color="auto" w:fill="DFE3F0"/>
          </w:tcPr>
          <w:p w14:paraId="6283CB15"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1867" w:type="dxa"/>
            <w:shd w:val="clear" w:color="auto" w:fill="DFE3F0"/>
          </w:tcPr>
          <w:p w14:paraId="7512D252"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rPr>
            </w:pPr>
            <w:r w:rsidRPr="00CF2B67">
              <w:rPr>
                <w:rFonts w:ascii="Garamond" w:eastAsia="Calibri" w:hAnsi="Garamond" w:cs="Cambria"/>
                <w:b/>
                <w:bCs/>
                <w:smallCaps/>
              </w:rPr>
              <w:t>MEETS</w:t>
            </w:r>
          </w:p>
        </w:tc>
        <w:tc>
          <w:tcPr>
            <w:tcW w:w="1103" w:type="dxa"/>
            <w:shd w:val="clear" w:color="auto" w:fill="DFE3F0"/>
          </w:tcPr>
          <w:p w14:paraId="6E1B90FE"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rPr>
            </w:pPr>
            <w:r w:rsidRPr="00CF2B67">
              <w:rPr>
                <w:rFonts w:ascii="Garamond" w:eastAsia="Calibri" w:hAnsi="Garamond" w:cs="Cambria"/>
                <w:b/>
                <w:bCs/>
                <w:smallCaps/>
              </w:rPr>
              <w:t>MEETS</w:t>
            </w:r>
          </w:p>
          <w:p w14:paraId="32964E32" w14:textId="77777777" w:rsidR="00CF2B67" w:rsidRPr="00CF2B67" w:rsidRDefault="00CF2B67" w:rsidP="00CF2B67">
            <w:pPr>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p>
        </w:tc>
        <w:tc>
          <w:tcPr>
            <w:tcW w:w="1795" w:type="dxa"/>
            <w:shd w:val="clear" w:color="auto" w:fill="DFE3F0"/>
          </w:tcPr>
          <w:p w14:paraId="4B42999F" w14:textId="77777777" w:rsidR="00CF2B67" w:rsidRPr="00CF2B67" w:rsidRDefault="00CF2B67" w:rsidP="00CF2B67">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Cambria"/>
                <w:b/>
                <w:bCs/>
                <w:smallCaps/>
              </w:rPr>
            </w:pPr>
            <w:r w:rsidRPr="00CF2B67">
              <w:rPr>
                <w:rFonts w:ascii="Garamond" w:eastAsia="Calibri" w:hAnsi="Garamond" w:cs="Cambria"/>
                <w:b/>
                <w:bCs/>
                <w:smallCaps/>
              </w:rPr>
              <w:t>MEETS</w:t>
            </w:r>
          </w:p>
        </w:tc>
      </w:tr>
      <w:tr w:rsidR="00747A26" w:rsidRPr="00CF2B67" w14:paraId="1F3FA1DB" w14:textId="77777777" w:rsidTr="00566205">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2078" w:type="dxa"/>
          </w:tcPr>
          <w:p w14:paraId="3381F026" w14:textId="612B2F90" w:rsidR="00CF2B67" w:rsidRPr="00CF2B67" w:rsidRDefault="004A225B" w:rsidP="00CF2B67">
            <w:pPr>
              <w:contextualSpacing/>
              <w:rPr>
                <w:rFonts w:ascii="Garamond" w:eastAsia="Calibri" w:hAnsi="Garamond" w:cs="Times New Roman"/>
                <w:sz w:val="20"/>
                <w:szCs w:val="20"/>
              </w:rPr>
            </w:pPr>
            <w:r>
              <w:rPr>
                <w:rFonts w:ascii="Garamond" w:eastAsia="Calibri" w:hAnsi="Garamond" w:cs="Times New Roman"/>
                <w:sz w:val="20"/>
                <w:szCs w:val="20"/>
              </w:rPr>
              <w:t xml:space="preserve">The </w:t>
            </w:r>
            <w:r w:rsidRPr="004A225B">
              <w:rPr>
                <w:rFonts w:ascii="Garamond" w:eastAsia="Calibri" w:hAnsi="Garamond" w:cs="Times New Roman"/>
                <w:sz w:val="20"/>
                <w:szCs w:val="20"/>
              </w:rPr>
              <w:t>Applicant</w:t>
            </w:r>
            <w:r>
              <w:rPr>
                <w:rFonts w:ascii="Garamond" w:eastAsia="Calibri" w:hAnsi="Garamond" w:cs="Times New Roman"/>
                <w:sz w:val="20"/>
                <w:szCs w:val="20"/>
              </w:rPr>
              <w:t xml:space="preserve"> is proposing to </w:t>
            </w:r>
            <w:r w:rsidR="00747A26">
              <w:rPr>
                <w:rFonts w:ascii="Garamond" w:eastAsia="Calibri" w:hAnsi="Garamond" w:cs="Times New Roman"/>
                <w:sz w:val="20"/>
                <w:szCs w:val="20"/>
              </w:rPr>
              <w:t xml:space="preserve">replace their existing </w:t>
            </w:r>
            <w:r w:rsidR="00566205">
              <w:rPr>
                <w:rFonts w:ascii="Garamond" w:eastAsia="Calibri" w:hAnsi="Garamond" w:cs="Times New Roman"/>
                <w:sz w:val="20"/>
                <w:szCs w:val="20"/>
              </w:rPr>
              <w:t>facility, increasing the number of beds from 61 to 8</w:t>
            </w:r>
            <w:r w:rsidR="00266B58">
              <w:rPr>
                <w:rFonts w:ascii="Garamond" w:eastAsia="Calibri" w:hAnsi="Garamond" w:cs="Times New Roman"/>
                <w:sz w:val="20"/>
                <w:szCs w:val="20"/>
              </w:rPr>
              <w:t>2</w:t>
            </w:r>
            <w:r w:rsidR="00566205">
              <w:rPr>
                <w:rFonts w:ascii="Garamond" w:eastAsia="Calibri" w:hAnsi="Garamond" w:cs="Times New Roman"/>
                <w:sz w:val="20"/>
                <w:szCs w:val="20"/>
              </w:rPr>
              <w:t xml:space="preserve">, </w:t>
            </w:r>
            <w:proofErr w:type="gramStart"/>
            <w:r w:rsidR="00566205">
              <w:rPr>
                <w:rFonts w:ascii="Garamond" w:eastAsia="Calibri" w:hAnsi="Garamond" w:cs="Times New Roman"/>
                <w:sz w:val="20"/>
                <w:szCs w:val="20"/>
              </w:rPr>
              <w:t xml:space="preserve">in order </w:t>
            </w:r>
            <w:r w:rsidR="00747A26">
              <w:rPr>
                <w:rFonts w:ascii="Garamond" w:eastAsia="Calibri" w:hAnsi="Garamond" w:cs="Times New Roman"/>
                <w:sz w:val="20"/>
                <w:szCs w:val="20"/>
              </w:rPr>
              <w:t>to</w:t>
            </w:r>
            <w:proofErr w:type="gramEnd"/>
            <w:r w:rsidR="00566205">
              <w:rPr>
                <w:rFonts w:ascii="Garamond" w:eastAsia="Calibri" w:hAnsi="Garamond" w:cs="Times New Roman"/>
                <w:sz w:val="20"/>
                <w:szCs w:val="20"/>
              </w:rPr>
              <w:t>:</w:t>
            </w:r>
            <w:r w:rsidR="00747A26">
              <w:rPr>
                <w:rFonts w:ascii="Garamond" w:eastAsia="Calibri" w:hAnsi="Garamond" w:cs="Times New Roman"/>
                <w:sz w:val="20"/>
                <w:szCs w:val="20"/>
              </w:rPr>
              <w:t xml:space="preserve"> </w:t>
            </w:r>
            <w:r w:rsidR="00566205">
              <w:rPr>
                <w:rFonts w:ascii="Garamond" w:eastAsia="Calibri" w:hAnsi="Garamond" w:cs="Times New Roman"/>
                <w:sz w:val="20"/>
                <w:szCs w:val="20"/>
              </w:rPr>
              <w:t xml:space="preserve">1) </w:t>
            </w:r>
            <w:r w:rsidR="00747A26">
              <w:rPr>
                <w:rFonts w:ascii="Garamond" w:eastAsia="Calibri" w:hAnsi="Garamond" w:cs="Times New Roman"/>
                <w:sz w:val="20"/>
                <w:szCs w:val="20"/>
              </w:rPr>
              <w:t xml:space="preserve">comply </w:t>
            </w:r>
            <w:r w:rsidR="006835AC">
              <w:rPr>
                <w:rFonts w:ascii="Garamond" w:eastAsia="Calibri" w:hAnsi="Garamond" w:cs="Times New Roman"/>
                <w:sz w:val="20"/>
                <w:szCs w:val="20"/>
              </w:rPr>
              <w:t>with</w:t>
            </w:r>
            <w:r w:rsidR="00747A26">
              <w:rPr>
                <w:rFonts w:ascii="Garamond" w:eastAsia="Calibri" w:hAnsi="Garamond" w:cs="Times New Roman"/>
                <w:sz w:val="20"/>
                <w:szCs w:val="20"/>
              </w:rPr>
              <w:t xml:space="preserve"> the new </w:t>
            </w:r>
            <w:proofErr w:type="spellStart"/>
            <w:r w:rsidR="00747A26">
              <w:rPr>
                <w:rFonts w:ascii="Garamond" w:eastAsia="Calibri" w:hAnsi="Garamond" w:cs="Times New Roman"/>
                <w:sz w:val="20"/>
                <w:szCs w:val="20"/>
              </w:rPr>
              <w:t>Dedensification</w:t>
            </w:r>
            <w:proofErr w:type="spellEnd"/>
            <w:r w:rsidR="00566205">
              <w:rPr>
                <w:rFonts w:ascii="Garamond" w:eastAsia="Calibri" w:hAnsi="Garamond" w:cs="Times New Roman"/>
                <w:sz w:val="20"/>
                <w:szCs w:val="20"/>
              </w:rPr>
              <w:t xml:space="preserve"> Requirements</w:t>
            </w:r>
            <w:r w:rsidR="006835AC">
              <w:rPr>
                <w:rFonts w:ascii="Garamond" w:eastAsia="Calibri" w:hAnsi="Garamond" w:cs="Times New Roman"/>
                <w:sz w:val="20"/>
                <w:szCs w:val="20"/>
              </w:rPr>
              <w:t xml:space="preserve"> and </w:t>
            </w:r>
            <w:r w:rsidR="00566205">
              <w:rPr>
                <w:rFonts w:ascii="Garamond" w:eastAsia="Calibri" w:hAnsi="Garamond" w:cs="Times New Roman"/>
                <w:sz w:val="20"/>
                <w:szCs w:val="20"/>
              </w:rPr>
              <w:t xml:space="preserve">2) </w:t>
            </w:r>
            <w:r w:rsidR="006835AC">
              <w:rPr>
                <w:rFonts w:ascii="Garamond" w:eastAsia="Calibri" w:hAnsi="Garamond" w:cs="Times New Roman"/>
                <w:sz w:val="20"/>
                <w:szCs w:val="20"/>
              </w:rPr>
              <w:t>continue</w:t>
            </w:r>
            <w:r w:rsidR="00566205">
              <w:rPr>
                <w:rFonts w:ascii="Garamond" w:eastAsia="Calibri" w:hAnsi="Garamond" w:cs="Times New Roman"/>
                <w:sz w:val="20"/>
                <w:szCs w:val="20"/>
              </w:rPr>
              <w:t xml:space="preserve"> performing</w:t>
            </w:r>
            <w:r w:rsidR="006835AC">
              <w:rPr>
                <w:rFonts w:ascii="Garamond" w:eastAsia="Calibri" w:hAnsi="Garamond" w:cs="Times New Roman"/>
                <w:sz w:val="20"/>
                <w:szCs w:val="20"/>
              </w:rPr>
              <w:t xml:space="preserve"> at their maximum efficiency level</w:t>
            </w:r>
            <w:r w:rsidR="00427448">
              <w:rPr>
                <w:rFonts w:ascii="Garamond" w:eastAsia="Calibri" w:hAnsi="Garamond" w:cs="Times New Roman"/>
                <w:sz w:val="20"/>
                <w:szCs w:val="20"/>
              </w:rPr>
              <w:t xml:space="preserve">. </w:t>
            </w:r>
          </w:p>
        </w:tc>
        <w:tc>
          <w:tcPr>
            <w:tcW w:w="3150" w:type="dxa"/>
          </w:tcPr>
          <w:p w14:paraId="1AE6B162" w14:textId="59CA8101" w:rsidR="00CF2B67" w:rsidRPr="00CF2B67" w:rsidRDefault="0014393A" w:rsidP="0014393A">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sz w:val="20"/>
                <w:szCs w:val="20"/>
              </w:rPr>
            </w:pPr>
            <w:r w:rsidRPr="00216AFD">
              <w:rPr>
                <w:rFonts w:ascii="Garamond" w:eastAsia="Calibri" w:hAnsi="Garamond" w:cs="Cambria"/>
                <w:b/>
                <w:bCs/>
                <w:sz w:val="20"/>
                <w:szCs w:val="20"/>
              </w:rPr>
              <w:sym w:font="Wingdings" w:char="F0FC"/>
            </w:r>
          </w:p>
        </w:tc>
        <w:tc>
          <w:tcPr>
            <w:tcW w:w="1867" w:type="dxa"/>
          </w:tcPr>
          <w:p w14:paraId="1F2FAC55" w14:textId="2DB45A93" w:rsidR="00CF2B67" w:rsidRPr="00216AFD" w:rsidRDefault="00592115" w:rsidP="00901B53">
            <w:pPr>
              <w:contextualSpacing/>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Cambria"/>
                <w:b/>
                <w:bCs/>
                <w:sz w:val="20"/>
                <w:szCs w:val="20"/>
              </w:rPr>
            </w:pPr>
            <w:r w:rsidRPr="00216AFD">
              <w:rPr>
                <w:rFonts w:ascii="Garamond" w:eastAsia="Calibri" w:hAnsi="Garamond" w:cs="Cambria"/>
                <w:b/>
                <w:bCs/>
                <w:sz w:val="20"/>
                <w:szCs w:val="20"/>
              </w:rPr>
              <w:sym w:font="Wingdings" w:char="F0FC"/>
            </w:r>
          </w:p>
        </w:tc>
        <w:tc>
          <w:tcPr>
            <w:tcW w:w="1103" w:type="dxa"/>
          </w:tcPr>
          <w:p w14:paraId="02F30768" w14:textId="61FCDE5E"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c>
          <w:tcPr>
            <w:tcW w:w="1795" w:type="dxa"/>
          </w:tcPr>
          <w:p w14:paraId="406FE20B" w14:textId="3CEBB216" w:rsidR="00CF2B67" w:rsidRPr="00CF2B67" w:rsidRDefault="00592115" w:rsidP="00592115">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b/>
                <w:sz w:val="20"/>
                <w:szCs w:val="20"/>
              </w:rPr>
            </w:pPr>
            <w:r>
              <w:rPr>
                <w:rFonts w:ascii="Garamond" w:eastAsia="Calibri" w:hAnsi="Garamond" w:cs="Times New Roman"/>
                <w:b/>
                <w:sz w:val="20"/>
                <w:szCs w:val="20"/>
              </w:rPr>
              <w:sym w:font="Wingdings" w:char="F0FC"/>
            </w:r>
          </w:p>
        </w:tc>
      </w:tr>
    </w:tbl>
    <w:p w14:paraId="7265405C" w14:textId="77777777" w:rsidR="00CF2B67" w:rsidRDefault="00CF2B67" w:rsidP="00CF2B67">
      <w:pPr>
        <w:spacing w:after="0" w:line="240" w:lineRule="auto"/>
        <w:contextualSpacing/>
        <w:rPr>
          <w:rFonts w:ascii="Garamond" w:eastAsia="Calibri" w:hAnsi="Garamond" w:cs="Times New Roman"/>
        </w:rPr>
        <w:sectPr w:rsidR="00CF2B67" w:rsidSect="00747A26">
          <w:headerReference w:type="even" r:id="rId8"/>
          <w:headerReference w:type="default" r:id="rId9"/>
          <w:footerReference w:type="default" r:id="rId10"/>
          <w:headerReference w:type="first" r:id="rId11"/>
          <w:endnotePr>
            <w:numFmt w:val="lowerLetter"/>
          </w:endnotePr>
          <w:pgSz w:w="12240" w:h="15840"/>
          <w:pgMar w:top="1440" w:right="1440" w:bottom="1440" w:left="1440" w:header="720" w:footer="720" w:gutter="0"/>
          <w:cols w:space="720"/>
          <w:docGrid w:linePitch="360"/>
        </w:sectPr>
      </w:pPr>
    </w:p>
    <w:p w14:paraId="6804012D" w14:textId="64828C4D" w:rsidR="00032FF5" w:rsidRDefault="00032FF5">
      <w:pPr>
        <w:rPr>
          <w:b/>
          <w:bCs/>
          <w:sz w:val="28"/>
          <w:szCs w:val="28"/>
        </w:rPr>
      </w:pPr>
      <w:r w:rsidRPr="00BD5D70">
        <w:rPr>
          <w:b/>
          <w:bCs/>
          <w:sz w:val="28"/>
          <w:szCs w:val="28"/>
        </w:rPr>
        <w:lastRenderedPageBreak/>
        <w:t>Patient Panel</w:t>
      </w:r>
      <w:r w:rsidRPr="00BD5D70">
        <w:rPr>
          <w:rStyle w:val="FootnoteReference"/>
          <w:b/>
          <w:bCs/>
          <w:sz w:val="28"/>
          <w:szCs w:val="28"/>
        </w:rPr>
        <w:footnoteReference w:id="4"/>
      </w:r>
    </w:p>
    <w:p w14:paraId="3BBEE062" w14:textId="40BE8873" w:rsidR="00902DED" w:rsidRDefault="00DA2847" w:rsidP="00BB2DBF">
      <w:pPr>
        <w:spacing w:after="0" w:line="240" w:lineRule="auto"/>
        <w:rPr>
          <w:sz w:val="24"/>
          <w:szCs w:val="24"/>
        </w:rPr>
      </w:pPr>
      <w:r>
        <w:rPr>
          <w:sz w:val="24"/>
          <w:szCs w:val="24"/>
        </w:rPr>
        <w:t xml:space="preserve">The Applicant provided a narrative summary of the Facility’s patient panel. </w:t>
      </w:r>
      <w:r w:rsidR="00386A65">
        <w:rPr>
          <w:sz w:val="24"/>
          <w:szCs w:val="24"/>
        </w:rPr>
        <w:t xml:space="preserve">Upon request from </w:t>
      </w:r>
      <w:proofErr w:type="spellStart"/>
      <w:r w:rsidR="00386A65">
        <w:rPr>
          <w:sz w:val="24"/>
          <w:szCs w:val="24"/>
        </w:rPr>
        <w:t>DoN</w:t>
      </w:r>
      <w:proofErr w:type="spellEnd"/>
      <w:r w:rsidR="00386A65">
        <w:rPr>
          <w:sz w:val="24"/>
          <w:szCs w:val="24"/>
        </w:rPr>
        <w:t xml:space="preserve"> Staff for additional Patient Panel information, the Applicant stated </w:t>
      </w:r>
      <w:r w:rsidR="00E304FE">
        <w:rPr>
          <w:rFonts w:cstheme="minorHAnsi"/>
          <w:bCs/>
          <w:sz w:val="24"/>
          <w:szCs w:val="24"/>
        </w:rPr>
        <w:t xml:space="preserve">its previous record system only captured financial data and patient data were recorded on paper records and that racial and ethnic data were not </w:t>
      </w:r>
      <w:r w:rsidR="00B35F10">
        <w:rPr>
          <w:rFonts w:cstheme="minorHAnsi"/>
          <w:bCs/>
          <w:sz w:val="24"/>
          <w:szCs w:val="24"/>
        </w:rPr>
        <w:t>recorded.</w:t>
      </w:r>
      <w:r w:rsidR="00386A65">
        <w:rPr>
          <w:sz w:val="24"/>
          <w:szCs w:val="24"/>
        </w:rPr>
        <w:t xml:space="preserve"> </w:t>
      </w:r>
      <w:r w:rsidR="00902DED" w:rsidRPr="003E2C27">
        <w:rPr>
          <w:sz w:val="24"/>
          <w:szCs w:val="24"/>
        </w:rPr>
        <w:t xml:space="preserve">Staff notes the following observations about the </w:t>
      </w:r>
      <w:r w:rsidR="00664268">
        <w:rPr>
          <w:sz w:val="24"/>
          <w:szCs w:val="24"/>
        </w:rPr>
        <w:t>Applicant’s patient panel data</w:t>
      </w:r>
      <w:r w:rsidR="00902DED" w:rsidRPr="003E2C27">
        <w:rPr>
          <w:sz w:val="24"/>
          <w:szCs w:val="24"/>
        </w:rPr>
        <w:t xml:space="preserve"> below</w:t>
      </w:r>
      <w:r w:rsidR="00FF41CD">
        <w:rPr>
          <w:sz w:val="24"/>
          <w:szCs w:val="24"/>
        </w:rPr>
        <w:t xml:space="preserve">, summarized in Table </w:t>
      </w:r>
      <w:r w:rsidR="0031584E">
        <w:rPr>
          <w:sz w:val="24"/>
          <w:szCs w:val="24"/>
        </w:rPr>
        <w:t>2</w:t>
      </w:r>
      <w:r w:rsidR="00902DED" w:rsidRPr="003E2C27">
        <w:rPr>
          <w:sz w:val="24"/>
          <w:szCs w:val="24"/>
        </w:rPr>
        <w:t>:</w:t>
      </w:r>
    </w:p>
    <w:p w14:paraId="304FA56E" w14:textId="77777777" w:rsidR="00664268" w:rsidRPr="003E2C27" w:rsidRDefault="00664268" w:rsidP="00BB2DBF">
      <w:pPr>
        <w:spacing w:after="0" w:line="240" w:lineRule="auto"/>
        <w:rPr>
          <w:sz w:val="24"/>
          <w:szCs w:val="24"/>
        </w:rPr>
      </w:pPr>
    </w:p>
    <w:p w14:paraId="36D2C4F4" w14:textId="62BD6080" w:rsidR="00902DED" w:rsidRPr="003E2C27" w:rsidRDefault="00902DED" w:rsidP="00BB2DBF">
      <w:pPr>
        <w:pStyle w:val="ListParagraph"/>
        <w:numPr>
          <w:ilvl w:val="0"/>
          <w:numId w:val="1"/>
        </w:numPr>
        <w:spacing w:after="0" w:line="240" w:lineRule="auto"/>
        <w:rPr>
          <w:b/>
          <w:bCs/>
          <w:sz w:val="24"/>
          <w:szCs w:val="24"/>
        </w:rPr>
      </w:pPr>
      <w:r w:rsidRPr="003E2C27">
        <w:rPr>
          <w:b/>
          <w:bCs/>
          <w:sz w:val="24"/>
          <w:szCs w:val="24"/>
        </w:rPr>
        <w:t>Age</w:t>
      </w:r>
      <w:r w:rsidR="00F7109B" w:rsidRPr="003E2C27">
        <w:rPr>
          <w:b/>
          <w:bCs/>
          <w:sz w:val="24"/>
          <w:szCs w:val="24"/>
        </w:rPr>
        <w:t xml:space="preserve"> </w:t>
      </w:r>
      <w:r w:rsidR="007E04D6" w:rsidRPr="003E2C27">
        <w:rPr>
          <w:sz w:val="24"/>
          <w:szCs w:val="24"/>
        </w:rPr>
        <w:t>–</w:t>
      </w:r>
      <w:r w:rsidR="00FF1F3C" w:rsidRPr="003E2C27">
        <w:rPr>
          <w:b/>
          <w:bCs/>
          <w:sz w:val="24"/>
          <w:szCs w:val="24"/>
        </w:rPr>
        <w:t xml:space="preserve"> </w:t>
      </w:r>
      <w:r w:rsidR="00FF1F3C" w:rsidRPr="003E2C27">
        <w:rPr>
          <w:sz w:val="24"/>
          <w:szCs w:val="24"/>
        </w:rPr>
        <w:t xml:space="preserve">The age </w:t>
      </w:r>
      <w:r w:rsidR="003F539B">
        <w:rPr>
          <w:sz w:val="24"/>
          <w:szCs w:val="24"/>
        </w:rPr>
        <w:t xml:space="preserve">of all patients in the Facility’s patient panel </w:t>
      </w:r>
      <w:r w:rsidR="00386A65">
        <w:rPr>
          <w:sz w:val="24"/>
          <w:szCs w:val="24"/>
        </w:rPr>
        <w:t>ranges from</w:t>
      </w:r>
      <w:r w:rsidR="003F539B">
        <w:rPr>
          <w:sz w:val="24"/>
          <w:szCs w:val="24"/>
        </w:rPr>
        <w:t xml:space="preserve"> </w:t>
      </w:r>
      <w:r w:rsidR="00FF1F3C" w:rsidRPr="003E2C27">
        <w:rPr>
          <w:sz w:val="24"/>
          <w:szCs w:val="24"/>
        </w:rPr>
        <w:t>50-</w:t>
      </w:r>
      <w:r w:rsidR="003F539B">
        <w:rPr>
          <w:sz w:val="24"/>
          <w:szCs w:val="24"/>
        </w:rPr>
        <w:t>9</w:t>
      </w:r>
      <w:r w:rsidR="00FF1F3C" w:rsidRPr="003E2C27">
        <w:rPr>
          <w:sz w:val="24"/>
          <w:szCs w:val="24"/>
        </w:rPr>
        <w:t>9</w:t>
      </w:r>
      <w:r w:rsidR="003F539B">
        <w:rPr>
          <w:sz w:val="24"/>
          <w:szCs w:val="24"/>
        </w:rPr>
        <w:t xml:space="preserve">, </w:t>
      </w:r>
      <w:r w:rsidR="00205F7B">
        <w:rPr>
          <w:sz w:val="24"/>
          <w:szCs w:val="24"/>
        </w:rPr>
        <w:t>with the majority in</w:t>
      </w:r>
      <w:r w:rsidR="0023264C">
        <w:rPr>
          <w:sz w:val="24"/>
          <w:szCs w:val="24"/>
        </w:rPr>
        <w:t xml:space="preserve"> the 70-79 age range. </w:t>
      </w:r>
      <w:r w:rsidR="00DA2847">
        <w:rPr>
          <w:sz w:val="24"/>
          <w:szCs w:val="24"/>
        </w:rPr>
        <w:t>As t</w:t>
      </w:r>
      <w:r w:rsidR="003F539B">
        <w:rPr>
          <w:sz w:val="24"/>
          <w:szCs w:val="24"/>
        </w:rPr>
        <w:t xml:space="preserve">he </w:t>
      </w:r>
      <w:proofErr w:type="gramStart"/>
      <w:r w:rsidR="003F539B">
        <w:rPr>
          <w:sz w:val="24"/>
          <w:szCs w:val="24"/>
        </w:rPr>
        <w:t>Applicant</w:t>
      </w:r>
      <w:proofErr w:type="gramEnd"/>
      <w:r w:rsidR="003F539B">
        <w:rPr>
          <w:sz w:val="24"/>
          <w:szCs w:val="24"/>
        </w:rPr>
        <w:t xml:space="preserve"> did not provide specific breakdowns </w:t>
      </w:r>
      <w:r w:rsidR="00DA2847">
        <w:rPr>
          <w:sz w:val="24"/>
          <w:szCs w:val="24"/>
        </w:rPr>
        <w:t>by each</w:t>
      </w:r>
      <w:r w:rsidR="003F539B">
        <w:rPr>
          <w:sz w:val="24"/>
          <w:szCs w:val="24"/>
        </w:rPr>
        <w:t xml:space="preserve"> age group</w:t>
      </w:r>
      <w:r w:rsidR="00DA2847">
        <w:rPr>
          <w:sz w:val="24"/>
          <w:szCs w:val="24"/>
        </w:rPr>
        <w:t>, this information is not presented in Table 2.</w:t>
      </w:r>
    </w:p>
    <w:p w14:paraId="4D0FF9D3" w14:textId="02376CE3" w:rsidR="00C8332B" w:rsidRPr="00BB0F88" w:rsidRDefault="00902DED" w:rsidP="00BB0F88">
      <w:pPr>
        <w:pStyle w:val="ListParagraph"/>
        <w:numPr>
          <w:ilvl w:val="0"/>
          <w:numId w:val="1"/>
        </w:numPr>
        <w:spacing w:line="240" w:lineRule="auto"/>
        <w:rPr>
          <w:b/>
          <w:bCs/>
          <w:sz w:val="24"/>
          <w:szCs w:val="24"/>
        </w:rPr>
      </w:pPr>
      <w:r w:rsidRPr="003E2C27">
        <w:rPr>
          <w:b/>
          <w:bCs/>
          <w:sz w:val="24"/>
          <w:szCs w:val="24"/>
        </w:rPr>
        <w:t>Race/Ethnicity</w:t>
      </w:r>
      <w:r w:rsidR="003302C2" w:rsidRPr="003E2C27">
        <w:rPr>
          <w:b/>
          <w:bCs/>
          <w:sz w:val="24"/>
          <w:szCs w:val="24"/>
        </w:rPr>
        <w:t xml:space="preserve"> </w:t>
      </w:r>
      <w:r w:rsidR="00BB0F88">
        <w:rPr>
          <w:sz w:val="24"/>
          <w:szCs w:val="24"/>
        </w:rPr>
        <w:t>– As the facility has</w:t>
      </w:r>
      <w:r w:rsidR="00B31D26">
        <w:rPr>
          <w:sz w:val="24"/>
          <w:szCs w:val="24"/>
        </w:rPr>
        <w:t xml:space="preserve"> </w:t>
      </w:r>
      <w:r w:rsidR="00BB0F88">
        <w:rPr>
          <w:sz w:val="24"/>
          <w:szCs w:val="24"/>
        </w:rPr>
        <w:t>n</w:t>
      </w:r>
      <w:r w:rsidR="00B31D26">
        <w:rPr>
          <w:sz w:val="24"/>
          <w:szCs w:val="24"/>
        </w:rPr>
        <w:t>o</w:t>
      </w:r>
      <w:r w:rsidR="00BB0F88">
        <w:rPr>
          <w:sz w:val="24"/>
          <w:szCs w:val="24"/>
        </w:rPr>
        <w:t xml:space="preserve">t collected race or ethnicity data consistently to date, it is limited. A new </w:t>
      </w:r>
      <w:r w:rsidR="00432287">
        <w:rPr>
          <w:sz w:val="24"/>
          <w:szCs w:val="24"/>
        </w:rPr>
        <w:t>E</w:t>
      </w:r>
      <w:r w:rsidR="00BB0F88">
        <w:rPr>
          <w:sz w:val="24"/>
          <w:szCs w:val="24"/>
        </w:rPr>
        <w:t xml:space="preserve">lectronic </w:t>
      </w:r>
      <w:r w:rsidR="00432287">
        <w:rPr>
          <w:sz w:val="24"/>
          <w:szCs w:val="24"/>
        </w:rPr>
        <w:t>M</w:t>
      </w:r>
      <w:r w:rsidR="00BB0F88">
        <w:rPr>
          <w:sz w:val="24"/>
          <w:szCs w:val="24"/>
        </w:rPr>
        <w:t xml:space="preserve">edical </w:t>
      </w:r>
      <w:r w:rsidR="00432287">
        <w:rPr>
          <w:sz w:val="24"/>
          <w:szCs w:val="24"/>
        </w:rPr>
        <w:t>R</w:t>
      </w:r>
      <w:r w:rsidR="00BB0F88">
        <w:rPr>
          <w:sz w:val="24"/>
          <w:szCs w:val="24"/>
        </w:rPr>
        <w:t>ecord (EMR)</w:t>
      </w:r>
      <w:r w:rsidR="00432287">
        <w:rPr>
          <w:sz w:val="24"/>
          <w:szCs w:val="24"/>
        </w:rPr>
        <w:t xml:space="preserve"> system </w:t>
      </w:r>
      <w:r w:rsidR="00BB0F88">
        <w:rPr>
          <w:sz w:val="24"/>
          <w:szCs w:val="24"/>
        </w:rPr>
        <w:t xml:space="preserve">was </w:t>
      </w:r>
      <w:r w:rsidR="00432287">
        <w:rPr>
          <w:sz w:val="24"/>
          <w:szCs w:val="24"/>
        </w:rPr>
        <w:t>implemented in March 2021</w:t>
      </w:r>
      <w:r w:rsidR="00BB0F88">
        <w:rPr>
          <w:sz w:val="24"/>
          <w:szCs w:val="24"/>
        </w:rPr>
        <w:t xml:space="preserve"> and these data elements will be collect</w:t>
      </w:r>
      <w:r w:rsidR="00B31D26">
        <w:rPr>
          <w:sz w:val="24"/>
          <w:szCs w:val="24"/>
        </w:rPr>
        <w:t>ed</w:t>
      </w:r>
      <w:r w:rsidR="00BB0F88">
        <w:rPr>
          <w:sz w:val="24"/>
          <w:szCs w:val="24"/>
        </w:rPr>
        <w:t xml:space="preserve"> henceforth</w:t>
      </w:r>
      <w:r w:rsidR="00432287">
        <w:rPr>
          <w:sz w:val="24"/>
          <w:szCs w:val="24"/>
        </w:rPr>
        <w:t>.</w:t>
      </w:r>
    </w:p>
    <w:p w14:paraId="217DABB6" w14:textId="371398E0" w:rsidR="00902DED" w:rsidRDefault="00902DED" w:rsidP="00430E8F">
      <w:pPr>
        <w:pStyle w:val="ListParagraph"/>
        <w:numPr>
          <w:ilvl w:val="0"/>
          <w:numId w:val="1"/>
        </w:numPr>
        <w:spacing w:line="240" w:lineRule="auto"/>
        <w:rPr>
          <w:sz w:val="24"/>
          <w:szCs w:val="24"/>
        </w:rPr>
      </w:pPr>
      <w:r w:rsidRPr="003E2C27">
        <w:rPr>
          <w:b/>
          <w:bCs/>
          <w:sz w:val="24"/>
          <w:szCs w:val="24"/>
        </w:rPr>
        <w:t xml:space="preserve">Primary Service Area </w:t>
      </w:r>
      <w:r w:rsidR="00DF45C5" w:rsidRPr="003E2C27">
        <w:rPr>
          <w:b/>
          <w:bCs/>
          <w:sz w:val="24"/>
          <w:szCs w:val="24"/>
        </w:rPr>
        <w:t>–</w:t>
      </w:r>
      <w:r w:rsidR="00A07CEC" w:rsidRPr="003E2C27">
        <w:rPr>
          <w:b/>
          <w:bCs/>
          <w:sz w:val="24"/>
          <w:szCs w:val="24"/>
        </w:rPr>
        <w:t xml:space="preserve"> </w:t>
      </w:r>
      <w:r w:rsidR="00205F7B">
        <w:rPr>
          <w:sz w:val="24"/>
          <w:szCs w:val="24"/>
        </w:rPr>
        <w:t>76 percent of patients came from within 20 miles of the facility, with 42</w:t>
      </w:r>
      <w:r w:rsidR="002C69DB">
        <w:rPr>
          <w:sz w:val="24"/>
          <w:szCs w:val="24"/>
        </w:rPr>
        <w:t xml:space="preserve"> percent</w:t>
      </w:r>
      <w:r w:rsidR="00205F7B">
        <w:rPr>
          <w:sz w:val="24"/>
          <w:szCs w:val="24"/>
        </w:rPr>
        <w:t xml:space="preserve"> from within 10 miles.</w:t>
      </w:r>
    </w:p>
    <w:p w14:paraId="7E85E610" w14:textId="77777777" w:rsidR="00DA2847" w:rsidRPr="003E2C27" w:rsidRDefault="00DA2847" w:rsidP="00DA2847">
      <w:pPr>
        <w:pStyle w:val="ListParagraph"/>
        <w:spacing w:line="240" w:lineRule="auto"/>
        <w:rPr>
          <w:sz w:val="24"/>
          <w:szCs w:val="24"/>
        </w:rPr>
      </w:pPr>
    </w:p>
    <w:p w14:paraId="0A926F9E" w14:textId="172C5947" w:rsidR="00F7468B" w:rsidRPr="003E2C27" w:rsidRDefault="00F7468B" w:rsidP="00B45A7C">
      <w:pPr>
        <w:pStyle w:val="Caption"/>
        <w:jc w:val="center"/>
        <w:rPr>
          <w:b/>
          <w:bCs/>
          <w:i w:val="0"/>
          <w:iCs w:val="0"/>
          <w:color w:val="auto"/>
          <w:sz w:val="24"/>
          <w:szCs w:val="24"/>
        </w:rPr>
      </w:pPr>
      <w:r w:rsidRPr="003E2C27">
        <w:rPr>
          <w:b/>
          <w:bCs/>
          <w:i w:val="0"/>
          <w:iCs w:val="0"/>
          <w:color w:val="auto"/>
          <w:sz w:val="24"/>
          <w:szCs w:val="24"/>
        </w:rPr>
        <w:t xml:space="preserve">Table </w:t>
      </w:r>
      <w:r w:rsidR="0031584E">
        <w:rPr>
          <w:b/>
          <w:bCs/>
          <w:i w:val="0"/>
          <w:iCs w:val="0"/>
          <w:color w:val="auto"/>
          <w:sz w:val="24"/>
          <w:szCs w:val="24"/>
        </w:rPr>
        <w:t>2</w:t>
      </w:r>
      <w:r w:rsidRPr="003E2C27">
        <w:rPr>
          <w:b/>
          <w:bCs/>
          <w:i w:val="0"/>
          <w:iCs w:val="0"/>
          <w:color w:val="auto"/>
          <w:sz w:val="24"/>
          <w:szCs w:val="24"/>
        </w:rPr>
        <w:t xml:space="preserve">: Overview of Patient </w:t>
      </w:r>
      <w:r w:rsidR="0023264C">
        <w:rPr>
          <w:b/>
          <w:bCs/>
          <w:i w:val="0"/>
          <w:iCs w:val="0"/>
          <w:color w:val="auto"/>
          <w:sz w:val="24"/>
          <w:szCs w:val="24"/>
        </w:rPr>
        <w:t>Panel</w:t>
      </w:r>
      <w:r w:rsidR="00F34A11" w:rsidRPr="003E2C27">
        <w:rPr>
          <w:b/>
          <w:bCs/>
          <w:i w:val="0"/>
          <w:iCs w:val="0"/>
          <w:color w:val="auto"/>
          <w:sz w:val="24"/>
          <w:szCs w:val="24"/>
        </w:rPr>
        <w:t xml:space="preserve"> (FY</w:t>
      </w:r>
      <w:r w:rsidR="003E2C27">
        <w:rPr>
          <w:b/>
          <w:bCs/>
          <w:i w:val="0"/>
          <w:iCs w:val="0"/>
          <w:color w:val="auto"/>
          <w:sz w:val="24"/>
          <w:szCs w:val="24"/>
        </w:rPr>
        <w:t>17-19</w:t>
      </w:r>
      <w:r w:rsidR="00F34A11" w:rsidRPr="003E2C27">
        <w:rPr>
          <w:b/>
          <w:bCs/>
          <w:i w:val="0"/>
          <w:iCs w:val="0"/>
          <w:color w:val="auto"/>
          <w:sz w:val="24"/>
          <w:szCs w:val="24"/>
        </w:rPr>
        <w:t>)</w:t>
      </w:r>
    </w:p>
    <w:tbl>
      <w:tblPr>
        <w:tblStyle w:val="TableGrid"/>
        <w:tblW w:w="0" w:type="auto"/>
        <w:jc w:val="center"/>
        <w:tblLook w:val="04A0" w:firstRow="1" w:lastRow="0" w:firstColumn="1" w:lastColumn="0" w:noHBand="0" w:noVBand="1"/>
        <w:tblCaption w:val="Table 2: Overview of Patient Panel (FY17-19)"/>
        <w:tblDescription w:val="Total Individual Patients (FY18-20) 97&#10;Gender &#10;Male&#10;Female &#10;41%&#10;59%&#10;Race &#10;Caucasian&#10;Black&#10;Hispanic&#10;Unknown/Not Specified &#10;55%&#10;2%&#10;4%&#10;39%&#10;Patient Origin &#10;Within 10 miles&#10;Within 20 miles &#10;42%&#10;34%&#10;"/>
      </w:tblPr>
      <w:tblGrid>
        <w:gridCol w:w="3352"/>
        <w:gridCol w:w="597"/>
      </w:tblGrid>
      <w:tr w:rsidR="003E2C27" w:rsidRPr="00745ACF" w14:paraId="38304225" w14:textId="781D370F" w:rsidTr="006475CB">
        <w:trPr>
          <w:tblHeader/>
          <w:jc w:val="center"/>
        </w:trPr>
        <w:tc>
          <w:tcPr>
            <w:tcW w:w="0" w:type="auto"/>
            <w:tcBorders>
              <w:bottom w:val="single" w:sz="4" w:space="0" w:color="auto"/>
            </w:tcBorders>
            <w:shd w:val="clear" w:color="auto" w:fill="E7E6E6" w:themeFill="background2"/>
          </w:tcPr>
          <w:p w14:paraId="169EA803" w14:textId="23803D15" w:rsidR="003E2C27" w:rsidRPr="003E2C27" w:rsidRDefault="003E2C27" w:rsidP="00A67E02">
            <w:pPr>
              <w:contextualSpacing/>
              <w:rPr>
                <w:rFonts w:cstheme="minorHAnsi"/>
                <w:b/>
              </w:rPr>
            </w:pPr>
            <w:r w:rsidRPr="003E2C27">
              <w:rPr>
                <w:rFonts w:cstheme="minorHAnsi"/>
                <w:b/>
              </w:rPr>
              <w:t>Total Individual Patients (FY</w:t>
            </w:r>
            <w:r>
              <w:rPr>
                <w:rFonts w:cstheme="minorHAnsi"/>
                <w:b/>
              </w:rPr>
              <w:t>18-</w:t>
            </w:r>
            <w:r w:rsidRPr="003E2C27">
              <w:rPr>
                <w:rFonts w:cstheme="minorHAnsi"/>
                <w:b/>
              </w:rPr>
              <w:t>20)</w:t>
            </w:r>
          </w:p>
        </w:tc>
        <w:tc>
          <w:tcPr>
            <w:tcW w:w="0" w:type="auto"/>
            <w:tcBorders>
              <w:bottom w:val="single" w:sz="4" w:space="0" w:color="auto"/>
            </w:tcBorders>
            <w:shd w:val="clear" w:color="auto" w:fill="E7E6E6" w:themeFill="background2"/>
          </w:tcPr>
          <w:p w14:paraId="5FA03263" w14:textId="5AABE31C" w:rsidR="003E2C27" w:rsidRPr="003E2C27" w:rsidRDefault="00820379" w:rsidP="00A67E02">
            <w:pPr>
              <w:contextualSpacing/>
              <w:rPr>
                <w:rFonts w:cstheme="minorHAnsi"/>
              </w:rPr>
            </w:pPr>
            <w:r>
              <w:rPr>
                <w:rFonts w:cstheme="minorHAnsi"/>
              </w:rPr>
              <w:t>9</w:t>
            </w:r>
            <w:r w:rsidR="003E2C27">
              <w:rPr>
                <w:rFonts w:cstheme="minorHAnsi"/>
              </w:rPr>
              <w:t>7</w:t>
            </w:r>
          </w:p>
        </w:tc>
      </w:tr>
      <w:tr w:rsidR="003E2C27" w:rsidRPr="00745ACF" w14:paraId="3D4251BE" w14:textId="1CE84698" w:rsidTr="00BF4486">
        <w:trPr>
          <w:jc w:val="center"/>
        </w:trPr>
        <w:tc>
          <w:tcPr>
            <w:tcW w:w="0" w:type="auto"/>
          </w:tcPr>
          <w:p w14:paraId="2E6666C6" w14:textId="77777777" w:rsidR="003E2C27" w:rsidRPr="003E2C27" w:rsidRDefault="003E2C27" w:rsidP="00A67E02">
            <w:pPr>
              <w:contextualSpacing/>
              <w:rPr>
                <w:rFonts w:cstheme="minorHAnsi"/>
                <w:b/>
              </w:rPr>
            </w:pPr>
            <w:r w:rsidRPr="003E2C27">
              <w:rPr>
                <w:rFonts w:cstheme="minorHAnsi"/>
                <w:b/>
              </w:rPr>
              <w:t xml:space="preserve">Gender </w:t>
            </w:r>
          </w:p>
          <w:p w14:paraId="130C2FCC" w14:textId="77777777" w:rsidR="003E2C27" w:rsidRPr="003E2C27" w:rsidRDefault="003E2C27" w:rsidP="00A67E02">
            <w:pPr>
              <w:ind w:left="288"/>
              <w:contextualSpacing/>
              <w:rPr>
                <w:rFonts w:cstheme="minorHAnsi"/>
              </w:rPr>
            </w:pPr>
            <w:r w:rsidRPr="003E2C27">
              <w:rPr>
                <w:rFonts w:cstheme="minorHAnsi"/>
              </w:rPr>
              <w:t>Male</w:t>
            </w:r>
          </w:p>
          <w:p w14:paraId="6AC6E178" w14:textId="5215EBAC" w:rsidR="003E2C27" w:rsidRPr="003E2C27" w:rsidRDefault="003E2C27" w:rsidP="00A67E02">
            <w:pPr>
              <w:ind w:left="288"/>
              <w:contextualSpacing/>
              <w:rPr>
                <w:rFonts w:cstheme="minorHAnsi"/>
              </w:rPr>
            </w:pPr>
            <w:r w:rsidRPr="003E2C27">
              <w:rPr>
                <w:rFonts w:cstheme="minorHAnsi"/>
              </w:rPr>
              <w:t>Female</w:t>
            </w:r>
          </w:p>
        </w:tc>
        <w:tc>
          <w:tcPr>
            <w:tcW w:w="0" w:type="auto"/>
          </w:tcPr>
          <w:p w14:paraId="2B7BDA7B" w14:textId="77777777" w:rsidR="003E2C27" w:rsidRPr="003E2C27" w:rsidRDefault="003E2C27" w:rsidP="00A67E02">
            <w:pPr>
              <w:contextualSpacing/>
              <w:rPr>
                <w:rFonts w:cstheme="minorHAnsi"/>
              </w:rPr>
            </w:pPr>
          </w:p>
          <w:p w14:paraId="47EAD3F8" w14:textId="6C36DFE6" w:rsidR="003E2C27" w:rsidRPr="003E2C27" w:rsidRDefault="003E2C27" w:rsidP="005D38EA">
            <w:pPr>
              <w:contextualSpacing/>
              <w:rPr>
                <w:rFonts w:cstheme="minorHAnsi"/>
              </w:rPr>
            </w:pPr>
            <w:r w:rsidRPr="003E2C27">
              <w:rPr>
                <w:rFonts w:cstheme="minorHAnsi"/>
              </w:rPr>
              <w:t>4</w:t>
            </w:r>
            <w:r w:rsidR="00820379">
              <w:rPr>
                <w:rFonts w:cstheme="minorHAnsi"/>
              </w:rPr>
              <w:t>1</w:t>
            </w:r>
            <w:r w:rsidRPr="003E2C27">
              <w:rPr>
                <w:rFonts w:cstheme="minorHAnsi"/>
              </w:rPr>
              <w:t>%</w:t>
            </w:r>
          </w:p>
          <w:p w14:paraId="52FD2D61" w14:textId="599F11B3" w:rsidR="003E2C27" w:rsidRPr="003E2C27" w:rsidRDefault="003E2C27" w:rsidP="005D38EA">
            <w:pPr>
              <w:contextualSpacing/>
              <w:rPr>
                <w:rFonts w:cstheme="minorHAnsi"/>
              </w:rPr>
            </w:pPr>
            <w:r w:rsidRPr="003E2C27">
              <w:rPr>
                <w:rFonts w:cstheme="minorHAnsi"/>
              </w:rPr>
              <w:t>5</w:t>
            </w:r>
            <w:r w:rsidR="00820379">
              <w:rPr>
                <w:rFonts w:cstheme="minorHAnsi"/>
              </w:rPr>
              <w:t>9%</w:t>
            </w:r>
          </w:p>
        </w:tc>
      </w:tr>
      <w:tr w:rsidR="003F539B" w:rsidRPr="00745ACF" w14:paraId="2BA80E83" w14:textId="2278EEBF" w:rsidTr="00BF4486">
        <w:trPr>
          <w:jc w:val="center"/>
        </w:trPr>
        <w:tc>
          <w:tcPr>
            <w:tcW w:w="0" w:type="auto"/>
          </w:tcPr>
          <w:p w14:paraId="4B8D6246" w14:textId="77777777" w:rsidR="003F539B" w:rsidRPr="00E10DFE" w:rsidRDefault="003F539B" w:rsidP="00E10DFE">
            <w:pPr>
              <w:contextualSpacing/>
              <w:rPr>
                <w:rFonts w:cstheme="minorHAnsi"/>
                <w:b/>
              </w:rPr>
            </w:pPr>
            <w:r w:rsidRPr="00E10DFE">
              <w:rPr>
                <w:rFonts w:cstheme="minorHAnsi"/>
                <w:b/>
              </w:rPr>
              <w:t>Race</w:t>
            </w:r>
            <w:r>
              <w:rPr>
                <w:rStyle w:val="FootnoteReference"/>
                <w:rFonts w:cstheme="minorHAnsi"/>
                <w:b/>
              </w:rPr>
              <w:footnoteReference w:id="5"/>
            </w:r>
          </w:p>
          <w:p w14:paraId="3B53502E" w14:textId="5AD788BD" w:rsidR="003F539B" w:rsidRDefault="003F539B" w:rsidP="00615D2F">
            <w:pPr>
              <w:ind w:left="288"/>
              <w:contextualSpacing/>
              <w:rPr>
                <w:rFonts w:cstheme="minorHAnsi"/>
              </w:rPr>
            </w:pPr>
            <w:r w:rsidRPr="00E10DFE">
              <w:rPr>
                <w:rFonts w:cstheme="minorHAnsi"/>
              </w:rPr>
              <w:t>Caucasian</w:t>
            </w:r>
          </w:p>
          <w:p w14:paraId="19A59207" w14:textId="20539172" w:rsidR="003F539B" w:rsidRPr="00E10DFE" w:rsidRDefault="003F539B" w:rsidP="00615D2F">
            <w:pPr>
              <w:ind w:left="288"/>
              <w:contextualSpacing/>
              <w:rPr>
                <w:rFonts w:cstheme="minorHAnsi"/>
              </w:rPr>
            </w:pPr>
            <w:r>
              <w:rPr>
                <w:rFonts w:cstheme="minorHAnsi"/>
              </w:rPr>
              <w:t>Black</w:t>
            </w:r>
          </w:p>
          <w:p w14:paraId="0637B65A" w14:textId="77777777" w:rsidR="003F539B" w:rsidRPr="00E10DFE" w:rsidRDefault="003F539B" w:rsidP="00615D2F">
            <w:pPr>
              <w:ind w:left="288"/>
              <w:contextualSpacing/>
              <w:rPr>
                <w:rFonts w:cstheme="minorHAnsi"/>
              </w:rPr>
            </w:pPr>
            <w:r>
              <w:rPr>
                <w:rFonts w:cstheme="minorHAnsi"/>
              </w:rPr>
              <w:t>Hispanic</w:t>
            </w:r>
          </w:p>
          <w:p w14:paraId="75BA9047" w14:textId="225B52AB" w:rsidR="003F539B" w:rsidRPr="003E2C27" w:rsidRDefault="003F539B" w:rsidP="0097489E">
            <w:pPr>
              <w:ind w:left="288"/>
              <w:contextualSpacing/>
              <w:rPr>
                <w:rFonts w:cstheme="minorHAnsi"/>
              </w:rPr>
            </w:pPr>
            <w:r w:rsidRPr="00E10DFE">
              <w:rPr>
                <w:rFonts w:cstheme="minorHAnsi"/>
              </w:rPr>
              <w:t>Unknown/Not Specified</w:t>
            </w:r>
          </w:p>
        </w:tc>
        <w:tc>
          <w:tcPr>
            <w:tcW w:w="0" w:type="auto"/>
          </w:tcPr>
          <w:p w14:paraId="55A56112" w14:textId="26515B5C" w:rsidR="003F539B" w:rsidRPr="00E10DFE" w:rsidRDefault="003F539B" w:rsidP="003F539B">
            <w:pPr>
              <w:contextualSpacing/>
              <w:rPr>
                <w:rFonts w:cstheme="minorHAnsi"/>
              </w:rPr>
            </w:pPr>
          </w:p>
          <w:p w14:paraId="4489DAE9" w14:textId="5DB06340" w:rsidR="003F539B" w:rsidRDefault="003F539B" w:rsidP="003F539B">
            <w:pPr>
              <w:contextualSpacing/>
              <w:rPr>
                <w:rFonts w:cstheme="minorHAnsi"/>
              </w:rPr>
            </w:pPr>
            <w:r>
              <w:rPr>
                <w:rFonts w:cstheme="minorHAnsi"/>
              </w:rPr>
              <w:t>55</w:t>
            </w:r>
            <w:r w:rsidRPr="00E10DFE">
              <w:rPr>
                <w:rFonts w:cstheme="minorHAnsi"/>
              </w:rPr>
              <w:t>%</w:t>
            </w:r>
          </w:p>
          <w:p w14:paraId="52DC8875" w14:textId="50B6F2B3" w:rsidR="003F539B" w:rsidRPr="00E10DFE" w:rsidRDefault="003F539B" w:rsidP="003F539B">
            <w:pPr>
              <w:contextualSpacing/>
              <w:rPr>
                <w:rFonts w:cstheme="minorHAnsi"/>
              </w:rPr>
            </w:pPr>
            <w:r>
              <w:rPr>
                <w:rFonts w:cstheme="minorHAnsi"/>
              </w:rPr>
              <w:t>2%</w:t>
            </w:r>
          </w:p>
          <w:p w14:paraId="77A001A5" w14:textId="77777777" w:rsidR="003F539B" w:rsidRPr="00E10DFE" w:rsidRDefault="003F539B" w:rsidP="003F539B">
            <w:pPr>
              <w:contextualSpacing/>
              <w:rPr>
                <w:rFonts w:cstheme="minorHAnsi"/>
              </w:rPr>
            </w:pPr>
            <w:r>
              <w:rPr>
                <w:rFonts w:cstheme="minorHAnsi"/>
              </w:rPr>
              <w:t>4</w:t>
            </w:r>
            <w:r w:rsidRPr="00E10DFE">
              <w:rPr>
                <w:rFonts w:cstheme="minorHAnsi"/>
              </w:rPr>
              <w:t>%</w:t>
            </w:r>
          </w:p>
          <w:p w14:paraId="6E3A0FA0" w14:textId="506C1173" w:rsidR="003F539B" w:rsidRPr="003E2C27" w:rsidRDefault="003F539B" w:rsidP="003F539B">
            <w:pPr>
              <w:contextualSpacing/>
              <w:rPr>
                <w:rFonts w:cstheme="minorHAnsi"/>
              </w:rPr>
            </w:pPr>
            <w:r>
              <w:rPr>
                <w:rFonts w:cstheme="minorHAnsi"/>
              </w:rPr>
              <w:t>39</w:t>
            </w:r>
            <w:r w:rsidRPr="00E10DFE">
              <w:rPr>
                <w:rFonts w:cstheme="minorHAnsi"/>
              </w:rPr>
              <w:t>%</w:t>
            </w:r>
          </w:p>
        </w:tc>
      </w:tr>
      <w:tr w:rsidR="003F539B" w:rsidRPr="00745ACF" w14:paraId="792C261B" w14:textId="05DA79E7" w:rsidTr="00BF4486">
        <w:trPr>
          <w:jc w:val="center"/>
        </w:trPr>
        <w:tc>
          <w:tcPr>
            <w:tcW w:w="0" w:type="auto"/>
          </w:tcPr>
          <w:p w14:paraId="1B2EEEA1" w14:textId="77777777" w:rsidR="003F539B" w:rsidRPr="00E10DFE" w:rsidRDefault="003F539B" w:rsidP="00E10DFE">
            <w:pPr>
              <w:contextualSpacing/>
              <w:rPr>
                <w:rFonts w:cstheme="minorHAnsi"/>
                <w:b/>
              </w:rPr>
            </w:pPr>
            <w:r w:rsidRPr="00E10DFE">
              <w:rPr>
                <w:rFonts w:cstheme="minorHAnsi"/>
                <w:b/>
              </w:rPr>
              <w:t xml:space="preserve">Patient Origin </w:t>
            </w:r>
          </w:p>
          <w:p w14:paraId="72854EC2" w14:textId="77777777" w:rsidR="003F539B" w:rsidRDefault="003F539B" w:rsidP="00E10DFE">
            <w:pPr>
              <w:ind w:left="288"/>
              <w:contextualSpacing/>
              <w:rPr>
                <w:rFonts w:cstheme="minorHAnsi"/>
              </w:rPr>
            </w:pPr>
            <w:r>
              <w:rPr>
                <w:rFonts w:cstheme="minorHAnsi"/>
              </w:rPr>
              <w:t>Within 10 miles</w:t>
            </w:r>
          </w:p>
          <w:p w14:paraId="3614A14F" w14:textId="6FEDF09D" w:rsidR="003F539B" w:rsidRPr="00E10DFE" w:rsidRDefault="003F539B" w:rsidP="00FF41CD">
            <w:pPr>
              <w:ind w:left="288"/>
              <w:contextualSpacing/>
              <w:rPr>
                <w:rFonts w:cstheme="minorHAnsi"/>
              </w:rPr>
            </w:pPr>
            <w:r>
              <w:rPr>
                <w:rFonts w:cstheme="minorHAnsi"/>
              </w:rPr>
              <w:t>Within 20 miles</w:t>
            </w:r>
          </w:p>
        </w:tc>
        <w:tc>
          <w:tcPr>
            <w:tcW w:w="0" w:type="auto"/>
          </w:tcPr>
          <w:p w14:paraId="2CC138BA" w14:textId="77777777" w:rsidR="003F539B" w:rsidRPr="00E10DFE" w:rsidRDefault="003F539B" w:rsidP="00A67E02">
            <w:pPr>
              <w:contextualSpacing/>
              <w:rPr>
                <w:rFonts w:cstheme="minorHAnsi"/>
              </w:rPr>
            </w:pPr>
          </w:p>
          <w:p w14:paraId="28C87D4F" w14:textId="77777777" w:rsidR="003F539B" w:rsidRPr="00E10DFE" w:rsidRDefault="003F539B" w:rsidP="003F539B">
            <w:pPr>
              <w:contextualSpacing/>
              <w:rPr>
                <w:rFonts w:cstheme="minorHAnsi"/>
              </w:rPr>
            </w:pPr>
            <w:r w:rsidRPr="00E10DFE">
              <w:rPr>
                <w:rFonts w:cstheme="minorHAnsi"/>
              </w:rPr>
              <w:t>42%</w:t>
            </w:r>
          </w:p>
          <w:p w14:paraId="28862420" w14:textId="2E7C1ABD" w:rsidR="003F539B" w:rsidRPr="00E10DFE" w:rsidRDefault="003F539B" w:rsidP="003F539B">
            <w:pPr>
              <w:contextualSpacing/>
              <w:rPr>
                <w:rFonts w:cstheme="minorHAnsi"/>
              </w:rPr>
            </w:pPr>
            <w:r w:rsidRPr="00E10DFE">
              <w:rPr>
                <w:rFonts w:cstheme="minorHAnsi"/>
              </w:rPr>
              <w:t>34%</w:t>
            </w:r>
          </w:p>
        </w:tc>
      </w:tr>
    </w:tbl>
    <w:p w14:paraId="2548A775" w14:textId="36D69827" w:rsidR="0036358B" w:rsidRPr="00745ACF" w:rsidRDefault="0036358B">
      <w:pPr>
        <w:rPr>
          <w:b/>
          <w:bCs/>
          <w:color w:val="D0CECE" w:themeColor="background2" w:themeShade="E6"/>
          <w:sz w:val="28"/>
          <w:szCs w:val="28"/>
        </w:rPr>
      </w:pPr>
    </w:p>
    <w:p w14:paraId="6F52AC3C" w14:textId="1C107DB7" w:rsidR="00712709" w:rsidRDefault="00A72BA2" w:rsidP="00712709">
      <w:pPr>
        <w:spacing w:line="240" w:lineRule="auto"/>
        <w:rPr>
          <w:sz w:val="24"/>
          <w:szCs w:val="24"/>
        </w:rPr>
      </w:pPr>
      <w:r w:rsidRPr="00274F82">
        <w:rPr>
          <w:sz w:val="24"/>
          <w:szCs w:val="24"/>
        </w:rPr>
        <w:t xml:space="preserve">Table </w:t>
      </w:r>
      <w:r w:rsidR="0031584E">
        <w:rPr>
          <w:sz w:val="24"/>
          <w:szCs w:val="24"/>
        </w:rPr>
        <w:t>3</w:t>
      </w:r>
      <w:r w:rsidRPr="00274F82">
        <w:rPr>
          <w:sz w:val="24"/>
          <w:szCs w:val="24"/>
        </w:rPr>
        <w:t xml:space="preserve"> </w:t>
      </w:r>
      <w:r w:rsidR="0031584E">
        <w:rPr>
          <w:sz w:val="24"/>
          <w:szCs w:val="24"/>
        </w:rPr>
        <w:t xml:space="preserve">below </w:t>
      </w:r>
      <w:r w:rsidRPr="00274F82">
        <w:rPr>
          <w:sz w:val="24"/>
          <w:szCs w:val="24"/>
        </w:rPr>
        <w:t xml:space="preserve">presents </w:t>
      </w:r>
      <w:r w:rsidR="005B3317">
        <w:rPr>
          <w:sz w:val="24"/>
          <w:szCs w:val="24"/>
        </w:rPr>
        <w:t xml:space="preserve">payer mix data in two views: </w:t>
      </w:r>
      <w:r w:rsidR="00820379">
        <w:rPr>
          <w:sz w:val="24"/>
          <w:szCs w:val="24"/>
        </w:rPr>
        <w:t xml:space="preserve">a </w:t>
      </w:r>
      <w:r w:rsidR="00FD64F2">
        <w:rPr>
          <w:sz w:val="24"/>
          <w:szCs w:val="24"/>
        </w:rPr>
        <w:t xml:space="preserve">sample of a </w:t>
      </w:r>
      <w:r w:rsidR="00820379">
        <w:rPr>
          <w:sz w:val="24"/>
          <w:szCs w:val="24"/>
        </w:rPr>
        <w:t>typical monthly</w:t>
      </w:r>
      <w:r w:rsidR="00996DE2">
        <w:rPr>
          <w:sz w:val="24"/>
          <w:szCs w:val="24"/>
        </w:rPr>
        <w:t xml:space="preserve"> </w:t>
      </w:r>
      <w:r w:rsidR="0003235F">
        <w:rPr>
          <w:sz w:val="24"/>
          <w:szCs w:val="24"/>
        </w:rPr>
        <w:t xml:space="preserve">payer mix </w:t>
      </w:r>
      <w:r w:rsidR="00996DE2">
        <w:rPr>
          <w:sz w:val="24"/>
          <w:szCs w:val="24"/>
        </w:rPr>
        <w:t xml:space="preserve">and </w:t>
      </w:r>
      <w:r w:rsidR="0003235F">
        <w:rPr>
          <w:sz w:val="24"/>
          <w:szCs w:val="24"/>
        </w:rPr>
        <w:t xml:space="preserve">the </w:t>
      </w:r>
      <w:r w:rsidR="00996DE2">
        <w:rPr>
          <w:sz w:val="24"/>
          <w:szCs w:val="24"/>
        </w:rPr>
        <w:t>FY20</w:t>
      </w:r>
      <w:r w:rsidR="00820379">
        <w:rPr>
          <w:sz w:val="24"/>
          <w:szCs w:val="24"/>
        </w:rPr>
        <w:t xml:space="preserve"> </w:t>
      </w:r>
      <w:r w:rsidRPr="00274F82">
        <w:rPr>
          <w:sz w:val="24"/>
          <w:szCs w:val="24"/>
        </w:rPr>
        <w:t xml:space="preserve">payer mix for </w:t>
      </w:r>
      <w:r w:rsidR="00274F82">
        <w:rPr>
          <w:sz w:val="24"/>
          <w:szCs w:val="24"/>
        </w:rPr>
        <w:t>Palmer</w:t>
      </w:r>
      <w:r w:rsidR="00EE2964" w:rsidRPr="00274F82">
        <w:rPr>
          <w:sz w:val="24"/>
          <w:szCs w:val="24"/>
        </w:rPr>
        <w:t xml:space="preserve"> H</w:t>
      </w:r>
      <w:r w:rsidR="00274F82">
        <w:rPr>
          <w:sz w:val="24"/>
          <w:szCs w:val="24"/>
        </w:rPr>
        <w:t>ealth</w:t>
      </w:r>
      <w:r w:rsidR="00F13AFE">
        <w:rPr>
          <w:sz w:val="24"/>
          <w:szCs w:val="24"/>
        </w:rPr>
        <w:t>care Center</w:t>
      </w:r>
      <w:r w:rsidR="00073588" w:rsidRPr="00274F82">
        <w:rPr>
          <w:sz w:val="24"/>
          <w:szCs w:val="24"/>
        </w:rPr>
        <w:t>.</w:t>
      </w:r>
      <w:r w:rsidR="00E63243">
        <w:rPr>
          <w:sz w:val="24"/>
          <w:szCs w:val="24"/>
        </w:rPr>
        <w:t xml:space="preserve"> </w:t>
      </w:r>
      <w:r w:rsidR="00993ACF">
        <w:rPr>
          <w:sz w:val="24"/>
          <w:szCs w:val="24"/>
        </w:rPr>
        <w:t>T</w:t>
      </w:r>
      <w:r w:rsidR="00DA2847">
        <w:rPr>
          <w:sz w:val="24"/>
          <w:szCs w:val="24"/>
        </w:rPr>
        <w:t xml:space="preserve">he discrepancy between </w:t>
      </w:r>
      <w:r w:rsidR="00E63243">
        <w:rPr>
          <w:sz w:val="24"/>
          <w:szCs w:val="24"/>
        </w:rPr>
        <w:t xml:space="preserve">the rates of </w:t>
      </w:r>
      <w:r w:rsidR="00DA2847">
        <w:rPr>
          <w:sz w:val="24"/>
          <w:szCs w:val="24"/>
        </w:rPr>
        <w:t xml:space="preserve">Medicaid and Medicare between the </w:t>
      </w:r>
      <w:r w:rsidR="005B3317">
        <w:rPr>
          <w:sz w:val="24"/>
          <w:szCs w:val="24"/>
        </w:rPr>
        <w:t>time periods</w:t>
      </w:r>
      <w:r w:rsidR="00E63243">
        <w:rPr>
          <w:sz w:val="24"/>
          <w:szCs w:val="24"/>
        </w:rPr>
        <w:t xml:space="preserve"> </w:t>
      </w:r>
      <w:r w:rsidR="00671C6D">
        <w:rPr>
          <w:sz w:val="24"/>
          <w:szCs w:val="24"/>
        </w:rPr>
        <w:t xml:space="preserve">results from </w:t>
      </w:r>
      <w:r w:rsidR="0003235F">
        <w:rPr>
          <w:sz w:val="24"/>
          <w:szCs w:val="24"/>
        </w:rPr>
        <w:t>patients’</w:t>
      </w:r>
      <w:r w:rsidR="00671C6D">
        <w:rPr>
          <w:sz w:val="24"/>
          <w:szCs w:val="24"/>
        </w:rPr>
        <w:t xml:space="preserve"> long lengths of stay and the </w:t>
      </w:r>
      <w:r w:rsidR="00DA2847">
        <w:rPr>
          <w:sz w:val="24"/>
          <w:szCs w:val="24"/>
        </w:rPr>
        <w:t xml:space="preserve">changes in long-term care coverage during a patient’s stay. </w:t>
      </w:r>
      <w:proofErr w:type="gramStart"/>
      <w:r w:rsidR="00DA2847">
        <w:rPr>
          <w:sz w:val="24"/>
          <w:szCs w:val="24"/>
        </w:rPr>
        <w:t>According to</w:t>
      </w:r>
      <w:proofErr w:type="gramEnd"/>
      <w:r w:rsidR="00DA2847">
        <w:rPr>
          <w:sz w:val="24"/>
          <w:szCs w:val="24"/>
        </w:rPr>
        <w:t xml:space="preserve"> the Applicant, patients are usually admitted to the Facility under the Medicare Part A scheme, but </w:t>
      </w:r>
      <w:r w:rsidR="00993ACF">
        <w:rPr>
          <w:sz w:val="24"/>
          <w:szCs w:val="24"/>
        </w:rPr>
        <w:t xml:space="preserve">once </w:t>
      </w:r>
      <w:r w:rsidR="00DA2847">
        <w:rPr>
          <w:sz w:val="24"/>
          <w:szCs w:val="24"/>
        </w:rPr>
        <w:t>they fall out of eligibility (</w:t>
      </w:r>
      <w:r w:rsidR="00B31D26">
        <w:rPr>
          <w:sz w:val="24"/>
          <w:szCs w:val="24"/>
        </w:rPr>
        <w:t>the applicant reports this</w:t>
      </w:r>
      <w:r w:rsidR="005D081B">
        <w:rPr>
          <w:sz w:val="24"/>
          <w:szCs w:val="24"/>
        </w:rPr>
        <w:t xml:space="preserve"> typically</w:t>
      </w:r>
      <w:r w:rsidR="00DA2847">
        <w:rPr>
          <w:sz w:val="24"/>
          <w:szCs w:val="24"/>
        </w:rPr>
        <w:t xml:space="preserve"> occurs </w:t>
      </w:r>
      <w:r w:rsidR="005D081B">
        <w:rPr>
          <w:sz w:val="24"/>
          <w:szCs w:val="24"/>
        </w:rPr>
        <w:t xml:space="preserve">within the first </w:t>
      </w:r>
      <w:r w:rsidR="00DA2847">
        <w:rPr>
          <w:sz w:val="24"/>
          <w:szCs w:val="24"/>
        </w:rPr>
        <w:t xml:space="preserve">50 days in the Facility), most patients transfer their coverage to </w:t>
      </w:r>
      <w:proofErr w:type="spellStart"/>
      <w:r w:rsidR="00DA2847">
        <w:rPr>
          <w:sz w:val="24"/>
          <w:szCs w:val="24"/>
        </w:rPr>
        <w:t>MassHealth</w:t>
      </w:r>
      <w:proofErr w:type="spellEnd"/>
      <w:r w:rsidR="00DA2847">
        <w:rPr>
          <w:sz w:val="24"/>
          <w:szCs w:val="24"/>
        </w:rPr>
        <w:t xml:space="preserve"> or self-pay.</w:t>
      </w:r>
      <w:r w:rsidR="00A76896">
        <w:rPr>
          <w:sz w:val="24"/>
          <w:szCs w:val="24"/>
        </w:rPr>
        <w:t xml:space="preserve"> </w:t>
      </w:r>
      <w:r w:rsidR="004F310F">
        <w:rPr>
          <w:sz w:val="24"/>
          <w:szCs w:val="24"/>
        </w:rPr>
        <w:t>The</w:t>
      </w:r>
      <w:r w:rsidR="00460802">
        <w:rPr>
          <w:sz w:val="24"/>
          <w:szCs w:val="24"/>
        </w:rPr>
        <w:t xml:space="preserve"> monthly snapshot shows the individuals’ actual insurance </w:t>
      </w:r>
      <w:proofErr w:type="gramStart"/>
      <w:r w:rsidR="00460802">
        <w:rPr>
          <w:sz w:val="24"/>
          <w:szCs w:val="24"/>
        </w:rPr>
        <w:t>in a given</w:t>
      </w:r>
      <w:proofErr w:type="gramEnd"/>
      <w:r w:rsidR="00460802">
        <w:rPr>
          <w:sz w:val="24"/>
          <w:szCs w:val="24"/>
        </w:rPr>
        <w:t xml:space="preserve"> month which is more likely to reflect the </w:t>
      </w:r>
      <w:r w:rsidR="00460802">
        <w:rPr>
          <w:sz w:val="24"/>
          <w:szCs w:val="24"/>
        </w:rPr>
        <w:lastRenderedPageBreak/>
        <w:t>change to Medicaid</w:t>
      </w:r>
      <w:r w:rsidR="006F5B8D">
        <w:rPr>
          <w:sz w:val="24"/>
          <w:szCs w:val="24"/>
        </w:rPr>
        <w:t>,</w:t>
      </w:r>
      <w:r w:rsidR="00460802">
        <w:rPr>
          <w:sz w:val="24"/>
          <w:szCs w:val="24"/>
        </w:rPr>
        <w:t xml:space="preserve"> while the </w:t>
      </w:r>
      <w:r w:rsidR="004F310F">
        <w:rPr>
          <w:sz w:val="24"/>
          <w:szCs w:val="24"/>
        </w:rPr>
        <w:t xml:space="preserve">fiscal year </w:t>
      </w:r>
      <w:r w:rsidR="004F310F" w:rsidRPr="006F5B8D">
        <w:rPr>
          <w:sz w:val="24"/>
          <w:szCs w:val="24"/>
        </w:rPr>
        <w:t>average reflects payer at point of admission</w:t>
      </w:r>
      <w:r w:rsidR="005B3317" w:rsidRPr="006F5B8D">
        <w:rPr>
          <w:sz w:val="24"/>
          <w:szCs w:val="24"/>
        </w:rPr>
        <w:t xml:space="preserve"> </w:t>
      </w:r>
      <w:r w:rsidR="005B3317" w:rsidRPr="00712709">
        <w:rPr>
          <w:sz w:val="24"/>
          <w:szCs w:val="24"/>
        </w:rPr>
        <w:t>(when Medicare is more likely to be in effect)</w:t>
      </w:r>
      <w:r w:rsidR="006F5B8D" w:rsidRPr="00712709">
        <w:rPr>
          <w:sz w:val="24"/>
          <w:szCs w:val="24"/>
        </w:rPr>
        <w:t xml:space="preserve">. </w:t>
      </w:r>
      <w:r w:rsidR="00712709" w:rsidRPr="00712709">
        <w:rPr>
          <w:sz w:val="24"/>
          <w:szCs w:val="24"/>
        </w:rPr>
        <w:t xml:space="preserve">Of note, the Applicant’s average Medicare case-mix index of 1.34-1.38 which </w:t>
      </w:r>
      <w:r w:rsidR="009D22A7">
        <w:rPr>
          <w:sz w:val="24"/>
          <w:szCs w:val="24"/>
        </w:rPr>
        <w:t xml:space="preserve">the Applicant states </w:t>
      </w:r>
      <w:r w:rsidR="00712709" w:rsidRPr="00712709">
        <w:rPr>
          <w:sz w:val="24"/>
          <w:szCs w:val="24"/>
        </w:rPr>
        <w:t xml:space="preserve">reflects </w:t>
      </w:r>
      <w:r w:rsidR="00D653B6">
        <w:rPr>
          <w:sz w:val="24"/>
          <w:szCs w:val="24"/>
        </w:rPr>
        <w:t xml:space="preserve">that the Patient Panel has a </w:t>
      </w:r>
      <w:r w:rsidR="00712709" w:rsidRPr="00712709">
        <w:rPr>
          <w:sz w:val="24"/>
          <w:szCs w:val="24"/>
        </w:rPr>
        <w:t>high level of cognitive impairment and</w:t>
      </w:r>
      <w:r w:rsidR="00D653B6">
        <w:rPr>
          <w:sz w:val="24"/>
          <w:szCs w:val="24"/>
        </w:rPr>
        <w:t xml:space="preserve"> </w:t>
      </w:r>
      <w:r w:rsidR="00712709" w:rsidRPr="00712709">
        <w:rPr>
          <w:sz w:val="24"/>
          <w:szCs w:val="24"/>
        </w:rPr>
        <w:t>more behavioral than medical needs</w:t>
      </w:r>
      <w:r w:rsidR="00D653B6">
        <w:rPr>
          <w:sz w:val="24"/>
          <w:szCs w:val="24"/>
        </w:rPr>
        <w:t>.</w:t>
      </w:r>
    </w:p>
    <w:p w14:paraId="7D0C34B6" w14:textId="77777777" w:rsidR="00A72BA2" w:rsidRPr="00274F82" w:rsidRDefault="00A72BA2" w:rsidP="00667357">
      <w:pPr>
        <w:spacing w:line="240" w:lineRule="auto"/>
        <w:rPr>
          <w:sz w:val="24"/>
          <w:szCs w:val="24"/>
        </w:rPr>
      </w:pPr>
    </w:p>
    <w:p w14:paraId="19AE4E75" w14:textId="1EE67D43" w:rsidR="00902DED" w:rsidRPr="00F13AFE" w:rsidRDefault="00902DED" w:rsidP="008650F7">
      <w:pPr>
        <w:pStyle w:val="Caption"/>
        <w:jc w:val="center"/>
        <w:rPr>
          <w:b/>
          <w:bCs/>
          <w:i w:val="0"/>
          <w:iCs w:val="0"/>
          <w:color w:val="auto"/>
          <w:sz w:val="24"/>
          <w:szCs w:val="24"/>
        </w:rPr>
      </w:pPr>
      <w:r w:rsidRPr="00F13AFE">
        <w:rPr>
          <w:b/>
          <w:bCs/>
          <w:i w:val="0"/>
          <w:iCs w:val="0"/>
          <w:color w:val="auto"/>
          <w:sz w:val="24"/>
          <w:szCs w:val="24"/>
        </w:rPr>
        <w:t xml:space="preserve">Table </w:t>
      </w:r>
      <w:r w:rsidR="0031584E">
        <w:rPr>
          <w:b/>
          <w:bCs/>
          <w:i w:val="0"/>
          <w:iCs w:val="0"/>
          <w:color w:val="auto"/>
          <w:sz w:val="24"/>
          <w:szCs w:val="24"/>
        </w:rPr>
        <w:t>3</w:t>
      </w:r>
      <w:r w:rsidRPr="00F13AFE">
        <w:rPr>
          <w:b/>
          <w:bCs/>
          <w:i w:val="0"/>
          <w:iCs w:val="0"/>
          <w:color w:val="auto"/>
          <w:sz w:val="24"/>
          <w:szCs w:val="24"/>
        </w:rPr>
        <w:t xml:space="preserve">: Payer Mix </w:t>
      </w:r>
      <w:r w:rsidR="00996DE2">
        <w:rPr>
          <w:b/>
          <w:bCs/>
          <w:i w:val="0"/>
          <w:iCs w:val="0"/>
          <w:color w:val="auto"/>
          <w:sz w:val="24"/>
          <w:szCs w:val="24"/>
        </w:rPr>
        <w:t>– August 2021 and FY2020</w:t>
      </w:r>
    </w:p>
    <w:tbl>
      <w:tblPr>
        <w:tblStyle w:val="TableGrid"/>
        <w:tblW w:w="0" w:type="auto"/>
        <w:jc w:val="center"/>
        <w:tblLook w:val="04A0" w:firstRow="1" w:lastRow="0" w:firstColumn="1" w:lastColumn="0" w:noHBand="0" w:noVBand="1"/>
        <w:tblCaption w:val="Table 3: Payer Mix-August 2021 and FY2020"/>
        <w:tblDescription w:val="Payer type Aug 2021 FY2020&#10;MEDICAID &#10;MEDICARE&#10;Self-Pay/ Commercial 80%&#10;10%&#10;10% 38%&#10;52%&#10;9%&#10;"/>
      </w:tblPr>
      <w:tblGrid>
        <w:gridCol w:w="2424"/>
        <w:gridCol w:w="1059"/>
        <w:gridCol w:w="871"/>
      </w:tblGrid>
      <w:tr w:rsidR="00996DE2" w:rsidRPr="00F13AFE" w14:paraId="3ABBA678" w14:textId="1F502D3B" w:rsidTr="006475CB">
        <w:trPr>
          <w:tblHeader/>
          <w:jc w:val="center"/>
        </w:trPr>
        <w:tc>
          <w:tcPr>
            <w:tcW w:w="0" w:type="auto"/>
            <w:tcBorders>
              <w:bottom w:val="single" w:sz="4" w:space="0" w:color="auto"/>
            </w:tcBorders>
            <w:shd w:val="clear" w:color="auto" w:fill="E7E6E6" w:themeFill="background2"/>
          </w:tcPr>
          <w:p w14:paraId="00C717DE" w14:textId="5A27AD2F" w:rsidR="00996DE2" w:rsidRPr="00F13AFE" w:rsidRDefault="00996DE2" w:rsidP="002A3098">
            <w:pPr>
              <w:contextualSpacing/>
              <w:rPr>
                <w:rFonts w:cstheme="minorHAnsi"/>
                <w:b/>
              </w:rPr>
            </w:pPr>
            <w:r>
              <w:rPr>
                <w:rFonts w:cstheme="minorHAnsi"/>
                <w:b/>
              </w:rPr>
              <w:t>Payer type</w:t>
            </w:r>
          </w:p>
        </w:tc>
        <w:tc>
          <w:tcPr>
            <w:tcW w:w="0" w:type="auto"/>
            <w:tcBorders>
              <w:bottom w:val="single" w:sz="4" w:space="0" w:color="auto"/>
            </w:tcBorders>
            <w:shd w:val="clear" w:color="auto" w:fill="E7E6E6" w:themeFill="background2"/>
          </w:tcPr>
          <w:p w14:paraId="70EB46D5" w14:textId="4CAA43D1" w:rsidR="00996DE2" w:rsidRPr="00F13AFE" w:rsidRDefault="00996DE2" w:rsidP="002A3098">
            <w:pPr>
              <w:contextualSpacing/>
              <w:rPr>
                <w:rFonts w:cstheme="minorHAnsi"/>
              </w:rPr>
            </w:pPr>
            <w:r>
              <w:rPr>
                <w:rFonts w:cstheme="minorHAnsi"/>
              </w:rPr>
              <w:t>Aug 2021</w:t>
            </w:r>
          </w:p>
        </w:tc>
        <w:tc>
          <w:tcPr>
            <w:tcW w:w="0" w:type="auto"/>
            <w:tcBorders>
              <w:bottom w:val="single" w:sz="4" w:space="0" w:color="auto"/>
            </w:tcBorders>
            <w:shd w:val="clear" w:color="auto" w:fill="E7E6E6" w:themeFill="background2"/>
          </w:tcPr>
          <w:p w14:paraId="61E3E4CF" w14:textId="350FA504" w:rsidR="00996DE2" w:rsidRDefault="00996DE2" w:rsidP="002A3098">
            <w:pPr>
              <w:contextualSpacing/>
              <w:rPr>
                <w:rFonts w:cstheme="minorHAnsi"/>
              </w:rPr>
            </w:pPr>
            <w:r>
              <w:rPr>
                <w:rFonts w:cstheme="minorHAnsi"/>
              </w:rPr>
              <w:t>FY2020</w:t>
            </w:r>
          </w:p>
        </w:tc>
      </w:tr>
      <w:tr w:rsidR="00996DE2" w:rsidRPr="00F13AFE" w14:paraId="722DD8B6" w14:textId="364D79A9" w:rsidTr="008F6EEC">
        <w:trPr>
          <w:jc w:val="center"/>
        </w:trPr>
        <w:tc>
          <w:tcPr>
            <w:tcW w:w="0" w:type="auto"/>
          </w:tcPr>
          <w:p w14:paraId="33C3406F" w14:textId="57F4E499" w:rsidR="00996DE2" w:rsidRPr="00F13AFE" w:rsidRDefault="00996DE2" w:rsidP="000F762C">
            <w:pPr>
              <w:ind w:left="288"/>
              <w:contextualSpacing/>
              <w:rPr>
                <w:rFonts w:cstheme="minorHAnsi"/>
              </w:rPr>
            </w:pPr>
            <w:r w:rsidRPr="00F13AFE">
              <w:rPr>
                <w:rFonts w:cstheme="minorHAnsi"/>
              </w:rPr>
              <w:t>MEDICAID</w:t>
            </w:r>
            <w:r>
              <w:rPr>
                <w:rFonts w:cstheme="minorHAnsi"/>
              </w:rPr>
              <w:t xml:space="preserve"> </w:t>
            </w:r>
          </w:p>
          <w:p w14:paraId="648BA4A2" w14:textId="77777777" w:rsidR="00996DE2" w:rsidRPr="00F13AFE" w:rsidRDefault="00996DE2" w:rsidP="000F762C">
            <w:pPr>
              <w:ind w:left="288"/>
              <w:contextualSpacing/>
              <w:rPr>
                <w:rFonts w:cstheme="minorHAnsi"/>
              </w:rPr>
            </w:pPr>
            <w:r w:rsidRPr="00F13AFE">
              <w:rPr>
                <w:rFonts w:cstheme="minorHAnsi"/>
              </w:rPr>
              <w:t>MEDICARE</w:t>
            </w:r>
          </w:p>
          <w:p w14:paraId="0F4585C4" w14:textId="1DEC00A3" w:rsidR="00996DE2" w:rsidRPr="00820379" w:rsidRDefault="00996DE2" w:rsidP="00820379">
            <w:pPr>
              <w:ind w:left="288"/>
              <w:contextualSpacing/>
              <w:rPr>
                <w:rFonts w:cstheme="minorHAnsi"/>
              </w:rPr>
            </w:pPr>
            <w:r w:rsidRPr="00F13AFE">
              <w:rPr>
                <w:rFonts w:cstheme="minorHAnsi"/>
              </w:rPr>
              <w:t>Self-Pay</w:t>
            </w:r>
            <w:r>
              <w:rPr>
                <w:rFonts w:cstheme="minorHAnsi"/>
              </w:rPr>
              <w:t>/ Commercial</w:t>
            </w:r>
          </w:p>
        </w:tc>
        <w:tc>
          <w:tcPr>
            <w:tcW w:w="0" w:type="auto"/>
          </w:tcPr>
          <w:p w14:paraId="1C364911" w14:textId="166E9B19" w:rsidR="00996DE2" w:rsidRDefault="00996DE2" w:rsidP="007D33F5">
            <w:pPr>
              <w:contextualSpacing/>
              <w:rPr>
                <w:rFonts w:cstheme="minorHAnsi"/>
              </w:rPr>
            </w:pPr>
            <w:r>
              <w:rPr>
                <w:rFonts w:cstheme="minorHAnsi"/>
              </w:rPr>
              <w:t>80%</w:t>
            </w:r>
          </w:p>
          <w:p w14:paraId="4EF16861" w14:textId="2855A4C2" w:rsidR="00996DE2" w:rsidRDefault="00996DE2" w:rsidP="007D33F5">
            <w:pPr>
              <w:contextualSpacing/>
              <w:rPr>
                <w:rFonts w:cstheme="minorHAnsi"/>
              </w:rPr>
            </w:pPr>
            <w:r>
              <w:rPr>
                <w:rFonts w:cstheme="minorHAnsi"/>
              </w:rPr>
              <w:t>10%</w:t>
            </w:r>
          </w:p>
          <w:p w14:paraId="0F2085B1" w14:textId="333E3EDF" w:rsidR="00996DE2" w:rsidRPr="00F13AFE" w:rsidRDefault="00996DE2" w:rsidP="007D33F5">
            <w:pPr>
              <w:contextualSpacing/>
              <w:rPr>
                <w:rFonts w:cstheme="minorHAnsi"/>
              </w:rPr>
            </w:pPr>
            <w:r>
              <w:rPr>
                <w:rFonts w:cstheme="minorHAnsi"/>
              </w:rPr>
              <w:t>10%</w:t>
            </w:r>
          </w:p>
        </w:tc>
        <w:tc>
          <w:tcPr>
            <w:tcW w:w="0" w:type="auto"/>
          </w:tcPr>
          <w:p w14:paraId="25B40F67" w14:textId="77777777" w:rsidR="00996DE2" w:rsidRDefault="00BF472B" w:rsidP="007D33F5">
            <w:pPr>
              <w:contextualSpacing/>
              <w:rPr>
                <w:rFonts w:cstheme="minorHAnsi"/>
              </w:rPr>
            </w:pPr>
            <w:r>
              <w:rPr>
                <w:rFonts w:cstheme="minorHAnsi"/>
              </w:rPr>
              <w:t>38%</w:t>
            </w:r>
          </w:p>
          <w:p w14:paraId="50229950" w14:textId="77777777" w:rsidR="00BF472B" w:rsidRDefault="00BF472B" w:rsidP="007D33F5">
            <w:pPr>
              <w:contextualSpacing/>
              <w:rPr>
                <w:rFonts w:cstheme="minorHAnsi"/>
              </w:rPr>
            </w:pPr>
            <w:r>
              <w:rPr>
                <w:rFonts w:cstheme="minorHAnsi"/>
              </w:rPr>
              <w:t>52%</w:t>
            </w:r>
          </w:p>
          <w:p w14:paraId="55411738" w14:textId="42A4D13C" w:rsidR="00BF472B" w:rsidRDefault="00BF472B" w:rsidP="007D33F5">
            <w:pPr>
              <w:contextualSpacing/>
              <w:rPr>
                <w:rFonts w:cstheme="minorHAnsi"/>
              </w:rPr>
            </w:pPr>
            <w:r>
              <w:rPr>
                <w:rFonts w:cstheme="minorHAnsi"/>
              </w:rPr>
              <w:t>9%</w:t>
            </w:r>
          </w:p>
        </w:tc>
      </w:tr>
    </w:tbl>
    <w:p w14:paraId="32C749A5" w14:textId="77777777" w:rsidR="00460802" w:rsidRDefault="00460802" w:rsidP="00460802">
      <w:pPr>
        <w:spacing w:line="240" w:lineRule="auto"/>
        <w:rPr>
          <w:sz w:val="24"/>
          <w:szCs w:val="24"/>
        </w:rPr>
      </w:pPr>
    </w:p>
    <w:p w14:paraId="2342FE53" w14:textId="77777777" w:rsidR="0031584E" w:rsidRPr="00745ACF" w:rsidRDefault="0031584E">
      <w:pPr>
        <w:rPr>
          <w:b/>
          <w:bCs/>
          <w:color w:val="D0CECE" w:themeColor="background2" w:themeShade="E6"/>
          <w:sz w:val="28"/>
          <w:szCs w:val="28"/>
        </w:rPr>
      </w:pPr>
    </w:p>
    <w:p w14:paraId="7FCD2EEA" w14:textId="55F97CDD" w:rsidR="00F67AA2" w:rsidRDefault="009B0843">
      <w:pPr>
        <w:rPr>
          <w:b/>
          <w:bCs/>
          <w:sz w:val="28"/>
          <w:szCs w:val="28"/>
        </w:rPr>
      </w:pPr>
      <w:r>
        <w:rPr>
          <w:b/>
          <w:bCs/>
          <w:sz w:val="28"/>
          <w:szCs w:val="28"/>
        </w:rPr>
        <w:t>F</w:t>
      </w:r>
      <w:r w:rsidR="00F67AA2" w:rsidRPr="00F67AA2">
        <w:rPr>
          <w:b/>
          <w:bCs/>
          <w:sz w:val="28"/>
          <w:szCs w:val="28"/>
        </w:rPr>
        <w:t>actor 1: a) Patient Panel Need</w:t>
      </w:r>
    </w:p>
    <w:p w14:paraId="55EA61AB" w14:textId="1630772C" w:rsidR="000644A3" w:rsidRDefault="00671C6D" w:rsidP="000644A3">
      <w:pPr>
        <w:spacing w:line="240" w:lineRule="auto"/>
        <w:rPr>
          <w:color w:val="D0CECE" w:themeColor="background2" w:themeShade="E6"/>
          <w:sz w:val="24"/>
          <w:szCs w:val="24"/>
        </w:rPr>
      </w:pPr>
      <w:r>
        <w:rPr>
          <w:sz w:val="24"/>
          <w:szCs w:val="24"/>
        </w:rPr>
        <w:t>In addition to complying with De</w:t>
      </w:r>
      <w:r w:rsidR="0083586F">
        <w:rPr>
          <w:sz w:val="24"/>
          <w:szCs w:val="24"/>
        </w:rPr>
        <w:t>-D</w:t>
      </w:r>
      <w:r>
        <w:rPr>
          <w:sz w:val="24"/>
          <w:szCs w:val="24"/>
        </w:rPr>
        <w:t>ensification Requirements, t</w:t>
      </w:r>
      <w:r w:rsidR="00487F4B">
        <w:rPr>
          <w:sz w:val="24"/>
          <w:szCs w:val="24"/>
        </w:rPr>
        <w:t xml:space="preserve">he Applicant </w:t>
      </w:r>
      <w:proofErr w:type="gramStart"/>
      <w:r w:rsidR="00487F4B">
        <w:rPr>
          <w:sz w:val="24"/>
          <w:szCs w:val="24"/>
        </w:rPr>
        <w:t>attributes</w:t>
      </w:r>
      <w:proofErr w:type="gramEnd"/>
      <w:r w:rsidR="00487F4B">
        <w:rPr>
          <w:sz w:val="24"/>
          <w:szCs w:val="24"/>
        </w:rPr>
        <w:t xml:space="preserve"> Patient Panel n</w:t>
      </w:r>
      <w:r w:rsidR="0006280A">
        <w:rPr>
          <w:sz w:val="24"/>
          <w:szCs w:val="24"/>
        </w:rPr>
        <w:t xml:space="preserve">eeds </w:t>
      </w:r>
      <w:r w:rsidR="00487F4B">
        <w:rPr>
          <w:sz w:val="24"/>
          <w:szCs w:val="24"/>
        </w:rPr>
        <w:t>for ex</w:t>
      </w:r>
      <w:r w:rsidR="000644A3">
        <w:rPr>
          <w:sz w:val="24"/>
          <w:szCs w:val="24"/>
        </w:rPr>
        <w:t>panded</w:t>
      </w:r>
      <w:r w:rsidR="00487F4B">
        <w:rPr>
          <w:sz w:val="24"/>
          <w:szCs w:val="24"/>
        </w:rPr>
        <w:t xml:space="preserve"> </w:t>
      </w:r>
      <w:r w:rsidR="000644A3">
        <w:rPr>
          <w:sz w:val="24"/>
          <w:szCs w:val="24"/>
        </w:rPr>
        <w:t xml:space="preserve">capacity </w:t>
      </w:r>
      <w:r w:rsidR="00487F4B">
        <w:rPr>
          <w:sz w:val="24"/>
          <w:szCs w:val="24"/>
        </w:rPr>
        <w:t>to the following</w:t>
      </w:r>
      <w:r w:rsidR="0099198E">
        <w:rPr>
          <w:sz w:val="24"/>
          <w:szCs w:val="24"/>
        </w:rPr>
        <w:t>:</w:t>
      </w:r>
      <w:r w:rsidR="000644A3" w:rsidRPr="00745ACF">
        <w:rPr>
          <w:color w:val="D0CECE" w:themeColor="background2" w:themeShade="E6"/>
          <w:sz w:val="24"/>
          <w:szCs w:val="24"/>
        </w:rPr>
        <w:t xml:space="preserve"> </w:t>
      </w:r>
    </w:p>
    <w:p w14:paraId="5C5888B5" w14:textId="7DCBD475" w:rsidR="00B47D8A" w:rsidRDefault="00B47D8A" w:rsidP="00B47D8A">
      <w:pPr>
        <w:pStyle w:val="ListParagraph"/>
        <w:numPr>
          <w:ilvl w:val="0"/>
          <w:numId w:val="38"/>
        </w:numPr>
        <w:spacing w:line="240" w:lineRule="auto"/>
        <w:rPr>
          <w:sz w:val="24"/>
          <w:szCs w:val="24"/>
        </w:rPr>
      </w:pPr>
      <w:r>
        <w:rPr>
          <w:sz w:val="24"/>
          <w:szCs w:val="24"/>
        </w:rPr>
        <w:t>Capacity constraints</w:t>
      </w:r>
    </w:p>
    <w:p w14:paraId="0FA29267" w14:textId="7A6ED0DB" w:rsidR="00B47D8A" w:rsidRDefault="00B47D8A" w:rsidP="00B47D8A">
      <w:pPr>
        <w:pStyle w:val="ListParagraph"/>
        <w:numPr>
          <w:ilvl w:val="0"/>
          <w:numId w:val="38"/>
        </w:numPr>
        <w:spacing w:line="240" w:lineRule="auto"/>
        <w:rPr>
          <w:sz w:val="24"/>
          <w:szCs w:val="24"/>
        </w:rPr>
      </w:pPr>
      <w:r>
        <w:rPr>
          <w:sz w:val="24"/>
          <w:szCs w:val="24"/>
        </w:rPr>
        <w:t>Inability to accommodate community needs</w:t>
      </w:r>
    </w:p>
    <w:p w14:paraId="084F5866" w14:textId="4CF9C534" w:rsidR="00D862C5" w:rsidRDefault="00D862C5" w:rsidP="00B47D8A">
      <w:pPr>
        <w:pStyle w:val="ListParagraph"/>
        <w:numPr>
          <w:ilvl w:val="0"/>
          <w:numId w:val="38"/>
        </w:numPr>
        <w:spacing w:line="240" w:lineRule="auto"/>
        <w:rPr>
          <w:sz w:val="24"/>
          <w:szCs w:val="24"/>
        </w:rPr>
      </w:pPr>
      <w:r>
        <w:rPr>
          <w:sz w:val="24"/>
          <w:szCs w:val="24"/>
        </w:rPr>
        <w:t>Need for an unlocked unit</w:t>
      </w:r>
    </w:p>
    <w:p w14:paraId="7B989681" w14:textId="77777777" w:rsidR="00B47D8A" w:rsidRPr="00B47D8A" w:rsidRDefault="00B47D8A" w:rsidP="00B47D8A">
      <w:pPr>
        <w:spacing w:line="240" w:lineRule="auto"/>
        <w:rPr>
          <w:sz w:val="24"/>
          <w:szCs w:val="24"/>
        </w:rPr>
      </w:pPr>
    </w:p>
    <w:p w14:paraId="67A99552" w14:textId="30940229" w:rsidR="006A5EE4" w:rsidRDefault="0006280A" w:rsidP="00B47D8A">
      <w:pPr>
        <w:pStyle w:val="ListParagraph"/>
        <w:numPr>
          <w:ilvl w:val="0"/>
          <w:numId w:val="45"/>
        </w:numPr>
        <w:spacing w:line="240" w:lineRule="auto"/>
        <w:rPr>
          <w:sz w:val="24"/>
          <w:szCs w:val="24"/>
        </w:rPr>
      </w:pPr>
      <w:r>
        <w:rPr>
          <w:sz w:val="24"/>
          <w:szCs w:val="24"/>
        </w:rPr>
        <w:t xml:space="preserve">The Facility operates at </w:t>
      </w:r>
      <w:r w:rsidR="00475C2F">
        <w:rPr>
          <w:sz w:val="24"/>
          <w:szCs w:val="24"/>
        </w:rPr>
        <w:t xml:space="preserve">or </w:t>
      </w:r>
      <w:r>
        <w:rPr>
          <w:sz w:val="24"/>
          <w:szCs w:val="24"/>
        </w:rPr>
        <w:t>near capacity most of the time</w:t>
      </w:r>
      <w:r w:rsidR="0083586F">
        <w:rPr>
          <w:sz w:val="24"/>
          <w:szCs w:val="24"/>
        </w:rPr>
        <w:t>.</w:t>
      </w:r>
      <w:r w:rsidR="00064BA8">
        <w:rPr>
          <w:sz w:val="24"/>
          <w:szCs w:val="24"/>
        </w:rPr>
        <w:t xml:space="preserve"> </w:t>
      </w:r>
      <w:r w:rsidR="0066509E">
        <w:rPr>
          <w:sz w:val="24"/>
          <w:szCs w:val="24"/>
        </w:rPr>
        <w:t>T</w:t>
      </w:r>
      <w:r w:rsidR="0066509E" w:rsidRPr="00064BA8">
        <w:rPr>
          <w:sz w:val="24"/>
          <w:szCs w:val="24"/>
        </w:rPr>
        <w:t xml:space="preserve">ypical </w:t>
      </w:r>
      <w:r w:rsidR="0066509E">
        <w:rPr>
          <w:sz w:val="24"/>
          <w:szCs w:val="24"/>
        </w:rPr>
        <w:t>lengths of stay in the facility are long, generally a result of many</w:t>
      </w:r>
      <w:r w:rsidR="00D653B6">
        <w:rPr>
          <w:sz w:val="24"/>
          <w:szCs w:val="24"/>
        </w:rPr>
        <w:t xml:space="preserve"> patients experiencing </w:t>
      </w:r>
      <w:r w:rsidR="0066509E">
        <w:rPr>
          <w:sz w:val="24"/>
          <w:szCs w:val="24"/>
        </w:rPr>
        <w:t>a high</w:t>
      </w:r>
      <w:r w:rsidR="00D653B6">
        <w:rPr>
          <w:sz w:val="24"/>
          <w:szCs w:val="24"/>
        </w:rPr>
        <w:t xml:space="preserve"> level of cognitive impairment </w:t>
      </w:r>
      <w:r w:rsidR="0066509E">
        <w:rPr>
          <w:sz w:val="24"/>
          <w:szCs w:val="24"/>
        </w:rPr>
        <w:t xml:space="preserve">and </w:t>
      </w:r>
      <w:r w:rsidR="0017609C" w:rsidRPr="00064BA8">
        <w:rPr>
          <w:sz w:val="24"/>
          <w:szCs w:val="24"/>
        </w:rPr>
        <w:t>mid- to severe levels of dementia</w:t>
      </w:r>
      <w:r w:rsidR="0066509E">
        <w:rPr>
          <w:sz w:val="24"/>
          <w:szCs w:val="24"/>
        </w:rPr>
        <w:t>.</w:t>
      </w:r>
      <w:r w:rsidR="00BE6DC6">
        <w:rPr>
          <w:sz w:val="24"/>
          <w:szCs w:val="24"/>
        </w:rPr>
        <w:t xml:space="preserve"> </w:t>
      </w:r>
      <w:r w:rsidR="0066509E">
        <w:rPr>
          <w:sz w:val="24"/>
          <w:szCs w:val="24"/>
        </w:rPr>
        <w:t xml:space="preserve">Among the Patient Panel are residents who present or are at risk for </w:t>
      </w:r>
      <w:r w:rsidR="0066509E" w:rsidRPr="0066509E">
        <w:rPr>
          <w:sz w:val="24"/>
          <w:szCs w:val="24"/>
        </w:rPr>
        <w:t>declines in swallowing and nutritional intake, self-feeding, balance, muscle weakness and mobility and ADL performance</w:t>
      </w:r>
      <w:r w:rsidR="0066509E">
        <w:rPr>
          <w:sz w:val="24"/>
          <w:szCs w:val="24"/>
        </w:rPr>
        <w:t xml:space="preserve">. Patients may require </w:t>
      </w:r>
      <w:r w:rsidR="0066509E" w:rsidRPr="0066509E">
        <w:rPr>
          <w:sz w:val="24"/>
          <w:szCs w:val="24"/>
        </w:rPr>
        <w:t>increased pain management as well as occupational, physical, and speech therapy to aid the patient adapt to the Facility</w:t>
      </w:r>
      <w:r w:rsidR="0066509E">
        <w:rPr>
          <w:sz w:val="24"/>
          <w:szCs w:val="24"/>
        </w:rPr>
        <w:t>.</w:t>
      </w:r>
    </w:p>
    <w:p w14:paraId="55877ACD" w14:textId="77777777" w:rsidR="00B47D8A" w:rsidRPr="00737042" w:rsidRDefault="00B47D8A" w:rsidP="00B47D8A">
      <w:pPr>
        <w:spacing w:line="240" w:lineRule="auto"/>
        <w:ind w:left="360"/>
        <w:rPr>
          <w:sz w:val="24"/>
          <w:szCs w:val="24"/>
        </w:rPr>
      </w:pPr>
      <w:r>
        <w:rPr>
          <w:sz w:val="24"/>
          <w:szCs w:val="24"/>
        </w:rPr>
        <w:t>The Facility’s average length of stay is 3.2 years, which is greater than Massachusetts’ average of 2.41 years, which is consistent with the composition of their patient panel.</w:t>
      </w:r>
      <w:r>
        <w:rPr>
          <w:rStyle w:val="FootnoteReference"/>
          <w:sz w:val="24"/>
          <w:szCs w:val="24"/>
        </w:rPr>
        <w:footnoteReference w:id="6"/>
      </w:r>
      <w:r>
        <w:rPr>
          <w:sz w:val="24"/>
          <w:szCs w:val="24"/>
        </w:rPr>
        <w:t xml:space="preserve"> Evidence suggests that lengths of stay in long-term care facilities is significantly longer for patients with dementia compared to patients without dementia.</w:t>
      </w:r>
      <w:r>
        <w:rPr>
          <w:rStyle w:val="FootnoteReference"/>
          <w:sz w:val="24"/>
          <w:szCs w:val="24"/>
        </w:rPr>
        <w:footnoteReference w:id="7"/>
      </w:r>
      <w:r>
        <w:rPr>
          <w:sz w:val="24"/>
          <w:szCs w:val="24"/>
        </w:rPr>
        <w:t xml:space="preserve"> The Applicant provided their Level II Resident Days by Year for FY18 to FY20, as seen in Table 4.</w:t>
      </w:r>
    </w:p>
    <w:p w14:paraId="124F3010" w14:textId="338F6B4F" w:rsidR="00B47D8A" w:rsidRDefault="00B47D8A" w:rsidP="00B47D8A">
      <w:pPr>
        <w:pStyle w:val="ListParagraph"/>
        <w:spacing w:line="240" w:lineRule="auto"/>
        <w:ind w:left="360"/>
        <w:rPr>
          <w:sz w:val="24"/>
          <w:szCs w:val="24"/>
        </w:rPr>
      </w:pPr>
      <w:r>
        <w:rPr>
          <w:sz w:val="24"/>
          <w:szCs w:val="24"/>
        </w:rPr>
        <w:t>Additionally, the Applicant’s patients</w:t>
      </w:r>
      <w:r w:rsidRPr="006A5EE4">
        <w:rPr>
          <w:sz w:val="24"/>
          <w:szCs w:val="24"/>
        </w:rPr>
        <w:t xml:space="preserve"> are not </w:t>
      </w:r>
      <w:r w:rsidR="002B5545">
        <w:rPr>
          <w:sz w:val="24"/>
          <w:szCs w:val="24"/>
        </w:rPr>
        <w:t xml:space="preserve">generally </w:t>
      </w:r>
      <w:r w:rsidRPr="006A5EE4">
        <w:rPr>
          <w:sz w:val="24"/>
          <w:szCs w:val="24"/>
        </w:rPr>
        <w:t xml:space="preserve">discharged back into the community, due to the heightened risk of wandering when moved to a new environment. While efforts </w:t>
      </w:r>
      <w:r w:rsidRPr="006A5EE4">
        <w:rPr>
          <w:sz w:val="24"/>
          <w:szCs w:val="24"/>
        </w:rPr>
        <w:lastRenderedPageBreak/>
        <w:t xml:space="preserve">are made to discharge short-term patients with low-level dementia whose physical health improves after coming to the Facility, this is not enough to meet the demand of the larger patient population. </w:t>
      </w:r>
    </w:p>
    <w:p w14:paraId="463E22A9" w14:textId="77777777" w:rsidR="00B47D8A" w:rsidRPr="00D369C2" w:rsidRDefault="00B47D8A" w:rsidP="00B47D8A">
      <w:pPr>
        <w:pStyle w:val="Caption"/>
        <w:jc w:val="center"/>
        <w:rPr>
          <w:b/>
          <w:bCs/>
          <w:i w:val="0"/>
          <w:iCs w:val="0"/>
          <w:color w:val="auto"/>
          <w:sz w:val="24"/>
          <w:szCs w:val="24"/>
        </w:rPr>
      </w:pPr>
      <w:r w:rsidRPr="00F13AFE">
        <w:rPr>
          <w:b/>
          <w:bCs/>
          <w:i w:val="0"/>
          <w:iCs w:val="0"/>
          <w:color w:val="auto"/>
          <w:sz w:val="24"/>
          <w:szCs w:val="24"/>
        </w:rPr>
        <w:t xml:space="preserve">Table </w:t>
      </w:r>
      <w:r>
        <w:rPr>
          <w:b/>
          <w:bCs/>
          <w:i w:val="0"/>
          <w:iCs w:val="0"/>
          <w:color w:val="auto"/>
          <w:sz w:val="24"/>
          <w:szCs w:val="24"/>
        </w:rPr>
        <w:t>4</w:t>
      </w:r>
      <w:r w:rsidRPr="00F13AFE">
        <w:rPr>
          <w:b/>
          <w:bCs/>
          <w:i w:val="0"/>
          <w:iCs w:val="0"/>
          <w:color w:val="auto"/>
          <w:sz w:val="24"/>
          <w:szCs w:val="24"/>
        </w:rPr>
        <w:t xml:space="preserve">: </w:t>
      </w:r>
      <w:r>
        <w:rPr>
          <w:b/>
          <w:bCs/>
          <w:i w:val="0"/>
          <w:iCs w:val="0"/>
          <w:color w:val="auto"/>
          <w:sz w:val="24"/>
          <w:szCs w:val="24"/>
        </w:rPr>
        <w:t>Resident Days per Year</w:t>
      </w:r>
    </w:p>
    <w:tbl>
      <w:tblPr>
        <w:tblStyle w:val="TableGrid"/>
        <w:tblW w:w="0" w:type="auto"/>
        <w:jc w:val="center"/>
        <w:tblLook w:val="04A0" w:firstRow="1" w:lastRow="0" w:firstColumn="1" w:lastColumn="0" w:noHBand="0" w:noVBand="1"/>
        <w:tblCaption w:val="Table 4: Resident Days per Year"/>
        <w:tblDescription w:val="Year (1/1-12/31) Resident Days&#10;2018&#10;2019&#10;2020 19,231&#10;20,457&#10;20,097&#10;"/>
      </w:tblPr>
      <w:tblGrid>
        <w:gridCol w:w="1741"/>
        <w:gridCol w:w="1505"/>
      </w:tblGrid>
      <w:tr w:rsidR="00B47D8A" w14:paraId="1A30A794" w14:textId="77777777" w:rsidTr="006475CB">
        <w:trPr>
          <w:tblHeader/>
          <w:jc w:val="center"/>
        </w:trPr>
        <w:tc>
          <w:tcPr>
            <w:tcW w:w="0" w:type="auto"/>
            <w:tcBorders>
              <w:bottom w:val="single" w:sz="4" w:space="0" w:color="auto"/>
            </w:tcBorders>
            <w:shd w:val="clear" w:color="auto" w:fill="E7E6E6" w:themeFill="background2"/>
          </w:tcPr>
          <w:p w14:paraId="58C48416" w14:textId="77777777" w:rsidR="00B47D8A" w:rsidRPr="00F13AFE" w:rsidRDefault="00B47D8A" w:rsidP="00137C87">
            <w:pPr>
              <w:contextualSpacing/>
              <w:rPr>
                <w:rFonts w:cstheme="minorHAnsi"/>
                <w:b/>
              </w:rPr>
            </w:pPr>
            <w:r>
              <w:rPr>
                <w:rFonts w:cstheme="minorHAnsi"/>
                <w:b/>
              </w:rPr>
              <w:t>Year (1/1-12/31)</w:t>
            </w:r>
          </w:p>
        </w:tc>
        <w:tc>
          <w:tcPr>
            <w:tcW w:w="0" w:type="auto"/>
            <w:tcBorders>
              <w:bottom w:val="single" w:sz="4" w:space="0" w:color="auto"/>
            </w:tcBorders>
            <w:shd w:val="clear" w:color="auto" w:fill="E7E6E6" w:themeFill="background2"/>
          </w:tcPr>
          <w:p w14:paraId="060C1FE7" w14:textId="77777777" w:rsidR="00B47D8A" w:rsidRPr="00737042" w:rsidRDefault="00B47D8A" w:rsidP="00137C87">
            <w:pPr>
              <w:contextualSpacing/>
              <w:rPr>
                <w:rFonts w:cstheme="minorHAnsi"/>
                <w:b/>
                <w:bCs/>
              </w:rPr>
            </w:pPr>
            <w:r w:rsidRPr="00737042">
              <w:rPr>
                <w:rFonts w:cstheme="minorHAnsi"/>
                <w:b/>
                <w:bCs/>
              </w:rPr>
              <w:t>Resident Days</w:t>
            </w:r>
          </w:p>
        </w:tc>
      </w:tr>
      <w:tr w:rsidR="00B47D8A" w14:paraId="6CE47101" w14:textId="77777777" w:rsidTr="00137C87">
        <w:trPr>
          <w:jc w:val="center"/>
        </w:trPr>
        <w:tc>
          <w:tcPr>
            <w:tcW w:w="0" w:type="auto"/>
          </w:tcPr>
          <w:p w14:paraId="57999741" w14:textId="77777777" w:rsidR="00B47D8A" w:rsidRDefault="00B47D8A" w:rsidP="00137C87">
            <w:pPr>
              <w:ind w:left="155"/>
              <w:contextualSpacing/>
              <w:rPr>
                <w:rFonts w:cstheme="minorHAnsi"/>
              </w:rPr>
            </w:pPr>
            <w:r>
              <w:rPr>
                <w:rFonts w:cstheme="minorHAnsi"/>
              </w:rPr>
              <w:t>2018</w:t>
            </w:r>
          </w:p>
          <w:p w14:paraId="3A4C852F" w14:textId="77777777" w:rsidR="00B47D8A" w:rsidRDefault="00B47D8A" w:rsidP="00137C87">
            <w:pPr>
              <w:ind w:left="155"/>
              <w:contextualSpacing/>
              <w:rPr>
                <w:rFonts w:cstheme="minorHAnsi"/>
              </w:rPr>
            </w:pPr>
            <w:r>
              <w:rPr>
                <w:rFonts w:cstheme="minorHAnsi"/>
              </w:rPr>
              <w:t>2019</w:t>
            </w:r>
          </w:p>
          <w:p w14:paraId="249E3D7C" w14:textId="77777777" w:rsidR="00B47D8A" w:rsidRPr="00820379" w:rsidRDefault="00B47D8A" w:rsidP="00137C87">
            <w:pPr>
              <w:ind w:left="155"/>
              <w:contextualSpacing/>
              <w:rPr>
                <w:rFonts w:cstheme="minorHAnsi"/>
              </w:rPr>
            </w:pPr>
            <w:r>
              <w:rPr>
                <w:rFonts w:cstheme="minorHAnsi"/>
              </w:rPr>
              <w:t>2020</w:t>
            </w:r>
          </w:p>
        </w:tc>
        <w:tc>
          <w:tcPr>
            <w:tcW w:w="0" w:type="auto"/>
          </w:tcPr>
          <w:p w14:paraId="65A9769E" w14:textId="77777777" w:rsidR="00B47D8A" w:rsidRDefault="00B47D8A" w:rsidP="00137C87">
            <w:pPr>
              <w:contextualSpacing/>
              <w:rPr>
                <w:rFonts w:cstheme="minorHAnsi"/>
              </w:rPr>
            </w:pPr>
            <w:r>
              <w:rPr>
                <w:rFonts w:cstheme="minorHAnsi"/>
              </w:rPr>
              <w:t>19,231</w:t>
            </w:r>
          </w:p>
          <w:p w14:paraId="31386A8F" w14:textId="77777777" w:rsidR="00B47D8A" w:rsidRDefault="00B47D8A" w:rsidP="00137C87">
            <w:pPr>
              <w:contextualSpacing/>
              <w:rPr>
                <w:rFonts w:cstheme="minorHAnsi"/>
              </w:rPr>
            </w:pPr>
            <w:r>
              <w:rPr>
                <w:rFonts w:cstheme="minorHAnsi"/>
              </w:rPr>
              <w:t>20,457</w:t>
            </w:r>
          </w:p>
          <w:p w14:paraId="5C5CBDA6" w14:textId="77777777" w:rsidR="00B47D8A" w:rsidRPr="00F13AFE" w:rsidRDefault="00B47D8A" w:rsidP="00137C87">
            <w:pPr>
              <w:contextualSpacing/>
              <w:rPr>
                <w:rFonts w:cstheme="minorHAnsi"/>
              </w:rPr>
            </w:pPr>
            <w:r>
              <w:rPr>
                <w:rFonts w:cstheme="minorHAnsi"/>
              </w:rPr>
              <w:t>20,097</w:t>
            </w:r>
          </w:p>
        </w:tc>
      </w:tr>
    </w:tbl>
    <w:p w14:paraId="31588932" w14:textId="77777777" w:rsidR="00B47D8A" w:rsidRDefault="00B47D8A" w:rsidP="00B47D8A">
      <w:pPr>
        <w:spacing w:line="240" w:lineRule="auto"/>
        <w:ind w:left="360"/>
        <w:rPr>
          <w:sz w:val="24"/>
          <w:szCs w:val="24"/>
        </w:rPr>
      </w:pPr>
    </w:p>
    <w:p w14:paraId="10C1998F" w14:textId="42375E2D" w:rsidR="00D862C5" w:rsidRPr="00A07030" w:rsidRDefault="00B47D8A" w:rsidP="00A07030">
      <w:pPr>
        <w:pStyle w:val="ListParagraph"/>
        <w:numPr>
          <w:ilvl w:val="0"/>
          <w:numId w:val="45"/>
        </w:numPr>
        <w:spacing w:line="240" w:lineRule="auto"/>
        <w:rPr>
          <w:sz w:val="24"/>
          <w:szCs w:val="24"/>
        </w:rPr>
      </w:pPr>
      <w:r w:rsidRPr="0048608D">
        <w:rPr>
          <w:sz w:val="24"/>
          <w:szCs w:val="24"/>
        </w:rPr>
        <w:t>In FY2021, the Facility turned away 31 referrals</w:t>
      </w:r>
      <w:r w:rsidR="00DF48A8">
        <w:rPr>
          <w:sz w:val="24"/>
          <w:szCs w:val="24"/>
        </w:rPr>
        <w:t xml:space="preserve"> from neighboring hospitals </w:t>
      </w:r>
      <w:r w:rsidR="00CA5940">
        <w:rPr>
          <w:sz w:val="24"/>
          <w:szCs w:val="24"/>
        </w:rPr>
        <w:t>because of</w:t>
      </w:r>
      <w:r w:rsidR="00DF48A8">
        <w:rPr>
          <w:sz w:val="24"/>
          <w:szCs w:val="24"/>
        </w:rPr>
        <w:t xml:space="preserve"> lack of capacity</w:t>
      </w:r>
      <w:r w:rsidR="00D23BB5">
        <w:rPr>
          <w:sz w:val="24"/>
          <w:szCs w:val="24"/>
        </w:rPr>
        <w:t>.</w:t>
      </w:r>
      <w:r w:rsidR="00DF48A8" w:rsidRPr="0048608D">
        <w:rPr>
          <w:sz w:val="24"/>
          <w:szCs w:val="24"/>
        </w:rPr>
        <w:t xml:space="preserve"> These referrals included patients with </w:t>
      </w:r>
      <w:r w:rsidR="00CA5940">
        <w:rPr>
          <w:sz w:val="24"/>
          <w:szCs w:val="24"/>
        </w:rPr>
        <w:t xml:space="preserve">both short- and long-term care needs, and </w:t>
      </w:r>
      <w:r w:rsidR="00DF48A8">
        <w:rPr>
          <w:sz w:val="24"/>
          <w:szCs w:val="24"/>
        </w:rPr>
        <w:t>behavioral</w:t>
      </w:r>
      <w:r w:rsidR="00DF48A8" w:rsidRPr="0048608D">
        <w:rPr>
          <w:sz w:val="24"/>
          <w:szCs w:val="24"/>
        </w:rPr>
        <w:t xml:space="preserve"> health diagnoses</w:t>
      </w:r>
      <w:r w:rsidR="00CA5940">
        <w:rPr>
          <w:sz w:val="24"/>
          <w:szCs w:val="24"/>
        </w:rPr>
        <w:t>,</w:t>
      </w:r>
      <w:r w:rsidR="00DF48A8">
        <w:rPr>
          <w:sz w:val="24"/>
          <w:szCs w:val="24"/>
        </w:rPr>
        <w:t xml:space="preserve"> some of whom</w:t>
      </w:r>
      <w:r w:rsidR="00DF48A8" w:rsidRPr="0048608D">
        <w:rPr>
          <w:sz w:val="24"/>
          <w:szCs w:val="24"/>
        </w:rPr>
        <w:t xml:space="preserve"> could be cared for in unlocked environments</w:t>
      </w:r>
      <w:r w:rsidR="00DF48A8">
        <w:rPr>
          <w:sz w:val="24"/>
          <w:szCs w:val="24"/>
        </w:rPr>
        <w:t xml:space="preserve"> while others require locked facilities</w:t>
      </w:r>
      <w:r w:rsidR="00DF48A8" w:rsidRPr="0048608D">
        <w:rPr>
          <w:sz w:val="24"/>
          <w:szCs w:val="24"/>
        </w:rPr>
        <w:t>.</w:t>
      </w:r>
      <w:r w:rsidR="00DF48A8">
        <w:rPr>
          <w:sz w:val="24"/>
          <w:szCs w:val="24"/>
        </w:rPr>
        <w:t xml:space="preserve"> </w:t>
      </w:r>
      <w:r w:rsidR="00153C2F" w:rsidRPr="00DC7BAC">
        <w:rPr>
          <w:sz w:val="24"/>
          <w:szCs w:val="24"/>
        </w:rPr>
        <w:t xml:space="preserve">The Applicant cites </w:t>
      </w:r>
      <w:r w:rsidR="002B5545">
        <w:rPr>
          <w:sz w:val="24"/>
          <w:szCs w:val="24"/>
        </w:rPr>
        <w:t>t</w:t>
      </w:r>
      <w:r w:rsidR="00153C2F" w:rsidRPr="00DC7BAC">
        <w:rPr>
          <w:sz w:val="24"/>
          <w:szCs w:val="24"/>
        </w:rPr>
        <w:t xml:space="preserve">he </w:t>
      </w:r>
      <w:proofErr w:type="spellStart"/>
      <w:r w:rsidR="00153C2F" w:rsidRPr="00DC7BAC">
        <w:rPr>
          <w:sz w:val="24"/>
          <w:szCs w:val="24"/>
        </w:rPr>
        <w:t>Baystate</w:t>
      </w:r>
      <w:proofErr w:type="spellEnd"/>
      <w:r w:rsidR="00153C2F" w:rsidRPr="00DC7BAC">
        <w:rPr>
          <w:sz w:val="24"/>
          <w:szCs w:val="24"/>
        </w:rPr>
        <w:t xml:space="preserve"> Health Community Needs Assessment</w:t>
      </w:r>
      <w:r w:rsidR="002B5545">
        <w:rPr>
          <w:sz w:val="24"/>
          <w:szCs w:val="24"/>
        </w:rPr>
        <w:t>, which</w:t>
      </w:r>
      <w:r w:rsidR="00153C2F" w:rsidRPr="00DC7BAC">
        <w:rPr>
          <w:sz w:val="24"/>
          <w:szCs w:val="24"/>
        </w:rPr>
        <w:t xml:space="preserve"> found that </w:t>
      </w:r>
      <w:r w:rsidR="002426E1" w:rsidRPr="00DC7BAC">
        <w:rPr>
          <w:sz w:val="24"/>
          <w:szCs w:val="24"/>
        </w:rPr>
        <w:t xml:space="preserve">the </w:t>
      </w:r>
      <w:r w:rsidR="00153C2F" w:rsidRPr="00DC7BAC">
        <w:rPr>
          <w:sz w:val="24"/>
          <w:szCs w:val="24"/>
        </w:rPr>
        <w:t xml:space="preserve">Palmer </w:t>
      </w:r>
      <w:r w:rsidR="002426E1" w:rsidRPr="00DC7BAC">
        <w:rPr>
          <w:sz w:val="24"/>
          <w:szCs w:val="24"/>
        </w:rPr>
        <w:t xml:space="preserve">community has </w:t>
      </w:r>
      <w:r w:rsidR="00153C2F" w:rsidRPr="00DC7BAC">
        <w:rPr>
          <w:sz w:val="24"/>
          <w:szCs w:val="24"/>
        </w:rPr>
        <w:t xml:space="preserve">higher rates for </w:t>
      </w:r>
      <w:proofErr w:type="gramStart"/>
      <w:r w:rsidR="00153C2F" w:rsidRPr="00DC7BAC">
        <w:rPr>
          <w:sz w:val="24"/>
          <w:szCs w:val="24"/>
        </w:rPr>
        <w:t>the majority of</w:t>
      </w:r>
      <w:proofErr w:type="gramEnd"/>
      <w:r w:rsidR="00153C2F" w:rsidRPr="00DC7BAC">
        <w:rPr>
          <w:sz w:val="24"/>
          <w:szCs w:val="24"/>
        </w:rPr>
        <w:t xml:space="preserve"> health conditions identified as prioritized health needs</w:t>
      </w:r>
      <w:r w:rsidR="002B5545">
        <w:rPr>
          <w:sz w:val="24"/>
          <w:szCs w:val="24"/>
        </w:rPr>
        <w:t>,</w:t>
      </w:r>
      <w:r w:rsidR="006D4065" w:rsidRPr="00DC7BAC">
        <w:rPr>
          <w:sz w:val="24"/>
          <w:szCs w:val="24"/>
        </w:rPr>
        <w:t xml:space="preserve"> </w:t>
      </w:r>
      <w:r w:rsidR="002426E1" w:rsidRPr="00DC7BAC">
        <w:rPr>
          <w:sz w:val="24"/>
          <w:szCs w:val="24"/>
        </w:rPr>
        <w:t xml:space="preserve">including a </w:t>
      </w:r>
      <w:r w:rsidR="006D4065" w:rsidRPr="00DC7BAC">
        <w:rPr>
          <w:sz w:val="24"/>
          <w:szCs w:val="24"/>
        </w:rPr>
        <w:t>mental health hospitalization rate more than double that of the state</w:t>
      </w:r>
      <w:r w:rsidR="002426E1" w:rsidRPr="00DC7BAC">
        <w:rPr>
          <w:sz w:val="24"/>
          <w:szCs w:val="24"/>
        </w:rPr>
        <w:t xml:space="preserve">. Specifically, around 30% of its older adults experiencing depression and </w:t>
      </w:r>
      <w:r w:rsidR="006D4065" w:rsidRPr="00DC7BAC">
        <w:rPr>
          <w:sz w:val="24"/>
          <w:szCs w:val="24"/>
        </w:rPr>
        <w:t>15% of people over the age of 65 in Palmer have some form of Alzheimer’s or dementia.</w:t>
      </w:r>
      <w:r w:rsidR="00153C2F" w:rsidRPr="006D4065">
        <w:rPr>
          <w:rStyle w:val="FootnoteReference"/>
          <w:sz w:val="24"/>
          <w:szCs w:val="24"/>
        </w:rPr>
        <w:footnoteReference w:id="8"/>
      </w:r>
      <w:r w:rsidR="00153C2F" w:rsidRPr="00DC7BAC">
        <w:rPr>
          <w:sz w:val="24"/>
          <w:szCs w:val="24"/>
        </w:rPr>
        <w:t xml:space="preserve">  </w:t>
      </w:r>
    </w:p>
    <w:p w14:paraId="7A637EE8" w14:textId="4FD6F273" w:rsidR="00D862C5" w:rsidRPr="00D862C5" w:rsidRDefault="00D862C5" w:rsidP="00D862C5">
      <w:pPr>
        <w:spacing w:line="240" w:lineRule="auto"/>
        <w:ind w:left="360"/>
        <w:rPr>
          <w:sz w:val="24"/>
          <w:szCs w:val="24"/>
        </w:rPr>
      </w:pPr>
      <w:r w:rsidRPr="00D862C5">
        <w:rPr>
          <w:sz w:val="24"/>
          <w:szCs w:val="24"/>
        </w:rPr>
        <w:t>The Applicant note</w:t>
      </w:r>
      <w:r w:rsidR="002B5545">
        <w:rPr>
          <w:sz w:val="24"/>
          <w:szCs w:val="24"/>
        </w:rPr>
        <w:t>s</w:t>
      </w:r>
      <w:r w:rsidRPr="00D862C5">
        <w:rPr>
          <w:sz w:val="24"/>
          <w:szCs w:val="24"/>
        </w:rPr>
        <w:t xml:space="preserve"> its close relationship with </w:t>
      </w:r>
      <w:proofErr w:type="spellStart"/>
      <w:r w:rsidRPr="00D862C5">
        <w:rPr>
          <w:sz w:val="24"/>
          <w:szCs w:val="24"/>
        </w:rPr>
        <w:t>Baystate</w:t>
      </w:r>
      <w:proofErr w:type="spellEnd"/>
      <w:r w:rsidRPr="00D862C5">
        <w:rPr>
          <w:sz w:val="24"/>
          <w:szCs w:val="24"/>
        </w:rPr>
        <w:t xml:space="preserve"> Wing Hospital, a 74-bed community hospital located within a mile </w:t>
      </w:r>
      <w:r w:rsidR="002B5545">
        <w:rPr>
          <w:sz w:val="24"/>
          <w:szCs w:val="24"/>
        </w:rPr>
        <w:t>of</w:t>
      </w:r>
      <w:r w:rsidR="002B5545" w:rsidRPr="00D862C5">
        <w:rPr>
          <w:sz w:val="24"/>
          <w:szCs w:val="24"/>
        </w:rPr>
        <w:t xml:space="preserve"> </w:t>
      </w:r>
      <w:r w:rsidRPr="00D862C5">
        <w:rPr>
          <w:sz w:val="24"/>
          <w:szCs w:val="24"/>
        </w:rPr>
        <w:t xml:space="preserve">the Facility </w:t>
      </w:r>
      <w:r w:rsidR="002B5545">
        <w:rPr>
          <w:sz w:val="24"/>
          <w:szCs w:val="24"/>
        </w:rPr>
        <w:t>and</w:t>
      </w:r>
      <w:r w:rsidR="002B5545" w:rsidRPr="00D862C5">
        <w:rPr>
          <w:sz w:val="24"/>
          <w:szCs w:val="24"/>
        </w:rPr>
        <w:t xml:space="preserve"> </w:t>
      </w:r>
      <w:r w:rsidRPr="00D862C5">
        <w:rPr>
          <w:sz w:val="24"/>
          <w:szCs w:val="24"/>
        </w:rPr>
        <w:t xml:space="preserve">provides inpatient and outpatient behavioral health, including geriatric psychiatry. </w:t>
      </w:r>
      <w:proofErr w:type="spellStart"/>
      <w:r w:rsidRPr="00D862C5">
        <w:rPr>
          <w:sz w:val="24"/>
          <w:szCs w:val="24"/>
        </w:rPr>
        <w:t>Baystate</w:t>
      </w:r>
      <w:proofErr w:type="spellEnd"/>
      <w:r w:rsidRPr="00D862C5">
        <w:rPr>
          <w:sz w:val="24"/>
          <w:szCs w:val="24"/>
        </w:rPr>
        <w:t xml:space="preserve"> Wing is a primary referral source for the Applicant, though it receives referrals from other skilled nursing facilities who are unable to accommodate the behavioral needs of residents. In addition, </w:t>
      </w:r>
      <w:r>
        <w:rPr>
          <w:sz w:val="24"/>
          <w:szCs w:val="24"/>
        </w:rPr>
        <w:t xml:space="preserve">the Applicant states </w:t>
      </w:r>
      <w:r w:rsidRPr="00D862C5">
        <w:rPr>
          <w:sz w:val="24"/>
          <w:szCs w:val="24"/>
        </w:rPr>
        <w:t>the modern state-of-the art build environment will be specifically designed to address the behavioral health needs of the Patient Panel where the role of the physical environment is crucial to supporting their care and providing an atmosphere of familiarity that can positively contribute to their health outcomes</w:t>
      </w:r>
      <w:r w:rsidR="003D6FB8">
        <w:rPr>
          <w:rStyle w:val="FootnoteReference"/>
          <w:sz w:val="24"/>
          <w:szCs w:val="24"/>
        </w:rPr>
        <w:footnoteReference w:id="9"/>
      </w:r>
      <w:r w:rsidR="002B5545">
        <w:rPr>
          <w:sz w:val="24"/>
          <w:szCs w:val="24"/>
        </w:rPr>
        <w:t xml:space="preserve"> </w:t>
      </w:r>
    </w:p>
    <w:p w14:paraId="68F0540F" w14:textId="77777777" w:rsidR="00D862C5" w:rsidRDefault="00D862C5" w:rsidP="00D862C5">
      <w:pPr>
        <w:pStyle w:val="ListParagraph"/>
        <w:spacing w:line="240" w:lineRule="auto"/>
        <w:ind w:left="360"/>
        <w:rPr>
          <w:sz w:val="24"/>
          <w:szCs w:val="24"/>
        </w:rPr>
      </w:pPr>
    </w:p>
    <w:p w14:paraId="6C55CDD9" w14:textId="027F4E6D" w:rsidR="00D862C5" w:rsidRPr="00D862C5" w:rsidRDefault="00D862C5" w:rsidP="00D862C5">
      <w:pPr>
        <w:pStyle w:val="ListParagraph"/>
        <w:numPr>
          <w:ilvl w:val="0"/>
          <w:numId w:val="45"/>
        </w:numPr>
        <w:spacing w:line="240" w:lineRule="auto"/>
        <w:rPr>
          <w:sz w:val="24"/>
          <w:szCs w:val="24"/>
        </w:rPr>
      </w:pPr>
      <w:r w:rsidRPr="00D862C5">
        <w:rPr>
          <w:sz w:val="24"/>
          <w:szCs w:val="24"/>
        </w:rPr>
        <w:t>The Applicant’s Proposed Project includes a new, unlocked first floor of the Replacement Facility which it asserts will serve patients with short term needs to expand its ability to serve demonstrated unmet need for the short and long-term skilled nursing facility services in Palmer</w:t>
      </w:r>
      <w:r>
        <w:t>.</w:t>
      </w:r>
    </w:p>
    <w:p w14:paraId="44ACE1C7" w14:textId="77777777" w:rsidR="00D862C5" w:rsidRDefault="00153C2F" w:rsidP="00D862C5">
      <w:pPr>
        <w:pStyle w:val="ListParagraph"/>
        <w:numPr>
          <w:ilvl w:val="1"/>
          <w:numId w:val="45"/>
        </w:numPr>
        <w:spacing w:line="240" w:lineRule="auto"/>
        <w:rPr>
          <w:sz w:val="24"/>
          <w:szCs w:val="24"/>
        </w:rPr>
      </w:pPr>
      <w:r w:rsidRPr="00D862C5">
        <w:rPr>
          <w:sz w:val="24"/>
          <w:szCs w:val="24"/>
        </w:rPr>
        <w:lastRenderedPageBreak/>
        <w:t xml:space="preserve">Through ongoing discussions with the </w:t>
      </w:r>
      <w:proofErr w:type="spellStart"/>
      <w:r w:rsidR="00DC7BAC" w:rsidRPr="00D862C5">
        <w:rPr>
          <w:sz w:val="24"/>
          <w:szCs w:val="24"/>
        </w:rPr>
        <w:t>Baystate</w:t>
      </w:r>
      <w:proofErr w:type="spellEnd"/>
      <w:r w:rsidR="00DC7BAC" w:rsidRPr="00D862C5">
        <w:rPr>
          <w:sz w:val="24"/>
          <w:szCs w:val="24"/>
        </w:rPr>
        <w:t xml:space="preserve"> Wing’s</w:t>
      </w:r>
      <w:r w:rsidRPr="00D862C5">
        <w:rPr>
          <w:sz w:val="24"/>
          <w:szCs w:val="24"/>
        </w:rPr>
        <w:t xml:space="preserve"> orthopedic team, the Applicant has identified a need for short-term rehabilitation beds in the community </w:t>
      </w:r>
      <w:r w:rsidR="00DC7BAC" w:rsidRPr="00D862C5">
        <w:rPr>
          <w:sz w:val="24"/>
          <w:szCs w:val="24"/>
        </w:rPr>
        <w:t xml:space="preserve">to allow patients to </w:t>
      </w:r>
      <w:r w:rsidRPr="00D862C5">
        <w:rPr>
          <w:sz w:val="24"/>
          <w:szCs w:val="24"/>
        </w:rPr>
        <w:t>receive their short-term rehabilitation care</w:t>
      </w:r>
      <w:r w:rsidR="00DC7BAC" w:rsidRPr="00D862C5">
        <w:rPr>
          <w:sz w:val="24"/>
          <w:szCs w:val="24"/>
        </w:rPr>
        <w:t xml:space="preserve"> locally</w:t>
      </w:r>
      <w:r w:rsidRPr="00D862C5">
        <w:rPr>
          <w:sz w:val="24"/>
          <w:szCs w:val="24"/>
        </w:rPr>
        <w:t xml:space="preserve">. </w:t>
      </w:r>
      <w:r w:rsidR="00DC7BAC" w:rsidRPr="00D862C5">
        <w:rPr>
          <w:sz w:val="24"/>
          <w:szCs w:val="24"/>
        </w:rPr>
        <w:t xml:space="preserve">With the </w:t>
      </w:r>
      <w:r w:rsidRPr="00D862C5">
        <w:rPr>
          <w:sz w:val="24"/>
          <w:szCs w:val="24"/>
        </w:rPr>
        <w:t>Facility</w:t>
      </w:r>
      <w:r w:rsidR="00DC7BAC" w:rsidRPr="00D862C5">
        <w:rPr>
          <w:sz w:val="24"/>
          <w:szCs w:val="24"/>
        </w:rPr>
        <w:t>’s current configuration of predominantly</w:t>
      </w:r>
      <w:r w:rsidRPr="00D862C5">
        <w:rPr>
          <w:sz w:val="24"/>
          <w:szCs w:val="24"/>
        </w:rPr>
        <w:t xml:space="preserve"> triple</w:t>
      </w:r>
      <w:r w:rsidR="00DC7BAC" w:rsidRPr="00D862C5">
        <w:rPr>
          <w:sz w:val="24"/>
          <w:szCs w:val="24"/>
        </w:rPr>
        <w:t>s</w:t>
      </w:r>
      <w:r w:rsidRPr="00D862C5">
        <w:rPr>
          <w:sz w:val="24"/>
          <w:szCs w:val="24"/>
        </w:rPr>
        <w:t xml:space="preserve"> and quad</w:t>
      </w:r>
      <w:r w:rsidR="00DC7BAC" w:rsidRPr="00D862C5">
        <w:rPr>
          <w:sz w:val="24"/>
          <w:szCs w:val="24"/>
        </w:rPr>
        <w:t>s on a locked floor</w:t>
      </w:r>
      <w:r w:rsidRPr="00D862C5">
        <w:rPr>
          <w:sz w:val="24"/>
          <w:szCs w:val="24"/>
        </w:rPr>
        <w:t xml:space="preserve">, </w:t>
      </w:r>
      <w:r w:rsidR="00DC7BAC" w:rsidRPr="00D862C5">
        <w:rPr>
          <w:sz w:val="24"/>
          <w:szCs w:val="24"/>
        </w:rPr>
        <w:t xml:space="preserve">it </w:t>
      </w:r>
      <w:r w:rsidRPr="00D862C5">
        <w:rPr>
          <w:sz w:val="24"/>
          <w:szCs w:val="24"/>
        </w:rPr>
        <w:t xml:space="preserve">cannot accommodate these residents. </w:t>
      </w:r>
    </w:p>
    <w:p w14:paraId="6D16C416" w14:textId="77777777" w:rsidR="00D862C5" w:rsidRDefault="00153C2F" w:rsidP="00D862C5">
      <w:pPr>
        <w:pStyle w:val="ListParagraph"/>
        <w:numPr>
          <w:ilvl w:val="1"/>
          <w:numId w:val="45"/>
        </w:numPr>
        <w:spacing w:line="240" w:lineRule="auto"/>
        <w:rPr>
          <w:sz w:val="24"/>
          <w:szCs w:val="24"/>
        </w:rPr>
      </w:pPr>
      <w:r w:rsidRPr="00D862C5">
        <w:rPr>
          <w:sz w:val="24"/>
          <w:szCs w:val="24"/>
        </w:rPr>
        <w:t xml:space="preserve">Additionally, when residents need to step down from a locked unit they </w:t>
      </w:r>
      <w:proofErr w:type="gramStart"/>
      <w:r w:rsidRPr="00D862C5">
        <w:rPr>
          <w:sz w:val="24"/>
          <w:szCs w:val="24"/>
        </w:rPr>
        <w:t>have to</w:t>
      </w:r>
      <w:proofErr w:type="gramEnd"/>
      <w:r w:rsidRPr="00D862C5">
        <w:rPr>
          <w:sz w:val="24"/>
          <w:szCs w:val="24"/>
        </w:rPr>
        <w:t xml:space="preserve"> be transferred to another facility. The Proposed Project would allow them to remain at PHC with their same caregivers and ensure continuity of care and reduction of transfer trauma. The Proposed Project will assist in meeting this need. </w:t>
      </w:r>
    </w:p>
    <w:p w14:paraId="08A1B98E" w14:textId="74F49EF5" w:rsidR="00D23BB5" w:rsidRPr="00D862C5" w:rsidRDefault="002426E1" w:rsidP="00D862C5">
      <w:pPr>
        <w:spacing w:line="240" w:lineRule="auto"/>
        <w:rPr>
          <w:sz w:val="24"/>
          <w:szCs w:val="24"/>
        </w:rPr>
      </w:pPr>
      <w:r w:rsidRPr="00D862C5">
        <w:rPr>
          <w:sz w:val="24"/>
          <w:szCs w:val="24"/>
        </w:rPr>
        <w:t>The Applicant asserts that the Facility’s approach to long-term care is to ensure as much independence and safety as possible and to focus on enhancing the quality of life of their aging Patient Panel. The Applicant reports that approximately 23% of their residents are on anti-psychotic medication.</w:t>
      </w:r>
      <w:r w:rsidR="009359F1">
        <w:rPr>
          <w:rStyle w:val="FootnoteReference"/>
          <w:sz w:val="24"/>
          <w:szCs w:val="24"/>
        </w:rPr>
        <w:footnoteReference w:id="10"/>
      </w:r>
      <w:r w:rsidRPr="00D862C5">
        <w:rPr>
          <w:sz w:val="24"/>
          <w:szCs w:val="24"/>
        </w:rPr>
        <w:t xml:space="preserve"> The Applicant attributes their Patient Panel’s relatively high rate of anti-psychotic medication to the facility’s specialization in treating geriatric-psychiatric patients with Alzheimer’s in a locked environment specifically, many of its patients have a dual diagnosis of dementia and schizophrenia or bipolar disorder. </w:t>
      </w:r>
    </w:p>
    <w:p w14:paraId="72263699" w14:textId="4865F231" w:rsidR="00077393" w:rsidRPr="007C16E2" w:rsidRDefault="00DE60C9">
      <w:pPr>
        <w:rPr>
          <w:b/>
          <w:bCs/>
          <w:i/>
          <w:iCs/>
          <w:sz w:val="24"/>
          <w:szCs w:val="24"/>
        </w:rPr>
      </w:pPr>
      <w:r w:rsidRPr="007C16E2">
        <w:rPr>
          <w:b/>
          <w:bCs/>
          <w:i/>
          <w:iCs/>
          <w:sz w:val="24"/>
          <w:szCs w:val="24"/>
        </w:rPr>
        <w:t>Analysis</w:t>
      </w:r>
    </w:p>
    <w:p w14:paraId="1938F005" w14:textId="0BFCE878" w:rsidR="00DC012F" w:rsidRDefault="00A433E0" w:rsidP="00667357">
      <w:pPr>
        <w:spacing w:after="0" w:line="240" w:lineRule="auto"/>
        <w:rPr>
          <w:bCs/>
          <w:sz w:val="24"/>
          <w:szCs w:val="24"/>
        </w:rPr>
      </w:pPr>
      <w:r w:rsidRPr="007C16E2">
        <w:rPr>
          <w:bCs/>
          <w:sz w:val="24"/>
          <w:szCs w:val="24"/>
        </w:rPr>
        <w:t>Staff find</w:t>
      </w:r>
      <w:r w:rsidR="001C534C">
        <w:rPr>
          <w:bCs/>
          <w:sz w:val="24"/>
          <w:szCs w:val="24"/>
        </w:rPr>
        <w:t>s</w:t>
      </w:r>
      <w:r w:rsidRPr="007C16E2">
        <w:rPr>
          <w:bCs/>
          <w:sz w:val="24"/>
          <w:szCs w:val="24"/>
        </w:rPr>
        <w:t xml:space="preserve"> that the information provided by Applicant demonstrates sufficient Patient Panel</w:t>
      </w:r>
      <w:r w:rsidR="00F356B3">
        <w:rPr>
          <w:bCs/>
          <w:sz w:val="24"/>
          <w:szCs w:val="24"/>
        </w:rPr>
        <w:t xml:space="preserve"> need</w:t>
      </w:r>
      <w:r w:rsidR="008E08C8" w:rsidRPr="007C16E2">
        <w:rPr>
          <w:bCs/>
          <w:sz w:val="24"/>
          <w:szCs w:val="24"/>
        </w:rPr>
        <w:t xml:space="preserve"> for </w:t>
      </w:r>
      <w:r w:rsidR="00D17D1D">
        <w:rPr>
          <w:bCs/>
          <w:sz w:val="24"/>
          <w:szCs w:val="24"/>
        </w:rPr>
        <w:t xml:space="preserve">the expansion of the Facility’s long-term care capacity. </w:t>
      </w:r>
      <w:r w:rsidR="008E08C8" w:rsidRPr="007C16E2">
        <w:rPr>
          <w:bCs/>
          <w:sz w:val="24"/>
          <w:szCs w:val="24"/>
        </w:rPr>
        <w:t xml:space="preserve"> </w:t>
      </w:r>
      <w:r w:rsidR="002C69DB">
        <w:rPr>
          <w:bCs/>
          <w:sz w:val="24"/>
          <w:szCs w:val="24"/>
        </w:rPr>
        <w:t>The Applicant serves a population with elevated cognitive impairment</w:t>
      </w:r>
      <w:r w:rsidR="003D6FB8">
        <w:rPr>
          <w:bCs/>
          <w:sz w:val="24"/>
          <w:szCs w:val="24"/>
        </w:rPr>
        <w:t xml:space="preserve"> and</w:t>
      </w:r>
      <w:r w:rsidR="002C69DB">
        <w:rPr>
          <w:bCs/>
          <w:sz w:val="24"/>
          <w:szCs w:val="24"/>
        </w:rPr>
        <w:t xml:space="preserve"> </w:t>
      </w:r>
      <w:r w:rsidR="003D6FB8">
        <w:rPr>
          <w:bCs/>
          <w:sz w:val="24"/>
          <w:szCs w:val="24"/>
        </w:rPr>
        <w:t xml:space="preserve">mental health needs </w:t>
      </w:r>
      <w:r w:rsidR="002C69DB">
        <w:rPr>
          <w:bCs/>
          <w:sz w:val="24"/>
          <w:szCs w:val="24"/>
        </w:rPr>
        <w:t xml:space="preserve">requiring a </w:t>
      </w:r>
      <w:r w:rsidR="003D6FB8">
        <w:rPr>
          <w:bCs/>
          <w:sz w:val="24"/>
          <w:szCs w:val="24"/>
        </w:rPr>
        <w:t xml:space="preserve">specialized care and often </w:t>
      </w:r>
      <w:r w:rsidR="002C69DB">
        <w:rPr>
          <w:bCs/>
          <w:sz w:val="24"/>
          <w:szCs w:val="24"/>
        </w:rPr>
        <w:t>higher level of service</w:t>
      </w:r>
      <w:r w:rsidR="00CB714E">
        <w:rPr>
          <w:bCs/>
          <w:sz w:val="24"/>
          <w:szCs w:val="24"/>
        </w:rPr>
        <w:t xml:space="preserve">. </w:t>
      </w:r>
      <w:r w:rsidR="001C534C">
        <w:rPr>
          <w:bCs/>
          <w:sz w:val="24"/>
          <w:szCs w:val="24"/>
        </w:rPr>
        <w:t>S</w:t>
      </w:r>
      <w:r w:rsidR="00CB714E">
        <w:rPr>
          <w:bCs/>
          <w:sz w:val="24"/>
          <w:szCs w:val="24"/>
        </w:rPr>
        <w:t xml:space="preserve">taff </w:t>
      </w:r>
      <w:r w:rsidR="001C534C">
        <w:rPr>
          <w:bCs/>
          <w:sz w:val="24"/>
          <w:szCs w:val="24"/>
        </w:rPr>
        <w:t>recognizes</w:t>
      </w:r>
      <w:r w:rsidR="00CB714E">
        <w:rPr>
          <w:bCs/>
          <w:sz w:val="24"/>
          <w:szCs w:val="24"/>
        </w:rPr>
        <w:t xml:space="preserve"> that providing these services while complying with the De</w:t>
      </w:r>
      <w:r w:rsidR="00F356B3">
        <w:rPr>
          <w:bCs/>
          <w:sz w:val="24"/>
          <w:szCs w:val="24"/>
        </w:rPr>
        <w:t>-D</w:t>
      </w:r>
      <w:r w:rsidR="00CB714E">
        <w:rPr>
          <w:bCs/>
          <w:sz w:val="24"/>
          <w:szCs w:val="24"/>
        </w:rPr>
        <w:t xml:space="preserve">ensification Requirements would be difficult </w:t>
      </w:r>
      <w:r w:rsidR="009359F1">
        <w:rPr>
          <w:bCs/>
          <w:sz w:val="24"/>
          <w:szCs w:val="24"/>
        </w:rPr>
        <w:t>with</w:t>
      </w:r>
      <w:r w:rsidR="00CB714E">
        <w:rPr>
          <w:bCs/>
          <w:sz w:val="24"/>
          <w:szCs w:val="24"/>
        </w:rPr>
        <w:t xml:space="preserve"> </w:t>
      </w:r>
      <w:r w:rsidR="009359F1">
        <w:rPr>
          <w:bCs/>
          <w:sz w:val="24"/>
          <w:szCs w:val="24"/>
        </w:rPr>
        <w:t xml:space="preserve">the </w:t>
      </w:r>
      <w:r w:rsidR="00CB714E">
        <w:rPr>
          <w:bCs/>
          <w:sz w:val="24"/>
          <w:szCs w:val="24"/>
        </w:rPr>
        <w:t>current Facility</w:t>
      </w:r>
      <w:r w:rsidR="009359F1">
        <w:rPr>
          <w:bCs/>
          <w:sz w:val="24"/>
          <w:szCs w:val="24"/>
        </w:rPr>
        <w:t>’s</w:t>
      </w:r>
      <w:r w:rsidR="00CB714E">
        <w:rPr>
          <w:bCs/>
          <w:sz w:val="24"/>
          <w:szCs w:val="24"/>
        </w:rPr>
        <w:t xml:space="preserve"> layout and size. </w:t>
      </w:r>
      <w:r w:rsidR="009359F1">
        <w:rPr>
          <w:bCs/>
          <w:sz w:val="24"/>
          <w:szCs w:val="24"/>
        </w:rPr>
        <w:t>The Applicant has demonstrated t</w:t>
      </w:r>
      <w:r w:rsidR="00CB714E">
        <w:rPr>
          <w:bCs/>
          <w:sz w:val="24"/>
          <w:szCs w:val="24"/>
        </w:rPr>
        <w:t xml:space="preserve">he </w:t>
      </w:r>
      <w:r w:rsidR="002C69DB">
        <w:rPr>
          <w:bCs/>
          <w:sz w:val="24"/>
          <w:szCs w:val="24"/>
        </w:rPr>
        <w:t xml:space="preserve">need </w:t>
      </w:r>
      <w:r w:rsidR="00CB714E">
        <w:rPr>
          <w:bCs/>
          <w:sz w:val="24"/>
          <w:szCs w:val="24"/>
        </w:rPr>
        <w:t xml:space="preserve">for </w:t>
      </w:r>
      <w:r w:rsidR="002171C3">
        <w:rPr>
          <w:bCs/>
          <w:sz w:val="24"/>
          <w:szCs w:val="24"/>
        </w:rPr>
        <w:t>short-term</w:t>
      </w:r>
      <w:r w:rsidR="00CB714E">
        <w:rPr>
          <w:bCs/>
          <w:sz w:val="24"/>
          <w:szCs w:val="24"/>
        </w:rPr>
        <w:t xml:space="preserve"> beds </w:t>
      </w:r>
      <w:r w:rsidR="002171C3">
        <w:rPr>
          <w:bCs/>
          <w:sz w:val="24"/>
          <w:szCs w:val="24"/>
        </w:rPr>
        <w:t xml:space="preserve">in an unlocked setting to </w:t>
      </w:r>
      <w:r w:rsidR="003D6FB8">
        <w:rPr>
          <w:bCs/>
          <w:sz w:val="24"/>
          <w:szCs w:val="24"/>
        </w:rPr>
        <w:t>accommodate</w:t>
      </w:r>
      <w:r w:rsidR="002171C3">
        <w:rPr>
          <w:bCs/>
          <w:sz w:val="24"/>
          <w:szCs w:val="24"/>
        </w:rPr>
        <w:t xml:space="preserve"> referrals from </w:t>
      </w:r>
      <w:proofErr w:type="spellStart"/>
      <w:r w:rsidR="003D6FB8">
        <w:rPr>
          <w:bCs/>
          <w:sz w:val="24"/>
          <w:szCs w:val="24"/>
        </w:rPr>
        <w:t>Baystate</w:t>
      </w:r>
      <w:proofErr w:type="spellEnd"/>
      <w:r w:rsidR="003D6FB8">
        <w:rPr>
          <w:bCs/>
          <w:sz w:val="24"/>
          <w:szCs w:val="24"/>
        </w:rPr>
        <w:t xml:space="preserve"> Wing Hospital</w:t>
      </w:r>
      <w:r w:rsidR="002171C3">
        <w:rPr>
          <w:bCs/>
          <w:sz w:val="24"/>
          <w:szCs w:val="24"/>
        </w:rPr>
        <w:t xml:space="preserve"> and to allow residents to step down from the locked unit in the same facility.</w:t>
      </w:r>
    </w:p>
    <w:p w14:paraId="4386FF10" w14:textId="2855E0CA" w:rsidR="004544BD" w:rsidRDefault="004544BD" w:rsidP="00667357">
      <w:pPr>
        <w:spacing w:after="0" w:line="240" w:lineRule="auto"/>
        <w:rPr>
          <w:bCs/>
          <w:sz w:val="24"/>
          <w:szCs w:val="24"/>
        </w:rPr>
      </w:pPr>
    </w:p>
    <w:p w14:paraId="4C64AAA9" w14:textId="2B23AFBC" w:rsidR="004544BD" w:rsidRPr="00C11875" w:rsidRDefault="004544BD" w:rsidP="004544BD">
      <w:pPr>
        <w:spacing w:line="240" w:lineRule="auto"/>
        <w:rPr>
          <w:sz w:val="24"/>
          <w:szCs w:val="24"/>
        </w:rPr>
      </w:pPr>
      <w:r>
        <w:rPr>
          <w:bCs/>
          <w:sz w:val="24"/>
          <w:szCs w:val="24"/>
        </w:rPr>
        <w:t xml:space="preserve">Given the Applicant’s relatively high rate of patients on anti-psychotic medication, </w:t>
      </w:r>
      <w:r>
        <w:rPr>
          <w:sz w:val="24"/>
          <w:szCs w:val="24"/>
        </w:rPr>
        <w:t>Staff recommend ongoing reporting on the percentage of anti-psychotic medication</w:t>
      </w:r>
      <w:r w:rsidR="002E3BEB">
        <w:rPr>
          <w:sz w:val="24"/>
          <w:szCs w:val="24"/>
        </w:rPr>
        <w:t xml:space="preserve"> </w:t>
      </w:r>
      <w:r w:rsidR="005D70A7">
        <w:rPr>
          <w:sz w:val="24"/>
          <w:szCs w:val="24"/>
        </w:rPr>
        <w:t>as well as the</w:t>
      </w:r>
      <w:r w:rsidR="002E3BEB">
        <w:rPr>
          <w:sz w:val="24"/>
          <w:szCs w:val="24"/>
        </w:rPr>
        <w:t xml:space="preserve"> diagnos</w:t>
      </w:r>
      <w:r w:rsidR="005D70A7">
        <w:rPr>
          <w:sz w:val="24"/>
          <w:szCs w:val="24"/>
        </w:rPr>
        <w:t>e</w:t>
      </w:r>
      <w:r w:rsidR="002E3BEB">
        <w:rPr>
          <w:sz w:val="24"/>
          <w:szCs w:val="24"/>
        </w:rPr>
        <w:t xml:space="preserve">s of patients </w:t>
      </w:r>
      <w:r w:rsidR="005D70A7">
        <w:rPr>
          <w:sz w:val="24"/>
          <w:szCs w:val="24"/>
        </w:rPr>
        <w:t xml:space="preserve">on </w:t>
      </w:r>
      <w:r w:rsidR="002E3BEB">
        <w:rPr>
          <w:sz w:val="24"/>
          <w:szCs w:val="24"/>
        </w:rPr>
        <w:t>these medications</w:t>
      </w:r>
      <w:r>
        <w:rPr>
          <w:sz w:val="24"/>
          <w:szCs w:val="24"/>
        </w:rPr>
        <w:t>.</w:t>
      </w:r>
    </w:p>
    <w:p w14:paraId="7E88F292" w14:textId="00A1EA17" w:rsidR="00534B5C" w:rsidRPr="00745ACF" w:rsidRDefault="00534B5C" w:rsidP="00667357">
      <w:pPr>
        <w:spacing w:after="0" w:line="240" w:lineRule="auto"/>
        <w:rPr>
          <w:bCs/>
          <w:color w:val="D0CECE" w:themeColor="background2" w:themeShade="E6"/>
          <w:sz w:val="24"/>
          <w:szCs w:val="24"/>
        </w:rPr>
      </w:pPr>
    </w:p>
    <w:p w14:paraId="38E885F6" w14:textId="1EB08E6D" w:rsidR="006238A9" w:rsidRPr="00745ACF" w:rsidRDefault="006238A9" w:rsidP="00667357">
      <w:pPr>
        <w:spacing w:after="0" w:line="240" w:lineRule="auto"/>
        <w:rPr>
          <w:color w:val="D0CECE" w:themeColor="background2" w:themeShade="E6"/>
          <w:sz w:val="24"/>
          <w:szCs w:val="24"/>
        </w:rPr>
      </w:pPr>
    </w:p>
    <w:p w14:paraId="65E98050" w14:textId="6FD5AAA7" w:rsidR="00F67AA2" w:rsidRPr="003D09CA" w:rsidRDefault="00F67AA2">
      <w:pPr>
        <w:rPr>
          <w:b/>
          <w:bCs/>
          <w:sz w:val="28"/>
          <w:szCs w:val="28"/>
        </w:rPr>
      </w:pPr>
      <w:r w:rsidRPr="003D09CA">
        <w:rPr>
          <w:b/>
          <w:bCs/>
          <w:sz w:val="28"/>
          <w:szCs w:val="28"/>
        </w:rPr>
        <w:t xml:space="preserve">Factor 1: b) Public Health Value, Improved Health Outcomes </w:t>
      </w:r>
      <w:proofErr w:type="gramStart"/>
      <w:r w:rsidRPr="003D09CA">
        <w:rPr>
          <w:b/>
          <w:bCs/>
          <w:sz w:val="28"/>
          <w:szCs w:val="28"/>
        </w:rPr>
        <w:t>And</w:t>
      </w:r>
      <w:proofErr w:type="gramEnd"/>
      <w:r w:rsidRPr="003D09CA">
        <w:rPr>
          <w:b/>
          <w:bCs/>
          <w:sz w:val="28"/>
          <w:szCs w:val="28"/>
        </w:rPr>
        <w:t xml:space="preserve"> Quality Of Life; Assurances Of Health Equity</w:t>
      </w:r>
    </w:p>
    <w:p w14:paraId="57EBB486" w14:textId="245D32C4" w:rsidR="00A13F0F" w:rsidRDefault="00A13F0F" w:rsidP="00A13F0F">
      <w:pPr>
        <w:spacing w:after="0" w:line="240" w:lineRule="auto"/>
        <w:rPr>
          <w:sz w:val="24"/>
          <w:szCs w:val="24"/>
        </w:rPr>
      </w:pPr>
      <w:r>
        <w:rPr>
          <w:sz w:val="24"/>
          <w:szCs w:val="24"/>
        </w:rPr>
        <w:t xml:space="preserve">The Applicant must demonstrate that the </w:t>
      </w:r>
      <w:r w:rsidRPr="00A13F0F">
        <w:rPr>
          <w:sz w:val="24"/>
          <w:szCs w:val="24"/>
        </w:rPr>
        <w:t>Proposed Project adds measurable public health value in terms of improve</w:t>
      </w:r>
      <w:r>
        <w:rPr>
          <w:sz w:val="24"/>
          <w:szCs w:val="24"/>
        </w:rPr>
        <w:t xml:space="preserve">d </w:t>
      </w:r>
      <w:r w:rsidRPr="00A13F0F">
        <w:rPr>
          <w:sz w:val="24"/>
          <w:szCs w:val="24"/>
        </w:rPr>
        <w:t>health outcomes and quality of life of the Applicant’s existing patient panel, while providing reasonable</w:t>
      </w:r>
      <w:r>
        <w:rPr>
          <w:sz w:val="24"/>
          <w:szCs w:val="24"/>
        </w:rPr>
        <w:t xml:space="preserve"> </w:t>
      </w:r>
      <w:r w:rsidRPr="00A13F0F">
        <w:rPr>
          <w:sz w:val="24"/>
          <w:szCs w:val="24"/>
        </w:rPr>
        <w:t xml:space="preserve">assurances of health equity. </w:t>
      </w:r>
    </w:p>
    <w:p w14:paraId="3398B062" w14:textId="77777777" w:rsidR="00A13F0F" w:rsidRDefault="00A13F0F" w:rsidP="00A13F0F">
      <w:pPr>
        <w:spacing w:after="0" w:line="240" w:lineRule="auto"/>
        <w:rPr>
          <w:sz w:val="24"/>
          <w:szCs w:val="24"/>
        </w:rPr>
      </w:pPr>
    </w:p>
    <w:p w14:paraId="3AFB5EF5" w14:textId="7A4275DC" w:rsidR="00E879BE" w:rsidRPr="00D071B0" w:rsidRDefault="009067FF" w:rsidP="00D43554">
      <w:pPr>
        <w:spacing w:line="240" w:lineRule="auto"/>
        <w:rPr>
          <w:b/>
          <w:bCs/>
          <w:i/>
          <w:iCs/>
          <w:sz w:val="24"/>
          <w:szCs w:val="24"/>
        </w:rPr>
      </w:pPr>
      <w:r>
        <w:rPr>
          <w:sz w:val="24"/>
          <w:szCs w:val="24"/>
        </w:rPr>
        <w:t>Palmer Healthcare Center is rated four out of five stars on CMS Nursing Home Compare, an assessment based on three major factors: 1) health inspections, 2) staffing, and 3) quality of resident care measures.</w:t>
      </w:r>
      <w:r>
        <w:rPr>
          <w:rFonts w:cstheme="minorHAnsi"/>
          <w:bCs/>
          <w:sz w:val="24"/>
          <w:szCs w:val="24"/>
        </w:rPr>
        <w:t xml:space="preserve"> The Applicant</w:t>
      </w:r>
      <w:r w:rsidR="004A51AA">
        <w:rPr>
          <w:sz w:val="24"/>
          <w:szCs w:val="24"/>
        </w:rPr>
        <w:t xml:space="preserve"> notes its population includes many patients with cognitive needs who require specialized care. Access to these services</w:t>
      </w:r>
      <w:r w:rsidR="00B9190C">
        <w:rPr>
          <w:sz w:val="24"/>
          <w:szCs w:val="24"/>
        </w:rPr>
        <w:t xml:space="preserve"> locally</w:t>
      </w:r>
      <w:r w:rsidR="00DE34D9">
        <w:rPr>
          <w:sz w:val="24"/>
          <w:szCs w:val="24"/>
        </w:rPr>
        <w:t>, particularly amongst a high public payer populatio</w:t>
      </w:r>
      <w:r w:rsidR="00B9190C">
        <w:rPr>
          <w:sz w:val="24"/>
          <w:szCs w:val="24"/>
        </w:rPr>
        <w:t>n adds public health value.</w:t>
      </w:r>
      <w:r w:rsidR="00DE34D9">
        <w:rPr>
          <w:sz w:val="24"/>
          <w:szCs w:val="24"/>
        </w:rPr>
        <w:t xml:space="preserve"> </w:t>
      </w:r>
      <w:r w:rsidR="004A51AA">
        <w:rPr>
          <w:sz w:val="24"/>
          <w:szCs w:val="24"/>
        </w:rPr>
        <w:t xml:space="preserve"> In addition to providing care to the geriatric-psychiatric population, t</w:t>
      </w:r>
      <w:r w:rsidR="00BE4F8F">
        <w:rPr>
          <w:sz w:val="24"/>
          <w:szCs w:val="24"/>
        </w:rPr>
        <w:t xml:space="preserve">he </w:t>
      </w:r>
      <w:r w:rsidR="004A51AA">
        <w:rPr>
          <w:sz w:val="24"/>
          <w:szCs w:val="24"/>
        </w:rPr>
        <w:t xml:space="preserve">addition of a </w:t>
      </w:r>
      <w:r w:rsidR="00BE4F8F">
        <w:rPr>
          <w:sz w:val="24"/>
          <w:szCs w:val="24"/>
        </w:rPr>
        <w:t xml:space="preserve">first-floor unit </w:t>
      </w:r>
      <w:r w:rsidR="002F3F16">
        <w:rPr>
          <w:sz w:val="24"/>
          <w:szCs w:val="24"/>
        </w:rPr>
        <w:t>in</w:t>
      </w:r>
      <w:r w:rsidR="00BE4F8F">
        <w:rPr>
          <w:sz w:val="24"/>
          <w:szCs w:val="24"/>
        </w:rPr>
        <w:t xml:space="preserve"> the Replacement Facility will allow care for short-term stay patients and those who do not require a locked unit.  Th</w:t>
      </w:r>
      <w:r w:rsidR="002F3F16">
        <w:rPr>
          <w:sz w:val="24"/>
          <w:szCs w:val="24"/>
        </w:rPr>
        <w:t>e expanded</w:t>
      </w:r>
      <w:r w:rsidR="00BE4F8F">
        <w:rPr>
          <w:sz w:val="24"/>
          <w:szCs w:val="24"/>
        </w:rPr>
        <w:t xml:space="preserve"> </w:t>
      </w:r>
      <w:r w:rsidR="002F3F16">
        <w:rPr>
          <w:sz w:val="24"/>
          <w:szCs w:val="24"/>
        </w:rPr>
        <w:t xml:space="preserve">access to these </w:t>
      </w:r>
      <w:r w:rsidR="00BE4F8F">
        <w:rPr>
          <w:sz w:val="24"/>
          <w:szCs w:val="24"/>
        </w:rPr>
        <w:t>and may contribute to improved health outcomes and quality of life of members</w:t>
      </w:r>
      <w:r w:rsidR="00BE4F8F" w:rsidRPr="00BE4F8F">
        <w:rPr>
          <w:sz w:val="24"/>
          <w:szCs w:val="24"/>
        </w:rPr>
        <w:t xml:space="preserve"> </w:t>
      </w:r>
      <w:r w:rsidR="00BE4F8F">
        <w:rPr>
          <w:sz w:val="24"/>
          <w:szCs w:val="24"/>
        </w:rPr>
        <w:t>of the Palmer</w:t>
      </w:r>
      <w:r w:rsidR="003B57CC">
        <w:rPr>
          <w:sz w:val="24"/>
          <w:szCs w:val="24"/>
        </w:rPr>
        <w:t xml:space="preserve"> </w:t>
      </w:r>
      <w:r w:rsidR="00BE4F8F">
        <w:rPr>
          <w:sz w:val="24"/>
          <w:szCs w:val="24"/>
        </w:rPr>
        <w:t>community</w:t>
      </w:r>
      <w:r w:rsidR="00B9190C">
        <w:rPr>
          <w:sz w:val="24"/>
          <w:szCs w:val="24"/>
        </w:rPr>
        <w:t xml:space="preserve">. </w:t>
      </w:r>
    </w:p>
    <w:p w14:paraId="26629ABB" w14:textId="0D1AC6D7" w:rsidR="00B52471" w:rsidRPr="00781915" w:rsidRDefault="00781915" w:rsidP="00064FD4">
      <w:pPr>
        <w:spacing w:line="240" w:lineRule="auto"/>
        <w:rPr>
          <w:b/>
          <w:bCs/>
          <w:i/>
          <w:iCs/>
          <w:sz w:val="24"/>
          <w:szCs w:val="24"/>
        </w:rPr>
      </w:pPr>
      <w:r w:rsidRPr="00781915">
        <w:rPr>
          <w:b/>
          <w:bCs/>
          <w:i/>
          <w:iCs/>
          <w:sz w:val="24"/>
          <w:szCs w:val="24"/>
        </w:rPr>
        <w:t>Equity</w:t>
      </w:r>
    </w:p>
    <w:p w14:paraId="4DB10529" w14:textId="50F03560" w:rsidR="00E304FE" w:rsidRDefault="00E304FE" w:rsidP="00E304FE">
      <w:pPr>
        <w:spacing w:line="240" w:lineRule="auto"/>
        <w:rPr>
          <w:sz w:val="24"/>
          <w:szCs w:val="24"/>
        </w:rPr>
      </w:pPr>
      <w:r w:rsidRPr="00342AA0">
        <w:rPr>
          <w:sz w:val="24"/>
          <w:szCs w:val="24"/>
        </w:rPr>
        <w:t xml:space="preserve">The Applicant states </w:t>
      </w:r>
      <w:r>
        <w:rPr>
          <w:sz w:val="24"/>
          <w:szCs w:val="24"/>
        </w:rPr>
        <w:t>it</w:t>
      </w:r>
      <w:r w:rsidRPr="00342AA0">
        <w:rPr>
          <w:sz w:val="24"/>
          <w:szCs w:val="24"/>
        </w:rPr>
        <w:t xml:space="preserve"> </w:t>
      </w:r>
      <w:r>
        <w:rPr>
          <w:sz w:val="24"/>
          <w:szCs w:val="24"/>
        </w:rPr>
        <w:t xml:space="preserve">does not discriminate </w:t>
      </w:r>
      <w:proofErr w:type="gramStart"/>
      <w:r>
        <w:rPr>
          <w:sz w:val="24"/>
          <w:szCs w:val="24"/>
        </w:rPr>
        <w:t>on the basis of</w:t>
      </w:r>
      <w:proofErr w:type="gramEnd"/>
      <w:r>
        <w:rPr>
          <w:sz w:val="24"/>
          <w:szCs w:val="24"/>
        </w:rPr>
        <w:t xml:space="preserve"> socioeconomic status and accepts all appropriate residents in its service area, which has a high volume of </w:t>
      </w:r>
      <w:proofErr w:type="spellStart"/>
      <w:r>
        <w:rPr>
          <w:sz w:val="24"/>
          <w:szCs w:val="24"/>
        </w:rPr>
        <w:t>MassHealth</w:t>
      </w:r>
      <w:proofErr w:type="spellEnd"/>
      <w:r>
        <w:rPr>
          <w:sz w:val="24"/>
          <w:szCs w:val="24"/>
        </w:rPr>
        <w:t xml:space="preserve"> beneficiaries.  </w:t>
      </w:r>
    </w:p>
    <w:p w14:paraId="3B4B0F07" w14:textId="21FB86E1" w:rsidR="00C17BEA" w:rsidRDefault="009D22A7" w:rsidP="004632BB">
      <w:pPr>
        <w:spacing w:line="240" w:lineRule="auto"/>
        <w:rPr>
          <w:sz w:val="24"/>
          <w:szCs w:val="24"/>
        </w:rPr>
      </w:pPr>
      <w:r>
        <w:rPr>
          <w:sz w:val="24"/>
          <w:szCs w:val="24"/>
        </w:rPr>
        <w:t xml:space="preserve">The socio-economic status (SES) of the patient population in </w:t>
      </w:r>
      <w:r w:rsidR="002171C3">
        <w:rPr>
          <w:sz w:val="24"/>
          <w:szCs w:val="24"/>
        </w:rPr>
        <w:t xml:space="preserve">Palmer Healthcare Center’s service area tends to </w:t>
      </w:r>
      <w:r>
        <w:rPr>
          <w:sz w:val="24"/>
          <w:szCs w:val="24"/>
        </w:rPr>
        <w:t xml:space="preserve">be lower than the </w:t>
      </w:r>
      <w:r w:rsidR="009B7A8F">
        <w:rPr>
          <w:sz w:val="24"/>
          <w:szCs w:val="24"/>
        </w:rPr>
        <w:t xml:space="preserve">rest of the </w:t>
      </w:r>
      <w:r>
        <w:rPr>
          <w:sz w:val="24"/>
          <w:szCs w:val="24"/>
        </w:rPr>
        <w:t>state</w:t>
      </w:r>
      <w:r w:rsidR="00EA6267">
        <w:rPr>
          <w:sz w:val="24"/>
          <w:szCs w:val="24"/>
        </w:rPr>
        <w:t>,</w:t>
      </w:r>
      <w:r>
        <w:rPr>
          <w:sz w:val="24"/>
          <w:szCs w:val="24"/>
        </w:rPr>
        <w:t xml:space="preserve"> </w:t>
      </w:r>
      <w:r w:rsidR="002171C3">
        <w:rPr>
          <w:sz w:val="24"/>
          <w:szCs w:val="24"/>
        </w:rPr>
        <w:t xml:space="preserve">and </w:t>
      </w:r>
      <w:proofErr w:type="spellStart"/>
      <w:r w:rsidR="004632BB">
        <w:rPr>
          <w:sz w:val="24"/>
          <w:szCs w:val="24"/>
        </w:rPr>
        <w:t>DoN</w:t>
      </w:r>
      <w:proofErr w:type="spellEnd"/>
      <w:r w:rsidR="004632BB">
        <w:rPr>
          <w:sz w:val="24"/>
          <w:szCs w:val="24"/>
        </w:rPr>
        <w:t xml:space="preserve"> Staff note that studies show </w:t>
      </w:r>
      <w:r w:rsidR="006E0B0F">
        <w:rPr>
          <w:sz w:val="24"/>
          <w:szCs w:val="24"/>
        </w:rPr>
        <w:t xml:space="preserve">long-term care </w:t>
      </w:r>
      <w:r w:rsidR="004632BB">
        <w:rPr>
          <w:sz w:val="24"/>
          <w:szCs w:val="24"/>
        </w:rPr>
        <w:t>outcomes differ by race</w:t>
      </w:r>
      <w:r w:rsidR="00054010">
        <w:rPr>
          <w:sz w:val="24"/>
          <w:szCs w:val="24"/>
        </w:rPr>
        <w:t xml:space="preserve"> and</w:t>
      </w:r>
      <w:r w:rsidR="004632BB">
        <w:rPr>
          <w:sz w:val="24"/>
          <w:szCs w:val="24"/>
        </w:rPr>
        <w:t xml:space="preserve"> socioeconomic status</w:t>
      </w:r>
      <w:r w:rsidR="004632BB" w:rsidRPr="005D3C8E">
        <w:rPr>
          <w:sz w:val="24"/>
          <w:szCs w:val="24"/>
        </w:rPr>
        <w:t>.</w:t>
      </w:r>
      <w:r w:rsidR="009B7A8F">
        <w:rPr>
          <w:rStyle w:val="FootnoteReference"/>
          <w:sz w:val="24"/>
          <w:szCs w:val="24"/>
        </w:rPr>
        <w:footnoteReference w:id="11"/>
      </w:r>
      <w:r w:rsidR="009B7A8F" w:rsidRPr="00EA6267">
        <w:rPr>
          <w:sz w:val="24"/>
          <w:szCs w:val="24"/>
          <w:vertAlign w:val="superscript"/>
        </w:rPr>
        <w:t>,</w:t>
      </w:r>
      <w:r w:rsidR="00EA6267">
        <w:rPr>
          <w:sz w:val="24"/>
          <w:szCs w:val="24"/>
        </w:rPr>
        <w:t xml:space="preserve"> </w:t>
      </w:r>
      <w:r w:rsidR="002A0CC6">
        <w:rPr>
          <w:rStyle w:val="FootnoteReference"/>
          <w:sz w:val="24"/>
          <w:szCs w:val="24"/>
        </w:rPr>
        <w:footnoteReference w:id="12"/>
      </w:r>
      <w:r w:rsidR="0074631E">
        <w:rPr>
          <w:sz w:val="24"/>
          <w:szCs w:val="24"/>
          <w:vertAlign w:val="superscript"/>
        </w:rPr>
        <w:t xml:space="preserve">, </w:t>
      </w:r>
      <w:r w:rsidR="0074631E">
        <w:rPr>
          <w:rStyle w:val="FootnoteReference"/>
          <w:sz w:val="24"/>
          <w:szCs w:val="24"/>
        </w:rPr>
        <w:footnoteReference w:id="13"/>
      </w:r>
      <w:r w:rsidR="004632BB" w:rsidRPr="005D3C8E">
        <w:rPr>
          <w:sz w:val="24"/>
          <w:szCs w:val="24"/>
        </w:rPr>
        <w:t xml:space="preserve"> </w:t>
      </w:r>
      <w:r w:rsidR="00B9190C">
        <w:rPr>
          <w:sz w:val="24"/>
          <w:szCs w:val="24"/>
        </w:rPr>
        <w:t>Increasing service capacity for both short-term and long-term residents can improve patient outcomes and quality of life for these patients</w:t>
      </w:r>
      <w:r w:rsidR="00383DE9">
        <w:rPr>
          <w:sz w:val="24"/>
          <w:szCs w:val="24"/>
        </w:rPr>
        <w:t xml:space="preserve"> by ensuring access to appropriate care</w:t>
      </w:r>
      <w:r w:rsidR="00B9190C">
        <w:rPr>
          <w:sz w:val="24"/>
          <w:szCs w:val="24"/>
        </w:rPr>
        <w:t xml:space="preserve">. </w:t>
      </w:r>
      <w:r w:rsidR="009067FF">
        <w:rPr>
          <w:sz w:val="24"/>
          <w:szCs w:val="24"/>
        </w:rPr>
        <w:t>The Applicant has demonstrated it serves a high proportion of public payer patients.</w:t>
      </w:r>
    </w:p>
    <w:p w14:paraId="65708B34" w14:textId="77777777" w:rsidR="00A07030" w:rsidRDefault="009067FF" w:rsidP="00A07030">
      <w:pPr>
        <w:spacing w:line="240" w:lineRule="auto"/>
        <w:rPr>
          <w:sz w:val="24"/>
          <w:szCs w:val="24"/>
        </w:rPr>
      </w:pPr>
      <w:r>
        <w:rPr>
          <w:sz w:val="24"/>
          <w:szCs w:val="24"/>
        </w:rPr>
        <w:t>Race data on the region</w:t>
      </w:r>
      <w:r w:rsidR="00260325">
        <w:rPr>
          <w:sz w:val="24"/>
          <w:szCs w:val="24"/>
        </w:rPr>
        <w:t xml:space="preserve"> in Table 5</w:t>
      </w:r>
      <w:r>
        <w:rPr>
          <w:sz w:val="24"/>
          <w:szCs w:val="24"/>
        </w:rPr>
        <w:t xml:space="preserve"> show a </w:t>
      </w:r>
      <w:r w:rsidR="00260325">
        <w:rPr>
          <w:sz w:val="24"/>
          <w:szCs w:val="24"/>
        </w:rPr>
        <w:t>large white population. Given the Facilit</w:t>
      </w:r>
      <w:r w:rsidR="00383DE9">
        <w:rPr>
          <w:sz w:val="24"/>
          <w:szCs w:val="24"/>
        </w:rPr>
        <w:t>y’</w:t>
      </w:r>
      <w:r w:rsidR="00260325">
        <w:rPr>
          <w:sz w:val="24"/>
          <w:szCs w:val="24"/>
        </w:rPr>
        <w:t>s lack of historical race data, Staff are unable to make any conclusions about the distribution of its population by race.</w:t>
      </w:r>
    </w:p>
    <w:p w14:paraId="7712DF87" w14:textId="77777777" w:rsidR="00A07030" w:rsidRDefault="00A07030">
      <w:pPr>
        <w:rPr>
          <w:sz w:val="24"/>
          <w:szCs w:val="24"/>
        </w:rPr>
      </w:pPr>
      <w:r>
        <w:rPr>
          <w:sz w:val="24"/>
          <w:szCs w:val="24"/>
        </w:rPr>
        <w:br w:type="page"/>
      </w:r>
    </w:p>
    <w:p w14:paraId="435E346C" w14:textId="29993F01" w:rsidR="00860AA5" w:rsidRDefault="00A07030" w:rsidP="00A07030">
      <w:pPr>
        <w:spacing w:line="240" w:lineRule="auto"/>
        <w:rPr>
          <w:b/>
          <w:bCs/>
          <w:sz w:val="24"/>
          <w:szCs w:val="24"/>
        </w:rPr>
      </w:pPr>
      <w:r>
        <w:rPr>
          <w:b/>
          <w:bCs/>
          <w:sz w:val="24"/>
          <w:szCs w:val="24"/>
        </w:rPr>
        <w:lastRenderedPageBreak/>
        <w:t xml:space="preserve"> </w:t>
      </w:r>
    </w:p>
    <w:p w14:paraId="54BD3F65" w14:textId="6B62AB9A" w:rsidR="0020159B" w:rsidRPr="0020159B" w:rsidRDefault="0020159B" w:rsidP="009E0206">
      <w:pPr>
        <w:spacing w:line="240" w:lineRule="auto"/>
        <w:jc w:val="center"/>
        <w:rPr>
          <w:b/>
          <w:bCs/>
          <w:sz w:val="24"/>
          <w:szCs w:val="24"/>
        </w:rPr>
      </w:pPr>
      <w:r w:rsidRPr="0020159B">
        <w:rPr>
          <w:b/>
          <w:bCs/>
          <w:sz w:val="24"/>
          <w:szCs w:val="24"/>
        </w:rPr>
        <w:t xml:space="preserve">Table </w:t>
      </w:r>
      <w:r w:rsidR="006A44B5">
        <w:rPr>
          <w:b/>
          <w:bCs/>
          <w:sz w:val="24"/>
          <w:szCs w:val="24"/>
        </w:rPr>
        <w:t>5</w:t>
      </w:r>
      <w:r w:rsidRPr="0020159B">
        <w:rPr>
          <w:b/>
          <w:bCs/>
          <w:sz w:val="24"/>
          <w:szCs w:val="24"/>
        </w:rPr>
        <w:t xml:space="preserve">: </w:t>
      </w:r>
      <w:r w:rsidR="006A44B5">
        <w:rPr>
          <w:b/>
          <w:bCs/>
          <w:sz w:val="24"/>
          <w:szCs w:val="24"/>
        </w:rPr>
        <w:t>Demographic comparison across local regions</w:t>
      </w:r>
      <w:r w:rsidR="00670375">
        <w:rPr>
          <w:b/>
          <w:bCs/>
          <w:sz w:val="24"/>
          <w:szCs w:val="24"/>
        </w:rPr>
        <w:t xml:space="preserve"> </w:t>
      </w:r>
      <w:r w:rsidR="006A44B5">
        <w:rPr>
          <w:b/>
          <w:bCs/>
          <w:sz w:val="24"/>
          <w:szCs w:val="24"/>
        </w:rPr>
        <w:t>and</w:t>
      </w:r>
      <w:r w:rsidR="00670375">
        <w:rPr>
          <w:b/>
          <w:bCs/>
          <w:sz w:val="24"/>
          <w:szCs w:val="24"/>
        </w:rPr>
        <w:t xml:space="preserve"> Facility</w:t>
      </w:r>
      <w:r w:rsidR="006A44B5">
        <w:rPr>
          <w:b/>
          <w:bCs/>
          <w:sz w:val="24"/>
          <w:szCs w:val="24"/>
        </w:rPr>
        <w:t>’s</w:t>
      </w:r>
      <w:r w:rsidR="00670375">
        <w:rPr>
          <w:b/>
          <w:bCs/>
          <w:sz w:val="24"/>
          <w:szCs w:val="24"/>
        </w:rPr>
        <w:t xml:space="preserve"> Patient Panel</w:t>
      </w:r>
      <w:r w:rsidR="00453FB2">
        <w:rPr>
          <w:rStyle w:val="FootnoteReference"/>
          <w:b/>
          <w:bCs/>
          <w:sz w:val="24"/>
          <w:szCs w:val="24"/>
        </w:rPr>
        <w:footnoteReference w:id="14"/>
      </w:r>
    </w:p>
    <w:tbl>
      <w:tblPr>
        <w:tblStyle w:val="TableGrid"/>
        <w:tblW w:w="0" w:type="auto"/>
        <w:jc w:val="center"/>
        <w:tblLook w:val="04A0" w:firstRow="1" w:lastRow="0" w:firstColumn="1" w:lastColumn="0" w:noHBand="0" w:noVBand="1"/>
        <w:tblCaption w:val="Table 5: Demographic comparison across local regions and Facility's Patient Panel"/>
        <w:tblDescription w:val="Race Hampden County Palmer City Palmer Healthcare Center&#10;Total population estimate  12,232 97&#10;  White  83% 90% 55%&#10;  Black or African-American 11% 2% 2%&#10;  American Indian/ Alaskan Native 1% 0% N/A&#10;  Asian  3% 2% N/A&#10;  Hispanic or Latino 26% 5% 4%&#10;"/>
      </w:tblPr>
      <w:tblGrid>
        <w:gridCol w:w="3232"/>
        <w:gridCol w:w="1452"/>
        <w:gridCol w:w="1260"/>
        <w:gridCol w:w="1315"/>
      </w:tblGrid>
      <w:tr w:rsidR="00896F93" w:rsidRPr="0020159B" w14:paraId="2B74B50E" w14:textId="7D6ABC8C" w:rsidTr="006475CB">
        <w:trPr>
          <w:tblHeader/>
          <w:jc w:val="center"/>
        </w:trPr>
        <w:tc>
          <w:tcPr>
            <w:tcW w:w="0" w:type="auto"/>
            <w:shd w:val="clear" w:color="auto" w:fill="F2F2F2" w:themeFill="background1" w:themeFillShade="F2"/>
          </w:tcPr>
          <w:p w14:paraId="7B35D81C" w14:textId="68C0649D" w:rsidR="00896F93" w:rsidRPr="0020159B" w:rsidRDefault="00896F93" w:rsidP="008547F2">
            <w:pPr>
              <w:jc w:val="center"/>
              <w:rPr>
                <w:b/>
                <w:bCs/>
              </w:rPr>
            </w:pPr>
            <w:r>
              <w:rPr>
                <w:b/>
                <w:bCs/>
              </w:rPr>
              <w:t>Race</w:t>
            </w:r>
          </w:p>
        </w:tc>
        <w:tc>
          <w:tcPr>
            <w:tcW w:w="1452" w:type="dxa"/>
            <w:shd w:val="clear" w:color="auto" w:fill="F2F2F2" w:themeFill="background1" w:themeFillShade="F2"/>
          </w:tcPr>
          <w:p w14:paraId="2265838E" w14:textId="096DEC6A" w:rsidR="00896F93" w:rsidRPr="0020159B" w:rsidRDefault="00896F93" w:rsidP="008547F2">
            <w:pPr>
              <w:jc w:val="center"/>
              <w:rPr>
                <w:b/>
                <w:bCs/>
              </w:rPr>
            </w:pPr>
            <w:r>
              <w:rPr>
                <w:b/>
                <w:bCs/>
              </w:rPr>
              <w:t>Hampden County</w:t>
            </w:r>
          </w:p>
        </w:tc>
        <w:tc>
          <w:tcPr>
            <w:tcW w:w="1260" w:type="dxa"/>
            <w:shd w:val="clear" w:color="auto" w:fill="F2F2F2" w:themeFill="background1" w:themeFillShade="F2"/>
          </w:tcPr>
          <w:p w14:paraId="24EFB047" w14:textId="2A639EB8" w:rsidR="00896F93" w:rsidRDefault="00896F93" w:rsidP="008547F2">
            <w:pPr>
              <w:jc w:val="center"/>
              <w:rPr>
                <w:b/>
                <w:bCs/>
              </w:rPr>
            </w:pPr>
            <w:r>
              <w:rPr>
                <w:b/>
                <w:bCs/>
              </w:rPr>
              <w:t>Palmer City</w:t>
            </w:r>
          </w:p>
        </w:tc>
        <w:tc>
          <w:tcPr>
            <w:tcW w:w="1315" w:type="dxa"/>
            <w:shd w:val="clear" w:color="auto" w:fill="F2F2F2" w:themeFill="background1" w:themeFillShade="F2"/>
          </w:tcPr>
          <w:p w14:paraId="02D03083" w14:textId="16EA7E1D" w:rsidR="00896F93" w:rsidRDefault="006A44B5" w:rsidP="008547F2">
            <w:pPr>
              <w:jc w:val="center"/>
              <w:rPr>
                <w:b/>
                <w:bCs/>
              </w:rPr>
            </w:pPr>
            <w:r>
              <w:rPr>
                <w:b/>
                <w:bCs/>
              </w:rPr>
              <w:t>Palmer Healthcare Center</w:t>
            </w:r>
          </w:p>
        </w:tc>
      </w:tr>
      <w:tr w:rsidR="008D79FA" w:rsidRPr="0020159B" w14:paraId="47372870" w14:textId="77777777" w:rsidTr="00FD2336">
        <w:trPr>
          <w:jc w:val="center"/>
        </w:trPr>
        <w:tc>
          <w:tcPr>
            <w:tcW w:w="0" w:type="auto"/>
          </w:tcPr>
          <w:p w14:paraId="4895B2D0" w14:textId="7F0B3062" w:rsidR="008D79FA" w:rsidRPr="008D79FA" w:rsidRDefault="008D79FA" w:rsidP="008547F2">
            <w:pPr>
              <w:rPr>
                <w:i/>
                <w:iCs/>
              </w:rPr>
            </w:pPr>
            <w:r w:rsidRPr="008D79FA">
              <w:rPr>
                <w:i/>
                <w:iCs/>
              </w:rPr>
              <w:t>Total population estimate</w:t>
            </w:r>
          </w:p>
        </w:tc>
        <w:tc>
          <w:tcPr>
            <w:tcW w:w="1452" w:type="dxa"/>
          </w:tcPr>
          <w:p w14:paraId="31F9BF71" w14:textId="77777777" w:rsidR="008D79FA" w:rsidRDefault="008D79FA" w:rsidP="008547F2">
            <w:pPr>
              <w:jc w:val="center"/>
            </w:pPr>
          </w:p>
        </w:tc>
        <w:tc>
          <w:tcPr>
            <w:tcW w:w="1260" w:type="dxa"/>
          </w:tcPr>
          <w:p w14:paraId="55320F6B" w14:textId="268C3BF4" w:rsidR="008D79FA" w:rsidRDefault="009E0206" w:rsidP="008547F2">
            <w:pPr>
              <w:jc w:val="center"/>
            </w:pPr>
            <w:r>
              <w:t>12,232</w:t>
            </w:r>
          </w:p>
        </w:tc>
        <w:tc>
          <w:tcPr>
            <w:tcW w:w="1315" w:type="dxa"/>
          </w:tcPr>
          <w:p w14:paraId="7C864CA4" w14:textId="6809C73A" w:rsidR="008D79FA" w:rsidRDefault="009E0206" w:rsidP="008547F2">
            <w:pPr>
              <w:jc w:val="center"/>
            </w:pPr>
            <w:r>
              <w:t>97</w:t>
            </w:r>
          </w:p>
        </w:tc>
      </w:tr>
      <w:tr w:rsidR="00896F93" w:rsidRPr="0020159B" w14:paraId="68F6E49A" w14:textId="69C5BCA7" w:rsidTr="00FD2336">
        <w:trPr>
          <w:jc w:val="center"/>
        </w:trPr>
        <w:tc>
          <w:tcPr>
            <w:tcW w:w="0" w:type="auto"/>
          </w:tcPr>
          <w:p w14:paraId="3752A517" w14:textId="5F4DE313" w:rsidR="00896F93" w:rsidRPr="0020159B" w:rsidRDefault="008D79FA" w:rsidP="008547F2">
            <w:r>
              <w:t xml:space="preserve">  </w:t>
            </w:r>
            <w:r w:rsidR="00896F93">
              <w:t xml:space="preserve">White </w:t>
            </w:r>
          </w:p>
        </w:tc>
        <w:tc>
          <w:tcPr>
            <w:tcW w:w="1452" w:type="dxa"/>
          </w:tcPr>
          <w:p w14:paraId="7894365F" w14:textId="18CB61F6" w:rsidR="00896F93" w:rsidRPr="0020159B" w:rsidRDefault="00896F93" w:rsidP="008547F2">
            <w:pPr>
              <w:jc w:val="center"/>
            </w:pPr>
            <w:r>
              <w:t>83%</w:t>
            </w:r>
          </w:p>
        </w:tc>
        <w:tc>
          <w:tcPr>
            <w:tcW w:w="1260" w:type="dxa"/>
          </w:tcPr>
          <w:p w14:paraId="259D1422" w14:textId="0F04CB2A" w:rsidR="00896F93" w:rsidRDefault="009E0206" w:rsidP="008547F2">
            <w:pPr>
              <w:jc w:val="center"/>
            </w:pPr>
            <w:r>
              <w:t>90</w:t>
            </w:r>
            <w:r w:rsidR="00FD2336">
              <w:t>%</w:t>
            </w:r>
          </w:p>
        </w:tc>
        <w:tc>
          <w:tcPr>
            <w:tcW w:w="1315" w:type="dxa"/>
          </w:tcPr>
          <w:p w14:paraId="61E34588" w14:textId="367AF1DA" w:rsidR="00896F93" w:rsidRDefault="00896F93" w:rsidP="008547F2">
            <w:pPr>
              <w:jc w:val="center"/>
            </w:pPr>
            <w:r>
              <w:t>55%</w:t>
            </w:r>
          </w:p>
        </w:tc>
      </w:tr>
      <w:tr w:rsidR="00896F93" w:rsidRPr="0020159B" w14:paraId="31CF6B7D" w14:textId="7DC28E62" w:rsidTr="00FD2336">
        <w:trPr>
          <w:jc w:val="center"/>
        </w:trPr>
        <w:tc>
          <w:tcPr>
            <w:tcW w:w="0" w:type="auto"/>
          </w:tcPr>
          <w:p w14:paraId="6C77DC02" w14:textId="7612AF2D" w:rsidR="00896F93" w:rsidRPr="0020159B" w:rsidRDefault="008D79FA" w:rsidP="00453FB2">
            <w:r>
              <w:t xml:space="preserve">  </w:t>
            </w:r>
            <w:r w:rsidR="00896F93">
              <w:t>Black or African-American</w:t>
            </w:r>
          </w:p>
        </w:tc>
        <w:tc>
          <w:tcPr>
            <w:tcW w:w="1452" w:type="dxa"/>
          </w:tcPr>
          <w:p w14:paraId="4D402B71" w14:textId="20908836" w:rsidR="00896F93" w:rsidRPr="0020159B" w:rsidRDefault="00896F93" w:rsidP="00453FB2">
            <w:pPr>
              <w:jc w:val="center"/>
            </w:pPr>
            <w:r>
              <w:t>11%</w:t>
            </w:r>
          </w:p>
        </w:tc>
        <w:tc>
          <w:tcPr>
            <w:tcW w:w="1260" w:type="dxa"/>
          </w:tcPr>
          <w:p w14:paraId="26A6E672" w14:textId="0D207E91" w:rsidR="00896F93" w:rsidRDefault="009E0206" w:rsidP="00453FB2">
            <w:pPr>
              <w:jc w:val="center"/>
            </w:pPr>
            <w:r>
              <w:t>2</w:t>
            </w:r>
            <w:r w:rsidR="00FD2336">
              <w:t>%</w:t>
            </w:r>
          </w:p>
        </w:tc>
        <w:tc>
          <w:tcPr>
            <w:tcW w:w="1315" w:type="dxa"/>
          </w:tcPr>
          <w:p w14:paraId="2BDD42A9" w14:textId="01E0C309" w:rsidR="00896F93" w:rsidRDefault="00896F93" w:rsidP="00453FB2">
            <w:pPr>
              <w:jc w:val="center"/>
            </w:pPr>
            <w:r>
              <w:t>2%</w:t>
            </w:r>
          </w:p>
        </w:tc>
      </w:tr>
      <w:tr w:rsidR="00896F93" w:rsidRPr="0020159B" w14:paraId="479F6CDC" w14:textId="2493CA00" w:rsidTr="00FD2336">
        <w:trPr>
          <w:jc w:val="center"/>
        </w:trPr>
        <w:tc>
          <w:tcPr>
            <w:tcW w:w="0" w:type="auto"/>
          </w:tcPr>
          <w:p w14:paraId="7D5B614A" w14:textId="6DD6BD32" w:rsidR="00896F93" w:rsidRPr="0020159B" w:rsidRDefault="008D79FA" w:rsidP="00453FB2">
            <w:r>
              <w:t xml:space="preserve">  </w:t>
            </w:r>
            <w:r w:rsidR="00896F93">
              <w:t>American Indian/ Alaskan Native</w:t>
            </w:r>
          </w:p>
        </w:tc>
        <w:tc>
          <w:tcPr>
            <w:tcW w:w="1452" w:type="dxa"/>
          </w:tcPr>
          <w:p w14:paraId="35B04DA4" w14:textId="3B2CF7E6" w:rsidR="00896F93" w:rsidRPr="0020159B" w:rsidRDefault="00896F93" w:rsidP="00453FB2">
            <w:pPr>
              <w:jc w:val="center"/>
            </w:pPr>
            <w:r>
              <w:t>1%</w:t>
            </w:r>
          </w:p>
        </w:tc>
        <w:tc>
          <w:tcPr>
            <w:tcW w:w="1260" w:type="dxa"/>
          </w:tcPr>
          <w:p w14:paraId="40A55C59" w14:textId="5DA119A5" w:rsidR="00896F93" w:rsidRDefault="009E0206" w:rsidP="00453FB2">
            <w:pPr>
              <w:jc w:val="center"/>
            </w:pPr>
            <w:r>
              <w:t>0%</w:t>
            </w:r>
          </w:p>
        </w:tc>
        <w:tc>
          <w:tcPr>
            <w:tcW w:w="1315" w:type="dxa"/>
          </w:tcPr>
          <w:p w14:paraId="54B92895" w14:textId="1DF7A5EE" w:rsidR="00896F93" w:rsidRDefault="00896F93" w:rsidP="00453FB2">
            <w:pPr>
              <w:jc w:val="center"/>
            </w:pPr>
            <w:r>
              <w:t>N/A</w:t>
            </w:r>
          </w:p>
        </w:tc>
      </w:tr>
      <w:tr w:rsidR="00896F93" w:rsidRPr="0020159B" w14:paraId="4E21C521" w14:textId="4B23DAB0" w:rsidTr="00FD2336">
        <w:trPr>
          <w:jc w:val="center"/>
        </w:trPr>
        <w:tc>
          <w:tcPr>
            <w:tcW w:w="0" w:type="auto"/>
          </w:tcPr>
          <w:p w14:paraId="4A201D6C" w14:textId="4336976B" w:rsidR="00896F93" w:rsidRPr="0020159B" w:rsidRDefault="008D79FA" w:rsidP="00453FB2">
            <w:r>
              <w:t xml:space="preserve">  </w:t>
            </w:r>
            <w:r w:rsidR="00896F93">
              <w:t xml:space="preserve">Asian </w:t>
            </w:r>
          </w:p>
        </w:tc>
        <w:tc>
          <w:tcPr>
            <w:tcW w:w="1452" w:type="dxa"/>
          </w:tcPr>
          <w:p w14:paraId="4D15887B" w14:textId="0D556B62" w:rsidR="00896F93" w:rsidRPr="0020159B" w:rsidRDefault="00896F93" w:rsidP="00453FB2">
            <w:pPr>
              <w:jc w:val="center"/>
            </w:pPr>
            <w:r>
              <w:t>3%</w:t>
            </w:r>
          </w:p>
        </w:tc>
        <w:tc>
          <w:tcPr>
            <w:tcW w:w="1260" w:type="dxa"/>
          </w:tcPr>
          <w:p w14:paraId="6282E7AF" w14:textId="25C2D043" w:rsidR="00896F93" w:rsidRDefault="009E0206" w:rsidP="00453FB2">
            <w:pPr>
              <w:jc w:val="center"/>
            </w:pPr>
            <w:r>
              <w:t>2%</w:t>
            </w:r>
          </w:p>
        </w:tc>
        <w:tc>
          <w:tcPr>
            <w:tcW w:w="1315" w:type="dxa"/>
          </w:tcPr>
          <w:p w14:paraId="39897465" w14:textId="5D3F5A95" w:rsidR="00896F93" w:rsidRDefault="00896F93" w:rsidP="00453FB2">
            <w:pPr>
              <w:jc w:val="center"/>
            </w:pPr>
            <w:r>
              <w:t>N/A</w:t>
            </w:r>
          </w:p>
        </w:tc>
      </w:tr>
      <w:tr w:rsidR="00896F93" w:rsidRPr="0020159B" w14:paraId="002A85FC" w14:textId="765CD5CD" w:rsidTr="00FD2336">
        <w:trPr>
          <w:jc w:val="center"/>
        </w:trPr>
        <w:tc>
          <w:tcPr>
            <w:tcW w:w="0" w:type="auto"/>
          </w:tcPr>
          <w:p w14:paraId="009452CB" w14:textId="7CC5C70D" w:rsidR="00896F93" w:rsidRPr="0020159B" w:rsidRDefault="008D79FA" w:rsidP="00453FB2">
            <w:r>
              <w:t xml:space="preserve">  </w:t>
            </w:r>
            <w:r w:rsidR="00896F93">
              <w:t>Hispanic or Latino</w:t>
            </w:r>
          </w:p>
        </w:tc>
        <w:tc>
          <w:tcPr>
            <w:tcW w:w="1452" w:type="dxa"/>
          </w:tcPr>
          <w:p w14:paraId="5538D404" w14:textId="641D8FE8" w:rsidR="00896F93" w:rsidRPr="0020159B" w:rsidRDefault="00896F93" w:rsidP="00453FB2">
            <w:pPr>
              <w:jc w:val="center"/>
            </w:pPr>
            <w:r>
              <w:t>26%</w:t>
            </w:r>
          </w:p>
        </w:tc>
        <w:tc>
          <w:tcPr>
            <w:tcW w:w="1260" w:type="dxa"/>
          </w:tcPr>
          <w:p w14:paraId="1B00972D" w14:textId="5E0C44BD" w:rsidR="00896F93" w:rsidRDefault="009E0206" w:rsidP="00453FB2">
            <w:pPr>
              <w:jc w:val="center"/>
            </w:pPr>
            <w:r>
              <w:t>5</w:t>
            </w:r>
            <w:r w:rsidR="00FD2336">
              <w:t>%</w:t>
            </w:r>
          </w:p>
        </w:tc>
        <w:tc>
          <w:tcPr>
            <w:tcW w:w="1315" w:type="dxa"/>
          </w:tcPr>
          <w:p w14:paraId="62831C98" w14:textId="0ED1A055" w:rsidR="00896F93" w:rsidRDefault="00896F93" w:rsidP="00453FB2">
            <w:pPr>
              <w:jc w:val="center"/>
            </w:pPr>
            <w:r>
              <w:t>4%</w:t>
            </w:r>
          </w:p>
        </w:tc>
      </w:tr>
    </w:tbl>
    <w:p w14:paraId="3EEEFA9C" w14:textId="77777777" w:rsidR="003B536A" w:rsidRDefault="003B536A" w:rsidP="00AB3D02">
      <w:pPr>
        <w:spacing w:line="240" w:lineRule="auto"/>
        <w:rPr>
          <w:sz w:val="24"/>
          <w:szCs w:val="24"/>
        </w:rPr>
      </w:pPr>
    </w:p>
    <w:p w14:paraId="7FD11C61" w14:textId="53DC1FFD" w:rsidR="0020159B" w:rsidRDefault="003B57CC" w:rsidP="003B57CC">
      <w:pPr>
        <w:spacing w:after="0" w:line="240" w:lineRule="auto"/>
        <w:rPr>
          <w:sz w:val="24"/>
          <w:szCs w:val="24"/>
        </w:rPr>
      </w:pPr>
      <w:r w:rsidRPr="00A13F0F">
        <w:rPr>
          <w:sz w:val="24"/>
          <w:szCs w:val="24"/>
        </w:rPr>
        <w:t xml:space="preserve">All Determination of Need Holders </w:t>
      </w:r>
      <w:proofErr w:type="gramStart"/>
      <w:r w:rsidRPr="00A13F0F">
        <w:rPr>
          <w:sz w:val="24"/>
          <w:szCs w:val="24"/>
        </w:rPr>
        <w:t>will have to</w:t>
      </w:r>
      <w:proofErr w:type="gramEnd"/>
      <w:r w:rsidRPr="00A13F0F">
        <w:rPr>
          <w:sz w:val="24"/>
          <w:szCs w:val="24"/>
        </w:rPr>
        <w:t xml:space="preserve"> provide a plan for approval by the</w:t>
      </w:r>
      <w:r>
        <w:rPr>
          <w:sz w:val="24"/>
          <w:szCs w:val="24"/>
        </w:rPr>
        <w:t xml:space="preserve"> </w:t>
      </w:r>
      <w:r w:rsidRPr="00A13F0F">
        <w:rPr>
          <w:sz w:val="24"/>
          <w:szCs w:val="24"/>
        </w:rPr>
        <w:t>Office of Health Equity for the development and improvement of language access and assistive services</w:t>
      </w:r>
      <w:r>
        <w:rPr>
          <w:sz w:val="24"/>
          <w:szCs w:val="24"/>
        </w:rPr>
        <w:t xml:space="preserve"> </w:t>
      </w:r>
      <w:r w:rsidRPr="00A13F0F">
        <w:rPr>
          <w:sz w:val="24"/>
          <w:szCs w:val="24"/>
        </w:rPr>
        <w:t>provided to individuals with disabilities, non-English speaking, Limited English Proficiency (LEP), and American</w:t>
      </w:r>
      <w:r>
        <w:rPr>
          <w:sz w:val="24"/>
          <w:szCs w:val="24"/>
        </w:rPr>
        <w:t xml:space="preserve"> </w:t>
      </w:r>
      <w:r w:rsidRPr="00A13F0F">
        <w:rPr>
          <w:sz w:val="24"/>
          <w:szCs w:val="24"/>
        </w:rPr>
        <w:t>Sign Language (ASL) patients.</w:t>
      </w:r>
      <w:r>
        <w:rPr>
          <w:sz w:val="24"/>
          <w:szCs w:val="24"/>
        </w:rPr>
        <w:t xml:space="preserve"> </w:t>
      </w:r>
      <w:r w:rsidR="00551E77">
        <w:rPr>
          <w:sz w:val="24"/>
          <w:szCs w:val="24"/>
        </w:rPr>
        <w:t xml:space="preserve">To support any language needs, the Facility uses a third-party interpreter service, </w:t>
      </w:r>
      <w:proofErr w:type="spellStart"/>
      <w:r w:rsidR="00551E77">
        <w:rPr>
          <w:sz w:val="24"/>
          <w:szCs w:val="24"/>
        </w:rPr>
        <w:t>LanguageLine</w:t>
      </w:r>
      <w:proofErr w:type="spellEnd"/>
      <w:r w:rsidR="00551E77">
        <w:rPr>
          <w:sz w:val="24"/>
          <w:szCs w:val="24"/>
        </w:rPr>
        <w:t xml:space="preserve"> Solutions, which is a phone line available on-demand 24/7 for 240+ languages. The Applicant states that their patient panel consists mostly of primarily </w:t>
      </w:r>
      <w:r>
        <w:rPr>
          <w:sz w:val="24"/>
          <w:szCs w:val="24"/>
        </w:rPr>
        <w:t>English-speaking</w:t>
      </w:r>
      <w:r w:rsidR="00551E77">
        <w:rPr>
          <w:sz w:val="24"/>
          <w:szCs w:val="24"/>
        </w:rPr>
        <w:t xml:space="preserve"> patients. </w:t>
      </w:r>
    </w:p>
    <w:p w14:paraId="0CDE3672" w14:textId="77777777" w:rsidR="003B57CC" w:rsidRDefault="003B57CC" w:rsidP="00AB3D02">
      <w:pPr>
        <w:spacing w:line="240" w:lineRule="auto"/>
        <w:rPr>
          <w:sz w:val="24"/>
          <w:szCs w:val="24"/>
        </w:rPr>
      </w:pPr>
    </w:p>
    <w:p w14:paraId="02F5AEB5" w14:textId="15C7C461" w:rsidR="003B536A" w:rsidRDefault="0043179A" w:rsidP="003B536A">
      <w:pPr>
        <w:spacing w:after="0" w:line="240" w:lineRule="auto"/>
        <w:rPr>
          <w:sz w:val="24"/>
          <w:szCs w:val="24"/>
        </w:rPr>
      </w:pPr>
      <w:r>
        <w:rPr>
          <w:sz w:val="24"/>
          <w:szCs w:val="24"/>
        </w:rPr>
        <w:t>Additionally, t</w:t>
      </w:r>
      <w:r w:rsidR="003B536A">
        <w:rPr>
          <w:sz w:val="24"/>
          <w:szCs w:val="24"/>
        </w:rPr>
        <w:t xml:space="preserve">he Applicant </w:t>
      </w:r>
      <w:r w:rsidR="005D062A">
        <w:rPr>
          <w:sz w:val="24"/>
          <w:szCs w:val="24"/>
        </w:rPr>
        <w:t xml:space="preserve">has committed to implementing robust </w:t>
      </w:r>
      <w:r w:rsidR="003B536A">
        <w:rPr>
          <w:sz w:val="24"/>
          <w:szCs w:val="24"/>
        </w:rPr>
        <w:t xml:space="preserve">infection control practices to </w:t>
      </w:r>
      <w:r w:rsidR="00782D28">
        <w:rPr>
          <w:sz w:val="24"/>
          <w:szCs w:val="24"/>
        </w:rPr>
        <w:t xml:space="preserve">promote better health outcomes by </w:t>
      </w:r>
      <w:r w:rsidR="003B536A">
        <w:rPr>
          <w:sz w:val="24"/>
          <w:szCs w:val="24"/>
        </w:rPr>
        <w:t>protect</w:t>
      </w:r>
      <w:r w:rsidR="00782D28">
        <w:rPr>
          <w:sz w:val="24"/>
          <w:szCs w:val="24"/>
        </w:rPr>
        <w:t>ing</w:t>
      </w:r>
      <w:r w:rsidR="003B536A">
        <w:rPr>
          <w:sz w:val="24"/>
          <w:szCs w:val="24"/>
        </w:rPr>
        <w:t xml:space="preserve"> patient</w:t>
      </w:r>
      <w:r w:rsidR="00782D28">
        <w:rPr>
          <w:sz w:val="24"/>
          <w:szCs w:val="24"/>
        </w:rPr>
        <w:t>s</w:t>
      </w:r>
      <w:r w:rsidR="003B536A">
        <w:rPr>
          <w:sz w:val="24"/>
          <w:szCs w:val="24"/>
        </w:rPr>
        <w:t xml:space="preserve"> from COVID-19 and other respiratory diseases</w:t>
      </w:r>
      <w:r w:rsidR="00B62138">
        <w:rPr>
          <w:sz w:val="24"/>
          <w:szCs w:val="24"/>
        </w:rPr>
        <w:t>, as noted earlier in the report</w:t>
      </w:r>
      <w:r w:rsidR="00782D28">
        <w:rPr>
          <w:sz w:val="24"/>
          <w:szCs w:val="24"/>
        </w:rPr>
        <w:t>.</w:t>
      </w:r>
      <w:r w:rsidR="00260325">
        <w:rPr>
          <w:sz w:val="24"/>
          <w:szCs w:val="24"/>
        </w:rPr>
        <w:t xml:space="preserve"> </w:t>
      </w:r>
      <w:r w:rsidR="003B536A" w:rsidRPr="00C03B70">
        <w:rPr>
          <w:sz w:val="24"/>
          <w:szCs w:val="24"/>
        </w:rPr>
        <w:t xml:space="preserve">The </w:t>
      </w:r>
      <w:r w:rsidR="003B536A">
        <w:rPr>
          <w:sz w:val="24"/>
          <w:szCs w:val="24"/>
        </w:rPr>
        <w:t xml:space="preserve">Applicant states that the </w:t>
      </w:r>
      <w:r w:rsidR="003B536A" w:rsidRPr="00C03B70">
        <w:rPr>
          <w:sz w:val="24"/>
          <w:szCs w:val="24"/>
        </w:rPr>
        <w:t>Proposed Project is designed to meet industry-defined best practices for safety, quality, and efficiency.</w:t>
      </w:r>
    </w:p>
    <w:p w14:paraId="6E827552" w14:textId="77777777" w:rsidR="00DF48A8" w:rsidRPr="00551E77" w:rsidRDefault="00DF48A8" w:rsidP="00AB3D02">
      <w:pPr>
        <w:spacing w:line="240" w:lineRule="auto"/>
        <w:rPr>
          <w:color w:val="E7E6E6" w:themeColor="background2"/>
          <w:sz w:val="24"/>
          <w:szCs w:val="24"/>
        </w:rPr>
      </w:pPr>
    </w:p>
    <w:p w14:paraId="3FEF718D" w14:textId="5BE1A65D" w:rsidR="005407F6" w:rsidRPr="005407F6" w:rsidRDefault="005407F6" w:rsidP="00502AE9">
      <w:pPr>
        <w:spacing w:line="240" w:lineRule="auto"/>
        <w:rPr>
          <w:rFonts w:cstheme="minorHAnsi"/>
          <w:b/>
          <w:i/>
          <w:iCs/>
          <w:sz w:val="24"/>
          <w:szCs w:val="24"/>
        </w:rPr>
      </w:pPr>
      <w:r w:rsidRPr="005407F6">
        <w:rPr>
          <w:rFonts w:cstheme="minorHAnsi"/>
          <w:b/>
          <w:i/>
          <w:iCs/>
          <w:sz w:val="24"/>
          <w:szCs w:val="24"/>
        </w:rPr>
        <w:t>Analysis</w:t>
      </w:r>
    </w:p>
    <w:p w14:paraId="357F40A8" w14:textId="01FD3A8A" w:rsidR="00D95F91" w:rsidRPr="00D071B0" w:rsidRDefault="00D071B0" w:rsidP="00056A90">
      <w:pPr>
        <w:spacing w:after="0" w:line="240" w:lineRule="auto"/>
        <w:rPr>
          <w:sz w:val="24"/>
          <w:szCs w:val="24"/>
        </w:rPr>
      </w:pPr>
      <w:r>
        <w:rPr>
          <w:sz w:val="24"/>
          <w:szCs w:val="24"/>
        </w:rPr>
        <w:t xml:space="preserve">Staff finds that the Proposed Project supports improved outcomes, </w:t>
      </w:r>
      <w:r w:rsidR="00B62138">
        <w:rPr>
          <w:sz w:val="24"/>
          <w:szCs w:val="24"/>
        </w:rPr>
        <w:t xml:space="preserve">improved </w:t>
      </w:r>
      <w:r>
        <w:rPr>
          <w:sz w:val="24"/>
          <w:szCs w:val="24"/>
        </w:rPr>
        <w:t xml:space="preserve">quality of life and </w:t>
      </w:r>
      <w:r w:rsidR="00B62138">
        <w:rPr>
          <w:sz w:val="24"/>
          <w:szCs w:val="24"/>
        </w:rPr>
        <w:t xml:space="preserve">greater </w:t>
      </w:r>
      <w:r>
        <w:rPr>
          <w:sz w:val="24"/>
          <w:szCs w:val="24"/>
        </w:rPr>
        <w:t xml:space="preserve">patient satisfaction. </w:t>
      </w:r>
      <w:r w:rsidR="007D5DE9">
        <w:rPr>
          <w:rFonts w:cstheme="minorHAnsi"/>
          <w:bCs/>
          <w:sz w:val="24"/>
          <w:szCs w:val="24"/>
        </w:rPr>
        <w:t>I</w:t>
      </w:r>
      <w:r w:rsidR="00B62138">
        <w:rPr>
          <w:rFonts w:cstheme="minorHAnsi"/>
          <w:bCs/>
          <w:sz w:val="24"/>
          <w:szCs w:val="24"/>
        </w:rPr>
        <w:t>t is difficult to assess the race and ethnicity of the Applicant’s patient population, given the tracking issues noted earlier.</w:t>
      </w:r>
      <w:r w:rsidR="007D5DE9">
        <w:rPr>
          <w:rFonts w:cstheme="minorHAnsi"/>
          <w:bCs/>
          <w:sz w:val="24"/>
          <w:szCs w:val="24"/>
        </w:rPr>
        <w:t xml:space="preserve"> </w:t>
      </w:r>
      <w:r w:rsidR="00B62138">
        <w:rPr>
          <w:rFonts w:cstheme="minorHAnsi"/>
          <w:bCs/>
          <w:sz w:val="24"/>
          <w:szCs w:val="24"/>
        </w:rPr>
        <w:t>T</w:t>
      </w:r>
      <w:r w:rsidR="007D5DE9">
        <w:rPr>
          <w:rFonts w:cstheme="minorHAnsi"/>
          <w:bCs/>
          <w:sz w:val="24"/>
          <w:szCs w:val="24"/>
        </w:rPr>
        <w:t xml:space="preserve">he Applicant </w:t>
      </w:r>
      <w:r w:rsidR="00B62138">
        <w:rPr>
          <w:rFonts w:cstheme="minorHAnsi"/>
          <w:bCs/>
          <w:sz w:val="24"/>
          <w:szCs w:val="24"/>
        </w:rPr>
        <w:t xml:space="preserve">has stated </w:t>
      </w:r>
      <w:r w:rsidR="007D5DE9">
        <w:rPr>
          <w:rFonts w:cstheme="minorHAnsi"/>
          <w:bCs/>
          <w:sz w:val="24"/>
          <w:szCs w:val="24"/>
        </w:rPr>
        <w:t>that the Facility will capture race/ ethnicity data as reported by their patients</w:t>
      </w:r>
      <w:r w:rsidR="00B62138">
        <w:rPr>
          <w:rFonts w:cstheme="minorHAnsi"/>
          <w:bCs/>
          <w:sz w:val="24"/>
          <w:szCs w:val="24"/>
        </w:rPr>
        <w:t xml:space="preserve"> going forward</w:t>
      </w:r>
      <w:r w:rsidR="007D5DE9">
        <w:rPr>
          <w:rFonts w:cstheme="minorHAnsi"/>
          <w:bCs/>
          <w:sz w:val="24"/>
          <w:szCs w:val="24"/>
        </w:rPr>
        <w:t>, using the</w:t>
      </w:r>
      <w:r w:rsidR="00B62138">
        <w:rPr>
          <w:rFonts w:cstheme="minorHAnsi"/>
          <w:bCs/>
          <w:sz w:val="24"/>
          <w:szCs w:val="24"/>
        </w:rPr>
        <w:t>ir</w:t>
      </w:r>
      <w:r w:rsidR="007D5DE9">
        <w:rPr>
          <w:rFonts w:cstheme="minorHAnsi"/>
          <w:bCs/>
          <w:sz w:val="24"/>
          <w:szCs w:val="24"/>
        </w:rPr>
        <w:t xml:space="preserve"> EMR system</w:t>
      </w:r>
      <w:r w:rsidR="00A01CCF">
        <w:rPr>
          <w:rFonts w:cstheme="minorHAnsi"/>
          <w:bCs/>
          <w:sz w:val="24"/>
          <w:szCs w:val="24"/>
        </w:rPr>
        <w:t xml:space="preserve"> (launched in March 2021)</w:t>
      </w:r>
      <w:r w:rsidR="007D5DE9">
        <w:rPr>
          <w:rFonts w:cstheme="minorHAnsi"/>
          <w:bCs/>
          <w:sz w:val="24"/>
          <w:szCs w:val="24"/>
        </w:rPr>
        <w:t xml:space="preserve">, and predicts that this data gap will significantly be reduced or eliminated. </w:t>
      </w:r>
      <w:r w:rsidR="00737B6B">
        <w:rPr>
          <w:rFonts w:cstheme="minorHAnsi"/>
          <w:bCs/>
          <w:sz w:val="24"/>
          <w:szCs w:val="24"/>
        </w:rPr>
        <w:t xml:space="preserve">Staff recommend ongoing reporting on race as </w:t>
      </w:r>
      <w:r w:rsidR="00B62138">
        <w:rPr>
          <w:rFonts w:cstheme="minorHAnsi"/>
          <w:bCs/>
          <w:sz w:val="24"/>
          <w:szCs w:val="24"/>
        </w:rPr>
        <w:t xml:space="preserve">the Applicant </w:t>
      </w:r>
      <w:r w:rsidR="00737B6B">
        <w:rPr>
          <w:rFonts w:cstheme="minorHAnsi"/>
          <w:bCs/>
          <w:sz w:val="24"/>
          <w:szCs w:val="24"/>
        </w:rPr>
        <w:t>begins to collect these data more accurately.</w:t>
      </w:r>
    </w:p>
    <w:p w14:paraId="7DBBDDB5" w14:textId="77777777" w:rsidR="00502AE9" w:rsidRPr="00502AE9" w:rsidRDefault="00502AE9" w:rsidP="00502AE9">
      <w:pPr>
        <w:widowControl w:val="0"/>
        <w:spacing w:after="0" w:line="240" w:lineRule="auto"/>
        <w:ind w:right="114"/>
        <w:rPr>
          <w:rFonts w:cstheme="minorHAnsi"/>
          <w:bCs/>
          <w:sz w:val="24"/>
          <w:szCs w:val="24"/>
        </w:rPr>
      </w:pPr>
    </w:p>
    <w:p w14:paraId="093D5F79" w14:textId="348EA4CA" w:rsidR="001151AB" w:rsidRPr="00F32829" w:rsidRDefault="00F32829">
      <w:pPr>
        <w:rPr>
          <w:b/>
          <w:bCs/>
          <w:sz w:val="28"/>
          <w:szCs w:val="28"/>
        </w:rPr>
      </w:pPr>
      <w:r w:rsidRPr="00F32829">
        <w:rPr>
          <w:b/>
          <w:bCs/>
          <w:sz w:val="28"/>
          <w:szCs w:val="28"/>
        </w:rPr>
        <w:t>Factor 1: c) Efficiency, Continuity of Care, Coordination of Care</w:t>
      </w:r>
    </w:p>
    <w:p w14:paraId="5D6F8653" w14:textId="40B81D87" w:rsidR="00D33D1C" w:rsidRDefault="00D33D1C" w:rsidP="00205789">
      <w:pPr>
        <w:spacing w:after="0" w:line="240" w:lineRule="auto"/>
        <w:rPr>
          <w:sz w:val="24"/>
          <w:szCs w:val="24"/>
        </w:rPr>
      </w:pPr>
      <w:r w:rsidRPr="00A1660C">
        <w:rPr>
          <w:sz w:val="24"/>
          <w:szCs w:val="24"/>
        </w:rPr>
        <w:t xml:space="preserve">The Applicant asserts that the </w:t>
      </w:r>
      <w:r w:rsidR="00205789">
        <w:rPr>
          <w:sz w:val="24"/>
          <w:szCs w:val="24"/>
        </w:rPr>
        <w:t xml:space="preserve">Replacement Facility will increase efficiency and continue to ensure linkages to appropriate external services such as primary care and social programs as necessary. The Facility </w:t>
      </w:r>
      <w:r w:rsidR="00840234">
        <w:rPr>
          <w:sz w:val="24"/>
          <w:szCs w:val="24"/>
        </w:rPr>
        <w:t xml:space="preserve">currently </w:t>
      </w:r>
      <w:r w:rsidR="00205789">
        <w:rPr>
          <w:sz w:val="24"/>
          <w:szCs w:val="24"/>
        </w:rPr>
        <w:t xml:space="preserve">has a service model in place that is used to refer patients to </w:t>
      </w:r>
      <w:r w:rsidR="00205789">
        <w:rPr>
          <w:sz w:val="24"/>
          <w:szCs w:val="24"/>
        </w:rPr>
        <w:lastRenderedPageBreak/>
        <w:t xml:space="preserve">community-based services. With </w:t>
      </w:r>
      <w:r w:rsidR="00CE72A7">
        <w:rPr>
          <w:sz w:val="24"/>
          <w:szCs w:val="24"/>
        </w:rPr>
        <w:t>the added capacity of the Replacement Facility</w:t>
      </w:r>
      <w:r w:rsidR="00205789">
        <w:rPr>
          <w:sz w:val="24"/>
          <w:szCs w:val="24"/>
        </w:rPr>
        <w:t xml:space="preserve">, the Applicant predicts that referral activities to community services will increase in the future. </w:t>
      </w:r>
    </w:p>
    <w:p w14:paraId="3601D7CC" w14:textId="7FC070C4" w:rsidR="003726D5" w:rsidRDefault="003726D5" w:rsidP="00205789">
      <w:pPr>
        <w:spacing w:after="0" w:line="240" w:lineRule="auto"/>
        <w:rPr>
          <w:sz w:val="24"/>
          <w:szCs w:val="24"/>
        </w:rPr>
      </w:pPr>
    </w:p>
    <w:p w14:paraId="0789712A" w14:textId="185CAC47" w:rsidR="009B1EB1" w:rsidRPr="00A07030" w:rsidRDefault="00CE72A7" w:rsidP="00A07030">
      <w:pPr>
        <w:spacing w:after="0" w:line="240" w:lineRule="auto"/>
        <w:rPr>
          <w:sz w:val="24"/>
          <w:szCs w:val="24"/>
        </w:rPr>
      </w:pPr>
      <w:r>
        <w:rPr>
          <w:sz w:val="24"/>
          <w:szCs w:val="24"/>
        </w:rPr>
        <w:t>Upon</w:t>
      </w:r>
      <w:r w:rsidR="003726D5">
        <w:rPr>
          <w:sz w:val="24"/>
          <w:szCs w:val="24"/>
        </w:rPr>
        <w:t xml:space="preserve"> admission, the patient is closely followed by their original primary care provider. The Facility’s </w:t>
      </w:r>
      <w:r w:rsidR="00D85679">
        <w:rPr>
          <w:sz w:val="24"/>
          <w:szCs w:val="24"/>
        </w:rPr>
        <w:t>care team maintains regular communication with the patient’s primary care provider</w:t>
      </w:r>
      <w:r w:rsidR="00A01CCF">
        <w:rPr>
          <w:sz w:val="24"/>
          <w:szCs w:val="24"/>
        </w:rPr>
        <w:t>. As</w:t>
      </w:r>
      <w:r w:rsidR="00D85679">
        <w:rPr>
          <w:sz w:val="24"/>
          <w:szCs w:val="24"/>
        </w:rPr>
        <w:t xml:space="preserve"> the </w:t>
      </w:r>
      <w:r w:rsidR="0017609C">
        <w:rPr>
          <w:sz w:val="24"/>
          <w:szCs w:val="24"/>
        </w:rPr>
        <w:t>patient adapts</w:t>
      </w:r>
      <w:r w:rsidR="00D85679">
        <w:rPr>
          <w:sz w:val="24"/>
          <w:szCs w:val="24"/>
        </w:rPr>
        <w:t xml:space="preserve"> to the Facility, the role of primary care gradually transitions to the Facility’s medical director. The care team also coordinates closely with the </w:t>
      </w:r>
      <w:r w:rsidR="00A01CCF">
        <w:rPr>
          <w:sz w:val="24"/>
          <w:szCs w:val="24"/>
        </w:rPr>
        <w:t xml:space="preserve">patients’ </w:t>
      </w:r>
      <w:r w:rsidR="00D85679">
        <w:rPr>
          <w:sz w:val="24"/>
          <w:szCs w:val="24"/>
        </w:rPr>
        <w:t xml:space="preserve">families to </w:t>
      </w:r>
      <w:r w:rsidR="004714D5">
        <w:rPr>
          <w:sz w:val="24"/>
          <w:szCs w:val="24"/>
        </w:rPr>
        <w:t xml:space="preserve">develop individual care plans to meet unique needs. </w:t>
      </w:r>
      <w:r w:rsidR="00487A71">
        <w:rPr>
          <w:sz w:val="24"/>
          <w:szCs w:val="24"/>
        </w:rPr>
        <w:t xml:space="preserve"> </w:t>
      </w:r>
    </w:p>
    <w:p w14:paraId="77F9D710" w14:textId="3C131A14" w:rsidR="009A7BBE" w:rsidRDefault="00D33D1C" w:rsidP="00D33D1C">
      <w:pPr>
        <w:spacing w:line="240" w:lineRule="auto"/>
        <w:rPr>
          <w:sz w:val="24"/>
          <w:szCs w:val="24"/>
        </w:rPr>
      </w:pPr>
      <w:r>
        <w:rPr>
          <w:sz w:val="24"/>
          <w:szCs w:val="24"/>
        </w:rPr>
        <w:t xml:space="preserve">The Applicant states that </w:t>
      </w:r>
      <w:r w:rsidR="00621763">
        <w:rPr>
          <w:sz w:val="24"/>
          <w:szCs w:val="24"/>
        </w:rPr>
        <w:t xml:space="preserve">a </w:t>
      </w:r>
      <w:r>
        <w:rPr>
          <w:sz w:val="24"/>
          <w:szCs w:val="24"/>
        </w:rPr>
        <w:t>new</w:t>
      </w:r>
      <w:r w:rsidR="009A7BBE" w:rsidRPr="00D33D1C">
        <w:rPr>
          <w:sz w:val="24"/>
          <w:szCs w:val="24"/>
        </w:rPr>
        <w:t xml:space="preserve"> </w:t>
      </w:r>
      <w:r w:rsidR="007D5DE9">
        <w:rPr>
          <w:sz w:val="24"/>
          <w:szCs w:val="24"/>
        </w:rPr>
        <w:t>EMR</w:t>
      </w:r>
      <w:r w:rsidR="00F844C3">
        <w:rPr>
          <w:sz w:val="24"/>
          <w:szCs w:val="24"/>
        </w:rPr>
        <w:t xml:space="preserve"> </w:t>
      </w:r>
      <w:r>
        <w:rPr>
          <w:sz w:val="24"/>
          <w:szCs w:val="24"/>
        </w:rPr>
        <w:t xml:space="preserve">was </w:t>
      </w:r>
      <w:r w:rsidR="009A7BBE" w:rsidRPr="00D33D1C">
        <w:rPr>
          <w:sz w:val="24"/>
          <w:szCs w:val="24"/>
        </w:rPr>
        <w:t xml:space="preserve">launched in </w:t>
      </w:r>
      <w:r w:rsidR="00621763">
        <w:rPr>
          <w:sz w:val="24"/>
          <w:szCs w:val="24"/>
        </w:rPr>
        <w:t>March</w:t>
      </w:r>
      <w:r w:rsidR="009A7BBE" w:rsidRPr="00D33D1C">
        <w:rPr>
          <w:sz w:val="24"/>
          <w:szCs w:val="24"/>
        </w:rPr>
        <w:t xml:space="preserve"> 2021</w:t>
      </w:r>
      <w:r w:rsidR="00F844C3">
        <w:rPr>
          <w:sz w:val="24"/>
          <w:szCs w:val="24"/>
        </w:rPr>
        <w:t xml:space="preserve">. It </w:t>
      </w:r>
      <w:r w:rsidR="009A7BBE" w:rsidRPr="00D33D1C">
        <w:rPr>
          <w:sz w:val="24"/>
          <w:szCs w:val="24"/>
        </w:rPr>
        <w:t xml:space="preserve">provides functionality and access to amalgamated patient health </w:t>
      </w:r>
      <w:r w:rsidR="009B1EB1" w:rsidRPr="00D33D1C">
        <w:rPr>
          <w:sz w:val="24"/>
          <w:szCs w:val="24"/>
        </w:rPr>
        <w:t>information</w:t>
      </w:r>
      <w:r w:rsidR="00DF3C75">
        <w:rPr>
          <w:sz w:val="24"/>
          <w:szCs w:val="24"/>
        </w:rPr>
        <w:t xml:space="preserve"> that</w:t>
      </w:r>
      <w:r w:rsidR="009A7BBE" w:rsidRPr="00D33D1C">
        <w:rPr>
          <w:sz w:val="24"/>
          <w:szCs w:val="24"/>
        </w:rPr>
        <w:t xml:space="preserve"> is regularly reviewed </w:t>
      </w:r>
      <w:r w:rsidR="006005DA">
        <w:rPr>
          <w:sz w:val="24"/>
          <w:szCs w:val="24"/>
        </w:rPr>
        <w:t xml:space="preserve">by </w:t>
      </w:r>
      <w:r w:rsidR="00621763">
        <w:rPr>
          <w:sz w:val="24"/>
          <w:szCs w:val="24"/>
        </w:rPr>
        <w:t>long-term care staff</w:t>
      </w:r>
      <w:r>
        <w:rPr>
          <w:sz w:val="24"/>
          <w:szCs w:val="24"/>
        </w:rPr>
        <w:t xml:space="preserve">, </w:t>
      </w:r>
      <w:r w:rsidR="006005DA">
        <w:rPr>
          <w:sz w:val="24"/>
          <w:szCs w:val="24"/>
        </w:rPr>
        <w:t>allows</w:t>
      </w:r>
      <w:r w:rsidR="009A7BBE" w:rsidRPr="00D33D1C">
        <w:rPr>
          <w:sz w:val="24"/>
          <w:szCs w:val="24"/>
        </w:rPr>
        <w:t xml:space="preserve"> </w:t>
      </w:r>
      <w:r w:rsidR="00621763">
        <w:rPr>
          <w:sz w:val="24"/>
          <w:szCs w:val="24"/>
        </w:rPr>
        <w:t>providers</w:t>
      </w:r>
      <w:r w:rsidR="009A7BBE" w:rsidRPr="00D33D1C">
        <w:rPr>
          <w:sz w:val="24"/>
          <w:szCs w:val="24"/>
        </w:rPr>
        <w:t xml:space="preserve"> to </w:t>
      </w:r>
      <w:r w:rsidR="00621763">
        <w:rPr>
          <w:sz w:val="24"/>
          <w:szCs w:val="24"/>
        </w:rPr>
        <w:t>coordinate</w:t>
      </w:r>
      <w:r w:rsidR="009A7BBE" w:rsidRPr="00D33D1C">
        <w:rPr>
          <w:sz w:val="24"/>
          <w:szCs w:val="24"/>
        </w:rPr>
        <w:t xml:space="preserve"> </w:t>
      </w:r>
      <w:r w:rsidR="00621763">
        <w:rPr>
          <w:sz w:val="24"/>
          <w:szCs w:val="24"/>
        </w:rPr>
        <w:t>patient care</w:t>
      </w:r>
      <w:r w:rsidR="009A7BBE" w:rsidRPr="00D33D1C">
        <w:rPr>
          <w:sz w:val="24"/>
          <w:szCs w:val="24"/>
        </w:rPr>
        <w:t xml:space="preserve"> notes and instructions with </w:t>
      </w:r>
      <w:r w:rsidR="00621763">
        <w:rPr>
          <w:sz w:val="24"/>
          <w:szCs w:val="24"/>
        </w:rPr>
        <w:t>external providers</w:t>
      </w:r>
      <w:r>
        <w:rPr>
          <w:sz w:val="24"/>
          <w:szCs w:val="24"/>
        </w:rPr>
        <w:t xml:space="preserve">, and </w:t>
      </w:r>
      <w:r w:rsidR="006005DA">
        <w:rPr>
          <w:sz w:val="24"/>
          <w:szCs w:val="24"/>
        </w:rPr>
        <w:t xml:space="preserve">affords </w:t>
      </w:r>
      <w:r>
        <w:rPr>
          <w:sz w:val="24"/>
          <w:szCs w:val="24"/>
        </w:rPr>
        <w:t>immediate p</w:t>
      </w:r>
      <w:r w:rsidR="009A7BBE" w:rsidRPr="00D33D1C">
        <w:rPr>
          <w:sz w:val="24"/>
          <w:szCs w:val="24"/>
        </w:rPr>
        <w:t>atient</w:t>
      </w:r>
      <w:r>
        <w:rPr>
          <w:sz w:val="24"/>
          <w:szCs w:val="24"/>
        </w:rPr>
        <w:t xml:space="preserve"> </w:t>
      </w:r>
      <w:r w:rsidR="009A7BBE" w:rsidRPr="00D33D1C">
        <w:rPr>
          <w:sz w:val="24"/>
          <w:szCs w:val="24"/>
        </w:rPr>
        <w:t xml:space="preserve">access to provider notes and most diagnostic test results. </w:t>
      </w:r>
    </w:p>
    <w:p w14:paraId="38ACFA0D" w14:textId="30C0198E" w:rsidR="00637B0F" w:rsidRDefault="000D172A" w:rsidP="00BF7ED7">
      <w:pPr>
        <w:spacing w:line="240" w:lineRule="auto"/>
        <w:rPr>
          <w:b/>
          <w:bCs/>
          <w:i/>
          <w:iCs/>
          <w:sz w:val="24"/>
          <w:szCs w:val="24"/>
        </w:rPr>
      </w:pPr>
      <w:r w:rsidRPr="00BF7ED7">
        <w:rPr>
          <w:b/>
          <w:bCs/>
          <w:i/>
          <w:iCs/>
          <w:sz w:val="24"/>
          <w:szCs w:val="24"/>
        </w:rPr>
        <w:t>Analysis</w:t>
      </w:r>
    </w:p>
    <w:p w14:paraId="539934C8" w14:textId="43DC3560" w:rsidR="00F55D8B" w:rsidRPr="009A4375" w:rsidRDefault="00F55D8B" w:rsidP="00BF7ED7">
      <w:pPr>
        <w:spacing w:line="240" w:lineRule="auto"/>
        <w:rPr>
          <w:sz w:val="24"/>
          <w:szCs w:val="24"/>
        </w:rPr>
      </w:pPr>
      <w:r w:rsidRPr="009A4375">
        <w:rPr>
          <w:sz w:val="24"/>
          <w:szCs w:val="24"/>
        </w:rPr>
        <w:t>Staff finds that</w:t>
      </w:r>
      <w:r w:rsidR="00621763">
        <w:rPr>
          <w:sz w:val="24"/>
          <w:szCs w:val="24"/>
        </w:rPr>
        <w:t xml:space="preserve"> </w:t>
      </w:r>
      <w:r w:rsidR="002B1109">
        <w:rPr>
          <w:sz w:val="24"/>
          <w:szCs w:val="24"/>
        </w:rPr>
        <w:t>the Facility demonstrates sufficient plans to maintain and improve on efficiency, coordination, and continuity of care with the Proposed Project. Wi</w:t>
      </w:r>
      <w:r w:rsidR="00621763">
        <w:rPr>
          <w:sz w:val="24"/>
          <w:szCs w:val="24"/>
        </w:rPr>
        <w:t xml:space="preserve">th the new </w:t>
      </w:r>
      <w:r w:rsidR="007D5DE9">
        <w:rPr>
          <w:sz w:val="24"/>
          <w:szCs w:val="24"/>
        </w:rPr>
        <w:t>EMR</w:t>
      </w:r>
      <w:r w:rsidR="00621763">
        <w:rPr>
          <w:sz w:val="24"/>
          <w:szCs w:val="24"/>
        </w:rPr>
        <w:t>, the Facility</w:t>
      </w:r>
      <w:r w:rsidRPr="009A4375">
        <w:rPr>
          <w:sz w:val="24"/>
          <w:szCs w:val="24"/>
        </w:rPr>
        <w:t xml:space="preserve"> will </w:t>
      </w:r>
      <w:r w:rsidR="00621763">
        <w:rPr>
          <w:sz w:val="24"/>
          <w:szCs w:val="24"/>
        </w:rPr>
        <w:t>improve on</w:t>
      </w:r>
      <w:r w:rsidRPr="009A4375">
        <w:rPr>
          <w:sz w:val="24"/>
          <w:szCs w:val="24"/>
        </w:rPr>
        <w:t xml:space="preserve"> continuity and coordination of care for </w:t>
      </w:r>
      <w:r w:rsidR="00621763">
        <w:rPr>
          <w:sz w:val="24"/>
          <w:szCs w:val="24"/>
        </w:rPr>
        <w:t>its long-term care</w:t>
      </w:r>
      <w:r w:rsidRPr="009A4375">
        <w:rPr>
          <w:sz w:val="24"/>
          <w:szCs w:val="24"/>
        </w:rPr>
        <w:t xml:space="preserve"> patients. </w:t>
      </w:r>
      <w:r w:rsidR="00CB1BB3">
        <w:rPr>
          <w:sz w:val="24"/>
          <w:szCs w:val="24"/>
        </w:rPr>
        <w:t xml:space="preserve">There is evidence demonstrating that </w:t>
      </w:r>
      <w:r w:rsidR="006005DA">
        <w:rPr>
          <w:sz w:val="24"/>
          <w:szCs w:val="24"/>
        </w:rPr>
        <w:t xml:space="preserve">the benefits to </w:t>
      </w:r>
      <w:r w:rsidR="00CB1BB3">
        <w:rPr>
          <w:sz w:val="24"/>
          <w:szCs w:val="24"/>
        </w:rPr>
        <w:t xml:space="preserve">U.S. nursing homes </w:t>
      </w:r>
      <w:r w:rsidR="006005DA">
        <w:rPr>
          <w:sz w:val="24"/>
          <w:szCs w:val="24"/>
        </w:rPr>
        <w:t xml:space="preserve">of </w:t>
      </w:r>
      <w:r w:rsidR="00CB1BB3">
        <w:rPr>
          <w:sz w:val="24"/>
          <w:szCs w:val="24"/>
        </w:rPr>
        <w:t xml:space="preserve">having electronic record systems, such as </w:t>
      </w:r>
      <w:r w:rsidR="000504C3">
        <w:rPr>
          <w:sz w:val="24"/>
          <w:szCs w:val="24"/>
        </w:rPr>
        <w:t xml:space="preserve">better patient health outcomes </w:t>
      </w:r>
      <w:r w:rsidR="002F14EB">
        <w:rPr>
          <w:sz w:val="24"/>
          <w:szCs w:val="24"/>
        </w:rPr>
        <w:t>(i.e. urinary tract infections and depressive symptoms)</w:t>
      </w:r>
      <w:r w:rsidR="0014486A">
        <w:rPr>
          <w:sz w:val="24"/>
          <w:szCs w:val="24"/>
        </w:rPr>
        <w:t>,</w:t>
      </w:r>
      <w:r w:rsidR="002F14EB">
        <w:rPr>
          <w:sz w:val="24"/>
          <w:szCs w:val="24"/>
        </w:rPr>
        <w:t xml:space="preserve"> </w:t>
      </w:r>
      <w:r w:rsidR="0014486A">
        <w:rPr>
          <w:sz w:val="24"/>
          <w:szCs w:val="24"/>
        </w:rPr>
        <w:t xml:space="preserve">are </w:t>
      </w:r>
      <w:r w:rsidR="00D0729B">
        <w:rPr>
          <w:sz w:val="24"/>
          <w:szCs w:val="24"/>
        </w:rPr>
        <w:t>likely driven by improved</w:t>
      </w:r>
      <w:r w:rsidR="002F14EB">
        <w:rPr>
          <w:sz w:val="24"/>
          <w:szCs w:val="24"/>
        </w:rPr>
        <w:t xml:space="preserve"> administrative thoroughness, including </w:t>
      </w:r>
      <w:r w:rsidR="00D0729B">
        <w:rPr>
          <w:sz w:val="24"/>
          <w:szCs w:val="24"/>
        </w:rPr>
        <w:t>documentation, risk assessments and clinical decision support systems</w:t>
      </w:r>
      <w:r w:rsidR="00B810E2">
        <w:rPr>
          <w:sz w:val="24"/>
          <w:szCs w:val="24"/>
        </w:rPr>
        <w:t>.</w:t>
      </w:r>
      <w:r w:rsidR="00B810E2">
        <w:rPr>
          <w:rStyle w:val="FootnoteReference"/>
          <w:sz w:val="24"/>
          <w:szCs w:val="24"/>
        </w:rPr>
        <w:footnoteReference w:id="15"/>
      </w:r>
      <w:r w:rsidR="00B810E2">
        <w:rPr>
          <w:sz w:val="24"/>
          <w:szCs w:val="24"/>
        </w:rPr>
        <w:t xml:space="preserve"> </w:t>
      </w:r>
    </w:p>
    <w:p w14:paraId="7723F82E" w14:textId="77777777" w:rsidR="00260CC8" w:rsidRDefault="00260CC8" w:rsidP="007B5D5B">
      <w:pPr>
        <w:spacing w:after="0" w:line="240" w:lineRule="auto"/>
        <w:rPr>
          <w:b/>
          <w:bCs/>
          <w:sz w:val="28"/>
          <w:szCs w:val="28"/>
        </w:rPr>
      </w:pPr>
    </w:p>
    <w:p w14:paraId="407618B6" w14:textId="4681A857" w:rsidR="007B5D5B" w:rsidRDefault="007B5D5B" w:rsidP="007B5D5B">
      <w:pPr>
        <w:spacing w:after="0" w:line="240" w:lineRule="auto"/>
        <w:rPr>
          <w:b/>
          <w:bCs/>
          <w:sz w:val="28"/>
          <w:szCs w:val="28"/>
        </w:rPr>
      </w:pPr>
      <w:r w:rsidRPr="007B5D5B">
        <w:rPr>
          <w:b/>
          <w:bCs/>
          <w:sz w:val="28"/>
          <w:szCs w:val="28"/>
        </w:rPr>
        <w:t xml:space="preserve">Factor 1: d) Consultation </w:t>
      </w:r>
    </w:p>
    <w:p w14:paraId="32696191" w14:textId="72B7C4F6" w:rsidR="000D172A" w:rsidRPr="00EC65EB" w:rsidRDefault="007B5D5B" w:rsidP="00EC65EB">
      <w:pPr>
        <w:spacing w:after="0" w:line="240" w:lineRule="auto"/>
        <w:rPr>
          <w:sz w:val="24"/>
          <w:szCs w:val="24"/>
        </w:rPr>
      </w:pPr>
      <w:r w:rsidRPr="007B5D5B">
        <w:rPr>
          <w:sz w:val="24"/>
          <w:szCs w:val="24"/>
        </w:rPr>
        <w:t>The Applicant has provided evidence of consultation</w:t>
      </w:r>
      <w:r w:rsidR="00EC65EB">
        <w:rPr>
          <w:sz w:val="24"/>
          <w:szCs w:val="24"/>
        </w:rPr>
        <w:t xml:space="preserve"> </w:t>
      </w:r>
      <w:r w:rsidRPr="007B5D5B">
        <w:rPr>
          <w:sz w:val="24"/>
          <w:szCs w:val="24"/>
        </w:rPr>
        <w:t>with all government agencies that have licensure, certification, or other regulatory oversight, which has been done and will not be addressed further in this report.</w:t>
      </w:r>
    </w:p>
    <w:p w14:paraId="01FCF5A7" w14:textId="77777777" w:rsidR="00EE3BBC" w:rsidRDefault="00EE3BBC" w:rsidP="00D10C13">
      <w:pPr>
        <w:spacing w:after="0" w:line="240" w:lineRule="auto"/>
        <w:rPr>
          <w:b/>
          <w:bCs/>
          <w:sz w:val="28"/>
          <w:szCs w:val="28"/>
        </w:rPr>
      </w:pPr>
    </w:p>
    <w:p w14:paraId="2950A273" w14:textId="233021F9" w:rsidR="00D10C13" w:rsidRDefault="00D10C13" w:rsidP="00D10C13">
      <w:pPr>
        <w:spacing w:after="0" w:line="240" w:lineRule="auto"/>
        <w:rPr>
          <w:b/>
          <w:bCs/>
          <w:sz w:val="28"/>
          <w:szCs w:val="28"/>
        </w:rPr>
      </w:pPr>
      <w:r w:rsidRPr="00D10C13">
        <w:rPr>
          <w:b/>
          <w:bCs/>
          <w:sz w:val="28"/>
          <w:szCs w:val="28"/>
        </w:rPr>
        <w:t xml:space="preserve">Factor 1: e) Evidence of Sound Community Engagement through the Patient Panel </w:t>
      </w:r>
    </w:p>
    <w:p w14:paraId="08940608" w14:textId="77777777" w:rsidR="00542F24" w:rsidRDefault="00542F24" w:rsidP="00D10C13">
      <w:pPr>
        <w:spacing w:after="0" w:line="240" w:lineRule="auto"/>
      </w:pPr>
    </w:p>
    <w:p w14:paraId="7F8385EF" w14:textId="45EF3D33" w:rsidR="00542F24" w:rsidRDefault="00D10C13" w:rsidP="00542F24">
      <w:pPr>
        <w:spacing w:after="0" w:line="240" w:lineRule="auto"/>
        <w:rPr>
          <w:sz w:val="24"/>
          <w:szCs w:val="24"/>
        </w:rPr>
      </w:pPr>
      <w:r w:rsidRPr="0057038C">
        <w:rPr>
          <w:sz w:val="24"/>
          <w:szCs w:val="24"/>
        </w:rPr>
        <w:t>The Department’s Guideline for community engagement defines “community” as the Patient Panel, and requires that at minimum, the Applicant must “consult” with groups representative of the Applicant</w:t>
      </w:r>
      <w:r w:rsidR="00C726F3">
        <w:rPr>
          <w:sz w:val="24"/>
          <w:szCs w:val="24"/>
        </w:rPr>
        <w:t>’</w:t>
      </w:r>
      <w:r w:rsidRPr="0057038C">
        <w:rPr>
          <w:sz w:val="24"/>
          <w:szCs w:val="24"/>
        </w:rPr>
        <w:t>s Patient Panel. Regulations state that efforts in such consultation should consist of engaging “community coalitions statistically representative of the Patient Panel.”</w:t>
      </w:r>
      <w:r w:rsidRPr="0057038C">
        <w:rPr>
          <w:rStyle w:val="FootnoteReference"/>
          <w:sz w:val="24"/>
          <w:szCs w:val="24"/>
        </w:rPr>
        <w:footnoteReference w:id="16"/>
      </w:r>
    </w:p>
    <w:p w14:paraId="214288C3" w14:textId="10855EBC" w:rsidR="00542F24" w:rsidRDefault="00542F24" w:rsidP="00542F24">
      <w:pPr>
        <w:spacing w:after="0" w:line="240" w:lineRule="auto"/>
        <w:rPr>
          <w:sz w:val="24"/>
          <w:szCs w:val="24"/>
        </w:rPr>
      </w:pPr>
    </w:p>
    <w:p w14:paraId="6790071F" w14:textId="171ECB1A" w:rsidR="00542F24" w:rsidRDefault="00542F24" w:rsidP="00542F24">
      <w:pPr>
        <w:spacing w:after="0" w:line="240" w:lineRule="auto"/>
        <w:rPr>
          <w:sz w:val="24"/>
          <w:szCs w:val="24"/>
        </w:rPr>
      </w:pPr>
      <w:r>
        <w:rPr>
          <w:sz w:val="24"/>
          <w:szCs w:val="24"/>
        </w:rPr>
        <w:t xml:space="preserve">The Applicant asserts that a diverse team of stakeholders in the greater Palmer community were consulted regarding this Proposed Project. These consultations were with: </w:t>
      </w:r>
    </w:p>
    <w:p w14:paraId="18EE2F61" w14:textId="71F881FB" w:rsidR="00542F24" w:rsidRDefault="00542F24" w:rsidP="002A0CC6">
      <w:pPr>
        <w:pStyle w:val="ListParagraph"/>
        <w:numPr>
          <w:ilvl w:val="0"/>
          <w:numId w:val="47"/>
        </w:numPr>
        <w:spacing w:after="0" w:line="240" w:lineRule="auto"/>
        <w:rPr>
          <w:sz w:val="24"/>
          <w:szCs w:val="24"/>
        </w:rPr>
      </w:pPr>
      <w:r>
        <w:rPr>
          <w:sz w:val="24"/>
          <w:szCs w:val="24"/>
        </w:rPr>
        <w:t xml:space="preserve">State and local officials </w:t>
      </w:r>
    </w:p>
    <w:p w14:paraId="247D4D49" w14:textId="6780D49B" w:rsidR="00542F24" w:rsidRDefault="00542F24" w:rsidP="002A0CC6">
      <w:pPr>
        <w:pStyle w:val="ListParagraph"/>
        <w:numPr>
          <w:ilvl w:val="0"/>
          <w:numId w:val="47"/>
        </w:numPr>
        <w:spacing w:after="0" w:line="240" w:lineRule="auto"/>
        <w:rPr>
          <w:sz w:val="24"/>
          <w:szCs w:val="24"/>
        </w:rPr>
      </w:pPr>
      <w:proofErr w:type="spellStart"/>
      <w:r>
        <w:rPr>
          <w:sz w:val="24"/>
          <w:szCs w:val="24"/>
        </w:rPr>
        <w:t>HealthDrive</w:t>
      </w:r>
      <w:proofErr w:type="spellEnd"/>
      <w:r>
        <w:rPr>
          <w:sz w:val="24"/>
          <w:szCs w:val="24"/>
        </w:rPr>
        <w:t xml:space="preserve"> (the Facility’s provider for mental health and geriatric psychiatry)</w:t>
      </w:r>
    </w:p>
    <w:p w14:paraId="54693631" w14:textId="51805864" w:rsidR="00542F24" w:rsidRDefault="00542F24" w:rsidP="002A0CC6">
      <w:pPr>
        <w:pStyle w:val="ListParagraph"/>
        <w:numPr>
          <w:ilvl w:val="0"/>
          <w:numId w:val="47"/>
        </w:numPr>
        <w:spacing w:after="0" w:line="240" w:lineRule="auto"/>
        <w:rPr>
          <w:sz w:val="24"/>
          <w:szCs w:val="24"/>
        </w:rPr>
      </w:pPr>
      <w:proofErr w:type="spellStart"/>
      <w:r>
        <w:rPr>
          <w:sz w:val="24"/>
          <w:szCs w:val="24"/>
        </w:rPr>
        <w:lastRenderedPageBreak/>
        <w:t>Baystate</w:t>
      </w:r>
      <w:proofErr w:type="spellEnd"/>
      <w:r>
        <w:rPr>
          <w:sz w:val="24"/>
          <w:szCs w:val="24"/>
        </w:rPr>
        <w:t xml:space="preserve"> Wing Hospital</w:t>
      </w:r>
    </w:p>
    <w:p w14:paraId="43CBD0CA" w14:textId="31B819B4" w:rsidR="00542F24" w:rsidRDefault="00542F24" w:rsidP="002A0CC6">
      <w:pPr>
        <w:pStyle w:val="ListParagraph"/>
        <w:numPr>
          <w:ilvl w:val="0"/>
          <w:numId w:val="47"/>
        </w:numPr>
        <w:spacing w:after="0" w:line="240" w:lineRule="auto"/>
        <w:rPr>
          <w:sz w:val="24"/>
          <w:szCs w:val="24"/>
        </w:rPr>
      </w:pPr>
      <w:r>
        <w:rPr>
          <w:sz w:val="24"/>
          <w:szCs w:val="24"/>
        </w:rPr>
        <w:t>Palmer’s own employees and staff.</w:t>
      </w:r>
    </w:p>
    <w:p w14:paraId="7EBEDC16" w14:textId="16021B48" w:rsidR="00542F24" w:rsidRDefault="00542F24" w:rsidP="00E336EF">
      <w:pPr>
        <w:spacing w:after="0" w:line="240" w:lineRule="auto"/>
        <w:rPr>
          <w:sz w:val="24"/>
          <w:szCs w:val="24"/>
        </w:rPr>
      </w:pPr>
    </w:p>
    <w:p w14:paraId="69DD67E7" w14:textId="060BB562" w:rsidR="00E336EF" w:rsidRDefault="00E336EF" w:rsidP="00E336EF">
      <w:pPr>
        <w:spacing w:after="0" w:line="240" w:lineRule="auto"/>
        <w:rPr>
          <w:sz w:val="24"/>
          <w:szCs w:val="24"/>
        </w:rPr>
      </w:pPr>
      <w:r>
        <w:rPr>
          <w:sz w:val="24"/>
          <w:szCs w:val="24"/>
        </w:rPr>
        <w:t xml:space="preserve">The Applicant </w:t>
      </w:r>
      <w:r w:rsidR="00262257">
        <w:rPr>
          <w:sz w:val="24"/>
          <w:szCs w:val="24"/>
        </w:rPr>
        <w:t xml:space="preserve">states </w:t>
      </w:r>
      <w:r>
        <w:rPr>
          <w:sz w:val="24"/>
          <w:szCs w:val="24"/>
        </w:rPr>
        <w:t xml:space="preserve">that everyone consulted about </w:t>
      </w:r>
      <w:r w:rsidR="0031584E">
        <w:rPr>
          <w:sz w:val="24"/>
          <w:szCs w:val="24"/>
        </w:rPr>
        <w:t xml:space="preserve">the Proposed Project was supportive of its decision to expand and replace its existing capacity. </w:t>
      </w:r>
    </w:p>
    <w:p w14:paraId="2371616B" w14:textId="77777777" w:rsidR="00E336EF" w:rsidRPr="00E336EF" w:rsidRDefault="00E336EF" w:rsidP="00E336EF">
      <w:pPr>
        <w:spacing w:after="0" w:line="240" w:lineRule="auto"/>
        <w:rPr>
          <w:sz w:val="24"/>
          <w:szCs w:val="24"/>
        </w:rPr>
      </w:pPr>
    </w:p>
    <w:p w14:paraId="48A1BA38" w14:textId="624A65F1" w:rsidR="00023FEB" w:rsidRPr="00667357" w:rsidRDefault="00023FEB" w:rsidP="00542F24">
      <w:pPr>
        <w:rPr>
          <w:b/>
          <w:bCs/>
          <w:i/>
          <w:iCs/>
          <w:sz w:val="24"/>
          <w:szCs w:val="24"/>
        </w:rPr>
      </w:pPr>
      <w:r w:rsidRPr="00667357">
        <w:rPr>
          <w:b/>
          <w:bCs/>
          <w:i/>
          <w:iCs/>
          <w:sz w:val="24"/>
          <w:szCs w:val="24"/>
        </w:rPr>
        <w:t xml:space="preserve">Analysis </w:t>
      </w:r>
    </w:p>
    <w:p w14:paraId="4934F615" w14:textId="77777777" w:rsidR="00A07030" w:rsidRDefault="00023FEB" w:rsidP="00667357">
      <w:pPr>
        <w:spacing w:after="0" w:line="240" w:lineRule="auto"/>
        <w:rPr>
          <w:sz w:val="24"/>
          <w:szCs w:val="24"/>
        </w:rPr>
      </w:pPr>
      <w:r w:rsidRPr="00667357">
        <w:rPr>
          <w:sz w:val="24"/>
          <w:szCs w:val="24"/>
        </w:rPr>
        <w:t>Staff finds that the Applicant met the required community engagement standard of Consult in the planning phase of the Proposed Project.</w:t>
      </w:r>
    </w:p>
    <w:p w14:paraId="6C21119E" w14:textId="76D0F431" w:rsidR="00357D5C" w:rsidRPr="00667357" w:rsidRDefault="00A07030" w:rsidP="00667357">
      <w:pPr>
        <w:spacing w:after="0" w:line="240" w:lineRule="auto"/>
        <w:rPr>
          <w:sz w:val="24"/>
          <w:szCs w:val="24"/>
        </w:rPr>
      </w:pPr>
      <w:r w:rsidRPr="00667357">
        <w:rPr>
          <w:sz w:val="24"/>
          <w:szCs w:val="24"/>
        </w:rPr>
        <w:t xml:space="preserve"> </w:t>
      </w:r>
    </w:p>
    <w:p w14:paraId="74C8B9F8" w14:textId="16D84BDF" w:rsidR="00D95F91" w:rsidRDefault="007506F8">
      <w:pPr>
        <w:rPr>
          <w:b/>
          <w:bCs/>
          <w:sz w:val="28"/>
          <w:szCs w:val="28"/>
        </w:rPr>
      </w:pPr>
      <w:r w:rsidRPr="007506F8">
        <w:rPr>
          <w:b/>
          <w:bCs/>
          <w:sz w:val="28"/>
          <w:szCs w:val="28"/>
        </w:rPr>
        <w:t xml:space="preserve">Factor 1: f) Competition </w:t>
      </w:r>
      <w:r w:rsidR="007749BF" w:rsidRPr="007506F8">
        <w:rPr>
          <w:b/>
          <w:bCs/>
          <w:sz w:val="28"/>
          <w:szCs w:val="28"/>
        </w:rPr>
        <w:t>on</w:t>
      </w:r>
      <w:r w:rsidRPr="007506F8">
        <w:rPr>
          <w:b/>
          <w:bCs/>
          <w:sz w:val="28"/>
          <w:szCs w:val="28"/>
        </w:rPr>
        <w:t xml:space="preserve"> Price, Total Medical Expenses (TME), Costs </w:t>
      </w:r>
      <w:proofErr w:type="gramStart"/>
      <w:r w:rsidRPr="007506F8">
        <w:rPr>
          <w:b/>
          <w:bCs/>
          <w:sz w:val="28"/>
          <w:szCs w:val="28"/>
        </w:rPr>
        <w:t>And</w:t>
      </w:r>
      <w:proofErr w:type="gramEnd"/>
      <w:r w:rsidRPr="007506F8">
        <w:rPr>
          <w:b/>
          <w:bCs/>
          <w:sz w:val="28"/>
          <w:szCs w:val="28"/>
        </w:rPr>
        <w:t xml:space="preserve"> Other Measures Of Health Care Spending</w:t>
      </w:r>
    </w:p>
    <w:p w14:paraId="437BDC45" w14:textId="4FBD4420" w:rsidR="00A85F0D" w:rsidRDefault="00945FAB" w:rsidP="003E3CC0">
      <w:pPr>
        <w:spacing w:after="0"/>
        <w:rPr>
          <w:sz w:val="24"/>
          <w:szCs w:val="24"/>
        </w:rPr>
      </w:pPr>
      <w:r>
        <w:rPr>
          <w:sz w:val="24"/>
          <w:szCs w:val="24"/>
        </w:rPr>
        <w:t>The Applicant states that the Proposed Project</w:t>
      </w:r>
      <w:r w:rsidR="003322DE">
        <w:rPr>
          <w:sz w:val="24"/>
          <w:szCs w:val="24"/>
        </w:rPr>
        <w:t xml:space="preserve">, which is being done to comply with </w:t>
      </w:r>
      <w:r w:rsidR="000D4478">
        <w:rPr>
          <w:sz w:val="24"/>
          <w:szCs w:val="24"/>
        </w:rPr>
        <w:t>the Department’s long-term care facility regulations and new requirements to d</w:t>
      </w:r>
      <w:r w:rsidR="003322DE">
        <w:rPr>
          <w:sz w:val="24"/>
          <w:szCs w:val="24"/>
        </w:rPr>
        <w:t>e-densif</w:t>
      </w:r>
      <w:r w:rsidR="000D4478">
        <w:rPr>
          <w:sz w:val="24"/>
          <w:szCs w:val="24"/>
        </w:rPr>
        <w:t>y rooms</w:t>
      </w:r>
      <w:r w:rsidR="003322DE">
        <w:rPr>
          <w:sz w:val="24"/>
          <w:szCs w:val="24"/>
        </w:rPr>
        <w:t>,</w:t>
      </w:r>
      <w:r>
        <w:rPr>
          <w:sz w:val="24"/>
          <w:szCs w:val="24"/>
        </w:rPr>
        <w:t xml:space="preserve"> will compete based on price, TME, costs, and other measures of healthcare spending based on the following:</w:t>
      </w:r>
    </w:p>
    <w:p w14:paraId="2FA4102D" w14:textId="02E0F80A" w:rsidR="00D874AE" w:rsidRDefault="00D874AE" w:rsidP="003E2EF0">
      <w:pPr>
        <w:pStyle w:val="ListParagraph"/>
        <w:numPr>
          <w:ilvl w:val="0"/>
          <w:numId w:val="46"/>
        </w:numPr>
        <w:spacing w:after="0"/>
        <w:rPr>
          <w:sz w:val="24"/>
          <w:szCs w:val="24"/>
        </w:rPr>
      </w:pPr>
      <w:r>
        <w:rPr>
          <w:sz w:val="24"/>
          <w:szCs w:val="24"/>
        </w:rPr>
        <w:t>As is</w:t>
      </w:r>
      <w:r w:rsidR="0014486A">
        <w:rPr>
          <w:sz w:val="24"/>
          <w:szCs w:val="24"/>
        </w:rPr>
        <w:t xml:space="preserve"> true for </w:t>
      </w:r>
      <w:r w:rsidR="00B83D6F">
        <w:rPr>
          <w:sz w:val="24"/>
          <w:szCs w:val="24"/>
        </w:rPr>
        <w:t>the existing</w:t>
      </w:r>
      <w:r>
        <w:rPr>
          <w:sz w:val="24"/>
          <w:szCs w:val="24"/>
        </w:rPr>
        <w:t xml:space="preserve"> Facility, the Replacement Facility will maintain full Medicaid certification. </w:t>
      </w:r>
    </w:p>
    <w:p w14:paraId="45AAEC73" w14:textId="7A3760D6" w:rsidR="00D874AE" w:rsidRDefault="00D874AE" w:rsidP="003E2EF0">
      <w:pPr>
        <w:pStyle w:val="ListParagraph"/>
        <w:numPr>
          <w:ilvl w:val="0"/>
          <w:numId w:val="46"/>
        </w:numPr>
        <w:spacing w:after="0"/>
        <w:rPr>
          <w:sz w:val="24"/>
          <w:szCs w:val="24"/>
        </w:rPr>
      </w:pPr>
      <w:r>
        <w:rPr>
          <w:sz w:val="24"/>
          <w:szCs w:val="24"/>
        </w:rPr>
        <w:t xml:space="preserve">Palmer Healthcare Center </w:t>
      </w:r>
      <w:proofErr w:type="gramStart"/>
      <w:r>
        <w:rPr>
          <w:sz w:val="24"/>
          <w:szCs w:val="24"/>
        </w:rPr>
        <w:t>is located in</w:t>
      </w:r>
      <w:proofErr w:type="gramEnd"/>
      <w:r>
        <w:rPr>
          <w:sz w:val="24"/>
          <w:szCs w:val="24"/>
        </w:rPr>
        <w:t xml:space="preserve"> a high-need area</w:t>
      </w:r>
      <w:r w:rsidR="000E75CB">
        <w:rPr>
          <w:sz w:val="24"/>
          <w:szCs w:val="24"/>
        </w:rPr>
        <w:t>, with high demand for its services</w:t>
      </w:r>
    </w:p>
    <w:p w14:paraId="7D1124EE" w14:textId="1BA0D716" w:rsidR="00EA2C21" w:rsidRDefault="00EA2C21" w:rsidP="001546EE">
      <w:pPr>
        <w:spacing w:after="0" w:line="240" w:lineRule="auto"/>
        <w:rPr>
          <w:b/>
          <w:bCs/>
          <w:i/>
          <w:iCs/>
          <w:sz w:val="24"/>
          <w:szCs w:val="24"/>
        </w:rPr>
      </w:pPr>
    </w:p>
    <w:p w14:paraId="04681813" w14:textId="7A2CB8E8" w:rsidR="00C00BF4" w:rsidRDefault="00C00BF4" w:rsidP="001546EE">
      <w:pPr>
        <w:spacing w:after="0" w:line="240" w:lineRule="auto"/>
        <w:rPr>
          <w:sz w:val="24"/>
          <w:szCs w:val="24"/>
        </w:rPr>
      </w:pPr>
      <w:r>
        <w:rPr>
          <w:sz w:val="24"/>
          <w:szCs w:val="24"/>
        </w:rPr>
        <w:t xml:space="preserve">From the information provided </w:t>
      </w:r>
      <w:r w:rsidR="00343771">
        <w:rPr>
          <w:sz w:val="24"/>
          <w:szCs w:val="24"/>
        </w:rPr>
        <w:t>by the A</w:t>
      </w:r>
      <w:r>
        <w:rPr>
          <w:sz w:val="24"/>
          <w:szCs w:val="24"/>
        </w:rPr>
        <w:t>pplica</w:t>
      </w:r>
      <w:r w:rsidR="00343771">
        <w:rPr>
          <w:sz w:val="24"/>
          <w:szCs w:val="24"/>
        </w:rPr>
        <w:t>nt</w:t>
      </w:r>
      <w:r>
        <w:rPr>
          <w:sz w:val="24"/>
          <w:szCs w:val="24"/>
        </w:rPr>
        <w:t xml:space="preserve"> (Table 6), it is noted that the Applicant reports</w:t>
      </w:r>
      <w:r w:rsidR="00DF56FD">
        <w:rPr>
          <w:sz w:val="24"/>
          <w:szCs w:val="24"/>
        </w:rPr>
        <w:t xml:space="preserve"> a lower than median cost structure in its existing Facility and slightly above the </w:t>
      </w:r>
      <w:r w:rsidR="00343771">
        <w:rPr>
          <w:sz w:val="24"/>
          <w:szCs w:val="24"/>
        </w:rPr>
        <w:t xml:space="preserve">median upon completion of the Replacement Facility. </w:t>
      </w:r>
    </w:p>
    <w:p w14:paraId="3886E15E" w14:textId="7A3ABEB4" w:rsidR="00343771" w:rsidRDefault="00343771" w:rsidP="001546EE">
      <w:pPr>
        <w:spacing w:after="0" w:line="240" w:lineRule="auto"/>
        <w:rPr>
          <w:sz w:val="24"/>
          <w:szCs w:val="24"/>
        </w:rPr>
      </w:pPr>
    </w:p>
    <w:p w14:paraId="3AB304FD" w14:textId="6A4C2B8C" w:rsidR="00343771" w:rsidRDefault="00343771" w:rsidP="00343771">
      <w:pPr>
        <w:spacing w:after="0" w:line="240" w:lineRule="auto"/>
        <w:jc w:val="center"/>
        <w:rPr>
          <w:sz w:val="24"/>
          <w:szCs w:val="24"/>
        </w:rPr>
      </w:pPr>
      <w:r w:rsidRPr="0020159B">
        <w:rPr>
          <w:b/>
          <w:bCs/>
          <w:sz w:val="24"/>
          <w:szCs w:val="24"/>
        </w:rPr>
        <w:t xml:space="preserve">Table </w:t>
      </w:r>
      <w:r>
        <w:rPr>
          <w:b/>
          <w:bCs/>
          <w:sz w:val="24"/>
          <w:szCs w:val="24"/>
        </w:rPr>
        <w:t>6</w:t>
      </w:r>
      <w:r w:rsidRPr="0020159B">
        <w:rPr>
          <w:b/>
          <w:bCs/>
          <w:sz w:val="24"/>
          <w:szCs w:val="24"/>
        </w:rPr>
        <w:t xml:space="preserve">: </w:t>
      </w:r>
      <w:r>
        <w:rPr>
          <w:b/>
          <w:bCs/>
          <w:sz w:val="24"/>
          <w:szCs w:val="24"/>
        </w:rPr>
        <w:t>Projected Operational Expenses 2019-2026</w:t>
      </w:r>
    </w:p>
    <w:p w14:paraId="49734C55" w14:textId="28741FF3" w:rsidR="00343771" w:rsidRDefault="00343771" w:rsidP="001546EE">
      <w:pPr>
        <w:spacing w:after="0" w:line="240" w:lineRule="auto"/>
        <w:rPr>
          <w:sz w:val="24"/>
          <w:szCs w:val="24"/>
        </w:rPr>
      </w:pPr>
      <w:r w:rsidRPr="00343771">
        <w:rPr>
          <w:noProof/>
          <w:sz w:val="24"/>
          <w:szCs w:val="24"/>
        </w:rPr>
        <w:drawing>
          <wp:inline distT="0" distB="0" distL="0" distR="0" wp14:anchorId="09FA81BA" wp14:editId="77BD1D9F">
            <wp:extent cx="5943600" cy="202184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943600" cy="2021840"/>
                    </a:xfrm>
                    <a:prstGeom prst="rect">
                      <a:avLst/>
                    </a:prstGeom>
                  </pic:spPr>
                </pic:pic>
              </a:graphicData>
            </a:graphic>
          </wp:inline>
        </w:drawing>
      </w:r>
    </w:p>
    <w:p w14:paraId="7DEBE063" w14:textId="77777777" w:rsidR="00343771" w:rsidRPr="00C00BF4" w:rsidRDefault="00343771" w:rsidP="001546EE">
      <w:pPr>
        <w:spacing w:after="0" w:line="240" w:lineRule="auto"/>
        <w:rPr>
          <w:sz w:val="24"/>
          <w:szCs w:val="24"/>
        </w:rPr>
      </w:pPr>
    </w:p>
    <w:p w14:paraId="4C2D9D6F" w14:textId="52C45291" w:rsidR="004F2C37" w:rsidRDefault="00A85F0D" w:rsidP="001546EE">
      <w:pPr>
        <w:spacing w:after="0" w:line="240" w:lineRule="auto"/>
        <w:rPr>
          <w:b/>
          <w:bCs/>
          <w:i/>
          <w:iCs/>
          <w:sz w:val="24"/>
          <w:szCs w:val="24"/>
        </w:rPr>
      </w:pPr>
      <w:r>
        <w:rPr>
          <w:b/>
          <w:bCs/>
          <w:i/>
          <w:iCs/>
          <w:sz w:val="24"/>
          <w:szCs w:val="24"/>
        </w:rPr>
        <w:t>Analysis</w:t>
      </w:r>
    </w:p>
    <w:p w14:paraId="22F2FECE" w14:textId="659F7FC7" w:rsidR="00416CCB" w:rsidRDefault="004F2C37" w:rsidP="001157B1">
      <w:pPr>
        <w:spacing w:after="0" w:line="240" w:lineRule="auto"/>
        <w:rPr>
          <w:sz w:val="24"/>
          <w:szCs w:val="24"/>
        </w:rPr>
      </w:pPr>
      <w:r>
        <w:rPr>
          <w:sz w:val="24"/>
          <w:szCs w:val="24"/>
        </w:rPr>
        <w:t xml:space="preserve">Staff examined </w:t>
      </w:r>
      <w:r w:rsidR="00B042C6">
        <w:rPr>
          <w:sz w:val="24"/>
          <w:szCs w:val="24"/>
        </w:rPr>
        <w:t xml:space="preserve">the </w:t>
      </w:r>
      <w:r w:rsidR="004D1CC1">
        <w:rPr>
          <w:sz w:val="24"/>
          <w:szCs w:val="24"/>
        </w:rPr>
        <w:t xml:space="preserve">Applicant’s ability to compete based on price, costs and other measures of health spending and found that the Applicant sufficiently provides lower-cost services to a high-needs community at a high public payer mix. </w:t>
      </w:r>
      <w:r w:rsidR="001157B1">
        <w:rPr>
          <w:sz w:val="24"/>
          <w:szCs w:val="24"/>
        </w:rPr>
        <w:t xml:space="preserve"> </w:t>
      </w:r>
      <w:r w:rsidR="00416CCB">
        <w:rPr>
          <w:sz w:val="24"/>
          <w:szCs w:val="24"/>
        </w:rPr>
        <w:t xml:space="preserve">Staff </w:t>
      </w:r>
      <w:r w:rsidR="00BF456D">
        <w:rPr>
          <w:sz w:val="24"/>
          <w:szCs w:val="24"/>
        </w:rPr>
        <w:t xml:space="preserve">found evidence </w:t>
      </w:r>
      <w:r w:rsidR="00416CCB">
        <w:rPr>
          <w:sz w:val="24"/>
          <w:szCs w:val="24"/>
        </w:rPr>
        <w:t>support</w:t>
      </w:r>
      <w:r w:rsidR="00BF456D">
        <w:rPr>
          <w:sz w:val="24"/>
          <w:szCs w:val="24"/>
        </w:rPr>
        <w:t>ing</w:t>
      </w:r>
      <w:r w:rsidR="00416CCB">
        <w:rPr>
          <w:sz w:val="24"/>
          <w:szCs w:val="24"/>
        </w:rPr>
        <w:t xml:space="preserve"> costs savings </w:t>
      </w:r>
      <w:r w:rsidR="003E3CC0">
        <w:rPr>
          <w:sz w:val="24"/>
          <w:szCs w:val="24"/>
        </w:rPr>
        <w:lastRenderedPageBreak/>
        <w:t>from having de</w:t>
      </w:r>
      <w:r w:rsidR="00044338">
        <w:rPr>
          <w:sz w:val="24"/>
          <w:szCs w:val="24"/>
        </w:rPr>
        <w:t>-</w:t>
      </w:r>
      <w:r w:rsidR="003E3CC0">
        <w:rPr>
          <w:sz w:val="24"/>
          <w:szCs w:val="24"/>
        </w:rPr>
        <w:t>densified nursing service beds</w:t>
      </w:r>
      <w:r w:rsidR="00044338">
        <w:rPr>
          <w:sz w:val="24"/>
          <w:szCs w:val="24"/>
        </w:rPr>
        <w:t>, in addition to other benefits, such as lower risk of infection, operational efficiencies, higher quality time with visitors</w:t>
      </w:r>
      <w:r w:rsidR="001157B1">
        <w:rPr>
          <w:sz w:val="24"/>
          <w:szCs w:val="24"/>
        </w:rPr>
        <w:t>.</w:t>
      </w:r>
      <w:r w:rsidR="00A53EF5">
        <w:rPr>
          <w:rStyle w:val="FootnoteReference"/>
          <w:sz w:val="24"/>
          <w:szCs w:val="24"/>
        </w:rPr>
        <w:footnoteReference w:id="17"/>
      </w:r>
      <w:r w:rsidR="00D874AE">
        <w:rPr>
          <w:sz w:val="24"/>
          <w:szCs w:val="24"/>
        </w:rPr>
        <w:t xml:space="preserve"> </w:t>
      </w:r>
    </w:p>
    <w:p w14:paraId="113C71C7" w14:textId="17C47DD3" w:rsidR="00D97685" w:rsidRDefault="00D97685" w:rsidP="00441CF7">
      <w:pPr>
        <w:spacing w:after="0"/>
        <w:rPr>
          <w:sz w:val="24"/>
          <w:szCs w:val="24"/>
        </w:rPr>
      </w:pPr>
    </w:p>
    <w:p w14:paraId="11A556C2" w14:textId="5BA22196" w:rsidR="00441CF7" w:rsidRPr="00EA6267" w:rsidRDefault="00441CF7" w:rsidP="00441CF7">
      <w:pPr>
        <w:spacing w:after="0"/>
        <w:rPr>
          <w:b/>
          <w:bCs/>
        </w:rPr>
      </w:pPr>
      <w:r w:rsidRPr="00EA6267">
        <w:rPr>
          <w:b/>
          <w:bCs/>
          <w:sz w:val="28"/>
          <w:szCs w:val="28"/>
        </w:rPr>
        <w:t xml:space="preserve">FACTOR </w:t>
      </w:r>
      <w:r w:rsidR="00EA6267">
        <w:rPr>
          <w:b/>
          <w:bCs/>
          <w:sz w:val="28"/>
          <w:szCs w:val="28"/>
        </w:rPr>
        <w:t xml:space="preserve">1: </w:t>
      </w:r>
      <w:r w:rsidR="00EA6267" w:rsidRPr="00EA6267">
        <w:rPr>
          <w:b/>
          <w:bCs/>
          <w:sz w:val="24"/>
          <w:szCs w:val="24"/>
        </w:rPr>
        <w:t xml:space="preserve">SUMMARY </w:t>
      </w:r>
    </w:p>
    <w:p w14:paraId="7950AE1B" w14:textId="4A235135" w:rsidR="00441CF7" w:rsidRPr="00667357" w:rsidRDefault="00441CF7" w:rsidP="00667357">
      <w:pPr>
        <w:spacing w:after="0" w:line="240" w:lineRule="auto"/>
        <w:rPr>
          <w:sz w:val="24"/>
          <w:szCs w:val="24"/>
        </w:rPr>
      </w:pPr>
      <w:proofErr w:type="gramStart"/>
      <w:r w:rsidRPr="00667357">
        <w:rPr>
          <w:sz w:val="24"/>
          <w:szCs w:val="24"/>
        </w:rPr>
        <w:t>As a result of</w:t>
      </w:r>
      <w:proofErr w:type="gramEnd"/>
      <w:r w:rsidRPr="00667357">
        <w:rPr>
          <w:sz w:val="24"/>
          <w:szCs w:val="24"/>
        </w:rPr>
        <w:t xml:space="preserve"> information provided by the Applicant and additional analysis, staff finds that the Applicant has demonstrated that the Proposed Project has met Factor 1(a-f). </w:t>
      </w:r>
    </w:p>
    <w:p w14:paraId="10C8CEB4" w14:textId="02AE9A66" w:rsidR="00D95F91" w:rsidRDefault="00D95F91"/>
    <w:p w14:paraId="7B0FA7B4" w14:textId="26D21F9F" w:rsidR="00DD2114" w:rsidRPr="00DD2114" w:rsidRDefault="00DD2114">
      <w:pPr>
        <w:rPr>
          <w:b/>
          <w:bCs/>
          <w:sz w:val="28"/>
          <w:szCs w:val="28"/>
        </w:rPr>
      </w:pPr>
      <w:r w:rsidRPr="00DD2114">
        <w:rPr>
          <w:b/>
          <w:bCs/>
          <w:sz w:val="28"/>
          <w:szCs w:val="28"/>
        </w:rPr>
        <w:t xml:space="preserve">Factor 2: Cost containment, Improved Public Health Outcomes and Delivery System Transformation </w:t>
      </w:r>
    </w:p>
    <w:p w14:paraId="76A483DF" w14:textId="6267A019" w:rsidR="00F713CD" w:rsidRPr="007D5B27" w:rsidRDefault="00BE75D7" w:rsidP="005F07C5">
      <w:pPr>
        <w:spacing w:line="240" w:lineRule="auto"/>
        <w:rPr>
          <w:b/>
          <w:bCs/>
          <w:sz w:val="24"/>
          <w:szCs w:val="24"/>
        </w:rPr>
      </w:pPr>
      <w:r w:rsidRPr="005F07C5">
        <w:rPr>
          <w:b/>
          <w:bCs/>
          <w:sz w:val="24"/>
          <w:szCs w:val="24"/>
        </w:rPr>
        <w:t>Cost Containment</w:t>
      </w:r>
    </w:p>
    <w:p w14:paraId="499EA953" w14:textId="7695F780" w:rsidR="00F713CD" w:rsidRDefault="003E2EF0" w:rsidP="005F07C5">
      <w:pPr>
        <w:spacing w:line="240" w:lineRule="auto"/>
        <w:rPr>
          <w:sz w:val="24"/>
          <w:szCs w:val="24"/>
        </w:rPr>
      </w:pPr>
      <w:r>
        <w:rPr>
          <w:sz w:val="24"/>
          <w:szCs w:val="24"/>
        </w:rPr>
        <w:t>The new patient rooms in the Replacement Facility are designed to be adjustable between semiprivate and private rooms with no additional construction cost to allow for flexibility based on the needs of the patient panel over time. S</w:t>
      </w:r>
      <w:r w:rsidR="00F713CD">
        <w:rPr>
          <w:sz w:val="24"/>
          <w:szCs w:val="24"/>
        </w:rPr>
        <w:t xml:space="preserve">taffing costs are projected to increase given the addition of 21 beds, but the Applicant asserts that these costs </w:t>
      </w:r>
      <w:r w:rsidR="002D7E1B">
        <w:rPr>
          <w:sz w:val="24"/>
          <w:szCs w:val="24"/>
        </w:rPr>
        <w:t>are warranted</w:t>
      </w:r>
      <w:r w:rsidR="00886036">
        <w:rPr>
          <w:sz w:val="24"/>
          <w:szCs w:val="24"/>
        </w:rPr>
        <w:t>,</w:t>
      </w:r>
      <w:r w:rsidR="002D7E1B">
        <w:rPr>
          <w:sz w:val="24"/>
          <w:szCs w:val="24"/>
        </w:rPr>
        <w:t xml:space="preserve"> </w:t>
      </w:r>
      <w:r w:rsidR="00F713CD">
        <w:rPr>
          <w:sz w:val="24"/>
          <w:szCs w:val="24"/>
        </w:rPr>
        <w:t xml:space="preserve">given its potential to contribute to the improvement of health and well-being of its patient panel. The Applicant also states that </w:t>
      </w:r>
      <w:r w:rsidR="002D7E1B">
        <w:rPr>
          <w:sz w:val="24"/>
          <w:szCs w:val="24"/>
        </w:rPr>
        <w:t xml:space="preserve">it anticipates </w:t>
      </w:r>
      <w:r w:rsidR="00F713CD">
        <w:rPr>
          <w:sz w:val="24"/>
          <w:szCs w:val="24"/>
        </w:rPr>
        <w:t xml:space="preserve">the overall operating costs of the Replacement Facility </w:t>
      </w:r>
      <w:r w:rsidR="002D7E1B">
        <w:rPr>
          <w:sz w:val="24"/>
          <w:szCs w:val="24"/>
        </w:rPr>
        <w:t>will</w:t>
      </w:r>
      <w:r w:rsidR="00F713CD">
        <w:rPr>
          <w:sz w:val="24"/>
          <w:szCs w:val="24"/>
        </w:rPr>
        <w:t xml:space="preserve"> be lower than that of the current Facility due to added efficiencies and modernizations in the Replacement Facility.</w:t>
      </w:r>
    </w:p>
    <w:p w14:paraId="34309426" w14:textId="1362C29A" w:rsidR="007D5B27" w:rsidRDefault="007D5B27" w:rsidP="007D5B27">
      <w:pPr>
        <w:spacing w:line="240" w:lineRule="auto"/>
        <w:rPr>
          <w:sz w:val="24"/>
          <w:szCs w:val="24"/>
        </w:rPr>
      </w:pPr>
      <w:r>
        <w:rPr>
          <w:sz w:val="24"/>
          <w:szCs w:val="24"/>
        </w:rPr>
        <w:t>Finally, the Applicant asserts that the Replacement Facility will contribute to the Commonwealth’s goals of cost containment by meeting or exceeding the “silver level” of the Leadership in Energy and Environmental Design- Health Care (LEED-HC), part of the U.S. Green Building initiative. The LEED rating system denotes that the Replacement Facility’s building design and construction plans will meet standards for a sustainable building based on factors that is focused on providing a healthy space for people to live and work.</w:t>
      </w:r>
      <w:r>
        <w:rPr>
          <w:rStyle w:val="FootnoteReference"/>
          <w:sz w:val="24"/>
          <w:szCs w:val="24"/>
        </w:rPr>
        <w:footnoteReference w:id="18"/>
      </w:r>
      <w:r>
        <w:rPr>
          <w:sz w:val="24"/>
          <w:szCs w:val="24"/>
        </w:rPr>
        <w:t xml:space="preserve"> </w:t>
      </w:r>
    </w:p>
    <w:p w14:paraId="1D5ED8F2" w14:textId="46B056E9" w:rsidR="007D5B27" w:rsidRDefault="007D5B27" w:rsidP="007D5B27">
      <w:pPr>
        <w:spacing w:line="240" w:lineRule="auto"/>
        <w:rPr>
          <w:sz w:val="24"/>
          <w:szCs w:val="24"/>
        </w:rPr>
      </w:pPr>
      <w:r>
        <w:rPr>
          <w:sz w:val="24"/>
          <w:szCs w:val="24"/>
        </w:rPr>
        <w:t>The LEED-HC standard also assures that the Replacement facility will be energy efficient and modern in its mechanical design throughout the building, such as the air ventilation system. The Applicant states that the floor plan is designed to maximize resident care and workflow efficiency.</w:t>
      </w:r>
    </w:p>
    <w:p w14:paraId="6DBFCBC0" w14:textId="5B4B0799" w:rsidR="00D95F91" w:rsidRPr="005F07C5" w:rsidRDefault="00BE75D7" w:rsidP="005F07C5">
      <w:pPr>
        <w:spacing w:line="240" w:lineRule="auto"/>
        <w:rPr>
          <w:b/>
          <w:bCs/>
          <w:i/>
          <w:iCs/>
          <w:sz w:val="24"/>
          <w:szCs w:val="24"/>
        </w:rPr>
      </w:pPr>
      <w:r w:rsidRPr="005F07C5">
        <w:rPr>
          <w:b/>
          <w:bCs/>
          <w:i/>
          <w:iCs/>
          <w:sz w:val="24"/>
          <w:szCs w:val="24"/>
        </w:rPr>
        <w:t>Analysis: Cost Containmen</w:t>
      </w:r>
      <w:r w:rsidR="00F713CD">
        <w:rPr>
          <w:b/>
          <w:bCs/>
          <w:i/>
          <w:iCs/>
          <w:sz w:val="24"/>
          <w:szCs w:val="24"/>
        </w:rPr>
        <w:t>t</w:t>
      </w:r>
    </w:p>
    <w:p w14:paraId="78011FEC" w14:textId="3FA41C7F" w:rsidR="000E0BD0" w:rsidRDefault="000E0BD0" w:rsidP="007221E8">
      <w:pPr>
        <w:spacing w:line="240" w:lineRule="auto"/>
        <w:rPr>
          <w:sz w:val="24"/>
          <w:szCs w:val="24"/>
        </w:rPr>
      </w:pPr>
      <w:r w:rsidRPr="000E0BD0">
        <w:rPr>
          <w:sz w:val="24"/>
          <w:szCs w:val="24"/>
        </w:rPr>
        <w:t xml:space="preserve">Cost containment on a statewide level is impacted through pricing, which is a function of what </w:t>
      </w:r>
      <w:proofErr w:type="gramStart"/>
      <w:r w:rsidRPr="000E0BD0">
        <w:rPr>
          <w:sz w:val="24"/>
          <w:szCs w:val="24"/>
        </w:rPr>
        <w:t>providers</w:t>
      </w:r>
      <w:proofErr w:type="gramEnd"/>
      <w:r w:rsidRPr="000E0BD0">
        <w:rPr>
          <w:sz w:val="24"/>
          <w:szCs w:val="24"/>
        </w:rPr>
        <w:t xml:space="preserve"> charge payers and what payers agree to pay. While payment contracts between individual providers and commercial payers are confidential, those among providers and Medicare and Medicaid are relatively transparent.</w:t>
      </w:r>
      <w:r w:rsidR="00B52FA8">
        <w:rPr>
          <w:sz w:val="24"/>
          <w:szCs w:val="24"/>
        </w:rPr>
        <w:t xml:space="preserve"> While </w:t>
      </w:r>
      <w:r w:rsidRPr="000E0BD0">
        <w:rPr>
          <w:sz w:val="24"/>
          <w:szCs w:val="24"/>
        </w:rPr>
        <w:t xml:space="preserve">Staff cannot assess how the Applicant’s contracts with payers that may incent more or less utilization of services are </w:t>
      </w:r>
      <w:r w:rsidRPr="000E0BD0">
        <w:rPr>
          <w:sz w:val="24"/>
          <w:szCs w:val="24"/>
        </w:rPr>
        <w:lastRenderedPageBreak/>
        <w:t>structured for the other project components</w:t>
      </w:r>
      <w:r w:rsidR="00410900">
        <w:rPr>
          <w:sz w:val="24"/>
          <w:szCs w:val="24"/>
        </w:rPr>
        <w:t>. However,</w:t>
      </w:r>
      <w:r w:rsidR="00B52FA8">
        <w:rPr>
          <w:sz w:val="24"/>
          <w:szCs w:val="24"/>
        </w:rPr>
        <w:t xml:space="preserve"> given the facility’s high percentage of public payers, it is not anticipated that </w:t>
      </w:r>
      <w:r w:rsidR="00887A23">
        <w:rPr>
          <w:sz w:val="24"/>
          <w:szCs w:val="24"/>
        </w:rPr>
        <w:t>the project would result in significant cost changes.</w:t>
      </w:r>
      <w:r w:rsidRPr="000E0BD0">
        <w:rPr>
          <w:sz w:val="24"/>
          <w:szCs w:val="24"/>
        </w:rPr>
        <w:t xml:space="preserve"> </w:t>
      </w:r>
    </w:p>
    <w:p w14:paraId="733311F2" w14:textId="0DE3F635" w:rsidR="009B3DFF" w:rsidRPr="009B3DFF" w:rsidRDefault="00F713CD" w:rsidP="005F07C5">
      <w:pPr>
        <w:spacing w:line="240" w:lineRule="auto"/>
        <w:rPr>
          <w:sz w:val="24"/>
          <w:szCs w:val="24"/>
          <w:vertAlign w:val="superscript"/>
        </w:rPr>
      </w:pPr>
      <w:r>
        <w:rPr>
          <w:sz w:val="24"/>
          <w:szCs w:val="24"/>
        </w:rPr>
        <w:t>The staff finds that</w:t>
      </w:r>
      <w:r w:rsidR="000A3B6A">
        <w:rPr>
          <w:sz w:val="24"/>
          <w:szCs w:val="24"/>
        </w:rPr>
        <w:t xml:space="preserve"> the Proposed Project will achieve cost savings </w:t>
      </w:r>
      <w:r>
        <w:rPr>
          <w:sz w:val="24"/>
          <w:szCs w:val="24"/>
        </w:rPr>
        <w:t xml:space="preserve">by increasing operational efficiencies and sustainability through modernization of mechanical systems throughout the Replacement Facility. </w:t>
      </w:r>
    </w:p>
    <w:p w14:paraId="7FC708DC" w14:textId="69FEB9B8" w:rsidR="00D95F91" w:rsidRDefault="005B0D40" w:rsidP="005F07C5">
      <w:pPr>
        <w:spacing w:line="240" w:lineRule="auto"/>
        <w:rPr>
          <w:b/>
          <w:bCs/>
          <w:sz w:val="24"/>
          <w:szCs w:val="24"/>
        </w:rPr>
      </w:pPr>
      <w:r w:rsidRPr="005F07C5">
        <w:rPr>
          <w:b/>
          <w:bCs/>
          <w:sz w:val="24"/>
          <w:szCs w:val="24"/>
        </w:rPr>
        <w:t>Improved Public Health Outcomes</w:t>
      </w:r>
    </w:p>
    <w:p w14:paraId="28696E3D" w14:textId="493DF006" w:rsidR="00060403" w:rsidRPr="00060403" w:rsidRDefault="00513041" w:rsidP="00461EC1">
      <w:pPr>
        <w:spacing w:line="240" w:lineRule="auto"/>
        <w:rPr>
          <w:sz w:val="24"/>
          <w:szCs w:val="24"/>
        </w:rPr>
      </w:pPr>
      <w:r>
        <w:rPr>
          <w:sz w:val="24"/>
          <w:szCs w:val="24"/>
        </w:rPr>
        <w:t xml:space="preserve">The Applicant states that </w:t>
      </w:r>
      <w:r w:rsidR="009B3DFF">
        <w:rPr>
          <w:sz w:val="24"/>
          <w:szCs w:val="24"/>
        </w:rPr>
        <w:t>the Proposed Project will improve public health outcomes by</w:t>
      </w:r>
      <w:r>
        <w:rPr>
          <w:sz w:val="24"/>
          <w:szCs w:val="24"/>
        </w:rPr>
        <w:t xml:space="preserve"> </w:t>
      </w:r>
      <w:r w:rsidR="009B3DFF">
        <w:rPr>
          <w:sz w:val="24"/>
          <w:szCs w:val="24"/>
        </w:rPr>
        <w:t xml:space="preserve">maximizing infection control and minimizing future disease outbreaks, such as COVID-19. The Applicant asserts that improved systems in the Replacement Facility will lower and prevent hospitalized readmissions and improve on their public health outcomes. The Applicant states that patients have had positive health outcomes during their stay at the Facility </w:t>
      </w:r>
      <w:r w:rsidR="00E308EF">
        <w:rPr>
          <w:sz w:val="24"/>
          <w:szCs w:val="24"/>
        </w:rPr>
        <w:t>to date</w:t>
      </w:r>
      <w:r w:rsidR="00056A90">
        <w:rPr>
          <w:sz w:val="24"/>
          <w:szCs w:val="24"/>
        </w:rPr>
        <w:t xml:space="preserve"> and </w:t>
      </w:r>
      <w:r w:rsidR="009B3DFF">
        <w:rPr>
          <w:sz w:val="24"/>
          <w:szCs w:val="24"/>
        </w:rPr>
        <w:t xml:space="preserve">expanding the number of beds will further allow the Facility to provide their skilled nursing services and contribute to positive health outcomes for those who otherwise could not access these services at home. </w:t>
      </w:r>
      <w:r w:rsidR="00390144">
        <w:rPr>
          <w:sz w:val="24"/>
          <w:szCs w:val="24"/>
        </w:rPr>
        <w:t xml:space="preserve">In addition, the first-floor unit of the Replacement Facility will allow the accommodation of short-term stay patients and those who do not require a locked unit.  This new capacity will contribute to improved public health outcomes for the Palmer community who has not had this level service available in the local community before. </w:t>
      </w:r>
    </w:p>
    <w:p w14:paraId="6BCB1E21" w14:textId="48F6E94D" w:rsidR="00D95F91" w:rsidRPr="006F2D99" w:rsidRDefault="005B0D40" w:rsidP="005F07C5">
      <w:pPr>
        <w:spacing w:line="240" w:lineRule="auto"/>
        <w:rPr>
          <w:b/>
          <w:bCs/>
          <w:i/>
          <w:iCs/>
          <w:sz w:val="24"/>
          <w:szCs w:val="24"/>
        </w:rPr>
      </w:pPr>
      <w:r w:rsidRPr="006F2D99">
        <w:rPr>
          <w:b/>
          <w:bCs/>
          <w:i/>
          <w:iCs/>
          <w:sz w:val="24"/>
          <w:szCs w:val="24"/>
        </w:rPr>
        <w:t>Analysis: Public Health Outcomes</w:t>
      </w:r>
    </w:p>
    <w:p w14:paraId="7FD3D121" w14:textId="0B81B9F2" w:rsidR="009A6B77" w:rsidRPr="006F2D99" w:rsidRDefault="009A6B77" w:rsidP="005F07C5">
      <w:pPr>
        <w:spacing w:line="240" w:lineRule="auto"/>
        <w:rPr>
          <w:sz w:val="24"/>
          <w:szCs w:val="24"/>
        </w:rPr>
      </w:pPr>
      <w:r>
        <w:rPr>
          <w:sz w:val="24"/>
          <w:szCs w:val="24"/>
        </w:rPr>
        <w:t xml:space="preserve">The staff finds that the Applicant has </w:t>
      </w:r>
      <w:r w:rsidR="009B3DFF">
        <w:rPr>
          <w:sz w:val="24"/>
          <w:szCs w:val="24"/>
        </w:rPr>
        <w:t xml:space="preserve">provided </w:t>
      </w:r>
      <w:r w:rsidR="008B4691">
        <w:rPr>
          <w:sz w:val="24"/>
          <w:szCs w:val="24"/>
        </w:rPr>
        <w:t xml:space="preserve">context in which public health outcomes will be prioritized with the enhanced infection control measures set by the Replacement Facility. The improved efficiencies in infection control may lower </w:t>
      </w:r>
      <w:r>
        <w:rPr>
          <w:sz w:val="24"/>
          <w:szCs w:val="24"/>
        </w:rPr>
        <w:t xml:space="preserve">preventable hospitalizations and readmissions. Most importantly, the addition of 21 beds </w:t>
      </w:r>
      <w:r w:rsidR="00D57274">
        <w:rPr>
          <w:sz w:val="24"/>
          <w:szCs w:val="24"/>
        </w:rPr>
        <w:t xml:space="preserve">and expansion of the </w:t>
      </w:r>
      <w:proofErr w:type="gramStart"/>
      <w:r w:rsidR="00D57274">
        <w:rPr>
          <w:sz w:val="24"/>
          <w:szCs w:val="24"/>
        </w:rPr>
        <w:t>first floor</w:t>
      </w:r>
      <w:proofErr w:type="gramEnd"/>
      <w:r w:rsidR="00D57274">
        <w:rPr>
          <w:sz w:val="24"/>
          <w:szCs w:val="24"/>
        </w:rPr>
        <w:t xml:space="preserve"> unit which could newly accommodate short-term patients </w:t>
      </w:r>
      <w:r>
        <w:rPr>
          <w:sz w:val="24"/>
          <w:szCs w:val="24"/>
        </w:rPr>
        <w:t>would be a significant contribution to the long-term health of elder</w:t>
      </w:r>
      <w:r w:rsidR="00D57274">
        <w:rPr>
          <w:sz w:val="24"/>
          <w:szCs w:val="24"/>
        </w:rPr>
        <w:t xml:space="preserve">s in the patient population </w:t>
      </w:r>
      <w:r>
        <w:rPr>
          <w:sz w:val="24"/>
          <w:szCs w:val="24"/>
        </w:rPr>
        <w:t xml:space="preserve">who currently do not have </w:t>
      </w:r>
      <w:r w:rsidR="00D57274">
        <w:rPr>
          <w:sz w:val="24"/>
          <w:szCs w:val="24"/>
        </w:rPr>
        <w:t xml:space="preserve">access to appropriate </w:t>
      </w:r>
      <w:r>
        <w:rPr>
          <w:sz w:val="24"/>
          <w:szCs w:val="24"/>
        </w:rPr>
        <w:t>skilled nursing services</w:t>
      </w:r>
      <w:r w:rsidR="00D57274">
        <w:rPr>
          <w:sz w:val="24"/>
          <w:szCs w:val="24"/>
        </w:rPr>
        <w:t>.</w:t>
      </w:r>
    </w:p>
    <w:p w14:paraId="5D6FBF0F" w14:textId="0EA391C2" w:rsidR="005B0D40" w:rsidRPr="005F07C5" w:rsidRDefault="005B0D40" w:rsidP="005F07C5">
      <w:pPr>
        <w:spacing w:line="240" w:lineRule="auto"/>
        <w:rPr>
          <w:b/>
          <w:bCs/>
          <w:sz w:val="24"/>
          <w:szCs w:val="24"/>
        </w:rPr>
      </w:pPr>
      <w:r w:rsidRPr="005F07C5">
        <w:rPr>
          <w:b/>
          <w:bCs/>
          <w:sz w:val="24"/>
          <w:szCs w:val="24"/>
        </w:rPr>
        <w:t>Delivery System Transformation</w:t>
      </w:r>
    </w:p>
    <w:p w14:paraId="0FD83D35" w14:textId="7B8EF3AF" w:rsidR="005B0D40" w:rsidRDefault="00222BD4" w:rsidP="00B901A2">
      <w:pPr>
        <w:spacing w:line="240" w:lineRule="auto"/>
        <w:rPr>
          <w:sz w:val="24"/>
          <w:szCs w:val="24"/>
        </w:rPr>
      </w:pPr>
      <w:r>
        <w:rPr>
          <w:sz w:val="24"/>
          <w:szCs w:val="24"/>
        </w:rPr>
        <w:t>The Applicant states that p</w:t>
      </w:r>
      <w:r w:rsidR="00DD1A74">
        <w:rPr>
          <w:sz w:val="24"/>
          <w:szCs w:val="24"/>
        </w:rPr>
        <w:t xml:space="preserve">atients will be provided with linkages to address identified </w:t>
      </w:r>
      <w:r w:rsidR="000D4478">
        <w:rPr>
          <w:sz w:val="24"/>
          <w:szCs w:val="24"/>
        </w:rPr>
        <w:t>Social Determinants of Health (</w:t>
      </w:r>
      <w:proofErr w:type="spellStart"/>
      <w:r>
        <w:rPr>
          <w:sz w:val="24"/>
          <w:szCs w:val="24"/>
        </w:rPr>
        <w:t>SDoH</w:t>
      </w:r>
      <w:proofErr w:type="spellEnd"/>
      <w:r w:rsidR="000D4478">
        <w:rPr>
          <w:sz w:val="24"/>
          <w:szCs w:val="24"/>
        </w:rPr>
        <w:t>)</w:t>
      </w:r>
      <w:r w:rsidR="00E26EEC">
        <w:rPr>
          <w:sz w:val="24"/>
          <w:szCs w:val="24"/>
        </w:rPr>
        <w:t xml:space="preserve"> </w:t>
      </w:r>
      <w:r>
        <w:rPr>
          <w:sz w:val="24"/>
          <w:szCs w:val="24"/>
        </w:rPr>
        <w:t>needs</w:t>
      </w:r>
      <w:r w:rsidR="00DD1A74">
        <w:rPr>
          <w:sz w:val="24"/>
          <w:szCs w:val="24"/>
        </w:rPr>
        <w:t xml:space="preserve"> and assigned a community health worker to assist with unanticipated challenges. </w:t>
      </w:r>
    </w:p>
    <w:p w14:paraId="3A9C9F46" w14:textId="0AC72726" w:rsidR="00E87B19" w:rsidRDefault="00E87B19" w:rsidP="00B901A2">
      <w:pPr>
        <w:spacing w:line="240" w:lineRule="auto"/>
        <w:rPr>
          <w:sz w:val="24"/>
          <w:szCs w:val="24"/>
        </w:rPr>
      </w:pPr>
      <w:r>
        <w:rPr>
          <w:sz w:val="24"/>
          <w:szCs w:val="24"/>
        </w:rPr>
        <w:t xml:space="preserve">First, </w:t>
      </w:r>
      <w:r w:rsidR="0075015D">
        <w:rPr>
          <w:sz w:val="24"/>
          <w:szCs w:val="24"/>
        </w:rPr>
        <w:t xml:space="preserve">the Applicant states that </w:t>
      </w:r>
      <w:proofErr w:type="gramStart"/>
      <w:r>
        <w:rPr>
          <w:sz w:val="24"/>
          <w:szCs w:val="24"/>
        </w:rPr>
        <w:t>all of</w:t>
      </w:r>
      <w:proofErr w:type="gramEnd"/>
      <w:r>
        <w:rPr>
          <w:sz w:val="24"/>
          <w:szCs w:val="24"/>
        </w:rPr>
        <w:t xml:space="preserve"> </w:t>
      </w:r>
      <w:r w:rsidR="0075015D">
        <w:rPr>
          <w:sz w:val="24"/>
          <w:szCs w:val="24"/>
        </w:rPr>
        <w:t>its</w:t>
      </w:r>
      <w:r>
        <w:rPr>
          <w:sz w:val="24"/>
          <w:szCs w:val="24"/>
        </w:rPr>
        <w:t xml:space="preserve"> Patient Panel is dia</w:t>
      </w:r>
      <w:r w:rsidR="005A2ACD">
        <w:rPr>
          <w:sz w:val="24"/>
          <w:szCs w:val="24"/>
        </w:rPr>
        <w:t>g</w:t>
      </w:r>
      <w:r>
        <w:rPr>
          <w:sz w:val="24"/>
          <w:szCs w:val="24"/>
        </w:rPr>
        <w:t xml:space="preserve">nosed with cognitive disorders at varying levels. The Facility </w:t>
      </w:r>
      <w:proofErr w:type="gramStart"/>
      <w:r>
        <w:rPr>
          <w:sz w:val="24"/>
          <w:szCs w:val="24"/>
        </w:rPr>
        <w:t>tailors</w:t>
      </w:r>
      <w:proofErr w:type="gramEnd"/>
      <w:r>
        <w:rPr>
          <w:sz w:val="24"/>
          <w:szCs w:val="24"/>
        </w:rPr>
        <w:t xml:space="preserve"> daily activities for each patient for cognitive stimulation. </w:t>
      </w:r>
      <w:r w:rsidR="005A2ACD">
        <w:rPr>
          <w:sz w:val="24"/>
          <w:szCs w:val="24"/>
        </w:rPr>
        <w:t xml:space="preserve">The Facility also provides ample opportunities for patients to go outside, and sometimes hires external entertainment/ performers at the Facility. In the recent months, the Facility also has started to offer music therapy </w:t>
      </w:r>
      <w:r w:rsidR="006B57AF">
        <w:rPr>
          <w:sz w:val="24"/>
          <w:szCs w:val="24"/>
        </w:rPr>
        <w:t>to</w:t>
      </w:r>
      <w:r w:rsidR="005A2ACD">
        <w:rPr>
          <w:sz w:val="24"/>
          <w:szCs w:val="24"/>
        </w:rPr>
        <w:t xml:space="preserve"> patients</w:t>
      </w:r>
      <w:r w:rsidR="006B57AF">
        <w:rPr>
          <w:sz w:val="24"/>
          <w:szCs w:val="24"/>
        </w:rPr>
        <w:t xml:space="preserve"> as appropriate</w:t>
      </w:r>
      <w:r w:rsidR="005A2ACD">
        <w:rPr>
          <w:sz w:val="24"/>
          <w:szCs w:val="24"/>
        </w:rPr>
        <w:t>.</w:t>
      </w:r>
    </w:p>
    <w:p w14:paraId="4DC6FCCA" w14:textId="1EFF86A6" w:rsidR="005A2ACD" w:rsidRDefault="005A2ACD" w:rsidP="00B901A2">
      <w:pPr>
        <w:spacing w:line="240" w:lineRule="auto"/>
        <w:rPr>
          <w:sz w:val="24"/>
          <w:szCs w:val="24"/>
        </w:rPr>
      </w:pPr>
      <w:r>
        <w:rPr>
          <w:sz w:val="24"/>
          <w:szCs w:val="24"/>
        </w:rPr>
        <w:t xml:space="preserve">The Applicant asserts that the Facility and the community has always had a strong connection in terms of linkage to services for the elderly residents. The Facility has a discharge follow-up program </w:t>
      </w:r>
      <w:r w:rsidR="0040435E">
        <w:rPr>
          <w:sz w:val="24"/>
          <w:szCs w:val="24"/>
        </w:rPr>
        <w:t>in which patients and caregivers are given the direct telephone numbers for the Facility’s Director of Nurses and Social Services and encouraged to call regarding any medical questions that they might have until home health services begin.</w:t>
      </w:r>
      <w:r w:rsidR="0075015D">
        <w:rPr>
          <w:sz w:val="24"/>
          <w:szCs w:val="24"/>
        </w:rPr>
        <w:t xml:space="preserve"> Allowing patients and their </w:t>
      </w:r>
      <w:r w:rsidR="0075015D">
        <w:rPr>
          <w:sz w:val="24"/>
          <w:szCs w:val="24"/>
        </w:rPr>
        <w:lastRenderedPageBreak/>
        <w:t xml:space="preserve">caregivers direct access to Facility staff can prevent delays </w:t>
      </w:r>
      <w:r>
        <w:rPr>
          <w:sz w:val="24"/>
          <w:szCs w:val="24"/>
        </w:rPr>
        <w:t xml:space="preserve">a patient </w:t>
      </w:r>
      <w:r w:rsidR="0075015D">
        <w:rPr>
          <w:sz w:val="24"/>
          <w:szCs w:val="24"/>
        </w:rPr>
        <w:t xml:space="preserve">may </w:t>
      </w:r>
      <w:r>
        <w:rPr>
          <w:sz w:val="24"/>
          <w:szCs w:val="24"/>
        </w:rPr>
        <w:t xml:space="preserve">experience </w:t>
      </w:r>
      <w:r w:rsidR="0040435E">
        <w:rPr>
          <w:sz w:val="24"/>
          <w:szCs w:val="24"/>
        </w:rPr>
        <w:t>go</w:t>
      </w:r>
      <w:r w:rsidR="0075015D">
        <w:rPr>
          <w:sz w:val="24"/>
          <w:szCs w:val="24"/>
        </w:rPr>
        <w:t>ing</w:t>
      </w:r>
      <w:r w:rsidR="0040435E">
        <w:rPr>
          <w:sz w:val="24"/>
          <w:szCs w:val="24"/>
        </w:rPr>
        <w:t xml:space="preserve"> to a larger hospital </w:t>
      </w:r>
      <w:r w:rsidR="0075015D">
        <w:rPr>
          <w:sz w:val="24"/>
          <w:szCs w:val="24"/>
        </w:rPr>
        <w:t xml:space="preserve">as the </w:t>
      </w:r>
      <w:r>
        <w:rPr>
          <w:sz w:val="24"/>
          <w:szCs w:val="24"/>
        </w:rPr>
        <w:t xml:space="preserve">external facility </w:t>
      </w:r>
      <w:r w:rsidR="0075015D">
        <w:rPr>
          <w:sz w:val="24"/>
          <w:szCs w:val="24"/>
        </w:rPr>
        <w:t xml:space="preserve">wouldn’t </w:t>
      </w:r>
      <w:r>
        <w:rPr>
          <w:sz w:val="24"/>
          <w:szCs w:val="24"/>
        </w:rPr>
        <w:t xml:space="preserve">have the patient’s records and </w:t>
      </w:r>
      <w:r w:rsidR="0075015D">
        <w:rPr>
          <w:sz w:val="24"/>
          <w:szCs w:val="24"/>
        </w:rPr>
        <w:t xml:space="preserve">would </w:t>
      </w:r>
      <w:r>
        <w:rPr>
          <w:sz w:val="24"/>
          <w:szCs w:val="24"/>
        </w:rPr>
        <w:t xml:space="preserve">not have familiarity with the patient’s ailment. </w:t>
      </w:r>
    </w:p>
    <w:p w14:paraId="101C30BD" w14:textId="76CD156B" w:rsidR="005A2ACD" w:rsidRPr="005F07C5" w:rsidRDefault="005A2ACD" w:rsidP="00B901A2">
      <w:pPr>
        <w:spacing w:line="240" w:lineRule="auto"/>
        <w:rPr>
          <w:sz w:val="24"/>
          <w:szCs w:val="24"/>
        </w:rPr>
      </w:pPr>
      <w:r>
        <w:rPr>
          <w:sz w:val="24"/>
          <w:szCs w:val="24"/>
        </w:rPr>
        <w:t xml:space="preserve">This community linkage program </w:t>
      </w:r>
      <w:r w:rsidR="00CA4779">
        <w:rPr>
          <w:sz w:val="24"/>
          <w:szCs w:val="24"/>
        </w:rPr>
        <w:t>will continue</w:t>
      </w:r>
      <w:r>
        <w:rPr>
          <w:sz w:val="24"/>
          <w:szCs w:val="24"/>
        </w:rPr>
        <w:t xml:space="preserve"> with the Replacement </w:t>
      </w:r>
      <w:r w:rsidR="00A31A26">
        <w:rPr>
          <w:sz w:val="24"/>
          <w:szCs w:val="24"/>
        </w:rPr>
        <w:t>Facility and</w:t>
      </w:r>
      <w:r>
        <w:rPr>
          <w:sz w:val="24"/>
          <w:szCs w:val="24"/>
        </w:rPr>
        <w:t xml:space="preserve"> will allow for patients who have trouble post-discharge to directly be readmitted to the Facility without going through gatekeepers at external hospitals.</w:t>
      </w:r>
    </w:p>
    <w:p w14:paraId="1AE28FD5" w14:textId="186B5A61" w:rsidR="005B0D40" w:rsidRPr="006F2D99" w:rsidRDefault="005B0D40" w:rsidP="005F07C5">
      <w:pPr>
        <w:spacing w:line="240" w:lineRule="auto"/>
        <w:rPr>
          <w:b/>
          <w:bCs/>
          <w:i/>
          <w:iCs/>
          <w:sz w:val="24"/>
          <w:szCs w:val="24"/>
        </w:rPr>
      </w:pPr>
      <w:r w:rsidRPr="006F2D99">
        <w:rPr>
          <w:b/>
          <w:bCs/>
          <w:i/>
          <w:iCs/>
          <w:sz w:val="24"/>
          <w:szCs w:val="24"/>
        </w:rPr>
        <w:t>Analysis: Delivery System Transformation</w:t>
      </w:r>
    </w:p>
    <w:p w14:paraId="4C362E87" w14:textId="695B491F" w:rsidR="00770583" w:rsidRDefault="00E5413B" w:rsidP="005644BE">
      <w:pPr>
        <w:spacing w:line="240" w:lineRule="auto"/>
        <w:rPr>
          <w:sz w:val="24"/>
          <w:szCs w:val="24"/>
        </w:rPr>
      </w:pPr>
      <w:r w:rsidRPr="002224D7">
        <w:rPr>
          <w:sz w:val="24"/>
          <w:szCs w:val="24"/>
        </w:rPr>
        <w:t xml:space="preserve">Central to the goal of Delivery System Transformation is the integration of social services and community-based expertise. The Applicant described </w:t>
      </w:r>
      <w:r>
        <w:rPr>
          <w:sz w:val="24"/>
          <w:szCs w:val="24"/>
        </w:rPr>
        <w:t xml:space="preserve">a </w:t>
      </w:r>
      <w:r w:rsidR="005A2ACD">
        <w:rPr>
          <w:sz w:val="24"/>
          <w:szCs w:val="24"/>
        </w:rPr>
        <w:t>focus on connecting discharged patients directly back to the Facility itself when there is an issue</w:t>
      </w:r>
      <w:r w:rsidRPr="00E5413B">
        <w:rPr>
          <w:sz w:val="24"/>
          <w:szCs w:val="24"/>
        </w:rPr>
        <w:t>.</w:t>
      </w:r>
      <w:r w:rsidR="005A2ACD">
        <w:rPr>
          <w:sz w:val="24"/>
          <w:szCs w:val="24"/>
        </w:rPr>
        <w:t xml:space="preserve"> </w:t>
      </w:r>
      <w:r w:rsidR="002C7C73">
        <w:rPr>
          <w:sz w:val="24"/>
          <w:szCs w:val="24"/>
        </w:rPr>
        <w:t xml:space="preserve">Upon staff inquiry, the Applicant clarified that, in the post-discharge program, </w:t>
      </w:r>
      <w:r w:rsidR="0040435E">
        <w:rPr>
          <w:sz w:val="24"/>
          <w:szCs w:val="24"/>
        </w:rPr>
        <w:t>family member</w:t>
      </w:r>
      <w:r w:rsidR="00CA4779">
        <w:rPr>
          <w:sz w:val="24"/>
          <w:szCs w:val="24"/>
        </w:rPr>
        <w:t xml:space="preserve">s’ primary question was </w:t>
      </w:r>
      <w:r w:rsidR="0040435E">
        <w:rPr>
          <w:sz w:val="24"/>
          <w:szCs w:val="24"/>
        </w:rPr>
        <w:t xml:space="preserve">about a medication or if the resident should be completing certain tasks upon their return home. Other frequent questions </w:t>
      </w:r>
      <w:r w:rsidR="00CA4779">
        <w:rPr>
          <w:sz w:val="24"/>
          <w:szCs w:val="24"/>
        </w:rPr>
        <w:t xml:space="preserve">are </w:t>
      </w:r>
      <w:r w:rsidR="0040435E">
        <w:rPr>
          <w:sz w:val="24"/>
          <w:szCs w:val="24"/>
        </w:rPr>
        <w:t xml:space="preserve">about their aftercare, such as the scheduling of their home health, primary care, or therapy sessions. </w:t>
      </w:r>
    </w:p>
    <w:p w14:paraId="6C9BE334" w14:textId="2D3EEA60" w:rsidR="005A2ACD" w:rsidRDefault="002C7C73" w:rsidP="005644BE">
      <w:pPr>
        <w:spacing w:line="240" w:lineRule="auto"/>
        <w:rPr>
          <w:sz w:val="24"/>
          <w:szCs w:val="24"/>
        </w:rPr>
      </w:pPr>
      <w:r>
        <w:rPr>
          <w:sz w:val="24"/>
          <w:szCs w:val="24"/>
        </w:rPr>
        <w:t xml:space="preserve">Staff notes that having post-discharge access to </w:t>
      </w:r>
      <w:r w:rsidR="00770583">
        <w:rPr>
          <w:sz w:val="24"/>
          <w:szCs w:val="24"/>
        </w:rPr>
        <w:t xml:space="preserve">direct </w:t>
      </w:r>
      <w:r w:rsidR="00131627">
        <w:rPr>
          <w:sz w:val="24"/>
          <w:szCs w:val="24"/>
        </w:rPr>
        <w:t xml:space="preserve">phone calls </w:t>
      </w:r>
      <w:r w:rsidR="00770583">
        <w:rPr>
          <w:sz w:val="24"/>
          <w:szCs w:val="24"/>
        </w:rPr>
        <w:t>with the Facility has the potential to s</w:t>
      </w:r>
      <w:r>
        <w:rPr>
          <w:sz w:val="24"/>
          <w:szCs w:val="24"/>
        </w:rPr>
        <w:t>ave time and future costs of care.</w:t>
      </w:r>
      <w:r w:rsidR="00131627">
        <w:rPr>
          <w:sz w:val="24"/>
          <w:szCs w:val="24"/>
        </w:rPr>
        <w:t xml:space="preserve"> There is prior evidence that U.S.</w:t>
      </w:r>
      <w:r w:rsidR="00770583">
        <w:rPr>
          <w:sz w:val="24"/>
          <w:szCs w:val="24"/>
        </w:rPr>
        <w:t xml:space="preserve">-based hospitals experience lower rates of 30-day readmission when there are post-discharge calls made to the patient. </w:t>
      </w:r>
      <w:r w:rsidR="00131627">
        <w:rPr>
          <w:rStyle w:val="FootnoteReference"/>
          <w:sz w:val="24"/>
          <w:szCs w:val="24"/>
        </w:rPr>
        <w:footnoteReference w:id="19"/>
      </w:r>
      <w:r>
        <w:rPr>
          <w:sz w:val="24"/>
          <w:szCs w:val="24"/>
        </w:rPr>
        <w:t xml:space="preserve"> </w:t>
      </w:r>
      <w:r w:rsidR="00A31A26">
        <w:rPr>
          <w:sz w:val="24"/>
          <w:szCs w:val="24"/>
        </w:rPr>
        <w:t>S</w:t>
      </w:r>
      <w:r w:rsidR="005A2ACD">
        <w:rPr>
          <w:sz w:val="24"/>
          <w:szCs w:val="24"/>
        </w:rPr>
        <w:t xml:space="preserve">taff finds that delivery systems for patients with cognitive disorders and efficiency of post-discharge care coordination will likely be enhanced with the Proposed Project. </w:t>
      </w:r>
    </w:p>
    <w:p w14:paraId="572AF8E7" w14:textId="6179FCB8" w:rsidR="0098420E" w:rsidRPr="00EA6267" w:rsidRDefault="0098420E" w:rsidP="0098420E">
      <w:pPr>
        <w:spacing w:after="0"/>
        <w:rPr>
          <w:sz w:val="24"/>
          <w:szCs w:val="24"/>
        </w:rPr>
      </w:pPr>
      <w:r w:rsidRPr="0098420E">
        <w:rPr>
          <w:b/>
          <w:bCs/>
          <w:sz w:val="28"/>
          <w:szCs w:val="28"/>
        </w:rPr>
        <w:t>FACTOR 2</w:t>
      </w:r>
      <w:r w:rsidR="00EA6267">
        <w:rPr>
          <w:b/>
          <w:bCs/>
          <w:sz w:val="28"/>
          <w:szCs w:val="28"/>
        </w:rPr>
        <w:t>:</w:t>
      </w:r>
      <w:r w:rsidR="000D4478">
        <w:rPr>
          <w:b/>
          <w:bCs/>
          <w:sz w:val="28"/>
          <w:szCs w:val="28"/>
        </w:rPr>
        <w:t xml:space="preserve"> </w:t>
      </w:r>
      <w:r w:rsidR="00EA6267" w:rsidRPr="00EA6267">
        <w:rPr>
          <w:b/>
          <w:bCs/>
          <w:sz w:val="24"/>
          <w:szCs w:val="24"/>
        </w:rPr>
        <w:t>SUMMARY</w:t>
      </w:r>
    </w:p>
    <w:p w14:paraId="1AA947C6" w14:textId="6570A8E3" w:rsidR="005B0D40" w:rsidRDefault="0098420E" w:rsidP="005F07C5">
      <w:pPr>
        <w:spacing w:after="0" w:line="240" w:lineRule="auto"/>
        <w:rPr>
          <w:sz w:val="24"/>
          <w:szCs w:val="24"/>
        </w:rPr>
      </w:pPr>
      <w:proofErr w:type="gramStart"/>
      <w:r w:rsidRPr="005F07C5">
        <w:rPr>
          <w:sz w:val="24"/>
          <w:szCs w:val="24"/>
        </w:rPr>
        <w:t>As a result of</w:t>
      </w:r>
      <w:proofErr w:type="gramEnd"/>
      <w:r w:rsidRPr="005F07C5">
        <w:rPr>
          <w:sz w:val="24"/>
          <w:szCs w:val="24"/>
        </w:rPr>
        <w:t xml:space="preserve"> information provided by the Applicant and additional analysis, staff finds that </w:t>
      </w:r>
      <w:r w:rsidR="00EB6CFF">
        <w:rPr>
          <w:sz w:val="24"/>
          <w:szCs w:val="24"/>
        </w:rPr>
        <w:t>t</w:t>
      </w:r>
      <w:r w:rsidRPr="005F07C5">
        <w:rPr>
          <w:sz w:val="24"/>
          <w:szCs w:val="24"/>
        </w:rPr>
        <w:t>he Applicant has demonstrated that the Proposed Project has met Factor 2.</w:t>
      </w:r>
    </w:p>
    <w:p w14:paraId="03E3197E" w14:textId="59859BD8" w:rsidR="00BE538A" w:rsidRDefault="00BE538A" w:rsidP="005F07C5">
      <w:pPr>
        <w:spacing w:after="0" w:line="240" w:lineRule="auto"/>
        <w:rPr>
          <w:b/>
          <w:bCs/>
          <w:sz w:val="24"/>
          <w:szCs w:val="24"/>
        </w:rPr>
      </w:pPr>
    </w:p>
    <w:p w14:paraId="6674E1C5" w14:textId="77777777" w:rsidR="00057CC4" w:rsidRPr="00057CC4" w:rsidRDefault="00057CC4" w:rsidP="00057CC4">
      <w:pPr>
        <w:spacing w:after="0"/>
        <w:rPr>
          <w:b/>
          <w:bCs/>
          <w:sz w:val="28"/>
          <w:szCs w:val="28"/>
        </w:rPr>
      </w:pPr>
      <w:r w:rsidRPr="00057CC4">
        <w:rPr>
          <w:b/>
          <w:bCs/>
          <w:sz w:val="28"/>
          <w:szCs w:val="28"/>
        </w:rPr>
        <w:t xml:space="preserve">Factor 3: Relevant Licensure/Oversight Compliance </w:t>
      </w:r>
    </w:p>
    <w:p w14:paraId="3F4905FF" w14:textId="14143654" w:rsidR="005B0D40" w:rsidRPr="006D6A23" w:rsidRDefault="00057CC4" w:rsidP="005F07C5">
      <w:pPr>
        <w:spacing w:after="0" w:line="240" w:lineRule="auto"/>
        <w:rPr>
          <w:b/>
          <w:bCs/>
          <w:sz w:val="24"/>
          <w:szCs w:val="24"/>
        </w:rPr>
      </w:pPr>
      <w:r w:rsidRPr="006D6A23">
        <w:rPr>
          <w:sz w:val="24"/>
          <w:szCs w:val="24"/>
        </w:rPr>
        <w:t>The Applicant has provided evidence of compliance and good standing with federal, state, and local laws and regulations and will not be addressed further in this report.</w:t>
      </w:r>
    </w:p>
    <w:p w14:paraId="64EF588B" w14:textId="457191EB" w:rsidR="005B0D40" w:rsidRDefault="005B0D40">
      <w:pPr>
        <w:rPr>
          <w:b/>
          <w:bCs/>
        </w:rPr>
      </w:pPr>
    </w:p>
    <w:p w14:paraId="6C3734C2" w14:textId="5B377B26" w:rsidR="00FA0A99" w:rsidRPr="00FA0A99" w:rsidRDefault="00FA0A99">
      <w:pPr>
        <w:rPr>
          <w:b/>
          <w:bCs/>
          <w:sz w:val="28"/>
          <w:szCs w:val="28"/>
        </w:rPr>
      </w:pPr>
      <w:r w:rsidRPr="00FA0A99">
        <w:rPr>
          <w:b/>
          <w:bCs/>
          <w:sz w:val="28"/>
          <w:szCs w:val="28"/>
        </w:rPr>
        <w:t xml:space="preserve">Factor 4: Demonstration of Sufficient Funds as Supported by an Independent CPA Analysis </w:t>
      </w:r>
    </w:p>
    <w:p w14:paraId="391CCF10" w14:textId="5EF5060E" w:rsidR="00953E98" w:rsidRPr="005F07C5" w:rsidRDefault="00FA0A99" w:rsidP="00B901A2">
      <w:pPr>
        <w:spacing w:line="240" w:lineRule="auto"/>
        <w:rPr>
          <w:sz w:val="24"/>
          <w:szCs w:val="24"/>
        </w:rPr>
      </w:pPr>
      <w:r w:rsidRPr="005F07C5">
        <w:rPr>
          <w:sz w:val="24"/>
          <w:szCs w:val="24"/>
        </w:rPr>
        <w:t xml:space="preserve">Under </w:t>
      </w:r>
      <w:r w:rsidR="0047451F" w:rsidRPr="005F07C5">
        <w:rPr>
          <w:sz w:val="24"/>
          <w:szCs w:val="24"/>
        </w:rPr>
        <w:t>F</w:t>
      </w:r>
      <w:r w:rsidRPr="005F07C5">
        <w:rPr>
          <w:sz w:val="24"/>
          <w:szCs w:val="24"/>
        </w:rPr>
        <w:t xml:space="preserve">actor 4, the Applicant must demonstrate that it has sufficient funds available for capital and operating costs necessary to support the Proposed Project without negative effects or consequences to the existing </w:t>
      </w:r>
      <w:r w:rsidR="006D6A23">
        <w:rPr>
          <w:sz w:val="24"/>
          <w:szCs w:val="24"/>
        </w:rPr>
        <w:t>P</w:t>
      </w:r>
      <w:r w:rsidRPr="005F07C5">
        <w:rPr>
          <w:sz w:val="24"/>
          <w:szCs w:val="24"/>
        </w:rPr>
        <w:t xml:space="preserve">atient </w:t>
      </w:r>
      <w:r w:rsidR="006D6A23">
        <w:rPr>
          <w:sz w:val="24"/>
          <w:szCs w:val="24"/>
        </w:rPr>
        <w:t>P</w:t>
      </w:r>
      <w:r w:rsidRPr="005F07C5">
        <w:rPr>
          <w:sz w:val="24"/>
          <w:szCs w:val="24"/>
        </w:rPr>
        <w:t xml:space="preserve">anel. Documentation sufficient to make such finding must be supported by an analysis by an independent CPA. </w:t>
      </w:r>
      <w:proofErr w:type="spellStart"/>
      <w:r w:rsidR="00BB00E7">
        <w:rPr>
          <w:sz w:val="24"/>
          <w:szCs w:val="24"/>
        </w:rPr>
        <w:t>CliftonLarsonAllen</w:t>
      </w:r>
      <w:proofErr w:type="spellEnd"/>
      <w:r w:rsidR="00BB00E7">
        <w:rPr>
          <w:sz w:val="24"/>
          <w:szCs w:val="24"/>
        </w:rPr>
        <w:t xml:space="preserve"> LLP (“t</w:t>
      </w:r>
      <w:r w:rsidRPr="005F07C5">
        <w:rPr>
          <w:sz w:val="24"/>
          <w:szCs w:val="24"/>
        </w:rPr>
        <w:t xml:space="preserve">he </w:t>
      </w:r>
      <w:r w:rsidR="00BB00E7">
        <w:rPr>
          <w:sz w:val="24"/>
          <w:szCs w:val="24"/>
        </w:rPr>
        <w:t xml:space="preserve">independent </w:t>
      </w:r>
      <w:r w:rsidRPr="005F07C5">
        <w:rPr>
          <w:sz w:val="24"/>
          <w:szCs w:val="24"/>
        </w:rPr>
        <w:t>CPA</w:t>
      </w:r>
      <w:r w:rsidR="00BB00E7">
        <w:rPr>
          <w:sz w:val="24"/>
          <w:szCs w:val="24"/>
        </w:rPr>
        <w:t>”)</w:t>
      </w:r>
      <w:r w:rsidRPr="005F07C5">
        <w:rPr>
          <w:sz w:val="24"/>
          <w:szCs w:val="24"/>
        </w:rPr>
        <w:t xml:space="preserve"> examined a range of documents and information in developing its report including</w:t>
      </w:r>
      <w:r w:rsidR="00FB2444">
        <w:rPr>
          <w:sz w:val="24"/>
          <w:szCs w:val="24"/>
        </w:rPr>
        <w:t xml:space="preserve"> </w:t>
      </w:r>
      <w:r w:rsidR="00456494">
        <w:rPr>
          <w:sz w:val="24"/>
          <w:szCs w:val="24"/>
        </w:rPr>
        <w:t>five</w:t>
      </w:r>
      <w:r w:rsidR="00010605">
        <w:rPr>
          <w:sz w:val="24"/>
          <w:szCs w:val="24"/>
        </w:rPr>
        <w:t>-year</w:t>
      </w:r>
      <w:r w:rsidR="00010605" w:rsidRPr="005F07C5">
        <w:rPr>
          <w:sz w:val="24"/>
          <w:szCs w:val="24"/>
        </w:rPr>
        <w:t xml:space="preserve"> financial </w:t>
      </w:r>
      <w:r w:rsidR="00010605">
        <w:rPr>
          <w:sz w:val="24"/>
          <w:szCs w:val="24"/>
        </w:rPr>
        <w:t>projection (Projections)</w:t>
      </w:r>
      <w:r w:rsidR="00FB2444">
        <w:rPr>
          <w:sz w:val="24"/>
          <w:szCs w:val="24"/>
        </w:rPr>
        <w:t xml:space="preserve"> for the Applica</w:t>
      </w:r>
      <w:r w:rsidR="001B5686">
        <w:rPr>
          <w:sz w:val="24"/>
          <w:szCs w:val="24"/>
        </w:rPr>
        <w:t>nt (</w:t>
      </w:r>
      <w:r w:rsidR="008543E3" w:rsidRPr="005F07C5">
        <w:rPr>
          <w:sz w:val="24"/>
          <w:szCs w:val="24"/>
        </w:rPr>
        <w:t>fiscal years ending 202</w:t>
      </w:r>
      <w:r w:rsidR="00FB2444">
        <w:rPr>
          <w:sz w:val="24"/>
          <w:szCs w:val="24"/>
        </w:rPr>
        <w:t>1</w:t>
      </w:r>
      <w:r w:rsidR="008543E3" w:rsidRPr="005F07C5">
        <w:rPr>
          <w:sz w:val="24"/>
          <w:szCs w:val="24"/>
        </w:rPr>
        <w:t xml:space="preserve"> through 202</w:t>
      </w:r>
      <w:r w:rsidR="000764EF">
        <w:rPr>
          <w:sz w:val="24"/>
          <w:szCs w:val="24"/>
        </w:rPr>
        <w:t>6</w:t>
      </w:r>
      <w:r w:rsidR="001B5686">
        <w:rPr>
          <w:sz w:val="24"/>
          <w:szCs w:val="24"/>
        </w:rPr>
        <w:t>)</w:t>
      </w:r>
      <w:r w:rsidR="008543E3" w:rsidRPr="005F07C5">
        <w:rPr>
          <w:sz w:val="24"/>
          <w:szCs w:val="24"/>
        </w:rPr>
        <w:t xml:space="preserve">, Audited </w:t>
      </w:r>
      <w:r w:rsidR="00010605">
        <w:rPr>
          <w:sz w:val="24"/>
          <w:szCs w:val="24"/>
        </w:rPr>
        <w:t xml:space="preserve">Consolidated </w:t>
      </w:r>
      <w:r w:rsidR="008543E3" w:rsidRPr="005F07C5">
        <w:rPr>
          <w:sz w:val="24"/>
          <w:szCs w:val="24"/>
        </w:rPr>
        <w:t xml:space="preserve">Financial Statements </w:t>
      </w:r>
      <w:r w:rsidR="00010605">
        <w:rPr>
          <w:sz w:val="24"/>
          <w:szCs w:val="24"/>
        </w:rPr>
        <w:t>for</w:t>
      </w:r>
      <w:r w:rsidR="001B5686">
        <w:rPr>
          <w:sz w:val="24"/>
          <w:szCs w:val="24"/>
        </w:rPr>
        <w:t xml:space="preserve"> the Applicant</w:t>
      </w:r>
      <w:r w:rsidR="008543E3" w:rsidRPr="005F07C5">
        <w:rPr>
          <w:sz w:val="24"/>
          <w:szCs w:val="24"/>
        </w:rPr>
        <w:t xml:space="preserve">, </w:t>
      </w:r>
      <w:r w:rsidR="00250986">
        <w:rPr>
          <w:sz w:val="24"/>
          <w:szCs w:val="24"/>
        </w:rPr>
        <w:t>various</w:t>
      </w:r>
      <w:r w:rsidR="00010605">
        <w:rPr>
          <w:sz w:val="24"/>
          <w:szCs w:val="24"/>
        </w:rPr>
        <w:t xml:space="preserve"> </w:t>
      </w:r>
      <w:r w:rsidR="00010605">
        <w:rPr>
          <w:sz w:val="24"/>
          <w:szCs w:val="24"/>
        </w:rPr>
        <w:lastRenderedPageBreak/>
        <w:t>p</w:t>
      </w:r>
      <w:r w:rsidR="008543E3" w:rsidRPr="005F07C5">
        <w:rPr>
          <w:sz w:val="24"/>
          <w:szCs w:val="24"/>
        </w:rPr>
        <w:t>resentation</w:t>
      </w:r>
      <w:r w:rsidR="00250986">
        <w:rPr>
          <w:sz w:val="24"/>
          <w:szCs w:val="24"/>
        </w:rPr>
        <w:t>s</w:t>
      </w:r>
      <w:r w:rsidR="008543E3" w:rsidRPr="005F07C5">
        <w:rPr>
          <w:sz w:val="24"/>
          <w:szCs w:val="24"/>
        </w:rPr>
        <w:t xml:space="preserve"> to </w:t>
      </w:r>
      <w:r w:rsidR="00250986">
        <w:rPr>
          <w:sz w:val="24"/>
          <w:szCs w:val="24"/>
        </w:rPr>
        <w:t>L</w:t>
      </w:r>
      <w:r w:rsidR="008543E3" w:rsidRPr="005F07C5">
        <w:rPr>
          <w:sz w:val="24"/>
          <w:szCs w:val="24"/>
        </w:rPr>
        <w:t>eadership on the Proposed Project</w:t>
      </w:r>
      <w:r w:rsidR="00010605">
        <w:rPr>
          <w:sz w:val="24"/>
          <w:szCs w:val="24"/>
        </w:rPr>
        <w:t xml:space="preserve">, </w:t>
      </w:r>
      <w:r w:rsidR="00250986">
        <w:rPr>
          <w:sz w:val="24"/>
          <w:szCs w:val="24"/>
        </w:rPr>
        <w:t xml:space="preserve">historical results, </w:t>
      </w:r>
      <w:r w:rsidR="001B5686">
        <w:rPr>
          <w:sz w:val="24"/>
          <w:szCs w:val="24"/>
        </w:rPr>
        <w:t xml:space="preserve">and </w:t>
      </w:r>
      <w:r w:rsidR="00422B8D">
        <w:rPr>
          <w:sz w:val="24"/>
          <w:szCs w:val="24"/>
        </w:rPr>
        <w:t>third-party</w:t>
      </w:r>
      <w:r w:rsidR="00010605">
        <w:rPr>
          <w:sz w:val="24"/>
          <w:szCs w:val="24"/>
        </w:rPr>
        <w:t xml:space="preserve"> industry data.</w:t>
      </w:r>
      <w:r w:rsidRPr="005F07C5">
        <w:rPr>
          <w:sz w:val="24"/>
          <w:szCs w:val="24"/>
        </w:rPr>
        <w:t xml:space="preserve"> Additionally, it calculated</w:t>
      </w:r>
      <w:r w:rsidR="00250986">
        <w:rPr>
          <w:sz w:val="24"/>
          <w:szCs w:val="24"/>
        </w:rPr>
        <w:t xml:space="preserve"> Key Metrics</w:t>
      </w:r>
      <w:r w:rsidRPr="005F07C5">
        <w:rPr>
          <w:sz w:val="24"/>
          <w:szCs w:val="24"/>
        </w:rPr>
        <w:t xml:space="preserve"> </w:t>
      </w:r>
      <w:r w:rsidR="00250986">
        <w:rPr>
          <w:sz w:val="24"/>
          <w:szCs w:val="24"/>
        </w:rPr>
        <w:t xml:space="preserve">(profitability, liquidity, and solvency) </w:t>
      </w:r>
      <w:r w:rsidRPr="005F07C5">
        <w:rPr>
          <w:sz w:val="24"/>
          <w:szCs w:val="24"/>
        </w:rPr>
        <w:t>to assist in determining reasonableness of the Applicant’s assumptions</w:t>
      </w:r>
      <w:r w:rsidR="00546AB6" w:rsidRPr="005F07C5">
        <w:rPr>
          <w:sz w:val="24"/>
          <w:szCs w:val="24"/>
        </w:rPr>
        <w:t xml:space="preserve"> and feasibility of the Projections</w:t>
      </w:r>
      <w:r w:rsidRPr="005F07C5">
        <w:rPr>
          <w:sz w:val="24"/>
          <w:szCs w:val="24"/>
        </w:rPr>
        <w:t xml:space="preserve">. </w:t>
      </w:r>
    </w:p>
    <w:p w14:paraId="30F7C34E" w14:textId="46EBB922" w:rsidR="00057CC4" w:rsidRDefault="00FA0A99" w:rsidP="00B901A2">
      <w:pPr>
        <w:spacing w:after="0" w:line="240" w:lineRule="auto"/>
        <w:rPr>
          <w:b/>
          <w:bCs/>
          <w:sz w:val="24"/>
          <w:szCs w:val="24"/>
        </w:rPr>
      </w:pPr>
      <w:r w:rsidRPr="005F07C5">
        <w:rPr>
          <w:b/>
          <w:bCs/>
          <w:sz w:val="24"/>
          <w:szCs w:val="24"/>
        </w:rPr>
        <w:t>Revenue</w:t>
      </w:r>
    </w:p>
    <w:p w14:paraId="4A7FD77A" w14:textId="4A41EEAF" w:rsidR="00FB2444" w:rsidRDefault="007D4621" w:rsidP="00B901A2">
      <w:pPr>
        <w:spacing w:after="0" w:line="240" w:lineRule="auto"/>
        <w:rPr>
          <w:sz w:val="24"/>
          <w:szCs w:val="24"/>
        </w:rPr>
      </w:pPr>
      <w:r>
        <w:rPr>
          <w:sz w:val="24"/>
          <w:szCs w:val="24"/>
        </w:rPr>
        <w:t xml:space="preserve">CPA reports that </w:t>
      </w:r>
      <w:r w:rsidR="00EE5221">
        <w:rPr>
          <w:sz w:val="24"/>
          <w:szCs w:val="24"/>
        </w:rPr>
        <w:t>the Facility’s</w:t>
      </w:r>
      <w:r>
        <w:rPr>
          <w:sz w:val="24"/>
          <w:szCs w:val="24"/>
        </w:rPr>
        <w:t xml:space="preserve"> revenue </w:t>
      </w:r>
      <w:r w:rsidR="00F768E1">
        <w:rPr>
          <w:sz w:val="24"/>
          <w:szCs w:val="24"/>
        </w:rPr>
        <w:t>consists of revenue from operating the nursing home. The CPA derived predictions from interim financial data from the current period and historica</w:t>
      </w:r>
      <w:r w:rsidR="00A31A26">
        <w:rPr>
          <w:sz w:val="24"/>
          <w:szCs w:val="24"/>
        </w:rPr>
        <w:t>l</w:t>
      </w:r>
      <w:r w:rsidR="00F768E1">
        <w:rPr>
          <w:sz w:val="24"/>
          <w:szCs w:val="24"/>
        </w:rPr>
        <w:t xml:space="preserve"> experience of operating the facility. </w:t>
      </w:r>
      <w:r w:rsidR="00E359E0">
        <w:rPr>
          <w:sz w:val="24"/>
          <w:szCs w:val="24"/>
        </w:rPr>
        <w:t xml:space="preserve">Future years were predicted utilizing assumptions for rate increases and operating expenses. </w:t>
      </w:r>
      <w:r w:rsidR="009607F6">
        <w:rPr>
          <w:sz w:val="24"/>
          <w:szCs w:val="24"/>
        </w:rPr>
        <w:t xml:space="preserve">To account for COVID-19, temporary impacts were implemented for 2021, including additional costs for emergency preparedness, disease control and containment, potential shortages of staff, wages, and reductions in certain revenue streams. The significant decline in revenue due to COVID-19 is majorly attributed to decline in census and occupancy decline. The Census impact is removed started in 2022 through the end of projection. </w:t>
      </w:r>
      <w:r w:rsidR="00DA6468">
        <w:rPr>
          <w:sz w:val="24"/>
          <w:szCs w:val="24"/>
        </w:rPr>
        <w:t>Revenues were calculated to gradually increase until 2024, when the Replacement Facility with 21 additional beds is projected to go live, where the Applicant will experience a 39% jump in revenue.</w:t>
      </w:r>
    </w:p>
    <w:p w14:paraId="5E888852" w14:textId="36E2ABEC" w:rsidR="009607F6" w:rsidRDefault="009607F6" w:rsidP="00B901A2">
      <w:pPr>
        <w:spacing w:after="0" w:line="240" w:lineRule="auto"/>
        <w:rPr>
          <w:sz w:val="24"/>
          <w:szCs w:val="24"/>
        </w:rPr>
      </w:pPr>
    </w:p>
    <w:p w14:paraId="12C8F098" w14:textId="3362DC22" w:rsidR="00F30869" w:rsidRDefault="00F30869" w:rsidP="00B901A2">
      <w:pPr>
        <w:spacing w:after="0" w:line="240" w:lineRule="auto"/>
        <w:rPr>
          <w:sz w:val="24"/>
          <w:szCs w:val="24"/>
        </w:rPr>
      </w:pPr>
      <w:r>
        <w:rPr>
          <w:sz w:val="24"/>
          <w:szCs w:val="24"/>
        </w:rPr>
        <w:t xml:space="preserve">Both Private and all types of </w:t>
      </w:r>
      <w:r w:rsidR="0074631E">
        <w:rPr>
          <w:sz w:val="24"/>
          <w:szCs w:val="24"/>
        </w:rPr>
        <w:t>public</w:t>
      </w:r>
      <w:r>
        <w:rPr>
          <w:sz w:val="24"/>
          <w:szCs w:val="24"/>
        </w:rPr>
        <w:t xml:space="preserve"> payers (Medicaid, Medicare, HMO) were predicted to rise every year of prediction. The CPA applied a 2% rate increase per year for the Projection Period 2023-2026. With the change in volume of the Replacement Facility, the CPA predicted a $60 increase in the Medicare rate in 2022 and $23 increase in public rates as current Medicaid regulations would allow upon completion of the Replacement Facility.</w:t>
      </w:r>
    </w:p>
    <w:p w14:paraId="674B9B9B" w14:textId="77777777" w:rsidR="00F30869" w:rsidRDefault="00F30869" w:rsidP="00B901A2">
      <w:pPr>
        <w:spacing w:after="0" w:line="240" w:lineRule="auto"/>
        <w:rPr>
          <w:sz w:val="24"/>
          <w:szCs w:val="24"/>
        </w:rPr>
      </w:pPr>
    </w:p>
    <w:p w14:paraId="30EA596C" w14:textId="41C2BFF9" w:rsidR="009607F6" w:rsidRDefault="009607F6" w:rsidP="00B901A2">
      <w:pPr>
        <w:spacing w:after="0" w:line="240" w:lineRule="auto"/>
        <w:rPr>
          <w:sz w:val="24"/>
          <w:szCs w:val="24"/>
        </w:rPr>
      </w:pPr>
      <w:r>
        <w:rPr>
          <w:sz w:val="24"/>
          <w:szCs w:val="24"/>
        </w:rPr>
        <w:t>The CPA reviewed historical occupancy rates and predicted</w:t>
      </w:r>
      <w:r w:rsidR="00DA6468">
        <w:rPr>
          <w:sz w:val="24"/>
          <w:szCs w:val="24"/>
        </w:rPr>
        <w:t xml:space="preserve"> a maximum of 93.5% occupancy rate for the old Facility through 2023, and the Replacement Facility of 82 beds to start at </w:t>
      </w:r>
      <w:proofErr w:type="gramStart"/>
      <w:r w:rsidR="00DA6468">
        <w:rPr>
          <w:sz w:val="24"/>
          <w:szCs w:val="24"/>
        </w:rPr>
        <w:t>a</w:t>
      </w:r>
      <w:proofErr w:type="gramEnd"/>
      <w:r w:rsidR="00DA6468">
        <w:rPr>
          <w:sz w:val="24"/>
          <w:szCs w:val="24"/>
        </w:rPr>
        <w:t xml:space="preserve"> 83.1% occupancy rate in 2024 but gradually rise to 92.3% by 2026. </w:t>
      </w:r>
    </w:p>
    <w:p w14:paraId="7A583CE2" w14:textId="2624AD27" w:rsidR="000340DC" w:rsidRDefault="000340DC" w:rsidP="00B901A2">
      <w:pPr>
        <w:spacing w:after="0" w:line="240" w:lineRule="auto"/>
        <w:rPr>
          <w:sz w:val="24"/>
          <w:szCs w:val="24"/>
        </w:rPr>
      </w:pPr>
    </w:p>
    <w:p w14:paraId="68137F2B" w14:textId="17F59D9D" w:rsidR="000340DC" w:rsidRDefault="00EA6267" w:rsidP="00B901A2">
      <w:pPr>
        <w:spacing w:after="0" w:line="240" w:lineRule="auto"/>
        <w:rPr>
          <w:sz w:val="24"/>
          <w:szCs w:val="24"/>
        </w:rPr>
      </w:pPr>
      <w:r>
        <w:rPr>
          <w:sz w:val="24"/>
          <w:szCs w:val="24"/>
        </w:rPr>
        <w:t>Regarding</w:t>
      </w:r>
      <w:r w:rsidR="000340DC">
        <w:rPr>
          <w:sz w:val="24"/>
          <w:szCs w:val="24"/>
        </w:rPr>
        <w:t xml:space="preserve"> supplemental revenue, the CPA assumed that the Applicant received approximately $419,000 in Federal and State stimulus payments due to COVID-19 in 2021. There were no such payments calculated for projections for 2022 – 2026. </w:t>
      </w:r>
    </w:p>
    <w:p w14:paraId="348B5FAA" w14:textId="61E1DE17" w:rsidR="00F30869" w:rsidRDefault="00F30869" w:rsidP="00B901A2">
      <w:pPr>
        <w:spacing w:after="0" w:line="240" w:lineRule="auto"/>
        <w:rPr>
          <w:sz w:val="24"/>
          <w:szCs w:val="24"/>
        </w:rPr>
      </w:pPr>
    </w:p>
    <w:p w14:paraId="3111F053" w14:textId="3ABEF5A6" w:rsidR="00F30869" w:rsidRPr="007D4621" w:rsidRDefault="00F30869" w:rsidP="00B901A2">
      <w:pPr>
        <w:spacing w:after="0" w:line="240" w:lineRule="auto"/>
        <w:rPr>
          <w:sz w:val="24"/>
          <w:szCs w:val="24"/>
        </w:rPr>
      </w:pPr>
      <w:r>
        <w:rPr>
          <w:sz w:val="24"/>
          <w:szCs w:val="24"/>
        </w:rPr>
        <w:t xml:space="preserve">Other operating revenues included were 1) Medicare Part B services and 2) Miscellaneous Revenue. The CPA applied a 2% inflationary increase to these items for the projection period. </w:t>
      </w:r>
    </w:p>
    <w:p w14:paraId="2F775615" w14:textId="77777777" w:rsidR="00B901A2" w:rsidRDefault="00B901A2" w:rsidP="00B901A2">
      <w:pPr>
        <w:spacing w:after="0" w:line="240" w:lineRule="auto"/>
        <w:rPr>
          <w:b/>
          <w:bCs/>
          <w:sz w:val="24"/>
          <w:szCs w:val="24"/>
        </w:rPr>
      </w:pPr>
    </w:p>
    <w:p w14:paraId="75A6C87A" w14:textId="102E2160" w:rsidR="005B0D40" w:rsidRDefault="00953E98" w:rsidP="00B901A2">
      <w:pPr>
        <w:spacing w:after="0" w:line="240" w:lineRule="auto"/>
        <w:rPr>
          <w:b/>
          <w:bCs/>
          <w:sz w:val="24"/>
          <w:szCs w:val="24"/>
        </w:rPr>
      </w:pPr>
      <w:r w:rsidRPr="005F07C5">
        <w:rPr>
          <w:b/>
          <w:bCs/>
          <w:sz w:val="24"/>
          <w:szCs w:val="24"/>
        </w:rPr>
        <w:t>Operating Expenses</w:t>
      </w:r>
    </w:p>
    <w:p w14:paraId="2BF1ED6A" w14:textId="0C7B999B" w:rsidR="00912D73" w:rsidRDefault="003717A5" w:rsidP="00B901A2">
      <w:pPr>
        <w:spacing w:after="0" w:line="240" w:lineRule="auto"/>
        <w:rPr>
          <w:sz w:val="24"/>
          <w:szCs w:val="24"/>
        </w:rPr>
      </w:pPr>
      <w:r>
        <w:rPr>
          <w:sz w:val="24"/>
          <w:szCs w:val="24"/>
        </w:rPr>
        <w:t xml:space="preserve">Operating expenses included in the analysis are salaries, employee benefits, supplies, professional fees and purchased services, state taxes, interest, and depreciation and </w:t>
      </w:r>
      <w:r w:rsidR="00A614E1">
        <w:rPr>
          <w:sz w:val="24"/>
          <w:szCs w:val="24"/>
        </w:rPr>
        <w:t>amortization</w:t>
      </w:r>
      <w:r>
        <w:rPr>
          <w:sz w:val="24"/>
          <w:szCs w:val="24"/>
        </w:rPr>
        <w:t xml:space="preserve">. </w:t>
      </w:r>
      <w:r w:rsidR="008A1A03">
        <w:rPr>
          <w:sz w:val="24"/>
          <w:szCs w:val="24"/>
        </w:rPr>
        <w:t xml:space="preserve">The CPA </w:t>
      </w:r>
      <w:r w:rsidR="002D521C">
        <w:rPr>
          <w:sz w:val="24"/>
          <w:szCs w:val="24"/>
        </w:rPr>
        <w:t xml:space="preserve">adjusted 2021 baseline with projection for additional COVID-19 expenditures with an annualized impact of approximately $293,000 added to the base year through the end of the projection period. Operating expenses are also set to increase 2% annually for inflation in major expense categories. </w:t>
      </w:r>
    </w:p>
    <w:p w14:paraId="7CC087F3" w14:textId="012C81C6" w:rsidR="002D521C" w:rsidRDefault="002D521C" w:rsidP="00B901A2">
      <w:pPr>
        <w:spacing w:after="0" w:line="240" w:lineRule="auto"/>
        <w:rPr>
          <w:sz w:val="24"/>
          <w:szCs w:val="24"/>
        </w:rPr>
      </w:pPr>
    </w:p>
    <w:p w14:paraId="237B2C39" w14:textId="29DDA298" w:rsidR="002D521C" w:rsidRDefault="002D521C" w:rsidP="00B901A2">
      <w:pPr>
        <w:spacing w:after="0" w:line="240" w:lineRule="auto"/>
        <w:rPr>
          <w:sz w:val="24"/>
          <w:szCs w:val="24"/>
        </w:rPr>
      </w:pPr>
      <w:r>
        <w:rPr>
          <w:sz w:val="24"/>
          <w:szCs w:val="24"/>
        </w:rPr>
        <w:t xml:space="preserve">Annual employment expenses include wages for 2,080 hours of time, federal and state payroll taxes, health insurance, worker’s compensation, pension costs, and other miscellaneous </w:t>
      </w:r>
      <w:r>
        <w:rPr>
          <w:sz w:val="24"/>
          <w:szCs w:val="24"/>
        </w:rPr>
        <w:lastRenderedPageBreak/>
        <w:t xml:space="preserve">benefits. The benefits account for approximately 20% of the wages. Upon the completion of the Replacement Facility, additional staffing needs are projected to be $357,000 in 2024 and $713,000 in 2025. </w:t>
      </w:r>
    </w:p>
    <w:p w14:paraId="471EC36A" w14:textId="14E9DA4C" w:rsidR="002D521C" w:rsidRDefault="002D521C" w:rsidP="00B901A2">
      <w:pPr>
        <w:spacing w:after="0" w:line="240" w:lineRule="auto"/>
        <w:rPr>
          <w:sz w:val="24"/>
          <w:szCs w:val="24"/>
        </w:rPr>
      </w:pPr>
    </w:p>
    <w:p w14:paraId="6A6855BF" w14:textId="7FA1C8D2" w:rsidR="002D521C" w:rsidRDefault="002D521C" w:rsidP="00B901A2">
      <w:pPr>
        <w:spacing w:after="0" w:line="240" w:lineRule="auto"/>
        <w:rPr>
          <w:sz w:val="24"/>
          <w:szCs w:val="24"/>
        </w:rPr>
      </w:pPr>
      <w:r>
        <w:rPr>
          <w:sz w:val="24"/>
          <w:szCs w:val="24"/>
        </w:rPr>
        <w:t xml:space="preserve">In non-salaried expenses, general and administrative costs include liability insurance, accounting and legal fees, computer expenses, professional fees, telephone and internet service, and marketing costs. </w:t>
      </w:r>
      <w:r w:rsidR="009B6CDB">
        <w:rPr>
          <w:sz w:val="24"/>
          <w:szCs w:val="24"/>
        </w:rPr>
        <w:t>A</w:t>
      </w:r>
      <w:r>
        <w:rPr>
          <w:sz w:val="24"/>
          <w:szCs w:val="24"/>
        </w:rPr>
        <w:t xml:space="preserve">lso </w:t>
      </w:r>
      <w:r w:rsidR="009B6CDB">
        <w:rPr>
          <w:sz w:val="24"/>
          <w:szCs w:val="24"/>
        </w:rPr>
        <w:t xml:space="preserve">included are </w:t>
      </w:r>
      <w:r>
        <w:rPr>
          <w:sz w:val="24"/>
          <w:szCs w:val="24"/>
        </w:rPr>
        <w:t xml:space="preserve">dietary food serve costs, plan operations, housekeeping, laundry and linen costs. There is also nursing support, social services, recreation, and ancillaries. These also include any professional consultants used for healthcare. Above non-salaried cost categories are all assumed to experience a 2% annual inflationary increase throughout the projection period. Utilities, upon completion of the Replacement Facility, are assumed to add $250,000 of expenses in 2024. </w:t>
      </w:r>
    </w:p>
    <w:p w14:paraId="6CEB3C67" w14:textId="17791BEE" w:rsidR="00795721" w:rsidRDefault="00795721" w:rsidP="00B901A2">
      <w:pPr>
        <w:spacing w:after="0" w:line="240" w:lineRule="auto"/>
        <w:rPr>
          <w:sz w:val="24"/>
          <w:szCs w:val="24"/>
        </w:rPr>
      </w:pPr>
    </w:p>
    <w:p w14:paraId="1C312B24" w14:textId="47137B04" w:rsidR="00795721" w:rsidRDefault="00795721" w:rsidP="00B901A2">
      <w:pPr>
        <w:spacing w:after="0" w:line="240" w:lineRule="auto"/>
        <w:rPr>
          <w:sz w:val="24"/>
          <w:szCs w:val="24"/>
        </w:rPr>
      </w:pPr>
      <w:r>
        <w:rPr>
          <w:sz w:val="24"/>
          <w:szCs w:val="24"/>
        </w:rPr>
        <w:t xml:space="preserve">Depreciations are expected to occur gradually to break even throughout the projection period. </w:t>
      </w:r>
      <w:r w:rsidR="00B16F61">
        <w:rPr>
          <w:sz w:val="24"/>
          <w:szCs w:val="24"/>
        </w:rPr>
        <w:t xml:space="preserve">The CPA reports the useful lives of property and equipment for computing depreciations are: 1) building – 40 years, 2) equipment – 5 to 10 years, and 3) leasehold improvements – 20 years. </w:t>
      </w:r>
    </w:p>
    <w:p w14:paraId="7DFE7AC9" w14:textId="3A3B0C5A" w:rsidR="00B901A2" w:rsidRPr="008F310F" w:rsidRDefault="00B901A2" w:rsidP="00B901A2">
      <w:pPr>
        <w:spacing w:after="0" w:line="240" w:lineRule="auto"/>
        <w:rPr>
          <w:sz w:val="24"/>
          <w:szCs w:val="24"/>
        </w:rPr>
      </w:pPr>
    </w:p>
    <w:p w14:paraId="155E0B48" w14:textId="5E88CEB7" w:rsidR="005B0D40" w:rsidRDefault="00953E98" w:rsidP="00B901A2">
      <w:pPr>
        <w:spacing w:after="0" w:line="240" w:lineRule="auto"/>
        <w:rPr>
          <w:b/>
          <w:bCs/>
          <w:sz w:val="24"/>
          <w:szCs w:val="24"/>
        </w:rPr>
      </w:pPr>
      <w:r w:rsidRPr="005F07C5">
        <w:rPr>
          <w:b/>
          <w:bCs/>
          <w:sz w:val="24"/>
          <w:szCs w:val="24"/>
        </w:rPr>
        <w:t>Capital Expenditures and Cash Flows</w:t>
      </w:r>
    </w:p>
    <w:p w14:paraId="767EE795" w14:textId="27EAFFC7" w:rsidR="00475BBD" w:rsidRDefault="009D3992" w:rsidP="00B901A2">
      <w:pPr>
        <w:spacing w:after="0" w:line="240" w:lineRule="auto"/>
        <w:rPr>
          <w:sz w:val="24"/>
          <w:szCs w:val="24"/>
        </w:rPr>
      </w:pPr>
      <w:r>
        <w:rPr>
          <w:sz w:val="24"/>
          <w:szCs w:val="24"/>
        </w:rPr>
        <w:t>The CPA reviewed the project costs</w:t>
      </w:r>
      <w:r w:rsidR="00875D69">
        <w:rPr>
          <w:sz w:val="24"/>
          <w:szCs w:val="24"/>
        </w:rPr>
        <w:t xml:space="preserve"> and cash flows. The Applicant’s loan portfolio is comprised of unsecured related party loans receivable from the shareholder that bear interest at the applicable federal rate 0.36% with no fixed repayment terms for the projected period. The </w:t>
      </w:r>
      <w:r w:rsidR="00B02F1A">
        <w:rPr>
          <w:sz w:val="24"/>
          <w:szCs w:val="24"/>
        </w:rPr>
        <w:t>related</w:t>
      </w:r>
      <w:r w:rsidR="00875D69">
        <w:rPr>
          <w:sz w:val="24"/>
          <w:szCs w:val="24"/>
        </w:rPr>
        <w:t xml:space="preserve"> Party Receivable is approximately $338,000 which is assumed to remain consistent throughout the projected period. </w:t>
      </w:r>
    </w:p>
    <w:p w14:paraId="4482007F" w14:textId="77777777" w:rsidR="00475BBD" w:rsidRDefault="00475BBD" w:rsidP="00B901A2">
      <w:pPr>
        <w:spacing w:after="0" w:line="240" w:lineRule="auto"/>
        <w:rPr>
          <w:sz w:val="24"/>
          <w:szCs w:val="24"/>
        </w:rPr>
      </w:pPr>
    </w:p>
    <w:p w14:paraId="416F3738" w14:textId="19275418" w:rsidR="009D3992" w:rsidRDefault="00475BBD" w:rsidP="00B901A2">
      <w:pPr>
        <w:spacing w:after="0" w:line="240" w:lineRule="auto"/>
        <w:rPr>
          <w:sz w:val="24"/>
          <w:szCs w:val="24"/>
        </w:rPr>
      </w:pPr>
      <w:r>
        <w:rPr>
          <w:sz w:val="24"/>
          <w:szCs w:val="24"/>
        </w:rPr>
        <w:t xml:space="preserve">For the Applicant’s </w:t>
      </w:r>
      <w:proofErr w:type="gramStart"/>
      <w:r>
        <w:rPr>
          <w:sz w:val="24"/>
          <w:szCs w:val="24"/>
        </w:rPr>
        <w:t>current status</w:t>
      </w:r>
      <w:proofErr w:type="gramEnd"/>
      <w:r>
        <w:rPr>
          <w:sz w:val="24"/>
          <w:szCs w:val="24"/>
        </w:rPr>
        <w:t xml:space="preserve"> under the Internal Revenue Code, it is not subject to any federal taxes on its taxable income. However, stockholders are liable for income taxes on their share. </w:t>
      </w:r>
      <w:r w:rsidR="00AD3353">
        <w:rPr>
          <w:sz w:val="24"/>
          <w:szCs w:val="24"/>
        </w:rPr>
        <w:t>The CPA assumed future tax rates for the state will approximate current tax rates 3% at the beginning.</w:t>
      </w:r>
      <w:r w:rsidR="00B16F61">
        <w:rPr>
          <w:sz w:val="24"/>
          <w:szCs w:val="24"/>
        </w:rPr>
        <w:t xml:space="preserve"> </w:t>
      </w:r>
      <w:r w:rsidR="00575AD4">
        <w:rPr>
          <w:sz w:val="24"/>
          <w:szCs w:val="24"/>
        </w:rPr>
        <w:t xml:space="preserve">Amortization charged to operations for the projection period was approximately $6,000 for the years 2021-2023 and $15,000 for 2024-2026. </w:t>
      </w:r>
    </w:p>
    <w:p w14:paraId="5298B211" w14:textId="486C5AC7" w:rsidR="00E5413B" w:rsidRDefault="00E5413B" w:rsidP="00B901A2">
      <w:pPr>
        <w:spacing w:after="0" w:line="240" w:lineRule="auto"/>
        <w:rPr>
          <w:b/>
          <w:bCs/>
          <w:sz w:val="24"/>
          <w:szCs w:val="24"/>
        </w:rPr>
      </w:pPr>
    </w:p>
    <w:p w14:paraId="7FE3720F" w14:textId="7CA2189F" w:rsidR="00BE0415" w:rsidRPr="00BE0415" w:rsidRDefault="009B6CDB" w:rsidP="00B901A2">
      <w:pPr>
        <w:spacing w:after="0" w:line="240" w:lineRule="auto"/>
        <w:rPr>
          <w:sz w:val="24"/>
          <w:szCs w:val="24"/>
        </w:rPr>
      </w:pPr>
      <w:proofErr w:type="gramStart"/>
      <w:r>
        <w:rPr>
          <w:sz w:val="24"/>
          <w:szCs w:val="24"/>
        </w:rPr>
        <w:t>In regard to</w:t>
      </w:r>
      <w:proofErr w:type="gramEnd"/>
      <w:r w:rsidR="00BE0415">
        <w:rPr>
          <w:sz w:val="24"/>
          <w:szCs w:val="24"/>
        </w:rPr>
        <w:t xml:space="preserve"> revenues from third party payors (Medicare, Medicaid, </w:t>
      </w:r>
      <w:r w:rsidR="004B1076">
        <w:rPr>
          <w:sz w:val="24"/>
          <w:szCs w:val="24"/>
        </w:rPr>
        <w:t xml:space="preserve">HMO, patient) from goods and services that transfer over to the customer over a period of time, they are projected to range from approximately $5.0 million in 2021 to $5.8 million in 2023, then with the completion of the Replacement Facility, starting at $8.1 million in 2024 to $9.5 million in 2026. </w:t>
      </w:r>
    </w:p>
    <w:p w14:paraId="549649AD" w14:textId="77777777" w:rsidR="00E316A1" w:rsidRDefault="00E316A1" w:rsidP="00B901A2">
      <w:pPr>
        <w:spacing w:after="0" w:line="240" w:lineRule="auto"/>
        <w:rPr>
          <w:b/>
          <w:bCs/>
          <w:sz w:val="24"/>
          <w:szCs w:val="24"/>
        </w:rPr>
      </w:pPr>
    </w:p>
    <w:p w14:paraId="373C5D9F" w14:textId="780AE23E" w:rsidR="005B0D40" w:rsidRDefault="00953E98" w:rsidP="00B901A2">
      <w:pPr>
        <w:spacing w:after="0" w:line="240" w:lineRule="auto"/>
        <w:rPr>
          <w:b/>
          <w:bCs/>
          <w:sz w:val="24"/>
          <w:szCs w:val="24"/>
        </w:rPr>
      </w:pPr>
      <w:r w:rsidRPr="005F07C5">
        <w:rPr>
          <w:b/>
          <w:bCs/>
          <w:sz w:val="24"/>
          <w:szCs w:val="24"/>
        </w:rPr>
        <w:t>CPA’s Conclusion of Feasibility</w:t>
      </w:r>
    </w:p>
    <w:p w14:paraId="23B15C58" w14:textId="20145CD5" w:rsidR="005038CE" w:rsidRDefault="00903A04" w:rsidP="007471AD">
      <w:pPr>
        <w:spacing w:after="0" w:line="240" w:lineRule="auto"/>
        <w:rPr>
          <w:sz w:val="24"/>
          <w:szCs w:val="24"/>
        </w:rPr>
      </w:pPr>
      <w:r>
        <w:rPr>
          <w:sz w:val="24"/>
          <w:szCs w:val="24"/>
        </w:rPr>
        <w:t xml:space="preserve">The CPA predicts that the Replacement Facility will bring significant revenue starting in 2024. From the provided </w:t>
      </w:r>
      <w:r w:rsidR="00DB352E">
        <w:rPr>
          <w:sz w:val="24"/>
          <w:szCs w:val="24"/>
        </w:rPr>
        <w:t xml:space="preserve">projected revenue for </w:t>
      </w:r>
      <w:r w:rsidR="00152022">
        <w:rPr>
          <w:sz w:val="24"/>
          <w:szCs w:val="24"/>
        </w:rPr>
        <w:t>Palmer</w:t>
      </w:r>
      <w:r w:rsidR="00DB352E">
        <w:rPr>
          <w:sz w:val="24"/>
          <w:szCs w:val="24"/>
        </w:rPr>
        <w:t xml:space="preserve"> for FY2021-2</w:t>
      </w:r>
      <w:r w:rsidR="00152022">
        <w:rPr>
          <w:sz w:val="24"/>
          <w:szCs w:val="24"/>
        </w:rPr>
        <w:t>6</w:t>
      </w:r>
      <w:r w:rsidR="005038CE">
        <w:rPr>
          <w:sz w:val="24"/>
          <w:szCs w:val="24"/>
        </w:rPr>
        <w:t xml:space="preserve">, the CPA found </w:t>
      </w:r>
      <w:r>
        <w:rPr>
          <w:sz w:val="24"/>
          <w:szCs w:val="24"/>
        </w:rPr>
        <w:t xml:space="preserve">the Proposed Project </w:t>
      </w:r>
      <w:r w:rsidR="005038CE">
        <w:rPr>
          <w:sz w:val="24"/>
          <w:szCs w:val="24"/>
        </w:rPr>
        <w:t xml:space="preserve">to be reasonable and feasible. </w:t>
      </w:r>
      <w:r w:rsidR="005F7923" w:rsidRPr="005F7923">
        <w:rPr>
          <w:sz w:val="24"/>
          <w:szCs w:val="24"/>
        </w:rPr>
        <w:t>Earnings before Interest, Depreciation and Amortization (EBIDA)</w:t>
      </w:r>
      <w:r w:rsidR="005F7923">
        <w:rPr>
          <w:sz w:val="24"/>
          <w:szCs w:val="24"/>
        </w:rPr>
        <w:t xml:space="preserve"> margin for the Applicant was 17.3% in 2019 and projected to be 25.2% in 2026. This is well-above the top quartile which demonstrates the Applicant’s ability to contain and control operating cost.</w:t>
      </w:r>
      <w:r w:rsidR="007471AD">
        <w:rPr>
          <w:sz w:val="24"/>
          <w:szCs w:val="24"/>
        </w:rPr>
        <w:t xml:space="preserve"> </w:t>
      </w:r>
      <w:r w:rsidR="005038CE">
        <w:rPr>
          <w:sz w:val="24"/>
          <w:szCs w:val="24"/>
        </w:rPr>
        <w:t>The CPA determined that the Projections are reasonable and feasible and not likely to have a negative impact on the Patient Panel</w:t>
      </w:r>
      <w:r w:rsidR="00250986">
        <w:rPr>
          <w:sz w:val="24"/>
          <w:szCs w:val="24"/>
        </w:rPr>
        <w:t xml:space="preserve"> or result in the liquidation of </w:t>
      </w:r>
      <w:r>
        <w:rPr>
          <w:sz w:val="24"/>
          <w:szCs w:val="24"/>
        </w:rPr>
        <w:t>Palmer Healthcare Center.</w:t>
      </w:r>
    </w:p>
    <w:p w14:paraId="5DF084D0" w14:textId="0F3B4B2A" w:rsidR="00C54135" w:rsidRDefault="00C54135" w:rsidP="005F07C5">
      <w:pPr>
        <w:spacing w:line="240" w:lineRule="auto"/>
        <w:rPr>
          <w:sz w:val="24"/>
          <w:szCs w:val="24"/>
        </w:rPr>
      </w:pPr>
    </w:p>
    <w:p w14:paraId="71CC8064" w14:textId="77777777" w:rsidR="00953E98" w:rsidRPr="005F07C5" w:rsidRDefault="00953E98" w:rsidP="005F07C5">
      <w:pPr>
        <w:spacing w:after="0" w:line="240" w:lineRule="auto"/>
        <w:rPr>
          <w:b/>
          <w:bCs/>
          <w:i/>
          <w:iCs/>
          <w:sz w:val="24"/>
          <w:szCs w:val="24"/>
        </w:rPr>
      </w:pPr>
      <w:r w:rsidRPr="005F07C5">
        <w:rPr>
          <w:b/>
          <w:bCs/>
          <w:i/>
          <w:iCs/>
          <w:sz w:val="24"/>
          <w:szCs w:val="24"/>
        </w:rPr>
        <w:t xml:space="preserve">Analysis </w:t>
      </w:r>
    </w:p>
    <w:p w14:paraId="558E8B73" w14:textId="725770E1" w:rsidR="0012183F" w:rsidRPr="0012183F" w:rsidRDefault="0012183F" w:rsidP="003F110D">
      <w:pPr>
        <w:spacing w:line="240" w:lineRule="auto"/>
        <w:rPr>
          <w:rFonts w:cstheme="minorHAnsi"/>
          <w:sz w:val="24"/>
          <w:szCs w:val="24"/>
        </w:rPr>
      </w:pPr>
      <w:r w:rsidRPr="0012183F">
        <w:rPr>
          <w:rFonts w:cstheme="minorHAnsi"/>
          <w:sz w:val="24"/>
          <w:szCs w:val="24"/>
        </w:rPr>
        <w:t xml:space="preserve">Staff </w:t>
      </w:r>
      <w:r w:rsidR="00985B32">
        <w:rPr>
          <w:rFonts w:cstheme="minorHAnsi"/>
          <w:sz w:val="24"/>
          <w:szCs w:val="24"/>
        </w:rPr>
        <w:t xml:space="preserve">finds that the </w:t>
      </w:r>
      <w:r w:rsidR="00985B32" w:rsidRPr="00985B32">
        <w:rPr>
          <w:rFonts w:cstheme="minorHAnsi"/>
          <w:sz w:val="24"/>
          <w:szCs w:val="24"/>
        </w:rPr>
        <w:t>Applicant has provided sufficient documentation of the availability of sufficient funds for capital and ongoing operating costs necessary to support the Proposed Project without negative impacts or consequences to the Applicant’s Patient Panel</w:t>
      </w:r>
      <w:r w:rsidRPr="0012183F">
        <w:rPr>
          <w:rFonts w:cstheme="minorHAnsi"/>
          <w:sz w:val="24"/>
          <w:szCs w:val="24"/>
        </w:rPr>
        <w:t xml:space="preserve">. </w:t>
      </w:r>
      <w:proofErr w:type="gramStart"/>
      <w:r w:rsidRPr="0012183F">
        <w:rPr>
          <w:rFonts w:cstheme="minorHAnsi"/>
          <w:sz w:val="24"/>
          <w:szCs w:val="24"/>
        </w:rPr>
        <w:t>As a result</w:t>
      </w:r>
      <w:proofErr w:type="gramEnd"/>
      <w:r w:rsidRPr="0012183F">
        <w:rPr>
          <w:rFonts w:cstheme="minorHAnsi"/>
          <w:sz w:val="24"/>
          <w:szCs w:val="24"/>
        </w:rPr>
        <w:t>, Staff finds the CPA analysis to be acceptable and that the Applicant has met the requirements of Factor 4.</w:t>
      </w:r>
    </w:p>
    <w:p w14:paraId="48A84FDE" w14:textId="48C6B1F7" w:rsidR="00953E98" w:rsidRDefault="00953E98"/>
    <w:p w14:paraId="3449C1AF" w14:textId="076E1A70" w:rsidR="003346C7" w:rsidRPr="003346C7" w:rsidRDefault="003346C7">
      <w:pPr>
        <w:rPr>
          <w:b/>
          <w:bCs/>
          <w:sz w:val="28"/>
          <w:szCs w:val="28"/>
        </w:rPr>
      </w:pPr>
      <w:r w:rsidRPr="003346C7">
        <w:rPr>
          <w:b/>
          <w:bCs/>
          <w:sz w:val="28"/>
          <w:szCs w:val="28"/>
        </w:rPr>
        <w:t xml:space="preserve">Factor 5: Assessment of the Proposed Project’s Relative Merit </w:t>
      </w:r>
    </w:p>
    <w:p w14:paraId="14ADBF75" w14:textId="77777777" w:rsidR="003346C7" w:rsidRPr="005F07C5" w:rsidRDefault="003346C7" w:rsidP="005F07C5">
      <w:pPr>
        <w:spacing w:line="240" w:lineRule="auto"/>
        <w:rPr>
          <w:sz w:val="24"/>
          <w:szCs w:val="24"/>
        </w:rPr>
      </w:pPr>
      <w:r w:rsidRPr="005F07C5">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5F07C5">
        <w:rPr>
          <w:sz w:val="24"/>
          <w:szCs w:val="24"/>
        </w:rPr>
        <w:t>take into account</w:t>
      </w:r>
      <w:proofErr w:type="gramEnd"/>
      <w:r w:rsidRPr="005F07C5">
        <w:rPr>
          <w:sz w:val="24"/>
          <w:szCs w:val="24"/>
        </w:rPr>
        <w:t xml:space="preserve">, at a minimum, the quality, efficiency, and capital and operating costs of the Proposed Project relative to potential alternatives or substitutes, including alternative evidence-based strategies and public health interventions. </w:t>
      </w:r>
    </w:p>
    <w:p w14:paraId="6DECE518" w14:textId="53E32087" w:rsidR="000B4E69" w:rsidRPr="006641D0" w:rsidRDefault="003346C7" w:rsidP="00CE361A">
      <w:pPr>
        <w:spacing w:after="0" w:line="240" w:lineRule="auto"/>
        <w:rPr>
          <w:b/>
          <w:bCs/>
          <w:sz w:val="24"/>
          <w:szCs w:val="24"/>
        </w:rPr>
      </w:pPr>
      <w:r w:rsidRPr="005F07C5">
        <w:rPr>
          <w:sz w:val="24"/>
          <w:szCs w:val="24"/>
        </w:rPr>
        <w:t>The Applicant considered and rejected</w:t>
      </w:r>
      <w:r w:rsidR="000B4E69">
        <w:rPr>
          <w:sz w:val="24"/>
          <w:szCs w:val="24"/>
        </w:rPr>
        <w:t xml:space="preserve"> the following alternatives to the Proposed Project because they were </w:t>
      </w:r>
      <w:r w:rsidR="000B4E69" w:rsidRPr="000B4E69">
        <w:rPr>
          <w:sz w:val="24"/>
          <w:szCs w:val="24"/>
        </w:rPr>
        <w:t xml:space="preserve">cost-prohibitive, shorter-term solutions, </w:t>
      </w:r>
      <w:r w:rsidR="00092167">
        <w:rPr>
          <w:sz w:val="24"/>
          <w:szCs w:val="24"/>
        </w:rPr>
        <w:t>which</w:t>
      </w:r>
      <w:r w:rsidR="000B4E69">
        <w:rPr>
          <w:sz w:val="24"/>
          <w:szCs w:val="24"/>
        </w:rPr>
        <w:t xml:space="preserve"> </w:t>
      </w:r>
      <w:r w:rsidR="000B4E69" w:rsidRPr="000B4E69">
        <w:rPr>
          <w:sz w:val="24"/>
          <w:szCs w:val="24"/>
        </w:rPr>
        <w:t>d</w:t>
      </w:r>
      <w:r w:rsidR="00BE0AC7">
        <w:rPr>
          <w:sz w:val="24"/>
          <w:szCs w:val="24"/>
        </w:rPr>
        <w:t xml:space="preserve">id </w:t>
      </w:r>
      <w:r w:rsidR="000B4E69" w:rsidRPr="000B4E69">
        <w:rPr>
          <w:sz w:val="24"/>
          <w:szCs w:val="24"/>
        </w:rPr>
        <w:t xml:space="preserve">not provide </w:t>
      </w:r>
      <w:r w:rsidR="00BE0AC7">
        <w:rPr>
          <w:sz w:val="24"/>
          <w:szCs w:val="24"/>
        </w:rPr>
        <w:t xml:space="preserve">the </w:t>
      </w:r>
      <w:r w:rsidR="000B4E69" w:rsidRPr="000B4E69">
        <w:rPr>
          <w:sz w:val="24"/>
          <w:szCs w:val="24"/>
        </w:rPr>
        <w:t xml:space="preserve">needed physical and </w:t>
      </w:r>
      <w:r w:rsidR="00BE0AC7">
        <w:rPr>
          <w:sz w:val="24"/>
          <w:szCs w:val="24"/>
        </w:rPr>
        <w:t>f</w:t>
      </w:r>
      <w:r w:rsidR="000B4E69" w:rsidRPr="000B4E69">
        <w:rPr>
          <w:sz w:val="24"/>
          <w:szCs w:val="24"/>
        </w:rPr>
        <w:t>iscal efficiencies for best practice of care delivery and patient experience</w:t>
      </w:r>
      <w:r w:rsidR="000B4E69">
        <w:rPr>
          <w:sz w:val="24"/>
          <w:szCs w:val="24"/>
        </w:rPr>
        <w:t>:</w:t>
      </w:r>
    </w:p>
    <w:p w14:paraId="32EED67D" w14:textId="07458DFD" w:rsidR="006641D0" w:rsidRPr="000B3AB8" w:rsidRDefault="000E75CB" w:rsidP="000B3AB8">
      <w:pPr>
        <w:pStyle w:val="ListParagraph"/>
        <w:numPr>
          <w:ilvl w:val="0"/>
          <w:numId w:val="42"/>
        </w:numPr>
        <w:spacing w:after="0" w:line="240" w:lineRule="auto"/>
        <w:rPr>
          <w:i/>
          <w:iCs/>
          <w:sz w:val="24"/>
          <w:szCs w:val="24"/>
        </w:rPr>
      </w:pPr>
      <w:r>
        <w:rPr>
          <w:i/>
          <w:iCs/>
          <w:sz w:val="24"/>
          <w:szCs w:val="24"/>
          <w:u w:val="single"/>
        </w:rPr>
        <w:t xml:space="preserve">Current </w:t>
      </w:r>
      <w:r w:rsidR="006641D0" w:rsidRPr="006641D0">
        <w:rPr>
          <w:i/>
          <w:iCs/>
          <w:sz w:val="24"/>
          <w:szCs w:val="24"/>
          <w:u w:val="single"/>
        </w:rPr>
        <w:t>Proposal</w:t>
      </w:r>
      <w:r w:rsidR="006641D0">
        <w:rPr>
          <w:i/>
          <w:iCs/>
          <w:sz w:val="24"/>
          <w:szCs w:val="24"/>
        </w:rPr>
        <w:t>: Constructing a new modern state-of-the art de-d</w:t>
      </w:r>
      <w:r w:rsidR="006641D0">
        <w:rPr>
          <w:rFonts w:eastAsia="Calibri" w:cstheme="minorHAnsi"/>
          <w:sz w:val="24"/>
          <w:szCs w:val="24"/>
        </w:rPr>
        <w:t>ensified 82-bed replacement facility on the same campus as the Facility</w:t>
      </w:r>
      <w:r w:rsidR="000B3AB8">
        <w:rPr>
          <w:rFonts w:eastAsia="Calibri" w:cstheme="minorHAnsi"/>
          <w:sz w:val="24"/>
          <w:szCs w:val="24"/>
        </w:rPr>
        <w:br/>
      </w:r>
      <w:r w:rsidR="006641D0" w:rsidRPr="000B3AB8">
        <w:rPr>
          <w:i/>
          <w:iCs/>
          <w:sz w:val="24"/>
          <w:szCs w:val="24"/>
          <w:u w:val="single"/>
        </w:rPr>
        <w:t>Quality</w:t>
      </w:r>
      <w:r w:rsidR="006641D0" w:rsidRPr="000B3AB8">
        <w:rPr>
          <w:i/>
          <w:iCs/>
          <w:sz w:val="24"/>
          <w:szCs w:val="24"/>
        </w:rPr>
        <w:t>: This would enable the Applicant to comply with the D</w:t>
      </w:r>
      <w:r>
        <w:rPr>
          <w:i/>
          <w:iCs/>
          <w:sz w:val="24"/>
          <w:szCs w:val="24"/>
        </w:rPr>
        <w:t>e</w:t>
      </w:r>
      <w:r w:rsidR="006641D0" w:rsidRPr="000B3AB8">
        <w:rPr>
          <w:i/>
          <w:iCs/>
          <w:sz w:val="24"/>
          <w:szCs w:val="24"/>
        </w:rPr>
        <w:t xml:space="preserve">-Densification Requirements and modernize its old facility so it can continue to care for the patient panel. </w:t>
      </w:r>
      <w:r w:rsidR="000B3AB8">
        <w:rPr>
          <w:i/>
          <w:iCs/>
          <w:sz w:val="24"/>
          <w:szCs w:val="24"/>
        </w:rPr>
        <w:br/>
      </w:r>
      <w:r w:rsidR="006641D0" w:rsidRPr="000B3AB8">
        <w:rPr>
          <w:i/>
          <w:iCs/>
          <w:sz w:val="24"/>
          <w:szCs w:val="24"/>
          <w:u w:val="single"/>
        </w:rPr>
        <w:t>Efficiency</w:t>
      </w:r>
      <w:r w:rsidR="006641D0" w:rsidRPr="000B3AB8">
        <w:rPr>
          <w:i/>
          <w:iCs/>
          <w:sz w:val="24"/>
          <w:szCs w:val="24"/>
        </w:rPr>
        <w:t xml:space="preserve">: The Proposed Project will allow the Facility to operate more efficiently and more cost-effectively. </w:t>
      </w:r>
    </w:p>
    <w:p w14:paraId="1F58EB21" w14:textId="17B0FD0B" w:rsidR="000B3AB8" w:rsidRPr="006641D0" w:rsidRDefault="000B3AB8" w:rsidP="000B3AB8">
      <w:pPr>
        <w:pStyle w:val="ListParagraph"/>
        <w:numPr>
          <w:ilvl w:val="0"/>
          <w:numId w:val="42"/>
        </w:numPr>
        <w:spacing w:after="0" w:line="240" w:lineRule="auto"/>
        <w:rPr>
          <w:i/>
          <w:iCs/>
          <w:sz w:val="24"/>
          <w:szCs w:val="24"/>
        </w:rPr>
      </w:pPr>
      <w:r>
        <w:rPr>
          <w:i/>
          <w:iCs/>
          <w:sz w:val="24"/>
          <w:szCs w:val="24"/>
          <w:u w:val="single"/>
        </w:rPr>
        <w:t>Alternative Proposal</w:t>
      </w:r>
      <w:r w:rsidRPr="000B3AB8">
        <w:rPr>
          <w:i/>
          <w:iCs/>
          <w:sz w:val="24"/>
          <w:szCs w:val="24"/>
        </w:rPr>
        <w:t>:</w:t>
      </w:r>
      <w:r>
        <w:rPr>
          <w:i/>
          <w:iCs/>
          <w:sz w:val="24"/>
          <w:szCs w:val="24"/>
        </w:rPr>
        <w:t xml:space="preserve"> There is no alternative proposal to the Proposed Project. The Applicant is precluded from renovating the current facility due to zoning, abutting wetlands, and parking limitations which do not allow for compliance with the De-Densification Requirements.</w:t>
      </w:r>
    </w:p>
    <w:p w14:paraId="02E88BEB" w14:textId="39AADE93" w:rsidR="006641D0" w:rsidRDefault="006641D0" w:rsidP="005F07C5">
      <w:pPr>
        <w:spacing w:after="0" w:line="240" w:lineRule="auto"/>
        <w:rPr>
          <w:b/>
          <w:bCs/>
          <w:i/>
          <w:iCs/>
          <w:sz w:val="24"/>
          <w:szCs w:val="24"/>
        </w:rPr>
      </w:pPr>
    </w:p>
    <w:p w14:paraId="6B298CA2" w14:textId="7197812C" w:rsidR="004A6ADF" w:rsidRDefault="00B81C13" w:rsidP="005F07C5">
      <w:pPr>
        <w:spacing w:after="0" w:line="240" w:lineRule="auto"/>
        <w:rPr>
          <w:sz w:val="24"/>
          <w:szCs w:val="24"/>
        </w:rPr>
      </w:pPr>
      <w:r>
        <w:rPr>
          <w:sz w:val="24"/>
          <w:szCs w:val="24"/>
        </w:rPr>
        <w:t>The Applicant asserts that the primary proposal above would be the only option to meet the needs of 1) new</w:t>
      </w:r>
      <w:r w:rsidR="00A43D38">
        <w:rPr>
          <w:sz w:val="24"/>
          <w:szCs w:val="24"/>
        </w:rPr>
        <w:t xml:space="preserve"> De-densification</w:t>
      </w:r>
      <w:r>
        <w:rPr>
          <w:sz w:val="24"/>
          <w:szCs w:val="24"/>
        </w:rPr>
        <w:t xml:space="preserve"> regulations 2) patients and 3) need for infection control </w:t>
      </w:r>
      <w:r w:rsidR="00CA4779">
        <w:rPr>
          <w:sz w:val="24"/>
          <w:szCs w:val="24"/>
        </w:rPr>
        <w:t>based on lessons learned during the</w:t>
      </w:r>
      <w:r>
        <w:rPr>
          <w:sz w:val="24"/>
          <w:szCs w:val="24"/>
        </w:rPr>
        <w:t xml:space="preserve"> pandemic. </w:t>
      </w:r>
    </w:p>
    <w:p w14:paraId="0DD05713" w14:textId="77777777" w:rsidR="00B81C13" w:rsidRPr="00B81C13" w:rsidRDefault="00B81C13" w:rsidP="005F07C5">
      <w:pPr>
        <w:spacing w:after="0" w:line="240" w:lineRule="auto"/>
        <w:rPr>
          <w:sz w:val="24"/>
          <w:szCs w:val="24"/>
        </w:rPr>
      </w:pPr>
    </w:p>
    <w:p w14:paraId="77952E2B" w14:textId="493B4C3D" w:rsidR="003346C7" w:rsidRPr="005F07C5" w:rsidRDefault="003346C7" w:rsidP="005F07C5">
      <w:pPr>
        <w:spacing w:after="0" w:line="240" w:lineRule="auto"/>
        <w:rPr>
          <w:b/>
          <w:bCs/>
          <w:i/>
          <w:iCs/>
          <w:sz w:val="24"/>
          <w:szCs w:val="24"/>
        </w:rPr>
      </w:pPr>
      <w:r w:rsidRPr="005F07C5">
        <w:rPr>
          <w:b/>
          <w:bCs/>
          <w:i/>
          <w:iCs/>
          <w:sz w:val="24"/>
          <w:szCs w:val="24"/>
        </w:rPr>
        <w:t>Analysis</w:t>
      </w:r>
    </w:p>
    <w:p w14:paraId="6D0071E3" w14:textId="77777777" w:rsidR="004C06AE" w:rsidRDefault="009E7D68" w:rsidP="004C06AE">
      <w:pPr>
        <w:spacing w:after="0" w:line="240" w:lineRule="auto"/>
        <w:rPr>
          <w:rFonts w:cstheme="minorHAnsi"/>
          <w:sz w:val="24"/>
          <w:szCs w:val="24"/>
        </w:rPr>
      </w:pPr>
      <w:r w:rsidRPr="009E7D68">
        <w:rPr>
          <w:rFonts w:cstheme="minorHAnsi"/>
          <w:sz w:val="24"/>
          <w:szCs w:val="24"/>
        </w:rPr>
        <w:t xml:space="preserve">Staff finds that the Applicant has appropriately considered the quality, efficiency, and capital and operating costs of the Proposed Project </w:t>
      </w:r>
      <w:r w:rsidR="00A43D38">
        <w:rPr>
          <w:rFonts w:cstheme="minorHAnsi"/>
          <w:sz w:val="24"/>
          <w:szCs w:val="24"/>
        </w:rPr>
        <w:t>and recognizes that there are no feasible alternatives</w:t>
      </w:r>
      <w:r w:rsidRPr="009E7D68">
        <w:rPr>
          <w:rFonts w:cstheme="minorHAnsi"/>
          <w:sz w:val="24"/>
          <w:szCs w:val="24"/>
        </w:rPr>
        <w:t xml:space="preserve">. </w:t>
      </w:r>
      <w:proofErr w:type="gramStart"/>
      <w:r w:rsidRPr="009E7D68">
        <w:rPr>
          <w:rFonts w:cstheme="minorHAnsi"/>
          <w:sz w:val="24"/>
          <w:szCs w:val="24"/>
        </w:rPr>
        <w:t>As a result of</w:t>
      </w:r>
      <w:proofErr w:type="gramEnd"/>
      <w:r w:rsidRPr="009E7D68">
        <w:rPr>
          <w:rFonts w:cstheme="minorHAnsi"/>
          <w:sz w:val="24"/>
          <w:szCs w:val="24"/>
        </w:rPr>
        <w:t xml:space="preserve"> information provided by the Applicant and additional analysis, staff finds the Applicant has reasonably met the standards of Factor 5.</w:t>
      </w:r>
      <w:bookmarkStart w:id="2" w:name="_Toc17151192"/>
      <w:bookmarkStart w:id="3" w:name="_Toc17322410"/>
    </w:p>
    <w:p w14:paraId="29880DAF" w14:textId="77777777" w:rsidR="004C06AE" w:rsidRDefault="004C06AE" w:rsidP="004C06AE">
      <w:pPr>
        <w:spacing w:after="0" w:line="240" w:lineRule="auto"/>
        <w:rPr>
          <w:rFonts w:cstheme="minorHAnsi"/>
          <w:sz w:val="24"/>
          <w:szCs w:val="24"/>
        </w:rPr>
      </w:pPr>
    </w:p>
    <w:p w14:paraId="05DF2C6F" w14:textId="77777777" w:rsidR="004C06AE" w:rsidRDefault="004C06AE" w:rsidP="004C06AE">
      <w:pPr>
        <w:spacing w:after="0" w:line="240" w:lineRule="auto"/>
        <w:rPr>
          <w:rFonts w:cstheme="minorHAnsi"/>
          <w:sz w:val="24"/>
          <w:szCs w:val="24"/>
        </w:rPr>
      </w:pPr>
    </w:p>
    <w:p w14:paraId="56B34619" w14:textId="5DB84CEE" w:rsidR="005D2D30" w:rsidRPr="004C06AE" w:rsidRDefault="005D2D30" w:rsidP="004C06AE">
      <w:pPr>
        <w:spacing w:after="0" w:line="240" w:lineRule="auto"/>
        <w:rPr>
          <w:rFonts w:cstheme="minorHAnsi"/>
          <w:sz w:val="24"/>
          <w:szCs w:val="24"/>
        </w:rPr>
      </w:pPr>
      <w:r w:rsidRPr="004B0064">
        <w:rPr>
          <w:rFonts w:eastAsia="Times New Roman" w:cstheme="minorHAnsi"/>
          <w:b/>
          <w:bCs/>
          <w:sz w:val="28"/>
          <w:szCs w:val="28"/>
        </w:rPr>
        <w:lastRenderedPageBreak/>
        <w:t>Factor 6: Fulfillment of DPH Community-based Health Initiatives Guideline: Overall Application</w:t>
      </w:r>
      <w:r w:rsidR="000F594B">
        <w:rPr>
          <w:rFonts w:eastAsia="Times New Roman" w:cstheme="minorHAnsi"/>
          <w:b/>
          <w:bCs/>
          <w:sz w:val="28"/>
          <w:szCs w:val="28"/>
        </w:rPr>
        <w:t xml:space="preserve"> </w:t>
      </w:r>
    </w:p>
    <w:p w14:paraId="45882D66" w14:textId="77777777" w:rsidR="00F24E17" w:rsidRPr="00F24E17" w:rsidRDefault="00F24E17" w:rsidP="005D2D30">
      <w:pPr>
        <w:spacing w:after="0" w:line="240" w:lineRule="auto"/>
        <w:ind w:right="540"/>
        <w:contextualSpacing/>
        <w:rPr>
          <w:rFonts w:eastAsia="Calibri" w:cstheme="minorHAnsi"/>
          <w:i/>
          <w:sz w:val="24"/>
          <w:szCs w:val="24"/>
        </w:rPr>
      </w:pPr>
    </w:p>
    <w:p w14:paraId="1B3B33BE" w14:textId="02F7F03C" w:rsidR="000D4478" w:rsidRPr="000D4478" w:rsidRDefault="000D4478" w:rsidP="005D2D30">
      <w:pPr>
        <w:spacing w:after="0" w:line="240" w:lineRule="auto"/>
        <w:ind w:right="540"/>
        <w:contextualSpacing/>
        <w:rPr>
          <w:rFonts w:eastAsia="Calibri" w:cstheme="minorHAnsi"/>
          <w:iCs/>
          <w:sz w:val="24"/>
          <w:szCs w:val="24"/>
        </w:rPr>
      </w:pPr>
      <w:r w:rsidRPr="000D4478">
        <w:rPr>
          <w:rFonts w:cstheme="minorHAnsi"/>
          <w:sz w:val="24"/>
          <w:szCs w:val="24"/>
        </w:rPr>
        <w:t xml:space="preserve">The Community Health Initiative (CHI) component of the </w:t>
      </w:r>
      <w:proofErr w:type="spellStart"/>
      <w:r w:rsidRPr="000D4478">
        <w:rPr>
          <w:rFonts w:cstheme="minorHAnsi"/>
          <w:sz w:val="24"/>
          <w:szCs w:val="24"/>
        </w:rPr>
        <w:t>DoN</w:t>
      </w:r>
      <w:proofErr w:type="spellEnd"/>
      <w:r w:rsidRPr="000D4478">
        <w:rPr>
          <w:rFonts w:cstheme="minorHAnsi"/>
          <w:sz w:val="24"/>
          <w:szCs w:val="24"/>
        </w:rPr>
        <w:t xml:space="preserve"> regulation requires Long-Term Care Facilities, which are not deemed Conservation Projects, to contribute 3% of the total value of the project to a CHI Healthy Aging Fund. Payment may be made in full at the time of project approval or in 2 equal installments with the first payment due at the time of receipt of a </w:t>
      </w:r>
      <w:r w:rsidR="00EA6267" w:rsidRPr="000D4478">
        <w:rPr>
          <w:rFonts w:cstheme="minorHAnsi"/>
          <w:sz w:val="24"/>
          <w:szCs w:val="24"/>
        </w:rPr>
        <w:t>duly approved</w:t>
      </w:r>
      <w:r w:rsidRPr="000D4478">
        <w:rPr>
          <w:rFonts w:cstheme="minorHAnsi"/>
          <w:sz w:val="24"/>
          <w:szCs w:val="24"/>
        </w:rPr>
        <w:t xml:space="preserve"> Notice of Determination of Need (or upon receipt of a payment letter from DPH), and the second, on the first anniversary of the Notice. The Applicant has chosen to pay in two equal </w:t>
      </w:r>
      <w:r w:rsidRPr="00325845">
        <w:rPr>
          <w:rFonts w:cstheme="minorHAnsi"/>
          <w:sz w:val="24"/>
          <w:szCs w:val="24"/>
        </w:rPr>
        <w:t>installments</w:t>
      </w:r>
      <w:r w:rsidR="00325845" w:rsidRPr="00325845">
        <w:rPr>
          <w:rFonts w:cstheme="minorHAnsi"/>
          <w:sz w:val="24"/>
          <w:szCs w:val="24"/>
        </w:rPr>
        <w:t xml:space="preserve"> </w:t>
      </w:r>
      <w:r w:rsidR="00325845" w:rsidRPr="00325845">
        <w:rPr>
          <w:rFonts w:ascii="Calibri" w:hAnsi="Calibri" w:cs="Calibri"/>
          <w:color w:val="FF0000"/>
          <w:sz w:val="24"/>
          <w:szCs w:val="24"/>
          <w:bdr w:val="none" w:sz="0" w:space="0" w:color="auto" w:frame="1"/>
          <w:shd w:val="clear" w:color="auto" w:fill="FFFFFF"/>
        </w:rPr>
        <w:t xml:space="preserve">and has been granted a </w:t>
      </w:r>
      <w:proofErr w:type="gramStart"/>
      <w:r w:rsidR="00325845" w:rsidRPr="00325845">
        <w:rPr>
          <w:rFonts w:ascii="Calibri" w:hAnsi="Calibri" w:cs="Calibri"/>
          <w:color w:val="FF0000"/>
          <w:sz w:val="24"/>
          <w:szCs w:val="24"/>
          <w:bdr w:val="none" w:sz="0" w:space="0" w:color="auto" w:frame="1"/>
          <w:shd w:val="clear" w:color="auto" w:fill="FFFFFF"/>
        </w:rPr>
        <w:t>six month</w:t>
      </w:r>
      <w:proofErr w:type="gramEnd"/>
      <w:r w:rsidR="00325845" w:rsidRPr="00325845">
        <w:rPr>
          <w:rFonts w:ascii="Calibri" w:hAnsi="Calibri" w:cs="Calibri"/>
          <w:color w:val="FF0000"/>
          <w:sz w:val="24"/>
          <w:szCs w:val="24"/>
          <w:bdr w:val="none" w:sz="0" w:space="0" w:color="auto" w:frame="1"/>
          <w:shd w:val="clear" w:color="auto" w:fill="FFFFFF"/>
        </w:rPr>
        <w:t xml:space="preserve"> extension on the first payment</w:t>
      </w:r>
      <w:r w:rsidR="00325845" w:rsidRPr="00325845">
        <w:rPr>
          <w:rFonts w:ascii="Calibri" w:hAnsi="Calibri" w:cs="Calibri"/>
          <w:color w:val="000000"/>
          <w:sz w:val="24"/>
          <w:szCs w:val="24"/>
          <w:bdr w:val="none" w:sz="0" w:space="0" w:color="auto" w:frame="1"/>
          <w:shd w:val="clear" w:color="auto" w:fill="FFFFFF"/>
        </w:rPr>
        <w:t>. </w:t>
      </w:r>
      <w:r w:rsidR="00325845" w:rsidRPr="00325845">
        <w:rPr>
          <w:rFonts w:ascii="Calibri" w:hAnsi="Calibri" w:cs="Calibri"/>
          <w:color w:val="FF0000"/>
          <w:sz w:val="24"/>
          <w:szCs w:val="24"/>
          <w:bdr w:val="none" w:sz="0" w:space="0" w:color="auto" w:frame="1"/>
          <w:shd w:val="clear" w:color="auto" w:fill="FFFFFF"/>
        </w:rPr>
        <w:t xml:space="preserve">The first payment must be made within six months of receipt of </w:t>
      </w:r>
      <w:proofErr w:type="spellStart"/>
      <w:r w:rsidR="00325845" w:rsidRPr="00325845">
        <w:rPr>
          <w:rFonts w:ascii="Calibri" w:hAnsi="Calibri" w:cs="Calibri"/>
          <w:color w:val="FF0000"/>
          <w:sz w:val="24"/>
          <w:szCs w:val="24"/>
          <w:bdr w:val="none" w:sz="0" w:space="0" w:color="auto" w:frame="1"/>
          <w:shd w:val="clear" w:color="auto" w:fill="FFFFFF"/>
        </w:rPr>
        <w:t>DoN</w:t>
      </w:r>
      <w:proofErr w:type="spellEnd"/>
      <w:r w:rsidR="00325845" w:rsidRPr="00325845">
        <w:rPr>
          <w:rFonts w:ascii="Calibri" w:hAnsi="Calibri" w:cs="Calibri"/>
          <w:color w:val="FF0000"/>
          <w:sz w:val="24"/>
          <w:szCs w:val="24"/>
          <w:bdr w:val="none" w:sz="0" w:space="0" w:color="auto" w:frame="1"/>
          <w:shd w:val="clear" w:color="auto" w:fill="FFFFFF"/>
        </w:rPr>
        <w:t xml:space="preserve"> Approval, and the second payment on the first anniversary of the notice.</w:t>
      </w:r>
      <w:r w:rsidRPr="000D4478">
        <w:rPr>
          <w:rFonts w:cstheme="minorHAnsi"/>
          <w:sz w:val="24"/>
          <w:szCs w:val="24"/>
        </w:rPr>
        <w:t xml:space="preserve"> Any deviation to this payment schedule will require program approval. For this proposed Long-term Care Facility Project, the CHI contribution will be $</w:t>
      </w:r>
      <w:r w:rsidR="001A210E" w:rsidRPr="00007856">
        <w:rPr>
          <w:rFonts w:eastAsia="Calibri" w:cstheme="minorHAnsi"/>
          <w:sz w:val="24"/>
          <w:szCs w:val="24"/>
        </w:rPr>
        <w:t>565,151.52</w:t>
      </w:r>
      <w:r w:rsidRPr="000D4478">
        <w:rPr>
          <w:rFonts w:cstheme="minorHAnsi"/>
          <w:sz w:val="24"/>
          <w:szCs w:val="24"/>
        </w:rPr>
        <w:t>. Based on the Applicant’s compliance with the above requirement, the Applicant meets the terms of Factor 6</w:t>
      </w:r>
      <w:r w:rsidR="00325845">
        <w:rPr>
          <w:rFonts w:cstheme="minorHAnsi"/>
          <w:sz w:val="24"/>
          <w:szCs w:val="24"/>
        </w:rPr>
        <w:t>.</w:t>
      </w:r>
    </w:p>
    <w:p w14:paraId="3A7C9321" w14:textId="77777777" w:rsidR="000D4478" w:rsidRDefault="000D4478" w:rsidP="005D2D30">
      <w:pPr>
        <w:spacing w:after="0" w:line="240" w:lineRule="auto"/>
        <w:ind w:right="540"/>
        <w:contextualSpacing/>
        <w:rPr>
          <w:rFonts w:eastAsia="Calibri" w:cstheme="minorHAnsi"/>
          <w:iCs/>
          <w:sz w:val="24"/>
          <w:szCs w:val="24"/>
        </w:rPr>
      </w:pPr>
    </w:p>
    <w:bookmarkEnd w:id="2"/>
    <w:bookmarkEnd w:id="3"/>
    <w:p w14:paraId="50AC8594" w14:textId="77777777" w:rsidR="00EE4656" w:rsidRDefault="00EE4656" w:rsidP="004C06AE">
      <w:pPr>
        <w:spacing w:after="0" w:line="240" w:lineRule="auto"/>
        <w:rPr>
          <w:b/>
          <w:bCs/>
          <w:sz w:val="28"/>
          <w:szCs w:val="28"/>
        </w:rPr>
      </w:pPr>
    </w:p>
    <w:p w14:paraId="5C50A28A" w14:textId="77777777" w:rsidR="00EE4656" w:rsidRDefault="00761D85" w:rsidP="004C06AE">
      <w:pPr>
        <w:spacing w:after="0" w:line="240" w:lineRule="auto"/>
        <w:rPr>
          <w:rFonts w:cstheme="minorHAnsi"/>
          <w:sz w:val="24"/>
          <w:szCs w:val="24"/>
        </w:rPr>
      </w:pPr>
      <w:r w:rsidRPr="00761D85">
        <w:rPr>
          <w:b/>
          <w:bCs/>
          <w:sz w:val="28"/>
          <w:szCs w:val="28"/>
        </w:rPr>
        <w:t xml:space="preserve">Findings and Recommendations </w:t>
      </w:r>
    </w:p>
    <w:p w14:paraId="45C08CCA" w14:textId="5DC489E6" w:rsidR="00EA2C21" w:rsidRDefault="000B1114" w:rsidP="004C06AE">
      <w:pPr>
        <w:spacing w:after="0" w:line="240" w:lineRule="auto"/>
        <w:rPr>
          <w:b/>
          <w:bCs/>
          <w:sz w:val="24"/>
          <w:szCs w:val="24"/>
        </w:rPr>
      </w:pPr>
      <w:r w:rsidRPr="000B1114">
        <w:rPr>
          <w:sz w:val="24"/>
          <w:szCs w:val="24"/>
        </w:rPr>
        <w:t xml:space="preserve">Based upon a review of the materials submitted, Staff finds that the Applicant has met each </w:t>
      </w:r>
      <w:proofErr w:type="spellStart"/>
      <w:r w:rsidRPr="000B1114">
        <w:rPr>
          <w:sz w:val="24"/>
          <w:szCs w:val="24"/>
        </w:rPr>
        <w:t>DoN</w:t>
      </w:r>
      <w:proofErr w:type="spellEnd"/>
      <w:r w:rsidRPr="000B1114">
        <w:rPr>
          <w:sz w:val="24"/>
          <w:szCs w:val="24"/>
        </w:rPr>
        <w:t xml:space="preserve"> Factor for the Proposed Project and recommends that the Department approve this Determination of Need, subject to all applicable Standard Conditions</w:t>
      </w:r>
      <w:r>
        <w:rPr>
          <w:sz w:val="24"/>
          <w:szCs w:val="24"/>
        </w:rPr>
        <w:t>.</w:t>
      </w:r>
    </w:p>
    <w:p w14:paraId="21267715" w14:textId="4B1AF329" w:rsidR="007A107E" w:rsidRDefault="007A107E" w:rsidP="0074631E">
      <w:pPr>
        <w:rPr>
          <w:b/>
          <w:bCs/>
        </w:rPr>
      </w:pPr>
    </w:p>
    <w:p w14:paraId="060FC853" w14:textId="77777777" w:rsidR="0074631E" w:rsidRPr="00C5414F" w:rsidRDefault="0074631E" w:rsidP="0074631E">
      <w:pPr>
        <w:rPr>
          <w:sz w:val="24"/>
          <w:szCs w:val="24"/>
        </w:rPr>
      </w:pPr>
      <w:r w:rsidRPr="0074631E">
        <w:rPr>
          <w:b/>
          <w:bCs/>
          <w:sz w:val="28"/>
          <w:szCs w:val="28"/>
        </w:rPr>
        <w:t xml:space="preserve">Conditions to the </w:t>
      </w:r>
      <w:proofErr w:type="spellStart"/>
      <w:r w:rsidRPr="0074631E">
        <w:rPr>
          <w:b/>
          <w:bCs/>
          <w:sz w:val="28"/>
          <w:szCs w:val="28"/>
        </w:rPr>
        <w:t>DoN</w:t>
      </w:r>
      <w:proofErr w:type="spellEnd"/>
      <w:r>
        <w:t xml:space="preserve"> </w:t>
      </w:r>
    </w:p>
    <w:p w14:paraId="73AF0B80" w14:textId="1A8A5293" w:rsidR="007749BF" w:rsidRPr="00C5414F" w:rsidRDefault="0074631E" w:rsidP="007749BF">
      <w:pPr>
        <w:rPr>
          <w:rFonts w:eastAsia="Calibri" w:cstheme="minorHAnsi"/>
          <w:sz w:val="24"/>
          <w:szCs w:val="24"/>
        </w:rPr>
      </w:pPr>
      <w:r w:rsidRPr="00C5414F">
        <w:rPr>
          <w:sz w:val="24"/>
          <w:szCs w:val="24"/>
        </w:rPr>
        <w:t>1.</w:t>
      </w:r>
      <w:r w:rsidRPr="00C5414F">
        <w:rPr>
          <w:strike/>
          <w:color w:val="FF0000"/>
          <w:sz w:val="24"/>
          <w:szCs w:val="24"/>
        </w:rPr>
        <w:t xml:space="preserve"> Of</w:t>
      </w:r>
      <w:r w:rsidRPr="00C5414F">
        <w:rPr>
          <w:color w:val="FF0000"/>
          <w:sz w:val="24"/>
          <w:szCs w:val="24"/>
        </w:rPr>
        <w:t xml:space="preserve"> </w:t>
      </w:r>
      <w:r w:rsidR="00325845" w:rsidRPr="00C5414F">
        <w:rPr>
          <w:color w:val="FF0000"/>
          <w:sz w:val="24"/>
          <w:szCs w:val="24"/>
        </w:rPr>
        <w:t>T</w:t>
      </w:r>
      <w:r w:rsidRPr="00C5414F">
        <w:rPr>
          <w:sz w:val="24"/>
          <w:szCs w:val="24"/>
        </w:rPr>
        <w:t xml:space="preserve">he total required CHI contribution of </w:t>
      </w:r>
      <w:r w:rsidRPr="00C5414F">
        <w:rPr>
          <w:rFonts w:eastAsia="Calibri" w:cstheme="minorHAnsi"/>
          <w:iCs/>
          <w:sz w:val="24"/>
          <w:szCs w:val="24"/>
        </w:rPr>
        <w:t>$</w:t>
      </w:r>
      <w:r w:rsidRPr="00C5414F">
        <w:rPr>
          <w:rFonts w:eastAsia="Calibri" w:cstheme="minorHAnsi"/>
          <w:sz w:val="24"/>
          <w:szCs w:val="24"/>
        </w:rPr>
        <w:t xml:space="preserve">565,151.52 </w:t>
      </w:r>
      <w:r w:rsidR="007749BF" w:rsidRPr="00C5414F">
        <w:rPr>
          <w:rFonts w:eastAsia="Calibri" w:cstheme="minorHAnsi"/>
          <w:strike/>
          <w:color w:val="FF0000"/>
          <w:sz w:val="24"/>
          <w:szCs w:val="24"/>
        </w:rPr>
        <w:t>which</w:t>
      </w:r>
      <w:r w:rsidR="007749BF" w:rsidRPr="00C5414F">
        <w:rPr>
          <w:rFonts w:eastAsia="Calibri" w:cstheme="minorHAnsi"/>
          <w:color w:val="FF0000"/>
          <w:sz w:val="24"/>
          <w:szCs w:val="24"/>
        </w:rPr>
        <w:t xml:space="preserve"> </w:t>
      </w:r>
      <w:r w:rsidRPr="00C5414F">
        <w:rPr>
          <w:sz w:val="24"/>
          <w:szCs w:val="24"/>
        </w:rPr>
        <w:t xml:space="preserve">will be directed to the </w:t>
      </w:r>
      <w:r w:rsidRPr="00C5414F">
        <w:rPr>
          <w:rFonts w:eastAsia="Calibri" w:cstheme="minorHAnsi"/>
          <w:sz w:val="24"/>
          <w:szCs w:val="24"/>
        </w:rPr>
        <w:t>Massachusetts Healthy Aging Fund</w:t>
      </w:r>
      <w:r w:rsidRPr="00C5414F">
        <w:rPr>
          <w:sz w:val="24"/>
          <w:szCs w:val="24"/>
        </w:rPr>
        <w:t xml:space="preserve"> </w:t>
      </w:r>
    </w:p>
    <w:p w14:paraId="4A5C5803" w14:textId="4B08EE7E" w:rsidR="007749BF" w:rsidRPr="007749BF" w:rsidRDefault="0074631E" w:rsidP="007749BF">
      <w:pPr>
        <w:rPr>
          <w:sz w:val="24"/>
          <w:szCs w:val="24"/>
        </w:rPr>
      </w:pPr>
      <w:r w:rsidRPr="00C5414F">
        <w:rPr>
          <w:sz w:val="24"/>
          <w:szCs w:val="24"/>
        </w:rPr>
        <w:t xml:space="preserve">2. To comply with the Holder’s obligation to contribute to the </w:t>
      </w:r>
      <w:r w:rsidR="007749BF" w:rsidRPr="00C5414F">
        <w:rPr>
          <w:rFonts w:eastAsia="Calibri" w:cstheme="minorHAnsi"/>
          <w:sz w:val="24"/>
          <w:szCs w:val="24"/>
        </w:rPr>
        <w:t>Massachusetts Healthy Aging Fund</w:t>
      </w:r>
      <w:r w:rsidRPr="00C5414F">
        <w:rPr>
          <w:sz w:val="24"/>
          <w:szCs w:val="24"/>
        </w:rPr>
        <w:t xml:space="preserve">, the Holder must submit </w:t>
      </w:r>
      <w:r w:rsidR="00C5414F" w:rsidRPr="00C5414F">
        <w:rPr>
          <w:rFonts w:ascii="Calibri" w:hAnsi="Calibri" w:cs="Calibri"/>
          <w:color w:val="FF0000"/>
          <w:sz w:val="24"/>
          <w:szCs w:val="24"/>
          <w:shd w:val="clear" w:color="auto" w:fill="FFFFFF"/>
        </w:rPr>
        <w:t xml:space="preserve">the first installment, </w:t>
      </w:r>
      <w:r w:rsidRPr="00C5414F">
        <w:rPr>
          <w:sz w:val="24"/>
          <w:szCs w:val="24"/>
        </w:rPr>
        <w:t>a</w:t>
      </w:r>
      <w:r w:rsidRPr="007749BF">
        <w:rPr>
          <w:sz w:val="24"/>
          <w:szCs w:val="24"/>
        </w:rPr>
        <w:t xml:space="preserve"> check for </w:t>
      </w:r>
      <w:r w:rsidR="007749BF" w:rsidRPr="007749BF">
        <w:rPr>
          <w:rFonts w:eastAsia="Calibri" w:cstheme="minorHAnsi"/>
          <w:sz w:val="24"/>
          <w:szCs w:val="24"/>
        </w:rPr>
        <w:t>$282,575.76</w:t>
      </w:r>
      <w:r w:rsidR="00C5414F" w:rsidRPr="00C5414F">
        <w:rPr>
          <w:rFonts w:eastAsia="Calibri" w:cstheme="minorHAnsi"/>
          <w:color w:val="FF0000"/>
          <w:sz w:val="24"/>
          <w:szCs w:val="24"/>
        </w:rPr>
        <w:t>,</w:t>
      </w:r>
      <w:r w:rsidR="007749BF" w:rsidRPr="007749BF">
        <w:rPr>
          <w:rFonts w:eastAsia="Calibri" w:cstheme="minorHAnsi"/>
          <w:sz w:val="24"/>
          <w:szCs w:val="24"/>
        </w:rPr>
        <w:t xml:space="preserve"> </w:t>
      </w:r>
      <w:r w:rsidRPr="007749BF">
        <w:rPr>
          <w:sz w:val="24"/>
          <w:szCs w:val="24"/>
        </w:rPr>
        <w:t>to Health Resources in Action (the fiscal agent for the CHI Statewide Initiative).</w:t>
      </w:r>
    </w:p>
    <w:p w14:paraId="225AEE49" w14:textId="71582338" w:rsidR="00EA6267" w:rsidRDefault="0074631E" w:rsidP="00EA6267">
      <w:pPr>
        <w:spacing w:after="0"/>
        <w:ind w:left="720"/>
        <w:rPr>
          <w:sz w:val="24"/>
          <w:szCs w:val="24"/>
        </w:rPr>
      </w:pPr>
      <w:proofErr w:type="spellStart"/>
      <w:r w:rsidRPr="007749BF">
        <w:rPr>
          <w:sz w:val="24"/>
          <w:szCs w:val="24"/>
        </w:rPr>
        <w:t>i</w:t>
      </w:r>
      <w:proofErr w:type="spellEnd"/>
      <w:r w:rsidRPr="007749BF">
        <w:rPr>
          <w:sz w:val="24"/>
          <w:szCs w:val="24"/>
        </w:rPr>
        <w:t xml:space="preserve">. The Holder must submit the funds to </w:t>
      </w:r>
      <w:proofErr w:type="spellStart"/>
      <w:r w:rsidRPr="007749BF">
        <w:rPr>
          <w:sz w:val="24"/>
          <w:szCs w:val="24"/>
        </w:rPr>
        <w:t>HRiA</w:t>
      </w:r>
      <w:proofErr w:type="spellEnd"/>
      <w:r w:rsidRPr="007749BF">
        <w:rPr>
          <w:sz w:val="24"/>
          <w:szCs w:val="24"/>
        </w:rPr>
        <w:t xml:space="preserve"> within </w:t>
      </w:r>
      <w:r w:rsidRPr="00E65565">
        <w:rPr>
          <w:strike/>
          <w:color w:val="FF0000"/>
          <w:sz w:val="24"/>
          <w:szCs w:val="24"/>
        </w:rPr>
        <w:t>30 days</w:t>
      </w:r>
      <w:r w:rsidRPr="00E65565">
        <w:rPr>
          <w:color w:val="FF0000"/>
          <w:sz w:val="24"/>
          <w:szCs w:val="24"/>
        </w:rPr>
        <w:t xml:space="preserve"> </w:t>
      </w:r>
      <w:r w:rsidR="00E65565">
        <w:rPr>
          <w:color w:val="FF0000"/>
          <w:sz w:val="24"/>
          <w:szCs w:val="24"/>
        </w:rPr>
        <w:t xml:space="preserve">6 months </w:t>
      </w:r>
      <w:r w:rsidRPr="007749BF">
        <w:rPr>
          <w:sz w:val="24"/>
          <w:szCs w:val="24"/>
        </w:rPr>
        <w:t xml:space="preserve">from the date of the Notice of Approval. </w:t>
      </w:r>
    </w:p>
    <w:p w14:paraId="4804DB2F" w14:textId="1903A117" w:rsidR="00F52451" w:rsidRPr="00F52451" w:rsidRDefault="00F52451" w:rsidP="00EA6267">
      <w:pPr>
        <w:spacing w:after="0"/>
        <w:ind w:left="720"/>
        <w:rPr>
          <w:color w:val="FF0000"/>
          <w:sz w:val="24"/>
          <w:szCs w:val="24"/>
        </w:rPr>
      </w:pPr>
      <w:r w:rsidRPr="00F52451">
        <w:rPr>
          <w:color w:val="FF0000"/>
          <w:sz w:val="24"/>
          <w:szCs w:val="24"/>
        </w:rPr>
        <w:t xml:space="preserve">ii. The Holder must submit the second installment of funds to </w:t>
      </w:r>
      <w:proofErr w:type="spellStart"/>
      <w:r w:rsidRPr="00F52451">
        <w:rPr>
          <w:color w:val="FF0000"/>
          <w:sz w:val="24"/>
          <w:szCs w:val="24"/>
        </w:rPr>
        <w:t>HRiA</w:t>
      </w:r>
      <w:proofErr w:type="spellEnd"/>
      <w:r w:rsidRPr="00F52451">
        <w:rPr>
          <w:color w:val="FF0000"/>
          <w:sz w:val="24"/>
          <w:szCs w:val="24"/>
        </w:rPr>
        <w:t xml:space="preserve"> within one year from the date of the Notice of Approval.</w:t>
      </w:r>
    </w:p>
    <w:p w14:paraId="6245706D" w14:textId="521AAAF7" w:rsidR="007749BF" w:rsidRDefault="0074631E" w:rsidP="00EA6267">
      <w:pPr>
        <w:spacing w:after="0"/>
        <w:ind w:left="720"/>
        <w:rPr>
          <w:sz w:val="24"/>
          <w:szCs w:val="24"/>
        </w:rPr>
      </w:pPr>
      <w:r w:rsidRPr="007749BF">
        <w:rPr>
          <w:sz w:val="24"/>
          <w:szCs w:val="24"/>
        </w:rPr>
        <w:t>ii</w:t>
      </w:r>
      <w:r w:rsidR="00F52451" w:rsidRPr="00F52451">
        <w:rPr>
          <w:color w:val="FF0000"/>
          <w:sz w:val="24"/>
          <w:szCs w:val="24"/>
        </w:rPr>
        <w:t>i</w:t>
      </w:r>
      <w:r w:rsidRPr="007749BF">
        <w:rPr>
          <w:sz w:val="24"/>
          <w:szCs w:val="24"/>
        </w:rPr>
        <w:t xml:space="preserve">. The Holder must promptly notify DPH (CHI contact staff) when </w:t>
      </w:r>
      <w:proofErr w:type="gramStart"/>
      <w:r w:rsidRPr="00F52451">
        <w:rPr>
          <w:strike/>
          <w:color w:val="FF0000"/>
          <w:sz w:val="24"/>
          <w:szCs w:val="24"/>
        </w:rPr>
        <w:t>the</w:t>
      </w:r>
      <w:r w:rsidR="00F52451">
        <w:rPr>
          <w:strike/>
          <w:color w:val="FF0000"/>
          <w:sz w:val="24"/>
          <w:szCs w:val="24"/>
        </w:rPr>
        <w:t xml:space="preserve"> </w:t>
      </w:r>
      <w:r w:rsidR="00F52451" w:rsidRPr="00F52451">
        <w:rPr>
          <w:color w:val="FF0000"/>
          <w:sz w:val="24"/>
          <w:szCs w:val="24"/>
        </w:rPr>
        <w:t>each</w:t>
      </w:r>
      <w:proofErr w:type="gramEnd"/>
      <w:r w:rsidR="00F52451" w:rsidRPr="00F52451">
        <w:rPr>
          <w:color w:val="FF0000"/>
          <w:sz w:val="24"/>
          <w:szCs w:val="24"/>
        </w:rPr>
        <w:t xml:space="preserve"> </w:t>
      </w:r>
      <w:r w:rsidRPr="007749BF">
        <w:rPr>
          <w:sz w:val="24"/>
          <w:szCs w:val="24"/>
        </w:rPr>
        <w:t>payment has been made.</w:t>
      </w:r>
      <w:r w:rsidR="007749BF" w:rsidRPr="007749BF">
        <w:rPr>
          <w:sz w:val="24"/>
          <w:szCs w:val="24"/>
        </w:rPr>
        <w:t xml:space="preserve"> </w:t>
      </w:r>
    </w:p>
    <w:p w14:paraId="5E29099F" w14:textId="4F96BC6F" w:rsidR="001A210E" w:rsidRPr="007749BF" w:rsidRDefault="001A210E" w:rsidP="00773D8A">
      <w:pPr>
        <w:spacing w:after="0" w:line="240" w:lineRule="auto"/>
        <w:rPr>
          <w:sz w:val="24"/>
          <w:szCs w:val="24"/>
        </w:rPr>
      </w:pPr>
    </w:p>
    <w:p w14:paraId="0F459D5D" w14:textId="04523EF2" w:rsidR="004D293C" w:rsidRPr="007749BF" w:rsidRDefault="00620D80" w:rsidP="00773D8A">
      <w:pPr>
        <w:spacing w:after="0" w:line="240" w:lineRule="auto"/>
        <w:rPr>
          <w:sz w:val="24"/>
          <w:szCs w:val="24"/>
        </w:rPr>
      </w:pPr>
      <w:r w:rsidRPr="007749BF">
        <w:rPr>
          <w:sz w:val="24"/>
          <w:szCs w:val="24"/>
        </w:rPr>
        <w:t>Pursuant to 105 CMR 100.310(A</w:t>
      </w:r>
      <w:proofErr w:type="gramStart"/>
      <w:r w:rsidRPr="007749BF">
        <w:rPr>
          <w:sz w:val="24"/>
          <w:szCs w:val="24"/>
        </w:rPr>
        <w:t>)(</w:t>
      </w:r>
      <w:proofErr w:type="gramEnd"/>
      <w:r w:rsidRPr="007749BF">
        <w:rPr>
          <w:sz w:val="24"/>
          <w:szCs w:val="24"/>
        </w:rPr>
        <w:t xml:space="preserve">12), ongoing reporting is required to </w:t>
      </w:r>
      <w:proofErr w:type="spellStart"/>
      <w:r w:rsidRPr="007749BF">
        <w:rPr>
          <w:sz w:val="24"/>
          <w:szCs w:val="24"/>
        </w:rPr>
        <w:t>DoN</w:t>
      </w:r>
      <w:proofErr w:type="spellEnd"/>
      <w:r w:rsidRPr="007749BF">
        <w:rPr>
          <w:sz w:val="24"/>
          <w:szCs w:val="24"/>
        </w:rPr>
        <w:t xml:space="preserve">. </w:t>
      </w:r>
      <w:proofErr w:type="gramStart"/>
      <w:r w:rsidRPr="007749BF">
        <w:rPr>
          <w:sz w:val="24"/>
          <w:szCs w:val="24"/>
        </w:rPr>
        <w:t>In order to</w:t>
      </w:r>
      <w:proofErr w:type="gramEnd"/>
      <w:r w:rsidRPr="007749BF">
        <w:rPr>
          <w:sz w:val="24"/>
          <w:szCs w:val="24"/>
        </w:rPr>
        <w:t xml:space="preserve"> measure the impact of the Proposed Project, staff recommends the Applicant report annually the following metrics. The first full year will establish the baseline and the Applicant will then establish target measures for subsequent years:</w:t>
      </w:r>
    </w:p>
    <w:p w14:paraId="0240986A" w14:textId="64B40DFD" w:rsidR="00FF6EDE" w:rsidRPr="007749BF" w:rsidRDefault="00FF6EDE" w:rsidP="00773D8A">
      <w:pPr>
        <w:spacing w:after="0" w:line="240" w:lineRule="auto"/>
        <w:rPr>
          <w:sz w:val="24"/>
          <w:szCs w:val="24"/>
        </w:rPr>
      </w:pPr>
    </w:p>
    <w:p w14:paraId="775D67FE" w14:textId="77777777" w:rsidR="00FF6EDE" w:rsidRPr="007749BF" w:rsidRDefault="00FF6EDE" w:rsidP="00773D8A">
      <w:pPr>
        <w:spacing w:after="0" w:line="240" w:lineRule="auto"/>
        <w:rPr>
          <w:sz w:val="24"/>
          <w:szCs w:val="24"/>
        </w:rPr>
      </w:pPr>
      <w:r w:rsidRPr="007749BF">
        <w:rPr>
          <w:b/>
          <w:bCs/>
          <w:sz w:val="24"/>
          <w:szCs w:val="24"/>
        </w:rPr>
        <w:t>Anti-Psychotic Medication</w:t>
      </w:r>
      <w:r w:rsidRPr="007749BF">
        <w:rPr>
          <w:sz w:val="24"/>
          <w:szCs w:val="24"/>
        </w:rPr>
        <w:t xml:space="preserve"> –As the Applicant serves a large geriatric-</w:t>
      </w:r>
      <w:proofErr w:type="spellStart"/>
      <w:r w:rsidRPr="007749BF">
        <w:rPr>
          <w:sz w:val="24"/>
          <w:szCs w:val="24"/>
        </w:rPr>
        <w:t>pyschiatric</w:t>
      </w:r>
      <w:proofErr w:type="spellEnd"/>
      <w:r w:rsidRPr="007749BF">
        <w:rPr>
          <w:sz w:val="24"/>
          <w:szCs w:val="24"/>
        </w:rPr>
        <w:t xml:space="preserve"> population, it will measure the percent of its patients on anti-psychotic medication.</w:t>
      </w:r>
    </w:p>
    <w:p w14:paraId="3B8367C1" w14:textId="77777777" w:rsidR="00FF6EDE" w:rsidRPr="00791A02" w:rsidRDefault="00FF6EDE" w:rsidP="00773D8A">
      <w:pPr>
        <w:spacing w:after="0" w:line="240" w:lineRule="auto"/>
        <w:rPr>
          <w:sz w:val="24"/>
          <w:szCs w:val="24"/>
        </w:rPr>
      </w:pPr>
    </w:p>
    <w:p w14:paraId="517CA46D" w14:textId="03ADE2BD" w:rsidR="00587C08" w:rsidRPr="00791A02" w:rsidRDefault="00FF6EDE" w:rsidP="007749BF">
      <w:pPr>
        <w:spacing w:after="0" w:line="240" w:lineRule="auto"/>
        <w:ind w:left="720"/>
        <w:rPr>
          <w:sz w:val="24"/>
          <w:szCs w:val="24"/>
        </w:rPr>
      </w:pPr>
      <w:r w:rsidRPr="007749BF">
        <w:rPr>
          <w:sz w:val="24"/>
          <w:szCs w:val="24"/>
          <w:u w:val="single"/>
        </w:rPr>
        <w:t>Measure</w:t>
      </w:r>
      <w:r w:rsidR="001A210E">
        <w:rPr>
          <w:sz w:val="24"/>
          <w:szCs w:val="24"/>
          <w:u w:val="single"/>
        </w:rPr>
        <w:t xml:space="preserve"> </w:t>
      </w:r>
      <w:proofErr w:type="gramStart"/>
      <w:r w:rsidR="001A210E">
        <w:rPr>
          <w:sz w:val="24"/>
          <w:szCs w:val="24"/>
          <w:u w:val="single"/>
        </w:rPr>
        <w:t xml:space="preserve">1 </w:t>
      </w:r>
      <w:r w:rsidRPr="007749BF">
        <w:rPr>
          <w:sz w:val="24"/>
          <w:szCs w:val="24"/>
          <w:u w:val="single"/>
        </w:rPr>
        <w:t>:</w:t>
      </w:r>
      <w:proofErr w:type="gramEnd"/>
      <w:r w:rsidRPr="00791A02">
        <w:rPr>
          <w:sz w:val="24"/>
          <w:szCs w:val="24"/>
        </w:rPr>
        <w:t xml:space="preserve"> The Applicant will calculate and report on the </w:t>
      </w:r>
      <w:r w:rsidR="00587C08" w:rsidRPr="00791A02">
        <w:rPr>
          <w:sz w:val="24"/>
          <w:szCs w:val="24"/>
        </w:rPr>
        <w:t xml:space="preserve">number and </w:t>
      </w:r>
      <w:r w:rsidRPr="00791A02">
        <w:rPr>
          <w:sz w:val="24"/>
          <w:szCs w:val="24"/>
        </w:rPr>
        <w:t>percent of patients on anti-psychotic medication.</w:t>
      </w:r>
    </w:p>
    <w:p w14:paraId="1DB6FF6A" w14:textId="77777777" w:rsidR="00587C08" w:rsidRPr="00791A02" w:rsidRDefault="00587C08" w:rsidP="00773D8A">
      <w:pPr>
        <w:spacing w:after="0" w:line="240" w:lineRule="auto"/>
        <w:rPr>
          <w:sz w:val="24"/>
          <w:szCs w:val="24"/>
        </w:rPr>
      </w:pPr>
    </w:p>
    <w:p w14:paraId="6160F62F" w14:textId="6025BF31" w:rsidR="00587C08" w:rsidRPr="00791A02" w:rsidRDefault="00FF6EDE" w:rsidP="00EA6267">
      <w:pPr>
        <w:spacing w:after="0" w:line="240" w:lineRule="auto"/>
        <w:ind w:left="720" w:firstLine="720"/>
        <w:rPr>
          <w:sz w:val="24"/>
          <w:szCs w:val="24"/>
        </w:rPr>
      </w:pPr>
      <w:r w:rsidRPr="00791A02">
        <w:rPr>
          <w:sz w:val="24"/>
          <w:szCs w:val="24"/>
        </w:rPr>
        <w:t xml:space="preserve">Denominator – Number of </w:t>
      </w:r>
      <w:r w:rsidR="00587C08" w:rsidRPr="00791A02">
        <w:rPr>
          <w:sz w:val="24"/>
          <w:szCs w:val="24"/>
        </w:rPr>
        <w:t>patients served in the reporting year</w:t>
      </w:r>
      <w:r w:rsidR="00720EE1" w:rsidRPr="00791A02">
        <w:rPr>
          <w:sz w:val="24"/>
          <w:szCs w:val="24"/>
        </w:rPr>
        <w:t>.</w:t>
      </w:r>
    </w:p>
    <w:p w14:paraId="7F7AED36" w14:textId="77777777" w:rsidR="00587C08" w:rsidRPr="00791A02" w:rsidRDefault="00587C08" w:rsidP="00773D8A">
      <w:pPr>
        <w:spacing w:after="0" w:line="240" w:lineRule="auto"/>
        <w:rPr>
          <w:sz w:val="24"/>
          <w:szCs w:val="24"/>
        </w:rPr>
      </w:pPr>
    </w:p>
    <w:p w14:paraId="6A897E2C" w14:textId="3038AFA7" w:rsidR="00FF6EDE" w:rsidRPr="00791A02" w:rsidRDefault="00FF6EDE" w:rsidP="00EA6267">
      <w:pPr>
        <w:spacing w:after="0" w:line="240" w:lineRule="auto"/>
        <w:ind w:left="1440"/>
        <w:rPr>
          <w:sz w:val="24"/>
          <w:szCs w:val="24"/>
        </w:rPr>
      </w:pPr>
      <w:r w:rsidRPr="00791A02">
        <w:rPr>
          <w:sz w:val="24"/>
          <w:szCs w:val="24"/>
        </w:rPr>
        <w:t xml:space="preserve">Numerator – Number of patients </w:t>
      </w:r>
      <w:r w:rsidR="00587C08" w:rsidRPr="00791A02">
        <w:rPr>
          <w:sz w:val="24"/>
          <w:szCs w:val="24"/>
        </w:rPr>
        <w:t xml:space="preserve">served in the reporting year who were taking anti-psychotic medications during </w:t>
      </w:r>
      <w:r w:rsidR="009D1C06">
        <w:rPr>
          <w:sz w:val="24"/>
          <w:szCs w:val="24"/>
        </w:rPr>
        <w:t>that year</w:t>
      </w:r>
      <w:r w:rsidR="00587C08" w:rsidRPr="00791A02">
        <w:rPr>
          <w:sz w:val="24"/>
          <w:szCs w:val="24"/>
        </w:rPr>
        <w:t>.</w:t>
      </w:r>
    </w:p>
    <w:p w14:paraId="4E2329D6" w14:textId="67066378" w:rsidR="00737B6B" w:rsidRDefault="00737B6B" w:rsidP="00773D8A">
      <w:pPr>
        <w:spacing w:after="0" w:line="240" w:lineRule="auto"/>
        <w:rPr>
          <w:sz w:val="24"/>
          <w:szCs w:val="24"/>
        </w:rPr>
      </w:pPr>
    </w:p>
    <w:p w14:paraId="7B22D1D3" w14:textId="09B77190" w:rsidR="002E3BEB" w:rsidRPr="00791A02" w:rsidRDefault="002E3BEB" w:rsidP="007749BF">
      <w:pPr>
        <w:spacing w:after="0" w:line="240" w:lineRule="auto"/>
        <w:ind w:left="720"/>
        <w:rPr>
          <w:sz w:val="24"/>
          <w:szCs w:val="24"/>
        </w:rPr>
      </w:pPr>
      <w:r w:rsidRPr="007749BF">
        <w:rPr>
          <w:sz w:val="24"/>
          <w:szCs w:val="24"/>
          <w:u w:val="single"/>
        </w:rPr>
        <w:t>Me</w:t>
      </w:r>
      <w:r w:rsidR="005D70A7" w:rsidRPr="007749BF">
        <w:rPr>
          <w:sz w:val="24"/>
          <w:szCs w:val="24"/>
          <w:u w:val="single"/>
        </w:rPr>
        <w:t>asure</w:t>
      </w:r>
      <w:r w:rsidR="001A210E">
        <w:rPr>
          <w:sz w:val="24"/>
          <w:szCs w:val="24"/>
          <w:u w:val="single"/>
        </w:rPr>
        <w:t xml:space="preserve"> 2</w:t>
      </w:r>
      <w:r w:rsidR="005D70A7">
        <w:rPr>
          <w:sz w:val="24"/>
          <w:szCs w:val="24"/>
        </w:rPr>
        <w:t xml:space="preserve">: </w:t>
      </w:r>
      <w:r>
        <w:rPr>
          <w:sz w:val="24"/>
          <w:szCs w:val="24"/>
        </w:rPr>
        <w:t xml:space="preserve">The Applicant will report on the </w:t>
      </w:r>
      <w:r w:rsidR="005D70A7">
        <w:rPr>
          <w:sz w:val="24"/>
          <w:szCs w:val="24"/>
        </w:rPr>
        <w:t xml:space="preserve">diagnoses of </w:t>
      </w:r>
      <w:r w:rsidR="001A210E">
        <w:rPr>
          <w:sz w:val="24"/>
          <w:szCs w:val="24"/>
        </w:rPr>
        <w:t xml:space="preserve">every </w:t>
      </w:r>
      <w:r w:rsidR="005D70A7">
        <w:rPr>
          <w:sz w:val="24"/>
          <w:szCs w:val="24"/>
        </w:rPr>
        <w:t>patient requiring antipsychotic medications</w:t>
      </w:r>
      <w:r w:rsidR="001A210E">
        <w:rPr>
          <w:sz w:val="24"/>
          <w:szCs w:val="24"/>
        </w:rPr>
        <w:t xml:space="preserve"> during the reporting year</w:t>
      </w:r>
      <w:r w:rsidR="005D70A7">
        <w:rPr>
          <w:sz w:val="24"/>
          <w:szCs w:val="24"/>
        </w:rPr>
        <w:t>.</w:t>
      </w:r>
    </w:p>
    <w:p w14:paraId="71312912" w14:textId="77777777" w:rsidR="00720EE1" w:rsidRPr="00791A02" w:rsidRDefault="00720EE1" w:rsidP="00773D8A">
      <w:pPr>
        <w:spacing w:after="0" w:line="240" w:lineRule="auto"/>
        <w:rPr>
          <w:sz w:val="24"/>
          <w:szCs w:val="24"/>
        </w:rPr>
      </w:pPr>
    </w:p>
    <w:p w14:paraId="7CECEE7E" w14:textId="77777777" w:rsidR="007749BF" w:rsidRDefault="007749BF" w:rsidP="00773D8A">
      <w:pPr>
        <w:spacing w:after="0" w:line="240" w:lineRule="auto"/>
        <w:rPr>
          <w:b/>
          <w:bCs/>
          <w:sz w:val="24"/>
          <w:szCs w:val="24"/>
        </w:rPr>
      </w:pPr>
    </w:p>
    <w:p w14:paraId="5A6814DE" w14:textId="448D0253" w:rsidR="00737B6B" w:rsidRPr="00791A02" w:rsidRDefault="009D1C06" w:rsidP="00773D8A">
      <w:pPr>
        <w:spacing w:after="0" w:line="240" w:lineRule="auto"/>
        <w:rPr>
          <w:sz w:val="24"/>
          <w:szCs w:val="24"/>
        </w:rPr>
      </w:pPr>
      <w:r>
        <w:rPr>
          <w:b/>
          <w:bCs/>
          <w:sz w:val="24"/>
          <w:szCs w:val="24"/>
        </w:rPr>
        <w:t xml:space="preserve">Racial/Ethnic Demographic </w:t>
      </w:r>
      <w:r w:rsidR="00737B6B" w:rsidRPr="007749BF">
        <w:rPr>
          <w:b/>
          <w:bCs/>
          <w:sz w:val="24"/>
          <w:szCs w:val="24"/>
        </w:rPr>
        <w:t>Data</w:t>
      </w:r>
      <w:r w:rsidR="00737B6B" w:rsidRPr="00791A02">
        <w:rPr>
          <w:sz w:val="24"/>
          <w:szCs w:val="24"/>
        </w:rPr>
        <w:t xml:space="preserve"> – The </w:t>
      </w:r>
      <w:r>
        <w:rPr>
          <w:sz w:val="24"/>
          <w:szCs w:val="24"/>
        </w:rPr>
        <w:t>Applicant will provide</w:t>
      </w:r>
      <w:r w:rsidR="00737B6B" w:rsidRPr="00791A02">
        <w:rPr>
          <w:sz w:val="24"/>
          <w:szCs w:val="24"/>
        </w:rPr>
        <w:t xml:space="preserve"> rac</w:t>
      </w:r>
      <w:r w:rsidR="00EA6267">
        <w:rPr>
          <w:sz w:val="24"/>
          <w:szCs w:val="24"/>
        </w:rPr>
        <w:t>ial and ethnic demographic</w:t>
      </w:r>
      <w:r w:rsidR="00737B6B" w:rsidRPr="00791A02">
        <w:rPr>
          <w:sz w:val="24"/>
          <w:szCs w:val="24"/>
        </w:rPr>
        <w:t xml:space="preserve"> dat</w:t>
      </w:r>
      <w:r w:rsidR="00EA6267">
        <w:rPr>
          <w:sz w:val="24"/>
          <w:szCs w:val="24"/>
        </w:rPr>
        <w:t>a</w:t>
      </w:r>
      <w:r w:rsidR="00737B6B" w:rsidRPr="00791A02">
        <w:rPr>
          <w:sz w:val="24"/>
          <w:szCs w:val="24"/>
        </w:rPr>
        <w:t xml:space="preserve"> </w:t>
      </w:r>
      <w:r>
        <w:rPr>
          <w:sz w:val="24"/>
          <w:szCs w:val="24"/>
        </w:rPr>
        <w:t xml:space="preserve">which it </w:t>
      </w:r>
      <w:r w:rsidR="00737B6B" w:rsidRPr="00791A02">
        <w:rPr>
          <w:sz w:val="24"/>
          <w:szCs w:val="24"/>
        </w:rPr>
        <w:t xml:space="preserve">reports it will be capturing more robustly. </w:t>
      </w:r>
    </w:p>
    <w:p w14:paraId="7D60283F" w14:textId="5C2A1139" w:rsidR="00737B6B" w:rsidRPr="00791A02" w:rsidRDefault="00737B6B" w:rsidP="00773D8A">
      <w:pPr>
        <w:spacing w:after="0" w:line="240" w:lineRule="auto"/>
        <w:rPr>
          <w:sz w:val="24"/>
          <w:szCs w:val="24"/>
        </w:rPr>
      </w:pPr>
    </w:p>
    <w:p w14:paraId="54E39571" w14:textId="3F045088" w:rsidR="00737B6B" w:rsidRPr="00791A02" w:rsidRDefault="00737B6B" w:rsidP="007749BF">
      <w:pPr>
        <w:spacing w:after="0" w:line="240" w:lineRule="auto"/>
        <w:ind w:firstLine="720"/>
        <w:rPr>
          <w:sz w:val="24"/>
          <w:szCs w:val="24"/>
        </w:rPr>
      </w:pPr>
      <w:r w:rsidRPr="007749BF">
        <w:rPr>
          <w:sz w:val="24"/>
          <w:szCs w:val="24"/>
          <w:u w:val="single"/>
        </w:rPr>
        <w:t>Measure</w:t>
      </w:r>
      <w:r w:rsidRPr="00791A02">
        <w:rPr>
          <w:sz w:val="24"/>
          <w:szCs w:val="24"/>
        </w:rPr>
        <w:t xml:space="preserve">: the percentage </w:t>
      </w:r>
      <w:r w:rsidR="00720EE1" w:rsidRPr="00791A02">
        <w:rPr>
          <w:sz w:val="24"/>
          <w:szCs w:val="24"/>
        </w:rPr>
        <w:t>of the Patient Panel by reported rac</w:t>
      </w:r>
      <w:r w:rsidR="009D1C06">
        <w:rPr>
          <w:sz w:val="24"/>
          <w:szCs w:val="24"/>
        </w:rPr>
        <w:t>ial/ethnic</w:t>
      </w:r>
      <w:r w:rsidR="00720EE1" w:rsidRPr="00791A02">
        <w:rPr>
          <w:sz w:val="24"/>
          <w:szCs w:val="24"/>
        </w:rPr>
        <w:t xml:space="preserve"> categories.</w:t>
      </w:r>
    </w:p>
    <w:p w14:paraId="662F8E55" w14:textId="7A2A75DE" w:rsidR="00720EE1" w:rsidRPr="00791A02" w:rsidRDefault="00720EE1" w:rsidP="00773D8A">
      <w:pPr>
        <w:spacing w:after="0" w:line="240" w:lineRule="auto"/>
        <w:rPr>
          <w:sz w:val="24"/>
          <w:szCs w:val="24"/>
        </w:rPr>
      </w:pPr>
    </w:p>
    <w:p w14:paraId="4C9FCCFB" w14:textId="7ADF193C" w:rsidR="00720EE1" w:rsidRPr="00791A02" w:rsidRDefault="00720EE1" w:rsidP="00EA6267">
      <w:pPr>
        <w:spacing w:after="0" w:line="240" w:lineRule="auto"/>
        <w:ind w:left="720" w:firstLine="720"/>
        <w:rPr>
          <w:sz w:val="24"/>
          <w:szCs w:val="24"/>
        </w:rPr>
      </w:pPr>
      <w:r w:rsidRPr="00791A02">
        <w:rPr>
          <w:sz w:val="24"/>
          <w:szCs w:val="24"/>
        </w:rPr>
        <w:t>Denominator – Number of patients served in the reporting year.</w:t>
      </w:r>
    </w:p>
    <w:p w14:paraId="1FE10B4B" w14:textId="75D4C632" w:rsidR="00720EE1" w:rsidRPr="00791A02" w:rsidRDefault="00720EE1" w:rsidP="00773D8A">
      <w:pPr>
        <w:spacing w:after="0" w:line="240" w:lineRule="auto"/>
        <w:rPr>
          <w:sz w:val="24"/>
          <w:szCs w:val="24"/>
        </w:rPr>
      </w:pPr>
    </w:p>
    <w:p w14:paraId="49F8AD80" w14:textId="23923FB5" w:rsidR="00720EE1" w:rsidRPr="00791A02" w:rsidRDefault="00720EE1" w:rsidP="00EA6267">
      <w:pPr>
        <w:spacing w:after="0" w:line="240" w:lineRule="auto"/>
        <w:ind w:left="1440"/>
        <w:rPr>
          <w:sz w:val="24"/>
          <w:szCs w:val="24"/>
        </w:rPr>
      </w:pPr>
      <w:r w:rsidRPr="00791A02">
        <w:rPr>
          <w:sz w:val="24"/>
          <w:szCs w:val="24"/>
        </w:rPr>
        <w:t>Numerator – Percent of patients served in the reporting year by rac</w:t>
      </w:r>
      <w:r w:rsidR="009D1C06">
        <w:rPr>
          <w:sz w:val="24"/>
          <w:szCs w:val="24"/>
        </w:rPr>
        <w:t>ial/ethnic</w:t>
      </w:r>
      <w:r w:rsidRPr="00791A02">
        <w:rPr>
          <w:sz w:val="24"/>
          <w:szCs w:val="24"/>
        </w:rPr>
        <w:t xml:space="preserve"> categories as reported by patients.</w:t>
      </w:r>
    </w:p>
    <w:p w14:paraId="13005E20" w14:textId="18E7C50D" w:rsidR="00720EE1" w:rsidRDefault="00720EE1" w:rsidP="00773D8A">
      <w:pPr>
        <w:spacing w:after="0" w:line="240" w:lineRule="auto"/>
      </w:pPr>
    </w:p>
    <w:p w14:paraId="0E7F40B8" w14:textId="77777777" w:rsidR="00720EE1" w:rsidRPr="00052060" w:rsidRDefault="00720EE1" w:rsidP="00773D8A">
      <w:pPr>
        <w:spacing w:after="0" w:line="240" w:lineRule="auto"/>
      </w:pPr>
    </w:p>
    <w:sectPr w:rsidR="00720EE1" w:rsidRPr="00052060" w:rsidSect="00CF2B67">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800D" w14:textId="77777777" w:rsidR="00C73FCB" w:rsidRDefault="00C73FCB" w:rsidP="00231103">
      <w:pPr>
        <w:spacing w:after="0" w:line="240" w:lineRule="auto"/>
      </w:pPr>
      <w:r>
        <w:separator/>
      </w:r>
    </w:p>
  </w:endnote>
  <w:endnote w:type="continuationSeparator" w:id="0">
    <w:p w14:paraId="08D993FB" w14:textId="77777777" w:rsidR="00C73FCB" w:rsidRDefault="00C73FCB"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999566"/>
      <w:docPartObj>
        <w:docPartGallery w:val="Page Numbers (Bottom of Page)"/>
        <w:docPartUnique/>
      </w:docPartObj>
    </w:sdtPr>
    <w:sdtEndPr>
      <w:rPr>
        <w:noProof/>
      </w:rPr>
    </w:sdtEndPr>
    <w:sdtContent>
      <w:p w14:paraId="77B228D2" w14:textId="45B6B9F9" w:rsidR="00127AF5" w:rsidRDefault="00127AF5">
        <w:pPr>
          <w:pStyle w:val="Footer"/>
          <w:jc w:val="center"/>
        </w:pPr>
        <w:r>
          <w:fldChar w:fldCharType="begin"/>
        </w:r>
        <w:r>
          <w:instrText xml:space="preserve"> PAGE   \* MERGEFORMAT </w:instrText>
        </w:r>
        <w:r>
          <w:fldChar w:fldCharType="separate"/>
        </w:r>
        <w:r w:rsidR="005906A4">
          <w:rPr>
            <w:noProof/>
          </w:rPr>
          <w:t>20</w:t>
        </w:r>
        <w:r>
          <w:rPr>
            <w:noProof/>
          </w:rPr>
          <w:fldChar w:fldCharType="end"/>
        </w:r>
      </w:p>
    </w:sdtContent>
  </w:sdt>
  <w:p w14:paraId="2BD65ADA" w14:textId="77777777" w:rsidR="00127AF5" w:rsidRDefault="00127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689B" w14:textId="77777777" w:rsidR="00C73FCB" w:rsidRDefault="00C73FCB" w:rsidP="00231103">
      <w:pPr>
        <w:spacing w:after="0" w:line="240" w:lineRule="auto"/>
      </w:pPr>
      <w:r>
        <w:separator/>
      </w:r>
    </w:p>
  </w:footnote>
  <w:footnote w:type="continuationSeparator" w:id="0">
    <w:p w14:paraId="0438BC0B" w14:textId="77777777" w:rsidR="00C73FCB" w:rsidRDefault="00C73FCB" w:rsidP="00231103">
      <w:pPr>
        <w:spacing w:after="0" w:line="240" w:lineRule="auto"/>
      </w:pPr>
      <w:r>
        <w:continuationSeparator/>
      </w:r>
    </w:p>
  </w:footnote>
  <w:footnote w:id="1">
    <w:p w14:paraId="3C7F3E3B" w14:textId="77777777" w:rsidR="00DF1F31" w:rsidRDefault="00DF1F31" w:rsidP="00DF1F31">
      <w:pPr>
        <w:pStyle w:val="FootnoteText"/>
      </w:pPr>
      <w:r>
        <w:rPr>
          <w:rStyle w:val="FootnoteReference"/>
        </w:rPr>
        <w:footnoteRef/>
      </w:r>
      <w:r>
        <w:t xml:space="preserve"> </w:t>
      </w:r>
      <w:r w:rsidRPr="009F5F26">
        <w:t>https://www.mass.gov/doc/don-long-term-care-moratorium-memo-pdf/download</w:t>
      </w:r>
    </w:p>
  </w:footnote>
  <w:footnote w:id="2">
    <w:p w14:paraId="446DFBC8" w14:textId="12B237DC" w:rsidR="00251919" w:rsidRDefault="00251919">
      <w:pPr>
        <w:pStyle w:val="FootnoteText"/>
      </w:pPr>
      <w:r>
        <w:rPr>
          <w:rStyle w:val="FootnoteReference"/>
        </w:rPr>
        <w:footnoteRef/>
      </w:r>
      <w:r>
        <w:t xml:space="preserve"> </w:t>
      </w:r>
      <w:r w:rsidRPr="00251919">
        <w:t>https://www.cdc.gov/coronavirus/2019-ncov/community/ventilation.html#:~:text=CDC%20recommends%20a%20layered%20approach,lower%20the%20risk%20of%20exposure.</w:t>
      </w:r>
    </w:p>
  </w:footnote>
  <w:footnote w:id="3">
    <w:p w14:paraId="62E20E7E" w14:textId="77777777" w:rsidR="00CF2B67" w:rsidRPr="00744093" w:rsidRDefault="00CF2B67" w:rsidP="00CF2B67">
      <w:pPr>
        <w:pStyle w:val="FootnoteText"/>
        <w:rPr>
          <w:rFonts w:ascii="Calibri" w:hAnsi="Calibri" w:cs="Calibri"/>
          <w:sz w:val="18"/>
          <w:szCs w:val="18"/>
        </w:rPr>
      </w:pPr>
      <w:r w:rsidRPr="00744093">
        <w:rPr>
          <w:rStyle w:val="FootnoteReference"/>
          <w:rFonts w:ascii="Calibri" w:hAnsi="Calibri" w:cs="Calibri"/>
          <w:sz w:val="18"/>
          <w:szCs w:val="18"/>
        </w:rPr>
        <w:footnoteRef/>
      </w:r>
      <w:r w:rsidRPr="00744093">
        <w:rPr>
          <w:rFonts w:ascii="Calibri" w:hAnsi="Calibri" w:cs="Calibri"/>
          <w:sz w:val="18"/>
          <w:szCs w:val="18"/>
        </w:rPr>
        <w:t xml:space="preserve"> 3: Sufficient evidence of compliance and good standing with federal, state, and local laws and regulations</w:t>
      </w:r>
    </w:p>
    <w:p w14:paraId="1552EEEA" w14:textId="77777777" w:rsidR="00CF2B67" w:rsidRPr="00CF2B67" w:rsidRDefault="00CF2B67" w:rsidP="00CF2B67">
      <w:pPr>
        <w:pStyle w:val="FootnoteText"/>
        <w:rPr>
          <w:rFonts w:cs="Calibri"/>
          <w:sz w:val="16"/>
          <w:szCs w:val="16"/>
        </w:rPr>
      </w:pPr>
      <w:r w:rsidRPr="00744093">
        <w:rPr>
          <w:rFonts w:ascii="Calibri" w:hAnsi="Calibri" w:cs="Calibri"/>
          <w:sz w:val="18"/>
          <w:szCs w:val="18"/>
        </w:rPr>
        <w:t>4: Sufficient documentation of the availability of sufficient funds for capital and ongoing operating costs necessary to support the Project without negative impacts or consequences to the Applicant's existing Patient Panel 5: The … Project, on balance, is superior to alternative and substitute methods for meeting … Patient Panel needs.</w:t>
      </w:r>
    </w:p>
  </w:footnote>
  <w:footnote w:id="4">
    <w:p w14:paraId="3E414372" w14:textId="795F3144" w:rsidR="00032FF5" w:rsidRPr="00B45A7C" w:rsidRDefault="00032FF5">
      <w:pPr>
        <w:pStyle w:val="FootnoteText"/>
        <w:rPr>
          <w:sz w:val="18"/>
          <w:szCs w:val="18"/>
        </w:rPr>
      </w:pPr>
      <w:r w:rsidRPr="00B45A7C">
        <w:rPr>
          <w:rStyle w:val="FootnoteReference"/>
          <w:sz w:val="18"/>
          <w:szCs w:val="18"/>
        </w:rPr>
        <w:footnoteRef/>
      </w:r>
      <w:r w:rsidRPr="00B45A7C">
        <w:rPr>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5">
    <w:p w14:paraId="247F37E6" w14:textId="77777777" w:rsidR="003F539B" w:rsidRPr="00E10DFE" w:rsidRDefault="003F539B">
      <w:pPr>
        <w:pStyle w:val="FootnoteText"/>
        <w:rPr>
          <w:rFonts w:eastAsia="Malgun Gothic"/>
          <w:lang w:eastAsia="ko-KR"/>
        </w:rPr>
      </w:pPr>
      <w:r>
        <w:rPr>
          <w:rStyle w:val="FootnoteReference"/>
        </w:rPr>
        <w:footnoteRef/>
      </w:r>
      <w:r>
        <w:t xml:space="preserve"> </w:t>
      </w:r>
      <w:r>
        <w:rPr>
          <w:rFonts w:eastAsia="Malgun Gothic"/>
          <w:lang w:eastAsia="ko-KR"/>
        </w:rPr>
        <w:t>Self-identified</w:t>
      </w:r>
    </w:p>
  </w:footnote>
  <w:footnote w:id="6">
    <w:p w14:paraId="5E97D4D0" w14:textId="77777777" w:rsidR="00B47D8A" w:rsidRDefault="00B47D8A" w:rsidP="00B47D8A">
      <w:pPr>
        <w:pStyle w:val="FootnoteText"/>
      </w:pPr>
      <w:r>
        <w:rPr>
          <w:rStyle w:val="FootnoteReference"/>
        </w:rPr>
        <w:footnoteRef/>
      </w:r>
      <w:r>
        <w:t xml:space="preserve"> </w:t>
      </w:r>
      <w:r w:rsidRPr="00721B75">
        <w:rPr>
          <w:sz w:val="18"/>
          <w:szCs w:val="18"/>
        </w:rPr>
        <w:t>Long-Term Care in Massachusetts:</w:t>
      </w:r>
      <w:r>
        <w:rPr>
          <w:sz w:val="18"/>
          <w:szCs w:val="18"/>
        </w:rPr>
        <w:t xml:space="preserve"> </w:t>
      </w:r>
      <w:r w:rsidRPr="00721B75">
        <w:rPr>
          <w:sz w:val="18"/>
          <w:szCs w:val="18"/>
        </w:rPr>
        <w:t>Facts at a Glance</w:t>
      </w:r>
      <w:r>
        <w:rPr>
          <w:sz w:val="18"/>
          <w:szCs w:val="18"/>
        </w:rPr>
        <w:t xml:space="preserve">. Available at: </w:t>
      </w:r>
      <w:r w:rsidRPr="007567E9">
        <w:rPr>
          <w:sz w:val="18"/>
          <w:szCs w:val="18"/>
        </w:rPr>
        <w:t>https://www.mass.gov/doc/ltc-factsheetpdf/download</w:t>
      </w:r>
      <w:r w:rsidRPr="00721B75">
        <w:t xml:space="preserve"> </w:t>
      </w:r>
    </w:p>
    <w:p w14:paraId="01CC2880" w14:textId="77777777" w:rsidR="00B47D8A" w:rsidRDefault="00B47D8A" w:rsidP="00B47D8A">
      <w:pPr>
        <w:pStyle w:val="FootnoteText"/>
      </w:pPr>
    </w:p>
  </w:footnote>
  <w:footnote w:id="7">
    <w:p w14:paraId="103A706C" w14:textId="77777777" w:rsidR="00B47D8A" w:rsidRDefault="00B47D8A" w:rsidP="00B47D8A">
      <w:pPr>
        <w:pStyle w:val="FootnoteText"/>
      </w:pPr>
      <w:r>
        <w:rPr>
          <w:rStyle w:val="FootnoteReference"/>
        </w:rPr>
        <w:footnoteRef/>
      </w:r>
      <w:r>
        <w:t xml:space="preserve"> </w:t>
      </w:r>
      <w:proofErr w:type="spellStart"/>
      <w:r w:rsidRPr="001C534C">
        <w:rPr>
          <w:rFonts w:cstheme="minorHAnsi"/>
          <w:color w:val="212121"/>
          <w:sz w:val="18"/>
          <w:szCs w:val="18"/>
          <w:shd w:val="clear" w:color="auto" w:fill="FFFFFF"/>
        </w:rPr>
        <w:t>Sabbagh</w:t>
      </w:r>
      <w:proofErr w:type="spellEnd"/>
      <w:r w:rsidRPr="001C534C">
        <w:rPr>
          <w:rFonts w:cstheme="minorHAnsi"/>
          <w:color w:val="212121"/>
          <w:sz w:val="18"/>
          <w:szCs w:val="18"/>
          <w:shd w:val="clear" w:color="auto" w:fill="FFFFFF"/>
        </w:rPr>
        <w:t xml:space="preserve"> MN, Silverberg N, </w:t>
      </w:r>
      <w:proofErr w:type="spellStart"/>
      <w:r w:rsidRPr="001C534C">
        <w:rPr>
          <w:rFonts w:cstheme="minorHAnsi"/>
          <w:color w:val="212121"/>
          <w:sz w:val="18"/>
          <w:szCs w:val="18"/>
          <w:shd w:val="clear" w:color="auto" w:fill="FFFFFF"/>
        </w:rPr>
        <w:t>Majeed</w:t>
      </w:r>
      <w:proofErr w:type="spellEnd"/>
      <w:r w:rsidRPr="001C534C">
        <w:rPr>
          <w:rFonts w:cstheme="minorHAnsi"/>
          <w:color w:val="212121"/>
          <w:sz w:val="18"/>
          <w:szCs w:val="18"/>
          <w:shd w:val="clear" w:color="auto" w:fill="FFFFFF"/>
        </w:rPr>
        <w:t xml:space="preserve"> B, </w:t>
      </w:r>
      <w:proofErr w:type="spellStart"/>
      <w:r w:rsidRPr="001C534C">
        <w:rPr>
          <w:rFonts w:cstheme="minorHAnsi"/>
          <w:color w:val="212121"/>
          <w:sz w:val="18"/>
          <w:szCs w:val="18"/>
          <w:shd w:val="clear" w:color="auto" w:fill="FFFFFF"/>
        </w:rPr>
        <w:t>Samant</w:t>
      </w:r>
      <w:proofErr w:type="spellEnd"/>
      <w:r w:rsidRPr="001C534C">
        <w:rPr>
          <w:rFonts w:cstheme="minorHAnsi"/>
          <w:color w:val="212121"/>
          <w:sz w:val="18"/>
          <w:szCs w:val="18"/>
          <w:shd w:val="clear" w:color="auto" w:fill="FFFFFF"/>
        </w:rPr>
        <w:t xml:space="preserve"> S, Sparks DL, Seward J, Connor DJ. Length of stay in skilled nursing facilities is longer for patients with dementia. J </w:t>
      </w:r>
      <w:proofErr w:type="spellStart"/>
      <w:r w:rsidRPr="001C534C">
        <w:rPr>
          <w:rFonts w:cstheme="minorHAnsi"/>
          <w:color w:val="212121"/>
          <w:sz w:val="18"/>
          <w:szCs w:val="18"/>
          <w:shd w:val="clear" w:color="auto" w:fill="FFFFFF"/>
        </w:rPr>
        <w:t>Alzheimers</w:t>
      </w:r>
      <w:proofErr w:type="spellEnd"/>
      <w:r w:rsidRPr="001C534C">
        <w:rPr>
          <w:rFonts w:cstheme="minorHAnsi"/>
          <w:color w:val="212121"/>
          <w:sz w:val="18"/>
          <w:szCs w:val="18"/>
          <w:shd w:val="clear" w:color="auto" w:fill="FFFFFF"/>
        </w:rPr>
        <w:t xml:space="preserve"> Dis. 2003 Feb;5(1):57-63. </w:t>
      </w:r>
      <w:proofErr w:type="spellStart"/>
      <w:r w:rsidRPr="001C534C">
        <w:rPr>
          <w:rFonts w:cstheme="minorHAnsi"/>
          <w:color w:val="212121"/>
          <w:sz w:val="18"/>
          <w:szCs w:val="18"/>
          <w:shd w:val="clear" w:color="auto" w:fill="FFFFFF"/>
        </w:rPr>
        <w:t>doi</w:t>
      </w:r>
      <w:proofErr w:type="spellEnd"/>
      <w:r w:rsidRPr="001C534C">
        <w:rPr>
          <w:rFonts w:cstheme="minorHAnsi"/>
          <w:color w:val="212121"/>
          <w:sz w:val="18"/>
          <w:szCs w:val="18"/>
          <w:shd w:val="clear" w:color="auto" w:fill="FFFFFF"/>
        </w:rPr>
        <w:t>: 10.3233/jad-2003-5108. PMID: 12590167.</w:t>
      </w:r>
    </w:p>
  </w:footnote>
  <w:footnote w:id="8">
    <w:p w14:paraId="0EBBABCA" w14:textId="1BAEC0D7" w:rsidR="00153C2F" w:rsidRDefault="00153C2F" w:rsidP="003D6FB8">
      <w:pPr>
        <w:pStyle w:val="FootnoteText"/>
        <w:rPr>
          <w:sz w:val="18"/>
          <w:szCs w:val="18"/>
        </w:rPr>
      </w:pPr>
      <w:r>
        <w:rPr>
          <w:rStyle w:val="FootnoteReference"/>
        </w:rPr>
        <w:footnoteRef/>
      </w:r>
      <w:r>
        <w:t xml:space="preserve"> </w:t>
      </w:r>
      <w:r w:rsidRPr="00153C2F">
        <w:rPr>
          <w:sz w:val="18"/>
          <w:szCs w:val="18"/>
        </w:rPr>
        <w:t xml:space="preserve">PUB. HEALTH INST. OF W. MASS., COMMUNITY NEEDS ASSESSMENT, 69 (2019) (Adopted by the </w:t>
      </w:r>
      <w:proofErr w:type="spellStart"/>
      <w:r w:rsidRPr="00153C2F">
        <w:rPr>
          <w:sz w:val="18"/>
          <w:szCs w:val="18"/>
        </w:rPr>
        <w:t>Baystate</w:t>
      </w:r>
      <w:proofErr w:type="spellEnd"/>
      <w:r w:rsidRPr="00153C2F">
        <w:rPr>
          <w:sz w:val="18"/>
          <w:szCs w:val="18"/>
        </w:rPr>
        <w:t xml:space="preserve"> Health Board of Trustees on Sept. 10, 2019) (available </w:t>
      </w:r>
      <w:hyperlink r:id="rId1" w:history="1">
        <w:r w:rsidR="00411E6E">
          <w:rPr>
            <w:rStyle w:val="Hyperlink"/>
            <w:sz w:val="18"/>
            <w:szCs w:val="18"/>
          </w:rPr>
          <w:t>at https://www.baystatehealth.org/-/media/files/aboutus/community-programs/community-benefits/2019-community-health-needs-assessments/baystate-wing-2019-chnareport-final-web.pdf?la=en</w:t>
        </w:r>
      </w:hyperlink>
      <w:r>
        <w:rPr>
          <w:sz w:val="18"/>
          <w:szCs w:val="18"/>
        </w:rPr>
        <w:t>)</w:t>
      </w:r>
    </w:p>
    <w:p w14:paraId="5C67BDE9" w14:textId="71117B0B" w:rsidR="00153C2F" w:rsidRDefault="00153C2F" w:rsidP="003D6FB8">
      <w:pPr>
        <w:pStyle w:val="FootnoteText"/>
      </w:pPr>
    </w:p>
  </w:footnote>
  <w:footnote w:id="9">
    <w:p w14:paraId="79ABD0F7" w14:textId="53DCC932" w:rsidR="003D6FB8" w:rsidRDefault="003D6FB8" w:rsidP="003D6FB8">
      <w:pPr>
        <w:pStyle w:val="FootnoteText"/>
      </w:pPr>
      <w:r>
        <w:rPr>
          <w:rStyle w:val="FootnoteReference"/>
        </w:rPr>
        <w:footnoteRef/>
      </w:r>
      <w:r>
        <w:t xml:space="preserve"> Bram de Boer et al., The Physical Environment of Nursing Homes for People with Dementia: Traditional Nursing Homes, Small-Scale Living Facilities, and Green Care Farms, 6(4) HEALTHCARE (BASEL) 137 (Nov. 26, 2018), </w:t>
      </w:r>
      <w:hyperlink r:id="rId2" w:history="1">
        <w:r w:rsidR="00CC59D4">
          <w:rPr>
            <w:rStyle w:val="Hyperlink"/>
          </w:rPr>
          <w:t>at https://www.ncbi.nlm.nih.gov/pmc/articles/PMC6315793/</w:t>
        </w:r>
      </w:hyperlink>
    </w:p>
    <w:p w14:paraId="648DE882" w14:textId="77777777" w:rsidR="003D6FB8" w:rsidRDefault="003D6FB8">
      <w:pPr>
        <w:pStyle w:val="FootnoteText"/>
      </w:pPr>
    </w:p>
  </w:footnote>
  <w:footnote w:id="10">
    <w:p w14:paraId="0DBA01AF" w14:textId="117A9C5E" w:rsidR="009359F1" w:rsidRPr="00EE7D03" w:rsidRDefault="009359F1">
      <w:pPr>
        <w:pStyle w:val="FootnoteText"/>
        <w:rPr>
          <w:sz w:val="18"/>
          <w:szCs w:val="18"/>
        </w:rPr>
      </w:pPr>
      <w:r>
        <w:rPr>
          <w:rStyle w:val="FootnoteReference"/>
        </w:rPr>
        <w:footnoteRef/>
      </w:r>
      <w:r>
        <w:t xml:space="preserve"> </w:t>
      </w:r>
      <w:r w:rsidRPr="00EE7D03">
        <w:rPr>
          <w:sz w:val="18"/>
          <w:szCs w:val="18"/>
        </w:rPr>
        <w:t xml:space="preserve">The Centers for Medicare and Medicaid Services (CMS) reported trends for anti-psychotic medication use across all long-term care facilities has been down trending since 2012, and the average national rate in 2018 was reported to be around 15%.   </w:t>
      </w:r>
      <w:r>
        <w:rPr>
          <w:sz w:val="18"/>
          <w:szCs w:val="18"/>
        </w:rPr>
        <w:t xml:space="preserve">(Source: </w:t>
      </w:r>
      <w:r w:rsidRPr="00EE7D03">
        <w:rPr>
          <w:sz w:val="18"/>
          <w:szCs w:val="18"/>
        </w:rPr>
        <w:t xml:space="preserve"> </w:t>
      </w:r>
      <w:r w:rsidRPr="009359F1">
        <w:rPr>
          <w:sz w:val="18"/>
          <w:szCs w:val="18"/>
        </w:rPr>
        <w:t xml:space="preserve">National Partnership to Improve Dementia Care in Nursing Homes: Antipsychotic Medication Use Data Report (April 2019). Available at: </w:t>
      </w:r>
      <w:proofErr w:type="gramStart"/>
      <w:r w:rsidRPr="009359F1">
        <w:rPr>
          <w:sz w:val="18"/>
          <w:szCs w:val="18"/>
        </w:rPr>
        <w:t>https://www.cms.gov/Medicare/Provider-Enrollment-and-Certification/SurveyCertificationGenInfo/Downloads/Antipsychotic-Medication-Use-Data-Report.pdf</w:t>
      </w:r>
      <w:r w:rsidRPr="00EE7D03">
        <w:rPr>
          <w:sz w:val="18"/>
          <w:szCs w:val="18"/>
        </w:rPr>
        <w:t xml:space="preserve"> </w:t>
      </w:r>
      <w:r>
        <w:rPr>
          <w:sz w:val="18"/>
          <w:szCs w:val="18"/>
        </w:rPr>
        <w:t>)</w:t>
      </w:r>
      <w:proofErr w:type="gramEnd"/>
    </w:p>
  </w:footnote>
  <w:footnote w:id="11">
    <w:p w14:paraId="2B6B77D1" w14:textId="75F3D2EB" w:rsidR="009B7A8F" w:rsidRDefault="009B7A8F">
      <w:pPr>
        <w:pStyle w:val="FootnoteText"/>
      </w:pPr>
      <w:r>
        <w:rPr>
          <w:rStyle w:val="FootnoteReference"/>
        </w:rPr>
        <w:footnoteRef/>
      </w:r>
      <w:r>
        <w:t xml:space="preserve"> </w:t>
      </w:r>
      <w:hyperlink r:id="rId3" w:history="1">
        <w:r w:rsidRPr="0097583B">
          <w:rPr>
            <w:rStyle w:val="Hyperlink"/>
          </w:rPr>
          <w:t>https://dlsgateway.dor.state.ma.us/reports/rdPage.aspx?rdRequestForwarding=Form&amp;rdReport=Socioeconomic.MedHouseholdFamInc&amp;rdPaging=&amp;rdShowModes=&amp;rdDataCache=9024611102&amp;rdSort=tblMedHouseFamInc~Median+Household+Income~Number~~&amp;tblMedHouseFamInc-PageNr=0&amp;rdSortArrowTable=rdSortArrowKey-Socioeconomic-MedHouseholdFamInc-tblMedHouseFamInc-Median+Household+Income</w:t>
        </w:r>
      </w:hyperlink>
    </w:p>
    <w:p w14:paraId="7B51BFC6" w14:textId="77777777" w:rsidR="009B7A8F" w:rsidRDefault="009B7A8F">
      <w:pPr>
        <w:pStyle w:val="FootnoteText"/>
      </w:pPr>
    </w:p>
  </w:footnote>
  <w:footnote w:id="12">
    <w:p w14:paraId="636B177B" w14:textId="33C79622" w:rsidR="002A0CC6" w:rsidRPr="002A0CC6" w:rsidRDefault="002A0CC6" w:rsidP="007749BF">
      <w:pPr>
        <w:pStyle w:val="FootnoteText"/>
        <w:rPr>
          <w:rFonts w:cstheme="minorHAnsi"/>
          <w:color w:val="343332"/>
          <w:spacing w:val="-5"/>
          <w:sz w:val="18"/>
          <w:szCs w:val="18"/>
          <w:shd w:val="clear" w:color="auto" w:fill="FFFFFF"/>
        </w:rPr>
      </w:pPr>
      <w:r w:rsidRPr="002A0CC6">
        <w:rPr>
          <w:rStyle w:val="FootnoteReference"/>
          <w:rFonts w:cstheme="minorHAnsi"/>
          <w:sz w:val="18"/>
          <w:szCs w:val="18"/>
        </w:rPr>
        <w:footnoteRef/>
      </w:r>
      <w:r w:rsidRPr="002A0CC6">
        <w:rPr>
          <w:rFonts w:cstheme="minorHAnsi"/>
          <w:sz w:val="18"/>
          <w:szCs w:val="18"/>
        </w:rPr>
        <w:t xml:space="preserve"> </w:t>
      </w:r>
      <w:hyperlink r:id="rId4" w:history="1">
        <w:r w:rsidR="00AC41D2">
          <w:rPr>
            <w:rStyle w:val="Hyperlink"/>
            <w:rFonts w:cstheme="minorHAnsi"/>
            <w:spacing w:val="-5"/>
            <w:sz w:val="18"/>
            <w:szCs w:val="18"/>
            <w:shd w:val="clear" w:color="auto" w:fill="FFFFFF"/>
          </w:rPr>
          <w:t>at https://www.jstor.org/stable/4149069</w:t>
        </w:r>
      </w:hyperlink>
    </w:p>
    <w:p w14:paraId="2889200C" w14:textId="77777777" w:rsidR="002A0CC6" w:rsidRDefault="002A0CC6" w:rsidP="007749BF">
      <w:pPr>
        <w:pStyle w:val="FootnoteText"/>
      </w:pPr>
    </w:p>
  </w:footnote>
  <w:footnote w:id="13">
    <w:p w14:paraId="16ECFC90" w14:textId="1DACB94E" w:rsidR="0074631E" w:rsidRDefault="0074631E" w:rsidP="007749BF">
      <w:pPr>
        <w:pStyle w:val="FootnoteText"/>
      </w:pPr>
      <w:r>
        <w:rPr>
          <w:rStyle w:val="FootnoteReference"/>
        </w:rPr>
        <w:footnoteRef/>
      </w:r>
      <w:r>
        <w:t xml:space="preserve"> </w:t>
      </w:r>
      <w:hyperlink r:id="rId5" w:history="1">
        <w:r w:rsidR="007C47B7">
          <w:rPr>
            <w:rStyle w:val="Hyperlink"/>
          </w:rPr>
          <w:t>at https://lpeproject.org/blog/medicare-for-all-how-to-reduce-inequality-in-the-long-term-care-market/</w:t>
        </w:r>
      </w:hyperlink>
    </w:p>
    <w:p w14:paraId="46447608" w14:textId="77777777" w:rsidR="0074631E" w:rsidRDefault="0074631E" w:rsidP="007749BF">
      <w:pPr>
        <w:pStyle w:val="FootnoteText"/>
      </w:pPr>
    </w:p>
  </w:footnote>
  <w:footnote w:id="14">
    <w:p w14:paraId="31BA6B28" w14:textId="0D36B303" w:rsidR="00453FB2" w:rsidRPr="00597CC5" w:rsidRDefault="00453FB2" w:rsidP="007749BF">
      <w:pPr>
        <w:pStyle w:val="FootnoteText"/>
        <w:rPr>
          <w:sz w:val="18"/>
          <w:szCs w:val="18"/>
        </w:rPr>
      </w:pPr>
      <w:r w:rsidRPr="00597CC5">
        <w:rPr>
          <w:rStyle w:val="FootnoteReference"/>
          <w:sz w:val="18"/>
          <w:szCs w:val="18"/>
        </w:rPr>
        <w:footnoteRef/>
      </w:r>
      <w:r w:rsidRPr="00597CC5">
        <w:rPr>
          <w:sz w:val="18"/>
          <w:szCs w:val="18"/>
        </w:rPr>
        <w:t xml:space="preserve"> </w:t>
      </w:r>
      <w:r w:rsidR="009E0206" w:rsidRPr="00597CC5">
        <w:rPr>
          <w:sz w:val="18"/>
          <w:szCs w:val="18"/>
        </w:rPr>
        <w:t xml:space="preserve">Census.gov. 2019 </w:t>
      </w:r>
      <w:proofErr w:type="spellStart"/>
      <w:r w:rsidR="009E0206" w:rsidRPr="00597CC5">
        <w:rPr>
          <w:sz w:val="18"/>
          <w:szCs w:val="18"/>
        </w:rPr>
        <w:t>QuickFacts</w:t>
      </w:r>
      <w:proofErr w:type="spellEnd"/>
      <w:r w:rsidR="009E0206" w:rsidRPr="00597CC5">
        <w:rPr>
          <w:sz w:val="18"/>
          <w:szCs w:val="18"/>
        </w:rPr>
        <w:t xml:space="preserve">: Palmer Town City, Massachusetts. </w:t>
      </w:r>
      <w:r w:rsidRPr="00597CC5">
        <w:rPr>
          <w:sz w:val="18"/>
          <w:szCs w:val="18"/>
        </w:rPr>
        <w:t>https://www.cnsus.gov/quickfacts/fact/table/hampdencountymassachusetts/RHI525219#RHI525219</w:t>
      </w:r>
    </w:p>
  </w:footnote>
  <w:footnote w:id="15">
    <w:p w14:paraId="6A12247B" w14:textId="3F8C3973" w:rsidR="00B810E2" w:rsidRPr="00B810E2" w:rsidRDefault="00B810E2">
      <w:pPr>
        <w:pStyle w:val="FootnoteText"/>
        <w:rPr>
          <w:rFonts w:eastAsia="Malgun Gothic"/>
          <w:lang w:eastAsia="ko-KR"/>
        </w:rPr>
      </w:pPr>
      <w:r>
        <w:rPr>
          <w:rStyle w:val="FootnoteReference"/>
        </w:rPr>
        <w:footnoteRef/>
      </w:r>
      <w:r>
        <w:t xml:space="preserve"> </w:t>
      </w:r>
      <w:proofErr w:type="spellStart"/>
      <w:r w:rsidRPr="00B810E2">
        <w:t>Bjarnadottir</w:t>
      </w:r>
      <w:proofErr w:type="spellEnd"/>
      <w:r w:rsidRPr="00B810E2">
        <w:t xml:space="preserve"> RI, </w:t>
      </w:r>
      <w:proofErr w:type="spellStart"/>
      <w:r w:rsidRPr="00B810E2">
        <w:t>Herzig</w:t>
      </w:r>
      <w:proofErr w:type="spellEnd"/>
      <w:r w:rsidRPr="00B810E2">
        <w:t xml:space="preserve"> CTA, Travers JL, Castle NG, Stone PW. Implementation of Electronic Health Records in US Nursing Homes. </w:t>
      </w:r>
      <w:proofErr w:type="spellStart"/>
      <w:r w:rsidRPr="00B810E2">
        <w:t>Comput</w:t>
      </w:r>
      <w:proofErr w:type="spellEnd"/>
      <w:r w:rsidRPr="00B810E2">
        <w:t xml:space="preserve"> Inform </w:t>
      </w:r>
      <w:proofErr w:type="spellStart"/>
      <w:r w:rsidRPr="00B810E2">
        <w:t>Nurs</w:t>
      </w:r>
      <w:proofErr w:type="spellEnd"/>
      <w:r w:rsidRPr="00B810E2">
        <w:t>. 2017;35(8):417-424. doi:10.1097/CIN.0000000000000344</w:t>
      </w:r>
    </w:p>
  </w:footnote>
  <w:footnote w:id="16">
    <w:p w14:paraId="65F782EA" w14:textId="4A3DC318" w:rsidR="00D10C13" w:rsidRPr="00202FB0" w:rsidRDefault="00D10C13">
      <w:pPr>
        <w:pStyle w:val="FootnoteText"/>
        <w:rPr>
          <w:sz w:val="18"/>
          <w:szCs w:val="18"/>
        </w:rPr>
      </w:pPr>
      <w:r w:rsidRPr="00202FB0">
        <w:rPr>
          <w:rStyle w:val="FootnoteReference"/>
          <w:sz w:val="18"/>
          <w:szCs w:val="18"/>
        </w:rPr>
        <w:footnoteRef/>
      </w:r>
      <w:r w:rsidRPr="00202FB0">
        <w:rPr>
          <w:sz w:val="18"/>
          <w:szCs w:val="18"/>
        </w:rPr>
        <w:t xml:space="preserve"> </w:t>
      </w:r>
      <w:proofErr w:type="spellStart"/>
      <w:r w:rsidRPr="00146B1C">
        <w:rPr>
          <w:sz w:val="18"/>
          <w:szCs w:val="18"/>
        </w:rPr>
        <w:t>DoN</w:t>
      </w:r>
      <w:proofErr w:type="spellEnd"/>
      <w:r w:rsidRPr="00146B1C">
        <w:rPr>
          <w:sz w:val="18"/>
          <w:szCs w:val="18"/>
        </w:rPr>
        <w:t xml:space="preserve"> Regulation 100.210 (A)(1)(e). </w:t>
      </w:r>
      <w:hyperlink r:id="rId6" w:history="1">
        <w:r w:rsidR="004045F8">
          <w:rPr>
            <w:rStyle w:val="Hyperlink"/>
            <w:sz w:val="18"/>
            <w:szCs w:val="18"/>
          </w:rPr>
          <w:t>at https://www.mass.gov/files/documents/2018/12/31/jud-lib-105cmr100.pdf</w:t>
        </w:r>
      </w:hyperlink>
      <w:r w:rsidRPr="00202FB0">
        <w:rPr>
          <w:sz w:val="18"/>
          <w:szCs w:val="18"/>
        </w:rPr>
        <w:t xml:space="preserve"> </w:t>
      </w:r>
    </w:p>
  </w:footnote>
  <w:footnote w:id="17">
    <w:p w14:paraId="38771AA8" w14:textId="753AF792" w:rsidR="00A53EF5" w:rsidRPr="00BD3AE9" w:rsidRDefault="00A53EF5">
      <w:pPr>
        <w:pStyle w:val="FootnoteText"/>
        <w:rPr>
          <w:sz w:val="18"/>
          <w:szCs w:val="18"/>
        </w:rPr>
      </w:pPr>
      <w:r w:rsidRPr="00BD3AE9">
        <w:rPr>
          <w:rStyle w:val="FootnoteReference"/>
          <w:sz w:val="18"/>
          <w:szCs w:val="18"/>
        </w:rPr>
        <w:footnoteRef/>
      </w:r>
      <w:r w:rsidRPr="00BD3AE9">
        <w:rPr>
          <w:sz w:val="18"/>
          <w:szCs w:val="18"/>
        </w:rPr>
        <w:t xml:space="preserve"> M. Calkins and C. </w:t>
      </w:r>
      <w:proofErr w:type="spellStart"/>
      <w:r w:rsidRPr="00BD3AE9">
        <w:rPr>
          <w:sz w:val="18"/>
          <w:szCs w:val="18"/>
        </w:rPr>
        <w:t>Cassella</w:t>
      </w:r>
      <w:proofErr w:type="spellEnd"/>
      <w:r w:rsidRPr="00BD3AE9">
        <w:rPr>
          <w:sz w:val="18"/>
          <w:szCs w:val="18"/>
        </w:rPr>
        <w:t>, "Exploring the Cost and Value of Private Versus Shared Bedrooms in Nursing Homes," The Gerontologist, April 2007 47:169–83.</w:t>
      </w:r>
    </w:p>
  </w:footnote>
  <w:footnote w:id="18">
    <w:p w14:paraId="76031211" w14:textId="21990364" w:rsidR="007D5B27" w:rsidRPr="00F713CD" w:rsidRDefault="007D5B27" w:rsidP="007D5B27">
      <w:pPr>
        <w:pStyle w:val="FootnoteText"/>
        <w:rPr>
          <w:rFonts w:eastAsia="Malgun Gothic"/>
          <w:lang w:eastAsia="ko-KR"/>
        </w:rPr>
      </w:pPr>
      <w:r w:rsidRPr="00BD3AE9">
        <w:rPr>
          <w:rStyle w:val="FootnoteReference"/>
          <w:sz w:val="18"/>
          <w:szCs w:val="18"/>
        </w:rPr>
        <w:footnoteRef/>
      </w:r>
      <w:r w:rsidRPr="00BD3AE9">
        <w:rPr>
          <w:sz w:val="18"/>
          <w:szCs w:val="18"/>
        </w:rPr>
        <w:t xml:space="preserve"> </w:t>
      </w:r>
      <w:hyperlink r:id="rId7" w:history="1">
        <w:r w:rsidR="004045F8">
          <w:rPr>
            <w:rStyle w:val="Hyperlink"/>
            <w:sz w:val="18"/>
            <w:szCs w:val="18"/>
          </w:rPr>
          <w:t>at https://www.usgbc.org/leed</w:t>
        </w:r>
      </w:hyperlink>
      <w:r>
        <w:rPr>
          <w:sz w:val="18"/>
          <w:szCs w:val="18"/>
        </w:rPr>
        <w:t xml:space="preserve"> </w:t>
      </w:r>
    </w:p>
  </w:footnote>
  <w:footnote w:id="19">
    <w:p w14:paraId="77AEABFE" w14:textId="2D352AC9" w:rsidR="00131627" w:rsidRDefault="00131627">
      <w:pPr>
        <w:pStyle w:val="FootnoteText"/>
      </w:pPr>
      <w:r w:rsidRPr="00BD3AE9">
        <w:rPr>
          <w:rStyle w:val="FootnoteReference"/>
          <w:sz w:val="18"/>
          <w:szCs w:val="18"/>
        </w:rPr>
        <w:footnoteRef/>
      </w:r>
      <w:r w:rsidRPr="00BD3AE9">
        <w:rPr>
          <w:sz w:val="18"/>
          <w:szCs w:val="18"/>
        </w:rPr>
        <w:t xml:space="preserve"> Harrison JD, Auerbach AD, Quinn K, </w:t>
      </w:r>
      <w:proofErr w:type="spellStart"/>
      <w:r w:rsidRPr="00BD3AE9">
        <w:rPr>
          <w:sz w:val="18"/>
          <w:szCs w:val="18"/>
        </w:rPr>
        <w:t>Kynoch</w:t>
      </w:r>
      <w:proofErr w:type="spellEnd"/>
      <w:r w:rsidRPr="00BD3AE9">
        <w:rPr>
          <w:sz w:val="18"/>
          <w:szCs w:val="18"/>
        </w:rPr>
        <w:t xml:space="preserve"> E, Mourad M. Assessing the impact of nurse post-discharge telephone calls on 30-day hospital readmission rates. J Gen Intern Med. 2014;29(11):1519-1525. doi:10.1007/s11606-014-2954-2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4A34B" w14:textId="1DBD148B" w:rsidR="00407A67" w:rsidRDefault="00407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71A6" w14:textId="79C9CD9E" w:rsidR="00407A67" w:rsidRDefault="00407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23C4" w14:textId="541DFE99" w:rsidR="00407A67" w:rsidRDefault="00407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7C1"/>
    <w:multiLevelType w:val="hybridMultilevel"/>
    <w:tmpl w:val="28C4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2744"/>
    <w:multiLevelType w:val="hybridMultilevel"/>
    <w:tmpl w:val="F7DA0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63BB"/>
    <w:multiLevelType w:val="multilevel"/>
    <w:tmpl w:val="DBD2C8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0D29C5"/>
    <w:multiLevelType w:val="multilevel"/>
    <w:tmpl w:val="2E1C3E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991D8D"/>
    <w:multiLevelType w:val="hybridMultilevel"/>
    <w:tmpl w:val="DC589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F635F0"/>
    <w:multiLevelType w:val="hybridMultilevel"/>
    <w:tmpl w:val="DEF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77750"/>
    <w:multiLevelType w:val="multilevel"/>
    <w:tmpl w:val="FE90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A76F4"/>
    <w:multiLevelType w:val="hybridMultilevel"/>
    <w:tmpl w:val="80A4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04F1"/>
    <w:multiLevelType w:val="hybridMultilevel"/>
    <w:tmpl w:val="35CA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C139E"/>
    <w:multiLevelType w:val="hybridMultilevel"/>
    <w:tmpl w:val="77DE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E5E78"/>
    <w:multiLevelType w:val="multilevel"/>
    <w:tmpl w:val="E83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C7FEE"/>
    <w:multiLevelType w:val="hybridMultilevel"/>
    <w:tmpl w:val="EF844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19EE"/>
    <w:multiLevelType w:val="hybridMultilevel"/>
    <w:tmpl w:val="F3D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82272"/>
    <w:multiLevelType w:val="hybridMultilevel"/>
    <w:tmpl w:val="4E568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B15A8"/>
    <w:multiLevelType w:val="hybridMultilevel"/>
    <w:tmpl w:val="94D2A02C"/>
    <w:lvl w:ilvl="0" w:tplc="ABEAD6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0200C2"/>
    <w:multiLevelType w:val="hybridMultilevel"/>
    <w:tmpl w:val="70A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E098E"/>
    <w:multiLevelType w:val="multilevel"/>
    <w:tmpl w:val="5C1C184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1D7367"/>
    <w:multiLevelType w:val="hybridMultilevel"/>
    <w:tmpl w:val="116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81647"/>
    <w:multiLevelType w:val="hybridMultilevel"/>
    <w:tmpl w:val="B46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ED3"/>
    <w:multiLevelType w:val="hybridMultilevel"/>
    <w:tmpl w:val="CC48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413A8"/>
    <w:multiLevelType w:val="hybridMultilevel"/>
    <w:tmpl w:val="834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710FB"/>
    <w:multiLevelType w:val="hybridMultilevel"/>
    <w:tmpl w:val="54CC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42356"/>
    <w:multiLevelType w:val="hybridMultilevel"/>
    <w:tmpl w:val="2E72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175F3"/>
    <w:multiLevelType w:val="multilevel"/>
    <w:tmpl w:val="863400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A70D45"/>
    <w:multiLevelType w:val="hybridMultilevel"/>
    <w:tmpl w:val="9670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73137"/>
    <w:multiLevelType w:val="hybridMultilevel"/>
    <w:tmpl w:val="A524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34E3A"/>
    <w:multiLevelType w:val="hybridMultilevel"/>
    <w:tmpl w:val="81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67876"/>
    <w:multiLevelType w:val="hybridMultilevel"/>
    <w:tmpl w:val="0D92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A0690"/>
    <w:multiLevelType w:val="hybridMultilevel"/>
    <w:tmpl w:val="4B0EC8C4"/>
    <w:lvl w:ilvl="0" w:tplc="46FA3428">
      <w:start w:val="3"/>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43824F1"/>
    <w:multiLevelType w:val="hybridMultilevel"/>
    <w:tmpl w:val="FFAC2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575A1"/>
    <w:multiLevelType w:val="hybridMultilevel"/>
    <w:tmpl w:val="2580188A"/>
    <w:lvl w:ilvl="0" w:tplc="EBC6C5AE">
      <w:start w:val="2"/>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8306A5F"/>
    <w:multiLevelType w:val="hybridMultilevel"/>
    <w:tmpl w:val="061CC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014F9"/>
    <w:multiLevelType w:val="hybridMultilevel"/>
    <w:tmpl w:val="6E6A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818F1"/>
    <w:multiLevelType w:val="hybridMultilevel"/>
    <w:tmpl w:val="BD52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777AC"/>
    <w:multiLevelType w:val="hybridMultilevel"/>
    <w:tmpl w:val="BAE8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33CC8"/>
    <w:multiLevelType w:val="hybridMultilevel"/>
    <w:tmpl w:val="BD6A3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02F5F"/>
    <w:multiLevelType w:val="hybridMultilevel"/>
    <w:tmpl w:val="E5F0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E2956"/>
    <w:multiLevelType w:val="hybridMultilevel"/>
    <w:tmpl w:val="093E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21CD0"/>
    <w:multiLevelType w:val="multilevel"/>
    <w:tmpl w:val="0B38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44B08"/>
    <w:multiLevelType w:val="hybridMultilevel"/>
    <w:tmpl w:val="6674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4F2E"/>
    <w:multiLevelType w:val="hybridMultilevel"/>
    <w:tmpl w:val="A8A8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41898"/>
    <w:multiLevelType w:val="hybridMultilevel"/>
    <w:tmpl w:val="7B28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D6749"/>
    <w:multiLevelType w:val="hybridMultilevel"/>
    <w:tmpl w:val="3D32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22249"/>
    <w:multiLevelType w:val="hybridMultilevel"/>
    <w:tmpl w:val="ED9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70517"/>
    <w:multiLevelType w:val="multilevel"/>
    <w:tmpl w:val="DBD2C8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E694C6E"/>
    <w:multiLevelType w:val="hybridMultilevel"/>
    <w:tmpl w:val="D88C2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32"/>
  </w:num>
  <w:num w:numId="4">
    <w:abstractNumId w:val="33"/>
  </w:num>
  <w:num w:numId="5">
    <w:abstractNumId w:val="36"/>
  </w:num>
  <w:num w:numId="6">
    <w:abstractNumId w:val="1"/>
  </w:num>
  <w:num w:numId="7">
    <w:abstractNumId w:val="5"/>
  </w:num>
  <w:num w:numId="8">
    <w:abstractNumId w:val="17"/>
  </w:num>
  <w:num w:numId="9">
    <w:abstractNumId w:val="34"/>
  </w:num>
  <w:num w:numId="10">
    <w:abstractNumId w:val="30"/>
  </w:num>
  <w:num w:numId="11">
    <w:abstractNumId w:val="28"/>
  </w:num>
  <w:num w:numId="12">
    <w:abstractNumId w:val="12"/>
  </w:num>
  <w:num w:numId="13">
    <w:abstractNumId w:val="20"/>
  </w:num>
  <w:num w:numId="14">
    <w:abstractNumId w:val="44"/>
  </w:num>
  <w:num w:numId="15">
    <w:abstractNumId w:val="22"/>
  </w:num>
  <w:num w:numId="16">
    <w:abstractNumId w:val="42"/>
  </w:num>
  <w:num w:numId="17">
    <w:abstractNumId w:val="21"/>
  </w:num>
  <w:num w:numId="18">
    <w:abstractNumId w:val="7"/>
  </w:num>
  <w:num w:numId="19">
    <w:abstractNumId w:val="37"/>
  </w:num>
  <w:num w:numId="20">
    <w:abstractNumId w:val="40"/>
  </w:num>
  <w:num w:numId="21">
    <w:abstractNumId w:val="0"/>
  </w:num>
  <w:num w:numId="22">
    <w:abstractNumId w:val="24"/>
  </w:num>
  <w:num w:numId="23">
    <w:abstractNumId w:val="11"/>
  </w:num>
  <w:num w:numId="24">
    <w:abstractNumId w:val="18"/>
  </w:num>
  <w:num w:numId="25">
    <w:abstractNumId w:val="35"/>
  </w:num>
  <w:num w:numId="26">
    <w:abstractNumId w:val="9"/>
  </w:num>
  <w:num w:numId="27">
    <w:abstractNumId w:val="19"/>
  </w:num>
  <w:num w:numId="28">
    <w:abstractNumId w:val="26"/>
  </w:num>
  <w:num w:numId="29">
    <w:abstractNumId w:val="39"/>
  </w:num>
  <w:num w:numId="30">
    <w:abstractNumId w:val="6"/>
  </w:num>
  <w:num w:numId="31">
    <w:abstractNumId w:val="10"/>
  </w:num>
  <w:num w:numId="32">
    <w:abstractNumId w:val="41"/>
  </w:num>
  <w:num w:numId="33">
    <w:abstractNumId w:val="38"/>
  </w:num>
  <w:num w:numId="34">
    <w:abstractNumId w:val="13"/>
  </w:num>
  <w:num w:numId="35">
    <w:abstractNumId w:val="27"/>
  </w:num>
  <w:num w:numId="36">
    <w:abstractNumId w:val="4"/>
  </w:num>
  <w:num w:numId="37">
    <w:abstractNumId w:val="15"/>
  </w:num>
  <w:num w:numId="38">
    <w:abstractNumId w:val="16"/>
  </w:num>
  <w:num w:numId="39">
    <w:abstractNumId w:val="46"/>
  </w:num>
  <w:num w:numId="40">
    <w:abstractNumId w:val="29"/>
  </w:num>
  <w:num w:numId="41">
    <w:abstractNumId w:val="8"/>
  </w:num>
  <w:num w:numId="42">
    <w:abstractNumId w:val="14"/>
  </w:num>
  <w:num w:numId="43">
    <w:abstractNumId w:val="31"/>
  </w:num>
  <w:num w:numId="44">
    <w:abstractNumId w:val="3"/>
  </w:num>
  <w:num w:numId="45">
    <w:abstractNumId w:val="45"/>
  </w:num>
  <w:num w:numId="46">
    <w:abstractNumId w:val="23"/>
  </w:num>
  <w:num w:numId="4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5C"/>
    <w:rsid w:val="0000018B"/>
    <w:rsid w:val="00000A3D"/>
    <w:rsid w:val="0000377A"/>
    <w:rsid w:val="000037BD"/>
    <w:rsid w:val="00004002"/>
    <w:rsid w:val="000043B7"/>
    <w:rsid w:val="00005930"/>
    <w:rsid w:val="00006120"/>
    <w:rsid w:val="0000620A"/>
    <w:rsid w:val="000064BF"/>
    <w:rsid w:val="00006D7B"/>
    <w:rsid w:val="00007856"/>
    <w:rsid w:val="00010605"/>
    <w:rsid w:val="00011D5C"/>
    <w:rsid w:val="0001463A"/>
    <w:rsid w:val="000149B5"/>
    <w:rsid w:val="00015877"/>
    <w:rsid w:val="000171B2"/>
    <w:rsid w:val="0001796E"/>
    <w:rsid w:val="00021CE3"/>
    <w:rsid w:val="00021E2D"/>
    <w:rsid w:val="000221E0"/>
    <w:rsid w:val="000228E0"/>
    <w:rsid w:val="00023FEB"/>
    <w:rsid w:val="00025521"/>
    <w:rsid w:val="00026600"/>
    <w:rsid w:val="000268FE"/>
    <w:rsid w:val="00031628"/>
    <w:rsid w:val="0003235F"/>
    <w:rsid w:val="00032FF5"/>
    <w:rsid w:val="000340DC"/>
    <w:rsid w:val="0003478E"/>
    <w:rsid w:val="00040674"/>
    <w:rsid w:val="00040CCD"/>
    <w:rsid w:val="00040FC1"/>
    <w:rsid w:val="00041335"/>
    <w:rsid w:val="00041D23"/>
    <w:rsid w:val="00041E4A"/>
    <w:rsid w:val="000429D3"/>
    <w:rsid w:val="00042AF6"/>
    <w:rsid w:val="00043E84"/>
    <w:rsid w:val="00044338"/>
    <w:rsid w:val="00044670"/>
    <w:rsid w:val="00044DB9"/>
    <w:rsid w:val="000458F5"/>
    <w:rsid w:val="00045C97"/>
    <w:rsid w:val="00046436"/>
    <w:rsid w:val="0004645C"/>
    <w:rsid w:val="0004773C"/>
    <w:rsid w:val="00047AEF"/>
    <w:rsid w:val="00047DC4"/>
    <w:rsid w:val="000504C3"/>
    <w:rsid w:val="000505CF"/>
    <w:rsid w:val="00051CD9"/>
    <w:rsid w:val="00052060"/>
    <w:rsid w:val="00054010"/>
    <w:rsid w:val="00054CD1"/>
    <w:rsid w:val="00055990"/>
    <w:rsid w:val="00056706"/>
    <w:rsid w:val="00056707"/>
    <w:rsid w:val="00056A90"/>
    <w:rsid w:val="000570BB"/>
    <w:rsid w:val="00057524"/>
    <w:rsid w:val="00057CC4"/>
    <w:rsid w:val="00060403"/>
    <w:rsid w:val="00060651"/>
    <w:rsid w:val="00060A51"/>
    <w:rsid w:val="00062599"/>
    <w:rsid w:val="0006280A"/>
    <w:rsid w:val="0006328B"/>
    <w:rsid w:val="000644A3"/>
    <w:rsid w:val="000649A6"/>
    <w:rsid w:val="00064A49"/>
    <w:rsid w:val="00064BA8"/>
    <w:rsid w:val="00064FD4"/>
    <w:rsid w:val="000678AD"/>
    <w:rsid w:val="00067F51"/>
    <w:rsid w:val="000702F9"/>
    <w:rsid w:val="00071296"/>
    <w:rsid w:val="00071411"/>
    <w:rsid w:val="00073588"/>
    <w:rsid w:val="0007370C"/>
    <w:rsid w:val="00073AA6"/>
    <w:rsid w:val="00073DC9"/>
    <w:rsid w:val="00074092"/>
    <w:rsid w:val="000741E3"/>
    <w:rsid w:val="00074AA5"/>
    <w:rsid w:val="00075F06"/>
    <w:rsid w:val="000764C2"/>
    <w:rsid w:val="000764EF"/>
    <w:rsid w:val="00076961"/>
    <w:rsid w:val="00076CB2"/>
    <w:rsid w:val="00077393"/>
    <w:rsid w:val="000805C7"/>
    <w:rsid w:val="00082D19"/>
    <w:rsid w:val="00082FA2"/>
    <w:rsid w:val="0008338A"/>
    <w:rsid w:val="00083AD3"/>
    <w:rsid w:val="00084F0E"/>
    <w:rsid w:val="00085226"/>
    <w:rsid w:val="00085450"/>
    <w:rsid w:val="000862E1"/>
    <w:rsid w:val="000868DF"/>
    <w:rsid w:val="00087615"/>
    <w:rsid w:val="0009089A"/>
    <w:rsid w:val="00090BFF"/>
    <w:rsid w:val="00090F76"/>
    <w:rsid w:val="00092167"/>
    <w:rsid w:val="00093175"/>
    <w:rsid w:val="00094A55"/>
    <w:rsid w:val="00095007"/>
    <w:rsid w:val="000952D1"/>
    <w:rsid w:val="000960F0"/>
    <w:rsid w:val="00097809"/>
    <w:rsid w:val="000A18DC"/>
    <w:rsid w:val="000A1D7F"/>
    <w:rsid w:val="000A2C67"/>
    <w:rsid w:val="000A3060"/>
    <w:rsid w:val="000A3B6A"/>
    <w:rsid w:val="000A3FB5"/>
    <w:rsid w:val="000A4439"/>
    <w:rsid w:val="000A67B4"/>
    <w:rsid w:val="000A7362"/>
    <w:rsid w:val="000B1114"/>
    <w:rsid w:val="000B140A"/>
    <w:rsid w:val="000B1486"/>
    <w:rsid w:val="000B1D01"/>
    <w:rsid w:val="000B2E85"/>
    <w:rsid w:val="000B3AB8"/>
    <w:rsid w:val="000B3C84"/>
    <w:rsid w:val="000B4345"/>
    <w:rsid w:val="000B4E69"/>
    <w:rsid w:val="000B633D"/>
    <w:rsid w:val="000B6EE5"/>
    <w:rsid w:val="000C0F1B"/>
    <w:rsid w:val="000C218C"/>
    <w:rsid w:val="000C252E"/>
    <w:rsid w:val="000C3416"/>
    <w:rsid w:val="000C3D94"/>
    <w:rsid w:val="000C662C"/>
    <w:rsid w:val="000C799A"/>
    <w:rsid w:val="000C7EB8"/>
    <w:rsid w:val="000D172A"/>
    <w:rsid w:val="000D256E"/>
    <w:rsid w:val="000D4478"/>
    <w:rsid w:val="000D480F"/>
    <w:rsid w:val="000D7B41"/>
    <w:rsid w:val="000E0BD0"/>
    <w:rsid w:val="000E0FE3"/>
    <w:rsid w:val="000E31EB"/>
    <w:rsid w:val="000E4A0F"/>
    <w:rsid w:val="000E4E82"/>
    <w:rsid w:val="000E5490"/>
    <w:rsid w:val="000E5772"/>
    <w:rsid w:val="000E66BC"/>
    <w:rsid w:val="000E741A"/>
    <w:rsid w:val="000E75CB"/>
    <w:rsid w:val="000F0728"/>
    <w:rsid w:val="000F13DF"/>
    <w:rsid w:val="000F2A34"/>
    <w:rsid w:val="000F5882"/>
    <w:rsid w:val="000F594B"/>
    <w:rsid w:val="000F762C"/>
    <w:rsid w:val="001008D6"/>
    <w:rsid w:val="00101B78"/>
    <w:rsid w:val="00102068"/>
    <w:rsid w:val="001022E7"/>
    <w:rsid w:val="001037E2"/>
    <w:rsid w:val="00103D80"/>
    <w:rsid w:val="00103FC0"/>
    <w:rsid w:val="001041BA"/>
    <w:rsid w:val="0010512C"/>
    <w:rsid w:val="00105257"/>
    <w:rsid w:val="00106356"/>
    <w:rsid w:val="00106D23"/>
    <w:rsid w:val="00106EAB"/>
    <w:rsid w:val="00107370"/>
    <w:rsid w:val="00107DAA"/>
    <w:rsid w:val="001102AD"/>
    <w:rsid w:val="001133DF"/>
    <w:rsid w:val="00113824"/>
    <w:rsid w:val="00114415"/>
    <w:rsid w:val="001144E9"/>
    <w:rsid w:val="0011452E"/>
    <w:rsid w:val="00114979"/>
    <w:rsid w:val="001151AB"/>
    <w:rsid w:val="001157B1"/>
    <w:rsid w:val="001179AA"/>
    <w:rsid w:val="001202D9"/>
    <w:rsid w:val="001212BE"/>
    <w:rsid w:val="0012183F"/>
    <w:rsid w:val="00121D0A"/>
    <w:rsid w:val="00123A29"/>
    <w:rsid w:val="00124018"/>
    <w:rsid w:val="00124249"/>
    <w:rsid w:val="00124ACA"/>
    <w:rsid w:val="0012586E"/>
    <w:rsid w:val="0012599E"/>
    <w:rsid w:val="00125F7B"/>
    <w:rsid w:val="00126F68"/>
    <w:rsid w:val="00127AF5"/>
    <w:rsid w:val="001311F3"/>
    <w:rsid w:val="00131627"/>
    <w:rsid w:val="0013320D"/>
    <w:rsid w:val="001338DB"/>
    <w:rsid w:val="00133AEF"/>
    <w:rsid w:val="00133B2B"/>
    <w:rsid w:val="00133FA2"/>
    <w:rsid w:val="00134C6F"/>
    <w:rsid w:val="00137753"/>
    <w:rsid w:val="00140A5E"/>
    <w:rsid w:val="00141060"/>
    <w:rsid w:val="001433FF"/>
    <w:rsid w:val="0014393A"/>
    <w:rsid w:val="00143A79"/>
    <w:rsid w:val="0014486A"/>
    <w:rsid w:val="00144893"/>
    <w:rsid w:val="00145577"/>
    <w:rsid w:val="00146B1C"/>
    <w:rsid w:val="00146B9B"/>
    <w:rsid w:val="00147E97"/>
    <w:rsid w:val="00150106"/>
    <w:rsid w:val="00150823"/>
    <w:rsid w:val="001515E3"/>
    <w:rsid w:val="00152022"/>
    <w:rsid w:val="00152901"/>
    <w:rsid w:val="00153838"/>
    <w:rsid w:val="00153C2F"/>
    <w:rsid w:val="0015438B"/>
    <w:rsid w:val="001546EE"/>
    <w:rsid w:val="0015567D"/>
    <w:rsid w:val="00156A74"/>
    <w:rsid w:val="00157A1F"/>
    <w:rsid w:val="00160629"/>
    <w:rsid w:val="00160E14"/>
    <w:rsid w:val="00160F24"/>
    <w:rsid w:val="00162A1A"/>
    <w:rsid w:val="001630F8"/>
    <w:rsid w:val="00163DCC"/>
    <w:rsid w:val="00164A26"/>
    <w:rsid w:val="00164E08"/>
    <w:rsid w:val="0016547B"/>
    <w:rsid w:val="00166844"/>
    <w:rsid w:val="00166CDE"/>
    <w:rsid w:val="001718CB"/>
    <w:rsid w:val="00173733"/>
    <w:rsid w:val="00173BD5"/>
    <w:rsid w:val="0017513A"/>
    <w:rsid w:val="001755C5"/>
    <w:rsid w:val="0017609C"/>
    <w:rsid w:val="00176C56"/>
    <w:rsid w:val="00177A2A"/>
    <w:rsid w:val="00177A6C"/>
    <w:rsid w:val="00183C66"/>
    <w:rsid w:val="00186494"/>
    <w:rsid w:val="001871B7"/>
    <w:rsid w:val="001906C0"/>
    <w:rsid w:val="001908B8"/>
    <w:rsid w:val="00191A7E"/>
    <w:rsid w:val="00191DAC"/>
    <w:rsid w:val="00191E4A"/>
    <w:rsid w:val="0019215E"/>
    <w:rsid w:val="00192500"/>
    <w:rsid w:val="00192CFC"/>
    <w:rsid w:val="0019513F"/>
    <w:rsid w:val="0019525C"/>
    <w:rsid w:val="00195C3E"/>
    <w:rsid w:val="00197658"/>
    <w:rsid w:val="001A00AC"/>
    <w:rsid w:val="001A08D2"/>
    <w:rsid w:val="001A210E"/>
    <w:rsid w:val="001A3E9C"/>
    <w:rsid w:val="001A4977"/>
    <w:rsid w:val="001A4B54"/>
    <w:rsid w:val="001A5281"/>
    <w:rsid w:val="001A6C73"/>
    <w:rsid w:val="001B0000"/>
    <w:rsid w:val="001B0C21"/>
    <w:rsid w:val="001B0EF8"/>
    <w:rsid w:val="001B1425"/>
    <w:rsid w:val="001B2175"/>
    <w:rsid w:val="001B3A91"/>
    <w:rsid w:val="001B3CAC"/>
    <w:rsid w:val="001B3E9A"/>
    <w:rsid w:val="001B5686"/>
    <w:rsid w:val="001B7E7E"/>
    <w:rsid w:val="001B7FB8"/>
    <w:rsid w:val="001C0FD2"/>
    <w:rsid w:val="001C16B2"/>
    <w:rsid w:val="001C1979"/>
    <w:rsid w:val="001C2A22"/>
    <w:rsid w:val="001C2CD0"/>
    <w:rsid w:val="001C364B"/>
    <w:rsid w:val="001C3EE5"/>
    <w:rsid w:val="001C534C"/>
    <w:rsid w:val="001C5BF3"/>
    <w:rsid w:val="001C5C0A"/>
    <w:rsid w:val="001C601B"/>
    <w:rsid w:val="001C73D7"/>
    <w:rsid w:val="001C7466"/>
    <w:rsid w:val="001D0267"/>
    <w:rsid w:val="001D086E"/>
    <w:rsid w:val="001D1075"/>
    <w:rsid w:val="001D124B"/>
    <w:rsid w:val="001D1C4F"/>
    <w:rsid w:val="001D232F"/>
    <w:rsid w:val="001D2B3E"/>
    <w:rsid w:val="001D4023"/>
    <w:rsid w:val="001D5CF5"/>
    <w:rsid w:val="001E06B6"/>
    <w:rsid w:val="001E12E0"/>
    <w:rsid w:val="001E1A7C"/>
    <w:rsid w:val="001E1ADB"/>
    <w:rsid w:val="001E3A7F"/>
    <w:rsid w:val="001E505A"/>
    <w:rsid w:val="001E514A"/>
    <w:rsid w:val="001E5EE7"/>
    <w:rsid w:val="001E7560"/>
    <w:rsid w:val="001F0E7D"/>
    <w:rsid w:val="001F174F"/>
    <w:rsid w:val="001F24C5"/>
    <w:rsid w:val="001F27B7"/>
    <w:rsid w:val="001F460D"/>
    <w:rsid w:val="001F5246"/>
    <w:rsid w:val="00200824"/>
    <w:rsid w:val="0020159B"/>
    <w:rsid w:val="0020283A"/>
    <w:rsid w:val="002029E9"/>
    <w:rsid w:val="00202D49"/>
    <w:rsid w:val="00202FB0"/>
    <w:rsid w:val="00203ACD"/>
    <w:rsid w:val="00203CD5"/>
    <w:rsid w:val="0020437B"/>
    <w:rsid w:val="002048A8"/>
    <w:rsid w:val="00204FCC"/>
    <w:rsid w:val="00205789"/>
    <w:rsid w:val="00205F7B"/>
    <w:rsid w:val="00211168"/>
    <w:rsid w:val="0021158A"/>
    <w:rsid w:val="00212162"/>
    <w:rsid w:val="0021293A"/>
    <w:rsid w:val="00212AEB"/>
    <w:rsid w:val="0021428A"/>
    <w:rsid w:val="002153D8"/>
    <w:rsid w:val="00215907"/>
    <w:rsid w:val="00215A8E"/>
    <w:rsid w:val="00216136"/>
    <w:rsid w:val="00216949"/>
    <w:rsid w:val="00216AFD"/>
    <w:rsid w:val="002171C3"/>
    <w:rsid w:val="002224D7"/>
    <w:rsid w:val="00222BD4"/>
    <w:rsid w:val="00224B90"/>
    <w:rsid w:val="00226271"/>
    <w:rsid w:val="00226553"/>
    <w:rsid w:val="0023105F"/>
    <w:rsid w:val="00231103"/>
    <w:rsid w:val="0023264C"/>
    <w:rsid w:val="00232DA1"/>
    <w:rsid w:val="00233BCA"/>
    <w:rsid w:val="00236FD3"/>
    <w:rsid w:val="0024026C"/>
    <w:rsid w:val="0024154A"/>
    <w:rsid w:val="00241D81"/>
    <w:rsid w:val="00242455"/>
    <w:rsid w:val="002426E1"/>
    <w:rsid w:val="00243010"/>
    <w:rsid w:val="0024347F"/>
    <w:rsid w:val="00243D77"/>
    <w:rsid w:val="00246A11"/>
    <w:rsid w:val="00247545"/>
    <w:rsid w:val="002500B7"/>
    <w:rsid w:val="002505DF"/>
    <w:rsid w:val="00250986"/>
    <w:rsid w:val="00250BF5"/>
    <w:rsid w:val="002518B9"/>
    <w:rsid w:val="00251919"/>
    <w:rsid w:val="00251E19"/>
    <w:rsid w:val="0025349C"/>
    <w:rsid w:val="0025477F"/>
    <w:rsid w:val="00255EAB"/>
    <w:rsid w:val="00256CA7"/>
    <w:rsid w:val="00260325"/>
    <w:rsid w:val="002608D3"/>
    <w:rsid w:val="00260CC8"/>
    <w:rsid w:val="002615CB"/>
    <w:rsid w:val="0026214C"/>
    <w:rsid w:val="00262257"/>
    <w:rsid w:val="00262DB7"/>
    <w:rsid w:val="0026489E"/>
    <w:rsid w:val="00266000"/>
    <w:rsid w:val="00266B58"/>
    <w:rsid w:val="00267FF8"/>
    <w:rsid w:val="00270FA3"/>
    <w:rsid w:val="002724D2"/>
    <w:rsid w:val="002727C9"/>
    <w:rsid w:val="0027335D"/>
    <w:rsid w:val="00273397"/>
    <w:rsid w:val="00273516"/>
    <w:rsid w:val="00273B43"/>
    <w:rsid w:val="002744ED"/>
    <w:rsid w:val="00274934"/>
    <w:rsid w:val="00274F82"/>
    <w:rsid w:val="00275CF9"/>
    <w:rsid w:val="00276DC7"/>
    <w:rsid w:val="00277B7C"/>
    <w:rsid w:val="002809E6"/>
    <w:rsid w:val="00283AC0"/>
    <w:rsid w:val="002846EA"/>
    <w:rsid w:val="00284ADD"/>
    <w:rsid w:val="0028653D"/>
    <w:rsid w:val="002872BD"/>
    <w:rsid w:val="00291BCE"/>
    <w:rsid w:val="00292F21"/>
    <w:rsid w:val="00293940"/>
    <w:rsid w:val="00293BB5"/>
    <w:rsid w:val="00293C7A"/>
    <w:rsid w:val="00296483"/>
    <w:rsid w:val="002969B0"/>
    <w:rsid w:val="00297A0F"/>
    <w:rsid w:val="002A0A58"/>
    <w:rsid w:val="002A0CC6"/>
    <w:rsid w:val="002A15DC"/>
    <w:rsid w:val="002A1D6A"/>
    <w:rsid w:val="002A2C83"/>
    <w:rsid w:val="002A61C6"/>
    <w:rsid w:val="002A698A"/>
    <w:rsid w:val="002A7B3C"/>
    <w:rsid w:val="002B04DE"/>
    <w:rsid w:val="002B1109"/>
    <w:rsid w:val="002B5545"/>
    <w:rsid w:val="002B5CA5"/>
    <w:rsid w:val="002B5FAC"/>
    <w:rsid w:val="002B77B1"/>
    <w:rsid w:val="002C02D9"/>
    <w:rsid w:val="002C03AF"/>
    <w:rsid w:val="002C13F0"/>
    <w:rsid w:val="002C1883"/>
    <w:rsid w:val="002C18CB"/>
    <w:rsid w:val="002C6490"/>
    <w:rsid w:val="002C69DB"/>
    <w:rsid w:val="002C7C73"/>
    <w:rsid w:val="002D23BA"/>
    <w:rsid w:val="002D256A"/>
    <w:rsid w:val="002D32DB"/>
    <w:rsid w:val="002D36FB"/>
    <w:rsid w:val="002D3918"/>
    <w:rsid w:val="002D3A8D"/>
    <w:rsid w:val="002D41E1"/>
    <w:rsid w:val="002D4CBC"/>
    <w:rsid w:val="002D4FF4"/>
    <w:rsid w:val="002D521C"/>
    <w:rsid w:val="002D55BA"/>
    <w:rsid w:val="002D7E1B"/>
    <w:rsid w:val="002E03CB"/>
    <w:rsid w:val="002E058D"/>
    <w:rsid w:val="002E1240"/>
    <w:rsid w:val="002E1E76"/>
    <w:rsid w:val="002E3BEB"/>
    <w:rsid w:val="002E3CD9"/>
    <w:rsid w:val="002E4428"/>
    <w:rsid w:val="002E4902"/>
    <w:rsid w:val="002E4942"/>
    <w:rsid w:val="002E5334"/>
    <w:rsid w:val="002E56A1"/>
    <w:rsid w:val="002E57F9"/>
    <w:rsid w:val="002E5973"/>
    <w:rsid w:val="002E62D4"/>
    <w:rsid w:val="002E7B27"/>
    <w:rsid w:val="002E7B77"/>
    <w:rsid w:val="002E7E16"/>
    <w:rsid w:val="002F1046"/>
    <w:rsid w:val="002F14EB"/>
    <w:rsid w:val="002F1E69"/>
    <w:rsid w:val="002F3F16"/>
    <w:rsid w:val="002F419E"/>
    <w:rsid w:val="002F4797"/>
    <w:rsid w:val="002F4CBF"/>
    <w:rsid w:val="002F4E36"/>
    <w:rsid w:val="002F5AA0"/>
    <w:rsid w:val="002F6305"/>
    <w:rsid w:val="002F6463"/>
    <w:rsid w:val="002F7B99"/>
    <w:rsid w:val="002F7E6F"/>
    <w:rsid w:val="00300421"/>
    <w:rsid w:val="003020C6"/>
    <w:rsid w:val="003036D6"/>
    <w:rsid w:val="00303EE3"/>
    <w:rsid w:val="0030435C"/>
    <w:rsid w:val="00305665"/>
    <w:rsid w:val="0030613F"/>
    <w:rsid w:val="00306217"/>
    <w:rsid w:val="00306307"/>
    <w:rsid w:val="0030663B"/>
    <w:rsid w:val="003103B0"/>
    <w:rsid w:val="003104F3"/>
    <w:rsid w:val="00310803"/>
    <w:rsid w:val="00311073"/>
    <w:rsid w:val="003124DA"/>
    <w:rsid w:val="00312A19"/>
    <w:rsid w:val="0031325A"/>
    <w:rsid w:val="00313773"/>
    <w:rsid w:val="003149DA"/>
    <w:rsid w:val="0031584E"/>
    <w:rsid w:val="00315D2B"/>
    <w:rsid w:val="00316601"/>
    <w:rsid w:val="003169BE"/>
    <w:rsid w:val="00317353"/>
    <w:rsid w:val="00317CEB"/>
    <w:rsid w:val="00320C7B"/>
    <w:rsid w:val="00321970"/>
    <w:rsid w:val="003230EC"/>
    <w:rsid w:val="00323848"/>
    <w:rsid w:val="00325845"/>
    <w:rsid w:val="00326A8C"/>
    <w:rsid w:val="00326C45"/>
    <w:rsid w:val="00327014"/>
    <w:rsid w:val="00327958"/>
    <w:rsid w:val="003302C2"/>
    <w:rsid w:val="003322DE"/>
    <w:rsid w:val="00332371"/>
    <w:rsid w:val="003346C7"/>
    <w:rsid w:val="00334EE8"/>
    <w:rsid w:val="00335181"/>
    <w:rsid w:val="00335ADA"/>
    <w:rsid w:val="00336942"/>
    <w:rsid w:val="003376BB"/>
    <w:rsid w:val="00337D54"/>
    <w:rsid w:val="00340174"/>
    <w:rsid w:val="00341E89"/>
    <w:rsid w:val="00341FC5"/>
    <w:rsid w:val="0034233E"/>
    <w:rsid w:val="00342AA0"/>
    <w:rsid w:val="00342CA7"/>
    <w:rsid w:val="00342D6E"/>
    <w:rsid w:val="00343491"/>
    <w:rsid w:val="00343771"/>
    <w:rsid w:val="0034468D"/>
    <w:rsid w:val="00345410"/>
    <w:rsid w:val="003466D2"/>
    <w:rsid w:val="0035066F"/>
    <w:rsid w:val="0035131B"/>
    <w:rsid w:val="00353EF7"/>
    <w:rsid w:val="0035406E"/>
    <w:rsid w:val="00354AE3"/>
    <w:rsid w:val="00355335"/>
    <w:rsid w:val="00355B45"/>
    <w:rsid w:val="0035674E"/>
    <w:rsid w:val="003575F3"/>
    <w:rsid w:val="003578DF"/>
    <w:rsid w:val="00357D5C"/>
    <w:rsid w:val="00361660"/>
    <w:rsid w:val="003616ED"/>
    <w:rsid w:val="00362086"/>
    <w:rsid w:val="003620FB"/>
    <w:rsid w:val="00362B2A"/>
    <w:rsid w:val="00362DDE"/>
    <w:rsid w:val="0036358B"/>
    <w:rsid w:val="003654FF"/>
    <w:rsid w:val="00366DCC"/>
    <w:rsid w:val="00367189"/>
    <w:rsid w:val="003717A5"/>
    <w:rsid w:val="0037231C"/>
    <w:rsid w:val="003726D5"/>
    <w:rsid w:val="0037312C"/>
    <w:rsid w:val="00374D6D"/>
    <w:rsid w:val="0037690F"/>
    <w:rsid w:val="00380361"/>
    <w:rsid w:val="00380A27"/>
    <w:rsid w:val="0038189A"/>
    <w:rsid w:val="00381D04"/>
    <w:rsid w:val="00383571"/>
    <w:rsid w:val="00383D51"/>
    <w:rsid w:val="00383DE9"/>
    <w:rsid w:val="003843FC"/>
    <w:rsid w:val="003844E3"/>
    <w:rsid w:val="00385A5E"/>
    <w:rsid w:val="00386A65"/>
    <w:rsid w:val="00386C97"/>
    <w:rsid w:val="00386EEA"/>
    <w:rsid w:val="00387E09"/>
    <w:rsid w:val="00390144"/>
    <w:rsid w:val="00390246"/>
    <w:rsid w:val="0039099A"/>
    <w:rsid w:val="00391BB2"/>
    <w:rsid w:val="00392025"/>
    <w:rsid w:val="0039633B"/>
    <w:rsid w:val="003A0818"/>
    <w:rsid w:val="003A17F5"/>
    <w:rsid w:val="003A2DF4"/>
    <w:rsid w:val="003A3086"/>
    <w:rsid w:val="003A63A3"/>
    <w:rsid w:val="003B08E9"/>
    <w:rsid w:val="003B1342"/>
    <w:rsid w:val="003B308D"/>
    <w:rsid w:val="003B311D"/>
    <w:rsid w:val="003B36B7"/>
    <w:rsid w:val="003B43A3"/>
    <w:rsid w:val="003B4E44"/>
    <w:rsid w:val="003B536A"/>
    <w:rsid w:val="003B57CC"/>
    <w:rsid w:val="003C1153"/>
    <w:rsid w:val="003C3A50"/>
    <w:rsid w:val="003C4C61"/>
    <w:rsid w:val="003C51D8"/>
    <w:rsid w:val="003C6202"/>
    <w:rsid w:val="003C6BBB"/>
    <w:rsid w:val="003C7860"/>
    <w:rsid w:val="003D09CA"/>
    <w:rsid w:val="003D1EB4"/>
    <w:rsid w:val="003D319E"/>
    <w:rsid w:val="003D47B5"/>
    <w:rsid w:val="003D4C1A"/>
    <w:rsid w:val="003D50D2"/>
    <w:rsid w:val="003D6BA9"/>
    <w:rsid w:val="003D6FB8"/>
    <w:rsid w:val="003E049C"/>
    <w:rsid w:val="003E0906"/>
    <w:rsid w:val="003E2712"/>
    <w:rsid w:val="003E2C27"/>
    <w:rsid w:val="003E2EF0"/>
    <w:rsid w:val="003E35B9"/>
    <w:rsid w:val="003E365A"/>
    <w:rsid w:val="003E3A40"/>
    <w:rsid w:val="003E3CC0"/>
    <w:rsid w:val="003E4184"/>
    <w:rsid w:val="003E52C5"/>
    <w:rsid w:val="003E59FB"/>
    <w:rsid w:val="003E65A0"/>
    <w:rsid w:val="003E6AC1"/>
    <w:rsid w:val="003E6C80"/>
    <w:rsid w:val="003E70BA"/>
    <w:rsid w:val="003E79F1"/>
    <w:rsid w:val="003F069D"/>
    <w:rsid w:val="003F07B9"/>
    <w:rsid w:val="003F110D"/>
    <w:rsid w:val="003F2075"/>
    <w:rsid w:val="003F3022"/>
    <w:rsid w:val="003F3658"/>
    <w:rsid w:val="003F4BBE"/>
    <w:rsid w:val="003F539B"/>
    <w:rsid w:val="003F7200"/>
    <w:rsid w:val="00401EDA"/>
    <w:rsid w:val="00401EE0"/>
    <w:rsid w:val="00402B50"/>
    <w:rsid w:val="004039A7"/>
    <w:rsid w:val="004042D1"/>
    <w:rsid w:val="0040435E"/>
    <w:rsid w:val="004045F8"/>
    <w:rsid w:val="00404AC0"/>
    <w:rsid w:val="0040654D"/>
    <w:rsid w:val="004067C6"/>
    <w:rsid w:val="00407A67"/>
    <w:rsid w:val="00410900"/>
    <w:rsid w:val="00410AC7"/>
    <w:rsid w:val="00410BE3"/>
    <w:rsid w:val="00411D80"/>
    <w:rsid w:val="00411E6E"/>
    <w:rsid w:val="00412C32"/>
    <w:rsid w:val="00413E61"/>
    <w:rsid w:val="0041411E"/>
    <w:rsid w:val="0041417C"/>
    <w:rsid w:val="00414FAB"/>
    <w:rsid w:val="00414FE7"/>
    <w:rsid w:val="004152CF"/>
    <w:rsid w:val="00416AA5"/>
    <w:rsid w:val="00416CCB"/>
    <w:rsid w:val="004226D6"/>
    <w:rsid w:val="00422B8D"/>
    <w:rsid w:val="0042395B"/>
    <w:rsid w:val="004239E1"/>
    <w:rsid w:val="004271A6"/>
    <w:rsid w:val="00427448"/>
    <w:rsid w:val="00430190"/>
    <w:rsid w:val="00430E8F"/>
    <w:rsid w:val="00431025"/>
    <w:rsid w:val="0043179A"/>
    <w:rsid w:val="00432287"/>
    <w:rsid w:val="00432722"/>
    <w:rsid w:val="004329F4"/>
    <w:rsid w:val="00432E0F"/>
    <w:rsid w:val="00433427"/>
    <w:rsid w:val="0043785E"/>
    <w:rsid w:val="004410F1"/>
    <w:rsid w:val="00441CF7"/>
    <w:rsid w:val="00442E4D"/>
    <w:rsid w:val="004432C6"/>
    <w:rsid w:val="00446900"/>
    <w:rsid w:val="00446E41"/>
    <w:rsid w:val="0044723C"/>
    <w:rsid w:val="00447778"/>
    <w:rsid w:val="0045091C"/>
    <w:rsid w:val="00450D96"/>
    <w:rsid w:val="00451469"/>
    <w:rsid w:val="004522C3"/>
    <w:rsid w:val="0045298B"/>
    <w:rsid w:val="00453DBA"/>
    <w:rsid w:val="00453FB2"/>
    <w:rsid w:val="004544BD"/>
    <w:rsid w:val="00456075"/>
    <w:rsid w:val="004563B8"/>
    <w:rsid w:val="00456494"/>
    <w:rsid w:val="00456E50"/>
    <w:rsid w:val="00460802"/>
    <w:rsid w:val="00460A58"/>
    <w:rsid w:val="00461EC1"/>
    <w:rsid w:val="004632BB"/>
    <w:rsid w:val="0046365F"/>
    <w:rsid w:val="0046455E"/>
    <w:rsid w:val="00464996"/>
    <w:rsid w:val="00465CF4"/>
    <w:rsid w:val="00470ED1"/>
    <w:rsid w:val="004714D5"/>
    <w:rsid w:val="004730A2"/>
    <w:rsid w:val="00474220"/>
    <w:rsid w:val="0047451F"/>
    <w:rsid w:val="004753DB"/>
    <w:rsid w:val="004758E4"/>
    <w:rsid w:val="00475A39"/>
    <w:rsid w:val="00475BBD"/>
    <w:rsid w:val="00475C2F"/>
    <w:rsid w:val="00476FA5"/>
    <w:rsid w:val="00477532"/>
    <w:rsid w:val="004840AD"/>
    <w:rsid w:val="004845C0"/>
    <w:rsid w:val="004853A8"/>
    <w:rsid w:val="00485C76"/>
    <w:rsid w:val="00485DB0"/>
    <w:rsid w:val="0048608D"/>
    <w:rsid w:val="00486A39"/>
    <w:rsid w:val="004873B7"/>
    <w:rsid w:val="00487718"/>
    <w:rsid w:val="0048776B"/>
    <w:rsid w:val="00487A71"/>
    <w:rsid w:val="00487F4B"/>
    <w:rsid w:val="004900B4"/>
    <w:rsid w:val="00490B67"/>
    <w:rsid w:val="00491185"/>
    <w:rsid w:val="00491936"/>
    <w:rsid w:val="00491B23"/>
    <w:rsid w:val="004939E7"/>
    <w:rsid w:val="00494D8E"/>
    <w:rsid w:val="004979C0"/>
    <w:rsid w:val="00497CF1"/>
    <w:rsid w:val="004A12D9"/>
    <w:rsid w:val="004A225B"/>
    <w:rsid w:val="004A361A"/>
    <w:rsid w:val="004A3FC7"/>
    <w:rsid w:val="004A4A56"/>
    <w:rsid w:val="004A4EDD"/>
    <w:rsid w:val="004A51AA"/>
    <w:rsid w:val="004A553C"/>
    <w:rsid w:val="004A56EC"/>
    <w:rsid w:val="004A5CDC"/>
    <w:rsid w:val="004A6ADF"/>
    <w:rsid w:val="004B0064"/>
    <w:rsid w:val="004B1076"/>
    <w:rsid w:val="004B1249"/>
    <w:rsid w:val="004B12E9"/>
    <w:rsid w:val="004B1CE6"/>
    <w:rsid w:val="004B1D66"/>
    <w:rsid w:val="004B419B"/>
    <w:rsid w:val="004B4E91"/>
    <w:rsid w:val="004C06AE"/>
    <w:rsid w:val="004C250B"/>
    <w:rsid w:val="004C2AE3"/>
    <w:rsid w:val="004C2F9B"/>
    <w:rsid w:val="004C3B68"/>
    <w:rsid w:val="004C5E66"/>
    <w:rsid w:val="004C671F"/>
    <w:rsid w:val="004C7008"/>
    <w:rsid w:val="004C7202"/>
    <w:rsid w:val="004C795F"/>
    <w:rsid w:val="004C7BB3"/>
    <w:rsid w:val="004D154B"/>
    <w:rsid w:val="004D18DA"/>
    <w:rsid w:val="004D1CC1"/>
    <w:rsid w:val="004D2704"/>
    <w:rsid w:val="004D293C"/>
    <w:rsid w:val="004D3983"/>
    <w:rsid w:val="004D5B9F"/>
    <w:rsid w:val="004D5C16"/>
    <w:rsid w:val="004D5D68"/>
    <w:rsid w:val="004D6C5E"/>
    <w:rsid w:val="004D6C61"/>
    <w:rsid w:val="004D6E55"/>
    <w:rsid w:val="004D7290"/>
    <w:rsid w:val="004D7445"/>
    <w:rsid w:val="004D76A3"/>
    <w:rsid w:val="004D7860"/>
    <w:rsid w:val="004D7DF7"/>
    <w:rsid w:val="004E071D"/>
    <w:rsid w:val="004E0765"/>
    <w:rsid w:val="004E0818"/>
    <w:rsid w:val="004E091A"/>
    <w:rsid w:val="004E1193"/>
    <w:rsid w:val="004E166A"/>
    <w:rsid w:val="004E19F0"/>
    <w:rsid w:val="004E2072"/>
    <w:rsid w:val="004E21D1"/>
    <w:rsid w:val="004E5A19"/>
    <w:rsid w:val="004E5E50"/>
    <w:rsid w:val="004E6DB8"/>
    <w:rsid w:val="004E6F5E"/>
    <w:rsid w:val="004E768C"/>
    <w:rsid w:val="004E7AD4"/>
    <w:rsid w:val="004F29ED"/>
    <w:rsid w:val="004F2AF1"/>
    <w:rsid w:val="004F2C37"/>
    <w:rsid w:val="004F2CA5"/>
    <w:rsid w:val="004F310F"/>
    <w:rsid w:val="004F432A"/>
    <w:rsid w:val="004F47AB"/>
    <w:rsid w:val="004F48EB"/>
    <w:rsid w:val="004F5FC1"/>
    <w:rsid w:val="004F6384"/>
    <w:rsid w:val="004F6BB4"/>
    <w:rsid w:val="004F7581"/>
    <w:rsid w:val="00500685"/>
    <w:rsid w:val="00500A28"/>
    <w:rsid w:val="00502AE9"/>
    <w:rsid w:val="0050345F"/>
    <w:rsid w:val="005038CE"/>
    <w:rsid w:val="00503C94"/>
    <w:rsid w:val="00504023"/>
    <w:rsid w:val="0050496F"/>
    <w:rsid w:val="00510D93"/>
    <w:rsid w:val="00512AFA"/>
    <w:rsid w:val="00513041"/>
    <w:rsid w:val="005136BF"/>
    <w:rsid w:val="0051371D"/>
    <w:rsid w:val="00513952"/>
    <w:rsid w:val="0051443A"/>
    <w:rsid w:val="00514DF4"/>
    <w:rsid w:val="00514ECB"/>
    <w:rsid w:val="00515ADC"/>
    <w:rsid w:val="00516F08"/>
    <w:rsid w:val="0052139F"/>
    <w:rsid w:val="00523986"/>
    <w:rsid w:val="00526578"/>
    <w:rsid w:val="005269D1"/>
    <w:rsid w:val="00526F8B"/>
    <w:rsid w:val="005272C5"/>
    <w:rsid w:val="00527577"/>
    <w:rsid w:val="00527788"/>
    <w:rsid w:val="005301FC"/>
    <w:rsid w:val="00530477"/>
    <w:rsid w:val="00530976"/>
    <w:rsid w:val="00530CAC"/>
    <w:rsid w:val="0053116A"/>
    <w:rsid w:val="005315B8"/>
    <w:rsid w:val="005318D7"/>
    <w:rsid w:val="00533555"/>
    <w:rsid w:val="00533681"/>
    <w:rsid w:val="00533D0A"/>
    <w:rsid w:val="00534B5C"/>
    <w:rsid w:val="005362FB"/>
    <w:rsid w:val="00536AFA"/>
    <w:rsid w:val="00537531"/>
    <w:rsid w:val="005377B4"/>
    <w:rsid w:val="0054059D"/>
    <w:rsid w:val="005407F6"/>
    <w:rsid w:val="00541024"/>
    <w:rsid w:val="00541921"/>
    <w:rsid w:val="00541E8A"/>
    <w:rsid w:val="00542A82"/>
    <w:rsid w:val="00542F24"/>
    <w:rsid w:val="005445E0"/>
    <w:rsid w:val="00544914"/>
    <w:rsid w:val="00544DEE"/>
    <w:rsid w:val="005466E6"/>
    <w:rsid w:val="00546928"/>
    <w:rsid w:val="00546AB6"/>
    <w:rsid w:val="00546D91"/>
    <w:rsid w:val="00547EE3"/>
    <w:rsid w:val="00547F71"/>
    <w:rsid w:val="00550329"/>
    <w:rsid w:val="005510B1"/>
    <w:rsid w:val="0055181A"/>
    <w:rsid w:val="00551E77"/>
    <w:rsid w:val="005524C9"/>
    <w:rsid w:val="00553611"/>
    <w:rsid w:val="00553843"/>
    <w:rsid w:val="00553A13"/>
    <w:rsid w:val="0055609E"/>
    <w:rsid w:val="00556669"/>
    <w:rsid w:val="005578A2"/>
    <w:rsid w:val="00560E8F"/>
    <w:rsid w:val="0056105C"/>
    <w:rsid w:val="005611D0"/>
    <w:rsid w:val="0056130D"/>
    <w:rsid w:val="0056146E"/>
    <w:rsid w:val="00561790"/>
    <w:rsid w:val="00561BCC"/>
    <w:rsid w:val="00563C20"/>
    <w:rsid w:val="005644BE"/>
    <w:rsid w:val="0056486D"/>
    <w:rsid w:val="00565DA7"/>
    <w:rsid w:val="0056611B"/>
    <w:rsid w:val="00566205"/>
    <w:rsid w:val="005678F4"/>
    <w:rsid w:val="0057038C"/>
    <w:rsid w:val="0057059E"/>
    <w:rsid w:val="0057113D"/>
    <w:rsid w:val="005712EC"/>
    <w:rsid w:val="00572BF6"/>
    <w:rsid w:val="00573EE7"/>
    <w:rsid w:val="00574147"/>
    <w:rsid w:val="00574E23"/>
    <w:rsid w:val="00574F93"/>
    <w:rsid w:val="00575405"/>
    <w:rsid w:val="0057546E"/>
    <w:rsid w:val="00575AD4"/>
    <w:rsid w:val="00577645"/>
    <w:rsid w:val="005806C3"/>
    <w:rsid w:val="00582E1F"/>
    <w:rsid w:val="00583E50"/>
    <w:rsid w:val="00583ECD"/>
    <w:rsid w:val="005848D0"/>
    <w:rsid w:val="00587600"/>
    <w:rsid w:val="00587C08"/>
    <w:rsid w:val="005906A4"/>
    <w:rsid w:val="00591B04"/>
    <w:rsid w:val="00591EBB"/>
    <w:rsid w:val="00592115"/>
    <w:rsid w:val="0059323D"/>
    <w:rsid w:val="00593481"/>
    <w:rsid w:val="005941A3"/>
    <w:rsid w:val="00595F74"/>
    <w:rsid w:val="00597CAB"/>
    <w:rsid w:val="00597CC5"/>
    <w:rsid w:val="005A04AD"/>
    <w:rsid w:val="005A07BB"/>
    <w:rsid w:val="005A1789"/>
    <w:rsid w:val="005A18D2"/>
    <w:rsid w:val="005A2389"/>
    <w:rsid w:val="005A2571"/>
    <w:rsid w:val="005A2ACD"/>
    <w:rsid w:val="005A2FBB"/>
    <w:rsid w:val="005A32F5"/>
    <w:rsid w:val="005A3867"/>
    <w:rsid w:val="005A4DCB"/>
    <w:rsid w:val="005A5EA7"/>
    <w:rsid w:val="005A687E"/>
    <w:rsid w:val="005A7598"/>
    <w:rsid w:val="005B094D"/>
    <w:rsid w:val="005B0D40"/>
    <w:rsid w:val="005B1219"/>
    <w:rsid w:val="005B13C3"/>
    <w:rsid w:val="005B1AFE"/>
    <w:rsid w:val="005B1EA9"/>
    <w:rsid w:val="005B3317"/>
    <w:rsid w:val="005B3EB3"/>
    <w:rsid w:val="005B40AA"/>
    <w:rsid w:val="005B4998"/>
    <w:rsid w:val="005B49A9"/>
    <w:rsid w:val="005B4AEC"/>
    <w:rsid w:val="005B4ECD"/>
    <w:rsid w:val="005B61A8"/>
    <w:rsid w:val="005B7397"/>
    <w:rsid w:val="005C008E"/>
    <w:rsid w:val="005C06FD"/>
    <w:rsid w:val="005C0943"/>
    <w:rsid w:val="005C20CC"/>
    <w:rsid w:val="005C2DA3"/>
    <w:rsid w:val="005C3136"/>
    <w:rsid w:val="005C4C92"/>
    <w:rsid w:val="005C533B"/>
    <w:rsid w:val="005C6357"/>
    <w:rsid w:val="005D062A"/>
    <w:rsid w:val="005D081B"/>
    <w:rsid w:val="005D0D83"/>
    <w:rsid w:val="005D2D30"/>
    <w:rsid w:val="005D3016"/>
    <w:rsid w:val="005D32B2"/>
    <w:rsid w:val="005D38EA"/>
    <w:rsid w:val="005D3C8E"/>
    <w:rsid w:val="005D4299"/>
    <w:rsid w:val="005D4C0D"/>
    <w:rsid w:val="005D4EBE"/>
    <w:rsid w:val="005D5F0A"/>
    <w:rsid w:val="005D5FE6"/>
    <w:rsid w:val="005D70A7"/>
    <w:rsid w:val="005D7231"/>
    <w:rsid w:val="005E21F9"/>
    <w:rsid w:val="005E2CEE"/>
    <w:rsid w:val="005E7BBA"/>
    <w:rsid w:val="005F032B"/>
    <w:rsid w:val="005F07C5"/>
    <w:rsid w:val="005F0DDA"/>
    <w:rsid w:val="005F208E"/>
    <w:rsid w:val="005F2A6E"/>
    <w:rsid w:val="005F344B"/>
    <w:rsid w:val="005F3E62"/>
    <w:rsid w:val="005F4AD8"/>
    <w:rsid w:val="005F53F5"/>
    <w:rsid w:val="005F5CC3"/>
    <w:rsid w:val="005F6DA3"/>
    <w:rsid w:val="005F740E"/>
    <w:rsid w:val="005F7923"/>
    <w:rsid w:val="006005DA"/>
    <w:rsid w:val="00600FED"/>
    <w:rsid w:val="0060112A"/>
    <w:rsid w:val="00601352"/>
    <w:rsid w:val="00602821"/>
    <w:rsid w:val="00602ED4"/>
    <w:rsid w:val="006033F8"/>
    <w:rsid w:val="00603B35"/>
    <w:rsid w:val="0060414E"/>
    <w:rsid w:val="00604ADD"/>
    <w:rsid w:val="0060552B"/>
    <w:rsid w:val="00606D1C"/>
    <w:rsid w:val="00607289"/>
    <w:rsid w:val="006079BC"/>
    <w:rsid w:val="0061024C"/>
    <w:rsid w:val="0061268A"/>
    <w:rsid w:val="00613DE4"/>
    <w:rsid w:val="00615D2F"/>
    <w:rsid w:val="00617438"/>
    <w:rsid w:val="00617CD5"/>
    <w:rsid w:val="00620D80"/>
    <w:rsid w:val="0062153D"/>
    <w:rsid w:val="00621763"/>
    <w:rsid w:val="00622AA2"/>
    <w:rsid w:val="00622C6F"/>
    <w:rsid w:val="006234E1"/>
    <w:rsid w:val="006238A9"/>
    <w:rsid w:val="006247D9"/>
    <w:rsid w:val="006258BC"/>
    <w:rsid w:val="0062684A"/>
    <w:rsid w:val="00627401"/>
    <w:rsid w:val="006274EF"/>
    <w:rsid w:val="00631467"/>
    <w:rsid w:val="00631788"/>
    <w:rsid w:val="006322AA"/>
    <w:rsid w:val="00632516"/>
    <w:rsid w:val="00633838"/>
    <w:rsid w:val="006339B9"/>
    <w:rsid w:val="00633CEA"/>
    <w:rsid w:val="00635A2B"/>
    <w:rsid w:val="00636321"/>
    <w:rsid w:val="00637496"/>
    <w:rsid w:val="00637B0F"/>
    <w:rsid w:val="006403D2"/>
    <w:rsid w:val="00642695"/>
    <w:rsid w:val="00643D57"/>
    <w:rsid w:val="00644CE4"/>
    <w:rsid w:val="00644F32"/>
    <w:rsid w:val="006475CB"/>
    <w:rsid w:val="00647606"/>
    <w:rsid w:val="00647AF1"/>
    <w:rsid w:val="00651F89"/>
    <w:rsid w:val="00652868"/>
    <w:rsid w:val="00655288"/>
    <w:rsid w:val="006555A3"/>
    <w:rsid w:val="006560F8"/>
    <w:rsid w:val="00656E09"/>
    <w:rsid w:val="00656F20"/>
    <w:rsid w:val="00657EF8"/>
    <w:rsid w:val="00660997"/>
    <w:rsid w:val="00660BE8"/>
    <w:rsid w:val="00662B37"/>
    <w:rsid w:val="006641D0"/>
    <w:rsid w:val="00664268"/>
    <w:rsid w:val="0066433E"/>
    <w:rsid w:val="00664ABC"/>
    <w:rsid w:val="00664AD5"/>
    <w:rsid w:val="0066509E"/>
    <w:rsid w:val="0066523E"/>
    <w:rsid w:val="006656C5"/>
    <w:rsid w:val="00667357"/>
    <w:rsid w:val="006676CD"/>
    <w:rsid w:val="00667B1F"/>
    <w:rsid w:val="00670375"/>
    <w:rsid w:val="00671959"/>
    <w:rsid w:val="006719B4"/>
    <w:rsid w:val="00671C6D"/>
    <w:rsid w:val="00672020"/>
    <w:rsid w:val="00672D41"/>
    <w:rsid w:val="00672DF8"/>
    <w:rsid w:val="00673CD1"/>
    <w:rsid w:val="0067433E"/>
    <w:rsid w:val="00675D97"/>
    <w:rsid w:val="006762B4"/>
    <w:rsid w:val="0068019E"/>
    <w:rsid w:val="006808AA"/>
    <w:rsid w:val="006814E7"/>
    <w:rsid w:val="006819C9"/>
    <w:rsid w:val="0068275C"/>
    <w:rsid w:val="006835AC"/>
    <w:rsid w:val="00684432"/>
    <w:rsid w:val="0068530E"/>
    <w:rsid w:val="0068570A"/>
    <w:rsid w:val="00687B3C"/>
    <w:rsid w:val="00690908"/>
    <w:rsid w:val="00690C12"/>
    <w:rsid w:val="00690F5C"/>
    <w:rsid w:val="0069119D"/>
    <w:rsid w:val="006940E8"/>
    <w:rsid w:val="00694794"/>
    <w:rsid w:val="00694A90"/>
    <w:rsid w:val="00696FAD"/>
    <w:rsid w:val="006A25D2"/>
    <w:rsid w:val="006A44B5"/>
    <w:rsid w:val="006A4A4A"/>
    <w:rsid w:val="006A5200"/>
    <w:rsid w:val="006A5BFF"/>
    <w:rsid w:val="006A5EE4"/>
    <w:rsid w:val="006B1206"/>
    <w:rsid w:val="006B1EF1"/>
    <w:rsid w:val="006B263C"/>
    <w:rsid w:val="006B38F7"/>
    <w:rsid w:val="006B41D6"/>
    <w:rsid w:val="006B57AF"/>
    <w:rsid w:val="006B71BC"/>
    <w:rsid w:val="006B7316"/>
    <w:rsid w:val="006C0009"/>
    <w:rsid w:val="006C0C1E"/>
    <w:rsid w:val="006C552B"/>
    <w:rsid w:val="006C68EA"/>
    <w:rsid w:val="006C756D"/>
    <w:rsid w:val="006D165C"/>
    <w:rsid w:val="006D190D"/>
    <w:rsid w:val="006D27CC"/>
    <w:rsid w:val="006D3969"/>
    <w:rsid w:val="006D4065"/>
    <w:rsid w:val="006D4754"/>
    <w:rsid w:val="006D51E4"/>
    <w:rsid w:val="006D618B"/>
    <w:rsid w:val="006D6A23"/>
    <w:rsid w:val="006D7C22"/>
    <w:rsid w:val="006E0B0F"/>
    <w:rsid w:val="006E2195"/>
    <w:rsid w:val="006E279C"/>
    <w:rsid w:val="006E428A"/>
    <w:rsid w:val="006E42BA"/>
    <w:rsid w:val="006E7CBE"/>
    <w:rsid w:val="006F0D23"/>
    <w:rsid w:val="006F1289"/>
    <w:rsid w:val="006F1E11"/>
    <w:rsid w:val="006F25C0"/>
    <w:rsid w:val="006F2D99"/>
    <w:rsid w:val="006F3453"/>
    <w:rsid w:val="006F5B8D"/>
    <w:rsid w:val="006F5C13"/>
    <w:rsid w:val="006F5E3E"/>
    <w:rsid w:val="0070002B"/>
    <w:rsid w:val="007004F1"/>
    <w:rsid w:val="007027B8"/>
    <w:rsid w:val="00702A9C"/>
    <w:rsid w:val="007043F3"/>
    <w:rsid w:val="0070446C"/>
    <w:rsid w:val="00704AFC"/>
    <w:rsid w:val="00706144"/>
    <w:rsid w:val="00707557"/>
    <w:rsid w:val="0071169E"/>
    <w:rsid w:val="00712709"/>
    <w:rsid w:val="00712D38"/>
    <w:rsid w:val="0071402E"/>
    <w:rsid w:val="0071452B"/>
    <w:rsid w:val="00715518"/>
    <w:rsid w:val="00717154"/>
    <w:rsid w:val="00717762"/>
    <w:rsid w:val="00720058"/>
    <w:rsid w:val="00720EE1"/>
    <w:rsid w:val="007211C2"/>
    <w:rsid w:val="007213F2"/>
    <w:rsid w:val="00721B75"/>
    <w:rsid w:val="00721E42"/>
    <w:rsid w:val="007221E8"/>
    <w:rsid w:val="007222F6"/>
    <w:rsid w:val="007223EE"/>
    <w:rsid w:val="00722A25"/>
    <w:rsid w:val="007230BC"/>
    <w:rsid w:val="00724448"/>
    <w:rsid w:val="00724678"/>
    <w:rsid w:val="00725E6C"/>
    <w:rsid w:val="00726ACA"/>
    <w:rsid w:val="00731EAD"/>
    <w:rsid w:val="00732034"/>
    <w:rsid w:val="00732796"/>
    <w:rsid w:val="00733120"/>
    <w:rsid w:val="00733802"/>
    <w:rsid w:val="007343DA"/>
    <w:rsid w:val="00734A0C"/>
    <w:rsid w:val="007351EA"/>
    <w:rsid w:val="007356D7"/>
    <w:rsid w:val="007364F8"/>
    <w:rsid w:val="00737042"/>
    <w:rsid w:val="00737B6B"/>
    <w:rsid w:val="00740B16"/>
    <w:rsid w:val="00740EEA"/>
    <w:rsid w:val="00741168"/>
    <w:rsid w:val="007422A1"/>
    <w:rsid w:val="00744418"/>
    <w:rsid w:val="00745023"/>
    <w:rsid w:val="00745ACF"/>
    <w:rsid w:val="0074631E"/>
    <w:rsid w:val="007471AD"/>
    <w:rsid w:val="00747A26"/>
    <w:rsid w:val="0075015D"/>
    <w:rsid w:val="00750373"/>
    <w:rsid w:val="007506F8"/>
    <w:rsid w:val="007521A6"/>
    <w:rsid w:val="007525F8"/>
    <w:rsid w:val="007528DE"/>
    <w:rsid w:val="0075544A"/>
    <w:rsid w:val="0075553D"/>
    <w:rsid w:val="0075621F"/>
    <w:rsid w:val="007567E9"/>
    <w:rsid w:val="00757656"/>
    <w:rsid w:val="00760A62"/>
    <w:rsid w:val="00761D80"/>
    <w:rsid w:val="00761D85"/>
    <w:rsid w:val="00762607"/>
    <w:rsid w:val="0076306B"/>
    <w:rsid w:val="00763B66"/>
    <w:rsid w:val="007641D3"/>
    <w:rsid w:val="00764C26"/>
    <w:rsid w:val="007675C6"/>
    <w:rsid w:val="00770583"/>
    <w:rsid w:val="00771186"/>
    <w:rsid w:val="00771621"/>
    <w:rsid w:val="00771728"/>
    <w:rsid w:val="00772B4C"/>
    <w:rsid w:val="00773D8A"/>
    <w:rsid w:val="007749BF"/>
    <w:rsid w:val="00775081"/>
    <w:rsid w:val="0077551B"/>
    <w:rsid w:val="00775529"/>
    <w:rsid w:val="00775BD7"/>
    <w:rsid w:val="007760BF"/>
    <w:rsid w:val="00777DA3"/>
    <w:rsid w:val="00777EEE"/>
    <w:rsid w:val="00780259"/>
    <w:rsid w:val="00780A3F"/>
    <w:rsid w:val="00781915"/>
    <w:rsid w:val="00781AAE"/>
    <w:rsid w:val="0078279D"/>
    <w:rsid w:val="00782D28"/>
    <w:rsid w:val="00782E01"/>
    <w:rsid w:val="00784FFD"/>
    <w:rsid w:val="00786755"/>
    <w:rsid w:val="007912F1"/>
    <w:rsid w:val="00791A02"/>
    <w:rsid w:val="00794ADD"/>
    <w:rsid w:val="00795721"/>
    <w:rsid w:val="00795E61"/>
    <w:rsid w:val="007A107E"/>
    <w:rsid w:val="007A1F60"/>
    <w:rsid w:val="007A25B0"/>
    <w:rsid w:val="007A2981"/>
    <w:rsid w:val="007A2BFB"/>
    <w:rsid w:val="007A544F"/>
    <w:rsid w:val="007A79F2"/>
    <w:rsid w:val="007B0C26"/>
    <w:rsid w:val="007B2552"/>
    <w:rsid w:val="007B25A0"/>
    <w:rsid w:val="007B2CD1"/>
    <w:rsid w:val="007B2D29"/>
    <w:rsid w:val="007B30E7"/>
    <w:rsid w:val="007B4371"/>
    <w:rsid w:val="007B551A"/>
    <w:rsid w:val="007B581B"/>
    <w:rsid w:val="007B5926"/>
    <w:rsid w:val="007B5C83"/>
    <w:rsid w:val="007B5D5B"/>
    <w:rsid w:val="007C068D"/>
    <w:rsid w:val="007C13E5"/>
    <w:rsid w:val="007C16E2"/>
    <w:rsid w:val="007C22D7"/>
    <w:rsid w:val="007C2B1C"/>
    <w:rsid w:val="007C2E4C"/>
    <w:rsid w:val="007C47B7"/>
    <w:rsid w:val="007C4ACE"/>
    <w:rsid w:val="007C59C4"/>
    <w:rsid w:val="007C674A"/>
    <w:rsid w:val="007C6DC7"/>
    <w:rsid w:val="007C7EDC"/>
    <w:rsid w:val="007D0487"/>
    <w:rsid w:val="007D09F1"/>
    <w:rsid w:val="007D2033"/>
    <w:rsid w:val="007D227F"/>
    <w:rsid w:val="007D28BC"/>
    <w:rsid w:val="007D2AD4"/>
    <w:rsid w:val="007D33F5"/>
    <w:rsid w:val="007D3E84"/>
    <w:rsid w:val="007D41BF"/>
    <w:rsid w:val="007D4621"/>
    <w:rsid w:val="007D5B27"/>
    <w:rsid w:val="007D5DE9"/>
    <w:rsid w:val="007D7AA2"/>
    <w:rsid w:val="007E01A8"/>
    <w:rsid w:val="007E04D6"/>
    <w:rsid w:val="007E0AC9"/>
    <w:rsid w:val="007E0CBF"/>
    <w:rsid w:val="007E1182"/>
    <w:rsid w:val="007E1C6B"/>
    <w:rsid w:val="007E41E1"/>
    <w:rsid w:val="007E4B0D"/>
    <w:rsid w:val="007E4DB7"/>
    <w:rsid w:val="007E5143"/>
    <w:rsid w:val="007E5235"/>
    <w:rsid w:val="007E72C0"/>
    <w:rsid w:val="007F1F3F"/>
    <w:rsid w:val="007F5301"/>
    <w:rsid w:val="007F670A"/>
    <w:rsid w:val="007F765E"/>
    <w:rsid w:val="008004CF"/>
    <w:rsid w:val="00802226"/>
    <w:rsid w:val="00802835"/>
    <w:rsid w:val="008028A4"/>
    <w:rsid w:val="008047F0"/>
    <w:rsid w:val="00804B4B"/>
    <w:rsid w:val="00805D16"/>
    <w:rsid w:val="00807CC6"/>
    <w:rsid w:val="0081028D"/>
    <w:rsid w:val="008111EC"/>
    <w:rsid w:val="00811AE9"/>
    <w:rsid w:val="0081236D"/>
    <w:rsid w:val="00815464"/>
    <w:rsid w:val="00816010"/>
    <w:rsid w:val="00817020"/>
    <w:rsid w:val="0081707C"/>
    <w:rsid w:val="00817125"/>
    <w:rsid w:val="00817442"/>
    <w:rsid w:val="00817F5C"/>
    <w:rsid w:val="0082014A"/>
    <w:rsid w:val="00820379"/>
    <w:rsid w:val="00821B6A"/>
    <w:rsid w:val="0082326F"/>
    <w:rsid w:val="008243B3"/>
    <w:rsid w:val="00825BBC"/>
    <w:rsid w:val="00825EF3"/>
    <w:rsid w:val="0082699F"/>
    <w:rsid w:val="00826BD1"/>
    <w:rsid w:val="00827DF4"/>
    <w:rsid w:val="00827FA1"/>
    <w:rsid w:val="00830085"/>
    <w:rsid w:val="00830883"/>
    <w:rsid w:val="00831133"/>
    <w:rsid w:val="00831616"/>
    <w:rsid w:val="008329ED"/>
    <w:rsid w:val="0083351F"/>
    <w:rsid w:val="00835044"/>
    <w:rsid w:val="0083530C"/>
    <w:rsid w:val="0083552A"/>
    <w:rsid w:val="0083586F"/>
    <w:rsid w:val="008360CB"/>
    <w:rsid w:val="00836DFA"/>
    <w:rsid w:val="00840234"/>
    <w:rsid w:val="008418B7"/>
    <w:rsid w:val="00841A51"/>
    <w:rsid w:val="00841B32"/>
    <w:rsid w:val="00841B9D"/>
    <w:rsid w:val="008423E7"/>
    <w:rsid w:val="00843DA6"/>
    <w:rsid w:val="00844BD8"/>
    <w:rsid w:val="00845BE9"/>
    <w:rsid w:val="00846323"/>
    <w:rsid w:val="00846B87"/>
    <w:rsid w:val="008519AC"/>
    <w:rsid w:val="00851F93"/>
    <w:rsid w:val="008533FC"/>
    <w:rsid w:val="008538FE"/>
    <w:rsid w:val="00853CBA"/>
    <w:rsid w:val="00853DE6"/>
    <w:rsid w:val="008543E3"/>
    <w:rsid w:val="00854DEC"/>
    <w:rsid w:val="008563A3"/>
    <w:rsid w:val="00856691"/>
    <w:rsid w:val="0085688A"/>
    <w:rsid w:val="008570DA"/>
    <w:rsid w:val="008578F7"/>
    <w:rsid w:val="0086021D"/>
    <w:rsid w:val="00860AA5"/>
    <w:rsid w:val="008619A4"/>
    <w:rsid w:val="00861C5E"/>
    <w:rsid w:val="00861F1A"/>
    <w:rsid w:val="008624EC"/>
    <w:rsid w:val="00862AF4"/>
    <w:rsid w:val="008641A2"/>
    <w:rsid w:val="008650F7"/>
    <w:rsid w:val="00867623"/>
    <w:rsid w:val="00871258"/>
    <w:rsid w:val="00871428"/>
    <w:rsid w:val="008717A1"/>
    <w:rsid w:val="008721AB"/>
    <w:rsid w:val="0087259D"/>
    <w:rsid w:val="008731B0"/>
    <w:rsid w:val="00875130"/>
    <w:rsid w:val="00875792"/>
    <w:rsid w:val="00875D69"/>
    <w:rsid w:val="00876CE8"/>
    <w:rsid w:val="00876D0E"/>
    <w:rsid w:val="00876D70"/>
    <w:rsid w:val="00877D29"/>
    <w:rsid w:val="00880EA1"/>
    <w:rsid w:val="0088211A"/>
    <w:rsid w:val="008826D1"/>
    <w:rsid w:val="0088325B"/>
    <w:rsid w:val="008832F7"/>
    <w:rsid w:val="00883943"/>
    <w:rsid w:val="00883967"/>
    <w:rsid w:val="00884FF3"/>
    <w:rsid w:val="00885D8D"/>
    <w:rsid w:val="00886036"/>
    <w:rsid w:val="0088627F"/>
    <w:rsid w:val="00886B46"/>
    <w:rsid w:val="00886EE4"/>
    <w:rsid w:val="00887A23"/>
    <w:rsid w:val="00891F14"/>
    <w:rsid w:val="00892954"/>
    <w:rsid w:val="00892B58"/>
    <w:rsid w:val="008933C0"/>
    <w:rsid w:val="00893623"/>
    <w:rsid w:val="0089522C"/>
    <w:rsid w:val="00896F93"/>
    <w:rsid w:val="00897F7A"/>
    <w:rsid w:val="008A055E"/>
    <w:rsid w:val="008A05D2"/>
    <w:rsid w:val="008A1636"/>
    <w:rsid w:val="008A16FE"/>
    <w:rsid w:val="008A1A03"/>
    <w:rsid w:val="008A208A"/>
    <w:rsid w:val="008A2DD6"/>
    <w:rsid w:val="008A3512"/>
    <w:rsid w:val="008A37A2"/>
    <w:rsid w:val="008A387A"/>
    <w:rsid w:val="008A69C3"/>
    <w:rsid w:val="008A6CA4"/>
    <w:rsid w:val="008A76FE"/>
    <w:rsid w:val="008B112B"/>
    <w:rsid w:val="008B1173"/>
    <w:rsid w:val="008B24E9"/>
    <w:rsid w:val="008B3E3E"/>
    <w:rsid w:val="008B4691"/>
    <w:rsid w:val="008B4A12"/>
    <w:rsid w:val="008B66C5"/>
    <w:rsid w:val="008B6A1C"/>
    <w:rsid w:val="008B6E96"/>
    <w:rsid w:val="008B73B2"/>
    <w:rsid w:val="008B760E"/>
    <w:rsid w:val="008B7B00"/>
    <w:rsid w:val="008B7E2E"/>
    <w:rsid w:val="008C1253"/>
    <w:rsid w:val="008C1C2E"/>
    <w:rsid w:val="008C2111"/>
    <w:rsid w:val="008C21E8"/>
    <w:rsid w:val="008C303F"/>
    <w:rsid w:val="008C33C1"/>
    <w:rsid w:val="008C4731"/>
    <w:rsid w:val="008C47A4"/>
    <w:rsid w:val="008C706C"/>
    <w:rsid w:val="008C721A"/>
    <w:rsid w:val="008D1291"/>
    <w:rsid w:val="008D2566"/>
    <w:rsid w:val="008D28BB"/>
    <w:rsid w:val="008D3DBB"/>
    <w:rsid w:val="008D3F8B"/>
    <w:rsid w:val="008D739E"/>
    <w:rsid w:val="008D79FA"/>
    <w:rsid w:val="008D7D1B"/>
    <w:rsid w:val="008E0273"/>
    <w:rsid w:val="008E06E5"/>
    <w:rsid w:val="008E08C8"/>
    <w:rsid w:val="008E1386"/>
    <w:rsid w:val="008E1CDB"/>
    <w:rsid w:val="008E1DDD"/>
    <w:rsid w:val="008E243E"/>
    <w:rsid w:val="008E2C62"/>
    <w:rsid w:val="008E2D46"/>
    <w:rsid w:val="008E3115"/>
    <w:rsid w:val="008E3D3C"/>
    <w:rsid w:val="008E6DBE"/>
    <w:rsid w:val="008E725E"/>
    <w:rsid w:val="008E7843"/>
    <w:rsid w:val="008F0330"/>
    <w:rsid w:val="008F1860"/>
    <w:rsid w:val="008F1B4E"/>
    <w:rsid w:val="008F23F6"/>
    <w:rsid w:val="008F2610"/>
    <w:rsid w:val="008F310F"/>
    <w:rsid w:val="008F4645"/>
    <w:rsid w:val="008F4D47"/>
    <w:rsid w:val="008F536C"/>
    <w:rsid w:val="008F5BA6"/>
    <w:rsid w:val="008F7169"/>
    <w:rsid w:val="00900D34"/>
    <w:rsid w:val="0090150A"/>
    <w:rsid w:val="00901B53"/>
    <w:rsid w:val="009022C8"/>
    <w:rsid w:val="00902DED"/>
    <w:rsid w:val="0090347A"/>
    <w:rsid w:val="00903A04"/>
    <w:rsid w:val="00904454"/>
    <w:rsid w:val="00904B8F"/>
    <w:rsid w:val="0090551C"/>
    <w:rsid w:val="009064A5"/>
    <w:rsid w:val="009067FF"/>
    <w:rsid w:val="009068AC"/>
    <w:rsid w:val="00911430"/>
    <w:rsid w:val="00912D73"/>
    <w:rsid w:val="00914855"/>
    <w:rsid w:val="00915B12"/>
    <w:rsid w:val="009171FA"/>
    <w:rsid w:val="00922F32"/>
    <w:rsid w:val="00923B0D"/>
    <w:rsid w:val="00923B97"/>
    <w:rsid w:val="0092434C"/>
    <w:rsid w:val="00924D18"/>
    <w:rsid w:val="00925453"/>
    <w:rsid w:val="00931882"/>
    <w:rsid w:val="0093250C"/>
    <w:rsid w:val="00932D3A"/>
    <w:rsid w:val="00934C26"/>
    <w:rsid w:val="00935767"/>
    <w:rsid w:val="009359F1"/>
    <w:rsid w:val="00935DF4"/>
    <w:rsid w:val="0093616A"/>
    <w:rsid w:val="0093675C"/>
    <w:rsid w:val="009369B0"/>
    <w:rsid w:val="00936B01"/>
    <w:rsid w:val="0093757A"/>
    <w:rsid w:val="00937C51"/>
    <w:rsid w:val="00937DF4"/>
    <w:rsid w:val="009411DA"/>
    <w:rsid w:val="00941487"/>
    <w:rsid w:val="00941961"/>
    <w:rsid w:val="00942651"/>
    <w:rsid w:val="009427B3"/>
    <w:rsid w:val="00942CA4"/>
    <w:rsid w:val="00943723"/>
    <w:rsid w:val="00943965"/>
    <w:rsid w:val="0094528E"/>
    <w:rsid w:val="00945FAB"/>
    <w:rsid w:val="009470F6"/>
    <w:rsid w:val="00950294"/>
    <w:rsid w:val="00950ACF"/>
    <w:rsid w:val="00951BFC"/>
    <w:rsid w:val="0095207D"/>
    <w:rsid w:val="0095225C"/>
    <w:rsid w:val="00953110"/>
    <w:rsid w:val="00953E98"/>
    <w:rsid w:val="009540BC"/>
    <w:rsid w:val="0095456A"/>
    <w:rsid w:val="00954A5D"/>
    <w:rsid w:val="009607F6"/>
    <w:rsid w:val="00960BD7"/>
    <w:rsid w:val="00960CF1"/>
    <w:rsid w:val="009627A1"/>
    <w:rsid w:val="00962E26"/>
    <w:rsid w:val="00963031"/>
    <w:rsid w:val="0096655A"/>
    <w:rsid w:val="0096692C"/>
    <w:rsid w:val="00966B21"/>
    <w:rsid w:val="009731AC"/>
    <w:rsid w:val="009738F8"/>
    <w:rsid w:val="009739BF"/>
    <w:rsid w:val="0097489E"/>
    <w:rsid w:val="00976C8B"/>
    <w:rsid w:val="00976CA0"/>
    <w:rsid w:val="00976F94"/>
    <w:rsid w:val="00980324"/>
    <w:rsid w:val="00981996"/>
    <w:rsid w:val="0098420E"/>
    <w:rsid w:val="00984762"/>
    <w:rsid w:val="00985B32"/>
    <w:rsid w:val="00986869"/>
    <w:rsid w:val="009910CE"/>
    <w:rsid w:val="0099198E"/>
    <w:rsid w:val="00991A2A"/>
    <w:rsid w:val="00993ACF"/>
    <w:rsid w:val="00993E69"/>
    <w:rsid w:val="0099488D"/>
    <w:rsid w:val="009961E8"/>
    <w:rsid w:val="0099636D"/>
    <w:rsid w:val="0099646F"/>
    <w:rsid w:val="009964DB"/>
    <w:rsid w:val="00996545"/>
    <w:rsid w:val="0099681A"/>
    <w:rsid w:val="00996901"/>
    <w:rsid w:val="00996DE2"/>
    <w:rsid w:val="009A0EC5"/>
    <w:rsid w:val="009A21B5"/>
    <w:rsid w:val="009A23D0"/>
    <w:rsid w:val="009A3B6F"/>
    <w:rsid w:val="009A4375"/>
    <w:rsid w:val="009A440B"/>
    <w:rsid w:val="009A446D"/>
    <w:rsid w:val="009A6B77"/>
    <w:rsid w:val="009A7678"/>
    <w:rsid w:val="009A7825"/>
    <w:rsid w:val="009A7BBE"/>
    <w:rsid w:val="009B0843"/>
    <w:rsid w:val="009B1150"/>
    <w:rsid w:val="009B115D"/>
    <w:rsid w:val="009B122A"/>
    <w:rsid w:val="009B1280"/>
    <w:rsid w:val="009B1EB1"/>
    <w:rsid w:val="009B1FAF"/>
    <w:rsid w:val="009B28AF"/>
    <w:rsid w:val="009B37AD"/>
    <w:rsid w:val="009B3DFF"/>
    <w:rsid w:val="009B5C2B"/>
    <w:rsid w:val="009B5E7D"/>
    <w:rsid w:val="009B6CDB"/>
    <w:rsid w:val="009B7080"/>
    <w:rsid w:val="009B72AC"/>
    <w:rsid w:val="009B7A8F"/>
    <w:rsid w:val="009C07EE"/>
    <w:rsid w:val="009C26C6"/>
    <w:rsid w:val="009C352A"/>
    <w:rsid w:val="009C3FE9"/>
    <w:rsid w:val="009C4F1D"/>
    <w:rsid w:val="009C54EB"/>
    <w:rsid w:val="009C5683"/>
    <w:rsid w:val="009C6A6E"/>
    <w:rsid w:val="009C6C3C"/>
    <w:rsid w:val="009C72B6"/>
    <w:rsid w:val="009D093E"/>
    <w:rsid w:val="009D1C06"/>
    <w:rsid w:val="009D22A7"/>
    <w:rsid w:val="009D3992"/>
    <w:rsid w:val="009D4DAF"/>
    <w:rsid w:val="009D57FC"/>
    <w:rsid w:val="009D6D90"/>
    <w:rsid w:val="009D789D"/>
    <w:rsid w:val="009D7C2A"/>
    <w:rsid w:val="009E0206"/>
    <w:rsid w:val="009E059B"/>
    <w:rsid w:val="009E214E"/>
    <w:rsid w:val="009E2663"/>
    <w:rsid w:val="009E2754"/>
    <w:rsid w:val="009E3FBE"/>
    <w:rsid w:val="009E5366"/>
    <w:rsid w:val="009E7B6E"/>
    <w:rsid w:val="009E7D68"/>
    <w:rsid w:val="009F0824"/>
    <w:rsid w:val="009F1342"/>
    <w:rsid w:val="009F136A"/>
    <w:rsid w:val="009F148F"/>
    <w:rsid w:val="009F1E27"/>
    <w:rsid w:val="009F2D98"/>
    <w:rsid w:val="009F346D"/>
    <w:rsid w:val="009F5604"/>
    <w:rsid w:val="009F5F26"/>
    <w:rsid w:val="009F6091"/>
    <w:rsid w:val="00A01C5E"/>
    <w:rsid w:val="00A01CCF"/>
    <w:rsid w:val="00A02838"/>
    <w:rsid w:val="00A029B3"/>
    <w:rsid w:val="00A029D4"/>
    <w:rsid w:val="00A04B4E"/>
    <w:rsid w:val="00A050F1"/>
    <w:rsid w:val="00A07030"/>
    <w:rsid w:val="00A079F5"/>
    <w:rsid w:val="00A07AB6"/>
    <w:rsid w:val="00A07CEC"/>
    <w:rsid w:val="00A1061D"/>
    <w:rsid w:val="00A12989"/>
    <w:rsid w:val="00A1383F"/>
    <w:rsid w:val="00A13F0F"/>
    <w:rsid w:val="00A14B74"/>
    <w:rsid w:val="00A14D68"/>
    <w:rsid w:val="00A15479"/>
    <w:rsid w:val="00A15C5C"/>
    <w:rsid w:val="00A1660C"/>
    <w:rsid w:val="00A169A0"/>
    <w:rsid w:val="00A16FEF"/>
    <w:rsid w:val="00A17D11"/>
    <w:rsid w:val="00A20590"/>
    <w:rsid w:val="00A20F71"/>
    <w:rsid w:val="00A231D0"/>
    <w:rsid w:val="00A239B7"/>
    <w:rsid w:val="00A23EA5"/>
    <w:rsid w:val="00A2418F"/>
    <w:rsid w:val="00A241E3"/>
    <w:rsid w:val="00A25432"/>
    <w:rsid w:val="00A2589E"/>
    <w:rsid w:val="00A25AF0"/>
    <w:rsid w:val="00A27454"/>
    <w:rsid w:val="00A31612"/>
    <w:rsid w:val="00A31A26"/>
    <w:rsid w:val="00A321F7"/>
    <w:rsid w:val="00A32850"/>
    <w:rsid w:val="00A33FDE"/>
    <w:rsid w:val="00A36515"/>
    <w:rsid w:val="00A36EC7"/>
    <w:rsid w:val="00A373BE"/>
    <w:rsid w:val="00A4045B"/>
    <w:rsid w:val="00A4067A"/>
    <w:rsid w:val="00A40C22"/>
    <w:rsid w:val="00A41EAE"/>
    <w:rsid w:val="00A4214F"/>
    <w:rsid w:val="00A421FB"/>
    <w:rsid w:val="00A42409"/>
    <w:rsid w:val="00A42B33"/>
    <w:rsid w:val="00A433A2"/>
    <w:rsid w:val="00A433E0"/>
    <w:rsid w:val="00A43B9E"/>
    <w:rsid w:val="00A43D38"/>
    <w:rsid w:val="00A43D7E"/>
    <w:rsid w:val="00A44911"/>
    <w:rsid w:val="00A4543B"/>
    <w:rsid w:val="00A471E0"/>
    <w:rsid w:val="00A47AD8"/>
    <w:rsid w:val="00A47C81"/>
    <w:rsid w:val="00A50168"/>
    <w:rsid w:val="00A51F83"/>
    <w:rsid w:val="00A52D6D"/>
    <w:rsid w:val="00A53D03"/>
    <w:rsid w:val="00A53EF5"/>
    <w:rsid w:val="00A540D7"/>
    <w:rsid w:val="00A614E1"/>
    <w:rsid w:val="00A61525"/>
    <w:rsid w:val="00A619C6"/>
    <w:rsid w:val="00A62488"/>
    <w:rsid w:val="00A63B34"/>
    <w:rsid w:val="00A65145"/>
    <w:rsid w:val="00A66B74"/>
    <w:rsid w:val="00A70272"/>
    <w:rsid w:val="00A71EC2"/>
    <w:rsid w:val="00A7276D"/>
    <w:rsid w:val="00A72BA2"/>
    <w:rsid w:val="00A733BA"/>
    <w:rsid w:val="00A748CE"/>
    <w:rsid w:val="00A7584B"/>
    <w:rsid w:val="00A76896"/>
    <w:rsid w:val="00A82029"/>
    <w:rsid w:val="00A82045"/>
    <w:rsid w:val="00A827EB"/>
    <w:rsid w:val="00A82823"/>
    <w:rsid w:val="00A846F2"/>
    <w:rsid w:val="00A84E87"/>
    <w:rsid w:val="00A858AD"/>
    <w:rsid w:val="00A85F0D"/>
    <w:rsid w:val="00A866B1"/>
    <w:rsid w:val="00A871D5"/>
    <w:rsid w:val="00A87BDD"/>
    <w:rsid w:val="00A87C87"/>
    <w:rsid w:val="00A90CF0"/>
    <w:rsid w:val="00A9164D"/>
    <w:rsid w:val="00A94CB7"/>
    <w:rsid w:val="00A956CC"/>
    <w:rsid w:val="00A95904"/>
    <w:rsid w:val="00A95AF4"/>
    <w:rsid w:val="00A9710F"/>
    <w:rsid w:val="00AA06C1"/>
    <w:rsid w:val="00AA1603"/>
    <w:rsid w:val="00AA21DF"/>
    <w:rsid w:val="00AA30D5"/>
    <w:rsid w:val="00AA3E1C"/>
    <w:rsid w:val="00AA51F0"/>
    <w:rsid w:val="00AA52AE"/>
    <w:rsid w:val="00AA687B"/>
    <w:rsid w:val="00AA6D68"/>
    <w:rsid w:val="00AB08D8"/>
    <w:rsid w:val="00AB0BD3"/>
    <w:rsid w:val="00AB1414"/>
    <w:rsid w:val="00AB1CEB"/>
    <w:rsid w:val="00AB27CF"/>
    <w:rsid w:val="00AB2813"/>
    <w:rsid w:val="00AB3D02"/>
    <w:rsid w:val="00AB57BA"/>
    <w:rsid w:val="00AB5BCB"/>
    <w:rsid w:val="00AB7067"/>
    <w:rsid w:val="00AB7094"/>
    <w:rsid w:val="00AB710F"/>
    <w:rsid w:val="00AC0E7C"/>
    <w:rsid w:val="00AC1BCA"/>
    <w:rsid w:val="00AC276C"/>
    <w:rsid w:val="00AC3C3D"/>
    <w:rsid w:val="00AC3F5A"/>
    <w:rsid w:val="00AC41D2"/>
    <w:rsid w:val="00AC48D1"/>
    <w:rsid w:val="00AC4F6D"/>
    <w:rsid w:val="00AC6D52"/>
    <w:rsid w:val="00AC7219"/>
    <w:rsid w:val="00AC721E"/>
    <w:rsid w:val="00AD059C"/>
    <w:rsid w:val="00AD143B"/>
    <w:rsid w:val="00AD1C5B"/>
    <w:rsid w:val="00AD2150"/>
    <w:rsid w:val="00AD3353"/>
    <w:rsid w:val="00AD3AE6"/>
    <w:rsid w:val="00AD63CC"/>
    <w:rsid w:val="00AD68A5"/>
    <w:rsid w:val="00AD6B34"/>
    <w:rsid w:val="00AD7A98"/>
    <w:rsid w:val="00AE1F14"/>
    <w:rsid w:val="00AE2314"/>
    <w:rsid w:val="00AE2658"/>
    <w:rsid w:val="00AE298A"/>
    <w:rsid w:val="00AE2E70"/>
    <w:rsid w:val="00AE61E9"/>
    <w:rsid w:val="00AF0573"/>
    <w:rsid w:val="00AF1383"/>
    <w:rsid w:val="00AF25DD"/>
    <w:rsid w:val="00AF3BAD"/>
    <w:rsid w:val="00AF6195"/>
    <w:rsid w:val="00AF6D8A"/>
    <w:rsid w:val="00AF70EF"/>
    <w:rsid w:val="00B01406"/>
    <w:rsid w:val="00B01730"/>
    <w:rsid w:val="00B027C9"/>
    <w:rsid w:val="00B02F1A"/>
    <w:rsid w:val="00B03471"/>
    <w:rsid w:val="00B042C6"/>
    <w:rsid w:val="00B04652"/>
    <w:rsid w:val="00B04F23"/>
    <w:rsid w:val="00B05114"/>
    <w:rsid w:val="00B0758E"/>
    <w:rsid w:val="00B077A3"/>
    <w:rsid w:val="00B10A4D"/>
    <w:rsid w:val="00B115CE"/>
    <w:rsid w:val="00B116A1"/>
    <w:rsid w:val="00B1216B"/>
    <w:rsid w:val="00B1336F"/>
    <w:rsid w:val="00B1361C"/>
    <w:rsid w:val="00B145D6"/>
    <w:rsid w:val="00B16F61"/>
    <w:rsid w:val="00B20DBF"/>
    <w:rsid w:val="00B2151F"/>
    <w:rsid w:val="00B21D57"/>
    <w:rsid w:val="00B21F11"/>
    <w:rsid w:val="00B236BE"/>
    <w:rsid w:val="00B24325"/>
    <w:rsid w:val="00B24A34"/>
    <w:rsid w:val="00B25087"/>
    <w:rsid w:val="00B27B79"/>
    <w:rsid w:val="00B30299"/>
    <w:rsid w:val="00B3099D"/>
    <w:rsid w:val="00B3101E"/>
    <w:rsid w:val="00B314F9"/>
    <w:rsid w:val="00B31D26"/>
    <w:rsid w:val="00B32EEC"/>
    <w:rsid w:val="00B35B64"/>
    <w:rsid w:val="00B35F10"/>
    <w:rsid w:val="00B36041"/>
    <w:rsid w:val="00B4092F"/>
    <w:rsid w:val="00B40B1C"/>
    <w:rsid w:val="00B40CFE"/>
    <w:rsid w:val="00B41239"/>
    <w:rsid w:val="00B43AF5"/>
    <w:rsid w:val="00B44362"/>
    <w:rsid w:val="00B4586B"/>
    <w:rsid w:val="00B45A7C"/>
    <w:rsid w:val="00B47C7E"/>
    <w:rsid w:val="00B47D2F"/>
    <w:rsid w:val="00B47D8A"/>
    <w:rsid w:val="00B50A06"/>
    <w:rsid w:val="00B51197"/>
    <w:rsid w:val="00B5149C"/>
    <w:rsid w:val="00B51D1B"/>
    <w:rsid w:val="00B522E7"/>
    <w:rsid w:val="00B52471"/>
    <w:rsid w:val="00B52827"/>
    <w:rsid w:val="00B52D41"/>
    <w:rsid w:val="00B52FA8"/>
    <w:rsid w:val="00B5430C"/>
    <w:rsid w:val="00B55130"/>
    <w:rsid w:val="00B55B5C"/>
    <w:rsid w:val="00B56766"/>
    <w:rsid w:val="00B57174"/>
    <w:rsid w:val="00B57301"/>
    <w:rsid w:val="00B57341"/>
    <w:rsid w:val="00B573A4"/>
    <w:rsid w:val="00B62138"/>
    <w:rsid w:val="00B64638"/>
    <w:rsid w:val="00B64D1B"/>
    <w:rsid w:val="00B64D91"/>
    <w:rsid w:val="00B65A6B"/>
    <w:rsid w:val="00B65AF6"/>
    <w:rsid w:val="00B65BEE"/>
    <w:rsid w:val="00B6682E"/>
    <w:rsid w:val="00B66BB3"/>
    <w:rsid w:val="00B672B6"/>
    <w:rsid w:val="00B70B72"/>
    <w:rsid w:val="00B70EF5"/>
    <w:rsid w:val="00B725FC"/>
    <w:rsid w:val="00B72713"/>
    <w:rsid w:val="00B72DC2"/>
    <w:rsid w:val="00B730F2"/>
    <w:rsid w:val="00B73814"/>
    <w:rsid w:val="00B74C15"/>
    <w:rsid w:val="00B77716"/>
    <w:rsid w:val="00B801FE"/>
    <w:rsid w:val="00B80569"/>
    <w:rsid w:val="00B81008"/>
    <w:rsid w:val="00B810E2"/>
    <w:rsid w:val="00B81780"/>
    <w:rsid w:val="00B81C13"/>
    <w:rsid w:val="00B837CB"/>
    <w:rsid w:val="00B839E0"/>
    <w:rsid w:val="00B83D6F"/>
    <w:rsid w:val="00B84681"/>
    <w:rsid w:val="00B851A8"/>
    <w:rsid w:val="00B86C05"/>
    <w:rsid w:val="00B901A2"/>
    <w:rsid w:val="00B9033D"/>
    <w:rsid w:val="00B9036F"/>
    <w:rsid w:val="00B9040E"/>
    <w:rsid w:val="00B907BA"/>
    <w:rsid w:val="00B9190C"/>
    <w:rsid w:val="00B9222C"/>
    <w:rsid w:val="00B9242D"/>
    <w:rsid w:val="00B95754"/>
    <w:rsid w:val="00B9672C"/>
    <w:rsid w:val="00B96F08"/>
    <w:rsid w:val="00BA059A"/>
    <w:rsid w:val="00BA1C5F"/>
    <w:rsid w:val="00BA47C3"/>
    <w:rsid w:val="00BA645F"/>
    <w:rsid w:val="00BA75E7"/>
    <w:rsid w:val="00BB00E7"/>
    <w:rsid w:val="00BB0F4E"/>
    <w:rsid w:val="00BB0F88"/>
    <w:rsid w:val="00BB1F04"/>
    <w:rsid w:val="00BB248C"/>
    <w:rsid w:val="00BB2DBF"/>
    <w:rsid w:val="00BB3007"/>
    <w:rsid w:val="00BB3C4E"/>
    <w:rsid w:val="00BB4006"/>
    <w:rsid w:val="00BB440E"/>
    <w:rsid w:val="00BB49CA"/>
    <w:rsid w:val="00BB4E16"/>
    <w:rsid w:val="00BB5650"/>
    <w:rsid w:val="00BC015F"/>
    <w:rsid w:val="00BC0789"/>
    <w:rsid w:val="00BC1364"/>
    <w:rsid w:val="00BC1CC7"/>
    <w:rsid w:val="00BC2220"/>
    <w:rsid w:val="00BC3D1E"/>
    <w:rsid w:val="00BC466C"/>
    <w:rsid w:val="00BC4BFE"/>
    <w:rsid w:val="00BC4D59"/>
    <w:rsid w:val="00BC509D"/>
    <w:rsid w:val="00BC5E78"/>
    <w:rsid w:val="00BC624B"/>
    <w:rsid w:val="00BC6355"/>
    <w:rsid w:val="00BC6BF2"/>
    <w:rsid w:val="00BC7EA0"/>
    <w:rsid w:val="00BD0AB2"/>
    <w:rsid w:val="00BD173F"/>
    <w:rsid w:val="00BD2A7D"/>
    <w:rsid w:val="00BD3218"/>
    <w:rsid w:val="00BD3AE9"/>
    <w:rsid w:val="00BD3B34"/>
    <w:rsid w:val="00BD3D7C"/>
    <w:rsid w:val="00BD472F"/>
    <w:rsid w:val="00BD4A91"/>
    <w:rsid w:val="00BD586F"/>
    <w:rsid w:val="00BD5D70"/>
    <w:rsid w:val="00BD5FB4"/>
    <w:rsid w:val="00BD649B"/>
    <w:rsid w:val="00BD65F5"/>
    <w:rsid w:val="00BD7142"/>
    <w:rsid w:val="00BE0415"/>
    <w:rsid w:val="00BE0AC7"/>
    <w:rsid w:val="00BE0C70"/>
    <w:rsid w:val="00BE1653"/>
    <w:rsid w:val="00BE21A2"/>
    <w:rsid w:val="00BE2E1A"/>
    <w:rsid w:val="00BE45D2"/>
    <w:rsid w:val="00BE4ACB"/>
    <w:rsid w:val="00BE4C5D"/>
    <w:rsid w:val="00BE4F8F"/>
    <w:rsid w:val="00BE538A"/>
    <w:rsid w:val="00BE67C3"/>
    <w:rsid w:val="00BE6DC6"/>
    <w:rsid w:val="00BE7394"/>
    <w:rsid w:val="00BE75D7"/>
    <w:rsid w:val="00BF0F02"/>
    <w:rsid w:val="00BF128C"/>
    <w:rsid w:val="00BF26BD"/>
    <w:rsid w:val="00BF339A"/>
    <w:rsid w:val="00BF349C"/>
    <w:rsid w:val="00BF3523"/>
    <w:rsid w:val="00BF42B8"/>
    <w:rsid w:val="00BF456D"/>
    <w:rsid w:val="00BF472B"/>
    <w:rsid w:val="00BF4B40"/>
    <w:rsid w:val="00BF4FD5"/>
    <w:rsid w:val="00BF54DD"/>
    <w:rsid w:val="00BF59F0"/>
    <w:rsid w:val="00BF6B7A"/>
    <w:rsid w:val="00BF7883"/>
    <w:rsid w:val="00BF7ED7"/>
    <w:rsid w:val="00C005AF"/>
    <w:rsid w:val="00C00BF4"/>
    <w:rsid w:val="00C015D1"/>
    <w:rsid w:val="00C01EA2"/>
    <w:rsid w:val="00C026C3"/>
    <w:rsid w:val="00C03B70"/>
    <w:rsid w:val="00C05460"/>
    <w:rsid w:val="00C063CD"/>
    <w:rsid w:val="00C10804"/>
    <w:rsid w:val="00C10AAA"/>
    <w:rsid w:val="00C1106A"/>
    <w:rsid w:val="00C11875"/>
    <w:rsid w:val="00C11A40"/>
    <w:rsid w:val="00C12560"/>
    <w:rsid w:val="00C12610"/>
    <w:rsid w:val="00C1281B"/>
    <w:rsid w:val="00C12D76"/>
    <w:rsid w:val="00C1362E"/>
    <w:rsid w:val="00C15338"/>
    <w:rsid w:val="00C16614"/>
    <w:rsid w:val="00C179FD"/>
    <w:rsid w:val="00C17BEA"/>
    <w:rsid w:val="00C2376E"/>
    <w:rsid w:val="00C25493"/>
    <w:rsid w:val="00C265D2"/>
    <w:rsid w:val="00C30B23"/>
    <w:rsid w:val="00C30FE1"/>
    <w:rsid w:val="00C31DF6"/>
    <w:rsid w:val="00C320A4"/>
    <w:rsid w:val="00C331FF"/>
    <w:rsid w:val="00C36209"/>
    <w:rsid w:val="00C36CB9"/>
    <w:rsid w:val="00C36EEF"/>
    <w:rsid w:val="00C3797D"/>
    <w:rsid w:val="00C401FF"/>
    <w:rsid w:val="00C41BDD"/>
    <w:rsid w:val="00C42388"/>
    <w:rsid w:val="00C428E5"/>
    <w:rsid w:val="00C42CA1"/>
    <w:rsid w:val="00C4391B"/>
    <w:rsid w:val="00C50617"/>
    <w:rsid w:val="00C50A28"/>
    <w:rsid w:val="00C51E64"/>
    <w:rsid w:val="00C53324"/>
    <w:rsid w:val="00C5405A"/>
    <w:rsid w:val="00C54135"/>
    <w:rsid w:val="00C5414F"/>
    <w:rsid w:val="00C548E0"/>
    <w:rsid w:val="00C55567"/>
    <w:rsid w:val="00C56AFC"/>
    <w:rsid w:val="00C56E9C"/>
    <w:rsid w:val="00C60052"/>
    <w:rsid w:val="00C60CB9"/>
    <w:rsid w:val="00C61295"/>
    <w:rsid w:val="00C61A37"/>
    <w:rsid w:val="00C61FFA"/>
    <w:rsid w:val="00C62975"/>
    <w:rsid w:val="00C67C12"/>
    <w:rsid w:val="00C71855"/>
    <w:rsid w:val="00C71E44"/>
    <w:rsid w:val="00C72625"/>
    <w:rsid w:val="00C726F3"/>
    <w:rsid w:val="00C730A3"/>
    <w:rsid w:val="00C73D82"/>
    <w:rsid w:val="00C73F20"/>
    <w:rsid w:val="00C73FCB"/>
    <w:rsid w:val="00C76CA9"/>
    <w:rsid w:val="00C77922"/>
    <w:rsid w:val="00C80820"/>
    <w:rsid w:val="00C82E80"/>
    <w:rsid w:val="00C8332B"/>
    <w:rsid w:val="00C835D4"/>
    <w:rsid w:val="00C845E5"/>
    <w:rsid w:val="00C86080"/>
    <w:rsid w:val="00C86793"/>
    <w:rsid w:val="00C86A49"/>
    <w:rsid w:val="00C90A84"/>
    <w:rsid w:val="00C90F2B"/>
    <w:rsid w:val="00C916E8"/>
    <w:rsid w:val="00C91C37"/>
    <w:rsid w:val="00C91CFD"/>
    <w:rsid w:val="00C9251D"/>
    <w:rsid w:val="00C92F04"/>
    <w:rsid w:val="00C93EFB"/>
    <w:rsid w:val="00C9628C"/>
    <w:rsid w:val="00C9736D"/>
    <w:rsid w:val="00C97AC1"/>
    <w:rsid w:val="00C97F93"/>
    <w:rsid w:val="00CA0C94"/>
    <w:rsid w:val="00CA1387"/>
    <w:rsid w:val="00CA1F68"/>
    <w:rsid w:val="00CA334E"/>
    <w:rsid w:val="00CA4779"/>
    <w:rsid w:val="00CA5940"/>
    <w:rsid w:val="00CA682A"/>
    <w:rsid w:val="00CA6B15"/>
    <w:rsid w:val="00CA70C3"/>
    <w:rsid w:val="00CB1745"/>
    <w:rsid w:val="00CB1BB3"/>
    <w:rsid w:val="00CB2CB9"/>
    <w:rsid w:val="00CB302A"/>
    <w:rsid w:val="00CB37E3"/>
    <w:rsid w:val="00CB5F63"/>
    <w:rsid w:val="00CB6880"/>
    <w:rsid w:val="00CB6A19"/>
    <w:rsid w:val="00CB714E"/>
    <w:rsid w:val="00CB7448"/>
    <w:rsid w:val="00CB7B59"/>
    <w:rsid w:val="00CC0383"/>
    <w:rsid w:val="00CC046F"/>
    <w:rsid w:val="00CC1EE2"/>
    <w:rsid w:val="00CC2BEF"/>
    <w:rsid w:val="00CC2F47"/>
    <w:rsid w:val="00CC34BE"/>
    <w:rsid w:val="00CC3C73"/>
    <w:rsid w:val="00CC438D"/>
    <w:rsid w:val="00CC59D4"/>
    <w:rsid w:val="00CC6405"/>
    <w:rsid w:val="00CC693D"/>
    <w:rsid w:val="00CC6D82"/>
    <w:rsid w:val="00CC7694"/>
    <w:rsid w:val="00CD285D"/>
    <w:rsid w:val="00CD3BA0"/>
    <w:rsid w:val="00CD4884"/>
    <w:rsid w:val="00CD4F0E"/>
    <w:rsid w:val="00CD5369"/>
    <w:rsid w:val="00CD57CC"/>
    <w:rsid w:val="00CD6B80"/>
    <w:rsid w:val="00CD7F2F"/>
    <w:rsid w:val="00CE361A"/>
    <w:rsid w:val="00CE37F9"/>
    <w:rsid w:val="00CE52ED"/>
    <w:rsid w:val="00CE52F2"/>
    <w:rsid w:val="00CE670A"/>
    <w:rsid w:val="00CE6C17"/>
    <w:rsid w:val="00CE72A7"/>
    <w:rsid w:val="00CE7B7E"/>
    <w:rsid w:val="00CE7E48"/>
    <w:rsid w:val="00CF1B71"/>
    <w:rsid w:val="00CF26F9"/>
    <w:rsid w:val="00CF2AD9"/>
    <w:rsid w:val="00CF2B67"/>
    <w:rsid w:val="00CF3EB1"/>
    <w:rsid w:val="00CF44DD"/>
    <w:rsid w:val="00CF48F6"/>
    <w:rsid w:val="00CF6446"/>
    <w:rsid w:val="00CF7A52"/>
    <w:rsid w:val="00D01230"/>
    <w:rsid w:val="00D014E0"/>
    <w:rsid w:val="00D019FA"/>
    <w:rsid w:val="00D01CF8"/>
    <w:rsid w:val="00D01FFC"/>
    <w:rsid w:val="00D02DF4"/>
    <w:rsid w:val="00D05EA4"/>
    <w:rsid w:val="00D071B0"/>
    <w:rsid w:val="00D0729B"/>
    <w:rsid w:val="00D07555"/>
    <w:rsid w:val="00D106BF"/>
    <w:rsid w:val="00D10C13"/>
    <w:rsid w:val="00D11FAA"/>
    <w:rsid w:val="00D120B0"/>
    <w:rsid w:val="00D12D65"/>
    <w:rsid w:val="00D12E5A"/>
    <w:rsid w:val="00D1373E"/>
    <w:rsid w:val="00D14AA1"/>
    <w:rsid w:val="00D15E65"/>
    <w:rsid w:val="00D1688C"/>
    <w:rsid w:val="00D1778B"/>
    <w:rsid w:val="00D17D1D"/>
    <w:rsid w:val="00D21270"/>
    <w:rsid w:val="00D22842"/>
    <w:rsid w:val="00D2345D"/>
    <w:rsid w:val="00D23BB5"/>
    <w:rsid w:val="00D2432A"/>
    <w:rsid w:val="00D25D4C"/>
    <w:rsid w:val="00D25F24"/>
    <w:rsid w:val="00D26497"/>
    <w:rsid w:val="00D269FB"/>
    <w:rsid w:val="00D32DDB"/>
    <w:rsid w:val="00D33D1C"/>
    <w:rsid w:val="00D342DD"/>
    <w:rsid w:val="00D344EB"/>
    <w:rsid w:val="00D359D7"/>
    <w:rsid w:val="00D369C2"/>
    <w:rsid w:val="00D36B85"/>
    <w:rsid w:val="00D377DD"/>
    <w:rsid w:val="00D37BC5"/>
    <w:rsid w:val="00D40DBF"/>
    <w:rsid w:val="00D4180D"/>
    <w:rsid w:val="00D41E73"/>
    <w:rsid w:val="00D43554"/>
    <w:rsid w:val="00D449A7"/>
    <w:rsid w:val="00D44F46"/>
    <w:rsid w:val="00D4519D"/>
    <w:rsid w:val="00D45872"/>
    <w:rsid w:val="00D46744"/>
    <w:rsid w:val="00D512C5"/>
    <w:rsid w:val="00D51315"/>
    <w:rsid w:val="00D53574"/>
    <w:rsid w:val="00D55DAA"/>
    <w:rsid w:val="00D56E29"/>
    <w:rsid w:val="00D57274"/>
    <w:rsid w:val="00D611AB"/>
    <w:rsid w:val="00D6193C"/>
    <w:rsid w:val="00D630B2"/>
    <w:rsid w:val="00D637AD"/>
    <w:rsid w:val="00D63ACD"/>
    <w:rsid w:val="00D63B46"/>
    <w:rsid w:val="00D63B4A"/>
    <w:rsid w:val="00D64856"/>
    <w:rsid w:val="00D653B6"/>
    <w:rsid w:val="00D66243"/>
    <w:rsid w:val="00D66E3F"/>
    <w:rsid w:val="00D673DF"/>
    <w:rsid w:val="00D67A66"/>
    <w:rsid w:val="00D67BC1"/>
    <w:rsid w:val="00D7018D"/>
    <w:rsid w:val="00D70364"/>
    <w:rsid w:val="00D706DF"/>
    <w:rsid w:val="00D72DAF"/>
    <w:rsid w:val="00D74240"/>
    <w:rsid w:val="00D744F4"/>
    <w:rsid w:val="00D753ED"/>
    <w:rsid w:val="00D76CC1"/>
    <w:rsid w:val="00D819B9"/>
    <w:rsid w:val="00D825AA"/>
    <w:rsid w:val="00D83C60"/>
    <w:rsid w:val="00D843A4"/>
    <w:rsid w:val="00D851C5"/>
    <w:rsid w:val="00D85326"/>
    <w:rsid w:val="00D85679"/>
    <w:rsid w:val="00D85BA8"/>
    <w:rsid w:val="00D862C5"/>
    <w:rsid w:val="00D87487"/>
    <w:rsid w:val="00D874AE"/>
    <w:rsid w:val="00D917DC"/>
    <w:rsid w:val="00D93DEF"/>
    <w:rsid w:val="00D95F91"/>
    <w:rsid w:val="00D97089"/>
    <w:rsid w:val="00D975F1"/>
    <w:rsid w:val="00D97685"/>
    <w:rsid w:val="00D97A10"/>
    <w:rsid w:val="00DA0665"/>
    <w:rsid w:val="00DA144C"/>
    <w:rsid w:val="00DA1EB1"/>
    <w:rsid w:val="00DA2847"/>
    <w:rsid w:val="00DA5B94"/>
    <w:rsid w:val="00DA6468"/>
    <w:rsid w:val="00DA698E"/>
    <w:rsid w:val="00DA6A23"/>
    <w:rsid w:val="00DA7B86"/>
    <w:rsid w:val="00DB1A36"/>
    <w:rsid w:val="00DB2086"/>
    <w:rsid w:val="00DB214A"/>
    <w:rsid w:val="00DB337B"/>
    <w:rsid w:val="00DB352E"/>
    <w:rsid w:val="00DB3E1C"/>
    <w:rsid w:val="00DB57FF"/>
    <w:rsid w:val="00DB685D"/>
    <w:rsid w:val="00DB6BED"/>
    <w:rsid w:val="00DB76DA"/>
    <w:rsid w:val="00DB7975"/>
    <w:rsid w:val="00DC012F"/>
    <w:rsid w:val="00DC022B"/>
    <w:rsid w:val="00DC2104"/>
    <w:rsid w:val="00DC2469"/>
    <w:rsid w:val="00DC3510"/>
    <w:rsid w:val="00DC3F91"/>
    <w:rsid w:val="00DC7BAC"/>
    <w:rsid w:val="00DD0AFF"/>
    <w:rsid w:val="00DD132A"/>
    <w:rsid w:val="00DD16E1"/>
    <w:rsid w:val="00DD1A74"/>
    <w:rsid w:val="00DD2114"/>
    <w:rsid w:val="00DD39CA"/>
    <w:rsid w:val="00DD7539"/>
    <w:rsid w:val="00DD7592"/>
    <w:rsid w:val="00DD786B"/>
    <w:rsid w:val="00DD7DB7"/>
    <w:rsid w:val="00DE000D"/>
    <w:rsid w:val="00DE07DF"/>
    <w:rsid w:val="00DE13FD"/>
    <w:rsid w:val="00DE161D"/>
    <w:rsid w:val="00DE1A28"/>
    <w:rsid w:val="00DE2EC2"/>
    <w:rsid w:val="00DE34D9"/>
    <w:rsid w:val="00DE5297"/>
    <w:rsid w:val="00DE5B9C"/>
    <w:rsid w:val="00DE60C9"/>
    <w:rsid w:val="00DE7675"/>
    <w:rsid w:val="00DE7EB6"/>
    <w:rsid w:val="00DF07AB"/>
    <w:rsid w:val="00DF1465"/>
    <w:rsid w:val="00DF1F31"/>
    <w:rsid w:val="00DF2160"/>
    <w:rsid w:val="00DF2366"/>
    <w:rsid w:val="00DF3C75"/>
    <w:rsid w:val="00DF45C5"/>
    <w:rsid w:val="00DF4644"/>
    <w:rsid w:val="00DF48A8"/>
    <w:rsid w:val="00DF490C"/>
    <w:rsid w:val="00DF533B"/>
    <w:rsid w:val="00DF56FD"/>
    <w:rsid w:val="00DF631F"/>
    <w:rsid w:val="00DF72D8"/>
    <w:rsid w:val="00E00D1D"/>
    <w:rsid w:val="00E014EB"/>
    <w:rsid w:val="00E0242D"/>
    <w:rsid w:val="00E0452B"/>
    <w:rsid w:val="00E0701B"/>
    <w:rsid w:val="00E10AEE"/>
    <w:rsid w:val="00E10DFE"/>
    <w:rsid w:val="00E116FF"/>
    <w:rsid w:val="00E130BE"/>
    <w:rsid w:val="00E133AF"/>
    <w:rsid w:val="00E1388F"/>
    <w:rsid w:val="00E1578B"/>
    <w:rsid w:val="00E16424"/>
    <w:rsid w:val="00E20DEB"/>
    <w:rsid w:val="00E20EFE"/>
    <w:rsid w:val="00E23079"/>
    <w:rsid w:val="00E23B75"/>
    <w:rsid w:val="00E23D07"/>
    <w:rsid w:val="00E24E3D"/>
    <w:rsid w:val="00E255F6"/>
    <w:rsid w:val="00E257D6"/>
    <w:rsid w:val="00E26EEC"/>
    <w:rsid w:val="00E27205"/>
    <w:rsid w:val="00E304FE"/>
    <w:rsid w:val="00E306BA"/>
    <w:rsid w:val="00E308EF"/>
    <w:rsid w:val="00E3103D"/>
    <w:rsid w:val="00E311EB"/>
    <w:rsid w:val="00E316A1"/>
    <w:rsid w:val="00E33041"/>
    <w:rsid w:val="00E336EF"/>
    <w:rsid w:val="00E34C51"/>
    <w:rsid w:val="00E35076"/>
    <w:rsid w:val="00E359E0"/>
    <w:rsid w:val="00E36332"/>
    <w:rsid w:val="00E36B9C"/>
    <w:rsid w:val="00E40B08"/>
    <w:rsid w:val="00E434EB"/>
    <w:rsid w:val="00E44882"/>
    <w:rsid w:val="00E45456"/>
    <w:rsid w:val="00E45975"/>
    <w:rsid w:val="00E47A0B"/>
    <w:rsid w:val="00E5026F"/>
    <w:rsid w:val="00E50465"/>
    <w:rsid w:val="00E5105B"/>
    <w:rsid w:val="00E52589"/>
    <w:rsid w:val="00E538A0"/>
    <w:rsid w:val="00E53B78"/>
    <w:rsid w:val="00E5413B"/>
    <w:rsid w:val="00E55C01"/>
    <w:rsid w:val="00E55F12"/>
    <w:rsid w:val="00E56701"/>
    <w:rsid w:val="00E60410"/>
    <w:rsid w:val="00E60729"/>
    <w:rsid w:val="00E6100B"/>
    <w:rsid w:val="00E612DA"/>
    <w:rsid w:val="00E63243"/>
    <w:rsid w:val="00E6335D"/>
    <w:rsid w:val="00E65565"/>
    <w:rsid w:val="00E66052"/>
    <w:rsid w:val="00E7189D"/>
    <w:rsid w:val="00E723E4"/>
    <w:rsid w:val="00E729A9"/>
    <w:rsid w:val="00E73075"/>
    <w:rsid w:val="00E74A2B"/>
    <w:rsid w:val="00E76004"/>
    <w:rsid w:val="00E77743"/>
    <w:rsid w:val="00E77D8A"/>
    <w:rsid w:val="00E8155F"/>
    <w:rsid w:val="00E81C38"/>
    <w:rsid w:val="00E8264B"/>
    <w:rsid w:val="00E84C0E"/>
    <w:rsid w:val="00E86EB1"/>
    <w:rsid w:val="00E879BE"/>
    <w:rsid w:val="00E87B19"/>
    <w:rsid w:val="00E90359"/>
    <w:rsid w:val="00E90A36"/>
    <w:rsid w:val="00E9194B"/>
    <w:rsid w:val="00E91CFD"/>
    <w:rsid w:val="00E92AFF"/>
    <w:rsid w:val="00E9373D"/>
    <w:rsid w:val="00E94848"/>
    <w:rsid w:val="00E94D1F"/>
    <w:rsid w:val="00E94E05"/>
    <w:rsid w:val="00E95079"/>
    <w:rsid w:val="00E950BD"/>
    <w:rsid w:val="00EA0562"/>
    <w:rsid w:val="00EA0FA5"/>
    <w:rsid w:val="00EA1E79"/>
    <w:rsid w:val="00EA2435"/>
    <w:rsid w:val="00EA2C21"/>
    <w:rsid w:val="00EA41BE"/>
    <w:rsid w:val="00EA6267"/>
    <w:rsid w:val="00EB147A"/>
    <w:rsid w:val="00EB1941"/>
    <w:rsid w:val="00EB40A9"/>
    <w:rsid w:val="00EB4141"/>
    <w:rsid w:val="00EB432B"/>
    <w:rsid w:val="00EB63FE"/>
    <w:rsid w:val="00EB6CFF"/>
    <w:rsid w:val="00EB6EA6"/>
    <w:rsid w:val="00EB7439"/>
    <w:rsid w:val="00EC0004"/>
    <w:rsid w:val="00EC26E2"/>
    <w:rsid w:val="00EC33A8"/>
    <w:rsid w:val="00EC341E"/>
    <w:rsid w:val="00EC3C9C"/>
    <w:rsid w:val="00EC528C"/>
    <w:rsid w:val="00EC6341"/>
    <w:rsid w:val="00EC64C1"/>
    <w:rsid w:val="00EC65EB"/>
    <w:rsid w:val="00ED0CA5"/>
    <w:rsid w:val="00ED0DF7"/>
    <w:rsid w:val="00ED1674"/>
    <w:rsid w:val="00ED2EB1"/>
    <w:rsid w:val="00ED39F1"/>
    <w:rsid w:val="00ED3AA6"/>
    <w:rsid w:val="00ED5303"/>
    <w:rsid w:val="00ED5322"/>
    <w:rsid w:val="00ED6BDF"/>
    <w:rsid w:val="00ED780D"/>
    <w:rsid w:val="00EE0174"/>
    <w:rsid w:val="00EE01D8"/>
    <w:rsid w:val="00EE034B"/>
    <w:rsid w:val="00EE0B84"/>
    <w:rsid w:val="00EE1240"/>
    <w:rsid w:val="00EE140A"/>
    <w:rsid w:val="00EE2964"/>
    <w:rsid w:val="00EE3BBC"/>
    <w:rsid w:val="00EE406C"/>
    <w:rsid w:val="00EE4656"/>
    <w:rsid w:val="00EE5221"/>
    <w:rsid w:val="00EE6090"/>
    <w:rsid w:val="00EE68BF"/>
    <w:rsid w:val="00EE6B87"/>
    <w:rsid w:val="00EE7D03"/>
    <w:rsid w:val="00EE7FE1"/>
    <w:rsid w:val="00EF04F3"/>
    <w:rsid w:val="00EF04FC"/>
    <w:rsid w:val="00EF07BD"/>
    <w:rsid w:val="00EF0E89"/>
    <w:rsid w:val="00EF13D3"/>
    <w:rsid w:val="00EF191D"/>
    <w:rsid w:val="00EF202A"/>
    <w:rsid w:val="00EF2F5A"/>
    <w:rsid w:val="00EF30D0"/>
    <w:rsid w:val="00EF4058"/>
    <w:rsid w:val="00EF43C6"/>
    <w:rsid w:val="00EF455B"/>
    <w:rsid w:val="00EF5E7E"/>
    <w:rsid w:val="00EF634E"/>
    <w:rsid w:val="00F00108"/>
    <w:rsid w:val="00F00257"/>
    <w:rsid w:val="00F002AA"/>
    <w:rsid w:val="00F01FF6"/>
    <w:rsid w:val="00F0276D"/>
    <w:rsid w:val="00F032B3"/>
    <w:rsid w:val="00F036D4"/>
    <w:rsid w:val="00F04025"/>
    <w:rsid w:val="00F0489C"/>
    <w:rsid w:val="00F07CB0"/>
    <w:rsid w:val="00F10148"/>
    <w:rsid w:val="00F11D24"/>
    <w:rsid w:val="00F13AFE"/>
    <w:rsid w:val="00F14E34"/>
    <w:rsid w:val="00F152D8"/>
    <w:rsid w:val="00F16A9E"/>
    <w:rsid w:val="00F20336"/>
    <w:rsid w:val="00F20ECD"/>
    <w:rsid w:val="00F22908"/>
    <w:rsid w:val="00F23823"/>
    <w:rsid w:val="00F2425E"/>
    <w:rsid w:val="00F24E17"/>
    <w:rsid w:val="00F26653"/>
    <w:rsid w:val="00F2668C"/>
    <w:rsid w:val="00F273E5"/>
    <w:rsid w:val="00F2776F"/>
    <w:rsid w:val="00F27A3A"/>
    <w:rsid w:val="00F27CB8"/>
    <w:rsid w:val="00F30223"/>
    <w:rsid w:val="00F30869"/>
    <w:rsid w:val="00F30871"/>
    <w:rsid w:val="00F31B32"/>
    <w:rsid w:val="00F32829"/>
    <w:rsid w:val="00F32913"/>
    <w:rsid w:val="00F33FC6"/>
    <w:rsid w:val="00F34421"/>
    <w:rsid w:val="00F3493A"/>
    <w:rsid w:val="00F34A11"/>
    <w:rsid w:val="00F356B3"/>
    <w:rsid w:val="00F35DC5"/>
    <w:rsid w:val="00F36314"/>
    <w:rsid w:val="00F37114"/>
    <w:rsid w:val="00F41146"/>
    <w:rsid w:val="00F41429"/>
    <w:rsid w:val="00F42E3B"/>
    <w:rsid w:val="00F438BD"/>
    <w:rsid w:val="00F4413B"/>
    <w:rsid w:val="00F44163"/>
    <w:rsid w:val="00F45E57"/>
    <w:rsid w:val="00F47FF9"/>
    <w:rsid w:val="00F503F2"/>
    <w:rsid w:val="00F505ED"/>
    <w:rsid w:val="00F5094C"/>
    <w:rsid w:val="00F50D66"/>
    <w:rsid w:val="00F52451"/>
    <w:rsid w:val="00F53462"/>
    <w:rsid w:val="00F53FB0"/>
    <w:rsid w:val="00F54AE4"/>
    <w:rsid w:val="00F55D8B"/>
    <w:rsid w:val="00F5678E"/>
    <w:rsid w:val="00F600B5"/>
    <w:rsid w:val="00F60537"/>
    <w:rsid w:val="00F613E0"/>
    <w:rsid w:val="00F61AF1"/>
    <w:rsid w:val="00F62F63"/>
    <w:rsid w:val="00F648BC"/>
    <w:rsid w:val="00F6627A"/>
    <w:rsid w:val="00F66584"/>
    <w:rsid w:val="00F67AA2"/>
    <w:rsid w:val="00F70DF6"/>
    <w:rsid w:val="00F7109B"/>
    <w:rsid w:val="00F713CD"/>
    <w:rsid w:val="00F728B8"/>
    <w:rsid w:val="00F740A9"/>
    <w:rsid w:val="00F7458F"/>
    <w:rsid w:val="00F7468B"/>
    <w:rsid w:val="00F768E1"/>
    <w:rsid w:val="00F76C99"/>
    <w:rsid w:val="00F7707C"/>
    <w:rsid w:val="00F7717D"/>
    <w:rsid w:val="00F77A99"/>
    <w:rsid w:val="00F807BD"/>
    <w:rsid w:val="00F80C02"/>
    <w:rsid w:val="00F80CBD"/>
    <w:rsid w:val="00F80F97"/>
    <w:rsid w:val="00F816C9"/>
    <w:rsid w:val="00F81896"/>
    <w:rsid w:val="00F81B28"/>
    <w:rsid w:val="00F81DCD"/>
    <w:rsid w:val="00F834B1"/>
    <w:rsid w:val="00F83EBE"/>
    <w:rsid w:val="00F844C3"/>
    <w:rsid w:val="00F85833"/>
    <w:rsid w:val="00F85FCD"/>
    <w:rsid w:val="00F860B2"/>
    <w:rsid w:val="00F86369"/>
    <w:rsid w:val="00F9153B"/>
    <w:rsid w:val="00F917F5"/>
    <w:rsid w:val="00F92E9A"/>
    <w:rsid w:val="00F93530"/>
    <w:rsid w:val="00F93923"/>
    <w:rsid w:val="00FA0A99"/>
    <w:rsid w:val="00FA198A"/>
    <w:rsid w:val="00FA1D03"/>
    <w:rsid w:val="00FA4525"/>
    <w:rsid w:val="00FA59CA"/>
    <w:rsid w:val="00FA6DA1"/>
    <w:rsid w:val="00FA76F8"/>
    <w:rsid w:val="00FA7C2B"/>
    <w:rsid w:val="00FB13E3"/>
    <w:rsid w:val="00FB2444"/>
    <w:rsid w:val="00FB29F7"/>
    <w:rsid w:val="00FB3938"/>
    <w:rsid w:val="00FB4373"/>
    <w:rsid w:val="00FB6963"/>
    <w:rsid w:val="00FB6C3A"/>
    <w:rsid w:val="00FB750C"/>
    <w:rsid w:val="00FC11D3"/>
    <w:rsid w:val="00FC2448"/>
    <w:rsid w:val="00FC2697"/>
    <w:rsid w:val="00FC2ABE"/>
    <w:rsid w:val="00FC3FF7"/>
    <w:rsid w:val="00FC43A7"/>
    <w:rsid w:val="00FC6F94"/>
    <w:rsid w:val="00FD1088"/>
    <w:rsid w:val="00FD1399"/>
    <w:rsid w:val="00FD15E9"/>
    <w:rsid w:val="00FD1CC4"/>
    <w:rsid w:val="00FD2336"/>
    <w:rsid w:val="00FD3193"/>
    <w:rsid w:val="00FD3979"/>
    <w:rsid w:val="00FD431F"/>
    <w:rsid w:val="00FD519B"/>
    <w:rsid w:val="00FD64F2"/>
    <w:rsid w:val="00FE0A81"/>
    <w:rsid w:val="00FE118E"/>
    <w:rsid w:val="00FE45F7"/>
    <w:rsid w:val="00FE56C3"/>
    <w:rsid w:val="00FE5CE4"/>
    <w:rsid w:val="00FE7F78"/>
    <w:rsid w:val="00FF195F"/>
    <w:rsid w:val="00FF1F3C"/>
    <w:rsid w:val="00FF2144"/>
    <w:rsid w:val="00FF247C"/>
    <w:rsid w:val="00FF2E6B"/>
    <w:rsid w:val="00FF41CD"/>
    <w:rsid w:val="00FF54E4"/>
    <w:rsid w:val="00FF6D5E"/>
    <w:rsid w:val="00FF6E9E"/>
    <w:rsid w:val="00FF6EDE"/>
    <w:rsid w:val="00FF7321"/>
    <w:rsid w:val="00FF7728"/>
    <w:rsid w:val="00FF7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69C2"/>
  </w:style>
  <w:style w:type="paragraph" w:styleId="Heading1">
    <w:name w:val="heading 1"/>
    <w:basedOn w:val="Normal"/>
    <w:next w:val="Normal"/>
    <w:link w:val="Heading1Char"/>
    <w:uiPriority w:val="9"/>
    <w:qFormat/>
    <w:rsid w:val="000F07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21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A52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819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semiHidden/>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semiHidden/>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table" w:customStyle="1" w:styleId="GridTable4-Accent11">
    <w:name w:val="Grid Table 4 - Accent 11"/>
    <w:basedOn w:val="TableNormal"/>
    <w:uiPriority w:val="49"/>
    <w:rsid w:val="00CF2B67"/>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Caption">
    <w:name w:val="caption"/>
    <w:basedOn w:val="Normal"/>
    <w:next w:val="Normal"/>
    <w:uiPriority w:val="35"/>
    <w:unhideWhenUsed/>
    <w:qFormat/>
    <w:rsid w:val="00F7468B"/>
    <w:pPr>
      <w:spacing w:after="200" w:line="240" w:lineRule="auto"/>
    </w:pPr>
    <w:rPr>
      <w:i/>
      <w:iCs/>
      <w:color w:val="44546A" w:themeColor="text2"/>
      <w:sz w:val="18"/>
      <w:szCs w:val="18"/>
    </w:rPr>
  </w:style>
  <w:style w:type="paragraph" w:styleId="Footer">
    <w:name w:val="footer"/>
    <w:basedOn w:val="Normal"/>
    <w:link w:val="FooterChar"/>
    <w:uiPriority w:val="99"/>
    <w:unhideWhenUsed/>
    <w:rsid w:val="0012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F5"/>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1">
    <w:name w:val="Unresolved Mention1"/>
    <w:basedOn w:val="DefaultParagraphFont"/>
    <w:uiPriority w:val="99"/>
    <w:semiHidden/>
    <w:unhideWhenUsed/>
    <w:rsid w:val="00D10C13"/>
    <w:rPr>
      <w:color w:val="605E5C"/>
      <w:shd w:val="clear" w:color="auto" w:fill="E1DFDD"/>
    </w:rPr>
  </w:style>
  <w:style w:type="paragraph" w:styleId="EndnoteText">
    <w:name w:val="endnote text"/>
    <w:basedOn w:val="Normal"/>
    <w:link w:val="EndnoteTextChar"/>
    <w:uiPriority w:val="99"/>
    <w:semiHidden/>
    <w:unhideWhenUsed/>
    <w:rsid w:val="001925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2500"/>
    <w:rPr>
      <w:sz w:val="20"/>
      <w:szCs w:val="20"/>
    </w:rPr>
  </w:style>
  <w:style w:type="character" w:styleId="EndnoteReference">
    <w:name w:val="endnote reference"/>
    <w:basedOn w:val="DefaultParagraphFont"/>
    <w:uiPriority w:val="99"/>
    <w:semiHidden/>
    <w:unhideWhenUsed/>
    <w:rsid w:val="00192500"/>
    <w:rPr>
      <w:vertAlign w:val="superscript"/>
    </w:rPr>
  </w:style>
  <w:style w:type="character" w:customStyle="1" w:styleId="Heading1Char">
    <w:name w:val="Heading 1 Char"/>
    <w:basedOn w:val="DefaultParagraphFont"/>
    <w:link w:val="Heading1"/>
    <w:uiPriority w:val="9"/>
    <w:rsid w:val="000F072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1A5281"/>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7221E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D819B9"/>
    <w:rPr>
      <w:rFonts w:asciiTheme="majorHAnsi" w:eastAsiaTheme="majorEastAsia" w:hAnsiTheme="majorHAnsi" w:cstheme="majorBidi"/>
      <w:color w:val="2F5496" w:themeColor="accent1" w:themeShade="BF"/>
    </w:rPr>
  </w:style>
  <w:style w:type="paragraph" w:styleId="PlainText">
    <w:name w:val="Plain Text"/>
    <w:basedOn w:val="Normal"/>
    <w:link w:val="PlainTextChar"/>
    <w:uiPriority w:val="99"/>
    <w:unhideWhenUsed/>
    <w:rsid w:val="005D2D30"/>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D2D30"/>
    <w:rPr>
      <w:rFonts w:ascii="Calibri" w:hAnsi="Calibri" w:cs="Calibri"/>
    </w:rPr>
  </w:style>
  <w:style w:type="paragraph" w:styleId="Revision">
    <w:name w:val="Revision"/>
    <w:hidden/>
    <w:uiPriority w:val="99"/>
    <w:semiHidden/>
    <w:rsid w:val="00317353"/>
    <w:pPr>
      <w:spacing w:after="0" w:line="240" w:lineRule="auto"/>
    </w:pPr>
  </w:style>
  <w:style w:type="character" w:styleId="FollowedHyperlink">
    <w:name w:val="FollowedHyperlink"/>
    <w:basedOn w:val="DefaultParagraphFont"/>
    <w:uiPriority w:val="99"/>
    <w:semiHidden/>
    <w:unhideWhenUsed/>
    <w:rsid w:val="008757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18962358">
      <w:bodyDiv w:val="1"/>
      <w:marLeft w:val="0"/>
      <w:marRight w:val="0"/>
      <w:marTop w:val="0"/>
      <w:marBottom w:val="0"/>
      <w:divBdr>
        <w:top w:val="none" w:sz="0" w:space="0" w:color="auto"/>
        <w:left w:val="none" w:sz="0" w:space="0" w:color="auto"/>
        <w:bottom w:val="none" w:sz="0" w:space="0" w:color="auto"/>
        <w:right w:val="none" w:sz="0" w:space="0" w:color="auto"/>
      </w:divBdr>
      <w:divsChild>
        <w:div w:id="435173763">
          <w:marLeft w:val="0"/>
          <w:marRight w:val="0"/>
          <w:marTop w:val="0"/>
          <w:marBottom w:val="0"/>
          <w:divBdr>
            <w:top w:val="none" w:sz="0" w:space="0" w:color="auto"/>
            <w:left w:val="none" w:sz="0" w:space="0" w:color="auto"/>
            <w:bottom w:val="none" w:sz="0" w:space="0" w:color="auto"/>
            <w:right w:val="none" w:sz="0" w:space="0" w:color="auto"/>
          </w:divBdr>
        </w:div>
        <w:div w:id="1871333219">
          <w:marLeft w:val="0"/>
          <w:marRight w:val="0"/>
          <w:marTop w:val="75"/>
          <w:marBottom w:val="0"/>
          <w:divBdr>
            <w:top w:val="none" w:sz="0" w:space="0" w:color="auto"/>
            <w:left w:val="none" w:sz="0" w:space="0" w:color="auto"/>
            <w:bottom w:val="none" w:sz="0" w:space="0" w:color="auto"/>
            <w:right w:val="none" w:sz="0" w:space="0" w:color="auto"/>
          </w:divBdr>
        </w:div>
        <w:div w:id="1009864946">
          <w:marLeft w:val="0"/>
          <w:marRight w:val="0"/>
          <w:marTop w:val="75"/>
          <w:marBottom w:val="0"/>
          <w:divBdr>
            <w:top w:val="none" w:sz="0" w:space="0" w:color="auto"/>
            <w:left w:val="none" w:sz="0" w:space="0" w:color="auto"/>
            <w:bottom w:val="none" w:sz="0" w:space="0" w:color="auto"/>
            <w:right w:val="none" w:sz="0" w:space="0" w:color="auto"/>
          </w:divBdr>
        </w:div>
      </w:divsChild>
    </w:div>
    <w:div w:id="156844422">
      <w:bodyDiv w:val="1"/>
      <w:marLeft w:val="0"/>
      <w:marRight w:val="0"/>
      <w:marTop w:val="0"/>
      <w:marBottom w:val="0"/>
      <w:divBdr>
        <w:top w:val="none" w:sz="0" w:space="0" w:color="auto"/>
        <w:left w:val="none" w:sz="0" w:space="0" w:color="auto"/>
        <w:bottom w:val="none" w:sz="0" w:space="0" w:color="auto"/>
        <w:right w:val="none" w:sz="0" w:space="0" w:color="auto"/>
      </w:divBdr>
    </w:div>
    <w:div w:id="344287356">
      <w:bodyDiv w:val="1"/>
      <w:marLeft w:val="0"/>
      <w:marRight w:val="0"/>
      <w:marTop w:val="0"/>
      <w:marBottom w:val="0"/>
      <w:divBdr>
        <w:top w:val="none" w:sz="0" w:space="0" w:color="auto"/>
        <w:left w:val="none" w:sz="0" w:space="0" w:color="auto"/>
        <w:bottom w:val="none" w:sz="0" w:space="0" w:color="auto"/>
        <w:right w:val="none" w:sz="0" w:space="0" w:color="auto"/>
      </w:divBdr>
    </w:div>
    <w:div w:id="352222936">
      <w:bodyDiv w:val="1"/>
      <w:marLeft w:val="0"/>
      <w:marRight w:val="0"/>
      <w:marTop w:val="0"/>
      <w:marBottom w:val="0"/>
      <w:divBdr>
        <w:top w:val="none" w:sz="0" w:space="0" w:color="auto"/>
        <w:left w:val="none" w:sz="0" w:space="0" w:color="auto"/>
        <w:bottom w:val="none" w:sz="0" w:space="0" w:color="auto"/>
        <w:right w:val="none" w:sz="0" w:space="0" w:color="auto"/>
      </w:divBdr>
    </w:div>
    <w:div w:id="514466348">
      <w:bodyDiv w:val="1"/>
      <w:marLeft w:val="0"/>
      <w:marRight w:val="0"/>
      <w:marTop w:val="0"/>
      <w:marBottom w:val="0"/>
      <w:divBdr>
        <w:top w:val="none" w:sz="0" w:space="0" w:color="auto"/>
        <w:left w:val="none" w:sz="0" w:space="0" w:color="auto"/>
        <w:bottom w:val="none" w:sz="0" w:space="0" w:color="auto"/>
        <w:right w:val="none" w:sz="0" w:space="0" w:color="auto"/>
      </w:divBdr>
    </w:div>
    <w:div w:id="704864843">
      <w:bodyDiv w:val="1"/>
      <w:marLeft w:val="0"/>
      <w:marRight w:val="0"/>
      <w:marTop w:val="0"/>
      <w:marBottom w:val="0"/>
      <w:divBdr>
        <w:top w:val="none" w:sz="0" w:space="0" w:color="auto"/>
        <w:left w:val="none" w:sz="0" w:space="0" w:color="auto"/>
        <w:bottom w:val="none" w:sz="0" w:space="0" w:color="auto"/>
        <w:right w:val="none" w:sz="0" w:space="0" w:color="auto"/>
      </w:divBdr>
    </w:div>
    <w:div w:id="955019139">
      <w:bodyDiv w:val="1"/>
      <w:marLeft w:val="0"/>
      <w:marRight w:val="0"/>
      <w:marTop w:val="0"/>
      <w:marBottom w:val="0"/>
      <w:divBdr>
        <w:top w:val="none" w:sz="0" w:space="0" w:color="auto"/>
        <w:left w:val="none" w:sz="0" w:space="0" w:color="auto"/>
        <w:bottom w:val="none" w:sz="0" w:space="0" w:color="auto"/>
        <w:right w:val="none" w:sz="0" w:space="0" w:color="auto"/>
      </w:divBdr>
    </w:div>
    <w:div w:id="1135025418">
      <w:bodyDiv w:val="1"/>
      <w:marLeft w:val="0"/>
      <w:marRight w:val="0"/>
      <w:marTop w:val="0"/>
      <w:marBottom w:val="0"/>
      <w:divBdr>
        <w:top w:val="none" w:sz="0" w:space="0" w:color="auto"/>
        <w:left w:val="none" w:sz="0" w:space="0" w:color="auto"/>
        <w:bottom w:val="none" w:sz="0" w:space="0" w:color="auto"/>
        <w:right w:val="none" w:sz="0" w:space="0" w:color="auto"/>
      </w:divBdr>
    </w:div>
    <w:div w:id="1155873322">
      <w:bodyDiv w:val="1"/>
      <w:marLeft w:val="0"/>
      <w:marRight w:val="0"/>
      <w:marTop w:val="0"/>
      <w:marBottom w:val="0"/>
      <w:divBdr>
        <w:top w:val="none" w:sz="0" w:space="0" w:color="auto"/>
        <w:left w:val="none" w:sz="0" w:space="0" w:color="auto"/>
        <w:bottom w:val="none" w:sz="0" w:space="0" w:color="auto"/>
        <w:right w:val="none" w:sz="0" w:space="0" w:color="auto"/>
      </w:divBdr>
    </w:div>
    <w:div w:id="1380401142">
      <w:bodyDiv w:val="1"/>
      <w:marLeft w:val="0"/>
      <w:marRight w:val="0"/>
      <w:marTop w:val="0"/>
      <w:marBottom w:val="0"/>
      <w:divBdr>
        <w:top w:val="none" w:sz="0" w:space="0" w:color="auto"/>
        <w:left w:val="none" w:sz="0" w:space="0" w:color="auto"/>
        <w:bottom w:val="none" w:sz="0" w:space="0" w:color="auto"/>
        <w:right w:val="none" w:sz="0" w:space="0" w:color="auto"/>
      </w:divBdr>
      <w:divsChild>
        <w:div w:id="2043624412">
          <w:marLeft w:val="0"/>
          <w:marRight w:val="0"/>
          <w:marTop w:val="0"/>
          <w:marBottom w:val="0"/>
          <w:divBdr>
            <w:top w:val="none" w:sz="0" w:space="0" w:color="auto"/>
            <w:left w:val="none" w:sz="0" w:space="0" w:color="auto"/>
            <w:bottom w:val="none" w:sz="0" w:space="0" w:color="auto"/>
            <w:right w:val="none" w:sz="0" w:space="0" w:color="auto"/>
          </w:divBdr>
        </w:div>
        <w:div w:id="1879272329">
          <w:marLeft w:val="0"/>
          <w:marRight w:val="0"/>
          <w:marTop w:val="75"/>
          <w:marBottom w:val="0"/>
          <w:divBdr>
            <w:top w:val="none" w:sz="0" w:space="0" w:color="auto"/>
            <w:left w:val="none" w:sz="0" w:space="0" w:color="auto"/>
            <w:bottom w:val="none" w:sz="0" w:space="0" w:color="auto"/>
            <w:right w:val="none" w:sz="0" w:space="0" w:color="auto"/>
          </w:divBdr>
        </w:div>
        <w:div w:id="479074304">
          <w:marLeft w:val="0"/>
          <w:marRight w:val="0"/>
          <w:marTop w:val="75"/>
          <w:marBottom w:val="0"/>
          <w:divBdr>
            <w:top w:val="none" w:sz="0" w:space="0" w:color="auto"/>
            <w:left w:val="none" w:sz="0" w:space="0" w:color="auto"/>
            <w:bottom w:val="none" w:sz="0" w:space="0" w:color="auto"/>
            <w:right w:val="none" w:sz="0" w:space="0" w:color="auto"/>
          </w:divBdr>
        </w:div>
      </w:divsChild>
    </w:div>
    <w:div w:id="1486236883">
      <w:bodyDiv w:val="1"/>
      <w:marLeft w:val="0"/>
      <w:marRight w:val="0"/>
      <w:marTop w:val="0"/>
      <w:marBottom w:val="0"/>
      <w:divBdr>
        <w:top w:val="none" w:sz="0" w:space="0" w:color="auto"/>
        <w:left w:val="none" w:sz="0" w:space="0" w:color="auto"/>
        <w:bottom w:val="none" w:sz="0" w:space="0" w:color="auto"/>
        <w:right w:val="none" w:sz="0" w:space="0" w:color="auto"/>
      </w:divBdr>
    </w:div>
    <w:div w:id="1521776112">
      <w:bodyDiv w:val="1"/>
      <w:marLeft w:val="0"/>
      <w:marRight w:val="0"/>
      <w:marTop w:val="0"/>
      <w:marBottom w:val="0"/>
      <w:divBdr>
        <w:top w:val="none" w:sz="0" w:space="0" w:color="auto"/>
        <w:left w:val="none" w:sz="0" w:space="0" w:color="auto"/>
        <w:bottom w:val="none" w:sz="0" w:space="0" w:color="auto"/>
        <w:right w:val="none" w:sz="0" w:space="0" w:color="auto"/>
      </w:divBdr>
    </w:div>
    <w:div w:id="1705060514">
      <w:bodyDiv w:val="1"/>
      <w:marLeft w:val="0"/>
      <w:marRight w:val="0"/>
      <w:marTop w:val="0"/>
      <w:marBottom w:val="0"/>
      <w:divBdr>
        <w:top w:val="none" w:sz="0" w:space="0" w:color="auto"/>
        <w:left w:val="none" w:sz="0" w:space="0" w:color="auto"/>
        <w:bottom w:val="none" w:sz="0" w:space="0" w:color="auto"/>
        <w:right w:val="none" w:sz="0" w:space="0" w:color="auto"/>
      </w:divBdr>
    </w:div>
    <w:div w:id="1859419014">
      <w:bodyDiv w:val="1"/>
      <w:marLeft w:val="0"/>
      <w:marRight w:val="0"/>
      <w:marTop w:val="0"/>
      <w:marBottom w:val="0"/>
      <w:divBdr>
        <w:top w:val="none" w:sz="0" w:space="0" w:color="auto"/>
        <w:left w:val="none" w:sz="0" w:space="0" w:color="auto"/>
        <w:bottom w:val="none" w:sz="0" w:space="0" w:color="auto"/>
        <w:right w:val="none" w:sz="0" w:space="0" w:color="auto"/>
      </w:divBdr>
      <w:divsChild>
        <w:div w:id="2144999642">
          <w:marLeft w:val="0"/>
          <w:marRight w:val="0"/>
          <w:marTop w:val="525"/>
          <w:marBottom w:val="0"/>
          <w:divBdr>
            <w:top w:val="none" w:sz="0" w:space="0" w:color="auto"/>
            <w:left w:val="none" w:sz="0" w:space="0" w:color="auto"/>
            <w:bottom w:val="none" w:sz="0" w:space="0" w:color="auto"/>
            <w:right w:val="none" w:sz="0" w:space="0" w:color="auto"/>
          </w:divBdr>
          <w:divsChild>
            <w:div w:id="3202809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90607959">
      <w:bodyDiv w:val="1"/>
      <w:marLeft w:val="0"/>
      <w:marRight w:val="0"/>
      <w:marTop w:val="0"/>
      <w:marBottom w:val="0"/>
      <w:divBdr>
        <w:top w:val="none" w:sz="0" w:space="0" w:color="auto"/>
        <w:left w:val="none" w:sz="0" w:space="0" w:color="auto"/>
        <w:bottom w:val="none" w:sz="0" w:space="0" w:color="auto"/>
        <w:right w:val="none" w:sz="0" w:space="0" w:color="auto"/>
      </w:divBdr>
    </w:div>
    <w:div w:id="2056470288">
      <w:bodyDiv w:val="1"/>
      <w:marLeft w:val="0"/>
      <w:marRight w:val="0"/>
      <w:marTop w:val="0"/>
      <w:marBottom w:val="0"/>
      <w:divBdr>
        <w:top w:val="none" w:sz="0" w:space="0" w:color="auto"/>
        <w:left w:val="none" w:sz="0" w:space="0" w:color="auto"/>
        <w:bottom w:val="none" w:sz="0" w:space="0" w:color="auto"/>
        <w:right w:val="none" w:sz="0" w:space="0" w:color="auto"/>
      </w:divBdr>
    </w:div>
    <w:div w:id="20943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lsgateway.dor.state.ma.us/reports/rdPage.aspx?rdRequestForwarding=Form&amp;rdReport=Socioeconomic.MedHouseholdFamInc&amp;rdPaging=&amp;rdShowModes=&amp;rdDataCache=9024611102&amp;rdSort=tblMedHouseFamInc~Median+Household+Income~Number~~&amp;tblMedHouseFamInc-PageNr=0&amp;rdSortArrowTable=rdSortArrowKey-Socioeconomic-MedHouseholdFamInc-tblMedHouseFamInc-Median+Household+Income" TargetMode="External"/><Relationship Id="rId7" Type="http://schemas.openxmlformats.org/officeDocument/2006/relationships/hyperlink" Target="https://www.usgbc.org/leed" TargetMode="External"/><Relationship Id="rId2" Type="http://schemas.openxmlformats.org/officeDocument/2006/relationships/hyperlink" Target="https://www.ncbi.nlm.nih.gov/pmc/articles/PMC6315793/" TargetMode="External"/><Relationship Id="rId1" Type="http://schemas.openxmlformats.org/officeDocument/2006/relationships/hyperlink" Target="https://www.baystatehealth.org/-/media/files/aboutus/community-programs/community-benefits/2019-community-health-needs-assessments/baystate-wing-2019-chnareport-final-web.pdf?la=en" TargetMode="External"/><Relationship Id="rId6" Type="http://schemas.openxmlformats.org/officeDocument/2006/relationships/hyperlink" Target="https://www.mass.gov/files/documents/2018/12/31/jud-lib-105cmr100.pdf" TargetMode="External"/><Relationship Id="rId5" Type="http://schemas.openxmlformats.org/officeDocument/2006/relationships/hyperlink" Target="https://lpeproject.org/blog/medicare-for-all-how-to-reduce-inequality-in-the-long-term-care-market/" TargetMode="External"/><Relationship Id="rId4" Type="http://schemas.openxmlformats.org/officeDocument/2006/relationships/hyperlink" Target="https://www.jstor.org/stable/4149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D4E1-295A-4214-8E9E-13DA88FB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21</Pages>
  <Words>6670</Words>
  <Characters>38021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9</cp:revision>
  <cp:lastPrinted>2021-09-21T08:29:00Z</cp:lastPrinted>
  <dcterms:created xsi:type="dcterms:W3CDTF">2022-01-27T15:48:00Z</dcterms:created>
  <dcterms:modified xsi:type="dcterms:W3CDTF">2022-01-28T01:08:00Z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