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8C0709" w:rsidRPr="0062487B" w14:paraId="5E2173C9" w14:textId="77777777" w:rsidTr="00200385">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E5FFFF"/>
            <w:vAlign w:val="center"/>
          </w:tcPr>
          <w:p w14:paraId="707BF2E0" w14:textId="0A585D0A" w:rsidR="008C0709" w:rsidRPr="00CD5825" w:rsidRDefault="00CD5825" w:rsidP="007A57C4">
            <w:pPr>
              <w:pStyle w:val="Header"/>
              <w:ind w:right="540"/>
              <w:contextualSpacing/>
              <w:jc w:val="center"/>
              <w:rPr>
                <w:rFonts w:asciiTheme="minorHAnsi" w:hAnsiTheme="minorHAnsi" w:cstheme="minorHAnsi"/>
                <w:b/>
              </w:rPr>
            </w:pPr>
            <w:r w:rsidRPr="00CD5825">
              <w:rPr>
                <w:rFonts w:asciiTheme="minorHAnsi" w:hAnsiTheme="minorHAnsi" w:cstheme="minorHAnsi"/>
                <w:b/>
              </w:rPr>
              <w:t>STAFF MEMORANDUM TO THE COMMISSIONER FOR DETERMINATION OF NEED</w:t>
            </w:r>
          </w:p>
        </w:tc>
      </w:tr>
      <w:tr w:rsidR="004313D9" w:rsidRPr="0062487B" w14:paraId="37A21A4B" w14:textId="77777777" w:rsidTr="00107B17">
        <w:trPr>
          <w:trHeight w:val="363"/>
        </w:trPr>
        <w:tc>
          <w:tcPr>
            <w:tcW w:w="2274" w:type="pct"/>
            <w:tcBorders>
              <w:top w:val="single" w:sz="6" w:space="0" w:color="auto"/>
            </w:tcBorders>
            <w:shd w:val="clear" w:color="auto" w:fill="auto"/>
            <w:vAlign w:val="center"/>
          </w:tcPr>
          <w:p w14:paraId="4463BBF6"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412EB352" w14:textId="7674C6BA" w:rsidR="004313D9" w:rsidRPr="0062487B" w:rsidRDefault="008B724B" w:rsidP="004313D9">
            <w:pPr>
              <w:ind w:right="540"/>
              <w:contextualSpacing/>
              <w:rPr>
                <w:rFonts w:asciiTheme="minorHAnsi" w:hAnsiTheme="minorHAnsi" w:cstheme="minorHAnsi"/>
              </w:rPr>
            </w:pPr>
            <w:r w:rsidRPr="008B724B">
              <w:rPr>
                <w:rFonts w:asciiTheme="minorHAnsi" w:hAnsiTheme="minorHAnsi" w:cstheme="minorHAnsi"/>
              </w:rPr>
              <w:t>BMC Health System, Inc.</w:t>
            </w:r>
          </w:p>
        </w:tc>
      </w:tr>
      <w:tr w:rsidR="004313D9" w:rsidRPr="0062487B" w14:paraId="7D5C8C8A" w14:textId="77777777" w:rsidTr="1AA321DD">
        <w:trPr>
          <w:trHeight w:val="306"/>
        </w:trPr>
        <w:tc>
          <w:tcPr>
            <w:tcW w:w="2274"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726" w:type="pct"/>
            <w:shd w:val="clear" w:color="auto" w:fill="auto"/>
            <w:vAlign w:val="center"/>
          </w:tcPr>
          <w:p w14:paraId="48C9B61F" w14:textId="25562FCE" w:rsidR="004313D9" w:rsidRPr="0062487B" w:rsidRDefault="009F4424" w:rsidP="004313D9">
            <w:pPr>
              <w:ind w:right="540"/>
              <w:contextualSpacing/>
              <w:rPr>
                <w:rFonts w:asciiTheme="minorHAnsi" w:hAnsiTheme="minorHAnsi" w:cstheme="minorHAnsi"/>
                <w:lang w:val="fr-FR"/>
              </w:rPr>
            </w:pPr>
            <w:r w:rsidRPr="009F4424">
              <w:rPr>
                <w:rFonts w:asciiTheme="minorHAnsi" w:hAnsiTheme="minorHAnsi" w:cstheme="minorHAnsi"/>
              </w:rPr>
              <w:t>O</w:t>
            </w:r>
            <w:r w:rsidR="008E19C6" w:rsidRPr="009F4424">
              <w:rPr>
                <w:rFonts w:asciiTheme="minorHAnsi" w:hAnsiTheme="minorHAnsi" w:cstheme="minorHAnsi"/>
              </w:rPr>
              <w:t xml:space="preserve">ne Boston Medical Center Place, Boston, MA  </w:t>
            </w:r>
            <w:r w:rsidRPr="009F4424">
              <w:rPr>
                <w:rFonts w:asciiTheme="minorHAnsi" w:hAnsiTheme="minorHAnsi" w:cstheme="minorHAnsi"/>
              </w:rPr>
              <w:t>02118</w:t>
            </w:r>
          </w:p>
        </w:tc>
      </w:tr>
      <w:tr w:rsidR="004313D9" w:rsidRPr="0062487B" w14:paraId="7F48402A" w14:textId="77777777" w:rsidTr="1AA321DD">
        <w:trPr>
          <w:trHeight w:val="323"/>
        </w:trPr>
        <w:tc>
          <w:tcPr>
            <w:tcW w:w="2274"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726" w:type="pct"/>
            <w:shd w:val="clear" w:color="auto" w:fill="auto"/>
            <w:vAlign w:val="center"/>
          </w:tcPr>
          <w:p w14:paraId="2924AE87" w14:textId="4F75B161" w:rsidR="004313D9" w:rsidRPr="0062487B" w:rsidRDefault="00DA1625" w:rsidP="004313D9">
            <w:pPr>
              <w:ind w:right="540"/>
              <w:contextualSpacing/>
              <w:rPr>
                <w:rFonts w:asciiTheme="minorHAnsi" w:hAnsiTheme="minorHAnsi" w:cstheme="minorHAnsi"/>
              </w:rPr>
            </w:pPr>
            <w:r w:rsidRPr="00DA1625">
              <w:rPr>
                <w:rFonts w:asciiTheme="minorHAnsi" w:hAnsiTheme="minorHAnsi" w:cstheme="minorHAnsi"/>
              </w:rPr>
              <w:t>August 14</w:t>
            </w:r>
            <w:r w:rsidR="00917287" w:rsidRPr="00DA1625">
              <w:rPr>
                <w:rFonts w:asciiTheme="minorHAnsi" w:hAnsiTheme="minorHAnsi" w:cstheme="minorHAnsi"/>
              </w:rPr>
              <w:t>, 202</w:t>
            </w:r>
            <w:r w:rsidR="007B0892" w:rsidRPr="00DA1625">
              <w:rPr>
                <w:rFonts w:asciiTheme="minorHAnsi" w:hAnsiTheme="minorHAnsi" w:cstheme="minorHAnsi"/>
              </w:rPr>
              <w:t>3</w:t>
            </w:r>
          </w:p>
        </w:tc>
      </w:tr>
      <w:tr w:rsidR="004313D9" w:rsidRPr="0062487B" w14:paraId="45BF54E4" w14:textId="77777777" w:rsidTr="1AA321DD">
        <w:trPr>
          <w:trHeight w:val="300"/>
        </w:trPr>
        <w:tc>
          <w:tcPr>
            <w:tcW w:w="2274"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Type of DoN Application</w:t>
            </w:r>
          </w:p>
        </w:tc>
        <w:tc>
          <w:tcPr>
            <w:tcW w:w="2726" w:type="pct"/>
            <w:shd w:val="clear" w:color="auto" w:fill="auto"/>
            <w:vAlign w:val="center"/>
          </w:tcPr>
          <w:p w14:paraId="54290C07" w14:textId="024C3E25" w:rsidR="004313D9" w:rsidRPr="0062487B" w:rsidRDefault="00AC184B" w:rsidP="004313D9">
            <w:pPr>
              <w:ind w:right="540"/>
              <w:contextualSpacing/>
              <w:rPr>
                <w:rFonts w:asciiTheme="minorHAnsi" w:hAnsiTheme="minorHAnsi" w:cstheme="minorHAnsi"/>
              </w:rPr>
            </w:pPr>
            <w:r w:rsidRPr="00AC184B">
              <w:rPr>
                <w:rFonts w:ascii="Calibri" w:eastAsia="Calibri" w:hAnsi="Calibri" w:cs="Calibri"/>
              </w:rPr>
              <w:t>Substantial Change in Service, DoN-required Equipment</w:t>
            </w:r>
            <w:r w:rsidRPr="00AC184B">
              <w:rPr>
                <w:rFonts w:ascii="Calibri" w:hAnsi="Calibri" w:cs="Calibri"/>
              </w:rPr>
              <w:t xml:space="preserve"> </w:t>
            </w:r>
          </w:p>
        </w:tc>
      </w:tr>
      <w:tr w:rsidR="004313D9" w:rsidRPr="0062487B" w14:paraId="1C2D799A" w14:textId="77777777" w:rsidTr="1AA321DD">
        <w:trPr>
          <w:trHeight w:val="300"/>
        </w:trPr>
        <w:tc>
          <w:tcPr>
            <w:tcW w:w="2274"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726" w:type="pct"/>
            <w:shd w:val="clear" w:color="auto" w:fill="auto"/>
            <w:vAlign w:val="center"/>
          </w:tcPr>
          <w:p w14:paraId="241030D1" w14:textId="1FF67C5E" w:rsidR="004313D9" w:rsidRPr="0062487B" w:rsidRDefault="007B0892" w:rsidP="004313D9">
            <w:pPr>
              <w:ind w:right="540"/>
              <w:contextualSpacing/>
              <w:rPr>
                <w:rFonts w:asciiTheme="minorHAnsi" w:hAnsiTheme="minorHAnsi" w:cstheme="minorHAnsi"/>
              </w:rPr>
            </w:pPr>
            <w:r w:rsidRPr="007B0892">
              <w:rPr>
                <w:rFonts w:asciiTheme="minorHAnsi" w:hAnsiTheme="minorHAnsi" w:cstheme="minorHAnsi"/>
              </w:rPr>
              <w:t>$7,994,800.00</w:t>
            </w:r>
          </w:p>
        </w:tc>
      </w:tr>
      <w:tr w:rsidR="004313D9" w:rsidRPr="0062487B" w14:paraId="375F89F8" w14:textId="77777777" w:rsidTr="1AA321DD">
        <w:trPr>
          <w:trHeight w:val="300"/>
        </w:trPr>
        <w:tc>
          <w:tcPr>
            <w:tcW w:w="2274"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726" w:type="pct"/>
            <w:shd w:val="clear" w:color="auto" w:fill="auto"/>
            <w:vAlign w:val="center"/>
          </w:tcPr>
          <w:p w14:paraId="3F72EF9F" w14:textId="7D60802D" w:rsidR="004313D9" w:rsidRPr="007B0892" w:rsidRDefault="007B0892" w:rsidP="004313D9">
            <w:pPr>
              <w:ind w:right="540"/>
              <w:contextualSpacing/>
              <w:rPr>
                <w:rFonts w:asciiTheme="minorHAnsi" w:hAnsiTheme="minorHAnsi" w:cstheme="minorHAnsi"/>
              </w:rPr>
            </w:pPr>
            <w:r w:rsidRPr="007B0892">
              <w:rPr>
                <w:rFonts w:asciiTheme="minorHAnsi" w:hAnsiTheme="minorHAnsi" w:cstheme="minorHAnsi"/>
              </w:rPr>
              <w:t>BMCHS-23050914-RE</w:t>
            </w:r>
          </w:p>
        </w:tc>
      </w:tr>
      <w:tr w:rsidR="004313D9" w:rsidRPr="0062487B" w14:paraId="5AB437F4" w14:textId="77777777" w:rsidTr="1AA321DD">
        <w:trPr>
          <w:trHeight w:val="300"/>
        </w:trPr>
        <w:tc>
          <w:tcPr>
            <w:tcW w:w="2274"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726" w:type="pct"/>
            <w:shd w:val="clear" w:color="auto" w:fill="auto"/>
            <w:vAlign w:val="center"/>
          </w:tcPr>
          <w:p w14:paraId="1F09EC20" w14:textId="0EBB30BF" w:rsidR="004313D9" w:rsidRPr="0062487B" w:rsidRDefault="007B0892" w:rsidP="004313D9">
            <w:pPr>
              <w:ind w:right="540"/>
              <w:contextualSpacing/>
              <w:rPr>
                <w:rFonts w:asciiTheme="minorHAnsi" w:hAnsiTheme="minorHAnsi" w:cstheme="minorHAnsi"/>
              </w:rPr>
            </w:pPr>
            <w:r>
              <w:rPr>
                <w:rFonts w:asciiTheme="minorHAnsi" w:hAnsiTheme="minorHAnsi" w:cstheme="minorHAnsi"/>
              </w:rPr>
              <w:t>None</w:t>
            </w:r>
          </w:p>
        </w:tc>
      </w:tr>
      <w:tr w:rsidR="004313D9" w:rsidRPr="0062487B" w14:paraId="4DC78A97" w14:textId="77777777" w:rsidTr="1AA321DD">
        <w:trPr>
          <w:trHeight w:val="300"/>
        </w:trPr>
        <w:tc>
          <w:tcPr>
            <w:tcW w:w="2274"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726" w:type="pct"/>
            <w:shd w:val="clear" w:color="auto" w:fill="auto"/>
            <w:vAlign w:val="center"/>
          </w:tcPr>
          <w:p w14:paraId="1FD1C6E2" w14:textId="371C59CF" w:rsidR="004313D9" w:rsidRPr="0062487B" w:rsidRDefault="007B0892" w:rsidP="004313D9">
            <w:pPr>
              <w:ind w:right="540"/>
              <w:contextualSpacing/>
              <w:rPr>
                <w:rFonts w:asciiTheme="minorHAnsi" w:hAnsiTheme="minorHAnsi" w:cstheme="minorHAnsi"/>
              </w:rPr>
            </w:pPr>
            <w:r w:rsidRPr="007B0892">
              <w:rPr>
                <w:rFonts w:asciiTheme="minorHAnsi" w:hAnsiTheme="minorHAnsi" w:cstheme="minorHAnsi"/>
              </w:rPr>
              <w:t>$399,740.00</w:t>
            </w:r>
          </w:p>
        </w:tc>
      </w:tr>
      <w:tr w:rsidR="004313D9" w:rsidRPr="0062487B" w14:paraId="328C674C" w14:textId="77777777" w:rsidTr="1AA321DD">
        <w:trPr>
          <w:trHeight w:val="300"/>
        </w:trPr>
        <w:tc>
          <w:tcPr>
            <w:tcW w:w="2274"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726" w:type="pct"/>
            <w:shd w:val="clear" w:color="auto" w:fill="auto"/>
            <w:vAlign w:val="center"/>
          </w:tcPr>
          <w:p w14:paraId="1682CA02" w14:textId="45DBF427" w:rsidR="004313D9" w:rsidRPr="0062487B" w:rsidRDefault="00A92D0F"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62487B" w14:paraId="40C51467" w14:textId="77777777" w:rsidTr="1AA321DD">
        <w:trPr>
          <w:trHeight w:val="300"/>
        </w:trPr>
        <w:tc>
          <w:tcPr>
            <w:tcW w:w="2274" w:type="pct"/>
            <w:shd w:val="clear" w:color="auto" w:fill="auto"/>
            <w:vAlign w:val="center"/>
          </w:tcPr>
          <w:p w14:paraId="4F63ADC5" w14:textId="795205BA" w:rsidR="004313D9" w:rsidRPr="0062487B" w:rsidRDefault="00AC184B" w:rsidP="004313D9">
            <w:pPr>
              <w:ind w:right="540"/>
              <w:contextualSpacing/>
              <w:rPr>
                <w:rFonts w:asciiTheme="minorHAnsi" w:hAnsiTheme="minorHAnsi" w:cstheme="minorHAnsi"/>
              </w:rPr>
            </w:pPr>
            <w:r>
              <w:rPr>
                <w:rFonts w:asciiTheme="minorHAnsi" w:hAnsiTheme="minorHAnsi" w:cstheme="minorHAnsi"/>
              </w:rPr>
              <w:t>Commissioner Review</w:t>
            </w:r>
          </w:p>
        </w:tc>
        <w:tc>
          <w:tcPr>
            <w:tcW w:w="2726" w:type="pct"/>
            <w:shd w:val="clear" w:color="auto" w:fill="auto"/>
            <w:vAlign w:val="center"/>
          </w:tcPr>
          <w:p w14:paraId="3E0E2C44" w14:textId="211128C1" w:rsidR="004313D9" w:rsidRPr="0062487B" w:rsidRDefault="007B0892" w:rsidP="004313D9">
            <w:pPr>
              <w:ind w:right="540"/>
              <w:contextualSpacing/>
              <w:rPr>
                <w:rFonts w:asciiTheme="minorHAnsi" w:hAnsiTheme="minorHAnsi" w:cstheme="minorHAnsi"/>
              </w:rPr>
            </w:pPr>
            <w:r>
              <w:rPr>
                <w:rFonts w:asciiTheme="minorHAnsi" w:hAnsiTheme="minorHAnsi" w:cstheme="minorHAnsi"/>
              </w:rPr>
              <w:t xml:space="preserve">Delegated </w:t>
            </w:r>
          </w:p>
        </w:tc>
      </w:tr>
      <w:tr w:rsidR="004313D9" w:rsidRPr="0062487B" w14:paraId="1EDDE24A" w14:textId="77777777" w:rsidTr="1AA321DD">
        <w:tblPrEx>
          <w:tblLook w:val="0000" w:firstRow="0" w:lastRow="0" w:firstColumn="0" w:lastColumn="0" w:noHBand="0" w:noVBand="0"/>
        </w:tblPrEx>
        <w:trPr>
          <w:trHeight w:val="3509"/>
        </w:trPr>
        <w:tc>
          <w:tcPr>
            <w:tcW w:w="5000" w:type="pct"/>
            <w:gridSpan w:val="2"/>
          </w:tcPr>
          <w:p w14:paraId="51D9E9D3" w14:textId="77777777" w:rsidR="004313D9" w:rsidRPr="0062487B" w:rsidRDefault="004313D9" w:rsidP="00A92D0F">
            <w:pPr>
              <w:spacing w:before="240"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E1EB52E" w14:textId="33E1ACF9" w:rsidR="00B156A7" w:rsidRPr="0074512C" w:rsidRDefault="00B156A7" w:rsidP="33522357">
            <w:pPr>
              <w:autoSpaceDE w:val="0"/>
              <w:autoSpaceDN w:val="0"/>
              <w:adjustRightInd w:val="0"/>
              <w:rPr>
                <w:rFonts w:asciiTheme="minorHAnsi" w:eastAsia="Calibri" w:hAnsiTheme="minorHAnsi" w:cstheme="minorBidi"/>
              </w:rPr>
            </w:pPr>
            <w:r w:rsidRPr="33522357">
              <w:rPr>
                <w:rFonts w:asciiTheme="minorHAnsi" w:hAnsiTheme="minorHAnsi" w:cstheme="minorBidi"/>
              </w:rPr>
              <w:t>BMC Health System</w:t>
            </w:r>
            <w:r w:rsidR="001A374C" w:rsidRPr="33522357">
              <w:rPr>
                <w:rFonts w:asciiTheme="minorHAnsi" w:hAnsiTheme="minorHAnsi" w:cstheme="minorBidi"/>
              </w:rPr>
              <w:t>, Inc.</w:t>
            </w:r>
            <w:r w:rsidRPr="33522357">
              <w:rPr>
                <w:rFonts w:asciiTheme="minorHAnsi" w:hAnsiTheme="minorHAnsi" w:cstheme="minorBidi"/>
              </w:rPr>
              <w:t xml:space="preserve"> </w:t>
            </w:r>
            <w:r w:rsidRPr="33522357">
              <w:rPr>
                <w:rFonts w:asciiTheme="minorHAnsi" w:eastAsia="Calibri" w:hAnsiTheme="minorHAnsi" w:cstheme="minorBidi"/>
              </w:rPr>
              <w:t xml:space="preserve">(Applicant) submitted an Application for </w:t>
            </w:r>
            <w:r w:rsidR="00AC184B">
              <w:rPr>
                <w:rFonts w:asciiTheme="minorHAnsi" w:eastAsia="Calibri" w:hAnsiTheme="minorHAnsi" w:cstheme="minorBidi"/>
              </w:rPr>
              <w:t>a Substantial Change in Service</w:t>
            </w:r>
            <w:r w:rsidR="00803A5A">
              <w:rPr>
                <w:rFonts w:asciiTheme="minorHAnsi" w:eastAsia="Calibri" w:hAnsiTheme="minorHAnsi" w:cstheme="minorBidi"/>
              </w:rPr>
              <w:t>-</w:t>
            </w:r>
            <w:r w:rsidR="007B0892">
              <w:rPr>
                <w:rFonts w:asciiTheme="minorHAnsi" w:eastAsia="Calibri" w:hAnsiTheme="minorHAnsi" w:cstheme="minorBidi"/>
              </w:rPr>
              <w:t>DoN required Equipment</w:t>
            </w:r>
            <w:r w:rsidR="00FD741A">
              <w:rPr>
                <w:rFonts w:asciiTheme="minorHAnsi" w:eastAsia="Calibri" w:hAnsiTheme="minorHAnsi" w:cstheme="minorBidi"/>
              </w:rPr>
              <w:t xml:space="preserve"> </w:t>
            </w:r>
            <w:r w:rsidRPr="33522357">
              <w:rPr>
                <w:rFonts w:asciiTheme="minorHAnsi" w:eastAsia="Calibri" w:hAnsiTheme="minorHAnsi" w:cstheme="minorBidi"/>
              </w:rPr>
              <w:t xml:space="preserve">at the </w:t>
            </w:r>
            <w:r w:rsidR="007B0892">
              <w:rPr>
                <w:rFonts w:asciiTheme="minorHAnsi" w:eastAsia="Calibri" w:hAnsiTheme="minorHAnsi" w:cstheme="minorBidi"/>
              </w:rPr>
              <w:t xml:space="preserve">main campus of </w:t>
            </w:r>
            <w:r w:rsidRPr="33522357">
              <w:rPr>
                <w:rFonts w:asciiTheme="minorHAnsi" w:eastAsia="Calibri" w:hAnsiTheme="minorHAnsi" w:cstheme="minorBidi"/>
              </w:rPr>
              <w:t>Boston Medical Center</w:t>
            </w:r>
            <w:r w:rsidR="001A374C" w:rsidRPr="33522357">
              <w:rPr>
                <w:rFonts w:asciiTheme="minorHAnsi" w:eastAsia="Calibri" w:hAnsiTheme="minorHAnsi" w:cstheme="minorBidi"/>
              </w:rPr>
              <w:t xml:space="preserve"> Corporation </w:t>
            </w:r>
            <w:r w:rsidRPr="33522357">
              <w:rPr>
                <w:rFonts w:asciiTheme="minorHAnsi" w:eastAsia="Calibri" w:hAnsiTheme="minorHAnsi" w:cstheme="minorBidi"/>
              </w:rPr>
              <w:t>(</w:t>
            </w:r>
            <w:r w:rsidR="008D4EE4">
              <w:rPr>
                <w:rFonts w:asciiTheme="minorHAnsi" w:eastAsia="Calibri" w:hAnsiTheme="minorHAnsi" w:cstheme="minorBidi"/>
              </w:rPr>
              <w:t>“</w:t>
            </w:r>
            <w:r w:rsidRPr="33522357">
              <w:rPr>
                <w:rFonts w:asciiTheme="minorHAnsi" w:eastAsia="Calibri" w:hAnsiTheme="minorHAnsi" w:cstheme="minorBidi"/>
              </w:rPr>
              <w:t>BMC</w:t>
            </w:r>
            <w:r w:rsidR="008D4EE4">
              <w:rPr>
                <w:rFonts w:asciiTheme="minorHAnsi" w:eastAsia="Calibri" w:hAnsiTheme="minorHAnsi" w:cstheme="minorBidi"/>
              </w:rPr>
              <w:t>”</w:t>
            </w:r>
            <w:r w:rsidR="00ED6FC1" w:rsidRPr="33522357">
              <w:rPr>
                <w:rFonts w:asciiTheme="minorHAnsi" w:eastAsia="Calibri" w:hAnsiTheme="minorHAnsi" w:cstheme="minorBidi"/>
              </w:rPr>
              <w:t xml:space="preserve">, </w:t>
            </w:r>
            <w:r w:rsidR="008D4EE4">
              <w:rPr>
                <w:rFonts w:asciiTheme="minorHAnsi" w:eastAsia="Calibri" w:hAnsiTheme="minorHAnsi" w:cstheme="minorBidi"/>
              </w:rPr>
              <w:t>“</w:t>
            </w:r>
            <w:r w:rsidR="00ED6FC1" w:rsidRPr="33522357">
              <w:rPr>
                <w:rFonts w:asciiTheme="minorHAnsi" w:eastAsia="Calibri" w:hAnsiTheme="minorHAnsi" w:cstheme="minorBidi"/>
              </w:rPr>
              <w:t>Hospital</w:t>
            </w:r>
            <w:r w:rsidR="008D4EE4">
              <w:rPr>
                <w:rFonts w:asciiTheme="minorHAnsi" w:eastAsia="Calibri" w:hAnsiTheme="minorHAnsi" w:cstheme="minorBidi"/>
              </w:rPr>
              <w:t>”</w:t>
            </w:r>
            <w:r w:rsidRPr="33522357">
              <w:rPr>
                <w:rFonts w:asciiTheme="minorHAnsi" w:eastAsia="Calibri" w:hAnsiTheme="minorHAnsi" w:cstheme="minorBidi"/>
              </w:rPr>
              <w:t>)</w:t>
            </w:r>
            <w:r w:rsidR="00803A5A">
              <w:rPr>
                <w:rFonts w:asciiTheme="minorHAnsi" w:eastAsia="Calibri" w:hAnsiTheme="minorHAnsi" w:cstheme="minorBidi"/>
              </w:rPr>
              <w:t xml:space="preserve"> located at </w:t>
            </w:r>
            <w:r w:rsidR="00803A5A" w:rsidRPr="00803A5A">
              <w:rPr>
                <w:rFonts w:asciiTheme="minorHAnsi" w:eastAsia="Calibri" w:hAnsiTheme="minorHAnsi" w:cstheme="minorBidi"/>
              </w:rPr>
              <w:t>One Boston Medical Center Place, Boston, MA  02118</w:t>
            </w:r>
            <w:r w:rsidR="00803A5A">
              <w:rPr>
                <w:rFonts w:asciiTheme="minorHAnsi" w:eastAsia="Calibri" w:hAnsiTheme="minorHAnsi" w:cstheme="minorBidi"/>
              </w:rPr>
              <w:t xml:space="preserve">. The Proposed Project </w:t>
            </w:r>
            <w:r w:rsidRPr="33522357">
              <w:rPr>
                <w:rFonts w:asciiTheme="minorHAnsi" w:eastAsia="Calibri" w:hAnsiTheme="minorHAnsi" w:cstheme="minorBidi"/>
              </w:rPr>
              <w:t xml:space="preserve">consists </w:t>
            </w:r>
            <w:r w:rsidR="007B0892">
              <w:rPr>
                <w:rFonts w:asciiTheme="minorHAnsi" w:eastAsia="Calibri" w:hAnsiTheme="minorHAnsi" w:cstheme="minorBidi"/>
              </w:rPr>
              <w:t xml:space="preserve">of the addition of </w:t>
            </w:r>
            <w:r w:rsidR="00AC184B">
              <w:rPr>
                <w:rFonts w:asciiTheme="minorHAnsi" w:eastAsia="Calibri" w:hAnsiTheme="minorHAnsi" w:cstheme="minorBidi"/>
              </w:rPr>
              <w:t>one Magnetic Resonance Imaging unit</w:t>
            </w:r>
            <w:r w:rsidR="007B0892">
              <w:rPr>
                <w:rFonts w:asciiTheme="minorHAnsi" w:eastAsia="Calibri" w:hAnsiTheme="minorHAnsi" w:cstheme="minorBidi"/>
              </w:rPr>
              <w:t xml:space="preserve"> </w:t>
            </w:r>
            <w:r w:rsidR="00AC184B">
              <w:rPr>
                <w:rFonts w:asciiTheme="minorHAnsi" w:eastAsia="Calibri" w:hAnsiTheme="minorHAnsi" w:cstheme="minorBidi"/>
              </w:rPr>
              <w:t>(“</w:t>
            </w:r>
            <w:r w:rsidR="007B0892">
              <w:rPr>
                <w:rFonts w:asciiTheme="minorHAnsi" w:eastAsia="Calibri" w:hAnsiTheme="minorHAnsi" w:cstheme="minorBidi"/>
              </w:rPr>
              <w:t>MRI</w:t>
            </w:r>
            <w:r w:rsidR="00AC184B">
              <w:rPr>
                <w:rFonts w:asciiTheme="minorHAnsi" w:eastAsia="Calibri" w:hAnsiTheme="minorHAnsi" w:cstheme="minorBidi"/>
              </w:rPr>
              <w:t>”)</w:t>
            </w:r>
            <w:r w:rsidR="007B0892">
              <w:rPr>
                <w:rFonts w:asciiTheme="minorHAnsi" w:eastAsia="Calibri" w:hAnsiTheme="minorHAnsi" w:cstheme="minorBidi"/>
              </w:rPr>
              <w:t xml:space="preserve"> </w:t>
            </w:r>
            <w:r w:rsidR="00AC184B" w:rsidRPr="00AC184B">
              <w:rPr>
                <w:rFonts w:asciiTheme="minorHAnsi" w:eastAsia="Calibri" w:hAnsiTheme="minorHAnsi" w:cstheme="minorBidi"/>
              </w:rPr>
              <w:t>and associated renovations</w:t>
            </w:r>
            <w:r w:rsidR="00AC184B">
              <w:rPr>
                <w:rFonts w:asciiTheme="minorHAnsi" w:eastAsia="Calibri" w:hAnsiTheme="minorHAnsi" w:cstheme="minorBidi"/>
              </w:rPr>
              <w:t>.</w:t>
            </w:r>
            <w:r w:rsidR="00AC184B" w:rsidRPr="00AC184B">
              <w:rPr>
                <w:rFonts w:asciiTheme="minorHAnsi" w:eastAsia="Calibri" w:hAnsiTheme="minorHAnsi" w:cstheme="minorBidi"/>
              </w:rPr>
              <w:t xml:space="preserve"> </w:t>
            </w:r>
            <w:r w:rsidRPr="33522357">
              <w:rPr>
                <w:rFonts w:asciiTheme="minorHAnsi" w:hAnsiTheme="minorHAnsi" w:cstheme="minorBidi"/>
              </w:rPr>
              <w:t>The total capital expenditure</w:t>
            </w:r>
            <w:r w:rsidR="00AC184B">
              <w:rPr>
                <w:rFonts w:asciiTheme="minorHAnsi" w:hAnsiTheme="minorHAnsi" w:cstheme="minorBidi"/>
              </w:rPr>
              <w:t xml:space="preserve"> of the Proposed Project</w:t>
            </w:r>
            <w:r w:rsidRPr="33522357">
              <w:rPr>
                <w:rFonts w:asciiTheme="minorHAnsi" w:hAnsiTheme="minorHAnsi" w:cstheme="minorBidi"/>
              </w:rPr>
              <w:t xml:space="preserve"> is</w:t>
            </w:r>
            <w:r w:rsidR="00AC184B">
              <w:rPr>
                <w:rFonts w:asciiTheme="minorHAnsi" w:hAnsiTheme="minorHAnsi" w:cstheme="minorBidi"/>
              </w:rPr>
              <w:t xml:space="preserve"> </w:t>
            </w:r>
            <w:r w:rsidR="00AC184B" w:rsidRPr="00AC184B">
              <w:rPr>
                <w:rFonts w:asciiTheme="minorHAnsi" w:hAnsiTheme="minorHAnsi" w:cstheme="minorBidi"/>
              </w:rPr>
              <w:t>$7,994,800.00</w:t>
            </w:r>
            <w:r w:rsidR="00AC184B">
              <w:rPr>
                <w:rFonts w:asciiTheme="minorHAnsi" w:hAnsiTheme="minorHAnsi" w:cstheme="minorBidi"/>
              </w:rPr>
              <w:t>;</w:t>
            </w:r>
            <w:r w:rsidRPr="33522357">
              <w:rPr>
                <w:rFonts w:asciiTheme="minorHAnsi" w:hAnsiTheme="minorHAnsi" w:cstheme="minorBidi"/>
              </w:rPr>
              <w:t xml:space="preserve"> the Community Health Initiatives (</w:t>
            </w:r>
            <w:r w:rsidR="00040684" w:rsidRPr="33522357">
              <w:rPr>
                <w:rFonts w:asciiTheme="minorHAnsi" w:hAnsiTheme="minorHAnsi" w:cstheme="minorBidi"/>
              </w:rPr>
              <w:t>“</w:t>
            </w:r>
            <w:r w:rsidRPr="33522357">
              <w:rPr>
                <w:rFonts w:asciiTheme="minorHAnsi" w:hAnsiTheme="minorHAnsi" w:cstheme="minorBidi"/>
              </w:rPr>
              <w:t>CHI</w:t>
            </w:r>
            <w:r w:rsidR="00040684" w:rsidRPr="33522357">
              <w:rPr>
                <w:rFonts w:asciiTheme="minorHAnsi" w:hAnsiTheme="minorHAnsi" w:cstheme="minorBidi"/>
              </w:rPr>
              <w:t>”</w:t>
            </w:r>
            <w:r w:rsidRPr="33522357">
              <w:rPr>
                <w:rFonts w:asciiTheme="minorHAnsi" w:hAnsiTheme="minorHAnsi" w:cstheme="minorBidi"/>
              </w:rPr>
              <w:t>) contribution is</w:t>
            </w:r>
            <w:r w:rsidR="007B0892">
              <w:rPr>
                <w:rFonts w:asciiTheme="minorHAnsi" w:hAnsiTheme="minorHAnsi" w:cstheme="minorBidi"/>
              </w:rPr>
              <w:t xml:space="preserve"> </w:t>
            </w:r>
            <w:r w:rsidR="007B0892" w:rsidRPr="007B0892">
              <w:rPr>
                <w:rFonts w:asciiTheme="minorHAnsi" w:eastAsiaTheme="minorHAnsi" w:hAnsiTheme="minorHAnsi" w:cstheme="minorHAnsi"/>
              </w:rPr>
              <w:t>$399,740.00</w:t>
            </w:r>
            <w:r w:rsidRPr="33522357">
              <w:rPr>
                <w:rFonts w:asciiTheme="minorHAnsi" w:hAnsiTheme="minorHAnsi" w:cstheme="minorBidi"/>
              </w:rPr>
              <w:t>.</w:t>
            </w:r>
          </w:p>
          <w:p w14:paraId="6B196878" w14:textId="77777777" w:rsidR="00B156A7" w:rsidRPr="0062487B" w:rsidRDefault="00B156A7" w:rsidP="00AE0C67">
            <w:pPr>
              <w:autoSpaceDE w:val="0"/>
              <w:autoSpaceDN w:val="0"/>
              <w:adjustRightInd w:val="0"/>
              <w:rPr>
                <w:rFonts w:asciiTheme="minorHAnsi" w:eastAsia="Calibri" w:hAnsiTheme="minorHAnsi" w:cstheme="minorHAnsi"/>
              </w:rPr>
            </w:pPr>
          </w:p>
          <w:p w14:paraId="6A0DF256" w14:textId="77777777" w:rsidR="0020117B" w:rsidRDefault="00B156A7" w:rsidP="0020117B">
            <w:pPr>
              <w:spacing w:after="200"/>
              <w:rPr>
                <w:rFonts w:asciiTheme="minorHAnsi" w:hAnsiTheme="minorHAnsi" w:cstheme="minorHAnsi"/>
              </w:rPr>
            </w:pPr>
            <w:r w:rsidRPr="0062487B">
              <w:rPr>
                <w:rFonts w:asciiTheme="minorHAnsi" w:eastAsia="Calibri" w:hAnsiTheme="minorHAnsi" w:cstheme="minorHAnsi"/>
              </w:rPr>
              <w:t xml:space="preserve">This Proposed Project </w:t>
            </w:r>
            <w:r w:rsidR="00803A5A">
              <w:rPr>
                <w:rFonts w:asciiTheme="minorHAnsi" w:eastAsia="Calibri" w:hAnsiTheme="minorHAnsi" w:cstheme="minorHAnsi"/>
              </w:rPr>
              <w:t>i</w:t>
            </w:r>
            <w:r w:rsidRPr="0062487B">
              <w:rPr>
                <w:rFonts w:asciiTheme="minorHAnsi" w:eastAsia="Calibri" w:hAnsiTheme="minorHAnsi" w:cstheme="minorHAnsi"/>
              </w:rPr>
              <w:t xml:space="preserve">s </w:t>
            </w:r>
            <w:r w:rsidR="00803A5A">
              <w:rPr>
                <w:rFonts w:asciiTheme="minorHAnsi" w:eastAsia="Calibri" w:hAnsiTheme="minorHAnsi" w:cstheme="minorHAnsi"/>
              </w:rPr>
              <w:t>for</w:t>
            </w:r>
            <w:r w:rsidRPr="0062487B">
              <w:rPr>
                <w:rFonts w:asciiTheme="minorHAnsi" w:eastAsia="Calibri" w:hAnsiTheme="minorHAnsi" w:cstheme="minorHAnsi"/>
              </w:rPr>
              <w:t xml:space="preserve"> a Substantial</w:t>
            </w:r>
            <w:r w:rsidR="00AC184B">
              <w:rPr>
                <w:rFonts w:asciiTheme="minorHAnsi" w:eastAsia="Calibri" w:hAnsiTheme="minorHAnsi" w:cstheme="minorHAnsi"/>
              </w:rPr>
              <w:t xml:space="preserve"> Change in Service for DoN Required Equipment</w:t>
            </w:r>
            <w:r>
              <w:rPr>
                <w:rFonts w:asciiTheme="minorHAnsi" w:eastAsia="Calibri" w:hAnsiTheme="minorHAnsi" w:cstheme="minorHAnsi"/>
              </w:rPr>
              <w:t xml:space="preserve">, </w:t>
            </w:r>
            <w:r w:rsidRPr="0062487B">
              <w:rPr>
                <w:rFonts w:asciiTheme="minorHAnsi" w:eastAsia="Calibri" w:hAnsiTheme="minorHAnsi" w:cstheme="minorHAnsi"/>
              </w:rPr>
              <w:t xml:space="preserve">which </w:t>
            </w:r>
            <w:r>
              <w:rPr>
                <w:rFonts w:asciiTheme="minorHAnsi" w:eastAsia="Calibri" w:hAnsiTheme="minorHAnsi" w:cstheme="minorHAnsi"/>
              </w:rPr>
              <w:t>is</w:t>
            </w:r>
            <w:r w:rsidRPr="0062487B">
              <w:rPr>
                <w:rFonts w:asciiTheme="minorHAnsi" w:eastAsia="Calibri" w:hAnsiTheme="minorHAnsi" w:cstheme="minorHAnsi"/>
              </w:rPr>
              <w:t xml:space="preserve"> reviewed under the DoN regulation 105 CMR 100.000</w:t>
            </w:r>
            <w:r w:rsidR="00803A5A">
              <w:rPr>
                <w:rFonts w:asciiTheme="minorHAnsi" w:eastAsia="Calibri" w:hAnsiTheme="minorHAnsi" w:cstheme="minorHAnsi"/>
              </w:rPr>
              <w:t xml:space="preserve"> </w:t>
            </w:r>
            <w:r w:rsidR="004F0E6C">
              <w:rPr>
                <w:rFonts w:asciiTheme="minorHAnsi" w:eastAsia="Calibri" w:hAnsiTheme="minorHAnsi" w:cstheme="minorHAnsi"/>
              </w:rPr>
              <w:t>whereby</w:t>
            </w:r>
            <w:r w:rsidR="0008321C">
              <w:rPr>
                <w:rFonts w:asciiTheme="minorHAnsi" w:eastAsia="Calibri" w:hAnsiTheme="minorHAnsi" w:cstheme="minorHAnsi"/>
              </w:rPr>
              <w:t xml:space="preserve"> </w:t>
            </w:r>
            <w:r w:rsidR="00803A5A">
              <w:rPr>
                <w:rFonts w:asciiTheme="minorHAnsi" w:eastAsia="Calibri" w:hAnsiTheme="minorHAnsi" w:cstheme="minorHAnsi"/>
              </w:rPr>
              <w:t>t</w:t>
            </w:r>
            <w:r w:rsidRPr="0062487B">
              <w:rPr>
                <w:rFonts w:asciiTheme="minorHAnsi" w:eastAsia="Calibri" w:hAnsiTheme="minorHAnsi" w:cstheme="minorHAnsi"/>
              </w:rPr>
              <w:t xml:space="preserve">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r w:rsidR="00AC184B">
              <w:rPr>
                <w:rFonts w:asciiTheme="minorHAnsi" w:hAnsiTheme="minorHAnsi" w:cstheme="minorHAnsi"/>
              </w:rPr>
              <w:t xml:space="preserve"> </w:t>
            </w:r>
          </w:p>
          <w:p w14:paraId="13F45141" w14:textId="78985245" w:rsidR="005B7006" w:rsidRPr="0008321C" w:rsidRDefault="005B7006" w:rsidP="0020117B">
            <w:pPr>
              <w:spacing w:after="200"/>
              <w:rPr>
                <w:rFonts w:asciiTheme="minorHAnsi" w:eastAsia="Calibri" w:hAnsiTheme="minorHAnsi" w:cstheme="minorHAnsi"/>
              </w:rPr>
            </w:pPr>
            <w:r w:rsidRPr="006E5439">
              <w:rPr>
                <w:rFonts w:asciiTheme="minorHAnsi" w:hAnsiTheme="minorHAnsi" w:cstheme="minorHAnsi"/>
              </w:rPr>
              <w:t>This Amended Staff Report Replaces the Original Staff Report. Final Amended</w:t>
            </w:r>
            <w:r>
              <w:rPr>
                <w:rFonts w:asciiTheme="minorHAnsi" w:hAnsiTheme="minorHAnsi" w:cstheme="minorHAnsi"/>
              </w:rPr>
              <w:t xml:space="preserve"> 1</w:t>
            </w:r>
            <w:r w:rsidRPr="006E5439">
              <w:rPr>
                <w:rFonts w:asciiTheme="minorHAnsi" w:hAnsiTheme="minorHAnsi" w:cstheme="minorHAnsi"/>
              </w:rPr>
              <w:t>1/</w:t>
            </w:r>
            <w:r>
              <w:rPr>
                <w:rFonts w:asciiTheme="minorHAnsi" w:hAnsiTheme="minorHAnsi" w:cstheme="minorHAnsi"/>
              </w:rPr>
              <w:t>21</w:t>
            </w:r>
            <w:r w:rsidRPr="006E5439">
              <w:rPr>
                <w:rFonts w:asciiTheme="minorHAnsi" w:hAnsiTheme="minorHAnsi" w:cstheme="minorHAnsi"/>
              </w:rPr>
              <w:t>/2</w:t>
            </w:r>
            <w:r>
              <w:rPr>
                <w:rFonts w:asciiTheme="minorHAnsi" w:hAnsiTheme="minorHAnsi" w:cstheme="minorHAnsi"/>
              </w:rPr>
              <w:t>3.</w:t>
            </w:r>
            <w:r w:rsidRPr="006E5439">
              <w:rPr>
                <w:rFonts w:asciiTheme="minorHAnsi" w:hAnsiTheme="minorHAnsi" w:cstheme="minorHAnsi"/>
              </w:rPr>
              <w:t xml:space="preserve"> The changes are scriveners’ </w:t>
            </w:r>
            <w:r w:rsidRPr="006E5439">
              <w:rPr>
                <w:rFonts w:asciiTheme="minorHAnsi" w:hAnsiTheme="minorHAnsi" w:cstheme="minorHAnsi"/>
                <w:color w:val="FF0000"/>
              </w:rPr>
              <w:t>edits and appear in red</w:t>
            </w:r>
            <w:r w:rsidRPr="006E5439">
              <w:rPr>
                <w:rFonts w:asciiTheme="minorHAnsi" w:hAnsiTheme="minorHAnsi" w:cstheme="minorHAnsi"/>
              </w:rPr>
              <w:t>.</w:t>
            </w:r>
          </w:p>
        </w:tc>
      </w:tr>
    </w:tbl>
    <w:p w14:paraId="413EE2C9" w14:textId="77777777" w:rsidR="00333EA3" w:rsidRPr="0062487B" w:rsidRDefault="00333EA3" w:rsidP="007A57C4">
      <w:pPr>
        <w:contextualSpacing/>
        <w:rPr>
          <w:rFonts w:asciiTheme="minorHAnsi" w:hAnsiTheme="minorHAnsi" w:cstheme="minorHAnsi"/>
        </w:rPr>
      </w:pPr>
    </w:p>
    <w:p w14:paraId="248F11D0" w14:textId="5AE026D4" w:rsidR="0038009B" w:rsidRDefault="0038009B">
      <w:pPr>
        <w:spacing w:after="200" w:line="276" w:lineRule="auto"/>
        <w:rPr>
          <w:rFonts w:asciiTheme="minorHAnsi" w:hAnsiTheme="minorHAnsi" w:cstheme="minorHAnsi"/>
        </w:rPr>
      </w:pPr>
      <w:r>
        <w:rPr>
          <w:rFonts w:asciiTheme="minorHAnsi" w:hAnsiTheme="minorHAnsi" w:cstheme="minorHAnsi"/>
        </w:rPr>
        <w:br w:type="page"/>
      </w:r>
    </w:p>
    <w:p w14:paraId="643E6DAD" w14:textId="77777777" w:rsidR="007628F9" w:rsidRPr="0062487B" w:rsidRDefault="007628F9" w:rsidP="007A57C4">
      <w:pPr>
        <w:contextualSpacing/>
        <w:rPr>
          <w:rFonts w:asciiTheme="minorHAnsi" w:hAnsiTheme="minorHAnsi" w:cstheme="minorHAnsi"/>
        </w:rPr>
      </w:pPr>
    </w:p>
    <w:p w14:paraId="1FAB1568" w14:textId="77777777" w:rsidR="007628F9" w:rsidRPr="0062487B" w:rsidRDefault="007628F9" w:rsidP="007A57C4">
      <w:pPr>
        <w:contextualSpacing/>
        <w:rPr>
          <w:rFonts w:asciiTheme="minorHAnsi" w:hAnsiTheme="minorHAnsi" w:cstheme="minorHAnsi"/>
        </w:rPr>
      </w:pPr>
    </w:p>
    <w:bookmarkStart w:id="0" w:name="_Toc18922391" w:displacedByCustomXml="next"/>
    <w:sdt>
      <w:sdtPr>
        <w:rPr>
          <w:rFonts w:asciiTheme="minorHAnsi" w:eastAsia="Times New Roman" w:hAnsiTheme="minorHAnsi" w:cstheme="minorHAnsi"/>
          <w:color w:val="auto"/>
          <w:sz w:val="24"/>
          <w:szCs w:val="24"/>
        </w:rPr>
        <w:id w:val="835183159"/>
        <w:docPartObj>
          <w:docPartGallery w:val="Table of Contents"/>
          <w:docPartUnique/>
        </w:docPartObj>
      </w:sdtPr>
      <w:sdtEndPr>
        <w:rPr>
          <w:rFonts w:ascii="Times New Roman" w:hAnsi="Times New Roman" w:cs="Times New Roman"/>
          <w:b/>
          <w:bCs/>
          <w:noProof/>
        </w:rPr>
      </w:sdtEndPr>
      <w:sdtContent>
        <w:p w14:paraId="06CB7987" w14:textId="4963E8B8" w:rsidR="004F0E6C" w:rsidRPr="00D73851" w:rsidRDefault="004F0E6C">
          <w:pPr>
            <w:pStyle w:val="TOCHeading"/>
            <w:rPr>
              <w:rFonts w:asciiTheme="minorHAnsi" w:hAnsiTheme="minorHAnsi" w:cstheme="minorHAnsi"/>
              <w:sz w:val="24"/>
              <w:szCs w:val="24"/>
            </w:rPr>
          </w:pPr>
          <w:r w:rsidRPr="00D73851">
            <w:rPr>
              <w:rFonts w:asciiTheme="minorHAnsi" w:hAnsiTheme="minorHAnsi" w:cstheme="minorHAnsi"/>
              <w:sz w:val="24"/>
              <w:szCs w:val="24"/>
            </w:rPr>
            <w:t>Table of Contents</w:t>
          </w:r>
        </w:p>
        <w:p w14:paraId="6710DAF2" w14:textId="3B6FE7B9" w:rsidR="00200385" w:rsidRDefault="004F0E6C">
          <w:pPr>
            <w:pStyle w:val="TOC1"/>
            <w:rPr>
              <w:rFonts w:eastAsiaTheme="minorEastAsia" w:cstheme="minorBidi"/>
              <w:bCs w:val="0"/>
              <w:sz w:val="22"/>
              <w:szCs w:val="22"/>
            </w:rPr>
          </w:pPr>
          <w:r w:rsidRPr="00D73851">
            <w:fldChar w:fldCharType="begin"/>
          </w:r>
          <w:r w:rsidRPr="00D73851">
            <w:instrText xml:space="preserve"> TOC \o "1-3" \h \z \u </w:instrText>
          </w:r>
          <w:r w:rsidRPr="00D73851">
            <w:fldChar w:fldCharType="separate"/>
          </w:r>
          <w:hyperlink w:anchor="_Toc148704453" w:history="1">
            <w:r w:rsidR="00200385" w:rsidRPr="008F0D3A">
              <w:rPr>
                <w:rStyle w:val="Hyperlink"/>
              </w:rPr>
              <w:t>Background: BMC Health System (Applicant) and Application Overview</w:t>
            </w:r>
            <w:r w:rsidR="00200385">
              <w:rPr>
                <w:webHidden/>
              </w:rPr>
              <w:tab/>
            </w:r>
            <w:r w:rsidR="00200385">
              <w:rPr>
                <w:webHidden/>
              </w:rPr>
              <w:fldChar w:fldCharType="begin"/>
            </w:r>
            <w:r w:rsidR="00200385">
              <w:rPr>
                <w:webHidden/>
              </w:rPr>
              <w:instrText xml:space="preserve"> PAGEREF _Toc148704453 \h </w:instrText>
            </w:r>
            <w:r w:rsidR="00200385">
              <w:rPr>
                <w:webHidden/>
              </w:rPr>
            </w:r>
            <w:r w:rsidR="00200385">
              <w:rPr>
                <w:webHidden/>
              </w:rPr>
              <w:fldChar w:fldCharType="separate"/>
            </w:r>
            <w:r w:rsidR="00200385">
              <w:rPr>
                <w:webHidden/>
              </w:rPr>
              <w:t>3</w:t>
            </w:r>
            <w:r w:rsidR="00200385">
              <w:rPr>
                <w:webHidden/>
              </w:rPr>
              <w:fldChar w:fldCharType="end"/>
            </w:r>
          </w:hyperlink>
        </w:p>
        <w:p w14:paraId="0CAC54A0" w14:textId="0870F0AA" w:rsidR="00200385" w:rsidRDefault="00000000">
          <w:pPr>
            <w:pStyle w:val="TOC2"/>
            <w:rPr>
              <w:rFonts w:eastAsiaTheme="minorEastAsia" w:cstheme="minorBidi"/>
              <w:color w:val="auto"/>
              <w:sz w:val="22"/>
              <w:szCs w:val="22"/>
            </w:rPr>
          </w:pPr>
          <w:hyperlink w:anchor="_Toc148704454" w:history="1">
            <w:r w:rsidR="00200385" w:rsidRPr="008F0D3A">
              <w:rPr>
                <w:rStyle w:val="Hyperlink"/>
              </w:rPr>
              <w:t>Patient Panel</w:t>
            </w:r>
            <w:r w:rsidR="00200385">
              <w:rPr>
                <w:webHidden/>
              </w:rPr>
              <w:tab/>
            </w:r>
            <w:r w:rsidR="00200385">
              <w:rPr>
                <w:webHidden/>
              </w:rPr>
              <w:fldChar w:fldCharType="begin"/>
            </w:r>
            <w:r w:rsidR="00200385">
              <w:rPr>
                <w:webHidden/>
              </w:rPr>
              <w:instrText xml:space="preserve"> PAGEREF _Toc148704454 \h </w:instrText>
            </w:r>
            <w:r w:rsidR="00200385">
              <w:rPr>
                <w:webHidden/>
              </w:rPr>
            </w:r>
            <w:r w:rsidR="00200385">
              <w:rPr>
                <w:webHidden/>
              </w:rPr>
              <w:fldChar w:fldCharType="separate"/>
            </w:r>
            <w:r w:rsidR="00200385">
              <w:rPr>
                <w:webHidden/>
              </w:rPr>
              <w:t>4</w:t>
            </w:r>
            <w:r w:rsidR="00200385">
              <w:rPr>
                <w:webHidden/>
              </w:rPr>
              <w:fldChar w:fldCharType="end"/>
            </w:r>
          </w:hyperlink>
        </w:p>
        <w:p w14:paraId="4A374861" w14:textId="527119E2" w:rsidR="00200385" w:rsidRDefault="00000000">
          <w:pPr>
            <w:pStyle w:val="TOC1"/>
            <w:rPr>
              <w:rFonts w:eastAsiaTheme="minorEastAsia" w:cstheme="minorBidi"/>
              <w:bCs w:val="0"/>
              <w:sz w:val="22"/>
              <w:szCs w:val="22"/>
            </w:rPr>
          </w:pPr>
          <w:hyperlink w:anchor="_Toc148704455" w:history="1">
            <w:r w:rsidR="00200385" w:rsidRPr="008F0D3A">
              <w:rPr>
                <w:rStyle w:val="Hyperlink"/>
              </w:rPr>
              <w:t>Factor 1a: Patient Panel Need</w:t>
            </w:r>
            <w:r w:rsidR="00200385">
              <w:rPr>
                <w:webHidden/>
              </w:rPr>
              <w:tab/>
            </w:r>
            <w:r w:rsidR="00200385">
              <w:rPr>
                <w:webHidden/>
              </w:rPr>
              <w:fldChar w:fldCharType="begin"/>
            </w:r>
            <w:r w:rsidR="00200385">
              <w:rPr>
                <w:webHidden/>
              </w:rPr>
              <w:instrText xml:space="preserve"> PAGEREF _Toc148704455 \h </w:instrText>
            </w:r>
            <w:r w:rsidR="00200385">
              <w:rPr>
                <w:webHidden/>
              </w:rPr>
            </w:r>
            <w:r w:rsidR="00200385">
              <w:rPr>
                <w:webHidden/>
              </w:rPr>
              <w:fldChar w:fldCharType="separate"/>
            </w:r>
            <w:r w:rsidR="00200385">
              <w:rPr>
                <w:webHidden/>
              </w:rPr>
              <w:t>6</w:t>
            </w:r>
            <w:r w:rsidR="00200385">
              <w:rPr>
                <w:webHidden/>
              </w:rPr>
              <w:fldChar w:fldCharType="end"/>
            </w:r>
          </w:hyperlink>
        </w:p>
        <w:p w14:paraId="45E08B4D" w14:textId="4D7BC604" w:rsidR="00200385" w:rsidRDefault="00000000">
          <w:pPr>
            <w:pStyle w:val="TOC2"/>
            <w:rPr>
              <w:rFonts w:eastAsiaTheme="minorEastAsia" w:cstheme="minorBidi"/>
              <w:color w:val="auto"/>
              <w:sz w:val="22"/>
              <w:szCs w:val="22"/>
            </w:rPr>
          </w:pPr>
          <w:hyperlink w:anchor="_Toc148704456" w:history="1">
            <w:r w:rsidR="00200385" w:rsidRPr="008F0D3A">
              <w:rPr>
                <w:rStyle w:val="Hyperlink"/>
              </w:rPr>
              <w:t>Factor 1: b) Public Health Value, Improved Health Outcomes and Quality of Life; Assurances of Health Equity</w:t>
            </w:r>
            <w:r w:rsidR="00200385">
              <w:rPr>
                <w:webHidden/>
              </w:rPr>
              <w:tab/>
            </w:r>
            <w:r w:rsidR="00200385">
              <w:rPr>
                <w:webHidden/>
              </w:rPr>
              <w:fldChar w:fldCharType="begin"/>
            </w:r>
            <w:r w:rsidR="00200385">
              <w:rPr>
                <w:webHidden/>
              </w:rPr>
              <w:instrText xml:space="preserve"> PAGEREF _Toc148704456 \h </w:instrText>
            </w:r>
            <w:r w:rsidR="00200385">
              <w:rPr>
                <w:webHidden/>
              </w:rPr>
            </w:r>
            <w:r w:rsidR="00200385">
              <w:rPr>
                <w:webHidden/>
              </w:rPr>
              <w:fldChar w:fldCharType="separate"/>
            </w:r>
            <w:r w:rsidR="00200385">
              <w:rPr>
                <w:webHidden/>
              </w:rPr>
              <w:t>11</w:t>
            </w:r>
            <w:r w:rsidR="00200385">
              <w:rPr>
                <w:webHidden/>
              </w:rPr>
              <w:fldChar w:fldCharType="end"/>
            </w:r>
          </w:hyperlink>
        </w:p>
        <w:p w14:paraId="524CEF8C" w14:textId="41E0E954" w:rsidR="00200385" w:rsidRDefault="00000000">
          <w:pPr>
            <w:pStyle w:val="TOC2"/>
            <w:rPr>
              <w:rFonts w:eastAsiaTheme="minorEastAsia" w:cstheme="minorBidi"/>
              <w:color w:val="auto"/>
              <w:sz w:val="22"/>
              <w:szCs w:val="22"/>
            </w:rPr>
          </w:pPr>
          <w:hyperlink w:anchor="_Toc148704457" w:history="1">
            <w:r w:rsidR="00200385" w:rsidRPr="008F0D3A">
              <w:rPr>
                <w:rStyle w:val="Hyperlink"/>
              </w:rPr>
              <w:t>Factor 1: c) Efficiency, Continuity of Care, Coordination of Care</w:t>
            </w:r>
            <w:r w:rsidR="00200385">
              <w:rPr>
                <w:webHidden/>
              </w:rPr>
              <w:tab/>
            </w:r>
            <w:r w:rsidR="00200385">
              <w:rPr>
                <w:webHidden/>
              </w:rPr>
              <w:fldChar w:fldCharType="begin"/>
            </w:r>
            <w:r w:rsidR="00200385">
              <w:rPr>
                <w:webHidden/>
              </w:rPr>
              <w:instrText xml:space="preserve"> PAGEREF _Toc148704457 \h </w:instrText>
            </w:r>
            <w:r w:rsidR="00200385">
              <w:rPr>
                <w:webHidden/>
              </w:rPr>
            </w:r>
            <w:r w:rsidR="00200385">
              <w:rPr>
                <w:webHidden/>
              </w:rPr>
              <w:fldChar w:fldCharType="separate"/>
            </w:r>
            <w:r w:rsidR="00200385">
              <w:rPr>
                <w:webHidden/>
              </w:rPr>
              <w:t>14</w:t>
            </w:r>
            <w:r w:rsidR="00200385">
              <w:rPr>
                <w:webHidden/>
              </w:rPr>
              <w:fldChar w:fldCharType="end"/>
            </w:r>
          </w:hyperlink>
        </w:p>
        <w:p w14:paraId="6C8EC13F" w14:textId="06259B2B" w:rsidR="00200385" w:rsidRDefault="00000000">
          <w:pPr>
            <w:pStyle w:val="TOC2"/>
            <w:rPr>
              <w:rFonts w:eastAsiaTheme="minorEastAsia" w:cstheme="minorBidi"/>
              <w:color w:val="auto"/>
              <w:sz w:val="22"/>
              <w:szCs w:val="22"/>
            </w:rPr>
          </w:pPr>
          <w:hyperlink w:anchor="_Toc148704458" w:history="1">
            <w:r w:rsidR="00200385" w:rsidRPr="008F0D3A">
              <w:rPr>
                <w:rStyle w:val="Hyperlink"/>
              </w:rPr>
              <w:t>Factor 1: d) Consultation</w:t>
            </w:r>
            <w:r w:rsidR="00200385">
              <w:rPr>
                <w:webHidden/>
              </w:rPr>
              <w:tab/>
            </w:r>
            <w:r w:rsidR="00200385">
              <w:rPr>
                <w:webHidden/>
              </w:rPr>
              <w:fldChar w:fldCharType="begin"/>
            </w:r>
            <w:r w:rsidR="00200385">
              <w:rPr>
                <w:webHidden/>
              </w:rPr>
              <w:instrText xml:space="preserve"> PAGEREF _Toc148704458 \h </w:instrText>
            </w:r>
            <w:r w:rsidR="00200385">
              <w:rPr>
                <w:webHidden/>
              </w:rPr>
            </w:r>
            <w:r w:rsidR="00200385">
              <w:rPr>
                <w:webHidden/>
              </w:rPr>
              <w:fldChar w:fldCharType="separate"/>
            </w:r>
            <w:r w:rsidR="00200385">
              <w:rPr>
                <w:webHidden/>
              </w:rPr>
              <w:t>16</w:t>
            </w:r>
            <w:r w:rsidR="00200385">
              <w:rPr>
                <w:webHidden/>
              </w:rPr>
              <w:fldChar w:fldCharType="end"/>
            </w:r>
          </w:hyperlink>
        </w:p>
        <w:p w14:paraId="3B98839A" w14:textId="5D0D0A2F" w:rsidR="00200385" w:rsidRDefault="00000000">
          <w:pPr>
            <w:pStyle w:val="TOC2"/>
            <w:rPr>
              <w:rFonts w:eastAsiaTheme="minorEastAsia" w:cstheme="minorBidi"/>
              <w:color w:val="auto"/>
              <w:sz w:val="22"/>
              <w:szCs w:val="22"/>
            </w:rPr>
          </w:pPr>
          <w:hyperlink w:anchor="_Toc148704459" w:history="1">
            <w:r w:rsidR="00200385" w:rsidRPr="008F0D3A">
              <w:rPr>
                <w:rStyle w:val="Hyperlink"/>
              </w:rPr>
              <w:t>Factor 1: e) Evidence of Sound Community Engagement through the Patient Panel</w:t>
            </w:r>
            <w:r w:rsidR="00200385">
              <w:rPr>
                <w:webHidden/>
              </w:rPr>
              <w:tab/>
            </w:r>
            <w:r w:rsidR="00200385">
              <w:rPr>
                <w:webHidden/>
              </w:rPr>
              <w:fldChar w:fldCharType="begin"/>
            </w:r>
            <w:r w:rsidR="00200385">
              <w:rPr>
                <w:webHidden/>
              </w:rPr>
              <w:instrText xml:space="preserve"> PAGEREF _Toc148704459 \h </w:instrText>
            </w:r>
            <w:r w:rsidR="00200385">
              <w:rPr>
                <w:webHidden/>
              </w:rPr>
            </w:r>
            <w:r w:rsidR="00200385">
              <w:rPr>
                <w:webHidden/>
              </w:rPr>
              <w:fldChar w:fldCharType="separate"/>
            </w:r>
            <w:r w:rsidR="00200385">
              <w:rPr>
                <w:webHidden/>
              </w:rPr>
              <w:t>16</w:t>
            </w:r>
            <w:r w:rsidR="00200385">
              <w:rPr>
                <w:webHidden/>
              </w:rPr>
              <w:fldChar w:fldCharType="end"/>
            </w:r>
          </w:hyperlink>
        </w:p>
        <w:p w14:paraId="64FD6C35" w14:textId="507AC26D" w:rsidR="00200385" w:rsidRDefault="00000000">
          <w:pPr>
            <w:pStyle w:val="TOC2"/>
            <w:rPr>
              <w:rFonts w:eastAsiaTheme="minorEastAsia" w:cstheme="minorBidi"/>
              <w:color w:val="auto"/>
              <w:sz w:val="22"/>
              <w:szCs w:val="22"/>
            </w:rPr>
          </w:pPr>
          <w:hyperlink w:anchor="_Toc148704460" w:history="1">
            <w:r w:rsidR="00200385" w:rsidRPr="008F0D3A">
              <w:rPr>
                <w:rStyle w:val="Hyperlink"/>
              </w:rPr>
              <w:t>Factor 1: f) Competition on Price, Total Medical Expenses (TME), Costs and Other Measures of Health Care Spending</w:t>
            </w:r>
            <w:r w:rsidR="00200385">
              <w:rPr>
                <w:webHidden/>
              </w:rPr>
              <w:tab/>
            </w:r>
            <w:r w:rsidR="00200385">
              <w:rPr>
                <w:webHidden/>
              </w:rPr>
              <w:fldChar w:fldCharType="begin"/>
            </w:r>
            <w:r w:rsidR="00200385">
              <w:rPr>
                <w:webHidden/>
              </w:rPr>
              <w:instrText xml:space="preserve"> PAGEREF _Toc148704460 \h </w:instrText>
            </w:r>
            <w:r w:rsidR="00200385">
              <w:rPr>
                <w:webHidden/>
              </w:rPr>
            </w:r>
            <w:r w:rsidR="00200385">
              <w:rPr>
                <w:webHidden/>
              </w:rPr>
              <w:fldChar w:fldCharType="separate"/>
            </w:r>
            <w:r w:rsidR="00200385">
              <w:rPr>
                <w:webHidden/>
              </w:rPr>
              <w:t>17</w:t>
            </w:r>
            <w:r w:rsidR="00200385">
              <w:rPr>
                <w:webHidden/>
              </w:rPr>
              <w:fldChar w:fldCharType="end"/>
            </w:r>
          </w:hyperlink>
        </w:p>
        <w:p w14:paraId="692D0F1C" w14:textId="06598DEA" w:rsidR="00200385" w:rsidRDefault="00000000">
          <w:pPr>
            <w:pStyle w:val="TOC1"/>
            <w:rPr>
              <w:rFonts w:eastAsiaTheme="minorEastAsia" w:cstheme="minorBidi"/>
              <w:bCs w:val="0"/>
              <w:sz w:val="22"/>
              <w:szCs w:val="22"/>
            </w:rPr>
          </w:pPr>
          <w:hyperlink w:anchor="_Toc148704461" w:history="1">
            <w:r w:rsidR="00200385" w:rsidRPr="008F0D3A">
              <w:rPr>
                <w:rStyle w:val="Hyperlink"/>
              </w:rPr>
              <w:t>Factor 2: Cost Containment, Improved Public Health Outcomes and Delivery System Transformation</w:t>
            </w:r>
            <w:r w:rsidR="00200385">
              <w:rPr>
                <w:webHidden/>
              </w:rPr>
              <w:tab/>
            </w:r>
            <w:r w:rsidR="00200385">
              <w:rPr>
                <w:webHidden/>
              </w:rPr>
              <w:fldChar w:fldCharType="begin"/>
            </w:r>
            <w:r w:rsidR="00200385">
              <w:rPr>
                <w:webHidden/>
              </w:rPr>
              <w:instrText xml:space="preserve"> PAGEREF _Toc148704461 \h </w:instrText>
            </w:r>
            <w:r w:rsidR="00200385">
              <w:rPr>
                <w:webHidden/>
              </w:rPr>
            </w:r>
            <w:r w:rsidR="00200385">
              <w:rPr>
                <w:webHidden/>
              </w:rPr>
              <w:fldChar w:fldCharType="separate"/>
            </w:r>
            <w:r w:rsidR="00200385">
              <w:rPr>
                <w:webHidden/>
              </w:rPr>
              <w:t>19</w:t>
            </w:r>
            <w:r w:rsidR="00200385">
              <w:rPr>
                <w:webHidden/>
              </w:rPr>
              <w:fldChar w:fldCharType="end"/>
            </w:r>
          </w:hyperlink>
        </w:p>
        <w:p w14:paraId="00A9878F" w14:textId="70A7A2A9" w:rsidR="00200385" w:rsidRDefault="00000000">
          <w:pPr>
            <w:pStyle w:val="TOC1"/>
            <w:rPr>
              <w:rFonts w:eastAsiaTheme="minorEastAsia" w:cstheme="minorBidi"/>
              <w:bCs w:val="0"/>
              <w:sz w:val="22"/>
              <w:szCs w:val="22"/>
            </w:rPr>
          </w:pPr>
          <w:hyperlink w:anchor="_Toc148704462" w:history="1">
            <w:r w:rsidR="00200385" w:rsidRPr="008F0D3A">
              <w:rPr>
                <w:rStyle w:val="Hyperlink"/>
              </w:rPr>
              <w:t>Factor 3: Relevant Licensure/Oversight Compliance</w:t>
            </w:r>
            <w:r w:rsidR="00200385">
              <w:rPr>
                <w:webHidden/>
              </w:rPr>
              <w:tab/>
            </w:r>
            <w:r w:rsidR="00200385">
              <w:rPr>
                <w:webHidden/>
              </w:rPr>
              <w:fldChar w:fldCharType="begin"/>
            </w:r>
            <w:r w:rsidR="00200385">
              <w:rPr>
                <w:webHidden/>
              </w:rPr>
              <w:instrText xml:space="preserve"> PAGEREF _Toc148704462 \h </w:instrText>
            </w:r>
            <w:r w:rsidR="00200385">
              <w:rPr>
                <w:webHidden/>
              </w:rPr>
            </w:r>
            <w:r w:rsidR="00200385">
              <w:rPr>
                <w:webHidden/>
              </w:rPr>
              <w:fldChar w:fldCharType="separate"/>
            </w:r>
            <w:r w:rsidR="00200385">
              <w:rPr>
                <w:webHidden/>
              </w:rPr>
              <w:t>21</w:t>
            </w:r>
            <w:r w:rsidR="00200385">
              <w:rPr>
                <w:webHidden/>
              </w:rPr>
              <w:fldChar w:fldCharType="end"/>
            </w:r>
          </w:hyperlink>
        </w:p>
        <w:p w14:paraId="02C21906" w14:textId="008B12F1" w:rsidR="00200385" w:rsidRDefault="00000000">
          <w:pPr>
            <w:pStyle w:val="TOC1"/>
            <w:rPr>
              <w:rFonts w:eastAsiaTheme="minorEastAsia" w:cstheme="minorBidi"/>
              <w:bCs w:val="0"/>
              <w:sz w:val="22"/>
              <w:szCs w:val="22"/>
            </w:rPr>
          </w:pPr>
          <w:hyperlink w:anchor="_Toc148704463" w:history="1">
            <w:r w:rsidR="00200385" w:rsidRPr="008F0D3A">
              <w:rPr>
                <w:rStyle w:val="Hyperlink"/>
              </w:rPr>
              <w:t>Factor 4: Demonstration of Sufficient Funds as Supported by an Independent CPA Analysis</w:t>
            </w:r>
            <w:r w:rsidR="00200385">
              <w:rPr>
                <w:webHidden/>
              </w:rPr>
              <w:tab/>
            </w:r>
            <w:r w:rsidR="00200385">
              <w:rPr>
                <w:webHidden/>
              </w:rPr>
              <w:fldChar w:fldCharType="begin"/>
            </w:r>
            <w:r w:rsidR="00200385">
              <w:rPr>
                <w:webHidden/>
              </w:rPr>
              <w:instrText xml:space="preserve"> PAGEREF _Toc148704463 \h </w:instrText>
            </w:r>
            <w:r w:rsidR="00200385">
              <w:rPr>
                <w:webHidden/>
              </w:rPr>
            </w:r>
            <w:r w:rsidR="00200385">
              <w:rPr>
                <w:webHidden/>
              </w:rPr>
              <w:fldChar w:fldCharType="separate"/>
            </w:r>
            <w:r w:rsidR="00200385">
              <w:rPr>
                <w:webHidden/>
              </w:rPr>
              <w:t>21</w:t>
            </w:r>
            <w:r w:rsidR="00200385">
              <w:rPr>
                <w:webHidden/>
              </w:rPr>
              <w:fldChar w:fldCharType="end"/>
            </w:r>
          </w:hyperlink>
        </w:p>
        <w:p w14:paraId="6B46A4C4" w14:textId="633AD330" w:rsidR="00200385" w:rsidRDefault="00000000">
          <w:pPr>
            <w:pStyle w:val="TOC1"/>
            <w:rPr>
              <w:rFonts w:eastAsiaTheme="minorEastAsia" w:cstheme="minorBidi"/>
              <w:bCs w:val="0"/>
              <w:sz w:val="22"/>
              <w:szCs w:val="22"/>
            </w:rPr>
          </w:pPr>
          <w:hyperlink w:anchor="_Toc148704464" w:history="1">
            <w:r w:rsidR="00200385" w:rsidRPr="008F0D3A">
              <w:rPr>
                <w:rStyle w:val="Hyperlink"/>
              </w:rPr>
              <w:t>Factor 5: Assessment of the Proposed Project’s Relative Merit</w:t>
            </w:r>
            <w:r w:rsidR="00200385">
              <w:rPr>
                <w:webHidden/>
              </w:rPr>
              <w:tab/>
            </w:r>
            <w:r w:rsidR="00200385">
              <w:rPr>
                <w:webHidden/>
              </w:rPr>
              <w:fldChar w:fldCharType="begin"/>
            </w:r>
            <w:r w:rsidR="00200385">
              <w:rPr>
                <w:webHidden/>
              </w:rPr>
              <w:instrText xml:space="preserve"> PAGEREF _Toc148704464 \h </w:instrText>
            </w:r>
            <w:r w:rsidR="00200385">
              <w:rPr>
                <w:webHidden/>
              </w:rPr>
            </w:r>
            <w:r w:rsidR="00200385">
              <w:rPr>
                <w:webHidden/>
              </w:rPr>
              <w:fldChar w:fldCharType="separate"/>
            </w:r>
            <w:r w:rsidR="00200385">
              <w:rPr>
                <w:webHidden/>
              </w:rPr>
              <w:t>23</w:t>
            </w:r>
            <w:r w:rsidR="00200385">
              <w:rPr>
                <w:webHidden/>
              </w:rPr>
              <w:fldChar w:fldCharType="end"/>
            </w:r>
          </w:hyperlink>
        </w:p>
        <w:p w14:paraId="102BD147" w14:textId="22F1C685" w:rsidR="00200385" w:rsidRDefault="00000000">
          <w:pPr>
            <w:pStyle w:val="TOC1"/>
            <w:rPr>
              <w:rFonts w:eastAsiaTheme="minorEastAsia" w:cstheme="minorBidi"/>
              <w:bCs w:val="0"/>
              <w:sz w:val="22"/>
              <w:szCs w:val="22"/>
            </w:rPr>
          </w:pPr>
          <w:hyperlink w:anchor="_Toc148704465" w:history="1">
            <w:r w:rsidR="00200385" w:rsidRPr="008F0D3A">
              <w:rPr>
                <w:rStyle w:val="Hyperlink"/>
              </w:rPr>
              <w:t>Factor 6: Fulfillment of DPH Community-based Health Initiatives Guideline</w:t>
            </w:r>
            <w:r w:rsidR="00200385">
              <w:rPr>
                <w:webHidden/>
              </w:rPr>
              <w:tab/>
            </w:r>
            <w:r w:rsidR="00200385">
              <w:rPr>
                <w:webHidden/>
              </w:rPr>
              <w:fldChar w:fldCharType="begin"/>
            </w:r>
            <w:r w:rsidR="00200385">
              <w:rPr>
                <w:webHidden/>
              </w:rPr>
              <w:instrText xml:space="preserve"> PAGEREF _Toc148704465 \h </w:instrText>
            </w:r>
            <w:r w:rsidR="00200385">
              <w:rPr>
                <w:webHidden/>
              </w:rPr>
            </w:r>
            <w:r w:rsidR="00200385">
              <w:rPr>
                <w:webHidden/>
              </w:rPr>
              <w:fldChar w:fldCharType="separate"/>
            </w:r>
            <w:r w:rsidR="00200385">
              <w:rPr>
                <w:webHidden/>
              </w:rPr>
              <w:t>23</w:t>
            </w:r>
            <w:r w:rsidR="00200385">
              <w:rPr>
                <w:webHidden/>
              </w:rPr>
              <w:fldChar w:fldCharType="end"/>
            </w:r>
          </w:hyperlink>
        </w:p>
        <w:p w14:paraId="7C084278" w14:textId="08BB95AF" w:rsidR="00200385" w:rsidRDefault="00000000">
          <w:pPr>
            <w:pStyle w:val="TOC1"/>
            <w:rPr>
              <w:rFonts w:eastAsiaTheme="minorEastAsia" w:cstheme="minorBidi"/>
              <w:bCs w:val="0"/>
              <w:sz w:val="22"/>
              <w:szCs w:val="22"/>
            </w:rPr>
          </w:pPr>
          <w:hyperlink w:anchor="_Toc148704466" w:history="1">
            <w:r w:rsidR="00200385" w:rsidRPr="008F0D3A">
              <w:rPr>
                <w:rStyle w:val="Hyperlink"/>
              </w:rPr>
              <w:t>Findings and Recommendations- Overall Application</w:t>
            </w:r>
            <w:r w:rsidR="00200385">
              <w:rPr>
                <w:webHidden/>
              </w:rPr>
              <w:tab/>
            </w:r>
            <w:r w:rsidR="00200385">
              <w:rPr>
                <w:webHidden/>
              </w:rPr>
              <w:fldChar w:fldCharType="begin"/>
            </w:r>
            <w:r w:rsidR="00200385">
              <w:rPr>
                <w:webHidden/>
              </w:rPr>
              <w:instrText xml:space="preserve"> PAGEREF _Toc148704466 \h </w:instrText>
            </w:r>
            <w:r w:rsidR="00200385">
              <w:rPr>
                <w:webHidden/>
              </w:rPr>
            </w:r>
            <w:r w:rsidR="00200385">
              <w:rPr>
                <w:webHidden/>
              </w:rPr>
              <w:fldChar w:fldCharType="separate"/>
            </w:r>
            <w:r w:rsidR="00200385">
              <w:rPr>
                <w:webHidden/>
              </w:rPr>
              <w:t>25</w:t>
            </w:r>
            <w:r w:rsidR="00200385">
              <w:rPr>
                <w:webHidden/>
              </w:rPr>
              <w:fldChar w:fldCharType="end"/>
            </w:r>
          </w:hyperlink>
        </w:p>
        <w:p w14:paraId="63EADFD7" w14:textId="622973F2" w:rsidR="00200385" w:rsidRDefault="00000000">
          <w:pPr>
            <w:pStyle w:val="TOC1"/>
            <w:rPr>
              <w:rFonts w:eastAsiaTheme="minorEastAsia" w:cstheme="minorBidi"/>
              <w:bCs w:val="0"/>
              <w:sz w:val="22"/>
              <w:szCs w:val="22"/>
            </w:rPr>
          </w:pPr>
          <w:hyperlink w:anchor="_Toc148704467" w:history="1">
            <w:r w:rsidR="00200385" w:rsidRPr="008F0D3A">
              <w:rPr>
                <w:rStyle w:val="Hyperlink"/>
              </w:rPr>
              <w:t>Conditions to the DoN</w:t>
            </w:r>
            <w:r w:rsidR="00200385">
              <w:rPr>
                <w:webHidden/>
              </w:rPr>
              <w:tab/>
            </w:r>
            <w:r w:rsidR="00200385">
              <w:rPr>
                <w:webHidden/>
              </w:rPr>
              <w:fldChar w:fldCharType="begin"/>
            </w:r>
            <w:r w:rsidR="00200385">
              <w:rPr>
                <w:webHidden/>
              </w:rPr>
              <w:instrText xml:space="preserve"> PAGEREF _Toc148704467 \h </w:instrText>
            </w:r>
            <w:r w:rsidR="00200385">
              <w:rPr>
                <w:webHidden/>
              </w:rPr>
            </w:r>
            <w:r w:rsidR="00200385">
              <w:rPr>
                <w:webHidden/>
              </w:rPr>
              <w:fldChar w:fldCharType="separate"/>
            </w:r>
            <w:r w:rsidR="00200385">
              <w:rPr>
                <w:webHidden/>
              </w:rPr>
              <w:t>26</w:t>
            </w:r>
            <w:r w:rsidR="00200385">
              <w:rPr>
                <w:webHidden/>
              </w:rPr>
              <w:fldChar w:fldCharType="end"/>
            </w:r>
          </w:hyperlink>
        </w:p>
        <w:p w14:paraId="449A2AD3" w14:textId="1ECE3DD4" w:rsidR="00200385" w:rsidRDefault="00000000">
          <w:pPr>
            <w:pStyle w:val="TOC1"/>
            <w:rPr>
              <w:rFonts w:eastAsiaTheme="minorEastAsia" w:cstheme="minorBidi"/>
              <w:bCs w:val="0"/>
              <w:sz w:val="22"/>
              <w:szCs w:val="22"/>
            </w:rPr>
          </w:pPr>
          <w:hyperlink w:anchor="_Toc148704468" w:history="1">
            <w:r w:rsidR="00200385" w:rsidRPr="008F0D3A">
              <w:rPr>
                <w:rStyle w:val="Hyperlink"/>
              </w:rPr>
              <w:t>Appendix I: Measures for Annual Reporting</w:t>
            </w:r>
            <w:r w:rsidR="00200385">
              <w:rPr>
                <w:webHidden/>
              </w:rPr>
              <w:tab/>
            </w:r>
            <w:r w:rsidR="00200385">
              <w:rPr>
                <w:webHidden/>
              </w:rPr>
              <w:fldChar w:fldCharType="begin"/>
            </w:r>
            <w:r w:rsidR="00200385">
              <w:rPr>
                <w:webHidden/>
              </w:rPr>
              <w:instrText xml:space="preserve"> PAGEREF _Toc148704468 \h </w:instrText>
            </w:r>
            <w:r w:rsidR="00200385">
              <w:rPr>
                <w:webHidden/>
              </w:rPr>
            </w:r>
            <w:r w:rsidR="00200385">
              <w:rPr>
                <w:webHidden/>
              </w:rPr>
              <w:fldChar w:fldCharType="separate"/>
            </w:r>
            <w:r w:rsidR="00200385">
              <w:rPr>
                <w:webHidden/>
              </w:rPr>
              <w:t>27</w:t>
            </w:r>
            <w:r w:rsidR="00200385">
              <w:rPr>
                <w:webHidden/>
              </w:rPr>
              <w:fldChar w:fldCharType="end"/>
            </w:r>
          </w:hyperlink>
        </w:p>
        <w:p w14:paraId="6969B3D2" w14:textId="1BD65B3D" w:rsidR="00200385" w:rsidRDefault="00000000">
          <w:pPr>
            <w:pStyle w:val="TOC1"/>
            <w:rPr>
              <w:rFonts w:eastAsiaTheme="minorEastAsia" w:cstheme="minorBidi"/>
              <w:bCs w:val="0"/>
              <w:sz w:val="22"/>
              <w:szCs w:val="22"/>
            </w:rPr>
          </w:pPr>
          <w:hyperlink w:anchor="_Toc148704469" w:history="1">
            <w:r w:rsidR="00200385" w:rsidRPr="008F0D3A">
              <w:rPr>
                <w:rStyle w:val="Hyperlink"/>
              </w:rPr>
              <w:t>References</w:t>
            </w:r>
            <w:r w:rsidR="00200385">
              <w:rPr>
                <w:webHidden/>
              </w:rPr>
              <w:tab/>
            </w:r>
            <w:r w:rsidR="00200385">
              <w:rPr>
                <w:webHidden/>
              </w:rPr>
              <w:fldChar w:fldCharType="begin"/>
            </w:r>
            <w:r w:rsidR="00200385">
              <w:rPr>
                <w:webHidden/>
              </w:rPr>
              <w:instrText xml:space="preserve"> PAGEREF _Toc148704469 \h </w:instrText>
            </w:r>
            <w:r w:rsidR="00200385">
              <w:rPr>
                <w:webHidden/>
              </w:rPr>
            </w:r>
            <w:r w:rsidR="00200385">
              <w:rPr>
                <w:webHidden/>
              </w:rPr>
              <w:fldChar w:fldCharType="separate"/>
            </w:r>
            <w:r w:rsidR="00200385">
              <w:rPr>
                <w:webHidden/>
              </w:rPr>
              <w:t>29</w:t>
            </w:r>
            <w:r w:rsidR="00200385">
              <w:rPr>
                <w:webHidden/>
              </w:rPr>
              <w:fldChar w:fldCharType="end"/>
            </w:r>
          </w:hyperlink>
        </w:p>
        <w:p w14:paraId="4701D49C" w14:textId="172470F5" w:rsidR="004F0E6C" w:rsidRDefault="004F0E6C">
          <w:r w:rsidRPr="00D73851">
            <w:rPr>
              <w:rFonts w:asciiTheme="minorHAnsi" w:hAnsiTheme="minorHAnsi" w:cstheme="minorHAnsi"/>
              <w:b/>
              <w:bCs/>
              <w:noProof/>
            </w:rPr>
            <w:fldChar w:fldCharType="end"/>
          </w:r>
        </w:p>
      </w:sdtContent>
    </w:sdt>
    <w:p w14:paraId="4964A37C" w14:textId="77777777" w:rsidR="0038009B" w:rsidRDefault="0038009B">
      <w:pPr>
        <w:spacing w:after="200" w:line="276" w:lineRule="auto"/>
        <w:rPr>
          <w:rFonts w:asciiTheme="minorHAnsi" w:eastAsiaTheme="majorEastAsia" w:hAnsiTheme="minorHAnsi" w:cstheme="minorHAnsi"/>
          <w:b/>
          <w:bCs/>
          <w:color w:val="42558C" w:themeColor="accent1" w:themeShade="BF"/>
        </w:rPr>
      </w:pPr>
      <w:r>
        <w:rPr>
          <w:rFonts w:asciiTheme="minorHAnsi" w:hAnsiTheme="minorHAnsi" w:cstheme="minorHAnsi"/>
        </w:rPr>
        <w:br w:type="page"/>
      </w:r>
    </w:p>
    <w:p w14:paraId="08A1CCCE" w14:textId="1638156A" w:rsidR="008D3A71" w:rsidRPr="00392811" w:rsidRDefault="6581D64E" w:rsidP="0038009B">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48704453"/>
      <w:bookmarkEnd w:id="0"/>
      <w:r w:rsidRPr="00392811">
        <w:rPr>
          <w:rFonts w:asciiTheme="minorHAnsi" w:hAnsiTheme="minorHAnsi" w:cstheme="minorHAnsi"/>
        </w:rPr>
        <w:lastRenderedPageBreak/>
        <w:t>B</w:t>
      </w:r>
      <w:r w:rsidR="518392EF" w:rsidRPr="00392811">
        <w:rPr>
          <w:rFonts w:asciiTheme="minorHAnsi" w:hAnsiTheme="minorHAnsi" w:cstheme="minorHAnsi"/>
        </w:rPr>
        <w:t xml:space="preserve">ackground: </w:t>
      </w:r>
      <w:bookmarkStart w:id="15" w:name="_Toc17151135"/>
      <w:bookmarkStart w:id="16" w:name="_Toc17731308"/>
      <w:bookmarkStart w:id="17" w:name="_Toc18420176"/>
      <w:bookmarkStart w:id="18" w:name="_Toc18922397"/>
      <w:bookmarkStart w:id="19" w:name="_Toc27567690"/>
      <w:bookmarkStart w:id="20" w:name="_Toc17151137"/>
      <w:bookmarkStart w:id="21" w:name="_Toc17474921"/>
      <w:bookmarkEnd w:id="1"/>
      <w:bookmarkEnd w:id="2"/>
      <w:bookmarkEnd w:id="3"/>
      <w:bookmarkEnd w:id="4"/>
      <w:bookmarkEnd w:id="5"/>
      <w:bookmarkEnd w:id="6"/>
      <w:bookmarkEnd w:id="7"/>
      <w:bookmarkEnd w:id="8"/>
      <w:bookmarkEnd w:id="9"/>
      <w:bookmarkEnd w:id="10"/>
      <w:bookmarkEnd w:id="11"/>
      <w:bookmarkEnd w:id="12"/>
      <w:bookmarkEnd w:id="13"/>
      <w:r w:rsidR="008D3A71" w:rsidRPr="00392811">
        <w:rPr>
          <w:rFonts w:asciiTheme="minorHAnsi" w:hAnsiTheme="minorHAnsi" w:cstheme="minorHAnsi"/>
        </w:rPr>
        <w:t>BMC Health System (Applicant) and Application Overview</w:t>
      </w:r>
      <w:bookmarkEnd w:id="14"/>
      <w:r w:rsidR="008D3A71" w:rsidRPr="00392811">
        <w:rPr>
          <w:rFonts w:asciiTheme="minorHAnsi" w:hAnsiTheme="minorHAnsi" w:cstheme="minorHAnsi"/>
        </w:rPr>
        <w:t xml:space="preserve">  </w:t>
      </w:r>
    </w:p>
    <w:p w14:paraId="1DD6A3EE" w14:textId="77777777" w:rsidR="00D27467" w:rsidRPr="00392811" w:rsidRDefault="00D27467" w:rsidP="00D27467">
      <w:pPr>
        <w:rPr>
          <w:rFonts w:asciiTheme="minorHAnsi" w:hAnsiTheme="minorHAnsi" w:cstheme="minorHAnsi"/>
        </w:rPr>
      </w:pPr>
    </w:p>
    <w:p w14:paraId="6CABCA2D" w14:textId="12F743CF" w:rsidR="001A374C" w:rsidRPr="00392811" w:rsidRDefault="6E5B5956" w:rsidP="33522357">
      <w:pPr>
        <w:pStyle w:val="FootnoteText"/>
        <w:rPr>
          <w:rFonts w:asciiTheme="minorHAnsi" w:eastAsia="Calibri" w:hAnsiTheme="minorHAnsi" w:cstheme="minorHAnsi"/>
          <w:sz w:val="24"/>
          <w:szCs w:val="24"/>
        </w:rPr>
      </w:pPr>
      <w:r w:rsidRPr="00392811">
        <w:rPr>
          <w:rFonts w:asciiTheme="minorHAnsi" w:hAnsiTheme="minorHAnsi" w:cstheme="minorHAnsi"/>
          <w:sz w:val="24"/>
          <w:szCs w:val="24"/>
        </w:rPr>
        <w:t xml:space="preserve">The Applicant, </w:t>
      </w:r>
      <w:r w:rsidR="6F41FFE7" w:rsidRPr="00392811">
        <w:rPr>
          <w:rFonts w:asciiTheme="minorHAnsi" w:hAnsiTheme="minorHAnsi" w:cstheme="minorHAnsi"/>
          <w:sz w:val="24"/>
          <w:szCs w:val="24"/>
        </w:rPr>
        <w:t xml:space="preserve">BMC Health System, Inc. </w:t>
      </w:r>
      <w:r w:rsidR="6F41FFE7" w:rsidRPr="00392811">
        <w:rPr>
          <w:rFonts w:asciiTheme="minorHAnsi" w:eastAsia="Calibri" w:hAnsiTheme="minorHAnsi" w:cstheme="minorHAnsi"/>
          <w:sz w:val="24"/>
          <w:szCs w:val="24"/>
        </w:rPr>
        <w:t>is a Massachusetts not-for-profit corporation, located at One Boston Medical Center Place, Boston, Massachusetts 02118.</w:t>
      </w:r>
      <w:r w:rsidR="001A374C" w:rsidRPr="00392811">
        <w:rPr>
          <w:rFonts w:asciiTheme="minorHAnsi" w:hAnsiTheme="minorHAnsi" w:cstheme="minorHAnsi"/>
        </w:rPr>
        <w:t xml:space="preserve"> </w:t>
      </w:r>
      <w:r w:rsidR="001A374C" w:rsidRPr="00392811">
        <w:rPr>
          <w:rFonts w:asciiTheme="minorHAnsi" w:eastAsia="Calibri" w:hAnsiTheme="minorHAnsi" w:cstheme="minorHAnsi"/>
          <w:sz w:val="24"/>
          <w:szCs w:val="24"/>
        </w:rPr>
        <w:t>BMC Health System</w:t>
      </w:r>
      <w:r w:rsidRPr="00392811">
        <w:rPr>
          <w:rFonts w:asciiTheme="minorHAnsi" w:eastAsia="Calibri" w:hAnsiTheme="minorHAnsi" w:cstheme="minorHAnsi"/>
          <w:sz w:val="24"/>
          <w:szCs w:val="24"/>
        </w:rPr>
        <w:t xml:space="preserve"> is an</w:t>
      </w:r>
      <w:r w:rsidR="001A374C" w:rsidRPr="00392811">
        <w:rPr>
          <w:rFonts w:asciiTheme="minorHAnsi" w:eastAsia="Calibri" w:hAnsiTheme="minorHAnsi" w:cstheme="minorHAnsi"/>
          <w:sz w:val="24"/>
          <w:szCs w:val="24"/>
        </w:rPr>
        <w:t xml:space="preserve"> </w:t>
      </w:r>
      <w:r w:rsidRPr="00392811">
        <w:rPr>
          <w:rFonts w:asciiTheme="minorHAnsi" w:eastAsia="Calibri" w:hAnsiTheme="minorHAnsi" w:cstheme="minorHAnsi"/>
          <w:sz w:val="24"/>
          <w:szCs w:val="24"/>
        </w:rPr>
        <w:t xml:space="preserve">integrated health care system that </w:t>
      </w:r>
      <w:r w:rsidR="001A374C" w:rsidRPr="00392811">
        <w:rPr>
          <w:rFonts w:asciiTheme="minorHAnsi" w:eastAsia="Calibri" w:hAnsiTheme="minorHAnsi" w:cstheme="minorHAnsi"/>
          <w:sz w:val="24"/>
          <w:szCs w:val="24"/>
        </w:rPr>
        <w:t>provides primary, specialty, and</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tertiary care, as well as access to a managed care organization, an accountable care organization</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(ACO), and other health related programs, to populations in the Boston</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metropolitan area</w:t>
      </w:r>
      <w:r w:rsidR="009427D4">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individuals throughout Greater Boston, Massachusetts, and beyond.</w:t>
      </w:r>
    </w:p>
    <w:p w14:paraId="39B1338F" w14:textId="77777777" w:rsidR="001A374C" w:rsidRPr="00392811" w:rsidRDefault="001A374C" w:rsidP="008D3A71">
      <w:pPr>
        <w:pStyle w:val="FootnoteText"/>
        <w:rPr>
          <w:rFonts w:asciiTheme="minorHAnsi" w:eastAsia="Calibri" w:hAnsiTheme="minorHAnsi" w:cstheme="minorHAnsi"/>
          <w:sz w:val="24"/>
          <w:szCs w:val="24"/>
        </w:rPr>
      </w:pPr>
    </w:p>
    <w:p w14:paraId="46FFA561" w14:textId="70E4E7B5" w:rsidR="008D3A71" w:rsidRPr="00392811" w:rsidRDefault="007D4362" w:rsidP="00A85D0D">
      <w:pPr>
        <w:pStyle w:val="FootnoteText"/>
        <w:rPr>
          <w:rFonts w:asciiTheme="minorHAnsi" w:hAnsiTheme="minorHAnsi" w:cstheme="minorHAnsi"/>
          <w:sz w:val="24"/>
          <w:szCs w:val="24"/>
        </w:rPr>
      </w:pPr>
      <w:r w:rsidRPr="00392811">
        <w:rPr>
          <w:rFonts w:asciiTheme="minorHAnsi" w:hAnsiTheme="minorHAnsi" w:cstheme="minorHAnsi"/>
          <w:sz w:val="24"/>
          <w:szCs w:val="24"/>
        </w:rPr>
        <w:t>BMC Health System is the sole corporate member of four entities</w:t>
      </w:r>
      <w:r w:rsidR="009427D4">
        <w:rPr>
          <w:rFonts w:asciiTheme="minorHAnsi" w:hAnsiTheme="minorHAnsi" w:cstheme="minorHAnsi"/>
          <w:sz w:val="24"/>
          <w:szCs w:val="24"/>
        </w:rPr>
        <w:t xml:space="preserve"> including </w:t>
      </w:r>
      <w:r w:rsidR="008D3A71" w:rsidRPr="00392811">
        <w:rPr>
          <w:rFonts w:asciiTheme="minorHAnsi" w:hAnsiTheme="minorHAnsi" w:cstheme="minorHAnsi"/>
          <w:sz w:val="24"/>
          <w:szCs w:val="24"/>
        </w:rPr>
        <w:t>Boston Medical Center Corporation</w:t>
      </w:r>
      <w:r w:rsidR="00453E9C" w:rsidRPr="00392811">
        <w:rPr>
          <w:rFonts w:asciiTheme="minorHAnsi" w:hAnsiTheme="minorHAnsi" w:cstheme="minorHAnsi"/>
          <w:sz w:val="24"/>
          <w:szCs w:val="24"/>
        </w:rPr>
        <w:t>,</w:t>
      </w:r>
      <w:r w:rsidR="008F54D7" w:rsidRPr="00392811">
        <w:rPr>
          <w:rFonts w:asciiTheme="minorHAnsi" w:hAnsiTheme="minorHAnsi" w:cstheme="minorHAnsi"/>
          <w:sz w:val="24"/>
          <w:szCs w:val="24"/>
        </w:rPr>
        <w:t xml:space="preserve"> the site of the Proposed Project</w:t>
      </w:r>
      <w:r w:rsidR="009427D4">
        <w:rPr>
          <w:rFonts w:asciiTheme="minorHAnsi" w:hAnsiTheme="minorHAnsi" w:cstheme="minorHAnsi"/>
          <w:sz w:val="24"/>
          <w:szCs w:val="24"/>
        </w:rPr>
        <w:t>.</w:t>
      </w:r>
      <w:r w:rsidR="009427D4" w:rsidRPr="009427D4">
        <w:rPr>
          <w:rFonts w:asciiTheme="minorHAnsi" w:hAnsiTheme="minorHAnsi" w:cstheme="minorHAnsi"/>
          <w:sz w:val="24"/>
          <w:szCs w:val="24"/>
          <w:vertAlign w:val="superscript"/>
        </w:rPr>
        <w:footnoteReference w:id="2"/>
      </w:r>
      <w:r w:rsidR="009427D4" w:rsidRPr="009427D4">
        <w:rPr>
          <w:rFonts w:asciiTheme="minorHAnsi" w:hAnsiTheme="minorHAnsi" w:cstheme="minorHAnsi"/>
          <w:sz w:val="24"/>
          <w:szCs w:val="24"/>
        </w:rPr>
        <w:t xml:space="preserve"> </w:t>
      </w:r>
      <w:r w:rsidR="00453E9C" w:rsidRPr="00392811">
        <w:rPr>
          <w:rFonts w:asciiTheme="minorHAnsi" w:hAnsiTheme="minorHAnsi" w:cstheme="minorHAnsi"/>
          <w:sz w:val="24"/>
          <w:szCs w:val="24"/>
        </w:rPr>
        <w:t>All four</w:t>
      </w:r>
      <w:r w:rsidR="00A85D0D" w:rsidRPr="00392811">
        <w:rPr>
          <w:rFonts w:asciiTheme="minorHAnsi" w:hAnsiTheme="minorHAnsi" w:cstheme="minorHAnsi"/>
          <w:sz w:val="24"/>
          <w:szCs w:val="24"/>
        </w:rPr>
        <w:t xml:space="preserve"> provide a variety of</w:t>
      </w:r>
      <w:r w:rsidR="00CB6545" w:rsidRPr="00392811">
        <w:rPr>
          <w:rFonts w:asciiTheme="minorHAnsi" w:hAnsiTheme="minorHAnsi" w:cstheme="minorHAnsi"/>
          <w:sz w:val="24"/>
          <w:szCs w:val="24"/>
        </w:rPr>
        <w:t xml:space="preserve"> </w:t>
      </w:r>
      <w:r w:rsidR="00A85D0D" w:rsidRPr="00392811">
        <w:rPr>
          <w:rFonts w:asciiTheme="minorHAnsi" w:hAnsiTheme="minorHAnsi" w:cstheme="minorHAnsi"/>
          <w:sz w:val="24"/>
          <w:szCs w:val="24"/>
        </w:rPr>
        <w:t>services</w:t>
      </w:r>
      <w:r w:rsidR="00453E9C" w:rsidRPr="00392811">
        <w:rPr>
          <w:rFonts w:asciiTheme="minorHAnsi" w:hAnsiTheme="minorHAnsi" w:cstheme="minorHAnsi"/>
          <w:sz w:val="24"/>
          <w:szCs w:val="24"/>
        </w:rPr>
        <w:t xml:space="preserve"> with</w:t>
      </w:r>
      <w:r w:rsidR="00A85D0D" w:rsidRPr="00392811">
        <w:rPr>
          <w:rFonts w:asciiTheme="minorHAnsi" w:hAnsiTheme="minorHAnsi" w:cstheme="minorHAnsi"/>
          <w:sz w:val="24"/>
          <w:szCs w:val="24"/>
        </w:rPr>
        <w:t xml:space="preserve"> BMC Health System provid</w:t>
      </w:r>
      <w:r w:rsidR="00453E9C" w:rsidRPr="00392811">
        <w:rPr>
          <w:rFonts w:asciiTheme="minorHAnsi" w:hAnsiTheme="minorHAnsi" w:cstheme="minorHAnsi"/>
          <w:sz w:val="24"/>
          <w:szCs w:val="24"/>
        </w:rPr>
        <w:t xml:space="preserve">ing </w:t>
      </w:r>
      <w:r w:rsidR="00A85D0D" w:rsidRPr="00392811">
        <w:rPr>
          <w:rFonts w:asciiTheme="minorHAnsi" w:hAnsiTheme="minorHAnsi" w:cstheme="minorHAnsi"/>
          <w:sz w:val="24"/>
          <w:szCs w:val="24"/>
        </w:rPr>
        <w:t xml:space="preserve">governance and </w:t>
      </w:r>
      <w:r w:rsidR="00CB6545" w:rsidRPr="00392811">
        <w:rPr>
          <w:rFonts w:asciiTheme="minorHAnsi" w:hAnsiTheme="minorHAnsi" w:cstheme="minorHAnsi"/>
          <w:sz w:val="24"/>
          <w:szCs w:val="24"/>
        </w:rPr>
        <w:t>long-term</w:t>
      </w:r>
      <w:r w:rsidR="00A85D0D" w:rsidRPr="00392811">
        <w:rPr>
          <w:rFonts w:asciiTheme="minorHAnsi" w:hAnsiTheme="minorHAnsi" w:cstheme="minorHAnsi"/>
          <w:sz w:val="24"/>
          <w:szCs w:val="24"/>
        </w:rPr>
        <w:t xml:space="preserve"> strategic planning as well as budgetary and financial assistance</w:t>
      </w:r>
      <w:r w:rsidR="00CB6545" w:rsidRPr="00392811">
        <w:rPr>
          <w:rFonts w:asciiTheme="minorHAnsi" w:hAnsiTheme="minorHAnsi" w:cstheme="minorHAnsi"/>
          <w:sz w:val="24"/>
          <w:szCs w:val="24"/>
        </w:rPr>
        <w:t>, while overseeing operations.</w:t>
      </w:r>
      <w:r w:rsidR="008D3A71" w:rsidRPr="00392811">
        <w:rPr>
          <w:rFonts w:asciiTheme="minorHAnsi" w:hAnsiTheme="minorHAnsi" w:cstheme="minorHAnsi"/>
          <w:sz w:val="24"/>
          <w:szCs w:val="24"/>
        </w:rPr>
        <w:t xml:space="preserve"> </w:t>
      </w:r>
    </w:p>
    <w:p w14:paraId="7D39F021" w14:textId="77777777" w:rsidR="009F2DC9" w:rsidRPr="00392811" w:rsidRDefault="009F2DC9" w:rsidP="00C60B07">
      <w:pPr>
        <w:rPr>
          <w:rFonts w:asciiTheme="minorHAnsi" w:hAnsiTheme="minorHAnsi" w:cstheme="minorHAnsi"/>
        </w:rPr>
      </w:pPr>
    </w:p>
    <w:p w14:paraId="6B8AA790" w14:textId="7815782D" w:rsidR="00DA1F64" w:rsidRDefault="008D4EE4" w:rsidP="00DA1F64">
      <w:pPr>
        <w:pStyle w:val="xmsofootnotetext"/>
        <w:rPr>
          <w:rFonts w:asciiTheme="minorHAnsi" w:hAnsiTheme="minorHAnsi" w:cstheme="minorHAnsi"/>
          <w:color w:val="201F1E"/>
          <w:sz w:val="24"/>
          <w:szCs w:val="24"/>
        </w:rPr>
      </w:pPr>
      <w:r>
        <w:rPr>
          <w:rFonts w:asciiTheme="minorHAnsi" w:hAnsiTheme="minorHAnsi" w:cstheme="minorHAnsi"/>
          <w:sz w:val="24"/>
          <w:szCs w:val="24"/>
        </w:rPr>
        <w:t xml:space="preserve">BMC </w:t>
      </w:r>
      <w:r w:rsidR="008D3A71" w:rsidRPr="00392811">
        <w:rPr>
          <w:rFonts w:asciiTheme="minorHAnsi" w:hAnsiTheme="minorHAnsi" w:cstheme="minorHAnsi"/>
          <w:sz w:val="24"/>
          <w:szCs w:val="24"/>
        </w:rPr>
        <w:t xml:space="preserve">is </w:t>
      </w:r>
      <w:r w:rsidR="00036340" w:rsidRPr="00392811">
        <w:rPr>
          <w:rFonts w:asciiTheme="minorHAnsi" w:hAnsiTheme="minorHAnsi" w:cstheme="minorHAnsi"/>
          <w:sz w:val="24"/>
          <w:szCs w:val="24"/>
        </w:rPr>
        <w:t>a 514-bed</w:t>
      </w:r>
      <w:r w:rsidR="00C60B07" w:rsidRPr="00392811">
        <w:rPr>
          <w:rFonts w:asciiTheme="minorHAnsi" w:hAnsiTheme="minorHAnsi" w:cstheme="minorHAnsi"/>
          <w:sz w:val="24"/>
          <w:szCs w:val="24"/>
        </w:rPr>
        <w:t xml:space="preserve"> urban</w:t>
      </w:r>
      <w:r w:rsidR="00036340" w:rsidRPr="00392811">
        <w:rPr>
          <w:rFonts w:asciiTheme="minorHAnsi" w:hAnsiTheme="minorHAnsi" w:cstheme="minorHAnsi"/>
          <w:sz w:val="24"/>
          <w:szCs w:val="24"/>
        </w:rPr>
        <w:t xml:space="preserve"> </w:t>
      </w:r>
      <w:r w:rsidR="008D3A71" w:rsidRPr="00392811">
        <w:rPr>
          <w:rFonts w:asciiTheme="minorHAnsi" w:hAnsiTheme="minorHAnsi" w:cstheme="minorHAnsi"/>
          <w:sz w:val="24"/>
          <w:szCs w:val="24"/>
        </w:rPr>
        <w:t>academic</w:t>
      </w:r>
      <w:r w:rsidR="000C3BDF" w:rsidRPr="00392811">
        <w:rPr>
          <w:rFonts w:asciiTheme="minorHAnsi" w:hAnsiTheme="minorHAnsi" w:cstheme="minorHAnsi"/>
          <w:sz w:val="24"/>
          <w:szCs w:val="24"/>
        </w:rPr>
        <w:t xml:space="preserve"> medical center</w:t>
      </w:r>
      <w:r w:rsidR="007D1CCB" w:rsidRPr="00392811">
        <w:rPr>
          <w:rFonts w:asciiTheme="minorHAnsi" w:hAnsiTheme="minorHAnsi" w:cstheme="minorHAnsi"/>
          <w:sz w:val="24"/>
          <w:szCs w:val="24"/>
          <w:vertAlign w:val="superscript"/>
        </w:rPr>
        <w:footnoteReference w:id="3"/>
      </w:r>
      <w:r w:rsidR="007D1CCB" w:rsidRPr="00392811">
        <w:rPr>
          <w:rFonts w:asciiTheme="minorHAnsi" w:hAnsiTheme="minorHAnsi" w:cstheme="minorHAnsi"/>
          <w:sz w:val="24"/>
          <w:szCs w:val="24"/>
        </w:rPr>
        <w:t xml:space="preserve"> </w:t>
      </w:r>
      <w:r w:rsidR="009427D4">
        <w:rPr>
          <w:rFonts w:asciiTheme="minorHAnsi" w:hAnsiTheme="minorHAnsi" w:cstheme="minorHAnsi"/>
          <w:sz w:val="24"/>
          <w:szCs w:val="24"/>
        </w:rPr>
        <w:t>(“AMC”) that</w:t>
      </w:r>
      <w:r w:rsidR="005856FB" w:rsidRPr="00392811">
        <w:rPr>
          <w:rFonts w:asciiTheme="minorHAnsi" w:hAnsiTheme="minorHAnsi" w:cstheme="minorHAnsi"/>
          <w:sz w:val="24"/>
          <w:szCs w:val="24"/>
        </w:rPr>
        <w:t xml:space="preserve"> is a safety net hospital,</w:t>
      </w:r>
      <w:r w:rsidR="007D1CCB" w:rsidRPr="00392811">
        <w:rPr>
          <w:rStyle w:val="FootnoteReference"/>
          <w:rFonts w:asciiTheme="minorHAnsi" w:hAnsiTheme="minorHAnsi" w:cstheme="minorHAnsi"/>
          <w:sz w:val="24"/>
          <w:szCs w:val="24"/>
        </w:rPr>
        <w:footnoteReference w:id="4"/>
      </w:r>
      <w:r w:rsidR="007D1CCB" w:rsidRPr="00392811">
        <w:rPr>
          <w:rFonts w:asciiTheme="minorHAnsi" w:hAnsiTheme="minorHAnsi" w:cstheme="minorHAnsi"/>
          <w:sz w:val="24"/>
          <w:szCs w:val="24"/>
        </w:rPr>
        <w:t xml:space="preserve"> and a high public payer hospital</w:t>
      </w:r>
      <w:r w:rsidR="001617D4">
        <w:rPr>
          <w:rFonts w:asciiTheme="minorHAnsi" w:hAnsiTheme="minorHAnsi" w:cstheme="minorHAnsi"/>
          <w:sz w:val="24"/>
          <w:szCs w:val="24"/>
        </w:rPr>
        <w:t>.</w:t>
      </w:r>
      <w:r w:rsidR="007D1CCB" w:rsidRPr="00392811">
        <w:rPr>
          <w:rStyle w:val="FootnoteReference"/>
          <w:rFonts w:asciiTheme="minorHAnsi" w:hAnsiTheme="minorHAnsi" w:cstheme="minorHAnsi"/>
          <w:sz w:val="24"/>
          <w:szCs w:val="24"/>
        </w:rPr>
        <w:footnoteReference w:id="5"/>
      </w:r>
      <w:r w:rsidR="005856FB" w:rsidRPr="00392811">
        <w:rPr>
          <w:rFonts w:asciiTheme="minorHAnsi" w:hAnsiTheme="minorHAnsi" w:cstheme="minorHAnsi"/>
          <w:sz w:val="24"/>
          <w:szCs w:val="24"/>
        </w:rPr>
        <w:t xml:space="preserve"> </w:t>
      </w:r>
      <w:r w:rsidR="00453E9C" w:rsidRPr="00392811">
        <w:rPr>
          <w:rFonts w:asciiTheme="minorHAnsi" w:hAnsiTheme="minorHAnsi" w:cstheme="minorHAnsi"/>
          <w:sz w:val="24"/>
          <w:szCs w:val="24"/>
        </w:rPr>
        <w:t>It</w:t>
      </w:r>
      <w:r w:rsidR="000C3BDF" w:rsidRPr="00392811">
        <w:rPr>
          <w:rFonts w:asciiTheme="minorHAnsi" w:hAnsiTheme="minorHAnsi" w:cstheme="minorHAnsi"/>
          <w:sz w:val="24"/>
          <w:szCs w:val="24"/>
        </w:rPr>
        <w:t xml:space="preserve"> </w:t>
      </w:r>
      <w:r w:rsidR="008F11FB" w:rsidRPr="00392811">
        <w:rPr>
          <w:rFonts w:asciiTheme="minorHAnsi" w:hAnsiTheme="minorHAnsi" w:cstheme="minorHAnsi"/>
          <w:sz w:val="24"/>
          <w:szCs w:val="24"/>
        </w:rPr>
        <w:t>provides specialty</w:t>
      </w:r>
      <w:r w:rsidR="00F10A6D">
        <w:rPr>
          <w:rFonts w:asciiTheme="minorHAnsi" w:hAnsiTheme="minorHAnsi" w:cstheme="minorHAnsi"/>
          <w:sz w:val="24"/>
          <w:szCs w:val="24"/>
        </w:rPr>
        <w:t>,</w:t>
      </w:r>
      <w:r w:rsidR="005856FB" w:rsidRPr="00392811">
        <w:rPr>
          <w:rFonts w:asciiTheme="minorHAnsi" w:hAnsiTheme="minorHAnsi" w:cstheme="minorHAnsi"/>
          <w:sz w:val="24"/>
          <w:szCs w:val="24"/>
        </w:rPr>
        <w:t xml:space="preserve"> secondary</w:t>
      </w:r>
      <w:r w:rsidR="00F10A6D">
        <w:rPr>
          <w:rFonts w:asciiTheme="minorHAnsi" w:hAnsiTheme="minorHAnsi" w:cstheme="minorHAnsi"/>
          <w:sz w:val="24"/>
          <w:szCs w:val="24"/>
        </w:rPr>
        <w:t>,</w:t>
      </w:r>
      <w:r w:rsidR="005856FB" w:rsidRPr="00392811">
        <w:rPr>
          <w:rFonts w:asciiTheme="minorHAnsi" w:hAnsiTheme="minorHAnsi" w:cstheme="minorHAnsi"/>
          <w:sz w:val="24"/>
          <w:szCs w:val="24"/>
        </w:rPr>
        <w:t xml:space="preserve"> and tertiary care for patients with complex medical needs and operates a Leve I Adult, and Level II Pediatric trauma center</w:t>
      </w:r>
      <w:r w:rsidR="00453E9C" w:rsidRPr="00392811">
        <w:rPr>
          <w:rFonts w:asciiTheme="minorHAnsi" w:hAnsiTheme="minorHAnsi" w:cstheme="minorHAnsi"/>
          <w:sz w:val="24"/>
          <w:szCs w:val="24"/>
        </w:rPr>
        <w:t xml:space="preserve"> </w:t>
      </w:r>
      <w:r w:rsidR="008F11FB" w:rsidRPr="00392811">
        <w:rPr>
          <w:rFonts w:asciiTheme="minorHAnsi" w:hAnsiTheme="minorHAnsi" w:cstheme="minorHAnsi"/>
          <w:sz w:val="24"/>
          <w:szCs w:val="24"/>
        </w:rPr>
        <w:t>a</w:t>
      </w:r>
      <w:r w:rsidR="00A53120">
        <w:rPr>
          <w:rFonts w:asciiTheme="minorHAnsi" w:hAnsiTheme="minorHAnsi" w:cstheme="minorHAnsi"/>
          <w:sz w:val="24"/>
          <w:szCs w:val="24"/>
        </w:rPr>
        <w:t>s well as</w:t>
      </w:r>
      <w:r w:rsidR="008F11FB" w:rsidRPr="00392811">
        <w:rPr>
          <w:rFonts w:asciiTheme="minorHAnsi" w:hAnsiTheme="minorHAnsi" w:cstheme="minorHAnsi"/>
          <w:sz w:val="24"/>
          <w:szCs w:val="24"/>
        </w:rPr>
        <w:t xml:space="preserve"> </w:t>
      </w:r>
      <w:r w:rsidR="005856FB" w:rsidRPr="00392811">
        <w:rPr>
          <w:rFonts w:asciiTheme="minorHAnsi" w:hAnsiTheme="minorHAnsi" w:cstheme="minorHAnsi"/>
          <w:sz w:val="24"/>
          <w:szCs w:val="24"/>
        </w:rPr>
        <w:t>ambulatory</w:t>
      </w:r>
      <w:r w:rsidR="007D4362" w:rsidRPr="00392811">
        <w:rPr>
          <w:rFonts w:asciiTheme="minorHAnsi" w:hAnsiTheme="minorHAnsi" w:cstheme="minorHAnsi"/>
          <w:sz w:val="24"/>
          <w:szCs w:val="24"/>
        </w:rPr>
        <w:t xml:space="preserve"> </w:t>
      </w:r>
      <w:r w:rsidR="00C60B07" w:rsidRPr="00392811">
        <w:rPr>
          <w:rFonts w:asciiTheme="minorHAnsi" w:hAnsiTheme="minorHAnsi" w:cstheme="minorHAnsi"/>
          <w:sz w:val="24"/>
          <w:szCs w:val="24"/>
        </w:rPr>
        <w:t>care</w:t>
      </w:r>
      <w:r w:rsidR="008F11FB" w:rsidRPr="00392811">
        <w:rPr>
          <w:rFonts w:asciiTheme="minorHAnsi" w:hAnsiTheme="minorHAnsi" w:cstheme="minorHAnsi"/>
          <w:sz w:val="24"/>
          <w:szCs w:val="24"/>
        </w:rPr>
        <w:t>.</w:t>
      </w:r>
      <w:r w:rsidR="00A53120">
        <w:rPr>
          <w:rFonts w:asciiTheme="minorHAnsi" w:hAnsiTheme="minorHAnsi" w:cstheme="minorHAnsi"/>
          <w:sz w:val="24"/>
          <w:szCs w:val="24"/>
        </w:rPr>
        <w:t xml:space="preserve"> It</w:t>
      </w:r>
      <w:r w:rsidR="00A53120" w:rsidRPr="00A53120">
        <w:rPr>
          <w:rFonts w:asciiTheme="minorHAnsi" w:hAnsiTheme="minorHAnsi" w:cstheme="minorHAnsi"/>
          <w:sz w:val="24"/>
          <w:szCs w:val="24"/>
        </w:rPr>
        <w:t xml:space="preserve"> is the primary teaching affiliate for the Boston University School of Medicine.</w:t>
      </w:r>
      <w:r w:rsidR="00A53120">
        <w:rPr>
          <w:rFonts w:asciiTheme="minorHAnsi" w:hAnsiTheme="minorHAnsi" w:cstheme="minorHAnsi"/>
          <w:sz w:val="24"/>
          <w:szCs w:val="24"/>
        </w:rPr>
        <w:t xml:space="preserve"> </w:t>
      </w:r>
      <w:r w:rsidR="00DA1F64" w:rsidRPr="00392811">
        <w:rPr>
          <w:rFonts w:asciiTheme="minorHAnsi" w:hAnsiTheme="minorHAnsi" w:cstheme="minorHAnsi"/>
          <w:color w:val="201F1E"/>
          <w:sz w:val="24"/>
          <w:szCs w:val="24"/>
        </w:rPr>
        <w:t xml:space="preserve">In addition to its main hospital campus, BMC also offers services to patients through various hospital satellites, school-based health centers, and physician group locations, as well as </w:t>
      </w:r>
      <w:r w:rsidR="001617D4">
        <w:rPr>
          <w:rFonts w:asciiTheme="minorHAnsi" w:hAnsiTheme="minorHAnsi" w:cstheme="minorHAnsi"/>
          <w:color w:val="201F1E"/>
          <w:sz w:val="24"/>
          <w:szCs w:val="24"/>
        </w:rPr>
        <w:t xml:space="preserve">four </w:t>
      </w:r>
      <w:r w:rsidR="00DA1F64" w:rsidRPr="00392811">
        <w:rPr>
          <w:rFonts w:asciiTheme="minorHAnsi" w:hAnsiTheme="minorHAnsi" w:cstheme="minorHAnsi"/>
          <w:color w:val="201F1E"/>
          <w:sz w:val="24"/>
          <w:szCs w:val="24"/>
        </w:rPr>
        <w:t xml:space="preserve">community health center </w:t>
      </w:r>
      <w:r w:rsidR="00F10A6D">
        <w:rPr>
          <w:rFonts w:asciiTheme="minorHAnsi" w:hAnsiTheme="minorHAnsi" w:cstheme="minorHAnsi"/>
          <w:color w:val="201F1E"/>
          <w:sz w:val="24"/>
          <w:szCs w:val="24"/>
        </w:rPr>
        <w:t>p</w:t>
      </w:r>
      <w:r w:rsidR="00DA1F64" w:rsidRPr="00392811">
        <w:rPr>
          <w:rFonts w:asciiTheme="minorHAnsi" w:hAnsiTheme="minorHAnsi" w:cstheme="minorHAnsi"/>
          <w:color w:val="201F1E"/>
          <w:sz w:val="24"/>
          <w:szCs w:val="24"/>
        </w:rPr>
        <w:t>artners</w:t>
      </w:r>
      <w:r w:rsidR="00A53120">
        <w:rPr>
          <w:rFonts w:asciiTheme="minorHAnsi" w:hAnsiTheme="minorHAnsi" w:cstheme="minorHAnsi"/>
          <w:color w:val="201F1E"/>
          <w:sz w:val="24"/>
          <w:szCs w:val="24"/>
        </w:rPr>
        <w:t>:</w:t>
      </w:r>
      <w:r w:rsidR="00DA1F64" w:rsidRPr="00392811">
        <w:rPr>
          <w:rStyle w:val="FootnoteReference"/>
          <w:rFonts w:asciiTheme="minorHAnsi" w:hAnsiTheme="minorHAnsi" w:cstheme="minorHAnsi"/>
          <w:color w:val="201F1E"/>
          <w:sz w:val="24"/>
          <w:szCs w:val="24"/>
        </w:rPr>
        <w:footnoteReference w:id="6"/>
      </w:r>
      <w:r w:rsidR="00A53120">
        <w:rPr>
          <w:rFonts w:asciiTheme="minorHAnsi" w:hAnsiTheme="minorHAnsi" w:cstheme="minorHAnsi"/>
          <w:color w:val="201F1E"/>
          <w:sz w:val="24"/>
          <w:szCs w:val="24"/>
        </w:rPr>
        <w:t xml:space="preserve"> </w:t>
      </w:r>
    </w:p>
    <w:p w14:paraId="6BA8F262" w14:textId="77777777" w:rsidR="00A53120" w:rsidRPr="00392811" w:rsidRDefault="00A53120" w:rsidP="00DA1F64">
      <w:pPr>
        <w:pStyle w:val="xmsofootnotetext"/>
        <w:rPr>
          <w:rStyle w:val="apple-converted-space"/>
          <w:rFonts w:asciiTheme="minorHAnsi" w:hAnsiTheme="minorHAnsi" w:cstheme="minorHAnsi"/>
          <w:color w:val="201F1E"/>
          <w:sz w:val="24"/>
          <w:szCs w:val="24"/>
        </w:rPr>
      </w:pPr>
    </w:p>
    <w:p w14:paraId="25DFF6AD" w14:textId="77777777" w:rsidR="00884BCF" w:rsidRPr="00392811" w:rsidRDefault="00884BCF" w:rsidP="00884BCF">
      <w:pPr>
        <w:rPr>
          <w:rFonts w:asciiTheme="minorHAnsi" w:hAnsiTheme="minorHAnsi" w:cstheme="minorHAnsi"/>
        </w:rPr>
      </w:pPr>
    </w:p>
    <w:p w14:paraId="5603C20D" w14:textId="2EAAA2A8" w:rsidR="00E21283" w:rsidRPr="00392811" w:rsidRDefault="00567EFC" w:rsidP="00E21283">
      <w:pPr>
        <w:rPr>
          <w:rFonts w:asciiTheme="minorHAnsi" w:hAnsiTheme="minorHAnsi" w:cstheme="minorHAnsi"/>
        </w:rPr>
      </w:pPr>
      <w:r w:rsidRPr="00392811">
        <w:rPr>
          <w:rFonts w:asciiTheme="minorHAnsi" w:hAnsiTheme="minorHAnsi" w:cstheme="minorHAnsi"/>
        </w:rPr>
        <w:lastRenderedPageBreak/>
        <w:t xml:space="preserve">The Proposed Project is </w:t>
      </w:r>
      <w:r w:rsidR="00E21283" w:rsidRPr="00392811">
        <w:rPr>
          <w:rFonts w:asciiTheme="minorHAnsi" w:hAnsiTheme="minorHAnsi" w:cstheme="minorHAnsi"/>
        </w:rPr>
        <w:t xml:space="preserve">for the addition of one MRI </w:t>
      </w:r>
      <w:r w:rsidRPr="00392811">
        <w:rPr>
          <w:rFonts w:asciiTheme="minorHAnsi" w:hAnsiTheme="minorHAnsi" w:cstheme="minorHAnsi"/>
        </w:rPr>
        <w:t xml:space="preserve">at </w:t>
      </w:r>
      <w:r w:rsidR="00E21283" w:rsidRPr="00392811">
        <w:rPr>
          <w:rFonts w:asciiTheme="minorHAnsi" w:hAnsiTheme="minorHAnsi" w:cstheme="minorHAnsi"/>
        </w:rPr>
        <w:t xml:space="preserve">BMC. </w:t>
      </w:r>
      <w:r w:rsidR="008D3A71" w:rsidRPr="00392811">
        <w:rPr>
          <w:rFonts w:asciiTheme="minorHAnsi" w:hAnsiTheme="minorHAnsi" w:cstheme="minorHAnsi"/>
        </w:rPr>
        <w:t xml:space="preserve">The Applicant asserts the Proposed Project will </w:t>
      </w:r>
      <w:r w:rsidR="00E21283" w:rsidRPr="00392811">
        <w:rPr>
          <w:rFonts w:asciiTheme="minorHAnsi" w:hAnsiTheme="minorHAnsi" w:cstheme="minorHAnsi"/>
        </w:rPr>
        <w:t xml:space="preserve">alleviate wait-times for MRI, </w:t>
      </w:r>
      <w:r w:rsidR="008D3A71" w:rsidRPr="00392811">
        <w:rPr>
          <w:rFonts w:asciiTheme="minorHAnsi" w:hAnsiTheme="minorHAnsi" w:cstheme="minorHAnsi"/>
        </w:rPr>
        <w:t xml:space="preserve">increase </w:t>
      </w:r>
      <w:r w:rsidR="008F11FB" w:rsidRPr="00392811">
        <w:rPr>
          <w:rFonts w:asciiTheme="minorHAnsi" w:hAnsiTheme="minorHAnsi" w:cstheme="minorHAnsi"/>
        </w:rPr>
        <w:t xml:space="preserve">timely </w:t>
      </w:r>
      <w:r w:rsidR="008D3A71" w:rsidRPr="00392811">
        <w:rPr>
          <w:rFonts w:asciiTheme="minorHAnsi" w:hAnsiTheme="minorHAnsi" w:cstheme="minorHAnsi"/>
        </w:rPr>
        <w:t xml:space="preserve">access to </w:t>
      </w:r>
      <w:r w:rsidR="00E21283" w:rsidRPr="00392811">
        <w:rPr>
          <w:rFonts w:asciiTheme="minorHAnsi" w:hAnsiTheme="minorHAnsi" w:cstheme="minorHAnsi"/>
        </w:rPr>
        <w:t xml:space="preserve">MRI for </w:t>
      </w:r>
      <w:r w:rsidR="008D3A71" w:rsidRPr="00392811">
        <w:rPr>
          <w:rFonts w:asciiTheme="minorHAnsi" w:hAnsiTheme="minorHAnsi" w:cstheme="minorHAnsi"/>
        </w:rPr>
        <w:t xml:space="preserve">inpatient and </w:t>
      </w:r>
      <w:r w:rsidR="00E21283" w:rsidRPr="00392811">
        <w:rPr>
          <w:rFonts w:asciiTheme="minorHAnsi" w:hAnsiTheme="minorHAnsi" w:cstheme="minorHAnsi"/>
        </w:rPr>
        <w:t xml:space="preserve">out-patients thereby </w:t>
      </w:r>
      <w:r w:rsidR="008D3A71" w:rsidRPr="00392811">
        <w:rPr>
          <w:rFonts w:asciiTheme="minorHAnsi" w:hAnsiTheme="minorHAnsi" w:cstheme="minorHAnsi"/>
        </w:rPr>
        <w:t>provid</w:t>
      </w:r>
      <w:r w:rsidR="00E21283" w:rsidRPr="00392811">
        <w:rPr>
          <w:rFonts w:asciiTheme="minorHAnsi" w:hAnsiTheme="minorHAnsi" w:cstheme="minorHAnsi"/>
        </w:rPr>
        <w:t>ing for improved health comes, efficiencies and</w:t>
      </w:r>
      <w:r w:rsidR="008D3A71" w:rsidRPr="00392811">
        <w:rPr>
          <w:rFonts w:asciiTheme="minorHAnsi" w:hAnsiTheme="minorHAnsi" w:cstheme="minorHAnsi"/>
        </w:rPr>
        <w:t xml:space="preserve"> cost containment</w:t>
      </w:r>
      <w:r w:rsidR="00E21283" w:rsidRPr="00392811">
        <w:rPr>
          <w:rFonts w:asciiTheme="minorHAnsi" w:hAnsiTheme="minorHAnsi" w:cstheme="minorHAnsi"/>
        </w:rPr>
        <w:t>.</w:t>
      </w:r>
    </w:p>
    <w:p w14:paraId="729A8812" w14:textId="45558163" w:rsidR="003964D0" w:rsidRPr="00392811" w:rsidRDefault="00392811" w:rsidP="00392811">
      <w:pPr>
        <w:pStyle w:val="Heading2"/>
        <w:rPr>
          <w:rFonts w:asciiTheme="minorHAnsi" w:hAnsiTheme="minorHAnsi" w:cstheme="minorHAnsi"/>
        </w:rPr>
      </w:pPr>
      <w:bookmarkStart w:id="24" w:name="_Toc148704454"/>
      <w:bookmarkStart w:id="25" w:name="_Toc144134513"/>
      <w:r w:rsidRPr="00A53120">
        <w:rPr>
          <w:rFonts w:asciiTheme="minorHAnsi" w:hAnsiTheme="minorHAnsi" w:cstheme="minorHAnsi"/>
          <w:color w:val="6076B4"/>
        </w:rPr>
        <w:t>Patient Panel</w:t>
      </w:r>
      <w:r w:rsidR="0060259B" w:rsidRPr="00392811">
        <w:rPr>
          <w:rFonts w:asciiTheme="minorHAnsi" w:hAnsiTheme="minorHAnsi" w:cstheme="minorHAnsi"/>
          <w:vertAlign w:val="superscript"/>
        </w:rPr>
        <w:footnoteReference w:id="7"/>
      </w:r>
      <w:bookmarkStart w:id="26" w:name="_Toc17731309"/>
      <w:bookmarkStart w:id="27" w:name="_Toc18922398"/>
      <w:bookmarkEnd w:id="15"/>
      <w:bookmarkEnd w:id="16"/>
      <w:bookmarkEnd w:id="17"/>
      <w:bookmarkEnd w:id="18"/>
      <w:bookmarkEnd w:id="19"/>
      <w:bookmarkEnd w:id="20"/>
      <w:bookmarkEnd w:id="24"/>
      <w:r w:rsidR="00D27467" w:rsidRPr="00392811">
        <w:rPr>
          <w:rFonts w:asciiTheme="minorHAnsi" w:hAnsiTheme="minorHAnsi" w:cstheme="minorHAnsi"/>
        </w:rPr>
        <w:t xml:space="preserve"> </w:t>
      </w:r>
      <w:bookmarkEnd w:id="25"/>
    </w:p>
    <w:p w14:paraId="41800E58" w14:textId="77777777" w:rsidR="00036340" w:rsidRPr="00392811" w:rsidRDefault="00036340" w:rsidP="0094374B">
      <w:pPr>
        <w:spacing w:before="240"/>
        <w:contextualSpacing/>
        <w:rPr>
          <w:rFonts w:asciiTheme="minorHAnsi" w:hAnsiTheme="minorHAnsi" w:cstheme="minorHAnsi"/>
          <w:color w:val="000000" w:themeColor="text1"/>
        </w:rPr>
      </w:pPr>
      <w:bookmarkStart w:id="28" w:name="_Toc17151180"/>
      <w:bookmarkStart w:id="29" w:name="_Toc17322392"/>
      <w:bookmarkStart w:id="30" w:name="_Toc18922408"/>
      <w:bookmarkStart w:id="31" w:name="_Toc17322387"/>
      <w:bookmarkStart w:id="32" w:name="_Toc18922403"/>
      <w:bookmarkEnd w:id="21"/>
      <w:bookmarkEnd w:id="26"/>
      <w:bookmarkEnd w:id="27"/>
      <w:r w:rsidRPr="00392811">
        <w:rPr>
          <w:rFonts w:asciiTheme="minorHAnsi" w:hAnsiTheme="minorHAnsi" w:cstheme="minorHAnsi"/>
          <w:color w:val="000000" w:themeColor="text1"/>
        </w:rPr>
        <w:t xml:space="preserve">Of the four corporate entities, Boston Medical Center Corporation, the owner and operator of the BMC, is the Applicant's sole corporate affiliate involved in the direct provision of patient care services. </w:t>
      </w:r>
    </w:p>
    <w:p w14:paraId="38C451CC" w14:textId="2E8A7050" w:rsidR="00036340" w:rsidRPr="00392811" w:rsidRDefault="00036340"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Accordingly, the Applicant relies upon BMC's patient panel to determine the need for the Proposed Project.</w:t>
      </w:r>
    </w:p>
    <w:p w14:paraId="5FF593B3" w14:textId="77777777" w:rsidR="00036340" w:rsidRPr="00392811" w:rsidRDefault="00036340" w:rsidP="0094374B">
      <w:pPr>
        <w:contextualSpacing/>
        <w:rPr>
          <w:rFonts w:asciiTheme="minorHAnsi" w:hAnsiTheme="minorHAnsi" w:cstheme="minorHAnsi"/>
          <w:color w:val="000000" w:themeColor="text1"/>
        </w:rPr>
      </w:pPr>
    </w:p>
    <w:p w14:paraId="070C2BE5" w14:textId="00DAB99E" w:rsidR="004A7D0D" w:rsidRPr="00392811" w:rsidRDefault="004A7D0D"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Table 1 shows the unique number of patients served in fiscal years 2019 through </w:t>
      </w:r>
      <w:r w:rsidR="0028516B">
        <w:rPr>
          <w:rFonts w:asciiTheme="minorHAnsi" w:hAnsiTheme="minorHAnsi" w:cstheme="minorHAnsi"/>
          <w:color w:val="000000" w:themeColor="text1"/>
        </w:rPr>
        <w:t xml:space="preserve">March </w:t>
      </w:r>
      <w:r w:rsidRPr="00392811">
        <w:rPr>
          <w:rFonts w:asciiTheme="minorHAnsi" w:hAnsiTheme="minorHAnsi" w:cstheme="minorHAnsi"/>
          <w:color w:val="000000" w:themeColor="text1"/>
        </w:rPr>
        <w:t>202</w:t>
      </w:r>
      <w:r w:rsidR="0028516B">
        <w:rPr>
          <w:rFonts w:asciiTheme="minorHAnsi" w:hAnsiTheme="minorHAnsi" w:cstheme="minorHAnsi"/>
          <w:color w:val="000000" w:themeColor="text1"/>
        </w:rPr>
        <w:t>3</w:t>
      </w:r>
      <w:r w:rsidRPr="00392811">
        <w:rPr>
          <w:rFonts w:asciiTheme="minorHAnsi" w:hAnsiTheme="minorHAnsi" w:cstheme="minorHAnsi"/>
          <w:color w:val="000000" w:themeColor="text1"/>
        </w:rPr>
        <w:t>. Despite</w:t>
      </w:r>
    </w:p>
    <w:p w14:paraId="78FCB45F" w14:textId="040E60DF" w:rsidR="004A7D0D" w:rsidRPr="00392811" w:rsidRDefault="004A7D0D"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decreasing slightly in FY20 during the height of the COVID-19 pandemic, the Applicant notes that the patient panel increased by </w:t>
      </w:r>
      <w:r w:rsidR="0028516B">
        <w:rPr>
          <w:rFonts w:asciiTheme="minorHAnsi" w:hAnsiTheme="minorHAnsi" w:cstheme="minorHAnsi"/>
          <w:color w:val="000000" w:themeColor="text1"/>
        </w:rPr>
        <w:t>22</w:t>
      </w:r>
      <w:r w:rsidRPr="00392811">
        <w:rPr>
          <w:rFonts w:asciiTheme="minorHAnsi" w:hAnsiTheme="minorHAnsi" w:cstheme="minorHAnsi"/>
          <w:color w:val="000000" w:themeColor="text1"/>
        </w:rPr>
        <w:t>% overall between FY19 and FY2</w:t>
      </w:r>
      <w:r w:rsidR="0028516B">
        <w:rPr>
          <w:rFonts w:asciiTheme="minorHAnsi" w:hAnsiTheme="minorHAnsi" w:cstheme="minorHAnsi"/>
          <w:color w:val="000000" w:themeColor="text1"/>
        </w:rPr>
        <w:t>2</w:t>
      </w:r>
      <w:r w:rsidRPr="00392811">
        <w:rPr>
          <w:rFonts w:asciiTheme="minorHAnsi" w:hAnsiTheme="minorHAnsi" w:cstheme="minorHAnsi"/>
          <w:color w:val="000000" w:themeColor="text1"/>
        </w:rPr>
        <w:t>.</w:t>
      </w:r>
    </w:p>
    <w:p w14:paraId="11A0ABF5" w14:textId="77777777" w:rsidR="004A7D0D" w:rsidRPr="00392811" w:rsidRDefault="004A7D0D" w:rsidP="004A7D0D">
      <w:pPr>
        <w:contextualSpacing/>
        <w:rPr>
          <w:rFonts w:asciiTheme="minorHAnsi" w:hAnsiTheme="minorHAnsi" w:cstheme="minorHAnsi"/>
          <w:color w:val="000000" w:themeColor="text1"/>
        </w:rPr>
      </w:pPr>
    </w:p>
    <w:p w14:paraId="5BF18AD4" w14:textId="1C01C6D4" w:rsidR="004A7D0D" w:rsidRPr="00392811" w:rsidRDefault="004A7D0D" w:rsidP="00377AF9">
      <w:pPr>
        <w:contextualSpacing/>
        <w:jc w:val="center"/>
        <w:rPr>
          <w:rFonts w:asciiTheme="minorHAnsi" w:hAnsiTheme="minorHAnsi" w:cstheme="minorHAnsi"/>
          <w:b/>
          <w:bCs/>
        </w:rPr>
      </w:pPr>
      <w:r w:rsidRPr="00392811">
        <w:rPr>
          <w:rFonts w:asciiTheme="minorHAnsi" w:hAnsiTheme="minorHAnsi" w:cstheme="minorHAnsi"/>
          <w:b/>
          <w:bCs/>
          <w:sz w:val="22"/>
          <w:szCs w:val="22"/>
        </w:rPr>
        <w:t>T</w:t>
      </w:r>
      <w:r w:rsidRPr="00392811">
        <w:rPr>
          <w:rFonts w:asciiTheme="minorHAnsi" w:hAnsiTheme="minorHAnsi" w:cstheme="minorHAnsi"/>
          <w:b/>
          <w:bCs/>
        </w:rPr>
        <w:t xml:space="preserve">able 1: </w:t>
      </w:r>
      <w:r w:rsidR="008E5478" w:rsidRPr="00392811">
        <w:rPr>
          <w:rFonts w:asciiTheme="minorHAnsi" w:hAnsiTheme="minorHAnsi" w:cstheme="minorHAnsi"/>
          <w:b/>
          <w:bCs/>
        </w:rPr>
        <w:t>FY</w:t>
      </w:r>
      <w:r w:rsidR="008E5478">
        <w:rPr>
          <w:rFonts w:asciiTheme="minorHAnsi" w:hAnsiTheme="minorHAnsi" w:cstheme="minorHAnsi"/>
          <w:b/>
          <w:bCs/>
        </w:rPr>
        <w:t xml:space="preserve"> </w:t>
      </w:r>
      <w:r w:rsidR="008E5478" w:rsidRPr="00392811">
        <w:rPr>
          <w:rFonts w:asciiTheme="minorHAnsi" w:hAnsiTheme="minorHAnsi" w:cstheme="minorHAnsi"/>
          <w:b/>
          <w:bCs/>
        </w:rPr>
        <w:t>19-</w:t>
      </w:r>
      <w:r w:rsidR="008E5478">
        <w:rPr>
          <w:rFonts w:asciiTheme="minorHAnsi" w:hAnsiTheme="minorHAnsi" w:cstheme="minorHAnsi"/>
          <w:b/>
          <w:bCs/>
        </w:rPr>
        <w:t>YTD</w:t>
      </w:r>
      <w:r w:rsidR="001B57FA">
        <w:rPr>
          <w:rFonts w:asciiTheme="minorHAnsi" w:hAnsiTheme="minorHAnsi" w:cstheme="minorHAnsi"/>
          <w:b/>
          <w:bCs/>
        </w:rPr>
        <w:t xml:space="preserve">- </w:t>
      </w:r>
      <w:r w:rsidR="008E5478">
        <w:rPr>
          <w:rFonts w:asciiTheme="minorHAnsi" w:hAnsiTheme="minorHAnsi" w:cstheme="minorHAnsi"/>
          <w:b/>
          <w:bCs/>
        </w:rPr>
        <w:t>FY 23</w:t>
      </w:r>
      <w:r w:rsidR="00D60F87" w:rsidRPr="008E5478">
        <w:rPr>
          <w:rStyle w:val="FootnoteReference"/>
          <w:rFonts w:ascii="Calibri" w:hAnsi="Calibri" w:cs="Calibri"/>
          <w:b/>
          <w:bCs/>
        </w:rPr>
        <w:footnoteReference w:id="8"/>
      </w:r>
      <w:r w:rsidR="00D60F87">
        <w:rPr>
          <w:rFonts w:asciiTheme="minorHAnsi" w:hAnsiTheme="minorHAnsi" w:cstheme="minorHAnsi"/>
          <w:b/>
          <w:bCs/>
        </w:rPr>
        <w:t>-</w:t>
      </w:r>
      <w:r w:rsidR="008E5478">
        <w:rPr>
          <w:rFonts w:asciiTheme="minorHAnsi" w:hAnsiTheme="minorHAnsi" w:cstheme="minorHAnsi"/>
          <w:b/>
          <w:bCs/>
        </w:rPr>
        <w:t xml:space="preserve"> O</w:t>
      </w:r>
      <w:r w:rsidRPr="00392811">
        <w:rPr>
          <w:rFonts w:asciiTheme="minorHAnsi" w:hAnsiTheme="minorHAnsi" w:cstheme="minorHAnsi"/>
          <w:b/>
          <w:bCs/>
        </w:rPr>
        <w:t>verview of Patient Panel</w:t>
      </w:r>
    </w:p>
    <w:p w14:paraId="357FA594" w14:textId="77777777" w:rsidR="002B7BDE" w:rsidRPr="00392811" w:rsidRDefault="002B7BDE" w:rsidP="00377AF9">
      <w:pPr>
        <w:contextualSpacing/>
        <w:jc w:val="center"/>
        <w:rPr>
          <w:rFonts w:asciiTheme="minorHAnsi" w:hAnsiTheme="minorHAnsi" w:cstheme="minorHAnsi"/>
          <w:b/>
          <w:bCs/>
          <w:sz w:val="22"/>
          <w:szCs w:val="22"/>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06"/>
        <w:gridCol w:w="1006"/>
        <w:gridCol w:w="1006"/>
        <w:gridCol w:w="1006"/>
        <w:gridCol w:w="1350"/>
      </w:tblGrid>
      <w:tr w:rsidR="00FC1C42" w:rsidRPr="008E5478" w14:paraId="5218DFF0" w14:textId="77777777" w:rsidTr="001A1B2E">
        <w:trPr>
          <w:cantSplit/>
          <w:trHeight w:val="377"/>
          <w:jc w:val="center"/>
        </w:trPr>
        <w:tc>
          <w:tcPr>
            <w:tcW w:w="2366" w:type="dxa"/>
            <w:shd w:val="clear" w:color="auto" w:fill="E5FFFF"/>
            <w:vAlign w:val="center"/>
            <w:hideMark/>
          </w:tcPr>
          <w:p w14:paraId="699A30F4" w14:textId="77777777" w:rsidR="00FC1C42" w:rsidRPr="008E5478" w:rsidRDefault="00FC1C42">
            <w:pPr>
              <w:rPr>
                <w:rFonts w:ascii="Calibri" w:hAnsi="Calibri" w:cs="Calibri"/>
                <w:b/>
                <w:bCs/>
                <w:color w:val="000000"/>
              </w:rPr>
            </w:pPr>
            <w:r w:rsidRPr="008E5478">
              <w:rPr>
                <w:rFonts w:ascii="Calibri" w:hAnsi="Calibri" w:cs="Calibri"/>
                <w:b/>
                <w:bCs/>
                <w:color w:val="000000"/>
              </w:rPr>
              <w:t>BMC</w:t>
            </w:r>
          </w:p>
        </w:tc>
        <w:tc>
          <w:tcPr>
            <w:tcW w:w="1006" w:type="dxa"/>
            <w:shd w:val="clear" w:color="auto" w:fill="E5FFFF"/>
            <w:vAlign w:val="center"/>
            <w:hideMark/>
          </w:tcPr>
          <w:p w14:paraId="5B54FF45"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 19</w:t>
            </w:r>
          </w:p>
        </w:tc>
        <w:tc>
          <w:tcPr>
            <w:tcW w:w="1006" w:type="dxa"/>
            <w:shd w:val="clear" w:color="auto" w:fill="E5FFFF"/>
            <w:vAlign w:val="center"/>
            <w:hideMark/>
          </w:tcPr>
          <w:p w14:paraId="66D1D2DB"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FY20</w:t>
            </w:r>
          </w:p>
        </w:tc>
        <w:tc>
          <w:tcPr>
            <w:tcW w:w="1006" w:type="dxa"/>
            <w:shd w:val="clear" w:color="auto" w:fill="E5FFFF"/>
            <w:vAlign w:val="center"/>
            <w:hideMark/>
          </w:tcPr>
          <w:p w14:paraId="1A92FEC4"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FY21</w:t>
            </w:r>
          </w:p>
        </w:tc>
        <w:tc>
          <w:tcPr>
            <w:tcW w:w="1006" w:type="dxa"/>
            <w:shd w:val="clear" w:color="auto" w:fill="E5FFFF"/>
            <w:vAlign w:val="center"/>
            <w:hideMark/>
          </w:tcPr>
          <w:p w14:paraId="14446B90"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FY22</w:t>
            </w:r>
          </w:p>
        </w:tc>
        <w:tc>
          <w:tcPr>
            <w:tcW w:w="1350" w:type="dxa"/>
            <w:shd w:val="clear" w:color="auto" w:fill="E5FFFF"/>
            <w:vAlign w:val="center"/>
            <w:hideMark/>
          </w:tcPr>
          <w:p w14:paraId="1FDF3C4C" w14:textId="43111B31" w:rsidR="00D36D88" w:rsidRPr="008E5478" w:rsidRDefault="00D36D88" w:rsidP="008E5478">
            <w:pPr>
              <w:jc w:val="center"/>
              <w:rPr>
                <w:rFonts w:ascii="Calibri" w:hAnsi="Calibri" w:cs="Calibri"/>
                <w:b/>
                <w:bCs/>
                <w:color w:val="0563C1"/>
              </w:rPr>
            </w:pPr>
            <w:r w:rsidRPr="008E5478">
              <w:rPr>
                <w:rFonts w:ascii="Calibri" w:hAnsi="Calibri" w:cs="Calibri"/>
                <w:b/>
                <w:bCs/>
              </w:rPr>
              <w:t>FY 23 YTD</w:t>
            </w:r>
          </w:p>
        </w:tc>
      </w:tr>
      <w:tr w:rsidR="00FC1C42" w:rsidRPr="008E5478" w14:paraId="0B14D9D9" w14:textId="77777777" w:rsidTr="001A1B2E">
        <w:trPr>
          <w:cantSplit/>
          <w:trHeight w:val="233"/>
          <w:jc w:val="center"/>
        </w:trPr>
        <w:tc>
          <w:tcPr>
            <w:tcW w:w="2366" w:type="dxa"/>
            <w:shd w:val="clear" w:color="auto" w:fill="E5FFFF"/>
            <w:vAlign w:val="center"/>
            <w:hideMark/>
          </w:tcPr>
          <w:p w14:paraId="1F53DA19" w14:textId="77777777" w:rsidR="00FC1C42" w:rsidRPr="008E5478" w:rsidRDefault="00FC1C42">
            <w:pPr>
              <w:rPr>
                <w:rFonts w:ascii="Calibri" w:hAnsi="Calibri" w:cs="Calibri"/>
                <w:b/>
                <w:bCs/>
                <w:color w:val="000000"/>
              </w:rPr>
            </w:pPr>
          </w:p>
        </w:tc>
        <w:tc>
          <w:tcPr>
            <w:tcW w:w="1006" w:type="dxa"/>
            <w:shd w:val="clear" w:color="auto" w:fill="E5FFFF"/>
            <w:vAlign w:val="center"/>
            <w:hideMark/>
          </w:tcPr>
          <w:p w14:paraId="6EE2B7BD"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0AAFB284"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11603850"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335D1E0B"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350" w:type="dxa"/>
            <w:shd w:val="clear" w:color="auto" w:fill="E5FFFF"/>
            <w:vAlign w:val="center"/>
            <w:hideMark/>
          </w:tcPr>
          <w:p w14:paraId="165662B1"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r>
      <w:tr w:rsidR="00FC1C42" w:rsidRPr="008E5478" w14:paraId="3275AC81" w14:textId="77777777" w:rsidTr="001A1B2E">
        <w:trPr>
          <w:cantSplit/>
          <w:trHeight w:val="413"/>
          <w:jc w:val="center"/>
        </w:trPr>
        <w:tc>
          <w:tcPr>
            <w:tcW w:w="2366" w:type="dxa"/>
            <w:shd w:val="clear" w:color="auto" w:fill="auto"/>
            <w:vAlign w:val="center"/>
            <w:hideMark/>
          </w:tcPr>
          <w:p w14:paraId="39F6207D" w14:textId="77777777" w:rsidR="00FC1C42" w:rsidRPr="008E5478" w:rsidRDefault="00FC1C42">
            <w:pPr>
              <w:rPr>
                <w:rFonts w:ascii="Calibri" w:hAnsi="Calibri" w:cs="Calibri"/>
                <w:color w:val="000000"/>
              </w:rPr>
            </w:pPr>
            <w:r w:rsidRPr="008E5478">
              <w:rPr>
                <w:rFonts w:ascii="Calibri" w:hAnsi="Calibri" w:cs="Calibri"/>
                <w:color w:val="000000"/>
              </w:rPr>
              <w:t>Total Unique Patients</w:t>
            </w:r>
          </w:p>
        </w:tc>
        <w:tc>
          <w:tcPr>
            <w:tcW w:w="1006" w:type="dxa"/>
            <w:shd w:val="clear" w:color="auto" w:fill="auto"/>
            <w:vAlign w:val="center"/>
            <w:hideMark/>
          </w:tcPr>
          <w:p w14:paraId="32494044"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228,138</w:t>
            </w:r>
          </w:p>
        </w:tc>
        <w:tc>
          <w:tcPr>
            <w:tcW w:w="1006" w:type="dxa"/>
            <w:shd w:val="clear" w:color="auto" w:fill="auto"/>
            <w:vAlign w:val="center"/>
            <w:hideMark/>
          </w:tcPr>
          <w:p w14:paraId="3F3336E9"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207,237</w:t>
            </w:r>
          </w:p>
        </w:tc>
        <w:tc>
          <w:tcPr>
            <w:tcW w:w="1006" w:type="dxa"/>
            <w:shd w:val="clear" w:color="auto" w:fill="auto"/>
            <w:vAlign w:val="center"/>
            <w:hideMark/>
          </w:tcPr>
          <w:p w14:paraId="2ACE6A0E"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299,258</w:t>
            </w:r>
          </w:p>
        </w:tc>
        <w:tc>
          <w:tcPr>
            <w:tcW w:w="1006" w:type="dxa"/>
            <w:shd w:val="clear" w:color="auto" w:fill="auto"/>
            <w:vAlign w:val="center"/>
            <w:hideMark/>
          </w:tcPr>
          <w:p w14:paraId="4BC753A8"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278,408</w:t>
            </w:r>
          </w:p>
        </w:tc>
        <w:tc>
          <w:tcPr>
            <w:tcW w:w="1350" w:type="dxa"/>
            <w:shd w:val="clear" w:color="auto" w:fill="auto"/>
            <w:vAlign w:val="center"/>
            <w:hideMark/>
          </w:tcPr>
          <w:p w14:paraId="38E13331"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177,685</w:t>
            </w:r>
          </w:p>
        </w:tc>
      </w:tr>
    </w:tbl>
    <w:p w14:paraId="6728639D" w14:textId="77777777" w:rsidR="004A7D0D" w:rsidRPr="00392811" w:rsidRDefault="004A7D0D" w:rsidP="004A7D0D">
      <w:pPr>
        <w:contextualSpacing/>
        <w:rPr>
          <w:rFonts w:asciiTheme="minorHAnsi" w:hAnsiTheme="minorHAnsi" w:cstheme="minorHAnsi"/>
          <w:color w:val="000000" w:themeColor="text1"/>
          <w:highlight w:val="yellow"/>
        </w:rPr>
      </w:pPr>
    </w:p>
    <w:p w14:paraId="512BD9D7" w14:textId="5E392F4B" w:rsidR="004A7D0D" w:rsidRDefault="007E631F" w:rsidP="0028516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The Applicant’s </w:t>
      </w:r>
      <w:r w:rsidR="004A7D0D" w:rsidRPr="00392811">
        <w:rPr>
          <w:rFonts w:asciiTheme="minorHAnsi" w:hAnsiTheme="minorHAnsi" w:cstheme="minorHAnsi"/>
          <w:color w:val="000000" w:themeColor="text1"/>
        </w:rPr>
        <w:t xml:space="preserve">demographic </w:t>
      </w:r>
      <w:r w:rsidRPr="00392811">
        <w:rPr>
          <w:rFonts w:asciiTheme="minorHAnsi" w:hAnsiTheme="minorHAnsi" w:cstheme="minorHAnsi"/>
          <w:color w:val="000000" w:themeColor="text1"/>
        </w:rPr>
        <w:t>profile</w:t>
      </w:r>
      <w:r w:rsidR="004A7D0D" w:rsidRPr="00392811">
        <w:rPr>
          <w:rFonts w:asciiTheme="minorHAnsi" w:hAnsiTheme="minorHAnsi" w:cstheme="minorHAnsi"/>
          <w:color w:val="000000" w:themeColor="text1"/>
        </w:rPr>
        <w:t xml:space="preserve"> for the period covering FY19 through </w:t>
      </w:r>
      <w:r w:rsidR="0028516B">
        <w:rPr>
          <w:rFonts w:asciiTheme="minorHAnsi" w:hAnsiTheme="minorHAnsi" w:cstheme="minorHAnsi"/>
          <w:color w:val="000000" w:themeColor="text1"/>
        </w:rPr>
        <w:t xml:space="preserve">six months of </w:t>
      </w:r>
      <w:r w:rsidR="004A7D0D" w:rsidRPr="00392811">
        <w:rPr>
          <w:rFonts w:asciiTheme="minorHAnsi" w:hAnsiTheme="minorHAnsi" w:cstheme="minorHAnsi"/>
          <w:color w:val="000000" w:themeColor="text1"/>
        </w:rPr>
        <w:t>FY2</w:t>
      </w:r>
      <w:r w:rsidR="0028516B">
        <w:rPr>
          <w:rFonts w:asciiTheme="minorHAnsi" w:hAnsiTheme="minorHAnsi" w:cstheme="minorHAnsi"/>
          <w:color w:val="000000" w:themeColor="text1"/>
        </w:rPr>
        <w:t>3 d</w:t>
      </w:r>
      <w:r w:rsidR="0028516B" w:rsidRPr="00392811">
        <w:rPr>
          <w:rFonts w:asciiTheme="minorHAnsi" w:hAnsiTheme="minorHAnsi" w:cstheme="minorHAnsi"/>
          <w:color w:val="000000" w:themeColor="text1"/>
        </w:rPr>
        <w:t>emonstrate</w:t>
      </w:r>
      <w:r w:rsidR="0080629B">
        <w:rPr>
          <w:rFonts w:asciiTheme="minorHAnsi" w:hAnsiTheme="minorHAnsi" w:cstheme="minorHAnsi"/>
          <w:color w:val="000000" w:themeColor="text1"/>
        </w:rPr>
        <w:t>s</w:t>
      </w:r>
      <w:r w:rsidR="004A7D0D" w:rsidRPr="00392811">
        <w:rPr>
          <w:rFonts w:asciiTheme="minorHAnsi" w:hAnsiTheme="minorHAnsi" w:cstheme="minorHAnsi"/>
          <w:color w:val="000000" w:themeColor="text1"/>
        </w:rPr>
        <w:t xml:space="preserve"> that BMC serves a diverse patient panel.</w:t>
      </w:r>
      <w:r w:rsidR="0028516B">
        <w:rPr>
          <w:rFonts w:asciiTheme="minorHAnsi" w:hAnsiTheme="minorHAnsi" w:cstheme="minorHAnsi"/>
          <w:color w:val="000000" w:themeColor="text1"/>
        </w:rPr>
        <w:t xml:space="preserve"> </w:t>
      </w:r>
    </w:p>
    <w:p w14:paraId="1A50E1B4" w14:textId="77777777" w:rsidR="004A7D0D" w:rsidRPr="00392811" w:rsidRDefault="004A7D0D" w:rsidP="004A7D0D">
      <w:pPr>
        <w:contextualSpacing/>
        <w:rPr>
          <w:rFonts w:asciiTheme="minorHAnsi" w:hAnsiTheme="minorHAnsi" w:cstheme="minorHAnsi"/>
          <w:color w:val="000000" w:themeColor="text1"/>
        </w:rPr>
      </w:pPr>
    </w:p>
    <w:p w14:paraId="2BEF6CA4" w14:textId="01C744DC" w:rsidR="004A7D0D" w:rsidRDefault="004A7D0D" w:rsidP="001B57FA">
      <w:pPr>
        <w:contextualSpacing/>
        <w:jc w:val="center"/>
        <w:rPr>
          <w:rFonts w:asciiTheme="minorHAnsi" w:hAnsiTheme="minorHAnsi" w:cstheme="minorHAnsi"/>
          <w:b/>
          <w:bCs/>
        </w:rPr>
      </w:pPr>
      <w:r w:rsidRPr="00392811">
        <w:rPr>
          <w:rFonts w:asciiTheme="minorHAnsi" w:hAnsiTheme="minorHAnsi" w:cstheme="minorHAnsi"/>
          <w:b/>
          <w:bCs/>
        </w:rPr>
        <w:t>Table 2:</w:t>
      </w:r>
      <w:r w:rsidR="008E5478">
        <w:rPr>
          <w:rFonts w:asciiTheme="minorHAnsi" w:hAnsiTheme="minorHAnsi" w:cstheme="minorHAnsi"/>
          <w:b/>
          <w:bCs/>
        </w:rPr>
        <w:t xml:space="preserve"> FY 22 and YTD 23</w:t>
      </w:r>
      <w:r w:rsidR="00D60F87" w:rsidRPr="008E5478">
        <w:rPr>
          <w:rFonts w:asciiTheme="minorHAnsi" w:hAnsiTheme="minorHAnsi" w:cstheme="minorHAnsi"/>
          <w:vertAlign w:val="superscript"/>
        </w:rPr>
        <w:footnoteReference w:id="9"/>
      </w:r>
      <w:r w:rsidR="001B57FA">
        <w:rPr>
          <w:rFonts w:asciiTheme="minorHAnsi" w:hAnsiTheme="minorHAnsi" w:cstheme="minorHAnsi"/>
          <w:b/>
          <w:bCs/>
        </w:rPr>
        <w:t>-</w:t>
      </w:r>
      <w:r w:rsidRPr="00392811">
        <w:rPr>
          <w:rFonts w:asciiTheme="minorHAnsi" w:hAnsiTheme="minorHAnsi" w:cstheme="minorHAnsi"/>
          <w:b/>
          <w:bCs/>
        </w:rPr>
        <w:t xml:space="preserve"> BMC Patient Demographic</w:t>
      </w:r>
      <w:r w:rsidR="00C6789C" w:rsidRPr="00392811">
        <w:rPr>
          <w:rFonts w:asciiTheme="minorHAnsi" w:hAnsiTheme="minorHAnsi" w:cstheme="minorHAnsi"/>
          <w:b/>
          <w:bCs/>
        </w:rPr>
        <w:t xml:space="preserve"> Profile</w:t>
      </w:r>
      <w:r w:rsidR="005D36EE">
        <w:rPr>
          <w:rFonts w:asciiTheme="minorHAnsi" w:hAnsiTheme="minorHAnsi" w:cstheme="minorHAnsi"/>
          <w:b/>
          <w:bCs/>
        </w:rPr>
        <w:t xml:space="preserve"> for BMC and MRI</w:t>
      </w:r>
    </w:p>
    <w:p w14:paraId="3BA70849" w14:textId="77777777" w:rsidR="001B7F39" w:rsidRDefault="001B7F39" w:rsidP="002B7BDE">
      <w:pPr>
        <w:contextualSpacing/>
        <w:jc w:val="center"/>
        <w:rPr>
          <w:rFonts w:asciiTheme="minorHAnsi" w:hAnsiTheme="minorHAnsi" w:cstheme="minorHAnsi"/>
          <w:b/>
          <w:bC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170"/>
        <w:gridCol w:w="1350"/>
        <w:gridCol w:w="1286"/>
        <w:gridCol w:w="1404"/>
      </w:tblGrid>
      <w:tr w:rsidR="00035E49" w:rsidRPr="008E5478" w14:paraId="437C46CD" w14:textId="77777777" w:rsidTr="00035E49">
        <w:trPr>
          <w:cantSplit/>
          <w:trHeight w:val="144"/>
          <w:tblHeader/>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center"/>
          </w:tcPr>
          <w:p w14:paraId="538210DC" w14:textId="77777777" w:rsidR="00035E49" w:rsidRPr="008E5478" w:rsidRDefault="00035E49" w:rsidP="001C7221">
            <w:pPr>
              <w:rPr>
                <w:rFonts w:asciiTheme="minorHAnsi" w:hAnsiTheme="minorHAnsi" w:cstheme="minorHAnsi"/>
                <w:b/>
                <w:bCs/>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tcPr>
          <w:p w14:paraId="04EE4FF5" w14:textId="77777777" w:rsidR="00035E49" w:rsidRPr="008E5478" w:rsidRDefault="00035E49" w:rsidP="00E1701E">
            <w:pPr>
              <w:jc w:val="center"/>
              <w:rPr>
                <w:rFonts w:asciiTheme="minorHAnsi" w:hAnsiTheme="minorHAnsi" w:cstheme="minorHAnsi"/>
                <w:b/>
                <w:bCs/>
                <w:color w:val="000000"/>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51FC8265" w14:textId="33543C21" w:rsidR="00035E49" w:rsidRPr="008E5478" w:rsidRDefault="00035E49" w:rsidP="00E1701E">
            <w:pPr>
              <w:jc w:val="center"/>
              <w:rPr>
                <w:rFonts w:asciiTheme="minorHAnsi" w:hAnsiTheme="minorHAnsi" w:cstheme="minorHAnsi"/>
                <w:b/>
                <w:bCs/>
                <w:color w:val="000000"/>
              </w:rPr>
            </w:pPr>
            <w:r w:rsidRPr="008E5478">
              <w:rPr>
                <w:rFonts w:asciiTheme="minorHAnsi" w:hAnsiTheme="minorHAnsi" w:cstheme="minorHAnsi"/>
                <w:b/>
                <w:bCs/>
                <w:color w:val="000000"/>
              </w:rPr>
              <w:t>BMC</w:t>
            </w:r>
          </w:p>
        </w:tc>
        <w:tc>
          <w:tcPr>
            <w:tcW w:w="1286" w:type="dxa"/>
            <w:tcBorders>
              <w:top w:val="single" w:sz="4" w:space="0" w:color="auto"/>
              <w:left w:val="single" w:sz="4" w:space="0" w:color="auto"/>
              <w:bottom w:val="single" w:sz="4" w:space="0" w:color="auto"/>
              <w:right w:val="single" w:sz="4" w:space="0" w:color="auto"/>
            </w:tcBorders>
            <w:shd w:val="clear" w:color="auto" w:fill="E5FFFF"/>
          </w:tcPr>
          <w:p w14:paraId="440CC144" w14:textId="77777777" w:rsidR="00035E49" w:rsidRPr="008E5478" w:rsidRDefault="00035E49" w:rsidP="00363083">
            <w:pPr>
              <w:jc w:val="center"/>
              <w:rPr>
                <w:rFonts w:asciiTheme="minorHAnsi" w:hAnsiTheme="minorHAnsi" w:cstheme="minorHAnsi"/>
                <w:b/>
                <w:bCs/>
                <w:color w:val="000000"/>
              </w:rPr>
            </w:pPr>
            <w:r w:rsidRPr="008E5478">
              <w:rPr>
                <w:rFonts w:asciiTheme="minorHAnsi" w:hAnsiTheme="minorHAnsi" w:cstheme="minorHAnsi"/>
                <w:b/>
                <w:bCs/>
                <w:color w:val="000000"/>
              </w:rPr>
              <w:t>MRI</w:t>
            </w:r>
          </w:p>
        </w:tc>
        <w:tc>
          <w:tcPr>
            <w:tcW w:w="1404" w:type="dxa"/>
            <w:tcBorders>
              <w:top w:val="single" w:sz="4" w:space="0" w:color="auto"/>
              <w:left w:val="single" w:sz="4" w:space="0" w:color="auto"/>
              <w:bottom w:val="single" w:sz="4" w:space="0" w:color="auto"/>
              <w:right w:val="single" w:sz="4" w:space="0" w:color="auto"/>
            </w:tcBorders>
            <w:shd w:val="clear" w:color="auto" w:fill="E5FFFF"/>
          </w:tcPr>
          <w:p w14:paraId="65D8A69A" w14:textId="5CD6CC35" w:rsidR="00035E49" w:rsidRPr="008E5478" w:rsidRDefault="00035E49" w:rsidP="00363083">
            <w:pPr>
              <w:jc w:val="center"/>
              <w:rPr>
                <w:rFonts w:asciiTheme="minorHAnsi" w:hAnsiTheme="minorHAnsi" w:cstheme="minorHAnsi"/>
                <w:b/>
                <w:bCs/>
                <w:color w:val="000000"/>
              </w:rPr>
            </w:pPr>
            <w:r w:rsidRPr="008E5478">
              <w:rPr>
                <w:rFonts w:asciiTheme="minorHAnsi" w:hAnsiTheme="minorHAnsi" w:cstheme="minorHAnsi"/>
                <w:b/>
                <w:bCs/>
                <w:color w:val="000000"/>
              </w:rPr>
              <w:t>MRI</w:t>
            </w:r>
          </w:p>
        </w:tc>
      </w:tr>
      <w:tr w:rsidR="00E1701E" w:rsidRPr="008E5478" w14:paraId="04B4D775" w14:textId="14AAAFE1" w:rsidTr="00035E49">
        <w:trPr>
          <w:cantSplit/>
          <w:trHeight w:val="144"/>
          <w:tblHeader/>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3C109ADC" w14:textId="77777777" w:rsidR="00E1701E" w:rsidRPr="008E5478" w:rsidRDefault="00E1701E" w:rsidP="00E1701E">
            <w:pPr>
              <w:rPr>
                <w:rFonts w:asciiTheme="minorHAnsi" w:hAnsiTheme="minorHAnsi" w:cstheme="minorHAnsi"/>
                <w:b/>
                <w:bCs/>
                <w:color w:val="000000"/>
              </w:rPr>
            </w:pPr>
            <w:r w:rsidRPr="008E5478">
              <w:rPr>
                <w:rFonts w:asciiTheme="minorHAnsi" w:hAnsiTheme="minorHAnsi" w:cstheme="minorHAnsi"/>
                <w:b/>
                <w:bCs/>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6411B24D" w14:textId="77777777"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FY 22</w:t>
            </w:r>
          </w:p>
        </w:tc>
        <w:tc>
          <w:tcPr>
            <w:tcW w:w="135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15F21FA6" w14:textId="68944660"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YTD FY 23</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732A06AE" w14:textId="54DB0F8D"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FY 22</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2E4F270A" w14:textId="5B856C54"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YTD FY 23</w:t>
            </w:r>
          </w:p>
        </w:tc>
      </w:tr>
      <w:tr w:rsidR="00E1701E" w:rsidRPr="008E5478" w14:paraId="7309B24C" w14:textId="0ABE8AA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28BA672A" w14:textId="77777777" w:rsidR="00E1701E" w:rsidRPr="008E5478" w:rsidRDefault="00E1701E" w:rsidP="00E1701E">
            <w:pPr>
              <w:rPr>
                <w:rFonts w:asciiTheme="minorHAnsi" w:hAnsiTheme="minorHAnsi" w:cstheme="minorHAnsi"/>
                <w:b/>
                <w:bCs/>
                <w:color w:val="000000"/>
              </w:rPr>
            </w:pPr>
            <w:r w:rsidRPr="008E5478">
              <w:rPr>
                <w:rFonts w:asciiTheme="minorHAnsi" w:hAnsiTheme="minorHAnsi" w:cstheme="minorHAnsi"/>
                <w:b/>
                <w:bCs/>
                <w:color w:val="000000"/>
              </w:rPr>
              <w:t>Gender</w:t>
            </w: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121490ED" w14:textId="77777777"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3A087F55" w14:textId="77777777"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4AD91462" w14:textId="22F5B71A"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04EFE1E6" w14:textId="477E27A1"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r>
      <w:tr w:rsidR="00F06664" w:rsidRPr="008E5478" w14:paraId="26111647" w14:textId="33E941B1"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0651" w14:textId="77777777" w:rsidR="00F06664" w:rsidRPr="008E5478" w:rsidRDefault="00F06664" w:rsidP="00F06664">
            <w:pPr>
              <w:rPr>
                <w:rFonts w:asciiTheme="minorHAnsi" w:hAnsiTheme="minorHAnsi" w:cstheme="minorHAnsi"/>
                <w:color w:val="000000"/>
              </w:rPr>
            </w:pPr>
            <w:r w:rsidRPr="008E5478">
              <w:rPr>
                <w:rFonts w:asciiTheme="minorHAnsi" w:hAnsiTheme="minorHAnsi" w:cstheme="minorHAnsi"/>
                <w:color w:val="000000"/>
              </w:rPr>
              <w:t>Female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1433E" w14:textId="6E059678"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55.6%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77FE" w14:textId="5DABC957"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57.4%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689F473" w14:textId="4EA5F7B7"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60.0%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573AEC0" w14:textId="501D007F"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60.8%</w:t>
            </w:r>
          </w:p>
        </w:tc>
      </w:tr>
      <w:tr w:rsidR="00F06664" w:rsidRPr="008E5478" w14:paraId="63FE932E" w14:textId="7523853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74CF" w14:textId="77777777" w:rsidR="00F06664" w:rsidRPr="008E5478" w:rsidRDefault="00F06664" w:rsidP="00F06664">
            <w:pPr>
              <w:rPr>
                <w:rFonts w:asciiTheme="minorHAnsi" w:hAnsiTheme="minorHAnsi" w:cstheme="minorHAnsi"/>
                <w:color w:val="000000"/>
              </w:rPr>
            </w:pPr>
            <w:r w:rsidRPr="008E5478">
              <w:rPr>
                <w:rFonts w:asciiTheme="minorHAnsi" w:hAnsiTheme="minorHAnsi" w:cstheme="minorHAnsi"/>
                <w:color w:val="000000"/>
              </w:rPr>
              <w:t>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334A" w14:textId="788AB2FA"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44.4%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9518" w14:textId="22ED1E89"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6EB96723" w14:textId="03A8D9E3"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9B6AEB6" w14:textId="7FBB9375"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39.2%</w:t>
            </w:r>
          </w:p>
        </w:tc>
      </w:tr>
      <w:tr w:rsidR="00001279" w:rsidRPr="008E5478" w14:paraId="30C51A9A" w14:textId="4334BC5F"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4745"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Other/Unknown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9B4" w14:textId="519C1D84"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4460" w14:textId="439BEFC8"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92B68F1" w14:textId="6E58C3B4" w:rsidR="00001279" w:rsidRPr="008E5478" w:rsidRDefault="00796C26" w:rsidP="00001279">
            <w:pPr>
              <w:jc w:val="right"/>
              <w:rPr>
                <w:rFonts w:asciiTheme="minorHAnsi" w:hAnsiTheme="minorHAnsi" w:cstheme="minorHAnsi"/>
                <w:color w:val="000000"/>
              </w:rPr>
            </w:pPr>
            <w:r>
              <w:rPr>
                <w:rFonts w:asciiTheme="minorHAnsi" w:hAnsiTheme="minorHAnsi" w:cstheme="minorHAnsi"/>
                <w:color w:val="000000"/>
              </w:rPr>
              <w:t xml:space="preserve">- </w:t>
            </w:r>
            <w:r w:rsidR="00001279" w:rsidRPr="008E5478">
              <w:rPr>
                <w:rFonts w:asciiTheme="minorHAnsi" w:hAnsiTheme="minorHAnsi" w:cstheme="minorHAnsi"/>
                <w:color w:val="000000"/>
                <w:vertAlign w:val="superscript"/>
              </w:rPr>
              <w:t>10 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165DCFC" w14:textId="0BDA9BEC" w:rsidR="00001279" w:rsidRPr="008E5478" w:rsidRDefault="00796C26" w:rsidP="00001279">
            <w:pPr>
              <w:jc w:val="right"/>
              <w:rPr>
                <w:rFonts w:asciiTheme="minorHAnsi" w:hAnsiTheme="minorHAnsi" w:cstheme="minorHAnsi"/>
                <w:color w:val="000000"/>
              </w:rPr>
            </w:pPr>
            <w:r>
              <w:rPr>
                <w:rFonts w:asciiTheme="minorHAnsi" w:hAnsiTheme="minorHAnsi" w:cstheme="minorHAnsi"/>
                <w:color w:val="000000"/>
              </w:rPr>
              <w:t xml:space="preserve">- </w:t>
            </w:r>
            <w:r w:rsidR="00001279" w:rsidRPr="008E5478">
              <w:rPr>
                <w:rFonts w:asciiTheme="minorHAnsi" w:hAnsiTheme="minorHAnsi" w:cstheme="minorHAnsi"/>
                <w:color w:val="000000"/>
              </w:rPr>
              <w:t> </w:t>
            </w:r>
            <w:r w:rsidR="00001279" w:rsidRPr="008E5478">
              <w:rPr>
                <w:rStyle w:val="FootnoteReference"/>
                <w:rFonts w:asciiTheme="minorHAnsi" w:hAnsiTheme="minorHAnsi" w:cstheme="minorHAnsi"/>
                <w:color w:val="000000"/>
              </w:rPr>
              <w:footnoteReference w:id="10"/>
            </w:r>
          </w:p>
        </w:tc>
      </w:tr>
      <w:tr w:rsidR="00001279" w:rsidRPr="008E5478" w14:paraId="48255CD9" w14:textId="4B5C63D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149A4603" w14:textId="77777777"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Age</w:t>
            </w:r>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D7CA02D" w14:textId="46FB7301"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3119DC4E" w14:textId="5A0F5291"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326F8AB9" w14:textId="38E2B062"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7C299D97" w14:textId="6032B7CA"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r>
      <w:tr w:rsidR="00001279" w:rsidRPr="008E5478" w14:paraId="6D3989B7" w14:textId="615808E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D9BB"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0-17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C02A" w14:textId="074A7CC7"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CDF2" w14:textId="4EB7E2EA"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0959E39B" w14:textId="74597941"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3.0%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87D5D71" w14:textId="278DA076"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3.1%</w:t>
            </w:r>
          </w:p>
        </w:tc>
      </w:tr>
      <w:tr w:rsidR="00001279" w:rsidRPr="008E5478" w14:paraId="474DA70F" w14:textId="1E4E03A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1249"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18-64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B6E6E" w14:textId="021D5E5E"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7218" w14:textId="475AC131"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68.8%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1EE4242" w14:textId="7F518D6E"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72.5%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C70A0BD" w14:textId="76ABA87F"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73.3%</w:t>
            </w:r>
          </w:p>
        </w:tc>
      </w:tr>
      <w:tr w:rsidR="00001279" w:rsidRPr="008E5478" w14:paraId="6F6A3AFA" w14:textId="336C59AD"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C7F7"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F638" w14:textId="655EB37D"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919E" w14:textId="77FB2A2D"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16.2%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EB91E4F" w14:textId="326C13F0"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24.5%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ECC9C14" w14:textId="7745A524"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23.6%</w:t>
            </w:r>
          </w:p>
        </w:tc>
      </w:tr>
      <w:tr w:rsidR="00001279" w:rsidRPr="008E5478" w14:paraId="03B936B6" w14:textId="66AAFCA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8E31"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lastRenderedPageBreak/>
              <w:t>Unknown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D3EE" w14:textId="38A44195"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1B0B" w14:textId="56A3FF62"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8AC01D7" w14:textId="59FAAFAD" w:rsidR="00001279" w:rsidRPr="008E5478" w:rsidRDefault="00796C26" w:rsidP="00001279">
            <w:pPr>
              <w:jc w:val="right"/>
              <w:rPr>
                <w:rFonts w:asciiTheme="minorHAnsi" w:hAnsiTheme="minorHAnsi" w:cstheme="minorHAnsi"/>
                <w:color w:val="000000"/>
                <w:vertAlign w:val="superscript"/>
              </w:rPr>
            </w:pPr>
            <w:r>
              <w:rPr>
                <w:rFonts w:asciiTheme="minorHAnsi" w:hAnsiTheme="minorHAnsi" w:cstheme="minorHAnsi"/>
                <w:color w:val="000000"/>
              </w:rPr>
              <w:t xml:space="preserve">- </w:t>
            </w:r>
            <w:r w:rsidR="0043640D" w:rsidRPr="008E5478">
              <w:rPr>
                <w:rFonts w:asciiTheme="minorHAnsi" w:hAnsiTheme="minorHAnsi" w:cstheme="minorHAnsi"/>
                <w:color w:val="000000"/>
                <w:vertAlign w:val="superscript"/>
              </w:rPr>
              <w:t>11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9CF6728" w14:textId="3B8FC9E1" w:rsidR="00001279" w:rsidRPr="008E5478" w:rsidRDefault="008D17A1" w:rsidP="00001279">
            <w:pPr>
              <w:jc w:val="right"/>
              <w:rPr>
                <w:rFonts w:asciiTheme="minorHAnsi" w:hAnsiTheme="minorHAnsi" w:cstheme="minorHAnsi"/>
                <w:color w:val="000000"/>
              </w:rPr>
            </w:pPr>
            <w:r>
              <w:rPr>
                <w:rFonts w:asciiTheme="minorHAnsi" w:hAnsiTheme="minorHAnsi" w:cstheme="minorHAnsi"/>
                <w:color w:val="000000"/>
              </w:rPr>
              <w:t xml:space="preserve"> - </w:t>
            </w:r>
            <w:r w:rsidR="00C53586" w:rsidRPr="008E5478">
              <w:rPr>
                <w:rStyle w:val="FootnoteReference"/>
                <w:rFonts w:asciiTheme="minorHAnsi" w:hAnsiTheme="minorHAnsi" w:cstheme="minorHAnsi"/>
                <w:color w:val="000000"/>
              </w:rPr>
              <w:footnoteReference w:id="11"/>
            </w:r>
          </w:p>
        </w:tc>
      </w:tr>
      <w:tr w:rsidR="008E5478" w:rsidRPr="008E5478" w14:paraId="38C9C077" w14:textId="6E3CA1C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374A30E" w14:textId="539C5BB1" w:rsidR="008E5478" w:rsidRPr="008E5478" w:rsidRDefault="008E5478" w:rsidP="008E5478">
            <w:pPr>
              <w:rPr>
                <w:rFonts w:asciiTheme="minorHAnsi" w:hAnsiTheme="minorHAnsi" w:cstheme="minorHAnsi"/>
                <w:color w:val="0563C1"/>
              </w:rPr>
            </w:pPr>
            <w:r w:rsidRPr="008E5478">
              <w:rPr>
                <w:rFonts w:asciiTheme="minorHAnsi" w:hAnsiTheme="minorHAnsi" w:cstheme="minorHAnsi"/>
              </w:rPr>
              <w:t>Race/Ethnicity</w:t>
            </w:r>
            <w:bookmarkStart w:id="33" w:name="_Hlk145669569"/>
            <w:r w:rsidRPr="008E5478">
              <w:rPr>
                <w:rStyle w:val="FootnoteReference"/>
                <w:rFonts w:asciiTheme="minorHAnsi" w:hAnsiTheme="minorHAnsi" w:cstheme="minorHAnsi"/>
              </w:rPr>
              <w:footnoteReference w:id="12"/>
            </w:r>
            <w:bookmarkEnd w:id="33"/>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tcPr>
          <w:p w14:paraId="5CA0401A" w14:textId="2C0D8A47" w:rsidR="008E5478" w:rsidRPr="008E5478" w:rsidRDefault="008E5478" w:rsidP="008E5478">
            <w:pPr>
              <w:rPr>
                <w:rFonts w:asciiTheme="minorHAnsi" w:hAnsiTheme="minorHAnsi" w:cstheme="minorHAnsi"/>
                <w:color w:val="0563C1"/>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0AC81491" w14:textId="1E7E9DE9" w:rsidR="008E5478" w:rsidRPr="008E5478" w:rsidRDefault="008E5478" w:rsidP="008E5478">
            <w:pPr>
              <w:rPr>
                <w:rFonts w:asciiTheme="minorHAnsi" w:hAnsiTheme="minorHAnsi" w:cstheme="minorHAnsi"/>
                <w:color w:val="0563C1"/>
                <w:u w:val="single"/>
              </w:rPr>
            </w:pP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27169EAB" w14:textId="7D5B9AD6"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29D1BE18" w14:textId="1D865A51"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r>
      <w:tr w:rsidR="008E5478" w:rsidRPr="008E5478" w14:paraId="160D2105" w14:textId="0B8EBD9F"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5B24"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American Indian/Alaska Native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399D" w14:textId="7D45AE5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0518" w14:textId="3EA9D3D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7E0D3BEC" w14:textId="19BD3B7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CC0D1A8" w14:textId="0B9F38B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0.4%</w:t>
            </w:r>
          </w:p>
        </w:tc>
      </w:tr>
      <w:tr w:rsidR="008E5478" w:rsidRPr="008E5478" w14:paraId="29132A57" w14:textId="2A638F08"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723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7B8F" w14:textId="44E22C1C"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7D7EC" w14:textId="247486D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872E8D1" w14:textId="7650BC2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B5A7BA1" w14:textId="124FB41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r>
      <w:tr w:rsidR="008E5478" w:rsidRPr="008E5478" w14:paraId="6BD0188F" w14:textId="1A7F6D5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0885"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Black/African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CA02" w14:textId="5BDDAF5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7396" w14:textId="2F63BC6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592D2D7" w14:textId="16BC6A37"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CAF3DFA" w14:textId="554378A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35.9%</w:t>
            </w:r>
          </w:p>
        </w:tc>
      </w:tr>
      <w:tr w:rsidR="008E5478" w:rsidRPr="008E5478" w14:paraId="6C9EDFB0" w14:textId="556C39AB"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1957"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EDF4" w14:textId="33C1779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15.8%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9131" w14:textId="59248F9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3ED4178" w14:textId="1877784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FF56519" w14:textId="3A4D1F3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22.5%</w:t>
            </w:r>
          </w:p>
        </w:tc>
      </w:tr>
      <w:tr w:rsidR="008E5478" w:rsidRPr="008E5478" w14:paraId="1CE7D5C2" w14:textId="5A4E848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84971"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Native Hawaiian/Pacific Islander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3A1C" w14:textId="0FD959A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17A4" w14:textId="75C1F25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13E4E50" w14:textId="3BB282E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E4F19CC" w14:textId="4A53B0A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r>
      <w:tr w:rsidR="008E5478" w:rsidRPr="008E5478" w14:paraId="65340B03" w14:textId="58326131"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2B9A"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White/Caucasian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684B" w14:textId="67AF403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EBAC" w14:textId="5B3132E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24.1%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FC785B8" w14:textId="07ADCCD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25.4%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461B36B" w14:textId="3199295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23.6%</w:t>
            </w:r>
          </w:p>
        </w:tc>
      </w:tr>
      <w:tr w:rsidR="008E5478" w:rsidRPr="008E5478" w14:paraId="11656407" w14:textId="30BE5205"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50A7" w14:textId="3C16E7DC" w:rsidR="008E5478" w:rsidRPr="008E5478" w:rsidRDefault="00000000" w:rsidP="008E5478">
            <w:pPr>
              <w:rPr>
                <w:rFonts w:asciiTheme="minorHAnsi" w:hAnsiTheme="minorHAnsi" w:cstheme="minorHAnsi"/>
              </w:rPr>
            </w:pPr>
            <w:hyperlink w:anchor="RANGE!A39" w:history="1">
              <w:r w:rsidR="008E5478" w:rsidRPr="008E5478">
                <w:rPr>
                  <w:rFonts w:asciiTheme="minorHAnsi" w:hAnsiTheme="minorHAnsi" w:cstheme="minorHAnsi"/>
                </w:rPr>
                <w:t>Other</w:t>
              </w:r>
            </w:hyperlink>
            <w:r w:rsidR="008E5478" w:rsidRPr="008E5478">
              <w:rPr>
                <w:rStyle w:val="FootnoteReference"/>
                <w:rFonts w:asciiTheme="minorHAnsi" w:hAnsiTheme="minorHAnsi" w:cstheme="minorHAnsi"/>
              </w:rPr>
              <w:footnoteReference w:id="13"/>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D2FB" w14:textId="79500CA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EFDA" w14:textId="2209214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17.2%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05D45D6" w14:textId="5BD35CB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54CE92C" w14:textId="5698090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12.9%</w:t>
            </w:r>
          </w:p>
        </w:tc>
      </w:tr>
      <w:tr w:rsidR="008E5478" w:rsidRPr="008E5478" w14:paraId="1CA647F5" w14:textId="6E3492C5"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9BB0E3F" w14:textId="7044B484" w:rsidR="008E5478" w:rsidRPr="008E5478" w:rsidRDefault="008E5478" w:rsidP="008E5478">
            <w:pPr>
              <w:rPr>
                <w:rFonts w:asciiTheme="minorHAnsi" w:hAnsiTheme="minorHAnsi" w:cstheme="minorHAnsi"/>
              </w:rPr>
            </w:pPr>
            <w:r w:rsidRPr="008E5478">
              <w:rPr>
                <w:rFonts w:asciiTheme="minorHAnsi" w:hAnsiTheme="minorHAnsi" w:cstheme="minorHAnsi"/>
              </w:rPr>
              <w:t xml:space="preserve">Geographic Origin </w:t>
            </w:r>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tcPr>
          <w:p w14:paraId="181E7F73" w14:textId="3FF9BF11" w:rsidR="008E5478" w:rsidRPr="008E5478" w:rsidRDefault="008E5478" w:rsidP="008E5478">
            <w:pPr>
              <w:rPr>
                <w:rFonts w:asciiTheme="minorHAnsi" w:hAnsiTheme="minorHAnsi" w:cstheme="minorHAnsi"/>
                <w:color w:val="0563C1"/>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650C1C4B" w14:textId="6B23B395" w:rsidR="008E5478" w:rsidRPr="008E5478" w:rsidRDefault="008E5478" w:rsidP="008E5478">
            <w:pPr>
              <w:rPr>
                <w:rFonts w:asciiTheme="minorHAnsi" w:hAnsiTheme="minorHAnsi" w:cstheme="minorHAnsi"/>
                <w:color w:val="0563C1"/>
                <w:u w:val="single"/>
              </w:rPr>
            </w:pP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71EF91A4" w14:textId="75226B3F"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0EB32702" w14:textId="7AEE8C19"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r>
      <w:tr w:rsidR="008E5478" w:rsidRPr="008E5478" w14:paraId="15A59CA5" w14:textId="17E7934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4C42"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Dorchester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5A0B" w14:textId="25E0B2D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1835" w14:textId="4ED0835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A08BDB7" w14:textId="09A70D2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C62E98D" w14:textId="68B06B14"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17.9%</w:t>
            </w:r>
          </w:p>
        </w:tc>
      </w:tr>
      <w:tr w:rsidR="008E5478" w:rsidRPr="008E5478" w14:paraId="6771DE1E" w14:textId="7042E73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354B"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Boston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3F6F" w14:textId="6D4426EA"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6037" w14:textId="0430DA9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14.6%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1AD9C1F" w14:textId="5308DD4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13.8%</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C4B3B70" w14:textId="161D755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13.6%</w:t>
            </w:r>
          </w:p>
        </w:tc>
      </w:tr>
      <w:tr w:rsidR="008E5478" w:rsidRPr="008E5478" w14:paraId="20D48FA8" w14:textId="6D415B5D"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1153"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Roxbury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4A42" w14:textId="0E0F00E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AD28" w14:textId="2E3CDE1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4.7%</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7F5AEDAD" w14:textId="032B32D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E5CFF74" w14:textId="2B4A50B4"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4.8%</w:t>
            </w:r>
          </w:p>
        </w:tc>
      </w:tr>
      <w:tr w:rsidR="008E5478" w:rsidRPr="008E5478" w14:paraId="1DFBC25C" w14:textId="53D7C21E"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D562"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Brockton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D0A9" w14:textId="44AB452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EF35" w14:textId="12A30A6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73ED284" w14:textId="5D06C0C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01ECEB8" w14:textId="671DF29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r>
      <w:tr w:rsidR="008E5478" w:rsidRPr="008E5478" w14:paraId="71BF8716" w14:textId="658B114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1D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Mattapan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78AC" w14:textId="6C29C2F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1E1A" w14:textId="747F6DFA"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321EC3E" w14:textId="02F0B7C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770C323" w14:textId="67C7A2E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r>
      <w:tr w:rsidR="008E5478" w:rsidRPr="008E5478" w14:paraId="3DFDFE7B" w14:textId="56DBAB96"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E474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Hyde Park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8654" w14:textId="467D8B6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1C2F" w14:textId="5972BDD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452737B" w14:textId="70C1BF6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A25154B" w14:textId="53D7CAF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r>
      <w:tr w:rsidR="008E5478" w:rsidRPr="008E5478" w14:paraId="193F4EF7" w14:textId="33FB6C4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8927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Revere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D57F" w14:textId="6FE0F95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4E4A" w14:textId="1D82156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F74AFA3" w14:textId="1891968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A82D8A1" w14:textId="2448B97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4.0%</w:t>
            </w:r>
          </w:p>
        </w:tc>
      </w:tr>
      <w:tr w:rsidR="008E5478" w:rsidRPr="008E5478" w14:paraId="172E0553" w14:textId="35B3FA1E"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2AA8"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Quincy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291A" w14:textId="0DBC345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9B85" w14:textId="265B6CA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48F24BE" w14:textId="1500172C"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28170AE" w14:textId="3F85C00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r>
      <w:tr w:rsidR="008E5478" w:rsidRPr="008E5478" w14:paraId="27BE1489" w14:textId="32CA6977"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09FB"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Chelsea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D14E" w14:textId="340C2F6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05F20" w14:textId="27C5C80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A3CB859" w14:textId="0924027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678F810" w14:textId="457E6A3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r>
      <w:tr w:rsidR="008E5478" w:rsidRPr="008E5478" w14:paraId="241B70B3" w14:textId="65D8CE49"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914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Lynn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2664" w14:textId="09BDFD2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AA7FD" w14:textId="1E3FEA7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96EA4DB" w14:textId="1DBE810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34B73356" w14:textId="30698FD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3.0%</w:t>
            </w:r>
          </w:p>
        </w:tc>
      </w:tr>
      <w:tr w:rsidR="008E5478" w:rsidRPr="008E5478" w14:paraId="089ED90C" w14:textId="6909A8A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4A0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All Other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2C9" w14:textId="6788673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8AA0" w14:textId="2745D5F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2975A72" w14:textId="5CC0D757"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3758A19" w14:textId="6D121E7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40.5%</w:t>
            </w:r>
          </w:p>
        </w:tc>
      </w:tr>
    </w:tbl>
    <w:p w14:paraId="69238DBF" w14:textId="1401BBBF" w:rsidR="001C7221" w:rsidRDefault="001C7221" w:rsidP="002B7BDE">
      <w:pPr>
        <w:contextualSpacing/>
        <w:jc w:val="center"/>
        <w:rPr>
          <w:rFonts w:asciiTheme="minorHAnsi" w:hAnsiTheme="minorHAnsi" w:cstheme="minorHAnsi"/>
          <w:b/>
          <w:bCs/>
        </w:rPr>
      </w:pPr>
    </w:p>
    <w:p w14:paraId="67BDCD4D" w14:textId="77777777" w:rsidR="008F11FB" w:rsidRPr="00392811" w:rsidRDefault="008F11FB" w:rsidP="007E631F">
      <w:pPr>
        <w:contextualSpacing/>
        <w:rPr>
          <w:rFonts w:asciiTheme="minorHAnsi" w:hAnsiTheme="minorHAnsi" w:cstheme="minorHAnsi"/>
        </w:rPr>
      </w:pPr>
    </w:p>
    <w:p w14:paraId="3B003EC6" w14:textId="10E2CC21" w:rsidR="007E631F" w:rsidRPr="00392811" w:rsidRDefault="007E631F" w:rsidP="42C628E8">
      <w:pPr>
        <w:contextualSpacing/>
        <w:rPr>
          <w:rFonts w:asciiTheme="minorHAnsi" w:hAnsiTheme="minorHAnsi" w:cstheme="minorHAnsi"/>
        </w:rPr>
      </w:pPr>
      <w:r w:rsidRPr="00392811">
        <w:rPr>
          <w:rFonts w:asciiTheme="minorHAnsi" w:hAnsiTheme="minorHAnsi" w:cstheme="minorHAnsi"/>
        </w:rPr>
        <w:t>Staff notes the following observations about data from Tables 2 and 3:</w:t>
      </w:r>
    </w:p>
    <w:p w14:paraId="44506E6C" w14:textId="2965369F" w:rsidR="00A03198"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Age:</w:t>
      </w:r>
      <w:r w:rsidRPr="00392811">
        <w:rPr>
          <w:rFonts w:asciiTheme="minorHAnsi" w:hAnsiTheme="minorHAnsi" w:cstheme="minorHAnsi"/>
        </w:rPr>
        <w:t xml:space="preserve"> Patients between the ages of 18-6</w:t>
      </w:r>
      <w:r w:rsidR="00076605">
        <w:rPr>
          <w:rFonts w:asciiTheme="minorHAnsi" w:hAnsiTheme="minorHAnsi" w:cstheme="minorHAnsi"/>
        </w:rPr>
        <w:t>4</w:t>
      </w:r>
      <w:r w:rsidRPr="00392811">
        <w:rPr>
          <w:rFonts w:asciiTheme="minorHAnsi" w:hAnsiTheme="minorHAnsi" w:cstheme="minorHAnsi"/>
        </w:rPr>
        <w:t xml:space="preserve"> represent </w:t>
      </w:r>
      <w:r w:rsidR="000F5032">
        <w:rPr>
          <w:rFonts w:asciiTheme="minorHAnsi" w:hAnsiTheme="minorHAnsi" w:cstheme="minorHAnsi"/>
        </w:rPr>
        <w:t>~</w:t>
      </w:r>
      <w:r w:rsidRPr="00392811">
        <w:rPr>
          <w:rFonts w:asciiTheme="minorHAnsi" w:hAnsiTheme="minorHAnsi" w:cstheme="minorHAnsi"/>
        </w:rPr>
        <w:t>70% of BMC’s</w:t>
      </w:r>
      <w:r w:rsidR="00A03198">
        <w:rPr>
          <w:rFonts w:asciiTheme="minorHAnsi" w:hAnsiTheme="minorHAnsi" w:cstheme="minorHAnsi"/>
        </w:rPr>
        <w:t xml:space="preserve"> overall</w:t>
      </w:r>
      <w:r w:rsidRPr="00392811">
        <w:rPr>
          <w:rFonts w:asciiTheme="minorHAnsi" w:hAnsiTheme="minorHAnsi" w:cstheme="minorHAnsi"/>
        </w:rPr>
        <w:t xml:space="preserve"> </w:t>
      </w:r>
      <w:r w:rsidR="00A03198">
        <w:rPr>
          <w:rFonts w:asciiTheme="minorHAnsi" w:hAnsiTheme="minorHAnsi" w:cstheme="minorHAnsi"/>
        </w:rPr>
        <w:t xml:space="preserve">and MRI </w:t>
      </w:r>
      <w:r w:rsidRPr="00392811">
        <w:rPr>
          <w:rFonts w:asciiTheme="minorHAnsi" w:hAnsiTheme="minorHAnsi" w:cstheme="minorHAnsi"/>
        </w:rPr>
        <w:t>patient</w:t>
      </w:r>
      <w:r w:rsidR="000F5032">
        <w:rPr>
          <w:rFonts w:asciiTheme="minorHAnsi" w:hAnsiTheme="minorHAnsi" w:cstheme="minorHAnsi"/>
        </w:rPr>
        <w:t>s</w:t>
      </w:r>
      <w:r w:rsidR="00804B69">
        <w:rPr>
          <w:rFonts w:asciiTheme="minorHAnsi" w:hAnsiTheme="minorHAnsi" w:cstheme="minorHAnsi"/>
        </w:rPr>
        <w:t xml:space="preserve">; </w:t>
      </w:r>
      <w:r w:rsidR="006B477C">
        <w:rPr>
          <w:rFonts w:asciiTheme="minorHAnsi" w:hAnsiTheme="minorHAnsi" w:cstheme="minorHAnsi"/>
        </w:rPr>
        <w:t>however,</w:t>
      </w:r>
      <w:r w:rsidR="006529DB">
        <w:rPr>
          <w:rFonts w:asciiTheme="minorHAnsi" w:hAnsiTheme="minorHAnsi" w:cstheme="minorHAnsi"/>
        </w:rPr>
        <w:t xml:space="preserve"> MRI</w:t>
      </w:r>
      <w:r w:rsidR="00804B69">
        <w:rPr>
          <w:rFonts w:asciiTheme="minorHAnsi" w:hAnsiTheme="minorHAnsi" w:cstheme="minorHAnsi"/>
        </w:rPr>
        <w:t xml:space="preserve"> patients aged 65+ represent significantly higher </w:t>
      </w:r>
      <w:r w:rsidR="006529DB">
        <w:rPr>
          <w:rFonts w:asciiTheme="minorHAnsi" w:hAnsiTheme="minorHAnsi" w:cstheme="minorHAnsi"/>
        </w:rPr>
        <w:t xml:space="preserve">proportion </w:t>
      </w:r>
      <w:r w:rsidR="006B477C">
        <w:rPr>
          <w:rFonts w:asciiTheme="minorHAnsi" w:hAnsiTheme="minorHAnsi" w:cstheme="minorHAnsi"/>
        </w:rPr>
        <w:t xml:space="preserve">of MRI patients </w:t>
      </w:r>
      <w:r w:rsidR="00792C67">
        <w:rPr>
          <w:rFonts w:asciiTheme="minorHAnsi" w:hAnsiTheme="minorHAnsi" w:cstheme="minorHAnsi"/>
        </w:rPr>
        <w:t>than</w:t>
      </w:r>
      <w:r w:rsidR="006B477C">
        <w:rPr>
          <w:rFonts w:asciiTheme="minorHAnsi" w:hAnsiTheme="minorHAnsi" w:cstheme="minorHAnsi"/>
        </w:rPr>
        <w:t xml:space="preserve"> of </w:t>
      </w:r>
      <w:r w:rsidR="00792C67">
        <w:rPr>
          <w:rFonts w:asciiTheme="minorHAnsi" w:hAnsiTheme="minorHAnsi" w:cstheme="minorHAnsi"/>
        </w:rPr>
        <w:t>overall patients</w:t>
      </w:r>
      <w:r w:rsidR="00D80AEB">
        <w:rPr>
          <w:rFonts w:asciiTheme="minorHAnsi" w:hAnsiTheme="minorHAnsi" w:cstheme="minorHAnsi"/>
        </w:rPr>
        <w:t xml:space="preserve"> (~25% vs ~15</w:t>
      </w:r>
      <w:r w:rsidR="001B57FA">
        <w:rPr>
          <w:rFonts w:asciiTheme="minorHAnsi" w:hAnsiTheme="minorHAnsi" w:cstheme="minorHAnsi"/>
        </w:rPr>
        <w:t>%</w:t>
      </w:r>
      <w:r w:rsidR="00D80AEB">
        <w:rPr>
          <w:rFonts w:asciiTheme="minorHAnsi" w:hAnsiTheme="minorHAnsi" w:cstheme="minorHAnsi"/>
        </w:rPr>
        <w:t xml:space="preserve"> depending on the year.) </w:t>
      </w:r>
      <w:r w:rsidR="0077307A">
        <w:rPr>
          <w:rFonts w:asciiTheme="minorHAnsi" w:hAnsiTheme="minorHAnsi" w:cstheme="minorHAnsi"/>
        </w:rPr>
        <w:t xml:space="preserve">MRI </w:t>
      </w:r>
      <w:r w:rsidR="00D80AEB">
        <w:rPr>
          <w:rFonts w:asciiTheme="minorHAnsi" w:hAnsiTheme="minorHAnsi" w:cstheme="minorHAnsi"/>
        </w:rPr>
        <w:t xml:space="preserve">patients aged 0-17 </w:t>
      </w:r>
      <w:r w:rsidR="0077307A">
        <w:rPr>
          <w:rFonts w:asciiTheme="minorHAnsi" w:hAnsiTheme="minorHAnsi" w:cstheme="minorHAnsi"/>
        </w:rPr>
        <w:t xml:space="preserve">represent a significantly lower proportion </w:t>
      </w:r>
      <w:r w:rsidR="00FB6E9A">
        <w:rPr>
          <w:rFonts w:asciiTheme="minorHAnsi" w:hAnsiTheme="minorHAnsi" w:cstheme="minorHAnsi"/>
        </w:rPr>
        <w:t>than overall patients (</w:t>
      </w:r>
      <w:r w:rsidR="00A81B6B">
        <w:rPr>
          <w:rFonts w:asciiTheme="minorHAnsi" w:hAnsiTheme="minorHAnsi" w:cstheme="minorHAnsi"/>
        </w:rPr>
        <w:t>~3.0% vs ~14.8%).</w:t>
      </w:r>
    </w:p>
    <w:p w14:paraId="0C03B9BC" w14:textId="71F43CBB" w:rsidR="007E631F" w:rsidRPr="001B57FA" w:rsidRDefault="007E631F" w:rsidP="001B57FA">
      <w:pPr>
        <w:pStyle w:val="ListParagraph"/>
        <w:numPr>
          <w:ilvl w:val="0"/>
          <w:numId w:val="1"/>
        </w:numPr>
        <w:rPr>
          <w:rFonts w:asciiTheme="minorHAnsi" w:hAnsiTheme="minorHAnsi" w:cstheme="minorHAnsi"/>
        </w:rPr>
      </w:pPr>
      <w:r w:rsidRPr="001B57FA">
        <w:rPr>
          <w:rFonts w:asciiTheme="minorHAnsi" w:hAnsiTheme="minorHAnsi" w:cstheme="minorHAnsi"/>
          <w:b/>
          <w:bCs/>
        </w:rPr>
        <w:t>Race/Ethnicity:</w:t>
      </w:r>
      <w:r w:rsidRPr="001B57FA">
        <w:rPr>
          <w:rFonts w:asciiTheme="minorHAnsi" w:hAnsiTheme="minorHAnsi" w:cstheme="minorHAnsi"/>
        </w:rPr>
        <w:t xml:space="preserve"> </w:t>
      </w:r>
      <w:r w:rsidR="00076605" w:rsidRPr="001B57FA">
        <w:rPr>
          <w:rFonts w:asciiTheme="minorHAnsi" w:hAnsiTheme="minorHAnsi" w:cstheme="minorHAnsi"/>
        </w:rPr>
        <w:t xml:space="preserve">In FY 22, ~32% of </w:t>
      </w:r>
      <w:r w:rsidR="006B477C">
        <w:rPr>
          <w:rFonts w:asciiTheme="minorHAnsi" w:hAnsiTheme="minorHAnsi" w:cstheme="minorHAnsi"/>
        </w:rPr>
        <w:t xml:space="preserve">overall </w:t>
      </w:r>
      <w:r w:rsidR="00076605" w:rsidRPr="001B57FA">
        <w:rPr>
          <w:rFonts w:asciiTheme="minorHAnsi" w:hAnsiTheme="minorHAnsi" w:cstheme="minorHAnsi"/>
        </w:rPr>
        <w:t>p</w:t>
      </w:r>
      <w:r w:rsidRPr="001B57FA">
        <w:rPr>
          <w:rFonts w:asciiTheme="minorHAnsi" w:hAnsiTheme="minorHAnsi" w:cstheme="minorHAnsi"/>
        </w:rPr>
        <w:t>atients self-identified as predominantly Black/African American</w:t>
      </w:r>
      <w:r w:rsidR="00076605" w:rsidRPr="001B57FA">
        <w:rPr>
          <w:rFonts w:asciiTheme="minorHAnsi" w:hAnsiTheme="minorHAnsi" w:cstheme="minorHAnsi"/>
        </w:rPr>
        <w:t xml:space="preserve">, 25% as </w:t>
      </w:r>
      <w:r w:rsidRPr="001B57FA">
        <w:rPr>
          <w:rFonts w:asciiTheme="minorHAnsi" w:hAnsiTheme="minorHAnsi" w:cstheme="minorHAnsi"/>
        </w:rPr>
        <w:t>White/Caucasian</w:t>
      </w:r>
      <w:r w:rsidR="006B477C">
        <w:rPr>
          <w:rFonts w:asciiTheme="minorHAnsi" w:hAnsiTheme="minorHAnsi" w:cstheme="minorHAnsi"/>
        </w:rPr>
        <w:t>,</w:t>
      </w:r>
      <w:r w:rsidR="00076605" w:rsidRPr="001B57FA">
        <w:rPr>
          <w:rFonts w:asciiTheme="minorHAnsi" w:hAnsiTheme="minorHAnsi" w:cstheme="minorHAnsi"/>
        </w:rPr>
        <w:t xml:space="preserve"> and ~1</w:t>
      </w:r>
      <w:r w:rsidR="0003104F" w:rsidRPr="001B57FA">
        <w:rPr>
          <w:rFonts w:asciiTheme="minorHAnsi" w:hAnsiTheme="minorHAnsi" w:cstheme="minorHAnsi"/>
        </w:rPr>
        <w:t>6</w:t>
      </w:r>
      <w:r w:rsidR="00076605" w:rsidRPr="001B57FA">
        <w:rPr>
          <w:rFonts w:asciiTheme="minorHAnsi" w:hAnsiTheme="minorHAnsi" w:cstheme="minorHAnsi"/>
        </w:rPr>
        <w:t xml:space="preserve">% as </w:t>
      </w:r>
      <w:r w:rsidR="00501387" w:rsidRPr="001B57FA">
        <w:rPr>
          <w:rFonts w:asciiTheme="minorHAnsi" w:hAnsiTheme="minorHAnsi" w:cstheme="minorHAnsi"/>
        </w:rPr>
        <w:t>Hispanic/</w:t>
      </w:r>
      <w:r w:rsidR="00076605" w:rsidRPr="001B57FA">
        <w:rPr>
          <w:rFonts w:asciiTheme="minorHAnsi" w:hAnsiTheme="minorHAnsi" w:cstheme="minorHAnsi"/>
        </w:rPr>
        <w:t>Latino</w:t>
      </w:r>
      <w:r w:rsidRPr="001B57FA">
        <w:rPr>
          <w:rFonts w:asciiTheme="minorHAnsi" w:hAnsiTheme="minorHAnsi" w:cstheme="minorHAnsi"/>
        </w:rPr>
        <w:t>.</w:t>
      </w:r>
      <w:r w:rsidR="00F27578" w:rsidRPr="001B57FA">
        <w:rPr>
          <w:rFonts w:asciiTheme="minorHAnsi" w:hAnsiTheme="minorHAnsi" w:cstheme="minorHAnsi"/>
        </w:rPr>
        <w:t xml:space="preserve"> For MRI patients, th</w:t>
      </w:r>
      <w:r w:rsidR="00501387" w:rsidRPr="001B57FA">
        <w:rPr>
          <w:rFonts w:asciiTheme="minorHAnsi" w:hAnsiTheme="minorHAnsi" w:cstheme="minorHAnsi"/>
        </w:rPr>
        <w:t>ese percentages are similar except that Hispan</w:t>
      </w:r>
      <w:r w:rsidR="0003104F" w:rsidRPr="001B57FA">
        <w:rPr>
          <w:rFonts w:asciiTheme="minorHAnsi" w:hAnsiTheme="minorHAnsi" w:cstheme="minorHAnsi"/>
        </w:rPr>
        <w:t>ic</w:t>
      </w:r>
      <w:r w:rsidR="0036427A" w:rsidRPr="001B57FA">
        <w:rPr>
          <w:rFonts w:asciiTheme="minorHAnsi" w:hAnsiTheme="minorHAnsi" w:cstheme="minorHAnsi"/>
        </w:rPr>
        <w:t xml:space="preserve">/Latino’s proportion of MRI is higher </w:t>
      </w:r>
      <w:r w:rsidR="001B57FA">
        <w:rPr>
          <w:rFonts w:asciiTheme="minorHAnsi" w:hAnsiTheme="minorHAnsi" w:cstheme="minorHAnsi"/>
        </w:rPr>
        <w:t>(</w:t>
      </w:r>
      <w:r w:rsidR="0036427A" w:rsidRPr="001B57FA">
        <w:rPr>
          <w:rFonts w:asciiTheme="minorHAnsi" w:hAnsiTheme="minorHAnsi" w:cstheme="minorHAnsi"/>
        </w:rPr>
        <w:t>~2</w:t>
      </w:r>
      <w:r w:rsidR="00123C59" w:rsidRPr="001B57FA">
        <w:rPr>
          <w:rFonts w:asciiTheme="minorHAnsi" w:hAnsiTheme="minorHAnsi" w:cstheme="minorHAnsi"/>
        </w:rPr>
        <w:t>1</w:t>
      </w:r>
      <w:r w:rsidR="0036427A" w:rsidRPr="001B57FA">
        <w:rPr>
          <w:rFonts w:asciiTheme="minorHAnsi" w:hAnsiTheme="minorHAnsi" w:cstheme="minorHAnsi"/>
        </w:rPr>
        <w:t>%</w:t>
      </w:r>
      <w:r w:rsidR="001B57FA">
        <w:rPr>
          <w:rFonts w:asciiTheme="minorHAnsi" w:hAnsiTheme="minorHAnsi" w:cstheme="minorHAnsi"/>
        </w:rPr>
        <w:t xml:space="preserve"> vs ~15.5%) </w:t>
      </w:r>
    </w:p>
    <w:p w14:paraId="05F91081" w14:textId="62538559" w:rsidR="007E631F" w:rsidRPr="00392811"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Patient Origin:</w:t>
      </w:r>
      <w:r w:rsidRPr="00392811">
        <w:rPr>
          <w:rFonts w:asciiTheme="minorHAnsi" w:hAnsiTheme="minorHAnsi" w:cstheme="minorHAnsi"/>
        </w:rPr>
        <w:t xml:space="preserve"> BMC</w:t>
      </w:r>
      <w:r w:rsidR="008C433D">
        <w:rPr>
          <w:rFonts w:asciiTheme="minorHAnsi" w:hAnsiTheme="minorHAnsi" w:cstheme="minorHAnsi"/>
        </w:rPr>
        <w:t xml:space="preserve">’s </w:t>
      </w:r>
      <w:r w:rsidR="00123C59">
        <w:rPr>
          <w:rFonts w:asciiTheme="minorHAnsi" w:hAnsiTheme="minorHAnsi" w:cstheme="minorHAnsi"/>
        </w:rPr>
        <w:t xml:space="preserve">overall and </w:t>
      </w:r>
      <w:r w:rsidR="008C433D">
        <w:rPr>
          <w:rFonts w:asciiTheme="minorHAnsi" w:hAnsiTheme="minorHAnsi" w:cstheme="minorHAnsi"/>
        </w:rPr>
        <w:t xml:space="preserve">its MRI patients </w:t>
      </w:r>
      <w:r w:rsidRPr="00392811">
        <w:rPr>
          <w:rFonts w:asciiTheme="minorHAnsi" w:hAnsiTheme="minorHAnsi" w:cstheme="minorHAnsi"/>
        </w:rPr>
        <w:t>mainly reside in the Boston/Greater Boston area, with nearly 60% of patients residing in the following 10 communities: Dorchester, Boston, Roxbury, Brockton, Mattapan, Hyde Park, Revere, Quincy, Chelsea, and Lynn.</w:t>
      </w:r>
    </w:p>
    <w:p w14:paraId="0B0F2EA2" w14:textId="3E2DEEDF" w:rsidR="00076605"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 xml:space="preserve">ACO and Alternative Payment Method (APM) Contracts: </w:t>
      </w:r>
      <w:r w:rsidRPr="00392811">
        <w:rPr>
          <w:rFonts w:asciiTheme="minorHAnsi" w:hAnsiTheme="minorHAnsi" w:cstheme="minorHAnsi"/>
        </w:rPr>
        <w:t xml:space="preserve">The percentage of BMC’s </w:t>
      </w:r>
      <w:r w:rsidR="006B477C">
        <w:rPr>
          <w:rFonts w:asciiTheme="minorHAnsi" w:hAnsiTheme="minorHAnsi" w:cstheme="minorHAnsi"/>
        </w:rPr>
        <w:t xml:space="preserve">overall, </w:t>
      </w:r>
      <w:r w:rsidR="005A282D">
        <w:rPr>
          <w:rFonts w:asciiTheme="minorHAnsi" w:hAnsiTheme="minorHAnsi" w:cstheme="minorHAnsi"/>
        </w:rPr>
        <w:t xml:space="preserve">and BMC’s </w:t>
      </w:r>
      <w:r w:rsidR="00E967DC">
        <w:rPr>
          <w:rFonts w:asciiTheme="minorHAnsi" w:hAnsiTheme="minorHAnsi" w:cstheme="minorHAnsi"/>
        </w:rPr>
        <w:t xml:space="preserve">MRI </w:t>
      </w:r>
      <w:r w:rsidRPr="00392811">
        <w:rPr>
          <w:rFonts w:asciiTheme="minorHAnsi" w:hAnsiTheme="minorHAnsi" w:cstheme="minorHAnsi"/>
        </w:rPr>
        <w:t xml:space="preserve">primary care lives covered by alternative payer mix (“APM”) and ACO contracts </w:t>
      </w:r>
      <w:r w:rsidR="00076605">
        <w:rPr>
          <w:rFonts w:asciiTheme="minorHAnsi" w:hAnsiTheme="minorHAnsi" w:cstheme="minorHAnsi"/>
        </w:rPr>
        <w:t>wa</w:t>
      </w:r>
      <w:r w:rsidRPr="00392811">
        <w:rPr>
          <w:rFonts w:asciiTheme="minorHAnsi" w:hAnsiTheme="minorHAnsi" w:cstheme="minorHAnsi"/>
        </w:rPr>
        <w:t xml:space="preserve">s </w:t>
      </w:r>
      <w:r w:rsidR="00076605">
        <w:rPr>
          <w:rFonts w:asciiTheme="minorHAnsi" w:hAnsiTheme="minorHAnsi" w:cstheme="minorHAnsi"/>
        </w:rPr>
        <w:t>29%</w:t>
      </w:r>
      <w:r w:rsidR="00E967DC">
        <w:rPr>
          <w:rFonts w:asciiTheme="minorHAnsi" w:hAnsiTheme="minorHAnsi" w:cstheme="minorHAnsi"/>
        </w:rPr>
        <w:t xml:space="preserve"> and 25.6% respectively</w:t>
      </w:r>
      <w:r w:rsidR="00076605">
        <w:rPr>
          <w:rFonts w:asciiTheme="minorHAnsi" w:hAnsiTheme="minorHAnsi" w:cstheme="minorHAnsi"/>
        </w:rPr>
        <w:t xml:space="preserve"> in FY22</w:t>
      </w:r>
      <w:r w:rsidR="00E967DC">
        <w:rPr>
          <w:rFonts w:asciiTheme="minorHAnsi" w:hAnsiTheme="minorHAnsi" w:cstheme="minorHAnsi"/>
        </w:rPr>
        <w:t>.</w:t>
      </w:r>
      <w:r w:rsidR="00076605">
        <w:rPr>
          <w:rFonts w:asciiTheme="minorHAnsi" w:hAnsiTheme="minorHAnsi" w:cstheme="minorHAnsi"/>
        </w:rPr>
        <w:t xml:space="preserve"> </w:t>
      </w:r>
    </w:p>
    <w:p w14:paraId="28901848" w14:textId="5634BB09" w:rsidR="007E631F" w:rsidRPr="000F2465" w:rsidRDefault="007E631F" w:rsidP="00B91829">
      <w:pPr>
        <w:numPr>
          <w:ilvl w:val="0"/>
          <w:numId w:val="1"/>
        </w:numPr>
        <w:contextualSpacing/>
        <w:rPr>
          <w:rFonts w:asciiTheme="minorHAnsi" w:hAnsiTheme="minorHAnsi" w:cstheme="minorHAnsi"/>
          <w:b/>
          <w:bCs/>
          <w:sz w:val="22"/>
          <w:szCs w:val="22"/>
          <w:u w:val="single"/>
        </w:rPr>
      </w:pPr>
      <w:r w:rsidRPr="000F2465">
        <w:rPr>
          <w:rFonts w:asciiTheme="minorHAnsi" w:hAnsiTheme="minorHAnsi" w:cstheme="minorHAnsi"/>
          <w:b/>
          <w:bCs/>
        </w:rPr>
        <w:lastRenderedPageBreak/>
        <w:t>Payer Mix:</w:t>
      </w:r>
      <w:r w:rsidRPr="000F2465">
        <w:rPr>
          <w:rFonts w:asciiTheme="minorHAnsi" w:hAnsiTheme="minorHAnsi" w:cstheme="minorHAnsi"/>
        </w:rPr>
        <w:t xml:space="preserve">  The largest portion of BMC’s </w:t>
      </w:r>
      <w:r w:rsidR="005A282D">
        <w:rPr>
          <w:rFonts w:asciiTheme="minorHAnsi" w:hAnsiTheme="minorHAnsi" w:cstheme="minorHAnsi"/>
        </w:rPr>
        <w:t xml:space="preserve">overall and MRI </w:t>
      </w:r>
      <w:r w:rsidR="00D60F87">
        <w:rPr>
          <w:rFonts w:asciiTheme="minorHAnsi" w:hAnsiTheme="minorHAnsi" w:cstheme="minorHAnsi"/>
        </w:rPr>
        <w:t xml:space="preserve">payor mix is </w:t>
      </w:r>
      <w:r w:rsidRPr="000F2465">
        <w:rPr>
          <w:rFonts w:asciiTheme="minorHAnsi" w:hAnsiTheme="minorHAnsi" w:cstheme="minorHAnsi"/>
        </w:rPr>
        <w:t>insurance through public payers; in FY2</w:t>
      </w:r>
      <w:r w:rsidR="000F2465" w:rsidRPr="000F2465">
        <w:rPr>
          <w:rFonts w:asciiTheme="minorHAnsi" w:hAnsiTheme="minorHAnsi" w:cstheme="minorHAnsi"/>
        </w:rPr>
        <w:t>2</w:t>
      </w:r>
      <w:r w:rsidRPr="000F2465">
        <w:rPr>
          <w:rFonts w:asciiTheme="minorHAnsi" w:hAnsiTheme="minorHAnsi" w:cstheme="minorHAnsi"/>
        </w:rPr>
        <w:t>, BMC’s public payer mix</w:t>
      </w:r>
      <w:r w:rsidR="000F2465" w:rsidRPr="000F2465">
        <w:rPr>
          <w:rFonts w:asciiTheme="minorHAnsi" w:hAnsiTheme="minorHAnsi" w:cstheme="minorHAnsi"/>
        </w:rPr>
        <w:t xml:space="preserve"> was </w:t>
      </w:r>
      <w:r w:rsidR="000F2465" w:rsidRPr="0025543B">
        <w:rPr>
          <w:rFonts w:asciiTheme="minorHAnsi" w:hAnsiTheme="minorHAnsi" w:cstheme="minorHAnsi"/>
          <w:strike/>
          <w:color w:val="C00000"/>
        </w:rPr>
        <w:t>over 6</w:t>
      </w:r>
      <w:r w:rsidR="0025543B" w:rsidRPr="0025543B">
        <w:rPr>
          <w:rFonts w:asciiTheme="minorHAnsi" w:hAnsiTheme="minorHAnsi" w:cstheme="minorHAnsi"/>
          <w:color w:val="C00000"/>
        </w:rPr>
        <w:t xml:space="preserve"> </w:t>
      </w:r>
      <w:r w:rsidR="009770F3" w:rsidRPr="0025543B">
        <w:rPr>
          <w:rFonts w:asciiTheme="minorHAnsi" w:hAnsiTheme="minorHAnsi" w:cstheme="minorHAnsi"/>
          <w:color w:val="C00000"/>
          <w:u w:val="single"/>
        </w:rPr>
        <w:t>nearly</w:t>
      </w:r>
      <w:r w:rsidR="0025543B" w:rsidRPr="0025543B">
        <w:rPr>
          <w:rFonts w:asciiTheme="minorHAnsi" w:hAnsiTheme="minorHAnsi" w:cstheme="minorHAnsi"/>
          <w:color w:val="C00000"/>
          <w:u w:val="single"/>
        </w:rPr>
        <w:t xml:space="preserve"> 5</w:t>
      </w:r>
      <w:r w:rsidR="000F2465" w:rsidRPr="000F2465">
        <w:rPr>
          <w:rFonts w:asciiTheme="minorHAnsi" w:hAnsiTheme="minorHAnsi" w:cstheme="minorHAnsi"/>
        </w:rPr>
        <w:t>5%</w:t>
      </w:r>
      <w:r w:rsidR="00D60F87">
        <w:rPr>
          <w:rFonts w:asciiTheme="minorHAnsi" w:hAnsiTheme="minorHAnsi" w:cstheme="minorHAnsi"/>
        </w:rPr>
        <w:t xml:space="preserve">, while </w:t>
      </w:r>
      <w:r w:rsidR="00D60F87" w:rsidRPr="00D60F87">
        <w:rPr>
          <w:rFonts w:asciiTheme="minorHAnsi" w:hAnsiTheme="minorHAnsi" w:cstheme="minorHAnsi"/>
        </w:rPr>
        <w:t xml:space="preserve">BMC’s MRI public payer mix </w:t>
      </w:r>
      <w:r w:rsidR="00AD0917">
        <w:rPr>
          <w:rFonts w:asciiTheme="minorHAnsi" w:hAnsiTheme="minorHAnsi" w:cstheme="minorHAnsi"/>
        </w:rPr>
        <w:t xml:space="preserve">was </w:t>
      </w:r>
      <w:r w:rsidR="00D60F87" w:rsidRPr="00D60F87">
        <w:rPr>
          <w:rFonts w:asciiTheme="minorHAnsi" w:hAnsiTheme="minorHAnsi" w:cstheme="minorHAnsi"/>
        </w:rPr>
        <w:t xml:space="preserve">greater than 70% of all MRI patients </w:t>
      </w:r>
      <w:r w:rsidR="00CE0A25" w:rsidRPr="00CE0A25">
        <w:rPr>
          <w:rFonts w:asciiTheme="minorHAnsi" w:hAnsiTheme="minorHAnsi" w:cstheme="minorHAnsi"/>
        </w:rPr>
        <w:t>(including MassHealth, Managed Medicaid, Commercial Medicare, and Medicare FFS</w:t>
      </w:r>
      <w:r w:rsidR="00CE0A25" w:rsidRPr="0025543B">
        <w:rPr>
          <w:rFonts w:asciiTheme="minorHAnsi" w:hAnsiTheme="minorHAnsi" w:cstheme="minorHAnsi"/>
          <w:strike/>
          <w:color w:val="C00000"/>
        </w:rPr>
        <w:t>, Free Care/HSN, and All Other</w:t>
      </w:r>
      <w:r w:rsidR="00CE0A25" w:rsidRPr="00CE0A25">
        <w:rPr>
          <w:rFonts w:asciiTheme="minorHAnsi" w:hAnsiTheme="minorHAnsi" w:cstheme="minorHAnsi"/>
        </w:rPr>
        <w:t>).</w:t>
      </w:r>
    </w:p>
    <w:p w14:paraId="5A63EC48" w14:textId="77777777" w:rsidR="000F2465" w:rsidRPr="000F2465" w:rsidRDefault="000F2465" w:rsidP="000F2465">
      <w:pPr>
        <w:ind w:left="720"/>
        <w:contextualSpacing/>
        <w:rPr>
          <w:rFonts w:asciiTheme="minorHAnsi" w:hAnsiTheme="minorHAnsi" w:cstheme="minorHAnsi"/>
          <w:b/>
          <w:bCs/>
          <w:sz w:val="22"/>
          <w:szCs w:val="22"/>
          <w:u w:val="single"/>
        </w:rPr>
      </w:pPr>
    </w:p>
    <w:p w14:paraId="20AD7352" w14:textId="4C0FD1D6" w:rsidR="004A7D0D" w:rsidRDefault="004A7D0D" w:rsidP="008F11FB">
      <w:pPr>
        <w:contextualSpacing/>
        <w:jc w:val="center"/>
        <w:rPr>
          <w:rFonts w:asciiTheme="minorHAnsi" w:hAnsiTheme="minorHAnsi" w:cstheme="minorHAnsi"/>
          <w:b/>
          <w:bCs/>
        </w:rPr>
      </w:pPr>
      <w:r w:rsidRPr="00392811">
        <w:rPr>
          <w:rFonts w:asciiTheme="minorHAnsi" w:hAnsiTheme="minorHAnsi" w:cstheme="minorHAnsi"/>
          <w:b/>
          <w:bCs/>
        </w:rPr>
        <w:t>Table 3:</w:t>
      </w:r>
      <w:r w:rsidR="00420914">
        <w:rPr>
          <w:rFonts w:asciiTheme="minorHAnsi" w:hAnsiTheme="minorHAnsi" w:cstheme="minorHAnsi"/>
          <w:b/>
          <w:bCs/>
        </w:rPr>
        <w:t xml:space="preserve"> FY 22</w:t>
      </w:r>
      <w:r w:rsidR="000C2A62">
        <w:rPr>
          <w:rFonts w:asciiTheme="minorHAnsi" w:hAnsiTheme="minorHAnsi" w:cstheme="minorHAnsi"/>
          <w:b/>
          <w:bCs/>
        </w:rPr>
        <w:t xml:space="preserve"> -</w:t>
      </w:r>
      <w:r w:rsidRPr="00392811">
        <w:rPr>
          <w:rFonts w:asciiTheme="minorHAnsi" w:hAnsiTheme="minorHAnsi" w:cstheme="minorHAnsi"/>
          <w:b/>
          <w:bCs/>
        </w:rPr>
        <w:t xml:space="preserve"> BMC APM/ACO Contract and Payer Mix Percentages</w:t>
      </w:r>
    </w:p>
    <w:p w14:paraId="0C8C82A9" w14:textId="6511A7A1" w:rsidR="000C2A62" w:rsidRDefault="000C2A62" w:rsidP="008F11FB">
      <w:pPr>
        <w:contextualSpacing/>
        <w:jc w:val="center"/>
        <w:rPr>
          <w:rFonts w:asciiTheme="minorHAnsi" w:hAnsiTheme="minorHAnsi" w:cstheme="minorHAnsi"/>
          <w:b/>
          <w:bCs/>
        </w:rPr>
      </w:pPr>
    </w:p>
    <w:p w14:paraId="7158AAF2" w14:textId="77777777" w:rsidR="000C2A62" w:rsidRPr="00392811" w:rsidRDefault="000C2A62" w:rsidP="008F11FB">
      <w:pPr>
        <w:contextualSpacing/>
        <w:jc w:val="center"/>
        <w:rPr>
          <w:rFonts w:asciiTheme="minorHAnsi" w:hAnsiTheme="minorHAnsi" w:cstheme="minorHAnsi"/>
          <w:b/>
          <w:bCs/>
        </w:rPr>
      </w:pPr>
    </w:p>
    <w:tbl>
      <w:tblPr>
        <w:tblStyle w:val="TableGrid"/>
        <w:tblW w:w="8005" w:type="dxa"/>
        <w:jc w:val="center"/>
        <w:tblLook w:val="04A0" w:firstRow="1" w:lastRow="0" w:firstColumn="1" w:lastColumn="0" w:noHBand="0" w:noVBand="1"/>
      </w:tblPr>
      <w:tblGrid>
        <w:gridCol w:w="2425"/>
        <w:gridCol w:w="1530"/>
        <w:gridCol w:w="1350"/>
        <w:gridCol w:w="1350"/>
        <w:gridCol w:w="1350"/>
      </w:tblGrid>
      <w:tr w:rsidR="006732FE" w:rsidRPr="00392811" w14:paraId="6ADA1EF2" w14:textId="77777777" w:rsidTr="006732FE">
        <w:trPr>
          <w:cantSplit/>
          <w:trHeight w:val="20"/>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E5FFFF"/>
            <w:vAlign w:val="center"/>
          </w:tcPr>
          <w:p w14:paraId="739B0B98" w14:textId="77777777" w:rsidR="006732FE" w:rsidRDefault="006732FE" w:rsidP="000C2A62">
            <w:pPr>
              <w:rPr>
                <w:rFonts w:asciiTheme="minorHAnsi" w:hAnsiTheme="minorHAnsi" w:cstheme="minorHAnsi"/>
                <w:b/>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E5FFFF"/>
            <w:vAlign w:val="center"/>
          </w:tcPr>
          <w:p w14:paraId="248BD7B7" w14:textId="77777777" w:rsidR="006732FE" w:rsidRPr="00392811" w:rsidRDefault="006732FE" w:rsidP="000C2A62">
            <w:pPr>
              <w:jc w:val="center"/>
              <w:rPr>
                <w:rFonts w:asciiTheme="minorHAnsi" w:hAnsiTheme="minorHAnsi" w:cstheme="minorHAnsi"/>
                <w:b/>
                <w:bCs/>
                <w:sz w:val="22"/>
                <w:szCs w:val="22"/>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35D1CDEC" w14:textId="1A5E76F3" w:rsidR="006732FE" w:rsidRPr="00392811" w:rsidRDefault="006732FE" w:rsidP="000C2A62">
            <w:pPr>
              <w:jc w:val="center"/>
              <w:rPr>
                <w:rFonts w:asciiTheme="minorHAnsi" w:hAnsiTheme="minorHAnsi" w:cstheme="minorHAnsi"/>
                <w:b/>
                <w:bCs/>
                <w:sz w:val="22"/>
                <w:szCs w:val="22"/>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77A30089" w14:textId="77777777" w:rsidR="006732FE" w:rsidRPr="000C2A62" w:rsidRDefault="006732FE" w:rsidP="000C2A62">
            <w:pPr>
              <w:jc w:val="center"/>
              <w:rPr>
                <w:rFonts w:ascii="Calibri" w:hAnsi="Calibri" w:cs="Calibri"/>
                <w:b/>
                <w:bCs/>
                <w:color w:val="000000"/>
                <w:sz w:val="22"/>
                <w:szCs w:val="22"/>
              </w:rPr>
            </w:pPr>
            <w:r w:rsidRPr="000C2A62">
              <w:rPr>
                <w:rFonts w:ascii="Calibri" w:hAnsi="Calibri" w:cs="Calibri"/>
                <w:b/>
                <w:bCs/>
                <w:color w:val="000000"/>
                <w:sz w:val="22"/>
                <w:szCs w:val="22"/>
              </w:rPr>
              <w:t>MRI</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389C9A59" w14:textId="46EA2D0F" w:rsidR="006732FE" w:rsidRPr="000C2A62" w:rsidRDefault="006732FE" w:rsidP="000C2A62">
            <w:pPr>
              <w:jc w:val="center"/>
              <w:rPr>
                <w:rFonts w:ascii="Calibri" w:hAnsi="Calibri" w:cs="Calibri"/>
                <w:b/>
                <w:bCs/>
                <w:color w:val="000000"/>
                <w:sz w:val="22"/>
                <w:szCs w:val="22"/>
              </w:rPr>
            </w:pPr>
            <w:r w:rsidRPr="000C2A62">
              <w:rPr>
                <w:rFonts w:ascii="Calibri" w:hAnsi="Calibri" w:cs="Calibri"/>
                <w:b/>
                <w:bCs/>
                <w:color w:val="000000"/>
                <w:sz w:val="22"/>
                <w:szCs w:val="22"/>
              </w:rPr>
              <w:t>MRI</w:t>
            </w:r>
          </w:p>
        </w:tc>
      </w:tr>
      <w:tr w:rsidR="000C2A62" w:rsidRPr="00392811" w14:paraId="4E11FFA8" w14:textId="6D2A731C" w:rsidTr="006732FE">
        <w:trPr>
          <w:cantSplit/>
          <w:trHeight w:val="20"/>
          <w:tblHeader/>
          <w:jc w:val="center"/>
        </w:trPr>
        <w:tc>
          <w:tcPr>
            <w:tcW w:w="2425" w:type="dxa"/>
            <w:shd w:val="clear" w:color="auto" w:fill="E5FFFF"/>
          </w:tcPr>
          <w:p w14:paraId="392DE156" w14:textId="614BCB1A" w:rsidR="000C2A62" w:rsidRPr="00392811" w:rsidRDefault="000C2A62" w:rsidP="000C2A62">
            <w:pPr>
              <w:rPr>
                <w:rFonts w:asciiTheme="minorHAnsi" w:hAnsiTheme="minorHAnsi" w:cstheme="minorHAnsi"/>
                <w:b/>
                <w:bCs/>
                <w:sz w:val="22"/>
                <w:szCs w:val="22"/>
              </w:rPr>
            </w:pPr>
            <w:r>
              <w:rPr>
                <w:rFonts w:asciiTheme="minorHAnsi" w:hAnsiTheme="minorHAnsi" w:cstheme="minorHAnsi"/>
                <w:b/>
                <w:bCs/>
                <w:sz w:val="22"/>
                <w:szCs w:val="22"/>
              </w:rPr>
              <w:t>Type of Contract</w:t>
            </w:r>
          </w:p>
        </w:tc>
        <w:tc>
          <w:tcPr>
            <w:tcW w:w="1530" w:type="dxa"/>
            <w:shd w:val="clear" w:color="auto" w:fill="E5FFFF"/>
          </w:tcPr>
          <w:p w14:paraId="291CBF9A" w14:textId="4FC064A0" w:rsidR="000C2A62" w:rsidRPr="00392811" w:rsidRDefault="000C2A62" w:rsidP="000C2A62">
            <w:pPr>
              <w:jc w:val="center"/>
              <w:rPr>
                <w:rFonts w:asciiTheme="minorHAnsi" w:hAnsiTheme="minorHAnsi" w:cstheme="minorHAnsi"/>
                <w:b/>
                <w:bCs/>
                <w:sz w:val="22"/>
                <w:szCs w:val="22"/>
              </w:rPr>
            </w:pPr>
            <w:r w:rsidRPr="000C2A62">
              <w:rPr>
                <w:rFonts w:asciiTheme="minorHAnsi" w:hAnsiTheme="minorHAnsi" w:cstheme="minorHAnsi"/>
                <w:b/>
                <w:bCs/>
                <w:sz w:val="22"/>
                <w:szCs w:val="22"/>
              </w:rPr>
              <w:t>FY22</w:t>
            </w:r>
          </w:p>
        </w:tc>
        <w:tc>
          <w:tcPr>
            <w:tcW w:w="1350" w:type="dxa"/>
            <w:shd w:val="clear" w:color="auto" w:fill="E5FFFF"/>
          </w:tcPr>
          <w:p w14:paraId="4EEF5162" w14:textId="442C0C8C" w:rsidR="000C2A62" w:rsidRPr="00392811" w:rsidRDefault="000C2A62" w:rsidP="000C2A62">
            <w:pPr>
              <w:jc w:val="center"/>
              <w:rPr>
                <w:rFonts w:asciiTheme="minorHAnsi" w:hAnsiTheme="minorHAnsi" w:cstheme="minorHAnsi"/>
                <w:b/>
                <w:bCs/>
                <w:sz w:val="22"/>
                <w:szCs w:val="22"/>
              </w:rPr>
            </w:pPr>
            <w:r w:rsidRPr="00392811">
              <w:rPr>
                <w:rFonts w:asciiTheme="minorHAnsi" w:hAnsiTheme="minorHAnsi" w:cstheme="minorHAnsi"/>
                <w:b/>
                <w:bCs/>
                <w:sz w:val="22"/>
                <w:szCs w:val="22"/>
              </w:rPr>
              <w:t>FY2</w:t>
            </w:r>
            <w:r>
              <w:rPr>
                <w:rFonts w:asciiTheme="minorHAnsi" w:hAnsiTheme="minorHAnsi" w:cstheme="minorHAnsi"/>
                <w:b/>
                <w:bCs/>
                <w:sz w:val="22"/>
                <w:szCs w:val="22"/>
              </w:rPr>
              <w:t>3</w:t>
            </w:r>
            <w:r w:rsidRPr="00392811">
              <w:rPr>
                <w:rFonts w:asciiTheme="minorHAnsi" w:hAnsiTheme="minorHAnsi" w:cstheme="minorHAnsi"/>
                <w:b/>
                <w:bCs/>
                <w:sz w:val="22"/>
                <w:szCs w:val="22"/>
              </w:rPr>
              <w:t xml:space="preserve"> YTD</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4398000B" w14:textId="719B350E" w:rsidR="000C2A62" w:rsidRPr="000C2A62" w:rsidRDefault="000C2A62" w:rsidP="000C2A62">
            <w:pPr>
              <w:jc w:val="center"/>
              <w:rPr>
                <w:rFonts w:asciiTheme="minorHAnsi" w:hAnsiTheme="minorHAnsi" w:cstheme="minorHAnsi"/>
                <w:b/>
                <w:bCs/>
                <w:sz w:val="22"/>
                <w:szCs w:val="22"/>
              </w:rPr>
            </w:pPr>
            <w:r w:rsidRPr="000C2A62">
              <w:rPr>
                <w:rFonts w:ascii="Calibri" w:hAnsi="Calibri" w:cs="Calibri"/>
                <w:b/>
                <w:bCs/>
                <w:color w:val="000000"/>
                <w:sz w:val="22"/>
                <w:szCs w:val="22"/>
              </w:rPr>
              <w:t>FY22</w:t>
            </w:r>
          </w:p>
        </w:tc>
        <w:tc>
          <w:tcPr>
            <w:tcW w:w="1350" w:type="dxa"/>
            <w:tcBorders>
              <w:top w:val="single" w:sz="4" w:space="0" w:color="auto"/>
              <w:left w:val="nil"/>
              <w:bottom w:val="single" w:sz="4" w:space="0" w:color="auto"/>
              <w:right w:val="single" w:sz="4" w:space="0" w:color="auto"/>
            </w:tcBorders>
            <w:shd w:val="clear" w:color="auto" w:fill="E5FFFF"/>
            <w:vAlign w:val="bottom"/>
          </w:tcPr>
          <w:p w14:paraId="108EF196" w14:textId="2D27FB71" w:rsidR="000C2A62" w:rsidRPr="000C2A62" w:rsidRDefault="000C2A62" w:rsidP="000C2A62">
            <w:pPr>
              <w:jc w:val="center"/>
              <w:rPr>
                <w:rFonts w:asciiTheme="minorHAnsi" w:hAnsiTheme="minorHAnsi" w:cstheme="minorHAnsi"/>
                <w:b/>
                <w:bCs/>
                <w:sz w:val="22"/>
                <w:szCs w:val="22"/>
              </w:rPr>
            </w:pPr>
            <w:r w:rsidRPr="000C2A62">
              <w:rPr>
                <w:rFonts w:ascii="Calibri" w:hAnsi="Calibri" w:cs="Calibri"/>
                <w:b/>
                <w:bCs/>
                <w:color w:val="000000"/>
                <w:sz w:val="22"/>
                <w:szCs w:val="22"/>
              </w:rPr>
              <w:t>FY23 YTD</w:t>
            </w:r>
          </w:p>
        </w:tc>
      </w:tr>
      <w:tr w:rsidR="000C2A62" w:rsidRPr="00392811" w14:paraId="46D259FE" w14:textId="7D30EF46" w:rsidTr="006732FE">
        <w:trPr>
          <w:cantSplit/>
          <w:trHeight w:val="20"/>
          <w:jc w:val="center"/>
        </w:trPr>
        <w:tc>
          <w:tcPr>
            <w:tcW w:w="2425" w:type="dxa"/>
          </w:tcPr>
          <w:p w14:paraId="65DCDCBF" w14:textId="55B152A3"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APM and ACO</w:t>
            </w:r>
          </w:p>
        </w:tc>
        <w:tc>
          <w:tcPr>
            <w:tcW w:w="1530" w:type="dxa"/>
          </w:tcPr>
          <w:p w14:paraId="09C3A62C" w14:textId="08321F09" w:rsidR="000C2A62" w:rsidRPr="00EE1B94" w:rsidRDefault="000C2A62" w:rsidP="000C2A62">
            <w:pPr>
              <w:jc w:val="center"/>
              <w:rPr>
                <w:rFonts w:asciiTheme="minorHAnsi" w:hAnsiTheme="minorHAnsi" w:cstheme="minorHAnsi"/>
              </w:rPr>
            </w:pPr>
            <w:r w:rsidRPr="00EE1B94">
              <w:rPr>
                <w:rFonts w:asciiTheme="minorHAnsi" w:hAnsiTheme="minorHAnsi" w:cstheme="minorHAnsi"/>
              </w:rPr>
              <w:t>29.0%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1CAA96C" w14:textId="3F4A0E55"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32.7</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650C4AF" w14:textId="598CBCE8"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25.6%</w:t>
            </w:r>
          </w:p>
        </w:tc>
        <w:tc>
          <w:tcPr>
            <w:tcW w:w="1350" w:type="dxa"/>
            <w:tcBorders>
              <w:top w:val="nil"/>
              <w:left w:val="nil"/>
              <w:bottom w:val="single" w:sz="4" w:space="0" w:color="auto"/>
              <w:right w:val="single" w:sz="4" w:space="0" w:color="auto"/>
            </w:tcBorders>
            <w:shd w:val="clear" w:color="auto" w:fill="auto"/>
            <w:vAlign w:val="bottom"/>
          </w:tcPr>
          <w:p w14:paraId="595857E6" w14:textId="61EE905E"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26.6%</w:t>
            </w:r>
          </w:p>
        </w:tc>
      </w:tr>
      <w:tr w:rsidR="000C2A62" w:rsidRPr="00392811" w14:paraId="09F50EB6" w14:textId="6155C26E" w:rsidTr="006732FE">
        <w:trPr>
          <w:cantSplit/>
          <w:trHeight w:val="20"/>
          <w:jc w:val="center"/>
        </w:trPr>
        <w:tc>
          <w:tcPr>
            <w:tcW w:w="2425" w:type="dxa"/>
          </w:tcPr>
          <w:p w14:paraId="0ED3433D" w14:textId="3AF1992B"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Non-APM and Non-ACO</w:t>
            </w:r>
          </w:p>
        </w:tc>
        <w:tc>
          <w:tcPr>
            <w:tcW w:w="1530" w:type="dxa"/>
          </w:tcPr>
          <w:p w14:paraId="3FE85A52" w14:textId="16A7FFCB" w:rsidR="000C2A62" w:rsidRPr="00EE1B94" w:rsidRDefault="000C2A62" w:rsidP="000C2A62">
            <w:pPr>
              <w:jc w:val="center"/>
              <w:rPr>
                <w:rFonts w:asciiTheme="minorHAnsi" w:hAnsiTheme="minorHAnsi" w:cstheme="minorHAnsi"/>
              </w:rPr>
            </w:pPr>
            <w:r w:rsidRPr="00EE1B94">
              <w:rPr>
                <w:rFonts w:asciiTheme="minorHAnsi" w:hAnsiTheme="minorHAnsi" w:cstheme="minorHAnsi"/>
              </w:rPr>
              <w:t>71.0%</w:t>
            </w:r>
          </w:p>
        </w:tc>
        <w:tc>
          <w:tcPr>
            <w:tcW w:w="1350" w:type="dxa"/>
            <w:tcBorders>
              <w:top w:val="nil"/>
              <w:left w:val="single" w:sz="4" w:space="0" w:color="auto"/>
              <w:bottom w:val="single" w:sz="4" w:space="0" w:color="auto"/>
              <w:right w:val="single" w:sz="4" w:space="0" w:color="auto"/>
            </w:tcBorders>
            <w:shd w:val="clear" w:color="auto" w:fill="auto"/>
            <w:vAlign w:val="bottom"/>
          </w:tcPr>
          <w:p w14:paraId="4FDDC5AB" w14:textId="77B1BA2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67.3</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CCB638C" w14:textId="0C8A22C5"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74.4%</w:t>
            </w:r>
          </w:p>
        </w:tc>
        <w:tc>
          <w:tcPr>
            <w:tcW w:w="1350" w:type="dxa"/>
            <w:tcBorders>
              <w:top w:val="nil"/>
              <w:left w:val="nil"/>
              <w:bottom w:val="single" w:sz="4" w:space="0" w:color="auto"/>
              <w:right w:val="single" w:sz="4" w:space="0" w:color="auto"/>
            </w:tcBorders>
            <w:shd w:val="clear" w:color="auto" w:fill="auto"/>
            <w:vAlign w:val="bottom"/>
          </w:tcPr>
          <w:p w14:paraId="3210EBC0" w14:textId="18254A7B"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73.4%</w:t>
            </w:r>
          </w:p>
        </w:tc>
      </w:tr>
      <w:tr w:rsidR="000C2A62" w:rsidRPr="00392811" w14:paraId="4E111B07" w14:textId="3EC8708A" w:rsidTr="006732FE">
        <w:trPr>
          <w:cantSplit/>
          <w:trHeight w:val="20"/>
          <w:jc w:val="center"/>
        </w:trPr>
        <w:tc>
          <w:tcPr>
            <w:tcW w:w="2425" w:type="dxa"/>
          </w:tcPr>
          <w:p w14:paraId="2E304C8B" w14:textId="0C432D37" w:rsidR="000C2A62" w:rsidRPr="00392811" w:rsidRDefault="000C2A62" w:rsidP="000C2A62">
            <w:pPr>
              <w:rPr>
                <w:rFonts w:asciiTheme="minorHAnsi" w:hAnsiTheme="minorHAnsi" w:cstheme="minorHAnsi"/>
                <w:sz w:val="22"/>
                <w:szCs w:val="22"/>
              </w:rPr>
            </w:pPr>
            <w:r w:rsidRPr="00ED5339">
              <w:rPr>
                <w:rFonts w:asciiTheme="minorHAnsi" w:hAnsiTheme="minorHAnsi" w:cstheme="minorHAnsi"/>
                <w:b/>
                <w:bCs/>
                <w:sz w:val="22"/>
                <w:szCs w:val="22"/>
              </w:rPr>
              <w:t>Commercial</w:t>
            </w:r>
            <w:r w:rsidRPr="008D1186">
              <w:rPr>
                <w:rStyle w:val="FootnoteReference"/>
                <w:rFonts w:asciiTheme="minorHAnsi" w:hAnsiTheme="minorHAnsi" w:cstheme="minorHAnsi"/>
              </w:rPr>
              <w:footnoteReference w:id="14"/>
            </w:r>
          </w:p>
        </w:tc>
        <w:tc>
          <w:tcPr>
            <w:tcW w:w="1530" w:type="dxa"/>
            <w:shd w:val="clear" w:color="auto" w:fill="auto"/>
            <w:vAlign w:val="center"/>
          </w:tcPr>
          <w:p w14:paraId="018481FF" w14:textId="1A8E6A59"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33.9%</w:t>
            </w:r>
          </w:p>
        </w:tc>
        <w:tc>
          <w:tcPr>
            <w:tcW w:w="1350" w:type="dxa"/>
            <w:tcBorders>
              <w:top w:val="nil"/>
              <w:left w:val="single" w:sz="4" w:space="0" w:color="auto"/>
              <w:bottom w:val="single" w:sz="4" w:space="0" w:color="auto"/>
              <w:right w:val="single" w:sz="4" w:space="0" w:color="auto"/>
            </w:tcBorders>
            <w:shd w:val="clear" w:color="auto" w:fill="auto"/>
            <w:vAlign w:val="bottom"/>
          </w:tcPr>
          <w:p w14:paraId="537BC3BD" w14:textId="32E72EE7" w:rsidR="000C2A62" w:rsidRPr="00EE1B94" w:rsidRDefault="000B6ABF" w:rsidP="000C2A62">
            <w:pPr>
              <w:jc w:val="center"/>
              <w:rPr>
                <w:rFonts w:asciiTheme="minorHAnsi" w:hAnsiTheme="minorHAnsi" w:cstheme="minorHAnsi"/>
                <w:color w:val="000000"/>
              </w:rPr>
            </w:pPr>
            <w:r>
              <w:rPr>
                <w:rFonts w:ascii="Calibri" w:hAnsi="Calibri" w:cs="Calibri"/>
                <w:color w:val="000000"/>
                <w:sz w:val="22"/>
                <w:szCs w:val="22"/>
              </w:rPr>
              <w:t>29.4</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2B31ED5F" w14:textId="4369152D"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26.2%</w:t>
            </w:r>
          </w:p>
        </w:tc>
        <w:tc>
          <w:tcPr>
            <w:tcW w:w="1350" w:type="dxa"/>
            <w:tcBorders>
              <w:top w:val="nil"/>
              <w:left w:val="nil"/>
              <w:bottom w:val="single" w:sz="4" w:space="0" w:color="auto"/>
              <w:right w:val="single" w:sz="4" w:space="0" w:color="auto"/>
            </w:tcBorders>
            <w:shd w:val="clear" w:color="auto" w:fill="auto"/>
            <w:vAlign w:val="bottom"/>
          </w:tcPr>
          <w:p w14:paraId="2A923EF1" w14:textId="69A70C79"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24.6%</w:t>
            </w:r>
          </w:p>
        </w:tc>
      </w:tr>
      <w:tr w:rsidR="000C2A62" w:rsidRPr="00392811" w14:paraId="4B9FFB28" w14:textId="67B6FE52" w:rsidTr="006732FE">
        <w:trPr>
          <w:cantSplit/>
          <w:trHeight w:val="20"/>
          <w:jc w:val="center"/>
        </w:trPr>
        <w:tc>
          <w:tcPr>
            <w:tcW w:w="2425" w:type="dxa"/>
          </w:tcPr>
          <w:p w14:paraId="0146BA08" w14:textId="77777777"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HMO/POS</w:t>
            </w:r>
          </w:p>
        </w:tc>
        <w:tc>
          <w:tcPr>
            <w:tcW w:w="1530" w:type="dxa"/>
            <w:shd w:val="clear" w:color="auto" w:fill="auto"/>
            <w:vAlign w:val="center"/>
          </w:tcPr>
          <w:p w14:paraId="7E84CE95" w14:textId="6492A355"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11.4%</w:t>
            </w:r>
          </w:p>
        </w:tc>
        <w:tc>
          <w:tcPr>
            <w:tcW w:w="1350" w:type="dxa"/>
            <w:tcBorders>
              <w:top w:val="nil"/>
              <w:left w:val="single" w:sz="4" w:space="0" w:color="auto"/>
              <w:bottom w:val="single" w:sz="4" w:space="0" w:color="auto"/>
              <w:right w:val="single" w:sz="4" w:space="0" w:color="auto"/>
            </w:tcBorders>
            <w:shd w:val="clear" w:color="auto" w:fill="auto"/>
            <w:vAlign w:val="bottom"/>
          </w:tcPr>
          <w:p w14:paraId="47F636C5" w14:textId="3B07FBE4"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9.4</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50A0AE2" w14:textId="7AAD4FBC"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7.5%</w:t>
            </w:r>
          </w:p>
        </w:tc>
        <w:tc>
          <w:tcPr>
            <w:tcW w:w="1350" w:type="dxa"/>
            <w:tcBorders>
              <w:top w:val="nil"/>
              <w:left w:val="nil"/>
              <w:bottom w:val="single" w:sz="4" w:space="0" w:color="auto"/>
              <w:right w:val="single" w:sz="4" w:space="0" w:color="auto"/>
            </w:tcBorders>
            <w:shd w:val="clear" w:color="auto" w:fill="auto"/>
            <w:vAlign w:val="bottom"/>
          </w:tcPr>
          <w:p w14:paraId="72476D4C" w14:textId="48967C36"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7.9%</w:t>
            </w:r>
          </w:p>
        </w:tc>
      </w:tr>
      <w:tr w:rsidR="000C2A62" w:rsidRPr="00392811" w14:paraId="28A9FEEB" w14:textId="19694D8E" w:rsidTr="006732FE">
        <w:trPr>
          <w:cantSplit/>
          <w:trHeight w:val="20"/>
          <w:jc w:val="center"/>
        </w:trPr>
        <w:tc>
          <w:tcPr>
            <w:tcW w:w="2425" w:type="dxa"/>
          </w:tcPr>
          <w:p w14:paraId="53731455" w14:textId="77777777"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PPO</w:t>
            </w:r>
          </w:p>
        </w:tc>
        <w:tc>
          <w:tcPr>
            <w:tcW w:w="1530" w:type="dxa"/>
            <w:shd w:val="clear" w:color="auto" w:fill="auto"/>
            <w:vAlign w:val="center"/>
          </w:tcPr>
          <w:p w14:paraId="170DCB8A" w14:textId="6890ED43"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9.3%</w:t>
            </w:r>
          </w:p>
        </w:tc>
        <w:tc>
          <w:tcPr>
            <w:tcW w:w="1350" w:type="dxa"/>
            <w:tcBorders>
              <w:top w:val="nil"/>
              <w:left w:val="single" w:sz="4" w:space="0" w:color="auto"/>
              <w:bottom w:val="single" w:sz="4" w:space="0" w:color="auto"/>
              <w:right w:val="single" w:sz="4" w:space="0" w:color="auto"/>
            </w:tcBorders>
            <w:shd w:val="clear" w:color="auto" w:fill="auto"/>
            <w:vAlign w:val="bottom"/>
          </w:tcPr>
          <w:p w14:paraId="07462299" w14:textId="3D6FF4DF"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8.1</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A32703E" w14:textId="4DAC701B"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6.2%</w:t>
            </w:r>
          </w:p>
        </w:tc>
        <w:tc>
          <w:tcPr>
            <w:tcW w:w="1350" w:type="dxa"/>
            <w:tcBorders>
              <w:top w:val="nil"/>
              <w:left w:val="nil"/>
              <w:bottom w:val="single" w:sz="4" w:space="0" w:color="auto"/>
              <w:right w:val="single" w:sz="4" w:space="0" w:color="auto"/>
            </w:tcBorders>
            <w:shd w:val="clear" w:color="auto" w:fill="auto"/>
            <w:vAlign w:val="bottom"/>
          </w:tcPr>
          <w:p w14:paraId="77D0F51C" w14:textId="5027FFEE"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5.5%</w:t>
            </w:r>
          </w:p>
        </w:tc>
      </w:tr>
      <w:tr w:rsidR="000C2A62" w:rsidRPr="00392811" w14:paraId="65E4B478" w14:textId="034AE2C1" w:rsidTr="006732FE">
        <w:trPr>
          <w:cantSplit/>
          <w:trHeight w:val="20"/>
          <w:jc w:val="center"/>
        </w:trPr>
        <w:tc>
          <w:tcPr>
            <w:tcW w:w="2425" w:type="dxa"/>
          </w:tcPr>
          <w:p w14:paraId="1CA54977" w14:textId="53BFCDBB"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Other</w:t>
            </w:r>
            <w:r w:rsidRPr="00392811">
              <w:rPr>
                <w:rStyle w:val="FootnoteReference"/>
                <w:rFonts w:asciiTheme="minorHAnsi" w:hAnsiTheme="minorHAnsi" w:cstheme="minorHAnsi"/>
                <w:i/>
                <w:iCs/>
                <w:sz w:val="22"/>
                <w:szCs w:val="22"/>
              </w:rPr>
              <w:footnoteReference w:id="15"/>
            </w:r>
          </w:p>
        </w:tc>
        <w:tc>
          <w:tcPr>
            <w:tcW w:w="1530" w:type="dxa"/>
            <w:shd w:val="clear" w:color="auto" w:fill="auto"/>
            <w:vAlign w:val="center"/>
          </w:tcPr>
          <w:p w14:paraId="5DD8A272" w14:textId="1AEB0712"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13.1%</w:t>
            </w:r>
          </w:p>
        </w:tc>
        <w:tc>
          <w:tcPr>
            <w:tcW w:w="1350" w:type="dxa"/>
            <w:tcBorders>
              <w:top w:val="nil"/>
              <w:left w:val="single" w:sz="4" w:space="0" w:color="auto"/>
              <w:bottom w:val="single" w:sz="4" w:space="0" w:color="auto"/>
              <w:right w:val="single" w:sz="4" w:space="0" w:color="auto"/>
            </w:tcBorders>
            <w:shd w:val="clear" w:color="auto" w:fill="auto"/>
            <w:vAlign w:val="bottom"/>
          </w:tcPr>
          <w:p w14:paraId="5ADCDBAF" w14:textId="0BDA85E7"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11.9</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D8D5A4E" w14:textId="46B63620"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12.5%</w:t>
            </w:r>
          </w:p>
        </w:tc>
        <w:tc>
          <w:tcPr>
            <w:tcW w:w="1350" w:type="dxa"/>
            <w:tcBorders>
              <w:top w:val="nil"/>
              <w:left w:val="nil"/>
              <w:bottom w:val="single" w:sz="4" w:space="0" w:color="auto"/>
              <w:right w:val="single" w:sz="4" w:space="0" w:color="auto"/>
            </w:tcBorders>
            <w:shd w:val="clear" w:color="auto" w:fill="auto"/>
            <w:vAlign w:val="bottom"/>
          </w:tcPr>
          <w:p w14:paraId="6AE9C6ED" w14:textId="29921EE9"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11.2%</w:t>
            </w:r>
          </w:p>
        </w:tc>
      </w:tr>
      <w:tr w:rsidR="000C2A62" w:rsidRPr="00392811" w14:paraId="146364A7" w14:textId="5FB5EFCF" w:rsidTr="006732FE">
        <w:trPr>
          <w:cantSplit/>
          <w:trHeight w:val="20"/>
          <w:jc w:val="center"/>
        </w:trPr>
        <w:tc>
          <w:tcPr>
            <w:tcW w:w="2425" w:type="dxa"/>
          </w:tcPr>
          <w:p w14:paraId="7F642BB3" w14:textId="178CEF60" w:rsidR="000C2A62" w:rsidRPr="00ED5339" w:rsidRDefault="000C2A62" w:rsidP="000C2A62">
            <w:pPr>
              <w:rPr>
                <w:rFonts w:asciiTheme="minorHAnsi" w:hAnsiTheme="minorHAnsi" w:cstheme="minorHAnsi"/>
                <w:b/>
                <w:bCs/>
                <w:sz w:val="22"/>
                <w:szCs w:val="22"/>
              </w:rPr>
            </w:pPr>
            <w:r w:rsidRPr="00ED5339">
              <w:rPr>
                <w:rFonts w:asciiTheme="minorHAnsi" w:hAnsiTheme="minorHAnsi" w:cstheme="minorHAnsi"/>
                <w:b/>
                <w:bCs/>
                <w:sz w:val="22"/>
                <w:szCs w:val="22"/>
              </w:rPr>
              <w:t>Public</w:t>
            </w:r>
          </w:p>
        </w:tc>
        <w:tc>
          <w:tcPr>
            <w:tcW w:w="1530" w:type="dxa"/>
            <w:shd w:val="clear" w:color="auto" w:fill="auto"/>
          </w:tcPr>
          <w:p w14:paraId="40ED6DCF" w14:textId="77777777" w:rsidR="000C2A62" w:rsidRPr="00EE1B94" w:rsidRDefault="000C2A62" w:rsidP="000C2A62">
            <w:pPr>
              <w:jc w:val="center"/>
              <w:rPr>
                <w:rFonts w:asciiTheme="minorHAnsi" w:hAnsiTheme="minorHAnsi" w:cstheme="minorHAnsi"/>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F9A7ABC" w14:textId="171814A8" w:rsidR="000C2A62" w:rsidRPr="00EE1B94" w:rsidRDefault="000C2A62" w:rsidP="000C2A62">
            <w:pPr>
              <w:jc w:val="center"/>
              <w:rPr>
                <w:rFonts w:asciiTheme="minorHAnsi" w:hAnsiTheme="minorHAnsi" w:cstheme="minorHAnsi"/>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624392E" w14:textId="18E3FA7C" w:rsidR="000C2A62" w:rsidRPr="00EE1B94" w:rsidRDefault="000C2A62" w:rsidP="000C2A62">
            <w:pPr>
              <w:jc w:val="center"/>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auto" w:fill="auto"/>
            <w:vAlign w:val="bottom"/>
          </w:tcPr>
          <w:p w14:paraId="61BDBA21" w14:textId="4EB88C1C" w:rsidR="000C2A62" w:rsidRPr="00EE1B94" w:rsidRDefault="000C2A62" w:rsidP="000C2A62">
            <w:pPr>
              <w:jc w:val="center"/>
              <w:rPr>
                <w:rFonts w:asciiTheme="minorHAnsi" w:hAnsiTheme="minorHAnsi" w:cstheme="minorHAnsi"/>
              </w:rPr>
            </w:pPr>
          </w:p>
        </w:tc>
      </w:tr>
      <w:tr w:rsidR="000C2A62" w:rsidRPr="00392811" w14:paraId="1AB7E9E6" w14:textId="0C695BB3" w:rsidTr="006732FE">
        <w:trPr>
          <w:cantSplit/>
          <w:trHeight w:val="20"/>
          <w:jc w:val="center"/>
        </w:trPr>
        <w:tc>
          <w:tcPr>
            <w:tcW w:w="2425" w:type="dxa"/>
          </w:tcPr>
          <w:p w14:paraId="11EC4F04"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MassHealth</w:t>
            </w:r>
          </w:p>
        </w:tc>
        <w:tc>
          <w:tcPr>
            <w:tcW w:w="1530" w:type="dxa"/>
            <w:shd w:val="clear" w:color="auto" w:fill="auto"/>
            <w:vAlign w:val="center"/>
          </w:tcPr>
          <w:p w14:paraId="7D004D29" w14:textId="457B0E50"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13.5%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F9D2598" w14:textId="67D3AB37" w:rsidR="000C2A62" w:rsidRPr="00EE1B94" w:rsidRDefault="000C2A62" w:rsidP="000C2A62">
            <w:pPr>
              <w:jc w:val="center"/>
              <w:rPr>
                <w:rFonts w:asciiTheme="minorHAnsi" w:hAnsiTheme="minorHAnsi" w:cstheme="minorHAnsi"/>
              </w:rPr>
            </w:pPr>
            <w:r>
              <w:rPr>
                <w:rFonts w:ascii="Calibri" w:hAnsi="Calibri" w:cs="Calibri"/>
                <w:color w:val="000000"/>
                <w:sz w:val="22"/>
                <w:szCs w:val="22"/>
              </w:rPr>
              <w:t>1</w:t>
            </w:r>
            <w:r w:rsidR="000B6ABF">
              <w:rPr>
                <w:rFonts w:ascii="Calibri" w:hAnsi="Calibri" w:cs="Calibri"/>
                <w:color w:val="000000"/>
                <w:sz w:val="22"/>
                <w:szCs w:val="22"/>
              </w:rPr>
              <w:t>5.5</w:t>
            </w:r>
            <w:r>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67FD035" w14:textId="0D3EFBED"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18.1%</w:t>
            </w:r>
          </w:p>
        </w:tc>
        <w:tc>
          <w:tcPr>
            <w:tcW w:w="1350" w:type="dxa"/>
            <w:tcBorders>
              <w:top w:val="nil"/>
              <w:left w:val="nil"/>
              <w:bottom w:val="single" w:sz="4" w:space="0" w:color="auto"/>
              <w:right w:val="single" w:sz="4" w:space="0" w:color="auto"/>
            </w:tcBorders>
            <w:shd w:val="clear" w:color="auto" w:fill="auto"/>
            <w:vAlign w:val="bottom"/>
          </w:tcPr>
          <w:p w14:paraId="40EF8AB7" w14:textId="65B89521"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18.8%</w:t>
            </w:r>
          </w:p>
        </w:tc>
      </w:tr>
      <w:tr w:rsidR="000C2A62" w:rsidRPr="00392811" w14:paraId="78D1A8EB" w14:textId="320DD1EC" w:rsidTr="006732FE">
        <w:trPr>
          <w:cantSplit/>
          <w:trHeight w:val="20"/>
          <w:jc w:val="center"/>
        </w:trPr>
        <w:tc>
          <w:tcPr>
            <w:tcW w:w="2425" w:type="dxa"/>
          </w:tcPr>
          <w:p w14:paraId="1C94E071"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Managed Medicaid</w:t>
            </w:r>
          </w:p>
        </w:tc>
        <w:tc>
          <w:tcPr>
            <w:tcW w:w="1530" w:type="dxa"/>
            <w:shd w:val="clear" w:color="auto" w:fill="auto"/>
            <w:vAlign w:val="center"/>
          </w:tcPr>
          <w:p w14:paraId="507C2829" w14:textId="1CE0E590"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27.8%</w:t>
            </w:r>
          </w:p>
        </w:tc>
        <w:tc>
          <w:tcPr>
            <w:tcW w:w="1350" w:type="dxa"/>
            <w:tcBorders>
              <w:top w:val="nil"/>
              <w:left w:val="single" w:sz="4" w:space="0" w:color="auto"/>
              <w:bottom w:val="single" w:sz="4" w:space="0" w:color="auto"/>
              <w:right w:val="single" w:sz="4" w:space="0" w:color="auto"/>
            </w:tcBorders>
            <w:shd w:val="clear" w:color="auto" w:fill="auto"/>
            <w:vAlign w:val="bottom"/>
          </w:tcPr>
          <w:p w14:paraId="461D9B0A" w14:textId="41D67DC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32.5</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467A7F9" w14:textId="51840531"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26.9%</w:t>
            </w:r>
          </w:p>
        </w:tc>
        <w:tc>
          <w:tcPr>
            <w:tcW w:w="1350" w:type="dxa"/>
            <w:tcBorders>
              <w:top w:val="nil"/>
              <w:left w:val="nil"/>
              <w:bottom w:val="single" w:sz="4" w:space="0" w:color="auto"/>
              <w:right w:val="single" w:sz="4" w:space="0" w:color="auto"/>
            </w:tcBorders>
            <w:shd w:val="clear" w:color="auto" w:fill="auto"/>
            <w:vAlign w:val="bottom"/>
          </w:tcPr>
          <w:p w14:paraId="573B1EE1" w14:textId="753DED93"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28.2%</w:t>
            </w:r>
          </w:p>
        </w:tc>
      </w:tr>
      <w:tr w:rsidR="000C2A62" w:rsidRPr="00392811" w14:paraId="26884CFE" w14:textId="4D68FB0F" w:rsidTr="006732FE">
        <w:trPr>
          <w:cantSplit/>
          <w:trHeight w:val="20"/>
          <w:jc w:val="center"/>
        </w:trPr>
        <w:tc>
          <w:tcPr>
            <w:tcW w:w="2425" w:type="dxa"/>
          </w:tcPr>
          <w:p w14:paraId="1E4A3ADB"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Commercial Medicare</w:t>
            </w:r>
          </w:p>
        </w:tc>
        <w:tc>
          <w:tcPr>
            <w:tcW w:w="1530" w:type="dxa"/>
            <w:shd w:val="clear" w:color="auto" w:fill="auto"/>
            <w:vAlign w:val="center"/>
          </w:tcPr>
          <w:p w14:paraId="69AC94B2" w14:textId="7AD37843"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6.5%</w:t>
            </w:r>
          </w:p>
        </w:tc>
        <w:tc>
          <w:tcPr>
            <w:tcW w:w="1350" w:type="dxa"/>
            <w:tcBorders>
              <w:top w:val="nil"/>
              <w:left w:val="single" w:sz="4" w:space="0" w:color="auto"/>
              <w:bottom w:val="single" w:sz="4" w:space="0" w:color="auto"/>
              <w:right w:val="single" w:sz="4" w:space="0" w:color="auto"/>
            </w:tcBorders>
            <w:shd w:val="clear" w:color="auto" w:fill="auto"/>
            <w:vAlign w:val="bottom"/>
          </w:tcPr>
          <w:p w14:paraId="1CD15A77" w14:textId="1EF0411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8.7</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7B11CD9" w14:textId="23342999"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13.6%</w:t>
            </w:r>
          </w:p>
        </w:tc>
        <w:tc>
          <w:tcPr>
            <w:tcW w:w="1350" w:type="dxa"/>
            <w:tcBorders>
              <w:top w:val="nil"/>
              <w:left w:val="nil"/>
              <w:bottom w:val="single" w:sz="4" w:space="0" w:color="auto"/>
              <w:right w:val="single" w:sz="4" w:space="0" w:color="auto"/>
            </w:tcBorders>
            <w:shd w:val="clear" w:color="auto" w:fill="auto"/>
            <w:vAlign w:val="bottom"/>
          </w:tcPr>
          <w:p w14:paraId="4F745FAA" w14:textId="63D01164"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14.2%</w:t>
            </w:r>
          </w:p>
        </w:tc>
      </w:tr>
      <w:tr w:rsidR="000C2A62" w:rsidRPr="00392811" w14:paraId="2AA3F99C" w14:textId="4DEC344F" w:rsidTr="006732FE">
        <w:trPr>
          <w:cantSplit/>
          <w:trHeight w:val="20"/>
          <w:jc w:val="center"/>
        </w:trPr>
        <w:tc>
          <w:tcPr>
            <w:tcW w:w="2425" w:type="dxa"/>
          </w:tcPr>
          <w:p w14:paraId="55FE63DF"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Medicare FFS</w:t>
            </w:r>
          </w:p>
        </w:tc>
        <w:tc>
          <w:tcPr>
            <w:tcW w:w="1530" w:type="dxa"/>
            <w:shd w:val="clear" w:color="auto" w:fill="auto"/>
            <w:vAlign w:val="center"/>
          </w:tcPr>
          <w:p w14:paraId="5F985580" w14:textId="1DB98FF6"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6.9%</w:t>
            </w:r>
          </w:p>
        </w:tc>
        <w:tc>
          <w:tcPr>
            <w:tcW w:w="1350" w:type="dxa"/>
            <w:tcBorders>
              <w:top w:val="nil"/>
              <w:left w:val="single" w:sz="4" w:space="0" w:color="auto"/>
              <w:bottom w:val="single" w:sz="4" w:space="0" w:color="auto"/>
              <w:right w:val="single" w:sz="4" w:space="0" w:color="auto"/>
            </w:tcBorders>
            <w:shd w:val="clear" w:color="auto" w:fill="auto"/>
            <w:vAlign w:val="bottom"/>
          </w:tcPr>
          <w:p w14:paraId="7214FFBD" w14:textId="007AF6DC"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7.3</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4F91DECD" w14:textId="01785896"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11.7%</w:t>
            </w:r>
          </w:p>
        </w:tc>
        <w:tc>
          <w:tcPr>
            <w:tcW w:w="1350" w:type="dxa"/>
            <w:tcBorders>
              <w:top w:val="nil"/>
              <w:left w:val="nil"/>
              <w:bottom w:val="single" w:sz="4" w:space="0" w:color="auto"/>
              <w:right w:val="single" w:sz="4" w:space="0" w:color="auto"/>
            </w:tcBorders>
            <w:shd w:val="clear" w:color="auto" w:fill="auto"/>
            <w:vAlign w:val="bottom"/>
          </w:tcPr>
          <w:p w14:paraId="799F943C" w14:textId="4038263C"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10.4%</w:t>
            </w:r>
          </w:p>
        </w:tc>
      </w:tr>
      <w:tr w:rsidR="000B6ABF" w:rsidRPr="00392811" w14:paraId="37DE6575" w14:textId="3AE9714D" w:rsidTr="006732FE">
        <w:trPr>
          <w:cantSplit/>
          <w:trHeight w:val="20"/>
          <w:jc w:val="center"/>
        </w:trPr>
        <w:tc>
          <w:tcPr>
            <w:tcW w:w="2425" w:type="dxa"/>
          </w:tcPr>
          <w:p w14:paraId="6FABAA90" w14:textId="77777777" w:rsidR="000B6ABF" w:rsidRPr="00392811" w:rsidRDefault="000B6ABF" w:rsidP="000B6ABF">
            <w:pPr>
              <w:rPr>
                <w:rFonts w:asciiTheme="minorHAnsi" w:hAnsiTheme="minorHAnsi" w:cstheme="minorHAnsi"/>
                <w:sz w:val="22"/>
                <w:szCs w:val="22"/>
              </w:rPr>
            </w:pPr>
            <w:r w:rsidRPr="00392811">
              <w:rPr>
                <w:rFonts w:asciiTheme="minorHAnsi" w:hAnsiTheme="minorHAnsi" w:cstheme="minorHAnsi"/>
                <w:sz w:val="22"/>
                <w:szCs w:val="22"/>
              </w:rPr>
              <w:t>Free Care/HSN</w:t>
            </w:r>
          </w:p>
        </w:tc>
        <w:tc>
          <w:tcPr>
            <w:tcW w:w="1530" w:type="dxa"/>
            <w:shd w:val="clear" w:color="auto" w:fill="auto"/>
            <w:vAlign w:val="center"/>
          </w:tcPr>
          <w:p w14:paraId="18F253C7" w14:textId="72D4A050" w:rsidR="000B6ABF" w:rsidRPr="00EE1B94" w:rsidRDefault="000B6ABF" w:rsidP="000B6ABF">
            <w:pPr>
              <w:jc w:val="center"/>
              <w:rPr>
                <w:rFonts w:asciiTheme="minorHAnsi" w:hAnsiTheme="minorHAnsi" w:cstheme="minorHAnsi"/>
              </w:rPr>
            </w:pPr>
            <w:r w:rsidRPr="00EE1B94">
              <w:rPr>
                <w:rFonts w:asciiTheme="minorHAnsi" w:hAnsiTheme="minorHAnsi" w:cstheme="minorHAnsi"/>
                <w:color w:val="000000"/>
              </w:rPr>
              <w:t>2.3%</w:t>
            </w:r>
          </w:p>
        </w:tc>
        <w:tc>
          <w:tcPr>
            <w:tcW w:w="1350" w:type="dxa"/>
            <w:tcBorders>
              <w:top w:val="nil"/>
              <w:left w:val="single" w:sz="4" w:space="0" w:color="auto"/>
              <w:bottom w:val="single" w:sz="4" w:space="0" w:color="auto"/>
              <w:right w:val="single" w:sz="4" w:space="0" w:color="auto"/>
            </w:tcBorders>
            <w:shd w:val="clear" w:color="auto" w:fill="auto"/>
            <w:vAlign w:val="bottom"/>
          </w:tcPr>
          <w:p w14:paraId="2384C74C" w14:textId="373D525E" w:rsidR="000B6ABF" w:rsidRPr="00EE1B94" w:rsidRDefault="000B6ABF" w:rsidP="000B6ABF">
            <w:pPr>
              <w:jc w:val="center"/>
              <w:rPr>
                <w:rFonts w:asciiTheme="minorHAnsi" w:hAnsiTheme="minorHAnsi" w:cstheme="minorHAnsi"/>
              </w:rPr>
            </w:pPr>
            <w:r>
              <w:rPr>
                <w:rFonts w:ascii="Calibri" w:hAnsi="Calibri" w:cs="Calibri"/>
                <w:color w:val="000000"/>
                <w:sz w:val="22"/>
                <w:szCs w:val="22"/>
              </w:rPr>
              <w:t>1.7%</w:t>
            </w:r>
          </w:p>
        </w:tc>
        <w:tc>
          <w:tcPr>
            <w:tcW w:w="1350" w:type="dxa"/>
            <w:tcBorders>
              <w:top w:val="nil"/>
              <w:left w:val="single" w:sz="4" w:space="0" w:color="auto"/>
              <w:bottom w:val="single" w:sz="4" w:space="0" w:color="auto"/>
              <w:right w:val="single" w:sz="4" w:space="0" w:color="auto"/>
            </w:tcBorders>
            <w:shd w:val="clear" w:color="auto" w:fill="auto"/>
            <w:vAlign w:val="bottom"/>
          </w:tcPr>
          <w:p w14:paraId="568FA710" w14:textId="57F9EE51"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vAlign w:val="bottom"/>
          </w:tcPr>
          <w:p w14:paraId="28AC6F9D" w14:textId="451F9DC5"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1.5%</w:t>
            </w:r>
          </w:p>
        </w:tc>
      </w:tr>
      <w:tr w:rsidR="000B6ABF" w:rsidRPr="00392811" w14:paraId="70504358" w14:textId="6058EC7E" w:rsidTr="006732FE">
        <w:trPr>
          <w:cantSplit/>
          <w:trHeight w:val="287"/>
          <w:jc w:val="center"/>
        </w:trPr>
        <w:tc>
          <w:tcPr>
            <w:tcW w:w="2425" w:type="dxa"/>
            <w:vAlign w:val="center"/>
          </w:tcPr>
          <w:p w14:paraId="69E711D8" w14:textId="1D184CD6" w:rsidR="000B6ABF" w:rsidRPr="00392811" w:rsidRDefault="000B6ABF" w:rsidP="000B6ABF">
            <w:pPr>
              <w:rPr>
                <w:rFonts w:asciiTheme="minorHAnsi" w:hAnsiTheme="minorHAnsi" w:cstheme="minorHAnsi"/>
                <w:sz w:val="22"/>
                <w:szCs w:val="22"/>
              </w:rPr>
            </w:pPr>
            <w:r w:rsidRPr="00392811">
              <w:rPr>
                <w:rFonts w:asciiTheme="minorHAnsi" w:hAnsiTheme="minorHAnsi" w:cstheme="minorHAnsi"/>
                <w:sz w:val="22"/>
                <w:szCs w:val="22"/>
              </w:rPr>
              <w:t>All Other</w:t>
            </w:r>
            <w:r w:rsidRPr="00392811">
              <w:rPr>
                <w:rStyle w:val="FootnoteReference"/>
                <w:rFonts w:asciiTheme="minorHAnsi" w:hAnsiTheme="minorHAnsi" w:cstheme="minorHAnsi"/>
                <w:sz w:val="22"/>
                <w:szCs w:val="22"/>
              </w:rPr>
              <w:footnoteReference w:id="16"/>
            </w:r>
          </w:p>
        </w:tc>
        <w:tc>
          <w:tcPr>
            <w:tcW w:w="1530" w:type="dxa"/>
            <w:shd w:val="clear" w:color="auto" w:fill="auto"/>
            <w:vAlign w:val="center"/>
          </w:tcPr>
          <w:p w14:paraId="3E5F1844" w14:textId="621715FF" w:rsidR="000B6ABF" w:rsidRPr="00EE1B94" w:rsidRDefault="000B6ABF" w:rsidP="000B6ABF">
            <w:pPr>
              <w:jc w:val="center"/>
              <w:rPr>
                <w:rFonts w:asciiTheme="minorHAnsi" w:hAnsiTheme="minorHAnsi" w:cstheme="minorHAnsi"/>
              </w:rPr>
            </w:pPr>
            <w:r w:rsidRPr="00EE1B94">
              <w:rPr>
                <w:rFonts w:asciiTheme="minorHAnsi" w:hAnsiTheme="minorHAnsi" w:cstheme="minorHAnsi"/>
                <w:color w:val="000000"/>
              </w:rPr>
              <w:t>9.1%</w:t>
            </w:r>
          </w:p>
        </w:tc>
        <w:tc>
          <w:tcPr>
            <w:tcW w:w="1350" w:type="dxa"/>
            <w:tcBorders>
              <w:top w:val="nil"/>
              <w:left w:val="single" w:sz="4" w:space="0" w:color="auto"/>
              <w:bottom w:val="single" w:sz="4" w:space="0" w:color="auto"/>
              <w:right w:val="single" w:sz="4" w:space="0" w:color="auto"/>
            </w:tcBorders>
            <w:shd w:val="clear" w:color="auto" w:fill="auto"/>
            <w:vAlign w:val="bottom"/>
          </w:tcPr>
          <w:p w14:paraId="6132AE29" w14:textId="46C02999" w:rsidR="000B6ABF" w:rsidRPr="00EE1B94" w:rsidRDefault="000B6ABF" w:rsidP="000B6ABF">
            <w:pPr>
              <w:jc w:val="center"/>
              <w:rPr>
                <w:rFonts w:asciiTheme="minorHAnsi" w:hAnsiTheme="minorHAnsi" w:cstheme="minorHAnsi"/>
              </w:rPr>
            </w:pPr>
            <w:r>
              <w:rPr>
                <w:rFonts w:ascii="Calibri" w:hAnsi="Calibri" w:cs="Calibri"/>
                <w:color w:val="000000"/>
                <w:sz w:val="22"/>
                <w:szCs w:val="22"/>
              </w:rPr>
              <w:t>4.9%</w:t>
            </w:r>
          </w:p>
        </w:tc>
        <w:tc>
          <w:tcPr>
            <w:tcW w:w="1350" w:type="dxa"/>
            <w:tcBorders>
              <w:top w:val="nil"/>
              <w:left w:val="single" w:sz="4" w:space="0" w:color="auto"/>
              <w:bottom w:val="single" w:sz="4" w:space="0" w:color="auto"/>
              <w:right w:val="single" w:sz="4" w:space="0" w:color="auto"/>
            </w:tcBorders>
            <w:shd w:val="clear" w:color="auto" w:fill="auto"/>
            <w:vAlign w:val="bottom"/>
          </w:tcPr>
          <w:p w14:paraId="159D03FB" w14:textId="55FC1C31"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2.0%</w:t>
            </w:r>
          </w:p>
        </w:tc>
        <w:tc>
          <w:tcPr>
            <w:tcW w:w="1350" w:type="dxa"/>
            <w:tcBorders>
              <w:top w:val="nil"/>
              <w:left w:val="nil"/>
              <w:bottom w:val="single" w:sz="4" w:space="0" w:color="auto"/>
              <w:right w:val="single" w:sz="4" w:space="0" w:color="auto"/>
            </w:tcBorders>
            <w:shd w:val="clear" w:color="auto" w:fill="auto"/>
            <w:vAlign w:val="bottom"/>
          </w:tcPr>
          <w:p w14:paraId="4E75828D" w14:textId="68F45D77"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2.3%</w:t>
            </w:r>
          </w:p>
        </w:tc>
      </w:tr>
    </w:tbl>
    <w:p w14:paraId="79ABA569" w14:textId="5876BACC" w:rsidR="004A7D0D" w:rsidRPr="00392811" w:rsidRDefault="004A7D0D" w:rsidP="00A46FF8">
      <w:pPr>
        <w:pStyle w:val="Heading1"/>
        <w:rPr>
          <w:rFonts w:asciiTheme="minorHAnsi" w:hAnsiTheme="minorHAnsi" w:cstheme="minorHAnsi"/>
        </w:rPr>
      </w:pPr>
      <w:bookmarkStart w:id="34" w:name="_Toc99645433"/>
      <w:bookmarkStart w:id="35" w:name="_Toc148704455"/>
      <w:r w:rsidRPr="00392811">
        <w:rPr>
          <w:rFonts w:asciiTheme="minorHAnsi" w:hAnsiTheme="minorHAnsi" w:cstheme="minorHAnsi"/>
        </w:rPr>
        <w:t>Factor 1a: Patient Panel Need</w:t>
      </w:r>
      <w:bookmarkEnd w:id="34"/>
      <w:bookmarkEnd w:id="35"/>
      <w:r w:rsidR="00B91829">
        <w:rPr>
          <w:rFonts w:asciiTheme="minorHAnsi" w:hAnsiTheme="minorHAnsi" w:cstheme="minorHAnsi"/>
        </w:rPr>
        <w:t xml:space="preserve"> </w:t>
      </w:r>
    </w:p>
    <w:p w14:paraId="75A9F87E" w14:textId="77777777" w:rsidR="00B91829" w:rsidRPr="00B91829" w:rsidRDefault="00B91829" w:rsidP="00B91829">
      <w:pPr>
        <w:rPr>
          <w:rFonts w:ascii="Calibri" w:hAnsi="Calibri" w:cs="Calibri"/>
        </w:rPr>
      </w:pPr>
    </w:p>
    <w:p w14:paraId="14AEE287" w14:textId="0C05E616" w:rsidR="00B91829" w:rsidRPr="00B91829" w:rsidRDefault="00B91829" w:rsidP="00B91829">
      <w:pPr>
        <w:contextualSpacing/>
        <w:rPr>
          <w:rFonts w:ascii="Calibri" w:eastAsia="Calibri" w:hAnsi="Calibri" w:cs="Calibri"/>
        </w:rPr>
      </w:pPr>
      <w:r w:rsidRPr="00B91829">
        <w:rPr>
          <w:rFonts w:ascii="Calibri" w:eastAsia="Calibri" w:hAnsi="Calibri" w:cs="Calibri"/>
        </w:rPr>
        <w:t xml:space="preserve">In this section, staff assesses whether the Applicant has sufficiently demonstrated need for the Proposed Project by the Applicant’s Patient Panel. </w:t>
      </w:r>
    </w:p>
    <w:p w14:paraId="14350620" w14:textId="77777777" w:rsidR="00B91829" w:rsidRPr="00B91829" w:rsidRDefault="00B91829" w:rsidP="00B91829">
      <w:pPr>
        <w:contextualSpacing/>
        <w:rPr>
          <w:rFonts w:ascii="Calibri" w:eastAsia="Calibri" w:hAnsi="Calibri" w:cs="Calibri"/>
        </w:rPr>
      </w:pPr>
    </w:p>
    <w:p w14:paraId="5138AC20" w14:textId="20AFBC43" w:rsidR="00B91829" w:rsidRPr="00B91829" w:rsidRDefault="00B91829" w:rsidP="00B91829">
      <w:pPr>
        <w:spacing w:after="160"/>
        <w:rPr>
          <w:rFonts w:ascii="Calibri" w:eastAsia="Calibri" w:hAnsi="Calibri" w:cs="Calibri"/>
        </w:rPr>
      </w:pPr>
      <w:r w:rsidRPr="00B91829">
        <w:rPr>
          <w:rFonts w:ascii="Calibri" w:eastAsia="Calibri" w:hAnsi="Calibri" w:cs="Calibri"/>
        </w:rPr>
        <w:t xml:space="preserve">The Applicant states that it </w:t>
      </w:r>
      <w:r w:rsidR="00BB1A42" w:rsidRPr="00B91829">
        <w:rPr>
          <w:rFonts w:ascii="Calibri" w:eastAsia="Calibri" w:hAnsi="Calibri" w:cs="Calibri"/>
        </w:rPr>
        <w:t>assessed</w:t>
      </w:r>
      <w:r w:rsidRPr="00B91829">
        <w:rPr>
          <w:rFonts w:ascii="Calibri" w:eastAsia="Calibri" w:hAnsi="Calibri" w:cs="Calibri"/>
        </w:rPr>
        <w:t xml:space="preserve"> patient panel demographics, historical utilization trends, MRI capacity, and Demographic trends to establish the need for the Proposed Project</w:t>
      </w:r>
      <w:r w:rsidR="00F10A6D">
        <w:rPr>
          <w:rFonts w:ascii="Calibri" w:eastAsia="Calibri" w:hAnsi="Calibri" w:cs="Calibri"/>
        </w:rPr>
        <w:t>.</w:t>
      </w:r>
      <w:r w:rsidRPr="00B91829">
        <w:rPr>
          <w:rFonts w:ascii="Calibri" w:eastAsia="Calibri" w:hAnsi="Calibri" w:cs="Calibri"/>
        </w:rPr>
        <w:t xml:space="preserve"> As a result of its analysis the Applicant attributes the need for the proposed project to the following:</w:t>
      </w:r>
    </w:p>
    <w:p w14:paraId="063031CD"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Historic Growth in MRI Scan Volume</w:t>
      </w:r>
    </w:p>
    <w:p w14:paraId="01F347B7" w14:textId="1A2D6DB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 xml:space="preserve">Existing Capacity and Increased MRI </w:t>
      </w:r>
      <w:r w:rsidR="001777E6" w:rsidRPr="00B91829">
        <w:rPr>
          <w:rFonts w:ascii="Calibri" w:eastAsia="Calibri" w:hAnsi="Calibri" w:cs="Calibri"/>
        </w:rPr>
        <w:t>unit</w:t>
      </w:r>
      <w:r w:rsidRPr="00B91829">
        <w:rPr>
          <w:rFonts w:ascii="Calibri" w:eastAsia="Calibri" w:hAnsi="Calibri" w:cs="Calibri"/>
        </w:rPr>
        <w:t xml:space="preserve"> Down-time</w:t>
      </w:r>
    </w:p>
    <w:p w14:paraId="6D12DA78"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Population Growth and an Aging Population</w:t>
      </w:r>
    </w:p>
    <w:p w14:paraId="07542722" w14:textId="321013B1"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 xml:space="preserve">BMC’s Status as a </w:t>
      </w:r>
      <w:r w:rsidR="006B477C">
        <w:rPr>
          <w:rFonts w:ascii="Calibri" w:eastAsia="Calibri" w:hAnsi="Calibri" w:cs="Calibri"/>
        </w:rPr>
        <w:t xml:space="preserve">Health </w:t>
      </w:r>
      <w:r w:rsidRPr="00B91829">
        <w:rPr>
          <w:rFonts w:ascii="Calibri" w:eastAsia="Calibri" w:hAnsi="Calibri" w:cs="Calibri"/>
        </w:rPr>
        <w:t xml:space="preserve">Safety Net </w:t>
      </w:r>
      <w:r w:rsidR="006B477C">
        <w:rPr>
          <w:rFonts w:ascii="Calibri" w:eastAsia="Calibri" w:hAnsi="Calibri" w:cs="Calibri"/>
        </w:rPr>
        <w:t xml:space="preserve">(HSN) </w:t>
      </w:r>
      <w:r w:rsidRPr="00B91829">
        <w:rPr>
          <w:rFonts w:ascii="Calibri" w:eastAsia="Calibri" w:hAnsi="Calibri" w:cs="Calibri"/>
        </w:rPr>
        <w:t>Hospital</w:t>
      </w:r>
      <w:r w:rsidR="00B749F4">
        <w:rPr>
          <w:rFonts w:ascii="Calibri" w:eastAsia="Calibri" w:hAnsi="Calibri" w:cs="Calibri"/>
        </w:rPr>
        <w:t xml:space="preserve"> </w:t>
      </w:r>
    </w:p>
    <w:p w14:paraId="426DFF5F"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Implementation of DoN Project #BMCHS-22080908-HE for Inpatient Service Expansion</w:t>
      </w:r>
    </w:p>
    <w:p w14:paraId="10EAA5F3" w14:textId="70940AF1"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lastRenderedPageBreak/>
        <w:t xml:space="preserve">Need to Meet Existing and Future </w:t>
      </w:r>
      <w:r w:rsidR="005A6D3A">
        <w:rPr>
          <w:rFonts w:ascii="Calibri" w:eastAsia="Calibri" w:hAnsi="Calibri" w:cs="Calibri"/>
        </w:rPr>
        <w:t xml:space="preserve">MRI </w:t>
      </w:r>
      <w:r w:rsidRPr="00B91829">
        <w:rPr>
          <w:rFonts w:ascii="Calibri" w:eastAsia="Calibri" w:hAnsi="Calibri" w:cs="Calibri"/>
        </w:rPr>
        <w:t xml:space="preserve">Needs </w:t>
      </w:r>
    </w:p>
    <w:p w14:paraId="14ED04DE" w14:textId="77777777" w:rsidR="00B91829" w:rsidRPr="00B91829" w:rsidRDefault="00B91829" w:rsidP="00B91829">
      <w:pPr>
        <w:spacing w:after="160"/>
        <w:rPr>
          <w:rFonts w:ascii="Calibri" w:eastAsia="Calibri" w:hAnsi="Calibri" w:cs="Calibri"/>
        </w:rPr>
      </w:pPr>
    </w:p>
    <w:p w14:paraId="63E064DB" w14:textId="77777777" w:rsidR="00B91829" w:rsidRPr="00B91829" w:rsidRDefault="00B91829" w:rsidP="00B91829">
      <w:pPr>
        <w:numPr>
          <w:ilvl w:val="0"/>
          <w:numId w:val="9"/>
        </w:numPr>
        <w:spacing w:after="160" w:line="259" w:lineRule="auto"/>
        <w:contextualSpacing/>
        <w:rPr>
          <w:rFonts w:ascii="Calibri" w:eastAsia="Calibri" w:hAnsi="Calibri" w:cs="Calibri"/>
        </w:rPr>
      </w:pPr>
      <w:r w:rsidRPr="00B91829">
        <w:rPr>
          <w:rFonts w:ascii="Calibri" w:eastAsia="Calibri" w:hAnsi="Calibri" w:cs="Calibri"/>
        </w:rPr>
        <w:t>Historic Growth in MRI Scan Volumes</w:t>
      </w:r>
    </w:p>
    <w:p w14:paraId="328A05D8" w14:textId="77777777" w:rsidR="00B91829" w:rsidRPr="00B91829" w:rsidRDefault="00B91829" w:rsidP="00B91829">
      <w:pPr>
        <w:spacing w:after="160"/>
        <w:ind w:left="360"/>
        <w:contextualSpacing/>
        <w:rPr>
          <w:rFonts w:ascii="Calibri" w:eastAsia="Calibri" w:hAnsi="Calibri" w:cs="Calibri"/>
        </w:rPr>
      </w:pPr>
    </w:p>
    <w:p w14:paraId="740EF29A" w14:textId="5F734CDE" w:rsidR="00B91829" w:rsidRPr="00B91829" w:rsidRDefault="00B91829" w:rsidP="00B91829">
      <w:pPr>
        <w:rPr>
          <w:rFonts w:ascii="Calibri" w:eastAsia="Calibri" w:hAnsi="Calibri" w:cs="Calibri"/>
        </w:rPr>
      </w:pPr>
      <w:r w:rsidRPr="00B91829">
        <w:rPr>
          <w:rFonts w:ascii="Calibri" w:eastAsia="Calibri" w:hAnsi="Calibri" w:cs="Calibri"/>
        </w:rPr>
        <w:t>BMC operates three (3) MRI units, all located on BMC’s main campus</w:t>
      </w:r>
      <w:r w:rsidR="006564CB">
        <w:rPr>
          <w:rFonts w:ascii="Calibri" w:eastAsia="Calibri" w:hAnsi="Calibri" w:cs="Calibri"/>
        </w:rPr>
        <w:t xml:space="preserve"> that</w:t>
      </w:r>
      <w:r w:rsidR="001D2450">
        <w:rPr>
          <w:rFonts w:ascii="Calibri" w:eastAsia="Calibri" w:hAnsi="Calibri" w:cs="Calibri"/>
        </w:rPr>
        <w:t xml:space="preserve"> need to service increasing numbers of patients</w:t>
      </w:r>
      <w:r w:rsidRPr="00B91829">
        <w:rPr>
          <w:rFonts w:ascii="Calibri" w:eastAsia="Calibri" w:hAnsi="Calibri" w:cs="Calibri"/>
        </w:rPr>
        <w:t>.</w:t>
      </w:r>
      <w:r w:rsidRPr="00B91829">
        <w:rPr>
          <w:rFonts w:ascii="Calibri" w:eastAsia="Calibri" w:hAnsi="Calibri" w:cs="Calibri"/>
          <w:vertAlign w:val="superscript"/>
        </w:rPr>
        <w:footnoteReference w:id="17"/>
      </w:r>
      <w:r w:rsidRPr="00B91829">
        <w:rPr>
          <w:rFonts w:ascii="Calibri" w:eastAsia="Calibri" w:hAnsi="Calibri" w:cs="Calibri"/>
        </w:rPr>
        <w:t xml:space="preserve"> The number of unique patients receiving MRI services at BMC increased by 23.2% from FY20 to FY21, and by 4.3% from FY21 to FY22.</w:t>
      </w:r>
      <w:r w:rsidRPr="00B91829">
        <w:rPr>
          <w:rFonts w:ascii="Calibri" w:eastAsia="Calibri" w:hAnsi="Calibri" w:cs="Calibri"/>
          <w:vertAlign w:val="superscript"/>
        </w:rPr>
        <w:footnoteReference w:id="18"/>
      </w:r>
      <w:r w:rsidRPr="00B91829">
        <w:rPr>
          <w:rFonts w:ascii="Calibri" w:eastAsia="Calibri" w:hAnsi="Calibri" w:cs="Calibri"/>
        </w:rPr>
        <w:t xml:space="preserve"> In addition to growth in unique patients, BMC’s historical MRI scan volumes have increased annually. Table </w:t>
      </w:r>
      <w:r w:rsidR="00B15D07">
        <w:rPr>
          <w:rFonts w:ascii="Calibri" w:eastAsia="Calibri" w:hAnsi="Calibri" w:cs="Calibri"/>
        </w:rPr>
        <w:t>4</w:t>
      </w:r>
      <w:r w:rsidRPr="00B91829">
        <w:rPr>
          <w:rFonts w:ascii="Calibri" w:eastAsia="Calibri" w:hAnsi="Calibri" w:cs="Calibri"/>
        </w:rPr>
        <w:t xml:space="preserve"> shows that total MRI scan volume at BMC increased by 28.9% (from FY20 to FY22). </w:t>
      </w:r>
    </w:p>
    <w:p w14:paraId="7C7DF48E" w14:textId="77777777" w:rsidR="00B91829" w:rsidRPr="00B91829" w:rsidRDefault="00B91829" w:rsidP="00B91829">
      <w:pPr>
        <w:spacing w:after="160"/>
        <w:rPr>
          <w:rFonts w:ascii="Calibri" w:eastAsia="Calibri" w:hAnsi="Calibri" w:cs="Calibri"/>
        </w:rPr>
      </w:pPr>
    </w:p>
    <w:p w14:paraId="071BDA1C" w14:textId="67AF9489" w:rsidR="00B91829" w:rsidRPr="00B91829" w:rsidRDefault="00B91829" w:rsidP="00B91829">
      <w:pPr>
        <w:spacing w:after="160"/>
        <w:jc w:val="center"/>
        <w:rPr>
          <w:rFonts w:ascii="Calibri" w:eastAsia="Calibri" w:hAnsi="Calibri" w:cs="Calibri"/>
        </w:rPr>
      </w:pPr>
      <w:r w:rsidRPr="00B91829">
        <w:rPr>
          <w:rFonts w:ascii="Calibri" w:hAnsi="Calibri" w:cs="Calibri"/>
          <w:b/>
          <w:bCs/>
        </w:rPr>
        <w:t xml:space="preserve">Table </w:t>
      </w:r>
      <w:r w:rsidR="00B15D07">
        <w:rPr>
          <w:rFonts w:ascii="Calibri" w:hAnsi="Calibri" w:cs="Calibri"/>
          <w:b/>
          <w:bCs/>
        </w:rPr>
        <w:t>4</w:t>
      </w:r>
      <w:r w:rsidRPr="00B91829">
        <w:rPr>
          <w:rFonts w:ascii="Calibri" w:hAnsi="Calibri" w:cs="Calibri"/>
          <w:b/>
          <w:bCs/>
        </w:rPr>
        <w:t xml:space="preserve">: BMC MRI Historical Scan Volumes </w:t>
      </w:r>
      <w:r w:rsidRPr="00B91829">
        <w:rPr>
          <w:rFonts w:ascii="Calibri" w:eastAsia="Calibri" w:hAnsi="Calibri" w:cs="Calibri"/>
          <w:b/>
          <w:bCs/>
        </w:rPr>
        <w:t>FY 2020-FY 22 and YTD 2023</w:t>
      </w:r>
    </w:p>
    <w:tbl>
      <w:tblPr>
        <w:tblStyle w:val="TableGrid"/>
        <w:tblW w:w="7465" w:type="dxa"/>
        <w:jc w:val="center"/>
        <w:tblLayout w:type="fixed"/>
        <w:tblLook w:val="04A0" w:firstRow="1" w:lastRow="0" w:firstColumn="1" w:lastColumn="0" w:noHBand="0" w:noVBand="1"/>
      </w:tblPr>
      <w:tblGrid>
        <w:gridCol w:w="2785"/>
        <w:gridCol w:w="1080"/>
        <w:gridCol w:w="1080"/>
        <w:gridCol w:w="1080"/>
        <w:gridCol w:w="1440"/>
      </w:tblGrid>
      <w:tr w:rsidR="00B91829" w:rsidRPr="00B91829" w14:paraId="56584D6D" w14:textId="77777777" w:rsidTr="00250184">
        <w:trPr>
          <w:cantSplit/>
          <w:trHeight w:val="20"/>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E5FFFF"/>
          </w:tcPr>
          <w:p w14:paraId="528B14A6" w14:textId="77777777" w:rsidR="00B91829" w:rsidRPr="00B91829" w:rsidRDefault="00B91829" w:rsidP="00B91829">
            <w:pPr>
              <w:rPr>
                <w:rFonts w:ascii="Calibri" w:hAnsi="Calibri" w:cs="Calibri"/>
              </w:rPr>
            </w:pPr>
          </w:p>
        </w:tc>
        <w:tc>
          <w:tcPr>
            <w:tcW w:w="1080" w:type="dxa"/>
            <w:tcBorders>
              <w:top w:val="single" w:sz="4" w:space="0" w:color="auto"/>
              <w:left w:val="single" w:sz="4" w:space="0" w:color="auto"/>
              <w:bottom w:val="single" w:sz="4" w:space="0" w:color="auto"/>
            </w:tcBorders>
            <w:shd w:val="clear" w:color="auto" w:fill="E5FFFF"/>
            <w:vAlign w:val="center"/>
          </w:tcPr>
          <w:p w14:paraId="3CA41226" w14:textId="77777777" w:rsidR="00B91829" w:rsidRPr="00B91829" w:rsidRDefault="00B91829" w:rsidP="00B91829">
            <w:pPr>
              <w:ind w:left="-128" w:right="-146"/>
              <w:jc w:val="center"/>
              <w:rPr>
                <w:rFonts w:ascii="Calibri" w:hAnsi="Calibri" w:cs="Calibri"/>
              </w:rPr>
            </w:pPr>
            <w:r w:rsidRPr="00B91829">
              <w:rPr>
                <w:rFonts w:ascii="Calibri" w:hAnsi="Calibri" w:cs="Calibri"/>
                <w:b/>
                <w:bCs/>
              </w:rPr>
              <w:t>FY20</w:t>
            </w:r>
          </w:p>
        </w:tc>
        <w:tc>
          <w:tcPr>
            <w:tcW w:w="1080" w:type="dxa"/>
            <w:tcBorders>
              <w:top w:val="single" w:sz="4" w:space="0" w:color="auto"/>
              <w:bottom w:val="single" w:sz="4" w:space="0" w:color="auto"/>
            </w:tcBorders>
            <w:shd w:val="clear" w:color="auto" w:fill="E5FFFF"/>
            <w:vAlign w:val="center"/>
          </w:tcPr>
          <w:p w14:paraId="7D592094" w14:textId="77777777" w:rsidR="00B91829" w:rsidRPr="00B91829" w:rsidRDefault="00B91829" w:rsidP="00B91829">
            <w:pPr>
              <w:jc w:val="center"/>
              <w:rPr>
                <w:rFonts w:ascii="Calibri" w:hAnsi="Calibri" w:cs="Calibri"/>
              </w:rPr>
            </w:pPr>
            <w:r w:rsidRPr="00B91829">
              <w:rPr>
                <w:rFonts w:ascii="Calibri" w:hAnsi="Calibri" w:cs="Calibri"/>
                <w:b/>
                <w:bCs/>
              </w:rPr>
              <w:t>FY21</w:t>
            </w:r>
          </w:p>
        </w:tc>
        <w:tc>
          <w:tcPr>
            <w:tcW w:w="1080" w:type="dxa"/>
            <w:tcBorders>
              <w:top w:val="single" w:sz="4" w:space="0" w:color="auto"/>
              <w:bottom w:val="single" w:sz="4" w:space="0" w:color="auto"/>
            </w:tcBorders>
            <w:shd w:val="clear" w:color="auto" w:fill="E5FFFF"/>
            <w:vAlign w:val="center"/>
          </w:tcPr>
          <w:p w14:paraId="5F43D9BB" w14:textId="77777777" w:rsidR="00B91829" w:rsidRPr="00B91829" w:rsidRDefault="00B91829" w:rsidP="00B91829">
            <w:pPr>
              <w:jc w:val="center"/>
              <w:rPr>
                <w:rFonts w:ascii="Calibri" w:hAnsi="Calibri" w:cs="Calibri"/>
              </w:rPr>
            </w:pPr>
            <w:r w:rsidRPr="00B91829">
              <w:rPr>
                <w:rFonts w:ascii="Calibri" w:hAnsi="Calibri" w:cs="Calibri"/>
                <w:b/>
                <w:bCs/>
              </w:rPr>
              <w:t>FY22</w:t>
            </w:r>
          </w:p>
        </w:tc>
        <w:tc>
          <w:tcPr>
            <w:tcW w:w="1440" w:type="dxa"/>
            <w:tcBorders>
              <w:top w:val="single" w:sz="4" w:space="0" w:color="auto"/>
              <w:bottom w:val="single" w:sz="4" w:space="0" w:color="auto"/>
              <w:right w:val="single" w:sz="4" w:space="0" w:color="auto"/>
            </w:tcBorders>
            <w:shd w:val="clear" w:color="auto" w:fill="E5FFFF"/>
            <w:vAlign w:val="center"/>
          </w:tcPr>
          <w:p w14:paraId="4904C076" w14:textId="77777777" w:rsidR="00B91829" w:rsidRPr="00B91829" w:rsidRDefault="00B91829" w:rsidP="00B91829">
            <w:pPr>
              <w:jc w:val="center"/>
              <w:rPr>
                <w:rFonts w:ascii="Calibri" w:hAnsi="Calibri" w:cs="Calibri"/>
              </w:rPr>
            </w:pPr>
            <w:r w:rsidRPr="00B91829">
              <w:rPr>
                <w:rFonts w:ascii="Calibri" w:hAnsi="Calibri" w:cs="Calibri"/>
                <w:b/>
                <w:bCs/>
              </w:rPr>
              <w:t>FY23 YTD</w:t>
            </w:r>
            <w:r w:rsidRPr="00B91829">
              <w:rPr>
                <w:rFonts w:ascii="Calibri" w:hAnsi="Calibri" w:cs="Calibri"/>
                <w:b/>
                <w:bCs/>
                <w:vertAlign w:val="superscript"/>
              </w:rPr>
              <w:footnoteReference w:id="19"/>
            </w:r>
          </w:p>
        </w:tc>
      </w:tr>
      <w:tr w:rsidR="00B91829" w:rsidRPr="00B91829" w14:paraId="21A97BA8"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149F3148" w14:textId="77777777" w:rsidR="00B91829" w:rsidRPr="00B15D07" w:rsidRDefault="00B91829" w:rsidP="00B91829">
            <w:pPr>
              <w:rPr>
                <w:rFonts w:ascii="Calibri" w:hAnsi="Calibri" w:cs="Calibri"/>
                <w:b/>
                <w:bCs/>
              </w:rPr>
            </w:pPr>
            <w:r w:rsidRPr="00B15D07">
              <w:rPr>
                <w:rFonts w:ascii="Calibri" w:hAnsi="Calibri" w:cs="Calibri"/>
                <w:b/>
                <w:bCs/>
              </w:rPr>
              <w:t>Total MRI Scans</w:t>
            </w:r>
          </w:p>
        </w:tc>
        <w:tc>
          <w:tcPr>
            <w:tcW w:w="1080" w:type="dxa"/>
            <w:tcBorders>
              <w:top w:val="single" w:sz="4" w:space="0" w:color="auto"/>
              <w:left w:val="single" w:sz="4" w:space="0" w:color="auto"/>
              <w:bottom w:val="single" w:sz="4" w:space="0" w:color="auto"/>
            </w:tcBorders>
            <w:shd w:val="clear" w:color="auto" w:fill="auto"/>
            <w:vAlign w:val="center"/>
          </w:tcPr>
          <w:p w14:paraId="3A325319" w14:textId="77777777" w:rsidR="00B91829" w:rsidRPr="00B15D07" w:rsidRDefault="00B91829" w:rsidP="00B91829">
            <w:pPr>
              <w:jc w:val="center"/>
              <w:rPr>
                <w:rFonts w:ascii="Calibri" w:hAnsi="Calibri" w:cs="Calibri"/>
                <w:b/>
                <w:bCs/>
              </w:rPr>
            </w:pPr>
            <w:r w:rsidRPr="00B15D07">
              <w:rPr>
                <w:rFonts w:ascii="Calibri" w:hAnsi="Calibri" w:cs="Calibri"/>
                <w:b/>
                <w:bCs/>
              </w:rPr>
              <w:t>18,100</w:t>
            </w:r>
          </w:p>
        </w:tc>
        <w:tc>
          <w:tcPr>
            <w:tcW w:w="1080" w:type="dxa"/>
            <w:tcBorders>
              <w:top w:val="single" w:sz="4" w:space="0" w:color="auto"/>
              <w:bottom w:val="single" w:sz="4" w:space="0" w:color="auto"/>
            </w:tcBorders>
            <w:shd w:val="clear" w:color="auto" w:fill="auto"/>
          </w:tcPr>
          <w:p w14:paraId="37AACBE9" w14:textId="77777777" w:rsidR="00B91829" w:rsidRPr="00B15D07" w:rsidRDefault="00B91829" w:rsidP="00B91829">
            <w:pPr>
              <w:jc w:val="center"/>
              <w:rPr>
                <w:rFonts w:ascii="Calibri" w:hAnsi="Calibri" w:cs="Calibri"/>
                <w:b/>
                <w:bCs/>
              </w:rPr>
            </w:pPr>
            <w:r w:rsidRPr="00B15D07">
              <w:rPr>
                <w:rFonts w:ascii="Calibri" w:hAnsi="Calibri" w:cs="Calibri"/>
                <w:b/>
                <w:bCs/>
              </w:rPr>
              <w:t>22,565</w:t>
            </w:r>
          </w:p>
        </w:tc>
        <w:tc>
          <w:tcPr>
            <w:tcW w:w="1080" w:type="dxa"/>
            <w:tcBorders>
              <w:top w:val="single" w:sz="4" w:space="0" w:color="auto"/>
              <w:bottom w:val="single" w:sz="4" w:space="0" w:color="auto"/>
            </w:tcBorders>
            <w:shd w:val="clear" w:color="auto" w:fill="auto"/>
          </w:tcPr>
          <w:p w14:paraId="2E5D7DB7" w14:textId="77777777" w:rsidR="00B91829" w:rsidRPr="00B15D07" w:rsidRDefault="00B91829" w:rsidP="00B91829">
            <w:pPr>
              <w:jc w:val="center"/>
              <w:rPr>
                <w:rFonts w:ascii="Calibri" w:hAnsi="Calibri" w:cs="Calibri"/>
                <w:b/>
                <w:bCs/>
              </w:rPr>
            </w:pPr>
            <w:r w:rsidRPr="00B15D07">
              <w:rPr>
                <w:rFonts w:ascii="Calibri" w:hAnsi="Calibri" w:cs="Calibri"/>
                <w:b/>
                <w:bCs/>
              </w:rPr>
              <w:t>23,331</w:t>
            </w:r>
          </w:p>
        </w:tc>
        <w:tc>
          <w:tcPr>
            <w:tcW w:w="1440" w:type="dxa"/>
            <w:tcBorders>
              <w:top w:val="single" w:sz="4" w:space="0" w:color="auto"/>
              <w:bottom w:val="single" w:sz="4" w:space="0" w:color="auto"/>
              <w:right w:val="single" w:sz="4" w:space="0" w:color="auto"/>
            </w:tcBorders>
            <w:shd w:val="clear" w:color="auto" w:fill="auto"/>
          </w:tcPr>
          <w:p w14:paraId="53ACA7AD" w14:textId="77777777" w:rsidR="00B91829" w:rsidRPr="00B15D07" w:rsidRDefault="00B91829" w:rsidP="00B91829">
            <w:pPr>
              <w:jc w:val="center"/>
              <w:rPr>
                <w:rFonts w:ascii="Calibri" w:hAnsi="Calibri" w:cs="Calibri"/>
                <w:b/>
                <w:bCs/>
              </w:rPr>
            </w:pPr>
            <w:r w:rsidRPr="00B15D07">
              <w:rPr>
                <w:rFonts w:ascii="Calibri" w:hAnsi="Calibri" w:cs="Calibri"/>
                <w:b/>
                <w:bCs/>
              </w:rPr>
              <w:t>19,044</w:t>
            </w:r>
          </w:p>
        </w:tc>
      </w:tr>
      <w:tr w:rsidR="009D3FC5" w:rsidRPr="00B91829" w14:paraId="69B2C384"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E5FFFF"/>
            <w:vAlign w:val="center"/>
          </w:tcPr>
          <w:p w14:paraId="5997FBE3" w14:textId="77777777" w:rsidR="009D3FC5" w:rsidRPr="00B91829" w:rsidRDefault="009D3FC5" w:rsidP="00B91829">
            <w:pPr>
              <w:rPr>
                <w:rFonts w:ascii="Calibri" w:hAnsi="Calibri" w:cs="Calibri"/>
                <w:b/>
                <w:bCs/>
                <w:highlight w:val="green"/>
              </w:rPr>
            </w:pPr>
            <w:r w:rsidRPr="00B91829">
              <w:rPr>
                <w:rFonts w:ascii="Calibri" w:hAnsi="Calibri" w:cs="Calibri"/>
                <w:b/>
                <w:bCs/>
              </w:rPr>
              <w:t>Source of Origination</w:t>
            </w:r>
            <w:r>
              <w:rPr>
                <w:rStyle w:val="FootnoteReference"/>
                <w:rFonts w:ascii="Calibri" w:hAnsi="Calibri" w:cs="Calibri"/>
                <w:b/>
                <w:bCs/>
              </w:rPr>
              <w:footnoteReference w:id="20"/>
            </w:r>
            <w:r w:rsidRPr="00B91829">
              <w:rPr>
                <w:rFonts w:ascii="Calibri" w:hAnsi="Calibri" w:cs="Calibri"/>
                <w:b/>
                <w:b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7ED6F1F9" w14:textId="2FF4B387" w:rsidR="009D3FC5" w:rsidRPr="00B91829" w:rsidRDefault="009D3FC5" w:rsidP="00B91829">
            <w:pPr>
              <w:rPr>
                <w:rFonts w:ascii="Calibri" w:hAnsi="Calibri" w:cs="Calibri"/>
                <w:b/>
                <w:bCs/>
                <w:highlight w:val="green"/>
              </w:rPr>
            </w:pP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170DE2FB" w14:textId="77777777" w:rsidR="009D3FC5" w:rsidRPr="00B91829" w:rsidRDefault="009D3FC5" w:rsidP="00B91829">
            <w:pPr>
              <w:rPr>
                <w:rFonts w:ascii="Calibri" w:hAnsi="Calibri" w:cs="Calibri"/>
                <w:b/>
                <w:bCs/>
                <w:highlight w:val="green"/>
              </w:rPr>
            </w:pP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0AC9850A" w14:textId="77777777" w:rsidR="009D3FC5" w:rsidRPr="00B91829" w:rsidRDefault="009D3FC5" w:rsidP="00B91829">
            <w:pPr>
              <w:rPr>
                <w:rFonts w:ascii="Calibri" w:hAnsi="Calibri" w:cs="Calibri"/>
                <w:b/>
                <w:bCs/>
                <w:highlight w:val="green"/>
              </w:rPr>
            </w:pPr>
          </w:p>
        </w:tc>
        <w:tc>
          <w:tcPr>
            <w:tcW w:w="1440" w:type="dxa"/>
            <w:tcBorders>
              <w:top w:val="single" w:sz="4" w:space="0" w:color="auto"/>
              <w:left w:val="single" w:sz="4" w:space="0" w:color="auto"/>
              <w:bottom w:val="single" w:sz="4" w:space="0" w:color="auto"/>
              <w:right w:val="single" w:sz="4" w:space="0" w:color="auto"/>
            </w:tcBorders>
            <w:shd w:val="clear" w:color="auto" w:fill="E5FFFF"/>
            <w:vAlign w:val="center"/>
          </w:tcPr>
          <w:p w14:paraId="7DF98D68" w14:textId="407FB887" w:rsidR="009D3FC5" w:rsidRPr="00B91829" w:rsidRDefault="009D3FC5" w:rsidP="00B91829">
            <w:pPr>
              <w:rPr>
                <w:rFonts w:ascii="Calibri" w:hAnsi="Calibri" w:cs="Calibri"/>
                <w:b/>
                <w:bCs/>
                <w:highlight w:val="green"/>
              </w:rPr>
            </w:pPr>
          </w:p>
        </w:tc>
      </w:tr>
      <w:tr w:rsidR="00B91829" w:rsidRPr="00B91829" w14:paraId="20C7AD0A"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0A039F29" w14:textId="21C5D3FE" w:rsidR="00B91829" w:rsidRPr="00B91829" w:rsidRDefault="00B91829" w:rsidP="00B91829">
            <w:pPr>
              <w:rPr>
                <w:rFonts w:ascii="Calibri" w:hAnsi="Calibri" w:cs="Calibri"/>
                <w:b/>
                <w:bCs/>
              </w:rPr>
            </w:pPr>
            <w:r w:rsidRPr="00B91829">
              <w:rPr>
                <w:rFonts w:ascii="Calibri" w:hAnsi="Calibri" w:cs="Calibri"/>
              </w:rPr>
              <w:t>Inpatient MRI Scans</w:t>
            </w:r>
          </w:p>
        </w:tc>
        <w:tc>
          <w:tcPr>
            <w:tcW w:w="1080" w:type="dxa"/>
            <w:tcBorders>
              <w:top w:val="single" w:sz="4" w:space="0" w:color="auto"/>
              <w:left w:val="single" w:sz="4" w:space="0" w:color="auto"/>
              <w:bottom w:val="single" w:sz="4" w:space="0" w:color="auto"/>
            </w:tcBorders>
            <w:shd w:val="clear" w:color="auto" w:fill="auto"/>
          </w:tcPr>
          <w:p w14:paraId="47FD9334" w14:textId="77777777" w:rsidR="00B91829" w:rsidRPr="00B91829" w:rsidRDefault="00B91829" w:rsidP="00B91829">
            <w:pPr>
              <w:jc w:val="right"/>
              <w:rPr>
                <w:rFonts w:ascii="Calibri" w:hAnsi="Calibri" w:cs="Calibri"/>
              </w:rPr>
            </w:pPr>
            <w:r w:rsidRPr="00B91829">
              <w:rPr>
                <w:rFonts w:ascii="Calibri" w:hAnsi="Calibri" w:cs="Calibri"/>
              </w:rPr>
              <w:t>4,113</w:t>
            </w:r>
          </w:p>
        </w:tc>
        <w:tc>
          <w:tcPr>
            <w:tcW w:w="1080" w:type="dxa"/>
            <w:tcBorders>
              <w:top w:val="single" w:sz="4" w:space="0" w:color="auto"/>
              <w:bottom w:val="single" w:sz="4" w:space="0" w:color="auto"/>
            </w:tcBorders>
            <w:shd w:val="clear" w:color="auto" w:fill="auto"/>
          </w:tcPr>
          <w:p w14:paraId="66050B47" w14:textId="77777777" w:rsidR="00B91829" w:rsidRPr="00B91829" w:rsidRDefault="00B91829" w:rsidP="00B91829">
            <w:pPr>
              <w:jc w:val="right"/>
              <w:rPr>
                <w:rFonts w:ascii="Calibri" w:hAnsi="Calibri" w:cs="Calibri"/>
              </w:rPr>
            </w:pPr>
            <w:r w:rsidRPr="00B91829">
              <w:rPr>
                <w:rFonts w:ascii="Calibri" w:hAnsi="Calibri" w:cs="Calibri"/>
              </w:rPr>
              <w:t>4,837</w:t>
            </w:r>
          </w:p>
        </w:tc>
        <w:tc>
          <w:tcPr>
            <w:tcW w:w="1080" w:type="dxa"/>
            <w:tcBorders>
              <w:top w:val="single" w:sz="4" w:space="0" w:color="auto"/>
              <w:bottom w:val="single" w:sz="4" w:space="0" w:color="auto"/>
            </w:tcBorders>
            <w:shd w:val="clear" w:color="auto" w:fill="auto"/>
          </w:tcPr>
          <w:p w14:paraId="6A8E9761" w14:textId="77777777" w:rsidR="00B91829" w:rsidRPr="00B91829" w:rsidRDefault="00B91829" w:rsidP="00B91829">
            <w:pPr>
              <w:jc w:val="right"/>
              <w:rPr>
                <w:rFonts w:ascii="Calibri" w:hAnsi="Calibri" w:cs="Calibri"/>
              </w:rPr>
            </w:pPr>
            <w:r w:rsidRPr="00B91829">
              <w:rPr>
                <w:rFonts w:ascii="Calibri" w:hAnsi="Calibri" w:cs="Calibri"/>
              </w:rPr>
              <w:t>4,913</w:t>
            </w:r>
          </w:p>
        </w:tc>
        <w:tc>
          <w:tcPr>
            <w:tcW w:w="1440" w:type="dxa"/>
            <w:tcBorders>
              <w:top w:val="single" w:sz="4" w:space="0" w:color="auto"/>
              <w:bottom w:val="single" w:sz="4" w:space="0" w:color="auto"/>
              <w:right w:val="single" w:sz="4" w:space="0" w:color="auto"/>
            </w:tcBorders>
            <w:shd w:val="clear" w:color="auto" w:fill="auto"/>
          </w:tcPr>
          <w:p w14:paraId="7B52565A" w14:textId="77777777" w:rsidR="00B91829" w:rsidRPr="00B91829" w:rsidRDefault="00B91829" w:rsidP="00B91829">
            <w:pPr>
              <w:jc w:val="right"/>
              <w:rPr>
                <w:rFonts w:ascii="Calibri" w:hAnsi="Calibri" w:cs="Calibri"/>
              </w:rPr>
            </w:pPr>
            <w:r w:rsidRPr="00B91829">
              <w:rPr>
                <w:rFonts w:ascii="Calibri" w:hAnsi="Calibri" w:cs="Calibri"/>
              </w:rPr>
              <w:t>3,818</w:t>
            </w:r>
          </w:p>
        </w:tc>
      </w:tr>
      <w:tr w:rsidR="00B91829" w:rsidRPr="00B91829" w14:paraId="277AD1F2"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746134E" w14:textId="77777777" w:rsidR="00B91829" w:rsidRPr="00B91829" w:rsidRDefault="00B91829" w:rsidP="00B91829">
            <w:pPr>
              <w:rPr>
                <w:rFonts w:ascii="Calibri" w:hAnsi="Calibri" w:cs="Calibri"/>
                <w:b/>
                <w:bCs/>
              </w:rPr>
            </w:pPr>
            <w:r w:rsidRPr="00B91829">
              <w:rPr>
                <w:rFonts w:ascii="Calibri" w:hAnsi="Calibri" w:cs="Calibri"/>
              </w:rPr>
              <w:t>Outpatient MRI Scans</w:t>
            </w:r>
          </w:p>
        </w:tc>
        <w:tc>
          <w:tcPr>
            <w:tcW w:w="1080" w:type="dxa"/>
            <w:tcBorders>
              <w:top w:val="single" w:sz="4" w:space="0" w:color="auto"/>
              <w:left w:val="single" w:sz="4" w:space="0" w:color="auto"/>
              <w:bottom w:val="single" w:sz="4" w:space="0" w:color="auto"/>
            </w:tcBorders>
            <w:shd w:val="clear" w:color="auto" w:fill="auto"/>
          </w:tcPr>
          <w:p w14:paraId="465F536E" w14:textId="77777777" w:rsidR="00B91829" w:rsidRPr="00B91829" w:rsidRDefault="00B91829" w:rsidP="00B91829">
            <w:pPr>
              <w:jc w:val="right"/>
              <w:rPr>
                <w:rFonts w:ascii="Calibri" w:hAnsi="Calibri" w:cs="Calibri"/>
              </w:rPr>
            </w:pPr>
            <w:r w:rsidRPr="00B91829">
              <w:rPr>
                <w:rFonts w:ascii="Calibri" w:hAnsi="Calibri" w:cs="Calibri"/>
              </w:rPr>
              <w:t>11,913</w:t>
            </w:r>
          </w:p>
        </w:tc>
        <w:tc>
          <w:tcPr>
            <w:tcW w:w="1080" w:type="dxa"/>
            <w:tcBorders>
              <w:top w:val="single" w:sz="4" w:space="0" w:color="auto"/>
              <w:bottom w:val="single" w:sz="4" w:space="0" w:color="auto"/>
            </w:tcBorders>
            <w:shd w:val="clear" w:color="auto" w:fill="auto"/>
          </w:tcPr>
          <w:p w14:paraId="5210705C" w14:textId="77777777" w:rsidR="00B91829" w:rsidRPr="00B91829" w:rsidRDefault="00B91829" w:rsidP="00B91829">
            <w:pPr>
              <w:jc w:val="right"/>
              <w:rPr>
                <w:rFonts w:ascii="Calibri" w:hAnsi="Calibri" w:cs="Calibri"/>
              </w:rPr>
            </w:pPr>
            <w:r w:rsidRPr="00B91829">
              <w:rPr>
                <w:rFonts w:ascii="Calibri" w:hAnsi="Calibri" w:cs="Calibri"/>
              </w:rPr>
              <w:t>15,714</w:t>
            </w:r>
          </w:p>
        </w:tc>
        <w:tc>
          <w:tcPr>
            <w:tcW w:w="1080" w:type="dxa"/>
            <w:tcBorders>
              <w:top w:val="single" w:sz="4" w:space="0" w:color="auto"/>
              <w:bottom w:val="single" w:sz="4" w:space="0" w:color="auto"/>
            </w:tcBorders>
            <w:shd w:val="clear" w:color="auto" w:fill="auto"/>
          </w:tcPr>
          <w:p w14:paraId="5BB36B9C" w14:textId="77777777" w:rsidR="00B91829" w:rsidRPr="00B91829" w:rsidRDefault="00B91829" w:rsidP="00B91829">
            <w:pPr>
              <w:jc w:val="right"/>
              <w:rPr>
                <w:rFonts w:ascii="Calibri" w:hAnsi="Calibri" w:cs="Calibri"/>
              </w:rPr>
            </w:pPr>
            <w:r w:rsidRPr="00B91829">
              <w:rPr>
                <w:rFonts w:ascii="Calibri" w:hAnsi="Calibri" w:cs="Calibri"/>
              </w:rPr>
              <w:t>16,218</w:t>
            </w:r>
          </w:p>
        </w:tc>
        <w:tc>
          <w:tcPr>
            <w:tcW w:w="1440" w:type="dxa"/>
            <w:tcBorders>
              <w:top w:val="single" w:sz="4" w:space="0" w:color="auto"/>
              <w:bottom w:val="single" w:sz="4" w:space="0" w:color="auto"/>
              <w:right w:val="single" w:sz="4" w:space="0" w:color="auto"/>
            </w:tcBorders>
            <w:shd w:val="clear" w:color="auto" w:fill="auto"/>
          </w:tcPr>
          <w:p w14:paraId="0D3438FC" w14:textId="77777777" w:rsidR="00B91829" w:rsidRPr="00B91829" w:rsidRDefault="00B91829" w:rsidP="00B91829">
            <w:pPr>
              <w:jc w:val="right"/>
              <w:rPr>
                <w:rFonts w:ascii="Calibri" w:hAnsi="Calibri" w:cs="Calibri"/>
              </w:rPr>
            </w:pPr>
            <w:r w:rsidRPr="00B91829">
              <w:rPr>
                <w:rFonts w:ascii="Calibri" w:hAnsi="Calibri" w:cs="Calibri"/>
              </w:rPr>
              <w:t>13,388</w:t>
            </w:r>
          </w:p>
        </w:tc>
      </w:tr>
      <w:tr w:rsidR="00B91829" w:rsidRPr="00B91829" w14:paraId="65532598"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DD505CF" w14:textId="77777777" w:rsidR="00B91829" w:rsidRPr="00B91829" w:rsidRDefault="00B91829" w:rsidP="00B91829">
            <w:pPr>
              <w:rPr>
                <w:rFonts w:ascii="Calibri" w:hAnsi="Calibri" w:cs="Calibri"/>
              </w:rPr>
            </w:pPr>
            <w:r w:rsidRPr="00B91829">
              <w:rPr>
                <w:rFonts w:ascii="Calibri" w:hAnsi="Calibri" w:cs="Calibri"/>
              </w:rPr>
              <w:t>ED MRI Scans</w:t>
            </w:r>
          </w:p>
        </w:tc>
        <w:tc>
          <w:tcPr>
            <w:tcW w:w="1080" w:type="dxa"/>
            <w:tcBorders>
              <w:top w:val="single" w:sz="4" w:space="0" w:color="auto"/>
              <w:left w:val="single" w:sz="4" w:space="0" w:color="auto"/>
              <w:bottom w:val="single" w:sz="4" w:space="0" w:color="auto"/>
            </w:tcBorders>
            <w:shd w:val="clear" w:color="auto" w:fill="auto"/>
          </w:tcPr>
          <w:p w14:paraId="604CA852" w14:textId="77777777" w:rsidR="00B91829" w:rsidRPr="00B91829" w:rsidRDefault="00B91829" w:rsidP="00B91829">
            <w:pPr>
              <w:jc w:val="right"/>
              <w:rPr>
                <w:rFonts w:ascii="Calibri" w:hAnsi="Calibri" w:cs="Calibri"/>
              </w:rPr>
            </w:pPr>
            <w:r w:rsidRPr="00B91829">
              <w:rPr>
                <w:rFonts w:ascii="Calibri" w:hAnsi="Calibri" w:cs="Calibri"/>
              </w:rPr>
              <w:t>2,074</w:t>
            </w:r>
          </w:p>
        </w:tc>
        <w:tc>
          <w:tcPr>
            <w:tcW w:w="1080" w:type="dxa"/>
            <w:tcBorders>
              <w:top w:val="single" w:sz="4" w:space="0" w:color="auto"/>
              <w:bottom w:val="single" w:sz="4" w:space="0" w:color="auto"/>
            </w:tcBorders>
            <w:shd w:val="clear" w:color="auto" w:fill="auto"/>
          </w:tcPr>
          <w:p w14:paraId="77E22E9F" w14:textId="77777777" w:rsidR="00B91829" w:rsidRPr="00B91829" w:rsidRDefault="00B91829" w:rsidP="00B91829">
            <w:pPr>
              <w:jc w:val="right"/>
              <w:rPr>
                <w:rFonts w:ascii="Calibri" w:hAnsi="Calibri" w:cs="Calibri"/>
              </w:rPr>
            </w:pPr>
            <w:r w:rsidRPr="00B91829">
              <w:rPr>
                <w:rFonts w:ascii="Calibri" w:hAnsi="Calibri" w:cs="Calibri"/>
              </w:rPr>
              <w:t>2,014</w:t>
            </w:r>
          </w:p>
        </w:tc>
        <w:tc>
          <w:tcPr>
            <w:tcW w:w="1080" w:type="dxa"/>
            <w:tcBorders>
              <w:top w:val="single" w:sz="4" w:space="0" w:color="auto"/>
              <w:bottom w:val="single" w:sz="4" w:space="0" w:color="auto"/>
            </w:tcBorders>
            <w:shd w:val="clear" w:color="auto" w:fill="auto"/>
          </w:tcPr>
          <w:p w14:paraId="3B238BFD" w14:textId="77777777" w:rsidR="00B91829" w:rsidRPr="00B91829" w:rsidRDefault="00B91829" w:rsidP="00B91829">
            <w:pPr>
              <w:jc w:val="right"/>
              <w:rPr>
                <w:rFonts w:ascii="Calibri" w:hAnsi="Calibri" w:cs="Calibri"/>
              </w:rPr>
            </w:pPr>
            <w:r w:rsidRPr="00B91829">
              <w:rPr>
                <w:rFonts w:ascii="Calibri" w:hAnsi="Calibri" w:cs="Calibri"/>
              </w:rPr>
              <w:t>2,200</w:t>
            </w:r>
          </w:p>
        </w:tc>
        <w:tc>
          <w:tcPr>
            <w:tcW w:w="1440" w:type="dxa"/>
            <w:tcBorders>
              <w:top w:val="single" w:sz="4" w:space="0" w:color="auto"/>
              <w:bottom w:val="single" w:sz="4" w:space="0" w:color="auto"/>
              <w:right w:val="single" w:sz="4" w:space="0" w:color="auto"/>
            </w:tcBorders>
            <w:shd w:val="clear" w:color="auto" w:fill="auto"/>
          </w:tcPr>
          <w:p w14:paraId="5DBE370F" w14:textId="77777777" w:rsidR="00B91829" w:rsidRPr="00B91829" w:rsidRDefault="00B91829" w:rsidP="00B91829">
            <w:pPr>
              <w:jc w:val="right"/>
              <w:rPr>
                <w:rFonts w:ascii="Calibri" w:hAnsi="Calibri" w:cs="Calibri"/>
              </w:rPr>
            </w:pPr>
            <w:r w:rsidRPr="00B91829">
              <w:rPr>
                <w:rFonts w:ascii="Calibri" w:hAnsi="Calibri" w:cs="Calibri"/>
              </w:rPr>
              <w:t>1,838</w:t>
            </w:r>
          </w:p>
        </w:tc>
      </w:tr>
    </w:tbl>
    <w:p w14:paraId="41D62EAE" w14:textId="77777777" w:rsidR="00B91829" w:rsidRPr="00B91829" w:rsidRDefault="00B91829" w:rsidP="00B91829">
      <w:pPr>
        <w:spacing w:after="160"/>
        <w:rPr>
          <w:rFonts w:ascii="Calibri" w:eastAsia="Calibri" w:hAnsi="Calibri" w:cs="Calibri"/>
        </w:rPr>
      </w:pPr>
    </w:p>
    <w:p w14:paraId="50C9A9B8" w14:textId="77777777" w:rsidR="00B91829" w:rsidRPr="00B91829" w:rsidRDefault="00B91829" w:rsidP="00B91829">
      <w:pPr>
        <w:rPr>
          <w:rFonts w:ascii="Calibri" w:eastAsia="Calibri" w:hAnsi="Calibri" w:cs="Calibri"/>
        </w:rPr>
      </w:pPr>
      <w:r w:rsidRPr="00B91829">
        <w:rPr>
          <w:rFonts w:ascii="Calibri" w:eastAsia="Calibri" w:hAnsi="Calibri" w:cs="Calibri"/>
        </w:rPr>
        <w:t>The most recent three-years’ scans (FY20-22) analysis shows the following, with little fluctuation:</w:t>
      </w:r>
    </w:p>
    <w:p w14:paraId="6380CFE2" w14:textId="77777777" w:rsidR="00B91829" w:rsidRPr="00B91829" w:rsidRDefault="00B91829" w:rsidP="00B91829">
      <w:pPr>
        <w:rPr>
          <w:rFonts w:ascii="Calibri" w:eastAsia="Calibri" w:hAnsi="Calibri" w:cs="Calibri"/>
        </w:rPr>
      </w:pPr>
      <w:r w:rsidRPr="00B91829">
        <w:rPr>
          <w:rFonts w:ascii="Calibri" w:eastAsia="Calibri" w:hAnsi="Calibri" w:cs="Calibri"/>
        </w:rPr>
        <w:t xml:space="preserve"> </w:t>
      </w:r>
    </w:p>
    <w:p w14:paraId="5FB3FB59"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 xml:space="preserve">that of the total volume, inpatients comprised ~21.3% of all MRIs, outpatients ~70%, and ED patients ~9%; </w:t>
      </w:r>
    </w:p>
    <w:p w14:paraId="16BE74E7"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that inpatient MRI scans increased by 19.5%, outpatient scans by 36%, and ED scans by 6.1%;</w:t>
      </w:r>
    </w:p>
    <w:p w14:paraId="23978727"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when annualized, data suggest that MRI scan volume will exceed 25,000 scans for FY23.</w:t>
      </w:r>
    </w:p>
    <w:p w14:paraId="0728B6B8" w14:textId="77777777" w:rsidR="00B91829" w:rsidRPr="00B91829" w:rsidRDefault="00B91829" w:rsidP="00B91829">
      <w:pPr>
        <w:rPr>
          <w:rFonts w:ascii="Calibri" w:eastAsia="Calibri" w:hAnsi="Calibri" w:cs="Calibri"/>
        </w:rPr>
      </w:pPr>
    </w:p>
    <w:p w14:paraId="3FF65243" w14:textId="77777777" w:rsidR="00B91829" w:rsidRPr="00B91829" w:rsidRDefault="00B91829" w:rsidP="00B91829">
      <w:pPr>
        <w:rPr>
          <w:rFonts w:ascii="Calibri" w:eastAsia="Calibri" w:hAnsi="Calibri" w:cs="Calibri"/>
        </w:rPr>
      </w:pPr>
      <w:r w:rsidRPr="00B91829">
        <w:rPr>
          <w:rFonts w:ascii="Calibri" w:eastAsia="Calibri" w:hAnsi="Calibri" w:cs="Calibri"/>
        </w:rPr>
        <w:t>In order to accommodate the increased volume, BMC implemented measures, which increased the number of MRI timeslots and improved patient throughput, including the following:</w:t>
      </w:r>
    </w:p>
    <w:p w14:paraId="67BEAEA0" w14:textId="77777777" w:rsidR="00B91829" w:rsidRPr="00B91829" w:rsidRDefault="00B91829" w:rsidP="00B91829">
      <w:pPr>
        <w:rPr>
          <w:rFonts w:ascii="Calibri" w:eastAsia="Calibri" w:hAnsi="Calibri" w:cs="Calibri"/>
        </w:rPr>
      </w:pPr>
    </w:p>
    <w:p w14:paraId="193E2B9C" w14:textId="7777777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FY19: Weekend outpatient hours were established on Saturday and Sunday, 7AM-7:30PM;</w:t>
      </w:r>
    </w:p>
    <w:p w14:paraId="011BC057" w14:textId="5A5EE106"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lastRenderedPageBreak/>
        <w:t xml:space="preserve">March 2020: BMC began scheduling routine inpatient MRIs during overnight shifts which the </w:t>
      </w:r>
      <w:r w:rsidR="001C23E9">
        <w:rPr>
          <w:rFonts w:ascii="Calibri" w:eastAsia="Calibri" w:hAnsi="Calibri" w:cs="Calibri"/>
        </w:rPr>
        <w:t>A</w:t>
      </w:r>
      <w:r w:rsidRPr="00B91829">
        <w:rPr>
          <w:rFonts w:ascii="Calibri" w:eastAsia="Calibri" w:hAnsi="Calibri" w:cs="Calibri"/>
        </w:rPr>
        <w:t>pplicant notes is not an ideal practice for patients. BMC ensures that patients’ screening processes are completed ahead of time and staffs the overnight shift with two technologists;</w:t>
      </w:r>
    </w:p>
    <w:p w14:paraId="20AE73B8" w14:textId="7777777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 xml:space="preserve">April 2022: Evening outpatient hours were extended Monday-Friday from 7AM-9:30PM; </w:t>
      </w:r>
    </w:p>
    <w:p w14:paraId="5F9A1077" w14:textId="19C5B76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October 2022: MRI Protocol review increased throughput by reducing the timeslots from 40-minutes</w:t>
      </w:r>
      <w:r w:rsidRPr="00B91829">
        <w:rPr>
          <w:rFonts w:ascii="Calibri" w:eastAsia="Calibri" w:hAnsi="Calibri" w:cs="Calibri"/>
          <w:vertAlign w:val="superscript"/>
        </w:rPr>
        <w:footnoteReference w:id="21"/>
      </w:r>
      <w:r w:rsidRPr="00B91829">
        <w:rPr>
          <w:rFonts w:ascii="Calibri" w:eastAsia="Calibri" w:hAnsi="Calibri" w:cs="Calibri"/>
        </w:rPr>
        <w:t xml:space="preserve"> to 30-minute timeslots for some </w:t>
      </w:r>
      <w:r w:rsidR="001D2450">
        <w:rPr>
          <w:rFonts w:ascii="Calibri" w:eastAsia="Calibri" w:hAnsi="Calibri" w:cs="Calibri"/>
        </w:rPr>
        <w:t xml:space="preserve">types of </w:t>
      </w:r>
      <w:r w:rsidRPr="00B91829">
        <w:rPr>
          <w:rFonts w:ascii="Calibri" w:eastAsia="Calibri" w:hAnsi="Calibri" w:cs="Calibri"/>
        </w:rPr>
        <w:t>scans.</w:t>
      </w:r>
    </w:p>
    <w:p w14:paraId="34769A88" w14:textId="77777777" w:rsidR="00B91829" w:rsidRPr="00B91829" w:rsidRDefault="00B91829" w:rsidP="00B91829">
      <w:pPr>
        <w:ind w:left="720"/>
        <w:rPr>
          <w:rFonts w:ascii="Calibri" w:eastAsia="Calibri" w:hAnsi="Calibri" w:cs="Calibri"/>
        </w:rPr>
      </w:pPr>
    </w:p>
    <w:p w14:paraId="451327C7" w14:textId="51356480" w:rsidR="00B91829" w:rsidRPr="00B91829" w:rsidRDefault="00B91829" w:rsidP="00B91829">
      <w:pPr>
        <w:rPr>
          <w:rFonts w:ascii="Calibri" w:eastAsia="Calibri" w:hAnsi="Calibri" w:cs="Calibri"/>
        </w:rPr>
      </w:pPr>
      <w:r w:rsidRPr="00B91829">
        <w:rPr>
          <w:rFonts w:ascii="Calibri" w:eastAsia="Calibri" w:hAnsi="Calibri" w:cs="Calibri"/>
        </w:rPr>
        <w:t>The Applicant asserts that despite implementing the above noted measures, in FY22, all three (3) of the Hospital’s existing units operated at greater than 90% capacity (~93%)</w:t>
      </w:r>
      <w:r w:rsidRPr="00B91829">
        <w:rPr>
          <w:rFonts w:ascii="Calibri" w:eastAsia="Calibri" w:hAnsi="Calibri" w:cs="Calibri"/>
          <w:vertAlign w:val="superscript"/>
        </w:rPr>
        <w:footnoteReference w:id="22"/>
      </w:r>
      <w:r w:rsidRPr="00B91829">
        <w:rPr>
          <w:rFonts w:ascii="Calibri" w:eastAsia="Calibri" w:hAnsi="Calibri" w:cs="Calibri"/>
        </w:rPr>
        <w:t xml:space="preserve"> and wait times to access MRI scans persist. Inpatients needing MRI at BMC averaged 8.5 hours in FY22; and wait-times for out-patient MRIs averaged 50 days.</w:t>
      </w:r>
      <w:r w:rsidRPr="00B91829">
        <w:rPr>
          <w:rFonts w:ascii="Calibri" w:eastAsia="Calibri" w:hAnsi="Calibri" w:cs="Calibri"/>
          <w:vertAlign w:val="superscript"/>
        </w:rPr>
        <w:footnoteReference w:id="23"/>
      </w:r>
      <w:r w:rsidRPr="00B91829">
        <w:rPr>
          <w:rFonts w:ascii="Calibri" w:eastAsia="Calibri" w:hAnsi="Calibri" w:cs="Calibri"/>
        </w:rPr>
        <w:t xml:space="preserve"> These delays lead to longer lengths of stay for inpatients, and delays in diagnosis and treatment for both inpatients and outpatients, all of which can lead to poorer clinical outcomes </w:t>
      </w:r>
      <w:r w:rsidR="00C915D1">
        <w:rPr>
          <w:rFonts w:ascii="Calibri" w:eastAsia="Calibri" w:hAnsi="Calibri" w:cs="Calibri"/>
        </w:rPr>
        <w:t xml:space="preserve">and </w:t>
      </w:r>
      <w:r w:rsidR="00C915D1" w:rsidRPr="00C915D1">
        <w:rPr>
          <w:rFonts w:ascii="Calibri" w:eastAsia="Calibri" w:hAnsi="Calibri" w:cs="Calibri"/>
        </w:rPr>
        <w:t xml:space="preserve">higher costs </w:t>
      </w:r>
      <w:r w:rsidRPr="00B91829">
        <w:rPr>
          <w:rFonts w:ascii="Calibri" w:eastAsia="Calibri" w:hAnsi="Calibri" w:cs="Calibri"/>
        </w:rPr>
        <w:t xml:space="preserve">for BMC’s patients. </w:t>
      </w:r>
    </w:p>
    <w:p w14:paraId="0AE9C501" w14:textId="77777777" w:rsidR="00B91829" w:rsidRPr="00B91829" w:rsidRDefault="00B91829" w:rsidP="00B91829">
      <w:pPr>
        <w:rPr>
          <w:rFonts w:ascii="Calibri" w:eastAsia="Calibri" w:hAnsi="Calibri" w:cs="Calibri"/>
        </w:rPr>
      </w:pPr>
    </w:p>
    <w:p w14:paraId="45376452" w14:textId="77777777" w:rsidR="00B91829" w:rsidRPr="00B91829" w:rsidRDefault="00B91829" w:rsidP="00B91829">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Existing Capacity and Increased MRI Unit Down-time</w:t>
      </w:r>
    </w:p>
    <w:p w14:paraId="79107707" w14:textId="77777777" w:rsidR="00B91829" w:rsidRPr="00B91829" w:rsidRDefault="00B91829" w:rsidP="00B91829">
      <w:pPr>
        <w:ind w:left="360"/>
        <w:contextualSpacing/>
        <w:rPr>
          <w:rFonts w:ascii="Calibri" w:eastAsia="Calibri" w:hAnsi="Calibri" w:cs="Calibri"/>
          <w:b/>
          <w:bCs/>
        </w:rPr>
      </w:pPr>
    </w:p>
    <w:p w14:paraId="07B32E33" w14:textId="6FDF8BF8" w:rsidR="00B91829" w:rsidRPr="00B91829" w:rsidRDefault="00B91829" w:rsidP="00B91829">
      <w:pPr>
        <w:spacing w:after="160"/>
        <w:rPr>
          <w:rFonts w:ascii="Calibri" w:eastAsia="Calibri" w:hAnsi="Calibri" w:cs="Calibri"/>
        </w:rPr>
      </w:pPr>
      <w:r w:rsidRPr="00B91829">
        <w:rPr>
          <w:rFonts w:ascii="Calibri" w:eastAsia="Calibri" w:hAnsi="Calibri" w:cs="Calibri"/>
        </w:rPr>
        <w:t xml:space="preserve">With the units operating at over 90% capacity, as demand increases system reliability has </w:t>
      </w:r>
      <w:r w:rsidR="001D2450">
        <w:rPr>
          <w:rFonts w:ascii="Calibri" w:eastAsia="Calibri" w:hAnsi="Calibri" w:cs="Calibri"/>
        </w:rPr>
        <w:t>been exacerbated</w:t>
      </w:r>
      <w:r w:rsidRPr="00B91829">
        <w:rPr>
          <w:rFonts w:ascii="Calibri" w:eastAsia="Calibri" w:hAnsi="Calibri" w:cs="Calibri"/>
        </w:rPr>
        <w:t xml:space="preserve">. Two (2) of BMC’s existing three (3) MRI units </w:t>
      </w:r>
      <w:r w:rsidR="00945BCA">
        <w:rPr>
          <w:rFonts w:ascii="Calibri" w:eastAsia="Calibri" w:hAnsi="Calibri" w:cs="Calibri"/>
        </w:rPr>
        <w:t xml:space="preserve">have </w:t>
      </w:r>
      <w:r w:rsidRPr="00B91829">
        <w:rPr>
          <w:rFonts w:ascii="Calibri" w:eastAsia="Calibri" w:hAnsi="Calibri" w:cs="Calibri"/>
        </w:rPr>
        <w:t xml:space="preserve">periodic unscheduled downtime due to </w:t>
      </w:r>
      <w:r w:rsidR="001D2450">
        <w:rPr>
          <w:rFonts w:ascii="Calibri" w:eastAsia="Calibri" w:hAnsi="Calibri" w:cs="Calibri"/>
        </w:rPr>
        <w:t xml:space="preserve">the </w:t>
      </w:r>
      <w:r w:rsidRPr="00B91829">
        <w:rPr>
          <w:rFonts w:ascii="Calibri" w:eastAsia="Calibri" w:hAnsi="Calibri" w:cs="Calibri"/>
        </w:rPr>
        <w:t>age of one unit (16-years)</w:t>
      </w:r>
      <w:r w:rsidR="001D2450">
        <w:rPr>
          <w:rFonts w:ascii="Calibri" w:eastAsia="Calibri" w:hAnsi="Calibri" w:cs="Calibri"/>
        </w:rPr>
        <w:t>,</w:t>
      </w:r>
      <w:r w:rsidRPr="00B91829">
        <w:rPr>
          <w:rFonts w:ascii="Calibri" w:eastAsia="Calibri" w:hAnsi="Calibri" w:cs="Calibri"/>
        </w:rPr>
        <w:t xml:space="preserve"> and to one unit </w:t>
      </w:r>
      <w:r w:rsidR="001D2450">
        <w:rPr>
          <w:rFonts w:ascii="Calibri" w:eastAsia="Calibri" w:hAnsi="Calibri" w:cs="Calibri"/>
        </w:rPr>
        <w:t xml:space="preserve">being </w:t>
      </w:r>
      <w:r w:rsidRPr="00B91829">
        <w:rPr>
          <w:rFonts w:ascii="Calibri" w:eastAsia="Calibri" w:hAnsi="Calibri" w:cs="Calibri"/>
        </w:rPr>
        <w:t>“problematic</w:t>
      </w:r>
      <w:r w:rsidR="001D2450">
        <w:rPr>
          <w:rFonts w:ascii="Calibri" w:eastAsia="Calibri" w:hAnsi="Calibri" w:cs="Calibri"/>
        </w:rPr>
        <w:t>”</w:t>
      </w:r>
      <w:r w:rsidR="00594349">
        <w:rPr>
          <w:rFonts w:ascii="Calibri" w:eastAsia="Calibri" w:hAnsi="Calibri" w:cs="Calibri"/>
        </w:rPr>
        <w:t xml:space="preserve"> </w:t>
      </w:r>
      <w:r w:rsidR="00594349" w:rsidRPr="00B91829">
        <w:rPr>
          <w:rFonts w:ascii="Calibri" w:hAnsi="Calibri" w:cs="Calibri"/>
        </w:rPr>
        <w:t>because of excessive downtime</w:t>
      </w:r>
      <w:r w:rsidRPr="00B91829">
        <w:rPr>
          <w:rFonts w:ascii="Calibri" w:eastAsia="Calibri" w:hAnsi="Calibri" w:cs="Calibri"/>
        </w:rPr>
        <w:t>.</w:t>
      </w:r>
      <w:r w:rsidR="00C416AC">
        <w:rPr>
          <w:rStyle w:val="FootnoteReference"/>
          <w:rFonts w:ascii="Calibri" w:eastAsia="Calibri" w:hAnsi="Calibri" w:cs="Calibri"/>
        </w:rPr>
        <w:footnoteReference w:id="24"/>
      </w:r>
      <w:r w:rsidR="001D2450">
        <w:rPr>
          <w:rStyle w:val="FootnoteReference"/>
          <w:rFonts w:ascii="Calibri" w:eastAsia="Calibri" w:hAnsi="Calibri" w:cs="Calibri"/>
        </w:rPr>
        <w:footnoteReference w:id="25"/>
      </w:r>
      <w:r w:rsidRPr="00B91829">
        <w:rPr>
          <w:rFonts w:ascii="Calibri" w:eastAsia="Calibri" w:hAnsi="Calibri" w:cs="Calibri"/>
        </w:rPr>
        <w:t xml:space="preserve"> While </w:t>
      </w:r>
      <w:r w:rsidR="00594349">
        <w:rPr>
          <w:rFonts w:ascii="Calibri" w:eastAsia="Calibri" w:hAnsi="Calibri" w:cs="Calibri"/>
        </w:rPr>
        <w:t>the i</w:t>
      </w:r>
      <w:r w:rsidRPr="00B91829">
        <w:rPr>
          <w:rFonts w:ascii="Calibri" w:eastAsia="Calibri" w:hAnsi="Calibri" w:cs="Calibri"/>
        </w:rPr>
        <w:t>ndustry standard annual downtime for MRIs is 30-60 hours per unit, in FY22, BMC’s total MRI downtime was 624 hours (3 times the standard for three units</w:t>
      </w:r>
      <w:r w:rsidR="001D2450">
        <w:rPr>
          <w:rFonts w:ascii="Calibri" w:eastAsia="Calibri" w:hAnsi="Calibri" w:cs="Calibri"/>
        </w:rPr>
        <w:t xml:space="preserve"> is</w:t>
      </w:r>
      <w:r w:rsidRPr="00B91829">
        <w:rPr>
          <w:rFonts w:ascii="Calibri" w:eastAsia="Calibri" w:hAnsi="Calibri" w:cs="Calibri"/>
        </w:rPr>
        <w:t xml:space="preserve"> 90-180 hours).</w:t>
      </w:r>
      <w:r w:rsidR="00773456">
        <w:rPr>
          <w:rStyle w:val="EndnoteReference"/>
          <w:rFonts w:ascii="Calibri" w:eastAsia="Calibri" w:hAnsi="Calibri" w:cs="Calibri"/>
        </w:rPr>
        <w:endnoteReference w:id="2"/>
      </w:r>
      <w:r w:rsidR="00C946EA">
        <w:rPr>
          <w:rFonts w:ascii="Calibri" w:eastAsia="Calibri" w:hAnsi="Calibri" w:cs="Calibri"/>
        </w:rPr>
        <w:t>,</w:t>
      </w:r>
      <w:r w:rsidR="00945BCA">
        <w:rPr>
          <w:rStyle w:val="FootnoteReference"/>
          <w:rFonts w:ascii="Calibri" w:eastAsia="Calibri" w:hAnsi="Calibri" w:cs="Calibri"/>
        </w:rPr>
        <w:footnoteReference w:id="26"/>
      </w:r>
      <w:r w:rsidRPr="00B91829">
        <w:rPr>
          <w:rFonts w:ascii="Calibri" w:eastAsia="Calibri" w:hAnsi="Calibri" w:cs="Calibri"/>
        </w:rPr>
        <w:t xml:space="preserve"> </w:t>
      </w:r>
      <w:r w:rsidR="00594349">
        <w:rPr>
          <w:rFonts w:ascii="Calibri" w:eastAsia="Calibri" w:hAnsi="Calibri" w:cs="Calibri"/>
        </w:rPr>
        <w:t>P</w:t>
      </w:r>
      <w:r w:rsidRPr="00B91829">
        <w:rPr>
          <w:rFonts w:ascii="Calibri" w:eastAsia="Calibri" w:hAnsi="Calibri" w:cs="Calibri"/>
        </w:rPr>
        <w:t>atients are negatively impacted</w:t>
      </w:r>
      <w:r w:rsidR="00594349" w:rsidRPr="00594349">
        <w:rPr>
          <w:rFonts w:ascii="Calibri" w:eastAsia="Calibri" w:hAnsi="Calibri" w:cs="Calibri"/>
        </w:rPr>
        <w:t xml:space="preserve"> </w:t>
      </w:r>
      <w:r w:rsidR="00594349">
        <w:rPr>
          <w:rFonts w:ascii="Calibri" w:eastAsia="Calibri" w:hAnsi="Calibri" w:cs="Calibri"/>
        </w:rPr>
        <w:t>w</w:t>
      </w:r>
      <w:r w:rsidR="00594349" w:rsidRPr="00594349">
        <w:rPr>
          <w:rFonts w:ascii="Calibri" w:eastAsia="Calibri" w:hAnsi="Calibri" w:cs="Calibri"/>
        </w:rPr>
        <w:t xml:space="preserve">hen the units are down, </w:t>
      </w:r>
      <w:r w:rsidRPr="00B91829">
        <w:rPr>
          <w:rFonts w:ascii="Calibri" w:eastAsia="Calibri" w:hAnsi="Calibri" w:cs="Calibri"/>
        </w:rPr>
        <w:t>since scans must be rescheduled for another day</w:t>
      </w:r>
      <w:r w:rsidR="00664C27">
        <w:rPr>
          <w:rFonts w:ascii="Calibri" w:eastAsia="Calibri" w:hAnsi="Calibri" w:cs="Calibri"/>
        </w:rPr>
        <w:t xml:space="preserve"> (undergoing the same long </w:t>
      </w:r>
      <w:r w:rsidRPr="00B91829">
        <w:rPr>
          <w:rFonts w:ascii="Calibri" w:eastAsia="Calibri" w:hAnsi="Calibri" w:cs="Calibri"/>
        </w:rPr>
        <w:t>wait times</w:t>
      </w:r>
      <w:r w:rsidR="00664C27">
        <w:rPr>
          <w:rFonts w:ascii="Calibri" w:eastAsia="Calibri" w:hAnsi="Calibri" w:cs="Calibri"/>
        </w:rPr>
        <w:t xml:space="preserve"> </w:t>
      </w:r>
      <w:r w:rsidR="00594349">
        <w:rPr>
          <w:rFonts w:ascii="Calibri" w:eastAsia="Calibri" w:hAnsi="Calibri" w:cs="Calibri"/>
        </w:rPr>
        <w:t>the</w:t>
      </w:r>
      <w:r w:rsidR="001D2450">
        <w:rPr>
          <w:rFonts w:ascii="Calibri" w:eastAsia="Calibri" w:hAnsi="Calibri" w:cs="Calibri"/>
        </w:rPr>
        <w:t>y</w:t>
      </w:r>
      <w:r w:rsidR="00594349">
        <w:rPr>
          <w:rFonts w:ascii="Calibri" w:eastAsia="Calibri" w:hAnsi="Calibri" w:cs="Calibri"/>
        </w:rPr>
        <w:t xml:space="preserve"> already experienced </w:t>
      </w:r>
      <w:r w:rsidRPr="00B91829">
        <w:rPr>
          <w:rFonts w:ascii="Calibri" w:eastAsia="Calibri" w:hAnsi="Calibri" w:cs="Calibri"/>
        </w:rPr>
        <w:t>for the initial appointment</w:t>
      </w:r>
      <w:r w:rsidR="00664C27">
        <w:rPr>
          <w:rFonts w:ascii="Calibri" w:eastAsia="Calibri" w:hAnsi="Calibri" w:cs="Calibri"/>
        </w:rPr>
        <w:t>)</w:t>
      </w:r>
      <w:r w:rsidRPr="00B91829">
        <w:rPr>
          <w:rFonts w:ascii="Calibri" w:eastAsia="Calibri" w:hAnsi="Calibri" w:cs="Calibri"/>
        </w:rPr>
        <w:t xml:space="preserve">. </w:t>
      </w:r>
      <w:r w:rsidR="001D2450">
        <w:rPr>
          <w:rFonts w:ascii="Calibri" w:eastAsia="Calibri" w:hAnsi="Calibri" w:cs="Calibri"/>
        </w:rPr>
        <w:t xml:space="preserve">The Applicant </w:t>
      </w:r>
      <w:r w:rsidRPr="00B91829">
        <w:rPr>
          <w:rFonts w:ascii="Calibri" w:eastAsia="Calibri" w:hAnsi="Calibri" w:cs="Calibri"/>
        </w:rPr>
        <w:t>estimate</w:t>
      </w:r>
      <w:r w:rsidR="001D2450">
        <w:rPr>
          <w:rFonts w:ascii="Calibri" w:eastAsia="Calibri" w:hAnsi="Calibri" w:cs="Calibri"/>
        </w:rPr>
        <w:t>s</w:t>
      </w:r>
      <w:r w:rsidRPr="00B91829">
        <w:rPr>
          <w:rFonts w:ascii="Calibri" w:eastAsia="Calibri" w:hAnsi="Calibri" w:cs="Calibri"/>
        </w:rPr>
        <w:t xml:space="preserve"> that ~400 patients were impacted by the downtime issues in FY22, and YTD in FY23 approximately 100 patients have been impacted by the downtime. </w:t>
      </w:r>
      <w:r w:rsidR="00594349">
        <w:rPr>
          <w:rFonts w:ascii="Calibri" w:eastAsia="Calibri" w:hAnsi="Calibri" w:cs="Calibri"/>
        </w:rPr>
        <w:t xml:space="preserve">As a result, </w:t>
      </w:r>
      <w:r w:rsidR="006039E9">
        <w:rPr>
          <w:rFonts w:ascii="Calibri" w:eastAsia="Calibri" w:hAnsi="Calibri" w:cs="Calibri"/>
        </w:rPr>
        <w:t xml:space="preserve">of delayed diagnosis and treatment, </w:t>
      </w:r>
      <w:r w:rsidR="00594349" w:rsidRPr="00594349">
        <w:rPr>
          <w:rFonts w:ascii="Calibri" w:eastAsia="Calibri" w:hAnsi="Calibri" w:cs="Calibri"/>
        </w:rPr>
        <w:t>costs can increase, and patient outcomes can worsen.</w:t>
      </w:r>
    </w:p>
    <w:p w14:paraId="00000850" w14:textId="77777777" w:rsidR="00B91829" w:rsidRPr="00B91829" w:rsidRDefault="00B91829" w:rsidP="00B91829">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Population Growth and an Aging Population</w:t>
      </w:r>
    </w:p>
    <w:p w14:paraId="1C4B97DE" w14:textId="77777777" w:rsidR="00B91829" w:rsidRPr="00B91829" w:rsidRDefault="00B91829" w:rsidP="00B91829">
      <w:pPr>
        <w:spacing w:after="160"/>
        <w:ind w:left="360"/>
        <w:contextualSpacing/>
        <w:rPr>
          <w:rFonts w:ascii="Calibri" w:eastAsia="Calibri" w:hAnsi="Calibri" w:cs="Calibri"/>
          <w:b/>
          <w:bCs/>
        </w:rPr>
      </w:pPr>
    </w:p>
    <w:p w14:paraId="1B0DD8F9" w14:textId="77777777" w:rsidR="00B91829" w:rsidRPr="00B91829" w:rsidRDefault="00B91829" w:rsidP="00B91829">
      <w:pPr>
        <w:spacing w:after="160"/>
        <w:rPr>
          <w:rFonts w:ascii="Calibri" w:eastAsia="Calibri" w:hAnsi="Calibri" w:cs="Calibri"/>
        </w:rPr>
      </w:pPr>
      <w:r w:rsidRPr="00B91829">
        <w:rPr>
          <w:rFonts w:ascii="Calibri" w:eastAsia="Calibri" w:hAnsi="Calibri" w:cs="Calibri"/>
        </w:rPr>
        <w:lastRenderedPageBreak/>
        <w:t xml:space="preserve">The Applicant asserts the additional MRI capacity is needed to meet the increased demand due to population growth, particularly related to those 65+. </w:t>
      </w:r>
    </w:p>
    <w:p w14:paraId="7D4987FE" w14:textId="17720F4C" w:rsidR="00B91829" w:rsidRPr="00B91829" w:rsidRDefault="00B91829" w:rsidP="00B91829">
      <w:pPr>
        <w:spacing w:after="160"/>
        <w:rPr>
          <w:rFonts w:ascii="Calibri" w:eastAsia="Calibri" w:hAnsi="Calibri" w:cs="Calibri"/>
        </w:rPr>
      </w:pPr>
      <w:r w:rsidRPr="00B91829">
        <w:rPr>
          <w:rFonts w:ascii="Calibri" w:eastAsia="Calibri" w:hAnsi="Calibri" w:cs="Calibri"/>
        </w:rPr>
        <w:t>The anticipated growth among BMC’s patient panel is supported by population growth estimates of the University of Massachusetts’ Donahue Institute (“UMDI”).</w:t>
      </w:r>
      <w:r w:rsidRPr="00B91829">
        <w:rPr>
          <w:rFonts w:ascii="Calibri" w:eastAsia="Calibri" w:hAnsi="Calibri" w:cs="Calibri"/>
          <w:vertAlign w:val="superscript"/>
        </w:rPr>
        <w:footnoteReference w:id="27"/>
      </w:r>
      <w:r w:rsidRPr="00B91829">
        <w:rPr>
          <w:rFonts w:ascii="Calibri" w:eastAsia="Calibri" w:hAnsi="Calibri" w:cs="Calibri"/>
        </w:rPr>
        <w:t xml:space="preserve"> The majority of BMC’s MRI Patients are from the Greater Boston region where </w:t>
      </w:r>
      <w:r w:rsidR="001B60BE" w:rsidRPr="00B91829">
        <w:rPr>
          <w:rFonts w:ascii="Calibri" w:eastAsia="Calibri" w:hAnsi="Calibri" w:cs="Calibri"/>
        </w:rPr>
        <w:t>from 2020 to 2040</w:t>
      </w:r>
      <w:r w:rsidR="001B60BE">
        <w:rPr>
          <w:rFonts w:ascii="Calibri" w:eastAsia="Calibri" w:hAnsi="Calibri" w:cs="Calibri"/>
        </w:rPr>
        <w:t xml:space="preserve"> </w:t>
      </w:r>
      <w:r w:rsidRPr="00B91829">
        <w:rPr>
          <w:rFonts w:ascii="Calibri" w:eastAsia="Calibri" w:hAnsi="Calibri" w:cs="Calibri"/>
        </w:rPr>
        <w:t xml:space="preserve">the overall population </w:t>
      </w:r>
      <w:r w:rsidR="00542756">
        <w:rPr>
          <w:rFonts w:ascii="Calibri" w:eastAsia="Calibri" w:hAnsi="Calibri" w:cs="Calibri"/>
        </w:rPr>
        <w:t xml:space="preserve">growth </w:t>
      </w:r>
      <w:r w:rsidRPr="00B91829">
        <w:rPr>
          <w:rFonts w:ascii="Calibri" w:eastAsia="Calibri" w:hAnsi="Calibri" w:cs="Calibri"/>
        </w:rPr>
        <w:t xml:space="preserve">is expected to </w:t>
      </w:r>
      <w:r w:rsidR="00542756">
        <w:rPr>
          <w:rFonts w:ascii="Calibri" w:eastAsia="Calibri" w:hAnsi="Calibri" w:cs="Calibri"/>
        </w:rPr>
        <w:t xml:space="preserve">be </w:t>
      </w:r>
      <w:r w:rsidRPr="00B91829">
        <w:rPr>
          <w:rFonts w:ascii="Calibri" w:eastAsia="Calibri" w:hAnsi="Calibri" w:cs="Calibri"/>
        </w:rPr>
        <w:t xml:space="preserve">14.2%, while </w:t>
      </w:r>
      <w:r w:rsidR="00542756">
        <w:rPr>
          <w:rFonts w:ascii="Calibri" w:eastAsia="Calibri" w:hAnsi="Calibri" w:cs="Calibri"/>
        </w:rPr>
        <w:t>for</w:t>
      </w:r>
      <w:r w:rsidRPr="00B91829">
        <w:rPr>
          <w:rFonts w:ascii="Calibri" w:eastAsia="Calibri" w:hAnsi="Calibri" w:cs="Calibri"/>
        </w:rPr>
        <w:t xml:space="preserve"> Massachusetts </w:t>
      </w:r>
      <w:r w:rsidR="00542756">
        <w:rPr>
          <w:rFonts w:ascii="Calibri" w:eastAsia="Calibri" w:hAnsi="Calibri" w:cs="Calibri"/>
        </w:rPr>
        <w:t xml:space="preserve">it </w:t>
      </w:r>
      <w:r w:rsidRPr="00B91829">
        <w:rPr>
          <w:rFonts w:ascii="Calibri" w:eastAsia="Calibri" w:hAnsi="Calibri" w:cs="Calibri"/>
        </w:rPr>
        <w:t>is projected to grow 6.4%.</w:t>
      </w:r>
      <w:r w:rsidRPr="00B91829">
        <w:rPr>
          <w:rFonts w:ascii="Calibri" w:eastAsia="Calibri" w:hAnsi="Calibri" w:cs="Calibri"/>
          <w:vertAlign w:val="superscript"/>
        </w:rPr>
        <w:footnoteReference w:id="28"/>
      </w:r>
      <w:r w:rsidRPr="00B91829">
        <w:rPr>
          <w:rFonts w:ascii="Calibri" w:eastAsia="Calibri" w:hAnsi="Calibri" w:cs="Calibri"/>
        </w:rPr>
        <w:t xml:space="preserve"> When segmented by age</w:t>
      </w:r>
      <w:r w:rsidR="00542756">
        <w:rPr>
          <w:rFonts w:ascii="Calibri" w:eastAsia="Calibri" w:hAnsi="Calibri" w:cs="Calibri"/>
        </w:rPr>
        <w:t xml:space="preserve"> from </w:t>
      </w:r>
      <w:r w:rsidR="00542756" w:rsidRPr="00B91829">
        <w:rPr>
          <w:rFonts w:ascii="Calibri" w:eastAsia="Calibri" w:hAnsi="Calibri" w:cs="Calibri"/>
        </w:rPr>
        <w:t>2020 and 2040</w:t>
      </w:r>
      <w:r w:rsidR="006039E9">
        <w:rPr>
          <w:rFonts w:ascii="Calibri" w:eastAsia="Calibri" w:hAnsi="Calibri" w:cs="Calibri"/>
        </w:rPr>
        <w:t xml:space="preserve">, </w:t>
      </w:r>
      <w:r w:rsidR="00542756">
        <w:rPr>
          <w:rFonts w:ascii="Calibri" w:eastAsia="Calibri" w:hAnsi="Calibri" w:cs="Calibri"/>
        </w:rPr>
        <w:t xml:space="preserve">for the </w:t>
      </w:r>
      <w:r w:rsidR="00542756" w:rsidRPr="00542756">
        <w:rPr>
          <w:rFonts w:ascii="Calibri" w:eastAsia="Calibri" w:hAnsi="Calibri" w:cs="Calibri"/>
        </w:rPr>
        <w:t>Greater Boston region</w:t>
      </w:r>
      <w:r w:rsidR="006039E9">
        <w:rPr>
          <w:rFonts w:ascii="Calibri" w:eastAsia="Calibri" w:hAnsi="Calibri" w:cs="Calibri"/>
        </w:rPr>
        <w:t>,</w:t>
      </w:r>
      <w:r w:rsidR="00542756" w:rsidRPr="00542756">
        <w:rPr>
          <w:rFonts w:ascii="Calibri" w:eastAsia="Calibri" w:hAnsi="Calibri" w:cs="Calibri"/>
        </w:rPr>
        <w:t xml:space="preserve"> the highest percentage growth projection</w:t>
      </w:r>
      <w:r w:rsidR="001B60BE">
        <w:rPr>
          <w:rFonts w:ascii="Calibri" w:eastAsia="Calibri" w:hAnsi="Calibri" w:cs="Calibri"/>
        </w:rPr>
        <w:t xml:space="preserve"> is </w:t>
      </w:r>
      <w:r w:rsidRPr="00B91829">
        <w:rPr>
          <w:rFonts w:ascii="Calibri" w:eastAsia="Calibri" w:hAnsi="Calibri" w:cs="Calibri"/>
        </w:rPr>
        <w:t>within the 65+ age cohort</w:t>
      </w:r>
      <w:r w:rsidR="00542756">
        <w:rPr>
          <w:rFonts w:ascii="Calibri" w:eastAsia="Calibri" w:hAnsi="Calibri" w:cs="Calibri"/>
        </w:rPr>
        <w:t xml:space="preserve">, at </w:t>
      </w:r>
      <w:r w:rsidRPr="00B91829">
        <w:rPr>
          <w:rFonts w:ascii="Calibri" w:eastAsia="Calibri" w:hAnsi="Calibri" w:cs="Calibri"/>
        </w:rPr>
        <w:t>40.7%,</w:t>
      </w:r>
      <w:r w:rsidRPr="00B91829">
        <w:rPr>
          <w:rFonts w:ascii="Calibri" w:eastAsia="Calibri" w:hAnsi="Calibri" w:cs="Calibri"/>
          <w:vertAlign w:val="superscript"/>
        </w:rPr>
        <w:footnoteReference w:id="29"/>
      </w:r>
      <w:r w:rsidRPr="00B91829">
        <w:rPr>
          <w:rFonts w:ascii="Calibri" w:eastAsia="Calibri" w:hAnsi="Calibri" w:cs="Calibri"/>
        </w:rPr>
        <w:t xml:space="preserve"> while </w:t>
      </w:r>
      <w:r w:rsidR="00542756">
        <w:rPr>
          <w:rFonts w:ascii="Calibri" w:eastAsia="Calibri" w:hAnsi="Calibri" w:cs="Calibri"/>
        </w:rPr>
        <w:t xml:space="preserve">for </w:t>
      </w:r>
      <w:r w:rsidRPr="00B91829">
        <w:rPr>
          <w:rFonts w:ascii="Calibri" w:eastAsia="Calibri" w:hAnsi="Calibri" w:cs="Calibri"/>
        </w:rPr>
        <w:t>the 0-64 age cohort grow</w:t>
      </w:r>
      <w:r w:rsidR="001B60BE">
        <w:rPr>
          <w:rFonts w:ascii="Calibri" w:eastAsia="Calibri" w:hAnsi="Calibri" w:cs="Calibri"/>
        </w:rPr>
        <w:t>th is</w:t>
      </w:r>
      <w:r w:rsidRPr="00B91829">
        <w:rPr>
          <w:rFonts w:ascii="Calibri" w:eastAsia="Calibri" w:hAnsi="Calibri" w:cs="Calibri"/>
        </w:rPr>
        <w:t xml:space="preserve"> 9.6%.</w:t>
      </w:r>
      <w:r w:rsidRPr="00B91829">
        <w:rPr>
          <w:rFonts w:ascii="Calibri" w:eastAsia="Calibri" w:hAnsi="Calibri" w:cs="Calibri"/>
          <w:vertAlign w:val="superscript"/>
        </w:rPr>
        <w:footnoteReference w:id="30"/>
      </w:r>
    </w:p>
    <w:p w14:paraId="08F31CAE" w14:textId="26D73D53" w:rsidR="00B91829" w:rsidRPr="00B91829" w:rsidRDefault="00B91829" w:rsidP="00B91829">
      <w:pPr>
        <w:spacing w:after="160"/>
        <w:rPr>
          <w:rFonts w:ascii="Calibri" w:eastAsia="Calibri" w:hAnsi="Calibri" w:cs="Calibri"/>
        </w:rPr>
      </w:pPr>
      <w:r w:rsidRPr="00B91829">
        <w:rPr>
          <w:rFonts w:ascii="Calibri" w:eastAsia="Calibri" w:hAnsi="Calibri" w:cs="Calibri"/>
        </w:rPr>
        <w:t>Due to the population growth, in particular within the 65+ age cohort, the Applicant anticipates that the need for BMC’s MRI services will continue to increase. Patterns of MRI use show that imaging rates tend to be higher among older adults since it is utilized in diagnosing and treating a many age-related conditions.</w:t>
      </w:r>
      <w:r w:rsidRPr="00B91829">
        <w:rPr>
          <w:rFonts w:ascii="Calibri" w:eastAsia="Calibri" w:hAnsi="Calibri" w:cs="Calibri"/>
          <w:vertAlign w:val="superscript"/>
        </w:rPr>
        <w:footnoteReference w:id="31"/>
      </w:r>
      <w:r w:rsidRPr="00B91829">
        <w:rPr>
          <w:rFonts w:ascii="Calibri" w:eastAsia="Calibri" w:hAnsi="Calibri" w:cs="Calibri"/>
        </w:rPr>
        <w:t xml:space="preserve"> The Hospital’s data are consistent with the literature.</w:t>
      </w:r>
      <w:r w:rsidR="006039E9">
        <w:rPr>
          <w:rFonts w:ascii="Calibri" w:eastAsia="Calibri" w:hAnsi="Calibri" w:cs="Calibri"/>
        </w:rPr>
        <w:t xml:space="preserve"> P</w:t>
      </w:r>
      <w:r w:rsidRPr="00B91829">
        <w:rPr>
          <w:rFonts w:ascii="Calibri" w:eastAsia="Calibri" w:hAnsi="Calibri" w:cs="Calibri"/>
        </w:rPr>
        <w:t xml:space="preserve">atients 65+ not only account for a significant portion of BMC’s MRI </w:t>
      </w:r>
      <w:r w:rsidR="006039E9">
        <w:rPr>
          <w:rFonts w:ascii="Calibri" w:eastAsia="Calibri" w:hAnsi="Calibri" w:cs="Calibri"/>
        </w:rPr>
        <w:t xml:space="preserve">unique </w:t>
      </w:r>
      <w:r w:rsidRPr="00B91829">
        <w:rPr>
          <w:rFonts w:ascii="Calibri" w:eastAsia="Calibri" w:hAnsi="Calibri" w:cs="Calibri"/>
        </w:rPr>
        <w:t>patient</w:t>
      </w:r>
      <w:r w:rsidR="006039E9">
        <w:rPr>
          <w:rFonts w:ascii="Calibri" w:eastAsia="Calibri" w:hAnsi="Calibri" w:cs="Calibri"/>
        </w:rPr>
        <w:t>s</w:t>
      </w:r>
      <w:r w:rsidRPr="00B91829">
        <w:rPr>
          <w:rFonts w:ascii="Calibri" w:eastAsia="Calibri" w:hAnsi="Calibri" w:cs="Calibri"/>
        </w:rPr>
        <w:t xml:space="preserve"> (24.5% in FY22) but have also increased at a higher rate over the last three fiscal years than all other age cohorts (42.6% growth from FY20 to FY22 compared to 24.5% growth for MRI patients 0-64). Fiscal Year 2023 YTD data suggest that these trends within BMC’s MRI patient population will continue into the future.</w:t>
      </w:r>
    </w:p>
    <w:p w14:paraId="719FE6FF" w14:textId="70930B2F" w:rsidR="00B91829" w:rsidRPr="00FC17F2" w:rsidRDefault="00B91829" w:rsidP="00FC17F2">
      <w:pPr>
        <w:pStyle w:val="ListParagraph"/>
        <w:numPr>
          <w:ilvl w:val="0"/>
          <w:numId w:val="9"/>
        </w:numPr>
        <w:spacing w:after="160"/>
        <w:rPr>
          <w:rFonts w:ascii="Calibri" w:eastAsia="Calibri" w:hAnsi="Calibri" w:cs="Calibri"/>
          <w:b/>
          <w:bCs/>
        </w:rPr>
      </w:pPr>
      <w:r w:rsidRPr="00FC17F2">
        <w:rPr>
          <w:rFonts w:ascii="Calibri" w:eastAsia="Calibri" w:hAnsi="Calibri" w:cs="Calibri"/>
          <w:b/>
          <w:bCs/>
        </w:rPr>
        <w:t xml:space="preserve">BMC’s Status as a </w:t>
      </w:r>
      <w:r w:rsidR="006B477C">
        <w:rPr>
          <w:rFonts w:ascii="Calibri" w:eastAsia="Calibri" w:hAnsi="Calibri" w:cs="Calibri"/>
          <w:b/>
          <w:bCs/>
        </w:rPr>
        <w:t xml:space="preserve">Health </w:t>
      </w:r>
      <w:r w:rsidRPr="00FC17F2">
        <w:rPr>
          <w:rFonts w:ascii="Calibri" w:eastAsia="Calibri" w:hAnsi="Calibri" w:cs="Calibri"/>
          <w:b/>
          <w:bCs/>
        </w:rPr>
        <w:t>Safety Net</w:t>
      </w:r>
      <w:r w:rsidR="006039E9">
        <w:rPr>
          <w:rFonts w:ascii="Calibri" w:eastAsia="Calibri" w:hAnsi="Calibri" w:cs="Calibri"/>
          <w:b/>
          <w:bCs/>
        </w:rPr>
        <w:t xml:space="preserve"> </w:t>
      </w:r>
      <w:r w:rsidRPr="00FC17F2">
        <w:rPr>
          <w:rFonts w:ascii="Calibri" w:eastAsia="Calibri" w:hAnsi="Calibri" w:cs="Calibri"/>
          <w:b/>
          <w:bCs/>
        </w:rPr>
        <w:t>Hospital</w:t>
      </w:r>
    </w:p>
    <w:p w14:paraId="68824F58" w14:textId="4FF9E4E8" w:rsidR="002601F4" w:rsidRDefault="002601F4" w:rsidP="00A84A77">
      <w:pPr>
        <w:rPr>
          <w:rFonts w:ascii="Calibri" w:eastAsia="Calibri" w:hAnsi="Calibri" w:cs="Calibri"/>
        </w:rPr>
      </w:pPr>
      <w:r w:rsidRPr="002601F4">
        <w:rPr>
          <w:rFonts w:ascii="Calibri" w:eastAsia="Calibri" w:hAnsi="Calibri" w:cs="Calibri"/>
        </w:rPr>
        <w:t xml:space="preserve">The </w:t>
      </w:r>
      <w:r w:rsidRPr="002601F4">
        <w:rPr>
          <w:rFonts w:ascii="Calibri" w:eastAsia="Calibri" w:hAnsi="Calibri" w:cs="Calibri"/>
          <w:i/>
          <w:iCs/>
        </w:rPr>
        <w:t>Fiscal Year (“FY”) 2022 Health Safety Net Annual Report</w:t>
      </w:r>
      <w:r w:rsidRPr="002601F4">
        <w:rPr>
          <w:rFonts w:ascii="Calibri" w:eastAsia="Calibri" w:hAnsi="Calibri" w:cs="Calibri"/>
        </w:rPr>
        <w:t xml:space="preserve"> outlines that BMC provided over $102 million of care to patients qualifying for the HSN, making the hospital the largest provider of HSN care in Massachusetts.</w:t>
      </w:r>
      <w:r w:rsidRPr="002601F4">
        <w:rPr>
          <w:rFonts w:ascii="Calibri" w:eastAsia="Calibri" w:hAnsi="Calibri" w:cs="Calibri"/>
          <w:vertAlign w:val="superscript"/>
        </w:rPr>
        <w:footnoteReference w:id="32"/>
      </w:r>
      <w:r w:rsidRPr="002601F4">
        <w:rPr>
          <w:rFonts w:ascii="Calibri" w:eastAsia="Calibri" w:hAnsi="Calibri" w:cs="Calibri"/>
        </w:rPr>
        <w:t xml:space="preserve"> In comparison, the hospital with the second largest percentage of HSN care provided $30.5M in services.</w:t>
      </w:r>
      <w:r w:rsidRPr="002601F4">
        <w:rPr>
          <w:rFonts w:ascii="Calibri" w:eastAsia="Calibri" w:hAnsi="Calibri" w:cs="Calibri"/>
          <w:vertAlign w:val="superscript"/>
        </w:rPr>
        <w:footnoteReference w:id="33"/>
      </w:r>
      <w:r>
        <w:rPr>
          <w:rFonts w:ascii="Calibri" w:eastAsia="Calibri" w:hAnsi="Calibri" w:cs="Calibri"/>
        </w:rPr>
        <w:t xml:space="preserve"> </w:t>
      </w:r>
      <w:r w:rsidR="00AF5ED5">
        <w:rPr>
          <w:rFonts w:ascii="Calibri" w:eastAsia="Calibri" w:hAnsi="Calibri" w:cs="Calibri"/>
        </w:rPr>
        <w:t xml:space="preserve">Further, </w:t>
      </w:r>
      <w:r w:rsidRPr="00B91829">
        <w:rPr>
          <w:rFonts w:ascii="Calibri" w:eastAsia="Calibri" w:hAnsi="Calibri" w:cs="Calibri"/>
        </w:rPr>
        <w:t xml:space="preserve">BMC’s patient panel shows that the majority of its patients receive insurance coverage through a public payer, receive free care, or are covered under the </w:t>
      </w:r>
      <w:r w:rsidR="006B477C">
        <w:rPr>
          <w:rFonts w:ascii="Calibri" w:eastAsia="Calibri" w:hAnsi="Calibri" w:cs="Calibri"/>
        </w:rPr>
        <w:t>HSN</w:t>
      </w:r>
      <w:r>
        <w:rPr>
          <w:rFonts w:ascii="Calibri" w:eastAsia="Calibri" w:hAnsi="Calibri" w:cs="Calibri"/>
        </w:rPr>
        <w:t xml:space="preserve">. </w:t>
      </w:r>
    </w:p>
    <w:p w14:paraId="314C9BCD" w14:textId="77777777" w:rsidR="00AF5ED5" w:rsidRDefault="00AF5ED5" w:rsidP="00A84A77">
      <w:pPr>
        <w:rPr>
          <w:rFonts w:ascii="Calibri" w:eastAsia="Calibri" w:hAnsi="Calibri" w:cs="Calibri"/>
        </w:rPr>
      </w:pPr>
    </w:p>
    <w:p w14:paraId="487B5926" w14:textId="71CE7E1A" w:rsidR="00B91829" w:rsidRPr="00B91829" w:rsidRDefault="00AF5ED5" w:rsidP="00A84A77">
      <w:pPr>
        <w:rPr>
          <w:rFonts w:ascii="Calibri" w:eastAsia="Calibri" w:hAnsi="Calibri" w:cs="Calibri"/>
        </w:rPr>
      </w:pPr>
      <w:r w:rsidRPr="00AF5ED5">
        <w:rPr>
          <w:rFonts w:ascii="Calibri" w:eastAsia="Calibri" w:hAnsi="Calibri" w:cs="Calibri"/>
        </w:rPr>
        <w:t xml:space="preserve">The Applicant asserts that BMC’s high volume of what it </w:t>
      </w:r>
      <w:r w:rsidR="00B42A6E">
        <w:rPr>
          <w:rFonts w:ascii="Calibri" w:eastAsia="Calibri" w:hAnsi="Calibri" w:cs="Calibri"/>
        </w:rPr>
        <w:t xml:space="preserve">references </w:t>
      </w:r>
      <w:r w:rsidRPr="00AF5ED5">
        <w:rPr>
          <w:rFonts w:ascii="Calibri" w:eastAsia="Calibri" w:hAnsi="Calibri" w:cs="Calibri"/>
        </w:rPr>
        <w:t>as “vulnerable patients” further supports the need for the Proposed Project.</w:t>
      </w:r>
      <w:r>
        <w:rPr>
          <w:rFonts w:ascii="Calibri" w:eastAsia="Calibri" w:hAnsi="Calibri" w:cs="Calibri"/>
        </w:rPr>
        <w:t xml:space="preserve"> </w:t>
      </w:r>
      <w:r w:rsidR="00B91829" w:rsidRPr="00B91829">
        <w:rPr>
          <w:rFonts w:ascii="Calibri" w:eastAsia="Calibri" w:hAnsi="Calibri" w:cs="Calibri"/>
        </w:rPr>
        <w:t xml:space="preserve">The Applicant stresses that given the </w:t>
      </w:r>
      <w:r w:rsidR="002601F4">
        <w:rPr>
          <w:rFonts w:ascii="Calibri" w:eastAsia="Calibri" w:hAnsi="Calibri" w:cs="Calibri"/>
        </w:rPr>
        <w:t>high volumes</w:t>
      </w:r>
      <w:r w:rsidR="00B91829" w:rsidRPr="00B91829">
        <w:rPr>
          <w:rFonts w:ascii="Calibri" w:eastAsia="Calibri" w:hAnsi="Calibri" w:cs="Calibri"/>
        </w:rPr>
        <w:t>, it is essential that BMC provide timely access to a depth of necessary services, such as MRI, so as not to negatively impact outcomes</w:t>
      </w:r>
      <w:r w:rsidR="002601F4">
        <w:rPr>
          <w:rFonts w:ascii="Calibri" w:eastAsia="Calibri" w:hAnsi="Calibri" w:cs="Calibri"/>
        </w:rPr>
        <w:t xml:space="preserve"> so as to ensure equitable access.</w:t>
      </w:r>
    </w:p>
    <w:p w14:paraId="3F17D6C1" w14:textId="77777777" w:rsidR="00B91829" w:rsidRPr="00B91829" w:rsidRDefault="00B91829" w:rsidP="00B91829">
      <w:pPr>
        <w:rPr>
          <w:rFonts w:ascii="Calibri" w:eastAsia="Calibri" w:hAnsi="Calibri" w:cs="Calibri"/>
        </w:rPr>
      </w:pPr>
    </w:p>
    <w:p w14:paraId="10967CB0" w14:textId="77777777" w:rsidR="00B91829" w:rsidRPr="00B91829" w:rsidRDefault="00B91829" w:rsidP="00FC17F2">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Implementation of DoN Project #BMCHS-22080908-HE for Inpatient Service Expansion</w:t>
      </w:r>
    </w:p>
    <w:p w14:paraId="783A25DB" w14:textId="77777777" w:rsidR="00B91829" w:rsidRPr="00B91829" w:rsidRDefault="00B91829" w:rsidP="00B91829">
      <w:pPr>
        <w:spacing w:after="160" w:line="259" w:lineRule="auto"/>
        <w:ind w:left="360"/>
        <w:contextualSpacing/>
        <w:rPr>
          <w:rFonts w:ascii="Calibri" w:eastAsia="Calibri" w:hAnsi="Calibri" w:cs="Calibri"/>
          <w:b/>
          <w:bCs/>
        </w:rPr>
      </w:pPr>
    </w:p>
    <w:p w14:paraId="69CB2C0E" w14:textId="77777777" w:rsidR="00B91829" w:rsidRPr="00B91829" w:rsidRDefault="00B91829" w:rsidP="00A84A77">
      <w:pPr>
        <w:spacing w:after="160"/>
        <w:rPr>
          <w:rFonts w:ascii="Calibri" w:eastAsia="Calibri" w:hAnsi="Calibri" w:cs="Calibri"/>
          <w:sz w:val="22"/>
          <w:szCs w:val="22"/>
        </w:rPr>
      </w:pPr>
      <w:r w:rsidRPr="00B91829">
        <w:rPr>
          <w:rFonts w:ascii="Calibri" w:eastAsia="Calibri" w:hAnsi="Calibri" w:cs="Calibri"/>
        </w:rPr>
        <w:t xml:space="preserve">In FY 2022, the Applicant received approval for DoN Project #BMCHS-22080908-HE which is projected to be completed in FY 2024. The project includes the addition of seventy (70) new inpatient beds, five (5) new inpatient operating rooms (“ORs”), and other project components. </w:t>
      </w:r>
    </w:p>
    <w:p w14:paraId="32660BB3" w14:textId="64D5B92F" w:rsidR="00B91829" w:rsidRPr="00B91829" w:rsidRDefault="00B91829" w:rsidP="00A84A77">
      <w:pPr>
        <w:spacing w:after="160"/>
        <w:rPr>
          <w:rFonts w:ascii="Calibri" w:eastAsia="Calibri" w:hAnsi="Calibri" w:cs="Calibri"/>
        </w:rPr>
      </w:pPr>
      <w:r w:rsidRPr="00B91829">
        <w:rPr>
          <w:rFonts w:ascii="Calibri" w:eastAsia="Calibri" w:hAnsi="Calibri" w:cs="Calibri"/>
        </w:rPr>
        <w:lastRenderedPageBreak/>
        <w:t xml:space="preserve">As the number of inpatient beds and inpatient ORs is expanded through implementation of the approved project, the number of inpatient referrals for MRI services will grow and will exacerbate the current capacity constraints; </w:t>
      </w:r>
      <w:r w:rsidR="003657E5" w:rsidRPr="00B91829">
        <w:rPr>
          <w:rFonts w:ascii="Calibri" w:eastAsia="Calibri" w:hAnsi="Calibri" w:cs="Calibri"/>
        </w:rPr>
        <w:t>therefore,</w:t>
      </w:r>
      <w:r w:rsidRPr="00B91829">
        <w:rPr>
          <w:rFonts w:ascii="Calibri" w:eastAsia="Calibri" w:hAnsi="Calibri" w:cs="Calibri"/>
        </w:rPr>
        <w:t xml:space="preserve"> the additional MRI capacity is needed to accommodate the additional inpatients who historically comprise ~21.3% of all MRIs. (see Table </w:t>
      </w:r>
      <w:r w:rsidR="00521FC5">
        <w:rPr>
          <w:rFonts w:ascii="Calibri" w:eastAsia="Calibri" w:hAnsi="Calibri" w:cs="Calibri"/>
        </w:rPr>
        <w:t>5</w:t>
      </w:r>
      <w:r w:rsidRPr="00B91829">
        <w:rPr>
          <w:rFonts w:ascii="Calibri" w:eastAsia="Calibri" w:hAnsi="Calibri" w:cs="Calibri"/>
        </w:rPr>
        <w:t>). The Applicant’s projections account for these additional patients, as described below.</w:t>
      </w:r>
    </w:p>
    <w:p w14:paraId="76B3F3F8" w14:textId="74B7E122" w:rsidR="00B91829" w:rsidRDefault="005A6D3A" w:rsidP="000105D8">
      <w:pPr>
        <w:numPr>
          <w:ilvl w:val="0"/>
          <w:numId w:val="9"/>
        </w:numPr>
        <w:spacing w:after="160" w:line="259" w:lineRule="auto"/>
        <w:contextualSpacing/>
        <w:rPr>
          <w:rFonts w:ascii="Calibri" w:eastAsia="Calibri" w:hAnsi="Calibri" w:cs="Calibri"/>
          <w:b/>
          <w:bCs/>
        </w:rPr>
      </w:pPr>
      <w:r w:rsidRPr="00FC17F2">
        <w:rPr>
          <w:rFonts w:ascii="Calibri" w:eastAsia="Calibri" w:hAnsi="Calibri" w:cs="Calibri"/>
          <w:b/>
          <w:bCs/>
        </w:rPr>
        <w:t xml:space="preserve">Need to </w:t>
      </w:r>
      <w:r w:rsidR="00B91829" w:rsidRPr="00FC17F2">
        <w:rPr>
          <w:rFonts w:ascii="Calibri" w:eastAsia="Calibri" w:hAnsi="Calibri" w:cs="Calibri"/>
          <w:b/>
          <w:bCs/>
        </w:rPr>
        <w:t xml:space="preserve">Meet Existing and Future </w:t>
      </w:r>
      <w:r w:rsidR="00FC17F2" w:rsidRPr="00FC17F2">
        <w:rPr>
          <w:rFonts w:ascii="Calibri" w:eastAsia="Calibri" w:hAnsi="Calibri" w:cs="Calibri"/>
          <w:b/>
          <w:bCs/>
        </w:rPr>
        <w:t xml:space="preserve">MRI </w:t>
      </w:r>
      <w:r w:rsidR="00B91829" w:rsidRPr="00FC17F2">
        <w:rPr>
          <w:rFonts w:ascii="Calibri" w:eastAsia="Calibri" w:hAnsi="Calibri" w:cs="Calibri"/>
          <w:b/>
          <w:bCs/>
        </w:rPr>
        <w:t>Needs</w:t>
      </w:r>
    </w:p>
    <w:p w14:paraId="4D44CE49" w14:textId="77777777" w:rsidR="00FC17F2" w:rsidRPr="00FC17F2" w:rsidRDefault="00FC17F2" w:rsidP="00FC17F2">
      <w:pPr>
        <w:spacing w:after="160" w:line="259" w:lineRule="auto"/>
        <w:ind w:left="360"/>
        <w:contextualSpacing/>
        <w:rPr>
          <w:rFonts w:ascii="Calibri" w:eastAsia="Calibri" w:hAnsi="Calibri" w:cs="Calibri"/>
          <w:b/>
          <w:bCs/>
        </w:rPr>
      </w:pPr>
    </w:p>
    <w:p w14:paraId="70A35C17" w14:textId="66933FCB" w:rsidR="00B91829" w:rsidRPr="00A84A77" w:rsidRDefault="00B91829" w:rsidP="00A84A77">
      <w:pPr>
        <w:spacing w:after="160"/>
        <w:rPr>
          <w:rFonts w:ascii="Calibri" w:eastAsia="Calibri" w:hAnsi="Calibri" w:cs="Calibri"/>
        </w:rPr>
      </w:pPr>
      <w:r w:rsidRPr="00A84A77">
        <w:rPr>
          <w:rFonts w:ascii="Calibri" w:eastAsia="Calibri" w:hAnsi="Calibri" w:cs="Calibri"/>
        </w:rPr>
        <w:t xml:space="preserve">As discussed above the Applicant anticipates that demand for MRI services will continue to grow into the future. Projected demand is based on several factors including, but not limited to, the historic trends and downtime, a growing and aging population, BMC’s status as a </w:t>
      </w:r>
      <w:r w:rsidR="006B477C" w:rsidRPr="00A84A77">
        <w:rPr>
          <w:rFonts w:ascii="Calibri" w:eastAsia="Calibri" w:hAnsi="Calibri" w:cs="Calibri"/>
        </w:rPr>
        <w:t xml:space="preserve">HSN </w:t>
      </w:r>
      <w:r w:rsidRPr="00A84A77">
        <w:rPr>
          <w:rFonts w:ascii="Calibri" w:eastAsia="Calibri" w:hAnsi="Calibri" w:cs="Calibri"/>
        </w:rPr>
        <w:t xml:space="preserve">hospital, and the Hospital’s plans to implement approved DoN Project #BMCHS-22080908-HE for expansion of its inpatient services. </w:t>
      </w:r>
    </w:p>
    <w:p w14:paraId="4610C6E1" w14:textId="1B95BCC4" w:rsidR="00B91829" w:rsidRPr="00B91829" w:rsidRDefault="00B91829" w:rsidP="00A84A77">
      <w:pPr>
        <w:spacing w:after="160"/>
        <w:rPr>
          <w:rFonts w:ascii="Calibri" w:eastAsia="Calibri" w:hAnsi="Calibri" w:cs="Calibri"/>
          <w:sz w:val="22"/>
          <w:szCs w:val="22"/>
        </w:rPr>
      </w:pPr>
      <w:r w:rsidRPr="00B15D07">
        <w:rPr>
          <w:rFonts w:ascii="Calibri" w:eastAsia="Calibri" w:hAnsi="Calibri" w:cs="Calibri"/>
        </w:rPr>
        <w:t xml:space="preserve">Table </w:t>
      </w:r>
      <w:r w:rsidR="00B15D07" w:rsidRPr="00B15D07">
        <w:rPr>
          <w:rFonts w:ascii="Calibri" w:eastAsia="Calibri" w:hAnsi="Calibri" w:cs="Calibri"/>
        </w:rPr>
        <w:t>5</w:t>
      </w:r>
      <w:r w:rsidRPr="00B91829">
        <w:rPr>
          <w:rFonts w:ascii="Calibri" w:eastAsia="Calibri" w:hAnsi="Calibri" w:cs="Calibri"/>
        </w:rPr>
        <w:t xml:space="preserve"> provides the Hospital’s five-year MRI Scan Volumes following implementation of the Proposed Project. Specifically, the Hospital anticipates that the additional MRI unit, which will expand capacity for inpatient scans and operate thirteen (13) hours per day, seven (7) days per week</w:t>
      </w:r>
      <w:r w:rsidRPr="00B91829">
        <w:rPr>
          <w:rFonts w:ascii="Calibri" w:eastAsia="Calibri" w:hAnsi="Calibri" w:cs="Calibri"/>
          <w:vertAlign w:val="superscript"/>
        </w:rPr>
        <w:footnoteReference w:id="34"/>
      </w:r>
      <w:r w:rsidRPr="00B91829">
        <w:rPr>
          <w:rFonts w:ascii="Calibri" w:eastAsia="Calibri" w:hAnsi="Calibri" w:cs="Calibri"/>
        </w:rPr>
        <w:t xml:space="preserve"> for outpatient referrals, thereby allowing for approximately 8,300 more MRI scans per year; this is approximately a 29% increase in MRI capacity. The surge in volume coincides with the anticipated increased demand due to the opening of the </w:t>
      </w:r>
      <w:r w:rsidR="000C2A62">
        <w:rPr>
          <w:rFonts w:ascii="Calibri" w:eastAsia="Calibri" w:hAnsi="Calibri" w:cs="Calibri"/>
        </w:rPr>
        <w:t>70</w:t>
      </w:r>
      <w:r w:rsidRPr="00B91829">
        <w:rPr>
          <w:rFonts w:ascii="Calibri" w:eastAsia="Calibri" w:hAnsi="Calibri" w:cs="Calibri"/>
        </w:rPr>
        <w:t xml:space="preserve"> inpatient beds and ORs, and with reducing the outpatient backload. By year three demand is expected to level off for outpatient and ED services. By year four, volume is projected to stabilize for inpatient MRI demand. </w:t>
      </w:r>
    </w:p>
    <w:p w14:paraId="0CAA8E91" w14:textId="12C0D7B9" w:rsidR="00B91829" w:rsidRPr="00B91829" w:rsidRDefault="00B91829" w:rsidP="00B91829">
      <w:pPr>
        <w:spacing w:after="160" w:line="259" w:lineRule="auto"/>
        <w:jc w:val="center"/>
        <w:rPr>
          <w:rFonts w:ascii="Calibri" w:eastAsia="Calibri" w:hAnsi="Calibri" w:cs="Calibri"/>
          <w:sz w:val="22"/>
          <w:szCs w:val="22"/>
        </w:rPr>
      </w:pPr>
      <w:r w:rsidRPr="00B15D07">
        <w:rPr>
          <w:rFonts w:ascii="Calibri" w:hAnsi="Calibri" w:cs="Calibri"/>
          <w:b/>
          <w:bCs/>
        </w:rPr>
        <w:t xml:space="preserve">Table </w:t>
      </w:r>
      <w:r w:rsidR="00B15D07">
        <w:rPr>
          <w:rFonts w:ascii="Calibri" w:hAnsi="Calibri" w:cs="Calibri"/>
          <w:b/>
          <w:bCs/>
        </w:rPr>
        <w:t>5</w:t>
      </w:r>
      <w:r w:rsidRPr="00B15D07">
        <w:rPr>
          <w:rFonts w:ascii="Calibri" w:hAnsi="Calibri" w:cs="Calibri"/>
          <w:b/>
          <w:bCs/>
        </w:rPr>
        <w:t>:</w:t>
      </w:r>
      <w:r w:rsidRPr="00B91829">
        <w:rPr>
          <w:rFonts w:ascii="Calibri" w:hAnsi="Calibri" w:cs="Calibri"/>
          <w:b/>
          <w:bCs/>
        </w:rPr>
        <w:t xml:space="preserve"> BMC Projected MRI Scan Volume</w:t>
      </w:r>
    </w:p>
    <w:tbl>
      <w:tblPr>
        <w:tblW w:w="9835" w:type="dxa"/>
        <w:tblInd w:w="85" w:type="dxa"/>
        <w:tblLook w:val="04A0" w:firstRow="1" w:lastRow="0" w:firstColumn="1" w:lastColumn="0" w:noHBand="0" w:noVBand="1"/>
      </w:tblPr>
      <w:tblGrid>
        <w:gridCol w:w="1313"/>
        <w:gridCol w:w="918"/>
        <w:gridCol w:w="956"/>
        <w:gridCol w:w="918"/>
        <w:gridCol w:w="1008"/>
        <w:gridCol w:w="919"/>
        <w:gridCol w:w="957"/>
        <w:gridCol w:w="919"/>
        <w:gridCol w:w="1008"/>
        <w:gridCol w:w="919"/>
      </w:tblGrid>
      <w:tr w:rsidR="00B91829" w:rsidRPr="00B91829" w14:paraId="08B4475A" w14:textId="77777777" w:rsidTr="00F921F3">
        <w:trPr>
          <w:cantSplit/>
          <w:trHeight w:val="310"/>
          <w:tblHeader/>
        </w:trPr>
        <w:tc>
          <w:tcPr>
            <w:tcW w:w="1228"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062C089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Category</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6251B635"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FY24</w:t>
            </w:r>
          </w:p>
        </w:tc>
        <w:tc>
          <w:tcPr>
            <w:tcW w:w="958" w:type="dxa"/>
            <w:tcBorders>
              <w:top w:val="single" w:sz="4" w:space="0" w:color="auto"/>
              <w:left w:val="nil"/>
              <w:bottom w:val="single" w:sz="4" w:space="0" w:color="auto"/>
              <w:right w:val="single" w:sz="4" w:space="0" w:color="auto"/>
            </w:tcBorders>
            <w:shd w:val="clear" w:color="auto" w:fill="E5FFFF"/>
            <w:vAlign w:val="center"/>
            <w:hideMark/>
          </w:tcPr>
          <w:p w14:paraId="73C8020B"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B03445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FY25</w:t>
            </w:r>
          </w:p>
        </w:tc>
        <w:tc>
          <w:tcPr>
            <w:tcW w:w="1008" w:type="dxa"/>
            <w:tcBorders>
              <w:top w:val="single" w:sz="4" w:space="0" w:color="auto"/>
              <w:left w:val="nil"/>
              <w:bottom w:val="single" w:sz="4" w:space="0" w:color="auto"/>
              <w:right w:val="single" w:sz="4" w:space="0" w:color="auto"/>
            </w:tcBorders>
            <w:shd w:val="clear" w:color="auto" w:fill="E5FFFF"/>
            <w:vAlign w:val="center"/>
            <w:hideMark/>
          </w:tcPr>
          <w:p w14:paraId="2761066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 </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03EBC76"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FY26</w:t>
            </w:r>
          </w:p>
        </w:tc>
        <w:tc>
          <w:tcPr>
            <w:tcW w:w="958" w:type="dxa"/>
            <w:tcBorders>
              <w:top w:val="single" w:sz="4" w:space="0" w:color="auto"/>
              <w:left w:val="nil"/>
              <w:bottom w:val="single" w:sz="4" w:space="0" w:color="auto"/>
              <w:right w:val="single" w:sz="4" w:space="0" w:color="auto"/>
            </w:tcBorders>
            <w:shd w:val="clear" w:color="auto" w:fill="E5FFFF"/>
            <w:vAlign w:val="center"/>
            <w:hideMark/>
          </w:tcPr>
          <w:p w14:paraId="11D0D310"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 Change</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133DB846"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FY27</w:t>
            </w:r>
          </w:p>
        </w:tc>
        <w:tc>
          <w:tcPr>
            <w:tcW w:w="1008" w:type="dxa"/>
            <w:tcBorders>
              <w:top w:val="single" w:sz="4" w:space="0" w:color="auto"/>
              <w:left w:val="nil"/>
              <w:bottom w:val="single" w:sz="4" w:space="0" w:color="auto"/>
              <w:right w:val="single" w:sz="4" w:space="0" w:color="auto"/>
            </w:tcBorders>
            <w:shd w:val="clear" w:color="auto" w:fill="E5FFFF"/>
            <w:vAlign w:val="center"/>
            <w:hideMark/>
          </w:tcPr>
          <w:p w14:paraId="41D31665"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 </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A0EE6AC"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FY28</w:t>
            </w:r>
          </w:p>
        </w:tc>
      </w:tr>
      <w:tr w:rsidR="00B91829" w:rsidRPr="00B91829" w14:paraId="4EDA1650"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7220CA2"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Inpatient</w:t>
            </w:r>
          </w:p>
        </w:tc>
        <w:tc>
          <w:tcPr>
            <w:tcW w:w="935" w:type="dxa"/>
            <w:tcBorders>
              <w:top w:val="nil"/>
              <w:left w:val="nil"/>
              <w:bottom w:val="single" w:sz="4" w:space="0" w:color="auto"/>
              <w:right w:val="single" w:sz="4" w:space="0" w:color="auto"/>
            </w:tcBorders>
            <w:shd w:val="clear" w:color="auto" w:fill="auto"/>
            <w:vAlign w:val="center"/>
            <w:hideMark/>
          </w:tcPr>
          <w:p w14:paraId="404B5A86"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5,091</w:t>
            </w:r>
          </w:p>
        </w:tc>
        <w:tc>
          <w:tcPr>
            <w:tcW w:w="958" w:type="dxa"/>
            <w:tcBorders>
              <w:top w:val="nil"/>
              <w:left w:val="nil"/>
              <w:bottom w:val="single" w:sz="4" w:space="0" w:color="auto"/>
              <w:right w:val="single" w:sz="4" w:space="0" w:color="auto"/>
            </w:tcBorders>
            <w:shd w:val="clear" w:color="auto" w:fill="auto"/>
            <w:vAlign w:val="center"/>
            <w:hideMark/>
          </w:tcPr>
          <w:p w14:paraId="25DC9EF2"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22.0%</w:t>
            </w:r>
          </w:p>
        </w:tc>
        <w:tc>
          <w:tcPr>
            <w:tcW w:w="935" w:type="dxa"/>
            <w:tcBorders>
              <w:top w:val="nil"/>
              <w:left w:val="nil"/>
              <w:bottom w:val="single" w:sz="4" w:space="0" w:color="auto"/>
              <w:right w:val="single" w:sz="4" w:space="0" w:color="auto"/>
            </w:tcBorders>
            <w:shd w:val="clear" w:color="auto" w:fill="auto"/>
            <w:vAlign w:val="center"/>
            <w:hideMark/>
          </w:tcPr>
          <w:p w14:paraId="1BCA82B5"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6,212</w:t>
            </w:r>
          </w:p>
        </w:tc>
        <w:tc>
          <w:tcPr>
            <w:tcW w:w="1008" w:type="dxa"/>
            <w:tcBorders>
              <w:top w:val="nil"/>
              <w:left w:val="nil"/>
              <w:bottom w:val="single" w:sz="4" w:space="0" w:color="auto"/>
              <w:right w:val="single" w:sz="4" w:space="0" w:color="auto"/>
            </w:tcBorders>
            <w:shd w:val="clear" w:color="auto" w:fill="auto"/>
            <w:vAlign w:val="center"/>
            <w:hideMark/>
          </w:tcPr>
          <w:p w14:paraId="43051699"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1.7%</w:t>
            </w:r>
          </w:p>
        </w:tc>
        <w:tc>
          <w:tcPr>
            <w:tcW w:w="935" w:type="dxa"/>
            <w:tcBorders>
              <w:top w:val="nil"/>
              <w:left w:val="nil"/>
              <w:bottom w:val="single" w:sz="4" w:space="0" w:color="auto"/>
              <w:right w:val="single" w:sz="4" w:space="0" w:color="auto"/>
            </w:tcBorders>
            <w:shd w:val="clear" w:color="auto" w:fill="auto"/>
            <w:vAlign w:val="center"/>
            <w:hideMark/>
          </w:tcPr>
          <w:p w14:paraId="3540B1F1"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6,316</w:t>
            </w:r>
          </w:p>
        </w:tc>
        <w:tc>
          <w:tcPr>
            <w:tcW w:w="958" w:type="dxa"/>
            <w:tcBorders>
              <w:top w:val="nil"/>
              <w:left w:val="nil"/>
              <w:bottom w:val="single" w:sz="4" w:space="0" w:color="auto"/>
              <w:right w:val="single" w:sz="4" w:space="0" w:color="auto"/>
            </w:tcBorders>
            <w:shd w:val="clear" w:color="auto" w:fill="auto"/>
            <w:vAlign w:val="center"/>
            <w:hideMark/>
          </w:tcPr>
          <w:p w14:paraId="0DF73389"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9.7%</w:t>
            </w:r>
          </w:p>
        </w:tc>
        <w:tc>
          <w:tcPr>
            <w:tcW w:w="935" w:type="dxa"/>
            <w:tcBorders>
              <w:top w:val="nil"/>
              <w:left w:val="nil"/>
              <w:bottom w:val="single" w:sz="4" w:space="0" w:color="auto"/>
              <w:right w:val="single" w:sz="4" w:space="0" w:color="auto"/>
            </w:tcBorders>
            <w:shd w:val="clear" w:color="auto" w:fill="auto"/>
            <w:vAlign w:val="center"/>
            <w:hideMark/>
          </w:tcPr>
          <w:p w14:paraId="5F80BF19"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6,929</w:t>
            </w:r>
          </w:p>
        </w:tc>
        <w:tc>
          <w:tcPr>
            <w:tcW w:w="1008" w:type="dxa"/>
            <w:tcBorders>
              <w:top w:val="nil"/>
              <w:left w:val="nil"/>
              <w:bottom w:val="single" w:sz="4" w:space="0" w:color="auto"/>
              <w:right w:val="single" w:sz="4" w:space="0" w:color="auto"/>
            </w:tcBorders>
            <w:shd w:val="clear" w:color="auto" w:fill="auto"/>
            <w:vAlign w:val="center"/>
            <w:hideMark/>
          </w:tcPr>
          <w:p w14:paraId="693001FD"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71C933EE"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6,929</w:t>
            </w:r>
          </w:p>
        </w:tc>
      </w:tr>
      <w:tr w:rsidR="00B91829" w:rsidRPr="00B91829" w14:paraId="6FF3CD75"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1F96E7C9"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Outpatient</w:t>
            </w:r>
          </w:p>
        </w:tc>
        <w:tc>
          <w:tcPr>
            <w:tcW w:w="935" w:type="dxa"/>
            <w:tcBorders>
              <w:top w:val="nil"/>
              <w:left w:val="nil"/>
              <w:bottom w:val="single" w:sz="4" w:space="0" w:color="auto"/>
              <w:right w:val="single" w:sz="4" w:space="0" w:color="auto"/>
            </w:tcBorders>
            <w:shd w:val="clear" w:color="auto" w:fill="auto"/>
            <w:vAlign w:val="center"/>
            <w:hideMark/>
          </w:tcPr>
          <w:p w14:paraId="7B46D2F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17,692</w:t>
            </w:r>
          </w:p>
        </w:tc>
        <w:tc>
          <w:tcPr>
            <w:tcW w:w="958" w:type="dxa"/>
            <w:tcBorders>
              <w:top w:val="nil"/>
              <w:left w:val="nil"/>
              <w:bottom w:val="single" w:sz="4" w:space="0" w:color="auto"/>
              <w:right w:val="single" w:sz="4" w:space="0" w:color="auto"/>
            </w:tcBorders>
            <w:shd w:val="clear" w:color="auto" w:fill="auto"/>
            <w:vAlign w:val="center"/>
            <w:hideMark/>
          </w:tcPr>
          <w:p w14:paraId="67197DB1"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24.2%</w:t>
            </w:r>
          </w:p>
        </w:tc>
        <w:tc>
          <w:tcPr>
            <w:tcW w:w="935" w:type="dxa"/>
            <w:tcBorders>
              <w:top w:val="nil"/>
              <w:left w:val="nil"/>
              <w:bottom w:val="single" w:sz="4" w:space="0" w:color="auto"/>
              <w:right w:val="single" w:sz="4" w:space="0" w:color="auto"/>
            </w:tcBorders>
            <w:shd w:val="clear" w:color="auto" w:fill="auto"/>
            <w:vAlign w:val="center"/>
            <w:hideMark/>
          </w:tcPr>
          <w:p w14:paraId="57F7CF48"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21,966</w:t>
            </w:r>
          </w:p>
        </w:tc>
        <w:tc>
          <w:tcPr>
            <w:tcW w:w="1008" w:type="dxa"/>
            <w:tcBorders>
              <w:top w:val="nil"/>
              <w:left w:val="nil"/>
              <w:bottom w:val="single" w:sz="4" w:space="0" w:color="auto"/>
              <w:right w:val="single" w:sz="4" w:space="0" w:color="auto"/>
            </w:tcBorders>
            <w:shd w:val="clear" w:color="auto" w:fill="auto"/>
            <w:vAlign w:val="center"/>
            <w:hideMark/>
          </w:tcPr>
          <w:p w14:paraId="58D7F125"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3.6%</w:t>
            </w:r>
          </w:p>
        </w:tc>
        <w:tc>
          <w:tcPr>
            <w:tcW w:w="935" w:type="dxa"/>
            <w:tcBorders>
              <w:top w:val="nil"/>
              <w:left w:val="nil"/>
              <w:bottom w:val="single" w:sz="4" w:space="0" w:color="auto"/>
              <w:right w:val="single" w:sz="4" w:space="0" w:color="auto"/>
            </w:tcBorders>
            <w:shd w:val="clear" w:color="auto" w:fill="auto"/>
            <w:vAlign w:val="center"/>
            <w:hideMark/>
          </w:tcPr>
          <w:p w14:paraId="6F4AF92C"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22,753</w:t>
            </w:r>
          </w:p>
        </w:tc>
        <w:tc>
          <w:tcPr>
            <w:tcW w:w="958" w:type="dxa"/>
            <w:tcBorders>
              <w:top w:val="nil"/>
              <w:left w:val="nil"/>
              <w:bottom w:val="single" w:sz="4" w:space="0" w:color="auto"/>
              <w:right w:val="single" w:sz="4" w:space="0" w:color="auto"/>
            </w:tcBorders>
            <w:shd w:val="clear" w:color="auto" w:fill="auto"/>
            <w:vAlign w:val="center"/>
            <w:hideMark/>
          </w:tcPr>
          <w:p w14:paraId="2A45F9EF"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1.2%</w:t>
            </w:r>
          </w:p>
        </w:tc>
        <w:tc>
          <w:tcPr>
            <w:tcW w:w="935" w:type="dxa"/>
            <w:tcBorders>
              <w:top w:val="nil"/>
              <w:left w:val="nil"/>
              <w:bottom w:val="single" w:sz="4" w:space="0" w:color="auto"/>
              <w:right w:val="single" w:sz="4" w:space="0" w:color="auto"/>
            </w:tcBorders>
            <w:shd w:val="clear" w:color="auto" w:fill="auto"/>
            <w:vAlign w:val="center"/>
            <w:hideMark/>
          </w:tcPr>
          <w:p w14:paraId="5991FD7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23,015</w:t>
            </w:r>
          </w:p>
        </w:tc>
        <w:tc>
          <w:tcPr>
            <w:tcW w:w="1008" w:type="dxa"/>
            <w:tcBorders>
              <w:top w:val="nil"/>
              <w:left w:val="nil"/>
              <w:bottom w:val="single" w:sz="4" w:space="0" w:color="auto"/>
              <w:right w:val="single" w:sz="4" w:space="0" w:color="auto"/>
            </w:tcBorders>
            <w:shd w:val="clear" w:color="auto" w:fill="auto"/>
            <w:vAlign w:val="center"/>
            <w:hideMark/>
          </w:tcPr>
          <w:p w14:paraId="50B6C967"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0F594D36"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23,015</w:t>
            </w:r>
          </w:p>
        </w:tc>
      </w:tr>
      <w:tr w:rsidR="00B91829" w:rsidRPr="00B91829" w14:paraId="061B19C1"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771DEE39"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Emergency</w:t>
            </w:r>
          </w:p>
        </w:tc>
        <w:tc>
          <w:tcPr>
            <w:tcW w:w="935" w:type="dxa"/>
            <w:tcBorders>
              <w:top w:val="nil"/>
              <w:left w:val="nil"/>
              <w:bottom w:val="single" w:sz="4" w:space="0" w:color="auto"/>
              <w:right w:val="single" w:sz="4" w:space="0" w:color="auto"/>
            </w:tcBorders>
            <w:shd w:val="clear" w:color="auto" w:fill="auto"/>
            <w:vAlign w:val="center"/>
            <w:hideMark/>
          </w:tcPr>
          <w:p w14:paraId="5248F020"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2,451</w:t>
            </w:r>
          </w:p>
        </w:tc>
        <w:tc>
          <w:tcPr>
            <w:tcW w:w="958" w:type="dxa"/>
            <w:tcBorders>
              <w:top w:val="nil"/>
              <w:left w:val="nil"/>
              <w:bottom w:val="single" w:sz="4" w:space="0" w:color="auto"/>
              <w:right w:val="single" w:sz="4" w:space="0" w:color="auto"/>
            </w:tcBorders>
            <w:shd w:val="clear" w:color="auto" w:fill="auto"/>
            <w:vAlign w:val="center"/>
            <w:hideMark/>
          </w:tcPr>
          <w:p w14:paraId="5330D95C"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4.0%</w:t>
            </w:r>
          </w:p>
        </w:tc>
        <w:tc>
          <w:tcPr>
            <w:tcW w:w="935" w:type="dxa"/>
            <w:tcBorders>
              <w:top w:val="nil"/>
              <w:left w:val="nil"/>
              <w:bottom w:val="single" w:sz="4" w:space="0" w:color="auto"/>
              <w:right w:val="single" w:sz="4" w:space="0" w:color="auto"/>
            </w:tcBorders>
            <w:shd w:val="clear" w:color="auto" w:fill="auto"/>
            <w:vAlign w:val="center"/>
            <w:hideMark/>
          </w:tcPr>
          <w:p w14:paraId="140F812E"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2,550</w:t>
            </w:r>
          </w:p>
        </w:tc>
        <w:tc>
          <w:tcPr>
            <w:tcW w:w="1008" w:type="dxa"/>
            <w:tcBorders>
              <w:top w:val="nil"/>
              <w:left w:val="nil"/>
              <w:bottom w:val="single" w:sz="4" w:space="0" w:color="auto"/>
              <w:right w:val="single" w:sz="4" w:space="0" w:color="auto"/>
            </w:tcBorders>
            <w:shd w:val="clear" w:color="auto" w:fill="auto"/>
            <w:vAlign w:val="center"/>
            <w:hideMark/>
          </w:tcPr>
          <w:p w14:paraId="31DB84A0"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2.0%</w:t>
            </w:r>
          </w:p>
        </w:tc>
        <w:tc>
          <w:tcPr>
            <w:tcW w:w="935" w:type="dxa"/>
            <w:tcBorders>
              <w:top w:val="nil"/>
              <w:left w:val="nil"/>
              <w:bottom w:val="single" w:sz="4" w:space="0" w:color="auto"/>
              <w:right w:val="single" w:sz="4" w:space="0" w:color="auto"/>
            </w:tcBorders>
            <w:shd w:val="clear" w:color="auto" w:fill="auto"/>
            <w:vAlign w:val="center"/>
            <w:hideMark/>
          </w:tcPr>
          <w:p w14:paraId="4D7BA978"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2,601</w:t>
            </w:r>
          </w:p>
        </w:tc>
        <w:tc>
          <w:tcPr>
            <w:tcW w:w="958" w:type="dxa"/>
            <w:tcBorders>
              <w:top w:val="nil"/>
              <w:left w:val="nil"/>
              <w:bottom w:val="single" w:sz="4" w:space="0" w:color="auto"/>
              <w:right w:val="single" w:sz="4" w:space="0" w:color="auto"/>
            </w:tcBorders>
            <w:shd w:val="clear" w:color="auto" w:fill="auto"/>
            <w:vAlign w:val="center"/>
            <w:hideMark/>
          </w:tcPr>
          <w:p w14:paraId="1C21350A"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2.0%</w:t>
            </w:r>
          </w:p>
        </w:tc>
        <w:tc>
          <w:tcPr>
            <w:tcW w:w="935" w:type="dxa"/>
            <w:tcBorders>
              <w:top w:val="nil"/>
              <w:left w:val="nil"/>
              <w:bottom w:val="single" w:sz="4" w:space="0" w:color="auto"/>
              <w:right w:val="single" w:sz="4" w:space="0" w:color="auto"/>
            </w:tcBorders>
            <w:shd w:val="clear" w:color="auto" w:fill="auto"/>
            <w:vAlign w:val="center"/>
            <w:hideMark/>
          </w:tcPr>
          <w:p w14:paraId="40FC8F4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2,653</w:t>
            </w:r>
          </w:p>
        </w:tc>
        <w:tc>
          <w:tcPr>
            <w:tcW w:w="1008" w:type="dxa"/>
            <w:tcBorders>
              <w:top w:val="nil"/>
              <w:left w:val="nil"/>
              <w:bottom w:val="single" w:sz="4" w:space="0" w:color="auto"/>
              <w:right w:val="single" w:sz="4" w:space="0" w:color="auto"/>
            </w:tcBorders>
            <w:shd w:val="clear" w:color="auto" w:fill="auto"/>
            <w:vAlign w:val="center"/>
            <w:hideMark/>
          </w:tcPr>
          <w:p w14:paraId="341298E6"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4880892B"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2,653</w:t>
            </w:r>
          </w:p>
        </w:tc>
      </w:tr>
      <w:tr w:rsidR="00B91829" w:rsidRPr="00B91829" w14:paraId="23F9B991"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58B7C080"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Total</w:t>
            </w:r>
          </w:p>
        </w:tc>
        <w:tc>
          <w:tcPr>
            <w:tcW w:w="935" w:type="dxa"/>
            <w:tcBorders>
              <w:top w:val="nil"/>
              <w:left w:val="nil"/>
              <w:bottom w:val="single" w:sz="4" w:space="0" w:color="auto"/>
              <w:right w:val="single" w:sz="4" w:space="0" w:color="auto"/>
            </w:tcBorders>
            <w:shd w:val="clear" w:color="auto" w:fill="auto"/>
            <w:vAlign w:val="center"/>
            <w:hideMark/>
          </w:tcPr>
          <w:p w14:paraId="1C60E1F8"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25,234</w:t>
            </w:r>
          </w:p>
        </w:tc>
        <w:tc>
          <w:tcPr>
            <w:tcW w:w="958" w:type="dxa"/>
            <w:tcBorders>
              <w:top w:val="nil"/>
              <w:left w:val="nil"/>
              <w:bottom w:val="single" w:sz="4" w:space="0" w:color="auto"/>
              <w:right w:val="single" w:sz="4" w:space="0" w:color="auto"/>
            </w:tcBorders>
            <w:shd w:val="clear" w:color="auto" w:fill="auto"/>
            <w:vAlign w:val="center"/>
            <w:hideMark/>
          </w:tcPr>
          <w:p w14:paraId="4BC9970C"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21.8%</w:t>
            </w:r>
          </w:p>
        </w:tc>
        <w:tc>
          <w:tcPr>
            <w:tcW w:w="935" w:type="dxa"/>
            <w:tcBorders>
              <w:top w:val="nil"/>
              <w:left w:val="nil"/>
              <w:bottom w:val="single" w:sz="4" w:space="0" w:color="auto"/>
              <w:right w:val="single" w:sz="4" w:space="0" w:color="auto"/>
            </w:tcBorders>
            <w:shd w:val="clear" w:color="auto" w:fill="auto"/>
            <w:vAlign w:val="center"/>
            <w:hideMark/>
          </w:tcPr>
          <w:p w14:paraId="0FB48ACB"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30,728</w:t>
            </w:r>
          </w:p>
        </w:tc>
        <w:tc>
          <w:tcPr>
            <w:tcW w:w="1008" w:type="dxa"/>
            <w:tcBorders>
              <w:top w:val="nil"/>
              <w:left w:val="nil"/>
              <w:bottom w:val="single" w:sz="4" w:space="0" w:color="auto"/>
              <w:right w:val="single" w:sz="4" w:space="0" w:color="auto"/>
            </w:tcBorders>
            <w:shd w:val="clear" w:color="auto" w:fill="auto"/>
            <w:vAlign w:val="center"/>
            <w:hideMark/>
          </w:tcPr>
          <w:p w14:paraId="1C3D42A6"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3.1%</w:t>
            </w:r>
          </w:p>
        </w:tc>
        <w:tc>
          <w:tcPr>
            <w:tcW w:w="935" w:type="dxa"/>
            <w:tcBorders>
              <w:top w:val="nil"/>
              <w:left w:val="nil"/>
              <w:bottom w:val="single" w:sz="4" w:space="0" w:color="auto"/>
              <w:right w:val="single" w:sz="4" w:space="0" w:color="auto"/>
            </w:tcBorders>
            <w:shd w:val="clear" w:color="auto" w:fill="auto"/>
            <w:vAlign w:val="center"/>
            <w:hideMark/>
          </w:tcPr>
          <w:p w14:paraId="753296EB"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31,670</w:t>
            </w:r>
          </w:p>
        </w:tc>
        <w:tc>
          <w:tcPr>
            <w:tcW w:w="958" w:type="dxa"/>
            <w:tcBorders>
              <w:top w:val="nil"/>
              <w:left w:val="nil"/>
              <w:bottom w:val="single" w:sz="4" w:space="0" w:color="auto"/>
              <w:right w:val="single" w:sz="4" w:space="0" w:color="auto"/>
            </w:tcBorders>
            <w:shd w:val="clear" w:color="auto" w:fill="auto"/>
            <w:vAlign w:val="center"/>
            <w:hideMark/>
          </w:tcPr>
          <w:p w14:paraId="30D4B38D"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2.9%</w:t>
            </w:r>
          </w:p>
        </w:tc>
        <w:tc>
          <w:tcPr>
            <w:tcW w:w="935" w:type="dxa"/>
            <w:tcBorders>
              <w:top w:val="nil"/>
              <w:left w:val="nil"/>
              <w:bottom w:val="single" w:sz="4" w:space="0" w:color="auto"/>
              <w:right w:val="single" w:sz="4" w:space="0" w:color="auto"/>
            </w:tcBorders>
            <w:shd w:val="clear" w:color="auto" w:fill="auto"/>
            <w:vAlign w:val="center"/>
            <w:hideMark/>
          </w:tcPr>
          <w:p w14:paraId="6AF8FD90"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32,597</w:t>
            </w:r>
          </w:p>
        </w:tc>
        <w:tc>
          <w:tcPr>
            <w:tcW w:w="1008" w:type="dxa"/>
            <w:tcBorders>
              <w:top w:val="nil"/>
              <w:left w:val="nil"/>
              <w:bottom w:val="single" w:sz="4" w:space="0" w:color="auto"/>
              <w:right w:val="single" w:sz="4" w:space="0" w:color="auto"/>
            </w:tcBorders>
            <w:shd w:val="clear" w:color="auto" w:fill="auto"/>
            <w:vAlign w:val="center"/>
            <w:hideMark/>
          </w:tcPr>
          <w:p w14:paraId="6D24793E"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2B4C2A26"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32,597</w:t>
            </w:r>
          </w:p>
        </w:tc>
      </w:tr>
    </w:tbl>
    <w:p w14:paraId="3E50A746" w14:textId="77777777" w:rsidR="00B91829" w:rsidRPr="00B91829" w:rsidRDefault="00B91829" w:rsidP="00B91829">
      <w:pPr>
        <w:spacing w:after="160" w:line="259" w:lineRule="auto"/>
        <w:rPr>
          <w:rFonts w:ascii="Calibri" w:eastAsia="Calibri" w:hAnsi="Calibri" w:cs="Calibri"/>
          <w:sz w:val="22"/>
          <w:szCs w:val="22"/>
        </w:rPr>
      </w:pPr>
    </w:p>
    <w:p w14:paraId="79D2317A" w14:textId="77777777" w:rsidR="00B91829" w:rsidRPr="00B91829" w:rsidRDefault="00B91829" w:rsidP="00B91829">
      <w:pPr>
        <w:spacing w:after="160" w:line="259" w:lineRule="auto"/>
        <w:rPr>
          <w:rFonts w:ascii="Calibri" w:eastAsia="Calibri" w:hAnsi="Calibri" w:cs="Calibri"/>
          <w:b/>
          <w:bCs/>
          <w:i/>
          <w:iCs/>
        </w:rPr>
      </w:pPr>
      <w:r w:rsidRPr="00B91829">
        <w:rPr>
          <w:rFonts w:ascii="Calibri" w:eastAsia="Calibri" w:hAnsi="Calibri" w:cs="Calibri"/>
          <w:b/>
          <w:bCs/>
          <w:i/>
          <w:iCs/>
        </w:rPr>
        <w:t>Analysis</w:t>
      </w:r>
    </w:p>
    <w:p w14:paraId="61BE880E" w14:textId="68307A53" w:rsidR="00C42431" w:rsidRPr="00E26D87" w:rsidRDefault="00B91829" w:rsidP="00A84A77">
      <w:pPr>
        <w:spacing w:after="160"/>
        <w:rPr>
          <w:rFonts w:ascii="Calibri" w:eastAsia="Calibri" w:hAnsi="Calibri" w:cs="Calibri"/>
        </w:rPr>
      </w:pPr>
      <w:r w:rsidRPr="00B91829">
        <w:rPr>
          <w:rFonts w:ascii="Calibri" w:eastAsia="Calibri" w:hAnsi="Calibri" w:cs="Calibri"/>
        </w:rPr>
        <w:t xml:space="preserve">The expansion of MRI services will accommodate BMC’s patient growth, particularly with regard to patients 65+; ensure the provision of equitable care to BMC’s diverse population by facilitating timely access to quality imaging services at one of New England’s largest </w:t>
      </w:r>
      <w:r w:rsidR="006B477C">
        <w:rPr>
          <w:rFonts w:ascii="Calibri" w:eastAsia="Calibri" w:hAnsi="Calibri" w:cs="Calibri"/>
        </w:rPr>
        <w:t>HSN</w:t>
      </w:r>
      <w:r w:rsidRPr="00B91829">
        <w:rPr>
          <w:rFonts w:ascii="Calibri" w:eastAsia="Calibri" w:hAnsi="Calibri" w:cs="Calibri"/>
        </w:rPr>
        <w:t xml:space="preserve"> hospitals</w:t>
      </w:r>
      <w:r w:rsidR="00E26D87">
        <w:rPr>
          <w:rFonts w:ascii="Calibri" w:eastAsia="Calibri" w:hAnsi="Calibri" w:cs="Calibri"/>
        </w:rPr>
        <w:t>;</w:t>
      </w:r>
      <w:r w:rsidR="00E26D87">
        <w:rPr>
          <w:rStyle w:val="FootnoteReference"/>
          <w:rFonts w:ascii="Calibri" w:eastAsia="Calibri" w:hAnsi="Calibri" w:cs="Calibri"/>
        </w:rPr>
        <w:footnoteReference w:id="35"/>
      </w:r>
      <w:r w:rsidRPr="00B91829">
        <w:rPr>
          <w:rFonts w:ascii="Calibri" w:eastAsia="Calibri" w:hAnsi="Calibri" w:cs="Calibri"/>
        </w:rPr>
        <w:t xml:space="preserve"> ease the strain on the Hospital’s existing MRI units and help with downtime issues which exacerbate wait times, disrupt patient care, and </w:t>
      </w:r>
      <w:r w:rsidR="00E26D87">
        <w:rPr>
          <w:rFonts w:ascii="Calibri" w:eastAsia="Calibri" w:hAnsi="Calibri" w:cs="Calibri"/>
        </w:rPr>
        <w:t xml:space="preserve">increase migration </w:t>
      </w:r>
      <w:r w:rsidRPr="00B91829">
        <w:rPr>
          <w:rFonts w:ascii="Calibri" w:eastAsia="Calibri" w:hAnsi="Calibri" w:cs="Calibri"/>
        </w:rPr>
        <w:t xml:space="preserve">to higher-cost providers; and accommodate the increased number of inpatient MRI referrals anticipated upon implementation of BMC’s approved inpatient service expansion. </w:t>
      </w:r>
    </w:p>
    <w:p w14:paraId="516E9A32" w14:textId="4C805A1F" w:rsidR="00A43951" w:rsidRPr="00392811" w:rsidRDefault="0BCE6E15" w:rsidP="007A5A6E">
      <w:pPr>
        <w:pStyle w:val="Heading2"/>
        <w:rPr>
          <w:rFonts w:asciiTheme="minorHAnsi" w:hAnsiTheme="minorHAnsi" w:cstheme="minorHAnsi"/>
          <w:color w:val="004F9E"/>
        </w:rPr>
      </w:pPr>
      <w:bookmarkStart w:id="36" w:name="_Toc148704456"/>
      <w:r w:rsidRPr="00392811">
        <w:rPr>
          <w:rFonts w:asciiTheme="minorHAnsi" w:hAnsiTheme="minorHAnsi" w:cstheme="minorHAnsi"/>
          <w:color w:val="004F9E"/>
        </w:rPr>
        <w:lastRenderedPageBreak/>
        <w:t xml:space="preserve">Factor 1: b) </w:t>
      </w:r>
      <w:r w:rsidR="2663829E" w:rsidRPr="00392811">
        <w:rPr>
          <w:rFonts w:asciiTheme="minorHAnsi" w:hAnsiTheme="minorHAnsi" w:cstheme="minorHAnsi"/>
          <w:color w:val="004F9E"/>
        </w:rPr>
        <w:t>P</w:t>
      </w:r>
      <w:r w:rsidRPr="00392811">
        <w:rPr>
          <w:rFonts w:asciiTheme="minorHAnsi" w:hAnsiTheme="minorHAnsi" w:cstheme="minorHAnsi"/>
          <w:color w:val="004F9E"/>
        </w:rPr>
        <w:t>ublic Health Value, Improved Health Outcomes and Quality of Life; Assurances of Health Equity</w:t>
      </w:r>
      <w:bookmarkEnd w:id="36"/>
    </w:p>
    <w:p w14:paraId="7CBEA670" w14:textId="77777777" w:rsidR="00D27467" w:rsidRPr="00392811" w:rsidRDefault="00D27467" w:rsidP="00D27467">
      <w:pPr>
        <w:rPr>
          <w:rFonts w:asciiTheme="minorHAnsi" w:hAnsiTheme="minorHAnsi" w:cstheme="minorHAnsi"/>
        </w:rPr>
      </w:pPr>
    </w:p>
    <w:p w14:paraId="61F73FB3" w14:textId="762E3D34" w:rsidR="00F2081D" w:rsidRDefault="00F2081D" w:rsidP="00F2081D">
      <w:pPr>
        <w:autoSpaceDE w:val="0"/>
        <w:autoSpaceDN w:val="0"/>
        <w:adjustRightInd w:val="0"/>
        <w:rPr>
          <w:rFonts w:asciiTheme="minorHAnsi" w:hAnsiTheme="minorHAnsi" w:cstheme="minorHAnsi"/>
          <w:color w:val="000000"/>
        </w:rPr>
      </w:pPr>
      <w:bookmarkStart w:id="37" w:name="_Toc17149377"/>
      <w:bookmarkStart w:id="38" w:name="_Toc17151181"/>
      <w:bookmarkStart w:id="39" w:name="_Toc18922409"/>
      <w:bookmarkStart w:id="40" w:name="_Toc17151150"/>
      <w:bookmarkStart w:id="41" w:name="_Toc17322394"/>
      <w:bookmarkEnd w:id="28"/>
      <w:bookmarkEnd w:id="29"/>
      <w:bookmarkEnd w:id="30"/>
      <w:bookmarkEnd w:id="31"/>
      <w:bookmarkEnd w:id="32"/>
      <w:r w:rsidRPr="00392811">
        <w:rPr>
          <w:rFonts w:asciiTheme="minorHAnsi" w:hAnsiTheme="minorHAnsi" w:cstheme="minorHAnsi"/>
          <w:color w:val="000000"/>
        </w:rPr>
        <w:t>In</w:t>
      </w:r>
      <w:r w:rsidRPr="00392811">
        <w:rPr>
          <w:rFonts w:asciiTheme="minorHAnsi" w:hAnsiTheme="minorHAnsi" w:cstheme="minorHAnsi"/>
        </w:rPr>
        <w:t xml:space="preserve"> this section staff will assess whether the Proposed Project </w:t>
      </w:r>
      <w:r w:rsidRPr="00392811">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66EEDAC4" w14:textId="77777777" w:rsidR="003657E5" w:rsidRPr="00392811" w:rsidRDefault="003657E5" w:rsidP="00F2081D">
      <w:pPr>
        <w:autoSpaceDE w:val="0"/>
        <w:autoSpaceDN w:val="0"/>
        <w:adjustRightInd w:val="0"/>
        <w:rPr>
          <w:rFonts w:asciiTheme="minorHAnsi" w:hAnsiTheme="minorHAnsi" w:cstheme="minorHAnsi"/>
          <w:color w:val="000000"/>
        </w:rPr>
      </w:pPr>
    </w:p>
    <w:p w14:paraId="5224C4EC" w14:textId="29141489" w:rsidR="00F2081D" w:rsidRPr="0084113B" w:rsidRDefault="00F2081D" w:rsidP="003657E5">
      <w:pPr>
        <w:pStyle w:val="Heading5"/>
        <w:spacing w:before="0"/>
        <w:rPr>
          <w:rFonts w:asciiTheme="minorHAnsi" w:hAnsiTheme="minorHAnsi" w:cstheme="minorHAnsi"/>
        </w:rPr>
      </w:pPr>
      <w:r w:rsidRPr="0084113B">
        <w:rPr>
          <w:rFonts w:asciiTheme="minorHAnsi" w:hAnsiTheme="minorHAnsi" w:cstheme="minorHAnsi"/>
        </w:rPr>
        <w:t>Public Health Value, Health Outcomes, and Quality of Life</w:t>
      </w:r>
    </w:p>
    <w:p w14:paraId="23BAD076" w14:textId="77777777" w:rsidR="007A5A6E" w:rsidRPr="00392811" w:rsidRDefault="007A5A6E" w:rsidP="00F2081D">
      <w:pPr>
        <w:contextualSpacing/>
        <w:rPr>
          <w:rFonts w:asciiTheme="minorHAnsi" w:hAnsiTheme="minorHAnsi" w:cstheme="minorHAnsi"/>
          <w:b/>
          <w:bCs/>
        </w:rPr>
      </w:pPr>
    </w:p>
    <w:p w14:paraId="49031277" w14:textId="12CC30F6" w:rsidR="007A5A6E" w:rsidRPr="00A84A77" w:rsidRDefault="00F2081D"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The Applicant </w:t>
      </w:r>
      <w:r w:rsidR="007A5A6E" w:rsidRPr="00A84A77">
        <w:rPr>
          <w:rFonts w:asciiTheme="minorHAnsi" w:hAnsiTheme="minorHAnsi" w:cstheme="minorHAnsi"/>
        </w:rPr>
        <w:t xml:space="preserve">asserts </w:t>
      </w:r>
      <w:r w:rsidRPr="00A84A77">
        <w:rPr>
          <w:rFonts w:asciiTheme="minorHAnsi" w:hAnsiTheme="minorHAnsi" w:cstheme="minorHAnsi"/>
        </w:rPr>
        <w:t xml:space="preserve">that </w:t>
      </w:r>
      <w:r w:rsidR="005A2FEB" w:rsidRPr="00A84A77">
        <w:rPr>
          <w:rFonts w:asciiTheme="minorHAnsi" w:hAnsiTheme="minorHAnsi" w:cstheme="minorHAnsi"/>
        </w:rPr>
        <w:t>t</w:t>
      </w:r>
      <w:r w:rsidRPr="00A84A77">
        <w:rPr>
          <w:rFonts w:asciiTheme="minorHAnsi" w:hAnsiTheme="minorHAnsi" w:cstheme="minorHAnsi"/>
        </w:rPr>
        <w:t>he Proposed Project will help improve health outcomes and quality of life for the Patient Panel</w:t>
      </w:r>
      <w:r w:rsidR="005A2FEB" w:rsidRPr="00A84A77">
        <w:rPr>
          <w:rFonts w:asciiTheme="minorHAnsi" w:hAnsiTheme="minorHAnsi" w:cstheme="minorHAnsi"/>
        </w:rPr>
        <w:t xml:space="preserve"> by expanding </w:t>
      </w:r>
      <w:r w:rsidR="007A5A6E" w:rsidRPr="00A84A77">
        <w:rPr>
          <w:rFonts w:asciiTheme="minorHAnsi" w:hAnsiTheme="minorHAnsi" w:cstheme="minorHAnsi"/>
        </w:rPr>
        <w:t xml:space="preserve">access to </w:t>
      </w:r>
      <w:r w:rsidR="00CB3A10" w:rsidRPr="00A84A77">
        <w:rPr>
          <w:rFonts w:asciiTheme="minorHAnsi" w:hAnsiTheme="minorHAnsi" w:cstheme="minorHAnsi"/>
        </w:rPr>
        <w:t>much needed MRI</w:t>
      </w:r>
      <w:r w:rsidR="007A5A6E" w:rsidRPr="00A84A77">
        <w:rPr>
          <w:rFonts w:asciiTheme="minorHAnsi" w:hAnsiTheme="minorHAnsi" w:cstheme="minorHAnsi"/>
        </w:rPr>
        <w:t xml:space="preserve"> </w:t>
      </w:r>
      <w:r w:rsidR="005A2FEB" w:rsidRPr="00A84A77">
        <w:rPr>
          <w:rFonts w:asciiTheme="minorHAnsi" w:hAnsiTheme="minorHAnsi" w:cstheme="minorHAnsi"/>
        </w:rPr>
        <w:t>services.</w:t>
      </w:r>
      <w:r w:rsidR="007A5A6E" w:rsidRPr="00A84A77">
        <w:rPr>
          <w:rFonts w:asciiTheme="minorHAnsi" w:hAnsiTheme="minorHAnsi" w:cstheme="minorHAnsi"/>
        </w:rPr>
        <w:t xml:space="preserve"> Proposed Project </w:t>
      </w:r>
      <w:r w:rsidR="001742E8" w:rsidRPr="00A84A77">
        <w:rPr>
          <w:rFonts w:asciiTheme="minorHAnsi" w:hAnsiTheme="minorHAnsi" w:cstheme="minorHAnsi"/>
        </w:rPr>
        <w:t xml:space="preserve">is </w:t>
      </w:r>
      <w:r w:rsidR="007A5A6E" w:rsidRPr="00A84A77">
        <w:rPr>
          <w:rFonts w:asciiTheme="minorHAnsi" w:hAnsiTheme="minorHAnsi" w:cstheme="minorHAnsi"/>
        </w:rPr>
        <w:t xml:space="preserve">supported by evidence-based literature that illustrates the essential role that </w:t>
      </w:r>
      <w:r w:rsidR="006B477C" w:rsidRPr="00A84A77">
        <w:rPr>
          <w:rFonts w:asciiTheme="minorHAnsi" w:hAnsiTheme="minorHAnsi" w:cstheme="minorHAnsi"/>
        </w:rPr>
        <w:t xml:space="preserve">HSN </w:t>
      </w:r>
      <w:r w:rsidR="007A5A6E" w:rsidRPr="00A84A77">
        <w:rPr>
          <w:rFonts w:asciiTheme="minorHAnsi" w:hAnsiTheme="minorHAnsi" w:cstheme="minorHAnsi"/>
        </w:rPr>
        <w:t>hospitals pla</w:t>
      </w:r>
      <w:r w:rsidR="00935929" w:rsidRPr="00A84A77">
        <w:rPr>
          <w:rFonts w:asciiTheme="minorHAnsi" w:hAnsiTheme="minorHAnsi" w:cstheme="minorHAnsi"/>
        </w:rPr>
        <w:t>y</w:t>
      </w:r>
      <w:r w:rsidR="007A5A6E" w:rsidRPr="00A84A77">
        <w:rPr>
          <w:rFonts w:asciiTheme="minorHAnsi" w:hAnsiTheme="minorHAnsi" w:cstheme="minorHAnsi"/>
        </w:rPr>
        <w:t xml:space="preserve">, and the impacts of adequate </w:t>
      </w:r>
      <w:r w:rsidR="001742E8" w:rsidRPr="00A84A77">
        <w:rPr>
          <w:rFonts w:asciiTheme="minorHAnsi" w:hAnsiTheme="minorHAnsi" w:cstheme="minorHAnsi"/>
        </w:rPr>
        <w:t xml:space="preserve">access to MRI imaging </w:t>
      </w:r>
      <w:r w:rsidR="007A5A6E" w:rsidRPr="00A84A77">
        <w:rPr>
          <w:rFonts w:asciiTheme="minorHAnsi" w:hAnsiTheme="minorHAnsi" w:cstheme="minorHAnsi"/>
        </w:rPr>
        <w:t>on patient satisfaction and outcomes.</w:t>
      </w:r>
    </w:p>
    <w:p w14:paraId="23387C3E" w14:textId="77777777" w:rsidR="007A5A6E" w:rsidRPr="00A84A77" w:rsidRDefault="007A5A6E" w:rsidP="00A84A77">
      <w:pPr>
        <w:autoSpaceDE w:val="0"/>
        <w:autoSpaceDN w:val="0"/>
        <w:adjustRightInd w:val="0"/>
        <w:rPr>
          <w:rFonts w:asciiTheme="minorHAnsi" w:hAnsiTheme="minorHAnsi" w:cstheme="minorHAnsi"/>
        </w:rPr>
      </w:pPr>
    </w:p>
    <w:p w14:paraId="1C38035B" w14:textId="0C3E1CA1" w:rsidR="006039E9" w:rsidRPr="00A84A77" w:rsidRDefault="007A5A6E" w:rsidP="00A84A77">
      <w:pPr>
        <w:numPr>
          <w:ilvl w:val="0"/>
          <w:numId w:val="2"/>
        </w:numPr>
        <w:autoSpaceDE w:val="0"/>
        <w:autoSpaceDN w:val="0"/>
        <w:adjustRightInd w:val="0"/>
        <w:rPr>
          <w:rFonts w:asciiTheme="minorHAnsi" w:hAnsiTheme="minorHAnsi" w:cstheme="minorHAnsi"/>
        </w:rPr>
      </w:pPr>
      <w:r w:rsidRPr="00A84A77">
        <w:rPr>
          <w:rFonts w:asciiTheme="minorHAnsi" w:hAnsiTheme="minorHAnsi" w:cstheme="minorHAnsi"/>
        </w:rPr>
        <w:t xml:space="preserve">Importance of </w:t>
      </w:r>
      <w:r w:rsidR="00935929" w:rsidRPr="00A84A77">
        <w:rPr>
          <w:rFonts w:asciiTheme="minorHAnsi" w:hAnsiTheme="minorHAnsi" w:cstheme="minorHAnsi"/>
        </w:rPr>
        <w:t xml:space="preserve">HSN </w:t>
      </w:r>
      <w:r w:rsidRPr="00A84A77">
        <w:rPr>
          <w:rFonts w:asciiTheme="minorHAnsi" w:hAnsiTheme="minorHAnsi" w:cstheme="minorHAnsi"/>
        </w:rPr>
        <w:t>Hospitals</w:t>
      </w:r>
    </w:p>
    <w:p w14:paraId="2A85ACC7" w14:textId="2A58656E" w:rsidR="007A5A6E" w:rsidRPr="00A84A77" w:rsidRDefault="007A5A6E" w:rsidP="00A84A77">
      <w:pPr>
        <w:autoSpaceDE w:val="0"/>
        <w:autoSpaceDN w:val="0"/>
        <w:adjustRightInd w:val="0"/>
        <w:ind w:left="360"/>
        <w:rPr>
          <w:rFonts w:asciiTheme="minorHAnsi" w:hAnsiTheme="minorHAnsi" w:cstheme="minorHAnsi"/>
        </w:rPr>
      </w:pPr>
      <w:r w:rsidRPr="00A84A77">
        <w:rPr>
          <w:rFonts w:asciiTheme="minorHAnsi" w:hAnsiTheme="minorHAnsi" w:cstheme="minorHAnsi"/>
        </w:rPr>
        <w:t xml:space="preserve"> </w:t>
      </w:r>
    </w:p>
    <w:p w14:paraId="7DDF7470" w14:textId="432AA1D4" w:rsidR="00AA3ADC" w:rsidRPr="00A84A77" w:rsidRDefault="00935929"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HSN </w:t>
      </w:r>
      <w:r w:rsidR="007A5A6E" w:rsidRPr="00A84A77">
        <w:rPr>
          <w:rFonts w:asciiTheme="minorHAnsi" w:hAnsiTheme="minorHAnsi" w:cstheme="minorHAnsi"/>
        </w:rPr>
        <w:t>hospitals</w:t>
      </w:r>
      <w:r w:rsidR="002D4AA7" w:rsidRPr="00A84A77">
        <w:rPr>
          <w:rFonts w:asciiTheme="minorHAnsi" w:hAnsiTheme="minorHAnsi" w:cstheme="minorHAnsi"/>
        </w:rPr>
        <w:t>,</w:t>
      </w:r>
      <w:r w:rsidR="007A5A6E" w:rsidRPr="00A84A77">
        <w:rPr>
          <w:rFonts w:asciiTheme="minorHAnsi" w:hAnsiTheme="minorHAnsi" w:cstheme="minorHAnsi"/>
        </w:rPr>
        <w:t xml:space="preserve"> including BMC</w:t>
      </w:r>
      <w:r w:rsidR="002D4AA7" w:rsidRPr="00A84A77">
        <w:rPr>
          <w:rFonts w:asciiTheme="minorHAnsi" w:hAnsiTheme="minorHAnsi" w:cstheme="minorHAnsi"/>
        </w:rPr>
        <w:t>,</w:t>
      </w:r>
      <w:r w:rsidR="007A5A6E" w:rsidRPr="00A84A77">
        <w:rPr>
          <w:rFonts w:asciiTheme="minorHAnsi" w:hAnsiTheme="minorHAnsi" w:cstheme="minorHAnsi"/>
        </w:rPr>
        <w:t xml:space="preserve"> play an essential role in the Massachusetts health care systems by providing care to low-income and vulnerable populations, including the uninsured and individuals with Medicaid as well as populations facing health inequities, such as racial and ethnic minorities</w:t>
      </w:r>
      <w:r w:rsidR="00680574" w:rsidRPr="00A84A77">
        <w:rPr>
          <w:rFonts w:asciiTheme="minorHAnsi" w:hAnsiTheme="minorHAnsi" w:cstheme="minorHAnsi"/>
        </w:rPr>
        <w:t>.</w:t>
      </w:r>
      <w:r w:rsidR="00AD62E6" w:rsidRPr="00A84A77">
        <w:rPr>
          <w:rFonts w:asciiTheme="minorHAnsi" w:hAnsiTheme="minorHAnsi" w:cstheme="minorHAnsi"/>
        </w:rPr>
        <w:t xml:space="preserve"> </w:t>
      </w:r>
      <w:r w:rsidR="00680574" w:rsidRPr="00A84A77">
        <w:rPr>
          <w:rFonts w:asciiTheme="minorHAnsi" w:hAnsiTheme="minorHAnsi" w:cstheme="minorHAnsi"/>
        </w:rPr>
        <w:t>D</w:t>
      </w:r>
      <w:r w:rsidR="007A5A6E" w:rsidRPr="00A84A77">
        <w:rPr>
          <w:rFonts w:asciiTheme="minorHAnsi" w:hAnsiTheme="minorHAnsi" w:cstheme="minorHAnsi"/>
        </w:rPr>
        <w:t>espite the significant reduction in un</w:t>
      </w:r>
      <w:r w:rsidR="00AD62E6" w:rsidRPr="00A84A77">
        <w:rPr>
          <w:rFonts w:asciiTheme="minorHAnsi" w:hAnsiTheme="minorHAnsi" w:cstheme="minorHAnsi"/>
        </w:rPr>
        <w:t>-</w:t>
      </w:r>
      <w:r w:rsidR="007A5A6E" w:rsidRPr="00A84A77">
        <w:rPr>
          <w:rFonts w:asciiTheme="minorHAnsi" w:hAnsiTheme="minorHAnsi" w:cstheme="minorHAnsi"/>
        </w:rPr>
        <w:t>insurance levels in Massachusetts that occurred with health care reform</w:t>
      </w:r>
      <w:r w:rsidR="00680574" w:rsidRPr="00A84A77">
        <w:rPr>
          <w:rFonts w:asciiTheme="minorHAnsi" w:hAnsiTheme="minorHAnsi" w:cstheme="minorHAnsi"/>
        </w:rPr>
        <w:t>,</w:t>
      </w:r>
      <w:r w:rsidR="00AD62E6" w:rsidRPr="00A84A77">
        <w:rPr>
          <w:rFonts w:asciiTheme="minorHAnsi" w:hAnsiTheme="minorHAnsi" w:cstheme="minorHAnsi"/>
        </w:rPr>
        <w:t xml:space="preserve"> </w:t>
      </w:r>
      <w:r w:rsidR="00680574" w:rsidRPr="00A84A77">
        <w:rPr>
          <w:rFonts w:asciiTheme="minorHAnsi" w:hAnsiTheme="minorHAnsi" w:cstheme="minorHAnsi"/>
        </w:rPr>
        <w:t>s</w:t>
      </w:r>
      <w:r w:rsidR="00AD62E6" w:rsidRPr="00A84A77">
        <w:rPr>
          <w:rFonts w:asciiTheme="minorHAnsi" w:hAnsiTheme="minorHAnsi" w:cstheme="minorHAnsi"/>
        </w:rPr>
        <w:t xml:space="preserve">tudies show that following that legislation, </w:t>
      </w:r>
      <w:r w:rsidR="007A5A6E" w:rsidRPr="00A84A77">
        <w:rPr>
          <w:rFonts w:asciiTheme="minorHAnsi" w:hAnsiTheme="minorHAnsi" w:cstheme="minorHAnsi"/>
        </w:rPr>
        <w:t xml:space="preserve">the demand for care at </w:t>
      </w:r>
      <w:r w:rsidRPr="00A84A77">
        <w:rPr>
          <w:rFonts w:asciiTheme="minorHAnsi" w:hAnsiTheme="minorHAnsi" w:cstheme="minorHAnsi"/>
        </w:rPr>
        <w:t xml:space="preserve">HSN </w:t>
      </w:r>
      <w:r w:rsidR="007A5A6E" w:rsidRPr="00A84A77">
        <w:rPr>
          <w:rFonts w:asciiTheme="minorHAnsi" w:hAnsiTheme="minorHAnsi" w:cstheme="minorHAnsi"/>
        </w:rPr>
        <w:t>facilities continues to rise</w:t>
      </w:r>
      <w:bookmarkStart w:id="42" w:name="_Ref109198267"/>
      <w:r w:rsidR="00AD62E6" w:rsidRPr="00A84A77">
        <w:rPr>
          <w:rFonts w:asciiTheme="minorHAnsi" w:hAnsiTheme="minorHAnsi" w:cstheme="minorHAnsi"/>
        </w:rPr>
        <w:t>,</w:t>
      </w:r>
      <w:bookmarkEnd w:id="42"/>
      <w:r w:rsidR="007A5A6E" w:rsidRPr="00A84A77">
        <w:rPr>
          <w:rFonts w:asciiTheme="minorHAnsi" w:hAnsiTheme="minorHAnsi" w:cstheme="minorHAnsi"/>
        </w:rPr>
        <w:t xml:space="preserve"> </w:t>
      </w:r>
      <w:r w:rsidR="00AD62E6" w:rsidRPr="00A84A77">
        <w:rPr>
          <w:rFonts w:asciiTheme="minorHAnsi" w:hAnsiTheme="minorHAnsi" w:cstheme="minorHAnsi"/>
        </w:rPr>
        <w:t>and that m</w:t>
      </w:r>
      <w:r w:rsidR="007A5A6E" w:rsidRPr="00A84A77">
        <w:rPr>
          <w:rFonts w:asciiTheme="minorHAnsi" w:hAnsiTheme="minorHAnsi" w:cstheme="minorHAnsi"/>
        </w:rPr>
        <w:t xml:space="preserve">ost </w:t>
      </w:r>
      <w:r w:rsidRPr="00A84A77">
        <w:rPr>
          <w:rFonts w:asciiTheme="minorHAnsi" w:hAnsiTheme="minorHAnsi" w:cstheme="minorHAnsi"/>
        </w:rPr>
        <w:t xml:space="preserve">HSN </w:t>
      </w:r>
      <w:r w:rsidR="007A5A6E" w:rsidRPr="00A84A77">
        <w:rPr>
          <w:rFonts w:asciiTheme="minorHAnsi" w:hAnsiTheme="minorHAnsi" w:cstheme="minorHAnsi"/>
        </w:rPr>
        <w:t>patients do not view these facilities as providers of last resort; rather, they prefer the types of care that are offered and use the facilities willingly.</w:t>
      </w:r>
      <w:r w:rsidR="00AD62E6" w:rsidRPr="00A84A77">
        <w:rPr>
          <w:rFonts w:asciiTheme="minorHAnsi" w:hAnsiTheme="minorHAnsi" w:cstheme="minorHAnsi"/>
          <w:vertAlign w:val="superscript"/>
        </w:rPr>
        <w:endnoteReference w:id="3"/>
      </w:r>
    </w:p>
    <w:p w14:paraId="558F14E3" w14:textId="77777777" w:rsidR="005B52A6" w:rsidRPr="00A84A77" w:rsidRDefault="005B52A6" w:rsidP="00A84A77">
      <w:pPr>
        <w:autoSpaceDE w:val="0"/>
        <w:autoSpaceDN w:val="0"/>
        <w:adjustRightInd w:val="0"/>
        <w:rPr>
          <w:rFonts w:asciiTheme="minorHAnsi" w:hAnsiTheme="minorHAnsi" w:cstheme="minorHAnsi"/>
        </w:rPr>
      </w:pPr>
    </w:p>
    <w:p w14:paraId="1E467368" w14:textId="25886D8D" w:rsidR="00AA3ADC" w:rsidRPr="00A84A77" w:rsidRDefault="00AA3ADC" w:rsidP="00A84A77">
      <w:pPr>
        <w:autoSpaceDE w:val="0"/>
        <w:autoSpaceDN w:val="0"/>
        <w:adjustRightInd w:val="0"/>
        <w:rPr>
          <w:rFonts w:asciiTheme="minorHAnsi" w:hAnsiTheme="minorHAnsi" w:cstheme="minorHAnsi"/>
        </w:rPr>
        <w:sectPr w:rsidR="00AA3ADC" w:rsidRPr="00A84A77" w:rsidSect="00AA3ADC">
          <w:footerReference w:type="default" r:id="rId11"/>
          <w:endnotePr>
            <w:numFmt w:val="decimal"/>
          </w:endnotePr>
          <w:type w:val="continuous"/>
          <w:pgSz w:w="12240" w:h="15840"/>
          <w:pgMar w:top="900" w:right="1080" w:bottom="1440" w:left="1080" w:header="720" w:footer="720" w:gutter="0"/>
          <w:cols w:space="720"/>
          <w:docGrid w:linePitch="360"/>
        </w:sectPr>
      </w:pPr>
    </w:p>
    <w:p w14:paraId="65420690" w14:textId="533742A2" w:rsidR="007A5A6E" w:rsidRPr="00A84A77" w:rsidRDefault="00AD62E6"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 </w:t>
      </w:r>
      <w:r w:rsidR="008357D5" w:rsidRPr="00A84A77">
        <w:rPr>
          <w:rFonts w:asciiTheme="minorHAnsi" w:hAnsiTheme="minorHAnsi" w:cstheme="minorHAnsi"/>
        </w:rPr>
        <w:t xml:space="preserve">Given </w:t>
      </w:r>
      <w:r w:rsidR="007A5A6E" w:rsidRPr="00A84A77">
        <w:rPr>
          <w:rFonts w:asciiTheme="minorHAnsi" w:hAnsiTheme="minorHAnsi" w:cstheme="minorHAnsi"/>
        </w:rPr>
        <w:t>that BMC and other</w:t>
      </w:r>
      <w:r w:rsidR="00935929" w:rsidRPr="00A84A77">
        <w:rPr>
          <w:rFonts w:asciiTheme="minorHAnsi" w:hAnsiTheme="minorHAnsi" w:cstheme="minorHAnsi"/>
        </w:rPr>
        <w:t xml:space="preserve"> HSN </w:t>
      </w:r>
      <w:r w:rsidR="007A5A6E" w:rsidRPr="00A84A77">
        <w:rPr>
          <w:rFonts w:asciiTheme="minorHAnsi" w:hAnsiTheme="minorHAnsi" w:cstheme="minorHAnsi"/>
        </w:rPr>
        <w:t>hospitals are anticipated to continue to play a disproportionately large role in providing inpatient, emergency, and ambulatory care to the area’s most under-resourced patients into the future, it is essential that such hospitals have the resources and depth of services</w:t>
      </w:r>
      <w:r w:rsidR="004B635D" w:rsidRPr="00A84A77">
        <w:rPr>
          <w:rFonts w:asciiTheme="minorHAnsi" w:hAnsiTheme="minorHAnsi" w:cstheme="minorHAnsi"/>
        </w:rPr>
        <w:t>, such as advanced imaging</w:t>
      </w:r>
      <w:r w:rsidR="00E26D87" w:rsidRPr="00A84A77">
        <w:rPr>
          <w:rFonts w:asciiTheme="minorHAnsi" w:hAnsiTheme="minorHAnsi" w:cstheme="minorHAnsi"/>
        </w:rPr>
        <w:t>,</w:t>
      </w:r>
      <w:r w:rsidR="004B635D" w:rsidRPr="00A84A77">
        <w:rPr>
          <w:rFonts w:asciiTheme="minorHAnsi" w:hAnsiTheme="minorHAnsi" w:cstheme="minorHAnsi"/>
        </w:rPr>
        <w:t xml:space="preserve"> including MRI, </w:t>
      </w:r>
      <w:r w:rsidR="007A5A6E" w:rsidRPr="00A84A77">
        <w:rPr>
          <w:rFonts w:asciiTheme="minorHAnsi" w:hAnsiTheme="minorHAnsi" w:cstheme="minorHAnsi"/>
        </w:rPr>
        <w:t>necessary to provide such disadvantaged patients with timely access to high-quality care that does not jeopardize patient outcomes</w:t>
      </w:r>
      <w:r w:rsidR="008357D5" w:rsidRPr="00A84A77">
        <w:rPr>
          <w:rFonts w:asciiTheme="minorHAnsi" w:hAnsiTheme="minorHAnsi" w:cstheme="minorHAnsi"/>
        </w:rPr>
        <w:t xml:space="preserve"> so as to achieve the objectives of equitable care</w:t>
      </w:r>
      <w:r w:rsidR="007A5A6E" w:rsidRPr="00A84A77">
        <w:rPr>
          <w:rFonts w:asciiTheme="minorHAnsi" w:hAnsiTheme="minorHAnsi" w:cstheme="minorHAnsi"/>
        </w:rPr>
        <w:t>.</w:t>
      </w:r>
      <w:bookmarkStart w:id="43" w:name="_Ref109305374"/>
      <w:r w:rsidR="003125A0" w:rsidRPr="00A84A77">
        <w:rPr>
          <w:rFonts w:asciiTheme="minorHAnsi" w:hAnsiTheme="minorHAnsi" w:cstheme="minorHAnsi"/>
          <w:vertAlign w:val="superscript"/>
        </w:rPr>
        <w:endnoteReference w:id="4"/>
      </w:r>
      <w:bookmarkEnd w:id="43"/>
    </w:p>
    <w:p w14:paraId="12407D2B" w14:textId="77777777" w:rsidR="007A5A6E" w:rsidRPr="00A84A77" w:rsidRDefault="007A5A6E" w:rsidP="00A84A77">
      <w:pPr>
        <w:autoSpaceDE w:val="0"/>
        <w:autoSpaceDN w:val="0"/>
        <w:adjustRightInd w:val="0"/>
        <w:rPr>
          <w:rFonts w:asciiTheme="minorHAnsi" w:hAnsiTheme="minorHAnsi" w:cstheme="minorHAnsi"/>
        </w:rPr>
      </w:pPr>
    </w:p>
    <w:p w14:paraId="231620FA" w14:textId="664932D6" w:rsidR="001D5668" w:rsidRPr="00A84A77" w:rsidRDefault="001D5668" w:rsidP="00A84A77">
      <w:pPr>
        <w:pStyle w:val="ListParagraph"/>
        <w:numPr>
          <w:ilvl w:val="0"/>
          <w:numId w:val="2"/>
        </w:numPr>
        <w:spacing w:after="160"/>
        <w:rPr>
          <w:rFonts w:asciiTheme="minorHAnsi" w:hAnsiTheme="minorHAnsi" w:cstheme="minorHAnsi"/>
          <w:color w:val="000000"/>
          <w:shd w:val="clear" w:color="auto" w:fill="FFFFFF"/>
        </w:rPr>
      </w:pPr>
      <w:r w:rsidRPr="00A84A77">
        <w:rPr>
          <w:rFonts w:asciiTheme="minorHAnsi" w:hAnsiTheme="minorHAnsi" w:cstheme="minorHAnsi"/>
          <w:color w:val="000000"/>
        </w:rPr>
        <w:t>MRI Technology</w:t>
      </w:r>
    </w:p>
    <w:p w14:paraId="66AD6E95" w14:textId="29DF7C23" w:rsidR="006623CC" w:rsidRPr="00A84A77" w:rsidRDefault="001D5668" w:rsidP="00A84A77">
      <w:pPr>
        <w:rPr>
          <w:rFonts w:asciiTheme="minorHAnsi" w:hAnsiTheme="minorHAnsi" w:cstheme="minorHAnsi"/>
        </w:rPr>
      </w:pPr>
      <w:r w:rsidRPr="00A84A77">
        <w:rPr>
          <w:rFonts w:asciiTheme="minorHAnsi" w:hAnsiTheme="minorHAnsi" w:cstheme="minorHAnsi"/>
          <w:color w:val="000000"/>
        </w:rPr>
        <w:t>MRI</w:t>
      </w:r>
      <w:r w:rsidRPr="00A84A77">
        <w:rPr>
          <w:rFonts w:asciiTheme="minorHAnsi" w:hAnsiTheme="minorHAnsi" w:cstheme="minorHAnsi"/>
          <w:color w:val="000000"/>
          <w:shd w:val="clear" w:color="auto" w:fill="FFFFFF"/>
        </w:rPr>
        <w:t> is a non-invasive imaging technology that is used within many fields of medicine, without the use of damaging ionizing radiation.</w:t>
      </w:r>
      <w:bookmarkStart w:id="44" w:name="_Ref134940635"/>
      <w:r w:rsidR="00357FE9" w:rsidRPr="00A84A77">
        <w:rPr>
          <w:rFonts w:asciiTheme="minorHAnsi" w:hAnsiTheme="minorHAnsi" w:cstheme="minorHAnsi"/>
          <w:color w:val="000000"/>
          <w:shd w:val="clear" w:color="auto" w:fill="FFFFFF"/>
          <w:vertAlign w:val="superscript"/>
        </w:rPr>
        <w:endnoteReference w:id="5"/>
      </w:r>
      <w:bookmarkEnd w:id="44"/>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rPr>
        <w:t>MRI uses a powerful magnetic field and pulses of radio waves to create detailed images of the body's internal organs, tissues, and structures.</w:t>
      </w:r>
      <w:r w:rsidR="00357FE9" w:rsidRPr="00A84A77">
        <w:rPr>
          <w:rFonts w:asciiTheme="minorHAnsi" w:hAnsiTheme="minorHAnsi" w:cstheme="minorHAnsi"/>
          <w:color w:val="000000"/>
          <w:vertAlign w:val="superscript"/>
        </w:rPr>
        <w:endnoteReference w:id="6"/>
      </w:r>
      <w:r w:rsidR="00357FE9" w:rsidRPr="00A84A77">
        <w:rPr>
          <w:rFonts w:asciiTheme="minorHAnsi" w:hAnsiTheme="minorHAnsi" w:cstheme="minorHAnsi"/>
          <w:color w:val="000000"/>
          <w:position w:val="8"/>
        </w:rPr>
        <w:t xml:space="preserve"> </w:t>
      </w:r>
      <w:r w:rsidR="00357FE9" w:rsidRPr="00A84A77">
        <w:rPr>
          <w:rFonts w:asciiTheme="minorHAnsi" w:hAnsiTheme="minorHAnsi" w:cstheme="minorHAnsi"/>
          <w:color w:val="000000"/>
        </w:rPr>
        <w:t xml:space="preserve">MRI images provide anatomical and functional information that can be used for </w:t>
      </w:r>
      <w:r w:rsidR="00357FE9" w:rsidRPr="00A84A77">
        <w:rPr>
          <w:rFonts w:asciiTheme="minorHAnsi" w:hAnsiTheme="minorHAnsi" w:cstheme="minorHAnsi"/>
          <w:color w:val="000000"/>
          <w:shd w:val="clear" w:color="auto" w:fill="FFFFFF"/>
        </w:rPr>
        <w:t>disease detection, diagnosis, and treatment monitoring.</w:t>
      </w:r>
      <w:r w:rsidR="00357FE9" w:rsidRPr="00A84A77">
        <w:rPr>
          <w:rFonts w:asciiTheme="minorHAnsi" w:hAnsiTheme="minorHAnsi" w:cstheme="minorHAnsi"/>
          <w:color w:val="000000"/>
          <w:shd w:val="clear" w:color="auto" w:fill="FFFFFF"/>
          <w:vertAlign w:val="superscript"/>
        </w:rPr>
        <w:endnoteReference w:id="7"/>
      </w:r>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shd w:val="clear" w:color="auto" w:fill="FFFFFF"/>
          <w:vertAlign w:val="superscript"/>
        </w:rPr>
        <w:endnoteReference w:id="8"/>
      </w:r>
      <w:r w:rsidR="00357FE9" w:rsidRPr="00A84A77">
        <w:rPr>
          <w:rFonts w:asciiTheme="minorHAnsi" w:hAnsiTheme="minorHAnsi" w:cstheme="minorHAnsi"/>
          <w:color w:val="000000"/>
          <w:shd w:val="clear" w:color="auto" w:fill="FFFFFF"/>
        </w:rPr>
        <w:t xml:space="preserve"> </w:t>
      </w:r>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shd w:val="clear" w:color="auto" w:fill="FFFFFF"/>
        </w:rPr>
        <w:t xml:space="preserve"> Clinical use of MRI began in the </w:t>
      </w:r>
      <w:r w:rsidR="00B63C0C" w:rsidRPr="00A84A77">
        <w:rPr>
          <w:rFonts w:asciiTheme="minorHAnsi" w:hAnsiTheme="minorHAnsi" w:cstheme="minorHAnsi"/>
          <w:color w:val="000000"/>
          <w:shd w:val="clear" w:color="auto" w:fill="FFFFFF"/>
        </w:rPr>
        <w:t>1980s. T</w:t>
      </w:r>
      <w:r w:rsidR="00357FE9" w:rsidRPr="00A84A77">
        <w:rPr>
          <w:rFonts w:asciiTheme="minorHAnsi" w:hAnsiTheme="minorHAnsi" w:cstheme="minorHAnsi"/>
          <w:color w:val="000000"/>
          <w:shd w:val="clear" w:color="auto" w:fill="FFFFFF"/>
        </w:rPr>
        <w:t>echnological advances</w:t>
      </w:r>
      <w:r w:rsidR="00F10A6D" w:rsidRPr="00A84A77">
        <w:rPr>
          <w:rFonts w:asciiTheme="minorHAnsi" w:hAnsiTheme="minorHAnsi" w:cstheme="minorHAnsi"/>
          <w:color w:val="000000"/>
          <w:shd w:val="clear" w:color="auto" w:fill="FFFFFF"/>
        </w:rPr>
        <w:t xml:space="preserve"> </w:t>
      </w:r>
      <w:r w:rsidR="00B63C0C" w:rsidRPr="00A84A77">
        <w:rPr>
          <w:rFonts w:asciiTheme="minorHAnsi" w:hAnsiTheme="minorHAnsi" w:cstheme="minorHAnsi"/>
          <w:color w:val="000000"/>
          <w:shd w:val="clear" w:color="auto" w:fill="FFFFFF"/>
        </w:rPr>
        <w:t>over time have</w:t>
      </w:r>
      <w:r w:rsidR="00357FE9" w:rsidRPr="00A84A77">
        <w:rPr>
          <w:rFonts w:asciiTheme="minorHAnsi" w:hAnsiTheme="minorHAnsi" w:cstheme="minorHAnsi"/>
          <w:color w:val="000000"/>
          <w:shd w:val="clear" w:color="auto" w:fill="FFFFFF"/>
        </w:rPr>
        <w:t xml:space="preserve"> vastly increas</w:t>
      </w:r>
      <w:r w:rsidR="00B63C0C" w:rsidRPr="00A84A77">
        <w:rPr>
          <w:rFonts w:asciiTheme="minorHAnsi" w:hAnsiTheme="minorHAnsi" w:cstheme="minorHAnsi"/>
          <w:color w:val="000000"/>
          <w:shd w:val="clear" w:color="auto" w:fill="FFFFFF"/>
        </w:rPr>
        <w:t>ed its</w:t>
      </w:r>
      <w:r w:rsidR="00357FE9" w:rsidRPr="00A84A77">
        <w:rPr>
          <w:rFonts w:asciiTheme="minorHAnsi" w:hAnsiTheme="minorHAnsi" w:cstheme="minorHAnsi"/>
          <w:color w:val="000000"/>
          <w:shd w:val="clear" w:color="auto" w:fill="FFFFFF"/>
        </w:rPr>
        <w:t xml:space="preserve"> clinical applications</w:t>
      </w:r>
      <w:r w:rsidR="00B63C0C" w:rsidRPr="00A84A77">
        <w:rPr>
          <w:rFonts w:asciiTheme="minorHAnsi" w:hAnsiTheme="minorHAnsi" w:cstheme="minorHAnsi"/>
          <w:color w:val="000000"/>
          <w:shd w:val="clear" w:color="auto" w:fill="FFFFFF"/>
        </w:rPr>
        <w:t>;</w:t>
      </w:r>
      <w:r w:rsidR="00357FE9" w:rsidRPr="00A84A77">
        <w:rPr>
          <w:rFonts w:asciiTheme="minorHAnsi" w:hAnsiTheme="minorHAnsi" w:cstheme="minorHAnsi"/>
          <w:color w:val="000000"/>
          <w:shd w:val="clear" w:color="auto" w:fill="FFFFFF"/>
          <w:vertAlign w:val="superscript"/>
        </w:rPr>
        <w:endnoteReference w:id="9"/>
      </w:r>
      <w:r w:rsidR="00357FE9" w:rsidRPr="00A84A77">
        <w:rPr>
          <w:rFonts w:asciiTheme="minorHAnsi" w:hAnsiTheme="minorHAnsi" w:cstheme="minorHAnsi"/>
          <w:color w:val="000000"/>
          <w:shd w:val="clear" w:color="auto" w:fill="FFFFFF"/>
        </w:rPr>
        <w:t xml:space="preserve"> </w:t>
      </w:r>
      <w:r w:rsidR="00B63C0C" w:rsidRPr="00A84A77">
        <w:rPr>
          <w:rFonts w:asciiTheme="minorHAnsi" w:hAnsiTheme="minorHAnsi" w:cstheme="minorHAnsi"/>
          <w:color w:val="000000"/>
          <w:shd w:val="clear" w:color="auto" w:fill="FFFFFF"/>
        </w:rPr>
        <w:t xml:space="preserve">it </w:t>
      </w:r>
      <w:r w:rsidR="00357FE9" w:rsidRPr="00A84A77">
        <w:rPr>
          <w:rFonts w:asciiTheme="minorHAnsi" w:hAnsiTheme="minorHAnsi" w:cstheme="minorHAnsi"/>
        </w:rPr>
        <w:t>is the imaging modality of choice for diagnosing neurologic, musculoskeletal, and cardiovascular disease.</w:t>
      </w:r>
      <w:r w:rsidR="00357FE9" w:rsidRPr="00A84A77">
        <w:rPr>
          <w:rFonts w:asciiTheme="minorHAnsi" w:hAnsiTheme="minorHAnsi" w:cstheme="minorHAnsi"/>
          <w:vertAlign w:val="superscript"/>
        </w:rPr>
        <w:endnoteReference w:id="10"/>
      </w:r>
      <w:r w:rsidR="00357FE9" w:rsidRPr="00A84A77">
        <w:rPr>
          <w:rFonts w:asciiTheme="minorHAnsi" w:hAnsiTheme="minorHAnsi" w:cstheme="minorHAnsi"/>
        </w:rPr>
        <w:t xml:space="preserve"> Most clinical MRIs are 1.5T or 3T, with the 1.5T being the most prevalent.</w:t>
      </w:r>
      <w:bookmarkStart w:id="46" w:name="_Ref134943731"/>
      <w:r w:rsidR="00357FE9" w:rsidRPr="00A84A77">
        <w:rPr>
          <w:rFonts w:asciiTheme="minorHAnsi" w:hAnsiTheme="minorHAnsi" w:cstheme="minorHAnsi"/>
          <w:vertAlign w:val="superscript"/>
        </w:rPr>
        <w:endnoteReference w:id="11"/>
      </w:r>
      <w:bookmarkEnd w:id="46"/>
      <w:r w:rsidR="00357FE9" w:rsidRPr="00A84A77">
        <w:rPr>
          <w:rFonts w:asciiTheme="minorHAnsi" w:hAnsiTheme="minorHAnsi" w:cstheme="minorHAnsi"/>
        </w:rPr>
        <w:t xml:space="preserve"> </w:t>
      </w:r>
    </w:p>
    <w:p w14:paraId="70E8D2E5" w14:textId="043DAF39" w:rsidR="001D5668" w:rsidRPr="00A84A77" w:rsidRDefault="006623CC" w:rsidP="00A84A77">
      <w:pPr>
        <w:spacing w:before="100" w:beforeAutospacing="1" w:after="100" w:afterAutospacing="1"/>
        <w:rPr>
          <w:rFonts w:asciiTheme="minorHAnsi" w:hAnsiTheme="minorHAnsi" w:cstheme="minorHAnsi"/>
          <w:color w:val="000000"/>
          <w:shd w:val="clear" w:color="auto" w:fill="FFFFFF"/>
        </w:rPr>
      </w:pPr>
      <w:r w:rsidRPr="00A84A77">
        <w:rPr>
          <w:rFonts w:asciiTheme="minorHAnsi" w:hAnsiTheme="minorHAnsi" w:cstheme="minorHAnsi"/>
          <w:color w:val="000000"/>
          <w:shd w:val="clear" w:color="auto" w:fill="FFFFFF"/>
        </w:rPr>
        <w:t>W</w:t>
      </w:r>
      <w:r w:rsidR="001D5668" w:rsidRPr="00A84A77">
        <w:rPr>
          <w:rFonts w:asciiTheme="minorHAnsi" w:hAnsiTheme="minorHAnsi" w:cstheme="minorHAnsi"/>
          <w:color w:val="000000"/>
          <w:shd w:val="clear" w:color="auto" w:fill="FFFFFF"/>
        </w:rPr>
        <w:t xml:space="preserve">ith regard to the Proposed Project, the most prevalent conditions for which BMC patients </w:t>
      </w:r>
      <w:r w:rsidR="00720104" w:rsidRPr="00A84A77">
        <w:rPr>
          <w:rFonts w:asciiTheme="minorHAnsi" w:hAnsiTheme="minorHAnsi" w:cstheme="minorHAnsi"/>
          <w:color w:val="000000"/>
          <w:shd w:val="clear" w:color="auto" w:fill="FFFFFF"/>
        </w:rPr>
        <w:t xml:space="preserve">received </w:t>
      </w:r>
      <w:r w:rsidR="001D5668" w:rsidRPr="00A84A77">
        <w:rPr>
          <w:rFonts w:asciiTheme="minorHAnsi" w:hAnsiTheme="minorHAnsi" w:cstheme="minorHAnsi"/>
          <w:color w:val="000000"/>
          <w:shd w:val="clear" w:color="auto" w:fill="FFFFFF"/>
        </w:rPr>
        <w:t>MRI services between FY20 to FY22 involved the brain, spine, musculoskeletal system, abdomen, pelvis, breast, chest, and heart. The imaging capabilities of a 1.5T MRI technology make this machine the preferred imaging modality for certain of these areas and the conditions that impact them.</w:t>
      </w:r>
      <w:r w:rsidR="00357FE9" w:rsidRPr="00A84A77">
        <w:rPr>
          <w:rFonts w:asciiTheme="minorHAnsi" w:hAnsiTheme="minorHAnsi" w:cstheme="minorHAnsi"/>
          <w:color w:val="000000"/>
          <w:shd w:val="clear" w:color="auto" w:fill="FFFFFF"/>
          <w:vertAlign w:val="superscript"/>
        </w:rPr>
        <w:endnoteReference w:id="12"/>
      </w:r>
      <w:r w:rsidR="00357FE9" w:rsidRPr="00A84A77">
        <w:rPr>
          <w:rFonts w:asciiTheme="minorHAnsi" w:hAnsiTheme="minorHAnsi" w:cstheme="minorHAnsi"/>
          <w:color w:val="000000"/>
          <w:shd w:val="clear" w:color="auto" w:fill="FFFFFF"/>
        </w:rPr>
        <w:t xml:space="preserve"> </w:t>
      </w:r>
    </w:p>
    <w:p w14:paraId="2A9830F3" w14:textId="31A2979A" w:rsidR="00357FE9" w:rsidRPr="00A84A77" w:rsidRDefault="001D5668" w:rsidP="00A84A77">
      <w:pPr>
        <w:rPr>
          <w:rFonts w:asciiTheme="minorHAnsi" w:hAnsiTheme="minorHAnsi" w:cstheme="minorHAnsi"/>
        </w:rPr>
      </w:pPr>
      <w:r w:rsidRPr="00A84A77">
        <w:rPr>
          <w:rFonts w:asciiTheme="minorHAnsi" w:hAnsiTheme="minorHAnsi" w:cstheme="minorHAnsi"/>
        </w:rPr>
        <w:lastRenderedPageBreak/>
        <w:t>One benefit of a 1.5T MRIs is they are associated with faster exam times (than lesser strength units), which improve</w:t>
      </w:r>
      <w:r w:rsidR="0049136E" w:rsidRPr="00A84A77">
        <w:rPr>
          <w:rFonts w:asciiTheme="minorHAnsi" w:hAnsiTheme="minorHAnsi" w:cstheme="minorHAnsi"/>
        </w:rPr>
        <w:t>s</w:t>
      </w:r>
      <w:r w:rsidRPr="00A84A77">
        <w:rPr>
          <w:rFonts w:asciiTheme="minorHAnsi" w:hAnsiTheme="minorHAnsi" w:cstheme="minorHAnsi"/>
        </w:rPr>
        <w:t xml:space="preserve"> throughput, workflow, and accessibility, thereby enabling </w:t>
      </w:r>
      <w:r w:rsidR="00B63C0C" w:rsidRPr="00A84A77">
        <w:rPr>
          <w:rFonts w:asciiTheme="minorHAnsi" w:hAnsiTheme="minorHAnsi" w:cstheme="minorHAnsi"/>
        </w:rPr>
        <w:t xml:space="preserve">timelier </w:t>
      </w:r>
      <w:r w:rsidRPr="00A84A77">
        <w:rPr>
          <w:rFonts w:asciiTheme="minorHAnsi" w:hAnsiTheme="minorHAnsi" w:cstheme="minorHAnsi"/>
        </w:rPr>
        <w:t>diagnosis, treatment, and increased patient and/or provider satisfaction.</w:t>
      </w:r>
      <w:r w:rsidR="00357FE9" w:rsidRPr="00A84A77">
        <w:rPr>
          <w:rFonts w:asciiTheme="minorHAnsi" w:hAnsiTheme="minorHAnsi" w:cstheme="minorHAnsi"/>
          <w:vertAlign w:val="superscript"/>
        </w:rPr>
        <w:endnoteReference w:id="13"/>
      </w:r>
      <w:r w:rsidR="00357FE9" w:rsidRPr="00A84A77">
        <w:rPr>
          <w:rFonts w:asciiTheme="minorHAnsi" w:hAnsiTheme="minorHAnsi" w:cstheme="minorHAnsi"/>
          <w:vertAlign w:val="superscript"/>
        </w:rPr>
        <w:t xml:space="preserve">, </w:t>
      </w:r>
      <w:r w:rsidR="00357FE9" w:rsidRPr="00A84A77">
        <w:rPr>
          <w:rFonts w:asciiTheme="minorHAnsi" w:hAnsiTheme="minorHAnsi" w:cstheme="minorHAnsi"/>
          <w:vertAlign w:val="superscript"/>
        </w:rPr>
        <w:endnoteReference w:id="14"/>
      </w:r>
      <w:r w:rsidR="00357FE9" w:rsidRPr="00A84A77">
        <w:rPr>
          <w:rFonts w:asciiTheme="minorHAnsi" w:hAnsiTheme="minorHAnsi" w:cstheme="minorHAnsi"/>
        </w:rPr>
        <w:t xml:space="preserve"> This efficiency is significant for BMC given the increasing need for expanded MRI capacity to ensure its ability to </w:t>
      </w:r>
      <w:r w:rsidR="00B63C0C" w:rsidRPr="00A84A77">
        <w:rPr>
          <w:rFonts w:asciiTheme="minorHAnsi" w:hAnsiTheme="minorHAnsi" w:cstheme="minorHAnsi"/>
        </w:rPr>
        <w:t>serve its</w:t>
      </w:r>
      <w:r w:rsidR="00357FE9" w:rsidRPr="00A84A77">
        <w:rPr>
          <w:rFonts w:asciiTheme="minorHAnsi" w:hAnsiTheme="minorHAnsi" w:cstheme="minorHAnsi"/>
        </w:rPr>
        <w:t xml:space="preserve"> vulnerable populations including the elderly and under-resourced. (</w:t>
      </w:r>
      <w:r w:rsidR="00B63C0C" w:rsidRPr="00A84A77">
        <w:rPr>
          <w:rFonts w:asciiTheme="minorHAnsi" w:hAnsiTheme="minorHAnsi" w:cstheme="minorHAnsi"/>
        </w:rPr>
        <w:t>As d</w:t>
      </w:r>
      <w:r w:rsidR="00357FE9" w:rsidRPr="00A84A77">
        <w:rPr>
          <w:rFonts w:asciiTheme="minorHAnsi" w:hAnsiTheme="minorHAnsi" w:cstheme="minorHAnsi"/>
        </w:rPr>
        <w:t>iscussed under Factor 1(a)).</w:t>
      </w:r>
    </w:p>
    <w:p w14:paraId="2B9A9E8A" w14:textId="77777777" w:rsidR="00357FE9" w:rsidRPr="00A84A77" w:rsidRDefault="00357FE9" w:rsidP="00A84A77">
      <w:pPr>
        <w:rPr>
          <w:rFonts w:asciiTheme="minorHAnsi" w:hAnsiTheme="minorHAnsi" w:cstheme="minorHAnsi"/>
        </w:rPr>
      </w:pPr>
    </w:p>
    <w:p w14:paraId="65C0D9D0" w14:textId="4612A65A" w:rsidR="00357FE9" w:rsidRPr="00A84A77" w:rsidRDefault="00357FE9" w:rsidP="00A84A77">
      <w:pPr>
        <w:rPr>
          <w:rFonts w:asciiTheme="minorHAnsi" w:hAnsiTheme="minorHAnsi" w:cstheme="minorHAnsi"/>
        </w:rPr>
      </w:pPr>
      <w:r w:rsidRPr="00A84A77">
        <w:rPr>
          <w:rFonts w:asciiTheme="minorHAnsi" w:hAnsiTheme="minorHAnsi" w:cstheme="minorHAnsi"/>
        </w:rPr>
        <w:t xml:space="preserve">Another benefit of the 1.5T MRI is that until recently, patients with cardiovascular implanted electronic devices (“CIEDs”), </w:t>
      </w:r>
      <w:r w:rsidR="00437C52" w:rsidRPr="00A84A77">
        <w:rPr>
          <w:rFonts w:asciiTheme="minorHAnsi" w:hAnsiTheme="minorHAnsi" w:cstheme="minorHAnsi"/>
        </w:rPr>
        <w:t>or</w:t>
      </w:r>
      <w:r w:rsidRPr="00A84A77">
        <w:rPr>
          <w:rFonts w:asciiTheme="minorHAnsi" w:hAnsiTheme="minorHAnsi" w:cstheme="minorHAnsi"/>
        </w:rPr>
        <w:t xml:space="preserve"> other foreign objects (shrapnel, etc.) were not eligible for MRI because the risk </w:t>
      </w:r>
      <w:r w:rsidR="00B63C0C" w:rsidRPr="00A84A77">
        <w:rPr>
          <w:rFonts w:asciiTheme="minorHAnsi" w:hAnsiTheme="minorHAnsi" w:cstheme="minorHAnsi"/>
        </w:rPr>
        <w:t>that the</w:t>
      </w:r>
      <w:r w:rsidRPr="00A84A77">
        <w:rPr>
          <w:rFonts w:asciiTheme="minorHAnsi" w:hAnsiTheme="minorHAnsi" w:cstheme="minorHAnsi"/>
        </w:rPr>
        <w:t xml:space="preserve"> magnetic field</w:t>
      </w:r>
      <w:r w:rsidR="00437C52" w:rsidRPr="00A84A77">
        <w:rPr>
          <w:rFonts w:asciiTheme="minorHAnsi" w:hAnsiTheme="minorHAnsi" w:cstheme="minorHAnsi"/>
        </w:rPr>
        <w:t xml:space="preserve"> would</w:t>
      </w:r>
      <w:r w:rsidRPr="00A84A77">
        <w:rPr>
          <w:rFonts w:asciiTheme="minorHAnsi" w:hAnsiTheme="minorHAnsi" w:cstheme="minorHAnsi"/>
        </w:rPr>
        <w:t xml:space="preserve"> interact with the device/object </w:t>
      </w:r>
      <w:r w:rsidR="00437C52" w:rsidRPr="00A84A77">
        <w:rPr>
          <w:rFonts w:asciiTheme="minorHAnsi" w:hAnsiTheme="minorHAnsi" w:cstheme="minorHAnsi"/>
        </w:rPr>
        <w:t xml:space="preserve">and potentially </w:t>
      </w:r>
      <w:r w:rsidRPr="00A84A77">
        <w:rPr>
          <w:rFonts w:asciiTheme="minorHAnsi" w:hAnsiTheme="minorHAnsi" w:cstheme="minorHAnsi"/>
        </w:rPr>
        <w:t>lead to</w:t>
      </w:r>
      <w:r w:rsidR="00B63C0C" w:rsidRPr="00A84A77">
        <w:rPr>
          <w:rFonts w:asciiTheme="minorHAnsi" w:hAnsiTheme="minorHAnsi" w:cstheme="minorHAnsi"/>
        </w:rPr>
        <w:t xml:space="preserve"> </w:t>
      </w:r>
      <w:r w:rsidRPr="00A84A77">
        <w:rPr>
          <w:rFonts w:asciiTheme="minorHAnsi" w:hAnsiTheme="minorHAnsi" w:cstheme="minorHAnsi"/>
        </w:rPr>
        <w:t>severe complications and even death.</w:t>
      </w:r>
      <w:r w:rsidRPr="00A84A77">
        <w:rPr>
          <w:rFonts w:asciiTheme="minorHAnsi" w:hAnsiTheme="minorHAnsi" w:cstheme="minorHAnsi"/>
          <w:vertAlign w:val="superscript"/>
        </w:rPr>
        <w:endnoteReference w:id="15"/>
      </w:r>
      <w:r w:rsidRPr="00A84A77">
        <w:rPr>
          <w:rFonts w:asciiTheme="minorHAnsi" w:hAnsiTheme="minorHAnsi" w:cstheme="minorHAnsi"/>
        </w:rPr>
        <w:t xml:space="preserve"> Recent studies have found that some implants/objects are safe</w:t>
      </w:r>
      <w:r w:rsidR="00437C52" w:rsidRPr="00A84A77">
        <w:rPr>
          <w:rFonts w:asciiTheme="minorHAnsi" w:hAnsiTheme="minorHAnsi" w:cstheme="minorHAnsi"/>
        </w:rPr>
        <w:t xml:space="preserve"> in a 1.5T MRI unit,</w:t>
      </w:r>
      <w:r w:rsidRPr="00A84A77">
        <w:rPr>
          <w:rFonts w:asciiTheme="minorHAnsi" w:hAnsiTheme="minorHAnsi" w:cstheme="minorHAnsi"/>
        </w:rPr>
        <w:t xml:space="preserve"> but not in higher tesla magnets.</w:t>
      </w:r>
      <w:r w:rsidRPr="00A84A77">
        <w:rPr>
          <w:rFonts w:asciiTheme="minorHAnsi" w:hAnsiTheme="minorHAnsi" w:cstheme="minorHAnsi"/>
          <w:vertAlign w:val="superscript"/>
        </w:rPr>
        <w:endnoteReference w:id="16"/>
      </w:r>
      <w:r w:rsidR="00B63C0C" w:rsidRPr="00A84A77">
        <w:rPr>
          <w:rFonts w:asciiTheme="minorHAnsi" w:hAnsiTheme="minorHAnsi" w:cstheme="minorHAnsi"/>
        </w:rPr>
        <w:t xml:space="preserve"> With these findings</w:t>
      </w:r>
      <w:r w:rsidRPr="00A84A77">
        <w:rPr>
          <w:rFonts w:asciiTheme="minorHAnsi" w:hAnsiTheme="minorHAnsi" w:cstheme="minorHAnsi"/>
        </w:rPr>
        <w:t xml:space="preserve"> the lower strength 1.5T MRI enables these patients to have scans</w:t>
      </w:r>
      <w:r w:rsidR="00B63C0C" w:rsidRPr="00A84A77">
        <w:rPr>
          <w:rFonts w:asciiTheme="minorHAnsi" w:hAnsiTheme="minorHAnsi" w:cstheme="minorHAnsi"/>
        </w:rPr>
        <w:t>,</w:t>
      </w:r>
      <w:r w:rsidRPr="00A84A77">
        <w:rPr>
          <w:rFonts w:asciiTheme="minorHAnsi" w:hAnsiTheme="minorHAnsi" w:cstheme="minorHAnsi"/>
        </w:rPr>
        <w:t xml:space="preserve"> and artifacts from devices/foreign objects are less prominent in 1.5T MRIs</w:t>
      </w:r>
      <w:r w:rsidR="00B63C0C" w:rsidRPr="00A84A77">
        <w:rPr>
          <w:rFonts w:asciiTheme="minorHAnsi" w:hAnsiTheme="minorHAnsi" w:cstheme="minorHAnsi"/>
        </w:rPr>
        <w:t xml:space="preserve"> (than in </w:t>
      </w:r>
      <w:r w:rsidR="00437C52" w:rsidRPr="00A84A77">
        <w:rPr>
          <w:rFonts w:asciiTheme="minorHAnsi" w:hAnsiTheme="minorHAnsi" w:cstheme="minorHAnsi"/>
        </w:rPr>
        <w:t>in higher tesla magnets</w:t>
      </w:r>
      <w:r w:rsidR="00B63C0C" w:rsidRPr="00A84A77">
        <w:rPr>
          <w:rFonts w:asciiTheme="minorHAnsi" w:hAnsiTheme="minorHAnsi" w:cstheme="minorHAnsi"/>
        </w:rPr>
        <w:t>)</w:t>
      </w:r>
      <w:r w:rsidRPr="00A84A77">
        <w:rPr>
          <w:rFonts w:asciiTheme="minorHAnsi" w:hAnsiTheme="minorHAnsi" w:cstheme="minorHAnsi"/>
        </w:rPr>
        <w:t>, allowing for higher quality images.</w:t>
      </w:r>
      <w:r w:rsidRPr="00A84A77">
        <w:rPr>
          <w:rFonts w:asciiTheme="minorHAnsi" w:hAnsiTheme="minorHAnsi" w:cstheme="minorHAnsi"/>
          <w:vertAlign w:val="superscript"/>
        </w:rPr>
        <w:endnoteReference w:id="17"/>
      </w:r>
    </w:p>
    <w:p w14:paraId="65E722EB" w14:textId="77777777" w:rsidR="00357FE9" w:rsidRPr="00A84A77" w:rsidRDefault="00357FE9" w:rsidP="00A84A77">
      <w:pPr>
        <w:rPr>
          <w:rFonts w:asciiTheme="minorHAnsi" w:hAnsiTheme="minorHAnsi" w:cstheme="minorHAnsi"/>
        </w:rPr>
      </w:pPr>
    </w:p>
    <w:p w14:paraId="5B2C91D5" w14:textId="2A764982" w:rsidR="001D5668" w:rsidRPr="00A84A77" w:rsidRDefault="001D5668" w:rsidP="00A84A77">
      <w:pPr>
        <w:rPr>
          <w:rFonts w:asciiTheme="minorHAnsi" w:hAnsiTheme="minorHAnsi" w:cstheme="minorHAnsi"/>
        </w:rPr>
      </w:pPr>
      <w:r w:rsidRPr="00A84A77">
        <w:rPr>
          <w:rFonts w:asciiTheme="minorHAnsi" w:hAnsiTheme="minorHAnsi" w:cstheme="minorHAnsi"/>
        </w:rPr>
        <w:t>While MRI can be used for all age cohorts, it is particularly important for the large cohort of BMC patients who are aged 65 and older as many of the conditions discussed herein are more prevalent with age.</w:t>
      </w:r>
      <w:r w:rsidR="00357FE9" w:rsidRPr="00A84A77">
        <w:rPr>
          <w:rFonts w:asciiTheme="minorHAnsi" w:hAnsiTheme="minorHAnsi" w:cstheme="minorHAnsi"/>
          <w:vertAlign w:val="superscript"/>
        </w:rPr>
        <w:endnoteReference w:id="18"/>
      </w:r>
      <w:r w:rsidR="00357FE9" w:rsidRPr="00A84A77">
        <w:rPr>
          <w:rFonts w:asciiTheme="minorHAnsi" w:hAnsiTheme="minorHAnsi" w:cstheme="minorHAnsi"/>
        </w:rPr>
        <w:t xml:space="preserve"> </w:t>
      </w:r>
      <w:r w:rsidRPr="00A84A77">
        <w:rPr>
          <w:rFonts w:asciiTheme="minorHAnsi" w:hAnsiTheme="minorHAnsi" w:cstheme="minorHAnsi"/>
        </w:rPr>
        <w:t xml:space="preserve">Given that the need for these types of scans increases with </w:t>
      </w:r>
      <w:r w:rsidR="00771199" w:rsidRPr="00A84A77">
        <w:rPr>
          <w:rFonts w:asciiTheme="minorHAnsi" w:hAnsiTheme="minorHAnsi" w:cstheme="minorHAnsi"/>
        </w:rPr>
        <w:t>age and</w:t>
      </w:r>
      <w:r w:rsidRPr="00A84A77">
        <w:rPr>
          <w:rFonts w:asciiTheme="minorHAnsi" w:hAnsiTheme="minorHAnsi" w:cstheme="minorHAnsi"/>
        </w:rPr>
        <w:t xml:space="preserve"> given the projected growth among the older adult cohort, the Applicant anticipates that demand for MRI services for these specific clinical categories at BMC will increase into the future.</w:t>
      </w:r>
    </w:p>
    <w:p w14:paraId="0B984BFC" w14:textId="77777777" w:rsidR="00F2081D" w:rsidRPr="00A84A77" w:rsidRDefault="00F2081D" w:rsidP="00A84A77">
      <w:pPr>
        <w:contextualSpacing/>
        <w:rPr>
          <w:rFonts w:asciiTheme="minorHAnsi" w:hAnsiTheme="minorHAnsi" w:cstheme="minorHAnsi"/>
          <w:b/>
          <w:bCs/>
          <w:highlight w:val="yellow"/>
        </w:rPr>
      </w:pPr>
    </w:p>
    <w:bookmarkEnd w:id="37"/>
    <w:bookmarkEnd w:id="38"/>
    <w:p w14:paraId="6CA7ACE1" w14:textId="7B22C932" w:rsidR="00F2081D" w:rsidRPr="00A84A77" w:rsidRDefault="00F2081D" w:rsidP="00A84A77">
      <w:pPr>
        <w:contextualSpacing/>
        <w:rPr>
          <w:rFonts w:asciiTheme="minorHAnsi" w:hAnsiTheme="minorHAnsi" w:cstheme="minorHAnsi"/>
          <w:b/>
          <w:i/>
        </w:rPr>
      </w:pPr>
      <w:r w:rsidRPr="00A84A77">
        <w:rPr>
          <w:rFonts w:asciiTheme="minorHAnsi" w:hAnsiTheme="minorHAnsi" w:cstheme="minorHAnsi"/>
          <w:b/>
          <w:i/>
        </w:rPr>
        <w:t>Analysis</w:t>
      </w:r>
    </w:p>
    <w:p w14:paraId="3541A9A6" w14:textId="77777777" w:rsidR="003125A0" w:rsidRPr="00A84A77" w:rsidRDefault="003125A0" w:rsidP="00A84A77">
      <w:pPr>
        <w:contextualSpacing/>
        <w:rPr>
          <w:rFonts w:asciiTheme="minorHAnsi" w:hAnsiTheme="minorHAnsi" w:cstheme="minorHAnsi"/>
        </w:rPr>
      </w:pPr>
    </w:p>
    <w:p w14:paraId="2CE8D1F0" w14:textId="1EDA716B" w:rsidR="003125A0" w:rsidRPr="00A84A77" w:rsidRDefault="003C5355" w:rsidP="00A84A77">
      <w:pPr>
        <w:contextualSpacing/>
        <w:rPr>
          <w:rFonts w:asciiTheme="minorHAnsi" w:hAnsiTheme="minorHAnsi" w:cstheme="minorHAnsi"/>
        </w:rPr>
      </w:pPr>
      <w:r w:rsidRPr="00A84A77">
        <w:rPr>
          <w:rFonts w:asciiTheme="minorHAnsi" w:hAnsiTheme="minorHAnsi" w:cstheme="minorHAnsi"/>
        </w:rPr>
        <w:t>Staff notes BMC has experienced high</w:t>
      </w:r>
      <w:r w:rsidR="00B436B0" w:rsidRPr="00A84A77">
        <w:rPr>
          <w:rFonts w:asciiTheme="minorHAnsi" w:hAnsiTheme="minorHAnsi" w:cstheme="minorHAnsi"/>
        </w:rPr>
        <w:t xml:space="preserve"> MRI utilization</w:t>
      </w:r>
      <w:r w:rsidRPr="00A84A77">
        <w:rPr>
          <w:rFonts w:asciiTheme="minorHAnsi" w:hAnsiTheme="minorHAnsi" w:cstheme="minorHAnsi"/>
        </w:rPr>
        <w:t>, as well</w:t>
      </w:r>
      <w:r w:rsidR="00B436B0" w:rsidRPr="00A84A77">
        <w:rPr>
          <w:rFonts w:asciiTheme="minorHAnsi" w:hAnsiTheme="minorHAnsi" w:cstheme="minorHAnsi"/>
        </w:rPr>
        <w:t xml:space="preserve"> growth in its Patient Panel</w:t>
      </w:r>
      <w:r w:rsidRPr="00A84A77">
        <w:rPr>
          <w:rFonts w:asciiTheme="minorHAnsi" w:hAnsiTheme="minorHAnsi" w:cstheme="minorHAnsi"/>
        </w:rPr>
        <w:t xml:space="preserve">, </w:t>
      </w:r>
      <w:r w:rsidR="00B436B0" w:rsidRPr="00A84A77">
        <w:rPr>
          <w:rFonts w:asciiTheme="minorHAnsi" w:hAnsiTheme="minorHAnsi" w:cstheme="minorHAnsi"/>
        </w:rPr>
        <w:t xml:space="preserve">and a decline in reliability of two of its MRI </w:t>
      </w:r>
      <w:r w:rsidR="00437C52" w:rsidRPr="00A84A77">
        <w:rPr>
          <w:rFonts w:asciiTheme="minorHAnsi" w:hAnsiTheme="minorHAnsi" w:cstheme="minorHAnsi"/>
        </w:rPr>
        <w:t>u</w:t>
      </w:r>
      <w:r w:rsidR="00B436B0" w:rsidRPr="00A84A77">
        <w:rPr>
          <w:rFonts w:asciiTheme="minorHAnsi" w:hAnsiTheme="minorHAnsi" w:cstheme="minorHAnsi"/>
        </w:rPr>
        <w:t>nits</w:t>
      </w:r>
      <w:r w:rsidR="00437C52" w:rsidRPr="00A84A77">
        <w:rPr>
          <w:rFonts w:asciiTheme="minorHAnsi" w:hAnsiTheme="minorHAnsi" w:cstheme="minorHAnsi"/>
        </w:rPr>
        <w:t>,</w:t>
      </w:r>
      <w:r w:rsidR="00B436B0" w:rsidRPr="00A84A77">
        <w:rPr>
          <w:rFonts w:asciiTheme="minorHAnsi" w:hAnsiTheme="minorHAnsi" w:cstheme="minorHAnsi"/>
        </w:rPr>
        <w:t xml:space="preserve"> </w:t>
      </w:r>
      <w:r w:rsidRPr="00A84A77">
        <w:rPr>
          <w:rFonts w:asciiTheme="minorHAnsi" w:hAnsiTheme="minorHAnsi" w:cstheme="minorHAnsi"/>
        </w:rPr>
        <w:t xml:space="preserve">all of which continue to </w:t>
      </w:r>
      <w:r w:rsidR="00437C52" w:rsidRPr="00A84A77">
        <w:rPr>
          <w:rFonts w:asciiTheme="minorHAnsi" w:hAnsiTheme="minorHAnsi" w:cstheme="minorHAnsi"/>
        </w:rPr>
        <w:t xml:space="preserve">impact </w:t>
      </w:r>
      <w:r w:rsidR="00B436B0" w:rsidRPr="00A84A77">
        <w:rPr>
          <w:rFonts w:asciiTheme="minorHAnsi" w:hAnsiTheme="minorHAnsi" w:cstheme="minorHAnsi"/>
        </w:rPr>
        <w:t>MRI throughput</w:t>
      </w:r>
      <w:r w:rsidRPr="00A84A77">
        <w:rPr>
          <w:rFonts w:asciiTheme="minorHAnsi" w:hAnsiTheme="minorHAnsi" w:cstheme="minorHAnsi"/>
        </w:rPr>
        <w:t>.</w:t>
      </w:r>
      <w:r w:rsidR="003657E5" w:rsidRPr="00A84A77">
        <w:rPr>
          <w:rFonts w:asciiTheme="minorHAnsi" w:hAnsiTheme="minorHAnsi" w:cstheme="minorHAnsi"/>
        </w:rPr>
        <w:t xml:space="preserve"> Further impacting throughput will be the increased demand for scans when the approved 70 new beds come into service.</w:t>
      </w:r>
    </w:p>
    <w:p w14:paraId="7FB3B9B8" w14:textId="77777777" w:rsidR="003125A0" w:rsidRPr="00A84A77" w:rsidRDefault="003125A0" w:rsidP="00A84A77">
      <w:pPr>
        <w:contextualSpacing/>
        <w:rPr>
          <w:rFonts w:asciiTheme="minorHAnsi" w:hAnsiTheme="minorHAnsi" w:cstheme="minorHAnsi"/>
        </w:rPr>
      </w:pPr>
    </w:p>
    <w:p w14:paraId="754CD5FA" w14:textId="24A68596" w:rsidR="003C5355" w:rsidRPr="00A84A77" w:rsidRDefault="003125A0" w:rsidP="00A84A77">
      <w:pPr>
        <w:contextualSpacing/>
        <w:rPr>
          <w:rFonts w:asciiTheme="minorHAnsi" w:hAnsiTheme="minorHAnsi" w:cstheme="minorHAnsi"/>
        </w:rPr>
      </w:pPr>
      <w:r w:rsidRPr="00A84A77">
        <w:rPr>
          <w:rFonts w:asciiTheme="minorHAnsi" w:hAnsiTheme="minorHAnsi" w:cstheme="minorHAnsi"/>
        </w:rPr>
        <w:t xml:space="preserve">Staff notes </w:t>
      </w:r>
      <w:r w:rsidR="003C5355" w:rsidRPr="00A84A77">
        <w:rPr>
          <w:rFonts w:asciiTheme="minorHAnsi" w:hAnsiTheme="minorHAnsi" w:cstheme="minorHAnsi"/>
        </w:rPr>
        <w:t xml:space="preserve">further </w:t>
      </w:r>
      <w:r w:rsidRPr="00A84A77">
        <w:rPr>
          <w:rFonts w:asciiTheme="minorHAnsi" w:hAnsiTheme="minorHAnsi" w:cstheme="minorHAnsi"/>
        </w:rPr>
        <w:t>that as a hospital</w:t>
      </w:r>
      <w:r w:rsidR="00B436B0" w:rsidRPr="00A84A77">
        <w:rPr>
          <w:rFonts w:asciiTheme="minorHAnsi" w:hAnsiTheme="minorHAnsi" w:cstheme="minorHAnsi"/>
        </w:rPr>
        <w:t xml:space="preserve"> that has a high</w:t>
      </w:r>
      <w:r w:rsidR="0020084A" w:rsidRPr="00A84A77">
        <w:rPr>
          <w:rFonts w:asciiTheme="minorHAnsi" w:hAnsiTheme="minorHAnsi" w:cstheme="minorHAnsi"/>
        </w:rPr>
        <w:t xml:space="preserve"> </w:t>
      </w:r>
      <w:r w:rsidR="00B436B0" w:rsidRPr="00A84A77">
        <w:rPr>
          <w:rFonts w:asciiTheme="minorHAnsi" w:hAnsiTheme="minorHAnsi" w:cstheme="minorHAnsi"/>
        </w:rPr>
        <w:t>percentage of patients on public payer plans or who are uninsured</w:t>
      </w:r>
      <w:r w:rsidRPr="00A84A77">
        <w:rPr>
          <w:rFonts w:asciiTheme="minorHAnsi" w:hAnsiTheme="minorHAnsi" w:cstheme="minorHAnsi"/>
        </w:rPr>
        <w:t>, this expansion</w:t>
      </w:r>
      <w:r w:rsidR="00B436B0" w:rsidRPr="00A84A77">
        <w:rPr>
          <w:rFonts w:asciiTheme="minorHAnsi" w:hAnsiTheme="minorHAnsi" w:cstheme="minorHAnsi"/>
        </w:rPr>
        <w:t xml:space="preserve"> in MRI capacity will</w:t>
      </w:r>
      <w:r w:rsidRPr="00A84A77">
        <w:rPr>
          <w:rFonts w:asciiTheme="minorHAnsi" w:hAnsiTheme="minorHAnsi" w:cstheme="minorHAnsi"/>
        </w:rPr>
        <w:t xml:space="preserve"> likely </w:t>
      </w:r>
      <w:r w:rsidR="008357D5" w:rsidRPr="00A84A77">
        <w:rPr>
          <w:rFonts w:asciiTheme="minorHAnsi" w:hAnsiTheme="minorHAnsi" w:cstheme="minorHAnsi"/>
        </w:rPr>
        <w:t xml:space="preserve">diminish delays in </w:t>
      </w:r>
      <w:r w:rsidRPr="00A84A77">
        <w:rPr>
          <w:rFonts w:asciiTheme="minorHAnsi" w:hAnsiTheme="minorHAnsi" w:cstheme="minorHAnsi"/>
        </w:rPr>
        <w:t xml:space="preserve">access for the most under-resourced patients and as a result, it is anticipated that BMC will continue playing a significant role in providing </w:t>
      </w:r>
      <w:r w:rsidR="00B436B0" w:rsidRPr="00A84A77">
        <w:rPr>
          <w:rFonts w:asciiTheme="minorHAnsi" w:hAnsiTheme="minorHAnsi" w:cstheme="minorHAnsi"/>
        </w:rPr>
        <w:t xml:space="preserve">timely </w:t>
      </w:r>
      <w:r w:rsidRPr="00A84A77">
        <w:rPr>
          <w:rFonts w:asciiTheme="minorHAnsi" w:hAnsiTheme="minorHAnsi" w:cstheme="minorHAnsi"/>
        </w:rPr>
        <w:t>emergency, inpatient, and ambulatory care to the area’s most vulnerable patients into the future.</w:t>
      </w:r>
      <w:r w:rsidRPr="00A84A77">
        <w:rPr>
          <w:rFonts w:asciiTheme="minorHAnsi" w:hAnsiTheme="minorHAnsi" w:cstheme="minorHAnsi"/>
          <w:vertAlign w:val="superscript"/>
        </w:rPr>
        <w:endnoteReference w:id="19"/>
      </w:r>
      <w:r w:rsidRPr="00A84A77">
        <w:rPr>
          <w:rFonts w:asciiTheme="minorHAnsi" w:hAnsiTheme="minorHAnsi" w:cstheme="minorHAnsi"/>
        </w:rPr>
        <w:t xml:space="preserve"> </w:t>
      </w:r>
      <w:r w:rsidR="008357D5" w:rsidRPr="00A84A77">
        <w:rPr>
          <w:rFonts w:asciiTheme="minorHAnsi" w:hAnsiTheme="minorHAnsi" w:cstheme="minorHAnsi"/>
        </w:rPr>
        <w:t>As a result, t</w:t>
      </w:r>
      <w:r w:rsidR="003C5355" w:rsidRPr="00A84A77">
        <w:rPr>
          <w:rFonts w:asciiTheme="minorHAnsi" w:hAnsiTheme="minorHAnsi" w:cstheme="minorHAnsi"/>
        </w:rPr>
        <w:t xml:space="preserve">he </w:t>
      </w:r>
      <w:r w:rsidR="00357FE9" w:rsidRPr="00A84A77">
        <w:rPr>
          <w:rFonts w:asciiTheme="minorHAnsi" w:hAnsiTheme="minorHAnsi" w:cstheme="minorHAnsi"/>
        </w:rPr>
        <w:t xml:space="preserve">increase in MRI throughput </w:t>
      </w:r>
      <w:r w:rsidR="008357D5" w:rsidRPr="00A84A77">
        <w:rPr>
          <w:rFonts w:asciiTheme="minorHAnsi" w:hAnsiTheme="minorHAnsi" w:cstheme="minorHAnsi"/>
        </w:rPr>
        <w:t>will improve</w:t>
      </w:r>
      <w:r w:rsidR="003C5355" w:rsidRPr="00A84A77">
        <w:rPr>
          <w:rFonts w:asciiTheme="minorHAnsi" w:hAnsiTheme="minorHAnsi" w:cstheme="minorHAnsi"/>
        </w:rPr>
        <w:t xml:space="preserve"> access to timely treatment in the appropriate setting, </w:t>
      </w:r>
      <w:r w:rsidR="00771199" w:rsidRPr="00A84A77">
        <w:rPr>
          <w:rFonts w:asciiTheme="minorHAnsi" w:hAnsiTheme="minorHAnsi" w:cstheme="minorHAnsi"/>
        </w:rPr>
        <w:t xml:space="preserve">and </w:t>
      </w:r>
      <w:r w:rsidR="00357FE9" w:rsidRPr="00A84A77">
        <w:rPr>
          <w:rFonts w:asciiTheme="minorHAnsi" w:hAnsiTheme="minorHAnsi" w:cstheme="minorHAnsi"/>
        </w:rPr>
        <w:t>reduce</w:t>
      </w:r>
      <w:r w:rsidR="003C5355" w:rsidRPr="00A84A77">
        <w:rPr>
          <w:rFonts w:asciiTheme="minorHAnsi" w:hAnsiTheme="minorHAnsi" w:cstheme="minorHAnsi"/>
        </w:rPr>
        <w:t xml:space="preserve"> risks associated with delayed </w:t>
      </w:r>
      <w:r w:rsidR="00357FE9" w:rsidRPr="00A84A77">
        <w:rPr>
          <w:rFonts w:asciiTheme="minorHAnsi" w:hAnsiTheme="minorHAnsi" w:cstheme="minorHAnsi"/>
        </w:rPr>
        <w:t xml:space="preserve">diagnosis and </w:t>
      </w:r>
      <w:r w:rsidR="003C5355" w:rsidRPr="00A84A77">
        <w:rPr>
          <w:rFonts w:asciiTheme="minorHAnsi" w:hAnsiTheme="minorHAnsi" w:cstheme="minorHAnsi"/>
        </w:rPr>
        <w:t>treatment</w:t>
      </w:r>
      <w:r w:rsidR="00F10A6D" w:rsidRPr="00A84A77">
        <w:rPr>
          <w:rFonts w:asciiTheme="minorHAnsi" w:hAnsiTheme="minorHAnsi" w:cstheme="minorHAnsi"/>
        </w:rPr>
        <w:t>,</w:t>
      </w:r>
      <w:r w:rsidR="003C5355" w:rsidRPr="00A84A77">
        <w:rPr>
          <w:rFonts w:asciiTheme="minorHAnsi" w:hAnsiTheme="minorHAnsi" w:cstheme="minorHAnsi"/>
        </w:rPr>
        <w:t xml:space="preserve"> </w:t>
      </w:r>
      <w:r w:rsidR="00437C52" w:rsidRPr="00A84A77">
        <w:rPr>
          <w:rFonts w:asciiTheme="minorHAnsi" w:hAnsiTheme="minorHAnsi" w:cstheme="minorHAnsi"/>
        </w:rPr>
        <w:t>which will improve outcomes and quality of life improving patient experience.</w:t>
      </w:r>
    </w:p>
    <w:p w14:paraId="55551B2D" w14:textId="1FB9C479" w:rsidR="003125A0" w:rsidRPr="00A84A77" w:rsidRDefault="003125A0" w:rsidP="00A84A77">
      <w:pPr>
        <w:contextualSpacing/>
        <w:rPr>
          <w:rFonts w:asciiTheme="minorHAnsi" w:hAnsiTheme="minorHAnsi" w:cstheme="minorHAnsi"/>
        </w:rPr>
      </w:pPr>
    </w:p>
    <w:p w14:paraId="77A025A0" w14:textId="56AA2F4D" w:rsidR="00F2081D" w:rsidRPr="00A84A77" w:rsidRDefault="008357D5" w:rsidP="00A84A77">
      <w:pPr>
        <w:contextualSpacing/>
        <w:rPr>
          <w:rFonts w:asciiTheme="minorHAnsi" w:hAnsiTheme="minorHAnsi" w:cstheme="minorHAnsi"/>
          <w:color w:val="000000" w:themeColor="text1"/>
        </w:rPr>
      </w:pPr>
      <w:r w:rsidRPr="00A84A77">
        <w:rPr>
          <w:rFonts w:asciiTheme="minorHAnsi" w:hAnsiTheme="minorHAnsi" w:cstheme="minorHAnsi"/>
        </w:rPr>
        <w:t>Staff finds that with the reporting measures in Appendix 1, the Applicant has sufficiently outlined a case for improved health outcomes and quality of life for its Patient Panel.</w:t>
      </w:r>
    </w:p>
    <w:p w14:paraId="55D06EEC" w14:textId="77777777" w:rsidR="00F2081D" w:rsidRPr="00A84A77" w:rsidRDefault="00F2081D" w:rsidP="00A84A77">
      <w:pPr>
        <w:contextualSpacing/>
        <w:rPr>
          <w:rFonts w:asciiTheme="minorHAnsi" w:hAnsiTheme="minorHAnsi" w:cstheme="minorHAnsi"/>
          <w:bCs/>
          <w:iCs/>
          <w:highlight w:val="yellow"/>
        </w:rPr>
      </w:pPr>
    </w:p>
    <w:p w14:paraId="49EA67DD" w14:textId="67232125" w:rsidR="00F2081D" w:rsidRPr="00A84A77" w:rsidRDefault="00F2081D" w:rsidP="00A84A77">
      <w:pPr>
        <w:pStyle w:val="Heading5"/>
        <w:rPr>
          <w:rFonts w:asciiTheme="minorHAnsi" w:hAnsiTheme="minorHAnsi" w:cstheme="minorHAnsi"/>
        </w:rPr>
      </w:pPr>
      <w:r w:rsidRPr="00A84A77">
        <w:rPr>
          <w:rFonts w:asciiTheme="minorHAnsi" w:hAnsiTheme="minorHAnsi" w:cstheme="minorHAnsi"/>
        </w:rPr>
        <w:t>Health Equity and Social Determinants of Health (SDoH)</w:t>
      </w:r>
    </w:p>
    <w:p w14:paraId="49E3912A" w14:textId="77777777" w:rsidR="00BB1C67" w:rsidRPr="00A84A77" w:rsidRDefault="00BB1C67" w:rsidP="00A84A77">
      <w:pPr>
        <w:rPr>
          <w:rFonts w:asciiTheme="minorHAnsi" w:hAnsiTheme="minorHAnsi" w:cstheme="minorHAnsi"/>
        </w:rPr>
      </w:pPr>
    </w:p>
    <w:p w14:paraId="409F6C44" w14:textId="26ED4BA3" w:rsidR="00F2081D" w:rsidRPr="00A84A77" w:rsidRDefault="00BF1786" w:rsidP="00A84A77">
      <w:pPr>
        <w:contextualSpacing/>
        <w:rPr>
          <w:rFonts w:asciiTheme="minorHAnsi" w:hAnsiTheme="minorHAnsi" w:cstheme="minorHAnsi"/>
        </w:rPr>
      </w:pPr>
      <w:r w:rsidRPr="00A84A77">
        <w:rPr>
          <w:rFonts w:asciiTheme="minorHAnsi" w:hAnsiTheme="minorHAnsi" w:cstheme="minorHAnsi"/>
        </w:rPr>
        <w:t>The Applicant affirms its commit</w:t>
      </w:r>
      <w:r w:rsidR="003154CE" w:rsidRPr="00A84A77">
        <w:rPr>
          <w:rFonts w:asciiTheme="minorHAnsi" w:hAnsiTheme="minorHAnsi" w:cstheme="minorHAnsi"/>
        </w:rPr>
        <w:t>ment</w:t>
      </w:r>
      <w:r w:rsidRPr="00A84A77">
        <w:rPr>
          <w:rFonts w:asciiTheme="minorHAnsi" w:hAnsiTheme="minorHAnsi" w:cstheme="minorHAnsi"/>
        </w:rPr>
        <w:t xml:space="preserve"> to he</w:t>
      </w:r>
      <w:r w:rsidR="003154CE" w:rsidRPr="00A84A77">
        <w:rPr>
          <w:rFonts w:asciiTheme="minorHAnsi" w:hAnsiTheme="minorHAnsi" w:cstheme="minorHAnsi"/>
        </w:rPr>
        <w:t>a</w:t>
      </w:r>
      <w:r w:rsidRPr="00A84A77">
        <w:rPr>
          <w:rFonts w:asciiTheme="minorHAnsi" w:hAnsiTheme="minorHAnsi" w:cstheme="minorHAnsi"/>
        </w:rPr>
        <w:t>lth equity for all patients and states that through the Proposed Project, it will improve the accessibility of BMC’s services for “the area’s most under-resourced patients.”</w:t>
      </w:r>
      <w:r w:rsidR="005C6923" w:rsidRPr="00A84A77">
        <w:rPr>
          <w:rStyle w:val="FootnoteReference"/>
          <w:rFonts w:asciiTheme="minorHAnsi" w:hAnsiTheme="minorHAnsi" w:cstheme="minorHAnsi"/>
        </w:rPr>
        <w:footnoteReference w:id="36"/>
      </w:r>
      <w:r w:rsidRPr="00A84A77">
        <w:rPr>
          <w:rFonts w:asciiTheme="minorHAnsi" w:hAnsiTheme="minorHAnsi" w:cstheme="minorHAnsi"/>
        </w:rPr>
        <w:t xml:space="preserve">  </w:t>
      </w:r>
      <w:r w:rsidR="00F2081D" w:rsidRPr="00A84A77">
        <w:rPr>
          <w:rFonts w:asciiTheme="minorHAnsi" w:hAnsiTheme="minorHAnsi" w:cstheme="minorHAnsi"/>
        </w:rPr>
        <w:t xml:space="preserve">The Applicant characterized its health equity and SDoH focus as a structural </w:t>
      </w:r>
      <w:r w:rsidR="00F2081D" w:rsidRPr="00A84A77">
        <w:rPr>
          <w:rFonts w:asciiTheme="minorHAnsi" w:hAnsiTheme="minorHAnsi" w:cstheme="minorHAnsi"/>
        </w:rPr>
        <w:lastRenderedPageBreak/>
        <w:t>part of BMC’s operations, asserting that its existing programs and efforts will be advanced through the Proposed Project</w:t>
      </w:r>
      <w:r w:rsidR="00C75546" w:rsidRPr="00A84A77">
        <w:rPr>
          <w:rFonts w:asciiTheme="minorHAnsi" w:hAnsiTheme="minorHAnsi" w:cstheme="minorHAnsi"/>
        </w:rPr>
        <w:t xml:space="preserve">. </w:t>
      </w:r>
      <w:r w:rsidR="009741C9" w:rsidRPr="00A84A77">
        <w:rPr>
          <w:rFonts w:asciiTheme="minorHAnsi" w:hAnsiTheme="minorHAnsi" w:cstheme="minorHAnsi"/>
        </w:rPr>
        <w:t>Highlights include</w:t>
      </w:r>
      <w:r w:rsidR="00F2081D" w:rsidRPr="00A84A77">
        <w:rPr>
          <w:rFonts w:asciiTheme="minorHAnsi" w:hAnsiTheme="minorHAnsi" w:cstheme="minorHAnsi"/>
        </w:rPr>
        <w:t>:</w:t>
      </w:r>
    </w:p>
    <w:p w14:paraId="787B62FC" w14:textId="77777777" w:rsidR="00B1418E" w:rsidRPr="00A84A77" w:rsidRDefault="00B1418E" w:rsidP="00A84A77">
      <w:pPr>
        <w:contextualSpacing/>
        <w:rPr>
          <w:rFonts w:asciiTheme="minorHAnsi" w:hAnsiTheme="minorHAnsi" w:cstheme="minorHAnsi"/>
          <w:bCs/>
        </w:rPr>
      </w:pPr>
    </w:p>
    <w:p w14:paraId="3F094485" w14:textId="0398FAA4" w:rsidR="00F2081D" w:rsidRPr="00A84A77" w:rsidRDefault="00935929" w:rsidP="00A84A77">
      <w:pPr>
        <w:pStyle w:val="ListParagraph"/>
        <w:numPr>
          <w:ilvl w:val="0"/>
          <w:numId w:val="4"/>
        </w:numPr>
        <w:rPr>
          <w:rFonts w:asciiTheme="minorHAnsi" w:hAnsiTheme="minorHAnsi" w:cstheme="minorHAnsi"/>
          <w:bCs/>
        </w:rPr>
      </w:pPr>
      <w:bookmarkStart w:id="47" w:name="_Hlk112419818"/>
      <w:r w:rsidRPr="00A84A77">
        <w:rPr>
          <w:rFonts w:asciiTheme="minorHAnsi" w:hAnsiTheme="minorHAnsi" w:cstheme="minorHAnsi"/>
          <w:bCs/>
        </w:rPr>
        <w:t xml:space="preserve">Health </w:t>
      </w:r>
      <w:r w:rsidR="00F2081D" w:rsidRPr="00A84A77">
        <w:rPr>
          <w:rFonts w:asciiTheme="minorHAnsi" w:hAnsiTheme="minorHAnsi" w:cstheme="minorHAnsi"/>
          <w:bCs/>
        </w:rPr>
        <w:t>Safety Net Hospital</w:t>
      </w:r>
    </w:p>
    <w:bookmarkEnd w:id="47"/>
    <w:p w14:paraId="619677A8" w14:textId="77777777" w:rsidR="00F2081D" w:rsidRPr="00A84A77" w:rsidRDefault="00F2081D" w:rsidP="00A84A77">
      <w:pPr>
        <w:pStyle w:val="ListParagraph"/>
        <w:numPr>
          <w:ilvl w:val="0"/>
          <w:numId w:val="4"/>
        </w:numPr>
        <w:rPr>
          <w:rFonts w:asciiTheme="minorHAnsi" w:hAnsiTheme="minorHAnsi" w:cstheme="minorHAnsi"/>
          <w:bCs/>
        </w:rPr>
      </w:pPr>
      <w:r w:rsidRPr="00A84A77">
        <w:rPr>
          <w:rFonts w:asciiTheme="minorHAnsi" w:hAnsiTheme="minorHAnsi" w:cstheme="minorHAnsi"/>
          <w:bCs/>
        </w:rPr>
        <w:t>#123 Equity Pledge Campaign</w:t>
      </w:r>
    </w:p>
    <w:p w14:paraId="647963F6" w14:textId="2836B1B6" w:rsidR="00F2081D" w:rsidRPr="00A84A77" w:rsidRDefault="00F2081D" w:rsidP="00A84A77">
      <w:pPr>
        <w:pStyle w:val="ListParagraph"/>
        <w:numPr>
          <w:ilvl w:val="0"/>
          <w:numId w:val="4"/>
        </w:numPr>
        <w:rPr>
          <w:rFonts w:asciiTheme="minorHAnsi" w:hAnsiTheme="minorHAnsi" w:cstheme="minorHAnsi"/>
          <w:bCs/>
        </w:rPr>
      </w:pPr>
      <w:bookmarkStart w:id="48" w:name="_Hlk112419952"/>
      <w:r w:rsidRPr="00A84A77">
        <w:rPr>
          <w:rFonts w:asciiTheme="minorHAnsi" w:hAnsiTheme="minorHAnsi" w:cstheme="minorHAnsi"/>
          <w:bCs/>
        </w:rPr>
        <w:t>Culturally Appropriate Care and Language Access</w:t>
      </w:r>
    </w:p>
    <w:p w14:paraId="554C5CD8" w14:textId="484EA0EC" w:rsidR="00272045" w:rsidRPr="00A84A77" w:rsidRDefault="00272045" w:rsidP="00A84A77">
      <w:pPr>
        <w:pStyle w:val="ListParagraph"/>
        <w:numPr>
          <w:ilvl w:val="0"/>
          <w:numId w:val="4"/>
        </w:numPr>
        <w:rPr>
          <w:rFonts w:asciiTheme="minorHAnsi" w:hAnsiTheme="minorHAnsi" w:cstheme="minorHAnsi"/>
          <w:bCs/>
        </w:rPr>
      </w:pPr>
      <w:r w:rsidRPr="00A84A77">
        <w:rPr>
          <w:rFonts w:asciiTheme="minorHAnsi" w:hAnsiTheme="minorHAnsi" w:cstheme="minorHAnsi"/>
          <w:bCs/>
        </w:rPr>
        <w:t xml:space="preserve">Health Equity </w:t>
      </w:r>
      <w:r w:rsidR="00494B29" w:rsidRPr="00A84A77">
        <w:rPr>
          <w:rFonts w:asciiTheme="minorHAnsi" w:hAnsiTheme="minorHAnsi" w:cstheme="minorHAnsi"/>
          <w:bCs/>
        </w:rPr>
        <w:t>Accelerator</w:t>
      </w:r>
    </w:p>
    <w:bookmarkEnd w:id="48"/>
    <w:p w14:paraId="1FFCBED8" w14:textId="77777777" w:rsidR="00F2081D" w:rsidRPr="00A84A77" w:rsidRDefault="00F2081D" w:rsidP="00A84A77">
      <w:pPr>
        <w:contextualSpacing/>
        <w:rPr>
          <w:rFonts w:asciiTheme="minorHAnsi" w:hAnsiTheme="minorHAnsi" w:cstheme="minorHAnsi"/>
          <w:bCs/>
        </w:rPr>
      </w:pPr>
    </w:p>
    <w:p w14:paraId="3E321C37" w14:textId="5F6494F1" w:rsidR="00F2081D" w:rsidRPr="00A84A77" w:rsidRDefault="00935929"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HSN Hospital</w:t>
      </w:r>
    </w:p>
    <w:p w14:paraId="2EB4CB5C" w14:textId="77777777" w:rsidR="009741C9" w:rsidRPr="00A84A77" w:rsidRDefault="009741C9" w:rsidP="00A84A77">
      <w:pPr>
        <w:contextualSpacing/>
        <w:rPr>
          <w:rFonts w:asciiTheme="minorHAnsi" w:hAnsiTheme="minorHAnsi" w:cstheme="minorHAnsi"/>
          <w:bCs/>
        </w:rPr>
      </w:pPr>
    </w:p>
    <w:p w14:paraId="23714937" w14:textId="3F68E017" w:rsidR="00CF4B8C" w:rsidRPr="00A84A77" w:rsidRDefault="00C915D1" w:rsidP="00A84A77">
      <w:pPr>
        <w:rPr>
          <w:rFonts w:asciiTheme="minorHAnsi" w:eastAsiaTheme="minorEastAsia" w:hAnsiTheme="minorHAnsi" w:cstheme="minorHAnsi"/>
        </w:rPr>
      </w:pPr>
      <w:r w:rsidRPr="00A84A77">
        <w:rPr>
          <w:rFonts w:asciiTheme="minorHAnsi" w:hAnsiTheme="minorHAnsi" w:cstheme="minorHAnsi"/>
        </w:rPr>
        <w:t xml:space="preserve">The Applicant states that </w:t>
      </w:r>
      <w:bookmarkStart w:id="49" w:name="_Int_KTR2U3Jl"/>
      <w:r w:rsidR="00F2081D" w:rsidRPr="00A84A77">
        <w:rPr>
          <w:rFonts w:asciiTheme="minorHAnsi" w:hAnsiTheme="minorHAnsi" w:cstheme="minorHAnsi"/>
        </w:rPr>
        <w:t>the majority of</w:t>
      </w:r>
      <w:bookmarkEnd w:id="49"/>
      <w:r w:rsidR="00F2081D" w:rsidRPr="00A84A77">
        <w:rPr>
          <w:rFonts w:asciiTheme="minorHAnsi" w:hAnsiTheme="minorHAnsi" w:cstheme="minorHAnsi"/>
        </w:rPr>
        <w:t xml:space="preserve"> communities that BMC serves are Boston census tracts that are federally designated medically underserved populations. </w:t>
      </w:r>
      <w:r w:rsidR="00BF1786" w:rsidRPr="00A84A77">
        <w:rPr>
          <w:rFonts w:asciiTheme="minorHAnsi" w:hAnsiTheme="minorHAnsi" w:cstheme="minorHAnsi"/>
        </w:rPr>
        <w:t>R</w:t>
      </w:r>
      <w:r w:rsidR="00F2081D" w:rsidRPr="00A84A77">
        <w:rPr>
          <w:rFonts w:asciiTheme="minorHAnsi" w:hAnsiTheme="minorHAnsi" w:cstheme="minorHAnsi"/>
          <w:color w:val="000000" w:themeColor="text1"/>
        </w:rPr>
        <w:t>esearch</w:t>
      </w:r>
      <w:r w:rsidR="00F2081D" w:rsidRPr="00A84A77">
        <w:rPr>
          <w:rFonts w:asciiTheme="minorHAnsi" w:hAnsiTheme="minorHAnsi" w:cstheme="minorHAnsi"/>
        </w:rPr>
        <w:t xml:space="preserve"> show</w:t>
      </w:r>
      <w:r w:rsidR="00BF1786" w:rsidRPr="00A84A77">
        <w:rPr>
          <w:rFonts w:asciiTheme="minorHAnsi" w:hAnsiTheme="minorHAnsi" w:cstheme="minorHAnsi"/>
        </w:rPr>
        <w:t>s</w:t>
      </w:r>
      <w:r w:rsidR="00F2081D" w:rsidRPr="00A84A77">
        <w:rPr>
          <w:rFonts w:asciiTheme="minorHAnsi" w:hAnsiTheme="minorHAnsi" w:cstheme="minorHAnsi"/>
        </w:rPr>
        <w:t xml:space="preserve"> that </w:t>
      </w:r>
      <w:r w:rsidR="00BF1786" w:rsidRPr="00A84A77">
        <w:rPr>
          <w:rFonts w:asciiTheme="minorHAnsi" w:hAnsiTheme="minorHAnsi" w:cstheme="minorHAnsi"/>
        </w:rPr>
        <w:t>after the implementation of health insurance reform</w:t>
      </w:r>
      <w:r w:rsidR="00A0721C" w:rsidRPr="00A84A77">
        <w:rPr>
          <w:rFonts w:asciiTheme="minorHAnsi" w:hAnsiTheme="minorHAnsi" w:cstheme="minorHAnsi"/>
        </w:rPr>
        <w:t>,</w:t>
      </w:r>
      <w:r w:rsidR="00BF1786" w:rsidRPr="00A84A77">
        <w:rPr>
          <w:rFonts w:asciiTheme="minorHAnsi" w:hAnsiTheme="minorHAnsi" w:cstheme="minorHAnsi"/>
        </w:rPr>
        <w:t xml:space="preserve"> </w:t>
      </w:r>
      <w:r w:rsidR="00F2081D" w:rsidRPr="00A84A77">
        <w:rPr>
          <w:rFonts w:asciiTheme="minorHAnsi" w:eastAsiaTheme="minorEastAsia" w:hAnsiTheme="minorHAnsi" w:cstheme="minorHAnsi"/>
        </w:rPr>
        <w:t xml:space="preserve">the proportion of </w:t>
      </w:r>
      <w:r w:rsidR="00BF1786" w:rsidRPr="00A84A77">
        <w:rPr>
          <w:rFonts w:asciiTheme="minorHAnsi" w:eastAsiaTheme="minorEastAsia" w:hAnsiTheme="minorHAnsi" w:cstheme="minorHAnsi"/>
        </w:rPr>
        <w:t xml:space="preserve">minority patient hospital </w:t>
      </w:r>
      <w:r w:rsidR="00F2081D" w:rsidRPr="00A84A77">
        <w:rPr>
          <w:rFonts w:asciiTheme="minorHAnsi" w:eastAsiaTheme="minorEastAsia" w:hAnsiTheme="minorHAnsi" w:cstheme="minorHAnsi"/>
        </w:rPr>
        <w:t>discharges at minority-serving hospitals in Massachusetts increased</w:t>
      </w:r>
      <w:r w:rsidR="00AA7C34" w:rsidRPr="00A84A77">
        <w:rPr>
          <w:rFonts w:asciiTheme="minorHAnsi" w:eastAsiaTheme="minorEastAsia" w:hAnsiTheme="minorHAnsi" w:cstheme="minorHAnsi"/>
        </w:rPr>
        <w:t xml:space="preserve"> despite the expanded access to </w:t>
      </w:r>
      <w:r w:rsidR="00C843CB" w:rsidRPr="00A84A77">
        <w:rPr>
          <w:rFonts w:asciiTheme="minorHAnsi" w:eastAsiaTheme="minorEastAsia" w:hAnsiTheme="minorHAnsi" w:cstheme="minorHAnsi"/>
        </w:rPr>
        <w:t>non-safety net hospitals</w:t>
      </w:r>
      <w:r w:rsidR="00BF1786" w:rsidRPr="00A84A77">
        <w:rPr>
          <w:rFonts w:asciiTheme="minorHAnsi" w:eastAsiaTheme="minorEastAsia" w:hAnsiTheme="minorHAnsi" w:cstheme="minorHAnsi"/>
        </w:rPr>
        <w:t xml:space="preserve">. </w:t>
      </w:r>
      <w:r w:rsidR="00F2081D" w:rsidRPr="00A84A77">
        <w:rPr>
          <w:rFonts w:asciiTheme="minorHAnsi" w:eastAsiaTheme="minorEastAsia" w:hAnsiTheme="minorHAnsi" w:cstheme="minorHAnsi"/>
        </w:rPr>
        <w:t xml:space="preserve">Researchers </w:t>
      </w:r>
      <w:r w:rsidR="00BF1786" w:rsidRPr="00A84A77">
        <w:rPr>
          <w:rFonts w:asciiTheme="minorHAnsi" w:eastAsiaTheme="minorEastAsia" w:hAnsiTheme="minorHAnsi" w:cstheme="minorHAnsi"/>
        </w:rPr>
        <w:t xml:space="preserve">suggest </w:t>
      </w:r>
      <w:r w:rsidR="00F2081D" w:rsidRPr="00A84A77">
        <w:rPr>
          <w:rFonts w:asciiTheme="minorHAnsi" w:eastAsiaTheme="minorEastAsia" w:hAnsiTheme="minorHAnsi" w:cstheme="minorHAnsi"/>
        </w:rPr>
        <w:t>several possible explanations for th</w:t>
      </w:r>
      <w:r w:rsidR="00BF1786" w:rsidRPr="00A84A77">
        <w:rPr>
          <w:rFonts w:asciiTheme="minorHAnsi" w:eastAsiaTheme="minorEastAsia" w:hAnsiTheme="minorHAnsi" w:cstheme="minorHAnsi"/>
        </w:rPr>
        <w:t>is</w:t>
      </w:r>
      <w:r w:rsidR="00F2081D" w:rsidRPr="00A84A77">
        <w:rPr>
          <w:rFonts w:asciiTheme="minorHAnsi" w:eastAsiaTheme="minorEastAsia" w:hAnsiTheme="minorHAnsi" w:cstheme="minorHAnsi"/>
        </w:rPr>
        <w:t xml:space="preserve"> increase over the study period</w:t>
      </w:r>
      <w:r w:rsidR="00F2081D" w:rsidRPr="00A84A77">
        <w:rPr>
          <w:rFonts w:asciiTheme="minorHAnsi" w:hAnsiTheme="minorHAnsi" w:cstheme="minorHAnsi"/>
        </w:rPr>
        <w:t xml:space="preserve"> </w:t>
      </w:r>
      <w:r w:rsidR="003154CE" w:rsidRPr="00A84A77">
        <w:rPr>
          <w:rFonts w:asciiTheme="minorHAnsi" w:eastAsiaTheme="minorEastAsia" w:hAnsiTheme="minorHAnsi" w:cstheme="minorHAnsi"/>
        </w:rPr>
        <w:t>includ</w:t>
      </w:r>
      <w:r w:rsidR="003154CE" w:rsidRPr="00A84A77">
        <w:rPr>
          <w:rFonts w:asciiTheme="minorHAnsi" w:hAnsiTheme="minorHAnsi" w:cstheme="minorHAnsi"/>
        </w:rPr>
        <w:t>ing</w:t>
      </w:r>
      <w:r w:rsidR="00BF1786" w:rsidRPr="00A84A77">
        <w:rPr>
          <w:rFonts w:asciiTheme="minorHAnsi" w:eastAsiaTheme="minorEastAsia" w:hAnsiTheme="minorHAnsi" w:cstheme="minorHAnsi"/>
        </w:rPr>
        <w:t xml:space="preserve"> patient </w:t>
      </w:r>
      <w:r w:rsidR="00F2081D" w:rsidRPr="00A84A77">
        <w:rPr>
          <w:rFonts w:asciiTheme="minorHAnsi" w:eastAsiaTheme="minorEastAsia" w:hAnsiTheme="minorHAnsi" w:cstheme="minorHAnsi"/>
        </w:rPr>
        <w:t xml:space="preserve">loyalty and </w:t>
      </w:r>
      <w:r w:rsidR="00F2081D" w:rsidRPr="00A84A77">
        <w:rPr>
          <w:rFonts w:asciiTheme="minorHAnsi" w:hAnsiTheme="minorHAnsi" w:cstheme="minorHAnsi"/>
        </w:rPr>
        <w:t xml:space="preserve">access to </w:t>
      </w:r>
      <w:r w:rsidR="00BC4A16" w:rsidRPr="00A84A77">
        <w:rPr>
          <w:rFonts w:asciiTheme="minorHAnsi" w:hAnsiTheme="minorHAnsi" w:cstheme="minorHAnsi"/>
        </w:rPr>
        <w:t xml:space="preserve">such </w:t>
      </w:r>
      <w:r w:rsidR="00F2081D" w:rsidRPr="00A84A77">
        <w:rPr>
          <w:rFonts w:asciiTheme="minorHAnsi" w:eastAsiaTheme="minorEastAsia" w:hAnsiTheme="minorHAnsi" w:cstheme="minorHAnsi"/>
        </w:rPr>
        <w:t>services as insurance assistance, interpretation, and intensive case management which are often unavailable at other facilities due to poor reimbursement rates.</w:t>
      </w:r>
      <w:r w:rsidR="00CF4B8C" w:rsidRPr="00A84A77">
        <w:rPr>
          <w:rStyle w:val="EndnoteReference"/>
          <w:rFonts w:asciiTheme="minorHAnsi" w:hAnsiTheme="minorHAnsi" w:cstheme="minorHAnsi"/>
        </w:rPr>
        <w:endnoteReference w:id="20"/>
      </w:r>
      <w:r w:rsidR="009741C9" w:rsidRPr="00A84A77">
        <w:rPr>
          <w:rFonts w:asciiTheme="minorHAnsi" w:eastAsiaTheme="minorEastAsia" w:hAnsiTheme="minorHAnsi" w:cstheme="minorHAnsi"/>
        </w:rPr>
        <w:t xml:space="preserve"> </w:t>
      </w:r>
    </w:p>
    <w:p w14:paraId="45609005" w14:textId="77777777" w:rsidR="009741C9" w:rsidRPr="00A84A77" w:rsidRDefault="009741C9" w:rsidP="00A84A77">
      <w:pPr>
        <w:jc w:val="both"/>
        <w:rPr>
          <w:rFonts w:asciiTheme="minorHAnsi" w:hAnsiTheme="minorHAnsi" w:cstheme="minorHAnsi"/>
        </w:rPr>
      </w:pPr>
    </w:p>
    <w:p w14:paraId="514D7F00" w14:textId="5DB509CA" w:rsidR="009741C9" w:rsidRPr="00A84A77" w:rsidRDefault="009741C9" w:rsidP="00A84A77">
      <w:pPr>
        <w:rPr>
          <w:rFonts w:asciiTheme="minorHAnsi" w:hAnsiTheme="minorHAnsi" w:cstheme="minorHAnsi"/>
        </w:rPr>
      </w:pPr>
      <w:r w:rsidRPr="00A84A77">
        <w:rPr>
          <w:rFonts w:asciiTheme="minorHAnsi" w:hAnsiTheme="minorHAnsi" w:cstheme="minorHAnsi"/>
        </w:rPr>
        <w:t>BMC’s MRI patient panel shows high percentages of patients who receive insurance coverage through a public payer</w:t>
      </w:r>
      <w:r w:rsidR="003D36F0" w:rsidRPr="00A84A77">
        <w:rPr>
          <w:rFonts w:asciiTheme="minorHAnsi" w:hAnsiTheme="minorHAnsi" w:cstheme="minorHAnsi"/>
        </w:rPr>
        <w:t>s</w:t>
      </w:r>
      <w:r w:rsidRPr="00A84A77">
        <w:rPr>
          <w:rFonts w:asciiTheme="minorHAnsi" w:hAnsiTheme="minorHAnsi" w:cstheme="minorHAnsi"/>
        </w:rPr>
        <w:t xml:space="preserve"> – in FY22, BMC’s MRI public payer mix included greater than 70% of all MRI patients.</w:t>
      </w:r>
    </w:p>
    <w:p w14:paraId="4C1297A6" w14:textId="77777777" w:rsidR="00F2081D" w:rsidRPr="00A84A77" w:rsidRDefault="00F2081D" w:rsidP="00A84A77">
      <w:pPr>
        <w:autoSpaceDE w:val="0"/>
        <w:autoSpaceDN w:val="0"/>
        <w:adjustRightInd w:val="0"/>
        <w:rPr>
          <w:rFonts w:asciiTheme="minorHAnsi" w:hAnsiTheme="minorHAnsi" w:cstheme="minorHAnsi"/>
        </w:rPr>
      </w:pPr>
    </w:p>
    <w:p w14:paraId="00509EE3" w14:textId="26CE3732" w:rsidR="00F2081D" w:rsidRPr="00A84A77" w:rsidRDefault="00F724A2" w:rsidP="00A84A77">
      <w:pPr>
        <w:pStyle w:val="ListParagraph"/>
        <w:numPr>
          <w:ilvl w:val="0"/>
          <w:numId w:val="13"/>
        </w:numPr>
        <w:autoSpaceDE w:val="0"/>
        <w:autoSpaceDN w:val="0"/>
        <w:adjustRightInd w:val="0"/>
        <w:rPr>
          <w:rFonts w:asciiTheme="minorHAnsi" w:hAnsiTheme="minorHAnsi" w:cstheme="minorHAnsi"/>
        </w:rPr>
      </w:pPr>
      <w:r w:rsidRPr="00A84A77">
        <w:rPr>
          <w:rFonts w:asciiTheme="minorHAnsi" w:hAnsiTheme="minorHAnsi" w:cstheme="minorHAnsi"/>
        </w:rPr>
        <w:t>#</w:t>
      </w:r>
      <w:r w:rsidR="00F2081D" w:rsidRPr="00A84A77">
        <w:rPr>
          <w:rFonts w:asciiTheme="minorHAnsi" w:hAnsiTheme="minorHAnsi" w:cstheme="minorHAnsi"/>
        </w:rPr>
        <w:t>123 Equity Pledge Campaign</w:t>
      </w:r>
    </w:p>
    <w:p w14:paraId="15A99BE4" w14:textId="77777777" w:rsidR="009741C9" w:rsidRPr="00A84A77" w:rsidRDefault="009741C9" w:rsidP="00A84A77">
      <w:pPr>
        <w:pStyle w:val="ListParagraph"/>
        <w:autoSpaceDE w:val="0"/>
        <w:autoSpaceDN w:val="0"/>
        <w:adjustRightInd w:val="0"/>
        <w:rPr>
          <w:rFonts w:asciiTheme="minorHAnsi" w:hAnsiTheme="minorHAnsi" w:cstheme="minorHAnsi"/>
        </w:rPr>
      </w:pPr>
    </w:p>
    <w:p w14:paraId="2FEC2D4D" w14:textId="3C304D8C" w:rsidR="00F2081D" w:rsidRPr="00A84A77" w:rsidRDefault="00F2081D" w:rsidP="00A84A77">
      <w:pPr>
        <w:autoSpaceDE w:val="0"/>
        <w:autoSpaceDN w:val="0"/>
        <w:adjustRightInd w:val="0"/>
        <w:rPr>
          <w:rFonts w:asciiTheme="minorHAnsi" w:hAnsiTheme="minorHAnsi" w:cstheme="minorHAnsi"/>
        </w:rPr>
      </w:pPr>
      <w:r w:rsidRPr="00A84A77">
        <w:rPr>
          <w:rFonts w:asciiTheme="minorHAnsi" w:hAnsiTheme="minorHAnsi" w:cstheme="minorHAnsi"/>
        </w:rPr>
        <w:t>BMC participates in the American Hospital Association’s #123Equity Pledge Campaign</w:t>
      </w:r>
      <w:r w:rsidRPr="00A84A77">
        <w:rPr>
          <w:rStyle w:val="FootnoteReference"/>
          <w:rFonts w:asciiTheme="minorHAnsi" w:hAnsiTheme="minorHAnsi" w:cstheme="minorHAnsi"/>
        </w:rPr>
        <w:footnoteReference w:id="37"/>
      </w:r>
      <w:r w:rsidRPr="00A84A77">
        <w:rPr>
          <w:rFonts w:asciiTheme="minorHAnsi" w:hAnsiTheme="minorHAnsi" w:cstheme="minorHAnsi"/>
        </w:rPr>
        <w:t xml:space="preserve">, which strives to eliminate health and health care disparities </w:t>
      </w:r>
      <w:r w:rsidR="003D36F0" w:rsidRPr="00A84A77">
        <w:rPr>
          <w:rFonts w:asciiTheme="minorHAnsi" w:hAnsiTheme="minorHAnsi" w:cstheme="minorHAnsi"/>
        </w:rPr>
        <w:t xml:space="preserve">among </w:t>
      </w:r>
      <w:r w:rsidRPr="00A84A77">
        <w:rPr>
          <w:rFonts w:asciiTheme="minorHAnsi" w:hAnsiTheme="minorHAnsi" w:cstheme="minorHAnsi"/>
        </w:rPr>
        <w:t>racially, ethnically and culturally diverse individuals and identifies area</w:t>
      </w:r>
      <w:r w:rsidR="003D36F0" w:rsidRPr="00A84A77">
        <w:rPr>
          <w:rFonts w:asciiTheme="minorHAnsi" w:hAnsiTheme="minorHAnsi" w:cstheme="minorHAnsi"/>
        </w:rPr>
        <w:t>s of focus on to</w:t>
      </w:r>
      <w:r w:rsidRPr="00A84A77">
        <w:rPr>
          <w:rFonts w:asciiTheme="minorHAnsi" w:hAnsiTheme="minorHAnsi" w:cstheme="minorHAnsi"/>
        </w:rPr>
        <w:t xml:space="preserve"> ensure high-quality, equitable care for everyone. BMC </w:t>
      </w:r>
      <w:r w:rsidR="004F5E18" w:rsidRPr="00A84A77">
        <w:rPr>
          <w:rFonts w:asciiTheme="minorHAnsi" w:hAnsiTheme="minorHAnsi" w:cstheme="minorHAnsi"/>
        </w:rPr>
        <w:t xml:space="preserve">describes </w:t>
      </w:r>
      <w:r w:rsidRPr="00A84A77">
        <w:rPr>
          <w:rFonts w:asciiTheme="minorHAnsi" w:hAnsiTheme="minorHAnsi" w:cstheme="minorHAnsi"/>
        </w:rPr>
        <w:t xml:space="preserve">examples </w:t>
      </w:r>
      <w:r w:rsidR="003D36F0" w:rsidRPr="00A84A77">
        <w:rPr>
          <w:rFonts w:asciiTheme="minorHAnsi" w:hAnsiTheme="minorHAnsi" w:cstheme="minorHAnsi"/>
        </w:rPr>
        <w:t xml:space="preserve">of </w:t>
      </w:r>
      <w:r w:rsidRPr="00A84A77">
        <w:rPr>
          <w:rFonts w:asciiTheme="minorHAnsi" w:hAnsiTheme="minorHAnsi" w:cstheme="minorHAnsi"/>
        </w:rPr>
        <w:t>progress in these areas through culturally appropriate care and language access</w:t>
      </w:r>
      <w:r w:rsidR="004F5E18" w:rsidRPr="00A84A77">
        <w:rPr>
          <w:rFonts w:asciiTheme="minorHAnsi" w:hAnsiTheme="minorHAnsi" w:cstheme="minorHAnsi"/>
        </w:rPr>
        <w:t>.</w:t>
      </w:r>
      <w:r w:rsidRPr="00A84A77">
        <w:rPr>
          <w:rFonts w:asciiTheme="minorHAnsi" w:hAnsiTheme="minorHAnsi" w:cstheme="minorHAnsi"/>
        </w:rPr>
        <w:t xml:space="preserve"> </w:t>
      </w:r>
    </w:p>
    <w:p w14:paraId="1292BDB7" w14:textId="77777777" w:rsidR="00F2081D" w:rsidRPr="00A84A77" w:rsidRDefault="00F2081D" w:rsidP="00A84A77">
      <w:pPr>
        <w:autoSpaceDE w:val="0"/>
        <w:autoSpaceDN w:val="0"/>
        <w:adjustRightInd w:val="0"/>
        <w:rPr>
          <w:rFonts w:asciiTheme="minorHAnsi" w:hAnsiTheme="minorHAnsi" w:cstheme="minorHAnsi"/>
        </w:rPr>
      </w:pPr>
    </w:p>
    <w:p w14:paraId="2284D612" w14:textId="31C40333" w:rsidR="00F2081D" w:rsidRPr="00A84A77" w:rsidRDefault="00F2081D"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Culturally Appropriate Care and Language Access</w:t>
      </w:r>
    </w:p>
    <w:p w14:paraId="47BB8E19" w14:textId="77777777" w:rsidR="009741C9" w:rsidRPr="00A84A77" w:rsidRDefault="009741C9" w:rsidP="00A84A77">
      <w:pPr>
        <w:pStyle w:val="ListParagraph"/>
        <w:rPr>
          <w:rFonts w:asciiTheme="minorHAnsi" w:hAnsiTheme="minorHAnsi" w:cstheme="minorHAnsi"/>
          <w:bCs/>
        </w:rPr>
      </w:pPr>
    </w:p>
    <w:p w14:paraId="5D153A0B" w14:textId="241BCFB9" w:rsidR="00F2081D" w:rsidRPr="00A84A77" w:rsidRDefault="00F2081D" w:rsidP="00A84A77">
      <w:pPr>
        <w:contextualSpacing/>
        <w:rPr>
          <w:rFonts w:asciiTheme="minorHAnsi" w:hAnsiTheme="minorHAnsi" w:cstheme="minorHAnsi"/>
        </w:rPr>
      </w:pPr>
      <w:r w:rsidRPr="00A84A77">
        <w:rPr>
          <w:rFonts w:asciiTheme="minorHAnsi" w:hAnsiTheme="minorHAnsi" w:cstheme="minorHAnsi"/>
        </w:rPr>
        <w:t xml:space="preserve">The Applicant </w:t>
      </w:r>
      <w:r w:rsidR="009741C9" w:rsidRPr="00A84A77">
        <w:rPr>
          <w:rFonts w:asciiTheme="minorHAnsi" w:hAnsiTheme="minorHAnsi" w:cstheme="minorHAnsi"/>
        </w:rPr>
        <w:t xml:space="preserve">has </w:t>
      </w:r>
      <w:r w:rsidRPr="00A84A77">
        <w:rPr>
          <w:rFonts w:asciiTheme="minorHAnsi" w:hAnsiTheme="minorHAnsi" w:cstheme="minorHAnsi"/>
        </w:rPr>
        <w:t>adopted the Culturally and Linguistically Appropriate Service (CLAS) standards in six areas, as per DPH’s guide to CLAS, many of which are connected with the #123Equity Pledge Campaign. These include</w:t>
      </w:r>
      <w:r w:rsidR="009741C9" w:rsidRPr="00A84A77">
        <w:rPr>
          <w:rFonts w:asciiTheme="minorHAnsi" w:hAnsiTheme="minorHAnsi" w:cstheme="minorHAnsi"/>
        </w:rPr>
        <w:t>:</w:t>
      </w:r>
      <w:r w:rsidRPr="00A84A77">
        <w:rPr>
          <w:rFonts w:asciiTheme="minorHAnsi" w:hAnsiTheme="minorHAnsi" w:cstheme="minorHAnsi"/>
        </w:rPr>
        <w:t xml:space="preserve"> Foster Cultural Competence, Build Community Partnerships, Collect and Share Diversity Data, Benchmark: Plan &amp; Evaluate, Reflect and Respect Diversity, and Ensure Language Access.</w:t>
      </w:r>
      <w:r w:rsidR="004F5E18" w:rsidRPr="00A84A77">
        <w:rPr>
          <w:rStyle w:val="FootnoteReference"/>
          <w:rFonts w:asciiTheme="minorHAnsi" w:hAnsiTheme="minorHAnsi" w:cstheme="minorHAnsi"/>
        </w:rPr>
        <w:footnoteReference w:id="38"/>
      </w:r>
    </w:p>
    <w:p w14:paraId="1260991B" w14:textId="77777777" w:rsidR="00F2081D" w:rsidRPr="00A84A77" w:rsidRDefault="00F2081D" w:rsidP="00A84A77">
      <w:pPr>
        <w:contextualSpacing/>
        <w:rPr>
          <w:rFonts w:asciiTheme="minorHAnsi" w:hAnsiTheme="minorHAnsi" w:cstheme="minorHAnsi"/>
        </w:rPr>
      </w:pPr>
    </w:p>
    <w:p w14:paraId="1EDE63DF" w14:textId="30147123" w:rsidR="00F2081D" w:rsidRPr="00A84A77" w:rsidRDefault="00F2081D" w:rsidP="00A84A77">
      <w:pPr>
        <w:contextualSpacing/>
        <w:rPr>
          <w:rFonts w:asciiTheme="minorHAnsi" w:hAnsiTheme="minorHAnsi" w:cstheme="minorHAnsi"/>
        </w:rPr>
      </w:pPr>
      <w:r w:rsidRPr="00A84A77">
        <w:rPr>
          <w:rFonts w:asciiTheme="minorHAnsi" w:hAnsiTheme="minorHAnsi" w:cstheme="minorHAnsi"/>
        </w:rPr>
        <w:t>The Applicant states that greater than one-quarter of BMC’s patients do not speak English as a primary language</w:t>
      </w:r>
      <w:r w:rsidR="005E2CC7" w:rsidRPr="00A84A77">
        <w:rPr>
          <w:rFonts w:asciiTheme="minorHAnsi" w:hAnsiTheme="minorHAnsi" w:cstheme="minorHAnsi"/>
        </w:rPr>
        <w:t xml:space="preserve"> and highlight</w:t>
      </w:r>
      <w:r w:rsidRPr="00A84A77">
        <w:rPr>
          <w:rFonts w:asciiTheme="minorHAnsi" w:hAnsiTheme="minorHAnsi" w:cstheme="minorHAnsi"/>
        </w:rPr>
        <w:t xml:space="preserve">s its efforts to reduce linguistic barriers for limited- English proficiency (“LEP”) and deaf and hard of hearing (“DHH”) patients seeking care through its Interpreter Services Department (“ISD”). </w:t>
      </w:r>
      <w:r w:rsidR="005E2CC7" w:rsidRPr="00A84A77">
        <w:rPr>
          <w:rFonts w:asciiTheme="minorHAnsi" w:hAnsiTheme="minorHAnsi" w:cstheme="minorHAnsi"/>
        </w:rPr>
        <w:t>A</w:t>
      </w:r>
      <w:r w:rsidRPr="00A84A77">
        <w:rPr>
          <w:rFonts w:asciiTheme="minorHAnsi" w:hAnsiTheme="minorHAnsi" w:cstheme="minorHAnsi"/>
        </w:rPr>
        <w:t>ll medical care and services</w:t>
      </w:r>
      <w:r w:rsidR="005E2CC7" w:rsidRPr="00A84A77">
        <w:rPr>
          <w:rFonts w:asciiTheme="minorHAnsi" w:hAnsiTheme="minorHAnsi" w:cstheme="minorHAnsi"/>
        </w:rPr>
        <w:t xml:space="preserve"> are offered</w:t>
      </w:r>
      <w:r w:rsidRPr="00A84A77">
        <w:rPr>
          <w:rFonts w:asciiTheme="minorHAnsi" w:hAnsiTheme="minorHAnsi" w:cstheme="minorHAnsi"/>
        </w:rPr>
        <w:t xml:space="preserve"> </w:t>
      </w:r>
      <w:r w:rsidR="005E2CC7" w:rsidRPr="00A84A77">
        <w:rPr>
          <w:rFonts w:asciiTheme="minorHAnsi" w:hAnsiTheme="minorHAnsi" w:cstheme="minorHAnsi"/>
        </w:rPr>
        <w:t>free o</w:t>
      </w:r>
      <w:r w:rsidR="00ED4FAE" w:rsidRPr="00A84A77">
        <w:rPr>
          <w:rFonts w:asciiTheme="minorHAnsi" w:hAnsiTheme="minorHAnsi" w:cstheme="minorHAnsi"/>
        </w:rPr>
        <w:t xml:space="preserve">f charge </w:t>
      </w:r>
      <w:r w:rsidRPr="00A84A77">
        <w:rPr>
          <w:rFonts w:asciiTheme="minorHAnsi" w:hAnsiTheme="minorHAnsi" w:cstheme="minorHAnsi"/>
        </w:rPr>
        <w:t xml:space="preserve">in 263+ languages (sixteen </w:t>
      </w:r>
      <w:r w:rsidRPr="00A84A77">
        <w:rPr>
          <w:rFonts w:asciiTheme="minorHAnsi" w:hAnsiTheme="minorHAnsi" w:cstheme="minorHAnsi"/>
        </w:rPr>
        <w:lastRenderedPageBreak/>
        <w:t xml:space="preserve">via in-person interpretation and 250+ </w:t>
      </w:r>
      <w:r w:rsidR="005E2CC7" w:rsidRPr="00A84A77">
        <w:rPr>
          <w:rFonts w:asciiTheme="minorHAnsi" w:hAnsiTheme="minorHAnsi" w:cstheme="minorHAnsi"/>
        </w:rPr>
        <w:t xml:space="preserve">are </w:t>
      </w:r>
      <w:r w:rsidRPr="00A84A77">
        <w:rPr>
          <w:rFonts w:asciiTheme="minorHAnsi" w:hAnsiTheme="minorHAnsi" w:cstheme="minorHAnsi"/>
        </w:rPr>
        <w:t>facilitated via necessary equipment and remote access</w:t>
      </w:r>
      <w:r w:rsidRPr="00A84A77">
        <w:rPr>
          <w:rStyle w:val="FootnoteReference"/>
          <w:rFonts w:asciiTheme="minorHAnsi" w:hAnsiTheme="minorHAnsi" w:cstheme="minorHAnsi"/>
        </w:rPr>
        <w:footnoteReference w:id="39"/>
      </w:r>
      <w:r w:rsidRPr="00A84A77">
        <w:rPr>
          <w:rFonts w:asciiTheme="minorHAnsi" w:hAnsiTheme="minorHAnsi" w:cstheme="minorHAnsi"/>
        </w:rPr>
        <w:t xml:space="preserve">) 24 hours per day and 7 days per week including holidays. The ISD a team </w:t>
      </w:r>
      <w:r w:rsidR="007A58C2" w:rsidRPr="00A84A77">
        <w:rPr>
          <w:rFonts w:asciiTheme="minorHAnsi" w:hAnsiTheme="minorHAnsi" w:cstheme="minorHAnsi"/>
        </w:rPr>
        <w:t xml:space="preserve">is comprised </w:t>
      </w:r>
      <w:r w:rsidRPr="00A84A77">
        <w:rPr>
          <w:rFonts w:asciiTheme="minorHAnsi" w:hAnsiTheme="minorHAnsi" w:cstheme="minorHAnsi"/>
        </w:rPr>
        <w:t>of approximately sixty (60) professional medical interpreters</w:t>
      </w:r>
      <w:r w:rsidRPr="00A84A77">
        <w:rPr>
          <w:rStyle w:val="FootnoteReference"/>
          <w:rFonts w:asciiTheme="minorHAnsi" w:hAnsiTheme="minorHAnsi" w:cstheme="minorHAnsi"/>
        </w:rPr>
        <w:footnoteReference w:id="40"/>
      </w:r>
      <w:r w:rsidRPr="00A84A77">
        <w:rPr>
          <w:rFonts w:asciiTheme="minorHAnsi" w:hAnsiTheme="minorHAnsi" w:cstheme="minorHAnsi"/>
        </w:rPr>
        <w:t xml:space="preserve"> or language facilitators to help patients receive the care they need by enabling the provider and patient to effectively communicate, thereby ensuring equal access to care. This includes providing necessary equipment to the visually, speech and hearing impaired.</w:t>
      </w:r>
    </w:p>
    <w:p w14:paraId="54AA2B4A" w14:textId="655DF2B1" w:rsidR="00F2081D" w:rsidRPr="00A84A77" w:rsidRDefault="00F2081D" w:rsidP="00A84A77">
      <w:pPr>
        <w:autoSpaceDE w:val="0"/>
        <w:autoSpaceDN w:val="0"/>
        <w:adjustRightInd w:val="0"/>
        <w:rPr>
          <w:rFonts w:asciiTheme="minorHAnsi" w:hAnsiTheme="minorHAnsi" w:cstheme="minorHAnsi"/>
        </w:rPr>
      </w:pPr>
    </w:p>
    <w:p w14:paraId="60346FC1" w14:textId="662BB37B" w:rsidR="00272045" w:rsidRPr="00A84A77" w:rsidRDefault="00272045"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 xml:space="preserve">Health Equity </w:t>
      </w:r>
      <w:r w:rsidR="00F90CCA" w:rsidRPr="00A84A77">
        <w:rPr>
          <w:rFonts w:asciiTheme="minorHAnsi" w:hAnsiTheme="minorHAnsi" w:cstheme="minorHAnsi"/>
          <w:bCs/>
        </w:rPr>
        <w:t>Accelerator</w:t>
      </w:r>
    </w:p>
    <w:p w14:paraId="162009FC" w14:textId="77777777" w:rsidR="009741C9" w:rsidRPr="00A84A77" w:rsidRDefault="009741C9" w:rsidP="00A84A77">
      <w:pPr>
        <w:pStyle w:val="ListParagraph"/>
        <w:rPr>
          <w:rFonts w:asciiTheme="minorHAnsi" w:hAnsiTheme="minorHAnsi" w:cstheme="minorHAnsi"/>
          <w:bCs/>
        </w:rPr>
      </w:pPr>
    </w:p>
    <w:p w14:paraId="7F6595C6" w14:textId="556E6C9A" w:rsidR="00272045" w:rsidRPr="00A84A77" w:rsidRDefault="00B67275" w:rsidP="00A84A77">
      <w:pPr>
        <w:autoSpaceDE w:val="0"/>
        <w:autoSpaceDN w:val="0"/>
        <w:adjustRightInd w:val="0"/>
        <w:rPr>
          <w:rStyle w:val="normaltextrun"/>
          <w:rFonts w:asciiTheme="minorHAnsi" w:hAnsiTheme="minorHAnsi" w:cstheme="minorHAnsi"/>
        </w:rPr>
      </w:pPr>
      <w:r w:rsidRPr="00A84A77">
        <w:rPr>
          <w:rFonts w:asciiTheme="minorHAnsi" w:hAnsiTheme="minorHAnsi" w:cstheme="minorHAnsi"/>
        </w:rPr>
        <w:t>The Applicant states that patients benefit when all patients receive the care and services that they need in the appropriate setting and by a diverse staff. I</w:t>
      </w:r>
      <w:r w:rsidR="00B1418E" w:rsidRPr="00A84A77">
        <w:rPr>
          <w:rStyle w:val="normaltextrun"/>
          <w:rFonts w:asciiTheme="minorHAnsi" w:hAnsiTheme="minorHAnsi" w:cstheme="minorHAnsi"/>
        </w:rPr>
        <w:t>n 2021, BMC launched its Health Equity Accelerator with the vision of transforming health care to health justice and well-being</w:t>
      </w:r>
      <w:r w:rsidR="000B1A3A" w:rsidRPr="00A84A77">
        <w:rPr>
          <w:rFonts w:asciiTheme="minorHAnsi" w:hAnsiTheme="minorHAnsi" w:cstheme="minorHAnsi"/>
        </w:rPr>
        <w:t xml:space="preserve"> through </w:t>
      </w:r>
      <w:r w:rsidR="00272045" w:rsidRPr="00A84A77">
        <w:rPr>
          <w:rFonts w:asciiTheme="minorHAnsi" w:hAnsiTheme="minorHAnsi" w:cstheme="minorHAnsi"/>
        </w:rPr>
        <w:t>understand</w:t>
      </w:r>
      <w:r w:rsidR="000B1A3A" w:rsidRPr="00A84A77">
        <w:rPr>
          <w:rFonts w:asciiTheme="minorHAnsi" w:hAnsiTheme="minorHAnsi" w:cstheme="minorHAnsi"/>
        </w:rPr>
        <w:t xml:space="preserve">ing </w:t>
      </w:r>
      <w:r w:rsidR="00272045" w:rsidRPr="00A84A77">
        <w:rPr>
          <w:rFonts w:asciiTheme="minorHAnsi" w:hAnsiTheme="minorHAnsi" w:cstheme="minorHAnsi"/>
        </w:rPr>
        <w:t>and address</w:t>
      </w:r>
      <w:r w:rsidR="000B1A3A" w:rsidRPr="00A84A77">
        <w:rPr>
          <w:rFonts w:asciiTheme="minorHAnsi" w:hAnsiTheme="minorHAnsi" w:cstheme="minorHAnsi"/>
        </w:rPr>
        <w:t>ing</w:t>
      </w:r>
      <w:r w:rsidR="00272045" w:rsidRPr="00A84A77">
        <w:rPr>
          <w:rFonts w:asciiTheme="minorHAnsi" w:hAnsiTheme="minorHAnsi" w:cstheme="minorHAnsi"/>
        </w:rPr>
        <w:t xml:space="preserve"> drivers of racial inequities, </w:t>
      </w:r>
      <w:r w:rsidR="00331A0C" w:rsidRPr="00A84A77">
        <w:rPr>
          <w:rFonts w:asciiTheme="minorHAnsi" w:hAnsiTheme="minorHAnsi" w:cstheme="minorHAnsi"/>
        </w:rPr>
        <w:t>through</w:t>
      </w:r>
      <w:r w:rsidR="00272045" w:rsidRPr="00A84A77">
        <w:rPr>
          <w:rFonts w:asciiTheme="minorHAnsi" w:hAnsiTheme="minorHAnsi" w:cstheme="minorHAnsi"/>
        </w:rPr>
        <w:t xml:space="preserve"> (1) revisiting conclusions derived from standard statistical analyses; (2) adopting a mindset that if you do not find an inequity, you need to look harder; (3) seeking novel insights through primary research with the appropriate mix of patients; and (4) engaging with community members to achieve both insights and impact.</w:t>
      </w:r>
      <w:r w:rsidR="00CF4B8C" w:rsidRPr="00A84A77">
        <w:rPr>
          <w:rStyle w:val="EndnoteReference"/>
          <w:rFonts w:asciiTheme="minorHAnsi" w:hAnsiTheme="minorHAnsi" w:cstheme="minorHAnsi"/>
        </w:rPr>
        <w:endnoteReference w:id="21"/>
      </w:r>
      <w:r w:rsidR="00CF4B8C" w:rsidRPr="00A84A77">
        <w:rPr>
          <w:rFonts w:asciiTheme="minorHAnsi" w:hAnsiTheme="minorHAnsi" w:cstheme="minorHAnsi"/>
        </w:rPr>
        <w:t xml:space="preserve"> </w:t>
      </w:r>
      <w:r w:rsidR="00331A0C" w:rsidRPr="00A84A77">
        <w:rPr>
          <w:rFonts w:asciiTheme="minorHAnsi" w:hAnsiTheme="minorHAnsi" w:cstheme="minorHAnsi"/>
        </w:rPr>
        <w:t>C</w:t>
      </w:r>
      <w:r w:rsidR="00CF4B8C" w:rsidRPr="00A84A77">
        <w:rPr>
          <w:rFonts w:asciiTheme="minorHAnsi" w:hAnsiTheme="minorHAnsi" w:cstheme="minorHAnsi"/>
        </w:rPr>
        <w:t>are teams are seeking to understand how a health system perpetuates health inequities by looking internally to determine where inequities are in the patient population, understand the associated drivers, and take accountability.</w:t>
      </w:r>
      <w:r w:rsidR="00CF4B8C" w:rsidRPr="00A84A77">
        <w:rPr>
          <w:rStyle w:val="EndnoteReference"/>
          <w:rFonts w:asciiTheme="minorHAnsi" w:hAnsiTheme="minorHAnsi" w:cstheme="minorHAnsi"/>
        </w:rPr>
        <w:endnoteReference w:id="22"/>
      </w:r>
      <w:r w:rsidR="00CF4B8C" w:rsidRPr="00A84A77">
        <w:rPr>
          <w:rFonts w:asciiTheme="minorHAnsi" w:hAnsiTheme="minorHAnsi" w:cstheme="minorHAnsi"/>
        </w:rPr>
        <w:t xml:space="preserve"> </w:t>
      </w:r>
    </w:p>
    <w:p w14:paraId="348A1334" w14:textId="77777777" w:rsidR="00F2081D" w:rsidRPr="00A84A77" w:rsidRDefault="00F2081D" w:rsidP="00A84A77">
      <w:pPr>
        <w:spacing w:after="120"/>
        <w:contextualSpacing/>
        <w:rPr>
          <w:rFonts w:asciiTheme="minorHAnsi" w:hAnsiTheme="minorHAnsi" w:cstheme="minorHAnsi"/>
        </w:rPr>
      </w:pPr>
    </w:p>
    <w:p w14:paraId="300F7A0C" w14:textId="44F0C764" w:rsidR="00F2081D" w:rsidRPr="00A84A77" w:rsidRDefault="00F2081D" w:rsidP="00A84A77">
      <w:pPr>
        <w:contextualSpacing/>
        <w:rPr>
          <w:rFonts w:asciiTheme="minorHAnsi" w:hAnsiTheme="minorHAnsi" w:cstheme="minorHAnsi"/>
          <w:b/>
          <w:i/>
        </w:rPr>
      </w:pPr>
      <w:r w:rsidRPr="00A84A77">
        <w:rPr>
          <w:rFonts w:asciiTheme="minorHAnsi" w:hAnsiTheme="minorHAnsi" w:cstheme="minorHAnsi"/>
          <w:b/>
          <w:i/>
        </w:rPr>
        <w:t>Analysis</w:t>
      </w:r>
    </w:p>
    <w:p w14:paraId="641E2FDA" w14:textId="77777777" w:rsidR="0072068A" w:rsidRPr="00A84A77" w:rsidRDefault="0072068A" w:rsidP="00A84A77">
      <w:pPr>
        <w:contextualSpacing/>
        <w:rPr>
          <w:rFonts w:asciiTheme="minorHAnsi" w:hAnsiTheme="minorHAnsi" w:cstheme="minorHAnsi"/>
          <w:b/>
          <w:i/>
        </w:rPr>
      </w:pPr>
    </w:p>
    <w:p w14:paraId="5CC9F520" w14:textId="77777777"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 xml:space="preserve">DoN staff assessed the Proposed Project’s impact on equitable access to care. The Interpreter Services, SDoH screening, and campaigns/initiatives demonstrate BMC’s commitment to promoting health equity. </w:t>
      </w:r>
    </w:p>
    <w:p w14:paraId="4ACDB380" w14:textId="77777777" w:rsidR="00F2081D" w:rsidRPr="00A84A77" w:rsidRDefault="00F2081D" w:rsidP="00A84A77">
      <w:pPr>
        <w:contextualSpacing/>
        <w:rPr>
          <w:rFonts w:asciiTheme="minorHAnsi" w:hAnsiTheme="minorHAnsi" w:cstheme="minorHAnsi"/>
          <w:color w:val="000000"/>
        </w:rPr>
      </w:pPr>
    </w:p>
    <w:p w14:paraId="506C1E66" w14:textId="77777777"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5ED71448" w14:textId="77777777" w:rsidR="00F2081D" w:rsidRPr="00A84A77" w:rsidRDefault="00F2081D" w:rsidP="00A84A77">
      <w:pPr>
        <w:contextualSpacing/>
        <w:rPr>
          <w:rFonts w:asciiTheme="minorHAnsi" w:hAnsiTheme="minorHAnsi" w:cstheme="minorHAnsi"/>
          <w:color w:val="000000"/>
        </w:rPr>
      </w:pPr>
    </w:p>
    <w:p w14:paraId="7C31F734" w14:textId="52BE13CF"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Staff finds that with the standard condition</w:t>
      </w:r>
      <w:r w:rsidR="00F724A2" w:rsidRPr="00A84A77">
        <w:rPr>
          <w:rFonts w:asciiTheme="minorHAnsi" w:hAnsiTheme="minorHAnsi" w:cstheme="minorHAnsi"/>
          <w:color w:val="000000"/>
        </w:rPr>
        <w:t>s</w:t>
      </w:r>
      <w:r w:rsidRPr="00A84A77">
        <w:rPr>
          <w:rFonts w:asciiTheme="minorHAnsi" w:hAnsiTheme="minorHAnsi" w:cstheme="minorHAnsi"/>
          <w:color w:val="000000"/>
        </w:rPr>
        <w:t xml:space="preserve">, the Applicant has sufficiently outlined a </w:t>
      </w:r>
      <w:r w:rsidR="00F724A2" w:rsidRPr="00A84A77">
        <w:rPr>
          <w:rFonts w:asciiTheme="minorHAnsi" w:hAnsiTheme="minorHAnsi" w:cstheme="minorHAnsi"/>
          <w:color w:val="000000"/>
        </w:rPr>
        <w:t>case</w:t>
      </w:r>
      <w:r w:rsidRPr="00A84A77">
        <w:rPr>
          <w:rFonts w:asciiTheme="minorHAnsi" w:hAnsiTheme="minorHAnsi" w:cstheme="minorHAnsi"/>
          <w:color w:val="000000"/>
        </w:rPr>
        <w:t xml:space="preserve"> for improved health outcomes and health equity.</w:t>
      </w:r>
    </w:p>
    <w:p w14:paraId="4E8BED05" w14:textId="54E6DBB1" w:rsidR="00BB7B4F" w:rsidRPr="00392811" w:rsidRDefault="5D11DFB0" w:rsidP="00D12538">
      <w:pPr>
        <w:pStyle w:val="Heading2"/>
        <w:rPr>
          <w:rFonts w:asciiTheme="minorHAnsi" w:hAnsiTheme="minorHAnsi" w:cstheme="minorHAnsi"/>
        </w:rPr>
      </w:pPr>
      <w:bookmarkStart w:id="50" w:name="_Toc148704457"/>
      <w:r w:rsidRPr="00392811">
        <w:rPr>
          <w:rFonts w:asciiTheme="minorHAnsi" w:hAnsiTheme="minorHAnsi" w:cstheme="minorHAnsi"/>
          <w:color w:val="004F9E"/>
        </w:rPr>
        <w:t xml:space="preserve">Factor 1: c) </w:t>
      </w:r>
      <w:r w:rsidR="25731884" w:rsidRPr="00392811">
        <w:rPr>
          <w:rFonts w:asciiTheme="minorHAnsi" w:hAnsiTheme="minorHAnsi" w:cstheme="minorHAnsi"/>
          <w:color w:val="004F9E"/>
        </w:rPr>
        <w:t>Efficiency, Continuity of Care, Coordination of Care</w:t>
      </w:r>
      <w:bookmarkStart w:id="51" w:name="_Toc17322393"/>
      <w:bookmarkStart w:id="52" w:name="_Toc17748465"/>
      <w:bookmarkEnd w:id="39"/>
      <w:bookmarkEnd w:id="50"/>
    </w:p>
    <w:bookmarkEnd w:id="40"/>
    <w:bookmarkEnd w:id="41"/>
    <w:bookmarkEnd w:id="51"/>
    <w:bookmarkEnd w:id="52"/>
    <w:p w14:paraId="76AC902C" w14:textId="14FF2DC3" w:rsidR="00F724A2" w:rsidRDefault="00F724A2" w:rsidP="000F669E">
      <w:pPr>
        <w:contextualSpacing/>
        <w:rPr>
          <w:rFonts w:asciiTheme="minorHAnsi" w:hAnsiTheme="minorHAnsi" w:cstheme="minorHAnsi"/>
        </w:rPr>
      </w:pPr>
    </w:p>
    <w:p w14:paraId="11BDF5A7" w14:textId="2A10F75C" w:rsidR="00B86037" w:rsidRPr="00B86037" w:rsidRDefault="00B86037" w:rsidP="00B86037">
      <w:pPr>
        <w:contextualSpacing/>
        <w:rPr>
          <w:rFonts w:ascii="Calibri" w:hAnsi="Calibri" w:cs="Calibri"/>
        </w:rPr>
      </w:pPr>
      <w:r w:rsidRPr="00B86037">
        <w:rPr>
          <w:rFonts w:ascii="Calibri" w:hAnsi="Calibri" w:cs="Calibri"/>
        </w:rPr>
        <w:t>Following implementation of the Proposed Project, BMC plans to continue its existing process for population health management to ensure efficiency in continuity and coordination of care. While these are not uniquely developed for MRI patients,</w:t>
      </w:r>
      <w:r>
        <w:rPr>
          <w:rFonts w:ascii="Calibri" w:hAnsi="Calibri" w:cs="Calibri"/>
        </w:rPr>
        <w:t xml:space="preserve"> they will b</w:t>
      </w:r>
      <w:r w:rsidRPr="00B86037">
        <w:rPr>
          <w:rFonts w:ascii="Calibri" w:hAnsi="Calibri" w:cs="Calibri"/>
        </w:rPr>
        <w:t>enefit from them</w:t>
      </w:r>
      <w:r>
        <w:rPr>
          <w:rFonts w:ascii="Calibri" w:hAnsi="Calibri" w:cs="Calibri"/>
        </w:rPr>
        <w:t xml:space="preserve"> where applicable</w:t>
      </w:r>
      <w:r w:rsidRPr="00B86037">
        <w:rPr>
          <w:rFonts w:ascii="Calibri" w:hAnsi="Calibri" w:cs="Calibri"/>
        </w:rPr>
        <w:t>. These processes have three components: 1) discharge and readmissions programming, 2) Complex Care Management (“CCM”) programming, and 3) Screening protocols.</w:t>
      </w:r>
    </w:p>
    <w:p w14:paraId="3F85B12E" w14:textId="77777777" w:rsidR="00B86037" w:rsidRPr="00B86037" w:rsidRDefault="00B86037" w:rsidP="00B86037">
      <w:pPr>
        <w:contextualSpacing/>
        <w:rPr>
          <w:rFonts w:ascii="Calibri" w:hAnsi="Calibri" w:cs="Calibri"/>
          <w:color w:val="2F5897"/>
        </w:rPr>
      </w:pPr>
    </w:p>
    <w:p w14:paraId="06EAFD51" w14:textId="3D3DC959" w:rsidR="00B86037" w:rsidRDefault="00B86037" w:rsidP="00B86037">
      <w:pPr>
        <w:rPr>
          <w:rFonts w:ascii="Calibri" w:hAnsi="Calibri" w:cs="Calibri"/>
        </w:rPr>
      </w:pPr>
      <w:r w:rsidRPr="00B86037">
        <w:rPr>
          <w:rFonts w:ascii="Calibri" w:hAnsi="Calibri" w:cs="Calibri"/>
        </w:rPr>
        <w:t xml:space="preserve">1. Discharge and </w:t>
      </w:r>
      <w:r w:rsidR="00964181">
        <w:rPr>
          <w:rFonts w:ascii="Calibri" w:hAnsi="Calibri" w:cs="Calibri"/>
        </w:rPr>
        <w:t>R</w:t>
      </w:r>
      <w:r w:rsidRPr="00B86037">
        <w:rPr>
          <w:rFonts w:ascii="Calibri" w:hAnsi="Calibri" w:cs="Calibri"/>
        </w:rPr>
        <w:t>eadmissions programming</w:t>
      </w:r>
    </w:p>
    <w:p w14:paraId="06622D02" w14:textId="77777777" w:rsidR="003657E5" w:rsidRPr="00B86037" w:rsidRDefault="003657E5" w:rsidP="00B86037">
      <w:pPr>
        <w:rPr>
          <w:rFonts w:ascii="Calibri" w:hAnsi="Calibri" w:cs="Calibri"/>
        </w:rPr>
      </w:pPr>
    </w:p>
    <w:p w14:paraId="0004CA78" w14:textId="23FACEBB" w:rsidR="00B86037" w:rsidRDefault="00B86037" w:rsidP="00B86037">
      <w:pPr>
        <w:contextualSpacing/>
        <w:rPr>
          <w:rFonts w:ascii="Calibri" w:eastAsia="Calibri" w:hAnsi="Calibri" w:cs="Calibri"/>
        </w:rPr>
      </w:pPr>
      <w:r w:rsidRPr="00B86037">
        <w:rPr>
          <w:rFonts w:ascii="Calibri" w:hAnsi="Calibri" w:cs="Calibri"/>
        </w:rPr>
        <w:t xml:space="preserve">The Applicant described </w:t>
      </w:r>
      <w:r w:rsidR="00860D1D">
        <w:rPr>
          <w:rFonts w:ascii="Calibri" w:hAnsi="Calibri" w:cs="Calibri"/>
        </w:rPr>
        <w:t xml:space="preserve">several </w:t>
      </w:r>
      <w:r w:rsidRPr="00B86037">
        <w:rPr>
          <w:rFonts w:ascii="Calibri" w:hAnsi="Calibri" w:cs="Calibri"/>
        </w:rPr>
        <w:t xml:space="preserve">discharge interventions that help link patients to needed services, prevent </w:t>
      </w:r>
      <w:r w:rsidR="00EE5A36" w:rsidRPr="00B86037">
        <w:rPr>
          <w:rFonts w:ascii="Calibri" w:hAnsi="Calibri" w:cs="Calibri"/>
        </w:rPr>
        <w:t>readmissions,</w:t>
      </w:r>
      <w:r w:rsidRPr="00B86037">
        <w:rPr>
          <w:rFonts w:ascii="Calibri" w:hAnsi="Calibri" w:cs="Calibri"/>
        </w:rPr>
        <w:t xml:space="preserve"> and improve health outcomes</w:t>
      </w:r>
      <w:r w:rsidR="00690246">
        <w:rPr>
          <w:rFonts w:ascii="Calibri" w:hAnsi="Calibri" w:cs="Calibri"/>
        </w:rPr>
        <w:t xml:space="preserve">. </w:t>
      </w:r>
      <w:r w:rsidR="00D547AD">
        <w:rPr>
          <w:rFonts w:ascii="Calibri" w:hAnsi="Calibri" w:cs="Calibri"/>
        </w:rPr>
        <w:t xml:space="preserve">First </w:t>
      </w:r>
      <w:r w:rsidRPr="00B86037">
        <w:rPr>
          <w:rFonts w:ascii="Calibri" w:hAnsi="Calibri" w:cs="Calibri"/>
        </w:rPr>
        <w:t>a post-discharge protocol</w:t>
      </w:r>
      <w:r w:rsidR="00D547AD">
        <w:rPr>
          <w:rFonts w:ascii="Calibri" w:hAnsi="Calibri" w:cs="Calibri"/>
        </w:rPr>
        <w:t xml:space="preserve"> has </w:t>
      </w:r>
      <w:r w:rsidRPr="00B86037">
        <w:rPr>
          <w:rFonts w:ascii="Calibri" w:hAnsi="Calibri" w:cs="Calibri"/>
        </w:rPr>
        <w:t>staff proactively schedule follow-up appointments 48 hours prior to discharge. The Hospital’s Central Discharge Team with inpatient and ambulatory staff expand</w:t>
      </w:r>
      <w:r w:rsidR="00F812EC">
        <w:rPr>
          <w:rFonts w:ascii="Calibri" w:hAnsi="Calibri" w:cs="Calibri"/>
        </w:rPr>
        <w:t>ed</w:t>
      </w:r>
      <w:r w:rsidRPr="00B86037">
        <w:rPr>
          <w:rFonts w:ascii="Calibri" w:hAnsi="Calibri" w:cs="Calibri"/>
        </w:rPr>
        <w:t xml:space="preserve"> this intervention to cover all patients discharged from the ED </w:t>
      </w:r>
      <w:r w:rsidR="004313E5">
        <w:rPr>
          <w:rFonts w:ascii="Calibri" w:hAnsi="Calibri" w:cs="Calibri"/>
        </w:rPr>
        <w:t xml:space="preserve">and </w:t>
      </w:r>
      <w:r w:rsidRPr="00B86037">
        <w:rPr>
          <w:rFonts w:ascii="Calibri" w:hAnsi="Calibri" w:cs="Calibri"/>
        </w:rPr>
        <w:t xml:space="preserve">from inpatient services. </w:t>
      </w:r>
      <w:r w:rsidRPr="00B86037">
        <w:rPr>
          <w:rFonts w:ascii="Calibri" w:eastAsia="Calibri" w:hAnsi="Calibri" w:cs="Calibri"/>
        </w:rPr>
        <w:t>General Internal Medicine (GIM) Post-Discharge Clinic,</w:t>
      </w:r>
      <w:r w:rsidRPr="00B86037">
        <w:rPr>
          <w:rFonts w:ascii="Calibri" w:hAnsi="Calibri" w:cs="Calibri"/>
        </w:rPr>
        <w:t xml:space="preserve"> </w:t>
      </w:r>
      <w:r w:rsidRPr="00B86037">
        <w:rPr>
          <w:rFonts w:ascii="Calibri" w:eastAsia="Calibri" w:hAnsi="Calibri" w:cs="Calibri"/>
        </w:rPr>
        <w:t xml:space="preserve">performs no-show outreach and rescheduling both in-person (20%) and </w:t>
      </w:r>
      <w:r w:rsidR="00FF46D7">
        <w:rPr>
          <w:rFonts w:ascii="Calibri" w:eastAsia="Calibri" w:hAnsi="Calibri" w:cs="Calibri"/>
        </w:rPr>
        <w:t xml:space="preserve">via </w:t>
      </w:r>
      <w:r w:rsidRPr="00B86037">
        <w:rPr>
          <w:rFonts w:ascii="Calibri" w:eastAsia="Calibri" w:hAnsi="Calibri" w:cs="Calibri"/>
        </w:rPr>
        <w:t>telehealth (80%). Patients seen by the GIM Post-Discharge Clinic have lower risk-adjusted readmission rates than patients without GIM follow up. Patients utilizing BMC’s expanded inpatient services who are at moderate to high for readmission risk have access to the clinic</w:t>
      </w:r>
      <w:r w:rsidR="003657E5">
        <w:rPr>
          <w:rFonts w:ascii="Calibri" w:eastAsia="Calibri" w:hAnsi="Calibri" w:cs="Calibri"/>
        </w:rPr>
        <w:t>.</w:t>
      </w:r>
    </w:p>
    <w:p w14:paraId="67D9AF7A" w14:textId="252DC978" w:rsidR="003657E5" w:rsidRDefault="003657E5" w:rsidP="00B86037">
      <w:pPr>
        <w:contextualSpacing/>
        <w:rPr>
          <w:rFonts w:ascii="Calibri" w:eastAsia="Calibri" w:hAnsi="Calibri" w:cs="Calibri"/>
        </w:rPr>
      </w:pPr>
    </w:p>
    <w:p w14:paraId="485E16D4" w14:textId="5C3D2250" w:rsidR="00B86037" w:rsidRPr="00B86037" w:rsidRDefault="00B86037" w:rsidP="00A84A77">
      <w:pPr>
        <w:contextualSpacing/>
        <w:rPr>
          <w:rFonts w:ascii="Calibri" w:eastAsia="Calibri" w:hAnsi="Calibri" w:cs="Calibri"/>
        </w:rPr>
      </w:pPr>
      <w:r w:rsidRPr="00B86037">
        <w:rPr>
          <w:rFonts w:ascii="Calibri" w:eastAsia="Calibri" w:hAnsi="Calibri" w:cs="Calibri"/>
        </w:rPr>
        <w:t>BMC’s Hospital Admission Reduction Program (“HARP”) focuses on reducing 30-day readmission rates among moderate to high utilizer patients who are 65+ and are covered by Medicare FFS or the Medicare Shared Savings Program by identifying patients while they are admitted and following them post-discharge into the community to catch clinical decline in the immediate post-discharge period. The Applicant also highlights Disease Specific Programs currently in place (</w:t>
      </w:r>
      <w:r w:rsidR="00BC0ACD">
        <w:rPr>
          <w:rFonts w:ascii="Calibri" w:eastAsia="Calibri" w:hAnsi="Calibri" w:cs="Calibri"/>
        </w:rPr>
        <w:t xml:space="preserve">including </w:t>
      </w:r>
      <w:r w:rsidRPr="00B86037">
        <w:rPr>
          <w:rFonts w:ascii="Calibri" w:eastAsia="Calibri" w:hAnsi="Calibri" w:cs="Calibri"/>
        </w:rPr>
        <w:t xml:space="preserve">Chronic Obstructive Pulmonary Disease and heart failure) </w:t>
      </w:r>
      <w:r w:rsidR="00BC0ACD">
        <w:rPr>
          <w:rFonts w:ascii="Calibri" w:eastAsia="Calibri" w:hAnsi="Calibri" w:cs="Calibri"/>
        </w:rPr>
        <w:t xml:space="preserve">that </w:t>
      </w:r>
      <w:r w:rsidRPr="00B86037">
        <w:rPr>
          <w:rFonts w:ascii="Calibri" w:eastAsia="Calibri" w:hAnsi="Calibri" w:cs="Calibri"/>
        </w:rPr>
        <w:t xml:space="preserve">aim to prevent readmission through patient education. </w:t>
      </w:r>
      <w:r w:rsidR="00BC0ACD">
        <w:rPr>
          <w:rFonts w:ascii="Calibri" w:eastAsia="Calibri" w:hAnsi="Calibri" w:cs="Calibri"/>
        </w:rPr>
        <w:t>I</w:t>
      </w:r>
      <w:r w:rsidRPr="00B86037">
        <w:rPr>
          <w:rFonts w:ascii="Calibri" w:eastAsia="Calibri" w:hAnsi="Calibri" w:cs="Calibri"/>
        </w:rPr>
        <w:t>n addition</w:t>
      </w:r>
      <w:r w:rsidR="009B7D80">
        <w:rPr>
          <w:rFonts w:ascii="Calibri" w:eastAsia="Calibri" w:hAnsi="Calibri" w:cs="Calibri"/>
        </w:rPr>
        <w:t xml:space="preserve">, </w:t>
      </w:r>
      <w:r w:rsidR="009B7D80" w:rsidRPr="009B7D80">
        <w:rPr>
          <w:rFonts w:ascii="Calibri" w:eastAsia="Calibri" w:hAnsi="Calibri" w:cs="Calibri"/>
        </w:rPr>
        <w:t>to identify potential drivers of readmission</w:t>
      </w:r>
      <w:r w:rsidR="009B7D80">
        <w:rPr>
          <w:rFonts w:ascii="Calibri" w:eastAsia="Calibri" w:hAnsi="Calibri" w:cs="Calibri"/>
        </w:rPr>
        <w:t xml:space="preserve">, </w:t>
      </w:r>
      <w:r w:rsidR="00BC0ACD">
        <w:rPr>
          <w:rFonts w:ascii="Calibri" w:eastAsia="Calibri" w:hAnsi="Calibri" w:cs="Calibri"/>
        </w:rPr>
        <w:t xml:space="preserve">there is a </w:t>
      </w:r>
      <w:r w:rsidRPr="00B86037">
        <w:rPr>
          <w:rFonts w:ascii="Calibri" w:eastAsia="Calibri" w:hAnsi="Calibri" w:cs="Calibri"/>
        </w:rPr>
        <w:t>monthly review and analysis of Medicare readmissions</w:t>
      </w:r>
      <w:r w:rsidR="00F37D36">
        <w:rPr>
          <w:rFonts w:ascii="Calibri" w:eastAsia="Calibri" w:hAnsi="Calibri" w:cs="Calibri"/>
        </w:rPr>
        <w:t>.</w:t>
      </w:r>
      <w:r w:rsidRPr="00B86037">
        <w:rPr>
          <w:rFonts w:ascii="Calibri" w:eastAsia="Calibri" w:hAnsi="Calibri" w:cs="Calibri"/>
        </w:rPr>
        <w:t xml:space="preserve"> </w:t>
      </w:r>
    </w:p>
    <w:p w14:paraId="5C9EAD90" w14:textId="77777777" w:rsidR="00B86037" w:rsidRPr="00B86037" w:rsidRDefault="00B86037" w:rsidP="00A84A77">
      <w:pPr>
        <w:contextualSpacing/>
        <w:rPr>
          <w:rFonts w:ascii="Calibri" w:eastAsia="Calibri" w:hAnsi="Calibri" w:cs="Calibri"/>
        </w:rPr>
      </w:pPr>
    </w:p>
    <w:p w14:paraId="4E755264" w14:textId="60DCF657" w:rsidR="00B86037" w:rsidRPr="003657E5" w:rsidRDefault="00B86037" w:rsidP="003657E5">
      <w:pPr>
        <w:pStyle w:val="ListParagraph"/>
        <w:numPr>
          <w:ilvl w:val="0"/>
          <w:numId w:val="17"/>
        </w:numPr>
        <w:rPr>
          <w:rFonts w:ascii="Calibri" w:hAnsi="Calibri" w:cs="Calibri"/>
        </w:rPr>
      </w:pPr>
      <w:r w:rsidRPr="003657E5">
        <w:rPr>
          <w:rFonts w:ascii="Calibri" w:hAnsi="Calibri" w:cs="Calibri"/>
        </w:rPr>
        <w:t>Complex Care Management (CCM) Programming</w:t>
      </w:r>
    </w:p>
    <w:p w14:paraId="672A67CC" w14:textId="77777777" w:rsidR="003657E5" w:rsidRPr="003657E5" w:rsidRDefault="003657E5" w:rsidP="003657E5">
      <w:pPr>
        <w:pStyle w:val="ListParagraph"/>
        <w:ind w:left="360"/>
        <w:rPr>
          <w:rFonts w:ascii="Calibri" w:eastAsia="Calibri" w:hAnsi="Calibri" w:cs="Calibri"/>
        </w:rPr>
      </w:pPr>
    </w:p>
    <w:p w14:paraId="05E6A172" w14:textId="7A9413C7" w:rsidR="00B86037" w:rsidRPr="00B86037" w:rsidRDefault="00B86037" w:rsidP="00B86037">
      <w:pPr>
        <w:contextualSpacing/>
        <w:rPr>
          <w:rFonts w:ascii="Calibri" w:eastAsia="Calibri" w:hAnsi="Calibri" w:cs="Calibri"/>
        </w:rPr>
      </w:pPr>
      <w:r w:rsidRPr="00B86037">
        <w:rPr>
          <w:rFonts w:ascii="Calibri" w:eastAsia="Calibri" w:hAnsi="Calibri" w:cs="Calibri"/>
        </w:rPr>
        <w:t xml:space="preserve">BMC also has a CCM program for its complex ACO patients to offer identified longitudinal, transitional and urgent care needs as appropriate. The CCM partners with community-based supports to coordinate care, address social barriers, and engage patients as active participants in their care in order to achieve patient-identified goals, improve health related outcomes, and reduce avoidable hospital utilization. The program includes supports for behavioral health, housing needs, and domestic violence resources. The Hospital states that impact data show that the CCM program helps patients manage their health and reduces unnecessary inpatient utilization for enrolled members. </w:t>
      </w:r>
    </w:p>
    <w:p w14:paraId="7BCC4117" w14:textId="77777777" w:rsidR="00B86037" w:rsidRPr="00B86037" w:rsidRDefault="00B86037" w:rsidP="00B86037">
      <w:pPr>
        <w:contextualSpacing/>
        <w:rPr>
          <w:rFonts w:ascii="Calibri" w:eastAsia="Calibri" w:hAnsi="Calibri" w:cs="Calibri"/>
        </w:rPr>
      </w:pPr>
    </w:p>
    <w:p w14:paraId="65EA15C6" w14:textId="2387A6E1" w:rsidR="00B86037" w:rsidRPr="003657E5" w:rsidRDefault="00B86037" w:rsidP="003657E5">
      <w:pPr>
        <w:pStyle w:val="ListParagraph"/>
        <w:numPr>
          <w:ilvl w:val="0"/>
          <w:numId w:val="17"/>
        </w:numPr>
        <w:rPr>
          <w:rFonts w:ascii="Calibri" w:hAnsi="Calibri" w:cs="Calibri"/>
        </w:rPr>
      </w:pPr>
      <w:r w:rsidRPr="003657E5">
        <w:rPr>
          <w:rFonts w:ascii="Calibri" w:hAnsi="Calibri" w:cs="Calibri"/>
        </w:rPr>
        <w:t>Screening Protocols</w:t>
      </w:r>
    </w:p>
    <w:p w14:paraId="29D6765D" w14:textId="77777777" w:rsidR="003657E5" w:rsidRPr="003657E5" w:rsidRDefault="003657E5" w:rsidP="003657E5">
      <w:pPr>
        <w:pStyle w:val="ListParagraph"/>
        <w:ind w:left="360"/>
        <w:rPr>
          <w:rFonts w:ascii="Calibri" w:hAnsi="Calibri" w:cs="Calibri"/>
        </w:rPr>
      </w:pPr>
    </w:p>
    <w:p w14:paraId="60524809" w14:textId="5CD05605" w:rsidR="00B86037" w:rsidRPr="00B86037" w:rsidRDefault="00B86037" w:rsidP="00B86037">
      <w:pPr>
        <w:contextualSpacing/>
        <w:rPr>
          <w:rFonts w:ascii="Calibri" w:hAnsi="Calibri" w:cs="Calibri"/>
        </w:rPr>
      </w:pPr>
      <w:r w:rsidRPr="00B86037">
        <w:rPr>
          <w:rFonts w:ascii="Calibri" w:hAnsi="Calibri" w:cs="Calibri"/>
        </w:rPr>
        <w:t xml:space="preserve">The Applicant notes that </w:t>
      </w:r>
      <w:r w:rsidR="00F37D36">
        <w:rPr>
          <w:rFonts w:ascii="Calibri" w:hAnsi="Calibri" w:cs="Calibri"/>
        </w:rPr>
        <w:t xml:space="preserve">it </w:t>
      </w:r>
      <w:r w:rsidRPr="00B86037">
        <w:rPr>
          <w:rFonts w:ascii="Calibri" w:hAnsi="Calibri" w:cs="Calibri"/>
        </w:rPr>
        <w:t>implemented SDoH screening protocols beginning in 2018 using</w:t>
      </w:r>
      <w:r w:rsidRPr="00B86037">
        <w:rPr>
          <w:rFonts w:ascii="Calibri" w:eastAsia="Calibri" w:hAnsi="Calibri" w:cs="Calibri"/>
          <w:bCs/>
          <w:sz w:val="22"/>
          <w:szCs w:val="22"/>
        </w:rPr>
        <w:t xml:space="preserve"> its </w:t>
      </w:r>
      <w:r w:rsidRPr="00B86037">
        <w:rPr>
          <w:rFonts w:ascii="Calibri" w:hAnsi="Calibri" w:cs="Calibri"/>
          <w:bCs/>
        </w:rPr>
        <w:t>Tool for Health &amp; Resilience In Vulnerable Environments</w:t>
      </w:r>
      <w:r w:rsidRPr="00B86037">
        <w:rPr>
          <w:rFonts w:ascii="Calibri" w:hAnsi="Calibri" w:cs="Calibri"/>
        </w:rPr>
        <w:t xml:space="preserve"> (THRIVE), an Electronic Health Record (EHR) based SDoH screening and referral program</w:t>
      </w:r>
      <w:r w:rsidR="00553EE0">
        <w:rPr>
          <w:rFonts w:ascii="Calibri" w:hAnsi="Calibri" w:cs="Calibri"/>
        </w:rPr>
        <w:t>; it</w:t>
      </w:r>
      <w:r w:rsidRPr="00B86037">
        <w:rPr>
          <w:rFonts w:ascii="Calibri" w:hAnsi="Calibri" w:cs="Calibri"/>
        </w:rPr>
        <w:t xml:space="preserve"> strives to understand social needs impacting patients’ health, improve patient care by communicating </w:t>
      </w:r>
      <w:r w:rsidR="00553EE0">
        <w:rPr>
          <w:rFonts w:ascii="Calibri" w:hAnsi="Calibri" w:cs="Calibri"/>
        </w:rPr>
        <w:t xml:space="preserve">those </w:t>
      </w:r>
      <w:r w:rsidRPr="00B86037">
        <w:rPr>
          <w:rFonts w:ascii="Calibri" w:hAnsi="Calibri" w:cs="Calibri"/>
        </w:rPr>
        <w:t>needs to care teams, and partner with community-based organizations to eliminate systemic barriers that prevent patients from thriving. The Applicant currently has plans to enhance the THRIVE process by tracking the status of a patient referral and follow-up to ensure requested assistance is obtained.</w:t>
      </w:r>
    </w:p>
    <w:p w14:paraId="4FA26BD1" w14:textId="77777777" w:rsidR="00B86037" w:rsidRPr="00B86037" w:rsidRDefault="00B86037" w:rsidP="00B86037">
      <w:pPr>
        <w:contextualSpacing/>
        <w:rPr>
          <w:rFonts w:ascii="Calibri" w:hAnsi="Calibri" w:cs="Calibri"/>
          <w:highlight w:val="yellow"/>
        </w:rPr>
      </w:pPr>
    </w:p>
    <w:p w14:paraId="250F1602" w14:textId="77777777" w:rsidR="00B86037" w:rsidRPr="00B86037" w:rsidRDefault="00B86037" w:rsidP="00B86037">
      <w:pPr>
        <w:ind w:right="540"/>
        <w:contextualSpacing/>
        <w:rPr>
          <w:rFonts w:ascii="Calibri" w:eastAsia="Calibri" w:hAnsi="Calibri" w:cs="Calibri"/>
          <w:b/>
          <w:i/>
        </w:rPr>
      </w:pPr>
      <w:r w:rsidRPr="00B86037">
        <w:rPr>
          <w:rFonts w:ascii="Calibri" w:eastAsia="Calibri" w:hAnsi="Calibri" w:cs="Calibri"/>
          <w:b/>
          <w:i/>
        </w:rPr>
        <w:t xml:space="preserve">Analysis </w:t>
      </w:r>
    </w:p>
    <w:p w14:paraId="4ECBFF7A" w14:textId="77777777" w:rsidR="00B86037" w:rsidRPr="00B86037" w:rsidRDefault="00B86037" w:rsidP="00B86037">
      <w:pPr>
        <w:ind w:right="540"/>
        <w:contextualSpacing/>
        <w:rPr>
          <w:rFonts w:ascii="Calibri" w:eastAsia="Calibri" w:hAnsi="Calibri" w:cs="Calibri"/>
          <w:bCs/>
          <w:iCs/>
        </w:rPr>
      </w:pPr>
    </w:p>
    <w:p w14:paraId="0314C05E" w14:textId="77777777" w:rsidR="00B86037" w:rsidRPr="00B86037" w:rsidRDefault="00B86037" w:rsidP="00B86037">
      <w:pPr>
        <w:autoSpaceDE w:val="0"/>
        <w:autoSpaceDN w:val="0"/>
        <w:adjustRightInd w:val="0"/>
        <w:rPr>
          <w:rFonts w:ascii="Calibri" w:hAnsi="Calibri" w:cs="Calibri"/>
          <w:color w:val="000000"/>
          <w:highlight w:val="yellow"/>
        </w:rPr>
      </w:pPr>
      <w:r w:rsidRPr="00B86037">
        <w:rPr>
          <w:rFonts w:ascii="Calibri" w:hAnsi="Calibri" w:cs="Calibri"/>
          <w:color w:val="000000"/>
        </w:rPr>
        <w:t xml:space="preserve">Staff finds that the Applicant’s care coordination and discharge processes will contribute positively to continuity, and coordination of care and thereby improve efficiency through established pre-discharge </w:t>
      </w:r>
      <w:r w:rsidRPr="00B86037">
        <w:rPr>
          <w:rFonts w:ascii="Calibri" w:hAnsi="Calibri" w:cs="Calibri"/>
          <w:color w:val="000000"/>
        </w:rPr>
        <w:lastRenderedPageBreak/>
        <w:t>planning protocols, appointment scheduling and no-show follow-up and tracking of community-based care. With programs for patient follow-up and analysis of the reasons for readmission, an environment for ongoing adaptability to patient needs and process improvement based on those needs has shown positive outcomes. Staff finds that the Applicant has sufficiently described meaningful programs to demonstrate it has met the requirements of Factor 1(c).</w:t>
      </w:r>
    </w:p>
    <w:p w14:paraId="0521E143" w14:textId="22621FC9" w:rsidR="00E40FAA" w:rsidRPr="00392811" w:rsidRDefault="7FCC16E4" w:rsidP="00D12538">
      <w:pPr>
        <w:pStyle w:val="Heading2"/>
        <w:rPr>
          <w:rFonts w:asciiTheme="minorHAnsi" w:hAnsiTheme="minorHAnsi" w:cstheme="minorHAnsi"/>
        </w:rPr>
      </w:pPr>
      <w:bookmarkStart w:id="53" w:name="_Toc18922415"/>
      <w:bookmarkStart w:id="54" w:name="_Toc148704458"/>
      <w:r w:rsidRPr="00392811">
        <w:rPr>
          <w:rFonts w:asciiTheme="minorHAnsi" w:hAnsiTheme="minorHAnsi" w:cstheme="minorHAnsi"/>
          <w:color w:val="004F9E"/>
        </w:rPr>
        <w:t>Factor 1: d) Consultatio</w:t>
      </w:r>
      <w:bookmarkEnd w:id="53"/>
      <w:r w:rsidR="2243FD72" w:rsidRPr="00392811">
        <w:rPr>
          <w:rFonts w:asciiTheme="minorHAnsi" w:hAnsiTheme="minorHAnsi" w:cstheme="minorHAnsi"/>
          <w:color w:val="004F9E"/>
        </w:rPr>
        <w:t>n</w:t>
      </w:r>
      <w:bookmarkEnd w:id="54"/>
    </w:p>
    <w:p w14:paraId="33EFE3B4" w14:textId="77777777" w:rsidR="00B86037" w:rsidRDefault="00B86037" w:rsidP="0072068A">
      <w:pPr>
        <w:rPr>
          <w:rFonts w:asciiTheme="minorHAnsi" w:hAnsiTheme="minorHAnsi" w:cstheme="minorHAnsi"/>
        </w:rPr>
      </w:pPr>
    </w:p>
    <w:p w14:paraId="160F177F" w14:textId="69A32C85" w:rsidR="003964D0" w:rsidRPr="00392811" w:rsidRDefault="7F19847A" w:rsidP="0072068A">
      <w:pPr>
        <w:rPr>
          <w:rStyle w:val="Heading1Char"/>
          <w:rFonts w:asciiTheme="minorHAnsi" w:hAnsiTheme="minorHAnsi" w:cstheme="minorHAnsi"/>
          <w:b w:val="0"/>
          <w:bCs w:val="0"/>
          <w:color w:val="auto"/>
          <w:sz w:val="24"/>
          <w:szCs w:val="24"/>
        </w:rPr>
      </w:pPr>
      <w:r w:rsidRPr="00392811">
        <w:rPr>
          <w:rFonts w:asciiTheme="minorHAnsi" w:hAnsiTheme="minorHAnsi" w:cstheme="minorHAnsi"/>
        </w:rPr>
        <w:t xml:space="preserve">The Applicant has provided evidence of consultation, both prior to and after the Filing Date, with all </w:t>
      </w:r>
      <w:r w:rsidR="21633A7E" w:rsidRPr="00392811">
        <w:rPr>
          <w:rFonts w:asciiTheme="minorHAnsi" w:hAnsiTheme="minorHAnsi" w:cstheme="minorHAnsi"/>
        </w:rPr>
        <w:t>government agencies that have</w:t>
      </w:r>
      <w:r w:rsidRPr="00392811">
        <w:rPr>
          <w:rFonts w:asciiTheme="minorHAnsi" w:hAnsiTheme="minorHAnsi" w:cstheme="minorHAnsi"/>
        </w:rPr>
        <w:t xml:space="preserve"> licensure, certification or ot</w:t>
      </w:r>
      <w:r w:rsidR="21633A7E" w:rsidRPr="00392811">
        <w:rPr>
          <w:rFonts w:asciiTheme="minorHAnsi" w:hAnsiTheme="minorHAnsi" w:cstheme="minorHAnsi"/>
        </w:rPr>
        <w:t>her regulatory oversight, which has been done and will not be addressed further in this report.</w:t>
      </w:r>
      <w:bookmarkStart w:id="55" w:name="_Toc18922416"/>
    </w:p>
    <w:p w14:paraId="3A0B8E6E" w14:textId="7180C98C" w:rsidR="00076B1A" w:rsidRDefault="2ED17174" w:rsidP="00D12538">
      <w:pPr>
        <w:pStyle w:val="Heading2"/>
        <w:rPr>
          <w:rFonts w:asciiTheme="minorHAnsi" w:hAnsiTheme="minorHAnsi" w:cstheme="minorHAnsi"/>
        </w:rPr>
      </w:pPr>
      <w:bookmarkStart w:id="56" w:name="_Toc148704459"/>
      <w:r w:rsidRPr="00392811">
        <w:rPr>
          <w:rStyle w:val="Heading1Char"/>
          <w:rFonts w:asciiTheme="minorHAnsi" w:hAnsiTheme="minorHAnsi" w:cstheme="minorHAnsi"/>
          <w:b/>
          <w:bCs/>
          <w:color w:val="004F9E"/>
          <w:sz w:val="26"/>
          <w:szCs w:val="26"/>
        </w:rPr>
        <w:t>Factor 1: e) Evidence of Sound Community Engagement through the Patient Pane</w:t>
      </w:r>
      <w:r w:rsidR="00357FE9">
        <w:rPr>
          <w:rStyle w:val="Heading1Char"/>
          <w:rFonts w:asciiTheme="minorHAnsi" w:hAnsiTheme="minorHAnsi" w:cstheme="minorHAnsi"/>
          <w:b/>
          <w:bCs/>
          <w:color w:val="004F9E"/>
          <w:sz w:val="26"/>
          <w:szCs w:val="26"/>
        </w:rPr>
        <w:t>l</w:t>
      </w:r>
      <w:bookmarkEnd w:id="56"/>
    </w:p>
    <w:p w14:paraId="603B789E" w14:textId="648F3C4F" w:rsidR="00100A64" w:rsidRDefault="00100A64" w:rsidP="00100A64"/>
    <w:p w14:paraId="686EA5E9" w14:textId="77777777" w:rsidR="00100A64" w:rsidRPr="00100A64" w:rsidRDefault="00100A64" w:rsidP="00A84A77">
      <w:pPr>
        <w:autoSpaceDE w:val="0"/>
        <w:autoSpaceDN w:val="0"/>
        <w:adjustRightInd w:val="0"/>
        <w:rPr>
          <w:rFonts w:ascii="Calibri" w:hAnsi="Calibri" w:cs="Calibri"/>
          <w:color w:val="000000"/>
        </w:rPr>
      </w:pPr>
      <w:r w:rsidRPr="00100A64">
        <w:rPr>
          <w:rFonts w:ascii="Calibri" w:hAnsi="Calibri" w:cs="Calibri"/>
          <w:color w:val="00000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77DFC9C9" w14:textId="77777777" w:rsidR="00100A64" w:rsidRPr="00100A64" w:rsidRDefault="00100A64" w:rsidP="00A84A77">
      <w:pPr>
        <w:autoSpaceDE w:val="0"/>
        <w:autoSpaceDN w:val="0"/>
        <w:adjustRightInd w:val="0"/>
        <w:rPr>
          <w:rFonts w:ascii="Calibri" w:hAnsi="Calibri" w:cs="Calibri"/>
          <w:color w:val="000000"/>
        </w:rPr>
      </w:pPr>
    </w:p>
    <w:p w14:paraId="5F4D24AB" w14:textId="77777777" w:rsidR="00100A64" w:rsidRPr="00100A64" w:rsidRDefault="00100A64" w:rsidP="00A84A77">
      <w:pPr>
        <w:rPr>
          <w:rFonts w:ascii="Calibri" w:hAnsi="Calibri" w:cs="Calibri"/>
        </w:rPr>
      </w:pPr>
      <w:r w:rsidRPr="00100A64">
        <w:rPr>
          <w:rFonts w:ascii="Calibri" w:hAnsi="Calibri" w:cs="Calibri"/>
        </w:rPr>
        <w:t>The Applicant’s engagement efforts focused on soliciting feedback the</w:t>
      </w:r>
      <w:r w:rsidRPr="00100A64">
        <w:rPr>
          <w:rFonts w:ascii="Calibri" w:hAnsi="Calibri" w:cs="Calibri"/>
          <w:color w:val="FF0000"/>
        </w:rPr>
        <w:t xml:space="preserve"> </w:t>
      </w:r>
      <w:r w:rsidRPr="00100A64">
        <w:rPr>
          <w:rFonts w:ascii="Calibri" w:hAnsi="Calibri" w:cs="Calibri"/>
        </w:rPr>
        <w:t>Proposed Project including need, design details, layout, and community-related benefits to maximize the Hospital’s ability to meet its patient panel demand, promote high-quality outcomes, and ensure patient satisfaction.</w:t>
      </w:r>
    </w:p>
    <w:p w14:paraId="2D84AFAE" w14:textId="77777777" w:rsidR="00100A64" w:rsidRPr="00100A64" w:rsidRDefault="00100A64" w:rsidP="00A84A77">
      <w:pPr>
        <w:jc w:val="both"/>
        <w:rPr>
          <w:rFonts w:ascii="Arial" w:hAnsi="Arial" w:cs="Arial"/>
          <w:sz w:val="22"/>
          <w:szCs w:val="22"/>
        </w:rPr>
      </w:pPr>
    </w:p>
    <w:p w14:paraId="56546DD7" w14:textId="37735E9B"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On June 12, 2023, hospital representatives met with the Community Advisory Boad (“CAB”)</w:t>
      </w:r>
      <w:r w:rsidRPr="00100A64">
        <w:rPr>
          <w:rFonts w:ascii="Calibri" w:hAnsi="Calibri" w:cs="Calibri"/>
          <w:vertAlign w:val="superscript"/>
        </w:rPr>
        <w:footnoteReference w:id="41"/>
      </w:r>
      <w:r w:rsidRPr="00100A64">
        <w:rPr>
          <w:rFonts w:ascii="Calibri" w:hAnsi="Calibri" w:cs="Calibri"/>
        </w:rPr>
        <w:t xml:space="preserve"> members to present an overview of the Proposed Project and related CHI processes</w:t>
      </w:r>
      <w:r w:rsidR="00C5682F">
        <w:rPr>
          <w:rFonts w:ascii="Calibri" w:hAnsi="Calibri" w:cs="Calibri"/>
        </w:rPr>
        <w:t xml:space="preserve"> where </w:t>
      </w:r>
      <w:r w:rsidRPr="00100A64">
        <w:rPr>
          <w:rFonts w:ascii="Calibri" w:hAnsi="Calibri" w:cs="Calibri"/>
        </w:rPr>
        <w:t xml:space="preserve">the CAB discussed amalgamating these funds with BMC’s current CHI, how to move forward with the selection of health priorities and how to move upstream initiatives forward. </w:t>
      </w:r>
    </w:p>
    <w:p w14:paraId="0006C3D3" w14:textId="1E6D1154"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 xml:space="preserve">On June 26, 2023 the Applicant published a legal notice regarding the Proposed Project in the </w:t>
      </w:r>
      <w:r w:rsidRPr="00100A64">
        <w:rPr>
          <w:rFonts w:ascii="Calibri" w:hAnsi="Calibri" w:cs="Calibri"/>
          <w:i/>
          <w:iCs/>
        </w:rPr>
        <w:t>Boston Herald</w:t>
      </w:r>
      <w:r w:rsidRPr="00100A64">
        <w:rPr>
          <w:rFonts w:ascii="Calibri" w:hAnsi="Calibri" w:cs="Calibri"/>
        </w:rPr>
        <w:t xml:space="preserve"> and prominently on the BMC website</w:t>
      </w:r>
      <w:r w:rsidR="00F07015">
        <w:rPr>
          <w:rFonts w:ascii="Calibri" w:hAnsi="Calibri" w:cs="Calibri"/>
        </w:rPr>
        <w:t>.</w:t>
      </w:r>
    </w:p>
    <w:p w14:paraId="1E932CA7" w14:textId="613355FC"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On June 26, 2023 and June 29, 2023 the Applicant hosted two community meetings</w:t>
      </w:r>
      <w:r w:rsidRPr="00100A64">
        <w:rPr>
          <w:rFonts w:ascii="Calibri" w:hAnsi="Calibri" w:cs="Calibri"/>
          <w:vertAlign w:val="superscript"/>
        </w:rPr>
        <w:footnoteReference w:id="42"/>
      </w:r>
      <w:r w:rsidRPr="00100A64">
        <w:rPr>
          <w:rFonts w:ascii="Calibri" w:hAnsi="Calibri" w:cs="Calibri"/>
        </w:rPr>
        <w:t xml:space="preserve"> to engage patients, staff, community members, and local neighborhood stakeholders around the Proposed Project. The meetings were publicized via flyers within BMC’s service area and sent out via multiple channels, </w:t>
      </w:r>
      <w:r w:rsidR="00217AA3">
        <w:rPr>
          <w:rFonts w:ascii="Calibri" w:hAnsi="Calibri" w:cs="Calibri"/>
        </w:rPr>
        <w:t xml:space="preserve">and </w:t>
      </w:r>
      <w:r w:rsidRPr="00100A64">
        <w:rPr>
          <w:rFonts w:ascii="Calibri" w:hAnsi="Calibri" w:cs="Calibri"/>
        </w:rPr>
        <w:t>through outreach to local resident and community members.</w:t>
      </w:r>
      <w:r w:rsidRPr="00100A64">
        <w:rPr>
          <w:rFonts w:ascii="Calibri" w:eastAsia="Calibri" w:hAnsi="Calibri" w:cs="Calibri"/>
          <w:vertAlign w:val="superscript"/>
        </w:rPr>
        <w:footnoteReference w:id="43"/>
      </w:r>
      <w:r w:rsidRPr="00100A64">
        <w:rPr>
          <w:rFonts w:ascii="Calibri" w:hAnsi="Calibri" w:cs="Calibri"/>
        </w:rPr>
        <w:t xml:space="preserve"> </w:t>
      </w:r>
    </w:p>
    <w:p w14:paraId="0F24C296" w14:textId="74C0FE30" w:rsidR="00100A64" w:rsidRDefault="00100A64" w:rsidP="00A84A77">
      <w:pPr>
        <w:numPr>
          <w:ilvl w:val="0"/>
          <w:numId w:val="11"/>
        </w:numPr>
        <w:spacing w:after="160"/>
        <w:contextualSpacing/>
        <w:rPr>
          <w:rFonts w:ascii="Calibri" w:hAnsi="Calibri" w:cs="Calibri"/>
        </w:rPr>
      </w:pPr>
      <w:r w:rsidRPr="00100A64">
        <w:rPr>
          <w:rFonts w:ascii="Calibri" w:hAnsi="Calibri" w:cs="Calibri"/>
        </w:rPr>
        <w:t>On June 15, 2023, Hospital representatives met with the BMC PFAC</w:t>
      </w:r>
      <w:r w:rsidRPr="00100A64">
        <w:rPr>
          <w:rFonts w:ascii="Calibri" w:hAnsi="Calibri" w:cs="Calibri"/>
          <w:vertAlign w:val="superscript"/>
        </w:rPr>
        <w:footnoteReference w:id="44"/>
      </w:r>
      <w:r w:rsidRPr="00100A64">
        <w:rPr>
          <w:rFonts w:ascii="Calibri" w:hAnsi="Calibri" w:cs="Calibri"/>
        </w:rPr>
        <w:t xml:space="preserve"> to present an overview of the Proposed Project.</w:t>
      </w:r>
    </w:p>
    <w:p w14:paraId="2AE45ADE" w14:textId="77777777" w:rsidR="00357FE9" w:rsidRPr="00100A64" w:rsidRDefault="00357FE9" w:rsidP="00A84A77">
      <w:pPr>
        <w:spacing w:after="160"/>
        <w:ind w:left="720"/>
        <w:contextualSpacing/>
        <w:rPr>
          <w:rFonts w:ascii="Calibri" w:hAnsi="Calibri" w:cs="Calibri"/>
        </w:rPr>
      </w:pPr>
    </w:p>
    <w:p w14:paraId="1049B349" w14:textId="77777777" w:rsidR="00100A64" w:rsidRPr="00100A64" w:rsidRDefault="00100A64" w:rsidP="00A84A77">
      <w:pPr>
        <w:rPr>
          <w:rFonts w:ascii="Calibri" w:hAnsi="Calibri" w:cs="Calibri"/>
        </w:rPr>
      </w:pPr>
      <w:bookmarkStart w:id="57" w:name="_Hlk95129800"/>
      <w:r w:rsidRPr="00100A64">
        <w:rPr>
          <w:rFonts w:ascii="Calibri" w:hAnsi="Calibri" w:cs="Calibri"/>
        </w:rPr>
        <w:t>Fourteen (14) individuals attended the meeting, including six (6) PFAC members and eight (8) staff members (including MRI operations, legal, and facilities staff for learning purposes). There was discussion around the Proposed Project including PFAC members asking about accessibility, current wait times, and the need for additional MRI capacity. Hospital representatives responded about the Hospital’s approach to careful resource planning with measured campus development so as to remain sensitive to the integrity of the surrounding neighborhoods while addressing the needs of the growing patient panel</w:t>
      </w:r>
      <w:bookmarkEnd w:id="57"/>
      <w:r w:rsidRPr="00100A64">
        <w:rPr>
          <w:rFonts w:ascii="Calibri" w:hAnsi="Calibri" w:cs="Calibri"/>
        </w:rPr>
        <w:t>.</w:t>
      </w:r>
    </w:p>
    <w:p w14:paraId="766FB33C" w14:textId="77777777" w:rsidR="00100A64" w:rsidRPr="00100A64" w:rsidRDefault="00100A64" w:rsidP="00A84A77">
      <w:pPr>
        <w:rPr>
          <w:rFonts w:ascii="Calibri" w:hAnsi="Calibri" w:cs="Calibri"/>
        </w:rPr>
      </w:pPr>
    </w:p>
    <w:p w14:paraId="363BFC15" w14:textId="77777777" w:rsidR="00100A64" w:rsidRPr="00100A64" w:rsidRDefault="00100A64" w:rsidP="00A84A77">
      <w:pPr>
        <w:autoSpaceDE w:val="0"/>
        <w:autoSpaceDN w:val="0"/>
        <w:adjustRightInd w:val="0"/>
        <w:rPr>
          <w:rFonts w:ascii="Calibri" w:hAnsi="Calibri" w:cs="Calibri"/>
          <w:b/>
          <w:bCs/>
          <w:i/>
          <w:iCs/>
          <w:color w:val="000000"/>
        </w:rPr>
      </w:pPr>
      <w:r w:rsidRPr="00100A64">
        <w:rPr>
          <w:rFonts w:ascii="Calibri" w:hAnsi="Calibri" w:cs="Calibri"/>
          <w:b/>
          <w:bCs/>
          <w:i/>
          <w:iCs/>
          <w:color w:val="000000"/>
        </w:rPr>
        <w:t>Analysis</w:t>
      </w:r>
    </w:p>
    <w:p w14:paraId="36429210" w14:textId="77777777" w:rsidR="00100A64" w:rsidRPr="00100A64" w:rsidRDefault="00100A64" w:rsidP="00A84A77">
      <w:pPr>
        <w:autoSpaceDE w:val="0"/>
        <w:autoSpaceDN w:val="0"/>
        <w:adjustRightInd w:val="0"/>
        <w:rPr>
          <w:rFonts w:ascii="Calibri" w:hAnsi="Calibri" w:cs="Calibri"/>
          <w:color w:val="000000"/>
        </w:rPr>
      </w:pPr>
    </w:p>
    <w:p w14:paraId="660986A7" w14:textId="32EA40E3" w:rsidR="00100A64" w:rsidRPr="00100A64" w:rsidRDefault="00100A64" w:rsidP="00A84A77">
      <w:r w:rsidRPr="00100A64">
        <w:rPr>
          <w:rFonts w:ascii="Calibri" w:hAnsi="Calibri" w:cs="Calibri"/>
          <w:color w:val="000000"/>
        </w:rPr>
        <w:t>Staff finds that the Applicant engaged a broad array of community members and held multiple meetings and has therefore addressed the community engagement standard for Consult in the planning phase of the Proposed Project. As a result of the above analysis, Staff finds that the Applicant has met the provisions of Factor 1(e).</w:t>
      </w:r>
    </w:p>
    <w:p w14:paraId="4A960CCB" w14:textId="07B14E4C" w:rsidR="00E40FAA" w:rsidRPr="00392811" w:rsidRDefault="0250B96A" w:rsidP="00D12538">
      <w:pPr>
        <w:pStyle w:val="Heading2"/>
        <w:rPr>
          <w:rFonts w:asciiTheme="minorHAnsi" w:hAnsiTheme="minorHAnsi" w:cstheme="minorHAnsi"/>
        </w:rPr>
      </w:pPr>
      <w:bookmarkStart w:id="58" w:name="_Toc18922417"/>
      <w:bookmarkStart w:id="59" w:name="_Toc148704460"/>
      <w:bookmarkEnd w:id="55"/>
      <w:r w:rsidRPr="00392811">
        <w:rPr>
          <w:rFonts w:asciiTheme="minorHAnsi" w:hAnsiTheme="minorHAnsi" w:cstheme="minorHAnsi"/>
          <w:color w:val="004F9E"/>
        </w:rPr>
        <w:t>Factor 1: f) Competition on Price, T</w:t>
      </w:r>
      <w:r w:rsidR="7FCC16E4" w:rsidRPr="00392811">
        <w:rPr>
          <w:rFonts w:asciiTheme="minorHAnsi" w:hAnsiTheme="minorHAnsi" w:cstheme="minorHAnsi"/>
          <w:color w:val="004F9E"/>
        </w:rPr>
        <w:t>otal Medical Expenses (TME)</w:t>
      </w:r>
      <w:r w:rsidRPr="00392811">
        <w:rPr>
          <w:rFonts w:asciiTheme="minorHAnsi" w:hAnsiTheme="minorHAnsi" w:cstheme="minorHAnsi"/>
          <w:color w:val="004F9E"/>
        </w:rPr>
        <w:t>, Costs and Other Measures of Health Care Spending</w:t>
      </w:r>
      <w:bookmarkStart w:id="60" w:name="_Toc17322399"/>
      <w:bookmarkEnd w:id="58"/>
      <w:bookmarkEnd w:id="59"/>
    </w:p>
    <w:p w14:paraId="0F8B7A15" w14:textId="77777777" w:rsidR="00590378" w:rsidRPr="00392811" w:rsidRDefault="00590378" w:rsidP="00590378">
      <w:pPr>
        <w:rPr>
          <w:rFonts w:asciiTheme="minorHAnsi" w:hAnsiTheme="minorHAnsi" w:cstheme="minorHAnsi"/>
        </w:rPr>
      </w:pPr>
    </w:p>
    <w:bookmarkEnd w:id="60"/>
    <w:p w14:paraId="538982AE" w14:textId="6EE2B8E0" w:rsidR="00EC0F31" w:rsidRPr="00EC0F31" w:rsidRDefault="27CBD4E0" w:rsidP="00A84A77">
      <w:pPr>
        <w:contextualSpacing/>
        <w:rPr>
          <w:rFonts w:asciiTheme="minorHAnsi" w:eastAsia="Calibri" w:hAnsiTheme="minorHAnsi" w:cstheme="minorHAnsi"/>
        </w:rPr>
      </w:pPr>
      <w:r w:rsidRPr="00392811">
        <w:rPr>
          <w:rFonts w:asciiTheme="minorHAnsi" w:hAnsiTheme="minorHAnsi" w:cstheme="minorHAnsi"/>
        </w:rPr>
        <w:t xml:space="preserve">The Applicant </w:t>
      </w:r>
      <w:r w:rsidR="00590378" w:rsidRPr="00392811">
        <w:rPr>
          <w:rFonts w:asciiTheme="minorHAnsi" w:hAnsiTheme="minorHAnsi" w:cstheme="minorHAnsi"/>
        </w:rPr>
        <w:t>asserts</w:t>
      </w:r>
      <w:r w:rsidRPr="00392811">
        <w:rPr>
          <w:rFonts w:asciiTheme="minorHAnsi" w:hAnsiTheme="minorHAnsi" w:cstheme="minorHAnsi"/>
        </w:rPr>
        <w:t xml:space="preserve"> that the </w:t>
      </w:r>
      <w:r w:rsidR="46EE46F4" w:rsidRPr="00392811">
        <w:rPr>
          <w:rFonts w:asciiTheme="minorHAnsi" w:hAnsiTheme="minorHAnsi" w:cstheme="minorHAnsi"/>
        </w:rPr>
        <w:t>Proposed P</w:t>
      </w:r>
      <w:r w:rsidRPr="00392811">
        <w:rPr>
          <w:rFonts w:asciiTheme="minorHAnsi" w:hAnsiTheme="minorHAnsi" w:cstheme="minorHAnsi"/>
        </w:rPr>
        <w:t>roject compete</w:t>
      </w:r>
      <w:r w:rsidR="009C62D3">
        <w:rPr>
          <w:rFonts w:asciiTheme="minorHAnsi" w:hAnsiTheme="minorHAnsi" w:cstheme="minorHAnsi"/>
        </w:rPr>
        <w:t>s</w:t>
      </w:r>
      <w:r w:rsidRPr="00392811">
        <w:rPr>
          <w:rFonts w:asciiTheme="minorHAnsi" w:hAnsiTheme="minorHAnsi" w:cstheme="minorHAnsi"/>
        </w:rPr>
        <w:t xml:space="preserve"> </w:t>
      </w:r>
      <w:r w:rsidR="00DF53EA" w:rsidRPr="00392811">
        <w:rPr>
          <w:rFonts w:asciiTheme="minorHAnsi" w:hAnsiTheme="minorHAnsi" w:cstheme="minorHAnsi"/>
        </w:rPr>
        <w:t>based on</w:t>
      </w:r>
      <w:r w:rsidRPr="00392811">
        <w:rPr>
          <w:rFonts w:asciiTheme="minorHAnsi" w:hAnsiTheme="minorHAnsi" w:cstheme="minorHAnsi"/>
        </w:rPr>
        <w:t xml:space="preserve"> price, total medical expenses (TME), provider costs, and other recognized measures of </w:t>
      </w:r>
      <w:r w:rsidR="00736AFA" w:rsidRPr="00392811">
        <w:rPr>
          <w:rFonts w:asciiTheme="minorHAnsi" w:hAnsiTheme="minorHAnsi" w:cstheme="minorHAnsi"/>
        </w:rPr>
        <w:t>health care</w:t>
      </w:r>
      <w:r w:rsidRPr="00392811">
        <w:rPr>
          <w:rFonts w:asciiTheme="minorHAnsi" w:hAnsiTheme="minorHAnsi" w:cstheme="minorHAnsi"/>
        </w:rPr>
        <w:t xml:space="preserve"> spending</w:t>
      </w:r>
      <w:r w:rsidR="00442FB3" w:rsidRPr="00392811">
        <w:rPr>
          <w:rFonts w:asciiTheme="minorHAnsi" w:hAnsiTheme="minorHAnsi" w:cstheme="minorHAnsi"/>
        </w:rPr>
        <w:t xml:space="preserve"> by addressing BMC’s current capacity constraints and providing timely access to services for all patients</w:t>
      </w:r>
      <w:r w:rsidR="009C62D3">
        <w:rPr>
          <w:rFonts w:asciiTheme="minorHAnsi" w:hAnsiTheme="minorHAnsi" w:cstheme="minorHAnsi"/>
        </w:rPr>
        <w:t xml:space="preserve"> including the Hospital’s large “under-resourced patient population</w:t>
      </w:r>
      <w:r w:rsidR="008E5478">
        <w:rPr>
          <w:rFonts w:asciiTheme="minorHAnsi" w:hAnsiTheme="minorHAnsi" w:cstheme="minorHAnsi"/>
        </w:rPr>
        <w:t>.</w:t>
      </w:r>
      <w:r w:rsidR="009C62D3">
        <w:rPr>
          <w:rFonts w:asciiTheme="minorHAnsi" w:hAnsiTheme="minorHAnsi" w:cstheme="minorHAnsi"/>
        </w:rPr>
        <w:t>”</w:t>
      </w:r>
    </w:p>
    <w:p w14:paraId="5D672A92" w14:textId="3CC59F2E" w:rsidR="00EC0F31" w:rsidRDefault="00EC0F31" w:rsidP="00A84A77">
      <w:pPr>
        <w:jc w:val="both"/>
        <w:rPr>
          <w:rFonts w:ascii="Arial" w:eastAsia="Calibri" w:hAnsi="Arial" w:cs="Arial"/>
          <w:sz w:val="22"/>
          <w:szCs w:val="22"/>
        </w:rPr>
      </w:pPr>
    </w:p>
    <w:p w14:paraId="6231DF91" w14:textId="0FE65C64" w:rsidR="00563B89" w:rsidRPr="009C62D3" w:rsidRDefault="00FB1F79" w:rsidP="00A84A77">
      <w:pPr>
        <w:rPr>
          <w:rFonts w:asciiTheme="minorHAnsi" w:eastAsia="Calibri" w:hAnsiTheme="minorHAnsi" w:cstheme="minorHAnsi"/>
        </w:rPr>
      </w:pPr>
      <w:r w:rsidRPr="00FB1F79">
        <w:rPr>
          <w:rFonts w:asciiTheme="minorHAnsi" w:eastAsia="Calibri" w:hAnsiTheme="minorHAnsi" w:cstheme="minorHAnsi"/>
        </w:rPr>
        <w:t>As noted throughout, w</w:t>
      </w:r>
      <w:r w:rsidR="009C62D3" w:rsidRPr="009C62D3">
        <w:rPr>
          <w:rFonts w:asciiTheme="minorHAnsi" w:eastAsia="Calibri" w:hAnsiTheme="minorHAnsi" w:cstheme="minorHAnsi"/>
        </w:rPr>
        <w:t>hen patients have timely access to appropriate imaging modalities, clinicians can improve health outcomes through expedited diagnoses and more accurately screen for certain conditions, such as cancer, leading to more appropriate therapeutic interventions and the effective monitoring of the efficacy of treatment, all of which lead to reduced costs.</w:t>
      </w:r>
      <w:r w:rsidR="00563B89" w:rsidRPr="009C62D3">
        <w:rPr>
          <w:rFonts w:asciiTheme="minorHAnsi" w:eastAsia="Calibri" w:hAnsiTheme="minorHAnsi" w:cstheme="minorHAnsi"/>
          <w:vertAlign w:val="superscript"/>
        </w:rPr>
        <w:endnoteReference w:id="23"/>
      </w:r>
      <w:r w:rsidR="00563B89">
        <w:rPr>
          <w:rFonts w:asciiTheme="minorHAnsi" w:eastAsia="Calibri" w:hAnsiTheme="minorHAnsi" w:cstheme="minorHAnsi"/>
        </w:rPr>
        <w:t xml:space="preserve"> The Applicant cites n</w:t>
      </w:r>
      <w:r w:rsidR="00563B89" w:rsidRPr="009C62D3">
        <w:rPr>
          <w:rFonts w:asciiTheme="minorHAnsi" w:eastAsia="Calibri" w:hAnsiTheme="minorHAnsi" w:cstheme="minorHAnsi"/>
        </w:rPr>
        <w:t xml:space="preserve">umerous studies </w:t>
      </w:r>
      <w:r w:rsidR="00563B89">
        <w:rPr>
          <w:rFonts w:asciiTheme="minorHAnsi" w:eastAsia="Calibri" w:hAnsiTheme="minorHAnsi" w:cstheme="minorHAnsi"/>
        </w:rPr>
        <w:t xml:space="preserve">that </w:t>
      </w:r>
      <w:r w:rsidR="00563B89" w:rsidRPr="009C62D3">
        <w:rPr>
          <w:rFonts w:asciiTheme="minorHAnsi" w:eastAsia="Calibri" w:hAnsiTheme="minorHAnsi" w:cstheme="minorHAnsi"/>
        </w:rPr>
        <w:t>have found that more timely access to diagnostic tools, such as MRIs reduce costs due to expedited care and more accurate staging.</w:t>
      </w:r>
      <w:r w:rsidR="00563B89" w:rsidRPr="009C62D3">
        <w:rPr>
          <w:rFonts w:asciiTheme="minorHAnsi" w:eastAsia="Calibri" w:hAnsiTheme="minorHAnsi" w:cstheme="minorHAnsi"/>
          <w:vertAlign w:val="superscript"/>
        </w:rPr>
        <w:endnoteReference w:id="24"/>
      </w:r>
      <w:r w:rsidR="00563B89">
        <w:rPr>
          <w:rFonts w:asciiTheme="minorHAnsi" w:eastAsia="Calibri" w:hAnsiTheme="minorHAnsi" w:cstheme="minorHAnsi"/>
          <w:vertAlign w:val="superscript"/>
        </w:rPr>
        <w:t>,</w:t>
      </w:r>
      <w:r w:rsidR="00563B89" w:rsidRPr="009C62D3">
        <w:rPr>
          <w:rFonts w:asciiTheme="minorHAnsi" w:eastAsia="Calibri" w:hAnsiTheme="minorHAnsi" w:cstheme="minorHAnsi"/>
        </w:rPr>
        <w:t xml:space="preserve"> </w:t>
      </w:r>
      <w:r w:rsidR="00563B89" w:rsidRPr="009C62D3">
        <w:rPr>
          <w:rFonts w:asciiTheme="minorHAnsi" w:eastAsia="Calibri" w:hAnsiTheme="minorHAnsi" w:cstheme="minorHAnsi"/>
          <w:vertAlign w:val="superscript"/>
        </w:rPr>
        <w:endnoteReference w:id="25"/>
      </w:r>
      <w:r w:rsidR="00563B89" w:rsidRPr="009C62D3">
        <w:rPr>
          <w:rFonts w:asciiTheme="minorHAnsi" w:eastAsia="Calibri" w:hAnsiTheme="minorHAnsi" w:cstheme="minorHAnsi"/>
        </w:rPr>
        <w:t xml:space="preserve"> Researchers at Harvard Medical School have found a correlation between monies spent on in-patient imaging and overall cost savings, specifically for every $1 spent on this type of imaging, $3 is saved.</w:t>
      </w:r>
      <w:r w:rsidR="00563B89" w:rsidRPr="009C62D3">
        <w:rPr>
          <w:rFonts w:asciiTheme="minorHAnsi" w:eastAsia="Calibri" w:hAnsiTheme="minorHAnsi" w:cstheme="minorHAnsi"/>
          <w:vertAlign w:val="superscript"/>
        </w:rPr>
        <w:endnoteReference w:id="26"/>
      </w:r>
      <w:r w:rsidR="00563B89" w:rsidRPr="009C62D3">
        <w:rPr>
          <w:rFonts w:asciiTheme="minorHAnsi" w:eastAsia="Calibri" w:hAnsiTheme="minorHAnsi" w:cstheme="minorHAnsi"/>
        </w:rPr>
        <w:t xml:space="preserve"> Additionally, every $385 spent on imaging decreases a patient’s hospital stay by one day, saving approximately $3,000 per patient.</w:t>
      </w:r>
      <w:r w:rsidR="00563B89" w:rsidRPr="009C62D3">
        <w:rPr>
          <w:rFonts w:asciiTheme="minorHAnsi" w:eastAsia="Calibri" w:hAnsiTheme="minorHAnsi" w:cstheme="minorHAnsi"/>
          <w:vertAlign w:val="superscript"/>
        </w:rPr>
        <w:endnoteReference w:id="27"/>
      </w:r>
      <w:r w:rsidR="00563B89" w:rsidRPr="009C62D3">
        <w:rPr>
          <w:rFonts w:asciiTheme="minorHAnsi" w:eastAsia="Calibri" w:hAnsiTheme="minorHAnsi" w:cstheme="minorHAnsi"/>
        </w:rPr>
        <w:t xml:space="preserve"> Other disease specific studies have found that increased imaging may save up to $1.2 billion annually in the treatment of certain patients, such as those who have suffered strokes.</w:t>
      </w:r>
      <w:r w:rsidR="00563B89" w:rsidRPr="009C62D3">
        <w:rPr>
          <w:rFonts w:asciiTheme="minorHAnsi" w:eastAsia="Calibri" w:hAnsiTheme="minorHAnsi" w:cstheme="minorHAnsi"/>
          <w:vertAlign w:val="superscript"/>
        </w:rPr>
        <w:endnoteReference w:id="28"/>
      </w:r>
    </w:p>
    <w:p w14:paraId="2E5AA2E8" w14:textId="77777777" w:rsidR="00563B89" w:rsidRPr="009C62D3" w:rsidRDefault="00563B89" w:rsidP="00A84A77">
      <w:pPr>
        <w:jc w:val="both"/>
        <w:rPr>
          <w:rFonts w:ascii="Arial" w:eastAsia="Calibri" w:hAnsi="Arial" w:cs="Arial"/>
          <w:sz w:val="22"/>
          <w:szCs w:val="22"/>
        </w:rPr>
      </w:pPr>
    </w:p>
    <w:p w14:paraId="662860F7" w14:textId="1E5445C1" w:rsidR="009C62D3" w:rsidRPr="009C62D3" w:rsidRDefault="00563B89" w:rsidP="00A84A77">
      <w:pPr>
        <w:rPr>
          <w:rFonts w:asciiTheme="minorHAnsi" w:hAnsiTheme="minorHAnsi" w:cstheme="minorHAnsi"/>
          <w:color w:val="212121"/>
          <w:shd w:val="clear" w:color="auto" w:fill="FFFFFF"/>
        </w:rPr>
      </w:pPr>
      <w:r w:rsidRPr="009C62D3">
        <w:rPr>
          <w:rFonts w:asciiTheme="minorHAnsi" w:hAnsiTheme="minorHAnsi" w:cstheme="minorHAnsi"/>
          <w:color w:val="212121"/>
          <w:shd w:val="clear" w:color="auto" w:fill="FFFFFF"/>
        </w:rPr>
        <w:t>It is well established that noninvasive imaging tests, such as MRI, have led to a significant reduction of invasive testing, such as exploratory surgery, leading to reduced costs.</w:t>
      </w:r>
      <w:r w:rsidRPr="0024380F">
        <w:rPr>
          <w:rFonts w:asciiTheme="minorHAnsi" w:hAnsiTheme="minorHAnsi" w:cstheme="minorHAnsi"/>
          <w:color w:val="212121"/>
          <w:shd w:val="clear" w:color="auto" w:fill="FFFFFF"/>
          <w:vertAlign w:val="superscript"/>
        </w:rPr>
        <w:t xml:space="preserve"> </w:t>
      </w:r>
      <w:r w:rsidRPr="009C62D3">
        <w:rPr>
          <w:rFonts w:asciiTheme="minorHAnsi" w:hAnsiTheme="minorHAnsi" w:cstheme="minorHAnsi"/>
          <w:color w:val="212121"/>
          <w:shd w:val="clear" w:color="auto" w:fill="FFFFFF"/>
          <w:vertAlign w:val="superscript"/>
        </w:rPr>
        <w:endnoteReference w:id="29"/>
      </w:r>
      <w:r w:rsidRPr="009C62D3">
        <w:rPr>
          <w:rFonts w:asciiTheme="minorHAnsi" w:hAnsiTheme="minorHAnsi" w:cstheme="minorHAnsi"/>
          <w:color w:val="212121"/>
          <w:shd w:val="clear" w:color="auto" w:fill="FFFFFF"/>
        </w:rPr>
        <w:t xml:space="preserve"> Imaging also can be valuable merely by contributing information that is needed to guide patient management and optimizing patient care. MRI and CT scan costs accounts for less than 3% of Medicare spending in the US </w:t>
      </w:r>
      <w:r w:rsidRPr="0024380F">
        <w:rPr>
          <w:rFonts w:asciiTheme="minorHAnsi" w:hAnsiTheme="minorHAnsi" w:cstheme="minorHAnsi"/>
          <w:color w:val="212121"/>
          <w:shd w:val="clear" w:color="auto" w:fill="FFFFFF"/>
        </w:rPr>
        <w:t xml:space="preserve">and </w:t>
      </w:r>
      <w:r w:rsidRPr="009C62D3">
        <w:rPr>
          <w:rFonts w:asciiTheme="minorHAnsi" w:hAnsiTheme="minorHAnsi" w:cstheme="minorHAnsi"/>
          <w:color w:val="212121"/>
          <w:shd w:val="clear" w:color="auto" w:fill="FFFFFF"/>
        </w:rPr>
        <w:lastRenderedPageBreak/>
        <w:t>frequently these modalities replace more invasive and expensive tests.</w:t>
      </w:r>
      <w:r w:rsidRPr="009C62D3">
        <w:rPr>
          <w:rFonts w:asciiTheme="minorHAnsi" w:hAnsiTheme="minorHAnsi" w:cstheme="minorHAnsi"/>
          <w:color w:val="212121"/>
          <w:shd w:val="clear" w:color="auto" w:fill="FFFFFF"/>
          <w:vertAlign w:val="superscript"/>
        </w:rPr>
        <w:endnoteReference w:id="30"/>
      </w:r>
      <w:r w:rsidRPr="009C62D3">
        <w:rPr>
          <w:rFonts w:asciiTheme="minorHAnsi" w:hAnsiTheme="minorHAnsi" w:cstheme="minorHAnsi"/>
          <w:color w:val="212121"/>
          <w:shd w:val="clear" w:color="auto" w:fill="FFFFFF"/>
        </w:rPr>
        <w:t xml:space="preserve"> </w:t>
      </w:r>
      <w:r w:rsidR="009C62D3" w:rsidRPr="009C62D3">
        <w:rPr>
          <w:rFonts w:asciiTheme="minorHAnsi" w:hAnsiTheme="minorHAnsi" w:cstheme="minorHAnsi"/>
          <w:color w:val="212121"/>
          <w:shd w:val="clear" w:color="auto" w:fill="FFFFFF"/>
        </w:rPr>
        <w:t>Given that additional scanning capacity at BMC will reduce wait times leading to more timely care, the Proposed Project will compete on the basis of price and other cost factors.</w:t>
      </w:r>
    </w:p>
    <w:p w14:paraId="361CD6E5" w14:textId="77777777" w:rsidR="009C62D3" w:rsidRPr="009C62D3" w:rsidRDefault="009C62D3" w:rsidP="00A84A77">
      <w:pPr>
        <w:rPr>
          <w:rFonts w:asciiTheme="minorHAnsi" w:eastAsia="Calibri" w:hAnsiTheme="minorHAnsi" w:cstheme="minorHAnsi"/>
        </w:rPr>
      </w:pPr>
    </w:p>
    <w:p w14:paraId="0B6CF001" w14:textId="0BB5DE48" w:rsidR="009C62D3" w:rsidRPr="009C62D3" w:rsidRDefault="009C62D3" w:rsidP="00A84A77">
      <w:pPr>
        <w:rPr>
          <w:rFonts w:asciiTheme="minorHAnsi" w:eastAsia="Calibri" w:hAnsiTheme="minorHAnsi" w:cstheme="minorHAnsi"/>
        </w:rPr>
      </w:pPr>
      <w:r w:rsidRPr="009C62D3">
        <w:rPr>
          <w:rFonts w:asciiTheme="minorHAnsi" w:eastAsia="Calibri" w:hAnsiTheme="minorHAnsi" w:cstheme="minorHAnsi"/>
        </w:rPr>
        <w:t xml:space="preserve">The Proposed Project also competes on the basis of recognized measures of health care spending by allowing BMC to </w:t>
      </w:r>
      <w:r w:rsidR="00FB1F79" w:rsidRPr="0024380F">
        <w:rPr>
          <w:rFonts w:asciiTheme="minorHAnsi" w:eastAsia="Calibri" w:hAnsiTheme="minorHAnsi" w:cstheme="minorHAnsi"/>
        </w:rPr>
        <w:t xml:space="preserve">optimize its </w:t>
      </w:r>
      <w:r w:rsidRPr="009C62D3">
        <w:rPr>
          <w:rFonts w:asciiTheme="minorHAnsi" w:eastAsia="Calibri" w:hAnsiTheme="minorHAnsi" w:cstheme="minorHAnsi"/>
        </w:rPr>
        <w:t xml:space="preserve">population health management and value-based reimbursement </w:t>
      </w:r>
      <w:r w:rsidR="00FB1F79" w:rsidRPr="0024380F">
        <w:rPr>
          <w:rFonts w:asciiTheme="minorHAnsi" w:eastAsia="Calibri" w:hAnsiTheme="minorHAnsi" w:cstheme="minorHAnsi"/>
        </w:rPr>
        <w:t>efforts</w:t>
      </w:r>
      <w:r w:rsidRPr="009C62D3">
        <w:rPr>
          <w:rFonts w:asciiTheme="minorHAnsi" w:eastAsia="Calibri" w:hAnsiTheme="minorHAnsi" w:cstheme="minorHAnsi"/>
        </w:rPr>
        <w:t xml:space="preserve"> by screening and assisting more patients with costs associated with the social drivers of health</w:t>
      </w:r>
      <w:r w:rsidR="0024380F" w:rsidRPr="0024380F">
        <w:rPr>
          <w:rFonts w:asciiTheme="minorHAnsi" w:eastAsia="Calibri" w:hAnsiTheme="minorHAnsi" w:cstheme="minorHAnsi"/>
        </w:rPr>
        <w:t xml:space="preserve"> which have proven public health value</w:t>
      </w:r>
      <w:r w:rsidRPr="009C62D3">
        <w:rPr>
          <w:rFonts w:asciiTheme="minorHAnsi" w:eastAsia="Calibri" w:hAnsiTheme="minorHAnsi" w:cstheme="minorHAnsi"/>
        </w:rPr>
        <w:t>. A report from the American Hospital Association provides that socioeconomic factors are responsible for approximately 40% of a patient’s health, while access to care and overall quality care account for only 20%</w:t>
      </w:r>
      <w:bookmarkStart w:id="62" w:name="_Ref109130348"/>
      <w:r w:rsidRPr="009C62D3">
        <w:rPr>
          <w:rFonts w:asciiTheme="minorHAnsi" w:eastAsia="Calibri" w:hAnsiTheme="minorHAnsi" w:cstheme="minorHAnsi"/>
        </w:rPr>
        <w:t>.</w:t>
      </w:r>
      <w:bookmarkEnd w:id="62"/>
      <w:r w:rsidR="00563B89" w:rsidRPr="009C62D3">
        <w:rPr>
          <w:rFonts w:asciiTheme="minorHAnsi" w:eastAsia="Calibri" w:hAnsiTheme="minorHAnsi" w:cstheme="minorHAnsi"/>
          <w:vertAlign w:val="superscript"/>
        </w:rPr>
        <w:endnoteReference w:id="31"/>
      </w:r>
      <w:r w:rsidR="00563B89" w:rsidRPr="009C62D3">
        <w:rPr>
          <w:rFonts w:asciiTheme="minorHAnsi" w:eastAsia="Calibri" w:hAnsiTheme="minorHAnsi" w:cstheme="minorHAnsi"/>
        </w:rPr>
        <w:t xml:space="preserve"> Consequently, by addressing patients’ SDoH needs, providers can significantly reduce health care costs. Examples of programs that reduce health 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563B89" w:rsidRPr="009C62D3">
        <w:rPr>
          <w:rFonts w:asciiTheme="minorHAnsi" w:eastAsia="Calibri" w:hAnsiTheme="minorHAnsi" w:cstheme="minorHAnsi"/>
          <w:vertAlign w:val="superscript"/>
        </w:rPr>
        <w:endnoteReference w:id="32"/>
      </w:r>
      <w:r w:rsidR="00563B89" w:rsidRPr="009C62D3">
        <w:rPr>
          <w:rFonts w:asciiTheme="minorHAnsi" w:eastAsia="Calibri" w:hAnsiTheme="minorHAnsi" w:cstheme="minorHAnsi"/>
        </w:rPr>
        <w:t xml:space="preserve"> </w:t>
      </w:r>
    </w:p>
    <w:p w14:paraId="6D3FFD8C" w14:textId="77777777" w:rsidR="009C62D3" w:rsidRPr="009C62D3" w:rsidRDefault="009C62D3" w:rsidP="00A84A77">
      <w:pPr>
        <w:rPr>
          <w:rFonts w:ascii="Arial" w:eastAsia="Calibri" w:hAnsi="Arial" w:cs="Arial"/>
          <w:sz w:val="22"/>
          <w:szCs w:val="22"/>
        </w:rPr>
      </w:pPr>
    </w:p>
    <w:p w14:paraId="4AEEE3FD" w14:textId="5C612CE9" w:rsidR="009C62D3" w:rsidRPr="009C62D3" w:rsidRDefault="009C62D3" w:rsidP="00A84A77">
      <w:pPr>
        <w:rPr>
          <w:rFonts w:asciiTheme="minorHAnsi" w:eastAsia="Calibri" w:hAnsiTheme="minorHAnsi" w:cstheme="minorHAnsi"/>
        </w:rPr>
      </w:pPr>
      <w:r w:rsidRPr="009C62D3">
        <w:rPr>
          <w:rFonts w:asciiTheme="minorHAnsi" w:eastAsia="Calibri" w:hAnsiTheme="minorHAnsi" w:cstheme="minorHAnsi"/>
        </w:rPr>
        <w:t>BMC has integrat</w:t>
      </w:r>
      <w:r w:rsidR="0024380F" w:rsidRPr="0024380F">
        <w:rPr>
          <w:rFonts w:asciiTheme="minorHAnsi" w:eastAsia="Calibri" w:hAnsiTheme="minorHAnsi" w:cstheme="minorHAnsi"/>
        </w:rPr>
        <w:t>ed</w:t>
      </w:r>
      <w:r w:rsidRPr="009C62D3">
        <w:rPr>
          <w:rFonts w:asciiTheme="minorHAnsi" w:eastAsia="Calibri" w:hAnsiTheme="minorHAnsi" w:cstheme="minorHAnsi"/>
        </w:rPr>
        <w:t xml:space="preserve"> SDoH programming into its clinical models</w:t>
      </w:r>
      <w:r w:rsidR="0024380F" w:rsidRPr="0024380F">
        <w:rPr>
          <w:rFonts w:asciiTheme="minorHAnsi" w:eastAsia="Calibri" w:hAnsiTheme="minorHAnsi" w:cstheme="minorHAnsi"/>
        </w:rPr>
        <w:t xml:space="preserve">, </w:t>
      </w:r>
      <w:r w:rsidRPr="009C62D3">
        <w:rPr>
          <w:rFonts w:asciiTheme="minorHAnsi" w:eastAsia="Calibri" w:hAnsiTheme="minorHAnsi" w:cstheme="minorHAnsi"/>
        </w:rPr>
        <w:t xml:space="preserve">ensuring that patients’ health care and SDoH needs are addressed. The Hospital has invested in a diverse group of community partnerships throughout its various targeted neighborhoods. Some of these investments include: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 and other community partners to create a housing stabilization program for individuals with complex medical problems, including SUDs. The Proposed Project will allow BMC to screen additional patients for SDoH and further invest in social programming, ultimately leading to reductions in health care costs. </w:t>
      </w:r>
    </w:p>
    <w:p w14:paraId="49AD2BC3" w14:textId="77777777" w:rsidR="009C62D3" w:rsidRPr="009C62D3" w:rsidRDefault="009C62D3" w:rsidP="00A84A77">
      <w:pPr>
        <w:rPr>
          <w:rFonts w:ascii="Arial" w:eastAsia="Calibri" w:hAnsi="Arial" w:cs="Arial"/>
          <w:sz w:val="22"/>
          <w:szCs w:val="22"/>
        </w:rPr>
      </w:pPr>
    </w:p>
    <w:p w14:paraId="04AE10BD" w14:textId="71657DA8" w:rsidR="002D535F" w:rsidRPr="00392811" w:rsidRDefault="002D535F" w:rsidP="00A84A77">
      <w:pPr>
        <w:contextualSpacing/>
        <w:rPr>
          <w:rFonts w:asciiTheme="minorHAnsi" w:hAnsiTheme="minorHAnsi" w:cstheme="minorHAnsi"/>
          <w:b/>
          <w:i/>
        </w:rPr>
      </w:pPr>
      <w:r w:rsidRPr="00392811">
        <w:rPr>
          <w:rFonts w:asciiTheme="minorHAnsi" w:hAnsiTheme="minorHAnsi" w:cstheme="minorHAnsi"/>
          <w:b/>
          <w:i/>
        </w:rPr>
        <w:t>Analysis</w:t>
      </w:r>
    </w:p>
    <w:p w14:paraId="619D8F2C" w14:textId="7B00A381" w:rsidR="00F0697B" w:rsidRPr="00392811" w:rsidRDefault="00F0697B" w:rsidP="00A84A77">
      <w:pPr>
        <w:contextualSpacing/>
        <w:rPr>
          <w:rFonts w:asciiTheme="minorHAnsi" w:hAnsiTheme="minorHAnsi" w:cstheme="minorHAnsi"/>
          <w:b/>
          <w:i/>
        </w:rPr>
      </w:pPr>
    </w:p>
    <w:p w14:paraId="1BDFE6DC" w14:textId="2DC1EAC1" w:rsidR="00563B89" w:rsidRPr="0072268C" w:rsidRDefault="00F0697B" w:rsidP="00A84A77">
      <w:pPr>
        <w:contextualSpacing/>
        <w:rPr>
          <w:rFonts w:asciiTheme="minorHAnsi" w:hAnsiTheme="minorHAnsi" w:cstheme="minorHAnsi"/>
          <w:b/>
          <w:iCs/>
        </w:rPr>
      </w:pPr>
      <w:r w:rsidRPr="00392811">
        <w:rPr>
          <w:rFonts w:asciiTheme="minorHAnsi" w:hAnsiTheme="minorHAnsi" w:cstheme="minorHAnsi"/>
          <w:bCs/>
          <w:iCs/>
        </w:rPr>
        <w:t>Cost containment on a statewide level is impacted through pricing, which is a function of what providers charge payers</w:t>
      </w:r>
      <w:sdt>
        <w:sdtPr>
          <w:rPr>
            <w:rFonts w:asciiTheme="minorHAnsi" w:hAnsiTheme="minorHAnsi" w:cstheme="minorHAnsi"/>
            <w:bCs/>
            <w:iCs/>
            <w:color w:val="2B579A"/>
            <w:shd w:val="clear" w:color="auto" w:fill="E6E6E6"/>
          </w:rPr>
          <w:tag w:val="goog_rdk_194"/>
          <w:id w:val="2129114653"/>
        </w:sdtPr>
        <w:sdtContent>
          <w:r w:rsidRPr="00392811">
            <w:rPr>
              <w:rFonts w:asciiTheme="minorHAnsi" w:hAnsiTheme="minorHAnsi" w:cstheme="minorHAnsi"/>
              <w:bCs/>
              <w:iCs/>
            </w:rPr>
            <w:t>,</w:t>
          </w:r>
        </w:sdtContent>
      </w:sdt>
      <w:r w:rsidRPr="00392811">
        <w:rPr>
          <w:rFonts w:asciiTheme="minorHAnsi" w:hAnsiTheme="minorHAnsi" w:cstheme="minorHAnsi"/>
          <w:bCs/>
          <w:iCs/>
        </w:rPr>
        <w:t xml:space="preserve"> what payers agree to pay. While payment contracts between providers and Medicare and Medicaid are relatively transparent, those between individual </w:t>
      </w:r>
      <w:sdt>
        <w:sdtPr>
          <w:rPr>
            <w:rFonts w:asciiTheme="minorHAnsi" w:hAnsiTheme="minorHAnsi" w:cstheme="minorHAnsi"/>
            <w:bCs/>
            <w:iCs/>
            <w:color w:val="2B579A"/>
            <w:shd w:val="clear" w:color="auto" w:fill="E6E6E6"/>
          </w:rPr>
          <w:tag w:val="goog_rdk_197"/>
          <w:id w:val="858547183"/>
        </w:sdtPr>
        <w:sdtContent>
          <w:r w:rsidRPr="00392811">
            <w:rPr>
              <w:rFonts w:asciiTheme="minorHAnsi" w:hAnsiTheme="minorHAnsi" w:cstheme="minorHAnsi"/>
              <w:bCs/>
              <w:iCs/>
            </w:rPr>
            <w:t>p</w:t>
          </w:r>
        </w:sdtContent>
      </w:sdt>
      <w:r w:rsidRPr="00392811">
        <w:rPr>
          <w:rFonts w:asciiTheme="minorHAnsi" w:hAnsiTheme="minorHAnsi" w:cstheme="minorHAnsi"/>
          <w:bCs/>
          <w:iCs/>
        </w:rPr>
        <w:t>roviders and commercial payers are confidential.</w:t>
      </w:r>
      <w:r w:rsidRPr="00392811">
        <w:rPr>
          <w:rFonts w:asciiTheme="minorHAnsi" w:hAnsiTheme="minorHAnsi" w:cstheme="minorHAnsi"/>
          <w:bCs/>
          <w:iCs/>
          <w:vertAlign w:val="superscript"/>
        </w:rPr>
        <w:endnoteReference w:id="33"/>
      </w:r>
      <w:r w:rsidRPr="00392811">
        <w:rPr>
          <w:rFonts w:asciiTheme="minorHAnsi" w:hAnsiTheme="minorHAnsi" w:cstheme="minorHAnsi"/>
          <w:bCs/>
          <w:iCs/>
        </w:rPr>
        <w:t xml:space="preserve"> As a result, staff cannot assess how </w:t>
      </w:r>
      <w:r w:rsidR="00042308" w:rsidRPr="00392811">
        <w:rPr>
          <w:rFonts w:asciiTheme="minorHAnsi" w:hAnsiTheme="minorHAnsi" w:cstheme="minorHAnsi"/>
          <w:bCs/>
          <w:iCs/>
        </w:rPr>
        <w:t xml:space="preserve">BMC’s </w:t>
      </w:r>
      <w:r w:rsidRPr="00392811">
        <w:rPr>
          <w:rFonts w:asciiTheme="minorHAnsi" w:hAnsiTheme="minorHAnsi" w:cstheme="minorHAnsi"/>
          <w:bCs/>
          <w:iCs/>
        </w:rPr>
        <w:t>contracts with payers</w:t>
      </w:r>
      <w:r w:rsidR="00042308" w:rsidRPr="00392811">
        <w:rPr>
          <w:rFonts w:asciiTheme="minorHAnsi" w:hAnsiTheme="minorHAnsi" w:cstheme="minorHAnsi"/>
          <w:bCs/>
          <w:iCs/>
        </w:rPr>
        <w:t xml:space="preserve">. </w:t>
      </w:r>
      <w:r w:rsidR="0072268C">
        <w:rPr>
          <w:rFonts w:asciiTheme="minorHAnsi" w:hAnsiTheme="minorHAnsi" w:cstheme="minorHAnsi"/>
          <w:bCs/>
          <w:iCs/>
        </w:rPr>
        <w:t>However, we know that BMC has a high public payer mix which has fixed prices and also that BMC has the among lowest relative prices from the top three commercial payers</w:t>
      </w:r>
      <w:r w:rsidR="00563B89">
        <w:rPr>
          <w:rStyle w:val="EndnoteReference"/>
          <w:rFonts w:asciiTheme="minorHAnsi" w:hAnsiTheme="minorHAnsi" w:cstheme="minorHAnsi"/>
          <w:bCs/>
          <w:iCs/>
        </w:rPr>
        <w:endnoteReference w:id="34"/>
      </w:r>
      <w:r w:rsidR="00563B89">
        <w:rPr>
          <w:rFonts w:asciiTheme="minorHAnsi" w:hAnsiTheme="minorHAnsi" w:cstheme="minorHAnsi"/>
          <w:bCs/>
          <w:iCs/>
        </w:rPr>
        <w:t xml:space="preserve"> </w:t>
      </w:r>
      <w:r w:rsidR="00563B89" w:rsidRPr="00392811">
        <w:rPr>
          <w:rFonts w:asciiTheme="minorHAnsi" w:hAnsiTheme="minorHAnsi" w:cstheme="minorHAnsi"/>
        </w:rPr>
        <w:t xml:space="preserve">compared to </w:t>
      </w:r>
      <w:r w:rsidR="00563B89">
        <w:rPr>
          <w:rFonts w:asciiTheme="minorHAnsi" w:hAnsiTheme="minorHAnsi" w:cstheme="minorHAnsi"/>
        </w:rPr>
        <w:t xml:space="preserve">its cohort of </w:t>
      </w:r>
      <w:r w:rsidR="00563B89" w:rsidRPr="00392811">
        <w:rPr>
          <w:rFonts w:asciiTheme="minorHAnsi" w:hAnsiTheme="minorHAnsi" w:cstheme="minorHAnsi"/>
        </w:rPr>
        <w:t>the five other AMCs</w:t>
      </w:r>
      <w:r w:rsidR="00563B89">
        <w:rPr>
          <w:rFonts w:asciiTheme="minorHAnsi" w:hAnsiTheme="minorHAnsi" w:cstheme="minorHAnsi"/>
        </w:rPr>
        <w:t>.</w:t>
      </w:r>
      <w:r w:rsidR="00563B89" w:rsidRPr="0072268C">
        <w:rPr>
          <w:rFonts w:asciiTheme="minorHAnsi" w:hAnsiTheme="minorHAnsi" w:cstheme="minorHAnsi"/>
          <w:b/>
          <w:iCs/>
          <w:vertAlign w:val="superscript"/>
        </w:rPr>
        <w:endnoteReference w:id="35"/>
      </w:r>
    </w:p>
    <w:p w14:paraId="09C02C62" w14:textId="77A8568B" w:rsidR="00563B89" w:rsidRPr="00392811" w:rsidRDefault="00563B89" w:rsidP="00A84A77">
      <w:pPr>
        <w:contextualSpacing/>
        <w:rPr>
          <w:rFonts w:asciiTheme="minorHAnsi" w:hAnsiTheme="minorHAnsi" w:cstheme="minorHAnsi"/>
        </w:rPr>
      </w:pPr>
    </w:p>
    <w:p w14:paraId="1CB64A87" w14:textId="7FFE646F" w:rsidR="00563B89" w:rsidRPr="00392811" w:rsidRDefault="00563B89" w:rsidP="00A84A77">
      <w:pPr>
        <w:contextualSpacing/>
        <w:rPr>
          <w:rFonts w:asciiTheme="minorHAnsi" w:hAnsiTheme="minorHAnsi" w:cstheme="minorHAnsi"/>
          <w:bCs/>
          <w:iCs/>
        </w:rPr>
      </w:pPr>
      <w:r w:rsidRPr="00392811">
        <w:rPr>
          <w:rFonts w:asciiTheme="minorHAnsi" w:hAnsiTheme="minorHAnsi" w:cstheme="minorHAnsi"/>
        </w:rPr>
        <w:t xml:space="preserve">Staff find that the Proposed Project has the potential to </w:t>
      </w:r>
      <w:r>
        <w:rPr>
          <w:rFonts w:asciiTheme="minorHAnsi" w:hAnsiTheme="minorHAnsi" w:cstheme="minorHAnsi"/>
        </w:rPr>
        <w:t>control</w:t>
      </w:r>
      <w:r w:rsidRPr="00392811">
        <w:rPr>
          <w:rFonts w:asciiTheme="minorHAnsi" w:hAnsiTheme="minorHAnsi" w:cstheme="minorHAnsi"/>
        </w:rPr>
        <w:t xml:space="preserve"> spending through reducing delays in access to care, and accelerating diagnosis and treatment, and improving efficiencies. </w:t>
      </w:r>
      <w:bookmarkStart w:id="63" w:name="_Hlk17663634"/>
      <w:r w:rsidRPr="00392811">
        <w:rPr>
          <w:rFonts w:asciiTheme="minorHAnsi" w:hAnsiTheme="minorHAnsi" w:cstheme="minorHAnsi"/>
        </w:rPr>
        <w:t>As described herein, Staff finds that the Applicant described means whereby the Proposed Project will likely compete on the basis of price, TME, provider costs and other recognized measures of health care spending. Staff further notes that by providing adequate capacity at a lower cost provider, BMC, can reduce costs by minimizing diversions to other higher cost AMC providers.</w:t>
      </w:r>
      <w:r>
        <w:rPr>
          <w:rFonts w:asciiTheme="minorHAnsi" w:hAnsiTheme="minorHAnsi" w:cstheme="minorHAnsi"/>
        </w:rPr>
        <w:t xml:space="preserve"> </w:t>
      </w:r>
      <w:r w:rsidRPr="00392811">
        <w:rPr>
          <w:rFonts w:asciiTheme="minorHAnsi" w:hAnsiTheme="minorHAnsi" w:cstheme="minorHAnsi"/>
          <w:bCs/>
          <w:iCs/>
        </w:rPr>
        <w:t>As a result of the above analysis, Staff finds that the Applicant has met the provisions of Factor 1(f).</w:t>
      </w:r>
    </w:p>
    <w:p w14:paraId="7E649101" w14:textId="32171437" w:rsidR="00563B89" w:rsidRDefault="00563B89" w:rsidP="00D12538">
      <w:pPr>
        <w:pStyle w:val="Heading1"/>
        <w:rPr>
          <w:rFonts w:asciiTheme="minorHAnsi" w:hAnsiTheme="minorHAnsi" w:cstheme="minorHAnsi"/>
          <w:highlight w:val="yellow"/>
        </w:rPr>
      </w:pPr>
      <w:bookmarkStart w:id="64" w:name="_Toc148704461"/>
      <w:bookmarkStart w:id="65" w:name="_Toc17731330"/>
      <w:bookmarkStart w:id="66" w:name="_Toc17748250"/>
      <w:bookmarkStart w:id="67" w:name="_Toc17748477"/>
      <w:bookmarkStart w:id="68" w:name="_Toc17748721"/>
      <w:bookmarkStart w:id="69" w:name="_Toc18420200"/>
      <w:bookmarkStart w:id="70" w:name="_Toc18922421"/>
      <w:bookmarkEnd w:id="63"/>
      <w:r w:rsidRPr="00392811">
        <w:rPr>
          <w:rFonts w:asciiTheme="minorHAnsi" w:hAnsiTheme="minorHAnsi" w:cstheme="minorHAnsi"/>
        </w:rPr>
        <w:lastRenderedPageBreak/>
        <w:t xml:space="preserve">Factor 2: Cost </w:t>
      </w:r>
      <w:r w:rsidR="0084113B">
        <w:rPr>
          <w:rFonts w:asciiTheme="minorHAnsi" w:hAnsiTheme="minorHAnsi" w:cstheme="minorHAnsi"/>
        </w:rPr>
        <w:t>C</w:t>
      </w:r>
      <w:r w:rsidRPr="00392811">
        <w:rPr>
          <w:rFonts w:asciiTheme="minorHAnsi" w:hAnsiTheme="minorHAnsi" w:cstheme="minorHAnsi"/>
        </w:rPr>
        <w:t>ontainment, Improved Public Health Outcomes and Delivery System Transformation</w:t>
      </w:r>
      <w:bookmarkEnd w:id="64"/>
    </w:p>
    <w:p w14:paraId="4C20429A" w14:textId="77777777" w:rsidR="0084113B" w:rsidRPr="0084113B" w:rsidRDefault="0084113B" w:rsidP="0084113B">
      <w:pPr>
        <w:rPr>
          <w:highlight w:val="yellow"/>
        </w:rPr>
      </w:pPr>
    </w:p>
    <w:bookmarkEnd w:id="65"/>
    <w:bookmarkEnd w:id="66"/>
    <w:bookmarkEnd w:id="67"/>
    <w:bookmarkEnd w:id="68"/>
    <w:bookmarkEnd w:id="69"/>
    <w:bookmarkEnd w:id="70"/>
    <w:p w14:paraId="25250389" w14:textId="77777777" w:rsidR="00563B89" w:rsidRPr="00392811" w:rsidRDefault="00563B89" w:rsidP="00A84A77">
      <w:pPr>
        <w:contextualSpacing/>
        <w:rPr>
          <w:rFonts w:asciiTheme="minorHAnsi" w:hAnsiTheme="minorHAnsi" w:cstheme="minorHAnsi"/>
        </w:rPr>
      </w:pPr>
      <w:r w:rsidRPr="00392811">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180569ED" w14:textId="77777777" w:rsidR="00563B89" w:rsidRPr="00392811" w:rsidRDefault="00563B89" w:rsidP="00A84A77">
      <w:pPr>
        <w:textAlignment w:val="baseline"/>
        <w:rPr>
          <w:rFonts w:asciiTheme="minorHAnsi" w:hAnsiTheme="minorHAnsi" w:cstheme="minorHAnsi"/>
          <w:bCs/>
        </w:rPr>
      </w:pPr>
    </w:p>
    <w:p w14:paraId="3F848653" w14:textId="77777777" w:rsidR="00AA3ADC" w:rsidRDefault="00563B89" w:rsidP="00A84A77">
      <w:pPr>
        <w:rPr>
          <w:rFonts w:asciiTheme="minorHAnsi" w:hAnsiTheme="minorHAnsi" w:cstheme="minorHAnsi"/>
          <w:b/>
          <w:bCs/>
        </w:rPr>
      </w:pPr>
      <w:r w:rsidRPr="00392811">
        <w:rPr>
          <w:rFonts w:asciiTheme="minorHAnsi" w:hAnsiTheme="minorHAnsi" w:cstheme="minorHAnsi"/>
          <w:b/>
          <w:bCs/>
        </w:rPr>
        <w:t>Cost Containment</w:t>
      </w:r>
    </w:p>
    <w:p w14:paraId="22BD63B2" w14:textId="3BD3983F" w:rsidR="00563B89" w:rsidRPr="00392811" w:rsidRDefault="00563B89" w:rsidP="00A84A77">
      <w:pPr>
        <w:rPr>
          <w:rFonts w:asciiTheme="minorHAnsi" w:hAnsiTheme="minorHAnsi" w:cstheme="minorHAnsi"/>
          <w:b/>
          <w:bCs/>
        </w:rPr>
      </w:pPr>
      <w:r w:rsidRPr="00392811">
        <w:rPr>
          <w:rFonts w:asciiTheme="minorHAnsi" w:hAnsiTheme="minorHAnsi" w:cstheme="minorHAnsi"/>
        </w:rPr>
        <w:t xml:space="preserve">  </w:t>
      </w:r>
    </w:p>
    <w:p w14:paraId="3358D3F1" w14:textId="397C3D3A" w:rsidR="00563B89" w:rsidRPr="00EC0F31" w:rsidRDefault="00563B89" w:rsidP="00A84A77">
      <w:pPr>
        <w:contextualSpacing/>
        <w:rPr>
          <w:rFonts w:asciiTheme="minorHAnsi" w:eastAsia="Calibri" w:hAnsiTheme="minorHAnsi" w:cstheme="minorHAnsi"/>
        </w:rPr>
      </w:pPr>
      <w:r w:rsidRPr="009C62D3">
        <w:rPr>
          <w:rFonts w:asciiTheme="minorHAnsi" w:hAnsiTheme="minorHAnsi" w:cstheme="minorHAnsi"/>
        </w:rPr>
        <w:t>The Applicant cites research findings that t</w:t>
      </w:r>
      <w:r w:rsidRPr="00EC0F31">
        <w:rPr>
          <w:rFonts w:asciiTheme="minorHAnsi" w:eastAsia="Calibri" w:hAnsiTheme="minorHAnsi" w:cstheme="minorHAnsi"/>
        </w:rPr>
        <w:t>he provision of timely care in an appropriate setting has proven to reduce mortality and morbidity for chronic conditions, which translates to better patient clinical outcomes and reduced costs.</w:t>
      </w:r>
      <w:r w:rsidRPr="00EC0F31">
        <w:rPr>
          <w:rFonts w:asciiTheme="minorHAnsi" w:eastAsia="Calibri" w:hAnsiTheme="minorHAnsi" w:cstheme="minorHAnsi"/>
          <w:vertAlign w:val="superscript"/>
        </w:rPr>
        <w:endnoteReference w:id="36"/>
      </w:r>
      <w:r w:rsidR="004F53E1">
        <w:rPr>
          <w:rFonts w:asciiTheme="minorHAnsi" w:eastAsia="Calibri" w:hAnsiTheme="minorHAnsi" w:cstheme="minorHAnsi"/>
        </w:rPr>
        <w:t xml:space="preserve"> </w:t>
      </w:r>
    </w:p>
    <w:p w14:paraId="597BB6B3" w14:textId="77777777" w:rsidR="009C62D3" w:rsidRDefault="009C62D3" w:rsidP="00A84A77">
      <w:pPr>
        <w:contextualSpacing/>
        <w:rPr>
          <w:rFonts w:asciiTheme="minorHAnsi" w:hAnsiTheme="minorHAnsi" w:cstheme="minorHAnsi"/>
        </w:rPr>
      </w:pPr>
      <w:bookmarkStart w:id="71" w:name="_Toc17748725"/>
      <w:bookmarkStart w:id="72" w:name="_Toc17748726"/>
    </w:p>
    <w:p w14:paraId="2ED09F38" w14:textId="7B25F4AD" w:rsidR="009C62D3" w:rsidRPr="00ED0494" w:rsidRDefault="009C62D3" w:rsidP="00A84A77">
      <w:pPr>
        <w:rPr>
          <w:rFonts w:asciiTheme="minorHAnsi" w:eastAsia="Calibri" w:hAnsiTheme="minorHAnsi" w:cstheme="minorHAnsi"/>
        </w:rPr>
      </w:pPr>
      <w:r>
        <w:rPr>
          <w:rFonts w:asciiTheme="minorHAnsi" w:eastAsia="Calibri" w:hAnsiTheme="minorHAnsi" w:cstheme="minorHAnsi"/>
        </w:rPr>
        <w:t>The Applicant asserts t</w:t>
      </w:r>
      <w:r w:rsidRPr="00EC0F31">
        <w:rPr>
          <w:rFonts w:asciiTheme="minorHAnsi" w:eastAsia="Calibri" w:hAnsiTheme="minorHAnsi" w:cstheme="minorHAnsi"/>
        </w:rPr>
        <w:t xml:space="preserve">he Proposed Project will meet the Commonwealth’s goals in </w:t>
      </w:r>
      <w:r>
        <w:rPr>
          <w:rFonts w:asciiTheme="minorHAnsi" w:eastAsia="Calibri" w:hAnsiTheme="minorHAnsi" w:cstheme="minorHAnsi"/>
        </w:rPr>
        <w:t>the following ways.</w:t>
      </w:r>
      <w:r w:rsidRPr="00EC0F31">
        <w:rPr>
          <w:rFonts w:asciiTheme="minorHAnsi" w:eastAsia="Calibri" w:hAnsiTheme="minorHAnsi" w:cstheme="minorHAnsi"/>
        </w:rPr>
        <w:t xml:space="preserve"> First, an increase in MRI scanning capacity will </w:t>
      </w:r>
      <w:r w:rsidR="004F53E1">
        <w:rPr>
          <w:rFonts w:asciiTheme="minorHAnsi" w:eastAsia="Calibri" w:hAnsiTheme="minorHAnsi" w:cstheme="minorHAnsi"/>
        </w:rPr>
        <w:t>enable</w:t>
      </w:r>
      <w:r w:rsidRPr="00EC0F31">
        <w:rPr>
          <w:rFonts w:asciiTheme="minorHAnsi" w:eastAsia="Calibri" w:hAnsiTheme="minorHAnsi" w:cstheme="minorHAnsi"/>
        </w:rPr>
        <w:t xml:space="preserve"> more timely access to care and treatment. When patients have access to services earlier in the disease phase, both health outcomes and overall health care costs are improved based on staging and the efficacy of treatment. Second, the Applicant,</w:t>
      </w:r>
      <w:r>
        <w:rPr>
          <w:rFonts w:asciiTheme="minorHAnsi" w:eastAsia="Calibri" w:hAnsiTheme="minorHAnsi" w:cstheme="minorHAnsi"/>
        </w:rPr>
        <w:t xml:space="preserve"> </w:t>
      </w:r>
      <w:r w:rsidRPr="00EC0F31">
        <w:rPr>
          <w:rFonts w:asciiTheme="minorHAnsi" w:eastAsia="Calibri" w:hAnsiTheme="minorHAnsi" w:cstheme="minorHAnsi"/>
        </w:rPr>
        <w:t xml:space="preserve">determined that a </w:t>
      </w:r>
      <w:r>
        <w:rPr>
          <w:rFonts w:asciiTheme="minorHAnsi" w:eastAsia="Calibri" w:hAnsiTheme="minorHAnsi" w:cstheme="minorHAnsi"/>
        </w:rPr>
        <w:t xml:space="preserve">less costly </w:t>
      </w:r>
      <w:r w:rsidRPr="00EC0F31">
        <w:rPr>
          <w:rFonts w:asciiTheme="minorHAnsi" w:eastAsia="Calibri" w:hAnsiTheme="minorHAnsi" w:cstheme="minorHAnsi"/>
        </w:rPr>
        <w:t>1.5T MRI</w:t>
      </w:r>
      <w:r>
        <w:rPr>
          <w:rFonts w:asciiTheme="minorHAnsi" w:eastAsia="Calibri" w:hAnsiTheme="minorHAnsi" w:cstheme="minorHAnsi"/>
        </w:rPr>
        <w:t xml:space="preserve"> unit (than a 3T)</w:t>
      </w:r>
      <w:r w:rsidRPr="00EC0F31">
        <w:rPr>
          <w:rFonts w:asciiTheme="minorHAnsi" w:eastAsia="Calibri" w:hAnsiTheme="minorHAnsi" w:cstheme="minorHAnsi"/>
        </w:rPr>
        <w:t xml:space="preserve"> is the better option for </w:t>
      </w:r>
      <w:r>
        <w:rPr>
          <w:rFonts w:asciiTheme="minorHAnsi" w:eastAsia="Calibri" w:hAnsiTheme="minorHAnsi" w:cstheme="minorHAnsi"/>
        </w:rPr>
        <w:t>BMC since, as discussed under Factor 1(b)</w:t>
      </w:r>
      <w:r w:rsidR="004F53E1">
        <w:rPr>
          <w:rFonts w:asciiTheme="minorHAnsi" w:eastAsia="Calibri" w:hAnsiTheme="minorHAnsi" w:cstheme="minorHAnsi"/>
        </w:rPr>
        <w:t xml:space="preserve"> and (f)</w:t>
      </w:r>
      <w:r>
        <w:rPr>
          <w:rFonts w:asciiTheme="minorHAnsi" w:eastAsia="Calibri" w:hAnsiTheme="minorHAnsi" w:cstheme="minorHAnsi"/>
        </w:rPr>
        <w:t xml:space="preserve">, more </w:t>
      </w:r>
      <w:r w:rsidRPr="00EC0F31">
        <w:rPr>
          <w:rFonts w:asciiTheme="minorHAnsi" w:eastAsia="Calibri" w:hAnsiTheme="minorHAnsi" w:cstheme="minorHAnsi"/>
        </w:rPr>
        <w:t xml:space="preserve">patients </w:t>
      </w:r>
      <w:r>
        <w:rPr>
          <w:rFonts w:asciiTheme="minorHAnsi" w:eastAsia="Calibri" w:hAnsiTheme="minorHAnsi" w:cstheme="minorHAnsi"/>
        </w:rPr>
        <w:t>can</w:t>
      </w:r>
      <w:r w:rsidRPr="00EC0F31">
        <w:rPr>
          <w:rFonts w:asciiTheme="minorHAnsi" w:eastAsia="Calibri" w:hAnsiTheme="minorHAnsi" w:cstheme="minorHAnsi"/>
        </w:rPr>
        <w:t xml:space="preserve"> be scanned on this</w:t>
      </w:r>
      <w:r>
        <w:rPr>
          <w:rFonts w:asciiTheme="minorHAnsi" w:eastAsia="Calibri" w:hAnsiTheme="minorHAnsi" w:cstheme="minorHAnsi"/>
        </w:rPr>
        <w:t xml:space="preserve"> unit</w:t>
      </w:r>
      <w:r w:rsidRPr="00EC0F31">
        <w:rPr>
          <w:rFonts w:asciiTheme="minorHAnsi" w:eastAsia="Calibri" w:hAnsiTheme="minorHAnsi" w:cstheme="minorHAnsi"/>
        </w:rPr>
        <w:t xml:space="preserve">, </w:t>
      </w:r>
      <w:r>
        <w:rPr>
          <w:rFonts w:asciiTheme="minorHAnsi" w:eastAsia="Calibri" w:hAnsiTheme="minorHAnsi" w:cstheme="minorHAnsi"/>
        </w:rPr>
        <w:t xml:space="preserve">improving patient throughput and thereby </w:t>
      </w:r>
      <w:r w:rsidRPr="00EC0F31">
        <w:rPr>
          <w:rFonts w:asciiTheme="minorHAnsi" w:eastAsia="Calibri" w:hAnsiTheme="minorHAnsi" w:cstheme="minorHAnsi"/>
        </w:rPr>
        <w:t>access</w:t>
      </w:r>
      <w:r>
        <w:rPr>
          <w:rFonts w:asciiTheme="minorHAnsi" w:eastAsia="Calibri" w:hAnsiTheme="minorHAnsi" w:cstheme="minorHAnsi"/>
        </w:rPr>
        <w:t>.</w:t>
      </w:r>
      <w:r w:rsidRPr="00EC0F31">
        <w:rPr>
          <w:rFonts w:asciiTheme="minorHAnsi" w:eastAsia="Calibri" w:hAnsiTheme="minorHAnsi" w:cstheme="minorHAnsi"/>
        </w:rPr>
        <w:t xml:space="preserve"> </w:t>
      </w:r>
    </w:p>
    <w:p w14:paraId="46A90EE8" w14:textId="77777777" w:rsidR="008F73F1" w:rsidRPr="00392811" w:rsidRDefault="008F73F1" w:rsidP="00A84A77">
      <w:pPr>
        <w:contextualSpacing/>
        <w:rPr>
          <w:rFonts w:asciiTheme="minorHAnsi" w:hAnsiTheme="minorHAnsi" w:cstheme="minorHAnsi"/>
        </w:rPr>
      </w:pPr>
    </w:p>
    <w:p w14:paraId="5EADA5BC" w14:textId="77777777" w:rsidR="008F73F1" w:rsidRPr="00392811" w:rsidRDefault="008F73F1" w:rsidP="00A84A77">
      <w:pPr>
        <w:contextualSpacing/>
        <w:rPr>
          <w:rFonts w:asciiTheme="minorHAnsi" w:hAnsiTheme="minorHAnsi" w:cstheme="minorHAnsi"/>
          <w:b/>
          <w:bCs/>
        </w:rPr>
      </w:pPr>
      <w:r w:rsidRPr="00392811">
        <w:rPr>
          <w:rFonts w:asciiTheme="minorHAnsi" w:hAnsiTheme="minorHAnsi" w:cstheme="minorHAnsi"/>
          <w:b/>
          <w:bCs/>
        </w:rPr>
        <w:t>Improved Public Health Outcomes</w:t>
      </w:r>
    </w:p>
    <w:p w14:paraId="33EB1564" w14:textId="6D31C2F1" w:rsidR="009C62D3" w:rsidRDefault="009C62D3" w:rsidP="00A84A77">
      <w:pPr>
        <w:contextualSpacing/>
        <w:rPr>
          <w:rFonts w:asciiTheme="minorHAnsi" w:hAnsiTheme="minorHAnsi" w:cstheme="minorHAnsi"/>
        </w:rPr>
      </w:pPr>
    </w:p>
    <w:p w14:paraId="29107763" w14:textId="56656CB5" w:rsidR="009C62D3" w:rsidRPr="00563B89" w:rsidRDefault="009C62D3" w:rsidP="00A84A77">
      <w:pPr>
        <w:contextualSpacing/>
        <w:rPr>
          <w:rFonts w:asciiTheme="minorHAnsi" w:hAnsiTheme="minorHAnsi" w:cstheme="minorHAnsi"/>
        </w:rPr>
      </w:pPr>
      <w:r w:rsidRPr="00563B89">
        <w:rPr>
          <w:rFonts w:asciiTheme="minorHAnsi" w:hAnsiTheme="minorHAnsi" w:cstheme="minorHAnsi"/>
        </w:rPr>
        <w:t>As more fully detailed throughout Factor 1, the Proposed Project will improve public health outcomes by improving access to MRI services at BMC</w:t>
      </w:r>
      <w:r w:rsidR="00563B89">
        <w:rPr>
          <w:rFonts w:asciiTheme="minorHAnsi" w:hAnsiTheme="minorHAnsi" w:cstheme="minorHAnsi"/>
        </w:rPr>
        <w:t xml:space="preserve"> by reducing wait-times and </w:t>
      </w:r>
      <w:r w:rsidRPr="00563B89">
        <w:rPr>
          <w:rFonts w:asciiTheme="minorHAnsi" w:hAnsiTheme="minorHAnsi" w:cstheme="minorHAnsi"/>
        </w:rPr>
        <w:t>the overall “no show rate</w:t>
      </w:r>
      <w:r w:rsidR="00563B89">
        <w:rPr>
          <w:rFonts w:asciiTheme="minorHAnsi" w:hAnsiTheme="minorHAnsi" w:cstheme="minorHAnsi"/>
        </w:rPr>
        <w:t>.</w:t>
      </w:r>
      <w:r w:rsidRPr="00563B89">
        <w:rPr>
          <w:rFonts w:asciiTheme="minorHAnsi" w:hAnsiTheme="minorHAnsi" w:cstheme="minorHAnsi"/>
        </w:rPr>
        <w:t xml:space="preserve">” When patients have reduced wait times for services, they seek care sooner and are more apt to attend appointments. Expedited imaging can ensure appropriate staging of a disease, </w:t>
      </w:r>
      <w:r w:rsidR="00563B89">
        <w:rPr>
          <w:rFonts w:asciiTheme="minorHAnsi" w:hAnsiTheme="minorHAnsi" w:cstheme="minorHAnsi"/>
        </w:rPr>
        <w:t>and</w:t>
      </w:r>
      <w:r w:rsidRPr="00563B89">
        <w:rPr>
          <w:rFonts w:asciiTheme="minorHAnsi" w:hAnsiTheme="minorHAnsi" w:cstheme="minorHAnsi"/>
        </w:rPr>
        <w:t xml:space="preserve"> </w:t>
      </w:r>
      <w:r w:rsidR="00563B89">
        <w:rPr>
          <w:rFonts w:asciiTheme="minorHAnsi" w:hAnsiTheme="minorHAnsi" w:cstheme="minorHAnsi"/>
        </w:rPr>
        <w:t xml:space="preserve">appropriate, timely </w:t>
      </w:r>
      <w:r w:rsidRPr="00563B89">
        <w:rPr>
          <w:rFonts w:asciiTheme="minorHAnsi" w:hAnsiTheme="minorHAnsi" w:cstheme="minorHAnsi"/>
        </w:rPr>
        <w:t>therapies are administered, lead</w:t>
      </w:r>
      <w:r w:rsidR="00563B89">
        <w:rPr>
          <w:rFonts w:asciiTheme="minorHAnsi" w:hAnsiTheme="minorHAnsi" w:cstheme="minorHAnsi"/>
        </w:rPr>
        <w:t>ing</w:t>
      </w:r>
      <w:r w:rsidRPr="00563B89">
        <w:rPr>
          <w:rFonts w:asciiTheme="minorHAnsi" w:hAnsiTheme="minorHAnsi" w:cstheme="minorHAnsi"/>
        </w:rPr>
        <w:t xml:space="preserve"> to less stress for a patient</w:t>
      </w:r>
      <w:r w:rsidR="00563B89">
        <w:rPr>
          <w:rFonts w:asciiTheme="minorHAnsi" w:hAnsiTheme="minorHAnsi" w:cstheme="minorHAnsi"/>
        </w:rPr>
        <w:t>s and families</w:t>
      </w:r>
      <w:r w:rsidRPr="00563B89">
        <w:rPr>
          <w:rFonts w:asciiTheme="minorHAnsi" w:hAnsiTheme="minorHAnsi" w:cstheme="minorHAnsi"/>
        </w:rPr>
        <w:t>. Accordingly, through the Proposed Project, public health outcomes will be improved.</w:t>
      </w:r>
    </w:p>
    <w:p w14:paraId="3E5F6851" w14:textId="77777777" w:rsidR="009C62D3" w:rsidRDefault="009C62D3" w:rsidP="00A84A77">
      <w:pPr>
        <w:contextualSpacing/>
        <w:rPr>
          <w:rFonts w:asciiTheme="minorHAnsi" w:hAnsiTheme="minorHAnsi" w:cstheme="minorHAnsi"/>
        </w:rPr>
      </w:pPr>
    </w:p>
    <w:p w14:paraId="46BBF3C4" w14:textId="05FFDA8D" w:rsidR="008F73F1" w:rsidRPr="00392811" w:rsidRDefault="00544122" w:rsidP="00A84A77">
      <w:pPr>
        <w:contextualSpacing/>
        <w:rPr>
          <w:rFonts w:asciiTheme="minorHAnsi" w:hAnsiTheme="minorHAnsi" w:cstheme="minorHAnsi"/>
        </w:rPr>
      </w:pPr>
      <w:r w:rsidRPr="00392811">
        <w:rPr>
          <w:rFonts w:asciiTheme="minorHAnsi" w:hAnsiTheme="minorHAnsi" w:cstheme="minorHAnsi"/>
        </w:rPr>
        <w:t xml:space="preserve">As a result of the Proposed Project, </w:t>
      </w:r>
      <w:r w:rsidR="008F73F1" w:rsidRPr="00392811">
        <w:rPr>
          <w:rFonts w:asciiTheme="minorHAnsi" w:hAnsiTheme="minorHAnsi" w:cstheme="minorHAnsi"/>
        </w:rPr>
        <w:t xml:space="preserve">the Hospital’s sustainability as an academic </w:t>
      </w:r>
      <w:r w:rsidR="00935929">
        <w:rPr>
          <w:rFonts w:asciiTheme="minorHAnsi" w:hAnsiTheme="minorHAnsi" w:cstheme="minorHAnsi"/>
        </w:rPr>
        <w:t>HSN</w:t>
      </w:r>
      <w:r w:rsidR="008F73F1" w:rsidRPr="00392811">
        <w:rPr>
          <w:rFonts w:asciiTheme="minorHAnsi" w:hAnsiTheme="minorHAnsi" w:cstheme="minorHAnsi"/>
        </w:rPr>
        <w:t xml:space="preserve"> hospital </w:t>
      </w:r>
      <w:r w:rsidRPr="00392811">
        <w:rPr>
          <w:rFonts w:asciiTheme="minorHAnsi" w:hAnsiTheme="minorHAnsi" w:cstheme="minorHAnsi"/>
        </w:rPr>
        <w:t xml:space="preserve">will be ensured </w:t>
      </w:r>
      <w:r w:rsidR="008F73F1" w:rsidRPr="00392811">
        <w:rPr>
          <w:rFonts w:asciiTheme="minorHAnsi" w:hAnsiTheme="minorHAnsi" w:cstheme="minorHAnsi"/>
        </w:rPr>
        <w:t>and</w:t>
      </w:r>
      <w:r w:rsidRPr="00392811">
        <w:rPr>
          <w:rFonts w:asciiTheme="minorHAnsi" w:hAnsiTheme="minorHAnsi" w:cstheme="minorHAnsi"/>
        </w:rPr>
        <w:t>,</w:t>
      </w:r>
      <w:r w:rsidR="008F73F1" w:rsidRPr="00392811">
        <w:rPr>
          <w:rFonts w:asciiTheme="minorHAnsi" w:hAnsiTheme="minorHAnsi" w:cstheme="minorHAnsi"/>
        </w:rPr>
        <w:t xml:space="preserve"> the Applicant asserts</w:t>
      </w:r>
      <w:r w:rsidRPr="00392811">
        <w:rPr>
          <w:rFonts w:asciiTheme="minorHAnsi" w:hAnsiTheme="minorHAnsi" w:cstheme="minorHAnsi"/>
        </w:rPr>
        <w:t xml:space="preserve">, </w:t>
      </w:r>
      <w:r w:rsidR="008F73F1" w:rsidRPr="00392811">
        <w:rPr>
          <w:rFonts w:asciiTheme="minorHAnsi" w:hAnsiTheme="minorHAnsi" w:cstheme="minorHAnsi"/>
        </w:rPr>
        <w:t>this will lead to improved public health outcomes for Greater Boston’s vulnerable and underserved populations into the future.</w:t>
      </w:r>
    </w:p>
    <w:p w14:paraId="33837135" w14:textId="77777777" w:rsidR="008F73F1" w:rsidRPr="00392811" w:rsidRDefault="008F73F1" w:rsidP="00A84A77">
      <w:pPr>
        <w:contextualSpacing/>
        <w:rPr>
          <w:rFonts w:asciiTheme="minorHAnsi" w:hAnsiTheme="minorHAnsi" w:cstheme="minorHAnsi"/>
        </w:rPr>
      </w:pPr>
    </w:p>
    <w:p w14:paraId="549AD146" w14:textId="77777777" w:rsidR="008F73F1" w:rsidRPr="00392811" w:rsidRDefault="008F73F1" w:rsidP="00A84A77">
      <w:pPr>
        <w:contextualSpacing/>
        <w:rPr>
          <w:rFonts w:asciiTheme="minorHAnsi" w:hAnsiTheme="minorHAnsi" w:cstheme="minorHAnsi"/>
          <w:b/>
          <w:bCs/>
        </w:rPr>
      </w:pPr>
      <w:r w:rsidRPr="00392811">
        <w:rPr>
          <w:rFonts w:asciiTheme="minorHAnsi" w:hAnsiTheme="minorHAnsi" w:cstheme="minorHAnsi"/>
          <w:b/>
          <w:bCs/>
        </w:rPr>
        <w:t>Delivery System Transformation</w:t>
      </w:r>
    </w:p>
    <w:p w14:paraId="71E9F6A9" w14:textId="341DD8E4" w:rsidR="00080807" w:rsidRDefault="00080807" w:rsidP="00A84A77">
      <w:pPr>
        <w:spacing w:before="240"/>
        <w:contextualSpacing/>
        <w:rPr>
          <w:rFonts w:asciiTheme="minorHAnsi" w:hAnsiTheme="minorHAnsi" w:cstheme="minorHAnsi"/>
        </w:rPr>
      </w:pPr>
    </w:p>
    <w:p w14:paraId="0E0EF805" w14:textId="4402C6FE" w:rsidR="009C62D3" w:rsidRPr="009C62D3" w:rsidRDefault="009C62D3" w:rsidP="00A84A77">
      <w:pPr>
        <w:textAlignment w:val="baseline"/>
        <w:rPr>
          <w:rFonts w:ascii="Arial" w:hAnsi="Arial" w:cs="Arial"/>
          <w:sz w:val="22"/>
          <w:szCs w:val="22"/>
        </w:rPr>
      </w:pPr>
      <w:r w:rsidRPr="009C62D3">
        <w:rPr>
          <w:rFonts w:asciiTheme="minorHAnsi" w:hAnsiTheme="minorHAnsi" w:cstheme="minorHAnsi"/>
        </w:rPr>
        <w:t>BMC’s goal is not only to treat disease, but also to understand and address its root causes. Research has shown that health is shaped by more than just quality health care; social and environmental factors known collectively as SDoH (e.g., lack of employment, income, stable housing or food, limited education, etc.) also have an impact, contributing to chronic disease and mental health issues and creating barriers to accessing health care.</w:t>
      </w:r>
      <w:r w:rsidRPr="009C62D3">
        <w:rPr>
          <w:rFonts w:ascii="Arial" w:hAnsi="Arial" w:cs="Arial"/>
          <w:sz w:val="22"/>
          <w:szCs w:val="22"/>
        </w:rPr>
        <w:t xml:space="preserve"> </w:t>
      </w:r>
    </w:p>
    <w:p w14:paraId="6F4DA0DE" w14:textId="77777777" w:rsidR="009C62D3" w:rsidRPr="009C62D3" w:rsidRDefault="009C62D3" w:rsidP="00A84A77">
      <w:pPr>
        <w:textAlignment w:val="baseline"/>
        <w:rPr>
          <w:rFonts w:ascii="Arial" w:hAnsi="Arial" w:cs="Arial"/>
          <w:sz w:val="22"/>
          <w:szCs w:val="22"/>
        </w:rPr>
      </w:pPr>
    </w:p>
    <w:p w14:paraId="102168AD" w14:textId="642A03CC" w:rsidR="009C62D3" w:rsidRPr="009C62D3" w:rsidRDefault="009C62D3" w:rsidP="00A84A77">
      <w:pPr>
        <w:textAlignment w:val="baseline"/>
        <w:rPr>
          <w:rFonts w:asciiTheme="minorHAnsi" w:hAnsiTheme="minorHAnsi" w:cstheme="minorHAnsi"/>
        </w:rPr>
      </w:pPr>
      <w:r w:rsidRPr="009C62D3">
        <w:rPr>
          <w:rFonts w:asciiTheme="minorHAnsi" w:hAnsiTheme="minorHAnsi" w:cstheme="minorHAnsi"/>
        </w:rPr>
        <w:t>As discussed in Factor 1</w:t>
      </w:r>
      <w:r w:rsidR="004F53E1">
        <w:rPr>
          <w:rFonts w:asciiTheme="minorHAnsi" w:hAnsiTheme="minorHAnsi" w:cstheme="minorHAnsi"/>
        </w:rPr>
        <w:t>(b) and (</w:t>
      </w:r>
      <w:r w:rsidRPr="009C62D3">
        <w:rPr>
          <w:rFonts w:asciiTheme="minorHAnsi" w:hAnsiTheme="minorHAnsi" w:cstheme="minorHAnsi"/>
        </w:rPr>
        <w:t>c</w:t>
      </w:r>
      <w:r w:rsidR="004F53E1">
        <w:rPr>
          <w:rFonts w:asciiTheme="minorHAnsi" w:hAnsiTheme="minorHAnsi" w:cstheme="minorHAnsi"/>
        </w:rPr>
        <w:t>),</w:t>
      </w:r>
      <w:r w:rsidRPr="009C62D3">
        <w:rPr>
          <w:rFonts w:asciiTheme="minorHAnsi" w:hAnsiTheme="minorHAnsi" w:cstheme="minorHAnsi"/>
        </w:rPr>
        <w:t xml:space="preserve"> BMC has integrated robust SDoH programming into its clinical models. Efforts around SDoH screening at the Hospital are aimed at understanding the social needs impacting patients’ health, improving patient care by communicating social needs to care teams, </w:t>
      </w:r>
      <w:r w:rsidRPr="009C62D3">
        <w:rPr>
          <w:rFonts w:asciiTheme="minorHAnsi" w:hAnsiTheme="minorHAnsi" w:cstheme="minorHAnsi"/>
        </w:rPr>
        <w:lastRenderedPageBreak/>
        <w:t xml:space="preserve">partnering with community-based organizations to eliminate systemic barriers that prevent patients from thriving, and providing patients with information on hospital-based and community resources that can mitigate their social needs. Examples of hospital-based and community programs and resources that BMC connects its patients and families to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etc.), programs related to violence and building safer communities, and more. </w:t>
      </w:r>
    </w:p>
    <w:p w14:paraId="78166433" w14:textId="77777777" w:rsidR="009C62D3" w:rsidRDefault="009C62D3" w:rsidP="00A84A77">
      <w:pPr>
        <w:spacing w:before="240"/>
        <w:contextualSpacing/>
        <w:rPr>
          <w:rFonts w:asciiTheme="minorHAnsi" w:hAnsiTheme="minorHAnsi" w:cstheme="minorHAnsi"/>
        </w:rPr>
      </w:pPr>
    </w:p>
    <w:p w14:paraId="05ADB19F" w14:textId="1EC8CCB4" w:rsidR="008F73F1" w:rsidRPr="00392811" w:rsidRDefault="008F73F1" w:rsidP="00A84A77">
      <w:pPr>
        <w:spacing w:before="240"/>
        <w:contextualSpacing/>
        <w:rPr>
          <w:rFonts w:asciiTheme="minorHAnsi" w:hAnsiTheme="minorHAnsi" w:cstheme="minorHAnsi"/>
        </w:rPr>
      </w:pPr>
      <w:r w:rsidRPr="00392811">
        <w:rPr>
          <w:rFonts w:asciiTheme="minorHAnsi" w:hAnsiTheme="minorHAnsi" w:cstheme="minorHAnsi"/>
        </w:rPr>
        <w:t>As examined in Factor</w:t>
      </w:r>
      <w:r w:rsidR="00F0697B" w:rsidRPr="00392811">
        <w:rPr>
          <w:rFonts w:asciiTheme="minorHAnsi" w:hAnsiTheme="minorHAnsi" w:cstheme="minorHAnsi"/>
        </w:rPr>
        <w:t>s</w:t>
      </w:r>
      <w:r w:rsidRPr="00392811">
        <w:rPr>
          <w:rFonts w:asciiTheme="minorHAnsi" w:hAnsiTheme="minorHAnsi" w:cstheme="minorHAnsi"/>
        </w:rPr>
        <w:t xml:space="preserve"> 1</w:t>
      </w:r>
      <w:r w:rsidR="004F53E1">
        <w:rPr>
          <w:rFonts w:asciiTheme="minorHAnsi" w:hAnsiTheme="minorHAnsi" w:cstheme="minorHAnsi"/>
        </w:rPr>
        <w:t>(</w:t>
      </w:r>
      <w:r w:rsidR="00593549" w:rsidRPr="00392811">
        <w:rPr>
          <w:rFonts w:asciiTheme="minorHAnsi" w:hAnsiTheme="minorHAnsi" w:cstheme="minorHAnsi"/>
        </w:rPr>
        <w:t xml:space="preserve">b), </w:t>
      </w:r>
      <w:r w:rsidR="004F53E1">
        <w:rPr>
          <w:rFonts w:asciiTheme="minorHAnsi" w:hAnsiTheme="minorHAnsi" w:cstheme="minorHAnsi"/>
        </w:rPr>
        <w:t>(</w:t>
      </w:r>
      <w:r w:rsidRPr="00392811">
        <w:rPr>
          <w:rFonts w:asciiTheme="minorHAnsi" w:hAnsiTheme="minorHAnsi" w:cstheme="minorHAnsi"/>
        </w:rPr>
        <w:t>c</w:t>
      </w:r>
      <w:r w:rsidR="00544122" w:rsidRPr="00392811">
        <w:rPr>
          <w:rFonts w:asciiTheme="minorHAnsi" w:hAnsiTheme="minorHAnsi" w:cstheme="minorHAnsi"/>
        </w:rPr>
        <w:t xml:space="preserve">) and </w:t>
      </w:r>
      <w:r w:rsidR="004F53E1">
        <w:rPr>
          <w:rFonts w:asciiTheme="minorHAnsi" w:hAnsiTheme="minorHAnsi" w:cstheme="minorHAnsi"/>
        </w:rPr>
        <w:t>(</w:t>
      </w:r>
      <w:r w:rsidR="00544122" w:rsidRPr="00392811">
        <w:rPr>
          <w:rFonts w:asciiTheme="minorHAnsi" w:hAnsiTheme="minorHAnsi" w:cstheme="minorHAnsi"/>
        </w:rPr>
        <w:t>f)</w:t>
      </w:r>
      <w:r w:rsidRPr="00392811">
        <w:rPr>
          <w:rFonts w:asciiTheme="minorHAnsi" w:hAnsiTheme="minorHAnsi" w:cstheme="minorHAnsi"/>
        </w:rPr>
        <w:t xml:space="preserve">, BMC has numerous processes and programs in place to ensure linkages to services beyond the traditional medical model to remediate gaps created by </w:t>
      </w:r>
      <w:r w:rsidR="00856763" w:rsidRPr="00392811">
        <w:rPr>
          <w:rFonts w:asciiTheme="minorHAnsi" w:hAnsiTheme="minorHAnsi" w:cstheme="minorHAnsi"/>
        </w:rPr>
        <w:t>SDoHs and</w:t>
      </w:r>
      <w:r w:rsidRPr="00392811">
        <w:rPr>
          <w:rFonts w:asciiTheme="minorHAnsi" w:hAnsiTheme="minorHAnsi" w:cstheme="minorHAnsi"/>
        </w:rPr>
        <w:t xml:space="preserve"> improve health outcomes for its patients. BMC has integrated SDoH programming into its screening process with the aim of </w:t>
      </w:r>
      <w:r w:rsidR="00F0697B" w:rsidRPr="00392811">
        <w:rPr>
          <w:rFonts w:asciiTheme="minorHAnsi" w:hAnsiTheme="minorHAnsi" w:cstheme="minorHAnsi"/>
        </w:rPr>
        <w:t xml:space="preserve">1) </w:t>
      </w:r>
      <w:r w:rsidRPr="00392811">
        <w:rPr>
          <w:rFonts w:asciiTheme="minorHAnsi" w:hAnsiTheme="minorHAnsi" w:cstheme="minorHAnsi"/>
        </w:rPr>
        <w:t xml:space="preserve">understanding the social needs impacting patients’ health, </w:t>
      </w:r>
      <w:r w:rsidR="00563B89" w:rsidRPr="00392811">
        <w:rPr>
          <w:rFonts w:asciiTheme="minorHAnsi" w:hAnsiTheme="minorHAnsi" w:cstheme="minorHAnsi"/>
        </w:rPr>
        <w:t>2) improving</w:t>
      </w:r>
      <w:r w:rsidRPr="00392811">
        <w:rPr>
          <w:rFonts w:asciiTheme="minorHAnsi" w:hAnsiTheme="minorHAnsi" w:cstheme="minorHAnsi"/>
        </w:rPr>
        <w:t xml:space="preserve"> patient care by communicating social needs to care teams, </w:t>
      </w:r>
      <w:r w:rsidR="00F0697B" w:rsidRPr="00392811">
        <w:rPr>
          <w:rFonts w:asciiTheme="minorHAnsi" w:hAnsiTheme="minorHAnsi" w:cstheme="minorHAnsi"/>
        </w:rPr>
        <w:t xml:space="preserve">3) </w:t>
      </w:r>
      <w:r w:rsidRPr="00392811">
        <w:rPr>
          <w:rFonts w:asciiTheme="minorHAnsi" w:hAnsiTheme="minorHAnsi" w:cstheme="minorHAnsi"/>
        </w:rPr>
        <w:t xml:space="preserve">partnering with community-based organizations to eliminate systemic barriers that prevent patients from thriving, and </w:t>
      </w:r>
      <w:r w:rsidR="00F0697B" w:rsidRPr="00392811">
        <w:rPr>
          <w:rFonts w:asciiTheme="minorHAnsi" w:hAnsiTheme="minorHAnsi" w:cstheme="minorHAnsi"/>
        </w:rPr>
        <w:t xml:space="preserve">4) </w:t>
      </w:r>
      <w:r w:rsidRPr="00392811">
        <w:rPr>
          <w:rFonts w:asciiTheme="minorHAnsi" w:hAnsiTheme="minorHAnsi" w:cstheme="minorHAnsi"/>
        </w:rPr>
        <w:t>providing patients with information on hospital-based and community resources that can mitigate their social needs. The Applicant provided examples of patient linkages to community programs and resources, which include investments in housing, food-related programs, programs related to education, job training, employment, programs and services that support financial wellness (e.g., programs that help people apply for health</w:t>
      </w:r>
      <w:r w:rsidR="00F0697B" w:rsidRPr="00392811">
        <w:rPr>
          <w:rFonts w:asciiTheme="minorHAnsi" w:hAnsiTheme="minorHAnsi" w:cstheme="minorHAnsi"/>
        </w:rPr>
        <w:t xml:space="preserve"> insurance</w:t>
      </w:r>
      <w:r w:rsidRPr="00392811">
        <w:rPr>
          <w:rFonts w:asciiTheme="minorHAnsi" w:hAnsiTheme="minorHAnsi" w:cstheme="minorHAnsi"/>
        </w:rPr>
        <w:t xml:space="preserve"> coverage, access no- or low-cost medications, obtain food and groceries, pay their utility bills, file tax returns and secure refunds, etc.), and programs related to building safer communities.</w:t>
      </w:r>
    </w:p>
    <w:p w14:paraId="7383D3B6" w14:textId="77777777" w:rsidR="008F73F1" w:rsidRPr="00392811" w:rsidRDefault="008F73F1" w:rsidP="00A84A77">
      <w:pPr>
        <w:contextualSpacing/>
        <w:rPr>
          <w:rFonts w:asciiTheme="minorHAnsi" w:hAnsiTheme="minorHAnsi" w:cstheme="minorHAnsi"/>
          <w:bCs/>
          <w:highlight w:val="yellow"/>
        </w:rPr>
      </w:pPr>
    </w:p>
    <w:p w14:paraId="235DDABD" w14:textId="76558B7A" w:rsidR="008F73F1" w:rsidRPr="00392811" w:rsidRDefault="00856763" w:rsidP="00A84A77">
      <w:pPr>
        <w:contextualSpacing/>
        <w:rPr>
          <w:rFonts w:asciiTheme="minorHAnsi" w:hAnsiTheme="minorHAnsi" w:cstheme="minorHAnsi"/>
          <w:b/>
          <w:bCs/>
          <w:i/>
          <w:iCs/>
        </w:rPr>
      </w:pPr>
      <w:r w:rsidRPr="00392811">
        <w:rPr>
          <w:rFonts w:asciiTheme="minorHAnsi" w:hAnsiTheme="minorHAnsi" w:cstheme="minorHAnsi"/>
          <w:b/>
          <w:bCs/>
          <w:i/>
          <w:iCs/>
        </w:rPr>
        <w:t xml:space="preserve">Factor 2 </w:t>
      </w:r>
      <w:r w:rsidR="008F73F1" w:rsidRPr="00392811">
        <w:rPr>
          <w:rFonts w:asciiTheme="minorHAnsi" w:hAnsiTheme="minorHAnsi" w:cstheme="minorHAnsi"/>
          <w:b/>
          <w:bCs/>
          <w:i/>
          <w:iCs/>
        </w:rPr>
        <w:t>Analysis</w:t>
      </w:r>
    </w:p>
    <w:p w14:paraId="629D549B" w14:textId="4D9301D9" w:rsidR="008F73F1" w:rsidRPr="00392811" w:rsidRDefault="008F73F1" w:rsidP="00A84A77">
      <w:pPr>
        <w:autoSpaceDE w:val="0"/>
        <w:autoSpaceDN w:val="0"/>
        <w:adjustRightInd w:val="0"/>
        <w:spacing w:before="240"/>
        <w:rPr>
          <w:rFonts w:asciiTheme="minorHAnsi" w:hAnsiTheme="minorHAnsi" w:cstheme="minorHAnsi"/>
        </w:rPr>
      </w:pPr>
      <w:r w:rsidRPr="00392811">
        <w:rPr>
          <w:rFonts w:asciiTheme="minorHAnsi" w:hAnsiTheme="minorHAnsi" w:cstheme="minorHAnsi"/>
        </w:rPr>
        <w:t xml:space="preserve">For the Proposed Project, cost savings are achieved through efficient, timely access to necessary </w:t>
      </w:r>
      <w:r w:rsidR="00563B89">
        <w:rPr>
          <w:rFonts w:asciiTheme="minorHAnsi" w:hAnsiTheme="minorHAnsi" w:cstheme="minorHAnsi"/>
        </w:rPr>
        <w:t xml:space="preserve">MRI </w:t>
      </w:r>
      <w:r w:rsidRPr="00392811">
        <w:rPr>
          <w:rFonts w:asciiTheme="minorHAnsi" w:hAnsiTheme="minorHAnsi" w:cstheme="minorHAnsi"/>
        </w:rPr>
        <w:t xml:space="preserve">services. </w:t>
      </w:r>
      <w:r w:rsidR="00856763" w:rsidRPr="00392811">
        <w:rPr>
          <w:rFonts w:asciiTheme="minorHAnsi" w:hAnsiTheme="minorHAnsi" w:cstheme="minorHAnsi"/>
        </w:rPr>
        <w:t>The Applicant anticipates that t</w:t>
      </w:r>
      <w:r w:rsidRPr="00392811">
        <w:rPr>
          <w:rFonts w:asciiTheme="minorHAnsi" w:hAnsiTheme="minorHAnsi" w:cstheme="minorHAnsi"/>
        </w:rPr>
        <w:t xml:space="preserve">he </w:t>
      </w:r>
      <w:r w:rsidR="00856763" w:rsidRPr="00392811">
        <w:rPr>
          <w:rFonts w:asciiTheme="minorHAnsi" w:hAnsiTheme="minorHAnsi" w:cstheme="minorHAnsi"/>
        </w:rPr>
        <w:t xml:space="preserve">reductions </w:t>
      </w:r>
      <w:r w:rsidR="0024380F">
        <w:rPr>
          <w:rFonts w:asciiTheme="minorHAnsi" w:hAnsiTheme="minorHAnsi" w:cstheme="minorHAnsi"/>
        </w:rPr>
        <w:t>MRI wait-times</w:t>
      </w:r>
      <w:r w:rsidRPr="00392811">
        <w:rPr>
          <w:rFonts w:asciiTheme="minorHAnsi" w:hAnsiTheme="minorHAnsi" w:cstheme="minorHAnsi"/>
        </w:rPr>
        <w:t xml:space="preserve"> will lead to i</w:t>
      </w:r>
      <w:r w:rsidRPr="00392811">
        <w:rPr>
          <w:rFonts w:asciiTheme="minorHAnsi" w:hAnsiTheme="minorHAnsi" w:cstheme="minorHAnsi"/>
          <w:color w:val="000000"/>
        </w:rPr>
        <w:t>mprovement</w:t>
      </w:r>
      <w:r w:rsidR="00856763" w:rsidRPr="00392811">
        <w:rPr>
          <w:rFonts w:asciiTheme="minorHAnsi" w:hAnsiTheme="minorHAnsi" w:cstheme="minorHAnsi"/>
          <w:color w:val="000000"/>
        </w:rPr>
        <w:t>s</w:t>
      </w:r>
      <w:r w:rsidRPr="00392811">
        <w:rPr>
          <w:rFonts w:asciiTheme="minorHAnsi" w:hAnsiTheme="minorHAnsi" w:cstheme="minorHAnsi"/>
          <w:color w:val="000000"/>
        </w:rPr>
        <w:t xml:space="preserve"> in health outcomes and patient satisfaction.</w:t>
      </w:r>
      <w:r w:rsidRPr="00392811">
        <w:rPr>
          <w:rFonts w:asciiTheme="minorHAnsi" w:hAnsiTheme="minorHAnsi" w:cstheme="minorHAnsi"/>
        </w:rPr>
        <w:t xml:space="preserve"> </w:t>
      </w:r>
    </w:p>
    <w:p w14:paraId="2C950199" w14:textId="77777777" w:rsidR="006673D4" w:rsidRPr="00392811" w:rsidRDefault="006673D4" w:rsidP="00A84A77">
      <w:pPr>
        <w:autoSpaceDE w:val="0"/>
        <w:autoSpaceDN w:val="0"/>
        <w:adjustRightInd w:val="0"/>
        <w:rPr>
          <w:rFonts w:asciiTheme="minorHAnsi" w:hAnsiTheme="minorHAnsi" w:cstheme="minorHAnsi"/>
          <w:bCs/>
          <w:iCs/>
        </w:rPr>
      </w:pPr>
    </w:p>
    <w:p w14:paraId="3A9DA6CF" w14:textId="62B5977C" w:rsidR="006673D4" w:rsidRPr="00392811" w:rsidRDefault="006673D4" w:rsidP="00A84A77">
      <w:pPr>
        <w:autoSpaceDE w:val="0"/>
        <w:autoSpaceDN w:val="0"/>
        <w:adjustRightInd w:val="0"/>
        <w:rPr>
          <w:rFonts w:asciiTheme="minorHAnsi" w:hAnsiTheme="minorHAnsi" w:cstheme="minorHAnsi"/>
        </w:rPr>
      </w:pPr>
      <w:r w:rsidRPr="00392811">
        <w:rPr>
          <w:rFonts w:asciiTheme="minorHAnsi" w:hAnsiTheme="minorHAnsi" w:cstheme="minorHAnsi"/>
        </w:rPr>
        <w:t xml:space="preserve">BMC is a Disproportionate Share Hospital (DSH) as designated by the Federal Government, and a high-public payer (HPP) hospital as designated by CHIA, and as such is an important provider of access for patients in </w:t>
      </w:r>
      <w:r w:rsidR="006122F9" w:rsidRPr="00392811">
        <w:rPr>
          <w:rFonts w:asciiTheme="minorHAnsi" w:hAnsiTheme="minorHAnsi" w:cstheme="minorHAnsi"/>
        </w:rPr>
        <w:t xml:space="preserve">greater Boston </w:t>
      </w:r>
      <w:r w:rsidRPr="00392811">
        <w:rPr>
          <w:rFonts w:asciiTheme="minorHAnsi" w:hAnsiTheme="minorHAnsi" w:cstheme="minorHAnsi"/>
        </w:rPr>
        <w:t>relying on government-sponsored insurance programs. Reporting on the Massachusetts health care system shows that a higher mix of public-payer patients is associated with lower commercial relative prices.</w:t>
      </w:r>
      <w:r w:rsidRPr="00392811">
        <w:rPr>
          <w:rFonts w:asciiTheme="minorHAnsi" w:hAnsiTheme="minorHAnsi" w:cstheme="minorHAnsi"/>
          <w:vertAlign w:val="superscript"/>
        </w:rPr>
        <w:endnoteReference w:id="37"/>
      </w:r>
      <w:r w:rsidRPr="00392811">
        <w:rPr>
          <w:rFonts w:asciiTheme="minorHAnsi" w:hAnsiTheme="minorHAnsi" w:cstheme="minorHAnsi"/>
          <w:vertAlign w:val="superscript"/>
        </w:rPr>
        <w:t>,</w:t>
      </w:r>
      <w:r w:rsidR="0024380F">
        <w:rPr>
          <w:rFonts w:asciiTheme="minorHAnsi" w:hAnsiTheme="minorHAnsi" w:cstheme="minorHAnsi"/>
          <w:vertAlign w:val="superscript"/>
        </w:rPr>
        <w:t xml:space="preserve"> </w:t>
      </w:r>
      <w:r w:rsidRPr="00392811">
        <w:rPr>
          <w:rFonts w:asciiTheme="minorHAnsi" w:hAnsiTheme="minorHAnsi" w:cstheme="minorHAnsi"/>
          <w:vertAlign w:val="superscript"/>
        </w:rPr>
        <w:endnoteReference w:id="38"/>
      </w:r>
      <w:r w:rsidRPr="00392811">
        <w:rPr>
          <w:rFonts w:asciiTheme="minorHAnsi" w:hAnsiTheme="minorHAnsi" w:cstheme="minorHAnsi"/>
          <w:vertAlign w:val="superscript"/>
        </w:rPr>
        <w:t>,</w:t>
      </w:r>
      <w:r w:rsidR="0024380F">
        <w:rPr>
          <w:rFonts w:asciiTheme="minorHAnsi" w:hAnsiTheme="minorHAnsi" w:cstheme="minorHAnsi"/>
          <w:vertAlign w:val="superscript"/>
        </w:rPr>
        <w:t xml:space="preserve"> </w:t>
      </w:r>
      <w:r w:rsidRPr="00392811">
        <w:rPr>
          <w:rFonts w:asciiTheme="minorHAnsi" w:hAnsiTheme="minorHAnsi" w:cstheme="minorHAnsi"/>
          <w:vertAlign w:val="superscript"/>
        </w:rPr>
        <w:endnoteReference w:id="39"/>
      </w:r>
      <w:r w:rsidRPr="00392811">
        <w:rPr>
          <w:rFonts w:asciiTheme="minorHAnsi" w:hAnsiTheme="minorHAnsi" w:cstheme="minorHAnsi"/>
        </w:rPr>
        <w:t xml:space="preserve"> Additionally, providers that are federally designated as DSHs receive high volumes of publicly insured patients and simultaneously receive lower reimbursement rates from commercial insurers.</w:t>
      </w:r>
      <w:r w:rsidRPr="00392811">
        <w:rPr>
          <w:rFonts w:asciiTheme="minorHAnsi" w:hAnsiTheme="minorHAnsi" w:cstheme="minorHAnsi"/>
          <w:vertAlign w:val="superscript"/>
        </w:rPr>
        <w:endnoteReference w:id="40"/>
      </w:r>
      <w:r w:rsidRPr="00392811">
        <w:rPr>
          <w:rFonts w:asciiTheme="minorHAnsi" w:hAnsiTheme="minorHAnsi" w:cstheme="minorHAnsi"/>
        </w:rPr>
        <w:t xml:space="preserve"> </w:t>
      </w:r>
      <w:r w:rsidR="49D56FF3" w:rsidRPr="00392811">
        <w:rPr>
          <w:rFonts w:asciiTheme="minorHAnsi" w:hAnsiTheme="minorHAnsi" w:cstheme="minorHAnsi"/>
        </w:rPr>
        <w:t>Therefore,</w:t>
      </w:r>
      <w:r w:rsidRPr="00392811">
        <w:rPr>
          <w:rFonts w:asciiTheme="minorHAnsi" w:hAnsiTheme="minorHAnsi" w:cstheme="minorHAnsi"/>
        </w:rPr>
        <w:t xml:space="preserve"> maintaining access to </w:t>
      </w:r>
      <w:r w:rsidR="006122F9" w:rsidRPr="00392811">
        <w:rPr>
          <w:rFonts w:asciiTheme="minorHAnsi" w:hAnsiTheme="minorHAnsi" w:cstheme="minorHAnsi"/>
        </w:rPr>
        <w:t>the</w:t>
      </w:r>
      <w:r w:rsidRPr="00392811">
        <w:rPr>
          <w:rFonts w:asciiTheme="minorHAnsi" w:hAnsiTheme="minorHAnsi" w:cstheme="minorHAnsi"/>
        </w:rPr>
        <w:t xml:space="preserve"> high level of </w:t>
      </w:r>
      <w:r w:rsidR="006122F9" w:rsidRPr="00392811">
        <w:rPr>
          <w:rFonts w:asciiTheme="minorHAnsi" w:hAnsiTheme="minorHAnsi" w:cstheme="minorHAnsi"/>
        </w:rPr>
        <w:t xml:space="preserve">tertiary care </w:t>
      </w:r>
      <w:r w:rsidRPr="00392811">
        <w:rPr>
          <w:rFonts w:asciiTheme="minorHAnsi" w:hAnsiTheme="minorHAnsi" w:cstheme="minorHAnsi"/>
        </w:rPr>
        <w:t xml:space="preserve">health care services for its patient panel is paramount to their ability to access other programs related to SDOH. </w:t>
      </w:r>
    </w:p>
    <w:p w14:paraId="48C3B73E" w14:textId="77777777" w:rsidR="008F73F1" w:rsidRPr="00392811" w:rsidRDefault="008F73F1" w:rsidP="00A84A77">
      <w:pPr>
        <w:autoSpaceDE w:val="0"/>
        <w:autoSpaceDN w:val="0"/>
        <w:adjustRightInd w:val="0"/>
        <w:rPr>
          <w:rFonts w:asciiTheme="minorHAnsi" w:hAnsiTheme="minorHAnsi" w:cstheme="minorHAnsi"/>
        </w:rPr>
      </w:pPr>
    </w:p>
    <w:p w14:paraId="1759A5CF" w14:textId="6446B799" w:rsidR="008F73F1" w:rsidRPr="00392811" w:rsidRDefault="008F73F1" w:rsidP="00A84A77">
      <w:pPr>
        <w:autoSpaceDE w:val="0"/>
        <w:autoSpaceDN w:val="0"/>
        <w:adjustRightInd w:val="0"/>
        <w:rPr>
          <w:rFonts w:asciiTheme="minorHAnsi" w:hAnsiTheme="minorHAnsi" w:cstheme="minorHAnsi"/>
          <w:bCs/>
        </w:rPr>
      </w:pPr>
      <w:r w:rsidRPr="00392811">
        <w:rPr>
          <w:rFonts w:asciiTheme="minorHAnsi" w:hAnsiTheme="minorHAnsi" w:cstheme="minorHAnsi"/>
          <w:bCs/>
        </w:rPr>
        <w:t xml:space="preserve">Central to the goal of Delivery System Transformation is the integration of social services and community-based expertise. The Applicant has </w:t>
      </w:r>
      <w:r w:rsidR="00856763" w:rsidRPr="00392811">
        <w:rPr>
          <w:rFonts w:asciiTheme="minorHAnsi" w:hAnsiTheme="minorHAnsi" w:cstheme="minorHAnsi"/>
          <w:bCs/>
        </w:rPr>
        <w:t xml:space="preserve">described multiple programs targeting its service area population and has </w:t>
      </w:r>
      <w:r w:rsidRPr="00392811">
        <w:rPr>
          <w:rFonts w:asciiTheme="minorHAnsi" w:hAnsiTheme="minorHAnsi" w:cstheme="minorHAnsi"/>
          <w:bCs/>
        </w:rPr>
        <w:t>incorporated screenings for SDoH into their electronic health record and actively use the data to direct its investment into community resources that assist with patient</w:t>
      </w:r>
      <w:r w:rsidR="00856763" w:rsidRPr="00392811">
        <w:rPr>
          <w:rFonts w:asciiTheme="minorHAnsi" w:hAnsiTheme="minorHAnsi" w:cstheme="minorHAnsi"/>
          <w:bCs/>
        </w:rPr>
        <w:t>’s</w:t>
      </w:r>
      <w:r w:rsidRPr="00392811">
        <w:rPr>
          <w:rFonts w:asciiTheme="minorHAnsi" w:hAnsiTheme="minorHAnsi" w:cstheme="minorHAnsi"/>
          <w:bCs/>
        </w:rPr>
        <w:t xml:space="preserve"> needs. Further, as an MassHealth ACO, the Applicant is subject to requirements regarding SDoH and patient population </w:t>
      </w:r>
      <w:r w:rsidR="00F0697B" w:rsidRPr="00392811">
        <w:rPr>
          <w:rFonts w:asciiTheme="minorHAnsi" w:hAnsiTheme="minorHAnsi" w:cstheme="minorHAnsi"/>
          <w:bCs/>
        </w:rPr>
        <w:t xml:space="preserve">health </w:t>
      </w:r>
      <w:r w:rsidRPr="00392811">
        <w:rPr>
          <w:rFonts w:asciiTheme="minorHAnsi" w:hAnsiTheme="minorHAnsi" w:cstheme="minorHAnsi"/>
          <w:bCs/>
        </w:rPr>
        <w:t>needs.</w:t>
      </w:r>
    </w:p>
    <w:p w14:paraId="527BA40D" w14:textId="6C5171B8" w:rsidR="00176B38" w:rsidRPr="00392811" w:rsidRDefault="00176B38" w:rsidP="00A84A77">
      <w:pPr>
        <w:autoSpaceDE w:val="0"/>
        <w:autoSpaceDN w:val="0"/>
        <w:adjustRightInd w:val="0"/>
        <w:rPr>
          <w:rFonts w:asciiTheme="minorHAnsi" w:hAnsiTheme="minorHAnsi" w:cstheme="minorHAnsi"/>
          <w:bCs/>
        </w:rPr>
      </w:pPr>
    </w:p>
    <w:p w14:paraId="18E4E87E" w14:textId="22BE757A" w:rsidR="008F73F1" w:rsidRDefault="008F73F1" w:rsidP="00A84A77">
      <w:pPr>
        <w:tabs>
          <w:tab w:val="left" w:pos="3240"/>
        </w:tabs>
        <w:rPr>
          <w:rFonts w:asciiTheme="minorHAnsi" w:hAnsiTheme="minorHAnsi" w:cstheme="minorHAnsi"/>
        </w:rPr>
      </w:pPr>
      <w:r w:rsidRPr="00392811">
        <w:rPr>
          <w:rFonts w:asciiTheme="minorHAnsi" w:hAnsiTheme="minorHAnsi" w:cstheme="minorHAnsi"/>
        </w:rPr>
        <w:lastRenderedPageBreak/>
        <w:t>As a result of information provided by the Applicant and additional analysis, staff finds that the Applicant has demonstrated that the Proposed Project has met Factor 2.</w:t>
      </w:r>
    </w:p>
    <w:p w14:paraId="7FAD91EC" w14:textId="77777777" w:rsidR="00A84A77" w:rsidRPr="00392811" w:rsidRDefault="00A84A77" w:rsidP="00A84A77">
      <w:pPr>
        <w:tabs>
          <w:tab w:val="left" w:pos="3240"/>
        </w:tabs>
        <w:rPr>
          <w:rFonts w:asciiTheme="minorHAnsi" w:hAnsiTheme="minorHAnsi" w:cstheme="minorHAnsi"/>
        </w:rPr>
      </w:pPr>
    </w:p>
    <w:p w14:paraId="31B30376" w14:textId="6F8AD328" w:rsidR="002D535F" w:rsidRPr="00392811" w:rsidRDefault="1890F46A" w:rsidP="00A84A77">
      <w:pPr>
        <w:pStyle w:val="Heading1"/>
        <w:spacing w:before="0"/>
        <w:rPr>
          <w:rFonts w:asciiTheme="minorHAnsi" w:hAnsiTheme="minorHAnsi" w:cstheme="minorHAnsi"/>
        </w:rPr>
      </w:pPr>
      <w:bookmarkStart w:id="73" w:name="_Toc148704462"/>
      <w:r w:rsidRPr="00392811">
        <w:rPr>
          <w:rFonts w:asciiTheme="minorHAnsi" w:hAnsiTheme="minorHAnsi" w:cstheme="minorHAnsi"/>
        </w:rPr>
        <w:t>Factor 3: Relevant Licensure/Oversight Compliance</w:t>
      </w:r>
      <w:bookmarkEnd w:id="71"/>
      <w:bookmarkEnd w:id="73"/>
      <w:r w:rsidR="00404C12">
        <w:rPr>
          <w:rFonts w:asciiTheme="minorHAnsi" w:hAnsiTheme="minorHAnsi" w:cstheme="minorHAnsi"/>
        </w:rPr>
        <w:t xml:space="preserve"> </w:t>
      </w:r>
    </w:p>
    <w:p w14:paraId="3B989A2A" w14:textId="53ED4165" w:rsidR="002D535F" w:rsidRDefault="1890F46A" w:rsidP="007545E1">
      <w:pPr>
        <w:spacing w:before="240"/>
        <w:contextualSpacing/>
        <w:rPr>
          <w:rFonts w:asciiTheme="minorHAnsi" w:hAnsiTheme="minorHAnsi" w:cstheme="minorHAnsi"/>
        </w:rPr>
      </w:pPr>
      <w:r w:rsidRPr="00392811">
        <w:rPr>
          <w:rFonts w:asciiTheme="minorHAnsi" w:hAnsiTheme="minorHAnsi" w:cstheme="minorHAnsi"/>
        </w:rPr>
        <w:t>The Applicant has provided evidence of compliance and good standing with federal, state and local laws and regulations and will not be addressed further in this report.</w:t>
      </w:r>
    </w:p>
    <w:p w14:paraId="4FF29449" w14:textId="77777777" w:rsidR="00A84A77" w:rsidRPr="00392811" w:rsidRDefault="00A84A77" w:rsidP="007545E1">
      <w:pPr>
        <w:spacing w:before="240"/>
        <w:contextualSpacing/>
        <w:rPr>
          <w:rFonts w:asciiTheme="minorHAnsi" w:hAnsiTheme="minorHAnsi" w:cstheme="minorHAnsi"/>
        </w:rPr>
      </w:pPr>
    </w:p>
    <w:p w14:paraId="46456D36" w14:textId="2AA51556" w:rsidR="00AF0AFF" w:rsidRPr="00392811" w:rsidRDefault="1890F46A" w:rsidP="00A84A77">
      <w:pPr>
        <w:pStyle w:val="Heading1"/>
        <w:spacing w:before="0"/>
        <w:rPr>
          <w:rFonts w:asciiTheme="minorHAnsi" w:hAnsiTheme="minorHAnsi" w:cstheme="minorHAnsi"/>
          <w:highlight w:val="yellow"/>
        </w:rPr>
      </w:pPr>
      <w:bookmarkStart w:id="74" w:name="_Toc148704463"/>
      <w:r w:rsidRPr="00392811">
        <w:rPr>
          <w:rFonts w:asciiTheme="minorHAnsi" w:hAnsiTheme="minorHAnsi" w:cstheme="minorHAnsi"/>
        </w:rPr>
        <w:t>Factor 4: Demonstration of Sufficient Funds as Supported by an Independent CPA Analysis</w:t>
      </w:r>
      <w:bookmarkEnd w:id="72"/>
      <w:bookmarkEnd w:id="74"/>
    </w:p>
    <w:p w14:paraId="312A25E6" w14:textId="39476E66" w:rsidR="00911CC0" w:rsidRPr="00392811" w:rsidRDefault="00911CC0" w:rsidP="00A84A77">
      <w:pPr>
        <w:spacing w:before="240"/>
        <w:rPr>
          <w:rFonts w:asciiTheme="minorHAnsi" w:hAnsiTheme="minorHAnsi" w:cstheme="minorHAnsi"/>
        </w:rPr>
      </w:pPr>
      <w:bookmarkStart w:id="75" w:name="_Hlk96244275"/>
      <w:r w:rsidRPr="00392811">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r w:rsidR="00E06499">
        <w:rPr>
          <w:rFonts w:asciiTheme="minorHAnsi" w:hAnsiTheme="minorHAnsi" w:cstheme="minorHAnsi"/>
        </w:rPr>
        <w:t xml:space="preserve"> </w:t>
      </w:r>
    </w:p>
    <w:p w14:paraId="38FCAAB8" w14:textId="77777777" w:rsidR="00911CC0" w:rsidRPr="00392811" w:rsidRDefault="00911CC0" w:rsidP="00A84A77">
      <w:pPr>
        <w:rPr>
          <w:rFonts w:asciiTheme="minorHAnsi" w:hAnsiTheme="minorHAnsi" w:cstheme="minorHAnsi"/>
          <w:highlight w:val="yellow"/>
        </w:rPr>
      </w:pPr>
    </w:p>
    <w:p w14:paraId="2FC60B51" w14:textId="768752DF" w:rsidR="00E06499" w:rsidRDefault="00911CC0" w:rsidP="00A84A77">
      <w:pPr>
        <w:autoSpaceDE w:val="0"/>
        <w:autoSpaceDN w:val="0"/>
        <w:adjustRightInd w:val="0"/>
        <w:rPr>
          <w:rFonts w:asciiTheme="minorHAnsi" w:hAnsiTheme="minorHAnsi" w:cstheme="minorHAnsi"/>
        </w:rPr>
      </w:pPr>
      <w:r w:rsidRPr="00392811">
        <w:rPr>
          <w:rFonts w:asciiTheme="minorHAnsi" w:hAnsiTheme="minorHAnsi" w:cstheme="minorHAnsi"/>
        </w:rPr>
        <w:t xml:space="preserve">The scope of the analysis included review </w:t>
      </w:r>
      <w:r w:rsidR="002942E6">
        <w:rPr>
          <w:rFonts w:asciiTheme="minorHAnsi" w:hAnsiTheme="minorHAnsi" w:cstheme="minorHAnsi"/>
        </w:rPr>
        <w:t xml:space="preserve">and analysis </w:t>
      </w:r>
      <w:r w:rsidRPr="00392811">
        <w:rPr>
          <w:rFonts w:asciiTheme="minorHAnsi" w:hAnsiTheme="minorHAnsi" w:cstheme="minorHAnsi"/>
        </w:rPr>
        <w:t xml:space="preserve">of </w:t>
      </w:r>
      <w:r w:rsidR="00E06499">
        <w:rPr>
          <w:rFonts w:asciiTheme="minorHAnsi" w:hAnsiTheme="minorHAnsi" w:cstheme="minorHAnsi"/>
        </w:rPr>
        <w:t>supporting documentation including:</w:t>
      </w:r>
    </w:p>
    <w:p w14:paraId="13097466" w14:textId="77777777" w:rsidR="00E06499" w:rsidRPr="00392811" w:rsidRDefault="00E06499" w:rsidP="00A84A77">
      <w:pPr>
        <w:autoSpaceDE w:val="0"/>
        <w:autoSpaceDN w:val="0"/>
        <w:adjustRightInd w:val="0"/>
        <w:rPr>
          <w:rFonts w:asciiTheme="minorHAnsi" w:eastAsiaTheme="minorEastAsia" w:hAnsiTheme="minorHAnsi" w:cstheme="minorHAnsi"/>
          <w:color w:val="000000"/>
          <w:sz w:val="22"/>
          <w:szCs w:val="22"/>
        </w:rPr>
      </w:pPr>
    </w:p>
    <w:p w14:paraId="180B2D51" w14:textId="696B19BF" w:rsidR="00E06499"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Audited Financial Statements of BMC Health System, Inc. including consolidating balance sheets and statements of operations as of and for the years ended September 30, 2022 and 2021 and as of and for the years ended September 30, 2021 and 2020, provided June 9, 2023;</w:t>
      </w:r>
    </w:p>
    <w:p w14:paraId="12E66F25" w14:textId="6CC33668" w:rsidR="00E06499"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 xml:space="preserve">Six-Year Financial Forecast (Projections), including related assumptions for BMC Health System, Inc. for the fiscal years ending 2023 through 2028, provided June 23, 2023 and updated July 5, 2023; </w:t>
      </w:r>
    </w:p>
    <w:p w14:paraId="133E09BA" w14:textId="344BE165" w:rsidR="00911CC0"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Projected income statements for the Project, including detailed assumptions and supporting documentation for the fiscal years 2025 through 2029, provided June 17, 2023;</w:t>
      </w:r>
    </w:p>
    <w:p w14:paraId="76739A79" w14:textId="54C654B0" w:rsid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Schedule of Estimated Total Capital Expenditure, provided May 12, 2023; including related MRI quote, provided June 28, 2023, and construction budget and project schematics, provided July 7, 2023.</w:t>
      </w:r>
    </w:p>
    <w:p w14:paraId="57ABB3E3" w14:textId="77777777" w:rsidR="00E06499" w:rsidRPr="00E06499" w:rsidRDefault="00E06499" w:rsidP="00A84A77">
      <w:pPr>
        <w:pStyle w:val="ListParagraph"/>
        <w:ind w:left="1440"/>
        <w:rPr>
          <w:rFonts w:asciiTheme="minorHAnsi" w:hAnsiTheme="minorHAnsi" w:cstheme="minorHAnsi"/>
          <w:bCs/>
        </w:rPr>
      </w:pPr>
    </w:p>
    <w:p w14:paraId="2DE2A26F" w14:textId="77777777" w:rsidR="00E06499" w:rsidRDefault="00E06499" w:rsidP="00A84A77">
      <w:pPr>
        <w:autoSpaceDE w:val="0"/>
        <w:autoSpaceDN w:val="0"/>
        <w:adjustRightInd w:val="0"/>
        <w:rPr>
          <w:rFonts w:asciiTheme="minorHAnsi" w:hAnsiTheme="minorHAnsi" w:cstheme="minorHAnsi"/>
        </w:rPr>
      </w:pPr>
      <w:r w:rsidRPr="00392811">
        <w:rPr>
          <w:rFonts w:asciiTheme="minorHAnsi" w:hAnsiTheme="minorHAnsi" w:cstheme="minorHAnsi"/>
        </w:rPr>
        <w:t>The review included analysis of key metrics that fall into three categories: profitability, liquidity, and solvency.</w:t>
      </w:r>
      <w:r w:rsidRPr="00392811">
        <w:rPr>
          <w:rStyle w:val="FootnoteReference"/>
          <w:rFonts w:asciiTheme="minorHAnsi" w:hAnsiTheme="minorHAnsi" w:cstheme="minorHAnsi"/>
        </w:rPr>
        <w:footnoteReference w:id="45"/>
      </w:r>
      <w:r w:rsidRPr="00392811">
        <w:rPr>
          <w:rFonts w:asciiTheme="minorHAnsi" w:hAnsiTheme="minorHAnsi" w:cstheme="minorHAnsi"/>
        </w:rPr>
        <w:t xml:space="preserve"> </w:t>
      </w:r>
    </w:p>
    <w:p w14:paraId="155E46A6" w14:textId="77777777" w:rsidR="00E06499" w:rsidRDefault="00E06499" w:rsidP="00A84A77">
      <w:pPr>
        <w:rPr>
          <w:rFonts w:asciiTheme="minorHAnsi" w:hAnsiTheme="minorHAnsi" w:cstheme="minorHAnsi"/>
          <w:b/>
        </w:rPr>
      </w:pPr>
    </w:p>
    <w:p w14:paraId="4E07EF80" w14:textId="31D6B804" w:rsidR="00911CC0" w:rsidRPr="00392811" w:rsidRDefault="00911CC0" w:rsidP="00A84A77">
      <w:pPr>
        <w:rPr>
          <w:rFonts w:asciiTheme="minorHAnsi" w:hAnsiTheme="minorHAnsi" w:cstheme="minorHAnsi"/>
          <w:b/>
        </w:rPr>
      </w:pPr>
      <w:r w:rsidRPr="00392811">
        <w:rPr>
          <w:rFonts w:asciiTheme="minorHAnsi" w:hAnsiTheme="minorHAnsi" w:cstheme="minorHAnsi"/>
          <w:b/>
        </w:rPr>
        <w:t>Revenues</w:t>
      </w:r>
    </w:p>
    <w:p w14:paraId="140A7C71" w14:textId="7154BE69" w:rsidR="003A5BAE" w:rsidRDefault="003A5BAE" w:rsidP="00A84A77">
      <w:pPr>
        <w:rPr>
          <w:rFonts w:asciiTheme="minorHAnsi" w:hAnsiTheme="minorHAnsi" w:cstheme="minorHAnsi"/>
        </w:rPr>
      </w:pPr>
    </w:p>
    <w:p w14:paraId="232BB372" w14:textId="61B13AB2" w:rsidR="003A5BAE" w:rsidRPr="003A5BAE" w:rsidRDefault="003A5BAE" w:rsidP="00A84A77">
      <w:pPr>
        <w:rPr>
          <w:rFonts w:asciiTheme="minorHAnsi" w:hAnsiTheme="minorHAnsi" w:cstheme="minorHAnsi"/>
        </w:rPr>
      </w:pPr>
      <w:r>
        <w:rPr>
          <w:rFonts w:asciiTheme="minorHAnsi" w:hAnsiTheme="minorHAnsi" w:cstheme="minorHAnsi"/>
        </w:rPr>
        <w:t xml:space="preserve">The CPA only </w:t>
      </w:r>
      <w:r w:rsidRPr="003A5BAE">
        <w:rPr>
          <w:rFonts w:asciiTheme="minorHAnsi" w:hAnsiTheme="minorHAnsi" w:cstheme="minorHAnsi"/>
        </w:rPr>
        <w:t>analyzed net patient service revenue</w:t>
      </w:r>
      <w:r>
        <w:rPr>
          <w:rFonts w:asciiTheme="minorHAnsi" w:hAnsiTheme="minorHAnsi" w:cstheme="minorHAnsi"/>
        </w:rPr>
        <w:t xml:space="preserve"> </w:t>
      </w:r>
      <w:r w:rsidRPr="003A5BAE">
        <w:rPr>
          <w:rFonts w:asciiTheme="minorHAnsi" w:hAnsiTheme="minorHAnsi" w:cstheme="minorHAnsi"/>
        </w:rPr>
        <w:t>(“NPSR”)</w:t>
      </w:r>
      <w:r>
        <w:rPr>
          <w:rFonts w:asciiTheme="minorHAnsi" w:hAnsiTheme="minorHAnsi" w:cstheme="minorHAnsi"/>
        </w:rPr>
        <w:t xml:space="preserve"> </w:t>
      </w:r>
      <w:r w:rsidRPr="003A5BAE">
        <w:rPr>
          <w:rFonts w:asciiTheme="minorHAnsi" w:hAnsiTheme="minorHAnsi" w:cstheme="minorHAnsi"/>
        </w:rPr>
        <w:t>identified by</w:t>
      </w:r>
      <w:r w:rsidR="007F6105">
        <w:rPr>
          <w:rFonts w:asciiTheme="minorHAnsi" w:hAnsiTheme="minorHAnsi" w:cstheme="minorHAnsi"/>
        </w:rPr>
        <w:t xml:space="preserve"> the Applicant</w:t>
      </w:r>
      <w:r w:rsidRPr="003A5BAE">
        <w:rPr>
          <w:rFonts w:asciiTheme="minorHAnsi" w:hAnsiTheme="minorHAnsi" w:cstheme="minorHAnsi"/>
        </w:rPr>
        <w:t xml:space="preserve"> in both their historical and projected</w:t>
      </w:r>
      <w:r>
        <w:rPr>
          <w:rFonts w:asciiTheme="minorHAnsi" w:hAnsiTheme="minorHAnsi" w:cstheme="minorHAnsi"/>
        </w:rPr>
        <w:t xml:space="preserve"> (FY24-28)</w:t>
      </w:r>
      <w:r w:rsidRPr="003A5BAE">
        <w:rPr>
          <w:rFonts w:asciiTheme="minorHAnsi" w:hAnsiTheme="minorHAnsi" w:cstheme="minorHAnsi"/>
        </w:rPr>
        <w:t xml:space="preserve"> financial information</w:t>
      </w:r>
      <w:r>
        <w:rPr>
          <w:rFonts w:asciiTheme="minorHAnsi" w:hAnsiTheme="minorHAnsi" w:cstheme="minorHAnsi"/>
        </w:rPr>
        <w:t xml:space="preserve"> s</w:t>
      </w:r>
      <w:r w:rsidRPr="003A5BAE">
        <w:rPr>
          <w:rFonts w:asciiTheme="minorHAnsi" w:hAnsiTheme="minorHAnsi" w:cstheme="minorHAnsi"/>
        </w:rPr>
        <w:t xml:space="preserve">ince </w:t>
      </w:r>
      <w:r>
        <w:rPr>
          <w:rFonts w:asciiTheme="minorHAnsi" w:hAnsiTheme="minorHAnsi" w:cstheme="minorHAnsi"/>
        </w:rPr>
        <w:t xml:space="preserve">it is </w:t>
      </w:r>
      <w:r w:rsidRPr="003A5BAE">
        <w:rPr>
          <w:rFonts w:asciiTheme="minorHAnsi" w:hAnsiTheme="minorHAnsi" w:cstheme="minorHAnsi"/>
        </w:rPr>
        <w:t>the only revenue category on which the Proposed Project would have an impact. The first year in which incremental revenue is present for the proposed capital project is FY 2025.</w:t>
      </w:r>
      <w:r>
        <w:rPr>
          <w:rFonts w:asciiTheme="minorHAnsi" w:hAnsiTheme="minorHAnsi" w:cstheme="minorHAnsi"/>
        </w:rPr>
        <w:t xml:space="preserve"> T</w:t>
      </w:r>
      <w:r w:rsidRPr="003A5BAE">
        <w:rPr>
          <w:rFonts w:asciiTheme="minorHAnsi" w:hAnsiTheme="minorHAnsi" w:cstheme="minorHAnsi"/>
        </w:rPr>
        <w:t xml:space="preserve">he incremental revenue from the proposed capital project represents approximately 0.31% of BMC’s NPSR in FY 2025, and approximately 0.29% of BMC’s NPSR in </w:t>
      </w:r>
      <w:r w:rsidRPr="003A5BAE">
        <w:rPr>
          <w:rFonts w:asciiTheme="minorHAnsi" w:hAnsiTheme="minorHAnsi" w:cstheme="minorHAnsi"/>
        </w:rPr>
        <w:lastRenderedPageBreak/>
        <w:t xml:space="preserve">FY 2028. The CPA’s opinion is that revenue growth projected by Management reflects a reasonable estimation based primarily on historical operations. </w:t>
      </w:r>
    </w:p>
    <w:p w14:paraId="274FE34D" w14:textId="77777777" w:rsidR="00911CC0" w:rsidRPr="00392811" w:rsidRDefault="00911CC0" w:rsidP="00A84A77">
      <w:pPr>
        <w:rPr>
          <w:rFonts w:asciiTheme="minorHAnsi" w:hAnsiTheme="minorHAnsi" w:cstheme="minorHAnsi"/>
          <w:b/>
          <w:highlight w:val="yellow"/>
        </w:rPr>
      </w:pPr>
    </w:p>
    <w:p w14:paraId="3ECFD6FE" w14:textId="52DD06A1" w:rsidR="00911CC0" w:rsidRDefault="00911CC0" w:rsidP="00A84A77">
      <w:pPr>
        <w:rPr>
          <w:rFonts w:asciiTheme="minorHAnsi" w:hAnsiTheme="minorHAnsi" w:cstheme="minorHAnsi"/>
          <w:b/>
        </w:rPr>
      </w:pPr>
      <w:r w:rsidRPr="00392811">
        <w:rPr>
          <w:rFonts w:asciiTheme="minorHAnsi" w:hAnsiTheme="minorHAnsi" w:cstheme="minorHAnsi"/>
          <w:b/>
        </w:rPr>
        <w:t>Operating Expenses</w:t>
      </w:r>
    </w:p>
    <w:p w14:paraId="04542E07" w14:textId="77777777" w:rsidR="003A5BAE" w:rsidRPr="00392811" w:rsidRDefault="003A5BAE" w:rsidP="00A84A77">
      <w:pPr>
        <w:rPr>
          <w:rFonts w:asciiTheme="minorHAnsi" w:hAnsiTheme="minorHAnsi" w:cstheme="minorHAnsi"/>
          <w:b/>
        </w:rPr>
      </w:pPr>
    </w:p>
    <w:p w14:paraId="56848018" w14:textId="77777777" w:rsidR="009E6D65" w:rsidRPr="009E6D65" w:rsidRDefault="00911CC0" w:rsidP="00A84A77">
      <w:pPr>
        <w:autoSpaceDE w:val="0"/>
        <w:autoSpaceDN w:val="0"/>
        <w:adjustRightInd w:val="0"/>
        <w:rPr>
          <w:rFonts w:asciiTheme="minorHAnsi" w:hAnsiTheme="minorHAnsi" w:cstheme="minorHAnsi"/>
          <w:bCs/>
        </w:rPr>
      </w:pPr>
      <w:r w:rsidRPr="00392811">
        <w:rPr>
          <w:rFonts w:asciiTheme="minorHAnsi" w:hAnsiTheme="minorHAnsi" w:cstheme="minorHAnsi"/>
        </w:rPr>
        <w:t xml:space="preserve">The CPA analyzed each of the categorized operating expenses for reasonableness and feasibility as it relates to the projected revenue items. </w:t>
      </w:r>
      <w:r w:rsidR="002A4976" w:rsidRPr="00392811">
        <w:rPr>
          <w:rFonts w:asciiTheme="minorHAnsi" w:hAnsiTheme="minorHAnsi" w:cstheme="minorHAnsi"/>
        </w:rPr>
        <w:t>In order to determine the reasonableness of the Projections for the fiscal years 202</w:t>
      </w:r>
      <w:r w:rsidR="009E6D65">
        <w:rPr>
          <w:rFonts w:asciiTheme="minorHAnsi" w:hAnsiTheme="minorHAnsi" w:cstheme="minorHAnsi"/>
        </w:rPr>
        <w:t>4</w:t>
      </w:r>
      <w:r w:rsidR="002A4976" w:rsidRPr="00392811">
        <w:rPr>
          <w:rFonts w:asciiTheme="minorHAnsi" w:hAnsiTheme="minorHAnsi" w:cstheme="minorHAnsi"/>
        </w:rPr>
        <w:t xml:space="preserve"> through 202</w:t>
      </w:r>
      <w:r w:rsidR="009E6D65">
        <w:rPr>
          <w:rFonts w:asciiTheme="minorHAnsi" w:hAnsiTheme="minorHAnsi" w:cstheme="minorHAnsi"/>
        </w:rPr>
        <w:t>8</w:t>
      </w:r>
      <w:r w:rsidR="002A4976" w:rsidRPr="00392811">
        <w:rPr>
          <w:rFonts w:asciiTheme="minorHAnsi" w:hAnsiTheme="minorHAnsi" w:cstheme="minorHAnsi"/>
        </w:rPr>
        <w:t xml:space="preserve">, the operating expense </w:t>
      </w:r>
      <w:r w:rsidRPr="00392811">
        <w:rPr>
          <w:rFonts w:asciiTheme="minorHAnsi" w:hAnsiTheme="minorHAnsi" w:cstheme="minorHAnsi"/>
        </w:rPr>
        <w:t>review was based on the actual operating results for the years ended 202</w:t>
      </w:r>
      <w:r w:rsidR="009E6D65">
        <w:rPr>
          <w:rFonts w:asciiTheme="minorHAnsi" w:hAnsiTheme="minorHAnsi" w:cstheme="minorHAnsi"/>
        </w:rPr>
        <w:t>2</w:t>
      </w:r>
      <w:r w:rsidRPr="00392811">
        <w:rPr>
          <w:rFonts w:asciiTheme="minorHAnsi" w:hAnsiTheme="minorHAnsi" w:cstheme="minorHAnsi"/>
        </w:rPr>
        <w:t xml:space="preserve"> and 2021 at BMC</w:t>
      </w:r>
      <w:r w:rsidR="002A4976" w:rsidRPr="00392811">
        <w:rPr>
          <w:rFonts w:asciiTheme="minorHAnsi" w:hAnsiTheme="minorHAnsi" w:cstheme="minorHAnsi"/>
        </w:rPr>
        <w:t xml:space="preserve">. </w:t>
      </w:r>
      <w:r w:rsidRPr="00392811">
        <w:rPr>
          <w:rFonts w:asciiTheme="minorHAnsi" w:hAnsiTheme="minorHAnsi" w:cstheme="minorHAnsi"/>
        </w:rPr>
        <w:t>Based upon analysis of the projected results from 202</w:t>
      </w:r>
      <w:r w:rsidR="009E6D65">
        <w:rPr>
          <w:rFonts w:asciiTheme="minorHAnsi" w:hAnsiTheme="minorHAnsi" w:cstheme="minorHAnsi"/>
        </w:rPr>
        <w:t>4</w:t>
      </w:r>
      <w:r w:rsidRPr="00392811">
        <w:rPr>
          <w:rFonts w:asciiTheme="minorHAnsi" w:hAnsiTheme="minorHAnsi" w:cstheme="minorHAnsi"/>
        </w:rPr>
        <w:t xml:space="preserve"> through 202</w:t>
      </w:r>
      <w:r w:rsidR="009E6D65">
        <w:rPr>
          <w:rFonts w:asciiTheme="minorHAnsi" w:hAnsiTheme="minorHAnsi" w:cstheme="minorHAnsi"/>
        </w:rPr>
        <w:t>8 t</w:t>
      </w:r>
      <w:r w:rsidRPr="00392811">
        <w:rPr>
          <w:rFonts w:asciiTheme="minorHAnsi" w:hAnsiTheme="minorHAnsi" w:cstheme="minorHAnsi"/>
        </w:rPr>
        <w:t>he proposed project would represent approximately 0.</w:t>
      </w:r>
      <w:r w:rsidR="009E6D65">
        <w:rPr>
          <w:rFonts w:asciiTheme="minorHAnsi" w:hAnsiTheme="minorHAnsi" w:cstheme="minorHAnsi"/>
        </w:rPr>
        <w:t>0</w:t>
      </w:r>
      <w:r w:rsidRPr="00392811">
        <w:rPr>
          <w:rFonts w:asciiTheme="minorHAnsi" w:hAnsiTheme="minorHAnsi" w:cstheme="minorHAnsi"/>
        </w:rPr>
        <w:t>4% of BMC’s operating expenses in FY202</w:t>
      </w:r>
      <w:r w:rsidR="009E6D65">
        <w:rPr>
          <w:rFonts w:asciiTheme="minorHAnsi" w:hAnsiTheme="minorHAnsi" w:cstheme="minorHAnsi"/>
        </w:rPr>
        <w:t>5</w:t>
      </w:r>
      <w:r w:rsidRPr="00392811">
        <w:rPr>
          <w:rFonts w:asciiTheme="minorHAnsi" w:hAnsiTheme="minorHAnsi" w:cstheme="minorHAnsi"/>
        </w:rPr>
        <w:t xml:space="preserve"> </w:t>
      </w:r>
      <w:r w:rsidR="009E6D65">
        <w:rPr>
          <w:rFonts w:asciiTheme="minorHAnsi" w:hAnsiTheme="minorHAnsi" w:cstheme="minorHAnsi"/>
        </w:rPr>
        <w:t>and</w:t>
      </w:r>
      <w:r w:rsidRPr="00392811">
        <w:rPr>
          <w:rFonts w:asciiTheme="minorHAnsi" w:hAnsiTheme="minorHAnsi" w:cstheme="minorHAnsi"/>
        </w:rPr>
        <w:t xml:space="preserve"> in FY 202</w:t>
      </w:r>
      <w:r w:rsidR="009E6D65">
        <w:rPr>
          <w:rFonts w:asciiTheme="minorHAnsi" w:hAnsiTheme="minorHAnsi" w:cstheme="minorHAnsi"/>
        </w:rPr>
        <w:t>8</w:t>
      </w:r>
      <w:r w:rsidRPr="00392811">
        <w:rPr>
          <w:rFonts w:asciiTheme="minorHAnsi" w:hAnsiTheme="minorHAnsi" w:cstheme="minorHAnsi"/>
        </w:rPr>
        <w:t>. The CPA’s opinion that the growth in operating expenses projected by Management is reasonable</w:t>
      </w:r>
      <w:r w:rsidR="009E6D65">
        <w:rPr>
          <w:rFonts w:asciiTheme="minorHAnsi" w:hAnsiTheme="minorHAnsi" w:cstheme="minorHAnsi"/>
        </w:rPr>
        <w:t xml:space="preserve"> </w:t>
      </w:r>
      <w:r w:rsidR="009E6D65" w:rsidRPr="009E6D65">
        <w:rPr>
          <w:rFonts w:asciiTheme="minorHAnsi" w:hAnsiTheme="minorHAnsi" w:cstheme="minorHAnsi"/>
          <w:bCs/>
        </w:rPr>
        <w:t>based primarily on historical operations.</w:t>
      </w:r>
    </w:p>
    <w:p w14:paraId="254DE6A8" w14:textId="52D84A74" w:rsidR="003A5BAE" w:rsidRPr="009E6D65" w:rsidRDefault="003A5BAE" w:rsidP="00A84A77">
      <w:pPr>
        <w:autoSpaceDE w:val="0"/>
        <w:autoSpaceDN w:val="0"/>
        <w:adjustRightInd w:val="0"/>
        <w:rPr>
          <w:rFonts w:asciiTheme="minorHAnsi" w:hAnsiTheme="minorHAnsi" w:cstheme="minorHAnsi"/>
        </w:rPr>
      </w:pPr>
    </w:p>
    <w:p w14:paraId="5541AA84" w14:textId="37A096B0" w:rsidR="003A5BAE" w:rsidRDefault="00911CC0" w:rsidP="00A84A77">
      <w:pPr>
        <w:rPr>
          <w:rFonts w:asciiTheme="minorHAnsi" w:hAnsiTheme="minorHAnsi" w:cstheme="minorHAnsi"/>
          <w:b/>
        </w:rPr>
      </w:pPr>
      <w:r w:rsidRPr="00392811">
        <w:rPr>
          <w:rFonts w:asciiTheme="minorHAnsi" w:hAnsiTheme="minorHAnsi" w:cstheme="minorHAnsi"/>
          <w:b/>
        </w:rPr>
        <w:t>Non-operating Gains/Expenses and Other Changes in Net Assets</w:t>
      </w:r>
    </w:p>
    <w:p w14:paraId="1182F753" w14:textId="77777777" w:rsidR="003A5BAE" w:rsidRPr="00392811" w:rsidRDefault="003A5BAE" w:rsidP="00A84A77">
      <w:pPr>
        <w:rPr>
          <w:rFonts w:asciiTheme="minorHAnsi" w:hAnsiTheme="minorHAnsi" w:cstheme="minorHAnsi"/>
          <w:b/>
          <w:highlight w:val="yellow"/>
        </w:rPr>
      </w:pPr>
    </w:p>
    <w:p w14:paraId="7904BAC3" w14:textId="6FBD236D" w:rsidR="00911CC0" w:rsidRDefault="00911CC0" w:rsidP="00A84A77">
      <w:pPr>
        <w:rPr>
          <w:rFonts w:asciiTheme="minorHAnsi" w:hAnsiTheme="minorHAnsi" w:cstheme="minorHAnsi"/>
        </w:rPr>
      </w:pPr>
      <w:r w:rsidRPr="00392811">
        <w:rPr>
          <w:rFonts w:asciiTheme="minorHAnsi" w:hAnsiTheme="minorHAnsi" w:cstheme="minorHAnsi"/>
        </w:rPr>
        <w:t>The items in these categories relate to investment account activity (realized and unrealized) and pension plan funded status</w:t>
      </w:r>
      <w:r w:rsidR="00D045D9">
        <w:rPr>
          <w:rFonts w:asciiTheme="minorHAnsi" w:hAnsiTheme="minorHAnsi" w:cstheme="minorHAnsi"/>
        </w:rPr>
        <w:t xml:space="preserve"> and do not directly relate to the Proposed Project</w:t>
      </w:r>
      <w:r w:rsidRPr="00392811">
        <w:rPr>
          <w:rFonts w:asciiTheme="minorHAnsi" w:hAnsiTheme="minorHAnsi" w:cstheme="minorHAnsi"/>
        </w:rPr>
        <w:t>. Because these items are unpredictable, nonrecurring, or dependent upon market fluctuations, the nonoperating activity was analyzed in aggregate by comparing them to historical data. Accordingly, it is CPA’s opinion that the pro-forma nonoperating gains/expenses and other changes in net assets are reasonable.</w:t>
      </w:r>
    </w:p>
    <w:p w14:paraId="3656F81B" w14:textId="4178FDF3" w:rsidR="009E6D65" w:rsidRDefault="009E6D65" w:rsidP="00A84A77">
      <w:pPr>
        <w:rPr>
          <w:rFonts w:asciiTheme="minorHAnsi" w:hAnsiTheme="minorHAnsi" w:cstheme="minorHAnsi"/>
        </w:rPr>
      </w:pPr>
    </w:p>
    <w:p w14:paraId="071C8893" w14:textId="49CED165" w:rsidR="00911CC0" w:rsidRDefault="00911CC0" w:rsidP="00A84A77">
      <w:pPr>
        <w:rPr>
          <w:rFonts w:asciiTheme="minorHAnsi" w:hAnsiTheme="minorHAnsi" w:cstheme="minorHAnsi"/>
          <w:b/>
        </w:rPr>
      </w:pPr>
      <w:r w:rsidRPr="00392811">
        <w:rPr>
          <w:rFonts w:asciiTheme="minorHAnsi" w:hAnsiTheme="minorHAnsi" w:cstheme="minorHAnsi"/>
          <w:b/>
        </w:rPr>
        <w:t>Capital Expenditures and Cash Flows</w:t>
      </w:r>
    </w:p>
    <w:p w14:paraId="1E43F658" w14:textId="77777777" w:rsidR="00D045D9" w:rsidRPr="00392811" w:rsidRDefault="00D045D9" w:rsidP="00A84A77">
      <w:pPr>
        <w:rPr>
          <w:rFonts w:asciiTheme="minorHAnsi" w:hAnsiTheme="minorHAnsi" w:cstheme="minorHAnsi"/>
          <w:b/>
          <w:highlight w:val="yellow"/>
        </w:rPr>
      </w:pPr>
    </w:p>
    <w:p w14:paraId="6CB02D97" w14:textId="78976AE4" w:rsidR="00911CC0" w:rsidRPr="00392811" w:rsidRDefault="00911CC0" w:rsidP="00A84A77">
      <w:pPr>
        <w:rPr>
          <w:rFonts w:asciiTheme="minorHAnsi" w:hAnsiTheme="minorHAnsi" w:cstheme="minorHAnsi"/>
        </w:rPr>
      </w:pPr>
      <w:r w:rsidRPr="00392811">
        <w:rPr>
          <w:rFonts w:asciiTheme="minorHAnsi" w:hAnsiTheme="minorHAnsi" w:cstheme="minorHAnsi"/>
        </w:rPr>
        <w:t xml:space="preserve">The CPA reviewed historical capital expenditures and cash flows in order to determine whether BMC anticipated reinvesting sufficient funds for technological upgrades and property, plant and equipment and whether the cash flow would be able to support that reinvestment. </w:t>
      </w:r>
      <w:r w:rsidR="00597E7C" w:rsidRPr="00392811">
        <w:rPr>
          <w:rFonts w:asciiTheme="minorHAnsi" w:hAnsiTheme="minorHAnsi" w:cstheme="minorHAnsi"/>
        </w:rPr>
        <w:t>C</w:t>
      </w:r>
      <w:r w:rsidRPr="00392811">
        <w:rPr>
          <w:rFonts w:asciiTheme="minorHAnsi" w:hAnsiTheme="minorHAnsi" w:cstheme="minorHAnsi"/>
        </w:rPr>
        <w:t>urrent and projected capital projects and loan financing obligations included within the Projections and the impact of those projected expenditures on BMC’s cash flow</w:t>
      </w:r>
      <w:r w:rsidR="00597E7C" w:rsidRPr="00392811">
        <w:rPr>
          <w:rFonts w:asciiTheme="minorHAnsi" w:hAnsiTheme="minorHAnsi" w:cstheme="minorHAnsi"/>
        </w:rPr>
        <w:t xml:space="preserve"> were considered</w:t>
      </w:r>
      <w:r w:rsidRPr="00392811">
        <w:rPr>
          <w:rFonts w:asciiTheme="minorHAnsi" w:hAnsiTheme="minorHAnsi" w:cstheme="minorHAnsi"/>
        </w:rPr>
        <w:t xml:space="preserve">. </w:t>
      </w:r>
      <w:r w:rsidR="00D045D9">
        <w:rPr>
          <w:rFonts w:asciiTheme="minorHAnsi" w:hAnsiTheme="minorHAnsi" w:cstheme="minorHAnsi"/>
        </w:rPr>
        <w:t xml:space="preserve">Following </w:t>
      </w:r>
      <w:r w:rsidR="00B5213B">
        <w:rPr>
          <w:rFonts w:asciiTheme="minorHAnsi" w:hAnsiTheme="minorHAnsi" w:cstheme="minorHAnsi"/>
        </w:rPr>
        <w:t>its</w:t>
      </w:r>
      <w:r w:rsidR="00D045D9">
        <w:rPr>
          <w:rFonts w:asciiTheme="minorHAnsi" w:hAnsiTheme="minorHAnsi" w:cstheme="minorHAnsi"/>
        </w:rPr>
        <w:t xml:space="preserve"> review of materials and discussions with management, it</w:t>
      </w:r>
      <w:r w:rsidRPr="00392811">
        <w:rPr>
          <w:rFonts w:asciiTheme="minorHAnsi" w:hAnsiTheme="minorHAnsi" w:cstheme="minorHAnsi"/>
        </w:rPr>
        <w:t xml:space="preserve"> is CPA’s the opinion that the pro-forma capital expenditures and </w:t>
      </w:r>
      <w:r w:rsidR="007F6105">
        <w:rPr>
          <w:rFonts w:asciiTheme="minorHAnsi" w:hAnsiTheme="minorHAnsi" w:cstheme="minorHAnsi"/>
        </w:rPr>
        <w:t xml:space="preserve">their </w:t>
      </w:r>
      <w:r w:rsidRPr="00392811">
        <w:rPr>
          <w:rFonts w:asciiTheme="minorHAnsi" w:hAnsiTheme="minorHAnsi" w:cstheme="minorHAnsi"/>
        </w:rPr>
        <w:t xml:space="preserve">resulting impact on </w:t>
      </w:r>
      <w:r w:rsidR="0096688C">
        <w:rPr>
          <w:rFonts w:asciiTheme="minorHAnsi" w:hAnsiTheme="minorHAnsi" w:cstheme="minorHAnsi"/>
        </w:rPr>
        <w:t>the Applicant</w:t>
      </w:r>
      <w:r w:rsidRPr="00392811">
        <w:rPr>
          <w:rFonts w:asciiTheme="minorHAnsi" w:hAnsiTheme="minorHAnsi" w:cstheme="minorHAnsi"/>
        </w:rPr>
        <w:t>’s cash flows are reasonable.</w:t>
      </w:r>
    </w:p>
    <w:p w14:paraId="3DD1F0EB" w14:textId="77777777" w:rsidR="00911CC0" w:rsidRPr="00392811" w:rsidRDefault="00911CC0" w:rsidP="00A84A77">
      <w:pPr>
        <w:rPr>
          <w:rFonts w:asciiTheme="minorHAnsi" w:hAnsiTheme="minorHAnsi" w:cstheme="minorHAnsi"/>
          <w:highlight w:val="yellow"/>
        </w:rPr>
      </w:pPr>
    </w:p>
    <w:p w14:paraId="299EAE6D" w14:textId="677D521C" w:rsidR="00D045D9" w:rsidRDefault="00911CC0" w:rsidP="00A84A77">
      <w:pPr>
        <w:rPr>
          <w:rFonts w:asciiTheme="minorHAnsi" w:hAnsiTheme="minorHAnsi" w:cstheme="minorHAnsi"/>
        </w:rPr>
      </w:pPr>
      <w:r w:rsidRPr="00392811">
        <w:rPr>
          <w:rFonts w:asciiTheme="minorHAnsi" w:hAnsiTheme="minorHAnsi" w:cstheme="minorHAnsi"/>
        </w:rPr>
        <w:t xml:space="preserve">Since the impact of the </w:t>
      </w:r>
      <w:r w:rsidR="00D045D9" w:rsidRPr="00392811">
        <w:rPr>
          <w:rFonts w:asciiTheme="minorHAnsi" w:hAnsiTheme="minorHAnsi" w:cstheme="minorHAnsi"/>
        </w:rPr>
        <w:t xml:space="preserve">Proposed Project </w:t>
      </w:r>
      <w:r w:rsidRPr="00392811">
        <w:rPr>
          <w:rFonts w:asciiTheme="minorHAnsi" w:hAnsiTheme="minorHAnsi" w:cstheme="minorHAnsi"/>
        </w:rPr>
        <w:t>represents a relatively insignificant</w:t>
      </w:r>
      <w:r w:rsidR="00B32585">
        <w:rPr>
          <w:rFonts w:asciiTheme="minorHAnsi" w:hAnsiTheme="minorHAnsi" w:cstheme="minorHAnsi"/>
        </w:rPr>
        <w:t xml:space="preserve"> </w:t>
      </w:r>
      <w:r w:rsidRPr="00392811">
        <w:rPr>
          <w:rFonts w:asciiTheme="minorHAnsi" w:hAnsiTheme="minorHAnsi" w:cstheme="minorHAnsi"/>
        </w:rPr>
        <w:t xml:space="preserve">portion of the operating revenues (approximately </w:t>
      </w:r>
      <w:r w:rsidR="00D045D9">
        <w:rPr>
          <w:rFonts w:asciiTheme="minorHAnsi" w:hAnsiTheme="minorHAnsi" w:cstheme="minorHAnsi"/>
        </w:rPr>
        <w:t>.</w:t>
      </w:r>
      <w:r w:rsidRPr="00392811">
        <w:rPr>
          <w:rFonts w:asciiTheme="minorHAnsi" w:hAnsiTheme="minorHAnsi" w:cstheme="minorHAnsi"/>
        </w:rPr>
        <w:t>3</w:t>
      </w:r>
      <w:r w:rsidR="00D045D9">
        <w:rPr>
          <w:rFonts w:asciiTheme="minorHAnsi" w:hAnsiTheme="minorHAnsi" w:cstheme="minorHAnsi"/>
        </w:rPr>
        <w:t>1</w:t>
      </w:r>
      <w:r w:rsidRPr="00392811">
        <w:rPr>
          <w:rFonts w:asciiTheme="minorHAnsi" w:hAnsiTheme="minorHAnsi" w:cstheme="minorHAnsi"/>
        </w:rPr>
        <w:t>%) and of</w:t>
      </w:r>
      <w:r w:rsidR="00D045D9">
        <w:rPr>
          <w:rFonts w:asciiTheme="minorHAnsi" w:hAnsiTheme="minorHAnsi" w:cstheme="minorHAnsi"/>
        </w:rPr>
        <w:t xml:space="preserve"> </w:t>
      </w:r>
      <w:r w:rsidR="00D045D9" w:rsidRPr="00D045D9">
        <w:rPr>
          <w:rFonts w:asciiTheme="minorHAnsi" w:hAnsiTheme="minorHAnsi" w:cstheme="minorHAnsi"/>
        </w:rPr>
        <w:t xml:space="preserve">projected total assets (approximately 0.17%) of </w:t>
      </w:r>
      <w:r w:rsidR="0096688C">
        <w:rPr>
          <w:rFonts w:asciiTheme="minorHAnsi" w:hAnsiTheme="minorHAnsi" w:cstheme="minorHAnsi"/>
        </w:rPr>
        <w:t>the Applicant’s</w:t>
      </w:r>
      <w:r w:rsidR="00D045D9" w:rsidRPr="00D045D9">
        <w:rPr>
          <w:rFonts w:asciiTheme="minorHAnsi" w:hAnsiTheme="minorHAnsi" w:cstheme="minorHAnsi"/>
        </w:rPr>
        <w:t xml:space="preserve"> for Fiscal Year 2025</w:t>
      </w:r>
      <w:r w:rsidR="00D045D9">
        <w:rPr>
          <w:rFonts w:asciiTheme="minorHAnsi" w:hAnsiTheme="minorHAnsi" w:cstheme="minorHAnsi"/>
        </w:rPr>
        <w:t xml:space="preserve">, the CPA determined that </w:t>
      </w:r>
      <w:r w:rsidRPr="00392811">
        <w:rPr>
          <w:rFonts w:asciiTheme="minorHAnsi" w:hAnsiTheme="minorHAnsi" w:cstheme="minorHAnsi"/>
        </w:rPr>
        <w:t xml:space="preserve">the Projections are not likely to result in insufficient funds available for capital and ongoing operating costs necessary to support the proposed project. </w:t>
      </w:r>
      <w:r w:rsidR="00D045D9" w:rsidRPr="00D045D9">
        <w:rPr>
          <w:rFonts w:asciiTheme="minorHAnsi" w:hAnsiTheme="minorHAnsi" w:cstheme="minorHAnsi"/>
        </w:rPr>
        <w:t xml:space="preserve">Therefore, the proposed new MRI unit and related renovations at the Hospital are financially feasible and within the financial capability of </w:t>
      </w:r>
      <w:r w:rsidR="0096688C">
        <w:rPr>
          <w:rFonts w:asciiTheme="minorHAnsi" w:hAnsiTheme="minorHAnsi" w:cstheme="minorHAnsi"/>
        </w:rPr>
        <w:t>the Applicant</w:t>
      </w:r>
      <w:r w:rsidR="00D045D9" w:rsidRPr="00D045D9">
        <w:rPr>
          <w:rFonts w:asciiTheme="minorHAnsi" w:hAnsiTheme="minorHAnsi" w:cstheme="minorHAnsi"/>
        </w:rPr>
        <w:t>.</w:t>
      </w:r>
    </w:p>
    <w:p w14:paraId="20632B22" w14:textId="77777777" w:rsidR="00911CC0" w:rsidRPr="00392811" w:rsidRDefault="00911CC0" w:rsidP="00A84A77">
      <w:pPr>
        <w:pStyle w:val="NormalWeb"/>
        <w:rPr>
          <w:rFonts w:asciiTheme="minorHAnsi" w:hAnsiTheme="minorHAnsi" w:cstheme="minorHAnsi"/>
          <w:b/>
          <w:bCs/>
          <w:highlight w:val="yellow"/>
        </w:rPr>
      </w:pPr>
    </w:p>
    <w:p w14:paraId="177A6DAD" w14:textId="73EF709A" w:rsidR="00911CC0" w:rsidRPr="00392811" w:rsidRDefault="00911CC0" w:rsidP="00A84A77">
      <w:pPr>
        <w:pStyle w:val="NormalWeb"/>
        <w:rPr>
          <w:rFonts w:asciiTheme="minorHAnsi" w:hAnsiTheme="minorHAnsi" w:cstheme="minorHAnsi"/>
          <w:b/>
          <w:bCs/>
          <w:i/>
          <w:iCs/>
        </w:rPr>
      </w:pPr>
      <w:r w:rsidRPr="00392811">
        <w:rPr>
          <w:rFonts w:asciiTheme="minorHAnsi" w:hAnsiTheme="minorHAnsi" w:cstheme="minorHAnsi"/>
          <w:b/>
          <w:bCs/>
          <w:i/>
          <w:iCs/>
        </w:rPr>
        <w:t xml:space="preserve">Factor 4 Analysis </w:t>
      </w:r>
    </w:p>
    <w:p w14:paraId="43BFAC9F" w14:textId="77777777" w:rsidR="006B6F84" w:rsidRPr="00392811" w:rsidRDefault="006B6F84" w:rsidP="00A84A77">
      <w:pPr>
        <w:pStyle w:val="NormalWeb"/>
        <w:rPr>
          <w:rFonts w:asciiTheme="minorHAnsi" w:hAnsiTheme="minorHAnsi" w:cstheme="minorHAnsi"/>
          <w:b/>
          <w:bCs/>
          <w:i/>
          <w:iCs/>
        </w:rPr>
      </w:pPr>
    </w:p>
    <w:p w14:paraId="74C249A5" w14:textId="77777777" w:rsidR="00FC5C4A" w:rsidRPr="00392811" w:rsidRDefault="00911CC0" w:rsidP="00A84A77">
      <w:pPr>
        <w:rPr>
          <w:rFonts w:asciiTheme="minorHAnsi" w:hAnsiTheme="minorHAnsi" w:cstheme="minorHAnsi"/>
        </w:rPr>
      </w:pPr>
      <w:r w:rsidRPr="00392811">
        <w:rPr>
          <w:rFonts w:asciiTheme="minorHAnsi" w:hAnsiTheme="minorHAnsi" w:cstheme="minorHAnsi"/>
        </w:rPr>
        <w:t>Staff is satisfied with the CPA’s analysis of the Proposed Project</w:t>
      </w:r>
      <w:r w:rsidR="00FC5C4A" w:rsidRPr="00392811">
        <w:rPr>
          <w:rFonts w:asciiTheme="minorHAnsi" w:hAnsiTheme="minorHAnsi" w:cstheme="minorHAnsi"/>
        </w:rPr>
        <w:t>’s projections</w:t>
      </w:r>
      <w:r w:rsidRPr="00392811">
        <w:rPr>
          <w:rFonts w:asciiTheme="minorHAnsi" w:hAnsiTheme="minorHAnsi" w:cstheme="minorHAnsi"/>
        </w:rPr>
        <w:t xml:space="preserve">. </w:t>
      </w:r>
      <w:r w:rsidR="00FC5C4A" w:rsidRPr="00392811">
        <w:rPr>
          <w:rFonts w:asciiTheme="minorHAnsi" w:hAnsiTheme="minorHAnsi" w:cstheme="minorHAnsi"/>
        </w:rPr>
        <w:t>As a result of information provided by the Applicant and additional analysis, staff finds that the Applicant has demonstrated that the Proposed Project has met Factor 4.</w:t>
      </w:r>
    </w:p>
    <w:p w14:paraId="21EFEEA8" w14:textId="22A21EB6" w:rsidR="002D535F" w:rsidRPr="00392811" w:rsidRDefault="1890F46A" w:rsidP="007545E1">
      <w:pPr>
        <w:pStyle w:val="Heading1"/>
        <w:rPr>
          <w:rFonts w:asciiTheme="minorHAnsi" w:hAnsiTheme="minorHAnsi" w:cstheme="minorHAnsi"/>
        </w:rPr>
      </w:pPr>
      <w:bookmarkStart w:id="76" w:name="_Toc148704464"/>
      <w:bookmarkEnd w:id="75"/>
      <w:r w:rsidRPr="00392811">
        <w:rPr>
          <w:rFonts w:asciiTheme="minorHAnsi" w:hAnsiTheme="minorHAnsi" w:cstheme="minorHAnsi"/>
        </w:rPr>
        <w:lastRenderedPageBreak/>
        <w:t>Factor 5: Assessment of the Proposed Project’s Relative Merit</w:t>
      </w:r>
      <w:bookmarkEnd w:id="76"/>
      <w:r w:rsidR="009F518C" w:rsidRPr="00392811">
        <w:rPr>
          <w:rFonts w:asciiTheme="minorHAnsi" w:hAnsiTheme="minorHAnsi" w:cstheme="minorHAnsi"/>
        </w:rPr>
        <w:t xml:space="preserve"> </w:t>
      </w:r>
    </w:p>
    <w:p w14:paraId="532A88FC" w14:textId="30F775F5" w:rsidR="00080807" w:rsidRPr="00303209" w:rsidRDefault="00FD249A" w:rsidP="00A84A77">
      <w:pPr>
        <w:autoSpaceDE w:val="0"/>
        <w:autoSpaceDN w:val="0"/>
        <w:adjustRightInd w:val="0"/>
        <w:spacing w:before="240"/>
        <w:rPr>
          <w:rFonts w:ascii="Calibri" w:eastAsia="Calibri" w:hAnsi="Calibri"/>
        </w:rPr>
      </w:pPr>
      <w:bookmarkStart w:id="77" w:name="_Toc17151192"/>
      <w:bookmarkStart w:id="78" w:name="_Toc17322410"/>
      <w:r w:rsidRPr="00303209">
        <w:rPr>
          <w:rFonts w:asciiTheme="minorHAnsi" w:hAnsiTheme="minorHAnsi" w:cstheme="minorHAnsi"/>
          <w:color w:val="000000" w:themeColor="text1"/>
        </w:rPr>
        <w:t xml:space="preserve">The Applicant considered and rejected </w:t>
      </w:r>
      <w:r w:rsidR="002942E6" w:rsidRPr="00303209">
        <w:rPr>
          <w:rFonts w:asciiTheme="minorHAnsi" w:hAnsiTheme="minorHAnsi" w:cstheme="minorHAnsi"/>
          <w:color w:val="000000" w:themeColor="text1"/>
        </w:rPr>
        <w:t xml:space="preserve">one </w:t>
      </w:r>
      <w:r w:rsidRPr="00303209">
        <w:rPr>
          <w:rFonts w:asciiTheme="minorHAnsi" w:hAnsiTheme="minorHAnsi" w:cstheme="minorHAnsi"/>
          <w:color w:val="000000" w:themeColor="text1"/>
        </w:rPr>
        <w:t>alternative</w:t>
      </w:r>
      <w:r w:rsidR="00F10A6D">
        <w:rPr>
          <w:rFonts w:asciiTheme="minorHAnsi" w:hAnsiTheme="minorHAnsi" w:cstheme="minorHAnsi"/>
          <w:color w:val="000000" w:themeColor="text1"/>
        </w:rPr>
        <w:t>,</w:t>
      </w:r>
      <w:r w:rsidRPr="00303209">
        <w:rPr>
          <w:rFonts w:asciiTheme="minorHAnsi" w:hAnsiTheme="minorHAnsi" w:cstheme="minorHAnsi"/>
          <w:color w:val="000000" w:themeColor="text1"/>
        </w:rPr>
        <w:t xml:space="preserve"> </w:t>
      </w:r>
      <w:r w:rsidR="00F10A6D">
        <w:rPr>
          <w:rFonts w:asciiTheme="minorHAnsi" w:hAnsiTheme="minorHAnsi" w:cstheme="minorHAnsi"/>
          <w:color w:val="000000" w:themeColor="text1"/>
        </w:rPr>
        <w:t>c</w:t>
      </w:r>
      <w:r w:rsidRPr="00303209">
        <w:rPr>
          <w:rFonts w:asciiTheme="minorHAnsi" w:hAnsiTheme="minorHAnsi" w:cstheme="minorHAnsi"/>
          <w:color w:val="000000" w:themeColor="text1"/>
        </w:rPr>
        <w:t xml:space="preserve">ontinue with the </w:t>
      </w:r>
      <w:r w:rsidR="001010C5" w:rsidRPr="001010C5">
        <w:rPr>
          <w:rFonts w:asciiTheme="minorHAnsi" w:hAnsiTheme="minorHAnsi" w:cstheme="minorHAnsi"/>
          <w:i/>
          <w:iCs/>
          <w:color w:val="000000" w:themeColor="text1"/>
        </w:rPr>
        <w:t>s</w:t>
      </w:r>
      <w:r w:rsidRPr="001010C5">
        <w:rPr>
          <w:rFonts w:asciiTheme="minorHAnsi" w:hAnsiTheme="minorHAnsi" w:cstheme="minorHAnsi"/>
          <w:i/>
          <w:iCs/>
          <w:color w:val="000000" w:themeColor="text1"/>
        </w:rPr>
        <w:t xml:space="preserve">tatus </w:t>
      </w:r>
      <w:r w:rsidR="001010C5" w:rsidRPr="001010C5">
        <w:rPr>
          <w:rFonts w:asciiTheme="minorHAnsi" w:hAnsiTheme="minorHAnsi" w:cstheme="minorHAnsi"/>
          <w:i/>
          <w:iCs/>
          <w:color w:val="000000" w:themeColor="text1"/>
        </w:rPr>
        <w:t>q</w:t>
      </w:r>
      <w:r w:rsidRPr="001010C5">
        <w:rPr>
          <w:rFonts w:asciiTheme="minorHAnsi" w:hAnsiTheme="minorHAnsi" w:cstheme="minorHAnsi"/>
          <w:i/>
          <w:iCs/>
          <w:color w:val="000000" w:themeColor="text1"/>
        </w:rPr>
        <w:t>uo</w:t>
      </w:r>
      <w:r w:rsidR="00F10A6D">
        <w:rPr>
          <w:rFonts w:asciiTheme="minorHAnsi" w:hAnsiTheme="minorHAnsi" w:cstheme="minorHAnsi"/>
          <w:color w:val="000000" w:themeColor="text1"/>
        </w:rPr>
        <w:t>,</w:t>
      </w:r>
      <w:r w:rsidRPr="00303209">
        <w:rPr>
          <w:rFonts w:asciiTheme="minorHAnsi" w:hAnsiTheme="minorHAnsi" w:cstheme="minorHAnsi"/>
          <w:color w:val="000000" w:themeColor="text1"/>
        </w:rPr>
        <w:t xml:space="preserve"> </w:t>
      </w:r>
      <w:r w:rsidR="002942E6" w:rsidRPr="00303209">
        <w:rPr>
          <w:rFonts w:asciiTheme="minorHAnsi" w:hAnsiTheme="minorHAnsi" w:cstheme="minorHAnsi"/>
          <w:color w:val="000000" w:themeColor="text1"/>
        </w:rPr>
        <w:t xml:space="preserve">to the </w:t>
      </w:r>
      <w:r w:rsidR="00404C12" w:rsidRPr="00303209">
        <w:rPr>
          <w:rFonts w:asciiTheme="minorHAnsi" w:hAnsiTheme="minorHAnsi" w:cstheme="minorHAnsi"/>
          <w:color w:val="000000" w:themeColor="text1"/>
        </w:rPr>
        <w:t>Proposed Project</w:t>
      </w:r>
      <w:r w:rsidR="00080807" w:rsidRPr="00303209">
        <w:rPr>
          <w:rFonts w:asciiTheme="minorHAnsi" w:hAnsiTheme="minorHAnsi" w:cstheme="minorHAnsi"/>
          <w:color w:val="000000" w:themeColor="text1"/>
        </w:rPr>
        <w:t xml:space="preserve"> and </w:t>
      </w:r>
      <w:r w:rsidR="00D73851" w:rsidRPr="00303209">
        <w:rPr>
          <w:rFonts w:ascii="Calibri" w:eastAsia="Calibri" w:hAnsi="Calibri"/>
        </w:rPr>
        <w:t xml:space="preserve">to forego </w:t>
      </w:r>
      <w:r w:rsidR="00080807" w:rsidRPr="00303209">
        <w:rPr>
          <w:rFonts w:ascii="Calibri" w:eastAsia="Calibri" w:hAnsi="Calibri"/>
        </w:rPr>
        <w:t xml:space="preserve">the expansion of MRI capacity </w:t>
      </w:r>
      <w:r w:rsidR="00D73851" w:rsidRPr="00303209">
        <w:rPr>
          <w:rFonts w:ascii="Calibri" w:eastAsia="Calibri" w:hAnsi="Calibri"/>
        </w:rPr>
        <w:t>and continue to operate BMC’s main campus without any changes to existing MRI capacity.</w:t>
      </w:r>
    </w:p>
    <w:p w14:paraId="700F3AEF" w14:textId="4080F3D3" w:rsidR="00D73851" w:rsidRPr="00303209" w:rsidRDefault="00D73851" w:rsidP="00A84A77">
      <w:pPr>
        <w:spacing w:before="240" w:after="160"/>
        <w:rPr>
          <w:rFonts w:ascii="Calibri" w:eastAsia="Calibri" w:hAnsi="Calibri"/>
        </w:rPr>
      </w:pPr>
      <w:r w:rsidRPr="00303209">
        <w:rPr>
          <w:rFonts w:ascii="Calibri" w:eastAsia="Calibri" w:hAnsi="Calibri"/>
          <w:b/>
          <w:bCs/>
        </w:rPr>
        <w:t>Alternative Quality:</w:t>
      </w:r>
      <w:r w:rsidRPr="00303209">
        <w:rPr>
          <w:rFonts w:ascii="Calibri" w:eastAsia="Calibri" w:hAnsi="Calibri"/>
        </w:rPr>
        <w:t>  Without the Proposed Project, MRI utilization rates will continue to rise to unsustainable levels as patient volumes continue to increase, throughput will continue to be negatively impacted, and patients will continue to face increased wait times and delays in diagnosis and treatment</w:t>
      </w:r>
      <w:r w:rsidR="00303209" w:rsidRPr="00303209">
        <w:rPr>
          <w:rFonts w:ascii="Calibri" w:eastAsia="Calibri" w:hAnsi="Calibri"/>
        </w:rPr>
        <w:t xml:space="preserve"> which</w:t>
      </w:r>
      <w:r w:rsidRPr="00303209">
        <w:rPr>
          <w:rFonts w:ascii="Calibri" w:eastAsia="Calibri" w:hAnsi="Calibri"/>
        </w:rPr>
        <w:t xml:space="preserve"> will negative</w:t>
      </w:r>
      <w:r w:rsidR="00303209" w:rsidRPr="00303209">
        <w:rPr>
          <w:rFonts w:ascii="Calibri" w:eastAsia="Calibri" w:hAnsi="Calibri"/>
        </w:rPr>
        <w:t>ly</w:t>
      </w:r>
      <w:r w:rsidRPr="00303209">
        <w:rPr>
          <w:rFonts w:ascii="Calibri" w:eastAsia="Calibri" w:hAnsi="Calibri"/>
        </w:rPr>
        <w:t xml:space="preserve"> impact patient’s health outcomes and quality of life. </w:t>
      </w:r>
      <w:r w:rsidR="00303209" w:rsidRPr="00303209">
        <w:rPr>
          <w:rFonts w:ascii="Calibri" w:eastAsia="Calibri" w:hAnsi="Calibri"/>
        </w:rPr>
        <w:t>W</w:t>
      </w:r>
      <w:r w:rsidRPr="00303209">
        <w:rPr>
          <w:rFonts w:ascii="Calibri" w:eastAsia="Calibri" w:hAnsi="Calibri"/>
        </w:rPr>
        <w:t>ith improved access to MRI services, turnaround times in diagnosis and treatment</w:t>
      </w:r>
      <w:r w:rsidR="00303209" w:rsidRPr="00303209">
        <w:rPr>
          <w:rFonts w:ascii="Calibri" w:eastAsia="Calibri" w:hAnsi="Calibri"/>
        </w:rPr>
        <w:t xml:space="preserve"> will improve </w:t>
      </w:r>
      <w:r w:rsidRPr="00303209">
        <w:rPr>
          <w:rFonts w:ascii="Calibri" w:eastAsia="Calibri" w:hAnsi="Calibri"/>
        </w:rPr>
        <w:t>for BMC’s vulnerable and aging patient panel,</w:t>
      </w:r>
      <w:r w:rsidR="00303209" w:rsidRPr="00303209">
        <w:rPr>
          <w:rFonts w:ascii="Calibri" w:eastAsia="Calibri" w:hAnsi="Calibri"/>
        </w:rPr>
        <w:t xml:space="preserve"> as described in </w:t>
      </w:r>
      <w:r w:rsidRPr="00303209">
        <w:rPr>
          <w:rFonts w:ascii="Calibri" w:eastAsia="Calibri" w:hAnsi="Calibri"/>
        </w:rPr>
        <w:t xml:space="preserve">Factor </w:t>
      </w:r>
      <w:r w:rsidR="00303209" w:rsidRPr="00303209">
        <w:rPr>
          <w:rFonts w:ascii="Calibri" w:eastAsia="Calibri" w:hAnsi="Calibri"/>
        </w:rPr>
        <w:t>1.</w:t>
      </w:r>
      <w:r w:rsidRPr="00303209">
        <w:rPr>
          <w:rFonts w:ascii="Calibri" w:eastAsia="Calibri" w:hAnsi="Calibri"/>
        </w:rPr>
        <w:t xml:space="preserve"> </w:t>
      </w:r>
    </w:p>
    <w:p w14:paraId="1354C642" w14:textId="77777777" w:rsidR="00D73851" w:rsidRPr="00303209" w:rsidRDefault="00D73851" w:rsidP="00A84A77">
      <w:pPr>
        <w:spacing w:after="160"/>
        <w:rPr>
          <w:rFonts w:ascii="Calibri" w:eastAsia="Calibri" w:hAnsi="Calibri"/>
        </w:rPr>
      </w:pPr>
      <w:r w:rsidRPr="00303209">
        <w:rPr>
          <w:rFonts w:ascii="Calibri" w:eastAsia="Calibri" w:hAnsi="Calibri"/>
          <w:b/>
          <w:bCs/>
        </w:rPr>
        <w:t>Alternative Efficiency:</w:t>
      </w:r>
      <w:r w:rsidRPr="00303209">
        <w:rPr>
          <w:rFonts w:ascii="Calibri" w:eastAsia="Calibri" w:hAnsi="Calibri"/>
        </w:rPr>
        <w:t>  Without additional MRI capacity, access challenges at BMC will persist and the area’s most vulnerable patients will continue to face long wait times as well as delays in diagnosis and treatment.</w:t>
      </w:r>
    </w:p>
    <w:p w14:paraId="364686F4" w14:textId="18DFAF73" w:rsidR="00D73851" w:rsidRPr="00303209" w:rsidRDefault="00D73851" w:rsidP="00A84A77">
      <w:pPr>
        <w:spacing w:after="160"/>
        <w:rPr>
          <w:rFonts w:ascii="Calibri" w:eastAsia="Calibri" w:hAnsi="Calibri"/>
        </w:rPr>
      </w:pPr>
      <w:r w:rsidRPr="00303209">
        <w:rPr>
          <w:rFonts w:ascii="Calibri" w:eastAsia="Calibri" w:hAnsi="Calibri"/>
        </w:rPr>
        <w:t xml:space="preserve">As detailed throughout, the Proposed Project is designed to create additional MRI capacity, which in helping alleviate </w:t>
      </w:r>
      <w:r w:rsidR="00303209" w:rsidRPr="00303209">
        <w:rPr>
          <w:rFonts w:ascii="Calibri" w:eastAsia="Calibri" w:hAnsi="Calibri"/>
        </w:rPr>
        <w:t>delayed access</w:t>
      </w:r>
      <w:r w:rsidRPr="00303209">
        <w:rPr>
          <w:rFonts w:ascii="Calibri" w:eastAsia="Calibri" w:hAnsi="Calibri"/>
        </w:rPr>
        <w:t xml:space="preserve"> will improve throughput, ensure that patients can continue to receive coordinated care at BMC, and, thereby, provide efficiencies in care and costs. </w:t>
      </w:r>
    </w:p>
    <w:p w14:paraId="4AB4023A" w14:textId="0790912D" w:rsidR="00D73851" w:rsidRPr="00303209" w:rsidRDefault="00D73851" w:rsidP="00A84A77">
      <w:pPr>
        <w:spacing w:after="160"/>
        <w:rPr>
          <w:rFonts w:ascii="Calibri" w:eastAsia="Calibri" w:hAnsi="Calibri"/>
        </w:rPr>
      </w:pPr>
      <w:r w:rsidRPr="00303209">
        <w:rPr>
          <w:rFonts w:ascii="Calibri" w:eastAsia="Calibri" w:hAnsi="Calibri"/>
          <w:b/>
          <w:bCs/>
        </w:rPr>
        <w:t>Alternative Capital Expense:</w:t>
      </w:r>
      <w:r w:rsidRPr="00303209">
        <w:rPr>
          <w:rFonts w:ascii="Calibri" w:eastAsia="Calibri" w:hAnsi="Calibri"/>
        </w:rPr>
        <w:t> While there are no associated capital expenses</w:t>
      </w:r>
      <w:r w:rsidR="00DB5B0E" w:rsidRPr="00303209">
        <w:rPr>
          <w:rFonts w:ascii="Calibri" w:eastAsia="Calibri" w:hAnsi="Calibri"/>
        </w:rPr>
        <w:t xml:space="preserve"> with </w:t>
      </w:r>
      <w:r w:rsidRPr="00303209">
        <w:rPr>
          <w:rFonts w:ascii="Calibri" w:eastAsia="Calibri" w:hAnsi="Calibri"/>
        </w:rPr>
        <w:t xml:space="preserve">maintaining </w:t>
      </w:r>
      <w:r w:rsidRPr="001010C5">
        <w:rPr>
          <w:rFonts w:ascii="Calibri" w:eastAsia="Calibri" w:hAnsi="Calibri"/>
          <w:i/>
          <w:iCs/>
        </w:rPr>
        <w:t>status quo</w:t>
      </w:r>
      <w:r w:rsidR="00DB5B0E" w:rsidRPr="00303209">
        <w:rPr>
          <w:rFonts w:ascii="Calibri" w:eastAsia="Calibri" w:hAnsi="Calibri"/>
        </w:rPr>
        <w:t>, this</w:t>
      </w:r>
      <w:r w:rsidRPr="00303209">
        <w:rPr>
          <w:rFonts w:ascii="Calibri" w:eastAsia="Calibri" w:hAnsi="Calibri"/>
        </w:rPr>
        <w:t xml:space="preserve"> would not address the need for additional MRI capacity at BMC, and, therefore, quality outcomes, operational efficiencies, and cost containment measures anticipated to be achieved through the Proposed Project would not be realized. </w:t>
      </w:r>
    </w:p>
    <w:p w14:paraId="76C63EC3" w14:textId="09D104DB" w:rsidR="00D73851" w:rsidRPr="00303209" w:rsidRDefault="00D73851" w:rsidP="00A84A77">
      <w:pPr>
        <w:spacing w:after="160"/>
        <w:rPr>
          <w:rFonts w:ascii="Calibri" w:eastAsia="Calibri" w:hAnsi="Calibri"/>
        </w:rPr>
      </w:pPr>
      <w:r w:rsidRPr="00303209">
        <w:rPr>
          <w:rFonts w:ascii="Calibri" w:eastAsia="Calibri" w:hAnsi="Calibri"/>
        </w:rPr>
        <w:t xml:space="preserve">The capital expenditure for the Proposed Project represents a cost-effective approach to addressing the needs of the Applicant’s under-resourced and aging Patient </w:t>
      </w:r>
      <w:r w:rsidR="00F10A6D" w:rsidRPr="00303209">
        <w:rPr>
          <w:rFonts w:ascii="Calibri" w:eastAsia="Calibri" w:hAnsi="Calibri"/>
        </w:rPr>
        <w:t>Panel and</w:t>
      </w:r>
      <w:r w:rsidRPr="00303209">
        <w:rPr>
          <w:rFonts w:ascii="Calibri" w:eastAsia="Calibri" w:hAnsi="Calibri"/>
        </w:rPr>
        <w:t xml:space="preserve"> ensuring the Hospital’s long-term ability to provide high-quality care. </w:t>
      </w:r>
    </w:p>
    <w:p w14:paraId="2E62BAEC" w14:textId="1E9A978E" w:rsidR="00D73851" w:rsidRPr="00303209" w:rsidRDefault="00D73851" w:rsidP="00A84A77">
      <w:pPr>
        <w:spacing w:after="160"/>
        <w:rPr>
          <w:rFonts w:ascii="Calibri" w:eastAsia="Calibri" w:hAnsi="Calibri"/>
        </w:rPr>
      </w:pPr>
      <w:r w:rsidRPr="00303209">
        <w:rPr>
          <w:rFonts w:ascii="Calibri" w:eastAsia="Calibri" w:hAnsi="Calibri"/>
          <w:b/>
          <w:bCs/>
        </w:rPr>
        <w:t>Alternative Operating Costs:</w:t>
      </w:r>
      <w:r w:rsidRPr="00303209">
        <w:rPr>
          <w:rFonts w:ascii="Calibri" w:eastAsia="Calibri" w:hAnsi="Calibri"/>
        </w:rPr>
        <w:t xml:space="preserve"> Although the </w:t>
      </w:r>
      <w:r w:rsidRPr="001010C5">
        <w:rPr>
          <w:rFonts w:ascii="Calibri" w:eastAsia="Calibri" w:hAnsi="Calibri"/>
          <w:i/>
          <w:iCs/>
        </w:rPr>
        <w:t>status quo</w:t>
      </w:r>
      <w:r w:rsidRPr="00303209">
        <w:rPr>
          <w:rFonts w:ascii="Calibri" w:eastAsia="Calibri" w:hAnsi="Calibri"/>
        </w:rPr>
        <w:t xml:space="preserve"> would not </w:t>
      </w:r>
      <w:r w:rsidR="0041459A">
        <w:rPr>
          <w:rFonts w:ascii="Calibri" w:eastAsia="Calibri" w:hAnsi="Calibri"/>
        </w:rPr>
        <w:t xml:space="preserve">increase </w:t>
      </w:r>
      <w:r w:rsidRPr="00303209">
        <w:rPr>
          <w:rFonts w:ascii="Calibri" w:eastAsia="Calibri" w:hAnsi="Calibri"/>
        </w:rPr>
        <w:t xml:space="preserve">operating costs, it would not address the MRI capacity issues at BMC and consequently the quality outcomes, operational efficiencies, and cost containment measures the Applicant anticipates will be achieved through the Proposed Project would not be realized. The average incremental operating costs of the Proposed Project are anticipated to be approximately $2,763,457. </w:t>
      </w:r>
    </w:p>
    <w:p w14:paraId="01933D48" w14:textId="77777777" w:rsidR="00026194" w:rsidRPr="00303209" w:rsidRDefault="00026194" w:rsidP="00A84A77">
      <w:pPr>
        <w:pStyle w:val="NormalWeb"/>
        <w:rPr>
          <w:rFonts w:asciiTheme="minorHAnsi" w:hAnsiTheme="minorHAnsi" w:cstheme="minorHAnsi"/>
          <w:b/>
          <w:bCs/>
          <w:highlight w:val="yellow"/>
        </w:rPr>
      </w:pPr>
    </w:p>
    <w:p w14:paraId="27C7CB2E" w14:textId="18D7F316" w:rsidR="00FD249A" w:rsidRPr="00303209" w:rsidRDefault="00FD249A" w:rsidP="00A84A77">
      <w:pPr>
        <w:pStyle w:val="NormalWeb"/>
        <w:rPr>
          <w:rFonts w:asciiTheme="minorHAnsi" w:hAnsiTheme="minorHAnsi" w:cstheme="minorHAnsi"/>
          <w:b/>
          <w:bCs/>
          <w:i/>
          <w:iCs/>
        </w:rPr>
      </w:pPr>
      <w:r w:rsidRPr="00303209">
        <w:rPr>
          <w:rFonts w:asciiTheme="minorHAnsi" w:hAnsiTheme="minorHAnsi" w:cstheme="minorHAnsi"/>
          <w:b/>
          <w:bCs/>
          <w:i/>
          <w:iCs/>
        </w:rPr>
        <w:t xml:space="preserve">Factor 5 </w:t>
      </w:r>
      <w:r w:rsidR="00597E7C" w:rsidRPr="00303209">
        <w:rPr>
          <w:rFonts w:asciiTheme="minorHAnsi" w:hAnsiTheme="minorHAnsi" w:cstheme="minorHAnsi"/>
          <w:b/>
          <w:bCs/>
          <w:i/>
          <w:iCs/>
        </w:rPr>
        <w:t>Analysis</w:t>
      </w:r>
    </w:p>
    <w:p w14:paraId="08B542FE" w14:textId="77777777" w:rsidR="00D73851" w:rsidRPr="00303209" w:rsidRDefault="00D73851" w:rsidP="00A84A77">
      <w:pPr>
        <w:pStyle w:val="NormalWeb"/>
        <w:rPr>
          <w:rFonts w:asciiTheme="minorHAnsi" w:hAnsiTheme="minorHAnsi" w:cstheme="minorHAnsi"/>
        </w:rPr>
      </w:pPr>
    </w:p>
    <w:p w14:paraId="2916D009" w14:textId="66248D66" w:rsidR="00FC5C4A" w:rsidRDefault="00FC5C4A" w:rsidP="00A84A77">
      <w:pPr>
        <w:pStyle w:val="NormalWeb"/>
        <w:rPr>
          <w:rFonts w:asciiTheme="minorHAnsi" w:hAnsiTheme="minorHAnsi" w:cstheme="minorHAnsi"/>
        </w:rPr>
      </w:pPr>
      <w:r w:rsidRPr="00303209">
        <w:rPr>
          <w:rFonts w:asciiTheme="minorHAnsi" w:hAnsiTheme="minorHAnsi" w:cstheme="minorHAnsi"/>
        </w:rPr>
        <w:t xml:space="preserve">Staff finds that the Applicant has appropriately considered the quality, efficiency, and capital and operating costs of the Proposed Project and </w:t>
      </w:r>
      <w:r w:rsidR="00DB5B0E" w:rsidRPr="00303209">
        <w:rPr>
          <w:rFonts w:asciiTheme="minorHAnsi" w:hAnsiTheme="minorHAnsi" w:cstheme="minorHAnsi"/>
        </w:rPr>
        <w:t xml:space="preserve">concurs </w:t>
      </w:r>
      <w:r w:rsidRPr="00303209">
        <w:rPr>
          <w:rFonts w:asciiTheme="minorHAnsi" w:hAnsiTheme="minorHAnsi" w:cstheme="minorHAnsi"/>
        </w:rPr>
        <w:t xml:space="preserve">that there are no feasible alternatives. As a result of information provided by the Applicant and additional analysis, staff finds that the Applicant has demonstrated that the Proposed Project has met Factor 5. </w:t>
      </w:r>
    </w:p>
    <w:p w14:paraId="23516E7A" w14:textId="77777777" w:rsidR="00A84A77" w:rsidRPr="00303209" w:rsidRDefault="00A84A77" w:rsidP="00A84A77">
      <w:pPr>
        <w:pStyle w:val="NormalWeb"/>
        <w:rPr>
          <w:rFonts w:asciiTheme="minorHAnsi" w:hAnsiTheme="minorHAnsi" w:cstheme="minorHAnsi"/>
        </w:rPr>
      </w:pPr>
    </w:p>
    <w:p w14:paraId="559FC039" w14:textId="77777777" w:rsidR="00EC3329" w:rsidRDefault="1890F46A" w:rsidP="00A84A77">
      <w:pPr>
        <w:pStyle w:val="Heading1"/>
        <w:spacing w:before="0"/>
        <w:rPr>
          <w:rFonts w:asciiTheme="minorHAnsi" w:hAnsiTheme="minorHAnsi" w:cstheme="minorHAnsi"/>
        </w:rPr>
      </w:pPr>
      <w:bookmarkStart w:id="79" w:name="_Toc148704465"/>
      <w:r w:rsidRPr="00392811">
        <w:rPr>
          <w:rFonts w:asciiTheme="minorHAnsi" w:hAnsiTheme="minorHAnsi" w:cstheme="minorHAnsi"/>
        </w:rPr>
        <w:t>Factor 6: Fulfillment of DPH Community-based Health Initiatives Guideline</w:t>
      </w:r>
      <w:bookmarkEnd w:id="79"/>
    </w:p>
    <w:p w14:paraId="0DC9B40C" w14:textId="2AADC7D4" w:rsidR="00EC3329" w:rsidRPr="00EC3329" w:rsidRDefault="00EC3329" w:rsidP="00C70D5A">
      <w:pPr>
        <w:spacing w:before="240" w:after="200"/>
        <w:ind w:right="540"/>
        <w:contextualSpacing/>
        <w:rPr>
          <w:rFonts w:ascii="Calibri" w:hAnsi="Calibri"/>
          <w:color w:val="000000"/>
        </w:rPr>
      </w:pPr>
      <w:r w:rsidRPr="00EC3329">
        <w:rPr>
          <w:rFonts w:ascii="Calibri" w:hAnsi="Calibri"/>
          <w:color w:val="000000"/>
        </w:rPr>
        <w:t>This is a DoN-required equipment project that will result in a Tier 1 Community-based Health Initiative (CHI)</w:t>
      </w:r>
      <w:r w:rsidR="00F42CD3">
        <w:rPr>
          <w:rFonts w:ascii="Calibri" w:hAnsi="Calibri"/>
          <w:color w:val="000000"/>
        </w:rPr>
        <w:t xml:space="preserve"> and a contribution to the </w:t>
      </w:r>
      <w:r w:rsidR="00F42CD3" w:rsidRPr="00EC3329">
        <w:rPr>
          <w:rFonts w:ascii="Calibri" w:hAnsi="Calibri"/>
          <w:color w:val="000000"/>
          <w:shd w:val="clear" w:color="auto" w:fill="FFFFFF"/>
        </w:rPr>
        <w:t>Statewide Community Health and Healthy Aging Fund</w:t>
      </w:r>
      <w:r w:rsidRPr="00EC3329">
        <w:rPr>
          <w:rFonts w:ascii="Calibri" w:hAnsi="Calibri"/>
          <w:color w:val="000000"/>
        </w:rPr>
        <w:t xml:space="preserve">. As </w:t>
      </w:r>
      <w:r w:rsidRPr="00EC3329">
        <w:rPr>
          <w:rFonts w:ascii="Calibri" w:hAnsi="Calibri"/>
          <w:color w:val="000000"/>
        </w:rPr>
        <w:lastRenderedPageBreak/>
        <w:t>a Tier 1 project, t</w:t>
      </w:r>
      <w:r w:rsidRPr="00EC3329">
        <w:rPr>
          <w:rFonts w:ascii="Calibri" w:hAnsi="Calibri"/>
          <w:color w:val="000000"/>
          <w:shd w:val="clear" w:color="auto" w:fill="FFFFFF"/>
        </w:rPr>
        <w:t xml:space="preserve">he Applicant, Boston Medical Center (BMC), will pool the local CHI funding with an </w:t>
      </w:r>
      <w:r w:rsidR="00382B83">
        <w:rPr>
          <w:rFonts w:ascii="Calibri" w:hAnsi="Calibri"/>
          <w:color w:val="000000"/>
          <w:shd w:val="clear" w:color="auto" w:fill="FFFFFF"/>
        </w:rPr>
        <w:t xml:space="preserve">approved </w:t>
      </w:r>
      <w:r w:rsidRPr="00EC3329">
        <w:rPr>
          <w:rFonts w:ascii="Calibri" w:hAnsi="Calibri"/>
          <w:color w:val="000000"/>
          <w:shd w:val="clear" w:color="auto" w:fill="FFFFFF"/>
        </w:rPr>
        <w:t xml:space="preserve">DoN project #BMCHS-22080908-HE. </w:t>
      </w:r>
    </w:p>
    <w:p w14:paraId="0E0CE556" w14:textId="77777777" w:rsidR="00EC3329" w:rsidRPr="00EC3329" w:rsidRDefault="00EC3329" w:rsidP="00C70D5A">
      <w:pPr>
        <w:spacing w:after="200"/>
        <w:ind w:right="540"/>
        <w:contextualSpacing/>
        <w:rPr>
          <w:rFonts w:ascii="Calibri" w:hAnsi="Calibri"/>
          <w:color w:val="000000"/>
        </w:rPr>
      </w:pPr>
    </w:p>
    <w:p w14:paraId="1FC6D7D4" w14:textId="77777777" w:rsidR="00EC3329" w:rsidRPr="00EC3329" w:rsidRDefault="00EC3329" w:rsidP="00C70D5A">
      <w:pPr>
        <w:spacing w:after="200"/>
        <w:ind w:right="540"/>
        <w:contextualSpacing/>
        <w:rPr>
          <w:rFonts w:ascii="Calibri" w:hAnsi="Calibri"/>
          <w:color w:val="000000"/>
        </w:rPr>
      </w:pPr>
      <w:r w:rsidRPr="00EC3329">
        <w:rPr>
          <w:rFonts w:ascii="Calibri" w:hAnsi="Calibri"/>
          <w:color w:val="000000"/>
        </w:rPr>
        <w:t>To fulfill Factor 6 requirements, the Applicant submitted a CHI Narrative, Self-Assessment and Addendum, Community Engagement Plan and Addendum, and the 2019 Community Health Needs Assessment (CHNA) and 2019-2022 Community Health Improvement Plan (CHIP) from the regional Boston, city-wide CHNA/CHIP Collaborative. Since the local CHI funding will be pooled with an existing project, the Applicant submitted similar documentation as they did for the DoN project #BMCHS-22080908-HE. The current Community Advisory Board (CAB) will be tasked with reviewing the 2022 CHNA as part of the health priority selection process to ensure synergies with the 2019 CHNA process and alignment with CHI principles.</w:t>
      </w:r>
    </w:p>
    <w:p w14:paraId="2A52B3B6" w14:textId="77777777" w:rsidR="00EC3329" w:rsidRPr="00EC3329" w:rsidRDefault="00EC3329" w:rsidP="00C70D5A">
      <w:pPr>
        <w:spacing w:after="200"/>
        <w:ind w:right="540"/>
        <w:contextualSpacing/>
        <w:rPr>
          <w:rFonts w:ascii="Calibri" w:hAnsi="Calibri"/>
          <w:color w:val="000000"/>
        </w:rPr>
      </w:pPr>
    </w:p>
    <w:p w14:paraId="41C522D6" w14:textId="77777777" w:rsidR="00EC3329" w:rsidRPr="00EC3329" w:rsidRDefault="00EC3329" w:rsidP="00C70D5A">
      <w:pPr>
        <w:spacing w:after="200"/>
        <w:contextualSpacing/>
        <w:rPr>
          <w:rFonts w:ascii="Calibri" w:hAnsi="Calibri"/>
        </w:rPr>
      </w:pPr>
      <w:r w:rsidRPr="00EC3329">
        <w:rPr>
          <w:rFonts w:ascii="Calibri" w:hAnsi="Calibri"/>
          <w:b/>
          <w:bCs/>
          <w:color w:val="000000"/>
        </w:rPr>
        <w:t>The Community Health Needs Assessment</w:t>
      </w:r>
      <w:r w:rsidRPr="00EC3329">
        <w:rPr>
          <w:rFonts w:ascii="Calibri" w:hAnsi="Calibri"/>
          <w:color w:val="000000"/>
        </w:rPr>
        <w:t xml:space="preserve"> was released by the Applicant in 2019 </w:t>
      </w:r>
      <w:r w:rsidRPr="00EC3329">
        <w:rPr>
          <w:rFonts w:ascii="Calibri" w:hAnsi="Calibri"/>
          <w:color w:val="000000"/>
          <w:shd w:val="clear" w:color="auto" w:fill="FFFFFF"/>
        </w:rPr>
        <w:t>provided a summary of socio-demographic data, community assets, and highlights of health outcome information</w:t>
      </w:r>
      <w:r w:rsidRPr="00EC3329">
        <w:rPr>
          <w:rFonts w:ascii="Calibri" w:hAnsi="Calibri"/>
          <w:color w:val="000000"/>
        </w:rPr>
        <w:t xml:space="preserve">. Developed through data collection and analysis methods, the CHNA was conducted in collaboration with community organizations, health centers, hospitals and the Boston Public Health Commission. Key findings </w:t>
      </w:r>
      <w:r w:rsidRPr="00EC3329">
        <w:rPr>
          <w:rFonts w:ascii="Calibri" w:hAnsi="Calibri"/>
        </w:rPr>
        <w:t xml:space="preserve">included: housing affordability; food insecurity; transportation; healthcare access and utilization; chronic disease; mental health; substance use; violence and trauma; maternal and child health; sexual health; environmental health; education; employment and workforce development; income and financial security; social environment; green space and the built environment; and obesity, nutrition and physical activity. The Applicant used these findings to develop the multi-year </w:t>
      </w:r>
      <w:r w:rsidRPr="00EC3329">
        <w:rPr>
          <w:rFonts w:ascii="Calibri" w:hAnsi="Calibri"/>
          <w:b/>
          <w:bCs/>
        </w:rPr>
        <w:t>2019-2022 Implementation Strategy/CHIP</w:t>
      </w:r>
      <w:r w:rsidRPr="00EC3329">
        <w:rPr>
          <w:rFonts w:ascii="Calibri" w:hAnsi="Calibri"/>
        </w:rPr>
        <w:t xml:space="preserve"> that built upon the engagement work conducted by the regional Collaborative. </w:t>
      </w:r>
    </w:p>
    <w:p w14:paraId="42D63DCA" w14:textId="77777777" w:rsidR="00EC3329" w:rsidRPr="00EC3329" w:rsidRDefault="00EC3329" w:rsidP="00C70D5A">
      <w:pPr>
        <w:spacing w:after="200"/>
        <w:contextualSpacing/>
        <w:rPr>
          <w:rFonts w:ascii="Calibri" w:hAnsi="Calibri"/>
          <w:color w:val="000000"/>
        </w:rPr>
      </w:pPr>
    </w:p>
    <w:p w14:paraId="300D4440" w14:textId="77777777" w:rsidR="00EC3329" w:rsidRPr="00EC3329" w:rsidRDefault="00EC3329" w:rsidP="00C70D5A">
      <w:pPr>
        <w:spacing w:after="200"/>
        <w:contextualSpacing/>
        <w:rPr>
          <w:rFonts w:ascii="Calibri" w:hAnsi="Calibri"/>
          <w:color w:val="000000"/>
        </w:rPr>
      </w:pPr>
      <w:r w:rsidRPr="00EC3329">
        <w:rPr>
          <w:rFonts w:ascii="Calibri" w:hAnsi="Calibri"/>
        </w:rPr>
        <w:t xml:space="preserve">The Applicant’s 2022 CHNA employed similar strategies for engagement, while connecting with more specific priority areas (e.g., housing, financial stability, behavioral health, and accessing services) and populations (e.g., low-wage workers, older adults, LGBTQ youth, etc.) identified in the 2019-2022 Implementation Strategy. </w:t>
      </w:r>
      <w:r w:rsidRPr="00EC3329">
        <w:rPr>
          <w:rFonts w:ascii="Calibri" w:hAnsi="Calibri"/>
          <w:color w:val="000000"/>
        </w:rPr>
        <w:t>The Community Advisory Board (CAB) will be tasked with reviewing the 2022 CHNA as part of the health priority selection process and identify strategies for implementation that align with the existing DoN project #BMCHS-22080908-HE and CHI principles.</w:t>
      </w:r>
    </w:p>
    <w:p w14:paraId="08002B3D" w14:textId="77777777" w:rsidR="00EC3329" w:rsidRPr="00EC3329" w:rsidRDefault="00EC3329" w:rsidP="00C70D5A">
      <w:pPr>
        <w:spacing w:after="200"/>
        <w:contextualSpacing/>
        <w:rPr>
          <w:rFonts w:ascii="Calibri" w:hAnsi="Calibri"/>
        </w:rPr>
      </w:pPr>
    </w:p>
    <w:p w14:paraId="09876A6D" w14:textId="588FD4FC" w:rsidR="00EC3329" w:rsidRPr="00EC3329" w:rsidRDefault="00EC3329" w:rsidP="00C70D5A">
      <w:pPr>
        <w:spacing w:after="200"/>
        <w:contextualSpacing/>
        <w:rPr>
          <w:rFonts w:ascii="Calibri" w:hAnsi="Calibri"/>
          <w:color w:val="000000"/>
        </w:rPr>
      </w:pPr>
      <w:r w:rsidRPr="00EC3329">
        <w:rPr>
          <w:rFonts w:ascii="Calibri" w:hAnsi="Calibri"/>
          <w:b/>
          <w:bCs/>
          <w:color w:val="000000"/>
        </w:rPr>
        <w:t xml:space="preserve">The Self-Assessment and Addendum </w:t>
      </w:r>
      <w:r w:rsidRPr="00EC3329">
        <w:rPr>
          <w:rFonts w:ascii="Calibri" w:hAnsi="Calibri"/>
          <w:color w:val="000000"/>
        </w:rPr>
        <w:t xml:space="preserve">provided a summary of community engagement processes and socio-demographic information, data and highlights related to topics and themes of community needs related to the 2019 CHNA and Implementation Strategy. </w:t>
      </w:r>
      <w:r w:rsidRPr="00EC3329">
        <w:rPr>
          <w:rFonts w:ascii="Calibri" w:hAnsi="Calibri"/>
          <w:color w:val="000000"/>
          <w:shd w:val="clear" w:color="auto" w:fill="FFFFFF"/>
        </w:rPr>
        <w:t>Through data analysis, surveys, and key informant gatherings, the Applicant and other partners participating in the city-wide CHNA/CHIP Collaborative identified the key priorities and strategies. Additionally, the Applicant worked with its CAB to conduct supplementary analysis in its priority neighborhoods.</w:t>
      </w:r>
      <w:r w:rsidRPr="00EC3329">
        <w:rPr>
          <w:rFonts w:ascii="Calibri" w:hAnsi="Calibri"/>
          <w:color w:val="000000"/>
        </w:rPr>
        <w:t xml:space="preserve"> The Addendum provides community engagement plans of the 2022 CHNA.</w:t>
      </w:r>
    </w:p>
    <w:p w14:paraId="2B0A91F8" w14:textId="77777777" w:rsidR="00EC3329" w:rsidRPr="00EC3329" w:rsidRDefault="00EC3329" w:rsidP="00C70D5A">
      <w:pPr>
        <w:spacing w:after="200"/>
        <w:contextualSpacing/>
        <w:rPr>
          <w:rFonts w:ascii="Calibri" w:hAnsi="Calibri"/>
          <w:color w:val="000000"/>
        </w:rPr>
      </w:pPr>
    </w:p>
    <w:p w14:paraId="4F8E9DAD" w14:textId="77777777" w:rsidR="00EC3329" w:rsidRPr="00EC3329" w:rsidRDefault="00EC3329" w:rsidP="00C70D5A">
      <w:pPr>
        <w:spacing w:after="200"/>
        <w:contextualSpacing/>
        <w:rPr>
          <w:rFonts w:ascii="Calibri" w:hAnsi="Calibri"/>
          <w:color w:val="000000"/>
        </w:rPr>
      </w:pPr>
      <w:r w:rsidRPr="00EC3329">
        <w:rPr>
          <w:rFonts w:ascii="Calibri" w:hAnsi="Calibri"/>
          <w:b/>
          <w:bCs/>
          <w:color w:val="000000"/>
        </w:rPr>
        <w:t>Stakeholder Assessments</w:t>
      </w:r>
      <w:r w:rsidRPr="00EC3329">
        <w:rPr>
          <w:rFonts w:ascii="Calibri" w:hAnsi="Calibri"/>
          <w:color w:val="000000"/>
        </w:rPr>
        <w:t xml:space="preserve"> are submitted by individuals who make up the Applicant’s CAB and provide information on their individual engagement levels (e.g., their personal participation and role) and their analysis of how the Applicant engaged the community in community health improvement planning processes. Given that BMC is pooling local CHI funds with DoN project #BMCHS-22080908-HE, the Applicant and CHI team agreed the stakeholder assessments from the original project application will fulfill this requirement. As of September 2023, the current CAB does not reflect the group that provided oversight for the 2019 CHNA and consequently, would not be able to provide further detail </w:t>
      </w:r>
      <w:r w:rsidRPr="00EC3329">
        <w:rPr>
          <w:rFonts w:ascii="Calibri" w:hAnsi="Calibri"/>
          <w:color w:val="000000"/>
        </w:rPr>
        <w:lastRenderedPageBreak/>
        <w:t>on the engagement that occurred. Therefore, additional stakeholder assessments are not required for this application.</w:t>
      </w:r>
    </w:p>
    <w:p w14:paraId="2D43D3BC" w14:textId="77777777" w:rsidR="00EC3329" w:rsidRPr="00EC3329" w:rsidRDefault="00EC3329" w:rsidP="00C70D5A">
      <w:pPr>
        <w:spacing w:after="200"/>
        <w:contextualSpacing/>
        <w:rPr>
          <w:rFonts w:ascii="Calibri" w:hAnsi="Calibri"/>
          <w:color w:val="000000"/>
        </w:rPr>
      </w:pPr>
    </w:p>
    <w:p w14:paraId="1E1E9DA1" w14:textId="7FB7327E" w:rsidR="00EC3329" w:rsidRPr="00EC3329" w:rsidRDefault="00EC3329" w:rsidP="00C70D5A">
      <w:pPr>
        <w:spacing w:after="200"/>
        <w:contextualSpacing/>
        <w:rPr>
          <w:rFonts w:ascii="Calibri" w:hAnsi="Calibri"/>
          <w:color w:val="000000"/>
        </w:rPr>
      </w:pPr>
      <w:r w:rsidRPr="00EC3329">
        <w:rPr>
          <w:rFonts w:ascii="Calibri" w:hAnsi="Calibri"/>
          <w:b/>
          <w:bCs/>
          <w:color w:val="000000"/>
        </w:rPr>
        <w:t xml:space="preserve">The Community Engagement Plan and Addendum </w:t>
      </w:r>
      <w:r w:rsidRPr="00EC3329">
        <w:rPr>
          <w:rFonts w:ascii="Calibri" w:hAnsi="Calibri"/>
          <w:color w:val="000000"/>
          <w:shd w:val="clear" w:color="auto" w:fill="FFFFFF"/>
        </w:rPr>
        <w:t>provided background information for, and explanation of existing CHNA planning processes. These elements focused on the 2019 and 2022 CHNA processes for Boston, as well as the supplementary engagement in the priority neighborhoods. Levels of engagement in all activity areas were identified.</w:t>
      </w:r>
    </w:p>
    <w:p w14:paraId="1791E429" w14:textId="77777777" w:rsidR="00EC3329" w:rsidRPr="00EC3329" w:rsidRDefault="00EC3329" w:rsidP="00C70D5A">
      <w:pPr>
        <w:spacing w:after="200"/>
        <w:contextualSpacing/>
        <w:rPr>
          <w:rFonts w:ascii="Calibri" w:hAnsi="Calibri"/>
          <w:color w:val="000000"/>
        </w:rPr>
      </w:pPr>
    </w:p>
    <w:p w14:paraId="52EAB4FC" w14:textId="5CA9D031" w:rsidR="00EC3329" w:rsidRPr="00EC3329" w:rsidRDefault="00EC3329" w:rsidP="00C70D5A">
      <w:pPr>
        <w:spacing w:after="200"/>
        <w:contextualSpacing/>
        <w:rPr>
          <w:rFonts w:ascii="Calibri" w:hAnsi="Calibri"/>
          <w:color w:val="000000"/>
        </w:rPr>
      </w:pPr>
      <w:r w:rsidRPr="00EC3329">
        <w:rPr>
          <w:rFonts w:ascii="Calibri" w:hAnsi="Calibri"/>
          <w:b/>
          <w:bCs/>
          <w:color w:val="000000"/>
        </w:rPr>
        <w:t>The CHI Narrative</w:t>
      </w:r>
      <w:r w:rsidRPr="00EC3329">
        <w:rPr>
          <w:rFonts w:ascii="Calibri" w:hAnsi="Calibri"/>
          <w:color w:val="000000"/>
        </w:rPr>
        <w:t xml:space="preserve"> </w:t>
      </w:r>
      <w:r w:rsidRPr="00EC3329">
        <w:rPr>
          <w:rFonts w:ascii="Calibri" w:hAnsi="Calibri"/>
          <w:color w:val="000000"/>
          <w:bdr w:val="none" w:sz="0" w:space="0" w:color="auto" w:frame="1"/>
        </w:rPr>
        <w:t>provided background and overview information for the CHI processes.</w:t>
      </w:r>
      <w:r w:rsidR="00CD5825">
        <w:rPr>
          <w:rFonts w:ascii="Calibri" w:hAnsi="Calibri"/>
          <w:color w:val="000000"/>
          <w:bdr w:val="none" w:sz="0" w:space="0" w:color="auto" w:frame="1"/>
        </w:rPr>
        <w:t xml:space="preserve"> </w:t>
      </w:r>
      <w:r w:rsidRPr="00EC3329">
        <w:rPr>
          <w:rFonts w:ascii="Calibri" w:hAnsi="Calibri"/>
          <w:color w:val="000000"/>
          <w:bdr w:val="none" w:sz="0" w:space="0" w:color="auto" w:frame="1"/>
        </w:rPr>
        <w:t>The narrative also outlines advisory duties for the advisory and allocation committees, and planned use of funding for evaluation and administrative activities. Additionally, the narrative outlines prior DoN related CHI work and community engagement strategies for the 2022 CHNA. The narrative concludes with CHI funds breakdown and the anticipated timeline for CHI activities.</w:t>
      </w:r>
    </w:p>
    <w:p w14:paraId="112E1B50" w14:textId="77777777" w:rsidR="00EC3329" w:rsidRPr="00EC3329" w:rsidRDefault="00EC3329" w:rsidP="00C70D5A">
      <w:pPr>
        <w:spacing w:after="200"/>
        <w:contextualSpacing/>
        <w:rPr>
          <w:rFonts w:ascii="Calibri" w:hAnsi="Calibri"/>
          <w:color w:val="000000"/>
        </w:rPr>
      </w:pPr>
    </w:p>
    <w:p w14:paraId="30DA97E4" w14:textId="77777777" w:rsidR="00EC3329" w:rsidRPr="00EC3329" w:rsidRDefault="00EC3329" w:rsidP="00C70D5A">
      <w:pPr>
        <w:spacing w:after="200"/>
        <w:contextualSpacing/>
        <w:rPr>
          <w:rFonts w:ascii="Calibri" w:hAnsi="Calibri"/>
          <w:color w:val="000000"/>
        </w:rPr>
      </w:pPr>
      <w:r w:rsidRPr="00EC3329">
        <w:rPr>
          <w:rFonts w:ascii="Calibri" w:hAnsi="Calibri"/>
          <w:color w:val="000000"/>
        </w:rPr>
        <w:t xml:space="preserve">The timeline, RFP processes, and use of evaluation and administrative funds are all appropriate and in line with CHI planning guidelines. The Applicant and their robust CAB will work together to ensure the 2022 CHNA and 2022-2025 CHIP are utilized in the selection of CHI strategies that meet Health Priority Guideline principles. This will help the Applicant continue to focus on the priority areas while integrating the recent CHNA/CHIP findings. In the existing Implementation Strategy, priority areas include </w:t>
      </w:r>
      <w:r w:rsidRPr="00EC3329">
        <w:rPr>
          <w:rFonts w:ascii="Calibri" w:hAnsi="Calibri"/>
        </w:rPr>
        <w:t>housing, mental health and substance use, accessing services, financial and economic mobility, violence and trauma and food insecurity</w:t>
      </w:r>
      <w:r w:rsidRPr="00EC3329">
        <w:rPr>
          <w:rFonts w:ascii="Calibri" w:hAnsi="Calibri"/>
          <w:color w:val="000000"/>
        </w:rPr>
        <w:t>. DPH staff have determined that if the Applicant agrees to address community conditions and root causes while engaging in ongoing work with their CAB, CHI investment will continue to align appropriately with the Health Priorities Guideline.</w:t>
      </w:r>
    </w:p>
    <w:p w14:paraId="4D01D8C6" w14:textId="77777777" w:rsidR="00EC3329" w:rsidRPr="00EC3329" w:rsidRDefault="00EC3329" w:rsidP="00C70D5A">
      <w:pPr>
        <w:rPr>
          <w:rFonts w:ascii="Calibri" w:hAnsi="Calibri"/>
          <w:color w:val="000000"/>
        </w:rPr>
      </w:pPr>
    </w:p>
    <w:p w14:paraId="5AE600B1" w14:textId="79A4DC29" w:rsidR="00EC3329" w:rsidRPr="00EC3329" w:rsidRDefault="00EC3329" w:rsidP="00C70D5A">
      <w:pPr>
        <w:rPr>
          <w:rFonts w:ascii="Calibri" w:hAnsi="Calibri"/>
          <w:color w:val="000000"/>
        </w:rPr>
      </w:pPr>
      <w:r w:rsidRPr="00EC3329">
        <w:rPr>
          <w:rFonts w:ascii="Calibri" w:hAnsi="Calibri"/>
          <w:color w:val="000000"/>
        </w:rPr>
        <w:t>The anticipated timeline for CHI activities includes a meeting of the CHI Advisory Board two months post approval, identifying the Health Priorities Strategies 5 months post approval, releasing an RFP to support transparent investment fix to six months later, with funding disbursed about ten months thereafter. With the administrative funds, the applicant’s early plans are to develop and disseminate communication materials and support participation through meeting promotion and engagement barrier reduction activities.</w:t>
      </w:r>
    </w:p>
    <w:p w14:paraId="44B55B32" w14:textId="77777777" w:rsidR="00EC3329" w:rsidRPr="00EC3329" w:rsidRDefault="00EC3329" w:rsidP="00C70D5A">
      <w:pPr>
        <w:rPr>
          <w:rFonts w:ascii="Calibri" w:hAnsi="Calibri"/>
          <w:color w:val="000000"/>
        </w:rPr>
      </w:pPr>
    </w:p>
    <w:p w14:paraId="74ED0A43" w14:textId="77777777" w:rsidR="00F42CD3" w:rsidRDefault="00EC3329" w:rsidP="00C70D5A">
      <w:pPr>
        <w:spacing w:after="200"/>
        <w:rPr>
          <w:rFonts w:ascii="Calibri" w:hAnsi="Calibri"/>
          <w:b/>
          <w:bCs/>
          <w:i/>
          <w:iCs/>
          <w:color w:val="000000"/>
        </w:rPr>
      </w:pPr>
      <w:r w:rsidRPr="00EC3329">
        <w:rPr>
          <w:rFonts w:ascii="Calibri" w:hAnsi="Calibri"/>
          <w:b/>
          <w:bCs/>
          <w:i/>
          <w:iCs/>
          <w:color w:val="000000"/>
        </w:rPr>
        <w:t>Analysis</w:t>
      </w:r>
    </w:p>
    <w:p w14:paraId="7C785F48" w14:textId="25E117F0" w:rsidR="00EC3329" w:rsidRPr="00EC3329" w:rsidRDefault="00EC3329" w:rsidP="00CD5825">
      <w:pPr>
        <w:spacing w:after="200"/>
        <w:rPr>
          <w:rFonts w:ascii="Calibri" w:hAnsi="Calibri"/>
          <w:color w:val="000000"/>
        </w:rPr>
      </w:pPr>
      <w:r w:rsidRPr="00EC3329">
        <w:rPr>
          <w:rFonts w:ascii="Calibri" w:hAnsi="Calibri"/>
          <w:color w:val="000000"/>
        </w:rPr>
        <w:t>As a result of information provided by the Applicant and additional analysis, staff finds that with the conditions outlined below, and the ongoing communication on items outlined above, the Applicant will have demonstrated that the Proposed Project has met Factor 6.</w:t>
      </w:r>
    </w:p>
    <w:p w14:paraId="581319A7" w14:textId="70B91E4F" w:rsidR="00C97F3C" w:rsidRPr="00392811" w:rsidRDefault="00C97F3C" w:rsidP="007545E1">
      <w:pPr>
        <w:pStyle w:val="Heading1"/>
        <w:rPr>
          <w:rFonts w:asciiTheme="minorHAnsi" w:hAnsiTheme="minorHAnsi" w:cstheme="minorHAnsi"/>
        </w:rPr>
      </w:pPr>
      <w:bookmarkStart w:id="80" w:name="_Toc148704466"/>
      <w:bookmarkEnd w:id="77"/>
      <w:bookmarkEnd w:id="78"/>
      <w:r w:rsidRPr="00392811">
        <w:rPr>
          <w:rFonts w:asciiTheme="minorHAnsi" w:hAnsiTheme="minorHAnsi" w:cstheme="minorHAnsi"/>
        </w:rPr>
        <w:t>Findings and Recommendations</w:t>
      </w:r>
      <w:r w:rsidR="00D73851">
        <w:rPr>
          <w:rFonts w:asciiTheme="minorHAnsi" w:hAnsiTheme="minorHAnsi" w:cstheme="minorHAnsi"/>
        </w:rPr>
        <w:t xml:space="preserve">- </w:t>
      </w:r>
      <w:r w:rsidR="00D73851" w:rsidRPr="00392811">
        <w:rPr>
          <w:rFonts w:asciiTheme="minorHAnsi" w:hAnsiTheme="minorHAnsi" w:cstheme="minorHAnsi"/>
        </w:rPr>
        <w:t>Overall Application</w:t>
      </w:r>
      <w:bookmarkEnd w:id="80"/>
    </w:p>
    <w:p w14:paraId="60970B79" w14:textId="77402B04" w:rsidR="00DB5B0E" w:rsidRPr="00DB5B0E" w:rsidRDefault="00DB5B0E" w:rsidP="00C70D5A">
      <w:pPr>
        <w:spacing w:before="240" w:after="160"/>
        <w:rPr>
          <w:rFonts w:ascii="Calibri" w:eastAsia="Calibri" w:hAnsi="Calibri" w:cs="Calibri"/>
        </w:rPr>
      </w:pPr>
      <w:r w:rsidRPr="00DB5B0E">
        <w:rPr>
          <w:rFonts w:ascii="Calibri" w:eastAsia="Calibri" w:hAnsi="Calibri" w:cs="Calibri"/>
        </w:rPr>
        <w:t xml:space="preserve">As described herein, the Applicant supports the assertion that the proposed addition of one (1) new MRI on BMC’s main campus will help alleviate capacity constraints and satisfy patient panel needs by decreasing wait times, helping address system reliability and downtime concerns, thereby providing members of BMC’s patient panel, including those aged 65+ and those within identified under-resourced populations, with enhanced access to quality, efficiently-operated, and equitable MRI </w:t>
      </w:r>
      <w:r w:rsidRPr="00DB5B0E">
        <w:rPr>
          <w:rFonts w:ascii="Calibri" w:eastAsia="Calibri" w:hAnsi="Calibri" w:cs="Calibri"/>
        </w:rPr>
        <w:lastRenderedPageBreak/>
        <w:t>services that are necessary to detecting and treating a variety of conditions and enhancing clinical outcomes.</w:t>
      </w:r>
      <w:bookmarkStart w:id="81" w:name="_Toc116651394"/>
    </w:p>
    <w:p w14:paraId="7B7A8C38" w14:textId="72772A1A" w:rsidR="00C97F3C" w:rsidRPr="00392811" w:rsidRDefault="00C97F3C" w:rsidP="00C70D5A">
      <w:pPr>
        <w:rPr>
          <w:rFonts w:asciiTheme="minorHAnsi" w:hAnsiTheme="minorHAnsi" w:cstheme="minorHAnsi"/>
          <w:highlight w:val="yellow"/>
        </w:rPr>
      </w:pPr>
      <w:r w:rsidRPr="00392811">
        <w:rPr>
          <w:rFonts w:asciiTheme="minorHAnsi" w:hAnsiTheme="minorHAnsi" w:cstheme="minorHAns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81"/>
    </w:p>
    <w:p w14:paraId="7CD55155" w14:textId="2651CC35" w:rsidR="003B0B5B" w:rsidRPr="00392811" w:rsidRDefault="4167F2BF" w:rsidP="00D876FA">
      <w:pPr>
        <w:pStyle w:val="Heading1"/>
        <w:rPr>
          <w:rFonts w:asciiTheme="minorHAnsi" w:hAnsiTheme="minorHAnsi" w:cstheme="minorHAnsi"/>
        </w:rPr>
      </w:pPr>
      <w:bookmarkStart w:id="82" w:name="_Toc85229317"/>
      <w:bookmarkStart w:id="83" w:name="_Toc148704467"/>
      <w:r w:rsidRPr="00392811">
        <w:rPr>
          <w:rFonts w:asciiTheme="minorHAnsi" w:hAnsiTheme="minorHAnsi" w:cstheme="minorHAnsi"/>
        </w:rPr>
        <w:t>Conditions to the DoN</w:t>
      </w:r>
      <w:bookmarkEnd w:id="82"/>
      <w:bookmarkEnd w:id="83"/>
    </w:p>
    <w:p w14:paraId="3EADAB6D" w14:textId="77777777" w:rsidR="00AA5ECD" w:rsidRPr="00392811" w:rsidRDefault="00AA5ECD" w:rsidP="00AA5ECD">
      <w:pPr>
        <w:rPr>
          <w:rFonts w:asciiTheme="minorHAnsi" w:hAnsiTheme="minorHAnsi" w:cstheme="minorHAnsi"/>
        </w:rPr>
      </w:pPr>
    </w:p>
    <w:p w14:paraId="5C0FF56A" w14:textId="77777777" w:rsidR="00A77910" w:rsidRPr="00EC3329" w:rsidRDefault="00A77910" w:rsidP="00A77910">
      <w:pPr>
        <w:numPr>
          <w:ilvl w:val="0"/>
          <w:numId w:val="15"/>
        </w:numPr>
        <w:spacing w:after="200" w:line="259" w:lineRule="auto"/>
        <w:ind w:right="540"/>
        <w:contextualSpacing/>
        <w:rPr>
          <w:rFonts w:ascii="Calibri" w:hAnsi="Calibri"/>
        </w:rPr>
      </w:pPr>
      <w:r w:rsidRPr="00EC3329">
        <w:rPr>
          <w:rFonts w:ascii="Calibri" w:hAnsi="Calibri"/>
        </w:rPr>
        <w:t>Of the total required CHI contribution of $399,740.00</w:t>
      </w:r>
    </w:p>
    <w:p w14:paraId="6B46C2BD"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rPr>
        <w:t>$38,375.04</w:t>
      </w:r>
      <w:r w:rsidRPr="00EC3329">
        <w:rPr>
          <w:rFonts w:ascii="Calibri" w:hAnsi="Calibri"/>
          <w:color w:val="000000"/>
        </w:rPr>
        <w:t xml:space="preserve"> will be directed to the CHI Statewide Initiative </w:t>
      </w:r>
    </w:p>
    <w:p w14:paraId="14A9C7B2"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color w:val="000000"/>
        </w:rPr>
        <w:t>$</w:t>
      </w:r>
      <w:r w:rsidRPr="00EC3329">
        <w:rPr>
          <w:rFonts w:ascii="Calibri" w:hAnsi="Calibri"/>
        </w:rPr>
        <w:t>345,375.36</w:t>
      </w:r>
      <w:r w:rsidRPr="00EC3329">
        <w:rPr>
          <w:rFonts w:ascii="Calibri" w:hAnsi="Calibri"/>
          <w:color w:val="000000"/>
        </w:rPr>
        <w:t xml:space="preserve"> will be dedicated to local approaches to the DoN Health Priorities </w:t>
      </w:r>
    </w:p>
    <w:p w14:paraId="505EB508"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color w:val="000000"/>
        </w:rPr>
        <w:t>$15,989.60 will be designated as the administrative fee.</w:t>
      </w:r>
    </w:p>
    <w:p w14:paraId="5C53C4AD" w14:textId="77777777" w:rsidR="00A77910" w:rsidRPr="00EC3329" w:rsidRDefault="00A77910" w:rsidP="00A77910">
      <w:pPr>
        <w:numPr>
          <w:ilvl w:val="0"/>
          <w:numId w:val="15"/>
        </w:numPr>
        <w:spacing w:after="200" w:line="259" w:lineRule="auto"/>
        <w:ind w:right="540"/>
        <w:contextualSpacing/>
        <w:rPr>
          <w:rFonts w:ascii="Calibri" w:hAnsi="Calibri"/>
          <w:color w:val="000000"/>
        </w:rPr>
      </w:pPr>
      <w:r w:rsidRPr="00EC3329">
        <w:rPr>
          <w:rFonts w:ascii="Calibri" w:hAnsi="Calibri"/>
          <w:color w:val="000000"/>
        </w:rPr>
        <w:t>To comply with the Holder’s obligation to contribute to the Statewide CHI Initiative, the Holder must submit a check for $</w:t>
      </w:r>
      <w:r w:rsidRPr="00EC3329">
        <w:rPr>
          <w:rFonts w:ascii="Calibri" w:hAnsi="Calibri"/>
        </w:rPr>
        <w:t>38,375.04</w:t>
      </w:r>
      <w:r w:rsidRPr="00EC3329">
        <w:rPr>
          <w:rFonts w:ascii="Calibri" w:hAnsi="Calibri"/>
          <w:color w:val="000000"/>
        </w:rPr>
        <w:t xml:space="preserve"> to Health Resources in Action (the fiscal agent for the CHI Statewide Initiative). </w:t>
      </w:r>
    </w:p>
    <w:p w14:paraId="14AD19B6" w14:textId="77777777" w:rsidR="00A77910" w:rsidRPr="00EC3329" w:rsidRDefault="00A77910" w:rsidP="00F10A6D">
      <w:pPr>
        <w:numPr>
          <w:ilvl w:val="1"/>
          <w:numId w:val="18"/>
        </w:numPr>
        <w:spacing w:after="200" w:line="259" w:lineRule="auto"/>
        <w:ind w:right="540"/>
        <w:contextualSpacing/>
        <w:rPr>
          <w:rFonts w:ascii="Calibri" w:hAnsi="Calibri"/>
          <w:color w:val="000000"/>
        </w:rPr>
      </w:pPr>
      <w:r w:rsidRPr="00EC3329">
        <w:rPr>
          <w:rFonts w:ascii="Calibri" w:hAnsi="Calibri"/>
          <w:color w:val="000000"/>
        </w:rPr>
        <w:t xml:space="preserve">The Holder must submit the funds to HRiA within 30 days from the date of the Notice of Approval. </w:t>
      </w:r>
    </w:p>
    <w:p w14:paraId="4FC00E11" w14:textId="77777777" w:rsidR="00A77910" w:rsidRPr="00EC3329" w:rsidRDefault="00A77910" w:rsidP="00F10A6D">
      <w:pPr>
        <w:numPr>
          <w:ilvl w:val="1"/>
          <w:numId w:val="18"/>
        </w:numPr>
        <w:spacing w:after="160" w:line="259" w:lineRule="auto"/>
        <w:ind w:right="540"/>
        <w:contextualSpacing/>
        <w:rPr>
          <w:rFonts w:ascii="Calibri" w:hAnsi="Calibri"/>
          <w:color w:val="000000"/>
        </w:rPr>
      </w:pPr>
      <w:r w:rsidRPr="00EC3329">
        <w:rPr>
          <w:rFonts w:ascii="Calibri" w:hAnsi="Calibri"/>
          <w:color w:val="000000"/>
        </w:rPr>
        <w:t>The Holder must promptly notify DPH (CHI contact staff) when the payment has been made.</w:t>
      </w:r>
      <w:r w:rsidRPr="00EC3329">
        <w:rPr>
          <w:rFonts w:ascii="Calibri" w:hAnsi="Calibri"/>
        </w:rPr>
        <w:t xml:space="preserve"> </w:t>
      </w:r>
    </w:p>
    <w:p w14:paraId="15E88FCC" w14:textId="77777777" w:rsidR="00A77910" w:rsidRPr="00EC3329" w:rsidRDefault="00A77910" w:rsidP="00A77910">
      <w:pPr>
        <w:ind w:left="720" w:right="540"/>
        <w:textAlignment w:val="baseline"/>
        <w:rPr>
          <w:rFonts w:ascii="Calibri" w:hAnsi="Calibri"/>
        </w:rPr>
      </w:pPr>
      <w:r w:rsidRPr="00EC3329">
        <w:rPr>
          <w:rFonts w:ascii="Calibri" w:hAnsi="Calibri"/>
        </w:rPr>
        <w:t>Payment should be sent to:  </w:t>
      </w:r>
    </w:p>
    <w:p w14:paraId="15E154FC" w14:textId="77777777" w:rsidR="00A77910" w:rsidRPr="00EC3329" w:rsidRDefault="00A77910" w:rsidP="00A77910">
      <w:pPr>
        <w:ind w:left="720" w:right="540"/>
        <w:textAlignment w:val="baseline"/>
        <w:rPr>
          <w:rFonts w:ascii="Calibri" w:hAnsi="Calibri"/>
        </w:rPr>
      </w:pPr>
      <w:r w:rsidRPr="00EC3329">
        <w:rPr>
          <w:rFonts w:ascii="Calibri" w:hAnsi="Calibri"/>
        </w:rPr>
        <w:t>Health Resources in Action, Inc., (HRiA)  </w:t>
      </w:r>
    </w:p>
    <w:p w14:paraId="00861327" w14:textId="77777777" w:rsidR="00A77910" w:rsidRPr="00EC3329" w:rsidRDefault="00A77910" w:rsidP="00A77910">
      <w:pPr>
        <w:ind w:left="720" w:right="540"/>
        <w:textAlignment w:val="baseline"/>
        <w:rPr>
          <w:rFonts w:ascii="Calibri" w:hAnsi="Calibri"/>
        </w:rPr>
      </w:pPr>
      <w:r w:rsidRPr="00EC3329">
        <w:rPr>
          <w:rFonts w:ascii="Calibri" w:hAnsi="Calibri"/>
        </w:rPr>
        <w:t>2 Boylston Street, 4th Floor  </w:t>
      </w:r>
    </w:p>
    <w:p w14:paraId="32997D36" w14:textId="77777777" w:rsidR="00A77910" w:rsidRPr="00EC3329" w:rsidRDefault="00A77910" w:rsidP="00A77910">
      <w:pPr>
        <w:ind w:left="720" w:right="540"/>
        <w:textAlignment w:val="baseline"/>
        <w:rPr>
          <w:rFonts w:ascii="Calibri" w:hAnsi="Calibri"/>
        </w:rPr>
      </w:pPr>
      <w:r w:rsidRPr="00EC3329">
        <w:rPr>
          <w:rFonts w:ascii="Calibri" w:hAnsi="Calibri"/>
        </w:rPr>
        <w:t>Boston, MA 02116  </w:t>
      </w:r>
    </w:p>
    <w:p w14:paraId="45654361" w14:textId="77777777" w:rsidR="00A77910" w:rsidRPr="00EC3329" w:rsidRDefault="00A77910" w:rsidP="00A77910">
      <w:pPr>
        <w:ind w:left="720" w:right="540"/>
        <w:textAlignment w:val="baseline"/>
        <w:rPr>
          <w:rFonts w:ascii="Calibri" w:hAnsi="Calibri"/>
        </w:rPr>
      </w:pPr>
      <w:r w:rsidRPr="00EC3329">
        <w:rPr>
          <w:rFonts w:ascii="Calibri" w:hAnsi="Calibri"/>
        </w:rPr>
        <w:t>Attn: Ms. Bora Toro</w:t>
      </w:r>
    </w:p>
    <w:p w14:paraId="58839DCA" w14:textId="77777777" w:rsidR="006B6F84" w:rsidRPr="00392811" w:rsidRDefault="006B6F84">
      <w:pPr>
        <w:spacing w:after="200" w:line="276" w:lineRule="auto"/>
        <w:rPr>
          <w:rStyle w:val="eop"/>
          <w:rFonts w:asciiTheme="minorHAnsi" w:hAnsiTheme="minorHAnsi" w:cstheme="minorHAnsi"/>
        </w:rPr>
      </w:pPr>
      <w:r w:rsidRPr="00392811">
        <w:rPr>
          <w:rStyle w:val="eop"/>
          <w:rFonts w:asciiTheme="minorHAnsi" w:hAnsiTheme="minorHAnsi" w:cstheme="minorHAnsi"/>
        </w:rPr>
        <w:br w:type="page"/>
      </w:r>
    </w:p>
    <w:p w14:paraId="3D81A5E2" w14:textId="6D2C493F" w:rsidR="000E4B6A" w:rsidRPr="00392811" w:rsidRDefault="430594C8" w:rsidP="00AA5ECD">
      <w:pPr>
        <w:pStyle w:val="Heading1"/>
        <w:rPr>
          <w:rFonts w:asciiTheme="minorHAnsi" w:hAnsiTheme="minorHAnsi" w:cstheme="minorHAnsi"/>
        </w:rPr>
      </w:pPr>
      <w:bookmarkStart w:id="84" w:name="_Toc148704468"/>
      <w:r w:rsidRPr="00392811">
        <w:rPr>
          <w:rFonts w:asciiTheme="minorHAnsi" w:hAnsiTheme="minorHAnsi" w:cstheme="minorHAnsi"/>
        </w:rPr>
        <w:lastRenderedPageBreak/>
        <w:t>A</w:t>
      </w:r>
      <w:r w:rsidR="00E27471" w:rsidRPr="00392811">
        <w:rPr>
          <w:rFonts w:asciiTheme="minorHAnsi" w:hAnsiTheme="minorHAnsi" w:cstheme="minorHAnsi"/>
        </w:rPr>
        <w:t>ppendix I</w:t>
      </w:r>
      <w:r w:rsidRPr="00392811">
        <w:rPr>
          <w:rFonts w:asciiTheme="minorHAnsi" w:hAnsiTheme="minorHAnsi" w:cstheme="minorHAnsi"/>
        </w:rPr>
        <w:t>: Measures for Annual Reporting</w:t>
      </w:r>
      <w:bookmarkEnd w:id="84"/>
    </w:p>
    <w:p w14:paraId="2676492A" w14:textId="6852D647" w:rsidR="000D0D14" w:rsidRPr="00392811" w:rsidRDefault="000D0D14" w:rsidP="00926F26">
      <w:pPr>
        <w:jc w:val="both"/>
        <w:rPr>
          <w:rStyle w:val="normaltextrun"/>
          <w:rFonts w:asciiTheme="minorHAnsi" w:hAnsiTheme="minorHAnsi" w:cstheme="minorHAnsi"/>
        </w:rPr>
      </w:pPr>
    </w:p>
    <w:p w14:paraId="2BCA75F0" w14:textId="77777777" w:rsidR="0082501A" w:rsidRPr="00392811" w:rsidRDefault="0082501A" w:rsidP="005B52A6">
      <w:pPr>
        <w:rPr>
          <w:rStyle w:val="normaltextrun"/>
          <w:rFonts w:asciiTheme="minorHAnsi" w:hAnsiTheme="minorHAnsi" w:cstheme="minorHAnsi"/>
        </w:rPr>
      </w:pPr>
      <w:r w:rsidRPr="00392811">
        <w:rPr>
          <w:rStyle w:val="normaltextrun"/>
          <w:rFonts w:asciiTheme="minorHAnsi" w:hAnsiTheme="minorHAnsi" w:cstheme="minorHAnsi"/>
        </w:rPr>
        <w:t>To assess the impact of the Proposed Project, the Applicant has developed the following outcome measures. The Applicant will report this information to the Department’s DoN Program staff as part of its annual report required by 105 CMR 100.310(A)(12) beginning one (1) year following implementation of the Proposed Project.</w:t>
      </w:r>
    </w:p>
    <w:p w14:paraId="111B3A34" w14:textId="77777777" w:rsidR="0082501A" w:rsidRPr="00392811" w:rsidRDefault="0082501A" w:rsidP="005B52A6">
      <w:pPr>
        <w:pStyle w:val="NormalWeb"/>
        <w:rPr>
          <w:rFonts w:asciiTheme="minorHAnsi" w:hAnsiTheme="minorHAnsi" w:cstheme="minorHAnsi"/>
          <w:u w:val="single"/>
        </w:rPr>
      </w:pPr>
    </w:p>
    <w:p w14:paraId="5C949157" w14:textId="2CB2BA0F" w:rsidR="0082501A" w:rsidRPr="00392811" w:rsidRDefault="0082501A" w:rsidP="005B52A6">
      <w:pPr>
        <w:pStyle w:val="ListParagraph"/>
        <w:numPr>
          <w:ilvl w:val="0"/>
          <w:numId w:val="3"/>
        </w:numPr>
        <w:rPr>
          <w:rStyle w:val="normaltextrun"/>
          <w:rFonts w:asciiTheme="minorHAnsi" w:hAnsiTheme="minorHAnsi" w:cstheme="minorHAnsi"/>
        </w:rPr>
      </w:pPr>
      <w:r w:rsidRPr="00392811">
        <w:rPr>
          <w:rStyle w:val="normaltextrun"/>
          <w:rFonts w:asciiTheme="minorHAnsi" w:hAnsiTheme="minorHAnsi" w:cstheme="minorHAnsi"/>
          <w:b/>
          <w:bCs/>
        </w:rPr>
        <w:t xml:space="preserve">Patient Experience and Satisfaction: </w:t>
      </w:r>
      <w:r w:rsidRPr="00392811">
        <w:rPr>
          <w:rStyle w:val="normaltextrun"/>
          <w:rFonts w:asciiTheme="minorHAnsi" w:hAnsiTheme="minorHAnsi" w:cstheme="minorHAnsi"/>
        </w:rPr>
        <w:t>Patients that have positive care experiences are more likely to seek additional care when necessary</w:t>
      </w:r>
      <w:r w:rsidRPr="00392811">
        <w:rPr>
          <w:rStyle w:val="normaltextrun"/>
          <w:rFonts w:asciiTheme="minorHAnsi" w:hAnsiTheme="minorHAnsi" w:cstheme="minorHAnsi"/>
          <w:color w:val="575F63" w:themeColor="accent6" w:themeShade="BF"/>
        </w:rPr>
        <w:t xml:space="preserve">. </w:t>
      </w:r>
      <w:r w:rsidRPr="00392811">
        <w:rPr>
          <w:rStyle w:val="normaltextrun"/>
          <w:rFonts w:asciiTheme="minorHAnsi" w:hAnsiTheme="minorHAnsi" w:cstheme="minorHAnsi"/>
        </w:rPr>
        <w:t>BMC collects patient experience and satisfaction data via NRC Health patient experience surveys, which are administered to outpatients following a radiology encounter through automated phone calls and emails.</w:t>
      </w:r>
      <w:r w:rsidR="008E5478">
        <w:rPr>
          <w:rStyle w:val="normaltextrun"/>
          <w:rFonts w:asciiTheme="minorHAnsi" w:hAnsiTheme="minorHAnsi" w:cstheme="minorHAnsi"/>
        </w:rPr>
        <w:t xml:space="preserve"> </w:t>
      </w:r>
      <w:r w:rsidRPr="00392811">
        <w:rPr>
          <w:rStyle w:val="normaltextrun"/>
          <w:rFonts w:asciiTheme="minorHAnsi" w:hAnsiTheme="minorHAnsi" w:cstheme="minorHAnsi"/>
        </w:rPr>
        <w:t>Quantitative and qualitative survey data are compiled on the NRC Health platform, which facilitates reporting and data management. Due to the increased number of MRI units, the Applicant anticipates that patient experience and satisfaction ratings will improve given more timely access to care.</w:t>
      </w:r>
    </w:p>
    <w:p w14:paraId="4A989624" w14:textId="77777777" w:rsidR="0082501A" w:rsidRPr="00392811" w:rsidRDefault="0082501A" w:rsidP="005B52A6">
      <w:pPr>
        <w:pStyle w:val="ListParagraph"/>
        <w:rPr>
          <w:rFonts w:asciiTheme="minorHAnsi" w:hAnsiTheme="minorHAnsi" w:cstheme="minorHAnsi"/>
        </w:rPr>
      </w:pPr>
    </w:p>
    <w:p w14:paraId="5AC4AD41"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The Applicant will collect and provide data from the NRC Health survey question “How likely would you be to recommend this facility to your family and friends?”. </w:t>
      </w:r>
    </w:p>
    <w:p w14:paraId="46379012" w14:textId="77777777" w:rsidR="0082501A" w:rsidRPr="008E5478" w:rsidRDefault="0082501A" w:rsidP="005B52A6">
      <w:pPr>
        <w:rPr>
          <w:rFonts w:asciiTheme="minorHAnsi" w:hAnsiTheme="minorHAnsi" w:cstheme="minorHAnsi"/>
        </w:rPr>
      </w:pPr>
    </w:p>
    <w:p w14:paraId="5C9EED3C"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79.9%; Year 1: 80.1%; Year 2: 80.3%; Year 3: 80.5%. </w:t>
      </w:r>
    </w:p>
    <w:p w14:paraId="580009D0" w14:textId="77777777" w:rsidR="0082501A" w:rsidRPr="00392811" w:rsidRDefault="0082501A" w:rsidP="005B52A6">
      <w:pPr>
        <w:ind w:left="1080"/>
        <w:rPr>
          <w:rFonts w:asciiTheme="minorHAnsi" w:hAnsiTheme="minorHAnsi" w:cstheme="minorHAnsi"/>
        </w:rPr>
      </w:pPr>
    </w:p>
    <w:p w14:paraId="14854370" w14:textId="77777777" w:rsidR="0082501A" w:rsidRPr="00392811" w:rsidRDefault="0082501A" w:rsidP="005B52A6">
      <w:pPr>
        <w:ind w:left="1080"/>
        <w:rPr>
          <w:rFonts w:asciiTheme="minorHAnsi" w:hAnsiTheme="minorHAnsi" w:cstheme="minorHAnsi"/>
          <w:b/>
          <w:bCs/>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5778CF1E" w14:textId="77777777" w:rsidR="0082501A" w:rsidRPr="00392811" w:rsidRDefault="0082501A" w:rsidP="005B52A6">
      <w:pPr>
        <w:rPr>
          <w:rFonts w:asciiTheme="minorHAnsi" w:hAnsiTheme="minorHAnsi" w:cstheme="minorHAnsi"/>
        </w:rPr>
      </w:pPr>
    </w:p>
    <w:p w14:paraId="50AE8AEA" w14:textId="77777777" w:rsidR="0082501A" w:rsidRPr="00392811" w:rsidRDefault="0082501A" w:rsidP="005B52A6">
      <w:pPr>
        <w:pStyle w:val="ListParagraph"/>
        <w:numPr>
          <w:ilvl w:val="0"/>
          <w:numId w:val="3"/>
        </w:numPr>
        <w:rPr>
          <w:rStyle w:val="eop"/>
          <w:rFonts w:asciiTheme="minorHAnsi" w:hAnsiTheme="minorHAnsi" w:cstheme="minorHAnsi"/>
        </w:rPr>
      </w:pPr>
      <w:r w:rsidRPr="00392811">
        <w:rPr>
          <w:rFonts w:asciiTheme="minorHAnsi" w:hAnsiTheme="minorHAnsi" w:cstheme="minorHAnsi"/>
          <w:b/>
          <w:bCs/>
          <w:shd w:val="clear" w:color="auto" w:fill="FFFFFF"/>
        </w:rPr>
        <w:t>MRI Wait Times</w:t>
      </w:r>
      <w:r w:rsidRPr="00392811">
        <w:rPr>
          <w:rFonts w:asciiTheme="minorHAnsi" w:hAnsiTheme="minorHAnsi" w:cstheme="minorHAnsi"/>
          <w:b/>
          <w:bCs/>
        </w:rPr>
        <w:t>:</w:t>
      </w:r>
      <w:r w:rsidRPr="00392811">
        <w:rPr>
          <w:rFonts w:asciiTheme="minorHAnsi" w:hAnsiTheme="minorHAnsi" w:cstheme="minorHAnsi"/>
        </w:rPr>
        <w:t xml:space="preserve"> The Proposed Project </w:t>
      </w:r>
      <w:r w:rsidRPr="00392811">
        <w:rPr>
          <w:rFonts w:asciiTheme="minorHAnsi" w:hAnsiTheme="minorHAnsi" w:cstheme="minorHAnsi"/>
          <w:color w:val="000000" w:themeColor="text1"/>
        </w:rPr>
        <w:t>seeks to address the existing and future needs of BMC’s unique patient panel by providing increased access to timely, high-quality MRI services.</w:t>
      </w:r>
      <w:r w:rsidRPr="00392811">
        <w:rPr>
          <w:rStyle w:val="normaltextrun"/>
          <w:rFonts w:asciiTheme="minorHAnsi" w:hAnsiTheme="minorHAnsi" w:cstheme="minorHAnsi"/>
        </w:rPr>
        <w:t xml:space="preserve"> The Applicant anticipates that MRI wait times will be reduced following implementation of the Proposed Project due to increased MRI capacity through the addition of the fourth MRI unit on BMC’s main hospital campus.</w:t>
      </w:r>
    </w:p>
    <w:p w14:paraId="531404C1" w14:textId="77777777" w:rsidR="0082501A" w:rsidRPr="00392811" w:rsidRDefault="0082501A" w:rsidP="005B52A6">
      <w:pPr>
        <w:rPr>
          <w:rFonts w:asciiTheme="minorHAnsi" w:hAnsiTheme="minorHAnsi" w:cstheme="minorHAnsi"/>
        </w:rPr>
      </w:pPr>
    </w:p>
    <w:p w14:paraId="42074079" w14:textId="77777777" w:rsidR="0082501A" w:rsidRPr="00392811" w:rsidRDefault="0082501A" w:rsidP="005B52A6">
      <w:pPr>
        <w:pStyle w:val="ListParagraph"/>
        <w:numPr>
          <w:ilvl w:val="0"/>
          <w:numId w:val="6"/>
        </w:numPr>
        <w:ind w:left="1080"/>
        <w:rPr>
          <w:rStyle w:val="normaltextrun"/>
          <w:rFonts w:asciiTheme="minorHAnsi" w:hAnsiTheme="minorHAnsi" w:cstheme="minorHAnsi"/>
        </w:rPr>
      </w:pPr>
      <w:r w:rsidRPr="00392811">
        <w:rPr>
          <w:rStyle w:val="normaltextrun"/>
          <w:rFonts w:asciiTheme="minorHAnsi" w:hAnsiTheme="minorHAnsi" w:cstheme="minorHAnsi"/>
          <w:b/>
          <w:bCs/>
        </w:rPr>
        <w:t xml:space="preserve">Outpatient Access to Care: </w:t>
      </w:r>
      <w:r w:rsidRPr="00392811">
        <w:rPr>
          <w:rStyle w:val="normaltextrun"/>
          <w:rFonts w:asciiTheme="minorHAnsi" w:hAnsiTheme="minorHAnsi" w:cstheme="minorHAnsi"/>
        </w:rPr>
        <w:t>Time to third available appointment.</w:t>
      </w:r>
    </w:p>
    <w:p w14:paraId="2B412C10" w14:textId="77777777" w:rsidR="0082501A" w:rsidRPr="00392811" w:rsidRDefault="0082501A" w:rsidP="005B52A6">
      <w:pPr>
        <w:pStyle w:val="ListParagraph"/>
        <w:ind w:left="1080"/>
        <w:rPr>
          <w:rStyle w:val="normaltextrun"/>
          <w:rFonts w:asciiTheme="minorHAnsi" w:hAnsiTheme="minorHAnsi" w:cstheme="minorHAnsi"/>
        </w:rPr>
      </w:pPr>
    </w:p>
    <w:p w14:paraId="7E442DF0"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data based on the following calculation: Time interval (in days) from when the outpatient case was initiated for scheduling in EPIC to the third available outpatient appointment.</w:t>
      </w:r>
      <w:r w:rsidRPr="00392811">
        <w:rPr>
          <w:rStyle w:val="FootnoteReference"/>
          <w:rFonts w:asciiTheme="minorHAnsi" w:hAnsiTheme="minorHAnsi" w:cstheme="minorHAnsi"/>
        </w:rPr>
        <w:footnoteReference w:id="46"/>
      </w:r>
      <w:r w:rsidRPr="00392811">
        <w:rPr>
          <w:rStyle w:val="normaltextrun"/>
          <w:rFonts w:asciiTheme="minorHAnsi" w:hAnsiTheme="minorHAnsi" w:cstheme="minorHAnsi"/>
        </w:rPr>
        <w:t xml:space="preserve"> The Applicant will provide the following data to DPH: Median number of days between initiating outpatient MRI cases for scheduling and performing MRI.</w:t>
      </w:r>
    </w:p>
    <w:p w14:paraId="18A33F02" w14:textId="77777777" w:rsidR="0082501A" w:rsidRPr="00392811" w:rsidRDefault="0082501A" w:rsidP="005B52A6">
      <w:pPr>
        <w:pStyle w:val="ListParagraph"/>
        <w:ind w:left="360"/>
        <w:rPr>
          <w:rFonts w:asciiTheme="minorHAnsi" w:hAnsiTheme="minorHAnsi" w:cstheme="minorHAnsi"/>
        </w:rPr>
      </w:pPr>
    </w:p>
    <w:p w14:paraId="49B4FC14"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50 days; Year 1: 40 days; Year 2: 30 days; Year 3: 20 days. </w:t>
      </w:r>
    </w:p>
    <w:p w14:paraId="3F3768A0" w14:textId="77777777" w:rsidR="0082501A" w:rsidRPr="00392811" w:rsidRDefault="0082501A" w:rsidP="005B52A6">
      <w:pPr>
        <w:rPr>
          <w:rFonts w:asciiTheme="minorHAnsi" w:hAnsiTheme="minorHAnsi" w:cstheme="minorHAnsi"/>
        </w:rPr>
      </w:pPr>
    </w:p>
    <w:p w14:paraId="4BB5A867" w14:textId="77777777" w:rsidR="0082501A" w:rsidRPr="00392811" w:rsidRDefault="0082501A" w:rsidP="005B52A6">
      <w:pPr>
        <w:ind w:left="1080"/>
        <w:rPr>
          <w:rStyle w:val="normaltextrun"/>
          <w:rFonts w:asciiTheme="minorHAnsi" w:hAnsiTheme="minorHAnsi" w:cstheme="minorHAnsi"/>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130A4EF0" w14:textId="77777777" w:rsidR="0082501A" w:rsidRPr="00392811" w:rsidRDefault="0082501A" w:rsidP="005B52A6">
      <w:pPr>
        <w:ind w:left="1440"/>
        <w:rPr>
          <w:rStyle w:val="normaltextrun"/>
          <w:rFonts w:asciiTheme="minorHAnsi" w:hAnsiTheme="minorHAnsi" w:cstheme="minorHAnsi"/>
        </w:rPr>
      </w:pPr>
    </w:p>
    <w:p w14:paraId="0D8306A9" w14:textId="77777777" w:rsidR="0082501A" w:rsidRPr="00392811" w:rsidRDefault="0082501A" w:rsidP="005B52A6">
      <w:pPr>
        <w:pStyle w:val="ListParagraph"/>
        <w:numPr>
          <w:ilvl w:val="0"/>
          <w:numId w:val="6"/>
        </w:numPr>
        <w:ind w:left="1080"/>
        <w:rPr>
          <w:rStyle w:val="normaltextrun"/>
          <w:rFonts w:asciiTheme="minorHAnsi" w:hAnsiTheme="minorHAnsi" w:cstheme="minorHAnsi"/>
        </w:rPr>
      </w:pPr>
      <w:r w:rsidRPr="00392811">
        <w:rPr>
          <w:rStyle w:val="normaltextrun"/>
          <w:rFonts w:asciiTheme="minorHAnsi" w:hAnsiTheme="minorHAnsi" w:cstheme="minorHAnsi"/>
          <w:b/>
          <w:bCs/>
        </w:rPr>
        <w:lastRenderedPageBreak/>
        <w:t>Outpatient Access to Care:</w:t>
      </w:r>
      <w:r w:rsidRPr="00392811">
        <w:rPr>
          <w:rStyle w:val="normaltextrun"/>
          <w:rFonts w:asciiTheme="minorHAnsi" w:hAnsiTheme="minorHAnsi" w:cstheme="minorHAnsi"/>
        </w:rPr>
        <w:t xml:space="preserve"> Number of patients not attending a scheduled appointment known as the “no show rate.”  </w:t>
      </w:r>
    </w:p>
    <w:p w14:paraId="76A34115" w14:textId="77777777" w:rsidR="0082501A" w:rsidRPr="00392811" w:rsidRDefault="0082501A" w:rsidP="005B52A6">
      <w:pPr>
        <w:rPr>
          <w:rFonts w:asciiTheme="minorHAnsi" w:hAnsiTheme="minorHAnsi" w:cstheme="minorHAnsi"/>
          <w:b/>
          <w:bCs/>
        </w:rPr>
      </w:pPr>
    </w:p>
    <w:p w14:paraId="7004AB9A"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data based on the following calculation: The percentage of appointment time lost because patients do not show up or cancel at the last minute. The no show-rate is calculated by dividing the number of no-shows (including late cancellations) by the total number of daily/weekly/monthly appointments. The applicant will provide the following data to DPH: MRI No-show rate.</w:t>
      </w:r>
    </w:p>
    <w:p w14:paraId="7E381F37" w14:textId="77777777" w:rsidR="0082501A" w:rsidRPr="00392811" w:rsidRDefault="0082501A" w:rsidP="005B52A6">
      <w:pPr>
        <w:pStyle w:val="ListParagraph"/>
        <w:ind w:left="360"/>
        <w:rPr>
          <w:rFonts w:asciiTheme="minorHAnsi" w:hAnsiTheme="minorHAnsi" w:cstheme="minorHAnsi"/>
        </w:rPr>
      </w:pPr>
    </w:p>
    <w:p w14:paraId="4A126CF4"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26%; Year 1: 19%%; Year 2: 14%; Year 3:10% </w:t>
      </w:r>
    </w:p>
    <w:p w14:paraId="3FEA9CBD" w14:textId="77777777" w:rsidR="0082501A" w:rsidRPr="00392811" w:rsidRDefault="0082501A" w:rsidP="005B52A6">
      <w:pPr>
        <w:ind w:left="720"/>
        <w:rPr>
          <w:rFonts w:asciiTheme="minorHAnsi" w:hAnsiTheme="minorHAnsi" w:cstheme="minorHAnsi"/>
        </w:rPr>
      </w:pPr>
    </w:p>
    <w:p w14:paraId="268BDF2B" w14:textId="77777777" w:rsidR="0082501A" w:rsidRPr="00392811" w:rsidRDefault="0082501A" w:rsidP="005B52A6">
      <w:pPr>
        <w:ind w:left="1080"/>
        <w:rPr>
          <w:rStyle w:val="normaltextrun"/>
          <w:rFonts w:asciiTheme="minorHAnsi" w:hAnsiTheme="minorHAnsi" w:cstheme="minorHAnsi"/>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5EFD4CA9" w14:textId="77777777" w:rsidR="0082501A" w:rsidRPr="00392811" w:rsidRDefault="0082501A" w:rsidP="005B52A6">
      <w:pPr>
        <w:rPr>
          <w:rFonts w:asciiTheme="minorHAnsi" w:hAnsiTheme="minorHAnsi" w:cstheme="minorHAnsi"/>
        </w:rPr>
      </w:pPr>
    </w:p>
    <w:p w14:paraId="3672D9A5" w14:textId="77777777" w:rsidR="0082501A" w:rsidRPr="00392811" w:rsidRDefault="0082501A" w:rsidP="005B52A6">
      <w:pPr>
        <w:pStyle w:val="ListParagraph"/>
        <w:numPr>
          <w:ilvl w:val="0"/>
          <w:numId w:val="3"/>
        </w:numPr>
        <w:rPr>
          <w:rStyle w:val="normaltextrun"/>
          <w:rFonts w:asciiTheme="minorHAnsi" w:hAnsiTheme="minorHAnsi" w:cstheme="minorHAnsi"/>
        </w:rPr>
      </w:pPr>
      <w:r w:rsidRPr="00392811">
        <w:rPr>
          <w:rFonts w:asciiTheme="minorHAnsi" w:hAnsiTheme="minorHAnsi" w:cstheme="minorHAnsi"/>
          <w:b/>
          <w:bCs/>
        </w:rPr>
        <w:t xml:space="preserve">Critical Findings Reporting: </w:t>
      </w:r>
      <w:r w:rsidRPr="00392811">
        <w:rPr>
          <w:rFonts w:asciiTheme="minorHAnsi" w:hAnsiTheme="minorHAnsi" w:cstheme="minorHAnsi"/>
        </w:rPr>
        <w:t xml:space="preserve">The Proposed Project </w:t>
      </w:r>
      <w:r w:rsidRPr="00392811">
        <w:rPr>
          <w:rFonts w:asciiTheme="minorHAnsi" w:hAnsiTheme="minorHAnsi" w:cstheme="minorHAnsi"/>
          <w:color w:val="000000" w:themeColor="text1"/>
        </w:rPr>
        <w:t>seeks to ensure timely access to high-quality services for BMC’s existing and future patient panel.</w:t>
      </w:r>
      <w:r w:rsidRPr="00392811">
        <w:rPr>
          <w:rStyle w:val="normaltextrun"/>
          <w:rFonts w:asciiTheme="minorHAnsi" w:hAnsiTheme="minorHAnsi" w:cstheme="minorHAnsi"/>
        </w:rPr>
        <w:t xml:space="preserve"> Currently, BMC has processes in place to ensure quality provision of its MRI services. For instance, when critical findings are registered for a patient, these findings are communicated directly from the radiologist to the ordering provider within 60 minutes. This process ensures that clinical decisions may be expedited and, therefore, impacts patient outcomes and quality of care. This process will continue following implementation of the Proposed Project. </w:t>
      </w:r>
    </w:p>
    <w:p w14:paraId="6F145825" w14:textId="77777777" w:rsidR="0082501A" w:rsidRPr="00392811" w:rsidRDefault="0082501A" w:rsidP="005B52A6">
      <w:pPr>
        <w:rPr>
          <w:rFonts w:asciiTheme="minorHAnsi" w:hAnsiTheme="minorHAnsi" w:cstheme="minorHAnsi"/>
        </w:rPr>
      </w:pPr>
    </w:p>
    <w:p w14:paraId="7A866F09"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and provide data on the number of radiologists conducting critical findings reporting on cases being interpreted.</w:t>
      </w:r>
    </w:p>
    <w:p w14:paraId="125EA62E" w14:textId="77777777" w:rsidR="0082501A" w:rsidRPr="00392811" w:rsidRDefault="0082501A" w:rsidP="005B52A6">
      <w:pPr>
        <w:pStyle w:val="ListParagraph"/>
        <w:rPr>
          <w:rFonts w:asciiTheme="minorHAnsi" w:hAnsiTheme="minorHAnsi" w:cstheme="minorHAnsi"/>
        </w:rPr>
      </w:pPr>
    </w:p>
    <w:p w14:paraId="5419FA91"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100%; Year 1: 100%; Year 2: 100%; Year 3: 100%. </w:t>
      </w:r>
    </w:p>
    <w:p w14:paraId="03AE6DF0" w14:textId="77777777" w:rsidR="0082501A" w:rsidRPr="00392811" w:rsidRDefault="0082501A" w:rsidP="005B52A6">
      <w:pPr>
        <w:rPr>
          <w:rFonts w:asciiTheme="minorHAnsi" w:hAnsiTheme="minorHAnsi" w:cstheme="minorHAnsi"/>
        </w:rPr>
      </w:pPr>
    </w:p>
    <w:p w14:paraId="55BC3AD2" w14:textId="77777777" w:rsidR="0082501A" w:rsidRPr="00392811" w:rsidRDefault="0082501A" w:rsidP="005B52A6">
      <w:pPr>
        <w:ind w:left="1080"/>
        <w:rPr>
          <w:rFonts w:asciiTheme="minorHAnsi" w:hAnsiTheme="minorHAnsi" w:cstheme="minorHAnsi"/>
          <w:b/>
          <w:bCs/>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312971B1" w14:textId="77777777" w:rsidR="0082501A" w:rsidRPr="00392811" w:rsidRDefault="0082501A" w:rsidP="0082501A">
      <w:pPr>
        <w:pStyle w:val="NormalWeb"/>
        <w:jc w:val="both"/>
        <w:rPr>
          <w:rFonts w:asciiTheme="minorHAnsi" w:hAnsiTheme="minorHAnsi" w:cstheme="minorHAnsi"/>
          <w:sz w:val="22"/>
          <w:szCs w:val="22"/>
          <w:u w:val="single"/>
        </w:rPr>
      </w:pPr>
    </w:p>
    <w:p w14:paraId="4CF345D2" w14:textId="77777777" w:rsidR="0082501A" w:rsidRPr="00392811" w:rsidRDefault="0082501A" w:rsidP="00926F26">
      <w:pPr>
        <w:jc w:val="both"/>
        <w:rPr>
          <w:rStyle w:val="normaltextrun"/>
          <w:rFonts w:asciiTheme="minorHAnsi" w:hAnsiTheme="minorHAnsi" w:cstheme="minorHAnsi"/>
        </w:rPr>
      </w:pPr>
    </w:p>
    <w:p w14:paraId="22E1A275" w14:textId="65212D13" w:rsidR="008E5478" w:rsidRDefault="008E5478">
      <w:pPr>
        <w:spacing w:after="200" w:line="276" w:lineRule="auto"/>
        <w:rPr>
          <w:rFonts w:asciiTheme="minorHAnsi" w:hAnsiTheme="minorHAnsi" w:cstheme="minorHAnsi"/>
          <w:u w:val="single"/>
        </w:rPr>
      </w:pPr>
      <w:r>
        <w:rPr>
          <w:rFonts w:asciiTheme="minorHAnsi" w:hAnsiTheme="minorHAnsi" w:cstheme="minorHAnsi"/>
          <w:u w:val="single"/>
        </w:rPr>
        <w:br w:type="page"/>
      </w:r>
    </w:p>
    <w:p w14:paraId="44CB11A9" w14:textId="77777777" w:rsidR="000D0D14" w:rsidRPr="00392811" w:rsidRDefault="000D0D14" w:rsidP="00926F26">
      <w:pPr>
        <w:pStyle w:val="NormalWeb"/>
        <w:jc w:val="both"/>
        <w:rPr>
          <w:rFonts w:asciiTheme="minorHAnsi" w:hAnsiTheme="minorHAnsi" w:cstheme="minorHAnsi"/>
          <w:u w:val="single"/>
        </w:rPr>
      </w:pPr>
    </w:p>
    <w:p w14:paraId="6AE811DD" w14:textId="30946F1B" w:rsidR="006673D4" w:rsidRPr="00392811" w:rsidRDefault="0060518C" w:rsidP="1AA321DD">
      <w:pPr>
        <w:pStyle w:val="Heading1"/>
        <w:rPr>
          <w:rFonts w:asciiTheme="minorHAnsi" w:hAnsiTheme="minorHAnsi" w:cstheme="minorHAnsi"/>
        </w:rPr>
      </w:pPr>
      <w:bookmarkStart w:id="85" w:name="_Toc148704469"/>
      <w:r w:rsidRPr="00392811">
        <w:rPr>
          <w:rFonts w:asciiTheme="minorHAnsi" w:hAnsiTheme="minorHAnsi" w:cstheme="minorHAnsi"/>
        </w:rPr>
        <w:t>References</w:t>
      </w:r>
      <w:bookmarkEnd w:id="85"/>
    </w:p>
    <w:sectPr w:rsidR="006673D4" w:rsidRPr="00392811" w:rsidSect="00AA3ADC">
      <w:endnotePr>
        <w:numFmt w:val="decimal"/>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EF86" w14:textId="77777777" w:rsidR="008B63CF" w:rsidRDefault="008B63CF" w:rsidP="008C0709">
      <w:r>
        <w:separator/>
      </w:r>
    </w:p>
  </w:endnote>
  <w:endnote w:type="continuationSeparator" w:id="0">
    <w:p w14:paraId="59F5350B" w14:textId="77777777" w:rsidR="008B63CF" w:rsidRDefault="008B63CF" w:rsidP="008C0709">
      <w:r>
        <w:continuationSeparator/>
      </w:r>
    </w:p>
  </w:endnote>
  <w:endnote w:type="continuationNotice" w:id="1">
    <w:p w14:paraId="4AC4A57C" w14:textId="77777777" w:rsidR="008B63CF" w:rsidRDefault="008B63CF"/>
  </w:endnote>
  <w:endnote w:id="2">
    <w:p w14:paraId="53EE269F" w14:textId="42ECDBBE" w:rsidR="00773456" w:rsidRDefault="00773456">
      <w:pPr>
        <w:pStyle w:val="EndnoteText"/>
      </w:pPr>
      <w:r>
        <w:rPr>
          <w:rStyle w:val="EndnoteReference"/>
        </w:rPr>
        <w:endnoteRef/>
      </w:r>
      <w:r>
        <w:t xml:space="preserve"> </w:t>
      </w:r>
      <w:r w:rsidRPr="00773456">
        <w:t>https://mriaudio.com/the-hidden-costs-of-mri-scanner-downtime-and-how-to-avoid-it/</w:t>
      </w:r>
    </w:p>
  </w:endnote>
  <w:endnote w:id="3">
    <w:p w14:paraId="48F992F7" w14:textId="17A4D116" w:rsidR="0001465A" w:rsidRPr="00AA3ADC" w:rsidRDefault="0001465A" w:rsidP="00AA3ADC">
      <w:pPr>
        <w:pStyle w:val="Heading1"/>
        <w:spacing w:before="0" w:line="240" w:lineRule="auto"/>
        <w:rPr>
          <w:rFonts w:asciiTheme="minorHAnsi" w:hAnsiTheme="minorHAnsi" w:cstheme="minorHAnsi"/>
          <w:b w:val="0"/>
          <w:bCs w:val="0"/>
          <w:color w:val="212121"/>
          <w:sz w:val="20"/>
          <w:szCs w:val="20"/>
        </w:rPr>
      </w:pPr>
      <w:r w:rsidRPr="00AA3ADC">
        <w:rPr>
          <w:rStyle w:val="EndnoteReference"/>
          <w:rFonts w:asciiTheme="minorHAnsi" w:hAnsiTheme="minorHAnsi" w:cstheme="minorHAnsi"/>
          <w:b w:val="0"/>
          <w:bCs w:val="0"/>
          <w:sz w:val="20"/>
          <w:szCs w:val="20"/>
        </w:rPr>
        <w:endnoteRef/>
      </w:r>
      <w:r w:rsidRPr="00AA3ADC">
        <w:rPr>
          <w:rFonts w:asciiTheme="minorHAnsi" w:hAnsiTheme="minorHAnsi" w:cstheme="minorHAnsi"/>
          <w:b w:val="0"/>
          <w:bCs w:val="0"/>
          <w:sz w:val="20"/>
          <w:szCs w:val="20"/>
        </w:rPr>
        <w:t xml:space="preserve"> </w:t>
      </w:r>
      <w:r w:rsidR="005C73A5" w:rsidRPr="00AA3ADC">
        <w:rPr>
          <w:rFonts w:asciiTheme="minorHAnsi" w:hAnsiTheme="minorHAnsi" w:cstheme="minorHAnsi"/>
          <w:b w:val="0"/>
          <w:bCs w:val="0"/>
          <w:sz w:val="20"/>
          <w:szCs w:val="20"/>
        </w:rPr>
        <w:t>Lasser, et al.,</w:t>
      </w:r>
      <w:r w:rsidR="005C73A5" w:rsidRPr="00AA3ADC">
        <w:rPr>
          <w:rFonts w:asciiTheme="minorHAnsi" w:hAnsiTheme="minorHAnsi" w:cstheme="minorHAnsi"/>
          <w:b w:val="0"/>
          <w:bCs w:val="0"/>
          <w:i/>
          <w:iCs/>
          <w:sz w:val="20"/>
          <w:szCs w:val="20"/>
        </w:rPr>
        <w:t xml:space="preserve"> </w:t>
      </w:r>
      <w:hyperlink r:id="rId1" w:history="1">
        <w:r w:rsidR="005C73A5" w:rsidRPr="00AA3ADC">
          <w:rPr>
            <w:rStyle w:val="Hyperlink"/>
            <w:rFonts w:asciiTheme="minorHAnsi" w:hAnsiTheme="minorHAnsi" w:cstheme="minorHAnsi"/>
            <w:b w:val="0"/>
            <w:bCs w:val="0"/>
            <w:i/>
            <w:iCs/>
            <w:color w:val="000000" w:themeColor="text1"/>
            <w:sz w:val="20"/>
            <w:szCs w:val="20"/>
          </w:rPr>
          <w:t>Massachusetts Health Reform’s Effect on Hospitals’ Racial Mix of Patients and on Patients’ Use of Safety-net Hospitals</w:t>
        </w:r>
      </w:hyperlink>
      <w:r w:rsidR="005C73A5" w:rsidRPr="00AA3ADC">
        <w:rPr>
          <w:rFonts w:asciiTheme="minorHAnsi" w:hAnsiTheme="minorHAnsi" w:cstheme="minorHAnsi"/>
          <w:b w:val="0"/>
          <w:bCs w:val="0"/>
          <w:i/>
          <w:iCs/>
          <w:color w:val="333333"/>
          <w:sz w:val="20"/>
          <w:szCs w:val="20"/>
        </w:rPr>
        <w:t>,</w:t>
      </w:r>
      <w:r w:rsidR="005C73A5" w:rsidRPr="00AA3ADC">
        <w:rPr>
          <w:rStyle w:val="Emphasis"/>
          <w:rFonts w:asciiTheme="minorHAnsi" w:hAnsiTheme="minorHAnsi" w:cstheme="minorHAnsi"/>
          <w:b w:val="0"/>
          <w:bCs w:val="0"/>
          <w:sz w:val="20"/>
          <w:szCs w:val="20"/>
        </w:rPr>
        <w:t xml:space="preserve"> 54 </w:t>
      </w:r>
      <w:r w:rsidR="005C73A5" w:rsidRPr="00AA3ADC">
        <w:rPr>
          <w:rStyle w:val="Emphasis"/>
          <w:rFonts w:asciiTheme="minorHAnsi" w:hAnsiTheme="minorHAnsi" w:cstheme="minorHAnsi"/>
          <w:b w:val="0"/>
          <w:bCs w:val="0"/>
          <w:smallCaps/>
          <w:color w:val="333333"/>
          <w:sz w:val="20"/>
          <w:szCs w:val="20"/>
        </w:rPr>
        <w:t>Medical Care</w:t>
      </w:r>
      <w:r w:rsidR="005C73A5" w:rsidRPr="00AA3ADC">
        <w:rPr>
          <w:rFonts w:asciiTheme="minorHAnsi" w:hAnsiTheme="minorHAnsi" w:cstheme="minorHAnsi"/>
          <w:b w:val="0"/>
          <w:bCs w:val="0"/>
          <w:color w:val="333333"/>
          <w:sz w:val="20"/>
          <w:szCs w:val="20"/>
        </w:rPr>
        <w:t xml:space="preserve"> 827 (2016), </w:t>
      </w:r>
      <w:r w:rsidR="005C73A5" w:rsidRPr="00AA3ADC">
        <w:rPr>
          <w:rFonts w:asciiTheme="minorHAnsi" w:hAnsiTheme="minorHAnsi" w:cstheme="minorHAnsi"/>
          <w:b w:val="0"/>
          <w:bCs w:val="0"/>
          <w:i/>
          <w:iCs/>
          <w:color w:val="333333"/>
          <w:sz w:val="20"/>
          <w:szCs w:val="20"/>
        </w:rPr>
        <w:t>available at</w:t>
      </w:r>
      <w:r w:rsidR="005C73A5" w:rsidRPr="00AA3ADC">
        <w:rPr>
          <w:rFonts w:asciiTheme="minorHAnsi" w:hAnsiTheme="minorHAnsi" w:cstheme="minorHAnsi"/>
          <w:b w:val="0"/>
          <w:bCs w:val="0"/>
          <w:color w:val="333333"/>
          <w:sz w:val="20"/>
          <w:szCs w:val="20"/>
        </w:rPr>
        <w:t xml:space="preserve"> </w:t>
      </w:r>
      <w:hyperlink r:id="rId2" w:history="1">
        <w:r w:rsidR="005C73A5" w:rsidRPr="00AA3ADC">
          <w:rPr>
            <w:rStyle w:val="Hyperlink"/>
            <w:rFonts w:asciiTheme="minorHAnsi" w:hAnsiTheme="minorHAnsi" w:cstheme="minorHAnsi"/>
            <w:b w:val="0"/>
            <w:bCs w:val="0"/>
            <w:color w:val="000000" w:themeColor="text1"/>
            <w:sz w:val="20"/>
            <w:szCs w:val="20"/>
          </w:rPr>
          <w:t>https://www.ncbi.nlm.nih.gov/pmc/articles/PMC4989238</w:t>
        </w:r>
      </w:hyperlink>
      <w:r w:rsidR="005C73A5" w:rsidRPr="00AA3ADC">
        <w:rPr>
          <w:rFonts w:asciiTheme="minorHAnsi" w:hAnsiTheme="minorHAnsi" w:cstheme="minorHAnsi"/>
          <w:b w:val="0"/>
          <w:bCs w:val="0"/>
          <w:color w:val="333333"/>
          <w:sz w:val="20"/>
          <w:szCs w:val="20"/>
        </w:rPr>
        <w:t xml:space="preserve"> /;</w:t>
      </w:r>
      <w:r w:rsidR="005C73A5" w:rsidRPr="00AA3ADC">
        <w:rPr>
          <w:rFonts w:asciiTheme="minorHAnsi" w:hAnsiTheme="minorHAnsi" w:cstheme="minorHAnsi"/>
          <w:color w:val="333333"/>
          <w:sz w:val="20"/>
          <w:szCs w:val="20"/>
        </w:rPr>
        <w:t xml:space="preserve"> </w:t>
      </w:r>
      <w:r w:rsidR="005C73A5" w:rsidRPr="00AA3ADC">
        <w:rPr>
          <w:rFonts w:asciiTheme="minorHAnsi" w:hAnsiTheme="minorHAnsi" w:cstheme="minorHAnsi"/>
          <w:b w:val="0"/>
          <w:bCs w:val="0"/>
          <w:sz w:val="20"/>
          <w:szCs w:val="20"/>
        </w:rPr>
        <w:t xml:space="preserve">Ku, et al., </w:t>
      </w:r>
      <w:hyperlink r:id="rId3" w:history="1">
        <w:r w:rsidR="005C73A5" w:rsidRPr="00AA3ADC">
          <w:rPr>
            <w:rStyle w:val="Hyperlink"/>
            <w:rFonts w:asciiTheme="minorHAnsi" w:hAnsiTheme="minorHAnsi" w:cstheme="minorHAnsi"/>
            <w:b w:val="0"/>
            <w:bCs w:val="0"/>
            <w:i/>
            <w:iCs/>
            <w:color w:val="000000" w:themeColor="text1"/>
            <w:sz w:val="20"/>
            <w:szCs w:val="20"/>
          </w:rPr>
          <w:t>Safety-Net Providers After Health Care Reform: Lessons From Massachusetts</w:t>
        </w:r>
      </w:hyperlink>
      <w:r w:rsidR="005C73A5" w:rsidRPr="00AA3ADC">
        <w:rPr>
          <w:rFonts w:asciiTheme="minorHAnsi" w:hAnsiTheme="minorHAnsi" w:cstheme="minorHAnsi"/>
          <w:b w:val="0"/>
          <w:bCs w:val="0"/>
          <w:color w:val="333333"/>
          <w:sz w:val="20"/>
          <w:szCs w:val="20"/>
        </w:rPr>
        <w:t xml:space="preserve">, 8 </w:t>
      </w:r>
      <w:r w:rsidR="005C73A5" w:rsidRPr="00AA3ADC">
        <w:rPr>
          <w:rFonts w:asciiTheme="minorHAnsi" w:hAnsiTheme="minorHAnsi" w:cstheme="minorHAnsi"/>
          <w:b w:val="0"/>
          <w:bCs w:val="0"/>
          <w:smallCaps/>
          <w:color w:val="333333"/>
          <w:sz w:val="20"/>
          <w:szCs w:val="20"/>
        </w:rPr>
        <w:t>Arch Intern. Med.</w:t>
      </w:r>
      <w:r w:rsidR="005C73A5" w:rsidRPr="00AA3ADC">
        <w:rPr>
          <w:rFonts w:asciiTheme="minorHAnsi" w:hAnsiTheme="minorHAnsi" w:cstheme="minorHAnsi"/>
          <w:b w:val="0"/>
          <w:bCs w:val="0"/>
          <w:color w:val="333333"/>
          <w:sz w:val="20"/>
          <w:szCs w:val="20"/>
        </w:rPr>
        <w:t xml:space="preserve"> 1379 (2011), </w:t>
      </w:r>
      <w:r w:rsidR="005C73A5" w:rsidRPr="00AA3ADC">
        <w:rPr>
          <w:rFonts w:asciiTheme="minorHAnsi" w:hAnsiTheme="minorHAnsi" w:cstheme="minorHAnsi"/>
          <w:b w:val="0"/>
          <w:bCs w:val="0"/>
          <w:i/>
          <w:iCs/>
          <w:color w:val="333333"/>
          <w:sz w:val="20"/>
          <w:szCs w:val="20"/>
        </w:rPr>
        <w:t>available at</w:t>
      </w:r>
      <w:r w:rsidR="005C73A5" w:rsidRPr="00AA3ADC">
        <w:rPr>
          <w:rFonts w:asciiTheme="minorHAnsi" w:hAnsiTheme="minorHAnsi" w:cstheme="minorHAnsi"/>
          <w:b w:val="0"/>
          <w:bCs w:val="0"/>
          <w:color w:val="333333"/>
          <w:sz w:val="20"/>
          <w:szCs w:val="20"/>
        </w:rPr>
        <w:t xml:space="preserve"> </w:t>
      </w:r>
      <w:hyperlink r:id="rId4" w:history="1">
        <w:r w:rsidR="005C73A5" w:rsidRPr="00AA3ADC">
          <w:rPr>
            <w:rStyle w:val="Hyperlink"/>
            <w:rFonts w:asciiTheme="minorHAnsi" w:hAnsiTheme="minorHAnsi" w:cstheme="minorHAnsi"/>
            <w:b w:val="0"/>
            <w:bCs w:val="0"/>
            <w:color w:val="auto"/>
            <w:sz w:val="20"/>
            <w:szCs w:val="20"/>
            <w:u w:val="none"/>
          </w:rPr>
          <w:t>https://jamanetwork.com/journals/jamainternalmedicine/fullarticle/1105879</w:t>
        </w:r>
      </w:hyperlink>
      <w:r w:rsidR="005C73A5" w:rsidRPr="00AA3ADC">
        <w:rPr>
          <w:rFonts w:asciiTheme="minorHAnsi" w:hAnsiTheme="minorHAnsi" w:cstheme="minorHAnsi"/>
          <w:b w:val="0"/>
          <w:bCs w:val="0"/>
          <w:color w:val="333333"/>
          <w:sz w:val="20"/>
          <w:szCs w:val="20"/>
        </w:rPr>
        <w:t xml:space="preserve"> ; </w:t>
      </w:r>
      <w:r w:rsidR="005C73A5" w:rsidRPr="00AA3ADC">
        <w:rPr>
          <w:rFonts w:asciiTheme="minorHAnsi" w:hAnsiTheme="minorHAnsi" w:cstheme="minorHAnsi"/>
          <w:b w:val="0"/>
          <w:bCs w:val="0"/>
          <w:color w:val="212121"/>
          <w:sz w:val="20"/>
          <w:szCs w:val="20"/>
        </w:rPr>
        <w:t xml:space="preserve">Mohan, et al., </w:t>
      </w:r>
      <w:hyperlink r:id="rId5" w:history="1">
        <w:r w:rsidR="005C73A5" w:rsidRPr="00AA3ADC">
          <w:rPr>
            <w:rStyle w:val="Hyperlink"/>
            <w:rFonts w:asciiTheme="minorHAnsi" w:hAnsiTheme="minorHAnsi" w:cstheme="minorHAnsi"/>
            <w:b w:val="0"/>
            <w:bCs w:val="0"/>
            <w:i/>
            <w:iCs/>
            <w:color w:val="000000" w:themeColor="text1"/>
            <w:sz w:val="20"/>
            <w:szCs w:val="20"/>
          </w:rPr>
          <w:t>The health of safety net hospitals following Massachusetts health care reform: changes in volume, revenue, costs, and operating margins from 2006 to 2009</w:t>
        </w:r>
      </w:hyperlink>
      <w:r w:rsidR="005C73A5" w:rsidRPr="00AA3ADC">
        <w:rPr>
          <w:rFonts w:asciiTheme="minorHAnsi" w:hAnsiTheme="minorHAnsi" w:cstheme="minorHAnsi"/>
          <w:b w:val="0"/>
          <w:bCs w:val="0"/>
          <w:color w:val="000000" w:themeColor="text1"/>
          <w:sz w:val="20"/>
          <w:szCs w:val="20"/>
        </w:rPr>
        <w:t xml:space="preserve">, </w:t>
      </w:r>
      <w:r w:rsidR="005C73A5" w:rsidRPr="00AA3ADC">
        <w:rPr>
          <w:rFonts w:asciiTheme="minorHAnsi" w:hAnsiTheme="minorHAnsi" w:cstheme="minorHAnsi"/>
          <w:b w:val="0"/>
          <w:bCs w:val="0"/>
          <w:color w:val="212121"/>
          <w:sz w:val="20"/>
          <w:szCs w:val="20"/>
        </w:rPr>
        <w:t xml:space="preserve">43 </w:t>
      </w:r>
      <w:r w:rsidR="005C73A5" w:rsidRPr="00AA3ADC">
        <w:rPr>
          <w:rFonts w:asciiTheme="minorHAnsi" w:hAnsiTheme="minorHAnsi" w:cstheme="minorHAnsi"/>
          <w:b w:val="0"/>
          <w:bCs w:val="0"/>
          <w:smallCaps/>
          <w:color w:val="212121"/>
          <w:sz w:val="20"/>
          <w:szCs w:val="20"/>
        </w:rPr>
        <w:t>Int. J. Health Serv.</w:t>
      </w:r>
      <w:r w:rsidR="005C73A5" w:rsidRPr="00AA3ADC">
        <w:rPr>
          <w:rFonts w:asciiTheme="minorHAnsi" w:hAnsiTheme="minorHAnsi" w:cstheme="minorHAnsi"/>
          <w:b w:val="0"/>
          <w:bCs w:val="0"/>
          <w:color w:val="212121"/>
          <w:sz w:val="20"/>
          <w:szCs w:val="20"/>
        </w:rPr>
        <w:t xml:space="preserve"> 321 (2013), </w:t>
      </w:r>
      <w:r w:rsidR="005C73A5" w:rsidRPr="00AA3ADC">
        <w:rPr>
          <w:rFonts w:asciiTheme="minorHAnsi" w:hAnsiTheme="minorHAnsi" w:cstheme="minorHAnsi"/>
          <w:b w:val="0"/>
          <w:bCs w:val="0"/>
          <w:i/>
          <w:iCs/>
          <w:color w:val="212121"/>
          <w:sz w:val="20"/>
          <w:szCs w:val="20"/>
        </w:rPr>
        <w:t>available at</w:t>
      </w:r>
      <w:r w:rsidR="005C73A5" w:rsidRPr="00AA3ADC">
        <w:rPr>
          <w:rFonts w:asciiTheme="minorHAnsi" w:hAnsiTheme="minorHAnsi" w:cstheme="minorHAnsi"/>
          <w:b w:val="0"/>
          <w:bCs w:val="0"/>
          <w:color w:val="212121"/>
          <w:sz w:val="20"/>
          <w:szCs w:val="20"/>
        </w:rPr>
        <w:t xml:space="preserve"> </w:t>
      </w:r>
      <w:hyperlink r:id="rId6" w:history="1">
        <w:r w:rsidR="005C73A5" w:rsidRPr="00AA3ADC">
          <w:rPr>
            <w:rStyle w:val="Hyperlink"/>
            <w:rFonts w:asciiTheme="minorHAnsi" w:hAnsiTheme="minorHAnsi" w:cstheme="minorHAnsi"/>
            <w:b w:val="0"/>
            <w:bCs w:val="0"/>
            <w:color w:val="000000" w:themeColor="text1"/>
            <w:sz w:val="20"/>
            <w:szCs w:val="20"/>
          </w:rPr>
          <w:t>https://pubmed.ncbi.nlm.nih.gov/23821908/</w:t>
        </w:r>
      </w:hyperlink>
      <w:r w:rsidR="005C73A5" w:rsidRPr="00AA3ADC">
        <w:rPr>
          <w:rFonts w:asciiTheme="minorHAnsi" w:hAnsiTheme="minorHAnsi" w:cstheme="minorHAnsi"/>
          <w:b w:val="0"/>
          <w:bCs w:val="0"/>
          <w:color w:val="212121"/>
          <w:sz w:val="20"/>
          <w:szCs w:val="20"/>
        </w:rPr>
        <w:t xml:space="preserve"> .</w:t>
      </w:r>
    </w:p>
  </w:endnote>
  <w:endnote w:id="4">
    <w:p w14:paraId="664C396C" w14:textId="19DECDEF" w:rsidR="0001465A" w:rsidRPr="00AA3ADC" w:rsidRDefault="0001465A" w:rsidP="00AA3ADC">
      <w:pPr>
        <w:rPr>
          <w:rFonts w:asciiTheme="minorHAnsi" w:hAnsiTheme="minorHAnsi" w:cstheme="minorHAnsi"/>
          <w:smallCaps/>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00161CB3" w:rsidRPr="00AA3ADC">
        <w:rPr>
          <w:rFonts w:asciiTheme="minorHAnsi" w:hAnsiTheme="minorHAnsi" w:cstheme="minorHAnsi"/>
          <w:sz w:val="20"/>
          <w:szCs w:val="20"/>
        </w:rPr>
        <w:t xml:space="preserve">Lasser, et al., </w:t>
      </w:r>
      <w:r w:rsidR="00161CB3" w:rsidRPr="00AA3ADC">
        <w:rPr>
          <w:rFonts w:asciiTheme="minorHAnsi" w:hAnsiTheme="minorHAnsi" w:cstheme="minorHAnsi"/>
          <w:i/>
          <w:iCs/>
          <w:sz w:val="20"/>
          <w:szCs w:val="20"/>
        </w:rPr>
        <w:t>supra</w:t>
      </w:r>
      <w:r w:rsidR="00161CB3" w:rsidRPr="00AA3ADC">
        <w:rPr>
          <w:rFonts w:asciiTheme="minorHAnsi" w:hAnsiTheme="minorHAnsi" w:cstheme="minorHAnsi"/>
          <w:sz w:val="20"/>
          <w:szCs w:val="20"/>
        </w:rPr>
        <w:t xml:space="preserve"> note </w:t>
      </w:r>
      <w:r w:rsidR="001112B9">
        <w:rPr>
          <w:rFonts w:asciiTheme="minorHAnsi" w:hAnsiTheme="minorHAnsi" w:cstheme="minorHAnsi"/>
          <w:color w:val="2B579A"/>
          <w:sz w:val="20"/>
          <w:szCs w:val="20"/>
          <w:shd w:val="clear" w:color="auto" w:fill="E6E6E6"/>
        </w:rPr>
        <w:t>1</w:t>
      </w:r>
      <w:r w:rsidR="00161CB3" w:rsidRPr="00AA3ADC">
        <w:rPr>
          <w:rFonts w:asciiTheme="minorHAnsi" w:hAnsiTheme="minorHAnsi" w:cstheme="minorHAnsi"/>
          <w:sz w:val="20"/>
          <w:szCs w:val="20"/>
        </w:rPr>
        <w:t xml:space="preserve">; Ku, </w:t>
      </w:r>
      <w:r w:rsidR="00161CB3" w:rsidRPr="00AA3ADC">
        <w:rPr>
          <w:rFonts w:asciiTheme="minorHAnsi" w:hAnsiTheme="minorHAnsi" w:cstheme="minorHAnsi"/>
          <w:color w:val="000000" w:themeColor="text1"/>
          <w:sz w:val="20"/>
          <w:szCs w:val="20"/>
        </w:rPr>
        <w:t xml:space="preserve">et al., </w:t>
      </w:r>
      <w:r w:rsidR="00161CB3" w:rsidRPr="00AA3ADC">
        <w:rPr>
          <w:rFonts w:asciiTheme="minorHAnsi" w:hAnsiTheme="minorHAnsi" w:cstheme="minorHAnsi"/>
          <w:i/>
          <w:iCs/>
          <w:color w:val="000000" w:themeColor="text1"/>
          <w:sz w:val="20"/>
          <w:szCs w:val="20"/>
        </w:rPr>
        <w:t>supra</w:t>
      </w:r>
      <w:r w:rsidR="00161CB3" w:rsidRPr="00AA3ADC">
        <w:rPr>
          <w:rFonts w:asciiTheme="minorHAnsi" w:hAnsiTheme="minorHAnsi" w:cstheme="minorHAnsi"/>
          <w:color w:val="000000" w:themeColor="text1"/>
          <w:sz w:val="20"/>
          <w:szCs w:val="20"/>
        </w:rPr>
        <w:t xml:space="preserve"> note</w:t>
      </w:r>
      <w:r w:rsidR="001112B9">
        <w:rPr>
          <w:rFonts w:asciiTheme="minorHAnsi" w:hAnsiTheme="minorHAnsi" w:cstheme="minorHAnsi"/>
          <w:color w:val="000000" w:themeColor="text1"/>
          <w:sz w:val="20"/>
          <w:szCs w:val="20"/>
        </w:rPr>
        <w:t>1</w:t>
      </w:r>
      <w:r w:rsidR="00161CB3" w:rsidRPr="00AA3ADC">
        <w:rPr>
          <w:rFonts w:asciiTheme="minorHAnsi" w:hAnsiTheme="minorHAnsi" w:cstheme="minorHAnsi"/>
          <w:color w:val="000000" w:themeColor="text1"/>
          <w:sz w:val="20"/>
          <w:szCs w:val="20"/>
        </w:rPr>
        <w:t xml:space="preserve">; Mohan, et al., </w:t>
      </w:r>
      <w:r w:rsidR="00161CB3" w:rsidRPr="00AA3ADC">
        <w:rPr>
          <w:rFonts w:asciiTheme="minorHAnsi" w:hAnsiTheme="minorHAnsi" w:cstheme="minorHAnsi"/>
          <w:i/>
          <w:iCs/>
          <w:color w:val="000000" w:themeColor="text1"/>
          <w:sz w:val="20"/>
          <w:szCs w:val="20"/>
        </w:rPr>
        <w:t>supra</w:t>
      </w:r>
      <w:r w:rsidR="00161CB3" w:rsidRPr="00AA3ADC">
        <w:rPr>
          <w:rFonts w:asciiTheme="minorHAnsi" w:hAnsiTheme="minorHAnsi" w:cstheme="minorHAnsi"/>
          <w:color w:val="000000" w:themeColor="text1"/>
          <w:sz w:val="20"/>
          <w:szCs w:val="20"/>
        </w:rPr>
        <w:t xml:space="preserve"> note</w:t>
      </w:r>
      <w:r w:rsidR="001112B9">
        <w:rPr>
          <w:rFonts w:asciiTheme="minorHAnsi" w:hAnsiTheme="minorHAnsi" w:cstheme="minorHAnsi"/>
          <w:color w:val="000000" w:themeColor="text1"/>
          <w:sz w:val="20"/>
          <w:szCs w:val="20"/>
        </w:rPr>
        <w:t>1</w:t>
      </w:r>
      <w:r w:rsidR="00161CB3" w:rsidRPr="00AA3ADC">
        <w:rPr>
          <w:rFonts w:asciiTheme="minorHAnsi" w:hAnsiTheme="minorHAnsi" w:cstheme="minorHAnsi"/>
          <w:color w:val="000000" w:themeColor="text1"/>
          <w:sz w:val="20"/>
          <w:szCs w:val="20"/>
        </w:rPr>
        <w:t xml:space="preserve">; Kim, et al., </w:t>
      </w:r>
      <w:hyperlink r:id="rId7" w:history="1">
        <w:r w:rsidR="00161CB3" w:rsidRPr="00AA3ADC">
          <w:rPr>
            <w:rStyle w:val="Hyperlink"/>
            <w:rFonts w:asciiTheme="minorHAnsi" w:hAnsiTheme="minorHAnsi" w:cstheme="minorHAnsi"/>
            <w:i/>
            <w:iCs/>
            <w:color w:val="000000" w:themeColor="text1"/>
            <w:sz w:val="20"/>
            <w:szCs w:val="20"/>
          </w:rPr>
          <w:t>The Importance of Safety-Net Hospitals in Emergency General Surgery</w:t>
        </w:r>
      </w:hyperlink>
      <w:r w:rsidR="00161CB3" w:rsidRPr="00AA3ADC">
        <w:rPr>
          <w:rFonts w:asciiTheme="minorHAnsi" w:hAnsiTheme="minorHAnsi" w:cstheme="minorHAnsi"/>
          <w:color w:val="000000" w:themeColor="text1"/>
          <w:sz w:val="20"/>
          <w:szCs w:val="20"/>
        </w:rPr>
        <w:t xml:space="preserve">, </w:t>
      </w:r>
      <w:r w:rsidR="00161CB3" w:rsidRPr="00AA3ADC">
        <w:rPr>
          <w:rFonts w:asciiTheme="minorHAnsi" w:hAnsiTheme="minorHAnsi" w:cstheme="minorHAnsi"/>
          <w:smallCaps/>
          <w:color w:val="000000" w:themeColor="text1"/>
          <w:sz w:val="20"/>
          <w:szCs w:val="20"/>
        </w:rPr>
        <w:t xml:space="preserve">J. Gastrointestinal Surgery </w:t>
      </w:r>
      <w:r w:rsidR="00161CB3" w:rsidRPr="00AA3ADC">
        <w:rPr>
          <w:rFonts w:asciiTheme="minorHAnsi" w:hAnsiTheme="minorHAnsi" w:cstheme="minorHAnsi"/>
          <w:color w:val="000000" w:themeColor="text1"/>
          <w:sz w:val="20"/>
          <w:szCs w:val="20"/>
        </w:rPr>
        <w:t xml:space="preserve">(2018), </w:t>
      </w:r>
      <w:r w:rsidR="00161CB3" w:rsidRPr="00AA3ADC">
        <w:rPr>
          <w:rFonts w:asciiTheme="minorHAnsi" w:hAnsiTheme="minorHAnsi" w:cstheme="minorHAnsi"/>
          <w:i/>
          <w:iCs/>
          <w:color w:val="000000" w:themeColor="text1"/>
          <w:sz w:val="20"/>
          <w:szCs w:val="20"/>
        </w:rPr>
        <w:t>available at</w:t>
      </w:r>
      <w:r w:rsidR="00161CB3" w:rsidRPr="00AA3ADC">
        <w:rPr>
          <w:rFonts w:asciiTheme="minorHAnsi" w:hAnsiTheme="minorHAnsi" w:cstheme="minorHAnsi"/>
          <w:color w:val="000000" w:themeColor="text1"/>
          <w:sz w:val="20"/>
          <w:szCs w:val="20"/>
        </w:rPr>
        <w:t xml:space="preserve"> </w:t>
      </w:r>
      <w:hyperlink r:id="rId8" w:history="1">
        <w:r w:rsidR="00161CB3" w:rsidRPr="00AA3ADC">
          <w:rPr>
            <w:rStyle w:val="Hyperlink"/>
            <w:rFonts w:asciiTheme="minorHAnsi" w:hAnsiTheme="minorHAnsi" w:cstheme="minorHAnsi"/>
            <w:color w:val="000000" w:themeColor="text1"/>
            <w:sz w:val="20"/>
            <w:szCs w:val="20"/>
          </w:rPr>
          <w:t>https://www.researchgate.net/profile/Young-Kim-122/publication/326565167_The_Importance_of_Safety-Net_Hospitals_in_Emergency_General_Surgery/links/5b6300f30f7e9bc79a762ac1/The-Importance-of-Safety-Net-Hospitals-in-Emergency-General-Surgery.pdf</w:t>
        </w:r>
      </w:hyperlink>
      <w:r w:rsidR="00161CB3" w:rsidRPr="00AA3ADC">
        <w:rPr>
          <w:rFonts w:asciiTheme="minorHAnsi" w:hAnsiTheme="minorHAnsi" w:cstheme="minorHAnsi"/>
          <w:color w:val="000000" w:themeColor="text1"/>
          <w:sz w:val="20"/>
          <w:szCs w:val="20"/>
        </w:rPr>
        <w:t xml:space="preserve"> .</w:t>
      </w:r>
    </w:p>
  </w:endnote>
  <w:endnote w:id="5">
    <w:p w14:paraId="57E373A4" w14:textId="11E13667" w:rsidR="00357FE9" w:rsidRPr="00AA3ADC" w:rsidRDefault="00357FE9" w:rsidP="00AA3ADC">
      <w:pPr>
        <w:pStyle w:val="NormalWeb"/>
        <w:rPr>
          <w:rFonts w:asciiTheme="minorHAnsi" w:hAnsiTheme="minorHAnsi" w:cstheme="minorHAnsi"/>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hyperlink r:id="rId9" w:history="1">
        <w:r w:rsidRPr="0091504D">
          <w:rPr>
            <w:rStyle w:val="Hyperlink"/>
            <w:rFonts w:asciiTheme="minorHAnsi" w:hAnsiTheme="minorHAnsi" w:cstheme="minorHAnsi"/>
            <w:i/>
            <w:iCs/>
            <w:color w:val="auto"/>
            <w:sz w:val="20"/>
            <w:szCs w:val="20"/>
            <w:u w:val="none"/>
          </w:rPr>
          <w:t>Magnetic Resonance Imaging (MRI),</w:t>
        </w:r>
      </w:hyperlink>
      <w:r w:rsidRPr="0091504D">
        <w:rPr>
          <w:rFonts w:asciiTheme="minorHAnsi" w:hAnsiTheme="minorHAnsi" w:cstheme="minorHAnsi"/>
          <w:i/>
          <w:iCs/>
          <w:sz w:val="20"/>
          <w:szCs w:val="20"/>
        </w:rPr>
        <w:t xml:space="preserve"> </w:t>
      </w:r>
      <w:r w:rsidRPr="0091504D">
        <w:rPr>
          <w:rFonts w:asciiTheme="minorHAnsi" w:hAnsiTheme="minorHAnsi" w:cstheme="minorHAnsi"/>
          <w:smallCaps/>
          <w:sz w:val="20"/>
          <w:szCs w:val="20"/>
        </w:rPr>
        <w:t>Nat’l Inst. Biomedical Imaging &amp; Bioengineering</w:t>
      </w:r>
      <w:r w:rsidRPr="0091504D">
        <w:rPr>
          <w:rFonts w:asciiTheme="minorHAnsi" w:hAnsiTheme="minorHAnsi" w:cstheme="minorHAnsi"/>
          <w:sz w:val="20"/>
          <w:szCs w:val="20"/>
        </w:rPr>
        <w:t xml:space="preserve">, </w:t>
      </w:r>
      <w:hyperlink r:id="rId10" w:history="1">
        <w:r w:rsidR="00936B03" w:rsidRPr="0091504D">
          <w:rPr>
            <w:rStyle w:val="Hyperlink"/>
            <w:rFonts w:asciiTheme="minorHAnsi" w:hAnsiTheme="minorHAnsi" w:cstheme="minorHAnsi"/>
            <w:color w:val="auto"/>
            <w:sz w:val="20"/>
            <w:szCs w:val="20"/>
            <w:u w:val="none"/>
          </w:rPr>
          <w:t>https://www.nibib.nih.gov/science-education/science-topics/magnetic-resonance-imaging-mri</w:t>
        </w:r>
      </w:hyperlink>
      <w:r w:rsidR="00936B03" w:rsidRPr="0091504D">
        <w:rPr>
          <w:rFonts w:asciiTheme="minorHAnsi" w:hAnsiTheme="minorHAnsi" w:cstheme="minorHAnsi"/>
          <w:sz w:val="20"/>
          <w:szCs w:val="20"/>
        </w:rPr>
        <w:t xml:space="preserve"> </w:t>
      </w:r>
      <w:r w:rsidRPr="0091504D">
        <w:rPr>
          <w:rFonts w:asciiTheme="minorHAnsi" w:hAnsiTheme="minorHAnsi" w:cstheme="minorHAnsi"/>
          <w:sz w:val="20"/>
          <w:szCs w:val="20"/>
        </w:rPr>
        <w:t xml:space="preserve"> (last visited May 13, 2023); Moser, et al., </w:t>
      </w:r>
      <w:hyperlink r:id="rId11" w:history="1">
        <w:r w:rsidRPr="0091504D">
          <w:rPr>
            <w:rStyle w:val="Hyperlink"/>
            <w:rFonts w:asciiTheme="minorHAnsi" w:hAnsiTheme="minorHAnsi" w:cstheme="minorHAnsi"/>
            <w:i/>
            <w:iCs/>
            <w:color w:val="auto"/>
            <w:sz w:val="20"/>
            <w:szCs w:val="20"/>
            <w:u w:val="none"/>
          </w:rPr>
          <w:t>Magnetic resonance imaging methodology</w:t>
        </w:r>
        <w:r w:rsidRPr="0091504D">
          <w:rPr>
            <w:rStyle w:val="Hyperlink"/>
            <w:rFonts w:asciiTheme="minorHAnsi" w:hAnsiTheme="minorHAnsi" w:cstheme="minorHAnsi"/>
            <w:color w:val="auto"/>
            <w:sz w:val="20"/>
            <w:szCs w:val="20"/>
            <w:u w:val="none"/>
          </w:rPr>
          <w:t>,</w:t>
        </w:r>
      </w:hyperlink>
      <w:r w:rsidRPr="0091504D">
        <w:rPr>
          <w:rFonts w:asciiTheme="minorHAnsi" w:hAnsiTheme="minorHAnsi" w:cstheme="minorHAnsi"/>
          <w:sz w:val="20"/>
          <w:szCs w:val="20"/>
        </w:rPr>
        <w:t xml:space="preserve"> 36 </w:t>
      </w:r>
      <w:r w:rsidRPr="0091504D">
        <w:rPr>
          <w:rFonts w:asciiTheme="minorHAnsi" w:hAnsiTheme="minorHAnsi" w:cstheme="minorHAnsi"/>
          <w:smallCaps/>
          <w:sz w:val="20"/>
          <w:szCs w:val="20"/>
        </w:rPr>
        <w:t>European J. Nuclear Med. &amp; Molecular Imaging</w:t>
      </w:r>
      <w:r w:rsidRPr="0091504D">
        <w:rPr>
          <w:rFonts w:asciiTheme="minorHAnsi" w:hAnsiTheme="minorHAnsi" w:cstheme="minorHAnsi"/>
          <w:sz w:val="20"/>
          <w:szCs w:val="20"/>
        </w:rPr>
        <w:t xml:space="preserve"> 30 (2009), </w:t>
      </w:r>
      <w:r w:rsidRPr="0091504D">
        <w:rPr>
          <w:rFonts w:asciiTheme="minorHAnsi" w:hAnsiTheme="minorHAnsi" w:cstheme="minorHAnsi"/>
          <w:i/>
          <w:iCs/>
          <w:sz w:val="20"/>
          <w:szCs w:val="20"/>
        </w:rPr>
        <w:t>available at</w:t>
      </w:r>
      <w:r w:rsidRPr="0091504D">
        <w:rPr>
          <w:rFonts w:asciiTheme="minorHAnsi" w:hAnsiTheme="minorHAnsi" w:cstheme="minorHAnsi"/>
          <w:sz w:val="20"/>
          <w:szCs w:val="20"/>
        </w:rPr>
        <w:t xml:space="preserve"> </w:t>
      </w:r>
      <w:hyperlink r:id="rId12" w:history="1">
        <w:r w:rsidR="00616947" w:rsidRPr="0091504D">
          <w:rPr>
            <w:rStyle w:val="Hyperlink"/>
            <w:rFonts w:asciiTheme="minorHAnsi" w:hAnsiTheme="minorHAnsi" w:cstheme="minorHAnsi"/>
            <w:color w:val="auto"/>
            <w:sz w:val="20"/>
            <w:szCs w:val="20"/>
            <w:u w:val="none"/>
          </w:rPr>
          <w:t>https://link.springer.com/article/10.1007/s00259-008-0938-3</w:t>
        </w:r>
      </w:hyperlink>
      <w:r w:rsidR="00616947" w:rsidRPr="0091504D">
        <w:rPr>
          <w:rFonts w:asciiTheme="minorHAnsi" w:hAnsiTheme="minorHAnsi" w:cstheme="minorHAnsi"/>
          <w:sz w:val="20"/>
          <w:szCs w:val="20"/>
        </w:rPr>
        <w:t xml:space="preserve"> </w:t>
      </w:r>
      <w:r w:rsidRPr="0091504D">
        <w:rPr>
          <w:rFonts w:asciiTheme="minorHAnsi" w:hAnsiTheme="minorHAnsi" w:cstheme="minorHAnsi"/>
          <w:sz w:val="20"/>
          <w:szCs w:val="20"/>
        </w:rPr>
        <w:t xml:space="preserve">. </w:t>
      </w:r>
    </w:p>
  </w:endnote>
  <w:endnote w:id="6">
    <w:p w14:paraId="4BD83D8F" w14:textId="2609BD78"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smallCaps/>
        </w:rPr>
        <w:t>Nat’l Inst. Biomedical Imaging &amp; Bioengineering</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note3; Moser, et al., </w:t>
      </w:r>
      <w:r w:rsidRPr="00AA3ADC">
        <w:rPr>
          <w:rFonts w:asciiTheme="minorHAnsi" w:hAnsiTheme="minorHAnsi" w:cstheme="minorHAnsi"/>
          <w:i/>
          <w:iCs/>
        </w:rPr>
        <w:t>supra</w:t>
      </w:r>
      <w:r w:rsidRPr="00AA3ADC">
        <w:rPr>
          <w:rFonts w:asciiTheme="minorHAnsi" w:hAnsiTheme="minorHAnsi" w:cstheme="minorHAnsi"/>
        </w:rPr>
        <w:t xml:space="preserve"> note 3.</w:t>
      </w:r>
    </w:p>
  </w:endnote>
  <w:endnote w:id="7">
    <w:p w14:paraId="41BE6EC4" w14:textId="5EB66FF8"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smallCaps/>
        </w:rPr>
        <w:t>Nat’l Inst. Biomedical Imaging &amp; Bioengineering</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 3; Moser, et al., </w:t>
      </w:r>
      <w:r w:rsidRPr="00AA3ADC">
        <w:rPr>
          <w:rFonts w:asciiTheme="minorHAnsi" w:hAnsiTheme="minorHAnsi" w:cstheme="minorHAnsi"/>
          <w:i/>
          <w:iCs/>
        </w:rPr>
        <w:t>supra</w:t>
      </w:r>
      <w:r w:rsidRPr="00AA3ADC">
        <w:rPr>
          <w:rFonts w:asciiTheme="minorHAnsi" w:hAnsiTheme="minorHAnsi" w:cstheme="minorHAnsi"/>
        </w:rPr>
        <w:t xml:space="preserve"> note 3.</w:t>
      </w:r>
    </w:p>
  </w:endnote>
  <w:endnote w:id="8">
    <w:p w14:paraId="41AC2A8C" w14:textId="4B797AC4"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Tanenbaum, </w:t>
      </w:r>
      <w:hyperlink r:id="rId13" w:history="1">
        <w:r w:rsidRPr="00C734CF">
          <w:rPr>
            <w:rStyle w:val="Hyperlink"/>
            <w:rFonts w:asciiTheme="minorHAnsi" w:hAnsiTheme="minorHAnsi" w:cstheme="minorHAnsi"/>
            <w:color w:val="auto"/>
            <w:u w:val="none"/>
          </w:rPr>
          <w:t>3T MRI in clinical practice</w:t>
        </w:r>
      </w:hyperlink>
      <w:r w:rsidRPr="00C734CF">
        <w:rPr>
          <w:rFonts w:asciiTheme="minorHAnsi" w:hAnsiTheme="minorHAnsi" w:cstheme="minorHAnsi"/>
        </w:rPr>
        <w:t xml:space="preserve">, 34 APPLIED RADIOLOGY 8 (2005), available at </w:t>
      </w:r>
      <w:hyperlink r:id="rId14" w:history="1">
        <w:r w:rsidR="00C734CF" w:rsidRPr="00C734CF">
          <w:rPr>
            <w:rStyle w:val="Hyperlink"/>
            <w:rFonts w:asciiTheme="minorHAnsi" w:hAnsiTheme="minorHAnsi" w:cstheme="minorHAnsi"/>
            <w:color w:val="auto"/>
            <w:u w:val="none"/>
          </w:rPr>
          <w:t>https://appliedradiology.com/articles/3t-mri-in-clinical-practice</w:t>
        </w:r>
      </w:hyperlink>
      <w:r w:rsidR="00C734CF" w:rsidRPr="00C734CF">
        <w:rPr>
          <w:rFonts w:asciiTheme="minorHAnsi" w:hAnsiTheme="minorHAnsi" w:cstheme="minorHAnsi"/>
        </w:rPr>
        <w:t xml:space="preserve"> </w:t>
      </w:r>
      <w:r w:rsidRPr="00C734CF">
        <w:rPr>
          <w:rFonts w:asciiTheme="minorHAnsi" w:hAnsiTheme="minorHAnsi" w:cstheme="minorHAnsi"/>
        </w:rPr>
        <w:t>.</w:t>
      </w:r>
    </w:p>
  </w:endnote>
  <w:endnote w:id="9">
    <w:p w14:paraId="2678373A" w14:textId="17F272F5"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Moser, et al., </w:t>
      </w:r>
      <w:r w:rsidRPr="00AA3ADC">
        <w:rPr>
          <w:rFonts w:asciiTheme="minorHAnsi" w:hAnsiTheme="minorHAnsi" w:cstheme="minorHAnsi"/>
          <w:i/>
          <w:iCs/>
        </w:rPr>
        <w:t>supra</w:t>
      </w:r>
      <w:r w:rsidRPr="00AA3ADC">
        <w:rPr>
          <w:rFonts w:asciiTheme="minorHAnsi" w:hAnsiTheme="minorHAnsi" w:cstheme="minorHAnsi"/>
        </w:rPr>
        <w:t xml:space="preserve"> note 3. </w:t>
      </w:r>
    </w:p>
  </w:endnote>
  <w:endnote w:id="10">
    <w:p w14:paraId="6CEB7187"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bookmarkStart w:id="45" w:name="_Hlk138151103"/>
      <w:r w:rsidRPr="00AA3ADC">
        <w:rPr>
          <w:rFonts w:asciiTheme="minorHAnsi" w:hAnsiTheme="minorHAnsi" w:cstheme="minorHAnsi"/>
          <w:i/>
          <w:iCs/>
        </w:rPr>
        <w:t>Id.</w:t>
      </w:r>
      <w:bookmarkEnd w:id="45"/>
    </w:p>
  </w:endnote>
  <w:endnote w:id="11">
    <w:p w14:paraId="1F6F307F" w14:textId="52773674"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i/>
          <w:iCs/>
        </w:rPr>
        <w:t xml:space="preserve">Technology Trends: MRI Time to Upgrade? </w:t>
      </w:r>
      <w:r w:rsidRPr="00AA3ADC">
        <w:rPr>
          <w:rStyle w:val="Strong"/>
          <w:rFonts w:asciiTheme="minorHAnsi" w:hAnsiTheme="minorHAnsi" w:cstheme="minorHAnsi"/>
          <w:i/>
          <w:iCs/>
          <w:color w:val="333333"/>
        </w:rPr>
        <w:t>—</w:t>
      </w:r>
      <w:r w:rsidRPr="00AA3ADC">
        <w:rPr>
          <w:rStyle w:val="Strong"/>
          <w:rFonts w:asciiTheme="minorHAnsi" w:hAnsiTheme="minorHAnsi" w:cstheme="minorHAnsi"/>
          <w:color w:val="333333"/>
        </w:rPr>
        <w:t xml:space="preserve"> </w:t>
      </w:r>
      <w:hyperlink r:id="rId15" w:history="1">
        <w:r w:rsidRPr="00EA7CB8">
          <w:rPr>
            <w:rStyle w:val="Hyperlink"/>
            <w:rFonts w:asciiTheme="minorHAnsi" w:hAnsiTheme="minorHAnsi" w:cstheme="minorHAnsi"/>
            <w:b/>
            <w:bCs/>
            <w:i/>
            <w:iCs/>
            <w:color w:val="auto"/>
            <w:u w:val="none"/>
          </w:rPr>
          <w:t>Considerations for the Move From 1.5T to 3T</w:t>
        </w:r>
      </w:hyperlink>
      <w:r w:rsidRPr="00EA7CB8">
        <w:rPr>
          <w:rStyle w:val="Strong"/>
          <w:rFonts w:asciiTheme="minorHAnsi" w:hAnsiTheme="minorHAnsi" w:cstheme="minorHAnsi"/>
          <w:b w:val="0"/>
          <w:bCs w:val="0"/>
        </w:rPr>
        <w:t xml:space="preserve">, 17 </w:t>
      </w:r>
      <w:r w:rsidRPr="00EA7CB8">
        <w:rPr>
          <w:rStyle w:val="Strong"/>
          <w:rFonts w:asciiTheme="minorHAnsi" w:hAnsiTheme="minorHAnsi" w:cstheme="minorHAnsi"/>
          <w:b w:val="0"/>
          <w:bCs w:val="0"/>
          <w:smallCaps/>
        </w:rPr>
        <w:t>Radiology Today</w:t>
      </w:r>
      <w:r w:rsidRPr="00EA7CB8">
        <w:rPr>
          <w:rStyle w:val="Strong"/>
          <w:rFonts w:asciiTheme="minorHAnsi" w:hAnsiTheme="minorHAnsi" w:cstheme="minorHAnsi"/>
          <w:b w:val="0"/>
          <w:bCs w:val="0"/>
        </w:rPr>
        <w:t xml:space="preserve"> 22 (2016), </w:t>
      </w:r>
      <w:r w:rsidRPr="00EA7CB8">
        <w:rPr>
          <w:rStyle w:val="Strong"/>
          <w:rFonts w:asciiTheme="minorHAnsi" w:hAnsiTheme="minorHAnsi" w:cstheme="minorHAnsi"/>
          <w:b w:val="0"/>
          <w:bCs w:val="0"/>
          <w:i/>
          <w:iCs/>
        </w:rPr>
        <w:t>available at</w:t>
      </w:r>
      <w:r w:rsidRPr="00EA7CB8">
        <w:rPr>
          <w:rStyle w:val="Strong"/>
          <w:rFonts w:asciiTheme="minorHAnsi" w:hAnsiTheme="minorHAnsi" w:cstheme="minorHAnsi"/>
          <w:b w:val="0"/>
          <w:bCs w:val="0"/>
        </w:rPr>
        <w:t xml:space="preserve"> </w:t>
      </w:r>
      <w:hyperlink r:id="rId16" w:history="1">
        <w:r w:rsidR="00EA7CB8" w:rsidRPr="00EA7CB8">
          <w:rPr>
            <w:rStyle w:val="Hyperlink"/>
            <w:rFonts w:asciiTheme="minorHAnsi" w:hAnsiTheme="minorHAnsi" w:cstheme="minorHAnsi"/>
            <w:b/>
            <w:bCs/>
            <w:color w:val="auto"/>
            <w:u w:val="none"/>
          </w:rPr>
          <w:t>https://www.radiologytoday.net/archive/rt0216p22.shtml</w:t>
        </w:r>
      </w:hyperlink>
      <w:r w:rsidR="00EA7CB8" w:rsidRPr="00EA7CB8">
        <w:rPr>
          <w:rStyle w:val="Strong"/>
          <w:rFonts w:asciiTheme="minorHAnsi" w:hAnsiTheme="minorHAnsi" w:cstheme="minorHAnsi"/>
        </w:rPr>
        <w:t xml:space="preserve"> </w:t>
      </w:r>
      <w:r w:rsidRPr="00AA3ADC">
        <w:rPr>
          <w:rStyle w:val="Strong"/>
          <w:rFonts w:asciiTheme="minorHAnsi" w:hAnsiTheme="minorHAnsi" w:cstheme="minorHAnsi"/>
          <w:color w:val="333333"/>
        </w:rPr>
        <w:t xml:space="preserve">; </w:t>
      </w:r>
      <w:hyperlink r:id="rId17" w:history="1">
        <w:r w:rsidRPr="00EA7CB8">
          <w:rPr>
            <w:rStyle w:val="Hyperlink"/>
            <w:rFonts w:asciiTheme="minorHAnsi" w:hAnsiTheme="minorHAnsi" w:cstheme="minorHAnsi"/>
            <w:i/>
            <w:iCs/>
            <w:color w:val="auto"/>
            <w:u w:val="none"/>
          </w:rPr>
          <w:t>What Does Tesla Mean for an MRI and its Magnet?</w:t>
        </w:r>
        <w:r w:rsidRPr="00EA7CB8">
          <w:rPr>
            <w:rStyle w:val="Hyperlink"/>
            <w:rFonts w:asciiTheme="minorHAnsi" w:hAnsiTheme="minorHAnsi" w:cstheme="minorHAnsi"/>
            <w:color w:val="auto"/>
            <w:u w:val="none"/>
          </w:rPr>
          <w:t>,</w:t>
        </w:r>
      </w:hyperlink>
      <w:r w:rsidRPr="00EA7CB8">
        <w:rPr>
          <w:rFonts w:asciiTheme="minorHAnsi" w:hAnsiTheme="minorHAnsi" w:cstheme="minorHAnsi"/>
        </w:rPr>
        <w:t xml:space="preserve"> </w:t>
      </w:r>
      <w:r w:rsidRPr="00EA7CB8">
        <w:rPr>
          <w:rFonts w:asciiTheme="minorHAnsi" w:hAnsiTheme="minorHAnsi" w:cstheme="minorHAnsi"/>
          <w:smallCaps/>
        </w:rPr>
        <w:t>GE Healthcare</w:t>
      </w:r>
      <w:r w:rsidRPr="00EA7CB8">
        <w:rPr>
          <w:rFonts w:asciiTheme="minorHAnsi" w:hAnsiTheme="minorHAnsi" w:cstheme="minorHAnsi"/>
        </w:rPr>
        <w:t xml:space="preserve"> (2019), </w:t>
      </w:r>
      <w:hyperlink r:id="rId18" w:history="1">
        <w:r w:rsidR="00EA7CB8" w:rsidRPr="00EA7CB8">
          <w:rPr>
            <w:rStyle w:val="Hyperlink"/>
            <w:rFonts w:asciiTheme="minorHAnsi" w:hAnsiTheme="minorHAnsi" w:cstheme="minorHAnsi"/>
            <w:color w:val="auto"/>
            <w:u w:val="none"/>
          </w:rPr>
          <w:t>https://www.gehealthcare.com/insights/article/what-does-tesla-mean-for-an-mri-and-its-magnet</w:t>
        </w:r>
      </w:hyperlink>
      <w:r w:rsidR="00EA7CB8" w:rsidRPr="00EA7CB8">
        <w:rPr>
          <w:rFonts w:asciiTheme="minorHAnsi" w:hAnsiTheme="minorHAnsi" w:cstheme="minorHAnsi"/>
        </w:rPr>
        <w:t xml:space="preserve"> </w:t>
      </w:r>
      <w:r w:rsidRPr="00EA7CB8">
        <w:rPr>
          <w:rFonts w:asciiTheme="minorHAnsi" w:hAnsiTheme="minorHAnsi" w:cstheme="minorHAnsi"/>
        </w:rPr>
        <w:t>.</w:t>
      </w:r>
    </w:p>
  </w:endnote>
  <w:endnote w:id="12">
    <w:p w14:paraId="04E9126E" w14:textId="5425985A"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19" w:history="1">
        <w:r w:rsidRPr="00EA7CB8">
          <w:rPr>
            <w:rStyle w:val="Hyperlink"/>
            <w:rFonts w:asciiTheme="minorHAnsi" w:hAnsiTheme="minorHAnsi" w:cstheme="minorHAnsi"/>
            <w:color w:val="auto"/>
            <w:u w:val="none"/>
          </w:rPr>
          <w:t>Technology Trends: MRI Time to Upgrade? — Considerations for the Move From 1.5T to 3T</w:t>
        </w:r>
      </w:hyperlink>
      <w:r w:rsidRPr="00EA7CB8">
        <w:rPr>
          <w:rFonts w:asciiTheme="minorHAnsi" w:hAnsiTheme="minorHAnsi" w:cstheme="minorHAnsi"/>
        </w:rPr>
        <w:t xml:space="preserve">, 17 RADIOLOGY TODAY 22 (2016), available at </w:t>
      </w:r>
      <w:hyperlink r:id="rId20" w:history="1">
        <w:r w:rsidR="00EA7CB8" w:rsidRPr="00EA7CB8">
          <w:rPr>
            <w:rStyle w:val="Hyperlink"/>
            <w:rFonts w:asciiTheme="minorHAnsi" w:hAnsiTheme="minorHAnsi" w:cstheme="minorHAnsi"/>
            <w:color w:val="auto"/>
            <w:u w:val="none"/>
          </w:rPr>
          <w:t>https://www.radiologytoday.net/archive/rt0216p22.shtml</w:t>
        </w:r>
      </w:hyperlink>
      <w:r w:rsidR="00EA7CB8" w:rsidRPr="00EA7CB8">
        <w:rPr>
          <w:rFonts w:asciiTheme="minorHAnsi" w:hAnsiTheme="minorHAnsi" w:cstheme="minorHAnsi"/>
        </w:rPr>
        <w:t xml:space="preserve"> </w:t>
      </w:r>
      <w:r w:rsidRPr="00EA7CB8">
        <w:rPr>
          <w:rFonts w:asciiTheme="minorHAnsi" w:hAnsiTheme="minorHAnsi" w:cstheme="minorHAnsi"/>
        </w:rPr>
        <w:t xml:space="preserve">; What Does </w:t>
      </w:r>
      <w:r w:rsidRPr="00AA3ADC">
        <w:rPr>
          <w:rFonts w:asciiTheme="minorHAnsi" w:hAnsiTheme="minorHAnsi" w:cstheme="minorHAnsi"/>
        </w:rPr>
        <w:t xml:space="preserve">Tesla Mean for an MRI and its Magnet?, </w:t>
      </w:r>
      <w:r w:rsidR="006406AA" w:rsidRPr="006406AA">
        <w:rPr>
          <w:rFonts w:asciiTheme="minorHAnsi" w:hAnsiTheme="minorHAnsi" w:cstheme="minorHAnsi"/>
          <w:i/>
          <w:iCs/>
        </w:rPr>
        <w:t>supra</w:t>
      </w:r>
      <w:r w:rsidR="006406AA" w:rsidRPr="006406AA">
        <w:rPr>
          <w:rFonts w:asciiTheme="minorHAnsi" w:hAnsiTheme="minorHAnsi" w:cstheme="minorHAnsi"/>
        </w:rPr>
        <w:t xml:space="preserve"> note 9</w:t>
      </w:r>
    </w:p>
  </w:endnote>
  <w:endnote w:id="13">
    <w:p w14:paraId="68D1E7CD" w14:textId="24F2E719"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Tanenbaum, </w:t>
      </w:r>
      <w:r w:rsidRPr="00AA3ADC">
        <w:rPr>
          <w:rFonts w:asciiTheme="minorHAnsi" w:hAnsiTheme="minorHAnsi" w:cstheme="minorHAnsi"/>
          <w:i/>
          <w:iCs/>
        </w:rPr>
        <w:t>supra note</w:t>
      </w:r>
      <w:r w:rsidRPr="00AA3ADC">
        <w:rPr>
          <w:rFonts w:asciiTheme="minorHAnsi" w:hAnsiTheme="minorHAnsi" w:cstheme="minorHAnsi"/>
        </w:rPr>
        <w:t xml:space="preserve"> </w:t>
      </w:r>
      <w:r w:rsidR="001112B9">
        <w:rPr>
          <w:rFonts w:asciiTheme="minorHAnsi" w:hAnsiTheme="minorHAnsi" w:cstheme="minorHAnsi"/>
        </w:rPr>
        <w:t>6</w:t>
      </w:r>
      <w:r w:rsidRPr="00AA3ADC">
        <w:rPr>
          <w:rFonts w:asciiTheme="minorHAnsi" w:hAnsiTheme="minorHAnsi" w:cstheme="minorHAnsi"/>
        </w:rPr>
        <w:t xml:space="preserve">; </w:t>
      </w:r>
      <w:r w:rsidRPr="00AA3ADC">
        <w:rPr>
          <w:rFonts w:asciiTheme="minorHAnsi" w:hAnsiTheme="minorHAnsi" w:cstheme="minorHAnsi"/>
          <w:i/>
          <w:iCs/>
        </w:rPr>
        <w:t>What Does Tesla Mean for an MRI and its Magnet?</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 </w:t>
      </w:r>
      <w:r w:rsidR="006406AA">
        <w:rPr>
          <w:rFonts w:asciiTheme="minorHAnsi" w:hAnsiTheme="minorHAnsi" w:cstheme="minorHAnsi"/>
        </w:rPr>
        <w:t>9</w:t>
      </w:r>
      <w:r w:rsidRPr="00AA3ADC">
        <w:rPr>
          <w:rFonts w:asciiTheme="minorHAnsi" w:hAnsiTheme="minorHAnsi" w:cstheme="minorHAnsi"/>
        </w:rPr>
        <w:t>.</w:t>
      </w:r>
    </w:p>
  </w:endnote>
  <w:endnote w:id="14">
    <w:p w14:paraId="57B6870D"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Jung JI. Magnetic Resonance Imaging for Patients with Cardiac Implantable Electronic Devices: Reduced Concerns Regarding Safety, but Scrutiny Remains Critical. Korean Circ J. 2016 Nov;46(6):765-767. doi: 10.4070/kcj.2016.46.6.765. Epub 2016 Nov 1. PMID: 27826333; PMCID: PMC5099330.</w:t>
      </w:r>
    </w:p>
  </w:endnote>
  <w:endnote w:id="15">
    <w:p w14:paraId="1067E6ED"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16">
    <w:p w14:paraId="7D12C678" w14:textId="1A278432"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Saman Nazarian, Roy Beinart, Henry R. Halperin. </w:t>
      </w:r>
      <w:hyperlink r:id="rId21" w:history="1">
        <w:r w:rsidRPr="00EA7CB8">
          <w:rPr>
            <w:rStyle w:val="Hyperlink"/>
            <w:rFonts w:asciiTheme="minorHAnsi" w:hAnsiTheme="minorHAnsi" w:cstheme="minorHAnsi"/>
            <w:color w:val="auto"/>
            <w:u w:val="none"/>
          </w:rPr>
          <w:t>Magnetic Resonance Imaging and Implantable Devices 2013</w:t>
        </w:r>
      </w:hyperlink>
      <w:r w:rsidRPr="00EA7CB8">
        <w:rPr>
          <w:rFonts w:asciiTheme="minorHAnsi" w:hAnsiTheme="minorHAnsi" w:cstheme="minorHAnsi"/>
        </w:rPr>
        <w:t xml:space="preserve">. Circulation: Arrhythmia and Electrophysiology 419-428. Vol. 6 doi:10.1161/CIRCEP.113.000116 </w:t>
      </w:r>
      <w:hyperlink r:id="rId22" w:history="1">
        <w:r w:rsidR="00EA7CB8" w:rsidRPr="00EA7CB8">
          <w:rPr>
            <w:rStyle w:val="Hyperlink"/>
            <w:rFonts w:asciiTheme="minorHAnsi" w:hAnsiTheme="minorHAnsi" w:cstheme="minorHAnsi"/>
            <w:color w:val="auto"/>
            <w:u w:val="none"/>
          </w:rPr>
          <w:t>https://www.ahajournals.org/doi/abs/10.1161/CIRCEP.113.000116</w:t>
        </w:r>
      </w:hyperlink>
      <w:r w:rsidR="00EA7CB8" w:rsidRPr="00EA7CB8">
        <w:rPr>
          <w:rFonts w:asciiTheme="minorHAnsi" w:hAnsiTheme="minorHAnsi" w:cstheme="minorHAnsi"/>
        </w:rPr>
        <w:t xml:space="preserve"> </w:t>
      </w:r>
    </w:p>
  </w:endnote>
  <w:endnote w:id="17">
    <w:p w14:paraId="5454E885"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18">
    <w:p w14:paraId="726C505C" w14:textId="77777777" w:rsidR="00357FE9" w:rsidRPr="00AA3ADC" w:rsidRDefault="00357FE9" w:rsidP="00AA3ADC">
      <w:pPr>
        <w:pStyle w:val="NormalWeb"/>
        <w:rPr>
          <w:rFonts w:asciiTheme="minorHAnsi" w:hAnsiTheme="minorHAnsi" w:cstheme="minorHAnsi"/>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Pr="00AA3ADC">
        <w:rPr>
          <w:rFonts w:asciiTheme="minorHAnsi" w:hAnsiTheme="minorHAnsi" w:cstheme="minorHAnsi"/>
          <w:smallCaps/>
          <w:sz w:val="20"/>
          <w:szCs w:val="20"/>
        </w:rPr>
        <w:t xml:space="preserve">World Health Organization, </w:t>
      </w:r>
      <w:r w:rsidRPr="00AA3ADC">
        <w:rPr>
          <w:rFonts w:asciiTheme="minorHAnsi" w:hAnsiTheme="minorHAnsi" w:cstheme="minorHAnsi"/>
          <w:i/>
          <w:iCs/>
          <w:sz w:val="20"/>
          <w:szCs w:val="20"/>
        </w:rPr>
        <w:t>supra</w:t>
      </w:r>
      <w:r w:rsidRPr="00AA3ADC">
        <w:rPr>
          <w:rFonts w:asciiTheme="minorHAnsi" w:hAnsiTheme="minorHAnsi" w:cstheme="minorHAnsi"/>
          <w:sz w:val="20"/>
          <w:szCs w:val="20"/>
        </w:rPr>
        <w:t xml:space="preserve"> note </w:t>
      </w:r>
      <w:r w:rsidRPr="00AA3ADC">
        <w:rPr>
          <w:rFonts w:asciiTheme="minorHAnsi" w:hAnsiTheme="minorHAnsi" w:cstheme="minorHAnsi"/>
          <w:sz w:val="20"/>
          <w:szCs w:val="20"/>
        </w:rPr>
        <w:fldChar w:fldCharType="begin"/>
      </w:r>
      <w:r w:rsidRPr="00AA3ADC">
        <w:rPr>
          <w:rFonts w:asciiTheme="minorHAnsi" w:hAnsiTheme="minorHAnsi" w:cstheme="minorHAnsi"/>
          <w:sz w:val="20"/>
          <w:szCs w:val="20"/>
        </w:rPr>
        <w:instrText xml:space="preserve"> NOTEREF _Ref135141700 \h  \* MERGEFORMAT </w:instrText>
      </w:r>
      <w:r w:rsidRPr="00AA3ADC">
        <w:rPr>
          <w:rFonts w:asciiTheme="minorHAnsi" w:hAnsiTheme="minorHAnsi" w:cstheme="minorHAnsi"/>
          <w:sz w:val="20"/>
          <w:szCs w:val="20"/>
        </w:rPr>
      </w:r>
      <w:r w:rsidRPr="00AA3ADC">
        <w:rPr>
          <w:rFonts w:asciiTheme="minorHAnsi" w:hAnsiTheme="minorHAnsi" w:cstheme="minorHAnsi"/>
          <w:sz w:val="20"/>
          <w:szCs w:val="20"/>
        </w:rPr>
        <w:fldChar w:fldCharType="separate"/>
      </w:r>
      <w:r w:rsidRPr="00AA3ADC">
        <w:rPr>
          <w:rFonts w:asciiTheme="minorHAnsi" w:hAnsiTheme="minorHAnsi" w:cstheme="minorHAnsi"/>
          <w:sz w:val="20"/>
          <w:szCs w:val="20"/>
        </w:rPr>
        <w:t>30</w:t>
      </w:r>
      <w:r w:rsidRPr="00AA3ADC">
        <w:rPr>
          <w:rFonts w:asciiTheme="minorHAnsi" w:hAnsiTheme="minorHAnsi" w:cstheme="minorHAnsi"/>
          <w:sz w:val="20"/>
          <w:szCs w:val="20"/>
        </w:rPr>
        <w:fldChar w:fldCharType="end"/>
      </w:r>
      <w:r w:rsidRPr="00AA3ADC">
        <w:rPr>
          <w:rFonts w:asciiTheme="minorHAnsi" w:hAnsiTheme="minorHAnsi" w:cstheme="minorHAnsi"/>
          <w:sz w:val="20"/>
          <w:szCs w:val="20"/>
        </w:rPr>
        <w:t>.</w:t>
      </w:r>
    </w:p>
  </w:endnote>
  <w:endnote w:id="19">
    <w:p w14:paraId="3D0076FF" w14:textId="66780679"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644280" w:rsidRPr="00AA3ADC">
        <w:rPr>
          <w:rFonts w:asciiTheme="minorHAnsi" w:hAnsiTheme="minorHAnsi" w:cstheme="minorHAnsi"/>
        </w:rPr>
        <w:t xml:space="preserve">Lasser,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w:t>
      </w:r>
      <w:r w:rsidR="001112B9">
        <w:rPr>
          <w:rFonts w:asciiTheme="minorHAnsi" w:hAnsiTheme="minorHAnsi" w:cstheme="minorHAnsi"/>
        </w:rPr>
        <w:t xml:space="preserve"> 1</w:t>
      </w:r>
      <w:r w:rsidR="00644280" w:rsidRPr="00AA3ADC">
        <w:rPr>
          <w:rFonts w:asciiTheme="minorHAnsi" w:hAnsiTheme="minorHAnsi" w:cstheme="minorHAnsi"/>
        </w:rPr>
        <w:t xml:space="preserve">; Ku,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w:t>
      </w:r>
      <w:r w:rsidR="001112B9">
        <w:rPr>
          <w:rFonts w:asciiTheme="minorHAnsi" w:hAnsiTheme="minorHAnsi" w:cstheme="minorHAnsi"/>
        </w:rPr>
        <w:t xml:space="preserve"> 1</w:t>
      </w:r>
      <w:r w:rsidR="00644280" w:rsidRPr="00AA3ADC">
        <w:rPr>
          <w:rFonts w:asciiTheme="minorHAnsi" w:hAnsiTheme="minorHAnsi" w:cstheme="minorHAnsi"/>
        </w:rPr>
        <w:t xml:space="preserve">; Mohan,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 </w:t>
      </w:r>
      <w:r w:rsidR="001112B9">
        <w:rPr>
          <w:rFonts w:asciiTheme="minorHAnsi" w:hAnsiTheme="minorHAnsi" w:cstheme="minorHAnsi"/>
          <w:shd w:val="clear" w:color="auto" w:fill="E6E6E6"/>
        </w:rPr>
        <w:t>1</w:t>
      </w:r>
      <w:r w:rsidR="00644280" w:rsidRPr="00AA3ADC">
        <w:rPr>
          <w:rFonts w:asciiTheme="minorHAnsi" w:hAnsiTheme="minorHAnsi" w:cstheme="minorHAnsi"/>
        </w:rPr>
        <w:t>; Kim, et al.</w:t>
      </w:r>
      <w:r w:rsidR="001112B9">
        <w:rPr>
          <w:rFonts w:asciiTheme="minorHAnsi" w:hAnsiTheme="minorHAnsi" w:cstheme="minorHAnsi"/>
        </w:rPr>
        <w:t xml:space="preserve">, </w:t>
      </w:r>
      <w:r w:rsidR="001112B9" w:rsidRPr="001112B9">
        <w:rPr>
          <w:rFonts w:asciiTheme="minorHAnsi" w:hAnsiTheme="minorHAnsi" w:cstheme="minorHAnsi"/>
          <w:i/>
          <w:iCs/>
        </w:rPr>
        <w:t>supra</w:t>
      </w:r>
      <w:r w:rsidR="001112B9" w:rsidRPr="001112B9">
        <w:rPr>
          <w:rFonts w:asciiTheme="minorHAnsi" w:hAnsiTheme="minorHAnsi" w:cstheme="minorHAnsi"/>
        </w:rPr>
        <w:t xml:space="preserve"> note 1</w:t>
      </w:r>
    </w:p>
  </w:endnote>
  <w:endnote w:id="20">
    <w:p w14:paraId="33606399" w14:textId="56204C0E" w:rsidR="0001465A" w:rsidRPr="00AA3ADC" w:rsidRDefault="0001465A" w:rsidP="00AA3ADC">
      <w:pPr>
        <w:pStyle w:val="Heading1"/>
        <w:spacing w:before="0" w:line="240" w:lineRule="auto"/>
        <w:rPr>
          <w:rFonts w:asciiTheme="minorHAnsi" w:hAnsiTheme="minorHAnsi" w:cstheme="minorHAnsi"/>
          <w:b w:val="0"/>
          <w:bCs w:val="0"/>
          <w:color w:val="212121"/>
          <w:sz w:val="20"/>
          <w:szCs w:val="20"/>
        </w:rPr>
      </w:pPr>
      <w:r w:rsidRPr="00AA3ADC">
        <w:rPr>
          <w:rStyle w:val="EndnoteReference"/>
          <w:rFonts w:asciiTheme="minorHAnsi" w:hAnsiTheme="minorHAnsi" w:cstheme="minorHAnsi"/>
          <w:color w:val="auto"/>
          <w:sz w:val="20"/>
          <w:szCs w:val="20"/>
        </w:rPr>
        <w:endnoteRef/>
      </w:r>
      <w:r w:rsidRPr="00AA3ADC">
        <w:rPr>
          <w:rFonts w:asciiTheme="minorHAnsi" w:hAnsiTheme="minorHAnsi" w:cstheme="minorHAnsi"/>
          <w:color w:val="auto"/>
          <w:sz w:val="20"/>
          <w:szCs w:val="20"/>
        </w:rPr>
        <w:t xml:space="preserve"> </w:t>
      </w:r>
      <w:r w:rsidR="00066BCA" w:rsidRPr="00AA3ADC">
        <w:rPr>
          <w:rFonts w:asciiTheme="minorHAnsi" w:hAnsiTheme="minorHAnsi" w:cstheme="minorHAnsi"/>
          <w:b w:val="0"/>
          <w:bCs w:val="0"/>
          <w:color w:val="auto"/>
          <w:sz w:val="20"/>
          <w:szCs w:val="20"/>
        </w:rPr>
        <w:t>Lasser, et al.,</w:t>
      </w:r>
      <w:hyperlink r:id="rId23" w:history="1">
        <w:r w:rsidR="00066BCA" w:rsidRPr="00AA3ADC">
          <w:rPr>
            <w:rStyle w:val="Hyperlink"/>
            <w:rFonts w:asciiTheme="minorHAnsi" w:hAnsiTheme="minorHAnsi" w:cstheme="minorHAnsi"/>
            <w:b w:val="0"/>
            <w:bCs w:val="0"/>
            <w:i/>
            <w:iCs/>
            <w:color w:val="auto"/>
            <w:sz w:val="20"/>
            <w:szCs w:val="20"/>
            <w:u w:val="none"/>
          </w:rPr>
          <w:t xml:space="preserve"> Massachusetts Health Reform’s Effect on Hospitals’ Racial Mix of Patients and on Patients’ Use of Safety-net Hospitals</w:t>
        </w:r>
      </w:hyperlink>
      <w:r w:rsidR="00066BCA" w:rsidRPr="00AA3ADC">
        <w:rPr>
          <w:rFonts w:asciiTheme="minorHAnsi" w:hAnsiTheme="minorHAnsi" w:cstheme="minorHAnsi"/>
          <w:b w:val="0"/>
          <w:bCs w:val="0"/>
          <w:i/>
          <w:iCs/>
          <w:color w:val="auto"/>
          <w:sz w:val="20"/>
          <w:szCs w:val="20"/>
        </w:rPr>
        <w:t>,</w:t>
      </w:r>
      <w:r w:rsidR="00066BCA" w:rsidRPr="00AA3ADC">
        <w:rPr>
          <w:rStyle w:val="Emphasis"/>
          <w:rFonts w:asciiTheme="minorHAnsi" w:hAnsiTheme="minorHAnsi" w:cstheme="minorHAnsi"/>
          <w:b w:val="0"/>
          <w:bCs w:val="0"/>
          <w:color w:val="auto"/>
          <w:sz w:val="20"/>
          <w:szCs w:val="20"/>
        </w:rPr>
        <w:t xml:space="preserve"> 54 </w:t>
      </w:r>
      <w:r w:rsidR="00066BCA" w:rsidRPr="00AA3ADC">
        <w:rPr>
          <w:rStyle w:val="Emphasis"/>
          <w:rFonts w:asciiTheme="minorHAnsi" w:hAnsiTheme="minorHAnsi" w:cstheme="minorHAnsi"/>
          <w:b w:val="0"/>
          <w:bCs w:val="0"/>
          <w:smallCaps/>
          <w:color w:val="auto"/>
          <w:sz w:val="20"/>
          <w:szCs w:val="20"/>
        </w:rPr>
        <w:t>Medical Care</w:t>
      </w:r>
      <w:r w:rsidR="00066BCA" w:rsidRPr="00AA3ADC">
        <w:rPr>
          <w:rFonts w:asciiTheme="minorHAnsi" w:hAnsiTheme="minorHAnsi" w:cstheme="minorHAnsi"/>
          <w:b w:val="0"/>
          <w:bCs w:val="0"/>
          <w:color w:val="auto"/>
          <w:sz w:val="20"/>
          <w:szCs w:val="20"/>
        </w:rPr>
        <w:t xml:space="preserve"> 827 (2016), </w:t>
      </w:r>
      <w:r w:rsidR="00066BCA" w:rsidRPr="00AA3ADC">
        <w:rPr>
          <w:rFonts w:asciiTheme="minorHAnsi" w:hAnsiTheme="minorHAnsi" w:cstheme="minorHAnsi"/>
          <w:b w:val="0"/>
          <w:bCs w:val="0"/>
          <w:i/>
          <w:iCs/>
          <w:color w:val="auto"/>
          <w:sz w:val="20"/>
          <w:szCs w:val="20"/>
        </w:rPr>
        <w:t>available at</w:t>
      </w:r>
      <w:r w:rsidR="00066BCA" w:rsidRPr="00AA3ADC">
        <w:rPr>
          <w:rFonts w:asciiTheme="minorHAnsi" w:hAnsiTheme="minorHAnsi" w:cstheme="minorHAnsi"/>
          <w:b w:val="0"/>
          <w:bCs w:val="0"/>
          <w:color w:val="auto"/>
          <w:sz w:val="20"/>
          <w:szCs w:val="20"/>
        </w:rPr>
        <w:t xml:space="preserve"> </w:t>
      </w:r>
      <w:hyperlink r:id="rId24" w:history="1">
        <w:r w:rsidR="00066BCA" w:rsidRPr="00AA3ADC">
          <w:rPr>
            <w:rStyle w:val="Hyperlink"/>
            <w:rFonts w:asciiTheme="minorHAnsi" w:hAnsiTheme="minorHAnsi" w:cstheme="minorHAnsi"/>
            <w:b w:val="0"/>
            <w:bCs w:val="0"/>
            <w:color w:val="auto"/>
            <w:sz w:val="20"/>
            <w:szCs w:val="20"/>
            <w:u w:val="none"/>
          </w:rPr>
          <w:t>https://www.ncbi.nlm.nih.gov/pmc/articles/PMC4989238/</w:t>
        </w:r>
      </w:hyperlink>
      <w:r w:rsidR="00066BCA" w:rsidRPr="00AA3ADC">
        <w:rPr>
          <w:rFonts w:asciiTheme="minorHAnsi" w:hAnsiTheme="minorHAnsi" w:cstheme="minorHAnsi"/>
          <w:b w:val="0"/>
          <w:bCs w:val="0"/>
          <w:color w:val="auto"/>
          <w:sz w:val="20"/>
          <w:szCs w:val="20"/>
        </w:rPr>
        <w:t xml:space="preserve"> ;</w:t>
      </w:r>
      <w:r w:rsidR="00066BCA" w:rsidRPr="00AA3ADC">
        <w:rPr>
          <w:rFonts w:asciiTheme="minorHAnsi" w:hAnsiTheme="minorHAnsi" w:cstheme="minorHAnsi"/>
          <w:color w:val="auto"/>
          <w:sz w:val="20"/>
          <w:szCs w:val="20"/>
        </w:rPr>
        <w:t xml:space="preserve"> </w:t>
      </w:r>
      <w:r w:rsidR="00066BCA" w:rsidRPr="00AA3ADC">
        <w:rPr>
          <w:rFonts w:asciiTheme="minorHAnsi" w:hAnsiTheme="minorHAnsi" w:cstheme="minorHAnsi"/>
          <w:b w:val="0"/>
          <w:bCs w:val="0"/>
          <w:color w:val="auto"/>
          <w:sz w:val="20"/>
          <w:szCs w:val="20"/>
        </w:rPr>
        <w:t xml:space="preserve">Ku, et al., </w:t>
      </w:r>
      <w:hyperlink r:id="rId25" w:history="1">
        <w:r w:rsidR="00066BCA" w:rsidRPr="00AA3ADC">
          <w:rPr>
            <w:rStyle w:val="Hyperlink"/>
            <w:rFonts w:asciiTheme="minorHAnsi" w:hAnsiTheme="minorHAnsi" w:cstheme="minorHAnsi"/>
            <w:b w:val="0"/>
            <w:bCs w:val="0"/>
            <w:i/>
            <w:iCs/>
            <w:color w:val="auto"/>
            <w:sz w:val="20"/>
            <w:szCs w:val="20"/>
            <w:u w:val="none"/>
          </w:rPr>
          <w:t>Safety-Net Providers After Health Care Reform: Lessons From Massachusetts</w:t>
        </w:r>
        <w:r w:rsidR="00066BCA" w:rsidRPr="00AA3ADC">
          <w:rPr>
            <w:rStyle w:val="Hyperlink"/>
            <w:rFonts w:asciiTheme="minorHAnsi" w:hAnsiTheme="minorHAnsi" w:cstheme="minorHAnsi"/>
            <w:b w:val="0"/>
            <w:bCs w:val="0"/>
            <w:color w:val="auto"/>
            <w:sz w:val="20"/>
            <w:szCs w:val="20"/>
            <w:u w:val="none"/>
          </w:rPr>
          <w:t>,</w:t>
        </w:r>
      </w:hyperlink>
      <w:r w:rsidR="00066BCA" w:rsidRPr="00AA3ADC">
        <w:rPr>
          <w:rStyle w:val="Subtitle1"/>
          <w:rFonts w:asciiTheme="minorHAnsi" w:hAnsiTheme="minorHAnsi" w:cstheme="minorHAnsi"/>
          <w:b w:val="0"/>
          <w:bCs w:val="0"/>
          <w:color w:val="auto"/>
          <w:sz w:val="20"/>
          <w:szCs w:val="20"/>
        </w:rPr>
        <w:t xml:space="preserve"> 8 </w:t>
      </w:r>
      <w:r w:rsidR="00066BCA" w:rsidRPr="00AA3ADC">
        <w:rPr>
          <w:rStyle w:val="Subtitle1"/>
          <w:rFonts w:asciiTheme="minorHAnsi" w:hAnsiTheme="minorHAnsi" w:cstheme="minorHAnsi"/>
          <w:b w:val="0"/>
          <w:bCs w:val="0"/>
          <w:smallCaps/>
          <w:color w:val="auto"/>
          <w:sz w:val="20"/>
          <w:szCs w:val="20"/>
        </w:rPr>
        <w:t>Arch Intern. Med.</w:t>
      </w:r>
      <w:r w:rsidR="00066BCA" w:rsidRPr="00AA3ADC">
        <w:rPr>
          <w:rStyle w:val="Subtitle1"/>
          <w:rFonts w:asciiTheme="minorHAnsi" w:hAnsiTheme="minorHAnsi" w:cstheme="minorHAnsi"/>
          <w:b w:val="0"/>
          <w:bCs w:val="0"/>
          <w:color w:val="auto"/>
          <w:sz w:val="20"/>
          <w:szCs w:val="20"/>
        </w:rPr>
        <w:t xml:space="preserve"> 1379 (2011), </w:t>
      </w:r>
      <w:r w:rsidR="00066BCA" w:rsidRPr="00AA3ADC">
        <w:rPr>
          <w:rStyle w:val="Subtitle1"/>
          <w:rFonts w:asciiTheme="minorHAnsi" w:hAnsiTheme="minorHAnsi" w:cstheme="minorHAnsi"/>
          <w:b w:val="0"/>
          <w:bCs w:val="0"/>
          <w:i/>
          <w:iCs/>
          <w:color w:val="auto"/>
          <w:sz w:val="20"/>
          <w:szCs w:val="20"/>
        </w:rPr>
        <w:t>available at</w:t>
      </w:r>
      <w:r w:rsidR="00066BCA" w:rsidRPr="00AA3ADC">
        <w:rPr>
          <w:rStyle w:val="Subtitle1"/>
          <w:rFonts w:asciiTheme="minorHAnsi" w:hAnsiTheme="minorHAnsi" w:cstheme="minorHAnsi"/>
          <w:b w:val="0"/>
          <w:bCs w:val="0"/>
          <w:color w:val="auto"/>
          <w:sz w:val="20"/>
          <w:szCs w:val="20"/>
        </w:rPr>
        <w:t xml:space="preserve"> </w:t>
      </w:r>
      <w:hyperlink r:id="rId26" w:history="1">
        <w:r w:rsidR="00066BCA" w:rsidRPr="00AA3ADC">
          <w:rPr>
            <w:rStyle w:val="Hyperlink"/>
            <w:rFonts w:asciiTheme="minorHAnsi" w:hAnsiTheme="minorHAnsi" w:cstheme="minorHAnsi"/>
            <w:b w:val="0"/>
            <w:bCs w:val="0"/>
            <w:color w:val="auto"/>
            <w:sz w:val="20"/>
            <w:szCs w:val="20"/>
            <w:u w:val="none"/>
          </w:rPr>
          <w:t>https://jamanetwork.com/journals/jamainternalmedicine/fullarticle/1105879</w:t>
        </w:r>
      </w:hyperlink>
      <w:r w:rsidR="00066BCA" w:rsidRPr="00AA3ADC">
        <w:rPr>
          <w:rStyle w:val="Subtitle1"/>
          <w:rFonts w:asciiTheme="minorHAnsi" w:hAnsiTheme="minorHAnsi" w:cstheme="minorHAnsi"/>
          <w:b w:val="0"/>
          <w:bCs w:val="0"/>
          <w:color w:val="auto"/>
          <w:sz w:val="20"/>
          <w:szCs w:val="20"/>
        </w:rPr>
        <w:t xml:space="preserve"> ; </w:t>
      </w:r>
      <w:r w:rsidR="00066BCA" w:rsidRPr="00AA3ADC">
        <w:rPr>
          <w:rFonts w:asciiTheme="minorHAnsi" w:hAnsiTheme="minorHAnsi" w:cstheme="minorHAnsi"/>
          <w:b w:val="0"/>
          <w:bCs w:val="0"/>
          <w:color w:val="auto"/>
          <w:sz w:val="20"/>
          <w:szCs w:val="20"/>
        </w:rPr>
        <w:t xml:space="preserve">Mohan, et al., </w:t>
      </w:r>
      <w:hyperlink r:id="rId27" w:history="1">
        <w:r w:rsidR="00066BCA" w:rsidRPr="00AA3ADC">
          <w:rPr>
            <w:rStyle w:val="Hyperlink"/>
            <w:rFonts w:asciiTheme="minorHAnsi" w:hAnsiTheme="minorHAnsi" w:cstheme="minorHAnsi"/>
            <w:b w:val="0"/>
            <w:bCs w:val="0"/>
            <w:i/>
            <w:iCs/>
            <w:color w:val="auto"/>
            <w:sz w:val="20"/>
            <w:szCs w:val="20"/>
            <w:u w:val="none"/>
          </w:rPr>
          <w:t>The health of safety net hospitals following Massachusetts health care reform: changes in volume, revenue, costs, and operating margins from 2006 to 2009</w:t>
        </w:r>
        <w:r w:rsidR="00066BCA" w:rsidRPr="00AA3ADC">
          <w:rPr>
            <w:rStyle w:val="Hyperlink"/>
            <w:rFonts w:asciiTheme="minorHAnsi" w:hAnsiTheme="minorHAnsi" w:cstheme="minorHAnsi"/>
            <w:b w:val="0"/>
            <w:bCs w:val="0"/>
            <w:color w:val="auto"/>
            <w:sz w:val="20"/>
            <w:szCs w:val="20"/>
            <w:u w:val="none"/>
          </w:rPr>
          <w:t>,</w:t>
        </w:r>
      </w:hyperlink>
      <w:r w:rsidR="00066BCA" w:rsidRPr="00AA3ADC">
        <w:rPr>
          <w:rFonts w:asciiTheme="minorHAnsi" w:hAnsiTheme="minorHAnsi" w:cstheme="minorHAnsi"/>
          <w:b w:val="0"/>
          <w:bCs w:val="0"/>
          <w:color w:val="auto"/>
          <w:sz w:val="20"/>
          <w:szCs w:val="20"/>
        </w:rPr>
        <w:t xml:space="preserve"> 43 </w:t>
      </w:r>
      <w:r w:rsidR="00066BCA" w:rsidRPr="00AA3ADC">
        <w:rPr>
          <w:rFonts w:asciiTheme="minorHAnsi" w:hAnsiTheme="minorHAnsi" w:cstheme="minorHAnsi"/>
          <w:b w:val="0"/>
          <w:bCs w:val="0"/>
          <w:smallCaps/>
          <w:color w:val="auto"/>
          <w:sz w:val="20"/>
          <w:szCs w:val="20"/>
        </w:rPr>
        <w:t>Int. J. Health Serv.</w:t>
      </w:r>
      <w:r w:rsidR="00066BCA" w:rsidRPr="00AA3ADC">
        <w:rPr>
          <w:rFonts w:asciiTheme="minorHAnsi" w:hAnsiTheme="minorHAnsi" w:cstheme="minorHAnsi"/>
          <w:b w:val="0"/>
          <w:bCs w:val="0"/>
          <w:color w:val="auto"/>
          <w:sz w:val="20"/>
          <w:szCs w:val="20"/>
        </w:rPr>
        <w:t xml:space="preserve"> 321 (2013), </w:t>
      </w:r>
      <w:r w:rsidR="00066BCA" w:rsidRPr="00AA3ADC">
        <w:rPr>
          <w:rFonts w:asciiTheme="minorHAnsi" w:hAnsiTheme="minorHAnsi" w:cstheme="minorHAnsi"/>
          <w:b w:val="0"/>
          <w:bCs w:val="0"/>
          <w:i/>
          <w:iCs/>
          <w:color w:val="auto"/>
          <w:sz w:val="20"/>
          <w:szCs w:val="20"/>
        </w:rPr>
        <w:t>available at</w:t>
      </w:r>
      <w:r w:rsidR="00066BCA" w:rsidRPr="00AA3ADC">
        <w:rPr>
          <w:rFonts w:asciiTheme="minorHAnsi" w:hAnsiTheme="minorHAnsi" w:cstheme="minorHAnsi"/>
          <w:b w:val="0"/>
          <w:bCs w:val="0"/>
          <w:color w:val="auto"/>
          <w:sz w:val="20"/>
          <w:szCs w:val="20"/>
        </w:rPr>
        <w:t xml:space="preserve"> </w:t>
      </w:r>
      <w:hyperlink r:id="rId28" w:history="1">
        <w:r w:rsidR="00066BCA" w:rsidRPr="00AA3ADC">
          <w:rPr>
            <w:rStyle w:val="Hyperlink"/>
            <w:rFonts w:asciiTheme="minorHAnsi" w:hAnsiTheme="minorHAnsi" w:cstheme="minorHAnsi"/>
            <w:b w:val="0"/>
            <w:bCs w:val="0"/>
            <w:color w:val="auto"/>
            <w:sz w:val="20"/>
            <w:szCs w:val="20"/>
            <w:u w:val="none"/>
          </w:rPr>
          <w:t>https://pubmed.ncbi.nlm.nih.gov/23821908/</w:t>
        </w:r>
      </w:hyperlink>
      <w:r w:rsidR="00066BCA" w:rsidRPr="00AA3ADC">
        <w:rPr>
          <w:rFonts w:asciiTheme="minorHAnsi" w:hAnsiTheme="minorHAnsi" w:cstheme="minorHAnsi"/>
          <w:b w:val="0"/>
          <w:bCs w:val="0"/>
          <w:color w:val="auto"/>
          <w:sz w:val="20"/>
          <w:szCs w:val="20"/>
        </w:rPr>
        <w:t xml:space="preserve"> .</w:t>
      </w:r>
    </w:p>
  </w:endnote>
  <w:endnote w:id="21">
    <w:p w14:paraId="2AB6D5A0" w14:textId="77777777" w:rsidR="00E5689A" w:rsidRPr="00AA3ADC" w:rsidRDefault="0001465A" w:rsidP="00AA3ADC">
      <w:pPr>
        <w:pStyle w:val="EndnoteText"/>
        <w:rPr>
          <w:rStyle w:val="Hyperlink"/>
          <w:rFonts w:asciiTheme="minorHAnsi" w:hAnsiTheme="minorHAnsi" w:cstheme="minorHAnsi"/>
          <w:color w:val="auto"/>
          <w:u w:val="none"/>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E5689A" w:rsidRPr="00AA3ADC">
        <w:rPr>
          <w:rFonts w:asciiTheme="minorHAnsi" w:hAnsiTheme="minorHAnsi" w:cstheme="minorHAnsi"/>
        </w:rPr>
        <w:t xml:space="preserve">Mendez-Escobar, et al. </w:t>
      </w:r>
      <w:r w:rsidR="00E5689A" w:rsidRPr="00AA3ADC">
        <w:rPr>
          <w:rFonts w:asciiTheme="minorHAnsi" w:hAnsiTheme="minorHAnsi" w:cstheme="minorHAnsi"/>
        </w:rPr>
        <w:fldChar w:fldCharType="begin"/>
      </w:r>
      <w:r w:rsidR="00E5689A" w:rsidRPr="00AA3ADC">
        <w:rPr>
          <w:rFonts w:asciiTheme="minorHAnsi" w:hAnsiTheme="minorHAnsi" w:cstheme="minorHAnsi"/>
        </w:rPr>
        <w:instrText xml:space="preserve"> HYPERLINK "https://catalyst.nejm.org/doi/full/10.1056/CAT.22.0115" </w:instrText>
      </w:r>
      <w:r w:rsidR="00E5689A" w:rsidRPr="00AA3ADC">
        <w:rPr>
          <w:rFonts w:asciiTheme="minorHAnsi" w:hAnsiTheme="minorHAnsi" w:cstheme="minorHAnsi"/>
        </w:rPr>
      </w:r>
      <w:r w:rsidR="00E5689A" w:rsidRPr="00AA3ADC">
        <w:rPr>
          <w:rFonts w:asciiTheme="minorHAnsi" w:hAnsiTheme="minorHAnsi" w:cstheme="minorHAnsi"/>
        </w:rPr>
        <w:fldChar w:fldCharType="separate"/>
      </w:r>
      <w:r w:rsidR="00E5689A" w:rsidRPr="00AA3ADC">
        <w:rPr>
          <w:rStyle w:val="Hyperlink"/>
          <w:rFonts w:asciiTheme="minorHAnsi" w:hAnsiTheme="minorHAnsi" w:cstheme="minorHAnsi"/>
          <w:color w:val="auto"/>
          <w:u w:val="none"/>
        </w:rPr>
        <w:t>Health Equity Accelerator: A Health System’s Approach – Boston Medical Center’s Health</w:t>
      </w:r>
    </w:p>
    <w:p w14:paraId="432E2C7F" w14:textId="77777777" w:rsidR="00E5689A" w:rsidRPr="00AA3ADC" w:rsidRDefault="00E5689A" w:rsidP="00AA3ADC">
      <w:pPr>
        <w:pStyle w:val="EndnoteText"/>
        <w:rPr>
          <w:rFonts w:asciiTheme="minorHAnsi" w:hAnsiTheme="minorHAnsi" w:cstheme="minorHAnsi"/>
        </w:rPr>
      </w:pPr>
      <w:r w:rsidRPr="00AA3ADC">
        <w:rPr>
          <w:rStyle w:val="Hyperlink"/>
          <w:rFonts w:asciiTheme="minorHAnsi" w:hAnsiTheme="minorHAnsi" w:cstheme="minorHAnsi"/>
          <w:color w:val="auto"/>
          <w:u w:val="none"/>
        </w:rPr>
        <w:t>Equity Accelerator Aims to Eliminate Barriers to Health Equity</w:t>
      </w:r>
      <w:r w:rsidRPr="00AA3ADC">
        <w:rPr>
          <w:rFonts w:asciiTheme="minorHAnsi" w:hAnsiTheme="minorHAnsi" w:cstheme="minorHAnsi"/>
        </w:rPr>
        <w:fldChar w:fldCharType="end"/>
      </w:r>
      <w:r w:rsidRPr="00AA3ADC">
        <w:rPr>
          <w:rFonts w:asciiTheme="minorHAnsi" w:hAnsiTheme="minorHAnsi" w:cstheme="minorHAnsi"/>
        </w:rPr>
        <w:t xml:space="preserve">, NEW ENGLAND J. MED. CATALYST (2022), available at </w:t>
      </w:r>
    </w:p>
    <w:p w14:paraId="5B5A0499" w14:textId="5D6DE804" w:rsidR="0001465A" w:rsidRPr="00AA3ADC" w:rsidRDefault="00000000" w:rsidP="00AA3ADC">
      <w:pPr>
        <w:pStyle w:val="EndnoteText"/>
        <w:rPr>
          <w:rFonts w:asciiTheme="minorHAnsi" w:hAnsiTheme="minorHAnsi" w:cstheme="minorHAnsi"/>
        </w:rPr>
      </w:pPr>
      <w:hyperlink r:id="rId29" w:history="1">
        <w:r w:rsidR="00E5689A" w:rsidRPr="00AA3ADC">
          <w:rPr>
            <w:rStyle w:val="Hyperlink"/>
            <w:rFonts w:asciiTheme="minorHAnsi" w:hAnsiTheme="minorHAnsi" w:cstheme="minorHAnsi"/>
            <w:color w:val="auto"/>
            <w:u w:val="none"/>
          </w:rPr>
          <w:t>https://catalyst.nejm.org/doi/full/10.1056/CAT.22.0115</w:t>
        </w:r>
      </w:hyperlink>
      <w:r w:rsidR="00E5689A" w:rsidRPr="00AA3ADC">
        <w:rPr>
          <w:rFonts w:asciiTheme="minorHAnsi" w:hAnsiTheme="minorHAnsi" w:cstheme="minorHAnsi"/>
        </w:rPr>
        <w:t xml:space="preserve"> .</w:t>
      </w:r>
    </w:p>
  </w:endnote>
  <w:endnote w:id="22">
    <w:p w14:paraId="276F44A4" w14:textId="50624F56"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1F0E54" w:rsidRPr="00AA3ADC">
        <w:rPr>
          <w:rFonts w:asciiTheme="minorHAnsi" w:hAnsiTheme="minorHAnsi" w:cstheme="minorHAnsi"/>
        </w:rPr>
        <w:t xml:space="preserve">Mendez-Escobar, et al. </w:t>
      </w:r>
      <w:hyperlink r:id="rId30" w:history="1">
        <w:r w:rsidR="001F0E54" w:rsidRPr="00AA3ADC">
          <w:rPr>
            <w:rStyle w:val="Hyperlink"/>
            <w:rFonts w:asciiTheme="minorHAnsi" w:hAnsiTheme="minorHAnsi" w:cstheme="minorHAnsi"/>
            <w:i/>
            <w:iCs/>
            <w:color w:val="auto"/>
            <w:u w:val="none"/>
          </w:rPr>
          <w:t>Health Equity Accelerator: A Health System’s Approach – Boston Medical Center’s Health Equity Accelerator Aims to Eliminate Barriers to Health Equity</w:t>
        </w:r>
      </w:hyperlink>
      <w:r w:rsidR="001F0E54" w:rsidRPr="00AA3ADC">
        <w:rPr>
          <w:rFonts w:asciiTheme="minorHAnsi" w:hAnsiTheme="minorHAnsi" w:cstheme="minorHAnsi"/>
        </w:rPr>
        <w:t xml:space="preserve">, </w:t>
      </w:r>
      <w:r w:rsidR="001F0E54" w:rsidRPr="00AA3ADC">
        <w:rPr>
          <w:rFonts w:asciiTheme="minorHAnsi" w:hAnsiTheme="minorHAnsi" w:cstheme="minorHAnsi"/>
          <w:smallCaps/>
        </w:rPr>
        <w:t>New England J. Med. Catalyst</w:t>
      </w:r>
      <w:r w:rsidR="001F0E54" w:rsidRPr="00AA3ADC">
        <w:rPr>
          <w:rFonts w:asciiTheme="minorHAnsi" w:hAnsiTheme="minorHAnsi" w:cstheme="minorHAnsi"/>
        </w:rPr>
        <w:t xml:space="preserve"> (2022), </w:t>
      </w:r>
      <w:r w:rsidR="001F0E54" w:rsidRPr="00AA3ADC">
        <w:rPr>
          <w:rFonts w:asciiTheme="minorHAnsi" w:hAnsiTheme="minorHAnsi" w:cstheme="minorHAnsi"/>
          <w:i/>
          <w:iCs/>
        </w:rPr>
        <w:t>available at</w:t>
      </w:r>
      <w:r w:rsidR="001F0E54" w:rsidRPr="00AA3ADC">
        <w:rPr>
          <w:rFonts w:asciiTheme="minorHAnsi" w:hAnsiTheme="minorHAnsi" w:cstheme="minorHAnsi"/>
        </w:rPr>
        <w:t xml:space="preserve"> </w:t>
      </w:r>
      <w:hyperlink r:id="rId31" w:history="1">
        <w:r w:rsidR="001F0E54" w:rsidRPr="00AA3ADC">
          <w:rPr>
            <w:rStyle w:val="Hyperlink"/>
            <w:rFonts w:asciiTheme="minorHAnsi" w:hAnsiTheme="minorHAnsi" w:cstheme="minorHAnsi"/>
            <w:color w:val="auto"/>
            <w:u w:val="none"/>
          </w:rPr>
          <w:t>https://catalyst.nejm.org/doi/full/10.1056/CAT.22.0115</w:t>
        </w:r>
      </w:hyperlink>
      <w:r w:rsidR="001F0E54" w:rsidRPr="00AA3ADC">
        <w:rPr>
          <w:rFonts w:asciiTheme="minorHAnsi" w:hAnsiTheme="minorHAnsi" w:cstheme="minorHAnsi"/>
        </w:rPr>
        <w:t xml:space="preserve"> .</w:t>
      </w:r>
    </w:p>
  </w:endnote>
  <w:endnote w:id="23">
    <w:p w14:paraId="0174B37F" w14:textId="77777777" w:rsidR="00563B89" w:rsidRPr="00AA3ADC" w:rsidRDefault="00563B89" w:rsidP="00AA3ADC">
      <w:pPr>
        <w:rPr>
          <w:rFonts w:asciiTheme="minorHAnsi" w:eastAsia="Calibri" w:hAnsiTheme="minorHAnsi" w:cstheme="minorHAnsi"/>
          <w:kern w:val="2"/>
          <w:sz w:val="20"/>
          <w:szCs w:val="20"/>
          <w14:ligatures w14:val="standardContextual"/>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Pr="00AA3ADC">
        <w:rPr>
          <w:rFonts w:asciiTheme="minorHAnsi" w:eastAsia="Calibri" w:hAnsiTheme="minorHAnsi" w:cstheme="minorHAnsi"/>
          <w:kern w:val="2"/>
          <w:sz w:val="20"/>
          <w:szCs w:val="20"/>
          <w14:ligatures w14:val="standardContextual"/>
        </w:rPr>
        <w:t>Chandrajit.P. Raut et al., High Rates of Histopathologic Discordance in Sarcoma with Implications for Clinical Care, J. OF ONCOLOGY PRAG. 29, 10065, 10065-10065 (2011).</w:t>
      </w:r>
    </w:p>
  </w:endnote>
  <w:endnote w:id="24">
    <w:p w14:paraId="7516B8CB"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Center for Financing, Access, and Cost Trends, AHRQ, Household Component of the Medical Expenditure Panel Survey, 2004</w:t>
      </w:r>
    </w:p>
  </w:endnote>
  <w:endnote w:id="25">
    <w:p w14:paraId="03BC43A7" w14:textId="4B5CDA5D"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32" w:history="1">
        <w:r w:rsidRPr="00B11D90">
          <w:rPr>
            <w:rStyle w:val="Hyperlink"/>
            <w:rFonts w:asciiTheme="minorHAnsi" w:hAnsiTheme="minorHAnsi" w:cstheme="minorHAnsi"/>
            <w:color w:val="auto"/>
            <w:u w:val="none"/>
          </w:rPr>
          <w:t>Medical Imaging and Technology Alliance</w:t>
        </w:r>
      </w:hyperlink>
      <w:r w:rsidRPr="00AA3ADC">
        <w:rPr>
          <w:rFonts w:asciiTheme="minorHAnsi" w:hAnsiTheme="minorHAnsi" w:cstheme="minorHAnsi"/>
        </w:rPr>
        <w:t xml:space="preserve">. </w:t>
      </w:r>
      <w:hyperlink r:id="rId33" w:history="1">
        <w:r w:rsidRPr="00AA3ADC">
          <w:rPr>
            <w:rStyle w:val="Hyperlink"/>
            <w:rFonts w:asciiTheme="minorHAnsi" w:hAnsiTheme="minorHAnsi" w:cstheme="minorHAnsi"/>
          </w:rPr>
          <w:t>https://www.medicalimaging.org/medical-imaging/benefits-of-medical-imaging/health-care-costs-quality</w:t>
        </w:r>
      </w:hyperlink>
      <w:r w:rsidRPr="00AA3ADC">
        <w:rPr>
          <w:rFonts w:asciiTheme="minorHAnsi" w:hAnsiTheme="minorHAnsi" w:cstheme="minorHAnsi"/>
        </w:rPr>
        <w:t xml:space="preserve">. Accessed May, 2023. </w:t>
      </w:r>
    </w:p>
  </w:endnote>
  <w:endnote w:id="26">
    <w:p w14:paraId="687C1F14"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bookmarkStart w:id="61" w:name="_Hlk138117446"/>
      <w:r w:rsidRPr="00AA3ADC">
        <w:rPr>
          <w:rFonts w:asciiTheme="minorHAnsi" w:hAnsiTheme="minorHAnsi" w:cstheme="minorHAnsi"/>
          <w:i/>
          <w:iCs/>
        </w:rPr>
        <w:t>Id.</w:t>
      </w:r>
      <w:bookmarkEnd w:id="61"/>
    </w:p>
  </w:endnote>
  <w:endnote w:id="27">
    <w:p w14:paraId="7CC1320E"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28">
    <w:p w14:paraId="1AAA4397"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29">
    <w:p w14:paraId="34D93456"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van Beek EJR, Kuhl C, Anzai Y, Desmond P, Ehman RL, Gong Q, Gold G, Gulani V, Hall-Craggs M, Leiner T, Lim CCT, Pipe JG, Reeder S, Reinhold C, Smits M, Sodickson DK, Tempany C, Vargas HA, Wang M. Value of MRI in medicine: More than just another test? J Magn Reson Imaging. 2019 Jun;49(7):e14-e25. doi: 10.1002/jmri.26211. Epub 2018 Aug 25. PMID: 30145852; PMCID: PMC7036752.</w:t>
      </w:r>
    </w:p>
  </w:endnote>
  <w:endnote w:id="30">
    <w:p w14:paraId="498806BF"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Lee DW, Duszak R Jr, Hughes DR. Comparative analysis of Medicare spending for medical imaging: sustained dramatic slowdown compared with other services. Am J Roentgenol 2013;201:1277–1282.</w:t>
      </w:r>
    </w:p>
  </w:endnote>
  <w:endnote w:id="31">
    <w:p w14:paraId="0277B1CB" w14:textId="0D7212E3"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34" w:history="1">
        <w:r w:rsidRPr="003A633C">
          <w:rPr>
            <w:rStyle w:val="Hyperlink"/>
            <w:rFonts w:asciiTheme="minorHAnsi" w:hAnsiTheme="minorHAnsi" w:cstheme="minorHAnsi"/>
            <w:i/>
            <w:iCs/>
            <w:color w:val="auto"/>
            <w:u w:val="none"/>
          </w:rPr>
          <w:t>Social Determinants of Health</w:t>
        </w:r>
      </w:hyperlink>
      <w:r w:rsidRPr="003A633C">
        <w:rPr>
          <w:rFonts w:asciiTheme="minorHAnsi" w:hAnsiTheme="minorHAnsi" w:cstheme="minorHAnsi"/>
        </w:rPr>
        <w:t xml:space="preserve">, </w:t>
      </w:r>
      <w:r w:rsidRPr="003A633C">
        <w:rPr>
          <w:rFonts w:asciiTheme="minorHAnsi" w:hAnsiTheme="minorHAnsi" w:cstheme="minorHAnsi"/>
          <w:smallCaps/>
        </w:rPr>
        <w:t>American Hospital Association</w:t>
      </w:r>
      <w:r w:rsidRPr="003A633C">
        <w:rPr>
          <w:rFonts w:asciiTheme="minorHAnsi" w:hAnsiTheme="minorHAnsi" w:cstheme="minorHAnsi"/>
        </w:rPr>
        <w:t>,</w:t>
      </w:r>
      <w:r w:rsidR="003A633C" w:rsidRPr="003A633C">
        <w:rPr>
          <w:rFonts w:asciiTheme="minorHAnsi" w:hAnsiTheme="minorHAnsi" w:cstheme="minorHAnsi"/>
        </w:rPr>
        <w:t xml:space="preserve"> </w:t>
      </w:r>
      <w:hyperlink r:id="rId35" w:history="1">
        <w:r w:rsidR="003A633C" w:rsidRPr="003A633C">
          <w:rPr>
            <w:rStyle w:val="Hyperlink"/>
            <w:rFonts w:asciiTheme="minorHAnsi" w:hAnsiTheme="minorHAnsi" w:cstheme="minorHAnsi"/>
            <w:color w:val="auto"/>
            <w:u w:val="none"/>
          </w:rPr>
          <w:t>https://www.aha.org/social-determinants-health/populationcommunity-health/community-partnerships</w:t>
        </w:r>
      </w:hyperlink>
      <w:r w:rsidR="003A633C" w:rsidRPr="003A633C">
        <w:rPr>
          <w:rFonts w:asciiTheme="minorHAnsi" w:hAnsiTheme="minorHAnsi" w:cstheme="minorHAnsi"/>
        </w:rPr>
        <w:t xml:space="preserve"> </w:t>
      </w:r>
      <w:r w:rsidRPr="003A633C">
        <w:rPr>
          <w:rStyle w:val="Hyperlink"/>
          <w:rFonts w:asciiTheme="minorHAnsi" w:hAnsiTheme="minorHAnsi" w:cstheme="minorHAnsi"/>
          <w:color w:val="auto"/>
          <w:u w:val="none"/>
        </w:rPr>
        <w:t xml:space="preserve">; </w:t>
      </w:r>
      <w:r w:rsidRPr="003A633C">
        <w:rPr>
          <w:rFonts w:asciiTheme="minorHAnsi" w:hAnsiTheme="minorHAnsi" w:cstheme="minorHAnsi"/>
        </w:rPr>
        <w:t>LaPointe,</w:t>
      </w:r>
      <w:r w:rsidRPr="003A633C">
        <w:rPr>
          <w:rFonts w:asciiTheme="minorHAnsi" w:hAnsiTheme="minorHAnsi" w:cstheme="minorHAnsi"/>
          <w:i/>
          <w:iCs/>
        </w:rPr>
        <w:t xml:space="preserve"> </w:t>
      </w:r>
      <w:hyperlink r:id="rId36" w:history="1">
        <w:r w:rsidRPr="003A633C">
          <w:rPr>
            <w:rStyle w:val="Hyperlink"/>
            <w:rFonts w:asciiTheme="minorHAnsi" w:hAnsiTheme="minorHAnsi" w:cstheme="minorHAnsi"/>
            <w:i/>
            <w:iCs/>
            <w:color w:val="auto"/>
            <w:u w:val="none"/>
          </w:rPr>
          <w:t>How Addressing Social Determinants of Health Cuts Healthcare Costs</w:t>
        </w:r>
      </w:hyperlink>
      <w:r w:rsidRPr="003A633C">
        <w:rPr>
          <w:rFonts w:asciiTheme="minorHAnsi" w:hAnsiTheme="minorHAnsi" w:cstheme="minorHAnsi"/>
        </w:rPr>
        <w:t xml:space="preserve">, </w:t>
      </w:r>
      <w:r w:rsidRPr="003A633C">
        <w:rPr>
          <w:rFonts w:asciiTheme="minorHAnsi" w:hAnsiTheme="minorHAnsi" w:cstheme="minorHAnsi"/>
          <w:smallCaps/>
        </w:rPr>
        <w:t>Revcycle Intelligence: Value Based Care,</w:t>
      </w:r>
      <w:r w:rsidRPr="003A633C">
        <w:rPr>
          <w:rFonts w:asciiTheme="minorHAnsi" w:hAnsiTheme="minorHAnsi" w:cstheme="minorHAnsi"/>
        </w:rPr>
        <w:t xml:space="preserve"> </w:t>
      </w:r>
      <w:hyperlink r:id="rId37" w:history="1">
        <w:r w:rsidR="003A633C" w:rsidRPr="003A633C">
          <w:rPr>
            <w:rStyle w:val="Hyperlink"/>
            <w:rFonts w:asciiTheme="minorHAnsi" w:hAnsiTheme="minorHAnsi" w:cstheme="minorHAnsi"/>
            <w:color w:val="auto"/>
            <w:u w:val="none"/>
          </w:rPr>
          <w:t>https://revcycleintelligence.com/news/how-addressing-social-determinants-of-health-cuts-healthcare-costs</w:t>
        </w:r>
      </w:hyperlink>
      <w:r w:rsidR="003A633C" w:rsidRPr="003A633C">
        <w:rPr>
          <w:rFonts w:asciiTheme="minorHAnsi" w:hAnsiTheme="minorHAnsi" w:cstheme="minorHAnsi"/>
        </w:rPr>
        <w:t xml:space="preserve"> </w:t>
      </w:r>
      <w:r w:rsidRPr="003A633C">
        <w:rPr>
          <w:rFonts w:asciiTheme="minorHAnsi" w:hAnsiTheme="minorHAnsi" w:cstheme="minorHAnsi"/>
        </w:rPr>
        <w:t xml:space="preserve"> (last visited Jul. 20, 2022).</w:t>
      </w:r>
    </w:p>
  </w:endnote>
  <w:endnote w:id="32">
    <w:p w14:paraId="44EC7B82" w14:textId="0F0CEC30"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LaPointe, </w:t>
      </w:r>
      <w:r w:rsidRPr="00AA3ADC">
        <w:rPr>
          <w:rFonts w:asciiTheme="minorHAnsi" w:hAnsiTheme="minorHAnsi" w:cstheme="minorHAnsi"/>
          <w:i/>
          <w:iCs/>
        </w:rPr>
        <w:t>supra</w:t>
      </w:r>
      <w:r w:rsidRPr="00AA3ADC">
        <w:rPr>
          <w:rFonts w:asciiTheme="minorHAnsi" w:hAnsiTheme="minorHAnsi" w:cstheme="minorHAnsi"/>
        </w:rPr>
        <w:t xml:space="preserve"> note </w:t>
      </w:r>
      <w:r w:rsidR="00AA3ADC">
        <w:rPr>
          <w:rFonts w:asciiTheme="minorHAnsi" w:hAnsiTheme="minorHAnsi" w:cstheme="minorHAnsi"/>
        </w:rPr>
        <w:t>39</w:t>
      </w:r>
      <w:r w:rsidRPr="00AA3ADC">
        <w:rPr>
          <w:rFonts w:asciiTheme="minorHAnsi" w:hAnsiTheme="minorHAnsi" w:cstheme="minorHAnsi"/>
        </w:rPr>
        <w:t>.</w:t>
      </w:r>
    </w:p>
  </w:endnote>
  <w:endnote w:id="33">
    <w:p w14:paraId="6B47FC4B" w14:textId="317E566A"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Massachusetts Health Policy Commission. </w:t>
      </w:r>
      <w:hyperlink r:id="rId38" w:history="1">
        <w:r w:rsidRPr="003A633C">
          <w:rPr>
            <w:rStyle w:val="Hyperlink"/>
            <w:rFonts w:asciiTheme="minorHAnsi" w:hAnsiTheme="minorHAnsi" w:cstheme="minorHAnsi"/>
            <w:color w:val="auto"/>
            <w:u w:val="none"/>
          </w:rPr>
          <w:t>2022 Health Care Cost Trends Report and Policy Recommendations Chart pack.</w:t>
        </w:r>
      </w:hyperlink>
      <w:r w:rsidRPr="003A633C">
        <w:rPr>
          <w:rFonts w:asciiTheme="minorHAnsi" w:hAnsiTheme="minorHAnsi" w:cstheme="minorHAnsi"/>
        </w:rPr>
        <w:t xml:space="preserve"> </w:t>
      </w:r>
      <w:hyperlink r:id="rId39" w:history="1">
        <w:r w:rsidRPr="00AA3ADC">
          <w:rPr>
            <w:rStyle w:val="Hyperlink"/>
            <w:rFonts w:asciiTheme="minorHAnsi" w:hAnsiTheme="minorHAnsi" w:cstheme="minorHAnsi"/>
            <w:color w:val="374775"/>
          </w:rPr>
          <w:t>https://www.mass.gov/doc/2022-cost-trends-report-chartpack/download</w:t>
        </w:r>
      </w:hyperlink>
      <w:r w:rsidRPr="00AA3ADC">
        <w:rPr>
          <w:rFonts w:asciiTheme="minorHAnsi" w:hAnsiTheme="minorHAnsi" w:cstheme="minorHAnsi"/>
        </w:rPr>
        <w:t xml:space="preserve"> </w:t>
      </w:r>
    </w:p>
  </w:endnote>
  <w:endnote w:id="34">
    <w:p w14:paraId="580C4704" w14:textId="249BA2B1"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Blue Cross Blue Shield, Harvard Pilgrim Health Care, and Tufts Health Plan.</w:t>
      </w:r>
    </w:p>
  </w:endnote>
  <w:endnote w:id="35">
    <w:p w14:paraId="100CFD6C"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Center for Health Information and Analysis. </w:t>
      </w:r>
      <w:hyperlink r:id="rId40" w:history="1">
        <w:r w:rsidRPr="00AA3ADC">
          <w:rPr>
            <w:rStyle w:val="Hyperlink"/>
            <w:rFonts w:asciiTheme="minorHAnsi" w:hAnsiTheme="minorHAnsi" w:cstheme="minorHAnsi"/>
            <w:color w:val="005AB4"/>
          </w:rPr>
          <w:t>Massachusetts Hospital Profiles. Technical Appendix</w:t>
        </w:r>
      </w:hyperlink>
      <w:r w:rsidRPr="00AA3ADC">
        <w:rPr>
          <w:rFonts w:asciiTheme="minorHAnsi" w:hAnsiTheme="minorHAnsi" w:cstheme="minorHAnsi"/>
        </w:rPr>
        <w:t xml:space="preserve">. </w:t>
      </w:r>
      <w:hyperlink r:id="rId41" w:history="1">
        <w:r w:rsidRPr="00AA3ADC">
          <w:rPr>
            <w:rStyle w:val="Hyperlink"/>
            <w:rFonts w:asciiTheme="minorHAnsi" w:hAnsiTheme="minorHAnsi" w:cstheme="minorHAnsi"/>
            <w:color w:val="005AB4"/>
          </w:rPr>
          <w:t>https://www.chiamass.gov/assets/docs/r/hospital-profiles/2020/FY20-Massachusetts-Hospital-Profiles-Technical-Appendix.pdf</w:t>
        </w:r>
      </w:hyperlink>
    </w:p>
  </w:endnote>
  <w:endnote w:id="36">
    <w:p w14:paraId="71C7A475" w14:textId="53A198DA" w:rsidR="00563B89" w:rsidRPr="00AA3ADC" w:rsidRDefault="00563B89" w:rsidP="00AA3ADC">
      <w:pPr>
        <w:rPr>
          <w:rFonts w:asciiTheme="minorHAnsi" w:hAnsiTheme="minorHAnsi" w:cstheme="minorHAnsi"/>
          <w:smallCaps/>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hyperlink r:id="rId42" w:history="1">
        <w:r w:rsidRPr="00DF74E1">
          <w:rPr>
            <w:rStyle w:val="Hyperlink"/>
            <w:rFonts w:asciiTheme="minorHAnsi" w:hAnsiTheme="minorHAnsi" w:cstheme="minorHAnsi"/>
            <w:i/>
            <w:iCs/>
            <w:color w:val="auto"/>
            <w:sz w:val="20"/>
            <w:szCs w:val="20"/>
            <w:u w:val="none"/>
          </w:rPr>
          <w:t>Chartbook on Access to Health Care, Elements of Access to Health Care: Timeliness</w:t>
        </w:r>
      </w:hyperlink>
      <w:r w:rsidRPr="00DF74E1">
        <w:rPr>
          <w:rFonts w:asciiTheme="minorHAnsi" w:hAnsiTheme="minorHAnsi" w:cstheme="minorHAnsi"/>
          <w:sz w:val="20"/>
          <w:szCs w:val="20"/>
        </w:rPr>
        <w:t xml:space="preserve">, </w:t>
      </w:r>
      <w:r w:rsidRPr="00DF74E1">
        <w:rPr>
          <w:rFonts w:asciiTheme="minorHAnsi" w:hAnsiTheme="minorHAnsi" w:cstheme="minorHAnsi"/>
          <w:smallCaps/>
          <w:sz w:val="20"/>
          <w:szCs w:val="20"/>
        </w:rPr>
        <w:t xml:space="preserve">Agency for Healthcare Research and Quality, </w:t>
      </w:r>
      <w:hyperlink r:id="rId43" w:history="1">
        <w:r w:rsidR="003A633C" w:rsidRPr="00DF74E1">
          <w:rPr>
            <w:rStyle w:val="Hyperlink"/>
            <w:rFonts w:asciiTheme="minorHAnsi" w:hAnsiTheme="minorHAnsi" w:cstheme="minorHAnsi"/>
            <w:color w:val="auto"/>
            <w:sz w:val="20"/>
            <w:szCs w:val="20"/>
            <w:u w:val="none"/>
          </w:rPr>
          <w:t>https://www.ahrq.gov/research/findings/nhqrdr/chartbooks/access/elements3.html</w:t>
        </w:r>
      </w:hyperlink>
      <w:r w:rsidR="003A633C" w:rsidRPr="00DF74E1">
        <w:rPr>
          <w:rFonts w:asciiTheme="minorHAnsi" w:hAnsiTheme="minorHAnsi" w:cstheme="minorHAnsi"/>
          <w:sz w:val="20"/>
          <w:szCs w:val="20"/>
        </w:rPr>
        <w:t xml:space="preserve"> </w:t>
      </w:r>
      <w:r w:rsidRPr="00DF74E1">
        <w:rPr>
          <w:rFonts w:asciiTheme="minorHAnsi" w:hAnsiTheme="minorHAnsi" w:cstheme="minorHAnsi"/>
          <w:sz w:val="20"/>
          <w:szCs w:val="20"/>
        </w:rPr>
        <w:t xml:space="preserve"> (last visited Jul. 20, 2022); Kaplan &amp; Porter, </w:t>
      </w:r>
      <w:hyperlink r:id="rId44" w:history="1">
        <w:r w:rsidRPr="00DF74E1">
          <w:rPr>
            <w:rStyle w:val="Hyperlink"/>
            <w:rFonts w:asciiTheme="minorHAnsi" w:hAnsiTheme="minorHAnsi" w:cstheme="minorHAnsi"/>
            <w:i/>
            <w:iCs/>
            <w:color w:val="auto"/>
            <w:sz w:val="20"/>
            <w:szCs w:val="20"/>
            <w:u w:val="none"/>
          </w:rPr>
          <w:t>The Big Idea: How to Solve the Cost Crisis in Health Care</w:t>
        </w:r>
      </w:hyperlink>
      <w:r w:rsidRPr="00DF74E1">
        <w:rPr>
          <w:rFonts w:asciiTheme="minorHAnsi" w:hAnsiTheme="minorHAnsi" w:cstheme="minorHAnsi"/>
          <w:sz w:val="20"/>
          <w:szCs w:val="20"/>
        </w:rPr>
        <w:t xml:space="preserve">, </w:t>
      </w:r>
      <w:r w:rsidRPr="00DF74E1">
        <w:rPr>
          <w:rFonts w:asciiTheme="minorHAnsi" w:hAnsiTheme="minorHAnsi" w:cstheme="minorHAnsi"/>
          <w:smallCaps/>
          <w:sz w:val="20"/>
          <w:szCs w:val="20"/>
        </w:rPr>
        <w:t>Harvard Business Review</w:t>
      </w:r>
      <w:r w:rsidRPr="00DF74E1">
        <w:rPr>
          <w:rFonts w:asciiTheme="minorHAnsi" w:hAnsiTheme="minorHAnsi" w:cstheme="minorHAnsi"/>
          <w:sz w:val="20"/>
          <w:szCs w:val="20"/>
        </w:rPr>
        <w:t xml:space="preserve"> (2011), </w:t>
      </w:r>
      <w:hyperlink r:id="rId45" w:history="1">
        <w:r w:rsidR="00E04F69" w:rsidRPr="00DF74E1">
          <w:rPr>
            <w:rStyle w:val="Hyperlink"/>
            <w:rFonts w:asciiTheme="minorHAnsi" w:hAnsiTheme="minorHAnsi" w:cstheme="minorHAnsi"/>
            <w:color w:val="auto"/>
            <w:sz w:val="20"/>
            <w:szCs w:val="20"/>
            <w:u w:val="none"/>
          </w:rPr>
          <w:t>https://hbr.org/2011/09/how-to-solve-the-cost-crisis-in-health-care</w:t>
        </w:r>
      </w:hyperlink>
      <w:r w:rsidR="00E04F69" w:rsidRPr="00DF74E1">
        <w:rPr>
          <w:rFonts w:asciiTheme="minorHAnsi" w:hAnsiTheme="minorHAnsi" w:cstheme="minorHAnsi"/>
          <w:sz w:val="20"/>
          <w:szCs w:val="20"/>
        </w:rPr>
        <w:t xml:space="preserve"> </w:t>
      </w:r>
      <w:r w:rsidRPr="00DF74E1">
        <w:rPr>
          <w:rFonts w:asciiTheme="minorHAnsi" w:hAnsiTheme="minorHAnsi" w:cstheme="minorHAnsi"/>
          <w:sz w:val="20"/>
          <w:szCs w:val="20"/>
        </w:rPr>
        <w:t>.</w:t>
      </w:r>
    </w:p>
  </w:endnote>
  <w:endnote w:id="37">
    <w:p w14:paraId="4D1536EE" w14:textId="0E936A17"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3768A5" w:rsidRPr="00AA3ADC">
        <w:rPr>
          <w:rFonts w:asciiTheme="minorHAnsi" w:hAnsiTheme="minorHAnsi" w:cstheme="minorHAnsi"/>
        </w:rPr>
        <w:t xml:space="preserve">DiCenzo, D., &amp; Freedman, J., Freedman </w:t>
      </w:r>
      <w:hyperlink r:id="rId46" w:history="1">
        <w:r w:rsidR="003768A5" w:rsidRPr="00AA3ADC">
          <w:rPr>
            <w:rStyle w:val="Hyperlink"/>
            <w:rFonts w:asciiTheme="minorHAnsi" w:hAnsiTheme="minorHAnsi" w:cstheme="minorHAnsi"/>
            <w:color w:val="auto"/>
            <w:u w:val="none"/>
          </w:rPr>
          <w:t>HealthCare, Re-examining the Health Care Cost Drivers and Trends in the Commonwealth.</w:t>
        </w:r>
      </w:hyperlink>
      <w:r w:rsidR="003768A5" w:rsidRPr="00AA3ADC">
        <w:rPr>
          <w:rFonts w:asciiTheme="minorHAnsi" w:hAnsiTheme="minorHAnsi" w:cstheme="minorHAnsi"/>
        </w:rPr>
        <w:t xml:space="preserve"> A Review of State Reports (2008-2018). </w:t>
      </w:r>
      <w:hyperlink r:id="rId47" w:history="1">
        <w:r w:rsidR="003768A5" w:rsidRPr="00AA3ADC">
          <w:rPr>
            <w:rStyle w:val="Hyperlink"/>
            <w:rFonts w:asciiTheme="minorHAnsi" w:hAnsiTheme="minorHAnsi" w:cstheme="minorHAnsi"/>
            <w:color w:val="005AB4"/>
          </w:rPr>
          <w:t>https://www.mahp.com/wp-content/uploads/2019/05/freedman-report-2018-final.pdf</w:t>
        </w:r>
      </w:hyperlink>
      <w:r w:rsidRPr="00AA3ADC">
        <w:rPr>
          <w:rFonts w:asciiTheme="minorHAnsi" w:hAnsiTheme="minorHAnsi" w:cstheme="minorHAnsi"/>
        </w:rPr>
        <w:t xml:space="preserve"> </w:t>
      </w:r>
    </w:p>
  </w:endnote>
  <w:endnote w:id="38">
    <w:p w14:paraId="41E9193C" w14:textId="7DC6DFD7"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7B0745" w:rsidRPr="00AA3ADC">
        <w:rPr>
          <w:rFonts w:asciiTheme="minorHAnsi" w:hAnsiTheme="minorHAnsi" w:cstheme="minorHAnsi"/>
        </w:rPr>
        <w:t xml:space="preserve">OFFICE OF ATT’Y GEN. MARTHA COAKLEY, </w:t>
      </w:r>
      <w:hyperlink r:id="rId48" w:history="1">
        <w:r w:rsidR="007B0745" w:rsidRPr="00AA3ADC">
          <w:rPr>
            <w:rStyle w:val="Hyperlink"/>
            <w:rFonts w:asciiTheme="minorHAnsi" w:hAnsiTheme="minorHAnsi" w:cstheme="minorHAnsi"/>
            <w:color w:val="auto"/>
            <w:u w:val="none"/>
          </w:rPr>
          <w:t>EXAMINATION OF HEALTH CARE COST TRENDS AND COST DRIVERS PURSUANT TO G.L. C. 118G, § 6 ½(B): REPORT FOR ANNUAL PUBLIC HEARING</w:t>
        </w:r>
      </w:hyperlink>
      <w:r w:rsidR="007B0745" w:rsidRPr="00AA3ADC">
        <w:rPr>
          <w:rFonts w:asciiTheme="minorHAnsi" w:hAnsiTheme="minorHAnsi" w:cstheme="minorHAnsi"/>
        </w:rPr>
        <w:t xml:space="preserve"> (Mar. 2010). </w:t>
      </w:r>
      <w:hyperlink r:id="rId49" w:history="1">
        <w:r w:rsidR="007B0745" w:rsidRPr="00AA3ADC">
          <w:rPr>
            <w:rStyle w:val="Hyperlink"/>
            <w:rFonts w:asciiTheme="minorHAnsi" w:hAnsiTheme="minorHAnsi" w:cstheme="minorHAnsi"/>
            <w:color w:val="005AB4"/>
          </w:rPr>
          <w:t>https://www.mass.gov/doc/2010-examination-of-health-care-cost-trends-and-cost-drivers-with-appendix/download</w:t>
        </w:r>
      </w:hyperlink>
    </w:p>
  </w:endnote>
  <w:endnote w:id="39">
    <w:p w14:paraId="2679E54B" w14:textId="78B6DDDB"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1505E3" w:rsidRPr="00AA3ADC">
        <w:rPr>
          <w:rFonts w:asciiTheme="minorHAnsi" w:hAnsiTheme="minorHAnsi" w:cstheme="minorHAnsi"/>
        </w:rPr>
        <w:t xml:space="preserve">MA HEALTH POLICY COMM’N, </w:t>
      </w:r>
      <w:hyperlink r:id="rId50" w:history="1">
        <w:r w:rsidR="001505E3" w:rsidRPr="00AA3ADC">
          <w:rPr>
            <w:rStyle w:val="Hyperlink"/>
            <w:rFonts w:asciiTheme="minorHAnsi" w:hAnsiTheme="minorHAnsi" w:cstheme="minorHAnsi"/>
            <w:color w:val="auto"/>
            <w:u w:val="none"/>
          </w:rPr>
          <w:t>2015 COST TRENDS REPORT PROVIDER PRICE VARIATION</w:t>
        </w:r>
      </w:hyperlink>
      <w:r w:rsidR="001505E3" w:rsidRPr="00AA3ADC">
        <w:rPr>
          <w:rFonts w:asciiTheme="minorHAnsi" w:hAnsiTheme="minorHAnsi" w:cstheme="minorHAnsi"/>
        </w:rPr>
        <w:t xml:space="preserve"> (Jan. 2016). </w:t>
      </w:r>
      <w:hyperlink r:id="rId51" w:history="1">
        <w:r w:rsidR="001505E3" w:rsidRPr="00AA3ADC">
          <w:rPr>
            <w:rStyle w:val="Hyperlink"/>
            <w:rFonts w:asciiTheme="minorHAnsi" w:hAnsiTheme="minorHAnsi" w:cstheme="minorHAnsi"/>
            <w:color w:val="005AB4"/>
          </w:rPr>
          <w:t>https://www.mass.gov/doc/2015-cost-trends-report-provider-price-variation/download</w:t>
        </w:r>
      </w:hyperlink>
    </w:p>
  </w:endnote>
  <w:endnote w:id="40">
    <w:p w14:paraId="2D5E4790" w14:textId="067F0EBA"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CD6433" w:rsidRPr="00AA3ADC">
        <w:rPr>
          <w:rFonts w:asciiTheme="minorHAnsi" w:hAnsiTheme="minorHAnsi" w:cstheme="minorHAnsi"/>
        </w:rPr>
        <w:t xml:space="preserve">DiCenzo, D., &amp; Freedman, J., Freedman </w:t>
      </w:r>
      <w:hyperlink r:id="rId52" w:history="1">
        <w:r w:rsidR="00CD6433" w:rsidRPr="00AA3ADC">
          <w:rPr>
            <w:rStyle w:val="Hyperlink"/>
            <w:rFonts w:asciiTheme="minorHAnsi" w:hAnsiTheme="minorHAnsi" w:cstheme="minorHAnsi"/>
            <w:color w:val="auto"/>
            <w:u w:val="none"/>
          </w:rPr>
          <w:t>HealthCare, Re-examining the Health Care Cost Drivers and Trends in the Commonwealth. A Review of State Reports</w:t>
        </w:r>
      </w:hyperlink>
      <w:r w:rsidR="00CD6433" w:rsidRPr="00AA3ADC">
        <w:rPr>
          <w:rFonts w:asciiTheme="minorHAnsi" w:hAnsiTheme="minorHAnsi" w:cstheme="minorHAnsi"/>
        </w:rPr>
        <w:t xml:space="preserve"> (2008-2018). </w:t>
      </w:r>
      <w:hyperlink r:id="rId53" w:history="1">
        <w:r w:rsidR="00CD6433" w:rsidRPr="00AA3ADC">
          <w:rPr>
            <w:rStyle w:val="Hyperlink"/>
            <w:rFonts w:asciiTheme="minorHAnsi" w:hAnsiTheme="minorHAnsi" w:cstheme="minorHAnsi"/>
            <w:color w:val="005AB4"/>
          </w:rPr>
          <w:t>https://www.mahp.com/wp-content/uploads/2019/05/freedman-report-2018-final.pdf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41356"/>
      <w:docPartObj>
        <w:docPartGallery w:val="Page Numbers (Bottom of Page)"/>
        <w:docPartUnique/>
      </w:docPartObj>
    </w:sdtPr>
    <w:sdtEndPr>
      <w:rPr>
        <w:noProof/>
      </w:rPr>
    </w:sdtEndPr>
    <w:sdtContent>
      <w:p w14:paraId="2C5F277A" w14:textId="52B0B386" w:rsidR="004238B3" w:rsidRDefault="00423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9AEB3" w14:textId="77777777" w:rsidR="004238B3" w:rsidRDefault="0042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C8E4" w14:textId="77777777" w:rsidR="008B63CF" w:rsidRDefault="008B63CF" w:rsidP="008C0709">
      <w:r>
        <w:separator/>
      </w:r>
    </w:p>
  </w:footnote>
  <w:footnote w:type="continuationSeparator" w:id="0">
    <w:p w14:paraId="222809BB" w14:textId="77777777" w:rsidR="008B63CF" w:rsidRDefault="008B63CF" w:rsidP="008C0709">
      <w:r>
        <w:continuationSeparator/>
      </w:r>
    </w:p>
  </w:footnote>
  <w:footnote w:type="continuationNotice" w:id="1">
    <w:p w14:paraId="1C8B8725" w14:textId="77777777" w:rsidR="008B63CF" w:rsidRDefault="008B63CF"/>
  </w:footnote>
  <w:footnote w:id="2">
    <w:p w14:paraId="0D3DB50A" w14:textId="77777777" w:rsidR="009427D4" w:rsidRPr="00036340" w:rsidRDefault="009427D4" w:rsidP="009427D4">
      <w:pPr>
        <w:pStyle w:val="FootnoteText"/>
        <w:rPr>
          <w:rFonts w:asciiTheme="minorHAnsi" w:hAnsiTheme="minorHAnsi" w:cstheme="minorHAnsi"/>
        </w:rPr>
      </w:pPr>
      <w:r w:rsidRPr="00036340">
        <w:rPr>
          <w:rStyle w:val="FootnoteReference"/>
          <w:rFonts w:asciiTheme="minorHAnsi" w:hAnsiTheme="minorHAnsi" w:cstheme="minorHAnsi"/>
        </w:rPr>
        <w:footnoteRef/>
      </w:r>
      <w:r w:rsidRPr="00036340">
        <w:rPr>
          <w:rFonts w:asciiTheme="minorHAnsi" w:hAnsiTheme="minorHAnsi" w:cstheme="minorHAnsi"/>
        </w:rPr>
        <w:t xml:space="preserve"> (1) Boston Medical Center Corporation- the site of the Proposed Project; (2)Boston Medical Center Health Plan, Inc.- a non-profit corporation established to administer the WellSense Health Plan, a managed care organization providing comprehensive health insurance coverage options through Medicaid, Qualified Health Plans, and Senior Care Options to Massachusetts and New Hampshire residents; (3) Cornerstone Health Solutions, LLC, a pharmacy management services business with expertise in the operation of advanced health system specialty pharmacy programs; and (4) BMC Insurance Co., Ltd. of Vermont, a non-profit dormant captive insurance company originally formed to provide insurance coverage for property and certain liability exposures arising from acts of terrorism under the Terrorism Risk Insurance Act of 2002.</w:t>
      </w:r>
    </w:p>
  </w:footnote>
  <w:footnote w:id="3">
    <w:p w14:paraId="72DA5D6D" w14:textId="77777777" w:rsidR="007D1CCB" w:rsidRPr="00C60B07" w:rsidRDefault="007D1CCB" w:rsidP="007D1CCB">
      <w:pPr>
        <w:pStyle w:val="FootnoteText"/>
        <w:rPr>
          <w:rFonts w:asciiTheme="minorHAnsi" w:hAnsiTheme="minorHAnsi" w:cstheme="minorHAnsi"/>
        </w:rPr>
      </w:pPr>
      <w:r w:rsidRPr="00C60B07">
        <w:rPr>
          <w:rStyle w:val="FootnoteReference"/>
          <w:rFonts w:asciiTheme="minorHAnsi" w:hAnsiTheme="minorHAnsi" w:cstheme="minorHAnsi"/>
        </w:rPr>
        <w:footnoteRef/>
      </w:r>
      <w:r w:rsidRPr="00C60B07">
        <w:rPr>
          <w:rFonts w:asciiTheme="minorHAnsi" w:hAnsiTheme="minorHAnsi" w:cstheme="minorHAnsi"/>
        </w:rPr>
        <w:t xml:space="preserve"> BMC was incorporated as a Massachusetts charitable corporation in 1996 with the merger of Boston City Hospital, Boston Specialty and Rehabilitation Hospital, and the Boston University Medical Center Hospital.</w:t>
      </w:r>
    </w:p>
  </w:footnote>
  <w:footnote w:id="4">
    <w:p w14:paraId="59E0CAE0" w14:textId="4370049A" w:rsidR="007D1CCB" w:rsidRDefault="007D1CCB">
      <w:pPr>
        <w:pStyle w:val="FootnoteText"/>
      </w:pPr>
      <w:r>
        <w:rPr>
          <w:rStyle w:val="FootnoteReference"/>
        </w:rPr>
        <w:footnoteRef/>
      </w:r>
      <w:r>
        <w:t xml:space="preserve"> </w:t>
      </w:r>
      <w:r w:rsidRPr="007D1CCB">
        <w:rPr>
          <w:rFonts w:asciiTheme="minorHAnsi" w:hAnsiTheme="minorHAnsi" w:cstheme="minorHAnsi"/>
        </w:rPr>
        <w:t xml:space="preserve">Safety Net Hospitals have a </w:t>
      </w:r>
      <w:r w:rsidRPr="007D1CCB">
        <w:rPr>
          <w:rFonts w:asciiTheme="minorHAnsi" w:hAnsiTheme="minorHAnsi" w:cstheme="minorHAnsi"/>
          <w:color w:val="202122"/>
          <w:shd w:val="clear" w:color="auto" w:fill="FFFFFF"/>
        </w:rPr>
        <w:t>legal mandate to serve all populations and typically serve a proportionately higher number of uninsured, </w:t>
      </w:r>
      <w:hyperlink r:id="rId1" w:tooltip="Medicaid" w:history="1">
        <w:r w:rsidRPr="007D1CCB">
          <w:rPr>
            <w:rFonts w:asciiTheme="minorHAnsi" w:hAnsiTheme="minorHAnsi" w:cstheme="minorHAnsi"/>
            <w:color w:val="3366CC"/>
            <w:u w:val="single"/>
            <w:shd w:val="clear" w:color="auto" w:fill="FFFFFF"/>
          </w:rPr>
          <w:t>Medicaid</w:t>
        </w:r>
      </w:hyperlink>
      <w:r w:rsidRPr="007D1CCB">
        <w:rPr>
          <w:rFonts w:asciiTheme="minorHAnsi" w:hAnsiTheme="minorHAnsi" w:cstheme="minorHAnsi"/>
          <w:color w:val="202122"/>
          <w:shd w:val="clear" w:color="auto" w:fill="FFFFFF"/>
        </w:rPr>
        <w:t>, </w:t>
      </w:r>
      <w:hyperlink r:id="rId2" w:tooltip="Medicare (United States)" w:history="1">
        <w:r w:rsidRPr="007D1CCB">
          <w:rPr>
            <w:rFonts w:asciiTheme="minorHAnsi" w:hAnsiTheme="minorHAnsi" w:cstheme="minorHAnsi"/>
            <w:color w:val="3366CC"/>
            <w:u w:val="single"/>
            <w:shd w:val="clear" w:color="auto" w:fill="FFFFFF"/>
          </w:rPr>
          <w:t>Medicare</w:t>
        </w:r>
      </w:hyperlink>
      <w:r w:rsidRPr="007D1CCB">
        <w:rPr>
          <w:rFonts w:asciiTheme="minorHAnsi" w:hAnsiTheme="minorHAnsi" w:cstheme="minorHAnsi"/>
          <w:color w:val="202122"/>
          <w:shd w:val="clear" w:color="auto" w:fill="FFFFFF"/>
        </w:rPr>
        <w:t>, </w:t>
      </w:r>
      <w:hyperlink r:id="rId3" w:tooltip="Children's Health Insurance Program" w:history="1">
        <w:r w:rsidRPr="007D1CCB">
          <w:rPr>
            <w:rFonts w:asciiTheme="minorHAnsi" w:hAnsiTheme="minorHAnsi" w:cstheme="minorHAnsi"/>
            <w:color w:val="3366CC"/>
            <w:u w:val="single"/>
            <w:shd w:val="clear" w:color="auto" w:fill="FFFFFF"/>
          </w:rPr>
          <w:t>Children's Health Insurance Program</w:t>
        </w:r>
      </w:hyperlink>
      <w:r w:rsidRPr="007D1CCB">
        <w:rPr>
          <w:rFonts w:asciiTheme="minorHAnsi" w:hAnsiTheme="minorHAnsi" w:cstheme="minorHAnsi"/>
          <w:color w:val="202122"/>
          <w:shd w:val="clear" w:color="auto" w:fill="FFFFFF"/>
        </w:rPr>
        <w:t> (CHiP), low-income, and other vulnerable individuals than their "non-safety net hospital" counterpart</w:t>
      </w:r>
      <w:r>
        <w:rPr>
          <w:rFonts w:asciiTheme="minorHAnsi" w:hAnsiTheme="minorHAnsi" w:cstheme="minorHAnsi"/>
          <w:color w:val="202122"/>
          <w:shd w:val="clear" w:color="auto" w:fill="FFFFFF"/>
        </w:rPr>
        <w:t xml:space="preserve">. </w:t>
      </w:r>
      <w:hyperlink r:id="rId4" w:history="1">
        <w:r w:rsidR="008F5366" w:rsidRPr="00FF4DAC">
          <w:rPr>
            <w:rStyle w:val="Hyperlink"/>
            <w:rFonts w:asciiTheme="minorHAnsi" w:hAnsiTheme="minorHAnsi" w:cstheme="minorHAnsi"/>
            <w:shd w:val="clear" w:color="auto" w:fill="FFFFFF"/>
          </w:rPr>
          <w:t>https://en.wikipedia.org/wiki/Safety_net_hospital</w:t>
        </w:r>
      </w:hyperlink>
      <w:r w:rsidR="008F5366">
        <w:rPr>
          <w:rFonts w:asciiTheme="minorHAnsi" w:hAnsiTheme="minorHAnsi" w:cstheme="minorHAnsi"/>
          <w:color w:val="202122"/>
          <w:shd w:val="clear" w:color="auto" w:fill="FFFFFF"/>
        </w:rPr>
        <w:t xml:space="preserve"> </w:t>
      </w:r>
      <w:r w:rsidRPr="007D1CCB">
        <w:rPr>
          <w:rFonts w:asciiTheme="minorHAnsi" w:hAnsiTheme="minorHAnsi" w:cstheme="minorHAnsi"/>
          <w:color w:val="202122"/>
          <w:shd w:val="clear" w:color="auto" w:fill="FFFFFF"/>
        </w:rPr>
        <w:t> </w:t>
      </w:r>
    </w:p>
  </w:footnote>
  <w:footnote w:id="5">
    <w:p w14:paraId="138AAD09" w14:textId="103023D1" w:rsidR="008F5366" w:rsidRPr="007D1CCB" w:rsidRDefault="007D1CCB">
      <w:pPr>
        <w:pStyle w:val="FootnoteText"/>
        <w:rPr>
          <w:rFonts w:asciiTheme="minorHAnsi" w:hAnsiTheme="minorHAnsi" w:cstheme="minorHAnsi"/>
        </w:rPr>
      </w:pPr>
      <w:r w:rsidRPr="007D1CCB">
        <w:rPr>
          <w:rStyle w:val="FootnoteReference"/>
          <w:rFonts w:asciiTheme="minorHAnsi" w:hAnsiTheme="minorHAnsi" w:cstheme="minorHAnsi"/>
        </w:rPr>
        <w:footnoteRef/>
      </w:r>
      <w:r w:rsidRPr="007D1CCB">
        <w:rPr>
          <w:rFonts w:asciiTheme="minorHAnsi" w:hAnsiTheme="minorHAnsi" w:cstheme="minorHAnsi"/>
        </w:rPr>
        <w:t xml:space="preserve"> Massachusetts categorizes certain acute hospitals as High Public Payer hospitals (HPP) for the purpose of setting MassHealth rates. To qualify for the HPP Supplemental Payment, a hospital must have received more than 63% of its Gross Patient Service Revenue </w:t>
      </w:r>
      <w:r w:rsidR="00DE6031">
        <w:rPr>
          <w:rFonts w:asciiTheme="minorHAnsi" w:hAnsiTheme="minorHAnsi" w:cstheme="minorHAnsi"/>
        </w:rPr>
        <w:t>(</w:t>
      </w:r>
      <w:r w:rsidRPr="007D1CCB">
        <w:rPr>
          <w:rFonts w:asciiTheme="minorHAnsi" w:hAnsiTheme="minorHAnsi" w:cstheme="minorHAnsi"/>
        </w:rPr>
        <w:t>in FY21</w:t>
      </w:r>
      <w:r w:rsidR="00DE6031">
        <w:rPr>
          <w:rFonts w:asciiTheme="minorHAnsi" w:hAnsiTheme="minorHAnsi" w:cstheme="minorHAnsi"/>
        </w:rPr>
        <w:t>)</w:t>
      </w:r>
      <w:r w:rsidRPr="007D1CCB">
        <w:rPr>
          <w:rFonts w:asciiTheme="minorHAnsi" w:hAnsiTheme="minorHAnsi" w:cstheme="minorHAnsi"/>
        </w:rPr>
        <w:t xml:space="preserve"> from government payers and free care, as determined by the Executive Office of Health and Human Services (EOHHS) based on the Hospital’s FY21 Massachusetts Hospital Cost Report.</w:t>
      </w:r>
      <w:r w:rsidR="008F5366">
        <w:rPr>
          <w:rFonts w:asciiTheme="minorHAnsi" w:hAnsiTheme="minorHAnsi" w:cstheme="minorHAnsi"/>
        </w:rPr>
        <w:t xml:space="preserve"> </w:t>
      </w:r>
      <w:hyperlink r:id="rId5" w:history="1">
        <w:r w:rsidR="008F5366" w:rsidRPr="00FF4DAC">
          <w:rPr>
            <w:rStyle w:val="Hyperlink"/>
            <w:rFonts w:asciiTheme="minorHAnsi" w:hAnsiTheme="minorHAnsi" w:cstheme="minorHAnsi"/>
          </w:rPr>
          <w:t>https://www.chiamass.gov/high-public-payer-hospitals/</w:t>
        </w:r>
      </w:hyperlink>
      <w:r w:rsidR="008F5366">
        <w:rPr>
          <w:rFonts w:asciiTheme="minorHAnsi" w:hAnsiTheme="minorHAnsi" w:cstheme="minorHAnsi"/>
        </w:rPr>
        <w:t xml:space="preserve"> </w:t>
      </w:r>
    </w:p>
  </w:footnote>
  <w:footnote w:id="6">
    <w:p w14:paraId="589344D7" w14:textId="77029613" w:rsidR="0001465A" w:rsidRPr="00861484" w:rsidRDefault="0001465A">
      <w:pPr>
        <w:pStyle w:val="FootnoteText"/>
        <w:rPr>
          <w:rFonts w:asciiTheme="minorHAnsi" w:hAnsiTheme="minorHAnsi" w:cstheme="minorHAnsi"/>
        </w:rPr>
      </w:pPr>
      <w:r w:rsidRPr="00861484">
        <w:rPr>
          <w:rStyle w:val="FootnoteReference"/>
          <w:rFonts w:asciiTheme="minorHAnsi" w:hAnsiTheme="minorHAnsi" w:cstheme="minorHAnsi"/>
        </w:rPr>
        <w:footnoteRef/>
      </w:r>
      <w:r w:rsidRPr="00861484">
        <w:rPr>
          <w:rFonts w:asciiTheme="minorHAnsi" w:hAnsiTheme="minorHAnsi" w:cstheme="minorHAnsi"/>
        </w:rPr>
        <w:t xml:space="preserve"> </w:t>
      </w:r>
      <w:r w:rsidR="00861484" w:rsidRPr="00861484">
        <w:rPr>
          <w:rFonts w:asciiTheme="minorHAnsi" w:hAnsiTheme="minorHAnsi" w:cstheme="minorHAnsi"/>
        </w:rPr>
        <w:t xml:space="preserve">Codman Square Health Center (“CSHC”), including CSHC and TechBoston Academy School Health </w:t>
      </w:r>
      <w:bookmarkStart w:id="22" w:name="_Int_Jh4KaKiN"/>
      <w:r w:rsidR="00861484" w:rsidRPr="00861484">
        <w:rPr>
          <w:rFonts w:asciiTheme="minorHAnsi" w:hAnsiTheme="minorHAnsi" w:cstheme="minorHAnsi"/>
        </w:rPr>
        <w:t>Center;</w:t>
      </w:r>
      <w:bookmarkEnd w:id="22"/>
      <w:r w:rsidR="00861484" w:rsidRPr="00861484">
        <w:rPr>
          <w:rFonts w:asciiTheme="minorHAnsi" w:hAnsiTheme="minorHAnsi" w:cstheme="minorHAnsi"/>
        </w:rPr>
        <w:t xml:space="preserve"> 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w:t>
      </w:r>
      <w:bookmarkStart w:id="23" w:name="_Int_VN9pqOKq"/>
      <w:r w:rsidR="00861484" w:rsidRPr="00861484">
        <w:rPr>
          <w:rFonts w:asciiTheme="minorHAnsi" w:hAnsiTheme="minorHAnsi" w:cstheme="minorHAnsi"/>
        </w:rPr>
        <w:t>locations;</w:t>
      </w:r>
      <w:bookmarkEnd w:id="23"/>
      <w:r w:rsidR="00861484" w:rsidRPr="00861484">
        <w:rPr>
          <w:rFonts w:asciiTheme="minorHAnsi" w:hAnsiTheme="minorHAnsi" w:cstheme="minorHAnsi"/>
        </w:rPr>
        <w:t xml:space="preserve"> DotHouse Health; and South Boston Community Health Center ("SBCHC"), including SBCHC’s, 386 West Broadway, 409 West Broadway, and 505 Congress Street locations. </w:t>
      </w:r>
      <w:r w:rsidRPr="00861484">
        <w:rPr>
          <w:rFonts w:asciiTheme="minorHAnsi" w:hAnsiTheme="minorHAnsi" w:cstheme="minorHAnsi"/>
        </w:rPr>
        <w:t xml:space="preserve">The Applicant provided demographic information on these centers separately. The information systems on these centers are not integrated with BMC’s system, and patients who receive care in multiple locations may be counted more than once </w:t>
      </w:r>
      <w:r w:rsidR="00A53120" w:rsidRPr="00861484">
        <w:rPr>
          <w:rFonts w:asciiTheme="minorHAnsi" w:hAnsiTheme="minorHAnsi" w:cstheme="minorHAnsi"/>
        </w:rPr>
        <w:t>and included</w:t>
      </w:r>
      <w:r w:rsidRPr="00861484">
        <w:rPr>
          <w:rFonts w:asciiTheme="minorHAnsi" w:hAnsiTheme="minorHAnsi" w:cstheme="minorHAnsi"/>
        </w:rPr>
        <w:t xml:space="preserve"> in BMC’s Patient Panel demographic information.</w:t>
      </w:r>
    </w:p>
    <w:p w14:paraId="38F580FA" w14:textId="77777777" w:rsidR="0001465A" w:rsidRPr="00861484" w:rsidRDefault="0001465A">
      <w:pPr>
        <w:pStyle w:val="FootnoteText"/>
        <w:rPr>
          <w:rFonts w:asciiTheme="minorHAnsi" w:hAnsiTheme="minorHAnsi" w:cstheme="minorHAnsi"/>
        </w:rPr>
      </w:pPr>
    </w:p>
  </w:footnote>
  <w:footnote w:id="7">
    <w:p w14:paraId="3969B69A" w14:textId="77777777" w:rsidR="0001465A" w:rsidRPr="001C3540" w:rsidRDefault="0001465A" w:rsidP="0060259B">
      <w:pPr>
        <w:pStyle w:val="FootnoteText"/>
        <w:rPr>
          <w:rFonts w:asciiTheme="minorHAnsi" w:hAnsiTheme="minorHAnsi" w:cstheme="minorHAnsi"/>
        </w:rPr>
      </w:pPr>
      <w:r w:rsidRPr="001C3540">
        <w:rPr>
          <w:rStyle w:val="FootnoteReference"/>
          <w:rFonts w:asciiTheme="minorHAnsi" w:hAnsiTheme="minorHAnsi" w:cstheme="minorHAnsi"/>
        </w:rPr>
        <w:footnoteRef/>
      </w:r>
      <w:r w:rsidRPr="001C3540">
        <w:rPr>
          <w:rFonts w:asciiTheme="minorHAnsi" w:hAnsiTheme="minorHAnsi"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8">
    <w:p w14:paraId="028B9FD7" w14:textId="77777777" w:rsidR="00D60F87" w:rsidRPr="0028516B" w:rsidRDefault="00D60F87" w:rsidP="00D60F87">
      <w:pPr>
        <w:pStyle w:val="FootnoteText"/>
        <w:rPr>
          <w:u w:val="single"/>
        </w:rPr>
      </w:pPr>
      <w:r w:rsidRPr="00B91829">
        <w:rPr>
          <w:rStyle w:val="FootnoteReference"/>
          <w:rFonts w:asciiTheme="minorHAnsi" w:hAnsiTheme="minorHAnsi" w:cstheme="minorHAnsi"/>
        </w:rPr>
        <w:footnoteRef/>
      </w:r>
      <w:r w:rsidRPr="00B91829">
        <w:rPr>
          <w:rFonts w:asciiTheme="minorHAnsi" w:hAnsiTheme="minorHAnsi" w:cstheme="minorHAnsi"/>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 </w:t>
      </w:r>
    </w:p>
  </w:footnote>
  <w:footnote w:id="9">
    <w:p w14:paraId="5280386E" w14:textId="77777777" w:rsidR="00D60F87" w:rsidRPr="000B7513" w:rsidRDefault="00D60F87" w:rsidP="00D60F87">
      <w:pPr>
        <w:pStyle w:val="FootnoteText"/>
        <w:rPr>
          <w:rFonts w:asciiTheme="minorHAnsi" w:hAnsiTheme="minorHAnsi" w:cstheme="minorHAnsi"/>
        </w:rPr>
      </w:pPr>
      <w:r w:rsidRPr="000B7513">
        <w:rPr>
          <w:rStyle w:val="FootnoteReference"/>
          <w:rFonts w:asciiTheme="minorHAnsi" w:hAnsiTheme="minorHAnsi" w:cstheme="minorHAnsi"/>
        </w:rPr>
        <w:footnoteRef/>
      </w:r>
      <w:r w:rsidRPr="000B7513">
        <w:rPr>
          <w:rFonts w:asciiTheme="minorHAnsi" w:hAnsiTheme="minorHAnsi" w:cstheme="minorHAnsi"/>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 </w:t>
      </w:r>
    </w:p>
  </w:footnote>
  <w:footnote w:id="10">
    <w:p w14:paraId="63C96622" w14:textId="7D68E560" w:rsidR="00001279" w:rsidRPr="00A04F0E" w:rsidRDefault="00001279">
      <w:pPr>
        <w:pStyle w:val="FootnoteText"/>
        <w:rPr>
          <w:rFonts w:asciiTheme="minorHAnsi" w:hAnsiTheme="minorHAnsi" w:cstheme="minorHAnsi"/>
        </w:rPr>
      </w:pPr>
      <w:r w:rsidRPr="00A04F0E">
        <w:rPr>
          <w:rStyle w:val="FootnoteReference"/>
          <w:rFonts w:asciiTheme="minorHAnsi" w:hAnsiTheme="minorHAnsi" w:cstheme="minorHAnsi"/>
        </w:rPr>
        <w:footnoteRef/>
      </w:r>
      <w:r w:rsidRPr="00A04F0E">
        <w:rPr>
          <w:rFonts w:asciiTheme="minorHAnsi" w:hAnsiTheme="minorHAnsi" w:cstheme="minorHAnsi"/>
        </w:rPr>
        <w:t xml:space="preserve"> Includes: "Male" and "Other/Unknown" for confidentiality due to data counts &lt;11.</w:t>
      </w:r>
    </w:p>
  </w:footnote>
  <w:footnote w:id="11">
    <w:p w14:paraId="3F751E72" w14:textId="129F4457" w:rsidR="00C53586" w:rsidRPr="00A04F0E" w:rsidRDefault="00C53586" w:rsidP="00A04F0E">
      <w:pPr>
        <w:rPr>
          <w:rFonts w:asciiTheme="minorHAnsi" w:hAnsiTheme="minorHAnsi" w:cstheme="minorHAnsi"/>
          <w:color w:val="000000"/>
          <w:sz w:val="20"/>
          <w:szCs w:val="20"/>
        </w:rPr>
      </w:pPr>
      <w:r w:rsidRPr="00A04F0E">
        <w:rPr>
          <w:rStyle w:val="FootnoteReference"/>
          <w:rFonts w:asciiTheme="minorHAnsi" w:hAnsiTheme="minorHAnsi" w:cstheme="minorHAnsi"/>
          <w:sz w:val="20"/>
          <w:szCs w:val="20"/>
        </w:rPr>
        <w:footnoteRef/>
      </w:r>
      <w:r w:rsidRPr="00A04F0E">
        <w:rPr>
          <w:rFonts w:asciiTheme="minorHAnsi" w:hAnsiTheme="minorHAnsi" w:cstheme="minorHAnsi"/>
          <w:sz w:val="20"/>
          <w:szCs w:val="20"/>
        </w:rPr>
        <w:t xml:space="preserve"> </w:t>
      </w:r>
      <w:r w:rsidRPr="00A04F0E">
        <w:rPr>
          <w:rFonts w:asciiTheme="minorHAnsi" w:hAnsiTheme="minorHAnsi" w:cstheme="minorHAnsi"/>
          <w:color w:val="000000"/>
          <w:sz w:val="20"/>
          <w:szCs w:val="20"/>
        </w:rPr>
        <w:t>Includes: "65+" and " Unknown" for confidentiality due to data with counts &lt;11.</w:t>
      </w:r>
    </w:p>
  </w:footnote>
  <w:footnote w:id="12">
    <w:p w14:paraId="30768818" w14:textId="00B4AA4F" w:rsidR="008E5478" w:rsidRPr="000B7513" w:rsidRDefault="008E5478">
      <w:pPr>
        <w:pStyle w:val="FootnoteText"/>
        <w:rPr>
          <w:rFonts w:asciiTheme="minorHAnsi" w:hAnsiTheme="minorHAnsi" w:cstheme="minorHAnsi"/>
        </w:rPr>
      </w:pPr>
      <w:r w:rsidRPr="000B7513">
        <w:rPr>
          <w:rStyle w:val="FootnoteReference"/>
          <w:rFonts w:asciiTheme="minorHAnsi" w:hAnsiTheme="minorHAnsi" w:cstheme="minorHAnsi"/>
        </w:rPr>
        <w:footnoteRef/>
      </w:r>
      <w:r w:rsidRPr="000B7513">
        <w:rPr>
          <w:rFonts w:asciiTheme="minorHAnsi" w:hAnsiTheme="minorHAnsi" w:cstheme="minorHAnsi"/>
        </w:rPr>
        <w:t xml:space="preserve"> Race/ethnicity data are based on patient self-reporting. For patients that reported multiple races, the primary race (the race selected first) was utilized for purposes of this DoN data pull.</w:t>
      </w:r>
    </w:p>
  </w:footnote>
  <w:footnote w:id="13">
    <w:p w14:paraId="55C9ACE0" w14:textId="7A6364DC" w:rsidR="008E5478" w:rsidRPr="000B7513" w:rsidRDefault="008E5478" w:rsidP="000B7513">
      <w:pPr>
        <w:rPr>
          <w:rFonts w:asciiTheme="minorHAnsi" w:hAnsiTheme="minorHAnsi" w:cstheme="minorHAnsi"/>
          <w:color w:val="0563C1"/>
          <w:sz w:val="20"/>
          <w:szCs w:val="20"/>
        </w:rPr>
      </w:pPr>
      <w:r w:rsidRPr="000B7513">
        <w:rPr>
          <w:rStyle w:val="FootnoteReference"/>
          <w:rFonts w:asciiTheme="minorHAnsi" w:hAnsiTheme="minorHAnsi" w:cstheme="minorHAnsi"/>
          <w:sz w:val="20"/>
          <w:szCs w:val="20"/>
        </w:rPr>
        <w:footnoteRef/>
      </w:r>
      <w:r w:rsidRPr="000B7513">
        <w:rPr>
          <w:rFonts w:asciiTheme="minorHAnsi" w:hAnsiTheme="minorHAnsi" w:cstheme="minorHAnsi"/>
          <w:sz w:val="20"/>
          <w:szCs w:val="20"/>
        </w:rPr>
        <w:t xml:space="preserve"> </w:t>
      </w:r>
      <w:hyperlink r:id="rId6" w:anchor="RANGE!A21" w:history="1">
        <w:r w:rsidRPr="000B7513">
          <w:rPr>
            <w:rFonts w:asciiTheme="minorHAnsi" w:hAnsiTheme="minorHAnsi" w:cstheme="minorHAnsi"/>
            <w:sz w:val="20"/>
            <w:szCs w:val="20"/>
          </w:rPr>
          <w:t xml:space="preserve"> “Other” includes Not Specified, Other, Declined - Not Available, and Unknown.</w:t>
        </w:r>
      </w:hyperlink>
    </w:p>
  </w:footnote>
  <w:footnote w:id="14">
    <w:p w14:paraId="1CED698A" w14:textId="70A01742" w:rsidR="000C2A62" w:rsidRDefault="000C2A62" w:rsidP="0045189A">
      <w:pPr>
        <w:pStyle w:val="FootnoteText"/>
      </w:pPr>
      <w:r>
        <w:rPr>
          <w:rStyle w:val="FootnoteReference"/>
        </w:rPr>
        <w:footnoteRef/>
      </w:r>
      <w:r>
        <w:t xml:space="preserve"> </w:t>
      </w:r>
      <w:r w:rsidRPr="000F2465">
        <w:rPr>
          <w:rFonts w:asciiTheme="minorHAnsi" w:hAnsiTheme="minorHAnsi" w:cstheme="minorHAnsi"/>
        </w:rPr>
        <w:t>“Commercial” includes: Aetna, Allways Health Partners, Blue Cross Blue Shield, WellSense Health Plan f/k/a BMC HealthNet, Cigna, Fallon, Harvard Pilgrim Health Care, Tufts, United, and Other Commercial Plan.</w:t>
      </w:r>
    </w:p>
  </w:footnote>
  <w:footnote w:id="15">
    <w:p w14:paraId="4106CDD1" w14:textId="72AB3C03" w:rsidR="000C2A62" w:rsidRPr="003E0D0A" w:rsidRDefault="000C2A62" w:rsidP="004A7D0D">
      <w:pPr>
        <w:pStyle w:val="FootnoteText"/>
        <w:rPr>
          <w:rFonts w:ascii="Arial" w:hAnsi="Arial" w:cs="Arial"/>
        </w:rPr>
      </w:pPr>
      <w:r w:rsidRPr="002B7BDE">
        <w:rPr>
          <w:rStyle w:val="FootnoteReference"/>
          <w:rFonts w:asciiTheme="minorHAnsi" w:hAnsiTheme="minorHAnsi" w:cstheme="minorHAnsi"/>
        </w:rPr>
        <w:footnoteRef/>
      </w:r>
      <w:r>
        <w:rPr>
          <w:rStyle w:val="FootnoteReference"/>
          <w:rFonts w:asciiTheme="minorHAnsi" w:hAnsiTheme="minorHAnsi" w:cstheme="minorHAnsi"/>
        </w:rPr>
        <w:t xml:space="preserve"> </w:t>
      </w:r>
      <w:r w:rsidRPr="003E0D0A">
        <w:rPr>
          <w:rFonts w:asciiTheme="minorHAnsi" w:hAnsiTheme="minorHAnsi" w:cstheme="minorHAnsi"/>
          <w:color w:val="000000" w:themeColor="text1"/>
        </w:rPr>
        <w:t>Note that the Applicant is not always able to isolate whether a Commercial plan is HMO/POS or PPO/Indemnity. In these instances, “Commercial – Other” has been provided an alternative category.</w:t>
      </w:r>
    </w:p>
  </w:footnote>
  <w:footnote w:id="16">
    <w:p w14:paraId="3D12A2AB" w14:textId="77777777" w:rsidR="000B6ABF" w:rsidRPr="003E0D0A" w:rsidRDefault="000B6ABF" w:rsidP="004A7D0D">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w:t>
      </w:r>
      <w:r w:rsidRPr="003E0D0A">
        <w:rPr>
          <w:rFonts w:asciiTheme="minorHAnsi" w:hAnsiTheme="minorHAnsi" w:cstheme="minorHAnsi"/>
          <w:color w:val="000000" w:themeColor="text1"/>
        </w:rPr>
        <w:t>“All Other”: Workers Comp, Motor Vehicle Accident, Government Other (e.g., Corrections, TriCare, VA), COVID-19 HRSA Uninsured Treatment Fund, International, Other Payer, and Not Specified.</w:t>
      </w:r>
    </w:p>
  </w:footnote>
  <w:footnote w:id="17">
    <w:p w14:paraId="1F50E3D6" w14:textId="77777777" w:rsidR="00B91829" w:rsidRPr="00C42431" w:rsidRDefault="00B91829" w:rsidP="00B91829">
      <w:pPr>
        <w:pStyle w:val="FootnoteText"/>
        <w:rPr>
          <w:rFonts w:ascii="Calibri" w:hAnsi="Calibri" w:cs="Calibri"/>
        </w:rPr>
      </w:pPr>
      <w:r>
        <w:rPr>
          <w:rStyle w:val="FootnoteReference"/>
        </w:rPr>
        <w:footnoteRef/>
      </w:r>
      <w:r>
        <w:t xml:space="preserve"> </w:t>
      </w:r>
      <w:r w:rsidRPr="00C42431">
        <w:rPr>
          <w:rFonts w:ascii="Calibri" w:hAnsi="Calibri" w:cs="Calibri"/>
        </w:rPr>
        <w:t>one (1) 1.5T MRI unit and two (2) 3T MRI units.</w:t>
      </w:r>
    </w:p>
  </w:footnote>
  <w:footnote w:id="18">
    <w:p w14:paraId="7D415996" w14:textId="0A75F59B" w:rsidR="00B91829" w:rsidRPr="00B91829" w:rsidRDefault="00B91829" w:rsidP="00B91829">
      <w:pPr>
        <w:pStyle w:val="FootnoteText"/>
        <w:rPr>
          <w:rFonts w:ascii="Calibri" w:hAnsi="Calibri" w:cs="Calibri"/>
        </w:rPr>
      </w:pPr>
      <w:r>
        <w:rPr>
          <w:rStyle w:val="FootnoteReference"/>
        </w:rPr>
        <w:footnoteRef/>
      </w:r>
      <w:r>
        <w:t xml:space="preserve"> </w:t>
      </w:r>
      <w:hyperlink r:id="rId7" w:history="1">
        <w:r w:rsidRPr="007444E5">
          <w:rPr>
            <w:rStyle w:val="Hyperlink"/>
            <w:rFonts w:ascii="Calibri" w:hAnsi="Calibri" w:cs="Calibri"/>
            <w:color w:val="auto"/>
            <w:u w:val="none"/>
          </w:rPr>
          <w:t>BMC Application Narrative Table 3, p.5</w:t>
        </w:r>
      </w:hyperlink>
      <w:r w:rsidRPr="00B91829">
        <w:rPr>
          <w:rFonts w:ascii="Calibri" w:hAnsi="Calibri" w:cs="Calibri"/>
        </w:rPr>
        <w:t xml:space="preserve"> </w:t>
      </w:r>
      <w:hyperlink r:id="rId8" w:history="1">
        <w:r w:rsidRPr="00B91829">
          <w:rPr>
            <w:rStyle w:val="Hyperlink"/>
            <w:rFonts w:ascii="Calibri" w:hAnsi="Calibri" w:cs="Calibri"/>
          </w:rPr>
          <w:t>https://www.mass.gov/doc/narrative-pdf-boston-medical-center-don-required-equipment/download</w:t>
        </w:r>
      </w:hyperlink>
      <w:r w:rsidRPr="00B91829">
        <w:rPr>
          <w:rFonts w:ascii="Calibri" w:hAnsi="Calibri" w:cs="Calibri"/>
        </w:rPr>
        <w:t xml:space="preserve">    </w:t>
      </w:r>
    </w:p>
  </w:footnote>
  <w:footnote w:id="19">
    <w:p w14:paraId="4F16CF52" w14:textId="77777777" w:rsidR="00B91829" w:rsidRPr="00B91829" w:rsidRDefault="00B91829" w:rsidP="00B91829">
      <w:pPr>
        <w:pStyle w:val="FootnoteText"/>
        <w:rPr>
          <w:rFonts w:ascii="Calibri" w:hAnsi="Calibri" w:cs="Calibri"/>
        </w:rPr>
      </w:pPr>
      <w:r w:rsidRPr="00B91829">
        <w:rPr>
          <w:rStyle w:val="FootnoteReference"/>
          <w:rFonts w:ascii="Calibri" w:hAnsi="Calibri" w:cs="Calibri"/>
        </w:rPr>
        <w:footnoteRef/>
      </w:r>
      <w:r w:rsidRPr="00B91829">
        <w:rPr>
          <w:rFonts w:ascii="Calibri" w:hAnsi="Calibri" w:cs="Calibri"/>
        </w:rPr>
        <w:t xml:space="preserve"> BMC's FY is from 10/1 – 9/30. FY23 data is provided YTD through 6/2023 and, therefore, is subject to change.</w:t>
      </w:r>
    </w:p>
  </w:footnote>
  <w:footnote w:id="20">
    <w:p w14:paraId="22439601" w14:textId="4862F2A4" w:rsidR="009D3FC5" w:rsidRPr="00B60185" w:rsidRDefault="009D3FC5" w:rsidP="00B60185">
      <w:pPr>
        <w:rPr>
          <w:rFonts w:asciiTheme="minorHAnsi" w:hAnsiTheme="minorHAnsi" w:cstheme="minorHAnsi"/>
          <w:sz w:val="20"/>
          <w:szCs w:val="20"/>
        </w:rPr>
      </w:pPr>
      <w:r>
        <w:rPr>
          <w:rStyle w:val="FootnoteReference"/>
        </w:rPr>
        <w:footnoteRef/>
      </w:r>
      <w:r>
        <w:t xml:space="preserve"> </w:t>
      </w:r>
      <w:r w:rsidRPr="00B60185">
        <w:rPr>
          <w:rFonts w:asciiTheme="minorHAnsi" w:hAnsiTheme="minorHAnsi" w:cstheme="minorHAnsi"/>
          <w:sz w:val="20"/>
          <w:szCs w:val="20"/>
        </w:rPr>
        <w:t xml:space="preserve">The Applicant provided the following explanation of the classification of MRI patients. Typically, bedded outpatients, as well as observation and ED patients are classified as outpatients. However, when attributing MRI scan volume, there are some exceptions- 1) </w:t>
      </w:r>
      <w:r w:rsidRPr="00454E5F">
        <w:rPr>
          <w:rFonts w:asciiTheme="minorHAnsi" w:hAnsiTheme="minorHAnsi" w:cstheme="minorHAnsi"/>
          <w:sz w:val="20"/>
          <w:szCs w:val="20"/>
        </w:rPr>
        <w:t>For patients that initiate care through the ED and are discharged as outpatients, including bedded outpatients or observation patients – MRI scan volume is attributed to the ED MRI Scans category</w:t>
      </w:r>
      <w:r w:rsidRPr="00B60185">
        <w:rPr>
          <w:rFonts w:asciiTheme="minorHAnsi" w:hAnsiTheme="minorHAnsi" w:cstheme="minorHAnsi"/>
          <w:sz w:val="20"/>
          <w:szCs w:val="20"/>
        </w:rPr>
        <w:t xml:space="preserve">. 2) </w:t>
      </w:r>
      <w:r w:rsidRPr="00454E5F">
        <w:rPr>
          <w:rFonts w:asciiTheme="minorHAnsi" w:hAnsiTheme="minorHAnsi" w:cstheme="minorHAnsi"/>
          <w:sz w:val="20"/>
          <w:szCs w:val="20"/>
        </w:rPr>
        <w:t>For patients that initiate care through the ED and are admitted to an inpatient unit and discharged with inpatient class</w:t>
      </w:r>
      <w:r w:rsidRPr="00B60185">
        <w:rPr>
          <w:rFonts w:asciiTheme="minorHAnsi" w:hAnsiTheme="minorHAnsi" w:cstheme="minorHAnsi"/>
          <w:sz w:val="20"/>
          <w:szCs w:val="20"/>
        </w:rPr>
        <w:t>ification</w:t>
      </w:r>
      <w:r w:rsidRPr="00454E5F">
        <w:rPr>
          <w:rFonts w:asciiTheme="minorHAnsi" w:hAnsiTheme="minorHAnsi" w:cstheme="minorHAnsi"/>
          <w:sz w:val="20"/>
          <w:szCs w:val="20"/>
        </w:rPr>
        <w:t xml:space="preserve">, MRI scan volume is attributed to the Inpatient MRI Scans category. </w:t>
      </w:r>
      <w:r w:rsidRPr="00B60185">
        <w:rPr>
          <w:rFonts w:asciiTheme="minorHAnsi" w:hAnsiTheme="minorHAnsi" w:cstheme="minorHAnsi"/>
          <w:sz w:val="20"/>
          <w:szCs w:val="20"/>
        </w:rPr>
        <w:t xml:space="preserve">3) </w:t>
      </w:r>
      <w:r w:rsidRPr="00454E5F">
        <w:rPr>
          <w:rFonts w:asciiTheme="minorHAnsi" w:hAnsiTheme="minorHAnsi" w:cstheme="minorHAnsi"/>
          <w:sz w:val="20"/>
          <w:szCs w:val="20"/>
        </w:rPr>
        <w:t>For outpatients that do not initiate care within the ED, including elective bedded outpatients and observation patients, MRI scan volume is attributed to the Outpatient MRI Scans category.</w:t>
      </w:r>
      <w:r w:rsidRPr="00B60185">
        <w:rPr>
          <w:rFonts w:asciiTheme="minorHAnsi" w:hAnsiTheme="minorHAnsi" w:cstheme="minorHAnsi"/>
          <w:sz w:val="20"/>
          <w:szCs w:val="20"/>
        </w:rPr>
        <w:t xml:space="preserve"> 4) </w:t>
      </w:r>
      <w:r w:rsidRPr="00454E5F">
        <w:rPr>
          <w:rFonts w:asciiTheme="minorHAnsi" w:hAnsiTheme="minorHAnsi" w:cstheme="minorHAnsi"/>
          <w:sz w:val="20"/>
          <w:szCs w:val="20"/>
        </w:rPr>
        <w:t xml:space="preserve">For inpatients that do not initiate care within the ED, MRI scan volume is attributed to the Inpatient MRI Scans category. </w:t>
      </w:r>
    </w:p>
  </w:footnote>
  <w:footnote w:id="21">
    <w:p w14:paraId="0E87B7EC" w14:textId="77777777" w:rsidR="00B91829" w:rsidRDefault="00B91829" w:rsidP="00B91829">
      <w:pPr>
        <w:pStyle w:val="FootnoteText"/>
      </w:pPr>
      <w:r>
        <w:rPr>
          <w:rStyle w:val="FootnoteReference"/>
        </w:rPr>
        <w:footnoteRef/>
      </w:r>
      <w:r>
        <w:t xml:space="preserve"> </w:t>
      </w:r>
      <w:r w:rsidRPr="00B91829">
        <w:rPr>
          <w:rFonts w:ascii="Calibri" w:hAnsi="Calibri" w:cs="Calibri"/>
        </w:rPr>
        <w:t>The Applicant asserts that 40 minutes is the industry standard.</w:t>
      </w:r>
    </w:p>
  </w:footnote>
  <w:footnote w:id="22">
    <w:p w14:paraId="07A79CD9" w14:textId="5A73F2F3" w:rsidR="00B91829" w:rsidRPr="006039E9" w:rsidRDefault="00B91829" w:rsidP="00B91829">
      <w:pPr>
        <w:pStyle w:val="FootnoteText"/>
        <w:rPr>
          <w:rFonts w:asciiTheme="minorHAnsi" w:hAnsiTheme="minorHAnsi" w:cstheme="minorHAnsi"/>
          <w:bCs/>
        </w:rPr>
      </w:pPr>
      <w:r w:rsidRPr="006039E9">
        <w:rPr>
          <w:rStyle w:val="FootnoteReference"/>
          <w:rFonts w:asciiTheme="minorHAnsi" w:hAnsiTheme="minorHAnsi" w:cstheme="minorHAnsi"/>
        </w:rPr>
        <w:footnoteRef/>
      </w:r>
      <w:r w:rsidR="00800DB3" w:rsidRPr="006039E9">
        <w:rPr>
          <w:rFonts w:asciiTheme="minorHAnsi" w:hAnsiTheme="minorHAnsi" w:cstheme="minorHAnsi"/>
        </w:rPr>
        <w:t>Staff inquired</w:t>
      </w:r>
      <w:r w:rsidRPr="006039E9">
        <w:rPr>
          <w:rFonts w:asciiTheme="minorHAnsi" w:hAnsiTheme="minorHAnsi" w:cstheme="minorHAnsi"/>
        </w:rPr>
        <w:t xml:space="preserve"> how </w:t>
      </w:r>
      <w:r w:rsidR="006039E9">
        <w:rPr>
          <w:rFonts w:asciiTheme="minorHAnsi" w:hAnsiTheme="minorHAnsi" w:cstheme="minorHAnsi"/>
        </w:rPr>
        <w:t xml:space="preserve">it calculates </w:t>
      </w:r>
      <w:r w:rsidR="00800DB3" w:rsidRPr="006039E9">
        <w:rPr>
          <w:rFonts w:asciiTheme="minorHAnsi" w:hAnsiTheme="minorHAnsi" w:cstheme="minorHAnsi"/>
        </w:rPr>
        <w:t>capacity</w:t>
      </w:r>
      <w:r w:rsidR="006039E9">
        <w:rPr>
          <w:rFonts w:asciiTheme="minorHAnsi" w:hAnsiTheme="minorHAnsi" w:cstheme="minorHAnsi"/>
        </w:rPr>
        <w:t>,</w:t>
      </w:r>
      <w:r w:rsidR="00800DB3" w:rsidRPr="006039E9">
        <w:rPr>
          <w:rFonts w:asciiTheme="minorHAnsi" w:hAnsiTheme="minorHAnsi" w:cstheme="minorHAnsi"/>
        </w:rPr>
        <w:t xml:space="preserve"> to which</w:t>
      </w:r>
      <w:r w:rsidRPr="006039E9">
        <w:rPr>
          <w:rFonts w:asciiTheme="minorHAnsi" w:hAnsiTheme="minorHAnsi" w:cstheme="minorHAnsi"/>
        </w:rPr>
        <w:t xml:space="preserve"> the Applicant</w:t>
      </w:r>
      <w:r w:rsidR="006039E9">
        <w:rPr>
          <w:rFonts w:asciiTheme="minorHAnsi" w:hAnsiTheme="minorHAnsi" w:cstheme="minorHAnsi"/>
        </w:rPr>
        <w:t xml:space="preserve"> responded</w:t>
      </w:r>
      <w:r w:rsidRPr="006039E9">
        <w:rPr>
          <w:rFonts w:asciiTheme="minorHAnsi" w:hAnsiTheme="minorHAnsi" w:cstheme="minorHAnsi"/>
        </w:rPr>
        <w:t>: “</w:t>
      </w:r>
      <w:r w:rsidRPr="006039E9">
        <w:rPr>
          <w:rFonts w:asciiTheme="minorHAnsi" w:hAnsiTheme="minorHAnsi" w:cstheme="minorHAnsi"/>
          <w:bCs/>
        </w:rPr>
        <w:t>Each unit operates 13.1 hours per day for outpatient scans and conducts approximately 1.5 scans per hour. Over the course of a year, the MRI units operate 357 days (holidays are excluded) for outpatient scans. Consequently, each MRI has the capacity to conduct 7,015 outpatients scans per year. If you multiply the total number of scans by the 3 MRI units – 21,045 outpatient scans are possible annually. In FY22, BMC performed 18,418 outpatient MRI scans, consequently outpatient scan utilization is approximately 88%. Of BMC’s existing MRI units, two units also perform inpatient MRI scans – when amalgamating inpatient and outpatient capacity – the hospital’s MRI units are operating at greater than 90% capacity.”</w:t>
      </w:r>
    </w:p>
  </w:footnote>
  <w:footnote w:id="23">
    <w:p w14:paraId="4438E894" w14:textId="4179FF29"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eastAsia="Calibri" w:hAnsiTheme="minorHAnsi" w:cstheme="minorHAnsi"/>
        </w:rPr>
        <w:t xml:space="preserve">This is 20 days </w:t>
      </w:r>
      <w:r w:rsidR="00F528D0" w:rsidRPr="006039E9">
        <w:rPr>
          <w:rFonts w:asciiTheme="minorHAnsi" w:eastAsia="Calibri" w:hAnsiTheme="minorHAnsi" w:cstheme="minorHAnsi"/>
        </w:rPr>
        <w:t xml:space="preserve">longer </w:t>
      </w:r>
      <w:r w:rsidRPr="006039E9">
        <w:rPr>
          <w:rFonts w:asciiTheme="minorHAnsi" w:eastAsia="Calibri" w:hAnsiTheme="minorHAnsi" w:cstheme="minorHAnsi"/>
        </w:rPr>
        <w:t>than the target.</w:t>
      </w:r>
      <w:r w:rsidRPr="006039E9">
        <w:rPr>
          <w:rFonts w:asciiTheme="minorHAnsi" w:hAnsiTheme="minorHAnsi" w:cstheme="minorHAnsi"/>
        </w:rPr>
        <w:t xml:space="preserve"> </w:t>
      </w:r>
      <w:r w:rsidR="00594349" w:rsidRPr="006039E9">
        <w:rPr>
          <w:rFonts w:asciiTheme="minorHAnsi" w:hAnsiTheme="minorHAnsi" w:cstheme="minorHAnsi"/>
        </w:rPr>
        <w:t>O</w:t>
      </w:r>
      <w:r w:rsidRPr="006039E9">
        <w:rPr>
          <w:rFonts w:asciiTheme="minorHAnsi" w:hAnsiTheme="minorHAnsi" w:cstheme="minorHAnsi"/>
        </w:rPr>
        <w:t>utpatient wait times are based on the third next available appointment which is industry standard and measures average length of time in days between the day a patient makes a request for an appointment and the third available appointment.</w:t>
      </w:r>
      <w:r w:rsidR="00594349" w:rsidRPr="006039E9">
        <w:rPr>
          <w:rFonts w:asciiTheme="minorHAnsi" w:hAnsiTheme="minorHAnsi" w:cstheme="minorHAnsi"/>
        </w:rPr>
        <w:t xml:space="preserve"> The inpatient number provided includes ED patients, observation patients, and bedded outpatients.</w:t>
      </w:r>
    </w:p>
  </w:footnote>
  <w:footnote w:id="24">
    <w:p w14:paraId="6E098E8B" w14:textId="14A21842" w:rsidR="00C416AC" w:rsidRPr="00C416AC" w:rsidRDefault="00C416AC">
      <w:pPr>
        <w:pStyle w:val="FootnoteText"/>
        <w:rPr>
          <w:rFonts w:asciiTheme="minorHAnsi" w:hAnsiTheme="minorHAnsi" w:cstheme="minorHAnsi"/>
        </w:rPr>
      </w:pPr>
      <w:r>
        <w:rPr>
          <w:rStyle w:val="FootnoteReference"/>
        </w:rPr>
        <w:footnoteRef/>
      </w:r>
      <w:r>
        <w:t xml:space="preserve"> </w:t>
      </w:r>
      <w:r w:rsidRPr="00C416AC">
        <w:rPr>
          <w:rFonts w:asciiTheme="minorHAnsi" w:hAnsiTheme="minorHAnsi" w:cstheme="minorHAnsi"/>
        </w:rPr>
        <w:t>Lean manufacturing downtime is the period of time in which a system or machine is out of order.</w:t>
      </w:r>
      <w:r w:rsidR="001065F8">
        <w:rPr>
          <w:rFonts w:asciiTheme="minorHAnsi" w:hAnsiTheme="minorHAnsi" w:cstheme="minorHAnsi"/>
        </w:rPr>
        <w:t xml:space="preserve"> </w:t>
      </w:r>
      <w:hyperlink r:id="rId9" w:history="1">
        <w:r w:rsidR="007444E5" w:rsidRPr="007444E5">
          <w:rPr>
            <w:rStyle w:val="Hyperlink"/>
            <w:rFonts w:asciiTheme="minorHAnsi" w:hAnsiTheme="minorHAnsi" w:cstheme="minorHAnsi"/>
            <w:color w:val="auto"/>
            <w:u w:val="none"/>
          </w:rPr>
          <w:t>https://www.worximity.com/blog/definition-of-downtime</w:t>
        </w:r>
      </w:hyperlink>
      <w:r w:rsidR="007444E5" w:rsidRPr="007444E5">
        <w:rPr>
          <w:rFonts w:asciiTheme="minorHAnsi" w:hAnsiTheme="minorHAnsi" w:cstheme="minorHAnsi"/>
        </w:rPr>
        <w:t xml:space="preserve"> </w:t>
      </w:r>
    </w:p>
  </w:footnote>
  <w:footnote w:id="25">
    <w:p w14:paraId="5DECB0FF" w14:textId="15BF8A00" w:rsidR="001D2450" w:rsidRPr="006039E9" w:rsidRDefault="001D2450">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As </w:t>
      </w:r>
      <w:r w:rsidRPr="006039E9">
        <w:rPr>
          <w:rFonts w:asciiTheme="minorHAnsi" w:eastAsia="Calibri" w:hAnsiTheme="minorHAnsi" w:cstheme="minorHAnsi"/>
        </w:rPr>
        <w:t>described by the Applicant</w:t>
      </w:r>
    </w:p>
  </w:footnote>
  <w:footnote w:id="26">
    <w:p w14:paraId="75F8E520" w14:textId="242AE52A" w:rsidR="00945BCA" w:rsidRPr="006039E9" w:rsidRDefault="00945BCA">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eastAsia="Calibri" w:hAnsiTheme="minorHAnsi" w:cstheme="minorHAnsi"/>
        </w:rPr>
        <w:t xml:space="preserve">Preliminary data for YTD (through February 2023) show that 2 of the 3 units had 120 </w:t>
      </w:r>
      <w:r w:rsidR="00542756" w:rsidRPr="006039E9">
        <w:rPr>
          <w:rFonts w:asciiTheme="minorHAnsi" w:eastAsia="Calibri" w:hAnsiTheme="minorHAnsi" w:cstheme="minorHAnsi"/>
        </w:rPr>
        <w:t xml:space="preserve">downtime </w:t>
      </w:r>
      <w:r w:rsidRPr="006039E9">
        <w:rPr>
          <w:rFonts w:asciiTheme="minorHAnsi" w:eastAsia="Calibri" w:hAnsiTheme="minorHAnsi" w:cstheme="minorHAnsi"/>
        </w:rPr>
        <w:t>hours.</w:t>
      </w:r>
    </w:p>
  </w:footnote>
  <w:footnote w:id="27">
    <w:p w14:paraId="56ACB5AB" w14:textId="17742C6D"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00542756" w:rsidRPr="006039E9">
        <w:rPr>
          <w:rFonts w:asciiTheme="minorHAnsi" w:hAnsiTheme="minorHAnsi" w:cstheme="minorHAnsi"/>
        </w:rPr>
        <w:t>UMDI is a</w:t>
      </w:r>
      <w:r w:rsidRPr="006039E9">
        <w:rPr>
          <w:rFonts w:asciiTheme="minorHAnsi" w:hAnsiTheme="minorHAnsi" w:cstheme="minorHAnsi"/>
        </w:rPr>
        <w:t xml:space="preserve"> public service, research, and economic organization that contracts with the Commonwealth of Massachusetts to </w:t>
      </w:r>
      <w:r w:rsidR="00542756" w:rsidRPr="006039E9">
        <w:rPr>
          <w:rFonts w:asciiTheme="minorHAnsi" w:hAnsiTheme="minorHAnsi" w:cstheme="minorHAnsi"/>
        </w:rPr>
        <w:t xml:space="preserve">develop </w:t>
      </w:r>
      <w:r w:rsidRPr="006039E9">
        <w:rPr>
          <w:rFonts w:asciiTheme="minorHAnsi" w:hAnsiTheme="minorHAnsi" w:cstheme="minorHAnsi"/>
        </w:rPr>
        <w:t>population projections for Massachusetts for use in both public and private planning initiatives.</w:t>
      </w:r>
    </w:p>
  </w:footnote>
  <w:footnote w:id="28">
    <w:p w14:paraId="3AC244B4" w14:textId="478188F8" w:rsidR="00B91829" w:rsidRPr="006039E9" w:rsidRDefault="00B91829" w:rsidP="00B91829">
      <w:pPr>
        <w:rPr>
          <w:rFonts w:asciiTheme="minorHAnsi" w:hAnsiTheme="minorHAnsi" w:cstheme="minorHAnsi"/>
          <w:color w:val="000000"/>
          <w:sz w:val="20"/>
          <w:szCs w:val="20"/>
        </w:rPr>
      </w:pPr>
      <w:r w:rsidRPr="006039E9">
        <w:rPr>
          <w:rStyle w:val="FootnoteReference"/>
          <w:rFonts w:asciiTheme="minorHAnsi" w:hAnsiTheme="minorHAnsi" w:cstheme="minorHAnsi"/>
          <w:sz w:val="20"/>
          <w:szCs w:val="20"/>
        </w:rPr>
        <w:footnoteRef/>
      </w:r>
      <w:r w:rsidRPr="006039E9">
        <w:rPr>
          <w:rFonts w:asciiTheme="minorHAnsi" w:hAnsiTheme="minorHAnsi" w:cstheme="minorHAnsi"/>
          <w:sz w:val="20"/>
          <w:szCs w:val="20"/>
        </w:rPr>
        <w:t xml:space="preserve"> </w:t>
      </w:r>
      <w:hyperlink r:id="rId10" w:history="1">
        <w:r w:rsidRPr="00194556">
          <w:rPr>
            <w:rStyle w:val="Hyperlink"/>
            <w:rFonts w:asciiTheme="minorHAnsi" w:hAnsiTheme="minorHAnsi" w:cstheme="minorHAnsi"/>
            <w:i/>
            <w:iCs/>
            <w:color w:val="auto"/>
            <w:sz w:val="20"/>
            <w:szCs w:val="20"/>
            <w:u w:val="none"/>
          </w:rPr>
          <w:t>UMDI-DOT Vintage 2018 – EXCEL Age/Sex Details</w:t>
        </w:r>
      </w:hyperlink>
      <w:r w:rsidRPr="00194556">
        <w:rPr>
          <w:rFonts w:asciiTheme="minorHAnsi" w:hAnsiTheme="minorHAnsi" w:cstheme="minorHAnsi"/>
          <w:sz w:val="20"/>
          <w:szCs w:val="20"/>
        </w:rPr>
        <w:t xml:space="preserve">, </w:t>
      </w:r>
      <w:r w:rsidRPr="00194556">
        <w:rPr>
          <w:rFonts w:asciiTheme="minorHAnsi" w:hAnsiTheme="minorHAnsi" w:cstheme="minorHAnsi"/>
          <w:smallCaps/>
          <w:sz w:val="20"/>
          <w:szCs w:val="20"/>
        </w:rPr>
        <w:t>Massachusetts Population Estimates Program, UMass Donahue Institute</w:t>
      </w:r>
      <w:r w:rsidRPr="00194556">
        <w:rPr>
          <w:rFonts w:asciiTheme="minorHAnsi" w:hAnsiTheme="minorHAnsi" w:cstheme="minorHAnsi"/>
          <w:sz w:val="20"/>
          <w:szCs w:val="20"/>
        </w:rPr>
        <w:t xml:space="preserve">, </w:t>
      </w:r>
      <w:hyperlink r:id="rId11" w:history="1">
        <w:r w:rsidR="00194556" w:rsidRPr="00194556">
          <w:rPr>
            <w:rStyle w:val="Hyperlink"/>
            <w:rFonts w:asciiTheme="minorHAnsi" w:hAnsiTheme="minorHAnsi" w:cstheme="minorHAnsi"/>
            <w:color w:val="auto"/>
            <w:sz w:val="20"/>
            <w:szCs w:val="20"/>
            <w:u w:val="none"/>
          </w:rPr>
          <w:t>http://pep.donahue-institute.org/publications/AgeSexDetails_UMDI-DOT_V2018.xlsx</w:t>
        </w:r>
      </w:hyperlink>
      <w:r w:rsidR="00194556" w:rsidRPr="00194556">
        <w:rPr>
          <w:rFonts w:asciiTheme="minorHAnsi" w:hAnsiTheme="minorHAnsi" w:cstheme="minorHAnsi"/>
          <w:sz w:val="20"/>
          <w:szCs w:val="20"/>
        </w:rPr>
        <w:t xml:space="preserve"> </w:t>
      </w:r>
      <w:r w:rsidRPr="00194556">
        <w:rPr>
          <w:rFonts w:asciiTheme="minorHAnsi" w:hAnsiTheme="minorHAnsi" w:cstheme="minorHAnsi"/>
          <w:sz w:val="20"/>
          <w:szCs w:val="20"/>
        </w:rPr>
        <w:t>.</w:t>
      </w:r>
    </w:p>
  </w:footnote>
  <w:footnote w:id="29">
    <w:p w14:paraId="49D2703A" w14:textId="77777777"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hAnsiTheme="minorHAnsi" w:cstheme="minorHAnsi"/>
          <w:i/>
          <w:iCs/>
        </w:rPr>
        <w:t>Id.</w:t>
      </w:r>
    </w:p>
  </w:footnote>
  <w:footnote w:id="30">
    <w:p w14:paraId="29283BCF" w14:textId="77777777" w:rsidR="00B91829" w:rsidRPr="00C42431" w:rsidRDefault="00B91829" w:rsidP="00B91829">
      <w:pPr>
        <w:pStyle w:val="FootnoteText"/>
        <w:rPr>
          <w:rFonts w:ascii="Calibri" w:hAnsi="Calibri" w:cs="Calibri"/>
          <w:highlight w:val="cyan"/>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hAnsiTheme="minorHAnsi" w:cstheme="minorHAnsi"/>
          <w:i/>
          <w:iCs/>
        </w:rPr>
        <w:t>Id.</w:t>
      </w:r>
    </w:p>
  </w:footnote>
  <w:footnote w:id="31">
    <w:p w14:paraId="078B4CC5" w14:textId="62E05CD0" w:rsidR="00B91829" w:rsidRPr="00C42431" w:rsidRDefault="00B91829" w:rsidP="00B91829">
      <w:pPr>
        <w:pStyle w:val="FootnoteText"/>
        <w:rPr>
          <w:rFonts w:ascii="Calibri" w:hAnsi="Calibri" w:cs="Calibri"/>
        </w:rPr>
      </w:pPr>
      <w:r w:rsidRPr="00C42431">
        <w:rPr>
          <w:rStyle w:val="FootnoteReference"/>
          <w:rFonts w:ascii="Calibri" w:hAnsi="Calibri" w:cs="Calibri"/>
        </w:rPr>
        <w:footnoteRef/>
      </w:r>
      <w:r w:rsidRPr="00C42431">
        <w:rPr>
          <w:rFonts w:ascii="Calibri" w:hAnsi="Calibri" w:cs="Calibri"/>
        </w:rPr>
        <w:t xml:space="preserve"> </w:t>
      </w:r>
      <w:r w:rsidRPr="00C42431">
        <w:rPr>
          <w:rFonts w:ascii="Calibri" w:hAnsi="Calibri" w:cs="Calibri"/>
          <w:smallCaps/>
        </w:rPr>
        <w:t xml:space="preserve">World Health Organization, </w:t>
      </w:r>
      <w:hyperlink r:id="rId12" w:history="1">
        <w:r w:rsidRPr="00194556">
          <w:rPr>
            <w:rStyle w:val="Hyperlink"/>
            <w:rFonts w:ascii="Calibri" w:hAnsi="Calibri" w:cs="Calibri"/>
            <w:smallCaps/>
            <w:color w:val="auto"/>
            <w:u w:val="none"/>
          </w:rPr>
          <w:t>World Report on Aging and Health</w:t>
        </w:r>
      </w:hyperlink>
      <w:r w:rsidRPr="00194556">
        <w:rPr>
          <w:rFonts w:ascii="Calibri" w:hAnsi="Calibri" w:cs="Calibri"/>
        </w:rPr>
        <w:t xml:space="preserve"> (2015), </w:t>
      </w:r>
      <w:r w:rsidRPr="00194556">
        <w:rPr>
          <w:rFonts w:ascii="Calibri" w:hAnsi="Calibri" w:cs="Calibri"/>
          <w:i/>
          <w:iCs/>
        </w:rPr>
        <w:t xml:space="preserve">available at </w:t>
      </w:r>
      <w:hyperlink r:id="rId13" w:history="1">
        <w:r w:rsidR="00194556" w:rsidRPr="00194556">
          <w:rPr>
            <w:rStyle w:val="Hyperlink"/>
            <w:rFonts w:ascii="Calibri" w:hAnsi="Calibri" w:cs="Calibri"/>
            <w:color w:val="auto"/>
            <w:u w:val="none"/>
          </w:rPr>
          <w:t>http://apps.who.inUiris/bitstream/10665/186463/1/9789240694811_eng.pdf</w:t>
        </w:r>
      </w:hyperlink>
      <w:r w:rsidR="00194556" w:rsidRPr="00194556">
        <w:rPr>
          <w:rFonts w:ascii="Calibri" w:hAnsi="Calibri" w:cs="Calibri"/>
        </w:rPr>
        <w:t xml:space="preserve"> </w:t>
      </w:r>
      <w:r w:rsidRPr="00194556">
        <w:rPr>
          <w:rFonts w:ascii="Calibri" w:hAnsi="Calibri" w:cs="Calibri"/>
        </w:rPr>
        <w:t>.</w:t>
      </w:r>
    </w:p>
  </w:footnote>
  <w:footnote w:id="32">
    <w:p w14:paraId="3CFA54FC" w14:textId="22013FB6" w:rsidR="002601F4" w:rsidRPr="002601F4" w:rsidRDefault="002601F4" w:rsidP="002601F4">
      <w:pPr>
        <w:pStyle w:val="FootnoteText"/>
        <w:rPr>
          <w:rFonts w:cs="Calibri"/>
          <w:sz w:val="18"/>
          <w:szCs w:val="18"/>
        </w:rPr>
      </w:pPr>
      <w:r w:rsidRPr="002601F4">
        <w:rPr>
          <w:rStyle w:val="FootnoteReference"/>
          <w:rFonts w:cs="Calibri"/>
          <w:sz w:val="18"/>
          <w:szCs w:val="18"/>
        </w:rPr>
        <w:footnoteRef/>
      </w:r>
      <w:r w:rsidRPr="002601F4">
        <w:rPr>
          <w:rFonts w:cs="Calibri"/>
          <w:sz w:val="18"/>
          <w:szCs w:val="18"/>
        </w:rPr>
        <w:t xml:space="preserve"> </w:t>
      </w:r>
      <w:r w:rsidRPr="002601F4">
        <w:rPr>
          <w:rFonts w:ascii="Calibri" w:eastAsia="Calibri" w:hAnsi="Calibri" w:cs="Calibri"/>
        </w:rPr>
        <w:t>The Massachusetts Health Safety Net (“HSN”) makes payments to hospitals and community health centers for health care services provided to low-income Massachusetts residents who are uninsured or underinsured.</w:t>
      </w:r>
    </w:p>
  </w:footnote>
  <w:footnote w:id="33">
    <w:p w14:paraId="6A9B0AD5" w14:textId="77777777" w:rsidR="002601F4" w:rsidRPr="002601F4" w:rsidRDefault="002601F4" w:rsidP="002601F4">
      <w:pPr>
        <w:pStyle w:val="FootnoteText"/>
        <w:rPr>
          <w:rFonts w:cs="Calibri"/>
          <w:sz w:val="18"/>
          <w:szCs w:val="18"/>
        </w:rPr>
      </w:pPr>
      <w:r w:rsidRPr="002601F4">
        <w:rPr>
          <w:rStyle w:val="FootnoteReference"/>
          <w:rFonts w:cs="Calibri"/>
          <w:sz w:val="18"/>
          <w:szCs w:val="18"/>
        </w:rPr>
        <w:footnoteRef/>
      </w:r>
      <w:r w:rsidRPr="002601F4">
        <w:rPr>
          <w:rFonts w:cs="Calibri"/>
          <w:sz w:val="18"/>
          <w:szCs w:val="18"/>
        </w:rPr>
        <w:t xml:space="preserve"> </w:t>
      </w:r>
      <w:r w:rsidRPr="002601F4">
        <w:rPr>
          <w:rFonts w:cs="Calibri"/>
          <w:i/>
          <w:iCs/>
          <w:sz w:val="18"/>
          <w:szCs w:val="18"/>
        </w:rPr>
        <w:t>Id.</w:t>
      </w:r>
    </w:p>
  </w:footnote>
  <w:footnote w:id="34">
    <w:p w14:paraId="060CC982" w14:textId="77777777" w:rsidR="00B91829" w:rsidRPr="00B91829" w:rsidRDefault="00B91829" w:rsidP="00B91829">
      <w:pPr>
        <w:pStyle w:val="FootnoteText"/>
        <w:rPr>
          <w:rFonts w:ascii="Calibri" w:hAnsi="Calibri" w:cs="Calibri"/>
        </w:rPr>
      </w:pPr>
      <w:r w:rsidRPr="00B91829">
        <w:rPr>
          <w:rStyle w:val="FootnoteReference"/>
          <w:rFonts w:ascii="Calibri" w:hAnsi="Calibri" w:cs="Calibri"/>
        </w:rPr>
        <w:footnoteRef/>
      </w:r>
      <w:r w:rsidRPr="00B91829">
        <w:rPr>
          <w:rFonts w:ascii="Calibri" w:hAnsi="Calibri" w:cs="Calibri"/>
        </w:rPr>
        <w:t xml:space="preserve"> Except for certain holidays, such as Christmas, etc.</w:t>
      </w:r>
    </w:p>
  </w:footnote>
  <w:footnote w:id="35">
    <w:p w14:paraId="7D9E5341" w14:textId="53F34AB3" w:rsidR="00E26D87" w:rsidRPr="00E26D87" w:rsidRDefault="00E26D87" w:rsidP="00E26D87">
      <w:pPr>
        <w:pStyle w:val="FootnoteText"/>
        <w:rPr>
          <w:rFonts w:asciiTheme="minorHAnsi" w:hAnsiTheme="minorHAnsi" w:cstheme="minorHAnsi"/>
        </w:rPr>
      </w:pPr>
      <w:r>
        <w:rPr>
          <w:rStyle w:val="FootnoteReference"/>
        </w:rPr>
        <w:footnoteRef/>
      </w:r>
      <w:r>
        <w:t xml:space="preserve"> </w:t>
      </w:r>
      <w:r w:rsidRPr="00E26D87">
        <w:rPr>
          <w:rFonts w:asciiTheme="minorHAnsi" w:hAnsiTheme="minorHAnsi" w:cstheme="minorHAnsi"/>
        </w:rPr>
        <w:t>D</w:t>
      </w:r>
      <w:r w:rsidRPr="00E26D87">
        <w:rPr>
          <w:rFonts w:asciiTheme="minorHAnsi" w:eastAsia="Calibri" w:hAnsiTheme="minorHAnsi" w:cstheme="minorHAnsi"/>
          <w:shd w:val="clear" w:color="auto" w:fill="FFFFFF"/>
        </w:rPr>
        <w:t xml:space="preserve">ata from 2021 reflect that Yale New Haven provided more uncompensated care in this specific year, making BMC – one of the largest </w:t>
      </w:r>
      <w:r w:rsidR="00935929">
        <w:rPr>
          <w:rFonts w:asciiTheme="minorHAnsi" w:eastAsia="Calibri" w:hAnsiTheme="minorHAnsi" w:cstheme="minorHAnsi"/>
          <w:shd w:val="clear" w:color="auto" w:fill="FFFFFF"/>
        </w:rPr>
        <w:t>HSN</w:t>
      </w:r>
      <w:r w:rsidRPr="00E26D87">
        <w:rPr>
          <w:rFonts w:asciiTheme="minorHAnsi" w:eastAsia="Calibri" w:hAnsiTheme="minorHAnsi" w:cstheme="minorHAnsi"/>
          <w:shd w:val="clear" w:color="auto" w:fill="FFFFFF"/>
        </w:rPr>
        <w:t xml:space="preserve"> providers in New England based on total uncompensated care. </w:t>
      </w:r>
      <w:r w:rsidRPr="00E26D87">
        <w:rPr>
          <w:rFonts w:asciiTheme="minorHAnsi" w:hAnsiTheme="minorHAnsi" w:cstheme="minorHAnsi"/>
          <w:vertAlign w:val="superscript"/>
        </w:rPr>
        <w:footnoteRef/>
      </w:r>
      <w:r w:rsidRPr="00E26D87">
        <w:rPr>
          <w:rFonts w:asciiTheme="minorHAnsi" w:hAnsiTheme="minorHAnsi" w:cstheme="minorHAnsi"/>
        </w:rPr>
        <w:t xml:space="preserve"> </w:t>
      </w:r>
      <w:hyperlink r:id="rId14" w:history="1">
        <w:r w:rsidR="00DF7352" w:rsidRPr="00DF7352">
          <w:rPr>
            <w:rStyle w:val="Hyperlink"/>
            <w:rFonts w:asciiTheme="minorHAnsi" w:hAnsiTheme="minorHAnsi" w:cstheme="minorHAnsi"/>
            <w:color w:val="auto"/>
            <w:u w:val="none"/>
          </w:rPr>
          <w:t>https://www.definitivehc.com/resources/healthcare-insights/hospitals-highest-total-uncompensated-care-costs</w:t>
        </w:r>
      </w:hyperlink>
      <w:r w:rsidR="00DF7352" w:rsidRPr="00DF7352">
        <w:rPr>
          <w:rFonts w:asciiTheme="minorHAnsi" w:hAnsiTheme="minorHAnsi" w:cstheme="minorHAnsi"/>
        </w:rPr>
        <w:t xml:space="preserve"> </w:t>
      </w:r>
    </w:p>
    <w:p w14:paraId="691D0AF8" w14:textId="3DECE2F1" w:rsidR="00E26D87" w:rsidRDefault="00E26D87">
      <w:pPr>
        <w:pStyle w:val="FootnoteText"/>
      </w:pPr>
    </w:p>
  </w:footnote>
  <w:footnote w:id="36">
    <w:p w14:paraId="02BEC652" w14:textId="5878417D" w:rsidR="0001465A" w:rsidRDefault="0001465A">
      <w:pPr>
        <w:pStyle w:val="FootnoteText"/>
      </w:pPr>
      <w:r>
        <w:rPr>
          <w:rStyle w:val="FootnoteReference"/>
        </w:rPr>
        <w:footnoteRef/>
      </w:r>
      <w:r w:rsidRPr="005C6923">
        <w:t> </w:t>
      </w:r>
      <w:hyperlink r:id="rId15" w:history="1">
        <w:r w:rsidR="003929EF" w:rsidRPr="00DF7352">
          <w:rPr>
            <w:rStyle w:val="Hyperlink"/>
            <w:rFonts w:asciiTheme="minorHAnsi" w:hAnsiTheme="minorHAnsi" w:cstheme="minorHAnsi"/>
            <w:color w:val="auto"/>
            <w:u w:val="none"/>
          </w:rPr>
          <w:t>Boston Medical Application Narrative pp 2, 3, 19, 21,25, 26</w:t>
        </w:r>
        <w:r w:rsidR="003929EF" w:rsidRPr="00401E91">
          <w:rPr>
            <w:rStyle w:val="Hyperlink"/>
            <w:rFonts w:asciiTheme="minorHAnsi" w:hAnsiTheme="minorHAnsi" w:cstheme="minorHAnsi"/>
          </w:rPr>
          <w:t> </w:t>
        </w:r>
      </w:hyperlink>
      <w:hyperlink r:id="rId16" w:history="1">
        <w:r w:rsidR="003929EF" w:rsidRPr="00401E91">
          <w:rPr>
            <w:rStyle w:val="Hyperlink"/>
            <w:rFonts w:asciiTheme="minorHAnsi" w:hAnsiTheme="minorHAnsi" w:cstheme="minorHAnsi"/>
            <w:color w:val="005AB4"/>
          </w:rPr>
          <w:t>https://www.mass.gov/doc/application-and-narrative-pdf-boston-medical-center-hospitalclinic-substantial-capital-expenditure/download</w:t>
        </w:r>
      </w:hyperlink>
      <w:r w:rsidR="003929EF">
        <w:rPr>
          <w:rFonts w:asciiTheme="minorHAnsi" w:hAnsiTheme="minorHAnsi" w:cstheme="minorHAnsi"/>
        </w:rPr>
        <w:t xml:space="preserve"> </w:t>
      </w:r>
      <w:r w:rsidR="003929EF" w:rsidRPr="005C6923">
        <w:t> </w:t>
      </w:r>
    </w:p>
  </w:footnote>
  <w:footnote w:id="37">
    <w:p w14:paraId="13D9A2B3" w14:textId="4A65EEBD" w:rsidR="0001465A" w:rsidRPr="00357E15" w:rsidRDefault="0001465A" w:rsidP="00F2081D">
      <w:pPr>
        <w:autoSpaceDE w:val="0"/>
        <w:autoSpaceDN w:val="0"/>
        <w:adjustRightInd w:val="0"/>
        <w:rPr>
          <w:rFonts w:asciiTheme="minorHAnsi" w:hAnsiTheme="minorHAnsi" w:cstheme="minorHAnsi"/>
          <w:sz w:val="20"/>
          <w:szCs w:val="20"/>
        </w:rPr>
      </w:pPr>
      <w:r w:rsidRPr="006F5D40">
        <w:rPr>
          <w:rStyle w:val="FootnoteReference"/>
          <w:rFonts w:asciiTheme="minorHAnsi" w:hAnsiTheme="minorHAnsi" w:cstheme="minorHAnsi"/>
          <w:sz w:val="16"/>
          <w:szCs w:val="16"/>
        </w:rPr>
        <w:footnoteRef/>
      </w:r>
      <w:r w:rsidRPr="006F5D40">
        <w:rPr>
          <w:rFonts w:asciiTheme="minorHAnsi" w:hAnsiTheme="minorHAnsi" w:cstheme="minorHAnsi"/>
          <w:sz w:val="16"/>
          <w:szCs w:val="16"/>
        </w:rPr>
        <w:t xml:space="preserve"> </w:t>
      </w:r>
      <w:r w:rsidRPr="00357E15">
        <w:rPr>
          <w:rFonts w:asciiTheme="minorHAnsi" w:hAnsiTheme="minorHAnsi" w:cstheme="minorHAnsi"/>
          <w:sz w:val="20"/>
          <w:szCs w:val="20"/>
        </w:rPr>
        <w:t>The Campaign requires hospital leaders to accelerate progress in the following areas: (1) Increasing collection and use of race, ethnicity, language preference and other socio-demographic data; (2) Increasing cultural competency training; (3) Increasing diversity in leadership and governance; and (4) Improving and strengthening community partnerships.</w:t>
      </w:r>
    </w:p>
  </w:footnote>
  <w:footnote w:id="38">
    <w:p w14:paraId="59FCBA35" w14:textId="286D1A32" w:rsidR="004F5E18" w:rsidRPr="004F5E18" w:rsidRDefault="004F5E18">
      <w:pPr>
        <w:pStyle w:val="FootnoteText"/>
        <w:rPr>
          <w:rFonts w:asciiTheme="minorHAnsi" w:hAnsiTheme="minorHAnsi" w:cstheme="minorHAnsi"/>
        </w:rPr>
      </w:pPr>
      <w:r w:rsidRPr="004F5E18">
        <w:rPr>
          <w:rStyle w:val="FootnoteReference"/>
          <w:rFonts w:asciiTheme="minorHAnsi" w:hAnsiTheme="minorHAnsi" w:cstheme="minorHAnsi"/>
        </w:rPr>
        <w:footnoteRef/>
      </w:r>
      <w:r w:rsidRPr="004F5E18">
        <w:rPr>
          <w:rFonts w:asciiTheme="minorHAnsi" w:hAnsiTheme="minorHAnsi" w:cstheme="minorHAnsi"/>
        </w:rPr>
        <w:t xml:space="preserve"> See Details of each area in</w:t>
      </w:r>
      <w:r w:rsidRPr="00DF7352">
        <w:rPr>
          <w:rFonts w:asciiTheme="minorHAnsi" w:hAnsiTheme="minorHAnsi" w:cstheme="minorHAnsi"/>
        </w:rPr>
        <w:t xml:space="preserve"> </w:t>
      </w:r>
      <w:hyperlink r:id="rId17" w:history="1">
        <w:r w:rsidRPr="00DF7352">
          <w:rPr>
            <w:rStyle w:val="Hyperlink"/>
            <w:rFonts w:asciiTheme="minorHAnsi" w:hAnsiTheme="minorHAnsi" w:cstheme="minorHAnsi"/>
            <w:color w:val="auto"/>
            <w:u w:val="none"/>
          </w:rPr>
          <w:t>DoN Application Narrative PP 20-25</w:t>
        </w:r>
      </w:hyperlink>
      <w:r w:rsidRPr="004F5E18">
        <w:rPr>
          <w:rFonts w:asciiTheme="minorHAnsi" w:hAnsiTheme="minorHAnsi" w:cstheme="minorHAnsi"/>
        </w:rPr>
        <w:t>.</w:t>
      </w:r>
      <w:r>
        <w:rPr>
          <w:rFonts w:asciiTheme="minorHAnsi" w:hAnsiTheme="minorHAnsi" w:cstheme="minorHAnsi"/>
        </w:rPr>
        <w:t xml:space="preserve"> </w:t>
      </w:r>
      <w:hyperlink r:id="rId18" w:history="1">
        <w:r w:rsidRPr="004B305A">
          <w:rPr>
            <w:rStyle w:val="Hyperlink"/>
            <w:rFonts w:asciiTheme="minorHAnsi" w:hAnsiTheme="minorHAnsi" w:cstheme="minorHAnsi"/>
          </w:rPr>
          <w:t>https://www.mass.gov/doc/narrative-pdf-boston-medical-center-don-required-equipment/download</w:t>
        </w:r>
      </w:hyperlink>
      <w:r>
        <w:rPr>
          <w:rFonts w:asciiTheme="minorHAnsi" w:hAnsiTheme="minorHAnsi" w:cstheme="minorHAnsi"/>
        </w:rPr>
        <w:t xml:space="preserve"> </w:t>
      </w:r>
    </w:p>
  </w:footnote>
  <w:footnote w:id="39">
    <w:p w14:paraId="1F4376C2"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Equipment includes Video Interpreting Units for communicating in ASL, Telecommunications devices for the deaf include TTY/TDD, mobile phone for text messaging and email, and amplified telephones</w:t>
      </w:r>
    </w:p>
  </w:footnote>
  <w:footnote w:id="40">
    <w:p w14:paraId="7A2FC01F"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Professional medical interpreters (ISD staff and contracted freelance interpreters) who possess the necessary language and interpreting skills to competently interpret between providers and LEP and DHH patients</w:t>
      </w:r>
    </w:p>
  </w:footnote>
  <w:footnote w:id="41">
    <w:p w14:paraId="5FC80C78" w14:textId="77777777" w:rsidR="00100A64" w:rsidRPr="00100A64" w:rsidRDefault="00100A64" w:rsidP="00100A64">
      <w:pPr>
        <w:rPr>
          <w:rFonts w:ascii="Calibri" w:hAnsi="Calibri" w:cs="Calibri"/>
          <w:sz w:val="20"/>
          <w:szCs w:val="20"/>
        </w:rPr>
      </w:pPr>
      <w:r w:rsidRPr="00100A64">
        <w:rPr>
          <w:rStyle w:val="FootnoteReference"/>
          <w:rFonts w:ascii="Calibri" w:hAnsi="Calibri" w:cs="Calibri"/>
          <w:sz w:val="20"/>
          <w:szCs w:val="20"/>
        </w:rPr>
        <w:footnoteRef/>
      </w:r>
      <w:r w:rsidRPr="00100A64">
        <w:rPr>
          <w:rFonts w:ascii="Calibri" w:hAnsi="Calibri" w:cs="Calibri"/>
          <w:sz w:val="20"/>
          <w:szCs w:val="20"/>
        </w:rPr>
        <w:t xml:space="preserve"> Comprised of 11 members, representing 11 diverse constituencies, the BMC CAB was established to advise the Hospital on how best to use CHI investments, based on identified health priorities, to catalyze change and leverage other city, state, federal and other philanthropic investments. </w:t>
      </w:r>
    </w:p>
  </w:footnote>
  <w:footnote w:id="42">
    <w:p w14:paraId="189346CA" w14:textId="3BF5197F" w:rsidR="00100A64" w:rsidRPr="00100A64" w:rsidRDefault="00100A64" w:rsidP="00100A64">
      <w:pPr>
        <w:pStyle w:val="FootnoteText"/>
        <w:rPr>
          <w:rFonts w:ascii="Calibri" w:hAnsi="Calibri" w:cs="Calibri"/>
        </w:rPr>
      </w:pPr>
      <w:r w:rsidRPr="00100A64">
        <w:rPr>
          <w:rStyle w:val="FootnoteReference"/>
          <w:rFonts w:ascii="Calibri" w:hAnsi="Calibri" w:cs="Calibri"/>
        </w:rPr>
        <w:footnoteRef/>
      </w:r>
      <w:r w:rsidRPr="00100A64">
        <w:rPr>
          <w:rFonts w:ascii="Calibri" w:hAnsi="Calibri" w:cs="Calibri"/>
        </w:rPr>
        <w:t xml:space="preserve"> Held over Zoom at different times of the day – one in the morning and one in the evening after normal business hours – to promote increased participation.</w:t>
      </w:r>
    </w:p>
  </w:footnote>
  <w:footnote w:id="43">
    <w:p w14:paraId="650F7C23" w14:textId="3B938C91" w:rsidR="00100A64" w:rsidRPr="00100A64" w:rsidRDefault="00100A64" w:rsidP="00100A64">
      <w:pPr>
        <w:pStyle w:val="FootnoteText"/>
        <w:rPr>
          <w:rFonts w:ascii="Calibri" w:hAnsi="Calibri" w:cs="Calibri"/>
          <w:highlight w:val="cyan"/>
        </w:rPr>
      </w:pPr>
      <w:r w:rsidRPr="00100A64">
        <w:rPr>
          <w:rStyle w:val="FootnoteReference"/>
          <w:rFonts w:ascii="Calibri" w:hAnsi="Calibri" w:cs="Calibri"/>
        </w:rPr>
        <w:footnoteRef/>
      </w:r>
      <w:r w:rsidRPr="00100A64">
        <w:rPr>
          <w:rFonts w:ascii="Calibri" w:hAnsi="Calibri" w:cs="Calibri"/>
        </w:rPr>
        <w:t xml:space="preserve"> </w:t>
      </w:r>
      <w:r w:rsidR="00F4092E">
        <w:rPr>
          <w:rFonts w:ascii="Calibri" w:hAnsi="Calibri" w:cs="Calibri"/>
        </w:rPr>
        <w:t xml:space="preserve"> T</w:t>
      </w:r>
      <w:r w:rsidRPr="00100A64">
        <w:rPr>
          <w:rFonts w:ascii="Calibri" w:hAnsi="Calibri" w:cs="Calibri"/>
        </w:rPr>
        <w:t xml:space="preserve">he Equity Partnership Network ListServe was determined to be the best option for informing community and staff. </w:t>
      </w:r>
    </w:p>
  </w:footnote>
  <w:footnote w:id="44">
    <w:p w14:paraId="1E1A32DE" w14:textId="2056C45F" w:rsidR="00100A64" w:rsidRPr="00100A64" w:rsidRDefault="00100A64" w:rsidP="00100A64">
      <w:pPr>
        <w:pStyle w:val="FootnoteText"/>
        <w:rPr>
          <w:rFonts w:ascii="Calibri" w:hAnsi="Calibri" w:cs="Calibri"/>
        </w:rPr>
      </w:pPr>
      <w:r w:rsidRPr="00100A64">
        <w:rPr>
          <w:rStyle w:val="FootnoteReference"/>
          <w:rFonts w:ascii="Calibri" w:hAnsi="Calibri" w:cs="Calibri"/>
        </w:rPr>
        <w:footnoteRef/>
      </w:r>
      <w:r w:rsidRPr="00100A64">
        <w:rPr>
          <w:rFonts w:ascii="Calibri" w:hAnsi="Calibri" w:cs="Calibri"/>
        </w:rPr>
        <w:t xml:space="preserve"> Sponsored by the Hospital’s Patient Experience Department, BMC’s PFAC aims to improve operations across BMC Health System and achieve its mission for patient-centered and equitable care. In compliance with DPH’s Hospital Licensure Regulations, BMC’s PFAC is co-chaired by a staff member and a patient/family member</w:t>
      </w:r>
      <w:r w:rsidR="00AF63CE">
        <w:rPr>
          <w:rFonts w:ascii="Calibri" w:hAnsi="Calibri" w:cs="Calibri"/>
        </w:rPr>
        <w:t xml:space="preserve">; and </w:t>
      </w:r>
      <w:r w:rsidRPr="00100A64">
        <w:rPr>
          <w:rFonts w:ascii="Calibri" w:hAnsi="Calibri" w:cs="Calibri"/>
        </w:rPr>
        <w:t>at least 50% of PFAC members are current or former patients and/or family members and are representative of the community served by BMC. Specifically, BMC’s PFAC is currently comprised of eleven (11) patient/family advisors. BMC’s PFAC is dedicated to creating open and trusting partnerships</w:t>
      </w:r>
      <w:r w:rsidR="00665495">
        <w:rPr>
          <w:rFonts w:ascii="Calibri" w:hAnsi="Calibri" w:cs="Calibri"/>
        </w:rPr>
        <w:t xml:space="preserve">. </w:t>
      </w:r>
      <w:r w:rsidRPr="00100A64">
        <w:rPr>
          <w:rFonts w:ascii="Calibri" w:hAnsi="Calibri" w:cs="Calibri"/>
        </w:rPr>
        <w:t>“The PFAC follows and strives to fulfill BMC’s three cornerstone values: 1) Build on Respect, Powered by Empathy – BMC’s PFAC cares about the Hospital’s patients, employees, and community, and is committed to doing right by them each and every day. 2) Move Mountains – Impossibility doesn’t live here. Instead, BMC’s PFAC is motivated by what can be and it will move mountains to make it happen.</w:t>
      </w:r>
      <w:r w:rsidR="00665495">
        <w:rPr>
          <w:rFonts w:ascii="Calibri" w:hAnsi="Calibri" w:cs="Calibri"/>
        </w:rPr>
        <w:t xml:space="preserve"> </w:t>
      </w:r>
      <w:r w:rsidRPr="00100A64">
        <w:rPr>
          <w:rFonts w:ascii="Calibri" w:hAnsi="Calibri" w:cs="Calibri"/>
        </w:rPr>
        <w:t xml:space="preserve">3) Many Faces Create Our Greatness – Diversity is BMC’s heart and soul and when it comes to inclusion, BMC’s PFAC is all in.” see page 30 DoN narrative </w:t>
      </w:r>
      <w:hyperlink r:id="rId19" w:history="1">
        <w:r w:rsidRPr="00100A64">
          <w:rPr>
            <w:rStyle w:val="Hyperlink"/>
            <w:rFonts w:ascii="Calibri" w:hAnsi="Calibri" w:cs="Calibri"/>
          </w:rPr>
          <w:t>https://www.mass.gov/doc/narrative-pdf-boston-medical-center-don-required-equipment/download</w:t>
        </w:r>
      </w:hyperlink>
      <w:r w:rsidRPr="00100A64">
        <w:rPr>
          <w:rFonts w:ascii="Calibri" w:hAnsi="Calibri" w:cs="Calibri"/>
        </w:rPr>
        <w:t xml:space="preserve"> </w:t>
      </w:r>
    </w:p>
  </w:footnote>
  <w:footnote w:id="45">
    <w:p w14:paraId="6A7E4095" w14:textId="77777777" w:rsidR="00E06499" w:rsidRPr="00AF1CAB" w:rsidRDefault="00E06499" w:rsidP="00E06499">
      <w:pPr>
        <w:pStyle w:val="FootnoteText"/>
        <w:rPr>
          <w:rFonts w:asciiTheme="minorHAnsi" w:hAnsiTheme="minorHAnsi" w:cstheme="minorHAnsi"/>
          <w:sz w:val="18"/>
          <w:szCs w:val="18"/>
        </w:rPr>
      </w:pPr>
      <w:r w:rsidRPr="00AF1CAB">
        <w:rPr>
          <w:rStyle w:val="FootnoteReference"/>
          <w:rFonts w:asciiTheme="minorHAnsi" w:hAnsiTheme="minorHAnsi" w:cstheme="minorHAnsi"/>
          <w:sz w:val="18"/>
          <w:szCs w:val="18"/>
        </w:rPr>
        <w:footnoteRef/>
      </w:r>
      <w:r>
        <w:t xml:space="preserve"> </w:t>
      </w:r>
      <w:r w:rsidRPr="000345FC">
        <w:rPr>
          <w:rFonts w:asciiTheme="minorHAnsi" w:hAnsiTheme="minorHAnsi" w:cstheme="minorHAnsi"/>
        </w:rPr>
        <w:t>Profitability metrics, such as EBIDA, EBIDA Margin, Operating Margin, Total Margin, and Debt Service Coverage Ratio are used to assist in the evaluation of management performance in how efficiently resources are utilized. Liquidity metrics, such as Unrestricted Cash Days on Hand and Unrestricted Cash to Debt, measure the quality and adequacy of assets to meet current obligations as they come due. Solvency metrics, such as Debt to Capitalization, Total Assets and Total Net Assets, measure the company’s ability to service debt obligations.</w:t>
      </w:r>
    </w:p>
  </w:footnote>
  <w:footnote w:id="46">
    <w:p w14:paraId="0A5DACF3" w14:textId="77777777" w:rsidR="0082501A" w:rsidRPr="000062C7" w:rsidRDefault="0082501A" w:rsidP="0082501A">
      <w:pPr>
        <w:pStyle w:val="FootnoteText"/>
        <w:rPr>
          <w:rFonts w:ascii="Arial" w:hAnsi="Arial" w:cs="Arial"/>
          <w:sz w:val="18"/>
          <w:szCs w:val="18"/>
        </w:rPr>
      </w:pPr>
      <w:r w:rsidRPr="000062C7">
        <w:rPr>
          <w:rStyle w:val="FootnoteReference"/>
          <w:rFonts w:ascii="Arial" w:hAnsi="Arial" w:cs="Arial"/>
          <w:sz w:val="18"/>
          <w:szCs w:val="18"/>
        </w:rPr>
        <w:footnoteRef/>
      </w:r>
      <w:r w:rsidRPr="000062C7">
        <w:rPr>
          <w:rFonts w:ascii="Arial" w:hAnsi="Arial" w:cs="Arial"/>
          <w:sz w:val="18"/>
          <w:szCs w:val="18"/>
        </w:rPr>
        <w:t xml:space="preserve"> Please note that outpatient wait times are based on the third next available appointment This is industry standard and measures average length of time in days between the day a patient makes a request for an appointment and the third available appointment available.</w:t>
      </w:r>
    </w:p>
  </w:footnote>
</w:footnotes>
</file>

<file path=word/intelligence2.xml><?xml version="1.0" encoding="utf-8"?>
<int2:intelligence xmlns:int2="http://schemas.microsoft.com/office/intelligence/2020/intelligence" xmlns:oel="http://schemas.microsoft.com/office/2019/extlst">
  <int2:observations>
    <int2:textHash int2:hashCode="r27dLAIdoDub/L" int2:id="9hl8WEwI">
      <int2:state int2:value="Rejected" int2:type="LegacyProofing"/>
    </int2:textHash>
    <int2:textHash int2:hashCode="lxHar0+i1idd5K" int2:id="dJtz4I76">
      <int2:state int2:value="Rejected" int2:type="LegacyProofing"/>
    </int2:textHash>
    <int2:textHash int2:hashCode="zFsC8mraiMUHSA" int2:id="A0tl1t2l">
      <int2:state int2:value="Rejected" int2:type="LegacyProofing"/>
    </int2:textHash>
    <int2:bookmark int2:bookmarkName="_Int_Jh4KaKiN" int2:invalidationBookmarkName="" int2:hashCode="CwZeX1WzyBcBn7" int2:id="p3rRffDF">
      <int2:state int2:value="Rejected" int2:type="LegacyProofing"/>
    </int2:bookmark>
    <int2:bookmark int2:bookmarkName="_Int_VN9pqOKq" int2:invalidationBookmarkName="" int2:hashCode="3gX6XmQEE7kBRF" int2:id="t9dPNXQ3">
      <int2:state int2:value="Rejected" int2:type="LegacyProofing"/>
    </int2:bookmark>
    <int2:bookmark int2:bookmarkName="_Int_KTR2U3Jl" int2:invalidationBookmarkName="" int2:hashCode="ZD4DPyxyvbq3AT" int2:id="m4k5NGI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4C8"/>
    <w:multiLevelType w:val="hybridMultilevel"/>
    <w:tmpl w:val="76AA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45E"/>
    <w:multiLevelType w:val="hybridMultilevel"/>
    <w:tmpl w:val="796A4F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CE24DE"/>
    <w:multiLevelType w:val="hybridMultilevel"/>
    <w:tmpl w:val="260ABBBC"/>
    <w:lvl w:ilvl="0" w:tplc="45A8BAE4">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2562545"/>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2C713E"/>
    <w:multiLevelType w:val="multilevel"/>
    <w:tmpl w:val="3BEAF2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0D1709"/>
    <w:multiLevelType w:val="hybridMultilevel"/>
    <w:tmpl w:val="3024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43C65"/>
    <w:multiLevelType w:val="hybridMultilevel"/>
    <w:tmpl w:val="3E54875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D208FB"/>
    <w:multiLevelType w:val="hybridMultilevel"/>
    <w:tmpl w:val="6FE62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52608D9"/>
    <w:multiLevelType w:val="hybridMultilevel"/>
    <w:tmpl w:val="5196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75117"/>
    <w:multiLevelType w:val="hybridMultilevel"/>
    <w:tmpl w:val="E764818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D675CF"/>
    <w:multiLevelType w:val="hybridMultilevel"/>
    <w:tmpl w:val="36C22C88"/>
    <w:lvl w:ilvl="0" w:tplc="90CAFD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8070D1"/>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D63BAE"/>
    <w:multiLevelType w:val="hybridMultilevel"/>
    <w:tmpl w:val="83D4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B6507"/>
    <w:multiLevelType w:val="hybridMultilevel"/>
    <w:tmpl w:val="6B2CF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FDE63"/>
    <w:multiLevelType w:val="hybridMultilevel"/>
    <w:tmpl w:val="E8C0AA96"/>
    <w:lvl w:ilvl="0" w:tplc="E5D6D38A">
      <w:start w:val="1"/>
      <w:numFmt w:val="decimal"/>
      <w:lvlText w:val="%1."/>
      <w:lvlJc w:val="left"/>
      <w:pPr>
        <w:ind w:left="720" w:hanging="360"/>
      </w:pPr>
    </w:lvl>
    <w:lvl w:ilvl="1" w:tplc="D17ABE2A">
      <w:start w:val="1"/>
      <w:numFmt w:val="lowerLetter"/>
      <w:lvlText w:val="%2."/>
      <w:lvlJc w:val="left"/>
      <w:pPr>
        <w:ind w:left="1440" w:hanging="360"/>
      </w:pPr>
    </w:lvl>
    <w:lvl w:ilvl="2" w:tplc="ED34615E">
      <w:start w:val="1"/>
      <w:numFmt w:val="lowerRoman"/>
      <w:lvlText w:val="%3."/>
      <w:lvlJc w:val="right"/>
      <w:pPr>
        <w:ind w:left="2160" w:hanging="180"/>
      </w:pPr>
    </w:lvl>
    <w:lvl w:ilvl="3" w:tplc="BD96AF4E">
      <w:start w:val="1"/>
      <w:numFmt w:val="decimal"/>
      <w:lvlText w:val="%4."/>
      <w:lvlJc w:val="left"/>
      <w:pPr>
        <w:ind w:left="2880" w:hanging="360"/>
      </w:pPr>
    </w:lvl>
    <w:lvl w:ilvl="4" w:tplc="B25C2168">
      <w:start w:val="1"/>
      <w:numFmt w:val="lowerLetter"/>
      <w:lvlText w:val="%5."/>
      <w:lvlJc w:val="left"/>
      <w:pPr>
        <w:ind w:left="3600" w:hanging="360"/>
      </w:pPr>
    </w:lvl>
    <w:lvl w:ilvl="5" w:tplc="F4282E44">
      <w:start w:val="1"/>
      <w:numFmt w:val="lowerRoman"/>
      <w:lvlText w:val="%6."/>
      <w:lvlJc w:val="right"/>
      <w:pPr>
        <w:ind w:left="4320" w:hanging="180"/>
      </w:pPr>
    </w:lvl>
    <w:lvl w:ilvl="6" w:tplc="3B5E018A">
      <w:start w:val="1"/>
      <w:numFmt w:val="decimal"/>
      <w:lvlText w:val="%7."/>
      <w:lvlJc w:val="left"/>
      <w:pPr>
        <w:ind w:left="5040" w:hanging="360"/>
      </w:pPr>
    </w:lvl>
    <w:lvl w:ilvl="7" w:tplc="62D4F158">
      <w:start w:val="1"/>
      <w:numFmt w:val="lowerLetter"/>
      <w:lvlText w:val="%8."/>
      <w:lvlJc w:val="left"/>
      <w:pPr>
        <w:ind w:left="5760" w:hanging="360"/>
      </w:pPr>
    </w:lvl>
    <w:lvl w:ilvl="8" w:tplc="406CC566">
      <w:start w:val="1"/>
      <w:numFmt w:val="lowerRoman"/>
      <w:lvlText w:val="%9."/>
      <w:lvlJc w:val="right"/>
      <w:pPr>
        <w:ind w:left="6480" w:hanging="180"/>
      </w:pPr>
    </w:lvl>
  </w:abstractNum>
  <w:abstractNum w:abstractNumId="16" w15:restartNumberingAfterBreak="0">
    <w:nsid w:val="70D14F49"/>
    <w:multiLevelType w:val="hybridMultilevel"/>
    <w:tmpl w:val="D642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E3924"/>
    <w:multiLevelType w:val="hybridMultilevel"/>
    <w:tmpl w:val="255C8DB4"/>
    <w:lvl w:ilvl="0" w:tplc="FB3E36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894690">
    <w:abstractNumId w:val="16"/>
  </w:num>
  <w:num w:numId="2" w16cid:durableId="631864369">
    <w:abstractNumId w:val="10"/>
  </w:num>
  <w:num w:numId="3" w16cid:durableId="1292175727">
    <w:abstractNumId w:val="9"/>
  </w:num>
  <w:num w:numId="4" w16cid:durableId="56588254">
    <w:abstractNumId w:val="8"/>
  </w:num>
  <w:num w:numId="5" w16cid:durableId="2024430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641704">
    <w:abstractNumId w:val="17"/>
  </w:num>
  <w:num w:numId="7" w16cid:durableId="148838043">
    <w:abstractNumId w:val="0"/>
  </w:num>
  <w:num w:numId="8" w16cid:durableId="1076364769">
    <w:abstractNumId w:val="6"/>
  </w:num>
  <w:num w:numId="9" w16cid:durableId="881020573">
    <w:abstractNumId w:val="11"/>
  </w:num>
  <w:num w:numId="10" w16cid:durableId="67970547">
    <w:abstractNumId w:val="4"/>
  </w:num>
  <w:num w:numId="11" w16cid:durableId="562712798">
    <w:abstractNumId w:val="5"/>
  </w:num>
  <w:num w:numId="12" w16cid:durableId="1726297903">
    <w:abstractNumId w:val="14"/>
  </w:num>
  <w:num w:numId="13" w16cid:durableId="1681227594">
    <w:abstractNumId w:val="3"/>
  </w:num>
  <w:num w:numId="14" w16cid:durableId="502625681">
    <w:abstractNumId w:val="13"/>
  </w:num>
  <w:num w:numId="15" w16cid:durableId="861432004">
    <w:abstractNumId w:val="15"/>
  </w:num>
  <w:num w:numId="16" w16cid:durableId="2117292219">
    <w:abstractNumId w:val="7"/>
  </w:num>
  <w:num w:numId="17" w16cid:durableId="922496192">
    <w:abstractNumId w:val="2"/>
  </w:num>
  <w:num w:numId="18" w16cid:durableId="191535979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7F5"/>
    <w:rsid w:val="00000925"/>
    <w:rsid w:val="00000AF4"/>
    <w:rsid w:val="00000F02"/>
    <w:rsid w:val="00000FDF"/>
    <w:rsid w:val="00001279"/>
    <w:rsid w:val="00001570"/>
    <w:rsid w:val="000015D7"/>
    <w:rsid w:val="00001880"/>
    <w:rsid w:val="00001B46"/>
    <w:rsid w:val="00001D68"/>
    <w:rsid w:val="00001E0F"/>
    <w:rsid w:val="00001F43"/>
    <w:rsid w:val="000023B5"/>
    <w:rsid w:val="00002A76"/>
    <w:rsid w:val="00002ADE"/>
    <w:rsid w:val="000031EE"/>
    <w:rsid w:val="000035DE"/>
    <w:rsid w:val="0000364F"/>
    <w:rsid w:val="00003AE8"/>
    <w:rsid w:val="00003EED"/>
    <w:rsid w:val="000048B3"/>
    <w:rsid w:val="0000516F"/>
    <w:rsid w:val="00005226"/>
    <w:rsid w:val="000053FA"/>
    <w:rsid w:val="00005421"/>
    <w:rsid w:val="0000557F"/>
    <w:rsid w:val="00005945"/>
    <w:rsid w:val="00005C75"/>
    <w:rsid w:val="00005F19"/>
    <w:rsid w:val="00006043"/>
    <w:rsid w:val="00006767"/>
    <w:rsid w:val="00006964"/>
    <w:rsid w:val="00006B6F"/>
    <w:rsid w:val="000073EC"/>
    <w:rsid w:val="000076C1"/>
    <w:rsid w:val="00007818"/>
    <w:rsid w:val="0000789D"/>
    <w:rsid w:val="00010084"/>
    <w:rsid w:val="0001067C"/>
    <w:rsid w:val="00010779"/>
    <w:rsid w:val="00010ECD"/>
    <w:rsid w:val="0001115B"/>
    <w:rsid w:val="000111B6"/>
    <w:rsid w:val="00011399"/>
    <w:rsid w:val="000114A8"/>
    <w:rsid w:val="000115ED"/>
    <w:rsid w:val="00012039"/>
    <w:rsid w:val="00012296"/>
    <w:rsid w:val="000124CF"/>
    <w:rsid w:val="00012B79"/>
    <w:rsid w:val="00012E91"/>
    <w:rsid w:val="00014493"/>
    <w:rsid w:val="0001465A"/>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FD7"/>
    <w:rsid w:val="00021E93"/>
    <w:rsid w:val="0002218C"/>
    <w:rsid w:val="00022292"/>
    <w:rsid w:val="000225C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194"/>
    <w:rsid w:val="000262A9"/>
    <w:rsid w:val="0002647A"/>
    <w:rsid w:val="0002723A"/>
    <w:rsid w:val="00027413"/>
    <w:rsid w:val="00027565"/>
    <w:rsid w:val="00027B44"/>
    <w:rsid w:val="00027BB8"/>
    <w:rsid w:val="00027C0E"/>
    <w:rsid w:val="00027DD7"/>
    <w:rsid w:val="00027FBD"/>
    <w:rsid w:val="00030A40"/>
    <w:rsid w:val="0003104F"/>
    <w:rsid w:val="000319DE"/>
    <w:rsid w:val="00031A51"/>
    <w:rsid w:val="00031B05"/>
    <w:rsid w:val="00031DD4"/>
    <w:rsid w:val="0003203D"/>
    <w:rsid w:val="000323B4"/>
    <w:rsid w:val="0003253F"/>
    <w:rsid w:val="000325AF"/>
    <w:rsid w:val="0003285D"/>
    <w:rsid w:val="00032D91"/>
    <w:rsid w:val="00032F3A"/>
    <w:rsid w:val="0003303F"/>
    <w:rsid w:val="000332B4"/>
    <w:rsid w:val="0003333E"/>
    <w:rsid w:val="000336D9"/>
    <w:rsid w:val="000338CF"/>
    <w:rsid w:val="00034075"/>
    <w:rsid w:val="00034426"/>
    <w:rsid w:val="000345FC"/>
    <w:rsid w:val="0003475D"/>
    <w:rsid w:val="0003540A"/>
    <w:rsid w:val="000356D5"/>
    <w:rsid w:val="00035726"/>
    <w:rsid w:val="00035806"/>
    <w:rsid w:val="00035882"/>
    <w:rsid w:val="00035E49"/>
    <w:rsid w:val="00036340"/>
    <w:rsid w:val="000363DD"/>
    <w:rsid w:val="000365BB"/>
    <w:rsid w:val="00036CDF"/>
    <w:rsid w:val="00037248"/>
    <w:rsid w:val="000376DC"/>
    <w:rsid w:val="0003777C"/>
    <w:rsid w:val="0003779F"/>
    <w:rsid w:val="000378C9"/>
    <w:rsid w:val="000378CE"/>
    <w:rsid w:val="00037BF0"/>
    <w:rsid w:val="00040684"/>
    <w:rsid w:val="0004076A"/>
    <w:rsid w:val="00040884"/>
    <w:rsid w:val="00040D37"/>
    <w:rsid w:val="000415F0"/>
    <w:rsid w:val="00041BFC"/>
    <w:rsid w:val="00041F4C"/>
    <w:rsid w:val="00042151"/>
    <w:rsid w:val="000422A3"/>
    <w:rsid w:val="00042308"/>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02D"/>
    <w:rsid w:val="00050346"/>
    <w:rsid w:val="000503A8"/>
    <w:rsid w:val="0005042D"/>
    <w:rsid w:val="00050530"/>
    <w:rsid w:val="00050667"/>
    <w:rsid w:val="00050D37"/>
    <w:rsid w:val="00051634"/>
    <w:rsid w:val="000516AE"/>
    <w:rsid w:val="000518D9"/>
    <w:rsid w:val="00051CCE"/>
    <w:rsid w:val="00051DEE"/>
    <w:rsid w:val="00052086"/>
    <w:rsid w:val="00052215"/>
    <w:rsid w:val="000522C0"/>
    <w:rsid w:val="00052B92"/>
    <w:rsid w:val="0005358D"/>
    <w:rsid w:val="00053849"/>
    <w:rsid w:val="0005431E"/>
    <w:rsid w:val="000547B2"/>
    <w:rsid w:val="00054A7A"/>
    <w:rsid w:val="00054F01"/>
    <w:rsid w:val="00056445"/>
    <w:rsid w:val="000565B9"/>
    <w:rsid w:val="000565D5"/>
    <w:rsid w:val="00056DB0"/>
    <w:rsid w:val="00056E07"/>
    <w:rsid w:val="000572C6"/>
    <w:rsid w:val="0005771B"/>
    <w:rsid w:val="00057B2F"/>
    <w:rsid w:val="00057EB5"/>
    <w:rsid w:val="000600AD"/>
    <w:rsid w:val="00060374"/>
    <w:rsid w:val="00060472"/>
    <w:rsid w:val="00060584"/>
    <w:rsid w:val="000607E5"/>
    <w:rsid w:val="00060D20"/>
    <w:rsid w:val="00060DCA"/>
    <w:rsid w:val="0006101D"/>
    <w:rsid w:val="0006171E"/>
    <w:rsid w:val="0006177D"/>
    <w:rsid w:val="00062359"/>
    <w:rsid w:val="000635A1"/>
    <w:rsid w:val="000638A8"/>
    <w:rsid w:val="00063ADA"/>
    <w:rsid w:val="00063F91"/>
    <w:rsid w:val="00063FAD"/>
    <w:rsid w:val="00063FB5"/>
    <w:rsid w:val="00064276"/>
    <w:rsid w:val="00064675"/>
    <w:rsid w:val="000646E0"/>
    <w:rsid w:val="00064AB0"/>
    <w:rsid w:val="00065360"/>
    <w:rsid w:val="00065871"/>
    <w:rsid w:val="00065A7C"/>
    <w:rsid w:val="00065CD6"/>
    <w:rsid w:val="00065E14"/>
    <w:rsid w:val="00065E87"/>
    <w:rsid w:val="000661C2"/>
    <w:rsid w:val="000665C3"/>
    <w:rsid w:val="00066603"/>
    <w:rsid w:val="0006662B"/>
    <w:rsid w:val="00066864"/>
    <w:rsid w:val="00066B5C"/>
    <w:rsid w:val="00066BCA"/>
    <w:rsid w:val="000672AF"/>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1B3"/>
    <w:rsid w:val="00074313"/>
    <w:rsid w:val="000744F1"/>
    <w:rsid w:val="00074526"/>
    <w:rsid w:val="00074538"/>
    <w:rsid w:val="00074600"/>
    <w:rsid w:val="00074674"/>
    <w:rsid w:val="00074CC2"/>
    <w:rsid w:val="000751CD"/>
    <w:rsid w:val="000752CD"/>
    <w:rsid w:val="0007553D"/>
    <w:rsid w:val="000759EA"/>
    <w:rsid w:val="00075AB0"/>
    <w:rsid w:val="00076605"/>
    <w:rsid w:val="00076654"/>
    <w:rsid w:val="0007689E"/>
    <w:rsid w:val="00076B1A"/>
    <w:rsid w:val="000774D9"/>
    <w:rsid w:val="000776F9"/>
    <w:rsid w:val="00077700"/>
    <w:rsid w:val="0007780A"/>
    <w:rsid w:val="00077DB8"/>
    <w:rsid w:val="00080430"/>
    <w:rsid w:val="00080666"/>
    <w:rsid w:val="00080807"/>
    <w:rsid w:val="000808E0"/>
    <w:rsid w:val="00080BE8"/>
    <w:rsid w:val="000810E3"/>
    <w:rsid w:val="00082044"/>
    <w:rsid w:val="0008227E"/>
    <w:rsid w:val="00082400"/>
    <w:rsid w:val="00082461"/>
    <w:rsid w:val="00082892"/>
    <w:rsid w:val="0008305D"/>
    <w:rsid w:val="0008321C"/>
    <w:rsid w:val="00083335"/>
    <w:rsid w:val="0008335F"/>
    <w:rsid w:val="0008356D"/>
    <w:rsid w:val="000839C1"/>
    <w:rsid w:val="00083FCD"/>
    <w:rsid w:val="000843CF"/>
    <w:rsid w:val="00084415"/>
    <w:rsid w:val="000844CD"/>
    <w:rsid w:val="00084668"/>
    <w:rsid w:val="0008479B"/>
    <w:rsid w:val="00084AE5"/>
    <w:rsid w:val="000850EC"/>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DBF"/>
    <w:rsid w:val="00096EC2"/>
    <w:rsid w:val="000971C8"/>
    <w:rsid w:val="00097838"/>
    <w:rsid w:val="00097C23"/>
    <w:rsid w:val="00097E6A"/>
    <w:rsid w:val="00097EAE"/>
    <w:rsid w:val="000A05FC"/>
    <w:rsid w:val="000A22A9"/>
    <w:rsid w:val="000A301C"/>
    <w:rsid w:val="000A3524"/>
    <w:rsid w:val="000A3A57"/>
    <w:rsid w:val="000A42E4"/>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487"/>
    <w:rsid w:val="000A7983"/>
    <w:rsid w:val="000A7AC1"/>
    <w:rsid w:val="000A7B1A"/>
    <w:rsid w:val="000A7E9E"/>
    <w:rsid w:val="000A7FA5"/>
    <w:rsid w:val="000B0D2C"/>
    <w:rsid w:val="000B1838"/>
    <w:rsid w:val="000B1A3A"/>
    <w:rsid w:val="000B1AE3"/>
    <w:rsid w:val="000B1B58"/>
    <w:rsid w:val="000B1CB9"/>
    <w:rsid w:val="000B20B5"/>
    <w:rsid w:val="000B2211"/>
    <w:rsid w:val="000B222C"/>
    <w:rsid w:val="000B245D"/>
    <w:rsid w:val="000B25B3"/>
    <w:rsid w:val="000B2A05"/>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767"/>
    <w:rsid w:val="000B58B5"/>
    <w:rsid w:val="000B5ED5"/>
    <w:rsid w:val="000B6199"/>
    <w:rsid w:val="000B661C"/>
    <w:rsid w:val="000B6ABF"/>
    <w:rsid w:val="000B7256"/>
    <w:rsid w:val="000B72C0"/>
    <w:rsid w:val="000B733C"/>
    <w:rsid w:val="000B741C"/>
    <w:rsid w:val="000B7513"/>
    <w:rsid w:val="000B7B63"/>
    <w:rsid w:val="000C0407"/>
    <w:rsid w:val="000C0748"/>
    <w:rsid w:val="000C0753"/>
    <w:rsid w:val="000C0964"/>
    <w:rsid w:val="000C1123"/>
    <w:rsid w:val="000C1911"/>
    <w:rsid w:val="000C2263"/>
    <w:rsid w:val="000C299C"/>
    <w:rsid w:val="000C2A62"/>
    <w:rsid w:val="000C2E06"/>
    <w:rsid w:val="000C2E83"/>
    <w:rsid w:val="000C35A1"/>
    <w:rsid w:val="000C3BDF"/>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63C"/>
    <w:rsid w:val="000D07B0"/>
    <w:rsid w:val="000D0ADC"/>
    <w:rsid w:val="000D0C8C"/>
    <w:rsid w:val="000D0D14"/>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1F48"/>
    <w:rsid w:val="000E2FF9"/>
    <w:rsid w:val="000E3918"/>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71E"/>
    <w:rsid w:val="000F0950"/>
    <w:rsid w:val="000F0F2E"/>
    <w:rsid w:val="000F1151"/>
    <w:rsid w:val="000F115E"/>
    <w:rsid w:val="000F12F9"/>
    <w:rsid w:val="000F1BB9"/>
    <w:rsid w:val="000F200E"/>
    <w:rsid w:val="000F2465"/>
    <w:rsid w:val="000F2589"/>
    <w:rsid w:val="000F2E72"/>
    <w:rsid w:val="000F30D4"/>
    <w:rsid w:val="000F396F"/>
    <w:rsid w:val="000F3C49"/>
    <w:rsid w:val="000F3C99"/>
    <w:rsid w:val="000F3E5B"/>
    <w:rsid w:val="000F4347"/>
    <w:rsid w:val="000F4A8E"/>
    <w:rsid w:val="000F4C9D"/>
    <w:rsid w:val="000F5032"/>
    <w:rsid w:val="000F5579"/>
    <w:rsid w:val="000F58A4"/>
    <w:rsid w:val="000F5CBC"/>
    <w:rsid w:val="000F5D27"/>
    <w:rsid w:val="000F5D39"/>
    <w:rsid w:val="000F5D9D"/>
    <w:rsid w:val="000F6105"/>
    <w:rsid w:val="000F6390"/>
    <w:rsid w:val="000F64B1"/>
    <w:rsid w:val="000F65A5"/>
    <w:rsid w:val="000F669E"/>
    <w:rsid w:val="000F6CB4"/>
    <w:rsid w:val="000F6CEE"/>
    <w:rsid w:val="000F6D1C"/>
    <w:rsid w:val="000F73C6"/>
    <w:rsid w:val="000F7421"/>
    <w:rsid w:val="000F7808"/>
    <w:rsid w:val="000F789B"/>
    <w:rsid w:val="000F7BB9"/>
    <w:rsid w:val="000F7C26"/>
    <w:rsid w:val="000F7DFB"/>
    <w:rsid w:val="00100082"/>
    <w:rsid w:val="001004B8"/>
    <w:rsid w:val="001005C6"/>
    <w:rsid w:val="00100A64"/>
    <w:rsid w:val="001010C5"/>
    <w:rsid w:val="0010120C"/>
    <w:rsid w:val="00101837"/>
    <w:rsid w:val="00101943"/>
    <w:rsid w:val="001020EE"/>
    <w:rsid w:val="00102683"/>
    <w:rsid w:val="001026AB"/>
    <w:rsid w:val="00102D4C"/>
    <w:rsid w:val="00103383"/>
    <w:rsid w:val="00103861"/>
    <w:rsid w:val="001039A7"/>
    <w:rsid w:val="00103A1E"/>
    <w:rsid w:val="00103B28"/>
    <w:rsid w:val="001040A3"/>
    <w:rsid w:val="00104BB8"/>
    <w:rsid w:val="00104C61"/>
    <w:rsid w:val="00104CD5"/>
    <w:rsid w:val="00104E11"/>
    <w:rsid w:val="00104FED"/>
    <w:rsid w:val="00105784"/>
    <w:rsid w:val="00105A50"/>
    <w:rsid w:val="00105B76"/>
    <w:rsid w:val="00106577"/>
    <w:rsid w:val="001065F8"/>
    <w:rsid w:val="00106691"/>
    <w:rsid w:val="001068A0"/>
    <w:rsid w:val="00106AD3"/>
    <w:rsid w:val="00106C03"/>
    <w:rsid w:val="00106CA8"/>
    <w:rsid w:val="00106F7D"/>
    <w:rsid w:val="00107800"/>
    <w:rsid w:val="00107893"/>
    <w:rsid w:val="001078A5"/>
    <w:rsid w:val="00107B17"/>
    <w:rsid w:val="001100CE"/>
    <w:rsid w:val="00110CCC"/>
    <w:rsid w:val="00110D94"/>
    <w:rsid w:val="001112B9"/>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62A"/>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453"/>
    <w:rsid w:val="001215C9"/>
    <w:rsid w:val="00121779"/>
    <w:rsid w:val="00122462"/>
    <w:rsid w:val="00122561"/>
    <w:rsid w:val="00122642"/>
    <w:rsid w:val="0012336A"/>
    <w:rsid w:val="0012367E"/>
    <w:rsid w:val="0012392C"/>
    <w:rsid w:val="00123C59"/>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C60"/>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91D"/>
    <w:rsid w:val="001359C8"/>
    <w:rsid w:val="00135B96"/>
    <w:rsid w:val="00135D92"/>
    <w:rsid w:val="00135E14"/>
    <w:rsid w:val="00136655"/>
    <w:rsid w:val="0013679C"/>
    <w:rsid w:val="00136B09"/>
    <w:rsid w:val="00137011"/>
    <w:rsid w:val="0013724C"/>
    <w:rsid w:val="001373D9"/>
    <w:rsid w:val="001375F6"/>
    <w:rsid w:val="00137C5B"/>
    <w:rsid w:val="001401F2"/>
    <w:rsid w:val="00140435"/>
    <w:rsid w:val="00140897"/>
    <w:rsid w:val="00140989"/>
    <w:rsid w:val="00140C97"/>
    <w:rsid w:val="00141004"/>
    <w:rsid w:val="00141279"/>
    <w:rsid w:val="001412F5"/>
    <w:rsid w:val="0014159A"/>
    <w:rsid w:val="001418D7"/>
    <w:rsid w:val="0014242D"/>
    <w:rsid w:val="001426E6"/>
    <w:rsid w:val="00142BE7"/>
    <w:rsid w:val="00142FC9"/>
    <w:rsid w:val="00143664"/>
    <w:rsid w:val="001438F2"/>
    <w:rsid w:val="00143A5F"/>
    <w:rsid w:val="00143C83"/>
    <w:rsid w:val="00143D18"/>
    <w:rsid w:val="00143F1D"/>
    <w:rsid w:val="00144119"/>
    <w:rsid w:val="00144153"/>
    <w:rsid w:val="00144918"/>
    <w:rsid w:val="00144A1A"/>
    <w:rsid w:val="00144A64"/>
    <w:rsid w:val="00144F2E"/>
    <w:rsid w:val="001458A5"/>
    <w:rsid w:val="001458A7"/>
    <w:rsid w:val="00145EE5"/>
    <w:rsid w:val="001461AB"/>
    <w:rsid w:val="0014702B"/>
    <w:rsid w:val="00147B20"/>
    <w:rsid w:val="00147C38"/>
    <w:rsid w:val="001505E3"/>
    <w:rsid w:val="00150D2E"/>
    <w:rsid w:val="001512D3"/>
    <w:rsid w:val="001522A9"/>
    <w:rsid w:val="0015248F"/>
    <w:rsid w:val="00152910"/>
    <w:rsid w:val="001539CB"/>
    <w:rsid w:val="00153CB3"/>
    <w:rsid w:val="00153D48"/>
    <w:rsid w:val="001543EB"/>
    <w:rsid w:val="00154692"/>
    <w:rsid w:val="00154CF4"/>
    <w:rsid w:val="00155040"/>
    <w:rsid w:val="001550CE"/>
    <w:rsid w:val="00155601"/>
    <w:rsid w:val="001559FA"/>
    <w:rsid w:val="00155DF7"/>
    <w:rsid w:val="00155FFE"/>
    <w:rsid w:val="001567EB"/>
    <w:rsid w:val="00156B89"/>
    <w:rsid w:val="00157186"/>
    <w:rsid w:val="001571E0"/>
    <w:rsid w:val="0016022B"/>
    <w:rsid w:val="0016038D"/>
    <w:rsid w:val="00160781"/>
    <w:rsid w:val="00160C58"/>
    <w:rsid w:val="00161097"/>
    <w:rsid w:val="001611A7"/>
    <w:rsid w:val="001617D4"/>
    <w:rsid w:val="001617F0"/>
    <w:rsid w:val="00161CB3"/>
    <w:rsid w:val="0016231A"/>
    <w:rsid w:val="00162356"/>
    <w:rsid w:val="0016297E"/>
    <w:rsid w:val="00162F38"/>
    <w:rsid w:val="0016309B"/>
    <w:rsid w:val="00163223"/>
    <w:rsid w:val="0016369C"/>
    <w:rsid w:val="001636B5"/>
    <w:rsid w:val="001636D9"/>
    <w:rsid w:val="0016371E"/>
    <w:rsid w:val="00163EF3"/>
    <w:rsid w:val="00163EFA"/>
    <w:rsid w:val="00164176"/>
    <w:rsid w:val="00164200"/>
    <w:rsid w:val="001646ED"/>
    <w:rsid w:val="001648BD"/>
    <w:rsid w:val="001650A1"/>
    <w:rsid w:val="001650C8"/>
    <w:rsid w:val="001657DB"/>
    <w:rsid w:val="00166275"/>
    <w:rsid w:val="001664D3"/>
    <w:rsid w:val="0016696E"/>
    <w:rsid w:val="00166AFB"/>
    <w:rsid w:val="001672E6"/>
    <w:rsid w:val="00167738"/>
    <w:rsid w:val="00170241"/>
    <w:rsid w:val="001703ED"/>
    <w:rsid w:val="001704FE"/>
    <w:rsid w:val="00170694"/>
    <w:rsid w:val="00171342"/>
    <w:rsid w:val="001714B2"/>
    <w:rsid w:val="00171823"/>
    <w:rsid w:val="00171FF0"/>
    <w:rsid w:val="0017225B"/>
    <w:rsid w:val="00172262"/>
    <w:rsid w:val="001727FD"/>
    <w:rsid w:val="00172EDB"/>
    <w:rsid w:val="0017310C"/>
    <w:rsid w:val="00173254"/>
    <w:rsid w:val="00173CC9"/>
    <w:rsid w:val="001742E8"/>
    <w:rsid w:val="00174C7E"/>
    <w:rsid w:val="001752FB"/>
    <w:rsid w:val="00175766"/>
    <w:rsid w:val="0017586D"/>
    <w:rsid w:val="00175AF1"/>
    <w:rsid w:val="00176749"/>
    <w:rsid w:val="001767B0"/>
    <w:rsid w:val="0017680F"/>
    <w:rsid w:val="00176B38"/>
    <w:rsid w:val="0017737E"/>
    <w:rsid w:val="001773CB"/>
    <w:rsid w:val="001777E6"/>
    <w:rsid w:val="00177898"/>
    <w:rsid w:val="00180307"/>
    <w:rsid w:val="00180C5A"/>
    <w:rsid w:val="00181B5A"/>
    <w:rsid w:val="00181C85"/>
    <w:rsid w:val="00181FCF"/>
    <w:rsid w:val="0018242E"/>
    <w:rsid w:val="00182FCF"/>
    <w:rsid w:val="00183835"/>
    <w:rsid w:val="00183967"/>
    <w:rsid w:val="00183E43"/>
    <w:rsid w:val="001843D1"/>
    <w:rsid w:val="0018463C"/>
    <w:rsid w:val="00185387"/>
    <w:rsid w:val="00185D44"/>
    <w:rsid w:val="00185E34"/>
    <w:rsid w:val="00186706"/>
    <w:rsid w:val="00186970"/>
    <w:rsid w:val="00186B1D"/>
    <w:rsid w:val="00186DEE"/>
    <w:rsid w:val="0018734C"/>
    <w:rsid w:val="0018757B"/>
    <w:rsid w:val="00190E1B"/>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556"/>
    <w:rsid w:val="00194611"/>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2E"/>
    <w:rsid w:val="001A1BB7"/>
    <w:rsid w:val="001A1CEE"/>
    <w:rsid w:val="001A21B5"/>
    <w:rsid w:val="001A279F"/>
    <w:rsid w:val="001A281F"/>
    <w:rsid w:val="001A2BC4"/>
    <w:rsid w:val="001A31CD"/>
    <w:rsid w:val="001A3244"/>
    <w:rsid w:val="001A3354"/>
    <w:rsid w:val="001A3436"/>
    <w:rsid w:val="001A374C"/>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2DCF"/>
    <w:rsid w:val="001B3A66"/>
    <w:rsid w:val="001B3B64"/>
    <w:rsid w:val="001B4934"/>
    <w:rsid w:val="001B4AD3"/>
    <w:rsid w:val="001B4E3A"/>
    <w:rsid w:val="001B55F0"/>
    <w:rsid w:val="001B5782"/>
    <w:rsid w:val="001B57FA"/>
    <w:rsid w:val="001B5884"/>
    <w:rsid w:val="001B5D18"/>
    <w:rsid w:val="001B5EA1"/>
    <w:rsid w:val="001B5FD7"/>
    <w:rsid w:val="001B60BE"/>
    <w:rsid w:val="001B6972"/>
    <w:rsid w:val="001B6B71"/>
    <w:rsid w:val="001B6D5E"/>
    <w:rsid w:val="001B6F42"/>
    <w:rsid w:val="001B7288"/>
    <w:rsid w:val="001B7902"/>
    <w:rsid w:val="001B79BC"/>
    <w:rsid w:val="001B7B43"/>
    <w:rsid w:val="001B7F39"/>
    <w:rsid w:val="001C0FA7"/>
    <w:rsid w:val="001C120C"/>
    <w:rsid w:val="001C1A60"/>
    <w:rsid w:val="001C1B5E"/>
    <w:rsid w:val="001C1E4A"/>
    <w:rsid w:val="001C21EF"/>
    <w:rsid w:val="001C233A"/>
    <w:rsid w:val="001C23E9"/>
    <w:rsid w:val="001C263E"/>
    <w:rsid w:val="001C274D"/>
    <w:rsid w:val="001C27AA"/>
    <w:rsid w:val="001C27E6"/>
    <w:rsid w:val="001C281E"/>
    <w:rsid w:val="001C2BC9"/>
    <w:rsid w:val="001C3237"/>
    <w:rsid w:val="001C348D"/>
    <w:rsid w:val="001C3540"/>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221"/>
    <w:rsid w:val="001C773B"/>
    <w:rsid w:val="001C7752"/>
    <w:rsid w:val="001C7980"/>
    <w:rsid w:val="001C7A7D"/>
    <w:rsid w:val="001D0000"/>
    <w:rsid w:val="001D09EF"/>
    <w:rsid w:val="001D0BB1"/>
    <w:rsid w:val="001D0D06"/>
    <w:rsid w:val="001D0F36"/>
    <w:rsid w:val="001D147E"/>
    <w:rsid w:val="001D1945"/>
    <w:rsid w:val="001D2450"/>
    <w:rsid w:val="001D26E7"/>
    <w:rsid w:val="001D27EC"/>
    <w:rsid w:val="001D297B"/>
    <w:rsid w:val="001D2D98"/>
    <w:rsid w:val="001D337B"/>
    <w:rsid w:val="001D34D1"/>
    <w:rsid w:val="001D34FF"/>
    <w:rsid w:val="001D3631"/>
    <w:rsid w:val="001D363E"/>
    <w:rsid w:val="001D3959"/>
    <w:rsid w:val="001D3DCE"/>
    <w:rsid w:val="001D3E95"/>
    <w:rsid w:val="001D4443"/>
    <w:rsid w:val="001D48FC"/>
    <w:rsid w:val="001D4A01"/>
    <w:rsid w:val="001D4A57"/>
    <w:rsid w:val="001D4B36"/>
    <w:rsid w:val="001D4D2D"/>
    <w:rsid w:val="001D4D86"/>
    <w:rsid w:val="001D5668"/>
    <w:rsid w:val="001D5A4B"/>
    <w:rsid w:val="001D5D52"/>
    <w:rsid w:val="001D61B8"/>
    <w:rsid w:val="001D6DE8"/>
    <w:rsid w:val="001D7C41"/>
    <w:rsid w:val="001D7F16"/>
    <w:rsid w:val="001D7FD7"/>
    <w:rsid w:val="001E03C5"/>
    <w:rsid w:val="001E06CF"/>
    <w:rsid w:val="001E0B84"/>
    <w:rsid w:val="001E0E87"/>
    <w:rsid w:val="001E0F3B"/>
    <w:rsid w:val="001E481E"/>
    <w:rsid w:val="001E4939"/>
    <w:rsid w:val="001E4F1C"/>
    <w:rsid w:val="001E5127"/>
    <w:rsid w:val="001E5266"/>
    <w:rsid w:val="001E59F7"/>
    <w:rsid w:val="001E5B7D"/>
    <w:rsid w:val="001E6BBF"/>
    <w:rsid w:val="001E6E05"/>
    <w:rsid w:val="001E711E"/>
    <w:rsid w:val="001E75F1"/>
    <w:rsid w:val="001E7832"/>
    <w:rsid w:val="001E7B16"/>
    <w:rsid w:val="001E7C3B"/>
    <w:rsid w:val="001E7CDB"/>
    <w:rsid w:val="001E7E0F"/>
    <w:rsid w:val="001E7E17"/>
    <w:rsid w:val="001F05F3"/>
    <w:rsid w:val="001F0933"/>
    <w:rsid w:val="001F0E54"/>
    <w:rsid w:val="001F1642"/>
    <w:rsid w:val="001F1873"/>
    <w:rsid w:val="001F18EC"/>
    <w:rsid w:val="001F2180"/>
    <w:rsid w:val="001F3723"/>
    <w:rsid w:val="001F37CE"/>
    <w:rsid w:val="001F4829"/>
    <w:rsid w:val="001F4DDB"/>
    <w:rsid w:val="001F51C3"/>
    <w:rsid w:val="001F5310"/>
    <w:rsid w:val="001F548F"/>
    <w:rsid w:val="001F5A13"/>
    <w:rsid w:val="001F5F1F"/>
    <w:rsid w:val="001F6405"/>
    <w:rsid w:val="001F6848"/>
    <w:rsid w:val="001F6C2D"/>
    <w:rsid w:val="001F6CB3"/>
    <w:rsid w:val="001F7027"/>
    <w:rsid w:val="001F7225"/>
    <w:rsid w:val="001F7272"/>
    <w:rsid w:val="001F747C"/>
    <w:rsid w:val="001F7F2A"/>
    <w:rsid w:val="00200289"/>
    <w:rsid w:val="00200385"/>
    <w:rsid w:val="00200807"/>
    <w:rsid w:val="0020084A"/>
    <w:rsid w:val="00201172"/>
    <w:rsid w:val="0020117B"/>
    <w:rsid w:val="002016A8"/>
    <w:rsid w:val="002019A7"/>
    <w:rsid w:val="002019F5"/>
    <w:rsid w:val="00201BD5"/>
    <w:rsid w:val="00202311"/>
    <w:rsid w:val="0020236F"/>
    <w:rsid w:val="002023FD"/>
    <w:rsid w:val="00202749"/>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515B"/>
    <w:rsid w:val="002052D9"/>
    <w:rsid w:val="00205875"/>
    <w:rsid w:val="00205BC0"/>
    <w:rsid w:val="00206428"/>
    <w:rsid w:val="0020678A"/>
    <w:rsid w:val="0020757B"/>
    <w:rsid w:val="00207EFB"/>
    <w:rsid w:val="00207FDE"/>
    <w:rsid w:val="0021008C"/>
    <w:rsid w:val="002103AA"/>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82E"/>
    <w:rsid w:val="00216C90"/>
    <w:rsid w:val="00216D29"/>
    <w:rsid w:val="0021713E"/>
    <w:rsid w:val="002177C1"/>
    <w:rsid w:val="00217AA3"/>
    <w:rsid w:val="00217AC8"/>
    <w:rsid w:val="00217E2E"/>
    <w:rsid w:val="00217F2F"/>
    <w:rsid w:val="00217F91"/>
    <w:rsid w:val="002200C6"/>
    <w:rsid w:val="00220809"/>
    <w:rsid w:val="00220AFB"/>
    <w:rsid w:val="00220DE3"/>
    <w:rsid w:val="002212CB"/>
    <w:rsid w:val="00221472"/>
    <w:rsid w:val="00221C91"/>
    <w:rsid w:val="002225E6"/>
    <w:rsid w:val="00222A53"/>
    <w:rsid w:val="00222B74"/>
    <w:rsid w:val="00223A7B"/>
    <w:rsid w:val="00223CD3"/>
    <w:rsid w:val="00223D31"/>
    <w:rsid w:val="00224058"/>
    <w:rsid w:val="00224078"/>
    <w:rsid w:val="002242AC"/>
    <w:rsid w:val="002243FA"/>
    <w:rsid w:val="00224731"/>
    <w:rsid w:val="0022497C"/>
    <w:rsid w:val="00224CFE"/>
    <w:rsid w:val="00225028"/>
    <w:rsid w:val="002252A2"/>
    <w:rsid w:val="0022549A"/>
    <w:rsid w:val="002255B2"/>
    <w:rsid w:val="00225626"/>
    <w:rsid w:val="00225D76"/>
    <w:rsid w:val="002265AD"/>
    <w:rsid w:val="00226B88"/>
    <w:rsid w:val="002270FB"/>
    <w:rsid w:val="002271A9"/>
    <w:rsid w:val="002271E4"/>
    <w:rsid w:val="0022769C"/>
    <w:rsid w:val="002300A0"/>
    <w:rsid w:val="0023025C"/>
    <w:rsid w:val="00231124"/>
    <w:rsid w:val="00231128"/>
    <w:rsid w:val="002316D5"/>
    <w:rsid w:val="00231792"/>
    <w:rsid w:val="002319BD"/>
    <w:rsid w:val="00231AB4"/>
    <w:rsid w:val="00231F43"/>
    <w:rsid w:val="0023224D"/>
    <w:rsid w:val="00232772"/>
    <w:rsid w:val="002328B1"/>
    <w:rsid w:val="00232C32"/>
    <w:rsid w:val="00232C79"/>
    <w:rsid w:val="00232E6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5E6C"/>
    <w:rsid w:val="00235EB5"/>
    <w:rsid w:val="00236222"/>
    <w:rsid w:val="002362AB"/>
    <w:rsid w:val="00236373"/>
    <w:rsid w:val="00237553"/>
    <w:rsid w:val="00237618"/>
    <w:rsid w:val="00237772"/>
    <w:rsid w:val="00237DDB"/>
    <w:rsid w:val="00237F51"/>
    <w:rsid w:val="00237F66"/>
    <w:rsid w:val="0024007C"/>
    <w:rsid w:val="00240856"/>
    <w:rsid w:val="00240DA8"/>
    <w:rsid w:val="00240E70"/>
    <w:rsid w:val="00240F43"/>
    <w:rsid w:val="00241EEE"/>
    <w:rsid w:val="00241FD7"/>
    <w:rsid w:val="00242417"/>
    <w:rsid w:val="00242A5F"/>
    <w:rsid w:val="00242B88"/>
    <w:rsid w:val="00242E67"/>
    <w:rsid w:val="00242E76"/>
    <w:rsid w:val="00242EB7"/>
    <w:rsid w:val="002435DA"/>
    <w:rsid w:val="00243663"/>
    <w:rsid w:val="0024380F"/>
    <w:rsid w:val="00244134"/>
    <w:rsid w:val="00244505"/>
    <w:rsid w:val="00244C8D"/>
    <w:rsid w:val="00245328"/>
    <w:rsid w:val="00245EEE"/>
    <w:rsid w:val="00246810"/>
    <w:rsid w:val="0024709B"/>
    <w:rsid w:val="00247190"/>
    <w:rsid w:val="002473C0"/>
    <w:rsid w:val="0024765B"/>
    <w:rsid w:val="0024787A"/>
    <w:rsid w:val="00247931"/>
    <w:rsid w:val="002479FB"/>
    <w:rsid w:val="00250184"/>
    <w:rsid w:val="002501D6"/>
    <w:rsid w:val="002505DD"/>
    <w:rsid w:val="00250EBB"/>
    <w:rsid w:val="00251229"/>
    <w:rsid w:val="00251254"/>
    <w:rsid w:val="0025126D"/>
    <w:rsid w:val="00251626"/>
    <w:rsid w:val="00251F4D"/>
    <w:rsid w:val="00252031"/>
    <w:rsid w:val="00252431"/>
    <w:rsid w:val="00252586"/>
    <w:rsid w:val="00252AB6"/>
    <w:rsid w:val="00253218"/>
    <w:rsid w:val="002532A3"/>
    <w:rsid w:val="002532A4"/>
    <w:rsid w:val="00253348"/>
    <w:rsid w:val="00253599"/>
    <w:rsid w:val="00253B94"/>
    <w:rsid w:val="00253DE8"/>
    <w:rsid w:val="0025455E"/>
    <w:rsid w:val="00254719"/>
    <w:rsid w:val="0025543B"/>
    <w:rsid w:val="002554CB"/>
    <w:rsid w:val="00255985"/>
    <w:rsid w:val="00255A60"/>
    <w:rsid w:val="00255C56"/>
    <w:rsid w:val="00256D96"/>
    <w:rsid w:val="002574A3"/>
    <w:rsid w:val="002578D9"/>
    <w:rsid w:val="00257D54"/>
    <w:rsid w:val="002601F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00C"/>
    <w:rsid w:val="00272045"/>
    <w:rsid w:val="00272683"/>
    <w:rsid w:val="00272AF5"/>
    <w:rsid w:val="00274B67"/>
    <w:rsid w:val="00274D85"/>
    <w:rsid w:val="00275324"/>
    <w:rsid w:val="0027537F"/>
    <w:rsid w:val="002758F5"/>
    <w:rsid w:val="002759C7"/>
    <w:rsid w:val="00275F25"/>
    <w:rsid w:val="002760AD"/>
    <w:rsid w:val="0027620E"/>
    <w:rsid w:val="002768D8"/>
    <w:rsid w:val="00276E8E"/>
    <w:rsid w:val="00277AF9"/>
    <w:rsid w:val="002800EF"/>
    <w:rsid w:val="002801C5"/>
    <w:rsid w:val="002808D9"/>
    <w:rsid w:val="0028219A"/>
    <w:rsid w:val="00282613"/>
    <w:rsid w:val="00283023"/>
    <w:rsid w:val="00283233"/>
    <w:rsid w:val="002833C5"/>
    <w:rsid w:val="0028347D"/>
    <w:rsid w:val="00283918"/>
    <w:rsid w:val="00283C63"/>
    <w:rsid w:val="00283D23"/>
    <w:rsid w:val="00283E62"/>
    <w:rsid w:val="00283F23"/>
    <w:rsid w:val="0028488A"/>
    <w:rsid w:val="0028516B"/>
    <w:rsid w:val="002852EB"/>
    <w:rsid w:val="00285305"/>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1B"/>
    <w:rsid w:val="0029122A"/>
    <w:rsid w:val="0029190A"/>
    <w:rsid w:val="00293B0F"/>
    <w:rsid w:val="00293CC9"/>
    <w:rsid w:val="00293E43"/>
    <w:rsid w:val="0029426E"/>
    <w:rsid w:val="002942E6"/>
    <w:rsid w:val="00294487"/>
    <w:rsid w:val="00294671"/>
    <w:rsid w:val="0029476B"/>
    <w:rsid w:val="00294B17"/>
    <w:rsid w:val="00294CB7"/>
    <w:rsid w:val="002952BD"/>
    <w:rsid w:val="00295393"/>
    <w:rsid w:val="00295781"/>
    <w:rsid w:val="002958C9"/>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384"/>
    <w:rsid w:val="002A18BE"/>
    <w:rsid w:val="002A1A23"/>
    <w:rsid w:val="002A1C2F"/>
    <w:rsid w:val="002A22A5"/>
    <w:rsid w:val="002A305B"/>
    <w:rsid w:val="002A359B"/>
    <w:rsid w:val="002A3C1B"/>
    <w:rsid w:val="002A40DB"/>
    <w:rsid w:val="002A4976"/>
    <w:rsid w:val="002A4DB8"/>
    <w:rsid w:val="002A4FDF"/>
    <w:rsid w:val="002A56D6"/>
    <w:rsid w:val="002A67D1"/>
    <w:rsid w:val="002A6A2D"/>
    <w:rsid w:val="002A6A3A"/>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0DA"/>
    <w:rsid w:val="002B6554"/>
    <w:rsid w:val="002B6D88"/>
    <w:rsid w:val="002B72EA"/>
    <w:rsid w:val="002B74D4"/>
    <w:rsid w:val="002B7A96"/>
    <w:rsid w:val="002B7BDE"/>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39C"/>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7BE"/>
    <w:rsid w:val="002D2E0C"/>
    <w:rsid w:val="002D37D7"/>
    <w:rsid w:val="002D3984"/>
    <w:rsid w:val="002D3EEE"/>
    <w:rsid w:val="002D452D"/>
    <w:rsid w:val="002D4618"/>
    <w:rsid w:val="002D464C"/>
    <w:rsid w:val="002D4902"/>
    <w:rsid w:val="002D4AA7"/>
    <w:rsid w:val="002D4C32"/>
    <w:rsid w:val="002D5190"/>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A65"/>
    <w:rsid w:val="002D7D23"/>
    <w:rsid w:val="002E00DA"/>
    <w:rsid w:val="002E088D"/>
    <w:rsid w:val="002E0A71"/>
    <w:rsid w:val="002E0B84"/>
    <w:rsid w:val="002E1261"/>
    <w:rsid w:val="002E1AFB"/>
    <w:rsid w:val="002E245E"/>
    <w:rsid w:val="002E27D8"/>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5E"/>
    <w:rsid w:val="002F0C48"/>
    <w:rsid w:val="002F1159"/>
    <w:rsid w:val="002F12C4"/>
    <w:rsid w:val="002F1D45"/>
    <w:rsid w:val="002F2165"/>
    <w:rsid w:val="002F2575"/>
    <w:rsid w:val="002F2688"/>
    <w:rsid w:val="002F27DC"/>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AD0"/>
    <w:rsid w:val="00300D64"/>
    <w:rsid w:val="0030103B"/>
    <w:rsid w:val="0030134E"/>
    <w:rsid w:val="0030188E"/>
    <w:rsid w:val="00301934"/>
    <w:rsid w:val="00301C1C"/>
    <w:rsid w:val="00301DCF"/>
    <w:rsid w:val="00302263"/>
    <w:rsid w:val="00302A6E"/>
    <w:rsid w:val="00303209"/>
    <w:rsid w:val="003038A3"/>
    <w:rsid w:val="00304376"/>
    <w:rsid w:val="003046AA"/>
    <w:rsid w:val="0030486A"/>
    <w:rsid w:val="00305595"/>
    <w:rsid w:val="00306467"/>
    <w:rsid w:val="003068C8"/>
    <w:rsid w:val="00306D1F"/>
    <w:rsid w:val="00306E14"/>
    <w:rsid w:val="00307076"/>
    <w:rsid w:val="0031000D"/>
    <w:rsid w:val="00310195"/>
    <w:rsid w:val="00310551"/>
    <w:rsid w:val="00310A15"/>
    <w:rsid w:val="00310EA3"/>
    <w:rsid w:val="00310F6C"/>
    <w:rsid w:val="00311198"/>
    <w:rsid w:val="00311BA6"/>
    <w:rsid w:val="00311D30"/>
    <w:rsid w:val="00312447"/>
    <w:rsid w:val="003125A0"/>
    <w:rsid w:val="00312638"/>
    <w:rsid w:val="003128F3"/>
    <w:rsid w:val="00312AE9"/>
    <w:rsid w:val="0031307D"/>
    <w:rsid w:val="00313518"/>
    <w:rsid w:val="00314305"/>
    <w:rsid w:val="003147CB"/>
    <w:rsid w:val="00315192"/>
    <w:rsid w:val="003154A9"/>
    <w:rsid w:val="003154CE"/>
    <w:rsid w:val="00316643"/>
    <w:rsid w:val="0031714F"/>
    <w:rsid w:val="003173DF"/>
    <w:rsid w:val="003174DD"/>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E0C"/>
    <w:rsid w:val="00326F8D"/>
    <w:rsid w:val="00327ADC"/>
    <w:rsid w:val="00327AF0"/>
    <w:rsid w:val="00327F1F"/>
    <w:rsid w:val="003301E3"/>
    <w:rsid w:val="0033076A"/>
    <w:rsid w:val="00330782"/>
    <w:rsid w:val="003308BE"/>
    <w:rsid w:val="00330A95"/>
    <w:rsid w:val="0033127D"/>
    <w:rsid w:val="003317B8"/>
    <w:rsid w:val="00331A0C"/>
    <w:rsid w:val="00331B6F"/>
    <w:rsid w:val="00331CAE"/>
    <w:rsid w:val="00331EDC"/>
    <w:rsid w:val="00332085"/>
    <w:rsid w:val="00332485"/>
    <w:rsid w:val="0033255C"/>
    <w:rsid w:val="00332610"/>
    <w:rsid w:val="0033284A"/>
    <w:rsid w:val="00332998"/>
    <w:rsid w:val="00332D9D"/>
    <w:rsid w:val="0033354C"/>
    <w:rsid w:val="00333666"/>
    <w:rsid w:val="00333A75"/>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85E"/>
    <w:rsid w:val="00337AFC"/>
    <w:rsid w:val="0034024F"/>
    <w:rsid w:val="00340576"/>
    <w:rsid w:val="003408C0"/>
    <w:rsid w:val="00340BEE"/>
    <w:rsid w:val="00340D7E"/>
    <w:rsid w:val="003411C0"/>
    <w:rsid w:val="003429BC"/>
    <w:rsid w:val="00343D33"/>
    <w:rsid w:val="00344CA3"/>
    <w:rsid w:val="00344E9D"/>
    <w:rsid w:val="00344FC2"/>
    <w:rsid w:val="003459AF"/>
    <w:rsid w:val="00346046"/>
    <w:rsid w:val="0034670F"/>
    <w:rsid w:val="00346ABF"/>
    <w:rsid w:val="00346E52"/>
    <w:rsid w:val="00347748"/>
    <w:rsid w:val="00347D27"/>
    <w:rsid w:val="00347DC8"/>
    <w:rsid w:val="00347DD6"/>
    <w:rsid w:val="00347F5E"/>
    <w:rsid w:val="00350E11"/>
    <w:rsid w:val="00350EEB"/>
    <w:rsid w:val="00351549"/>
    <w:rsid w:val="00352116"/>
    <w:rsid w:val="003522FB"/>
    <w:rsid w:val="00352302"/>
    <w:rsid w:val="003528E5"/>
    <w:rsid w:val="0035294B"/>
    <w:rsid w:val="00353553"/>
    <w:rsid w:val="00353FBE"/>
    <w:rsid w:val="00354151"/>
    <w:rsid w:val="00354817"/>
    <w:rsid w:val="00355171"/>
    <w:rsid w:val="003556DC"/>
    <w:rsid w:val="003558D5"/>
    <w:rsid w:val="00355C11"/>
    <w:rsid w:val="00356C0A"/>
    <w:rsid w:val="00356CB6"/>
    <w:rsid w:val="003572A2"/>
    <w:rsid w:val="003573A9"/>
    <w:rsid w:val="00357CC7"/>
    <w:rsid w:val="00357E15"/>
    <w:rsid w:val="00357FE9"/>
    <w:rsid w:val="003600C5"/>
    <w:rsid w:val="003600E1"/>
    <w:rsid w:val="00360540"/>
    <w:rsid w:val="00360942"/>
    <w:rsid w:val="00360CC4"/>
    <w:rsid w:val="00360CE1"/>
    <w:rsid w:val="00360D35"/>
    <w:rsid w:val="00360DD5"/>
    <w:rsid w:val="00360EB9"/>
    <w:rsid w:val="00361671"/>
    <w:rsid w:val="00361ACC"/>
    <w:rsid w:val="00361ADC"/>
    <w:rsid w:val="00361ED2"/>
    <w:rsid w:val="00362407"/>
    <w:rsid w:val="00362F66"/>
    <w:rsid w:val="00363083"/>
    <w:rsid w:val="00363200"/>
    <w:rsid w:val="00363367"/>
    <w:rsid w:val="0036336C"/>
    <w:rsid w:val="00363404"/>
    <w:rsid w:val="00363BD8"/>
    <w:rsid w:val="00363D01"/>
    <w:rsid w:val="0036427A"/>
    <w:rsid w:val="00364B3E"/>
    <w:rsid w:val="00364CC8"/>
    <w:rsid w:val="0036543A"/>
    <w:rsid w:val="0036568A"/>
    <w:rsid w:val="003656CA"/>
    <w:rsid w:val="003657E5"/>
    <w:rsid w:val="00365EB8"/>
    <w:rsid w:val="00366530"/>
    <w:rsid w:val="00367010"/>
    <w:rsid w:val="00367965"/>
    <w:rsid w:val="00367BD9"/>
    <w:rsid w:val="00370303"/>
    <w:rsid w:val="003714BE"/>
    <w:rsid w:val="00371842"/>
    <w:rsid w:val="00371F6E"/>
    <w:rsid w:val="00372312"/>
    <w:rsid w:val="0037243A"/>
    <w:rsid w:val="00372D83"/>
    <w:rsid w:val="00373A79"/>
    <w:rsid w:val="00373B27"/>
    <w:rsid w:val="00373DE7"/>
    <w:rsid w:val="00373F12"/>
    <w:rsid w:val="0037456F"/>
    <w:rsid w:val="00374B11"/>
    <w:rsid w:val="00374CFA"/>
    <w:rsid w:val="00374F2C"/>
    <w:rsid w:val="00374F9B"/>
    <w:rsid w:val="00375009"/>
    <w:rsid w:val="003751F1"/>
    <w:rsid w:val="00376206"/>
    <w:rsid w:val="00376280"/>
    <w:rsid w:val="00376305"/>
    <w:rsid w:val="00376387"/>
    <w:rsid w:val="00376508"/>
    <w:rsid w:val="003768A5"/>
    <w:rsid w:val="00377313"/>
    <w:rsid w:val="00377AF9"/>
    <w:rsid w:val="00377C7E"/>
    <w:rsid w:val="00377E40"/>
    <w:rsid w:val="0038009B"/>
    <w:rsid w:val="0038012B"/>
    <w:rsid w:val="003802F2"/>
    <w:rsid w:val="00380992"/>
    <w:rsid w:val="00381D4B"/>
    <w:rsid w:val="003825FA"/>
    <w:rsid w:val="003826C7"/>
    <w:rsid w:val="003828B3"/>
    <w:rsid w:val="00382B83"/>
    <w:rsid w:val="00383018"/>
    <w:rsid w:val="0038376A"/>
    <w:rsid w:val="003838B3"/>
    <w:rsid w:val="003838DE"/>
    <w:rsid w:val="00383CC0"/>
    <w:rsid w:val="0038410B"/>
    <w:rsid w:val="003844A8"/>
    <w:rsid w:val="003848E7"/>
    <w:rsid w:val="00384D60"/>
    <w:rsid w:val="00384D6D"/>
    <w:rsid w:val="0038538E"/>
    <w:rsid w:val="0038596E"/>
    <w:rsid w:val="00385A39"/>
    <w:rsid w:val="00386929"/>
    <w:rsid w:val="00386AF1"/>
    <w:rsid w:val="00386BF8"/>
    <w:rsid w:val="00386CA7"/>
    <w:rsid w:val="0038781E"/>
    <w:rsid w:val="003879C3"/>
    <w:rsid w:val="00387B0A"/>
    <w:rsid w:val="00387EEE"/>
    <w:rsid w:val="00390290"/>
    <w:rsid w:val="0039062A"/>
    <w:rsid w:val="00390B13"/>
    <w:rsid w:val="00390BEA"/>
    <w:rsid w:val="00391025"/>
    <w:rsid w:val="003910F8"/>
    <w:rsid w:val="003911DF"/>
    <w:rsid w:val="003916CD"/>
    <w:rsid w:val="003917C7"/>
    <w:rsid w:val="0039207A"/>
    <w:rsid w:val="003925E0"/>
    <w:rsid w:val="00392610"/>
    <w:rsid w:val="00392709"/>
    <w:rsid w:val="00392811"/>
    <w:rsid w:val="00392841"/>
    <w:rsid w:val="003929EF"/>
    <w:rsid w:val="00393BD5"/>
    <w:rsid w:val="003949A7"/>
    <w:rsid w:val="00394BDF"/>
    <w:rsid w:val="00394E1B"/>
    <w:rsid w:val="0039521C"/>
    <w:rsid w:val="003952DD"/>
    <w:rsid w:val="0039548B"/>
    <w:rsid w:val="003955DE"/>
    <w:rsid w:val="0039577D"/>
    <w:rsid w:val="003964D0"/>
    <w:rsid w:val="0039665D"/>
    <w:rsid w:val="00396BC2"/>
    <w:rsid w:val="00396E31"/>
    <w:rsid w:val="003975C4"/>
    <w:rsid w:val="00397C9E"/>
    <w:rsid w:val="00397E5B"/>
    <w:rsid w:val="003A19C7"/>
    <w:rsid w:val="003A1B00"/>
    <w:rsid w:val="003A1CFE"/>
    <w:rsid w:val="003A2095"/>
    <w:rsid w:val="003A221F"/>
    <w:rsid w:val="003A2CE2"/>
    <w:rsid w:val="003A2DFE"/>
    <w:rsid w:val="003A35EB"/>
    <w:rsid w:val="003A39A5"/>
    <w:rsid w:val="003A3B1E"/>
    <w:rsid w:val="003A425E"/>
    <w:rsid w:val="003A5254"/>
    <w:rsid w:val="003A5552"/>
    <w:rsid w:val="003A5BAE"/>
    <w:rsid w:val="003A5C0A"/>
    <w:rsid w:val="003A633C"/>
    <w:rsid w:val="003A6431"/>
    <w:rsid w:val="003A663E"/>
    <w:rsid w:val="003A6C5F"/>
    <w:rsid w:val="003A6E7C"/>
    <w:rsid w:val="003A73BA"/>
    <w:rsid w:val="003A754B"/>
    <w:rsid w:val="003A7669"/>
    <w:rsid w:val="003A7C39"/>
    <w:rsid w:val="003A7D45"/>
    <w:rsid w:val="003A7EA8"/>
    <w:rsid w:val="003B0B5B"/>
    <w:rsid w:val="003B0CE4"/>
    <w:rsid w:val="003B0FB8"/>
    <w:rsid w:val="003B1264"/>
    <w:rsid w:val="003B129D"/>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BBD"/>
    <w:rsid w:val="003C0FA7"/>
    <w:rsid w:val="003C14E5"/>
    <w:rsid w:val="003C19C4"/>
    <w:rsid w:val="003C1DFC"/>
    <w:rsid w:val="003C2306"/>
    <w:rsid w:val="003C2367"/>
    <w:rsid w:val="003C2839"/>
    <w:rsid w:val="003C29A0"/>
    <w:rsid w:val="003C29AE"/>
    <w:rsid w:val="003C2ADA"/>
    <w:rsid w:val="003C309B"/>
    <w:rsid w:val="003C38B6"/>
    <w:rsid w:val="003C395B"/>
    <w:rsid w:val="003C4324"/>
    <w:rsid w:val="003C4417"/>
    <w:rsid w:val="003C44CF"/>
    <w:rsid w:val="003C4943"/>
    <w:rsid w:val="003C4A5A"/>
    <w:rsid w:val="003C4AD0"/>
    <w:rsid w:val="003C4CF4"/>
    <w:rsid w:val="003C4E8B"/>
    <w:rsid w:val="003C5116"/>
    <w:rsid w:val="003C5355"/>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6F0"/>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AED"/>
    <w:rsid w:val="003D6FC1"/>
    <w:rsid w:val="003D7099"/>
    <w:rsid w:val="003D73C3"/>
    <w:rsid w:val="003D761E"/>
    <w:rsid w:val="003E04FD"/>
    <w:rsid w:val="003E0D0A"/>
    <w:rsid w:val="003E13B6"/>
    <w:rsid w:val="003E13D4"/>
    <w:rsid w:val="003E1563"/>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1B"/>
    <w:rsid w:val="003E6C92"/>
    <w:rsid w:val="003E6E06"/>
    <w:rsid w:val="003E6E31"/>
    <w:rsid w:val="003E6FCA"/>
    <w:rsid w:val="003E7334"/>
    <w:rsid w:val="003E763F"/>
    <w:rsid w:val="003E7982"/>
    <w:rsid w:val="003E79A6"/>
    <w:rsid w:val="003E7AD8"/>
    <w:rsid w:val="003F057A"/>
    <w:rsid w:val="003F10BA"/>
    <w:rsid w:val="003F1173"/>
    <w:rsid w:val="003F173D"/>
    <w:rsid w:val="003F2379"/>
    <w:rsid w:val="003F27F5"/>
    <w:rsid w:val="003F29A4"/>
    <w:rsid w:val="003F2ED0"/>
    <w:rsid w:val="003F3247"/>
    <w:rsid w:val="003F345D"/>
    <w:rsid w:val="003F377E"/>
    <w:rsid w:val="003F3CDC"/>
    <w:rsid w:val="003F4BC9"/>
    <w:rsid w:val="003F4BD0"/>
    <w:rsid w:val="003F4C9B"/>
    <w:rsid w:val="003F5760"/>
    <w:rsid w:val="003F5CF9"/>
    <w:rsid w:val="003F5D23"/>
    <w:rsid w:val="003F62E7"/>
    <w:rsid w:val="003F6321"/>
    <w:rsid w:val="003F67E3"/>
    <w:rsid w:val="003F6D8A"/>
    <w:rsid w:val="003F7013"/>
    <w:rsid w:val="003F7E20"/>
    <w:rsid w:val="0040001D"/>
    <w:rsid w:val="004007CD"/>
    <w:rsid w:val="00400ABB"/>
    <w:rsid w:val="004010AC"/>
    <w:rsid w:val="00401931"/>
    <w:rsid w:val="004019C8"/>
    <w:rsid w:val="004023F7"/>
    <w:rsid w:val="00402B0F"/>
    <w:rsid w:val="00403969"/>
    <w:rsid w:val="004040D3"/>
    <w:rsid w:val="00404229"/>
    <w:rsid w:val="004043EB"/>
    <w:rsid w:val="004044D1"/>
    <w:rsid w:val="00404C12"/>
    <w:rsid w:val="004056B9"/>
    <w:rsid w:val="00405A93"/>
    <w:rsid w:val="00405B9F"/>
    <w:rsid w:val="00405D0E"/>
    <w:rsid w:val="00406608"/>
    <w:rsid w:val="0040675F"/>
    <w:rsid w:val="004067B2"/>
    <w:rsid w:val="00406938"/>
    <w:rsid w:val="00406B97"/>
    <w:rsid w:val="00406D40"/>
    <w:rsid w:val="0041074E"/>
    <w:rsid w:val="004108A2"/>
    <w:rsid w:val="004111FF"/>
    <w:rsid w:val="00411A6A"/>
    <w:rsid w:val="00411AB4"/>
    <w:rsid w:val="00411D5C"/>
    <w:rsid w:val="0041225B"/>
    <w:rsid w:val="0041232A"/>
    <w:rsid w:val="00412CAC"/>
    <w:rsid w:val="00413354"/>
    <w:rsid w:val="004134FA"/>
    <w:rsid w:val="00413992"/>
    <w:rsid w:val="00413A07"/>
    <w:rsid w:val="00413FDF"/>
    <w:rsid w:val="004140CD"/>
    <w:rsid w:val="0041443E"/>
    <w:rsid w:val="0041459A"/>
    <w:rsid w:val="004149CF"/>
    <w:rsid w:val="004152CA"/>
    <w:rsid w:val="00415318"/>
    <w:rsid w:val="004156B1"/>
    <w:rsid w:val="004158F9"/>
    <w:rsid w:val="0041592F"/>
    <w:rsid w:val="00416869"/>
    <w:rsid w:val="00417203"/>
    <w:rsid w:val="00417315"/>
    <w:rsid w:val="004173BD"/>
    <w:rsid w:val="004173BF"/>
    <w:rsid w:val="00417E1A"/>
    <w:rsid w:val="00417EEE"/>
    <w:rsid w:val="004201C4"/>
    <w:rsid w:val="00420722"/>
    <w:rsid w:val="00420914"/>
    <w:rsid w:val="0042114B"/>
    <w:rsid w:val="00421203"/>
    <w:rsid w:val="00421250"/>
    <w:rsid w:val="0042133D"/>
    <w:rsid w:val="00421423"/>
    <w:rsid w:val="00421476"/>
    <w:rsid w:val="00421888"/>
    <w:rsid w:val="00421BFE"/>
    <w:rsid w:val="004220F5"/>
    <w:rsid w:val="004229D9"/>
    <w:rsid w:val="00422B45"/>
    <w:rsid w:val="00422B53"/>
    <w:rsid w:val="00422BAC"/>
    <w:rsid w:val="0042318F"/>
    <w:rsid w:val="004234D9"/>
    <w:rsid w:val="004238B3"/>
    <w:rsid w:val="00423B8A"/>
    <w:rsid w:val="004243F5"/>
    <w:rsid w:val="00425106"/>
    <w:rsid w:val="004251BE"/>
    <w:rsid w:val="00425231"/>
    <w:rsid w:val="004252DB"/>
    <w:rsid w:val="004254A5"/>
    <w:rsid w:val="00425599"/>
    <w:rsid w:val="00425CE4"/>
    <w:rsid w:val="00425E83"/>
    <w:rsid w:val="00425E96"/>
    <w:rsid w:val="00426343"/>
    <w:rsid w:val="0042673E"/>
    <w:rsid w:val="00426ABE"/>
    <w:rsid w:val="00426B47"/>
    <w:rsid w:val="00426DB5"/>
    <w:rsid w:val="0042773C"/>
    <w:rsid w:val="00427D13"/>
    <w:rsid w:val="0043000B"/>
    <w:rsid w:val="0043031B"/>
    <w:rsid w:val="004309C4"/>
    <w:rsid w:val="004309DB"/>
    <w:rsid w:val="00430AE1"/>
    <w:rsid w:val="00430D3D"/>
    <w:rsid w:val="004313D9"/>
    <w:rsid w:val="004313E5"/>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0D"/>
    <w:rsid w:val="004364B8"/>
    <w:rsid w:val="00436678"/>
    <w:rsid w:val="00436B25"/>
    <w:rsid w:val="00436B4D"/>
    <w:rsid w:val="00436B5E"/>
    <w:rsid w:val="00437066"/>
    <w:rsid w:val="0043730D"/>
    <w:rsid w:val="004374DE"/>
    <w:rsid w:val="00437C52"/>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2FB3"/>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0EA3"/>
    <w:rsid w:val="00451266"/>
    <w:rsid w:val="00451534"/>
    <w:rsid w:val="00451609"/>
    <w:rsid w:val="004517B4"/>
    <w:rsid w:val="0045189A"/>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3E9C"/>
    <w:rsid w:val="00454030"/>
    <w:rsid w:val="00454476"/>
    <w:rsid w:val="0045453D"/>
    <w:rsid w:val="004547F9"/>
    <w:rsid w:val="00454AB1"/>
    <w:rsid w:val="00454E4C"/>
    <w:rsid w:val="00454E5F"/>
    <w:rsid w:val="00454F68"/>
    <w:rsid w:val="004550AE"/>
    <w:rsid w:val="00455B38"/>
    <w:rsid w:val="00455CCF"/>
    <w:rsid w:val="00455F11"/>
    <w:rsid w:val="00455F7C"/>
    <w:rsid w:val="00456145"/>
    <w:rsid w:val="00456CED"/>
    <w:rsid w:val="00456D24"/>
    <w:rsid w:val="00456F7E"/>
    <w:rsid w:val="004571D1"/>
    <w:rsid w:val="0045722E"/>
    <w:rsid w:val="0045729D"/>
    <w:rsid w:val="00457CEE"/>
    <w:rsid w:val="00457DA8"/>
    <w:rsid w:val="0046031C"/>
    <w:rsid w:val="00460A58"/>
    <w:rsid w:val="0046109A"/>
    <w:rsid w:val="00461863"/>
    <w:rsid w:val="00461D5D"/>
    <w:rsid w:val="00462062"/>
    <w:rsid w:val="00462BC7"/>
    <w:rsid w:val="00463759"/>
    <w:rsid w:val="004637E0"/>
    <w:rsid w:val="00464E71"/>
    <w:rsid w:val="00464F43"/>
    <w:rsid w:val="00464FCB"/>
    <w:rsid w:val="00465167"/>
    <w:rsid w:val="00465BC9"/>
    <w:rsid w:val="0046600E"/>
    <w:rsid w:val="004665E2"/>
    <w:rsid w:val="0046708C"/>
    <w:rsid w:val="00467309"/>
    <w:rsid w:val="00467C6E"/>
    <w:rsid w:val="00467EFC"/>
    <w:rsid w:val="00470791"/>
    <w:rsid w:val="004708AD"/>
    <w:rsid w:val="004710D3"/>
    <w:rsid w:val="00471314"/>
    <w:rsid w:val="00471670"/>
    <w:rsid w:val="00471AA0"/>
    <w:rsid w:val="00471EFE"/>
    <w:rsid w:val="00473821"/>
    <w:rsid w:val="00473966"/>
    <w:rsid w:val="004739CF"/>
    <w:rsid w:val="00473CF0"/>
    <w:rsid w:val="00474055"/>
    <w:rsid w:val="004744CD"/>
    <w:rsid w:val="0047468F"/>
    <w:rsid w:val="004746F8"/>
    <w:rsid w:val="004747EF"/>
    <w:rsid w:val="00474A7C"/>
    <w:rsid w:val="0047570E"/>
    <w:rsid w:val="004764F5"/>
    <w:rsid w:val="00476524"/>
    <w:rsid w:val="00477111"/>
    <w:rsid w:val="0047759C"/>
    <w:rsid w:val="004777A7"/>
    <w:rsid w:val="00480097"/>
    <w:rsid w:val="0048015E"/>
    <w:rsid w:val="004804F3"/>
    <w:rsid w:val="00480561"/>
    <w:rsid w:val="004806D0"/>
    <w:rsid w:val="004809EF"/>
    <w:rsid w:val="00480CBB"/>
    <w:rsid w:val="0048135E"/>
    <w:rsid w:val="00481571"/>
    <w:rsid w:val="0048189A"/>
    <w:rsid w:val="004818A9"/>
    <w:rsid w:val="004819B2"/>
    <w:rsid w:val="00481AA4"/>
    <w:rsid w:val="00482B95"/>
    <w:rsid w:val="00483659"/>
    <w:rsid w:val="00483960"/>
    <w:rsid w:val="00483EEC"/>
    <w:rsid w:val="00483F85"/>
    <w:rsid w:val="004840AB"/>
    <w:rsid w:val="00484101"/>
    <w:rsid w:val="00484234"/>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108B"/>
    <w:rsid w:val="0049136E"/>
    <w:rsid w:val="0049156A"/>
    <w:rsid w:val="004916AC"/>
    <w:rsid w:val="00491787"/>
    <w:rsid w:val="00491BD8"/>
    <w:rsid w:val="00491D89"/>
    <w:rsid w:val="004928C4"/>
    <w:rsid w:val="00492BD6"/>
    <w:rsid w:val="00492C49"/>
    <w:rsid w:val="00492D64"/>
    <w:rsid w:val="00493745"/>
    <w:rsid w:val="00493792"/>
    <w:rsid w:val="004938C4"/>
    <w:rsid w:val="00493E07"/>
    <w:rsid w:val="00494B29"/>
    <w:rsid w:val="00494EC6"/>
    <w:rsid w:val="004954E4"/>
    <w:rsid w:val="004957CB"/>
    <w:rsid w:val="0049583B"/>
    <w:rsid w:val="00495985"/>
    <w:rsid w:val="00495B1E"/>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0D"/>
    <w:rsid w:val="004A7D27"/>
    <w:rsid w:val="004A7E0D"/>
    <w:rsid w:val="004B0DC6"/>
    <w:rsid w:val="004B10E9"/>
    <w:rsid w:val="004B1105"/>
    <w:rsid w:val="004B13F8"/>
    <w:rsid w:val="004B1473"/>
    <w:rsid w:val="004B176F"/>
    <w:rsid w:val="004B18F9"/>
    <w:rsid w:val="004B1F03"/>
    <w:rsid w:val="004B1FF5"/>
    <w:rsid w:val="004B2111"/>
    <w:rsid w:val="004B26A4"/>
    <w:rsid w:val="004B26E8"/>
    <w:rsid w:val="004B3473"/>
    <w:rsid w:val="004B365F"/>
    <w:rsid w:val="004B39D8"/>
    <w:rsid w:val="004B39FA"/>
    <w:rsid w:val="004B41D0"/>
    <w:rsid w:val="004B485F"/>
    <w:rsid w:val="004B537C"/>
    <w:rsid w:val="004B541E"/>
    <w:rsid w:val="004B5919"/>
    <w:rsid w:val="004B5E78"/>
    <w:rsid w:val="004B6000"/>
    <w:rsid w:val="004B635D"/>
    <w:rsid w:val="004B686D"/>
    <w:rsid w:val="004B6AD9"/>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506B"/>
    <w:rsid w:val="004D5257"/>
    <w:rsid w:val="004D5369"/>
    <w:rsid w:val="004D5A35"/>
    <w:rsid w:val="004D604D"/>
    <w:rsid w:val="004D62FE"/>
    <w:rsid w:val="004D723D"/>
    <w:rsid w:val="004D7A78"/>
    <w:rsid w:val="004D7E13"/>
    <w:rsid w:val="004E0378"/>
    <w:rsid w:val="004E0D82"/>
    <w:rsid w:val="004E0F84"/>
    <w:rsid w:val="004E0FBA"/>
    <w:rsid w:val="004E1137"/>
    <w:rsid w:val="004E1540"/>
    <w:rsid w:val="004E195C"/>
    <w:rsid w:val="004E1E9C"/>
    <w:rsid w:val="004E3695"/>
    <w:rsid w:val="004E38E8"/>
    <w:rsid w:val="004E3D7A"/>
    <w:rsid w:val="004E3FBF"/>
    <w:rsid w:val="004E4038"/>
    <w:rsid w:val="004E41A7"/>
    <w:rsid w:val="004E4778"/>
    <w:rsid w:val="004E5103"/>
    <w:rsid w:val="004E5233"/>
    <w:rsid w:val="004E53A1"/>
    <w:rsid w:val="004E555C"/>
    <w:rsid w:val="004E566F"/>
    <w:rsid w:val="004E5698"/>
    <w:rsid w:val="004E5B84"/>
    <w:rsid w:val="004E5C83"/>
    <w:rsid w:val="004E5E95"/>
    <w:rsid w:val="004E648B"/>
    <w:rsid w:val="004E761C"/>
    <w:rsid w:val="004F0019"/>
    <w:rsid w:val="004F014D"/>
    <w:rsid w:val="004F0283"/>
    <w:rsid w:val="004F02D1"/>
    <w:rsid w:val="004F051B"/>
    <w:rsid w:val="004F055F"/>
    <w:rsid w:val="004F0608"/>
    <w:rsid w:val="004F0CFC"/>
    <w:rsid w:val="004F0E6C"/>
    <w:rsid w:val="004F11C0"/>
    <w:rsid w:val="004F174C"/>
    <w:rsid w:val="004F21BC"/>
    <w:rsid w:val="004F2244"/>
    <w:rsid w:val="004F28F0"/>
    <w:rsid w:val="004F2AD8"/>
    <w:rsid w:val="004F2EE3"/>
    <w:rsid w:val="004F3413"/>
    <w:rsid w:val="004F3757"/>
    <w:rsid w:val="004F394E"/>
    <w:rsid w:val="004F3C55"/>
    <w:rsid w:val="004F445B"/>
    <w:rsid w:val="004F48E4"/>
    <w:rsid w:val="004F4D35"/>
    <w:rsid w:val="004F4DFC"/>
    <w:rsid w:val="004F51F0"/>
    <w:rsid w:val="004F5236"/>
    <w:rsid w:val="004F53C2"/>
    <w:rsid w:val="004F53E1"/>
    <w:rsid w:val="004F55EA"/>
    <w:rsid w:val="004F5857"/>
    <w:rsid w:val="004F5DC1"/>
    <w:rsid w:val="004F5E18"/>
    <w:rsid w:val="004F5F57"/>
    <w:rsid w:val="004F60BF"/>
    <w:rsid w:val="004F65F0"/>
    <w:rsid w:val="004F668E"/>
    <w:rsid w:val="004F6D98"/>
    <w:rsid w:val="004F6DE7"/>
    <w:rsid w:val="004F6FC5"/>
    <w:rsid w:val="004F71A5"/>
    <w:rsid w:val="004F7306"/>
    <w:rsid w:val="004F74C3"/>
    <w:rsid w:val="004F7515"/>
    <w:rsid w:val="004F7619"/>
    <w:rsid w:val="004F7859"/>
    <w:rsid w:val="004F7AD4"/>
    <w:rsid w:val="004F7B5C"/>
    <w:rsid w:val="004F7F70"/>
    <w:rsid w:val="00500419"/>
    <w:rsid w:val="00500BCB"/>
    <w:rsid w:val="00500DC0"/>
    <w:rsid w:val="00501387"/>
    <w:rsid w:val="00501473"/>
    <w:rsid w:val="0050187B"/>
    <w:rsid w:val="00501A2F"/>
    <w:rsid w:val="0050244F"/>
    <w:rsid w:val="00502740"/>
    <w:rsid w:val="005027D1"/>
    <w:rsid w:val="0050314B"/>
    <w:rsid w:val="00503A1B"/>
    <w:rsid w:val="005045AE"/>
    <w:rsid w:val="005047C9"/>
    <w:rsid w:val="00504F92"/>
    <w:rsid w:val="005052A2"/>
    <w:rsid w:val="00505658"/>
    <w:rsid w:val="00505B2A"/>
    <w:rsid w:val="00505FB8"/>
    <w:rsid w:val="005060C1"/>
    <w:rsid w:val="00506363"/>
    <w:rsid w:val="00506523"/>
    <w:rsid w:val="00506525"/>
    <w:rsid w:val="00506B5C"/>
    <w:rsid w:val="00506DD4"/>
    <w:rsid w:val="00506F59"/>
    <w:rsid w:val="0050722D"/>
    <w:rsid w:val="005077CD"/>
    <w:rsid w:val="00507CEC"/>
    <w:rsid w:val="00507ED8"/>
    <w:rsid w:val="005107A8"/>
    <w:rsid w:val="00510FC4"/>
    <w:rsid w:val="005114A3"/>
    <w:rsid w:val="005118EB"/>
    <w:rsid w:val="005119DD"/>
    <w:rsid w:val="00511BE7"/>
    <w:rsid w:val="00511E0E"/>
    <w:rsid w:val="005124FD"/>
    <w:rsid w:val="00512553"/>
    <w:rsid w:val="00512759"/>
    <w:rsid w:val="00513276"/>
    <w:rsid w:val="00513350"/>
    <w:rsid w:val="005137A2"/>
    <w:rsid w:val="00513AB7"/>
    <w:rsid w:val="00514779"/>
    <w:rsid w:val="005148DA"/>
    <w:rsid w:val="00515204"/>
    <w:rsid w:val="005152A8"/>
    <w:rsid w:val="00515486"/>
    <w:rsid w:val="00515A9F"/>
    <w:rsid w:val="00515C23"/>
    <w:rsid w:val="00515E28"/>
    <w:rsid w:val="0051609A"/>
    <w:rsid w:val="005161F1"/>
    <w:rsid w:val="0051637E"/>
    <w:rsid w:val="00516855"/>
    <w:rsid w:val="005171A3"/>
    <w:rsid w:val="005173E0"/>
    <w:rsid w:val="0051748A"/>
    <w:rsid w:val="005174FE"/>
    <w:rsid w:val="005174FF"/>
    <w:rsid w:val="00520366"/>
    <w:rsid w:val="00520B6B"/>
    <w:rsid w:val="00520E96"/>
    <w:rsid w:val="00521FC5"/>
    <w:rsid w:val="00522592"/>
    <w:rsid w:val="0052276A"/>
    <w:rsid w:val="00522C3C"/>
    <w:rsid w:val="0052312B"/>
    <w:rsid w:val="005231A2"/>
    <w:rsid w:val="00523AB0"/>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7E"/>
    <w:rsid w:val="00531E88"/>
    <w:rsid w:val="0053212B"/>
    <w:rsid w:val="005323FE"/>
    <w:rsid w:val="00532B59"/>
    <w:rsid w:val="00532EA1"/>
    <w:rsid w:val="005342C5"/>
    <w:rsid w:val="005344DB"/>
    <w:rsid w:val="00534C78"/>
    <w:rsid w:val="00535171"/>
    <w:rsid w:val="0053520F"/>
    <w:rsid w:val="0053537B"/>
    <w:rsid w:val="00535594"/>
    <w:rsid w:val="005356B7"/>
    <w:rsid w:val="00535E5A"/>
    <w:rsid w:val="00536326"/>
    <w:rsid w:val="00536398"/>
    <w:rsid w:val="00536613"/>
    <w:rsid w:val="00536B63"/>
    <w:rsid w:val="00536BD1"/>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756"/>
    <w:rsid w:val="00542B67"/>
    <w:rsid w:val="00542BCA"/>
    <w:rsid w:val="00542CBD"/>
    <w:rsid w:val="005433CC"/>
    <w:rsid w:val="00543534"/>
    <w:rsid w:val="0054396C"/>
    <w:rsid w:val="00543DB7"/>
    <w:rsid w:val="00543FBC"/>
    <w:rsid w:val="00544110"/>
    <w:rsid w:val="00544122"/>
    <w:rsid w:val="00544B99"/>
    <w:rsid w:val="00545277"/>
    <w:rsid w:val="0054551B"/>
    <w:rsid w:val="00545B55"/>
    <w:rsid w:val="00545BCA"/>
    <w:rsid w:val="0054659C"/>
    <w:rsid w:val="00546911"/>
    <w:rsid w:val="005469A9"/>
    <w:rsid w:val="0054718D"/>
    <w:rsid w:val="0054757E"/>
    <w:rsid w:val="00547C9E"/>
    <w:rsid w:val="005505B1"/>
    <w:rsid w:val="005508FE"/>
    <w:rsid w:val="00550AF5"/>
    <w:rsid w:val="00550C64"/>
    <w:rsid w:val="00550CA9"/>
    <w:rsid w:val="00550F73"/>
    <w:rsid w:val="00551080"/>
    <w:rsid w:val="005519A4"/>
    <w:rsid w:val="00551A84"/>
    <w:rsid w:val="0055255C"/>
    <w:rsid w:val="00552A4D"/>
    <w:rsid w:val="00552D9F"/>
    <w:rsid w:val="005530E3"/>
    <w:rsid w:val="00553B39"/>
    <w:rsid w:val="00553E62"/>
    <w:rsid w:val="00553EE0"/>
    <w:rsid w:val="005540A3"/>
    <w:rsid w:val="005543FE"/>
    <w:rsid w:val="00554414"/>
    <w:rsid w:val="0055444C"/>
    <w:rsid w:val="0055452C"/>
    <w:rsid w:val="0055487A"/>
    <w:rsid w:val="00554ABF"/>
    <w:rsid w:val="00554C2C"/>
    <w:rsid w:val="005550F9"/>
    <w:rsid w:val="005552C1"/>
    <w:rsid w:val="00555396"/>
    <w:rsid w:val="0055551E"/>
    <w:rsid w:val="005556D3"/>
    <w:rsid w:val="00555A8E"/>
    <w:rsid w:val="00555F1F"/>
    <w:rsid w:val="0055672F"/>
    <w:rsid w:val="00556D98"/>
    <w:rsid w:val="00556DFC"/>
    <w:rsid w:val="0055705C"/>
    <w:rsid w:val="005575F4"/>
    <w:rsid w:val="00557E1F"/>
    <w:rsid w:val="0055AB55"/>
    <w:rsid w:val="005603F9"/>
    <w:rsid w:val="00560B0F"/>
    <w:rsid w:val="00560C3D"/>
    <w:rsid w:val="00560DD3"/>
    <w:rsid w:val="00560E78"/>
    <w:rsid w:val="00561571"/>
    <w:rsid w:val="005619F4"/>
    <w:rsid w:val="00561A71"/>
    <w:rsid w:val="00561BB7"/>
    <w:rsid w:val="00561FB8"/>
    <w:rsid w:val="0056267F"/>
    <w:rsid w:val="00562778"/>
    <w:rsid w:val="00562F41"/>
    <w:rsid w:val="0056313E"/>
    <w:rsid w:val="00563217"/>
    <w:rsid w:val="00563B89"/>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CB3"/>
    <w:rsid w:val="00567EFC"/>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3125"/>
    <w:rsid w:val="0057363E"/>
    <w:rsid w:val="00573A5B"/>
    <w:rsid w:val="00573FD1"/>
    <w:rsid w:val="00574178"/>
    <w:rsid w:val="005741FF"/>
    <w:rsid w:val="00574CE8"/>
    <w:rsid w:val="00574D70"/>
    <w:rsid w:val="00574F7B"/>
    <w:rsid w:val="00575239"/>
    <w:rsid w:val="0057555B"/>
    <w:rsid w:val="0057559D"/>
    <w:rsid w:val="00575A39"/>
    <w:rsid w:val="00575BB2"/>
    <w:rsid w:val="00575D7B"/>
    <w:rsid w:val="00575F91"/>
    <w:rsid w:val="00576017"/>
    <w:rsid w:val="00576BD5"/>
    <w:rsid w:val="00577053"/>
    <w:rsid w:val="00577400"/>
    <w:rsid w:val="00577A82"/>
    <w:rsid w:val="00577F69"/>
    <w:rsid w:val="00580742"/>
    <w:rsid w:val="00580F32"/>
    <w:rsid w:val="005817E4"/>
    <w:rsid w:val="00582639"/>
    <w:rsid w:val="005828A9"/>
    <w:rsid w:val="00582FBF"/>
    <w:rsid w:val="00583680"/>
    <w:rsid w:val="00583784"/>
    <w:rsid w:val="00583B25"/>
    <w:rsid w:val="00583BD6"/>
    <w:rsid w:val="00583FBE"/>
    <w:rsid w:val="00584293"/>
    <w:rsid w:val="005843F7"/>
    <w:rsid w:val="00584466"/>
    <w:rsid w:val="00584685"/>
    <w:rsid w:val="005846AC"/>
    <w:rsid w:val="0058495C"/>
    <w:rsid w:val="00584AA5"/>
    <w:rsid w:val="00584C7D"/>
    <w:rsid w:val="0058565F"/>
    <w:rsid w:val="005856FB"/>
    <w:rsid w:val="00585929"/>
    <w:rsid w:val="00585BC2"/>
    <w:rsid w:val="00585E72"/>
    <w:rsid w:val="00586B86"/>
    <w:rsid w:val="00587722"/>
    <w:rsid w:val="00587CD2"/>
    <w:rsid w:val="00590227"/>
    <w:rsid w:val="00590378"/>
    <w:rsid w:val="005904BA"/>
    <w:rsid w:val="005904C6"/>
    <w:rsid w:val="005905E8"/>
    <w:rsid w:val="005906EC"/>
    <w:rsid w:val="00590A05"/>
    <w:rsid w:val="00591496"/>
    <w:rsid w:val="00591568"/>
    <w:rsid w:val="00591621"/>
    <w:rsid w:val="00591684"/>
    <w:rsid w:val="00591FA0"/>
    <w:rsid w:val="0059257D"/>
    <w:rsid w:val="00592955"/>
    <w:rsid w:val="00593549"/>
    <w:rsid w:val="00593968"/>
    <w:rsid w:val="00593D36"/>
    <w:rsid w:val="00594349"/>
    <w:rsid w:val="00594BE7"/>
    <w:rsid w:val="00594E58"/>
    <w:rsid w:val="00595366"/>
    <w:rsid w:val="005958D5"/>
    <w:rsid w:val="00595B8E"/>
    <w:rsid w:val="00595E18"/>
    <w:rsid w:val="00595FBC"/>
    <w:rsid w:val="00596021"/>
    <w:rsid w:val="0059633A"/>
    <w:rsid w:val="00596510"/>
    <w:rsid w:val="005966CA"/>
    <w:rsid w:val="00596A63"/>
    <w:rsid w:val="00596D15"/>
    <w:rsid w:val="005970F9"/>
    <w:rsid w:val="00597129"/>
    <w:rsid w:val="005976C9"/>
    <w:rsid w:val="005977A4"/>
    <w:rsid w:val="0059790A"/>
    <w:rsid w:val="00597A2A"/>
    <w:rsid w:val="00597C5D"/>
    <w:rsid w:val="00597E7C"/>
    <w:rsid w:val="00597E9C"/>
    <w:rsid w:val="005A0078"/>
    <w:rsid w:val="005A01CC"/>
    <w:rsid w:val="005A0492"/>
    <w:rsid w:val="005A0551"/>
    <w:rsid w:val="005A0BFD"/>
    <w:rsid w:val="005A0C2D"/>
    <w:rsid w:val="005A10A7"/>
    <w:rsid w:val="005A1297"/>
    <w:rsid w:val="005A135E"/>
    <w:rsid w:val="005A1652"/>
    <w:rsid w:val="005A1726"/>
    <w:rsid w:val="005A185F"/>
    <w:rsid w:val="005A282D"/>
    <w:rsid w:val="005A285A"/>
    <w:rsid w:val="005A29DC"/>
    <w:rsid w:val="005A29EC"/>
    <w:rsid w:val="005A2FEB"/>
    <w:rsid w:val="005A3307"/>
    <w:rsid w:val="005A35B7"/>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6D3A"/>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D3F"/>
    <w:rsid w:val="005B3FBA"/>
    <w:rsid w:val="005B4204"/>
    <w:rsid w:val="005B44CA"/>
    <w:rsid w:val="005B4F27"/>
    <w:rsid w:val="005B51E3"/>
    <w:rsid w:val="005B52A6"/>
    <w:rsid w:val="005B532F"/>
    <w:rsid w:val="005B5ED1"/>
    <w:rsid w:val="005B6014"/>
    <w:rsid w:val="005B6BCE"/>
    <w:rsid w:val="005B6E5B"/>
    <w:rsid w:val="005B7006"/>
    <w:rsid w:val="005B7B4A"/>
    <w:rsid w:val="005C04F3"/>
    <w:rsid w:val="005C052A"/>
    <w:rsid w:val="005C069F"/>
    <w:rsid w:val="005C0727"/>
    <w:rsid w:val="005C07FE"/>
    <w:rsid w:val="005C0B44"/>
    <w:rsid w:val="005C0D58"/>
    <w:rsid w:val="005C138F"/>
    <w:rsid w:val="005C1C79"/>
    <w:rsid w:val="005C1CCE"/>
    <w:rsid w:val="005C1E1B"/>
    <w:rsid w:val="005C22A0"/>
    <w:rsid w:val="005C22BC"/>
    <w:rsid w:val="005C2394"/>
    <w:rsid w:val="005C2CC6"/>
    <w:rsid w:val="005C36AE"/>
    <w:rsid w:val="005C3B0C"/>
    <w:rsid w:val="005C4174"/>
    <w:rsid w:val="005C4D57"/>
    <w:rsid w:val="005C5BE1"/>
    <w:rsid w:val="005C5C0A"/>
    <w:rsid w:val="005C5D99"/>
    <w:rsid w:val="005C654C"/>
    <w:rsid w:val="005C6622"/>
    <w:rsid w:val="005C66FC"/>
    <w:rsid w:val="005C681D"/>
    <w:rsid w:val="005C6923"/>
    <w:rsid w:val="005C6B0C"/>
    <w:rsid w:val="005C6E26"/>
    <w:rsid w:val="005C73A5"/>
    <w:rsid w:val="005C756A"/>
    <w:rsid w:val="005C7C50"/>
    <w:rsid w:val="005D0027"/>
    <w:rsid w:val="005D0E23"/>
    <w:rsid w:val="005D0E58"/>
    <w:rsid w:val="005D11C0"/>
    <w:rsid w:val="005D1445"/>
    <w:rsid w:val="005D1586"/>
    <w:rsid w:val="005D1704"/>
    <w:rsid w:val="005D1BD0"/>
    <w:rsid w:val="005D2539"/>
    <w:rsid w:val="005D25DF"/>
    <w:rsid w:val="005D27F3"/>
    <w:rsid w:val="005D2820"/>
    <w:rsid w:val="005D2F33"/>
    <w:rsid w:val="005D34B9"/>
    <w:rsid w:val="005D36EE"/>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A5D"/>
    <w:rsid w:val="005D7257"/>
    <w:rsid w:val="005D73EF"/>
    <w:rsid w:val="005D798C"/>
    <w:rsid w:val="005D7B4A"/>
    <w:rsid w:val="005D7B60"/>
    <w:rsid w:val="005D7C1B"/>
    <w:rsid w:val="005D7E2A"/>
    <w:rsid w:val="005E075F"/>
    <w:rsid w:val="005E0D78"/>
    <w:rsid w:val="005E1041"/>
    <w:rsid w:val="005E146F"/>
    <w:rsid w:val="005E18F9"/>
    <w:rsid w:val="005E1910"/>
    <w:rsid w:val="005E1BA3"/>
    <w:rsid w:val="005E2CC7"/>
    <w:rsid w:val="005E3469"/>
    <w:rsid w:val="005E37A2"/>
    <w:rsid w:val="005E3A44"/>
    <w:rsid w:val="005E3AB6"/>
    <w:rsid w:val="005E3D3B"/>
    <w:rsid w:val="005E4832"/>
    <w:rsid w:val="005E4931"/>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A4E"/>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710"/>
    <w:rsid w:val="005F5AC0"/>
    <w:rsid w:val="005F5F7F"/>
    <w:rsid w:val="005F741E"/>
    <w:rsid w:val="005F7CBE"/>
    <w:rsid w:val="005F7CF2"/>
    <w:rsid w:val="00600139"/>
    <w:rsid w:val="00600361"/>
    <w:rsid w:val="00600587"/>
    <w:rsid w:val="00600914"/>
    <w:rsid w:val="00600B5B"/>
    <w:rsid w:val="00600EDA"/>
    <w:rsid w:val="0060141C"/>
    <w:rsid w:val="006015AB"/>
    <w:rsid w:val="006017B6"/>
    <w:rsid w:val="00601E2C"/>
    <w:rsid w:val="006020C2"/>
    <w:rsid w:val="006021E2"/>
    <w:rsid w:val="0060259B"/>
    <w:rsid w:val="006026E1"/>
    <w:rsid w:val="00602D75"/>
    <w:rsid w:val="00603014"/>
    <w:rsid w:val="00603236"/>
    <w:rsid w:val="006033C2"/>
    <w:rsid w:val="0060346D"/>
    <w:rsid w:val="006034E6"/>
    <w:rsid w:val="0060354B"/>
    <w:rsid w:val="006035D1"/>
    <w:rsid w:val="006036FF"/>
    <w:rsid w:val="00603774"/>
    <w:rsid w:val="006039E9"/>
    <w:rsid w:val="00604B45"/>
    <w:rsid w:val="0060518C"/>
    <w:rsid w:val="00605232"/>
    <w:rsid w:val="00605401"/>
    <w:rsid w:val="0060560B"/>
    <w:rsid w:val="00605996"/>
    <w:rsid w:val="006059B3"/>
    <w:rsid w:val="00605E0E"/>
    <w:rsid w:val="006064B6"/>
    <w:rsid w:val="0060673E"/>
    <w:rsid w:val="006068B2"/>
    <w:rsid w:val="00606F1E"/>
    <w:rsid w:val="0060709C"/>
    <w:rsid w:val="00607669"/>
    <w:rsid w:val="006076B7"/>
    <w:rsid w:val="00607B70"/>
    <w:rsid w:val="00607B78"/>
    <w:rsid w:val="00607E71"/>
    <w:rsid w:val="00610D10"/>
    <w:rsid w:val="00610D2D"/>
    <w:rsid w:val="00610D32"/>
    <w:rsid w:val="0061112D"/>
    <w:rsid w:val="006115E5"/>
    <w:rsid w:val="00611861"/>
    <w:rsid w:val="00611C74"/>
    <w:rsid w:val="00611E5B"/>
    <w:rsid w:val="006122F9"/>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70C"/>
    <w:rsid w:val="0061684F"/>
    <w:rsid w:val="00616947"/>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2566"/>
    <w:rsid w:val="00622DF1"/>
    <w:rsid w:val="00623530"/>
    <w:rsid w:val="00623744"/>
    <w:rsid w:val="006238A4"/>
    <w:rsid w:val="00623CD5"/>
    <w:rsid w:val="00623D36"/>
    <w:rsid w:val="00624045"/>
    <w:rsid w:val="0062408B"/>
    <w:rsid w:val="006244BD"/>
    <w:rsid w:val="0062468E"/>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662"/>
    <w:rsid w:val="00630A03"/>
    <w:rsid w:val="00630CB2"/>
    <w:rsid w:val="0063120E"/>
    <w:rsid w:val="00631300"/>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549"/>
    <w:rsid w:val="00637685"/>
    <w:rsid w:val="00637693"/>
    <w:rsid w:val="00637760"/>
    <w:rsid w:val="00640355"/>
    <w:rsid w:val="006406AA"/>
    <w:rsid w:val="00640FD6"/>
    <w:rsid w:val="00641194"/>
    <w:rsid w:val="00641674"/>
    <w:rsid w:val="00641D53"/>
    <w:rsid w:val="00641F2C"/>
    <w:rsid w:val="0064280A"/>
    <w:rsid w:val="00643176"/>
    <w:rsid w:val="006431EA"/>
    <w:rsid w:val="006434BD"/>
    <w:rsid w:val="006435F6"/>
    <w:rsid w:val="006439FE"/>
    <w:rsid w:val="00643A30"/>
    <w:rsid w:val="006440EB"/>
    <w:rsid w:val="00644280"/>
    <w:rsid w:val="00644B91"/>
    <w:rsid w:val="0064512C"/>
    <w:rsid w:val="0064556D"/>
    <w:rsid w:val="006455C9"/>
    <w:rsid w:val="006459FC"/>
    <w:rsid w:val="00645D52"/>
    <w:rsid w:val="00645EBD"/>
    <w:rsid w:val="00646000"/>
    <w:rsid w:val="0064647C"/>
    <w:rsid w:val="00646A44"/>
    <w:rsid w:val="00646C37"/>
    <w:rsid w:val="006473C8"/>
    <w:rsid w:val="006473F5"/>
    <w:rsid w:val="00647FA8"/>
    <w:rsid w:val="00650395"/>
    <w:rsid w:val="00650F7A"/>
    <w:rsid w:val="00650F7E"/>
    <w:rsid w:val="00651487"/>
    <w:rsid w:val="006516FE"/>
    <w:rsid w:val="00651E2D"/>
    <w:rsid w:val="0065270C"/>
    <w:rsid w:val="006529DB"/>
    <w:rsid w:val="00652D1E"/>
    <w:rsid w:val="00652E40"/>
    <w:rsid w:val="00653276"/>
    <w:rsid w:val="00653AF3"/>
    <w:rsid w:val="00653CCD"/>
    <w:rsid w:val="0065419D"/>
    <w:rsid w:val="00655421"/>
    <w:rsid w:val="00655A0B"/>
    <w:rsid w:val="00655C42"/>
    <w:rsid w:val="00655F00"/>
    <w:rsid w:val="006564CB"/>
    <w:rsid w:val="006566F2"/>
    <w:rsid w:val="0065727C"/>
    <w:rsid w:val="006573F6"/>
    <w:rsid w:val="00657666"/>
    <w:rsid w:val="0065790A"/>
    <w:rsid w:val="006604DF"/>
    <w:rsid w:val="006608FB"/>
    <w:rsid w:val="00660A55"/>
    <w:rsid w:val="00660A7C"/>
    <w:rsid w:val="00660A9E"/>
    <w:rsid w:val="00660B0F"/>
    <w:rsid w:val="00660D79"/>
    <w:rsid w:val="00661CA6"/>
    <w:rsid w:val="00661F7D"/>
    <w:rsid w:val="006620F0"/>
    <w:rsid w:val="006623CC"/>
    <w:rsid w:val="00664351"/>
    <w:rsid w:val="00664406"/>
    <w:rsid w:val="00664765"/>
    <w:rsid w:val="006648DC"/>
    <w:rsid w:val="00664A7B"/>
    <w:rsid w:val="00664BC0"/>
    <w:rsid w:val="00664C27"/>
    <w:rsid w:val="00664E17"/>
    <w:rsid w:val="00665495"/>
    <w:rsid w:val="00665518"/>
    <w:rsid w:val="006659B8"/>
    <w:rsid w:val="006659C8"/>
    <w:rsid w:val="00666018"/>
    <w:rsid w:val="006660BB"/>
    <w:rsid w:val="006666E8"/>
    <w:rsid w:val="00666DFC"/>
    <w:rsid w:val="00667259"/>
    <w:rsid w:val="006673D4"/>
    <w:rsid w:val="00667424"/>
    <w:rsid w:val="00667AE6"/>
    <w:rsid w:val="00667B3E"/>
    <w:rsid w:val="00671169"/>
    <w:rsid w:val="00671173"/>
    <w:rsid w:val="00671ACA"/>
    <w:rsid w:val="00672CF8"/>
    <w:rsid w:val="00672E4B"/>
    <w:rsid w:val="00672EDF"/>
    <w:rsid w:val="00672FBD"/>
    <w:rsid w:val="006732FE"/>
    <w:rsid w:val="006734E2"/>
    <w:rsid w:val="00673723"/>
    <w:rsid w:val="00673BD6"/>
    <w:rsid w:val="00674236"/>
    <w:rsid w:val="00674E9A"/>
    <w:rsid w:val="00675218"/>
    <w:rsid w:val="0067522E"/>
    <w:rsid w:val="00675253"/>
    <w:rsid w:val="006752C9"/>
    <w:rsid w:val="0067535E"/>
    <w:rsid w:val="00675C94"/>
    <w:rsid w:val="00675FA3"/>
    <w:rsid w:val="00676134"/>
    <w:rsid w:val="006763EB"/>
    <w:rsid w:val="0067692F"/>
    <w:rsid w:val="00676C6F"/>
    <w:rsid w:val="00676CA4"/>
    <w:rsid w:val="00676D26"/>
    <w:rsid w:val="00676EB1"/>
    <w:rsid w:val="006772B7"/>
    <w:rsid w:val="00677383"/>
    <w:rsid w:val="006775BD"/>
    <w:rsid w:val="006775F2"/>
    <w:rsid w:val="00677850"/>
    <w:rsid w:val="00677859"/>
    <w:rsid w:val="00677B46"/>
    <w:rsid w:val="00677CA0"/>
    <w:rsid w:val="00677F31"/>
    <w:rsid w:val="00680574"/>
    <w:rsid w:val="006807CE"/>
    <w:rsid w:val="006809B4"/>
    <w:rsid w:val="006809E7"/>
    <w:rsid w:val="00680AB7"/>
    <w:rsid w:val="00680D21"/>
    <w:rsid w:val="00680E37"/>
    <w:rsid w:val="006815BF"/>
    <w:rsid w:val="00681860"/>
    <w:rsid w:val="006819A3"/>
    <w:rsid w:val="00681A5A"/>
    <w:rsid w:val="00681C3D"/>
    <w:rsid w:val="00681F8E"/>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4A2"/>
    <w:rsid w:val="00687989"/>
    <w:rsid w:val="00687A52"/>
    <w:rsid w:val="006900C0"/>
    <w:rsid w:val="00690246"/>
    <w:rsid w:val="0069046F"/>
    <w:rsid w:val="00690A2E"/>
    <w:rsid w:val="00690D04"/>
    <w:rsid w:val="00691822"/>
    <w:rsid w:val="006920D1"/>
    <w:rsid w:val="006923D0"/>
    <w:rsid w:val="0069253D"/>
    <w:rsid w:val="006929A2"/>
    <w:rsid w:val="00692AB1"/>
    <w:rsid w:val="00692DDF"/>
    <w:rsid w:val="00693796"/>
    <w:rsid w:val="006939C7"/>
    <w:rsid w:val="006939D8"/>
    <w:rsid w:val="00693A3E"/>
    <w:rsid w:val="00693B2F"/>
    <w:rsid w:val="00693E66"/>
    <w:rsid w:val="006940B8"/>
    <w:rsid w:val="00694730"/>
    <w:rsid w:val="00695095"/>
    <w:rsid w:val="00696201"/>
    <w:rsid w:val="006967E1"/>
    <w:rsid w:val="00696CE0"/>
    <w:rsid w:val="00696D2D"/>
    <w:rsid w:val="00697814"/>
    <w:rsid w:val="00697EDA"/>
    <w:rsid w:val="006A091E"/>
    <w:rsid w:val="006A12AC"/>
    <w:rsid w:val="006A1357"/>
    <w:rsid w:val="006A19DA"/>
    <w:rsid w:val="006A1BFF"/>
    <w:rsid w:val="006A1D95"/>
    <w:rsid w:val="006A2A93"/>
    <w:rsid w:val="006A36B0"/>
    <w:rsid w:val="006A3CD4"/>
    <w:rsid w:val="006A4455"/>
    <w:rsid w:val="006A48D3"/>
    <w:rsid w:val="006A4B1B"/>
    <w:rsid w:val="006A4EC5"/>
    <w:rsid w:val="006A5244"/>
    <w:rsid w:val="006A53D1"/>
    <w:rsid w:val="006A55EB"/>
    <w:rsid w:val="006A5613"/>
    <w:rsid w:val="006A5B25"/>
    <w:rsid w:val="006A6299"/>
    <w:rsid w:val="006A62E3"/>
    <w:rsid w:val="006A6499"/>
    <w:rsid w:val="006A6947"/>
    <w:rsid w:val="006A6EB6"/>
    <w:rsid w:val="006A704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7C"/>
    <w:rsid w:val="006B47F5"/>
    <w:rsid w:val="006B4C1B"/>
    <w:rsid w:val="006B5115"/>
    <w:rsid w:val="006B5649"/>
    <w:rsid w:val="006B6C69"/>
    <w:rsid w:val="006B6E79"/>
    <w:rsid w:val="006B6F84"/>
    <w:rsid w:val="006B7198"/>
    <w:rsid w:val="006B719E"/>
    <w:rsid w:val="006B7644"/>
    <w:rsid w:val="006B7B2B"/>
    <w:rsid w:val="006B7F8D"/>
    <w:rsid w:val="006C006D"/>
    <w:rsid w:val="006C0B02"/>
    <w:rsid w:val="006C14F1"/>
    <w:rsid w:val="006C196D"/>
    <w:rsid w:val="006C1A1F"/>
    <w:rsid w:val="006C1BF0"/>
    <w:rsid w:val="006C2824"/>
    <w:rsid w:val="006C2EDA"/>
    <w:rsid w:val="006C30E0"/>
    <w:rsid w:val="006C3318"/>
    <w:rsid w:val="006C3610"/>
    <w:rsid w:val="006C3A19"/>
    <w:rsid w:val="006C3DDF"/>
    <w:rsid w:val="006C404A"/>
    <w:rsid w:val="006C44E2"/>
    <w:rsid w:val="006C467C"/>
    <w:rsid w:val="006C4DCE"/>
    <w:rsid w:val="006C571A"/>
    <w:rsid w:val="006C600B"/>
    <w:rsid w:val="006C665F"/>
    <w:rsid w:val="006C67DD"/>
    <w:rsid w:val="006C6CF8"/>
    <w:rsid w:val="006C7309"/>
    <w:rsid w:val="006C74A2"/>
    <w:rsid w:val="006C783A"/>
    <w:rsid w:val="006C78C0"/>
    <w:rsid w:val="006C7C59"/>
    <w:rsid w:val="006C7D61"/>
    <w:rsid w:val="006C7E7F"/>
    <w:rsid w:val="006D068A"/>
    <w:rsid w:val="006D0A19"/>
    <w:rsid w:val="006D102B"/>
    <w:rsid w:val="006D10B0"/>
    <w:rsid w:val="006D10BB"/>
    <w:rsid w:val="006D1B48"/>
    <w:rsid w:val="006D1BCC"/>
    <w:rsid w:val="006D24B6"/>
    <w:rsid w:val="006D2CD5"/>
    <w:rsid w:val="006D2F2A"/>
    <w:rsid w:val="006D31EE"/>
    <w:rsid w:val="006D37A8"/>
    <w:rsid w:val="006D3934"/>
    <w:rsid w:val="006D3B38"/>
    <w:rsid w:val="006D4176"/>
    <w:rsid w:val="006D496B"/>
    <w:rsid w:val="006D4C69"/>
    <w:rsid w:val="006D4D71"/>
    <w:rsid w:val="006D5358"/>
    <w:rsid w:val="006D56EB"/>
    <w:rsid w:val="006D589C"/>
    <w:rsid w:val="006D5BBC"/>
    <w:rsid w:val="006D7303"/>
    <w:rsid w:val="006D7525"/>
    <w:rsid w:val="006D763A"/>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3E17"/>
    <w:rsid w:val="006E45AB"/>
    <w:rsid w:val="006E471B"/>
    <w:rsid w:val="006E52F5"/>
    <w:rsid w:val="006E5462"/>
    <w:rsid w:val="006E566C"/>
    <w:rsid w:val="006E62EF"/>
    <w:rsid w:val="006E65DF"/>
    <w:rsid w:val="006E6714"/>
    <w:rsid w:val="006E6CD9"/>
    <w:rsid w:val="006E725A"/>
    <w:rsid w:val="006E7734"/>
    <w:rsid w:val="006E79B0"/>
    <w:rsid w:val="006F04AE"/>
    <w:rsid w:val="006F04D5"/>
    <w:rsid w:val="006F12B4"/>
    <w:rsid w:val="006F192F"/>
    <w:rsid w:val="006F19F2"/>
    <w:rsid w:val="006F220D"/>
    <w:rsid w:val="006F251B"/>
    <w:rsid w:val="006F2637"/>
    <w:rsid w:val="006F2AB7"/>
    <w:rsid w:val="006F3009"/>
    <w:rsid w:val="006F33B7"/>
    <w:rsid w:val="006F3856"/>
    <w:rsid w:val="006F3DBE"/>
    <w:rsid w:val="006F3F65"/>
    <w:rsid w:val="006F4129"/>
    <w:rsid w:val="006F431E"/>
    <w:rsid w:val="006F4791"/>
    <w:rsid w:val="006F483F"/>
    <w:rsid w:val="006F4B80"/>
    <w:rsid w:val="006F4E1F"/>
    <w:rsid w:val="006F5052"/>
    <w:rsid w:val="006F5114"/>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6AE"/>
    <w:rsid w:val="00702716"/>
    <w:rsid w:val="0070299A"/>
    <w:rsid w:val="007032B9"/>
    <w:rsid w:val="00703717"/>
    <w:rsid w:val="0070379B"/>
    <w:rsid w:val="00703AE6"/>
    <w:rsid w:val="007041EF"/>
    <w:rsid w:val="007042F0"/>
    <w:rsid w:val="007043D3"/>
    <w:rsid w:val="00704E66"/>
    <w:rsid w:val="00705386"/>
    <w:rsid w:val="0070572A"/>
    <w:rsid w:val="007058E0"/>
    <w:rsid w:val="00705AF6"/>
    <w:rsid w:val="00705E43"/>
    <w:rsid w:val="00705FA4"/>
    <w:rsid w:val="00706005"/>
    <w:rsid w:val="00706DE4"/>
    <w:rsid w:val="00707138"/>
    <w:rsid w:val="0070714E"/>
    <w:rsid w:val="007078B0"/>
    <w:rsid w:val="00707A98"/>
    <w:rsid w:val="00707BC2"/>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CB3"/>
    <w:rsid w:val="007173D9"/>
    <w:rsid w:val="00717B1C"/>
    <w:rsid w:val="00717BC6"/>
    <w:rsid w:val="00717F29"/>
    <w:rsid w:val="00717F4B"/>
    <w:rsid w:val="00720104"/>
    <w:rsid w:val="00720417"/>
    <w:rsid w:val="0072061C"/>
    <w:rsid w:val="0072068A"/>
    <w:rsid w:val="00720B9E"/>
    <w:rsid w:val="007213ED"/>
    <w:rsid w:val="00722230"/>
    <w:rsid w:val="0072268C"/>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C0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4E5"/>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0CC9"/>
    <w:rsid w:val="00751133"/>
    <w:rsid w:val="0075141B"/>
    <w:rsid w:val="00751CE0"/>
    <w:rsid w:val="0075221D"/>
    <w:rsid w:val="0075227E"/>
    <w:rsid w:val="0075237A"/>
    <w:rsid w:val="0075237F"/>
    <w:rsid w:val="007524F3"/>
    <w:rsid w:val="0075271C"/>
    <w:rsid w:val="007527FE"/>
    <w:rsid w:val="0075287F"/>
    <w:rsid w:val="00752A46"/>
    <w:rsid w:val="00752F7E"/>
    <w:rsid w:val="00752FBB"/>
    <w:rsid w:val="00753488"/>
    <w:rsid w:val="0075400B"/>
    <w:rsid w:val="0075444D"/>
    <w:rsid w:val="007545E1"/>
    <w:rsid w:val="00754AB3"/>
    <w:rsid w:val="00754F30"/>
    <w:rsid w:val="0075531C"/>
    <w:rsid w:val="00755419"/>
    <w:rsid w:val="007559A3"/>
    <w:rsid w:val="007559FC"/>
    <w:rsid w:val="00756C06"/>
    <w:rsid w:val="0075710B"/>
    <w:rsid w:val="0075715F"/>
    <w:rsid w:val="007572B8"/>
    <w:rsid w:val="00760763"/>
    <w:rsid w:val="00760B03"/>
    <w:rsid w:val="00760D5D"/>
    <w:rsid w:val="007610A3"/>
    <w:rsid w:val="007610D8"/>
    <w:rsid w:val="00761302"/>
    <w:rsid w:val="0076133D"/>
    <w:rsid w:val="0076161F"/>
    <w:rsid w:val="0076192C"/>
    <w:rsid w:val="00762167"/>
    <w:rsid w:val="0076233C"/>
    <w:rsid w:val="007628F9"/>
    <w:rsid w:val="007631CD"/>
    <w:rsid w:val="00763281"/>
    <w:rsid w:val="007641F7"/>
    <w:rsid w:val="00764B56"/>
    <w:rsid w:val="00764EC3"/>
    <w:rsid w:val="00765668"/>
    <w:rsid w:val="00765BFA"/>
    <w:rsid w:val="00765CE0"/>
    <w:rsid w:val="00766D03"/>
    <w:rsid w:val="00766FCA"/>
    <w:rsid w:val="007670C4"/>
    <w:rsid w:val="00767C6C"/>
    <w:rsid w:val="00770014"/>
    <w:rsid w:val="0077018C"/>
    <w:rsid w:val="00770F47"/>
    <w:rsid w:val="00770FA2"/>
    <w:rsid w:val="00771199"/>
    <w:rsid w:val="007716B9"/>
    <w:rsid w:val="007716E8"/>
    <w:rsid w:val="007717FE"/>
    <w:rsid w:val="00772226"/>
    <w:rsid w:val="00772F2E"/>
    <w:rsid w:val="0077307A"/>
    <w:rsid w:val="00773265"/>
    <w:rsid w:val="00773456"/>
    <w:rsid w:val="007734DE"/>
    <w:rsid w:val="007737ED"/>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14F1"/>
    <w:rsid w:val="00782459"/>
    <w:rsid w:val="00782CBC"/>
    <w:rsid w:val="00782D01"/>
    <w:rsid w:val="0078338E"/>
    <w:rsid w:val="007837DC"/>
    <w:rsid w:val="0078388E"/>
    <w:rsid w:val="007841C0"/>
    <w:rsid w:val="00784228"/>
    <w:rsid w:val="007842F7"/>
    <w:rsid w:val="0078466D"/>
    <w:rsid w:val="0078467B"/>
    <w:rsid w:val="00784851"/>
    <w:rsid w:val="007848BE"/>
    <w:rsid w:val="00784D27"/>
    <w:rsid w:val="00785722"/>
    <w:rsid w:val="007861F5"/>
    <w:rsid w:val="007868B1"/>
    <w:rsid w:val="00786D0B"/>
    <w:rsid w:val="00787C16"/>
    <w:rsid w:val="00790420"/>
    <w:rsid w:val="00790791"/>
    <w:rsid w:val="00790A2E"/>
    <w:rsid w:val="00790AF0"/>
    <w:rsid w:val="00790D6C"/>
    <w:rsid w:val="00790FEB"/>
    <w:rsid w:val="007913B0"/>
    <w:rsid w:val="007916BE"/>
    <w:rsid w:val="00791CF6"/>
    <w:rsid w:val="007923FF"/>
    <w:rsid w:val="007927D6"/>
    <w:rsid w:val="0079283F"/>
    <w:rsid w:val="00792C67"/>
    <w:rsid w:val="00792E77"/>
    <w:rsid w:val="00793627"/>
    <w:rsid w:val="00793938"/>
    <w:rsid w:val="00793D7B"/>
    <w:rsid w:val="00794BB6"/>
    <w:rsid w:val="00794BC0"/>
    <w:rsid w:val="00794E5D"/>
    <w:rsid w:val="00794F23"/>
    <w:rsid w:val="007954F0"/>
    <w:rsid w:val="00795538"/>
    <w:rsid w:val="0079576F"/>
    <w:rsid w:val="0079594B"/>
    <w:rsid w:val="00796002"/>
    <w:rsid w:val="00796557"/>
    <w:rsid w:val="00796A0B"/>
    <w:rsid w:val="00796A50"/>
    <w:rsid w:val="00796AF9"/>
    <w:rsid w:val="00796C26"/>
    <w:rsid w:val="00796CC3"/>
    <w:rsid w:val="00796E6E"/>
    <w:rsid w:val="007971B5"/>
    <w:rsid w:val="007974E2"/>
    <w:rsid w:val="00797C89"/>
    <w:rsid w:val="007A0137"/>
    <w:rsid w:val="007A094A"/>
    <w:rsid w:val="007A0D79"/>
    <w:rsid w:val="007A0EEA"/>
    <w:rsid w:val="007A0FFD"/>
    <w:rsid w:val="007A111C"/>
    <w:rsid w:val="007A1532"/>
    <w:rsid w:val="007A1655"/>
    <w:rsid w:val="007A1767"/>
    <w:rsid w:val="007A20EA"/>
    <w:rsid w:val="007A31A9"/>
    <w:rsid w:val="007A3214"/>
    <w:rsid w:val="007A32BE"/>
    <w:rsid w:val="007A3AED"/>
    <w:rsid w:val="007A529A"/>
    <w:rsid w:val="007A55E4"/>
    <w:rsid w:val="007A57C4"/>
    <w:rsid w:val="007A58C2"/>
    <w:rsid w:val="007A5A6E"/>
    <w:rsid w:val="007A5A7D"/>
    <w:rsid w:val="007A61C5"/>
    <w:rsid w:val="007A61D4"/>
    <w:rsid w:val="007A6272"/>
    <w:rsid w:val="007A6623"/>
    <w:rsid w:val="007A680D"/>
    <w:rsid w:val="007A6F8C"/>
    <w:rsid w:val="007A7E1E"/>
    <w:rsid w:val="007B03DB"/>
    <w:rsid w:val="007B0576"/>
    <w:rsid w:val="007B0745"/>
    <w:rsid w:val="007B0892"/>
    <w:rsid w:val="007B0AC5"/>
    <w:rsid w:val="007B0D6A"/>
    <w:rsid w:val="007B1247"/>
    <w:rsid w:val="007B1733"/>
    <w:rsid w:val="007B1CBD"/>
    <w:rsid w:val="007B1EF2"/>
    <w:rsid w:val="007B203F"/>
    <w:rsid w:val="007B2529"/>
    <w:rsid w:val="007B28E5"/>
    <w:rsid w:val="007B37ED"/>
    <w:rsid w:val="007B3D9A"/>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EEC"/>
    <w:rsid w:val="007C33A1"/>
    <w:rsid w:val="007C3458"/>
    <w:rsid w:val="007C35F7"/>
    <w:rsid w:val="007C3635"/>
    <w:rsid w:val="007C3716"/>
    <w:rsid w:val="007C3973"/>
    <w:rsid w:val="007C3CDD"/>
    <w:rsid w:val="007C4429"/>
    <w:rsid w:val="007C5006"/>
    <w:rsid w:val="007C5257"/>
    <w:rsid w:val="007C528D"/>
    <w:rsid w:val="007C5560"/>
    <w:rsid w:val="007C5707"/>
    <w:rsid w:val="007C58B1"/>
    <w:rsid w:val="007C58CF"/>
    <w:rsid w:val="007C59FD"/>
    <w:rsid w:val="007C5A99"/>
    <w:rsid w:val="007C5D21"/>
    <w:rsid w:val="007C5E2C"/>
    <w:rsid w:val="007C63E7"/>
    <w:rsid w:val="007C647C"/>
    <w:rsid w:val="007C748C"/>
    <w:rsid w:val="007C7607"/>
    <w:rsid w:val="007C763F"/>
    <w:rsid w:val="007C79A9"/>
    <w:rsid w:val="007C7CEB"/>
    <w:rsid w:val="007C7D63"/>
    <w:rsid w:val="007D00C6"/>
    <w:rsid w:val="007D0223"/>
    <w:rsid w:val="007D023C"/>
    <w:rsid w:val="007D041C"/>
    <w:rsid w:val="007D0628"/>
    <w:rsid w:val="007D0AA4"/>
    <w:rsid w:val="007D0F4B"/>
    <w:rsid w:val="007D0F8B"/>
    <w:rsid w:val="007D10C9"/>
    <w:rsid w:val="007D173E"/>
    <w:rsid w:val="007D1CCB"/>
    <w:rsid w:val="007D1EE8"/>
    <w:rsid w:val="007D21B0"/>
    <w:rsid w:val="007D230A"/>
    <w:rsid w:val="007D2573"/>
    <w:rsid w:val="007D2EEC"/>
    <w:rsid w:val="007D335C"/>
    <w:rsid w:val="007D3580"/>
    <w:rsid w:val="007D3B04"/>
    <w:rsid w:val="007D3C7D"/>
    <w:rsid w:val="007D4362"/>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1D"/>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84C"/>
    <w:rsid w:val="007E4861"/>
    <w:rsid w:val="007E4BFC"/>
    <w:rsid w:val="007E4C34"/>
    <w:rsid w:val="007E4D4C"/>
    <w:rsid w:val="007E5C5C"/>
    <w:rsid w:val="007E631F"/>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7E3"/>
    <w:rsid w:val="007F4844"/>
    <w:rsid w:val="007F4CD4"/>
    <w:rsid w:val="007F4CEE"/>
    <w:rsid w:val="007F4D4A"/>
    <w:rsid w:val="007F4DD1"/>
    <w:rsid w:val="007F5003"/>
    <w:rsid w:val="007F5164"/>
    <w:rsid w:val="007F5775"/>
    <w:rsid w:val="007F5E40"/>
    <w:rsid w:val="007F5E92"/>
    <w:rsid w:val="007F6105"/>
    <w:rsid w:val="007F611B"/>
    <w:rsid w:val="007F67AB"/>
    <w:rsid w:val="007F6DF4"/>
    <w:rsid w:val="007F6FF1"/>
    <w:rsid w:val="007F7464"/>
    <w:rsid w:val="007F799D"/>
    <w:rsid w:val="007F7B24"/>
    <w:rsid w:val="00800433"/>
    <w:rsid w:val="00800DB3"/>
    <w:rsid w:val="00800EC2"/>
    <w:rsid w:val="008017C1"/>
    <w:rsid w:val="0080181E"/>
    <w:rsid w:val="00801EB2"/>
    <w:rsid w:val="00801F66"/>
    <w:rsid w:val="00802B28"/>
    <w:rsid w:val="00802B69"/>
    <w:rsid w:val="00802B84"/>
    <w:rsid w:val="00803719"/>
    <w:rsid w:val="00803A5A"/>
    <w:rsid w:val="00804118"/>
    <w:rsid w:val="00804B69"/>
    <w:rsid w:val="00804C82"/>
    <w:rsid w:val="00804D66"/>
    <w:rsid w:val="00805076"/>
    <w:rsid w:val="0080524F"/>
    <w:rsid w:val="00805415"/>
    <w:rsid w:val="008057FC"/>
    <w:rsid w:val="0080629B"/>
    <w:rsid w:val="00806834"/>
    <w:rsid w:val="00806CCF"/>
    <w:rsid w:val="00806F54"/>
    <w:rsid w:val="00806FC0"/>
    <w:rsid w:val="0080719C"/>
    <w:rsid w:val="00807CFF"/>
    <w:rsid w:val="00807F9E"/>
    <w:rsid w:val="008102D7"/>
    <w:rsid w:val="008106BB"/>
    <w:rsid w:val="00810A1E"/>
    <w:rsid w:val="00810AEE"/>
    <w:rsid w:val="00810F3C"/>
    <w:rsid w:val="0081105C"/>
    <w:rsid w:val="00811286"/>
    <w:rsid w:val="00811813"/>
    <w:rsid w:val="00811976"/>
    <w:rsid w:val="00812766"/>
    <w:rsid w:val="00813071"/>
    <w:rsid w:val="008130B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501A"/>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243"/>
    <w:rsid w:val="00830DBA"/>
    <w:rsid w:val="00830DD5"/>
    <w:rsid w:val="008315DE"/>
    <w:rsid w:val="008316CA"/>
    <w:rsid w:val="0083177C"/>
    <w:rsid w:val="00831A1A"/>
    <w:rsid w:val="00831D81"/>
    <w:rsid w:val="00831DA6"/>
    <w:rsid w:val="008326F0"/>
    <w:rsid w:val="0083289A"/>
    <w:rsid w:val="0083405B"/>
    <w:rsid w:val="0083410E"/>
    <w:rsid w:val="0083482E"/>
    <w:rsid w:val="00834D25"/>
    <w:rsid w:val="00834D96"/>
    <w:rsid w:val="00835153"/>
    <w:rsid w:val="008357D5"/>
    <w:rsid w:val="00835A89"/>
    <w:rsid w:val="00835C13"/>
    <w:rsid w:val="00835C5A"/>
    <w:rsid w:val="008364F0"/>
    <w:rsid w:val="00836795"/>
    <w:rsid w:val="00836DA1"/>
    <w:rsid w:val="00836E33"/>
    <w:rsid w:val="00836E5D"/>
    <w:rsid w:val="00837A4D"/>
    <w:rsid w:val="00837CE8"/>
    <w:rsid w:val="00840ACA"/>
    <w:rsid w:val="00840C2F"/>
    <w:rsid w:val="0084113B"/>
    <w:rsid w:val="0084166D"/>
    <w:rsid w:val="008419C9"/>
    <w:rsid w:val="00841C82"/>
    <w:rsid w:val="00841D60"/>
    <w:rsid w:val="0084246E"/>
    <w:rsid w:val="008425BB"/>
    <w:rsid w:val="00842A11"/>
    <w:rsid w:val="00842C33"/>
    <w:rsid w:val="00842EF7"/>
    <w:rsid w:val="00843024"/>
    <w:rsid w:val="00843730"/>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1D6"/>
    <w:rsid w:val="00852885"/>
    <w:rsid w:val="0085290B"/>
    <w:rsid w:val="00852FCD"/>
    <w:rsid w:val="00853708"/>
    <w:rsid w:val="00853D67"/>
    <w:rsid w:val="00854AE2"/>
    <w:rsid w:val="00854C3B"/>
    <w:rsid w:val="00854CF5"/>
    <w:rsid w:val="008552D8"/>
    <w:rsid w:val="0085532C"/>
    <w:rsid w:val="00855A1A"/>
    <w:rsid w:val="008564EB"/>
    <w:rsid w:val="0085652F"/>
    <w:rsid w:val="008566B8"/>
    <w:rsid w:val="00856763"/>
    <w:rsid w:val="00856C23"/>
    <w:rsid w:val="00856D5D"/>
    <w:rsid w:val="00856FA4"/>
    <w:rsid w:val="00857CDA"/>
    <w:rsid w:val="00860153"/>
    <w:rsid w:val="00860B82"/>
    <w:rsid w:val="00860D1D"/>
    <w:rsid w:val="0086119F"/>
    <w:rsid w:val="00861484"/>
    <w:rsid w:val="008614F1"/>
    <w:rsid w:val="008617AB"/>
    <w:rsid w:val="008619CB"/>
    <w:rsid w:val="00862743"/>
    <w:rsid w:val="008629E2"/>
    <w:rsid w:val="008630DB"/>
    <w:rsid w:val="008631D7"/>
    <w:rsid w:val="00863C41"/>
    <w:rsid w:val="00864519"/>
    <w:rsid w:val="008651FB"/>
    <w:rsid w:val="00865480"/>
    <w:rsid w:val="00865AB1"/>
    <w:rsid w:val="0086616C"/>
    <w:rsid w:val="0086650F"/>
    <w:rsid w:val="008668B9"/>
    <w:rsid w:val="00866BAD"/>
    <w:rsid w:val="00866C11"/>
    <w:rsid w:val="00866F4F"/>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CF"/>
    <w:rsid w:val="00874785"/>
    <w:rsid w:val="00874972"/>
    <w:rsid w:val="00874A8C"/>
    <w:rsid w:val="00874F9C"/>
    <w:rsid w:val="0087563F"/>
    <w:rsid w:val="008759F5"/>
    <w:rsid w:val="00875FFB"/>
    <w:rsid w:val="00876D30"/>
    <w:rsid w:val="00876D58"/>
    <w:rsid w:val="0087718C"/>
    <w:rsid w:val="0087762F"/>
    <w:rsid w:val="0087792A"/>
    <w:rsid w:val="00877D28"/>
    <w:rsid w:val="00880B78"/>
    <w:rsid w:val="00880EC9"/>
    <w:rsid w:val="00881219"/>
    <w:rsid w:val="008815C5"/>
    <w:rsid w:val="00881808"/>
    <w:rsid w:val="008819C1"/>
    <w:rsid w:val="008820C0"/>
    <w:rsid w:val="008821D1"/>
    <w:rsid w:val="00882264"/>
    <w:rsid w:val="0088244E"/>
    <w:rsid w:val="008824A8"/>
    <w:rsid w:val="00882AD1"/>
    <w:rsid w:val="00882BF3"/>
    <w:rsid w:val="00883F33"/>
    <w:rsid w:val="00883F6E"/>
    <w:rsid w:val="0088400A"/>
    <w:rsid w:val="0088421A"/>
    <w:rsid w:val="0088422A"/>
    <w:rsid w:val="008842A4"/>
    <w:rsid w:val="008845DF"/>
    <w:rsid w:val="008846ED"/>
    <w:rsid w:val="00884792"/>
    <w:rsid w:val="00884895"/>
    <w:rsid w:val="0088494D"/>
    <w:rsid w:val="00884BCF"/>
    <w:rsid w:val="00884C42"/>
    <w:rsid w:val="00884D13"/>
    <w:rsid w:val="00885453"/>
    <w:rsid w:val="0088566B"/>
    <w:rsid w:val="00885937"/>
    <w:rsid w:val="00885DE1"/>
    <w:rsid w:val="00886069"/>
    <w:rsid w:val="008866B3"/>
    <w:rsid w:val="00886919"/>
    <w:rsid w:val="00886AE2"/>
    <w:rsid w:val="00886D2E"/>
    <w:rsid w:val="00886F75"/>
    <w:rsid w:val="008877D3"/>
    <w:rsid w:val="00887AA7"/>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55F4"/>
    <w:rsid w:val="00895D92"/>
    <w:rsid w:val="00895FD3"/>
    <w:rsid w:val="008961B5"/>
    <w:rsid w:val="00896328"/>
    <w:rsid w:val="00896975"/>
    <w:rsid w:val="00896C7A"/>
    <w:rsid w:val="00897728"/>
    <w:rsid w:val="00897C8C"/>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5DEA"/>
    <w:rsid w:val="008A61AE"/>
    <w:rsid w:val="008A6B9D"/>
    <w:rsid w:val="008A7943"/>
    <w:rsid w:val="008A7E87"/>
    <w:rsid w:val="008B03B0"/>
    <w:rsid w:val="008B04D4"/>
    <w:rsid w:val="008B08AF"/>
    <w:rsid w:val="008B0FEA"/>
    <w:rsid w:val="008B18AD"/>
    <w:rsid w:val="008B1A15"/>
    <w:rsid w:val="008B1B9A"/>
    <w:rsid w:val="008B1BF8"/>
    <w:rsid w:val="008B1F86"/>
    <w:rsid w:val="008B296C"/>
    <w:rsid w:val="008B2A44"/>
    <w:rsid w:val="008B2A8A"/>
    <w:rsid w:val="008B30EE"/>
    <w:rsid w:val="008B3146"/>
    <w:rsid w:val="008B3547"/>
    <w:rsid w:val="008B39D1"/>
    <w:rsid w:val="008B3FB1"/>
    <w:rsid w:val="008B4130"/>
    <w:rsid w:val="008B55EC"/>
    <w:rsid w:val="008B56F2"/>
    <w:rsid w:val="008B5911"/>
    <w:rsid w:val="008B5BB6"/>
    <w:rsid w:val="008B63B8"/>
    <w:rsid w:val="008B63CF"/>
    <w:rsid w:val="008B63FF"/>
    <w:rsid w:val="008B655B"/>
    <w:rsid w:val="008B6990"/>
    <w:rsid w:val="008B71ED"/>
    <w:rsid w:val="008B724B"/>
    <w:rsid w:val="008B771E"/>
    <w:rsid w:val="008B7AE0"/>
    <w:rsid w:val="008B7B41"/>
    <w:rsid w:val="008B7DA5"/>
    <w:rsid w:val="008B7F74"/>
    <w:rsid w:val="008C046C"/>
    <w:rsid w:val="008C0530"/>
    <w:rsid w:val="008C0709"/>
    <w:rsid w:val="008C0804"/>
    <w:rsid w:val="008C0BE9"/>
    <w:rsid w:val="008C18F2"/>
    <w:rsid w:val="008C25BA"/>
    <w:rsid w:val="008C2A1E"/>
    <w:rsid w:val="008C36E8"/>
    <w:rsid w:val="008C3976"/>
    <w:rsid w:val="008C3F5D"/>
    <w:rsid w:val="008C41BC"/>
    <w:rsid w:val="008C433D"/>
    <w:rsid w:val="008C5B21"/>
    <w:rsid w:val="008C5D39"/>
    <w:rsid w:val="008C5E13"/>
    <w:rsid w:val="008C5E80"/>
    <w:rsid w:val="008C6A2A"/>
    <w:rsid w:val="008C6B8A"/>
    <w:rsid w:val="008C7111"/>
    <w:rsid w:val="008C789F"/>
    <w:rsid w:val="008C7A41"/>
    <w:rsid w:val="008C7A79"/>
    <w:rsid w:val="008C7F9A"/>
    <w:rsid w:val="008D002B"/>
    <w:rsid w:val="008D0341"/>
    <w:rsid w:val="008D04B9"/>
    <w:rsid w:val="008D0E9D"/>
    <w:rsid w:val="008D1186"/>
    <w:rsid w:val="008D17A1"/>
    <w:rsid w:val="008D1856"/>
    <w:rsid w:val="008D2342"/>
    <w:rsid w:val="008D2402"/>
    <w:rsid w:val="008D2415"/>
    <w:rsid w:val="008D281D"/>
    <w:rsid w:val="008D28DA"/>
    <w:rsid w:val="008D2A9D"/>
    <w:rsid w:val="008D30F9"/>
    <w:rsid w:val="008D39D6"/>
    <w:rsid w:val="008D3A71"/>
    <w:rsid w:val="008D3B1B"/>
    <w:rsid w:val="008D3CC5"/>
    <w:rsid w:val="008D4345"/>
    <w:rsid w:val="008D456F"/>
    <w:rsid w:val="008D48B4"/>
    <w:rsid w:val="008D4DF1"/>
    <w:rsid w:val="008D4EE4"/>
    <w:rsid w:val="008D5028"/>
    <w:rsid w:val="008D550A"/>
    <w:rsid w:val="008D55CF"/>
    <w:rsid w:val="008D574E"/>
    <w:rsid w:val="008D583C"/>
    <w:rsid w:val="008D6439"/>
    <w:rsid w:val="008D6A6C"/>
    <w:rsid w:val="008D6AB6"/>
    <w:rsid w:val="008D6DE1"/>
    <w:rsid w:val="008D6F78"/>
    <w:rsid w:val="008D719F"/>
    <w:rsid w:val="008D7231"/>
    <w:rsid w:val="008D7452"/>
    <w:rsid w:val="008D7A22"/>
    <w:rsid w:val="008D7FCC"/>
    <w:rsid w:val="008E01A8"/>
    <w:rsid w:val="008E038C"/>
    <w:rsid w:val="008E04A4"/>
    <w:rsid w:val="008E0BAC"/>
    <w:rsid w:val="008E0C42"/>
    <w:rsid w:val="008E0F3C"/>
    <w:rsid w:val="008E1285"/>
    <w:rsid w:val="008E1511"/>
    <w:rsid w:val="008E19C6"/>
    <w:rsid w:val="008E20BB"/>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478"/>
    <w:rsid w:val="008E5DC2"/>
    <w:rsid w:val="008E5FE7"/>
    <w:rsid w:val="008E6238"/>
    <w:rsid w:val="008E6418"/>
    <w:rsid w:val="008E646C"/>
    <w:rsid w:val="008E69E5"/>
    <w:rsid w:val="008E6F52"/>
    <w:rsid w:val="008E72C7"/>
    <w:rsid w:val="008E79F2"/>
    <w:rsid w:val="008E7AEF"/>
    <w:rsid w:val="008E7BD5"/>
    <w:rsid w:val="008E7CC4"/>
    <w:rsid w:val="008F0587"/>
    <w:rsid w:val="008F05BF"/>
    <w:rsid w:val="008F08BE"/>
    <w:rsid w:val="008F0959"/>
    <w:rsid w:val="008F0DF8"/>
    <w:rsid w:val="008F11FB"/>
    <w:rsid w:val="008F135D"/>
    <w:rsid w:val="008F1817"/>
    <w:rsid w:val="008F1840"/>
    <w:rsid w:val="008F19B5"/>
    <w:rsid w:val="008F2AEF"/>
    <w:rsid w:val="008F318D"/>
    <w:rsid w:val="008F34B3"/>
    <w:rsid w:val="008F356C"/>
    <w:rsid w:val="008F35D0"/>
    <w:rsid w:val="008F3E2F"/>
    <w:rsid w:val="008F4149"/>
    <w:rsid w:val="008F4367"/>
    <w:rsid w:val="008F446D"/>
    <w:rsid w:val="008F447F"/>
    <w:rsid w:val="008F4EE9"/>
    <w:rsid w:val="008F4F6A"/>
    <w:rsid w:val="008F5366"/>
    <w:rsid w:val="008F54D7"/>
    <w:rsid w:val="008F680D"/>
    <w:rsid w:val="008F706F"/>
    <w:rsid w:val="008F7354"/>
    <w:rsid w:val="008F73F1"/>
    <w:rsid w:val="008F770A"/>
    <w:rsid w:val="008F7EC8"/>
    <w:rsid w:val="008F7F5D"/>
    <w:rsid w:val="009001F9"/>
    <w:rsid w:val="009005A8"/>
    <w:rsid w:val="009007E4"/>
    <w:rsid w:val="00900A6B"/>
    <w:rsid w:val="00900C64"/>
    <w:rsid w:val="00901B5E"/>
    <w:rsid w:val="0090258B"/>
    <w:rsid w:val="009026F1"/>
    <w:rsid w:val="00902B9C"/>
    <w:rsid w:val="00902DF5"/>
    <w:rsid w:val="009031DC"/>
    <w:rsid w:val="009031FD"/>
    <w:rsid w:val="00903489"/>
    <w:rsid w:val="009035CB"/>
    <w:rsid w:val="00903C45"/>
    <w:rsid w:val="00903E01"/>
    <w:rsid w:val="00904051"/>
    <w:rsid w:val="00904115"/>
    <w:rsid w:val="00904242"/>
    <w:rsid w:val="009044EE"/>
    <w:rsid w:val="00905886"/>
    <w:rsid w:val="0090598C"/>
    <w:rsid w:val="00905A62"/>
    <w:rsid w:val="00905B1B"/>
    <w:rsid w:val="00905BB3"/>
    <w:rsid w:val="00905D69"/>
    <w:rsid w:val="00905E69"/>
    <w:rsid w:val="00905E9C"/>
    <w:rsid w:val="00905F03"/>
    <w:rsid w:val="00906131"/>
    <w:rsid w:val="00906FF3"/>
    <w:rsid w:val="00907390"/>
    <w:rsid w:val="00907CBA"/>
    <w:rsid w:val="00907D11"/>
    <w:rsid w:val="00907D54"/>
    <w:rsid w:val="00907F66"/>
    <w:rsid w:val="0091049C"/>
    <w:rsid w:val="00910ADE"/>
    <w:rsid w:val="00910BF4"/>
    <w:rsid w:val="00910D6B"/>
    <w:rsid w:val="00910E0C"/>
    <w:rsid w:val="0091170C"/>
    <w:rsid w:val="0091186A"/>
    <w:rsid w:val="00911AF7"/>
    <w:rsid w:val="00911CC0"/>
    <w:rsid w:val="00911FF4"/>
    <w:rsid w:val="009121FB"/>
    <w:rsid w:val="0091232D"/>
    <w:rsid w:val="00912E42"/>
    <w:rsid w:val="00912F67"/>
    <w:rsid w:val="00913007"/>
    <w:rsid w:val="0091321A"/>
    <w:rsid w:val="00913467"/>
    <w:rsid w:val="00913728"/>
    <w:rsid w:val="00913880"/>
    <w:rsid w:val="009139EA"/>
    <w:rsid w:val="009141F5"/>
    <w:rsid w:val="00914821"/>
    <w:rsid w:val="00914BB5"/>
    <w:rsid w:val="00914CDF"/>
    <w:rsid w:val="0091504D"/>
    <w:rsid w:val="00915508"/>
    <w:rsid w:val="00915640"/>
    <w:rsid w:val="009156F0"/>
    <w:rsid w:val="009157D5"/>
    <w:rsid w:val="00915909"/>
    <w:rsid w:val="00915DAB"/>
    <w:rsid w:val="00915EB3"/>
    <w:rsid w:val="0091682C"/>
    <w:rsid w:val="0091695E"/>
    <w:rsid w:val="00916AA5"/>
    <w:rsid w:val="00916B5F"/>
    <w:rsid w:val="00916C83"/>
    <w:rsid w:val="00916FB0"/>
    <w:rsid w:val="00917287"/>
    <w:rsid w:val="009176E6"/>
    <w:rsid w:val="00917CCE"/>
    <w:rsid w:val="00920E6C"/>
    <w:rsid w:val="00921210"/>
    <w:rsid w:val="0092160A"/>
    <w:rsid w:val="00921658"/>
    <w:rsid w:val="0092176E"/>
    <w:rsid w:val="00922388"/>
    <w:rsid w:val="00922A01"/>
    <w:rsid w:val="00923527"/>
    <w:rsid w:val="00923C7E"/>
    <w:rsid w:val="00923EDC"/>
    <w:rsid w:val="0092472F"/>
    <w:rsid w:val="00924CC1"/>
    <w:rsid w:val="009268C8"/>
    <w:rsid w:val="00926BC1"/>
    <w:rsid w:val="00926CD8"/>
    <w:rsid w:val="00926F26"/>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6E8"/>
    <w:rsid w:val="00934CC8"/>
    <w:rsid w:val="00934E42"/>
    <w:rsid w:val="00934FB1"/>
    <w:rsid w:val="00935037"/>
    <w:rsid w:val="0093512B"/>
    <w:rsid w:val="00935929"/>
    <w:rsid w:val="0093610E"/>
    <w:rsid w:val="0093622E"/>
    <w:rsid w:val="009363D0"/>
    <w:rsid w:val="009364B5"/>
    <w:rsid w:val="00936540"/>
    <w:rsid w:val="00936B03"/>
    <w:rsid w:val="00936CFA"/>
    <w:rsid w:val="00936D22"/>
    <w:rsid w:val="00936F66"/>
    <w:rsid w:val="00936F6C"/>
    <w:rsid w:val="009377A7"/>
    <w:rsid w:val="00937890"/>
    <w:rsid w:val="00937F24"/>
    <w:rsid w:val="009403CC"/>
    <w:rsid w:val="00940691"/>
    <w:rsid w:val="00940811"/>
    <w:rsid w:val="00940948"/>
    <w:rsid w:val="00940ACC"/>
    <w:rsid w:val="00940E73"/>
    <w:rsid w:val="009411C6"/>
    <w:rsid w:val="00941407"/>
    <w:rsid w:val="00941758"/>
    <w:rsid w:val="0094196F"/>
    <w:rsid w:val="00941A93"/>
    <w:rsid w:val="00942076"/>
    <w:rsid w:val="0094213B"/>
    <w:rsid w:val="0094274E"/>
    <w:rsid w:val="009427D4"/>
    <w:rsid w:val="00942865"/>
    <w:rsid w:val="0094374B"/>
    <w:rsid w:val="00943D7A"/>
    <w:rsid w:val="009445F1"/>
    <w:rsid w:val="00944761"/>
    <w:rsid w:val="00944B59"/>
    <w:rsid w:val="00944CAC"/>
    <w:rsid w:val="00944CB0"/>
    <w:rsid w:val="0094516D"/>
    <w:rsid w:val="00945477"/>
    <w:rsid w:val="009454AA"/>
    <w:rsid w:val="009455E6"/>
    <w:rsid w:val="009456D8"/>
    <w:rsid w:val="00945BCA"/>
    <w:rsid w:val="00945F78"/>
    <w:rsid w:val="00946718"/>
    <w:rsid w:val="00946881"/>
    <w:rsid w:val="00946E09"/>
    <w:rsid w:val="00946F7E"/>
    <w:rsid w:val="0094738E"/>
    <w:rsid w:val="009476A4"/>
    <w:rsid w:val="00947B97"/>
    <w:rsid w:val="00950016"/>
    <w:rsid w:val="00950116"/>
    <w:rsid w:val="0095026C"/>
    <w:rsid w:val="00950A49"/>
    <w:rsid w:val="00950B4E"/>
    <w:rsid w:val="00950F7A"/>
    <w:rsid w:val="00951232"/>
    <w:rsid w:val="00951579"/>
    <w:rsid w:val="00951F41"/>
    <w:rsid w:val="00952224"/>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A64"/>
    <w:rsid w:val="00956E39"/>
    <w:rsid w:val="009578F7"/>
    <w:rsid w:val="0096055A"/>
    <w:rsid w:val="00960835"/>
    <w:rsid w:val="00960C64"/>
    <w:rsid w:val="00960F50"/>
    <w:rsid w:val="009610D4"/>
    <w:rsid w:val="009618E4"/>
    <w:rsid w:val="00961E3C"/>
    <w:rsid w:val="00961EF4"/>
    <w:rsid w:val="009621F5"/>
    <w:rsid w:val="0096285C"/>
    <w:rsid w:val="00962C3C"/>
    <w:rsid w:val="00963058"/>
    <w:rsid w:val="0096329C"/>
    <w:rsid w:val="009633A3"/>
    <w:rsid w:val="009635FC"/>
    <w:rsid w:val="00963678"/>
    <w:rsid w:val="00963C47"/>
    <w:rsid w:val="00964181"/>
    <w:rsid w:val="009643D1"/>
    <w:rsid w:val="009644F6"/>
    <w:rsid w:val="0096465D"/>
    <w:rsid w:val="009649C8"/>
    <w:rsid w:val="00964D8B"/>
    <w:rsid w:val="009653C9"/>
    <w:rsid w:val="009654F5"/>
    <w:rsid w:val="00965BA3"/>
    <w:rsid w:val="0096688C"/>
    <w:rsid w:val="00966CCD"/>
    <w:rsid w:val="00966F3D"/>
    <w:rsid w:val="0096718F"/>
    <w:rsid w:val="0096735E"/>
    <w:rsid w:val="00967864"/>
    <w:rsid w:val="00967A82"/>
    <w:rsid w:val="00967B38"/>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1C9"/>
    <w:rsid w:val="009747B6"/>
    <w:rsid w:val="009748AD"/>
    <w:rsid w:val="00974AF7"/>
    <w:rsid w:val="00974B13"/>
    <w:rsid w:val="00974BC6"/>
    <w:rsid w:val="00974E14"/>
    <w:rsid w:val="00974EDA"/>
    <w:rsid w:val="00974FE3"/>
    <w:rsid w:val="009757EC"/>
    <w:rsid w:val="009761CD"/>
    <w:rsid w:val="00976959"/>
    <w:rsid w:val="009769A7"/>
    <w:rsid w:val="009769F4"/>
    <w:rsid w:val="00976A8B"/>
    <w:rsid w:val="00976FA9"/>
    <w:rsid w:val="009770F3"/>
    <w:rsid w:val="009771A9"/>
    <w:rsid w:val="00980000"/>
    <w:rsid w:val="00980037"/>
    <w:rsid w:val="009800B3"/>
    <w:rsid w:val="009800D4"/>
    <w:rsid w:val="009814B9"/>
    <w:rsid w:val="00981C07"/>
    <w:rsid w:val="00981C41"/>
    <w:rsid w:val="00981C60"/>
    <w:rsid w:val="00982312"/>
    <w:rsid w:val="0098239B"/>
    <w:rsid w:val="0098309E"/>
    <w:rsid w:val="009834DC"/>
    <w:rsid w:val="00983C1D"/>
    <w:rsid w:val="0098402E"/>
    <w:rsid w:val="00984688"/>
    <w:rsid w:val="009846A3"/>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D8B"/>
    <w:rsid w:val="00990FA4"/>
    <w:rsid w:val="00991412"/>
    <w:rsid w:val="00991C5C"/>
    <w:rsid w:val="00991C73"/>
    <w:rsid w:val="0099217C"/>
    <w:rsid w:val="0099237C"/>
    <w:rsid w:val="009924DF"/>
    <w:rsid w:val="00992F4E"/>
    <w:rsid w:val="00993270"/>
    <w:rsid w:val="009934AC"/>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315"/>
    <w:rsid w:val="009A1917"/>
    <w:rsid w:val="009A1C80"/>
    <w:rsid w:val="009A1FAF"/>
    <w:rsid w:val="009A21FE"/>
    <w:rsid w:val="009A23E4"/>
    <w:rsid w:val="009A2854"/>
    <w:rsid w:val="009A2F40"/>
    <w:rsid w:val="009A32EC"/>
    <w:rsid w:val="009A3AFE"/>
    <w:rsid w:val="009A3EA6"/>
    <w:rsid w:val="009A4080"/>
    <w:rsid w:val="009A45AE"/>
    <w:rsid w:val="009A54D0"/>
    <w:rsid w:val="009A595B"/>
    <w:rsid w:val="009A5A32"/>
    <w:rsid w:val="009A5CE6"/>
    <w:rsid w:val="009A65F6"/>
    <w:rsid w:val="009A6A03"/>
    <w:rsid w:val="009A6FE3"/>
    <w:rsid w:val="009A73A8"/>
    <w:rsid w:val="009A79F3"/>
    <w:rsid w:val="009A7A58"/>
    <w:rsid w:val="009A7BB1"/>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7D80"/>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3AE7"/>
    <w:rsid w:val="009C424F"/>
    <w:rsid w:val="009C42DA"/>
    <w:rsid w:val="009C4549"/>
    <w:rsid w:val="009C45A7"/>
    <w:rsid w:val="009C45F2"/>
    <w:rsid w:val="009C4BE9"/>
    <w:rsid w:val="009C4BF2"/>
    <w:rsid w:val="009C5869"/>
    <w:rsid w:val="009C58BA"/>
    <w:rsid w:val="009C58D5"/>
    <w:rsid w:val="009C5C02"/>
    <w:rsid w:val="009C5E9D"/>
    <w:rsid w:val="009C6059"/>
    <w:rsid w:val="009C62D3"/>
    <w:rsid w:val="009C63D4"/>
    <w:rsid w:val="009C6819"/>
    <w:rsid w:val="009C6C00"/>
    <w:rsid w:val="009C739C"/>
    <w:rsid w:val="009C73D5"/>
    <w:rsid w:val="009C740B"/>
    <w:rsid w:val="009C7A51"/>
    <w:rsid w:val="009C7E75"/>
    <w:rsid w:val="009C7FEB"/>
    <w:rsid w:val="009D02DC"/>
    <w:rsid w:val="009D074E"/>
    <w:rsid w:val="009D0B17"/>
    <w:rsid w:val="009D0BCC"/>
    <w:rsid w:val="009D1810"/>
    <w:rsid w:val="009D1929"/>
    <w:rsid w:val="009D1CA7"/>
    <w:rsid w:val="009D1F4B"/>
    <w:rsid w:val="009D2A21"/>
    <w:rsid w:val="009D30A9"/>
    <w:rsid w:val="009D3109"/>
    <w:rsid w:val="009D3329"/>
    <w:rsid w:val="009D3520"/>
    <w:rsid w:val="009D3721"/>
    <w:rsid w:val="009D3778"/>
    <w:rsid w:val="009D3AC5"/>
    <w:rsid w:val="009D3DF5"/>
    <w:rsid w:val="009D3EB5"/>
    <w:rsid w:val="009D3FC5"/>
    <w:rsid w:val="009D3FE0"/>
    <w:rsid w:val="009D4C1F"/>
    <w:rsid w:val="009D5602"/>
    <w:rsid w:val="009D6140"/>
    <w:rsid w:val="009D6207"/>
    <w:rsid w:val="009D639D"/>
    <w:rsid w:val="009D68C7"/>
    <w:rsid w:val="009D712D"/>
    <w:rsid w:val="009D7277"/>
    <w:rsid w:val="009D73AB"/>
    <w:rsid w:val="009D7AEF"/>
    <w:rsid w:val="009D7DEC"/>
    <w:rsid w:val="009E003D"/>
    <w:rsid w:val="009E03BF"/>
    <w:rsid w:val="009E059E"/>
    <w:rsid w:val="009E05F1"/>
    <w:rsid w:val="009E063F"/>
    <w:rsid w:val="009E07C1"/>
    <w:rsid w:val="009E0894"/>
    <w:rsid w:val="009E0913"/>
    <w:rsid w:val="009E094A"/>
    <w:rsid w:val="009E0E2E"/>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825"/>
    <w:rsid w:val="009E6BCE"/>
    <w:rsid w:val="009E6D65"/>
    <w:rsid w:val="009E6EAE"/>
    <w:rsid w:val="009E77D7"/>
    <w:rsid w:val="009E7C95"/>
    <w:rsid w:val="009E7D8C"/>
    <w:rsid w:val="009E7FF0"/>
    <w:rsid w:val="009F05DB"/>
    <w:rsid w:val="009F1BD4"/>
    <w:rsid w:val="009F2306"/>
    <w:rsid w:val="009F28FF"/>
    <w:rsid w:val="009F2DC9"/>
    <w:rsid w:val="009F37E9"/>
    <w:rsid w:val="009F3AF1"/>
    <w:rsid w:val="009F3C34"/>
    <w:rsid w:val="009F3D65"/>
    <w:rsid w:val="009F3FA8"/>
    <w:rsid w:val="009F427F"/>
    <w:rsid w:val="009F4424"/>
    <w:rsid w:val="009F45D0"/>
    <w:rsid w:val="009F4AF6"/>
    <w:rsid w:val="009F4B50"/>
    <w:rsid w:val="009F518C"/>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198"/>
    <w:rsid w:val="00A035A3"/>
    <w:rsid w:val="00A0378E"/>
    <w:rsid w:val="00A037C9"/>
    <w:rsid w:val="00A03FEE"/>
    <w:rsid w:val="00A04347"/>
    <w:rsid w:val="00A048F7"/>
    <w:rsid w:val="00A04D38"/>
    <w:rsid w:val="00A04F0E"/>
    <w:rsid w:val="00A053D4"/>
    <w:rsid w:val="00A05435"/>
    <w:rsid w:val="00A05461"/>
    <w:rsid w:val="00A05577"/>
    <w:rsid w:val="00A055E8"/>
    <w:rsid w:val="00A055F5"/>
    <w:rsid w:val="00A064C0"/>
    <w:rsid w:val="00A06891"/>
    <w:rsid w:val="00A06CBC"/>
    <w:rsid w:val="00A07033"/>
    <w:rsid w:val="00A0721C"/>
    <w:rsid w:val="00A0765F"/>
    <w:rsid w:val="00A07846"/>
    <w:rsid w:val="00A07AD0"/>
    <w:rsid w:val="00A07B93"/>
    <w:rsid w:val="00A07DCA"/>
    <w:rsid w:val="00A105A8"/>
    <w:rsid w:val="00A10710"/>
    <w:rsid w:val="00A10C6F"/>
    <w:rsid w:val="00A110F2"/>
    <w:rsid w:val="00A116E5"/>
    <w:rsid w:val="00A11DF5"/>
    <w:rsid w:val="00A11E75"/>
    <w:rsid w:val="00A12513"/>
    <w:rsid w:val="00A12646"/>
    <w:rsid w:val="00A12ADD"/>
    <w:rsid w:val="00A1389E"/>
    <w:rsid w:val="00A13957"/>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99E"/>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0DF"/>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7286"/>
    <w:rsid w:val="00A273E3"/>
    <w:rsid w:val="00A2783F"/>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A2D"/>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1DC"/>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0FF"/>
    <w:rsid w:val="00A45143"/>
    <w:rsid w:val="00A455AD"/>
    <w:rsid w:val="00A4667C"/>
    <w:rsid w:val="00A4693F"/>
    <w:rsid w:val="00A46C59"/>
    <w:rsid w:val="00A46FF8"/>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26B4"/>
    <w:rsid w:val="00A52FAB"/>
    <w:rsid w:val="00A53120"/>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4E"/>
    <w:rsid w:val="00A645CE"/>
    <w:rsid w:val="00A649E1"/>
    <w:rsid w:val="00A656E7"/>
    <w:rsid w:val="00A65820"/>
    <w:rsid w:val="00A65964"/>
    <w:rsid w:val="00A65FB7"/>
    <w:rsid w:val="00A6618D"/>
    <w:rsid w:val="00A662F8"/>
    <w:rsid w:val="00A66372"/>
    <w:rsid w:val="00A66376"/>
    <w:rsid w:val="00A6647C"/>
    <w:rsid w:val="00A66803"/>
    <w:rsid w:val="00A66940"/>
    <w:rsid w:val="00A66D9B"/>
    <w:rsid w:val="00A66D9F"/>
    <w:rsid w:val="00A67215"/>
    <w:rsid w:val="00A67395"/>
    <w:rsid w:val="00A67655"/>
    <w:rsid w:val="00A678A3"/>
    <w:rsid w:val="00A67A75"/>
    <w:rsid w:val="00A67DA4"/>
    <w:rsid w:val="00A70228"/>
    <w:rsid w:val="00A703D7"/>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E13"/>
    <w:rsid w:val="00A75191"/>
    <w:rsid w:val="00A752B2"/>
    <w:rsid w:val="00A75503"/>
    <w:rsid w:val="00A7578E"/>
    <w:rsid w:val="00A75A6C"/>
    <w:rsid w:val="00A75DEC"/>
    <w:rsid w:val="00A76563"/>
    <w:rsid w:val="00A76A59"/>
    <w:rsid w:val="00A76FB0"/>
    <w:rsid w:val="00A7735E"/>
    <w:rsid w:val="00A77910"/>
    <w:rsid w:val="00A77A9B"/>
    <w:rsid w:val="00A77FBE"/>
    <w:rsid w:val="00A80BD3"/>
    <w:rsid w:val="00A81149"/>
    <w:rsid w:val="00A81296"/>
    <w:rsid w:val="00A8137A"/>
    <w:rsid w:val="00A81574"/>
    <w:rsid w:val="00A817F3"/>
    <w:rsid w:val="00A81B6B"/>
    <w:rsid w:val="00A81C40"/>
    <w:rsid w:val="00A82136"/>
    <w:rsid w:val="00A82304"/>
    <w:rsid w:val="00A824D1"/>
    <w:rsid w:val="00A82785"/>
    <w:rsid w:val="00A82C7A"/>
    <w:rsid w:val="00A82D9C"/>
    <w:rsid w:val="00A83128"/>
    <w:rsid w:val="00A832FD"/>
    <w:rsid w:val="00A83383"/>
    <w:rsid w:val="00A83497"/>
    <w:rsid w:val="00A838E8"/>
    <w:rsid w:val="00A84285"/>
    <w:rsid w:val="00A84360"/>
    <w:rsid w:val="00A84A77"/>
    <w:rsid w:val="00A84D82"/>
    <w:rsid w:val="00A84E96"/>
    <w:rsid w:val="00A85321"/>
    <w:rsid w:val="00A853AE"/>
    <w:rsid w:val="00A85526"/>
    <w:rsid w:val="00A857F8"/>
    <w:rsid w:val="00A858B8"/>
    <w:rsid w:val="00A858FD"/>
    <w:rsid w:val="00A85D0D"/>
    <w:rsid w:val="00A86688"/>
    <w:rsid w:val="00A86974"/>
    <w:rsid w:val="00A86E66"/>
    <w:rsid w:val="00A86EE7"/>
    <w:rsid w:val="00A87D34"/>
    <w:rsid w:val="00A907A4"/>
    <w:rsid w:val="00A91337"/>
    <w:rsid w:val="00A91460"/>
    <w:rsid w:val="00A91773"/>
    <w:rsid w:val="00A91DB1"/>
    <w:rsid w:val="00A91E59"/>
    <w:rsid w:val="00A91F75"/>
    <w:rsid w:val="00A92799"/>
    <w:rsid w:val="00A92A36"/>
    <w:rsid w:val="00A92D0F"/>
    <w:rsid w:val="00A92D51"/>
    <w:rsid w:val="00A9347C"/>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3484"/>
    <w:rsid w:val="00AA3A0C"/>
    <w:rsid w:val="00AA3A48"/>
    <w:rsid w:val="00AA3ADC"/>
    <w:rsid w:val="00AA3C05"/>
    <w:rsid w:val="00AA3C3A"/>
    <w:rsid w:val="00AA462A"/>
    <w:rsid w:val="00AA486F"/>
    <w:rsid w:val="00AA55BA"/>
    <w:rsid w:val="00AA570D"/>
    <w:rsid w:val="00AA5DE9"/>
    <w:rsid w:val="00AA5ECD"/>
    <w:rsid w:val="00AA60E5"/>
    <w:rsid w:val="00AA60ED"/>
    <w:rsid w:val="00AA68C5"/>
    <w:rsid w:val="00AA734B"/>
    <w:rsid w:val="00AA73DF"/>
    <w:rsid w:val="00AA7C01"/>
    <w:rsid w:val="00AA7C34"/>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604B"/>
    <w:rsid w:val="00AB60FA"/>
    <w:rsid w:val="00AB62ED"/>
    <w:rsid w:val="00AB67BF"/>
    <w:rsid w:val="00AB6DBA"/>
    <w:rsid w:val="00AB71D6"/>
    <w:rsid w:val="00AB7538"/>
    <w:rsid w:val="00AB799F"/>
    <w:rsid w:val="00AB7AB1"/>
    <w:rsid w:val="00AB7E4D"/>
    <w:rsid w:val="00AB7EE7"/>
    <w:rsid w:val="00AB7F17"/>
    <w:rsid w:val="00AC01B4"/>
    <w:rsid w:val="00AC0239"/>
    <w:rsid w:val="00AC0877"/>
    <w:rsid w:val="00AC0923"/>
    <w:rsid w:val="00AC093D"/>
    <w:rsid w:val="00AC1005"/>
    <w:rsid w:val="00AC123B"/>
    <w:rsid w:val="00AC1413"/>
    <w:rsid w:val="00AC165A"/>
    <w:rsid w:val="00AC184B"/>
    <w:rsid w:val="00AC1F0E"/>
    <w:rsid w:val="00AC222F"/>
    <w:rsid w:val="00AC230D"/>
    <w:rsid w:val="00AC2397"/>
    <w:rsid w:val="00AC2765"/>
    <w:rsid w:val="00AC3205"/>
    <w:rsid w:val="00AC344C"/>
    <w:rsid w:val="00AC3978"/>
    <w:rsid w:val="00AC39CB"/>
    <w:rsid w:val="00AC3BF7"/>
    <w:rsid w:val="00AC3FE7"/>
    <w:rsid w:val="00AC46F0"/>
    <w:rsid w:val="00AC4855"/>
    <w:rsid w:val="00AC4A8C"/>
    <w:rsid w:val="00AC521D"/>
    <w:rsid w:val="00AC57BE"/>
    <w:rsid w:val="00AC5893"/>
    <w:rsid w:val="00AC5AEB"/>
    <w:rsid w:val="00AC5B06"/>
    <w:rsid w:val="00AC5DD1"/>
    <w:rsid w:val="00AC68E5"/>
    <w:rsid w:val="00AC6ADB"/>
    <w:rsid w:val="00AC6B44"/>
    <w:rsid w:val="00AC6E6A"/>
    <w:rsid w:val="00AC6FDC"/>
    <w:rsid w:val="00AC7107"/>
    <w:rsid w:val="00AC7545"/>
    <w:rsid w:val="00AC7943"/>
    <w:rsid w:val="00AD02EE"/>
    <w:rsid w:val="00AD0917"/>
    <w:rsid w:val="00AD0BBD"/>
    <w:rsid w:val="00AD0E0B"/>
    <w:rsid w:val="00AD1DE7"/>
    <w:rsid w:val="00AD1F07"/>
    <w:rsid w:val="00AD23B9"/>
    <w:rsid w:val="00AD2965"/>
    <w:rsid w:val="00AD2B23"/>
    <w:rsid w:val="00AD2B27"/>
    <w:rsid w:val="00AD34A8"/>
    <w:rsid w:val="00AD38C4"/>
    <w:rsid w:val="00AD3A4B"/>
    <w:rsid w:val="00AD3BE3"/>
    <w:rsid w:val="00AD3C01"/>
    <w:rsid w:val="00AD3C0B"/>
    <w:rsid w:val="00AD404E"/>
    <w:rsid w:val="00AD4066"/>
    <w:rsid w:val="00AD41D5"/>
    <w:rsid w:val="00AD48B3"/>
    <w:rsid w:val="00AD4983"/>
    <w:rsid w:val="00AD4B6D"/>
    <w:rsid w:val="00AD4B9C"/>
    <w:rsid w:val="00AD4EFE"/>
    <w:rsid w:val="00AD5086"/>
    <w:rsid w:val="00AD536A"/>
    <w:rsid w:val="00AD578B"/>
    <w:rsid w:val="00AD5E1F"/>
    <w:rsid w:val="00AD62E6"/>
    <w:rsid w:val="00AD694D"/>
    <w:rsid w:val="00AD6D15"/>
    <w:rsid w:val="00AD6E9E"/>
    <w:rsid w:val="00AD6FD0"/>
    <w:rsid w:val="00AD7089"/>
    <w:rsid w:val="00AD7177"/>
    <w:rsid w:val="00AD7289"/>
    <w:rsid w:val="00AD7516"/>
    <w:rsid w:val="00AD7F05"/>
    <w:rsid w:val="00AD7F84"/>
    <w:rsid w:val="00AE05FE"/>
    <w:rsid w:val="00AE08BA"/>
    <w:rsid w:val="00AE0B53"/>
    <w:rsid w:val="00AE0C67"/>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AAE"/>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234C"/>
    <w:rsid w:val="00AF25BB"/>
    <w:rsid w:val="00AF2622"/>
    <w:rsid w:val="00AF287F"/>
    <w:rsid w:val="00AF3241"/>
    <w:rsid w:val="00AF34EF"/>
    <w:rsid w:val="00AF35F6"/>
    <w:rsid w:val="00AF369D"/>
    <w:rsid w:val="00AF36C1"/>
    <w:rsid w:val="00AF3BEF"/>
    <w:rsid w:val="00AF4090"/>
    <w:rsid w:val="00AF4119"/>
    <w:rsid w:val="00AF45E2"/>
    <w:rsid w:val="00AF4656"/>
    <w:rsid w:val="00AF4BC2"/>
    <w:rsid w:val="00AF4DF4"/>
    <w:rsid w:val="00AF53B3"/>
    <w:rsid w:val="00AF5ED5"/>
    <w:rsid w:val="00AF63CE"/>
    <w:rsid w:val="00AF6565"/>
    <w:rsid w:val="00AF659D"/>
    <w:rsid w:val="00AF67D6"/>
    <w:rsid w:val="00AF6A90"/>
    <w:rsid w:val="00AF6F97"/>
    <w:rsid w:val="00AF73B8"/>
    <w:rsid w:val="00AF75D4"/>
    <w:rsid w:val="00AF7AF8"/>
    <w:rsid w:val="00AF7F8F"/>
    <w:rsid w:val="00B00356"/>
    <w:rsid w:val="00B004DA"/>
    <w:rsid w:val="00B00709"/>
    <w:rsid w:val="00B00969"/>
    <w:rsid w:val="00B00C55"/>
    <w:rsid w:val="00B01478"/>
    <w:rsid w:val="00B01806"/>
    <w:rsid w:val="00B01832"/>
    <w:rsid w:val="00B018DE"/>
    <w:rsid w:val="00B01D51"/>
    <w:rsid w:val="00B01E83"/>
    <w:rsid w:val="00B022B5"/>
    <w:rsid w:val="00B02963"/>
    <w:rsid w:val="00B02B20"/>
    <w:rsid w:val="00B02D9F"/>
    <w:rsid w:val="00B035F9"/>
    <w:rsid w:val="00B046E9"/>
    <w:rsid w:val="00B04C38"/>
    <w:rsid w:val="00B04F1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0EB7"/>
    <w:rsid w:val="00B113DD"/>
    <w:rsid w:val="00B11D90"/>
    <w:rsid w:val="00B124F8"/>
    <w:rsid w:val="00B1287B"/>
    <w:rsid w:val="00B12CC5"/>
    <w:rsid w:val="00B12D2B"/>
    <w:rsid w:val="00B12E62"/>
    <w:rsid w:val="00B12E9F"/>
    <w:rsid w:val="00B13098"/>
    <w:rsid w:val="00B1353B"/>
    <w:rsid w:val="00B13F69"/>
    <w:rsid w:val="00B1418E"/>
    <w:rsid w:val="00B141DA"/>
    <w:rsid w:val="00B1424B"/>
    <w:rsid w:val="00B14794"/>
    <w:rsid w:val="00B14938"/>
    <w:rsid w:val="00B14C4B"/>
    <w:rsid w:val="00B14CD8"/>
    <w:rsid w:val="00B14FE5"/>
    <w:rsid w:val="00B1521D"/>
    <w:rsid w:val="00B156A7"/>
    <w:rsid w:val="00B15D07"/>
    <w:rsid w:val="00B15D42"/>
    <w:rsid w:val="00B15D8A"/>
    <w:rsid w:val="00B15DA7"/>
    <w:rsid w:val="00B15F83"/>
    <w:rsid w:val="00B165F3"/>
    <w:rsid w:val="00B1697B"/>
    <w:rsid w:val="00B16EAC"/>
    <w:rsid w:val="00B17990"/>
    <w:rsid w:val="00B17B3D"/>
    <w:rsid w:val="00B17B64"/>
    <w:rsid w:val="00B20696"/>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634"/>
    <w:rsid w:val="00B27B23"/>
    <w:rsid w:val="00B27D16"/>
    <w:rsid w:val="00B27E04"/>
    <w:rsid w:val="00B27F53"/>
    <w:rsid w:val="00B301A2"/>
    <w:rsid w:val="00B303B3"/>
    <w:rsid w:val="00B3054C"/>
    <w:rsid w:val="00B30DF4"/>
    <w:rsid w:val="00B30E02"/>
    <w:rsid w:val="00B31068"/>
    <w:rsid w:val="00B313C9"/>
    <w:rsid w:val="00B31457"/>
    <w:rsid w:val="00B3172B"/>
    <w:rsid w:val="00B31755"/>
    <w:rsid w:val="00B3185B"/>
    <w:rsid w:val="00B318CD"/>
    <w:rsid w:val="00B31939"/>
    <w:rsid w:val="00B31CF1"/>
    <w:rsid w:val="00B3248B"/>
    <w:rsid w:val="00B32585"/>
    <w:rsid w:val="00B325AF"/>
    <w:rsid w:val="00B329E7"/>
    <w:rsid w:val="00B33387"/>
    <w:rsid w:val="00B3348D"/>
    <w:rsid w:val="00B3356E"/>
    <w:rsid w:val="00B33822"/>
    <w:rsid w:val="00B34C22"/>
    <w:rsid w:val="00B34D3D"/>
    <w:rsid w:val="00B34F59"/>
    <w:rsid w:val="00B35241"/>
    <w:rsid w:val="00B35437"/>
    <w:rsid w:val="00B358E3"/>
    <w:rsid w:val="00B35C09"/>
    <w:rsid w:val="00B35E6C"/>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96"/>
    <w:rsid w:val="00B408DD"/>
    <w:rsid w:val="00B40AAC"/>
    <w:rsid w:val="00B40B9E"/>
    <w:rsid w:val="00B40C51"/>
    <w:rsid w:val="00B40E00"/>
    <w:rsid w:val="00B40EC0"/>
    <w:rsid w:val="00B40F81"/>
    <w:rsid w:val="00B41140"/>
    <w:rsid w:val="00B4131A"/>
    <w:rsid w:val="00B4151C"/>
    <w:rsid w:val="00B415C4"/>
    <w:rsid w:val="00B41A17"/>
    <w:rsid w:val="00B41AF3"/>
    <w:rsid w:val="00B42050"/>
    <w:rsid w:val="00B426AA"/>
    <w:rsid w:val="00B42879"/>
    <w:rsid w:val="00B428B1"/>
    <w:rsid w:val="00B42A6E"/>
    <w:rsid w:val="00B42BE3"/>
    <w:rsid w:val="00B43091"/>
    <w:rsid w:val="00B43648"/>
    <w:rsid w:val="00B436B0"/>
    <w:rsid w:val="00B43F8C"/>
    <w:rsid w:val="00B44ADF"/>
    <w:rsid w:val="00B450B9"/>
    <w:rsid w:val="00B452DD"/>
    <w:rsid w:val="00B4602F"/>
    <w:rsid w:val="00B46815"/>
    <w:rsid w:val="00B46A3D"/>
    <w:rsid w:val="00B46C2E"/>
    <w:rsid w:val="00B46FF7"/>
    <w:rsid w:val="00B470FF"/>
    <w:rsid w:val="00B472A2"/>
    <w:rsid w:val="00B4771B"/>
    <w:rsid w:val="00B47AC4"/>
    <w:rsid w:val="00B47F3E"/>
    <w:rsid w:val="00B5072A"/>
    <w:rsid w:val="00B50C1D"/>
    <w:rsid w:val="00B50CFE"/>
    <w:rsid w:val="00B50E79"/>
    <w:rsid w:val="00B51052"/>
    <w:rsid w:val="00B5173C"/>
    <w:rsid w:val="00B518CF"/>
    <w:rsid w:val="00B5213B"/>
    <w:rsid w:val="00B52146"/>
    <w:rsid w:val="00B5284B"/>
    <w:rsid w:val="00B52CFC"/>
    <w:rsid w:val="00B52F88"/>
    <w:rsid w:val="00B53452"/>
    <w:rsid w:val="00B53525"/>
    <w:rsid w:val="00B53A55"/>
    <w:rsid w:val="00B53F4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185"/>
    <w:rsid w:val="00B60B90"/>
    <w:rsid w:val="00B611B8"/>
    <w:rsid w:val="00B616D6"/>
    <w:rsid w:val="00B616DC"/>
    <w:rsid w:val="00B61881"/>
    <w:rsid w:val="00B61C09"/>
    <w:rsid w:val="00B61C73"/>
    <w:rsid w:val="00B61C8B"/>
    <w:rsid w:val="00B61D0A"/>
    <w:rsid w:val="00B61D27"/>
    <w:rsid w:val="00B61DBE"/>
    <w:rsid w:val="00B61EDC"/>
    <w:rsid w:val="00B62150"/>
    <w:rsid w:val="00B62203"/>
    <w:rsid w:val="00B6258E"/>
    <w:rsid w:val="00B62A17"/>
    <w:rsid w:val="00B62A94"/>
    <w:rsid w:val="00B63773"/>
    <w:rsid w:val="00B63C0C"/>
    <w:rsid w:val="00B64090"/>
    <w:rsid w:val="00B64159"/>
    <w:rsid w:val="00B64578"/>
    <w:rsid w:val="00B64810"/>
    <w:rsid w:val="00B657C6"/>
    <w:rsid w:val="00B65883"/>
    <w:rsid w:val="00B66AC2"/>
    <w:rsid w:val="00B66BE4"/>
    <w:rsid w:val="00B6702D"/>
    <w:rsid w:val="00B67275"/>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C56"/>
    <w:rsid w:val="00B73429"/>
    <w:rsid w:val="00B734C4"/>
    <w:rsid w:val="00B734CD"/>
    <w:rsid w:val="00B7435E"/>
    <w:rsid w:val="00B7448D"/>
    <w:rsid w:val="00B747C7"/>
    <w:rsid w:val="00B74928"/>
    <w:rsid w:val="00B749F4"/>
    <w:rsid w:val="00B74DA1"/>
    <w:rsid w:val="00B7511E"/>
    <w:rsid w:val="00B75750"/>
    <w:rsid w:val="00B75B39"/>
    <w:rsid w:val="00B75C3D"/>
    <w:rsid w:val="00B760CD"/>
    <w:rsid w:val="00B7616B"/>
    <w:rsid w:val="00B76394"/>
    <w:rsid w:val="00B77FCE"/>
    <w:rsid w:val="00B80677"/>
    <w:rsid w:val="00B812C8"/>
    <w:rsid w:val="00B813E0"/>
    <w:rsid w:val="00B81452"/>
    <w:rsid w:val="00B81F35"/>
    <w:rsid w:val="00B82161"/>
    <w:rsid w:val="00B8226C"/>
    <w:rsid w:val="00B8265E"/>
    <w:rsid w:val="00B83BDA"/>
    <w:rsid w:val="00B8417F"/>
    <w:rsid w:val="00B84304"/>
    <w:rsid w:val="00B8433C"/>
    <w:rsid w:val="00B84847"/>
    <w:rsid w:val="00B84BA0"/>
    <w:rsid w:val="00B84BA1"/>
    <w:rsid w:val="00B84FE1"/>
    <w:rsid w:val="00B850C9"/>
    <w:rsid w:val="00B852B4"/>
    <w:rsid w:val="00B85819"/>
    <w:rsid w:val="00B85B1D"/>
    <w:rsid w:val="00B85FDF"/>
    <w:rsid w:val="00B86037"/>
    <w:rsid w:val="00B868A3"/>
    <w:rsid w:val="00B86DDE"/>
    <w:rsid w:val="00B87213"/>
    <w:rsid w:val="00B8743F"/>
    <w:rsid w:val="00B87A98"/>
    <w:rsid w:val="00B87B2E"/>
    <w:rsid w:val="00B9030A"/>
    <w:rsid w:val="00B915AE"/>
    <w:rsid w:val="00B91829"/>
    <w:rsid w:val="00B91BFA"/>
    <w:rsid w:val="00B926F9"/>
    <w:rsid w:val="00B92800"/>
    <w:rsid w:val="00B929E1"/>
    <w:rsid w:val="00B92D03"/>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48"/>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232"/>
    <w:rsid w:val="00BA65DB"/>
    <w:rsid w:val="00BA6955"/>
    <w:rsid w:val="00BA6C0F"/>
    <w:rsid w:val="00BA793E"/>
    <w:rsid w:val="00BA79CB"/>
    <w:rsid w:val="00BB005A"/>
    <w:rsid w:val="00BB00E4"/>
    <w:rsid w:val="00BB063A"/>
    <w:rsid w:val="00BB0913"/>
    <w:rsid w:val="00BB0B24"/>
    <w:rsid w:val="00BB0CD5"/>
    <w:rsid w:val="00BB0FB1"/>
    <w:rsid w:val="00BB1A42"/>
    <w:rsid w:val="00BB1BB8"/>
    <w:rsid w:val="00BB1BC5"/>
    <w:rsid w:val="00BB1C67"/>
    <w:rsid w:val="00BB1D9F"/>
    <w:rsid w:val="00BB200C"/>
    <w:rsid w:val="00BB2325"/>
    <w:rsid w:val="00BB296D"/>
    <w:rsid w:val="00BB39B3"/>
    <w:rsid w:val="00BB39CC"/>
    <w:rsid w:val="00BB40A2"/>
    <w:rsid w:val="00BB43D4"/>
    <w:rsid w:val="00BB4848"/>
    <w:rsid w:val="00BB531B"/>
    <w:rsid w:val="00BB550B"/>
    <w:rsid w:val="00BB589C"/>
    <w:rsid w:val="00BB6479"/>
    <w:rsid w:val="00BB649B"/>
    <w:rsid w:val="00BB6C65"/>
    <w:rsid w:val="00BB6C87"/>
    <w:rsid w:val="00BB6CD5"/>
    <w:rsid w:val="00BB6FCD"/>
    <w:rsid w:val="00BB76DC"/>
    <w:rsid w:val="00BB76F2"/>
    <w:rsid w:val="00BB7B4F"/>
    <w:rsid w:val="00BBAB3A"/>
    <w:rsid w:val="00BC01D9"/>
    <w:rsid w:val="00BC08D7"/>
    <w:rsid w:val="00BC0ACD"/>
    <w:rsid w:val="00BC0E65"/>
    <w:rsid w:val="00BC146A"/>
    <w:rsid w:val="00BC1C0C"/>
    <w:rsid w:val="00BC1D65"/>
    <w:rsid w:val="00BC20AD"/>
    <w:rsid w:val="00BC24B1"/>
    <w:rsid w:val="00BC2809"/>
    <w:rsid w:val="00BC3043"/>
    <w:rsid w:val="00BC349B"/>
    <w:rsid w:val="00BC3CB5"/>
    <w:rsid w:val="00BC3DD3"/>
    <w:rsid w:val="00BC45ED"/>
    <w:rsid w:val="00BC4829"/>
    <w:rsid w:val="00BC48C4"/>
    <w:rsid w:val="00BC4A16"/>
    <w:rsid w:val="00BC4B49"/>
    <w:rsid w:val="00BC4FFC"/>
    <w:rsid w:val="00BC5244"/>
    <w:rsid w:val="00BC52C2"/>
    <w:rsid w:val="00BC5A4B"/>
    <w:rsid w:val="00BC5CBC"/>
    <w:rsid w:val="00BC6034"/>
    <w:rsid w:val="00BC617D"/>
    <w:rsid w:val="00BC7803"/>
    <w:rsid w:val="00BC7AEA"/>
    <w:rsid w:val="00BD0295"/>
    <w:rsid w:val="00BD02AE"/>
    <w:rsid w:val="00BD054F"/>
    <w:rsid w:val="00BD076C"/>
    <w:rsid w:val="00BD09EF"/>
    <w:rsid w:val="00BD0B52"/>
    <w:rsid w:val="00BD12C2"/>
    <w:rsid w:val="00BD1E99"/>
    <w:rsid w:val="00BD1F75"/>
    <w:rsid w:val="00BD270A"/>
    <w:rsid w:val="00BD2C99"/>
    <w:rsid w:val="00BD2CDB"/>
    <w:rsid w:val="00BD3435"/>
    <w:rsid w:val="00BD3478"/>
    <w:rsid w:val="00BD35FF"/>
    <w:rsid w:val="00BD3904"/>
    <w:rsid w:val="00BD41C6"/>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E87"/>
    <w:rsid w:val="00BE3EC0"/>
    <w:rsid w:val="00BE41F4"/>
    <w:rsid w:val="00BE47A2"/>
    <w:rsid w:val="00BE4824"/>
    <w:rsid w:val="00BE4B76"/>
    <w:rsid w:val="00BE525C"/>
    <w:rsid w:val="00BE529C"/>
    <w:rsid w:val="00BE5A13"/>
    <w:rsid w:val="00BE6667"/>
    <w:rsid w:val="00BE6B3B"/>
    <w:rsid w:val="00BE6D91"/>
    <w:rsid w:val="00BE75DA"/>
    <w:rsid w:val="00BF0695"/>
    <w:rsid w:val="00BF1640"/>
    <w:rsid w:val="00BF1786"/>
    <w:rsid w:val="00BF183B"/>
    <w:rsid w:val="00BF19EB"/>
    <w:rsid w:val="00BF1AFC"/>
    <w:rsid w:val="00BF22B1"/>
    <w:rsid w:val="00BF22BD"/>
    <w:rsid w:val="00BF24D4"/>
    <w:rsid w:val="00BF27AA"/>
    <w:rsid w:val="00BF28E4"/>
    <w:rsid w:val="00BF2A9D"/>
    <w:rsid w:val="00BF2B94"/>
    <w:rsid w:val="00BF2DFF"/>
    <w:rsid w:val="00BF2EC5"/>
    <w:rsid w:val="00BF3030"/>
    <w:rsid w:val="00BF4057"/>
    <w:rsid w:val="00BF4AAB"/>
    <w:rsid w:val="00BF5057"/>
    <w:rsid w:val="00BF5540"/>
    <w:rsid w:val="00BF5C6E"/>
    <w:rsid w:val="00BF7237"/>
    <w:rsid w:val="00BF777D"/>
    <w:rsid w:val="00BF789F"/>
    <w:rsid w:val="00C00ED2"/>
    <w:rsid w:val="00C013F1"/>
    <w:rsid w:val="00C01453"/>
    <w:rsid w:val="00C0196B"/>
    <w:rsid w:val="00C01EE5"/>
    <w:rsid w:val="00C021E3"/>
    <w:rsid w:val="00C025A4"/>
    <w:rsid w:val="00C0313B"/>
    <w:rsid w:val="00C03598"/>
    <w:rsid w:val="00C035B3"/>
    <w:rsid w:val="00C04222"/>
    <w:rsid w:val="00C046D0"/>
    <w:rsid w:val="00C048BB"/>
    <w:rsid w:val="00C04971"/>
    <w:rsid w:val="00C049AD"/>
    <w:rsid w:val="00C04A96"/>
    <w:rsid w:val="00C0508E"/>
    <w:rsid w:val="00C050FD"/>
    <w:rsid w:val="00C057B0"/>
    <w:rsid w:val="00C05D2F"/>
    <w:rsid w:val="00C05E81"/>
    <w:rsid w:val="00C06365"/>
    <w:rsid w:val="00C063AA"/>
    <w:rsid w:val="00C06450"/>
    <w:rsid w:val="00C06970"/>
    <w:rsid w:val="00C06ABB"/>
    <w:rsid w:val="00C06B72"/>
    <w:rsid w:val="00C06E9C"/>
    <w:rsid w:val="00C06F05"/>
    <w:rsid w:val="00C07124"/>
    <w:rsid w:val="00C076BC"/>
    <w:rsid w:val="00C077B5"/>
    <w:rsid w:val="00C07A55"/>
    <w:rsid w:val="00C07A97"/>
    <w:rsid w:val="00C07CF4"/>
    <w:rsid w:val="00C07D81"/>
    <w:rsid w:val="00C10A13"/>
    <w:rsid w:val="00C11017"/>
    <w:rsid w:val="00C1174E"/>
    <w:rsid w:val="00C119B7"/>
    <w:rsid w:val="00C11C30"/>
    <w:rsid w:val="00C11F8F"/>
    <w:rsid w:val="00C11FE3"/>
    <w:rsid w:val="00C120B4"/>
    <w:rsid w:val="00C12BBA"/>
    <w:rsid w:val="00C13381"/>
    <w:rsid w:val="00C13400"/>
    <w:rsid w:val="00C13728"/>
    <w:rsid w:val="00C13867"/>
    <w:rsid w:val="00C13DD1"/>
    <w:rsid w:val="00C1418E"/>
    <w:rsid w:val="00C1494D"/>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AD6"/>
    <w:rsid w:val="00C21E9C"/>
    <w:rsid w:val="00C2229F"/>
    <w:rsid w:val="00C22BB7"/>
    <w:rsid w:val="00C22DA2"/>
    <w:rsid w:val="00C22E73"/>
    <w:rsid w:val="00C22FF7"/>
    <w:rsid w:val="00C23581"/>
    <w:rsid w:val="00C239E4"/>
    <w:rsid w:val="00C23A18"/>
    <w:rsid w:val="00C23C72"/>
    <w:rsid w:val="00C23DC4"/>
    <w:rsid w:val="00C24178"/>
    <w:rsid w:val="00C24DDD"/>
    <w:rsid w:val="00C24F11"/>
    <w:rsid w:val="00C24F86"/>
    <w:rsid w:val="00C25453"/>
    <w:rsid w:val="00C2548F"/>
    <w:rsid w:val="00C254F5"/>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9AA"/>
    <w:rsid w:val="00C31A49"/>
    <w:rsid w:val="00C31E8E"/>
    <w:rsid w:val="00C31F61"/>
    <w:rsid w:val="00C32C1C"/>
    <w:rsid w:val="00C3352C"/>
    <w:rsid w:val="00C33694"/>
    <w:rsid w:val="00C339AE"/>
    <w:rsid w:val="00C33AE6"/>
    <w:rsid w:val="00C33BCD"/>
    <w:rsid w:val="00C33BD2"/>
    <w:rsid w:val="00C33DF0"/>
    <w:rsid w:val="00C344AA"/>
    <w:rsid w:val="00C34672"/>
    <w:rsid w:val="00C348FB"/>
    <w:rsid w:val="00C34B54"/>
    <w:rsid w:val="00C354D9"/>
    <w:rsid w:val="00C355F6"/>
    <w:rsid w:val="00C35726"/>
    <w:rsid w:val="00C35E96"/>
    <w:rsid w:val="00C36704"/>
    <w:rsid w:val="00C367AC"/>
    <w:rsid w:val="00C36971"/>
    <w:rsid w:val="00C369F7"/>
    <w:rsid w:val="00C36AD6"/>
    <w:rsid w:val="00C3728D"/>
    <w:rsid w:val="00C372EF"/>
    <w:rsid w:val="00C37744"/>
    <w:rsid w:val="00C37E74"/>
    <w:rsid w:val="00C4045B"/>
    <w:rsid w:val="00C40991"/>
    <w:rsid w:val="00C40B07"/>
    <w:rsid w:val="00C413E1"/>
    <w:rsid w:val="00C416AC"/>
    <w:rsid w:val="00C41C60"/>
    <w:rsid w:val="00C41D18"/>
    <w:rsid w:val="00C42431"/>
    <w:rsid w:val="00C4266B"/>
    <w:rsid w:val="00C427FC"/>
    <w:rsid w:val="00C42A87"/>
    <w:rsid w:val="00C432A0"/>
    <w:rsid w:val="00C435AF"/>
    <w:rsid w:val="00C43ACB"/>
    <w:rsid w:val="00C44404"/>
    <w:rsid w:val="00C4479F"/>
    <w:rsid w:val="00C45437"/>
    <w:rsid w:val="00C45602"/>
    <w:rsid w:val="00C45642"/>
    <w:rsid w:val="00C459B5"/>
    <w:rsid w:val="00C46A6B"/>
    <w:rsid w:val="00C46AC0"/>
    <w:rsid w:val="00C46B15"/>
    <w:rsid w:val="00C47138"/>
    <w:rsid w:val="00C471A9"/>
    <w:rsid w:val="00C4772A"/>
    <w:rsid w:val="00C47DCB"/>
    <w:rsid w:val="00C47F01"/>
    <w:rsid w:val="00C4E6CB"/>
    <w:rsid w:val="00C50572"/>
    <w:rsid w:val="00C50675"/>
    <w:rsid w:val="00C50D59"/>
    <w:rsid w:val="00C5158B"/>
    <w:rsid w:val="00C51934"/>
    <w:rsid w:val="00C51C7F"/>
    <w:rsid w:val="00C5241A"/>
    <w:rsid w:val="00C52A5E"/>
    <w:rsid w:val="00C52AC9"/>
    <w:rsid w:val="00C52CA7"/>
    <w:rsid w:val="00C5331A"/>
    <w:rsid w:val="00C533D4"/>
    <w:rsid w:val="00C5343D"/>
    <w:rsid w:val="00C53586"/>
    <w:rsid w:val="00C5369D"/>
    <w:rsid w:val="00C538A9"/>
    <w:rsid w:val="00C538F5"/>
    <w:rsid w:val="00C53FE4"/>
    <w:rsid w:val="00C5682F"/>
    <w:rsid w:val="00C56B0C"/>
    <w:rsid w:val="00C56E2F"/>
    <w:rsid w:val="00C56E9A"/>
    <w:rsid w:val="00C5702E"/>
    <w:rsid w:val="00C57148"/>
    <w:rsid w:val="00C57A32"/>
    <w:rsid w:val="00C57C61"/>
    <w:rsid w:val="00C60364"/>
    <w:rsid w:val="00C60854"/>
    <w:rsid w:val="00C6093B"/>
    <w:rsid w:val="00C60B07"/>
    <w:rsid w:val="00C60C40"/>
    <w:rsid w:val="00C60E8F"/>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89C"/>
    <w:rsid w:val="00C679CE"/>
    <w:rsid w:val="00C67A75"/>
    <w:rsid w:val="00C70196"/>
    <w:rsid w:val="00C70671"/>
    <w:rsid w:val="00C706C6"/>
    <w:rsid w:val="00C7099F"/>
    <w:rsid w:val="00C70CE9"/>
    <w:rsid w:val="00C70D5A"/>
    <w:rsid w:val="00C71231"/>
    <w:rsid w:val="00C7130F"/>
    <w:rsid w:val="00C716DE"/>
    <w:rsid w:val="00C719E7"/>
    <w:rsid w:val="00C71E97"/>
    <w:rsid w:val="00C722B3"/>
    <w:rsid w:val="00C72AC2"/>
    <w:rsid w:val="00C73094"/>
    <w:rsid w:val="00C734CF"/>
    <w:rsid w:val="00C73A88"/>
    <w:rsid w:val="00C74560"/>
    <w:rsid w:val="00C753C6"/>
    <w:rsid w:val="00C75546"/>
    <w:rsid w:val="00C755A8"/>
    <w:rsid w:val="00C75642"/>
    <w:rsid w:val="00C75C0C"/>
    <w:rsid w:val="00C75E00"/>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3CB"/>
    <w:rsid w:val="00C845F7"/>
    <w:rsid w:val="00C848FF"/>
    <w:rsid w:val="00C85086"/>
    <w:rsid w:val="00C85198"/>
    <w:rsid w:val="00C85422"/>
    <w:rsid w:val="00C857BA"/>
    <w:rsid w:val="00C857EB"/>
    <w:rsid w:val="00C859AE"/>
    <w:rsid w:val="00C8664A"/>
    <w:rsid w:val="00C86DA7"/>
    <w:rsid w:val="00C875F8"/>
    <w:rsid w:val="00C875FB"/>
    <w:rsid w:val="00C90091"/>
    <w:rsid w:val="00C911C4"/>
    <w:rsid w:val="00C911E6"/>
    <w:rsid w:val="00C915D1"/>
    <w:rsid w:val="00C91F21"/>
    <w:rsid w:val="00C92058"/>
    <w:rsid w:val="00C923E7"/>
    <w:rsid w:val="00C92496"/>
    <w:rsid w:val="00C9264F"/>
    <w:rsid w:val="00C927A6"/>
    <w:rsid w:val="00C9284D"/>
    <w:rsid w:val="00C92A8A"/>
    <w:rsid w:val="00C92F41"/>
    <w:rsid w:val="00C933BB"/>
    <w:rsid w:val="00C9360E"/>
    <w:rsid w:val="00C93C1D"/>
    <w:rsid w:val="00C93D00"/>
    <w:rsid w:val="00C94188"/>
    <w:rsid w:val="00C944C3"/>
    <w:rsid w:val="00C946EA"/>
    <w:rsid w:val="00C94EEA"/>
    <w:rsid w:val="00C952AF"/>
    <w:rsid w:val="00C95625"/>
    <w:rsid w:val="00C95787"/>
    <w:rsid w:val="00C95C64"/>
    <w:rsid w:val="00C96057"/>
    <w:rsid w:val="00C97254"/>
    <w:rsid w:val="00C97791"/>
    <w:rsid w:val="00C9799E"/>
    <w:rsid w:val="00C97F3C"/>
    <w:rsid w:val="00C97F62"/>
    <w:rsid w:val="00C97F7F"/>
    <w:rsid w:val="00CA084E"/>
    <w:rsid w:val="00CA08AF"/>
    <w:rsid w:val="00CA0F6D"/>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3B4"/>
    <w:rsid w:val="00CA572F"/>
    <w:rsid w:val="00CA58C6"/>
    <w:rsid w:val="00CA613C"/>
    <w:rsid w:val="00CA67CE"/>
    <w:rsid w:val="00CA6873"/>
    <w:rsid w:val="00CA68C5"/>
    <w:rsid w:val="00CA6932"/>
    <w:rsid w:val="00CA6B0C"/>
    <w:rsid w:val="00CA6B1B"/>
    <w:rsid w:val="00CA6BA8"/>
    <w:rsid w:val="00CA6C23"/>
    <w:rsid w:val="00CA6FAE"/>
    <w:rsid w:val="00CA77E7"/>
    <w:rsid w:val="00CA7B6C"/>
    <w:rsid w:val="00CA7EE4"/>
    <w:rsid w:val="00CB0871"/>
    <w:rsid w:val="00CB13CA"/>
    <w:rsid w:val="00CB28A1"/>
    <w:rsid w:val="00CB2AEF"/>
    <w:rsid w:val="00CB2F2E"/>
    <w:rsid w:val="00CB2FDB"/>
    <w:rsid w:val="00CB35CC"/>
    <w:rsid w:val="00CB3A10"/>
    <w:rsid w:val="00CB3B84"/>
    <w:rsid w:val="00CB4446"/>
    <w:rsid w:val="00CB4B55"/>
    <w:rsid w:val="00CB4E3A"/>
    <w:rsid w:val="00CB58CA"/>
    <w:rsid w:val="00CB61B2"/>
    <w:rsid w:val="00CB635F"/>
    <w:rsid w:val="00CB639C"/>
    <w:rsid w:val="00CB6545"/>
    <w:rsid w:val="00CB6953"/>
    <w:rsid w:val="00CB7362"/>
    <w:rsid w:val="00CB788E"/>
    <w:rsid w:val="00CB7957"/>
    <w:rsid w:val="00CB7A74"/>
    <w:rsid w:val="00CB7C75"/>
    <w:rsid w:val="00CB7D58"/>
    <w:rsid w:val="00CB7DDF"/>
    <w:rsid w:val="00CB7E70"/>
    <w:rsid w:val="00CC0466"/>
    <w:rsid w:val="00CC06CE"/>
    <w:rsid w:val="00CC0D2F"/>
    <w:rsid w:val="00CC15D8"/>
    <w:rsid w:val="00CC1636"/>
    <w:rsid w:val="00CC1F5C"/>
    <w:rsid w:val="00CC20B0"/>
    <w:rsid w:val="00CC2B3A"/>
    <w:rsid w:val="00CC2CCD"/>
    <w:rsid w:val="00CC2D63"/>
    <w:rsid w:val="00CC2F55"/>
    <w:rsid w:val="00CC3117"/>
    <w:rsid w:val="00CC3149"/>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2199"/>
    <w:rsid w:val="00CD2867"/>
    <w:rsid w:val="00CD2B33"/>
    <w:rsid w:val="00CD2BD1"/>
    <w:rsid w:val="00CD2BF6"/>
    <w:rsid w:val="00CD2F4C"/>
    <w:rsid w:val="00CD388F"/>
    <w:rsid w:val="00CD3B8B"/>
    <w:rsid w:val="00CD3F8F"/>
    <w:rsid w:val="00CD4602"/>
    <w:rsid w:val="00CD4D06"/>
    <w:rsid w:val="00CD4DDF"/>
    <w:rsid w:val="00CD4ECD"/>
    <w:rsid w:val="00CD4F92"/>
    <w:rsid w:val="00CD5825"/>
    <w:rsid w:val="00CD5961"/>
    <w:rsid w:val="00CD6156"/>
    <w:rsid w:val="00CD6433"/>
    <w:rsid w:val="00CD6549"/>
    <w:rsid w:val="00CD6E3F"/>
    <w:rsid w:val="00CD6EEC"/>
    <w:rsid w:val="00CD6FF6"/>
    <w:rsid w:val="00CD70C2"/>
    <w:rsid w:val="00CD73C2"/>
    <w:rsid w:val="00CD74D6"/>
    <w:rsid w:val="00CD7672"/>
    <w:rsid w:val="00CD76FF"/>
    <w:rsid w:val="00CD77D4"/>
    <w:rsid w:val="00CD79E6"/>
    <w:rsid w:val="00CE00F8"/>
    <w:rsid w:val="00CE078C"/>
    <w:rsid w:val="00CE0A25"/>
    <w:rsid w:val="00CE0F23"/>
    <w:rsid w:val="00CE134C"/>
    <w:rsid w:val="00CE17BE"/>
    <w:rsid w:val="00CE1F91"/>
    <w:rsid w:val="00CE282C"/>
    <w:rsid w:val="00CE2959"/>
    <w:rsid w:val="00CE2BA0"/>
    <w:rsid w:val="00CE2C19"/>
    <w:rsid w:val="00CE2D83"/>
    <w:rsid w:val="00CE2FF2"/>
    <w:rsid w:val="00CE306B"/>
    <w:rsid w:val="00CE30D5"/>
    <w:rsid w:val="00CE33E2"/>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BB8"/>
    <w:rsid w:val="00CF0F28"/>
    <w:rsid w:val="00CF16AD"/>
    <w:rsid w:val="00CF1962"/>
    <w:rsid w:val="00CF19EC"/>
    <w:rsid w:val="00CF1D1F"/>
    <w:rsid w:val="00CF2218"/>
    <w:rsid w:val="00CF2395"/>
    <w:rsid w:val="00CF2792"/>
    <w:rsid w:val="00CF283E"/>
    <w:rsid w:val="00CF3157"/>
    <w:rsid w:val="00CF3C53"/>
    <w:rsid w:val="00CF3DBD"/>
    <w:rsid w:val="00CF4523"/>
    <w:rsid w:val="00CF4B8C"/>
    <w:rsid w:val="00CF5031"/>
    <w:rsid w:val="00CF5226"/>
    <w:rsid w:val="00CF5270"/>
    <w:rsid w:val="00CF5867"/>
    <w:rsid w:val="00CF5AE5"/>
    <w:rsid w:val="00CF5BE9"/>
    <w:rsid w:val="00CF5F77"/>
    <w:rsid w:val="00CF6A06"/>
    <w:rsid w:val="00CF6A2E"/>
    <w:rsid w:val="00CF6E88"/>
    <w:rsid w:val="00CF71C4"/>
    <w:rsid w:val="00CF7BD7"/>
    <w:rsid w:val="00CF7D66"/>
    <w:rsid w:val="00CF7FE9"/>
    <w:rsid w:val="00D00131"/>
    <w:rsid w:val="00D0029F"/>
    <w:rsid w:val="00D00995"/>
    <w:rsid w:val="00D009F9"/>
    <w:rsid w:val="00D01019"/>
    <w:rsid w:val="00D02B76"/>
    <w:rsid w:val="00D02B8E"/>
    <w:rsid w:val="00D02C78"/>
    <w:rsid w:val="00D036E9"/>
    <w:rsid w:val="00D03B9C"/>
    <w:rsid w:val="00D03D47"/>
    <w:rsid w:val="00D045D9"/>
    <w:rsid w:val="00D0509E"/>
    <w:rsid w:val="00D05139"/>
    <w:rsid w:val="00D0539D"/>
    <w:rsid w:val="00D055AE"/>
    <w:rsid w:val="00D055DF"/>
    <w:rsid w:val="00D056D5"/>
    <w:rsid w:val="00D05DCA"/>
    <w:rsid w:val="00D05E01"/>
    <w:rsid w:val="00D05FC5"/>
    <w:rsid w:val="00D0609F"/>
    <w:rsid w:val="00D0686B"/>
    <w:rsid w:val="00D06B60"/>
    <w:rsid w:val="00D06D61"/>
    <w:rsid w:val="00D07308"/>
    <w:rsid w:val="00D10393"/>
    <w:rsid w:val="00D10982"/>
    <w:rsid w:val="00D109B8"/>
    <w:rsid w:val="00D10C9F"/>
    <w:rsid w:val="00D11BD3"/>
    <w:rsid w:val="00D12538"/>
    <w:rsid w:val="00D136EF"/>
    <w:rsid w:val="00D13804"/>
    <w:rsid w:val="00D13A3C"/>
    <w:rsid w:val="00D13D0D"/>
    <w:rsid w:val="00D14605"/>
    <w:rsid w:val="00D1476A"/>
    <w:rsid w:val="00D149B0"/>
    <w:rsid w:val="00D155F6"/>
    <w:rsid w:val="00D15781"/>
    <w:rsid w:val="00D15E1D"/>
    <w:rsid w:val="00D16565"/>
    <w:rsid w:val="00D16674"/>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2EA5"/>
    <w:rsid w:val="00D23506"/>
    <w:rsid w:val="00D23546"/>
    <w:rsid w:val="00D2386A"/>
    <w:rsid w:val="00D23BDD"/>
    <w:rsid w:val="00D23BEB"/>
    <w:rsid w:val="00D24816"/>
    <w:rsid w:val="00D24BA2"/>
    <w:rsid w:val="00D25C5A"/>
    <w:rsid w:val="00D266E6"/>
    <w:rsid w:val="00D267B3"/>
    <w:rsid w:val="00D26CB3"/>
    <w:rsid w:val="00D26FDA"/>
    <w:rsid w:val="00D272F8"/>
    <w:rsid w:val="00D27467"/>
    <w:rsid w:val="00D27767"/>
    <w:rsid w:val="00D2C373"/>
    <w:rsid w:val="00D30055"/>
    <w:rsid w:val="00D30569"/>
    <w:rsid w:val="00D30A18"/>
    <w:rsid w:val="00D319DB"/>
    <w:rsid w:val="00D31F4E"/>
    <w:rsid w:val="00D32DE3"/>
    <w:rsid w:val="00D32E69"/>
    <w:rsid w:val="00D336CB"/>
    <w:rsid w:val="00D33F57"/>
    <w:rsid w:val="00D340A5"/>
    <w:rsid w:val="00D346E3"/>
    <w:rsid w:val="00D3474E"/>
    <w:rsid w:val="00D3476B"/>
    <w:rsid w:val="00D3503F"/>
    <w:rsid w:val="00D35255"/>
    <w:rsid w:val="00D353BE"/>
    <w:rsid w:val="00D35839"/>
    <w:rsid w:val="00D35C62"/>
    <w:rsid w:val="00D35DF7"/>
    <w:rsid w:val="00D35FA7"/>
    <w:rsid w:val="00D35FC5"/>
    <w:rsid w:val="00D36050"/>
    <w:rsid w:val="00D3695B"/>
    <w:rsid w:val="00D36D88"/>
    <w:rsid w:val="00D37555"/>
    <w:rsid w:val="00D37B32"/>
    <w:rsid w:val="00D37E44"/>
    <w:rsid w:val="00D40305"/>
    <w:rsid w:val="00D40474"/>
    <w:rsid w:val="00D40633"/>
    <w:rsid w:val="00D409BC"/>
    <w:rsid w:val="00D40D67"/>
    <w:rsid w:val="00D41213"/>
    <w:rsid w:val="00D41B53"/>
    <w:rsid w:val="00D41E11"/>
    <w:rsid w:val="00D42048"/>
    <w:rsid w:val="00D42092"/>
    <w:rsid w:val="00D4232C"/>
    <w:rsid w:val="00D427CF"/>
    <w:rsid w:val="00D42839"/>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168A"/>
    <w:rsid w:val="00D51AD1"/>
    <w:rsid w:val="00D51CC5"/>
    <w:rsid w:val="00D52094"/>
    <w:rsid w:val="00D52480"/>
    <w:rsid w:val="00D52FEC"/>
    <w:rsid w:val="00D5312D"/>
    <w:rsid w:val="00D53C59"/>
    <w:rsid w:val="00D53F22"/>
    <w:rsid w:val="00D540F4"/>
    <w:rsid w:val="00D54169"/>
    <w:rsid w:val="00D547AD"/>
    <w:rsid w:val="00D55A5B"/>
    <w:rsid w:val="00D55B86"/>
    <w:rsid w:val="00D55D17"/>
    <w:rsid w:val="00D55D5D"/>
    <w:rsid w:val="00D5623A"/>
    <w:rsid w:val="00D56517"/>
    <w:rsid w:val="00D5665B"/>
    <w:rsid w:val="00D56AE5"/>
    <w:rsid w:val="00D56B53"/>
    <w:rsid w:val="00D56C98"/>
    <w:rsid w:val="00D57431"/>
    <w:rsid w:val="00D57434"/>
    <w:rsid w:val="00D57800"/>
    <w:rsid w:val="00D579B3"/>
    <w:rsid w:val="00D57E2A"/>
    <w:rsid w:val="00D605EC"/>
    <w:rsid w:val="00D60F87"/>
    <w:rsid w:val="00D610BD"/>
    <w:rsid w:val="00D6121C"/>
    <w:rsid w:val="00D61397"/>
    <w:rsid w:val="00D61A8F"/>
    <w:rsid w:val="00D62037"/>
    <w:rsid w:val="00D62103"/>
    <w:rsid w:val="00D62172"/>
    <w:rsid w:val="00D622AF"/>
    <w:rsid w:val="00D6263F"/>
    <w:rsid w:val="00D626AF"/>
    <w:rsid w:val="00D629A0"/>
    <w:rsid w:val="00D62CD1"/>
    <w:rsid w:val="00D62D3A"/>
    <w:rsid w:val="00D635DC"/>
    <w:rsid w:val="00D635F4"/>
    <w:rsid w:val="00D63B02"/>
    <w:rsid w:val="00D63D3E"/>
    <w:rsid w:val="00D63E4A"/>
    <w:rsid w:val="00D6409B"/>
    <w:rsid w:val="00D64238"/>
    <w:rsid w:val="00D643E8"/>
    <w:rsid w:val="00D647AF"/>
    <w:rsid w:val="00D64E8B"/>
    <w:rsid w:val="00D64F5E"/>
    <w:rsid w:val="00D6559F"/>
    <w:rsid w:val="00D659BA"/>
    <w:rsid w:val="00D65CC6"/>
    <w:rsid w:val="00D65E38"/>
    <w:rsid w:val="00D661B6"/>
    <w:rsid w:val="00D667A8"/>
    <w:rsid w:val="00D66C4A"/>
    <w:rsid w:val="00D6780E"/>
    <w:rsid w:val="00D6794D"/>
    <w:rsid w:val="00D679EB"/>
    <w:rsid w:val="00D67F27"/>
    <w:rsid w:val="00D70364"/>
    <w:rsid w:val="00D70A60"/>
    <w:rsid w:val="00D70AB8"/>
    <w:rsid w:val="00D70CB4"/>
    <w:rsid w:val="00D70F98"/>
    <w:rsid w:val="00D712F5"/>
    <w:rsid w:val="00D7146F"/>
    <w:rsid w:val="00D71504"/>
    <w:rsid w:val="00D721C1"/>
    <w:rsid w:val="00D72890"/>
    <w:rsid w:val="00D72DA3"/>
    <w:rsid w:val="00D731F0"/>
    <w:rsid w:val="00D73851"/>
    <w:rsid w:val="00D73B46"/>
    <w:rsid w:val="00D73CD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AEB"/>
    <w:rsid w:val="00D80C4F"/>
    <w:rsid w:val="00D80DA6"/>
    <w:rsid w:val="00D81323"/>
    <w:rsid w:val="00D818DB"/>
    <w:rsid w:val="00D82066"/>
    <w:rsid w:val="00D82309"/>
    <w:rsid w:val="00D83A3E"/>
    <w:rsid w:val="00D84182"/>
    <w:rsid w:val="00D843D8"/>
    <w:rsid w:val="00D84916"/>
    <w:rsid w:val="00D84C6C"/>
    <w:rsid w:val="00D84FCD"/>
    <w:rsid w:val="00D851D5"/>
    <w:rsid w:val="00D8521A"/>
    <w:rsid w:val="00D852B7"/>
    <w:rsid w:val="00D85B13"/>
    <w:rsid w:val="00D85FF4"/>
    <w:rsid w:val="00D86C92"/>
    <w:rsid w:val="00D86F2C"/>
    <w:rsid w:val="00D87016"/>
    <w:rsid w:val="00D87044"/>
    <w:rsid w:val="00D873C4"/>
    <w:rsid w:val="00D87673"/>
    <w:rsid w:val="00D876FA"/>
    <w:rsid w:val="00D90345"/>
    <w:rsid w:val="00D907BE"/>
    <w:rsid w:val="00D90AB3"/>
    <w:rsid w:val="00D90C9B"/>
    <w:rsid w:val="00D912EF"/>
    <w:rsid w:val="00D91AB2"/>
    <w:rsid w:val="00D91B34"/>
    <w:rsid w:val="00D9260D"/>
    <w:rsid w:val="00D9298D"/>
    <w:rsid w:val="00D92A70"/>
    <w:rsid w:val="00D92BB7"/>
    <w:rsid w:val="00D9338C"/>
    <w:rsid w:val="00D93AE1"/>
    <w:rsid w:val="00D942EF"/>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625"/>
    <w:rsid w:val="00DA1ABA"/>
    <w:rsid w:val="00DA1D37"/>
    <w:rsid w:val="00DA1F64"/>
    <w:rsid w:val="00DA2133"/>
    <w:rsid w:val="00DA24FE"/>
    <w:rsid w:val="00DA281D"/>
    <w:rsid w:val="00DA3230"/>
    <w:rsid w:val="00DA3373"/>
    <w:rsid w:val="00DA3500"/>
    <w:rsid w:val="00DA3874"/>
    <w:rsid w:val="00DA3934"/>
    <w:rsid w:val="00DA3B1F"/>
    <w:rsid w:val="00DA3D87"/>
    <w:rsid w:val="00DA42A7"/>
    <w:rsid w:val="00DA557A"/>
    <w:rsid w:val="00DA5821"/>
    <w:rsid w:val="00DA5D22"/>
    <w:rsid w:val="00DA5DC5"/>
    <w:rsid w:val="00DA62D8"/>
    <w:rsid w:val="00DA6424"/>
    <w:rsid w:val="00DA657F"/>
    <w:rsid w:val="00DA6983"/>
    <w:rsid w:val="00DA7AA3"/>
    <w:rsid w:val="00DA7E4A"/>
    <w:rsid w:val="00DA7FC7"/>
    <w:rsid w:val="00DB00D0"/>
    <w:rsid w:val="00DB0273"/>
    <w:rsid w:val="00DB0432"/>
    <w:rsid w:val="00DB0729"/>
    <w:rsid w:val="00DB082E"/>
    <w:rsid w:val="00DB0B40"/>
    <w:rsid w:val="00DB0EB7"/>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B0E"/>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4DE2"/>
    <w:rsid w:val="00DC5190"/>
    <w:rsid w:val="00DC5518"/>
    <w:rsid w:val="00DC5567"/>
    <w:rsid w:val="00DC5CFE"/>
    <w:rsid w:val="00DC5DDA"/>
    <w:rsid w:val="00DC6E34"/>
    <w:rsid w:val="00DC6FFD"/>
    <w:rsid w:val="00DC7501"/>
    <w:rsid w:val="00DD003B"/>
    <w:rsid w:val="00DD009A"/>
    <w:rsid w:val="00DD0AB1"/>
    <w:rsid w:val="00DD0AFF"/>
    <w:rsid w:val="00DD14AD"/>
    <w:rsid w:val="00DD14EE"/>
    <w:rsid w:val="00DD254C"/>
    <w:rsid w:val="00DD30AE"/>
    <w:rsid w:val="00DD34F0"/>
    <w:rsid w:val="00DD3B41"/>
    <w:rsid w:val="00DD3CB5"/>
    <w:rsid w:val="00DD3CB8"/>
    <w:rsid w:val="00DD4092"/>
    <w:rsid w:val="00DD41E8"/>
    <w:rsid w:val="00DD493D"/>
    <w:rsid w:val="00DD4AE2"/>
    <w:rsid w:val="00DD4C68"/>
    <w:rsid w:val="00DD5754"/>
    <w:rsid w:val="00DD58E7"/>
    <w:rsid w:val="00DD6003"/>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31"/>
    <w:rsid w:val="00DE60EC"/>
    <w:rsid w:val="00DE6C00"/>
    <w:rsid w:val="00DE75C1"/>
    <w:rsid w:val="00DE78DA"/>
    <w:rsid w:val="00DE7D59"/>
    <w:rsid w:val="00DF02F1"/>
    <w:rsid w:val="00DF0946"/>
    <w:rsid w:val="00DF103D"/>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B69"/>
    <w:rsid w:val="00DF6BD7"/>
    <w:rsid w:val="00DF6CE4"/>
    <w:rsid w:val="00DF7352"/>
    <w:rsid w:val="00DF74E1"/>
    <w:rsid w:val="00DF761B"/>
    <w:rsid w:val="00DF7C65"/>
    <w:rsid w:val="00DF7EFC"/>
    <w:rsid w:val="00DF7F6B"/>
    <w:rsid w:val="00E00368"/>
    <w:rsid w:val="00E01235"/>
    <w:rsid w:val="00E0134D"/>
    <w:rsid w:val="00E01542"/>
    <w:rsid w:val="00E01623"/>
    <w:rsid w:val="00E0177A"/>
    <w:rsid w:val="00E01EFB"/>
    <w:rsid w:val="00E0253F"/>
    <w:rsid w:val="00E025BC"/>
    <w:rsid w:val="00E02696"/>
    <w:rsid w:val="00E027DB"/>
    <w:rsid w:val="00E0295B"/>
    <w:rsid w:val="00E02B22"/>
    <w:rsid w:val="00E02FDA"/>
    <w:rsid w:val="00E0312D"/>
    <w:rsid w:val="00E03724"/>
    <w:rsid w:val="00E047A7"/>
    <w:rsid w:val="00E04F69"/>
    <w:rsid w:val="00E0522E"/>
    <w:rsid w:val="00E0534C"/>
    <w:rsid w:val="00E053D0"/>
    <w:rsid w:val="00E05761"/>
    <w:rsid w:val="00E05A87"/>
    <w:rsid w:val="00E05D7D"/>
    <w:rsid w:val="00E06160"/>
    <w:rsid w:val="00E062AA"/>
    <w:rsid w:val="00E06499"/>
    <w:rsid w:val="00E064D5"/>
    <w:rsid w:val="00E0661E"/>
    <w:rsid w:val="00E066B7"/>
    <w:rsid w:val="00E06A10"/>
    <w:rsid w:val="00E06B03"/>
    <w:rsid w:val="00E07847"/>
    <w:rsid w:val="00E078DE"/>
    <w:rsid w:val="00E07FD4"/>
    <w:rsid w:val="00E10247"/>
    <w:rsid w:val="00E10397"/>
    <w:rsid w:val="00E104A0"/>
    <w:rsid w:val="00E11026"/>
    <w:rsid w:val="00E111E6"/>
    <w:rsid w:val="00E11377"/>
    <w:rsid w:val="00E11380"/>
    <w:rsid w:val="00E113C5"/>
    <w:rsid w:val="00E1173F"/>
    <w:rsid w:val="00E11A5C"/>
    <w:rsid w:val="00E11F4C"/>
    <w:rsid w:val="00E122FA"/>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701E"/>
    <w:rsid w:val="00E17052"/>
    <w:rsid w:val="00E1720A"/>
    <w:rsid w:val="00E17273"/>
    <w:rsid w:val="00E17E03"/>
    <w:rsid w:val="00E20200"/>
    <w:rsid w:val="00E203DD"/>
    <w:rsid w:val="00E2061A"/>
    <w:rsid w:val="00E20D6B"/>
    <w:rsid w:val="00E21283"/>
    <w:rsid w:val="00E21331"/>
    <w:rsid w:val="00E213BE"/>
    <w:rsid w:val="00E213E8"/>
    <w:rsid w:val="00E2145E"/>
    <w:rsid w:val="00E217FB"/>
    <w:rsid w:val="00E2180C"/>
    <w:rsid w:val="00E21A19"/>
    <w:rsid w:val="00E21B17"/>
    <w:rsid w:val="00E21D1E"/>
    <w:rsid w:val="00E223DF"/>
    <w:rsid w:val="00E223E2"/>
    <w:rsid w:val="00E226A9"/>
    <w:rsid w:val="00E22D15"/>
    <w:rsid w:val="00E22DA3"/>
    <w:rsid w:val="00E2312D"/>
    <w:rsid w:val="00E23D60"/>
    <w:rsid w:val="00E23D79"/>
    <w:rsid w:val="00E23F2B"/>
    <w:rsid w:val="00E240C3"/>
    <w:rsid w:val="00E2422D"/>
    <w:rsid w:val="00E25A51"/>
    <w:rsid w:val="00E25DDA"/>
    <w:rsid w:val="00E26247"/>
    <w:rsid w:val="00E26D87"/>
    <w:rsid w:val="00E27119"/>
    <w:rsid w:val="00E2726E"/>
    <w:rsid w:val="00E27449"/>
    <w:rsid w:val="00E27471"/>
    <w:rsid w:val="00E278DD"/>
    <w:rsid w:val="00E27A1B"/>
    <w:rsid w:val="00E27B37"/>
    <w:rsid w:val="00E30235"/>
    <w:rsid w:val="00E3023D"/>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4D3"/>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206"/>
    <w:rsid w:val="00E423E7"/>
    <w:rsid w:val="00E43100"/>
    <w:rsid w:val="00E43307"/>
    <w:rsid w:val="00E43B57"/>
    <w:rsid w:val="00E43CE7"/>
    <w:rsid w:val="00E4425A"/>
    <w:rsid w:val="00E446B3"/>
    <w:rsid w:val="00E446EA"/>
    <w:rsid w:val="00E44EA6"/>
    <w:rsid w:val="00E44EBB"/>
    <w:rsid w:val="00E4543D"/>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1184"/>
    <w:rsid w:val="00E51843"/>
    <w:rsid w:val="00E519C1"/>
    <w:rsid w:val="00E5216D"/>
    <w:rsid w:val="00E523BE"/>
    <w:rsid w:val="00E52537"/>
    <w:rsid w:val="00E5273E"/>
    <w:rsid w:val="00E52864"/>
    <w:rsid w:val="00E52B78"/>
    <w:rsid w:val="00E52D27"/>
    <w:rsid w:val="00E52F3A"/>
    <w:rsid w:val="00E53135"/>
    <w:rsid w:val="00E537E4"/>
    <w:rsid w:val="00E53E98"/>
    <w:rsid w:val="00E545AB"/>
    <w:rsid w:val="00E548D9"/>
    <w:rsid w:val="00E54A1D"/>
    <w:rsid w:val="00E54B91"/>
    <w:rsid w:val="00E54BC2"/>
    <w:rsid w:val="00E551F0"/>
    <w:rsid w:val="00E55A1B"/>
    <w:rsid w:val="00E55C01"/>
    <w:rsid w:val="00E564CC"/>
    <w:rsid w:val="00E56558"/>
    <w:rsid w:val="00E5655D"/>
    <w:rsid w:val="00E56699"/>
    <w:rsid w:val="00E5689A"/>
    <w:rsid w:val="00E56922"/>
    <w:rsid w:val="00E56931"/>
    <w:rsid w:val="00E56A07"/>
    <w:rsid w:val="00E56DA9"/>
    <w:rsid w:val="00E56F72"/>
    <w:rsid w:val="00E5731F"/>
    <w:rsid w:val="00E575E6"/>
    <w:rsid w:val="00E576B5"/>
    <w:rsid w:val="00E57D79"/>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42D9"/>
    <w:rsid w:val="00E644FB"/>
    <w:rsid w:val="00E65080"/>
    <w:rsid w:val="00E6520F"/>
    <w:rsid w:val="00E65630"/>
    <w:rsid w:val="00E65CAE"/>
    <w:rsid w:val="00E66C1C"/>
    <w:rsid w:val="00E66C77"/>
    <w:rsid w:val="00E66F17"/>
    <w:rsid w:val="00E66FE6"/>
    <w:rsid w:val="00E670FA"/>
    <w:rsid w:val="00E67388"/>
    <w:rsid w:val="00E675A7"/>
    <w:rsid w:val="00E67617"/>
    <w:rsid w:val="00E67E7C"/>
    <w:rsid w:val="00E67FFC"/>
    <w:rsid w:val="00E70440"/>
    <w:rsid w:val="00E705CC"/>
    <w:rsid w:val="00E70638"/>
    <w:rsid w:val="00E7084B"/>
    <w:rsid w:val="00E70B77"/>
    <w:rsid w:val="00E713F9"/>
    <w:rsid w:val="00E7148E"/>
    <w:rsid w:val="00E714F3"/>
    <w:rsid w:val="00E7152D"/>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B37"/>
    <w:rsid w:val="00E80E53"/>
    <w:rsid w:val="00E80E98"/>
    <w:rsid w:val="00E81469"/>
    <w:rsid w:val="00E815F6"/>
    <w:rsid w:val="00E816E0"/>
    <w:rsid w:val="00E8181F"/>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7FA"/>
    <w:rsid w:val="00E90880"/>
    <w:rsid w:val="00E909F5"/>
    <w:rsid w:val="00E910D0"/>
    <w:rsid w:val="00E91363"/>
    <w:rsid w:val="00E913B3"/>
    <w:rsid w:val="00E917DB"/>
    <w:rsid w:val="00E9182B"/>
    <w:rsid w:val="00E91BC9"/>
    <w:rsid w:val="00E91C22"/>
    <w:rsid w:val="00E921CF"/>
    <w:rsid w:val="00E92277"/>
    <w:rsid w:val="00E923D8"/>
    <w:rsid w:val="00E927B0"/>
    <w:rsid w:val="00E927B8"/>
    <w:rsid w:val="00E927E4"/>
    <w:rsid w:val="00E92975"/>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7DC"/>
    <w:rsid w:val="00E96871"/>
    <w:rsid w:val="00E96E4E"/>
    <w:rsid w:val="00E975C2"/>
    <w:rsid w:val="00EA0C6A"/>
    <w:rsid w:val="00EA0C94"/>
    <w:rsid w:val="00EA0F54"/>
    <w:rsid w:val="00EA0FDC"/>
    <w:rsid w:val="00EA1483"/>
    <w:rsid w:val="00EA166E"/>
    <w:rsid w:val="00EA16B8"/>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364"/>
    <w:rsid w:val="00EA7AF6"/>
    <w:rsid w:val="00EA7CB8"/>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A4F"/>
    <w:rsid w:val="00EB4CA1"/>
    <w:rsid w:val="00EB4DD3"/>
    <w:rsid w:val="00EB4E52"/>
    <w:rsid w:val="00EB4E93"/>
    <w:rsid w:val="00EB560F"/>
    <w:rsid w:val="00EB565D"/>
    <w:rsid w:val="00EB5776"/>
    <w:rsid w:val="00EB6D07"/>
    <w:rsid w:val="00EB6E26"/>
    <w:rsid w:val="00EB729D"/>
    <w:rsid w:val="00EB7377"/>
    <w:rsid w:val="00EB7A69"/>
    <w:rsid w:val="00EB7C35"/>
    <w:rsid w:val="00EC00E5"/>
    <w:rsid w:val="00EC0207"/>
    <w:rsid w:val="00EC0278"/>
    <w:rsid w:val="00EC0520"/>
    <w:rsid w:val="00EC0572"/>
    <w:rsid w:val="00EC0F31"/>
    <w:rsid w:val="00EC2E82"/>
    <w:rsid w:val="00EC2F90"/>
    <w:rsid w:val="00EC312D"/>
    <w:rsid w:val="00EC3329"/>
    <w:rsid w:val="00EC3389"/>
    <w:rsid w:val="00EC372F"/>
    <w:rsid w:val="00EC3D98"/>
    <w:rsid w:val="00EC3FF5"/>
    <w:rsid w:val="00EC4188"/>
    <w:rsid w:val="00EC44BF"/>
    <w:rsid w:val="00EC4BE9"/>
    <w:rsid w:val="00EC5455"/>
    <w:rsid w:val="00EC5885"/>
    <w:rsid w:val="00EC5B95"/>
    <w:rsid w:val="00EC5D29"/>
    <w:rsid w:val="00EC60A5"/>
    <w:rsid w:val="00EC63DC"/>
    <w:rsid w:val="00EC6539"/>
    <w:rsid w:val="00EC672D"/>
    <w:rsid w:val="00EC6883"/>
    <w:rsid w:val="00EC6A3E"/>
    <w:rsid w:val="00EC7595"/>
    <w:rsid w:val="00EC75F2"/>
    <w:rsid w:val="00EC764C"/>
    <w:rsid w:val="00EC7A34"/>
    <w:rsid w:val="00EC7AFF"/>
    <w:rsid w:val="00ED0494"/>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15C"/>
    <w:rsid w:val="00ED42C8"/>
    <w:rsid w:val="00ED4A03"/>
    <w:rsid w:val="00ED4F95"/>
    <w:rsid w:val="00ED4FAE"/>
    <w:rsid w:val="00ED531A"/>
    <w:rsid w:val="00ED5339"/>
    <w:rsid w:val="00ED543D"/>
    <w:rsid w:val="00ED567B"/>
    <w:rsid w:val="00ED5AF3"/>
    <w:rsid w:val="00ED5FD3"/>
    <w:rsid w:val="00ED63AD"/>
    <w:rsid w:val="00ED6490"/>
    <w:rsid w:val="00ED6A5F"/>
    <w:rsid w:val="00ED6FC1"/>
    <w:rsid w:val="00ED740E"/>
    <w:rsid w:val="00ED7595"/>
    <w:rsid w:val="00ED75A8"/>
    <w:rsid w:val="00ED7E0C"/>
    <w:rsid w:val="00EE075B"/>
    <w:rsid w:val="00EE07A5"/>
    <w:rsid w:val="00EE0974"/>
    <w:rsid w:val="00EE10E5"/>
    <w:rsid w:val="00EE13BC"/>
    <w:rsid w:val="00EE1B94"/>
    <w:rsid w:val="00EE1CDC"/>
    <w:rsid w:val="00EE1D6D"/>
    <w:rsid w:val="00EE3606"/>
    <w:rsid w:val="00EE366B"/>
    <w:rsid w:val="00EE4113"/>
    <w:rsid w:val="00EE4352"/>
    <w:rsid w:val="00EE49FA"/>
    <w:rsid w:val="00EE5A36"/>
    <w:rsid w:val="00EE5DC9"/>
    <w:rsid w:val="00EE69EB"/>
    <w:rsid w:val="00EE710C"/>
    <w:rsid w:val="00EE7416"/>
    <w:rsid w:val="00EE748A"/>
    <w:rsid w:val="00EE770C"/>
    <w:rsid w:val="00EE7DB2"/>
    <w:rsid w:val="00EEB859"/>
    <w:rsid w:val="00EF02AF"/>
    <w:rsid w:val="00EF02E3"/>
    <w:rsid w:val="00EF0619"/>
    <w:rsid w:val="00EF0974"/>
    <w:rsid w:val="00EF0A05"/>
    <w:rsid w:val="00EF0A59"/>
    <w:rsid w:val="00EF0CDD"/>
    <w:rsid w:val="00EF0D79"/>
    <w:rsid w:val="00EF1383"/>
    <w:rsid w:val="00EF177B"/>
    <w:rsid w:val="00EF1A5F"/>
    <w:rsid w:val="00EF1E34"/>
    <w:rsid w:val="00EF221A"/>
    <w:rsid w:val="00EF229C"/>
    <w:rsid w:val="00EF2C2E"/>
    <w:rsid w:val="00EF2D8F"/>
    <w:rsid w:val="00EF2DBE"/>
    <w:rsid w:val="00EF2F0C"/>
    <w:rsid w:val="00EF307B"/>
    <w:rsid w:val="00EF309E"/>
    <w:rsid w:val="00EF3BCB"/>
    <w:rsid w:val="00EF3E7E"/>
    <w:rsid w:val="00EF3ED1"/>
    <w:rsid w:val="00EF3FB4"/>
    <w:rsid w:val="00EF41E1"/>
    <w:rsid w:val="00EF4B2F"/>
    <w:rsid w:val="00EF554B"/>
    <w:rsid w:val="00EF5666"/>
    <w:rsid w:val="00EF58FF"/>
    <w:rsid w:val="00EF5E52"/>
    <w:rsid w:val="00EF5FF2"/>
    <w:rsid w:val="00EF6168"/>
    <w:rsid w:val="00EF61C6"/>
    <w:rsid w:val="00EF64EB"/>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593"/>
    <w:rsid w:val="00F02866"/>
    <w:rsid w:val="00F029D2"/>
    <w:rsid w:val="00F02DB9"/>
    <w:rsid w:val="00F03304"/>
    <w:rsid w:val="00F038BE"/>
    <w:rsid w:val="00F03B30"/>
    <w:rsid w:val="00F04CC7"/>
    <w:rsid w:val="00F04E94"/>
    <w:rsid w:val="00F05335"/>
    <w:rsid w:val="00F05782"/>
    <w:rsid w:val="00F05D76"/>
    <w:rsid w:val="00F05F52"/>
    <w:rsid w:val="00F06664"/>
    <w:rsid w:val="00F06978"/>
    <w:rsid w:val="00F0697B"/>
    <w:rsid w:val="00F06F14"/>
    <w:rsid w:val="00F07015"/>
    <w:rsid w:val="00F075A1"/>
    <w:rsid w:val="00F10101"/>
    <w:rsid w:val="00F109EA"/>
    <w:rsid w:val="00F10A6D"/>
    <w:rsid w:val="00F113F1"/>
    <w:rsid w:val="00F116C2"/>
    <w:rsid w:val="00F12867"/>
    <w:rsid w:val="00F12CEA"/>
    <w:rsid w:val="00F12D54"/>
    <w:rsid w:val="00F13197"/>
    <w:rsid w:val="00F13230"/>
    <w:rsid w:val="00F1370A"/>
    <w:rsid w:val="00F137CB"/>
    <w:rsid w:val="00F1392A"/>
    <w:rsid w:val="00F143D4"/>
    <w:rsid w:val="00F14883"/>
    <w:rsid w:val="00F14916"/>
    <w:rsid w:val="00F14AA3"/>
    <w:rsid w:val="00F14B2D"/>
    <w:rsid w:val="00F14DCB"/>
    <w:rsid w:val="00F15104"/>
    <w:rsid w:val="00F15978"/>
    <w:rsid w:val="00F15B7E"/>
    <w:rsid w:val="00F15EEE"/>
    <w:rsid w:val="00F1634B"/>
    <w:rsid w:val="00F16381"/>
    <w:rsid w:val="00F16475"/>
    <w:rsid w:val="00F164C6"/>
    <w:rsid w:val="00F168DB"/>
    <w:rsid w:val="00F16FE5"/>
    <w:rsid w:val="00F1745E"/>
    <w:rsid w:val="00F20760"/>
    <w:rsid w:val="00F2081D"/>
    <w:rsid w:val="00F20956"/>
    <w:rsid w:val="00F20ADC"/>
    <w:rsid w:val="00F20BDD"/>
    <w:rsid w:val="00F210DD"/>
    <w:rsid w:val="00F2159C"/>
    <w:rsid w:val="00F21A2A"/>
    <w:rsid w:val="00F222B7"/>
    <w:rsid w:val="00F22914"/>
    <w:rsid w:val="00F22B6F"/>
    <w:rsid w:val="00F22CCF"/>
    <w:rsid w:val="00F22FF7"/>
    <w:rsid w:val="00F23459"/>
    <w:rsid w:val="00F2345D"/>
    <w:rsid w:val="00F2346A"/>
    <w:rsid w:val="00F234E0"/>
    <w:rsid w:val="00F235EC"/>
    <w:rsid w:val="00F237CE"/>
    <w:rsid w:val="00F23ED9"/>
    <w:rsid w:val="00F2401F"/>
    <w:rsid w:val="00F2423C"/>
    <w:rsid w:val="00F24277"/>
    <w:rsid w:val="00F245E2"/>
    <w:rsid w:val="00F24739"/>
    <w:rsid w:val="00F2556E"/>
    <w:rsid w:val="00F25968"/>
    <w:rsid w:val="00F2602F"/>
    <w:rsid w:val="00F26978"/>
    <w:rsid w:val="00F26B6F"/>
    <w:rsid w:val="00F274E5"/>
    <w:rsid w:val="00F27578"/>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65E"/>
    <w:rsid w:val="00F326A8"/>
    <w:rsid w:val="00F32857"/>
    <w:rsid w:val="00F3287A"/>
    <w:rsid w:val="00F32DB2"/>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6025"/>
    <w:rsid w:val="00F3624C"/>
    <w:rsid w:val="00F364DA"/>
    <w:rsid w:val="00F365BD"/>
    <w:rsid w:val="00F367CE"/>
    <w:rsid w:val="00F369DC"/>
    <w:rsid w:val="00F374BA"/>
    <w:rsid w:val="00F37669"/>
    <w:rsid w:val="00F37B4D"/>
    <w:rsid w:val="00F37B77"/>
    <w:rsid w:val="00F37D36"/>
    <w:rsid w:val="00F37D89"/>
    <w:rsid w:val="00F37E24"/>
    <w:rsid w:val="00F37E2F"/>
    <w:rsid w:val="00F37E6D"/>
    <w:rsid w:val="00F4030C"/>
    <w:rsid w:val="00F4092E"/>
    <w:rsid w:val="00F40ECF"/>
    <w:rsid w:val="00F40FED"/>
    <w:rsid w:val="00F41110"/>
    <w:rsid w:val="00F41403"/>
    <w:rsid w:val="00F418EC"/>
    <w:rsid w:val="00F418FF"/>
    <w:rsid w:val="00F41ADC"/>
    <w:rsid w:val="00F41B17"/>
    <w:rsid w:val="00F42267"/>
    <w:rsid w:val="00F422E1"/>
    <w:rsid w:val="00F422E4"/>
    <w:rsid w:val="00F423FC"/>
    <w:rsid w:val="00F42772"/>
    <w:rsid w:val="00F42CD3"/>
    <w:rsid w:val="00F434C0"/>
    <w:rsid w:val="00F43BE0"/>
    <w:rsid w:val="00F43C37"/>
    <w:rsid w:val="00F43CE4"/>
    <w:rsid w:val="00F44056"/>
    <w:rsid w:val="00F44144"/>
    <w:rsid w:val="00F4488B"/>
    <w:rsid w:val="00F44C53"/>
    <w:rsid w:val="00F45554"/>
    <w:rsid w:val="00F45859"/>
    <w:rsid w:val="00F458EA"/>
    <w:rsid w:val="00F460D6"/>
    <w:rsid w:val="00F46A81"/>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28D0"/>
    <w:rsid w:val="00F52ACA"/>
    <w:rsid w:val="00F5321A"/>
    <w:rsid w:val="00F53D59"/>
    <w:rsid w:val="00F53EE9"/>
    <w:rsid w:val="00F54136"/>
    <w:rsid w:val="00F54441"/>
    <w:rsid w:val="00F54725"/>
    <w:rsid w:val="00F5539E"/>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21A4"/>
    <w:rsid w:val="00F625B8"/>
    <w:rsid w:val="00F6317F"/>
    <w:rsid w:val="00F63C28"/>
    <w:rsid w:val="00F63D48"/>
    <w:rsid w:val="00F64134"/>
    <w:rsid w:val="00F645DE"/>
    <w:rsid w:val="00F647B3"/>
    <w:rsid w:val="00F649B2"/>
    <w:rsid w:val="00F64A7C"/>
    <w:rsid w:val="00F64E5B"/>
    <w:rsid w:val="00F64F36"/>
    <w:rsid w:val="00F651B3"/>
    <w:rsid w:val="00F65858"/>
    <w:rsid w:val="00F65C77"/>
    <w:rsid w:val="00F65CFA"/>
    <w:rsid w:val="00F666C3"/>
    <w:rsid w:val="00F66975"/>
    <w:rsid w:val="00F66AD6"/>
    <w:rsid w:val="00F66C69"/>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4A2"/>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685F"/>
    <w:rsid w:val="00F77267"/>
    <w:rsid w:val="00F7780F"/>
    <w:rsid w:val="00F77819"/>
    <w:rsid w:val="00F8004A"/>
    <w:rsid w:val="00F805F8"/>
    <w:rsid w:val="00F80F6D"/>
    <w:rsid w:val="00F812EC"/>
    <w:rsid w:val="00F81477"/>
    <w:rsid w:val="00F82CEC"/>
    <w:rsid w:val="00F82E2E"/>
    <w:rsid w:val="00F82F03"/>
    <w:rsid w:val="00F83160"/>
    <w:rsid w:val="00F83334"/>
    <w:rsid w:val="00F835B0"/>
    <w:rsid w:val="00F8379B"/>
    <w:rsid w:val="00F839E5"/>
    <w:rsid w:val="00F83AAA"/>
    <w:rsid w:val="00F83ADA"/>
    <w:rsid w:val="00F841C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686"/>
    <w:rsid w:val="00F8794C"/>
    <w:rsid w:val="00F8797E"/>
    <w:rsid w:val="00F87B85"/>
    <w:rsid w:val="00F87E5A"/>
    <w:rsid w:val="00F9009F"/>
    <w:rsid w:val="00F90426"/>
    <w:rsid w:val="00F904D0"/>
    <w:rsid w:val="00F904E7"/>
    <w:rsid w:val="00F907BB"/>
    <w:rsid w:val="00F9084A"/>
    <w:rsid w:val="00F908F3"/>
    <w:rsid w:val="00F90CCA"/>
    <w:rsid w:val="00F90D79"/>
    <w:rsid w:val="00F9176E"/>
    <w:rsid w:val="00F91A93"/>
    <w:rsid w:val="00F91BF7"/>
    <w:rsid w:val="00F92155"/>
    <w:rsid w:val="00F921F3"/>
    <w:rsid w:val="00F92278"/>
    <w:rsid w:val="00F923DF"/>
    <w:rsid w:val="00F926AF"/>
    <w:rsid w:val="00F926D0"/>
    <w:rsid w:val="00F929F4"/>
    <w:rsid w:val="00F92CD7"/>
    <w:rsid w:val="00F92CF1"/>
    <w:rsid w:val="00F92D64"/>
    <w:rsid w:val="00F92D83"/>
    <w:rsid w:val="00F92DDC"/>
    <w:rsid w:val="00F931C3"/>
    <w:rsid w:val="00F93569"/>
    <w:rsid w:val="00F937FC"/>
    <w:rsid w:val="00F93F99"/>
    <w:rsid w:val="00F9400F"/>
    <w:rsid w:val="00F943E3"/>
    <w:rsid w:val="00F94951"/>
    <w:rsid w:val="00F94CFD"/>
    <w:rsid w:val="00F94E4D"/>
    <w:rsid w:val="00F953D2"/>
    <w:rsid w:val="00F95470"/>
    <w:rsid w:val="00F9562E"/>
    <w:rsid w:val="00F9588F"/>
    <w:rsid w:val="00F95924"/>
    <w:rsid w:val="00F961A7"/>
    <w:rsid w:val="00F96D77"/>
    <w:rsid w:val="00F96E33"/>
    <w:rsid w:val="00F96FB5"/>
    <w:rsid w:val="00F972AA"/>
    <w:rsid w:val="00F978C5"/>
    <w:rsid w:val="00F97A8E"/>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92"/>
    <w:rsid w:val="00FA5DC9"/>
    <w:rsid w:val="00FA6039"/>
    <w:rsid w:val="00FA6085"/>
    <w:rsid w:val="00FA64A7"/>
    <w:rsid w:val="00FA65EB"/>
    <w:rsid w:val="00FA7401"/>
    <w:rsid w:val="00FB0718"/>
    <w:rsid w:val="00FB0C0D"/>
    <w:rsid w:val="00FB0CB2"/>
    <w:rsid w:val="00FB0EF3"/>
    <w:rsid w:val="00FB12D6"/>
    <w:rsid w:val="00FB16FD"/>
    <w:rsid w:val="00FB1D31"/>
    <w:rsid w:val="00FB1F79"/>
    <w:rsid w:val="00FB2298"/>
    <w:rsid w:val="00FB2372"/>
    <w:rsid w:val="00FB2781"/>
    <w:rsid w:val="00FB2837"/>
    <w:rsid w:val="00FB2C4D"/>
    <w:rsid w:val="00FB2D77"/>
    <w:rsid w:val="00FB2EEE"/>
    <w:rsid w:val="00FB3246"/>
    <w:rsid w:val="00FB4044"/>
    <w:rsid w:val="00FB40D0"/>
    <w:rsid w:val="00FB42B0"/>
    <w:rsid w:val="00FB42F3"/>
    <w:rsid w:val="00FB4714"/>
    <w:rsid w:val="00FB47EC"/>
    <w:rsid w:val="00FB49B6"/>
    <w:rsid w:val="00FB49D4"/>
    <w:rsid w:val="00FB4AFE"/>
    <w:rsid w:val="00FB4B76"/>
    <w:rsid w:val="00FB4E54"/>
    <w:rsid w:val="00FB62B7"/>
    <w:rsid w:val="00FB62C4"/>
    <w:rsid w:val="00FB689C"/>
    <w:rsid w:val="00FB6C31"/>
    <w:rsid w:val="00FB6E9A"/>
    <w:rsid w:val="00FB6FA2"/>
    <w:rsid w:val="00FB7150"/>
    <w:rsid w:val="00FB71DA"/>
    <w:rsid w:val="00FB7469"/>
    <w:rsid w:val="00FB75B3"/>
    <w:rsid w:val="00FB7650"/>
    <w:rsid w:val="00FB7804"/>
    <w:rsid w:val="00FB7C5E"/>
    <w:rsid w:val="00FB7D8D"/>
    <w:rsid w:val="00FB7FDA"/>
    <w:rsid w:val="00FB829D"/>
    <w:rsid w:val="00FC0010"/>
    <w:rsid w:val="00FC030F"/>
    <w:rsid w:val="00FC06C9"/>
    <w:rsid w:val="00FC0A02"/>
    <w:rsid w:val="00FC0E89"/>
    <w:rsid w:val="00FC101B"/>
    <w:rsid w:val="00FC1740"/>
    <w:rsid w:val="00FC17EE"/>
    <w:rsid w:val="00FC17F2"/>
    <w:rsid w:val="00FC1970"/>
    <w:rsid w:val="00FC1C42"/>
    <w:rsid w:val="00FC27A0"/>
    <w:rsid w:val="00FC2EDD"/>
    <w:rsid w:val="00FC3483"/>
    <w:rsid w:val="00FC36F4"/>
    <w:rsid w:val="00FC3EBF"/>
    <w:rsid w:val="00FC41C2"/>
    <w:rsid w:val="00FC45E4"/>
    <w:rsid w:val="00FC4A06"/>
    <w:rsid w:val="00FC4BF9"/>
    <w:rsid w:val="00FC5C4A"/>
    <w:rsid w:val="00FC60FB"/>
    <w:rsid w:val="00FC6116"/>
    <w:rsid w:val="00FC616D"/>
    <w:rsid w:val="00FC6475"/>
    <w:rsid w:val="00FC68C0"/>
    <w:rsid w:val="00FC70B4"/>
    <w:rsid w:val="00FC70C9"/>
    <w:rsid w:val="00FC7558"/>
    <w:rsid w:val="00FC7582"/>
    <w:rsid w:val="00FC788E"/>
    <w:rsid w:val="00FC7D34"/>
    <w:rsid w:val="00FD0594"/>
    <w:rsid w:val="00FD0662"/>
    <w:rsid w:val="00FD0A93"/>
    <w:rsid w:val="00FD0D4F"/>
    <w:rsid w:val="00FD123A"/>
    <w:rsid w:val="00FD130B"/>
    <w:rsid w:val="00FD1323"/>
    <w:rsid w:val="00FD1352"/>
    <w:rsid w:val="00FD1505"/>
    <w:rsid w:val="00FD1B18"/>
    <w:rsid w:val="00FD1DA7"/>
    <w:rsid w:val="00FD20F7"/>
    <w:rsid w:val="00FD247D"/>
    <w:rsid w:val="00FD249A"/>
    <w:rsid w:val="00FD333D"/>
    <w:rsid w:val="00FD37F7"/>
    <w:rsid w:val="00FD3BF4"/>
    <w:rsid w:val="00FD40A5"/>
    <w:rsid w:val="00FD425E"/>
    <w:rsid w:val="00FD4774"/>
    <w:rsid w:val="00FD4E04"/>
    <w:rsid w:val="00FD6294"/>
    <w:rsid w:val="00FD667B"/>
    <w:rsid w:val="00FD675F"/>
    <w:rsid w:val="00FD6A06"/>
    <w:rsid w:val="00FD7276"/>
    <w:rsid w:val="00FD7405"/>
    <w:rsid w:val="00FD741A"/>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CF5"/>
    <w:rsid w:val="00FE3EF7"/>
    <w:rsid w:val="00FE45FC"/>
    <w:rsid w:val="00FE467D"/>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AC1"/>
    <w:rsid w:val="00FF1CA9"/>
    <w:rsid w:val="00FF1D2E"/>
    <w:rsid w:val="00FF2773"/>
    <w:rsid w:val="00FF2855"/>
    <w:rsid w:val="00FF2A2F"/>
    <w:rsid w:val="00FF2AC3"/>
    <w:rsid w:val="00FF371E"/>
    <w:rsid w:val="00FF399F"/>
    <w:rsid w:val="00FF4126"/>
    <w:rsid w:val="00FF46D7"/>
    <w:rsid w:val="00FF4DE3"/>
    <w:rsid w:val="00FF5627"/>
    <w:rsid w:val="00FF566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55639"/>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A1DB6"/>
    <w:rsid w:val="0A2B51E8"/>
    <w:rsid w:val="0A36C196"/>
    <w:rsid w:val="0A484528"/>
    <w:rsid w:val="0A4B8401"/>
    <w:rsid w:val="0A8487E5"/>
    <w:rsid w:val="0A8B7FB7"/>
    <w:rsid w:val="0A8F61E5"/>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7ADAA5"/>
    <w:rsid w:val="0C8221CF"/>
    <w:rsid w:val="0C9C8F5B"/>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0C8F7E"/>
    <w:rsid w:val="1211F493"/>
    <w:rsid w:val="121CBD9F"/>
    <w:rsid w:val="121DE9A8"/>
    <w:rsid w:val="122721BD"/>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50670"/>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5BD9DB"/>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321D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96F50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AB7F7"/>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1D551F"/>
    <w:rsid w:val="234CE8EB"/>
    <w:rsid w:val="2354AE94"/>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C2191"/>
    <w:rsid w:val="25DEF150"/>
    <w:rsid w:val="25E696CE"/>
    <w:rsid w:val="260897B9"/>
    <w:rsid w:val="261F5EDA"/>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020DE"/>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3BD47"/>
    <w:rsid w:val="29C449ED"/>
    <w:rsid w:val="29D2497D"/>
    <w:rsid w:val="29D48B1C"/>
    <w:rsid w:val="29E96ED2"/>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5F8DA8"/>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D99A5B"/>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50654"/>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7D4D43"/>
    <w:rsid w:val="2F811F6D"/>
    <w:rsid w:val="2F89C224"/>
    <w:rsid w:val="2F955F98"/>
    <w:rsid w:val="2FA7AB3C"/>
    <w:rsid w:val="2FAAE44B"/>
    <w:rsid w:val="2FC5DC23"/>
    <w:rsid w:val="2FE04367"/>
    <w:rsid w:val="2FED0717"/>
    <w:rsid w:val="2FED9A54"/>
    <w:rsid w:val="3000D724"/>
    <w:rsid w:val="300F6CA0"/>
    <w:rsid w:val="3011BA9D"/>
    <w:rsid w:val="301A05FC"/>
    <w:rsid w:val="301A093F"/>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522357"/>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2ADFD"/>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E373A"/>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217CD"/>
    <w:rsid w:val="37E41543"/>
    <w:rsid w:val="380DB577"/>
    <w:rsid w:val="38176908"/>
    <w:rsid w:val="3819C12B"/>
    <w:rsid w:val="3822589D"/>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2395"/>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6A64F9"/>
    <w:rsid w:val="3D753B1A"/>
    <w:rsid w:val="3D9001CD"/>
    <w:rsid w:val="3D9BBBFD"/>
    <w:rsid w:val="3DB7AC89"/>
    <w:rsid w:val="3DBCE596"/>
    <w:rsid w:val="3DBEED11"/>
    <w:rsid w:val="3DC6E99C"/>
    <w:rsid w:val="3DC9ACF3"/>
    <w:rsid w:val="3DCC1996"/>
    <w:rsid w:val="3DE6281C"/>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ECF6E6"/>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0DD6576"/>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C628E8"/>
    <w:rsid w:val="42D37BF2"/>
    <w:rsid w:val="42E8E385"/>
    <w:rsid w:val="430594C8"/>
    <w:rsid w:val="43109921"/>
    <w:rsid w:val="43144049"/>
    <w:rsid w:val="4322DAB6"/>
    <w:rsid w:val="4325922F"/>
    <w:rsid w:val="433384B8"/>
    <w:rsid w:val="4358A795"/>
    <w:rsid w:val="436DF94D"/>
    <w:rsid w:val="437623DC"/>
    <w:rsid w:val="437AD171"/>
    <w:rsid w:val="4397556A"/>
    <w:rsid w:val="439908A3"/>
    <w:rsid w:val="4399BD52"/>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3F516B"/>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56FF3"/>
    <w:rsid w:val="49D6F91F"/>
    <w:rsid w:val="49E1908F"/>
    <w:rsid w:val="49EB1C68"/>
    <w:rsid w:val="49F97F08"/>
    <w:rsid w:val="49FDDA8E"/>
    <w:rsid w:val="49FDFC6E"/>
    <w:rsid w:val="4A0C0961"/>
    <w:rsid w:val="4A0CBCE7"/>
    <w:rsid w:val="4A1384D4"/>
    <w:rsid w:val="4A1C28D6"/>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04396C"/>
    <w:rsid w:val="4E11EDE1"/>
    <w:rsid w:val="4E124F74"/>
    <w:rsid w:val="4E148E33"/>
    <w:rsid w:val="4E1B28B9"/>
    <w:rsid w:val="4E21177A"/>
    <w:rsid w:val="4E22341C"/>
    <w:rsid w:val="4E2FCF94"/>
    <w:rsid w:val="4E57E74E"/>
    <w:rsid w:val="4E5B0D42"/>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6DDA3"/>
    <w:rsid w:val="4FFD230A"/>
    <w:rsid w:val="500DBA92"/>
    <w:rsid w:val="50129CF2"/>
    <w:rsid w:val="50232F34"/>
    <w:rsid w:val="5025D8E9"/>
    <w:rsid w:val="502AD1E9"/>
    <w:rsid w:val="502EE3C7"/>
    <w:rsid w:val="504D1EFB"/>
    <w:rsid w:val="50683480"/>
    <w:rsid w:val="50754C49"/>
    <w:rsid w:val="50894D3C"/>
    <w:rsid w:val="50947AE4"/>
    <w:rsid w:val="50B4DC4D"/>
    <w:rsid w:val="50B8E390"/>
    <w:rsid w:val="50CDCB45"/>
    <w:rsid w:val="50D01218"/>
    <w:rsid w:val="50F8A8F1"/>
    <w:rsid w:val="50FD8616"/>
    <w:rsid w:val="50FF4DD9"/>
    <w:rsid w:val="51042A41"/>
    <w:rsid w:val="5116B139"/>
    <w:rsid w:val="511981F4"/>
    <w:rsid w:val="513E653E"/>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3F445C"/>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75061C"/>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0D67D"/>
    <w:rsid w:val="5D11DFB0"/>
    <w:rsid w:val="5D194674"/>
    <w:rsid w:val="5D20800A"/>
    <w:rsid w:val="5D26202D"/>
    <w:rsid w:val="5D40B964"/>
    <w:rsid w:val="5D479282"/>
    <w:rsid w:val="5D68951C"/>
    <w:rsid w:val="5D7BE75D"/>
    <w:rsid w:val="5D87254E"/>
    <w:rsid w:val="5D8F7453"/>
    <w:rsid w:val="5DA0B0D3"/>
    <w:rsid w:val="5DA5AC76"/>
    <w:rsid w:val="5DB26834"/>
    <w:rsid w:val="5DB6B85D"/>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A7848"/>
    <w:rsid w:val="5EEDC3E9"/>
    <w:rsid w:val="5EF5B222"/>
    <w:rsid w:val="5EF69CA5"/>
    <w:rsid w:val="5F074FC5"/>
    <w:rsid w:val="5F296F0B"/>
    <w:rsid w:val="5F2DFF87"/>
    <w:rsid w:val="5F2E5EF2"/>
    <w:rsid w:val="5F36684B"/>
    <w:rsid w:val="5F551E0B"/>
    <w:rsid w:val="5F669453"/>
    <w:rsid w:val="5F68F823"/>
    <w:rsid w:val="5F86E474"/>
    <w:rsid w:val="5FA32C58"/>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1E8D08F"/>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B3C97C"/>
    <w:rsid w:val="64D48CB1"/>
    <w:rsid w:val="64D59F17"/>
    <w:rsid w:val="64D7104D"/>
    <w:rsid w:val="64ED5945"/>
    <w:rsid w:val="64EDFC11"/>
    <w:rsid w:val="64EE8431"/>
    <w:rsid w:val="64FE5E16"/>
    <w:rsid w:val="65073F49"/>
    <w:rsid w:val="6510634B"/>
    <w:rsid w:val="65204C64"/>
    <w:rsid w:val="653B2CE9"/>
    <w:rsid w:val="654429A3"/>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C41B2"/>
    <w:rsid w:val="66BEAA57"/>
    <w:rsid w:val="66D8BAF9"/>
    <w:rsid w:val="66DCD6B0"/>
    <w:rsid w:val="6714C8B6"/>
    <w:rsid w:val="6745A2F1"/>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0B013"/>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2F9EA"/>
    <w:rsid w:val="6BF5C54C"/>
    <w:rsid w:val="6BF8C3AC"/>
    <w:rsid w:val="6C04FAB2"/>
    <w:rsid w:val="6C05F35B"/>
    <w:rsid w:val="6C063E63"/>
    <w:rsid w:val="6C128083"/>
    <w:rsid w:val="6C192A86"/>
    <w:rsid w:val="6C1C2575"/>
    <w:rsid w:val="6C224FC9"/>
    <w:rsid w:val="6C2CC887"/>
    <w:rsid w:val="6C38F29B"/>
    <w:rsid w:val="6C3A2875"/>
    <w:rsid w:val="6C3C9A25"/>
    <w:rsid w:val="6C41551C"/>
    <w:rsid w:val="6C4749DC"/>
    <w:rsid w:val="6C4BEFA6"/>
    <w:rsid w:val="6C50D44D"/>
    <w:rsid w:val="6C5A6B20"/>
    <w:rsid w:val="6C7C663F"/>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CAAD0"/>
    <w:rsid w:val="6DCE8AF6"/>
    <w:rsid w:val="6DEA2850"/>
    <w:rsid w:val="6E056174"/>
    <w:rsid w:val="6E0E598B"/>
    <w:rsid w:val="6E0F2AE6"/>
    <w:rsid w:val="6E1F4824"/>
    <w:rsid w:val="6E2F7177"/>
    <w:rsid w:val="6E41295E"/>
    <w:rsid w:val="6E52BD18"/>
    <w:rsid w:val="6E53110A"/>
    <w:rsid w:val="6E5B5956"/>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1FFE7"/>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6FEF6F11"/>
    <w:rsid w:val="7006071B"/>
    <w:rsid w:val="7018D038"/>
    <w:rsid w:val="701E4576"/>
    <w:rsid w:val="702BFA1F"/>
    <w:rsid w:val="7030213F"/>
    <w:rsid w:val="70384F92"/>
    <w:rsid w:val="703E1D99"/>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26E3D8"/>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878E5"/>
    <w:rsid w:val="728A6800"/>
    <w:rsid w:val="728AB688"/>
    <w:rsid w:val="728D9CA0"/>
    <w:rsid w:val="729E238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4A782C"/>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BEF2CC"/>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31036"/>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49293"/>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807135"/>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565E7"/>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2743DA1B-FF06-4647-BCD3-91FEB60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84113B"/>
    <w:pPr>
      <w:keepNext/>
      <w:keepLines/>
      <w:spacing w:before="40"/>
      <w:outlineLvl w:val="4"/>
    </w:pPr>
    <w:rPr>
      <w:rFonts w:asciiTheme="majorHAnsi" w:eastAsiaTheme="majorEastAsia" w:hAnsiTheme="majorHAnsi" w:cstheme="majorBidi"/>
      <w:color w:val="42558C" w:themeColor="accent1" w:themeShade="BF"/>
    </w:rPr>
  </w:style>
  <w:style w:type="paragraph" w:styleId="Heading6">
    <w:name w:val="heading 6"/>
    <w:basedOn w:val="Normal"/>
    <w:next w:val="Normal"/>
    <w:link w:val="Heading6Char"/>
    <w:uiPriority w:val="9"/>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7E631F"/>
    <w:pPr>
      <w:tabs>
        <w:tab w:val="right" w:leader="dot" w:pos="9450"/>
      </w:tabs>
      <w:spacing w:after="100"/>
      <w:ind w:left="450"/>
    </w:pPr>
    <w:rPr>
      <w:rFonts w:asciiTheme="minorHAnsi" w:hAnsiTheme="minorHAnsi" w:cstheme="minorHAnsi"/>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 w:type="table" w:customStyle="1" w:styleId="TableGrid2">
    <w:name w:val="Table Grid2"/>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F2081D"/>
  </w:style>
  <w:style w:type="character" w:styleId="Emphasis">
    <w:name w:val="Emphasis"/>
    <w:basedOn w:val="DefaultParagraphFont"/>
    <w:uiPriority w:val="20"/>
    <w:qFormat/>
    <w:rsid w:val="00F2081D"/>
    <w:rPr>
      <w:i/>
      <w:iCs/>
    </w:rPr>
  </w:style>
  <w:style w:type="paragraph" w:styleId="Title">
    <w:name w:val="Title"/>
    <w:basedOn w:val="Normal"/>
    <w:next w:val="Normal"/>
    <w:link w:val="TitleChar"/>
    <w:uiPriority w:val="10"/>
    <w:qFormat/>
    <w:rsid w:val="00D125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38"/>
    <w:rPr>
      <w:rFonts w:asciiTheme="majorHAnsi" w:eastAsiaTheme="majorEastAsia" w:hAnsiTheme="majorHAnsi" w:cstheme="majorBidi"/>
      <w:spacing w:val="-10"/>
      <w:kern w:val="28"/>
      <w:sz w:val="56"/>
      <w:szCs w:val="56"/>
    </w:rPr>
  </w:style>
  <w:style w:type="character" w:customStyle="1" w:styleId="tabchar">
    <w:name w:val="tabchar"/>
    <w:basedOn w:val="DefaultParagraphFont"/>
    <w:rsid w:val="000D0D14"/>
  </w:style>
  <w:style w:type="character" w:customStyle="1" w:styleId="eop">
    <w:name w:val="eop"/>
    <w:basedOn w:val="DefaultParagraphFont"/>
    <w:rsid w:val="000D0D14"/>
  </w:style>
  <w:style w:type="character" w:customStyle="1" w:styleId="contextualspellingandgrammarerror">
    <w:name w:val="contextualspellingandgrammarerror"/>
    <w:basedOn w:val="DefaultParagraphFont"/>
    <w:rsid w:val="00AA5ECD"/>
  </w:style>
  <w:style w:type="character" w:customStyle="1" w:styleId="spellingerror">
    <w:name w:val="spellingerror"/>
    <w:basedOn w:val="DefaultParagraphFont"/>
    <w:rsid w:val="00AA5ECD"/>
  </w:style>
  <w:style w:type="paragraph" w:customStyle="1" w:styleId="xmsofootnotetext">
    <w:name w:val="x_msofootnotetext"/>
    <w:basedOn w:val="Normal"/>
    <w:rsid w:val="00DA1F64"/>
    <w:rPr>
      <w:rFonts w:ascii="Calibri" w:eastAsiaTheme="minorHAnsi" w:hAnsi="Calibri" w:cs="Calibri"/>
      <w:sz w:val="22"/>
      <w:szCs w:val="22"/>
    </w:rPr>
  </w:style>
  <w:style w:type="paragraph" w:customStyle="1" w:styleId="xmsolistparagraph">
    <w:name w:val="x_msolistparagraph"/>
    <w:basedOn w:val="Normal"/>
    <w:rsid w:val="00DA1F6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DA1F64"/>
  </w:style>
  <w:style w:type="paragraph" w:styleId="TOC3">
    <w:name w:val="toc 3"/>
    <w:basedOn w:val="Normal"/>
    <w:next w:val="Normal"/>
    <w:autoRedefine/>
    <w:uiPriority w:val="39"/>
    <w:unhideWhenUsed/>
    <w:rsid w:val="000345FC"/>
    <w:pPr>
      <w:spacing w:after="100"/>
      <w:ind w:left="480"/>
    </w:p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sid w:val="0084113B"/>
    <w:rPr>
      <w:rFonts w:asciiTheme="majorHAnsi" w:eastAsiaTheme="majorEastAsia" w:hAnsiTheme="majorHAnsi" w:cstheme="majorBidi"/>
      <w:color w:val="42558C"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102853">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4440230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3971191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90214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81781289">
      <w:bodyDiv w:val="1"/>
      <w:marLeft w:val="0"/>
      <w:marRight w:val="0"/>
      <w:marTop w:val="0"/>
      <w:marBottom w:val="0"/>
      <w:divBdr>
        <w:top w:val="none" w:sz="0" w:space="0" w:color="auto"/>
        <w:left w:val="none" w:sz="0" w:space="0" w:color="auto"/>
        <w:bottom w:val="none" w:sz="0" w:space="0" w:color="auto"/>
        <w:right w:val="none" w:sz="0" w:space="0" w:color="auto"/>
      </w:divBdr>
    </w:div>
    <w:div w:id="694623037">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29767702">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6452863">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21991055">
      <w:bodyDiv w:val="1"/>
      <w:marLeft w:val="0"/>
      <w:marRight w:val="0"/>
      <w:marTop w:val="0"/>
      <w:marBottom w:val="0"/>
      <w:divBdr>
        <w:top w:val="none" w:sz="0" w:space="0" w:color="auto"/>
        <w:left w:val="none" w:sz="0" w:space="0" w:color="auto"/>
        <w:bottom w:val="none" w:sz="0" w:space="0" w:color="auto"/>
        <w:right w:val="none" w:sz="0" w:space="0" w:color="auto"/>
      </w:divBdr>
    </w:div>
    <w:div w:id="954752807">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4469641">
      <w:bodyDiv w:val="1"/>
      <w:marLeft w:val="0"/>
      <w:marRight w:val="0"/>
      <w:marTop w:val="0"/>
      <w:marBottom w:val="0"/>
      <w:divBdr>
        <w:top w:val="none" w:sz="0" w:space="0" w:color="auto"/>
        <w:left w:val="none" w:sz="0" w:space="0" w:color="auto"/>
        <w:bottom w:val="none" w:sz="0" w:space="0" w:color="auto"/>
        <w:right w:val="none" w:sz="0" w:space="0" w:color="auto"/>
      </w:divBdr>
    </w:div>
    <w:div w:id="1139688854">
      <w:bodyDiv w:val="1"/>
      <w:marLeft w:val="0"/>
      <w:marRight w:val="0"/>
      <w:marTop w:val="0"/>
      <w:marBottom w:val="0"/>
      <w:divBdr>
        <w:top w:val="none" w:sz="0" w:space="0" w:color="auto"/>
        <w:left w:val="none" w:sz="0" w:space="0" w:color="auto"/>
        <w:bottom w:val="none" w:sz="0" w:space="0" w:color="auto"/>
        <w:right w:val="none" w:sz="0" w:space="0" w:color="auto"/>
      </w:divBdr>
    </w:div>
    <w:div w:id="1153645646">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89164319">
      <w:bodyDiv w:val="1"/>
      <w:marLeft w:val="0"/>
      <w:marRight w:val="0"/>
      <w:marTop w:val="0"/>
      <w:marBottom w:val="0"/>
      <w:divBdr>
        <w:top w:val="none" w:sz="0" w:space="0" w:color="auto"/>
        <w:left w:val="none" w:sz="0" w:space="0" w:color="auto"/>
        <w:bottom w:val="none" w:sz="0" w:space="0" w:color="auto"/>
        <w:right w:val="none" w:sz="0" w:space="0" w:color="auto"/>
      </w:divBdr>
    </w:div>
    <w:div w:id="1341352477">
      <w:bodyDiv w:val="1"/>
      <w:marLeft w:val="0"/>
      <w:marRight w:val="0"/>
      <w:marTop w:val="0"/>
      <w:marBottom w:val="0"/>
      <w:divBdr>
        <w:top w:val="none" w:sz="0" w:space="0" w:color="auto"/>
        <w:left w:val="none" w:sz="0" w:space="0" w:color="auto"/>
        <w:bottom w:val="none" w:sz="0" w:space="0" w:color="auto"/>
        <w:right w:val="none" w:sz="0" w:space="0" w:color="auto"/>
      </w:divBdr>
    </w:div>
    <w:div w:id="134624927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72652375">
      <w:bodyDiv w:val="1"/>
      <w:marLeft w:val="0"/>
      <w:marRight w:val="0"/>
      <w:marTop w:val="0"/>
      <w:marBottom w:val="0"/>
      <w:divBdr>
        <w:top w:val="none" w:sz="0" w:space="0" w:color="auto"/>
        <w:left w:val="none" w:sz="0" w:space="0" w:color="auto"/>
        <w:bottom w:val="none" w:sz="0" w:space="0" w:color="auto"/>
        <w:right w:val="none" w:sz="0" w:space="0" w:color="auto"/>
      </w:divBdr>
    </w:div>
    <w:div w:id="1392146941">
      <w:bodyDiv w:val="1"/>
      <w:marLeft w:val="0"/>
      <w:marRight w:val="0"/>
      <w:marTop w:val="0"/>
      <w:marBottom w:val="0"/>
      <w:divBdr>
        <w:top w:val="none" w:sz="0" w:space="0" w:color="auto"/>
        <w:left w:val="none" w:sz="0" w:space="0" w:color="auto"/>
        <w:bottom w:val="none" w:sz="0" w:space="0" w:color="auto"/>
        <w:right w:val="none" w:sz="0" w:space="0" w:color="auto"/>
      </w:divBdr>
    </w:div>
    <w:div w:id="1394810599">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65466437">
      <w:bodyDiv w:val="1"/>
      <w:marLeft w:val="0"/>
      <w:marRight w:val="0"/>
      <w:marTop w:val="0"/>
      <w:marBottom w:val="0"/>
      <w:divBdr>
        <w:top w:val="none" w:sz="0" w:space="0" w:color="auto"/>
        <w:left w:val="none" w:sz="0" w:space="0" w:color="auto"/>
        <w:bottom w:val="none" w:sz="0" w:space="0" w:color="auto"/>
        <w:right w:val="none" w:sz="0" w:space="0" w:color="auto"/>
      </w:divBdr>
    </w:div>
    <w:div w:id="146689319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499733906">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59594338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1960073">
      <w:bodyDiv w:val="1"/>
      <w:marLeft w:val="0"/>
      <w:marRight w:val="0"/>
      <w:marTop w:val="0"/>
      <w:marBottom w:val="0"/>
      <w:divBdr>
        <w:top w:val="none" w:sz="0" w:space="0" w:color="auto"/>
        <w:left w:val="none" w:sz="0" w:space="0" w:color="auto"/>
        <w:bottom w:val="none" w:sz="0" w:space="0" w:color="auto"/>
        <w:right w:val="none" w:sz="0" w:space="0" w:color="auto"/>
      </w:divBdr>
    </w:div>
    <w:div w:id="1659580189">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78997053">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08598454">
      <w:bodyDiv w:val="1"/>
      <w:marLeft w:val="0"/>
      <w:marRight w:val="0"/>
      <w:marTop w:val="0"/>
      <w:marBottom w:val="0"/>
      <w:divBdr>
        <w:top w:val="none" w:sz="0" w:space="0" w:color="auto"/>
        <w:left w:val="none" w:sz="0" w:space="0" w:color="auto"/>
        <w:bottom w:val="none" w:sz="0" w:space="0" w:color="auto"/>
        <w:right w:val="none" w:sz="0" w:space="0" w:color="auto"/>
      </w:divBdr>
    </w:div>
    <w:div w:id="1735201862">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404790">
      <w:bodyDiv w:val="1"/>
      <w:marLeft w:val="0"/>
      <w:marRight w:val="0"/>
      <w:marTop w:val="0"/>
      <w:marBottom w:val="0"/>
      <w:divBdr>
        <w:top w:val="none" w:sz="0" w:space="0" w:color="auto"/>
        <w:left w:val="none" w:sz="0" w:space="0" w:color="auto"/>
        <w:bottom w:val="none" w:sz="0" w:space="0" w:color="auto"/>
        <w:right w:val="none" w:sz="0" w:space="0" w:color="auto"/>
      </w:divBdr>
    </w:div>
    <w:div w:id="1740639710">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72899311">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6100040">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5528934">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4855203">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03660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48271125">
      <w:bodyDiv w:val="1"/>
      <w:marLeft w:val="0"/>
      <w:marRight w:val="0"/>
      <w:marTop w:val="0"/>
      <w:marBottom w:val="0"/>
      <w:divBdr>
        <w:top w:val="none" w:sz="0" w:space="0" w:color="auto"/>
        <w:left w:val="none" w:sz="0" w:space="0" w:color="auto"/>
        <w:bottom w:val="none" w:sz="0" w:space="0" w:color="auto"/>
        <w:right w:val="none" w:sz="0" w:space="0" w:color="auto"/>
      </w:divBdr>
    </w:div>
    <w:div w:id="1957249863">
      <w:bodyDiv w:val="1"/>
      <w:marLeft w:val="0"/>
      <w:marRight w:val="0"/>
      <w:marTop w:val="0"/>
      <w:marBottom w:val="0"/>
      <w:divBdr>
        <w:top w:val="none" w:sz="0" w:space="0" w:color="auto"/>
        <w:left w:val="none" w:sz="0" w:space="0" w:color="auto"/>
        <w:bottom w:val="none" w:sz="0" w:space="0" w:color="auto"/>
        <w:right w:val="none" w:sz="0" w:space="0" w:color="auto"/>
      </w:divBdr>
    </w:div>
    <w:div w:id="197159495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0874741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 w:id="2071807833">
      <w:bodyDiv w:val="1"/>
      <w:marLeft w:val="0"/>
      <w:marRight w:val="0"/>
      <w:marTop w:val="0"/>
      <w:marBottom w:val="0"/>
      <w:divBdr>
        <w:top w:val="none" w:sz="0" w:space="0" w:color="auto"/>
        <w:left w:val="none" w:sz="0" w:space="0" w:color="auto"/>
        <w:bottom w:val="none" w:sz="0" w:space="0" w:color="auto"/>
        <w:right w:val="none" w:sz="0" w:space="0" w:color="auto"/>
      </w:divBdr>
    </w:div>
    <w:div w:id="2075815590">
      <w:bodyDiv w:val="1"/>
      <w:marLeft w:val="0"/>
      <w:marRight w:val="0"/>
      <w:marTop w:val="0"/>
      <w:marBottom w:val="0"/>
      <w:divBdr>
        <w:top w:val="none" w:sz="0" w:space="0" w:color="auto"/>
        <w:left w:val="none" w:sz="0" w:space="0" w:color="auto"/>
        <w:bottom w:val="none" w:sz="0" w:space="0" w:color="auto"/>
        <w:right w:val="none" w:sz="0" w:space="0" w:color="auto"/>
      </w:divBdr>
    </w:div>
    <w:div w:id="211413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endnotes.xml.rels><?xml version="1.0" encoding="UTF-8" standalone="yes"?>
<Relationships xmlns="http://schemas.openxmlformats.org/package/2006/relationships"><Relationship Id="rId13" Type="http://schemas.openxmlformats.org/officeDocument/2006/relationships/hyperlink" Target="https://appliedradiology.com/articles/3t-mri-in-clinical-practice" TargetMode="External"/><Relationship Id="rId18" Type="http://schemas.openxmlformats.org/officeDocument/2006/relationships/hyperlink" Target="https://www.gehealthcare.com/insights/article/what-does-tesla-mean-for-an-mri-and-its-magnet" TargetMode="External"/><Relationship Id="rId26" Type="http://schemas.openxmlformats.org/officeDocument/2006/relationships/hyperlink" Target="https://jamanetwork.com/journals/jamainternalmedicine/fullarticle/1105879" TargetMode="External"/><Relationship Id="rId39" Type="http://schemas.openxmlformats.org/officeDocument/2006/relationships/hyperlink" Target="https://www.mass.gov/doc/2022-cost-trends-report-chartpack/download" TargetMode="External"/><Relationship Id="rId21" Type="http://schemas.openxmlformats.org/officeDocument/2006/relationships/hyperlink" Target="https://www.ahajournals.org/doi/abs/10.1161/CIRCEP.113.000116" TargetMode="External"/><Relationship Id="rId34" Type="http://schemas.openxmlformats.org/officeDocument/2006/relationships/hyperlink" Target="https://www.aha.org/social-determinants-health/populationcommunity-health/community-partnerships" TargetMode="External"/><Relationship Id="rId42" Type="http://schemas.openxmlformats.org/officeDocument/2006/relationships/hyperlink" Target="https://www.ahrq.gov/research/findings/nhqrdr/chartbooks/access/elements3.html" TargetMode="External"/><Relationship Id="rId47" Type="http://schemas.openxmlformats.org/officeDocument/2006/relationships/hyperlink" Target="https://www.mahp.com/wp-content/uploads/2019/05/freedman-report-2018-final.pdf" TargetMode="External"/><Relationship Id="rId50" Type="http://schemas.openxmlformats.org/officeDocument/2006/relationships/hyperlink" Target="https://www.mass.gov/doc/2015-cost-trends-report-provider-price-variation/download" TargetMode="External"/><Relationship Id="rId7"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 Type="http://schemas.openxmlformats.org/officeDocument/2006/relationships/hyperlink" Target="https://www.ncbi.nlm.nih.gov/pmc/articles/PMC4989238" TargetMode="External"/><Relationship Id="rId16" Type="http://schemas.openxmlformats.org/officeDocument/2006/relationships/hyperlink" Target="https://www.radiologytoday.net/archive/rt0216p22.shtml" TargetMode="External"/><Relationship Id="rId29" Type="http://schemas.openxmlformats.org/officeDocument/2006/relationships/hyperlink" Target="https://catalyst.nejm.org/doi/full/10.1056/CAT.22.0115" TargetMode="External"/><Relationship Id="rId11" Type="http://schemas.openxmlformats.org/officeDocument/2006/relationships/hyperlink" Target="https://link.springer.com/article/10.1007/s00259-008-0938-3" TargetMode="External"/><Relationship Id="rId24" Type="http://schemas.openxmlformats.org/officeDocument/2006/relationships/hyperlink" Target="https://www.ncbi.nlm.nih.gov/pmc/articles/PMC4989238/" TargetMode="External"/><Relationship Id="rId32" Type="http://schemas.openxmlformats.org/officeDocument/2006/relationships/hyperlink" Target="https://www.medicalimaging.org/medical-imaging/benefits-of-medical-imaging/health-care-costs-quality" TargetMode="External"/><Relationship Id="rId37" Type="http://schemas.openxmlformats.org/officeDocument/2006/relationships/hyperlink" Target="https://revcycleintelligence.com/news/how-addressing-social-determinants-of-health-cuts-healthcare-costs" TargetMode="External"/><Relationship Id="rId40" Type="http://schemas.openxmlformats.org/officeDocument/2006/relationships/hyperlink" Target="https://www.chiamass.gov/assets/docs/r/hospital-profiles/2020/FY20-Massachusetts-Hospital-Profiles-Technical-Appendix.pdf" TargetMode="External"/><Relationship Id="rId45" Type="http://schemas.openxmlformats.org/officeDocument/2006/relationships/hyperlink" Target="https://hbr.org/2011/09/how-to-solve-the-cost-crisis-in-health-care" TargetMode="External"/><Relationship Id="rId53" Type="http://schemas.openxmlformats.org/officeDocument/2006/relationships/hyperlink" Target="https://www.mahp.com/wp-content/uploads/2019/05/freedman-report-2018-final.pdf" TargetMode="External"/><Relationship Id="rId5" Type="http://schemas.openxmlformats.org/officeDocument/2006/relationships/hyperlink" Target="https://pubmed.ncbi.nlm.nih.gov/23821908/" TargetMode="External"/><Relationship Id="rId10" Type="http://schemas.openxmlformats.org/officeDocument/2006/relationships/hyperlink" Target="https://www.nibib.nih.gov/science-education/science-topics/magnetic-resonance-imaging-mri" TargetMode="External"/><Relationship Id="rId19" Type="http://schemas.openxmlformats.org/officeDocument/2006/relationships/hyperlink" Target="https://www.radiologytoday.net/archive/rt0216p22.shtml" TargetMode="External"/><Relationship Id="rId31" Type="http://schemas.openxmlformats.org/officeDocument/2006/relationships/hyperlink" Target="https://catalyst.nejm.org/doi/full/10.1056/CAT.22.0115" TargetMode="External"/><Relationship Id="rId44" Type="http://schemas.openxmlformats.org/officeDocument/2006/relationships/hyperlink" Target="https://hbr.org/2011/09/how-to-solve-the-cost-crisis-in-health-care" TargetMode="External"/><Relationship Id="rId52" Type="http://schemas.openxmlformats.org/officeDocument/2006/relationships/hyperlink" Target="https://www.mahp.com/wp-content/uploads/2019/05/freedman-report-2018-final.pdf" TargetMode="External"/><Relationship Id="rId4" Type="http://schemas.openxmlformats.org/officeDocument/2006/relationships/hyperlink" Target="https://jamanetwork.com/journals/jamainternalmedicine/fullarticle/1105879" TargetMode="External"/><Relationship Id="rId9" Type="http://schemas.openxmlformats.org/officeDocument/2006/relationships/hyperlink" Target="https://www.nibib.nih.gov/science-education/science-topics/magnetic-resonance-imaging-mri" TargetMode="External"/><Relationship Id="rId14" Type="http://schemas.openxmlformats.org/officeDocument/2006/relationships/hyperlink" Target="https://appliedradiology.com/articles/3t-mri-in-clinical-practice" TargetMode="External"/><Relationship Id="rId22" Type="http://schemas.openxmlformats.org/officeDocument/2006/relationships/hyperlink" Target="https://www.ahajournals.org/doi/abs/10.1161/CIRCEP.113.000116" TargetMode="External"/><Relationship Id="rId27" Type="http://schemas.openxmlformats.org/officeDocument/2006/relationships/hyperlink" Target="https://pubmed.ncbi.nlm.nih.gov/23821908/" TargetMode="External"/><Relationship Id="rId30" Type="http://schemas.openxmlformats.org/officeDocument/2006/relationships/hyperlink" Target="https://catalyst.nejm.org/doi/full/10.1056/CAT.22.0115" TargetMode="External"/><Relationship Id="rId35" Type="http://schemas.openxmlformats.org/officeDocument/2006/relationships/hyperlink" Target="https://www.aha.org/social-determinants-health/populationcommunity-health/community-partnerships" TargetMode="External"/><Relationship Id="rId43" Type="http://schemas.openxmlformats.org/officeDocument/2006/relationships/hyperlink" Target="https://www.ahrq.gov/research/findings/nhqrdr/chartbooks/access/elements3.html" TargetMode="External"/><Relationship Id="rId48" Type="http://schemas.openxmlformats.org/officeDocument/2006/relationships/hyperlink" Target="https://www.mass.gov/doc/2010-examination-of-health-care-cost-trends-and-cost-drivers-with-appendix/download" TargetMode="External"/><Relationship Id="rId8"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51" Type="http://schemas.openxmlformats.org/officeDocument/2006/relationships/hyperlink" Target="https://www.mass.gov/doc/2015-cost-trends-report-provider-price-variation/download" TargetMode="External"/><Relationship Id="rId3" Type="http://schemas.openxmlformats.org/officeDocument/2006/relationships/hyperlink" Target="https://jamanetwork.com/journals/jamainternalmedicine/fullarticle/1105879" TargetMode="External"/><Relationship Id="rId12" Type="http://schemas.openxmlformats.org/officeDocument/2006/relationships/hyperlink" Target="https://link.springer.com/article/10.1007/s00259-008-0938-3" TargetMode="External"/><Relationship Id="rId17" Type="http://schemas.openxmlformats.org/officeDocument/2006/relationships/hyperlink" Target="https://www.gehealthcare.com/insights/article/what-does-tesla-mean-for-an-mri-and-its-magnet" TargetMode="External"/><Relationship Id="rId25" Type="http://schemas.openxmlformats.org/officeDocument/2006/relationships/hyperlink" Target="https://jamanetwork.com/journals/jamainternalmedicine/fullarticle/1105879" TargetMode="External"/><Relationship Id="rId33" Type="http://schemas.openxmlformats.org/officeDocument/2006/relationships/hyperlink" Target="https://www.medicalimaging.org/medical-imaging/benefits-of-medical-imaging/health-care-costs-quality" TargetMode="External"/><Relationship Id="rId38" Type="http://schemas.openxmlformats.org/officeDocument/2006/relationships/hyperlink" Target="https://www.mass.gov/doc/2022-cost-trends-report-chartpack/download" TargetMode="External"/><Relationship Id="rId46" Type="http://schemas.openxmlformats.org/officeDocument/2006/relationships/hyperlink" Target="https://www.mahp.com/wp-content/uploads/2019/05/freedman-report-2018-final.pdf" TargetMode="External"/><Relationship Id="rId20" Type="http://schemas.openxmlformats.org/officeDocument/2006/relationships/hyperlink" Target="https://www.radiologytoday.net/archive/rt0216p22.shtml" TargetMode="External"/><Relationship Id="rId41" Type="http://schemas.openxmlformats.org/officeDocument/2006/relationships/hyperlink" Target="https://www.chiamass.gov/assets/docs/r/hospital-profiles/2020/FY20-Massachusetts-Hospital-Profiles-Technical-Appendix.pdf" TargetMode="External"/><Relationship Id="rId1" Type="http://schemas.openxmlformats.org/officeDocument/2006/relationships/hyperlink" Target="https://www.ncbi.nlm.nih.gov/pmc/articles/PMC4989238" TargetMode="External"/><Relationship Id="rId6" Type="http://schemas.openxmlformats.org/officeDocument/2006/relationships/hyperlink" Target="https://pubmed.ncbi.nlm.nih.gov/23821908/" TargetMode="External"/><Relationship Id="rId15" Type="http://schemas.openxmlformats.org/officeDocument/2006/relationships/hyperlink" Target="https://www.radiologytoday.net/archive/rt0216p22.shtml" TargetMode="External"/><Relationship Id="rId23" Type="http://schemas.openxmlformats.org/officeDocument/2006/relationships/hyperlink" Target="https://www.ncbi.nlm.nih.gov/pmc/articles/PMC4989238/" TargetMode="External"/><Relationship Id="rId28" Type="http://schemas.openxmlformats.org/officeDocument/2006/relationships/hyperlink" Target="https://pubmed.ncbi.nlm.nih.gov/23821908/" TargetMode="External"/><Relationship Id="rId36" Type="http://schemas.openxmlformats.org/officeDocument/2006/relationships/hyperlink" Target="https://revcycleintelligence.com/news/how-addressing-social-determinants-of-health-cuts-healthcare-costs" TargetMode="External"/><Relationship Id="rId49" Type="http://schemas.openxmlformats.org/officeDocument/2006/relationships/hyperlink" Target="https://www.mass.gov/doc/2010-examination-of-health-care-cost-trends-and-cost-drivers-with-appendix/downlo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narrative-pdf-boston-medical-center-don-required-equipment/download" TargetMode="External"/><Relationship Id="rId13" Type="http://schemas.openxmlformats.org/officeDocument/2006/relationships/hyperlink" Target="http://apps.who.inUiris/bitstream/10665/186463/1/9789240694811_eng.pdf" TargetMode="External"/><Relationship Id="rId18" Type="http://schemas.openxmlformats.org/officeDocument/2006/relationships/hyperlink" Target="https://www.mass.gov/doc/narrative-pdf-boston-medical-center-don-required-equipment/download" TargetMode="External"/><Relationship Id="rId3" Type="http://schemas.openxmlformats.org/officeDocument/2006/relationships/hyperlink" Target="https://en.wikipedia.org/wiki/Children%27s_Health_Insurance_Program" TargetMode="External"/><Relationship Id="rId7" Type="http://schemas.openxmlformats.org/officeDocument/2006/relationships/hyperlink" Target="https://www.mass.gov/doc/narrative-pdf-boston-medical-center-don-required-equipment/download" TargetMode="External"/><Relationship Id="rId12" Type="http://schemas.openxmlformats.org/officeDocument/2006/relationships/hyperlink" Target="http://apps.who.inUiris/bitstream/10665/186463/1/9789240694811_eng.pdf" TargetMode="External"/><Relationship Id="rId17" Type="http://schemas.openxmlformats.org/officeDocument/2006/relationships/hyperlink" Target="https://www.mass.gov/doc/narrative-pdf-boston-medical-center-don-required-equipment/download" TargetMode="External"/><Relationship Id="rId2" Type="http://schemas.openxmlformats.org/officeDocument/2006/relationships/hyperlink" Target="https://en.wikipedia.org/wiki/Medicare_(United_States)" TargetMode="External"/><Relationship Id="rId16" Type="http://schemas.openxmlformats.org/officeDocument/2006/relationships/hyperlink" Target="https://www.mass.gov/doc/application-and-narrative-pdf-boston-medical-center-hospitalclinic-substantial-capital-expenditure/download" TargetMode="External"/><Relationship Id="rId1" Type="http://schemas.openxmlformats.org/officeDocument/2006/relationships/hyperlink" Target="https://en.wikipedia.org/wiki/Medicaid" TargetMode="External"/><Relationship Id="rId6" Type="http://schemas.openxmlformats.org/officeDocument/2006/relationships/hyperlink" Target="file:///C:\Users\LConover\AppData\Local\Microsoft\Windows\INetCache\Content.MSO\9F1B4776.xlsx" TargetMode="External"/><Relationship Id="rId11" Type="http://schemas.openxmlformats.org/officeDocument/2006/relationships/hyperlink" Target="http://pep.donahue-institute.org/publications/AgeSexDetails_UMDI-DOT_V2018.xlsx" TargetMode="External"/><Relationship Id="rId5" Type="http://schemas.openxmlformats.org/officeDocument/2006/relationships/hyperlink" Target="https://www.chiamass.gov/high-public-payer-hospitals/" TargetMode="External"/><Relationship Id="rId15" Type="http://schemas.openxmlformats.org/officeDocument/2006/relationships/hyperlink" Target="https://www.mass.gov/doc/application-and-narrative-pdf-boston-medical-center-hospitalclinic-substantial-capital-expenditure/download" TargetMode="External"/><Relationship Id="rId10" Type="http://schemas.openxmlformats.org/officeDocument/2006/relationships/hyperlink" Target="http://pep.donahue-institute.org/publications/AgeSexDetails_UMDI-DOT_V2018.xlsx" TargetMode="External"/><Relationship Id="rId19" Type="http://schemas.openxmlformats.org/officeDocument/2006/relationships/hyperlink" Target="https://www.mass.gov/doc/narrative-pdf-boston-medical-center-don-required-equipment/download" TargetMode="External"/><Relationship Id="rId4" Type="http://schemas.openxmlformats.org/officeDocument/2006/relationships/hyperlink" Target="https://en.wikipedia.org/wiki/Safety_net_hospital" TargetMode="External"/><Relationship Id="rId9" Type="http://schemas.openxmlformats.org/officeDocument/2006/relationships/hyperlink" Target="https://www.worximity.com/blog/definition-of-downtime" TargetMode="External"/><Relationship Id="rId14" Type="http://schemas.openxmlformats.org/officeDocument/2006/relationships/hyperlink" Target="https://www.definitivehc.com/resources/healthcare-insights/hospitals-highest-total-uncompensated-care-cost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59C01D50-2A1B-44E6-A7EE-F4F70717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4.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10474</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26</cp:revision>
  <cp:lastPrinted>2022-03-07T23:30:00Z</cp:lastPrinted>
  <dcterms:created xsi:type="dcterms:W3CDTF">2023-10-23T20:07:00Z</dcterms:created>
  <dcterms:modified xsi:type="dcterms:W3CDTF">2023-11-22T15:12:00Z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