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5311"/>
      </w:tblGrid>
      <w:tr w:rsidR="00B447F3" w:rsidRPr="003436F0" w14:paraId="43C8E3CE" w14:textId="77777777" w:rsidTr="00FB535F">
        <w:trPr>
          <w:trHeight w:val="440"/>
        </w:trPr>
        <w:tc>
          <w:tcPr>
            <w:tcW w:w="9739" w:type="dxa"/>
            <w:gridSpan w:val="2"/>
            <w:shd w:val="clear" w:color="auto" w:fill="DFE3F0"/>
          </w:tcPr>
          <w:p w14:paraId="2CBE788C" w14:textId="6AAFD8BA" w:rsidR="00B447F3" w:rsidRPr="003436F0" w:rsidRDefault="00A4110F">
            <w:pPr>
              <w:pStyle w:val="TableParagraph"/>
              <w:spacing w:line="269" w:lineRule="exact"/>
              <w:ind w:left="1522" w:right="2051"/>
              <w:jc w:val="center"/>
              <w:rPr>
                <w:rFonts w:asciiTheme="minorHAnsi" w:hAnsiTheme="minorHAnsi"/>
                <w:b/>
              </w:rPr>
            </w:pPr>
            <w:r w:rsidRPr="003436F0">
              <w:rPr>
                <w:rFonts w:asciiTheme="minorHAnsi" w:hAnsiTheme="minorHAnsi"/>
                <w:b/>
              </w:rPr>
              <w:t>STAFF REPORT TO THE PUBLIC HEALTH COUNCIL</w:t>
            </w:r>
          </w:p>
          <w:p w14:paraId="22236AE7" w14:textId="77777777" w:rsidR="00B447F3" w:rsidRPr="003436F0" w:rsidRDefault="00A4110F">
            <w:pPr>
              <w:pStyle w:val="TableParagraph"/>
              <w:spacing w:before="1" w:line="249" w:lineRule="exact"/>
              <w:ind w:left="1521" w:right="2051"/>
              <w:jc w:val="center"/>
              <w:rPr>
                <w:rFonts w:asciiTheme="minorHAnsi" w:hAnsiTheme="minorHAnsi"/>
                <w:b/>
              </w:rPr>
            </w:pPr>
            <w:r w:rsidRPr="003436F0">
              <w:rPr>
                <w:rFonts w:asciiTheme="minorHAnsi" w:hAnsiTheme="minorHAnsi"/>
                <w:b/>
              </w:rPr>
              <w:t>FOR A DETERMINATION OF NEED</w:t>
            </w:r>
          </w:p>
        </w:tc>
      </w:tr>
      <w:tr w:rsidR="00AD1C80" w:rsidRPr="003436F0" w14:paraId="111E515F" w14:textId="77777777" w:rsidTr="4CE42C0A">
        <w:trPr>
          <w:trHeight w:val="376"/>
        </w:trPr>
        <w:tc>
          <w:tcPr>
            <w:tcW w:w="4428" w:type="dxa"/>
          </w:tcPr>
          <w:p w14:paraId="6E233CF3" w14:textId="0EFAAD1A" w:rsidR="00AD1C80" w:rsidRPr="003436F0" w:rsidRDefault="00AD1C80">
            <w:pPr>
              <w:pStyle w:val="TableParagraph"/>
              <w:spacing w:before="52"/>
              <w:rPr>
                <w:rFonts w:asciiTheme="minorHAnsi" w:hAnsiTheme="minorHAnsi"/>
              </w:rPr>
            </w:pPr>
            <w:r>
              <w:rPr>
                <w:rFonts w:asciiTheme="minorHAnsi" w:hAnsiTheme="minorHAnsi"/>
              </w:rPr>
              <w:t>Applicant Name</w:t>
            </w:r>
          </w:p>
        </w:tc>
        <w:tc>
          <w:tcPr>
            <w:tcW w:w="5311" w:type="dxa"/>
          </w:tcPr>
          <w:p w14:paraId="58E62B77" w14:textId="651BF909" w:rsidR="00AD1C80" w:rsidRPr="003436F0" w:rsidRDefault="00AD1C80" w:rsidP="003436F0">
            <w:pPr>
              <w:pStyle w:val="TableParagraph"/>
              <w:spacing w:before="52"/>
              <w:rPr>
                <w:rFonts w:asciiTheme="minorHAnsi" w:hAnsiTheme="minorHAnsi"/>
              </w:rPr>
            </w:pPr>
            <w:r>
              <w:rPr>
                <w:rFonts w:asciiTheme="minorHAnsi" w:hAnsiTheme="minorHAnsi"/>
              </w:rPr>
              <w:t xml:space="preserve">Dana-Farber Cancer Institute, Inc. </w:t>
            </w:r>
          </w:p>
        </w:tc>
      </w:tr>
      <w:tr w:rsidR="00AD1C80" w:rsidRPr="003436F0" w14:paraId="64054154" w14:textId="77777777" w:rsidTr="4CE42C0A">
        <w:trPr>
          <w:trHeight w:val="376"/>
        </w:trPr>
        <w:tc>
          <w:tcPr>
            <w:tcW w:w="4428" w:type="dxa"/>
          </w:tcPr>
          <w:p w14:paraId="47E05973" w14:textId="7EEC1D58" w:rsidR="00AD1C80" w:rsidRPr="003436F0" w:rsidRDefault="00AD1C80">
            <w:pPr>
              <w:pStyle w:val="TableParagraph"/>
              <w:spacing w:before="52"/>
              <w:rPr>
                <w:rFonts w:asciiTheme="minorHAnsi" w:hAnsiTheme="minorHAnsi"/>
              </w:rPr>
            </w:pPr>
            <w:r>
              <w:rPr>
                <w:rFonts w:asciiTheme="minorHAnsi" w:hAnsiTheme="minorHAnsi"/>
              </w:rPr>
              <w:t>Applicant Address</w:t>
            </w:r>
          </w:p>
        </w:tc>
        <w:tc>
          <w:tcPr>
            <w:tcW w:w="5311" w:type="dxa"/>
          </w:tcPr>
          <w:p w14:paraId="04D46A78" w14:textId="7DF72DE4" w:rsidR="00AD1C80" w:rsidRPr="003436F0" w:rsidRDefault="00AD1C80" w:rsidP="00090F55">
            <w:pPr>
              <w:pStyle w:val="TableParagraph"/>
              <w:spacing w:before="52"/>
              <w:rPr>
                <w:rFonts w:asciiTheme="minorHAnsi" w:hAnsiTheme="minorHAnsi"/>
              </w:rPr>
            </w:pPr>
            <w:r>
              <w:rPr>
                <w:rFonts w:asciiTheme="minorHAnsi" w:hAnsiTheme="minorHAnsi"/>
              </w:rPr>
              <w:t>450 Brookline Avenue</w:t>
            </w:r>
            <w:r w:rsidR="00090F55">
              <w:rPr>
                <w:rFonts w:asciiTheme="minorHAnsi" w:hAnsiTheme="minorHAnsi"/>
              </w:rPr>
              <w:t xml:space="preserve">, </w:t>
            </w:r>
            <w:r>
              <w:rPr>
                <w:rFonts w:asciiTheme="minorHAnsi" w:hAnsiTheme="minorHAnsi"/>
              </w:rPr>
              <w:t>Boston, MA 02215</w:t>
            </w:r>
          </w:p>
        </w:tc>
      </w:tr>
      <w:tr w:rsidR="00B447F3" w:rsidRPr="003436F0" w14:paraId="2E4DB436" w14:textId="77777777" w:rsidTr="003D6AF5">
        <w:trPr>
          <w:trHeight w:val="376"/>
        </w:trPr>
        <w:tc>
          <w:tcPr>
            <w:tcW w:w="4428" w:type="dxa"/>
          </w:tcPr>
          <w:p w14:paraId="4FD07142" w14:textId="77777777" w:rsidR="00B447F3" w:rsidRPr="003436F0" w:rsidRDefault="00A4110F">
            <w:pPr>
              <w:pStyle w:val="TableParagraph"/>
              <w:spacing w:before="52"/>
              <w:rPr>
                <w:rFonts w:asciiTheme="minorHAnsi" w:hAnsiTheme="minorHAnsi"/>
              </w:rPr>
            </w:pPr>
            <w:r w:rsidRPr="003436F0">
              <w:rPr>
                <w:rFonts w:asciiTheme="minorHAnsi" w:hAnsiTheme="minorHAnsi"/>
              </w:rPr>
              <w:t>Filing Date</w:t>
            </w:r>
          </w:p>
        </w:tc>
        <w:tc>
          <w:tcPr>
            <w:tcW w:w="5311" w:type="dxa"/>
          </w:tcPr>
          <w:p w14:paraId="0A95C25A" w14:textId="652F32EE" w:rsidR="003436F0" w:rsidRPr="003436F0" w:rsidRDefault="003D6AF5" w:rsidP="003436F0">
            <w:pPr>
              <w:pStyle w:val="TableParagraph"/>
              <w:spacing w:before="52"/>
              <w:rPr>
                <w:rFonts w:asciiTheme="minorHAnsi" w:hAnsiTheme="minorHAnsi"/>
              </w:rPr>
            </w:pPr>
            <w:r>
              <w:rPr>
                <w:rFonts w:asciiTheme="minorHAnsi" w:hAnsiTheme="minorHAnsi"/>
              </w:rPr>
              <w:t xml:space="preserve">November 19, 2025 </w:t>
            </w:r>
          </w:p>
        </w:tc>
      </w:tr>
      <w:tr w:rsidR="00B447F3" w:rsidRPr="003436F0" w14:paraId="76D9E9B4" w14:textId="77777777" w:rsidTr="4CE42C0A">
        <w:trPr>
          <w:trHeight w:val="350"/>
        </w:trPr>
        <w:tc>
          <w:tcPr>
            <w:tcW w:w="4428" w:type="dxa"/>
          </w:tcPr>
          <w:p w14:paraId="76075A53" w14:textId="77777777" w:rsidR="00B447F3" w:rsidRPr="003436F0" w:rsidRDefault="00A4110F">
            <w:pPr>
              <w:pStyle w:val="TableParagraph"/>
              <w:spacing w:before="40"/>
              <w:rPr>
                <w:rFonts w:asciiTheme="minorHAnsi" w:hAnsiTheme="minorHAnsi"/>
              </w:rPr>
            </w:pPr>
            <w:r w:rsidRPr="003436F0">
              <w:rPr>
                <w:rFonts w:asciiTheme="minorHAnsi" w:hAnsiTheme="minorHAnsi"/>
              </w:rPr>
              <w:t>Type of DoN Application</w:t>
            </w:r>
          </w:p>
        </w:tc>
        <w:tc>
          <w:tcPr>
            <w:tcW w:w="5311" w:type="dxa"/>
          </w:tcPr>
          <w:p w14:paraId="132112C6" w14:textId="007A2A54" w:rsidR="00B447F3" w:rsidRPr="003436F0" w:rsidRDefault="000A3F7D" w:rsidP="00022E37">
            <w:pPr>
              <w:pStyle w:val="TableParagraph"/>
              <w:spacing w:before="40"/>
              <w:rPr>
                <w:rFonts w:asciiTheme="minorHAnsi" w:hAnsiTheme="minorHAnsi"/>
              </w:rPr>
            </w:pPr>
            <w:r>
              <w:rPr>
                <w:rFonts w:asciiTheme="minorHAnsi" w:hAnsiTheme="minorHAnsi"/>
              </w:rPr>
              <w:t>Substantial Change in Service</w:t>
            </w:r>
            <w:r w:rsidR="0016419B">
              <w:rPr>
                <w:rFonts w:asciiTheme="minorHAnsi" w:hAnsiTheme="minorHAnsi"/>
              </w:rPr>
              <w:t xml:space="preserve">: </w:t>
            </w:r>
            <w:r w:rsidR="005D7CAB">
              <w:rPr>
                <w:rFonts w:asciiTheme="minorHAnsi" w:hAnsiTheme="minorHAnsi"/>
              </w:rPr>
              <w:t>DoN-required Equipment</w:t>
            </w:r>
            <w:r w:rsidR="00272DA9">
              <w:rPr>
                <w:rFonts w:asciiTheme="minorHAnsi" w:hAnsiTheme="minorHAnsi"/>
              </w:rPr>
              <w:t xml:space="preserve"> and DoN-required Service</w:t>
            </w:r>
          </w:p>
        </w:tc>
      </w:tr>
      <w:tr w:rsidR="00B447F3" w:rsidRPr="003436F0" w14:paraId="34B70B2F" w14:textId="77777777" w:rsidTr="4CE42C0A">
        <w:trPr>
          <w:trHeight w:val="350"/>
        </w:trPr>
        <w:tc>
          <w:tcPr>
            <w:tcW w:w="4428" w:type="dxa"/>
          </w:tcPr>
          <w:p w14:paraId="20E78BF0" w14:textId="77777777" w:rsidR="00B447F3" w:rsidRPr="003436F0" w:rsidRDefault="00A4110F">
            <w:pPr>
              <w:pStyle w:val="TableParagraph"/>
              <w:spacing w:before="40"/>
              <w:rPr>
                <w:rFonts w:asciiTheme="minorHAnsi" w:hAnsiTheme="minorHAnsi"/>
              </w:rPr>
            </w:pPr>
            <w:r w:rsidRPr="003436F0">
              <w:rPr>
                <w:rFonts w:asciiTheme="minorHAnsi" w:hAnsiTheme="minorHAnsi"/>
              </w:rPr>
              <w:t>Total Value</w:t>
            </w:r>
          </w:p>
        </w:tc>
        <w:tc>
          <w:tcPr>
            <w:tcW w:w="5311" w:type="dxa"/>
          </w:tcPr>
          <w:p w14:paraId="6DF03F3D" w14:textId="533DF301" w:rsidR="00B447F3" w:rsidRPr="003436F0" w:rsidRDefault="00FC3C1C">
            <w:pPr>
              <w:pStyle w:val="TableParagraph"/>
              <w:spacing w:before="40"/>
              <w:rPr>
                <w:rFonts w:asciiTheme="minorHAnsi" w:hAnsiTheme="minorHAnsi"/>
              </w:rPr>
            </w:pPr>
            <w:r w:rsidRPr="00FC3C1C">
              <w:rPr>
                <w:rFonts w:asciiTheme="minorHAnsi" w:hAnsiTheme="minorHAnsi"/>
              </w:rPr>
              <w:t>$50,500,633.00</w:t>
            </w:r>
          </w:p>
        </w:tc>
      </w:tr>
      <w:tr w:rsidR="00B447F3" w:rsidRPr="003436F0" w14:paraId="4DE8D6B0" w14:textId="77777777" w:rsidTr="4CE42C0A">
        <w:trPr>
          <w:trHeight w:val="350"/>
        </w:trPr>
        <w:tc>
          <w:tcPr>
            <w:tcW w:w="4428" w:type="dxa"/>
          </w:tcPr>
          <w:p w14:paraId="6D34E602" w14:textId="77777777" w:rsidR="00B447F3" w:rsidRPr="003436F0" w:rsidRDefault="00A4110F">
            <w:pPr>
              <w:pStyle w:val="TableParagraph"/>
              <w:spacing w:before="40"/>
              <w:rPr>
                <w:rFonts w:asciiTheme="minorHAnsi" w:hAnsiTheme="minorHAnsi"/>
              </w:rPr>
            </w:pPr>
            <w:r w:rsidRPr="003436F0">
              <w:rPr>
                <w:rFonts w:asciiTheme="minorHAnsi" w:hAnsiTheme="minorHAnsi"/>
              </w:rPr>
              <w:t>Project Number</w:t>
            </w:r>
          </w:p>
        </w:tc>
        <w:tc>
          <w:tcPr>
            <w:tcW w:w="5311" w:type="dxa"/>
          </w:tcPr>
          <w:p w14:paraId="2168D610" w14:textId="508B027C" w:rsidR="00B447F3" w:rsidRPr="003436F0" w:rsidRDefault="009C3349">
            <w:pPr>
              <w:pStyle w:val="TableParagraph"/>
              <w:spacing w:before="40"/>
              <w:rPr>
                <w:rFonts w:asciiTheme="minorHAnsi" w:hAnsiTheme="minorHAnsi"/>
              </w:rPr>
            </w:pPr>
            <w:r w:rsidRPr="009C3349">
              <w:rPr>
                <w:rFonts w:asciiTheme="minorHAnsi" w:hAnsiTheme="minorHAnsi"/>
              </w:rPr>
              <w:t>DFCI-25090516-RS</w:t>
            </w:r>
          </w:p>
        </w:tc>
      </w:tr>
      <w:tr w:rsidR="00B447F3" w:rsidRPr="003436F0" w14:paraId="1386BE80" w14:textId="77777777" w:rsidTr="00931CD5">
        <w:trPr>
          <w:trHeight w:val="350"/>
        </w:trPr>
        <w:tc>
          <w:tcPr>
            <w:tcW w:w="4428" w:type="dxa"/>
          </w:tcPr>
          <w:p w14:paraId="78810496" w14:textId="77777777" w:rsidR="00B447F3" w:rsidRPr="003436F0" w:rsidRDefault="00A4110F">
            <w:pPr>
              <w:pStyle w:val="TableParagraph"/>
              <w:spacing w:before="40"/>
              <w:rPr>
                <w:rFonts w:asciiTheme="minorHAnsi" w:hAnsiTheme="minorHAnsi"/>
              </w:rPr>
            </w:pPr>
            <w:r w:rsidRPr="003436F0">
              <w:rPr>
                <w:rFonts w:asciiTheme="minorHAnsi" w:hAnsiTheme="minorHAnsi"/>
              </w:rPr>
              <w:t>Ten Taxpayer Group (TTG)</w:t>
            </w:r>
          </w:p>
        </w:tc>
        <w:tc>
          <w:tcPr>
            <w:tcW w:w="5311" w:type="dxa"/>
          </w:tcPr>
          <w:p w14:paraId="0899E8DB" w14:textId="13B53A31" w:rsidR="00B447F3" w:rsidRPr="003436F0" w:rsidRDefault="00E65D5A">
            <w:pPr>
              <w:pStyle w:val="TableParagraph"/>
              <w:spacing w:before="40"/>
              <w:rPr>
                <w:rFonts w:asciiTheme="minorHAnsi" w:hAnsiTheme="minorHAnsi"/>
              </w:rPr>
            </w:pPr>
            <w:r>
              <w:rPr>
                <w:rFonts w:asciiTheme="minorHAnsi" w:hAnsiTheme="minorHAnsi"/>
              </w:rPr>
              <w:t>3</w:t>
            </w:r>
            <w:r w:rsidR="006B510D">
              <w:rPr>
                <w:rFonts w:asciiTheme="minorHAnsi" w:hAnsiTheme="minorHAnsi"/>
              </w:rPr>
              <w:t xml:space="preserve"> </w:t>
            </w:r>
          </w:p>
        </w:tc>
      </w:tr>
      <w:tr w:rsidR="00B447F3" w:rsidRPr="003436F0" w14:paraId="72947D70" w14:textId="77777777" w:rsidTr="4CE42C0A">
        <w:trPr>
          <w:trHeight w:val="350"/>
        </w:trPr>
        <w:tc>
          <w:tcPr>
            <w:tcW w:w="4428" w:type="dxa"/>
          </w:tcPr>
          <w:p w14:paraId="3346FD08" w14:textId="77777777" w:rsidR="00B447F3" w:rsidRPr="003436F0" w:rsidRDefault="00A4110F">
            <w:pPr>
              <w:pStyle w:val="TableParagraph"/>
              <w:spacing w:before="40"/>
              <w:rPr>
                <w:rFonts w:asciiTheme="minorHAnsi" w:hAnsiTheme="minorHAnsi"/>
              </w:rPr>
            </w:pPr>
            <w:r w:rsidRPr="003436F0">
              <w:rPr>
                <w:rFonts w:asciiTheme="minorHAnsi" w:hAnsiTheme="minorHAnsi"/>
              </w:rPr>
              <w:t>Community Health Initiative (CHI)</w:t>
            </w:r>
          </w:p>
        </w:tc>
        <w:tc>
          <w:tcPr>
            <w:tcW w:w="5311" w:type="dxa"/>
          </w:tcPr>
          <w:p w14:paraId="4565EF27" w14:textId="3DD26D7E" w:rsidR="00B447F3" w:rsidRPr="003436F0" w:rsidRDefault="009C3349">
            <w:pPr>
              <w:pStyle w:val="TableParagraph"/>
              <w:spacing w:before="40"/>
              <w:rPr>
                <w:rFonts w:asciiTheme="minorHAnsi" w:hAnsiTheme="minorHAnsi"/>
              </w:rPr>
            </w:pPr>
            <w:r w:rsidRPr="009C3349">
              <w:rPr>
                <w:rFonts w:asciiTheme="minorHAnsi" w:hAnsiTheme="minorHAnsi"/>
              </w:rPr>
              <w:t>$2,525,031.65</w:t>
            </w:r>
          </w:p>
        </w:tc>
      </w:tr>
      <w:tr w:rsidR="00B447F3" w:rsidRPr="003436F0" w14:paraId="068AA009" w14:textId="77777777" w:rsidTr="00895BF0">
        <w:trPr>
          <w:trHeight w:val="350"/>
        </w:trPr>
        <w:tc>
          <w:tcPr>
            <w:tcW w:w="4428" w:type="dxa"/>
          </w:tcPr>
          <w:p w14:paraId="459D1C76" w14:textId="77777777" w:rsidR="00B447F3" w:rsidRPr="003436F0" w:rsidRDefault="00A4110F">
            <w:pPr>
              <w:pStyle w:val="TableParagraph"/>
              <w:spacing w:before="40"/>
              <w:rPr>
                <w:rFonts w:asciiTheme="minorHAnsi" w:hAnsiTheme="minorHAnsi"/>
              </w:rPr>
            </w:pPr>
            <w:r w:rsidRPr="003436F0">
              <w:rPr>
                <w:rFonts w:asciiTheme="minorHAnsi" w:hAnsiTheme="minorHAnsi"/>
              </w:rPr>
              <w:t>Staff Recommendation</w:t>
            </w:r>
          </w:p>
        </w:tc>
        <w:tc>
          <w:tcPr>
            <w:tcW w:w="5311" w:type="dxa"/>
          </w:tcPr>
          <w:p w14:paraId="3759AE90" w14:textId="5EE21A5D" w:rsidR="00B447F3" w:rsidRPr="003436F0" w:rsidRDefault="00091830">
            <w:pPr>
              <w:pStyle w:val="TableParagraph"/>
              <w:spacing w:before="40"/>
              <w:rPr>
                <w:rFonts w:asciiTheme="minorHAnsi" w:hAnsiTheme="minorHAnsi"/>
              </w:rPr>
            </w:pPr>
            <w:r>
              <w:rPr>
                <w:rFonts w:asciiTheme="minorHAnsi" w:hAnsiTheme="minorHAnsi"/>
              </w:rPr>
              <w:t>Approval with Conditions</w:t>
            </w:r>
          </w:p>
        </w:tc>
      </w:tr>
      <w:tr w:rsidR="00B447F3" w:rsidRPr="003436F0" w14:paraId="31E0AD36" w14:textId="77777777" w:rsidTr="00895BF0">
        <w:trPr>
          <w:trHeight w:val="350"/>
        </w:trPr>
        <w:tc>
          <w:tcPr>
            <w:tcW w:w="4428" w:type="dxa"/>
          </w:tcPr>
          <w:p w14:paraId="0F2A24F5" w14:textId="77777777" w:rsidR="00B447F3" w:rsidRPr="003436F0" w:rsidRDefault="00A4110F">
            <w:pPr>
              <w:pStyle w:val="TableParagraph"/>
              <w:spacing w:before="40"/>
              <w:rPr>
                <w:rFonts w:asciiTheme="minorHAnsi" w:hAnsiTheme="minorHAnsi"/>
              </w:rPr>
            </w:pPr>
            <w:r w:rsidRPr="003436F0">
              <w:rPr>
                <w:rFonts w:asciiTheme="minorHAnsi" w:hAnsiTheme="minorHAnsi"/>
              </w:rPr>
              <w:t>Public Health Council</w:t>
            </w:r>
          </w:p>
        </w:tc>
        <w:tc>
          <w:tcPr>
            <w:tcW w:w="5311" w:type="dxa"/>
          </w:tcPr>
          <w:p w14:paraId="5ED87A82" w14:textId="13EBECD3" w:rsidR="00B447F3" w:rsidRPr="003436F0" w:rsidRDefault="00DD5833">
            <w:pPr>
              <w:pStyle w:val="TableParagraph"/>
              <w:spacing w:before="40"/>
              <w:rPr>
                <w:rFonts w:asciiTheme="minorHAnsi" w:hAnsiTheme="minorHAnsi"/>
              </w:rPr>
            </w:pPr>
            <w:r>
              <w:rPr>
                <w:rFonts w:asciiTheme="minorHAnsi" w:hAnsiTheme="minorHAnsi"/>
              </w:rPr>
              <w:t>April 8</w:t>
            </w:r>
            <w:r w:rsidR="00496B0A">
              <w:rPr>
                <w:rFonts w:asciiTheme="minorHAnsi" w:hAnsiTheme="minorHAnsi"/>
              </w:rPr>
              <w:t>,</w:t>
            </w:r>
            <w:r w:rsidR="00E27C87">
              <w:rPr>
                <w:rFonts w:asciiTheme="minorHAnsi" w:hAnsiTheme="minorHAnsi"/>
              </w:rPr>
              <w:t xml:space="preserve"> </w:t>
            </w:r>
            <w:r w:rsidR="00496B0A">
              <w:rPr>
                <w:rFonts w:asciiTheme="minorHAnsi" w:hAnsiTheme="minorHAnsi"/>
              </w:rPr>
              <w:t>2026</w:t>
            </w:r>
          </w:p>
        </w:tc>
      </w:tr>
      <w:tr w:rsidR="00B447F3" w:rsidRPr="003436F0" w14:paraId="1171847F" w14:textId="77777777" w:rsidTr="4CE42C0A">
        <w:trPr>
          <w:trHeight w:val="260"/>
        </w:trPr>
        <w:tc>
          <w:tcPr>
            <w:tcW w:w="9739" w:type="dxa"/>
            <w:gridSpan w:val="2"/>
          </w:tcPr>
          <w:p w14:paraId="27CC3142" w14:textId="77777777" w:rsidR="00B447F3" w:rsidRPr="003436F0" w:rsidRDefault="00A4110F" w:rsidP="00BA2054">
            <w:pPr>
              <w:pStyle w:val="TableParagraph"/>
              <w:ind w:left="2699"/>
              <w:rPr>
                <w:rFonts w:asciiTheme="minorHAnsi" w:hAnsiTheme="minorHAnsi"/>
              </w:rPr>
            </w:pPr>
            <w:r w:rsidRPr="003436F0">
              <w:rPr>
                <w:rFonts w:asciiTheme="minorHAnsi" w:hAnsiTheme="minorHAnsi"/>
                <w:u w:val="single"/>
              </w:rPr>
              <w:t>Project Summary and Regulatory Review</w:t>
            </w:r>
          </w:p>
          <w:p w14:paraId="6D3DB525" w14:textId="6475FC54" w:rsidR="006A3CAB" w:rsidRDefault="00452C0A" w:rsidP="006A3CAB">
            <w:pPr>
              <w:pStyle w:val="TableParagraph"/>
              <w:rPr>
                <w:rFonts w:asciiTheme="minorHAnsi" w:hAnsiTheme="minorHAnsi"/>
                <w:sz w:val="23"/>
              </w:rPr>
            </w:pPr>
            <w:r>
              <w:rPr>
                <w:rFonts w:asciiTheme="minorHAnsi" w:hAnsiTheme="minorHAnsi"/>
                <w:sz w:val="23"/>
              </w:rPr>
              <w:t>Dana-Farber Cancer Institute</w:t>
            </w:r>
            <w:r w:rsidR="00694A20">
              <w:rPr>
                <w:rFonts w:asciiTheme="minorHAnsi" w:hAnsiTheme="minorHAnsi"/>
                <w:sz w:val="23"/>
              </w:rPr>
              <w:t>, Inc.</w:t>
            </w:r>
            <w:r w:rsidRPr="00452C0A">
              <w:rPr>
                <w:rFonts w:asciiTheme="minorHAnsi" w:hAnsiTheme="minorHAnsi"/>
                <w:sz w:val="23"/>
              </w:rPr>
              <w:t xml:space="preserve"> (</w:t>
            </w:r>
            <w:r w:rsidR="00F772FE">
              <w:rPr>
                <w:rFonts w:asciiTheme="minorHAnsi" w:hAnsiTheme="minorHAnsi"/>
                <w:sz w:val="23"/>
              </w:rPr>
              <w:t>DFCI</w:t>
            </w:r>
            <w:r w:rsidRPr="00452C0A">
              <w:rPr>
                <w:rFonts w:asciiTheme="minorHAnsi" w:hAnsiTheme="minorHAnsi"/>
                <w:sz w:val="23"/>
              </w:rPr>
              <w:t xml:space="preserve"> or Applicant) s</w:t>
            </w:r>
            <w:r w:rsidR="00E2305A">
              <w:rPr>
                <w:rFonts w:asciiTheme="minorHAnsi" w:hAnsiTheme="minorHAnsi"/>
                <w:sz w:val="23"/>
              </w:rPr>
              <w:t xml:space="preserve">eeks a </w:t>
            </w:r>
            <w:r w:rsidR="00C85BFC">
              <w:rPr>
                <w:rFonts w:asciiTheme="minorHAnsi" w:hAnsiTheme="minorHAnsi"/>
                <w:sz w:val="23"/>
              </w:rPr>
              <w:t>Determination of Need (DoN) from the Massachusetts Department of Public Health</w:t>
            </w:r>
            <w:r w:rsidR="00471123">
              <w:rPr>
                <w:rFonts w:asciiTheme="minorHAnsi" w:hAnsiTheme="minorHAnsi"/>
                <w:sz w:val="23"/>
              </w:rPr>
              <w:t xml:space="preserve"> (Department)</w:t>
            </w:r>
            <w:r w:rsidR="00C85BFC">
              <w:rPr>
                <w:rFonts w:asciiTheme="minorHAnsi" w:hAnsiTheme="minorHAnsi"/>
                <w:sz w:val="23"/>
              </w:rPr>
              <w:t xml:space="preserve"> to </w:t>
            </w:r>
            <w:r w:rsidR="00D24059">
              <w:rPr>
                <w:rFonts w:asciiTheme="minorHAnsi" w:hAnsiTheme="minorHAnsi"/>
                <w:sz w:val="23"/>
              </w:rPr>
              <w:t xml:space="preserve">establish proton beam therapy (PBT) services through </w:t>
            </w:r>
            <w:r w:rsidR="006A3CAB" w:rsidRPr="006A3CAB">
              <w:rPr>
                <w:rFonts w:asciiTheme="minorHAnsi" w:hAnsiTheme="minorHAnsi"/>
                <w:sz w:val="23"/>
              </w:rPr>
              <w:t>constru</w:t>
            </w:r>
            <w:r w:rsidR="006A3CAB">
              <w:rPr>
                <w:rFonts w:asciiTheme="minorHAnsi" w:hAnsiTheme="minorHAnsi"/>
                <w:sz w:val="23"/>
              </w:rPr>
              <w:t>ct</w:t>
            </w:r>
            <w:r w:rsidR="00D24059">
              <w:rPr>
                <w:rFonts w:asciiTheme="minorHAnsi" w:hAnsiTheme="minorHAnsi"/>
                <w:sz w:val="23"/>
              </w:rPr>
              <w:t xml:space="preserve">ion of </w:t>
            </w:r>
            <w:r w:rsidR="006A3CAB" w:rsidRPr="006A3CAB">
              <w:rPr>
                <w:rFonts w:asciiTheme="minorHAnsi" w:hAnsiTheme="minorHAnsi"/>
                <w:sz w:val="23"/>
              </w:rPr>
              <w:t xml:space="preserve">an approximately 4,500 square-foot </w:t>
            </w:r>
            <w:r w:rsidR="00940B78">
              <w:rPr>
                <w:rFonts w:asciiTheme="minorHAnsi" w:hAnsiTheme="minorHAnsi"/>
                <w:sz w:val="23"/>
              </w:rPr>
              <w:t>PBT</w:t>
            </w:r>
            <w:r w:rsidR="006A3CAB" w:rsidRPr="006A3CAB">
              <w:rPr>
                <w:rFonts w:asciiTheme="minorHAnsi" w:hAnsiTheme="minorHAnsi"/>
                <w:sz w:val="23"/>
              </w:rPr>
              <w:t xml:space="preserve"> center</w:t>
            </w:r>
            <w:r w:rsidR="006A3CAB">
              <w:rPr>
                <w:rFonts w:asciiTheme="minorHAnsi" w:hAnsiTheme="minorHAnsi"/>
                <w:sz w:val="23"/>
              </w:rPr>
              <w:t xml:space="preserve"> (the Center</w:t>
            </w:r>
            <w:r w:rsidR="00C02010">
              <w:rPr>
                <w:rFonts w:asciiTheme="minorHAnsi" w:hAnsiTheme="minorHAnsi"/>
                <w:sz w:val="23"/>
              </w:rPr>
              <w:t>)</w:t>
            </w:r>
            <w:r w:rsidR="006A3CAB" w:rsidRPr="006A3CAB">
              <w:rPr>
                <w:rFonts w:asciiTheme="minorHAnsi" w:hAnsiTheme="minorHAnsi"/>
                <w:sz w:val="23"/>
              </w:rPr>
              <w:t>, servicing</w:t>
            </w:r>
            <w:r w:rsidR="006A3CAB">
              <w:rPr>
                <w:rFonts w:asciiTheme="minorHAnsi" w:hAnsiTheme="minorHAnsi"/>
                <w:sz w:val="23"/>
              </w:rPr>
              <w:t xml:space="preserve"> </w:t>
            </w:r>
            <w:r w:rsidR="006A3CAB" w:rsidRPr="006A3CAB">
              <w:rPr>
                <w:rFonts w:asciiTheme="minorHAnsi" w:hAnsiTheme="minorHAnsi"/>
                <w:sz w:val="23"/>
              </w:rPr>
              <w:t>adult and pediatric patients, to be located at 35 Binney Street,</w:t>
            </w:r>
            <w:r w:rsidR="006A3CAB">
              <w:rPr>
                <w:rFonts w:asciiTheme="minorHAnsi" w:hAnsiTheme="minorHAnsi"/>
                <w:sz w:val="23"/>
              </w:rPr>
              <w:t xml:space="preserve"> </w:t>
            </w:r>
            <w:r w:rsidR="006A3CAB" w:rsidRPr="006A3CAB">
              <w:rPr>
                <w:rFonts w:asciiTheme="minorHAnsi" w:hAnsiTheme="minorHAnsi"/>
                <w:sz w:val="23"/>
              </w:rPr>
              <w:t>Boston, M</w:t>
            </w:r>
            <w:r w:rsidR="00756CCF">
              <w:rPr>
                <w:rFonts w:asciiTheme="minorHAnsi" w:hAnsiTheme="minorHAnsi"/>
                <w:sz w:val="23"/>
              </w:rPr>
              <w:t>A</w:t>
            </w:r>
            <w:r w:rsidR="008801B2">
              <w:rPr>
                <w:rFonts w:asciiTheme="minorHAnsi" w:hAnsiTheme="minorHAnsi"/>
                <w:sz w:val="23"/>
              </w:rPr>
              <w:t xml:space="preserve"> </w:t>
            </w:r>
            <w:r w:rsidR="006A3CAB">
              <w:rPr>
                <w:rFonts w:asciiTheme="minorHAnsi" w:hAnsiTheme="minorHAnsi"/>
                <w:sz w:val="23"/>
              </w:rPr>
              <w:t>(Proposed Project). The proposed Center will include the following:</w:t>
            </w:r>
          </w:p>
          <w:p w14:paraId="6B689128" w14:textId="49F46EFA" w:rsidR="006A3CAB" w:rsidRDefault="006A3CAB">
            <w:pPr>
              <w:pStyle w:val="TableParagraph"/>
              <w:numPr>
                <w:ilvl w:val="0"/>
                <w:numId w:val="3"/>
              </w:numPr>
              <w:rPr>
                <w:rFonts w:asciiTheme="minorHAnsi" w:hAnsiTheme="minorHAnsi"/>
                <w:sz w:val="23"/>
              </w:rPr>
            </w:pPr>
            <w:r>
              <w:rPr>
                <w:rFonts w:asciiTheme="minorHAnsi" w:hAnsiTheme="minorHAnsi"/>
                <w:sz w:val="23"/>
              </w:rPr>
              <w:t>A</w:t>
            </w:r>
            <w:r w:rsidR="00CF0607">
              <w:rPr>
                <w:rFonts w:asciiTheme="minorHAnsi" w:hAnsiTheme="minorHAnsi"/>
                <w:sz w:val="23"/>
              </w:rPr>
              <w:t xml:space="preserve">n </w:t>
            </w:r>
            <w:r w:rsidRPr="006A3CAB">
              <w:rPr>
                <w:rFonts w:asciiTheme="minorHAnsi" w:hAnsiTheme="minorHAnsi"/>
                <w:sz w:val="23"/>
              </w:rPr>
              <w:t>upright single-gantry proton therapy system</w:t>
            </w:r>
            <w:r>
              <w:rPr>
                <w:rFonts w:asciiTheme="minorHAnsi" w:hAnsiTheme="minorHAnsi"/>
                <w:sz w:val="23"/>
              </w:rPr>
              <w:t xml:space="preserve"> </w:t>
            </w:r>
            <w:r w:rsidRPr="006A3CAB">
              <w:rPr>
                <w:rFonts w:asciiTheme="minorHAnsi" w:hAnsiTheme="minorHAnsi"/>
                <w:sz w:val="23"/>
              </w:rPr>
              <w:t>with a dedicated accelerator which includes a computed tomography</w:t>
            </w:r>
            <w:r>
              <w:rPr>
                <w:rFonts w:asciiTheme="minorHAnsi" w:hAnsiTheme="minorHAnsi"/>
                <w:sz w:val="23"/>
              </w:rPr>
              <w:t xml:space="preserve"> </w:t>
            </w:r>
            <w:r w:rsidRPr="006A3CAB">
              <w:rPr>
                <w:rFonts w:asciiTheme="minorHAnsi" w:hAnsiTheme="minorHAnsi"/>
                <w:sz w:val="23"/>
              </w:rPr>
              <w:t xml:space="preserve">(CT) scanner for image-guidance; </w:t>
            </w:r>
          </w:p>
          <w:p w14:paraId="5F3D0E2B" w14:textId="6D413E89" w:rsidR="00A679CE" w:rsidRDefault="00A679CE">
            <w:pPr>
              <w:pStyle w:val="TableParagraph"/>
              <w:numPr>
                <w:ilvl w:val="0"/>
                <w:numId w:val="3"/>
              </w:numPr>
              <w:rPr>
                <w:rFonts w:asciiTheme="minorHAnsi" w:hAnsiTheme="minorHAnsi"/>
                <w:sz w:val="23"/>
              </w:rPr>
            </w:pPr>
            <w:r>
              <w:rPr>
                <w:rFonts w:asciiTheme="minorHAnsi" w:hAnsiTheme="minorHAnsi"/>
                <w:sz w:val="23"/>
              </w:rPr>
              <w:t xml:space="preserve">A </w:t>
            </w:r>
            <w:r w:rsidR="00774AD2">
              <w:rPr>
                <w:rFonts w:asciiTheme="minorHAnsi" w:hAnsiTheme="minorHAnsi"/>
                <w:sz w:val="23"/>
              </w:rPr>
              <w:t xml:space="preserve">separate </w:t>
            </w:r>
            <w:r w:rsidR="006A3CAB" w:rsidRPr="006A3CAB">
              <w:rPr>
                <w:rFonts w:asciiTheme="minorHAnsi" w:hAnsiTheme="minorHAnsi"/>
                <w:sz w:val="23"/>
              </w:rPr>
              <w:t>vertical CT for simulation</w:t>
            </w:r>
            <w:r>
              <w:rPr>
                <w:rFonts w:asciiTheme="minorHAnsi" w:hAnsiTheme="minorHAnsi"/>
                <w:sz w:val="23"/>
              </w:rPr>
              <w:t xml:space="preserve"> </w:t>
            </w:r>
            <w:r w:rsidR="006A3CAB" w:rsidRPr="00A679CE">
              <w:rPr>
                <w:rFonts w:asciiTheme="minorHAnsi" w:hAnsiTheme="minorHAnsi"/>
                <w:sz w:val="23"/>
              </w:rPr>
              <w:t xml:space="preserve">and treatment planning; and </w:t>
            </w:r>
          </w:p>
          <w:p w14:paraId="34AA1B86" w14:textId="747B0689" w:rsidR="00D37157" w:rsidRDefault="00A679CE">
            <w:pPr>
              <w:pStyle w:val="TableParagraph"/>
              <w:numPr>
                <w:ilvl w:val="0"/>
                <w:numId w:val="3"/>
              </w:numPr>
              <w:rPr>
                <w:rFonts w:asciiTheme="minorHAnsi" w:hAnsiTheme="minorHAnsi"/>
                <w:sz w:val="23"/>
              </w:rPr>
            </w:pPr>
            <w:r>
              <w:rPr>
                <w:rFonts w:asciiTheme="minorHAnsi" w:hAnsiTheme="minorHAnsi"/>
                <w:sz w:val="23"/>
              </w:rPr>
              <w:t>C</w:t>
            </w:r>
            <w:r w:rsidR="006A3CAB" w:rsidRPr="00A679CE">
              <w:rPr>
                <w:rFonts w:asciiTheme="minorHAnsi" w:hAnsiTheme="minorHAnsi"/>
                <w:sz w:val="23"/>
              </w:rPr>
              <w:t>linical and administrative spaces.</w:t>
            </w:r>
          </w:p>
          <w:p w14:paraId="2F4267BB" w14:textId="77777777" w:rsidR="00A679CE" w:rsidRPr="00A679CE" w:rsidRDefault="00A679CE" w:rsidP="00A679CE">
            <w:pPr>
              <w:pStyle w:val="TableParagraph"/>
              <w:ind w:left="827"/>
              <w:rPr>
                <w:rFonts w:asciiTheme="minorHAnsi" w:hAnsiTheme="minorHAnsi"/>
                <w:sz w:val="23"/>
              </w:rPr>
            </w:pPr>
          </w:p>
          <w:p w14:paraId="4500D246" w14:textId="59B2278F" w:rsidR="00A01D1B" w:rsidRDefault="00D37157" w:rsidP="00BA2054">
            <w:pPr>
              <w:pStyle w:val="TableParagraph"/>
              <w:ind w:left="0"/>
              <w:rPr>
                <w:rFonts w:asciiTheme="minorHAnsi" w:hAnsiTheme="minorHAnsi"/>
                <w:sz w:val="23"/>
              </w:rPr>
            </w:pPr>
            <w:r>
              <w:rPr>
                <w:rFonts w:asciiTheme="minorHAnsi" w:hAnsiTheme="minorHAnsi"/>
                <w:bCs/>
                <w:sz w:val="23"/>
              </w:rPr>
              <w:t xml:space="preserve"> </w:t>
            </w:r>
            <w:r w:rsidR="00A01D1B">
              <w:rPr>
                <w:rFonts w:asciiTheme="minorHAnsi" w:hAnsiTheme="minorHAnsi"/>
                <w:bCs/>
                <w:sz w:val="23"/>
              </w:rPr>
              <w:t xml:space="preserve"> </w:t>
            </w:r>
            <w:r w:rsidR="00395FF5" w:rsidRPr="00395FF5">
              <w:rPr>
                <w:rFonts w:asciiTheme="minorHAnsi" w:hAnsiTheme="minorHAnsi"/>
                <w:sz w:val="23"/>
              </w:rPr>
              <w:t xml:space="preserve">The capital expenditure for the Proposed Project is </w:t>
            </w:r>
            <w:r w:rsidR="00FC3C1C" w:rsidRPr="00FC3C1C">
              <w:rPr>
                <w:rFonts w:asciiTheme="minorHAnsi" w:hAnsiTheme="minorHAnsi"/>
                <w:sz w:val="23"/>
              </w:rPr>
              <w:t>$50,500,633.00</w:t>
            </w:r>
            <w:r w:rsidR="00395FF5" w:rsidRPr="00395FF5">
              <w:rPr>
                <w:rFonts w:asciiTheme="minorHAnsi" w:hAnsiTheme="minorHAnsi"/>
                <w:sz w:val="23"/>
              </w:rPr>
              <w:t xml:space="preserve">. The CHI contribution is </w:t>
            </w:r>
            <w:r w:rsidR="00A01D1B">
              <w:rPr>
                <w:rFonts w:asciiTheme="minorHAnsi" w:hAnsiTheme="minorHAnsi"/>
                <w:sz w:val="23"/>
              </w:rPr>
              <w:t xml:space="preserve"> </w:t>
            </w:r>
          </w:p>
          <w:p w14:paraId="7FD0BDBC" w14:textId="4BEE3457" w:rsidR="00395FF5" w:rsidRDefault="00A01D1B" w:rsidP="00BA2054">
            <w:pPr>
              <w:pStyle w:val="TableParagraph"/>
              <w:ind w:left="0"/>
              <w:rPr>
                <w:rFonts w:asciiTheme="minorHAnsi" w:hAnsiTheme="minorHAnsi"/>
                <w:sz w:val="23"/>
              </w:rPr>
            </w:pPr>
            <w:r>
              <w:rPr>
                <w:rFonts w:asciiTheme="minorHAnsi" w:hAnsiTheme="minorHAnsi"/>
                <w:sz w:val="23"/>
              </w:rPr>
              <w:t xml:space="preserve">  </w:t>
            </w:r>
            <w:r w:rsidR="009C3349" w:rsidRPr="009C3349">
              <w:rPr>
                <w:rFonts w:asciiTheme="minorHAnsi" w:hAnsiTheme="minorHAnsi"/>
                <w:sz w:val="23"/>
              </w:rPr>
              <w:t>$2,525,031.65</w:t>
            </w:r>
            <w:r w:rsidR="00395FF5" w:rsidRPr="00395FF5">
              <w:rPr>
                <w:rFonts w:asciiTheme="minorHAnsi" w:hAnsiTheme="minorHAnsi"/>
                <w:sz w:val="23"/>
              </w:rPr>
              <w:t>.</w:t>
            </w:r>
          </w:p>
          <w:p w14:paraId="44C3E5A7" w14:textId="77777777" w:rsidR="00A61B93" w:rsidRPr="00395FF5" w:rsidRDefault="00A61B93" w:rsidP="00BA2054">
            <w:pPr>
              <w:pStyle w:val="TableParagraph"/>
              <w:rPr>
                <w:rFonts w:asciiTheme="minorHAnsi" w:hAnsiTheme="minorHAnsi"/>
                <w:sz w:val="23"/>
              </w:rPr>
            </w:pPr>
          </w:p>
          <w:p w14:paraId="060BC1B9" w14:textId="0C5EB397" w:rsidR="00395FF5" w:rsidRDefault="000250B7" w:rsidP="00BA2054">
            <w:pPr>
              <w:pStyle w:val="TableParagraph"/>
              <w:rPr>
                <w:rFonts w:asciiTheme="minorHAnsi" w:hAnsiTheme="minorHAnsi"/>
                <w:sz w:val="23"/>
              </w:rPr>
            </w:pPr>
            <w:r>
              <w:rPr>
                <w:rFonts w:asciiTheme="minorHAnsi" w:hAnsiTheme="minorHAnsi"/>
                <w:sz w:val="23"/>
              </w:rPr>
              <w:t>This DoN falls within the definition of</w:t>
            </w:r>
            <w:r w:rsidR="00395FF5" w:rsidRPr="00395FF5">
              <w:rPr>
                <w:rFonts w:asciiTheme="minorHAnsi" w:hAnsiTheme="minorHAnsi"/>
                <w:sz w:val="23"/>
              </w:rPr>
              <w:t xml:space="preserve"> Substantial Change in Service</w:t>
            </w:r>
            <w:r>
              <w:rPr>
                <w:rFonts w:asciiTheme="minorHAnsi" w:hAnsiTheme="minorHAnsi"/>
                <w:sz w:val="23"/>
              </w:rPr>
              <w:t>, which</w:t>
            </w:r>
            <w:r w:rsidR="00395FF5" w:rsidRPr="00395FF5">
              <w:rPr>
                <w:rFonts w:asciiTheme="minorHAnsi" w:hAnsiTheme="minorHAnsi"/>
                <w:sz w:val="23"/>
              </w:rPr>
              <w:t xml:space="preserve"> </w:t>
            </w:r>
            <w:r>
              <w:rPr>
                <w:rFonts w:asciiTheme="minorHAnsi" w:hAnsiTheme="minorHAnsi"/>
                <w:sz w:val="23"/>
              </w:rPr>
              <w:t>are reviewed</w:t>
            </w:r>
            <w:r w:rsidR="00395FF5" w:rsidRPr="00395FF5">
              <w:rPr>
                <w:rFonts w:asciiTheme="minorHAnsi" w:hAnsiTheme="minorHAnsi"/>
                <w:sz w:val="23"/>
              </w:rPr>
              <w:t xml:space="preserve">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p>
          <w:p w14:paraId="11BD25FC" w14:textId="77777777" w:rsidR="00A61B93" w:rsidRPr="00395FF5" w:rsidRDefault="00A61B93" w:rsidP="00BA2054">
            <w:pPr>
              <w:pStyle w:val="TableParagraph"/>
              <w:rPr>
                <w:rFonts w:asciiTheme="minorHAnsi" w:hAnsiTheme="minorHAnsi"/>
                <w:sz w:val="23"/>
              </w:rPr>
            </w:pPr>
          </w:p>
          <w:p w14:paraId="56FBB592" w14:textId="63A79BA9" w:rsidR="00F30621" w:rsidRPr="00F079F1" w:rsidRDefault="0060090D" w:rsidP="00F079F1">
            <w:pPr>
              <w:pStyle w:val="TableParagraph"/>
              <w:rPr>
                <w:rFonts w:asciiTheme="minorHAnsi" w:hAnsiTheme="minorHAnsi"/>
                <w:sz w:val="23"/>
                <w:szCs w:val="23"/>
              </w:rPr>
            </w:pPr>
            <w:r>
              <w:rPr>
                <w:rFonts w:asciiTheme="minorHAnsi" w:hAnsiTheme="minorHAnsi"/>
                <w:sz w:val="23"/>
                <w:szCs w:val="23"/>
              </w:rPr>
              <w:t>Three</w:t>
            </w:r>
            <w:r w:rsidR="009E5859" w:rsidRPr="246FCD7D">
              <w:rPr>
                <w:rFonts w:asciiTheme="minorHAnsi" w:hAnsiTheme="minorHAnsi"/>
                <w:sz w:val="23"/>
                <w:szCs w:val="23"/>
              </w:rPr>
              <w:t xml:space="preserve"> groups registered as Ten Taxpayer Groups (TTGs). </w:t>
            </w:r>
            <w:r w:rsidR="00395FF5" w:rsidRPr="246FCD7D">
              <w:rPr>
                <w:rFonts w:asciiTheme="minorHAnsi" w:hAnsiTheme="minorHAnsi"/>
                <w:sz w:val="23"/>
                <w:szCs w:val="23"/>
              </w:rPr>
              <w:t>The Department received written comments</w:t>
            </w:r>
            <w:r w:rsidR="003045A0">
              <w:t xml:space="preserve"> and </w:t>
            </w:r>
            <w:r w:rsidR="003045A0" w:rsidRPr="003045A0">
              <w:rPr>
                <w:rFonts w:asciiTheme="minorHAnsi" w:hAnsiTheme="minorHAnsi"/>
                <w:sz w:val="23"/>
                <w:szCs w:val="23"/>
              </w:rPr>
              <w:t xml:space="preserve">held a virtual public hearing on </w:t>
            </w:r>
            <w:r w:rsidR="003045A0">
              <w:rPr>
                <w:rFonts w:asciiTheme="minorHAnsi" w:hAnsiTheme="minorHAnsi"/>
                <w:sz w:val="23"/>
                <w:szCs w:val="23"/>
              </w:rPr>
              <w:t>January 14, 202</w:t>
            </w:r>
            <w:r w:rsidR="00D03BBB">
              <w:rPr>
                <w:rFonts w:asciiTheme="minorHAnsi" w:hAnsiTheme="minorHAnsi"/>
                <w:sz w:val="23"/>
                <w:szCs w:val="23"/>
              </w:rPr>
              <w:t>6</w:t>
            </w:r>
            <w:r w:rsidR="00395FF5" w:rsidRPr="246FCD7D">
              <w:rPr>
                <w:rFonts w:asciiTheme="minorHAnsi" w:hAnsiTheme="minorHAnsi"/>
                <w:sz w:val="23"/>
                <w:szCs w:val="23"/>
              </w:rPr>
              <w:t xml:space="preserve">. A list of commenters and </w:t>
            </w:r>
            <w:r w:rsidR="009A6A57" w:rsidRPr="246FCD7D">
              <w:rPr>
                <w:rFonts w:asciiTheme="minorHAnsi" w:hAnsiTheme="minorHAnsi"/>
                <w:sz w:val="23"/>
                <w:szCs w:val="23"/>
              </w:rPr>
              <w:t xml:space="preserve">a </w:t>
            </w:r>
            <w:r w:rsidR="00395FF5" w:rsidRPr="246FCD7D">
              <w:rPr>
                <w:rFonts w:asciiTheme="minorHAnsi" w:hAnsiTheme="minorHAnsi"/>
                <w:sz w:val="23"/>
                <w:szCs w:val="23"/>
              </w:rPr>
              <w:t>summar</w:t>
            </w:r>
            <w:r w:rsidR="009A6A57" w:rsidRPr="246FCD7D">
              <w:rPr>
                <w:rFonts w:asciiTheme="minorHAnsi" w:hAnsiTheme="minorHAnsi"/>
                <w:sz w:val="23"/>
                <w:szCs w:val="23"/>
              </w:rPr>
              <w:t>y</w:t>
            </w:r>
            <w:r w:rsidR="00395FF5" w:rsidRPr="246FCD7D">
              <w:rPr>
                <w:rFonts w:asciiTheme="minorHAnsi" w:hAnsiTheme="minorHAnsi"/>
                <w:sz w:val="23"/>
                <w:szCs w:val="23"/>
              </w:rPr>
              <w:t xml:space="preserve"> of the comments received can be found in Appendices</w:t>
            </w:r>
            <w:r w:rsidR="00F82810">
              <w:rPr>
                <w:rFonts w:asciiTheme="minorHAnsi" w:hAnsiTheme="minorHAnsi"/>
                <w:sz w:val="23"/>
                <w:szCs w:val="23"/>
              </w:rPr>
              <w:t xml:space="preserve"> </w:t>
            </w:r>
            <w:r w:rsidR="00765BD8">
              <w:rPr>
                <w:rFonts w:asciiTheme="minorHAnsi" w:hAnsiTheme="minorHAnsi"/>
                <w:sz w:val="23"/>
                <w:szCs w:val="23"/>
              </w:rPr>
              <w:t>II</w:t>
            </w:r>
            <w:r w:rsidR="00395FF5" w:rsidRPr="246FCD7D">
              <w:rPr>
                <w:rFonts w:asciiTheme="minorHAnsi" w:hAnsiTheme="minorHAnsi"/>
                <w:sz w:val="23"/>
                <w:szCs w:val="23"/>
              </w:rPr>
              <w:t xml:space="preserve"> through </w:t>
            </w:r>
            <w:r w:rsidR="00765BD8">
              <w:rPr>
                <w:rFonts w:asciiTheme="minorHAnsi" w:hAnsiTheme="minorHAnsi"/>
                <w:sz w:val="23"/>
                <w:szCs w:val="23"/>
              </w:rPr>
              <w:t>IV</w:t>
            </w:r>
            <w:r w:rsidR="00395FF5" w:rsidRPr="246FCD7D">
              <w:rPr>
                <w:rFonts w:asciiTheme="minorHAnsi" w:hAnsiTheme="minorHAnsi"/>
                <w:sz w:val="23"/>
                <w:szCs w:val="23"/>
              </w:rPr>
              <w:t>.</w:t>
            </w:r>
            <w:r w:rsidR="004A7D44" w:rsidRPr="246FCD7D">
              <w:rPr>
                <w:rFonts w:asciiTheme="minorHAnsi" w:hAnsiTheme="minorHAnsi"/>
                <w:sz w:val="23"/>
                <w:szCs w:val="23"/>
              </w:rPr>
              <w:t xml:space="preserve"> </w:t>
            </w:r>
          </w:p>
        </w:tc>
      </w:tr>
    </w:tbl>
    <w:p w14:paraId="4AF4C98A" w14:textId="77777777" w:rsidR="00B447F3" w:rsidRPr="003436F0" w:rsidRDefault="00B447F3">
      <w:pPr>
        <w:spacing w:line="251" w:lineRule="exact"/>
        <w:rPr>
          <w:rFonts w:asciiTheme="minorHAnsi" w:hAnsiTheme="minorHAnsi"/>
        </w:rPr>
        <w:sectPr w:rsidR="00B447F3" w:rsidRPr="003436F0" w:rsidSect="001831DE">
          <w:footerReference w:type="default" r:id="rId8"/>
          <w:type w:val="continuous"/>
          <w:pgSz w:w="12240" w:h="15840"/>
          <w:pgMar w:top="1440" w:right="980" w:bottom="1120" w:left="860" w:header="720" w:footer="937" w:gutter="0"/>
          <w:pgNumType w:start="1"/>
          <w:cols w:space="720"/>
        </w:sectPr>
      </w:pPr>
    </w:p>
    <w:sdt>
      <w:sdtPr>
        <w:rPr>
          <w:rFonts w:ascii="Garamond" w:eastAsia="Garamond" w:hAnsi="Garamond" w:cs="Garamond"/>
          <w:color w:val="auto"/>
          <w:sz w:val="22"/>
          <w:szCs w:val="22"/>
          <w:lang w:bidi="en-US"/>
        </w:rPr>
        <w:id w:val="1248538820"/>
        <w:docPartObj>
          <w:docPartGallery w:val="Table of Contents"/>
          <w:docPartUnique/>
        </w:docPartObj>
      </w:sdtPr>
      <w:sdtEndPr>
        <w:rPr>
          <w:rFonts w:asciiTheme="minorHAnsi" w:eastAsiaTheme="minorEastAsia" w:hAnsiTheme="minorHAnsi" w:cstheme="minorBidi"/>
          <w:b/>
          <w:bCs/>
          <w:noProof/>
          <w:sz w:val="24"/>
          <w:szCs w:val="24"/>
          <w:lang w:bidi="ar-SA"/>
        </w:rPr>
      </w:sdtEndPr>
      <w:sdtContent>
        <w:p w14:paraId="7AAE295D" w14:textId="53B6C1CD" w:rsidR="008650F2" w:rsidRDefault="008650F2">
          <w:pPr>
            <w:pStyle w:val="TOCHeading"/>
          </w:pPr>
          <w:r>
            <w:t>Contents</w:t>
          </w:r>
        </w:p>
        <w:p w14:paraId="07BE09BB" w14:textId="2B4650C5" w:rsidR="00834664" w:rsidRDefault="008650F2">
          <w:pPr>
            <w:pStyle w:val="TOC1"/>
            <w:tabs>
              <w:tab w:val="right" w:leader="dot" w:pos="10390"/>
            </w:tabs>
            <w:rPr>
              <w:rFonts w:asciiTheme="minorHAnsi" w:eastAsiaTheme="minorEastAsia" w:hAnsiTheme="minorHAnsi" w:cstheme="minorBidi"/>
              <w:noProof/>
              <w:kern w:val="2"/>
              <w:szCs w:val="24"/>
              <w14:ligatures w14:val="standardContextual"/>
            </w:rPr>
          </w:pPr>
          <w:r w:rsidRPr="004D5540">
            <w:rPr>
              <w:rFonts w:asciiTheme="minorHAnsi" w:hAnsiTheme="minorHAnsi"/>
              <w:szCs w:val="24"/>
            </w:rPr>
            <w:fldChar w:fldCharType="begin"/>
          </w:r>
          <w:r w:rsidRPr="004D5540">
            <w:rPr>
              <w:rFonts w:asciiTheme="minorHAnsi" w:hAnsiTheme="minorHAnsi"/>
              <w:szCs w:val="24"/>
            </w:rPr>
            <w:instrText xml:space="preserve"> TOC \o "1-3" \h \z \u </w:instrText>
          </w:r>
          <w:r w:rsidRPr="004D5540">
            <w:rPr>
              <w:rFonts w:asciiTheme="minorHAnsi" w:hAnsiTheme="minorHAnsi"/>
              <w:szCs w:val="24"/>
            </w:rPr>
            <w:fldChar w:fldCharType="separate"/>
          </w:r>
          <w:hyperlink w:anchor="_Toc223962988" w:history="1">
            <w:r w:rsidR="00834664" w:rsidRPr="006836AC">
              <w:rPr>
                <w:rStyle w:val="Hyperlink"/>
                <w:noProof/>
              </w:rPr>
              <w:t>Background and Application Overview</w:t>
            </w:r>
            <w:r w:rsidR="00834664">
              <w:rPr>
                <w:noProof/>
                <w:webHidden/>
              </w:rPr>
              <w:tab/>
            </w:r>
            <w:r w:rsidR="00834664">
              <w:rPr>
                <w:noProof/>
                <w:webHidden/>
              </w:rPr>
              <w:fldChar w:fldCharType="begin"/>
            </w:r>
            <w:r w:rsidR="00834664">
              <w:rPr>
                <w:noProof/>
                <w:webHidden/>
              </w:rPr>
              <w:instrText xml:space="preserve"> PAGEREF _Toc223962988 \h </w:instrText>
            </w:r>
            <w:r w:rsidR="00834664">
              <w:rPr>
                <w:noProof/>
                <w:webHidden/>
              </w:rPr>
            </w:r>
            <w:r w:rsidR="00834664">
              <w:rPr>
                <w:noProof/>
                <w:webHidden/>
              </w:rPr>
              <w:fldChar w:fldCharType="separate"/>
            </w:r>
            <w:r w:rsidR="00834664">
              <w:rPr>
                <w:noProof/>
                <w:webHidden/>
              </w:rPr>
              <w:t>3</w:t>
            </w:r>
            <w:r w:rsidR="00834664">
              <w:rPr>
                <w:noProof/>
                <w:webHidden/>
              </w:rPr>
              <w:fldChar w:fldCharType="end"/>
            </w:r>
          </w:hyperlink>
        </w:p>
        <w:p w14:paraId="2087FF9C" w14:textId="53422418" w:rsidR="00834664" w:rsidRDefault="00834664">
          <w:pPr>
            <w:pStyle w:val="TOC1"/>
            <w:tabs>
              <w:tab w:val="right" w:leader="dot" w:pos="10390"/>
            </w:tabs>
            <w:rPr>
              <w:rFonts w:asciiTheme="minorHAnsi" w:eastAsiaTheme="minorEastAsia" w:hAnsiTheme="minorHAnsi" w:cstheme="minorBidi"/>
              <w:noProof/>
              <w:kern w:val="2"/>
              <w:szCs w:val="24"/>
              <w14:ligatures w14:val="standardContextual"/>
            </w:rPr>
          </w:pPr>
          <w:hyperlink w:anchor="_Toc223962989" w:history="1">
            <w:r w:rsidRPr="006836AC">
              <w:rPr>
                <w:rStyle w:val="Hyperlink"/>
                <w:noProof/>
              </w:rPr>
              <w:t>Patient Panel</w:t>
            </w:r>
            <w:r>
              <w:rPr>
                <w:noProof/>
                <w:webHidden/>
              </w:rPr>
              <w:tab/>
            </w:r>
            <w:r>
              <w:rPr>
                <w:noProof/>
                <w:webHidden/>
              </w:rPr>
              <w:fldChar w:fldCharType="begin"/>
            </w:r>
            <w:r>
              <w:rPr>
                <w:noProof/>
                <w:webHidden/>
              </w:rPr>
              <w:instrText xml:space="preserve"> PAGEREF _Toc223962989 \h </w:instrText>
            </w:r>
            <w:r>
              <w:rPr>
                <w:noProof/>
                <w:webHidden/>
              </w:rPr>
            </w:r>
            <w:r>
              <w:rPr>
                <w:noProof/>
                <w:webHidden/>
              </w:rPr>
              <w:fldChar w:fldCharType="separate"/>
            </w:r>
            <w:r>
              <w:rPr>
                <w:noProof/>
                <w:webHidden/>
              </w:rPr>
              <w:t>7</w:t>
            </w:r>
            <w:r>
              <w:rPr>
                <w:noProof/>
                <w:webHidden/>
              </w:rPr>
              <w:fldChar w:fldCharType="end"/>
            </w:r>
          </w:hyperlink>
        </w:p>
        <w:p w14:paraId="1C65D1C0" w14:textId="73DCC756" w:rsidR="00834664" w:rsidRDefault="00834664">
          <w:pPr>
            <w:pStyle w:val="TOC1"/>
            <w:tabs>
              <w:tab w:val="right" w:leader="dot" w:pos="10390"/>
            </w:tabs>
            <w:rPr>
              <w:rFonts w:asciiTheme="minorHAnsi" w:eastAsiaTheme="minorEastAsia" w:hAnsiTheme="minorHAnsi" w:cstheme="minorBidi"/>
              <w:noProof/>
              <w:kern w:val="2"/>
              <w:szCs w:val="24"/>
              <w14:ligatures w14:val="standardContextual"/>
            </w:rPr>
          </w:pPr>
          <w:hyperlink w:anchor="_Toc223962990" w:history="1">
            <w:r w:rsidRPr="006836AC">
              <w:rPr>
                <w:rStyle w:val="Hyperlink"/>
                <w:noProof/>
              </w:rPr>
              <w:t>Factor 1: a) Patient Panel Need</w:t>
            </w:r>
            <w:r>
              <w:rPr>
                <w:noProof/>
                <w:webHidden/>
              </w:rPr>
              <w:tab/>
            </w:r>
            <w:r>
              <w:rPr>
                <w:noProof/>
                <w:webHidden/>
              </w:rPr>
              <w:fldChar w:fldCharType="begin"/>
            </w:r>
            <w:r>
              <w:rPr>
                <w:noProof/>
                <w:webHidden/>
              </w:rPr>
              <w:instrText xml:space="preserve"> PAGEREF _Toc223962990 \h </w:instrText>
            </w:r>
            <w:r>
              <w:rPr>
                <w:noProof/>
                <w:webHidden/>
              </w:rPr>
            </w:r>
            <w:r>
              <w:rPr>
                <w:noProof/>
                <w:webHidden/>
              </w:rPr>
              <w:fldChar w:fldCharType="separate"/>
            </w:r>
            <w:r>
              <w:rPr>
                <w:noProof/>
                <w:webHidden/>
              </w:rPr>
              <w:t>10</w:t>
            </w:r>
            <w:r>
              <w:rPr>
                <w:noProof/>
                <w:webHidden/>
              </w:rPr>
              <w:fldChar w:fldCharType="end"/>
            </w:r>
          </w:hyperlink>
        </w:p>
        <w:p w14:paraId="092C7092" w14:textId="3C94507D" w:rsidR="00834664" w:rsidRDefault="00834664">
          <w:pPr>
            <w:pStyle w:val="TOC1"/>
            <w:tabs>
              <w:tab w:val="right" w:leader="dot" w:pos="10390"/>
            </w:tabs>
            <w:rPr>
              <w:rFonts w:asciiTheme="minorHAnsi" w:eastAsiaTheme="minorEastAsia" w:hAnsiTheme="minorHAnsi" w:cstheme="minorBidi"/>
              <w:noProof/>
              <w:kern w:val="2"/>
              <w:szCs w:val="24"/>
              <w14:ligatures w14:val="standardContextual"/>
            </w:rPr>
          </w:pPr>
          <w:hyperlink w:anchor="_Toc223962991" w:history="1">
            <w:r w:rsidRPr="006836AC">
              <w:rPr>
                <w:rStyle w:val="Hyperlink"/>
                <w:noProof/>
              </w:rPr>
              <w:t>Factor 1: b) Public health value, improved health outcomes and quality of life; assurances of health equity</w:t>
            </w:r>
            <w:r>
              <w:rPr>
                <w:noProof/>
                <w:webHidden/>
              </w:rPr>
              <w:tab/>
            </w:r>
            <w:r>
              <w:rPr>
                <w:noProof/>
                <w:webHidden/>
              </w:rPr>
              <w:fldChar w:fldCharType="begin"/>
            </w:r>
            <w:r>
              <w:rPr>
                <w:noProof/>
                <w:webHidden/>
              </w:rPr>
              <w:instrText xml:space="preserve"> PAGEREF _Toc223962991 \h </w:instrText>
            </w:r>
            <w:r>
              <w:rPr>
                <w:noProof/>
                <w:webHidden/>
              </w:rPr>
            </w:r>
            <w:r>
              <w:rPr>
                <w:noProof/>
                <w:webHidden/>
              </w:rPr>
              <w:fldChar w:fldCharType="separate"/>
            </w:r>
            <w:r>
              <w:rPr>
                <w:noProof/>
                <w:webHidden/>
              </w:rPr>
              <w:t>30</w:t>
            </w:r>
            <w:r>
              <w:rPr>
                <w:noProof/>
                <w:webHidden/>
              </w:rPr>
              <w:fldChar w:fldCharType="end"/>
            </w:r>
          </w:hyperlink>
        </w:p>
        <w:p w14:paraId="08E73EE6" w14:textId="63253175" w:rsidR="00834664" w:rsidRDefault="00834664">
          <w:pPr>
            <w:pStyle w:val="TOC1"/>
            <w:tabs>
              <w:tab w:val="right" w:leader="dot" w:pos="10390"/>
            </w:tabs>
            <w:rPr>
              <w:rFonts w:asciiTheme="minorHAnsi" w:eastAsiaTheme="minorEastAsia" w:hAnsiTheme="minorHAnsi" w:cstheme="minorBidi"/>
              <w:noProof/>
              <w:kern w:val="2"/>
              <w:szCs w:val="24"/>
              <w14:ligatures w14:val="standardContextual"/>
            </w:rPr>
          </w:pPr>
          <w:hyperlink w:anchor="_Toc223962992" w:history="1">
            <w:r w:rsidRPr="006836AC">
              <w:rPr>
                <w:rStyle w:val="Hyperlink"/>
                <w:noProof/>
              </w:rPr>
              <w:t>Factor 1: c) Efficiency, Continuity of Care, Coordination of Care</w:t>
            </w:r>
            <w:r>
              <w:rPr>
                <w:noProof/>
                <w:webHidden/>
              </w:rPr>
              <w:tab/>
            </w:r>
            <w:r>
              <w:rPr>
                <w:noProof/>
                <w:webHidden/>
              </w:rPr>
              <w:fldChar w:fldCharType="begin"/>
            </w:r>
            <w:r>
              <w:rPr>
                <w:noProof/>
                <w:webHidden/>
              </w:rPr>
              <w:instrText xml:space="preserve"> PAGEREF _Toc223962992 \h </w:instrText>
            </w:r>
            <w:r>
              <w:rPr>
                <w:noProof/>
                <w:webHidden/>
              </w:rPr>
            </w:r>
            <w:r>
              <w:rPr>
                <w:noProof/>
                <w:webHidden/>
              </w:rPr>
              <w:fldChar w:fldCharType="separate"/>
            </w:r>
            <w:r>
              <w:rPr>
                <w:noProof/>
                <w:webHidden/>
              </w:rPr>
              <w:t>38</w:t>
            </w:r>
            <w:r>
              <w:rPr>
                <w:noProof/>
                <w:webHidden/>
              </w:rPr>
              <w:fldChar w:fldCharType="end"/>
            </w:r>
          </w:hyperlink>
        </w:p>
        <w:p w14:paraId="2A64B753" w14:textId="572970F2" w:rsidR="00834664" w:rsidRDefault="00834664">
          <w:pPr>
            <w:pStyle w:val="TOC1"/>
            <w:tabs>
              <w:tab w:val="right" w:leader="dot" w:pos="10390"/>
            </w:tabs>
            <w:rPr>
              <w:rFonts w:asciiTheme="minorHAnsi" w:eastAsiaTheme="minorEastAsia" w:hAnsiTheme="minorHAnsi" w:cstheme="minorBidi"/>
              <w:noProof/>
              <w:kern w:val="2"/>
              <w:szCs w:val="24"/>
              <w14:ligatures w14:val="standardContextual"/>
            </w:rPr>
          </w:pPr>
          <w:hyperlink w:anchor="_Toc223962993" w:history="1">
            <w:r w:rsidRPr="006836AC">
              <w:rPr>
                <w:rStyle w:val="Hyperlink"/>
                <w:noProof/>
              </w:rPr>
              <w:t>Factor 1: d) Consultation</w:t>
            </w:r>
            <w:r>
              <w:rPr>
                <w:noProof/>
                <w:webHidden/>
              </w:rPr>
              <w:tab/>
            </w:r>
            <w:r>
              <w:rPr>
                <w:noProof/>
                <w:webHidden/>
              </w:rPr>
              <w:fldChar w:fldCharType="begin"/>
            </w:r>
            <w:r>
              <w:rPr>
                <w:noProof/>
                <w:webHidden/>
              </w:rPr>
              <w:instrText xml:space="preserve"> PAGEREF _Toc223962993 \h </w:instrText>
            </w:r>
            <w:r>
              <w:rPr>
                <w:noProof/>
                <w:webHidden/>
              </w:rPr>
            </w:r>
            <w:r>
              <w:rPr>
                <w:noProof/>
                <w:webHidden/>
              </w:rPr>
              <w:fldChar w:fldCharType="separate"/>
            </w:r>
            <w:r>
              <w:rPr>
                <w:noProof/>
                <w:webHidden/>
              </w:rPr>
              <w:t>41</w:t>
            </w:r>
            <w:r>
              <w:rPr>
                <w:noProof/>
                <w:webHidden/>
              </w:rPr>
              <w:fldChar w:fldCharType="end"/>
            </w:r>
          </w:hyperlink>
        </w:p>
        <w:p w14:paraId="74D9C6B6" w14:textId="5F7C6048" w:rsidR="00834664" w:rsidRDefault="00834664">
          <w:pPr>
            <w:pStyle w:val="TOC1"/>
            <w:tabs>
              <w:tab w:val="right" w:leader="dot" w:pos="10390"/>
            </w:tabs>
            <w:rPr>
              <w:rFonts w:asciiTheme="minorHAnsi" w:eastAsiaTheme="minorEastAsia" w:hAnsiTheme="minorHAnsi" w:cstheme="minorBidi"/>
              <w:noProof/>
              <w:kern w:val="2"/>
              <w:szCs w:val="24"/>
              <w14:ligatures w14:val="standardContextual"/>
            </w:rPr>
          </w:pPr>
          <w:hyperlink w:anchor="_Toc223962994" w:history="1">
            <w:r w:rsidRPr="006836AC">
              <w:rPr>
                <w:rStyle w:val="Hyperlink"/>
                <w:noProof/>
              </w:rPr>
              <w:t>Factor 1: e) Evidence of Sound Community Engagement Through the Patient Panel</w:t>
            </w:r>
            <w:r>
              <w:rPr>
                <w:noProof/>
                <w:webHidden/>
              </w:rPr>
              <w:tab/>
            </w:r>
            <w:r>
              <w:rPr>
                <w:noProof/>
                <w:webHidden/>
              </w:rPr>
              <w:fldChar w:fldCharType="begin"/>
            </w:r>
            <w:r>
              <w:rPr>
                <w:noProof/>
                <w:webHidden/>
              </w:rPr>
              <w:instrText xml:space="preserve"> PAGEREF _Toc223962994 \h </w:instrText>
            </w:r>
            <w:r>
              <w:rPr>
                <w:noProof/>
                <w:webHidden/>
              </w:rPr>
            </w:r>
            <w:r>
              <w:rPr>
                <w:noProof/>
                <w:webHidden/>
              </w:rPr>
              <w:fldChar w:fldCharType="separate"/>
            </w:r>
            <w:r>
              <w:rPr>
                <w:noProof/>
                <w:webHidden/>
              </w:rPr>
              <w:t>41</w:t>
            </w:r>
            <w:r>
              <w:rPr>
                <w:noProof/>
                <w:webHidden/>
              </w:rPr>
              <w:fldChar w:fldCharType="end"/>
            </w:r>
          </w:hyperlink>
        </w:p>
        <w:p w14:paraId="61A932F8" w14:textId="62378BA6" w:rsidR="00834664" w:rsidRDefault="00834664">
          <w:pPr>
            <w:pStyle w:val="TOC1"/>
            <w:tabs>
              <w:tab w:val="right" w:leader="dot" w:pos="10390"/>
            </w:tabs>
            <w:rPr>
              <w:rFonts w:asciiTheme="minorHAnsi" w:eastAsiaTheme="minorEastAsia" w:hAnsiTheme="minorHAnsi" w:cstheme="minorBidi"/>
              <w:noProof/>
              <w:kern w:val="2"/>
              <w:szCs w:val="24"/>
              <w14:ligatures w14:val="standardContextual"/>
            </w:rPr>
          </w:pPr>
          <w:hyperlink w:anchor="_Toc223962995" w:history="1">
            <w:r w:rsidRPr="006836AC">
              <w:rPr>
                <w:rStyle w:val="Hyperlink"/>
                <w:noProof/>
              </w:rPr>
              <w:t>Factor 1: f) Competition on price, total medical expenses (TME), costs and other measures of health care spending</w:t>
            </w:r>
            <w:r>
              <w:rPr>
                <w:noProof/>
                <w:webHidden/>
              </w:rPr>
              <w:tab/>
            </w:r>
            <w:r>
              <w:rPr>
                <w:noProof/>
                <w:webHidden/>
              </w:rPr>
              <w:fldChar w:fldCharType="begin"/>
            </w:r>
            <w:r>
              <w:rPr>
                <w:noProof/>
                <w:webHidden/>
              </w:rPr>
              <w:instrText xml:space="preserve"> PAGEREF _Toc223962995 \h </w:instrText>
            </w:r>
            <w:r>
              <w:rPr>
                <w:noProof/>
                <w:webHidden/>
              </w:rPr>
            </w:r>
            <w:r>
              <w:rPr>
                <w:noProof/>
                <w:webHidden/>
              </w:rPr>
              <w:fldChar w:fldCharType="separate"/>
            </w:r>
            <w:r>
              <w:rPr>
                <w:noProof/>
                <w:webHidden/>
              </w:rPr>
              <w:t>43</w:t>
            </w:r>
            <w:r>
              <w:rPr>
                <w:noProof/>
                <w:webHidden/>
              </w:rPr>
              <w:fldChar w:fldCharType="end"/>
            </w:r>
          </w:hyperlink>
        </w:p>
        <w:p w14:paraId="331541DD" w14:textId="6969A666" w:rsidR="00834664" w:rsidRDefault="00834664">
          <w:pPr>
            <w:pStyle w:val="TOC1"/>
            <w:tabs>
              <w:tab w:val="right" w:leader="dot" w:pos="10390"/>
            </w:tabs>
            <w:rPr>
              <w:rFonts w:asciiTheme="minorHAnsi" w:eastAsiaTheme="minorEastAsia" w:hAnsiTheme="minorHAnsi" w:cstheme="minorBidi"/>
              <w:noProof/>
              <w:kern w:val="2"/>
              <w:szCs w:val="24"/>
              <w14:ligatures w14:val="standardContextual"/>
            </w:rPr>
          </w:pPr>
          <w:hyperlink w:anchor="_Toc223962996" w:history="1">
            <w:r w:rsidRPr="006836AC">
              <w:rPr>
                <w:rStyle w:val="Hyperlink"/>
                <w:i/>
                <w:iCs/>
                <w:noProof/>
              </w:rPr>
              <w:t>Summary, Factor 1</w:t>
            </w:r>
            <w:r>
              <w:rPr>
                <w:noProof/>
                <w:webHidden/>
              </w:rPr>
              <w:tab/>
            </w:r>
            <w:r>
              <w:rPr>
                <w:noProof/>
                <w:webHidden/>
              </w:rPr>
              <w:fldChar w:fldCharType="begin"/>
            </w:r>
            <w:r>
              <w:rPr>
                <w:noProof/>
                <w:webHidden/>
              </w:rPr>
              <w:instrText xml:space="preserve"> PAGEREF _Toc223962996 \h </w:instrText>
            </w:r>
            <w:r>
              <w:rPr>
                <w:noProof/>
                <w:webHidden/>
              </w:rPr>
            </w:r>
            <w:r>
              <w:rPr>
                <w:noProof/>
                <w:webHidden/>
              </w:rPr>
              <w:fldChar w:fldCharType="separate"/>
            </w:r>
            <w:r>
              <w:rPr>
                <w:noProof/>
                <w:webHidden/>
              </w:rPr>
              <w:t>46</w:t>
            </w:r>
            <w:r>
              <w:rPr>
                <w:noProof/>
                <w:webHidden/>
              </w:rPr>
              <w:fldChar w:fldCharType="end"/>
            </w:r>
          </w:hyperlink>
        </w:p>
        <w:p w14:paraId="518C9918" w14:textId="42DD25DC" w:rsidR="00834664" w:rsidRDefault="00834664">
          <w:pPr>
            <w:pStyle w:val="TOC1"/>
            <w:tabs>
              <w:tab w:val="right" w:leader="dot" w:pos="10390"/>
            </w:tabs>
            <w:rPr>
              <w:rFonts w:asciiTheme="minorHAnsi" w:eastAsiaTheme="minorEastAsia" w:hAnsiTheme="minorHAnsi" w:cstheme="minorBidi"/>
              <w:noProof/>
              <w:kern w:val="2"/>
              <w:szCs w:val="24"/>
              <w14:ligatures w14:val="standardContextual"/>
            </w:rPr>
          </w:pPr>
          <w:hyperlink w:anchor="_Toc223962997" w:history="1">
            <w:r w:rsidRPr="006836AC">
              <w:rPr>
                <w:rStyle w:val="Hyperlink"/>
                <w:noProof/>
              </w:rPr>
              <w:t>Factor 2: Cost containment, Improved Public Health Outcomes and Delivery System Transformation</w:t>
            </w:r>
            <w:r>
              <w:rPr>
                <w:noProof/>
                <w:webHidden/>
              </w:rPr>
              <w:tab/>
            </w:r>
            <w:r>
              <w:rPr>
                <w:noProof/>
                <w:webHidden/>
              </w:rPr>
              <w:fldChar w:fldCharType="begin"/>
            </w:r>
            <w:r>
              <w:rPr>
                <w:noProof/>
                <w:webHidden/>
              </w:rPr>
              <w:instrText xml:space="preserve"> PAGEREF _Toc223962997 \h </w:instrText>
            </w:r>
            <w:r>
              <w:rPr>
                <w:noProof/>
                <w:webHidden/>
              </w:rPr>
            </w:r>
            <w:r>
              <w:rPr>
                <w:noProof/>
                <w:webHidden/>
              </w:rPr>
              <w:fldChar w:fldCharType="separate"/>
            </w:r>
            <w:r>
              <w:rPr>
                <w:noProof/>
                <w:webHidden/>
              </w:rPr>
              <w:t>46</w:t>
            </w:r>
            <w:r>
              <w:rPr>
                <w:noProof/>
                <w:webHidden/>
              </w:rPr>
              <w:fldChar w:fldCharType="end"/>
            </w:r>
          </w:hyperlink>
        </w:p>
        <w:p w14:paraId="19DA1772" w14:textId="24835EA3" w:rsidR="00834664" w:rsidRDefault="00834664">
          <w:pPr>
            <w:pStyle w:val="TOC1"/>
            <w:tabs>
              <w:tab w:val="right" w:leader="dot" w:pos="10390"/>
            </w:tabs>
            <w:rPr>
              <w:rFonts w:asciiTheme="minorHAnsi" w:eastAsiaTheme="minorEastAsia" w:hAnsiTheme="minorHAnsi" w:cstheme="minorBidi"/>
              <w:noProof/>
              <w:kern w:val="2"/>
              <w:szCs w:val="24"/>
              <w14:ligatures w14:val="standardContextual"/>
            </w:rPr>
          </w:pPr>
          <w:hyperlink w:anchor="_Toc223962998" w:history="1">
            <w:r w:rsidRPr="006836AC">
              <w:rPr>
                <w:rStyle w:val="Hyperlink"/>
                <w:i/>
                <w:iCs/>
                <w:noProof/>
              </w:rPr>
              <w:t>Summary, Factor 2</w:t>
            </w:r>
            <w:r>
              <w:rPr>
                <w:noProof/>
                <w:webHidden/>
              </w:rPr>
              <w:tab/>
            </w:r>
            <w:r>
              <w:rPr>
                <w:noProof/>
                <w:webHidden/>
              </w:rPr>
              <w:fldChar w:fldCharType="begin"/>
            </w:r>
            <w:r>
              <w:rPr>
                <w:noProof/>
                <w:webHidden/>
              </w:rPr>
              <w:instrText xml:space="preserve"> PAGEREF _Toc223962998 \h </w:instrText>
            </w:r>
            <w:r>
              <w:rPr>
                <w:noProof/>
                <w:webHidden/>
              </w:rPr>
            </w:r>
            <w:r>
              <w:rPr>
                <w:noProof/>
                <w:webHidden/>
              </w:rPr>
              <w:fldChar w:fldCharType="separate"/>
            </w:r>
            <w:r>
              <w:rPr>
                <w:noProof/>
                <w:webHidden/>
              </w:rPr>
              <w:t>50</w:t>
            </w:r>
            <w:r>
              <w:rPr>
                <w:noProof/>
                <w:webHidden/>
              </w:rPr>
              <w:fldChar w:fldCharType="end"/>
            </w:r>
          </w:hyperlink>
        </w:p>
        <w:p w14:paraId="5EC22F34" w14:textId="47E29873" w:rsidR="00834664" w:rsidRDefault="00834664">
          <w:pPr>
            <w:pStyle w:val="TOC1"/>
            <w:tabs>
              <w:tab w:val="right" w:leader="dot" w:pos="10390"/>
            </w:tabs>
            <w:rPr>
              <w:rFonts w:asciiTheme="minorHAnsi" w:eastAsiaTheme="minorEastAsia" w:hAnsiTheme="minorHAnsi" w:cstheme="minorBidi"/>
              <w:noProof/>
              <w:kern w:val="2"/>
              <w:szCs w:val="24"/>
              <w14:ligatures w14:val="standardContextual"/>
            </w:rPr>
          </w:pPr>
          <w:hyperlink w:anchor="_Toc223962999" w:history="1">
            <w:r w:rsidRPr="006836AC">
              <w:rPr>
                <w:rStyle w:val="Hyperlink"/>
                <w:noProof/>
              </w:rPr>
              <w:t>Factor 3: Relevant Licensure/Oversight Compliance</w:t>
            </w:r>
            <w:r>
              <w:rPr>
                <w:noProof/>
                <w:webHidden/>
              </w:rPr>
              <w:tab/>
            </w:r>
            <w:r>
              <w:rPr>
                <w:noProof/>
                <w:webHidden/>
              </w:rPr>
              <w:fldChar w:fldCharType="begin"/>
            </w:r>
            <w:r>
              <w:rPr>
                <w:noProof/>
                <w:webHidden/>
              </w:rPr>
              <w:instrText xml:space="preserve"> PAGEREF _Toc223962999 \h </w:instrText>
            </w:r>
            <w:r>
              <w:rPr>
                <w:noProof/>
                <w:webHidden/>
              </w:rPr>
            </w:r>
            <w:r>
              <w:rPr>
                <w:noProof/>
                <w:webHidden/>
              </w:rPr>
              <w:fldChar w:fldCharType="separate"/>
            </w:r>
            <w:r>
              <w:rPr>
                <w:noProof/>
                <w:webHidden/>
              </w:rPr>
              <w:t>50</w:t>
            </w:r>
            <w:r>
              <w:rPr>
                <w:noProof/>
                <w:webHidden/>
              </w:rPr>
              <w:fldChar w:fldCharType="end"/>
            </w:r>
          </w:hyperlink>
        </w:p>
        <w:p w14:paraId="5A99BFF8" w14:textId="10542C6F" w:rsidR="00834664" w:rsidRDefault="00834664">
          <w:pPr>
            <w:pStyle w:val="TOC1"/>
            <w:tabs>
              <w:tab w:val="right" w:leader="dot" w:pos="10390"/>
            </w:tabs>
            <w:rPr>
              <w:rFonts w:asciiTheme="minorHAnsi" w:eastAsiaTheme="minorEastAsia" w:hAnsiTheme="minorHAnsi" w:cstheme="minorBidi"/>
              <w:noProof/>
              <w:kern w:val="2"/>
              <w:szCs w:val="24"/>
              <w14:ligatures w14:val="standardContextual"/>
            </w:rPr>
          </w:pPr>
          <w:hyperlink w:anchor="_Toc223963000" w:history="1">
            <w:r w:rsidRPr="006836AC">
              <w:rPr>
                <w:rStyle w:val="Hyperlink"/>
                <w:noProof/>
              </w:rPr>
              <w:t>Factor 4: Demonstration of Sufficient Funds as Supported by an Independent CPA Analysis</w:t>
            </w:r>
            <w:r>
              <w:rPr>
                <w:noProof/>
                <w:webHidden/>
              </w:rPr>
              <w:tab/>
            </w:r>
            <w:r>
              <w:rPr>
                <w:noProof/>
                <w:webHidden/>
              </w:rPr>
              <w:fldChar w:fldCharType="begin"/>
            </w:r>
            <w:r>
              <w:rPr>
                <w:noProof/>
                <w:webHidden/>
              </w:rPr>
              <w:instrText xml:space="preserve"> PAGEREF _Toc223963000 \h </w:instrText>
            </w:r>
            <w:r>
              <w:rPr>
                <w:noProof/>
                <w:webHidden/>
              </w:rPr>
            </w:r>
            <w:r>
              <w:rPr>
                <w:noProof/>
                <w:webHidden/>
              </w:rPr>
              <w:fldChar w:fldCharType="separate"/>
            </w:r>
            <w:r>
              <w:rPr>
                <w:noProof/>
                <w:webHidden/>
              </w:rPr>
              <w:t>50</w:t>
            </w:r>
            <w:r>
              <w:rPr>
                <w:noProof/>
                <w:webHidden/>
              </w:rPr>
              <w:fldChar w:fldCharType="end"/>
            </w:r>
          </w:hyperlink>
        </w:p>
        <w:p w14:paraId="57668461" w14:textId="1BDB61F0" w:rsidR="00834664" w:rsidRDefault="00834664">
          <w:pPr>
            <w:pStyle w:val="TOC1"/>
            <w:tabs>
              <w:tab w:val="right" w:leader="dot" w:pos="10390"/>
            </w:tabs>
            <w:rPr>
              <w:rFonts w:asciiTheme="minorHAnsi" w:eastAsiaTheme="minorEastAsia" w:hAnsiTheme="minorHAnsi" w:cstheme="minorBidi"/>
              <w:noProof/>
              <w:kern w:val="2"/>
              <w:szCs w:val="24"/>
              <w14:ligatures w14:val="standardContextual"/>
            </w:rPr>
          </w:pPr>
          <w:hyperlink w:anchor="_Toc223963001" w:history="1">
            <w:r w:rsidRPr="006836AC">
              <w:rPr>
                <w:rStyle w:val="Hyperlink"/>
                <w:noProof/>
              </w:rPr>
              <w:t>Factor 5: Assessment of the Proposed Project’s Relative Merit</w:t>
            </w:r>
            <w:r>
              <w:rPr>
                <w:noProof/>
                <w:webHidden/>
              </w:rPr>
              <w:tab/>
            </w:r>
            <w:r>
              <w:rPr>
                <w:noProof/>
                <w:webHidden/>
              </w:rPr>
              <w:fldChar w:fldCharType="begin"/>
            </w:r>
            <w:r>
              <w:rPr>
                <w:noProof/>
                <w:webHidden/>
              </w:rPr>
              <w:instrText xml:space="preserve"> PAGEREF _Toc223963001 \h </w:instrText>
            </w:r>
            <w:r>
              <w:rPr>
                <w:noProof/>
                <w:webHidden/>
              </w:rPr>
            </w:r>
            <w:r>
              <w:rPr>
                <w:noProof/>
                <w:webHidden/>
              </w:rPr>
              <w:fldChar w:fldCharType="separate"/>
            </w:r>
            <w:r>
              <w:rPr>
                <w:noProof/>
                <w:webHidden/>
              </w:rPr>
              <w:t>53</w:t>
            </w:r>
            <w:r>
              <w:rPr>
                <w:noProof/>
                <w:webHidden/>
              </w:rPr>
              <w:fldChar w:fldCharType="end"/>
            </w:r>
          </w:hyperlink>
        </w:p>
        <w:p w14:paraId="12F15DAD" w14:textId="6C0E5DDB" w:rsidR="00834664" w:rsidRDefault="00834664">
          <w:pPr>
            <w:pStyle w:val="TOC1"/>
            <w:tabs>
              <w:tab w:val="right" w:leader="dot" w:pos="10390"/>
            </w:tabs>
            <w:rPr>
              <w:rFonts w:asciiTheme="minorHAnsi" w:eastAsiaTheme="minorEastAsia" w:hAnsiTheme="minorHAnsi" w:cstheme="minorBidi"/>
              <w:noProof/>
              <w:kern w:val="2"/>
              <w:szCs w:val="24"/>
              <w14:ligatures w14:val="standardContextual"/>
            </w:rPr>
          </w:pPr>
          <w:hyperlink w:anchor="_Toc223963002" w:history="1">
            <w:r w:rsidRPr="006836AC">
              <w:rPr>
                <w:rStyle w:val="Hyperlink"/>
                <w:noProof/>
              </w:rPr>
              <w:t>Factor 6: Fulfillment of DPH Community-based Health Initiatives Guideline</w:t>
            </w:r>
            <w:r>
              <w:rPr>
                <w:noProof/>
                <w:webHidden/>
              </w:rPr>
              <w:tab/>
            </w:r>
            <w:r>
              <w:rPr>
                <w:noProof/>
                <w:webHidden/>
              </w:rPr>
              <w:fldChar w:fldCharType="begin"/>
            </w:r>
            <w:r>
              <w:rPr>
                <w:noProof/>
                <w:webHidden/>
              </w:rPr>
              <w:instrText xml:space="preserve"> PAGEREF _Toc223963002 \h </w:instrText>
            </w:r>
            <w:r>
              <w:rPr>
                <w:noProof/>
                <w:webHidden/>
              </w:rPr>
            </w:r>
            <w:r>
              <w:rPr>
                <w:noProof/>
                <w:webHidden/>
              </w:rPr>
              <w:fldChar w:fldCharType="separate"/>
            </w:r>
            <w:r>
              <w:rPr>
                <w:noProof/>
                <w:webHidden/>
              </w:rPr>
              <w:t>56</w:t>
            </w:r>
            <w:r>
              <w:rPr>
                <w:noProof/>
                <w:webHidden/>
              </w:rPr>
              <w:fldChar w:fldCharType="end"/>
            </w:r>
          </w:hyperlink>
        </w:p>
        <w:p w14:paraId="50A3608E" w14:textId="1A581886" w:rsidR="00834664" w:rsidRDefault="00834664">
          <w:pPr>
            <w:pStyle w:val="TOC1"/>
            <w:tabs>
              <w:tab w:val="right" w:leader="dot" w:pos="10390"/>
            </w:tabs>
            <w:rPr>
              <w:rFonts w:asciiTheme="minorHAnsi" w:eastAsiaTheme="minorEastAsia" w:hAnsiTheme="minorHAnsi" w:cstheme="minorBidi"/>
              <w:noProof/>
              <w:kern w:val="2"/>
              <w:szCs w:val="24"/>
              <w14:ligatures w14:val="standardContextual"/>
            </w:rPr>
          </w:pPr>
          <w:hyperlink w:anchor="_Toc223963003" w:history="1">
            <w:r w:rsidRPr="006836AC">
              <w:rPr>
                <w:rStyle w:val="Hyperlink"/>
                <w:noProof/>
              </w:rPr>
              <w:t>Public Comments on the Application</w:t>
            </w:r>
            <w:r>
              <w:rPr>
                <w:noProof/>
                <w:webHidden/>
              </w:rPr>
              <w:tab/>
            </w:r>
            <w:r>
              <w:rPr>
                <w:noProof/>
                <w:webHidden/>
              </w:rPr>
              <w:fldChar w:fldCharType="begin"/>
            </w:r>
            <w:r>
              <w:rPr>
                <w:noProof/>
                <w:webHidden/>
              </w:rPr>
              <w:instrText xml:space="preserve"> PAGEREF _Toc223963003 \h </w:instrText>
            </w:r>
            <w:r>
              <w:rPr>
                <w:noProof/>
                <w:webHidden/>
              </w:rPr>
            </w:r>
            <w:r>
              <w:rPr>
                <w:noProof/>
                <w:webHidden/>
              </w:rPr>
              <w:fldChar w:fldCharType="separate"/>
            </w:r>
            <w:r>
              <w:rPr>
                <w:noProof/>
                <w:webHidden/>
              </w:rPr>
              <w:t>57</w:t>
            </w:r>
            <w:r>
              <w:rPr>
                <w:noProof/>
                <w:webHidden/>
              </w:rPr>
              <w:fldChar w:fldCharType="end"/>
            </w:r>
          </w:hyperlink>
        </w:p>
        <w:p w14:paraId="26BC15F5" w14:textId="76B6375F" w:rsidR="00834664" w:rsidRDefault="00834664">
          <w:pPr>
            <w:pStyle w:val="TOC1"/>
            <w:tabs>
              <w:tab w:val="right" w:leader="dot" w:pos="10390"/>
            </w:tabs>
            <w:rPr>
              <w:rFonts w:asciiTheme="minorHAnsi" w:eastAsiaTheme="minorEastAsia" w:hAnsiTheme="minorHAnsi" w:cstheme="minorBidi"/>
              <w:noProof/>
              <w:kern w:val="2"/>
              <w:szCs w:val="24"/>
              <w14:ligatures w14:val="standardContextual"/>
            </w:rPr>
          </w:pPr>
          <w:hyperlink w:anchor="_Toc223963004" w:history="1">
            <w:r w:rsidRPr="006836AC">
              <w:rPr>
                <w:rStyle w:val="Hyperlink"/>
                <w:noProof/>
              </w:rPr>
              <w:t>Findings and Recommendations</w:t>
            </w:r>
            <w:r>
              <w:rPr>
                <w:noProof/>
                <w:webHidden/>
              </w:rPr>
              <w:tab/>
            </w:r>
            <w:r>
              <w:rPr>
                <w:noProof/>
                <w:webHidden/>
              </w:rPr>
              <w:fldChar w:fldCharType="begin"/>
            </w:r>
            <w:r>
              <w:rPr>
                <w:noProof/>
                <w:webHidden/>
              </w:rPr>
              <w:instrText xml:space="preserve"> PAGEREF _Toc223963004 \h </w:instrText>
            </w:r>
            <w:r>
              <w:rPr>
                <w:noProof/>
                <w:webHidden/>
              </w:rPr>
            </w:r>
            <w:r>
              <w:rPr>
                <w:noProof/>
                <w:webHidden/>
              </w:rPr>
              <w:fldChar w:fldCharType="separate"/>
            </w:r>
            <w:r>
              <w:rPr>
                <w:noProof/>
                <w:webHidden/>
              </w:rPr>
              <w:t>57</w:t>
            </w:r>
            <w:r>
              <w:rPr>
                <w:noProof/>
                <w:webHidden/>
              </w:rPr>
              <w:fldChar w:fldCharType="end"/>
            </w:r>
          </w:hyperlink>
        </w:p>
        <w:p w14:paraId="18A320D6" w14:textId="3FF82363" w:rsidR="00834664" w:rsidRDefault="00834664">
          <w:pPr>
            <w:pStyle w:val="TOC1"/>
            <w:tabs>
              <w:tab w:val="right" w:leader="dot" w:pos="10390"/>
            </w:tabs>
            <w:rPr>
              <w:rFonts w:asciiTheme="minorHAnsi" w:eastAsiaTheme="minorEastAsia" w:hAnsiTheme="minorHAnsi" w:cstheme="minorBidi"/>
              <w:noProof/>
              <w:kern w:val="2"/>
              <w:szCs w:val="24"/>
              <w14:ligatures w14:val="standardContextual"/>
            </w:rPr>
          </w:pPr>
          <w:hyperlink w:anchor="_Toc223963005" w:history="1">
            <w:r w:rsidRPr="006836AC">
              <w:rPr>
                <w:rStyle w:val="Hyperlink"/>
                <w:noProof/>
              </w:rPr>
              <w:t>Other Conditions</w:t>
            </w:r>
            <w:r>
              <w:rPr>
                <w:noProof/>
                <w:webHidden/>
              </w:rPr>
              <w:tab/>
            </w:r>
            <w:r>
              <w:rPr>
                <w:noProof/>
                <w:webHidden/>
              </w:rPr>
              <w:fldChar w:fldCharType="begin"/>
            </w:r>
            <w:r>
              <w:rPr>
                <w:noProof/>
                <w:webHidden/>
              </w:rPr>
              <w:instrText xml:space="preserve"> PAGEREF _Toc223963005 \h </w:instrText>
            </w:r>
            <w:r>
              <w:rPr>
                <w:noProof/>
                <w:webHidden/>
              </w:rPr>
            </w:r>
            <w:r>
              <w:rPr>
                <w:noProof/>
                <w:webHidden/>
              </w:rPr>
              <w:fldChar w:fldCharType="separate"/>
            </w:r>
            <w:r>
              <w:rPr>
                <w:noProof/>
                <w:webHidden/>
              </w:rPr>
              <w:t>58</w:t>
            </w:r>
            <w:r>
              <w:rPr>
                <w:noProof/>
                <w:webHidden/>
              </w:rPr>
              <w:fldChar w:fldCharType="end"/>
            </w:r>
          </w:hyperlink>
        </w:p>
        <w:p w14:paraId="452F7A7F" w14:textId="19F591F7" w:rsidR="00834664" w:rsidRDefault="00834664">
          <w:pPr>
            <w:pStyle w:val="TOC1"/>
            <w:tabs>
              <w:tab w:val="right" w:leader="dot" w:pos="10390"/>
            </w:tabs>
            <w:rPr>
              <w:rFonts w:asciiTheme="minorHAnsi" w:eastAsiaTheme="minorEastAsia" w:hAnsiTheme="minorHAnsi" w:cstheme="minorBidi"/>
              <w:noProof/>
              <w:kern w:val="2"/>
              <w:szCs w:val="24"/>
              <w14:ligatures w14:val="standardContextual"/>
            </w:rPr>
          </w:pPr>
          <w:hyperlink w:anchor="_Toc223963006" w:history="1">
            <w:r w:rsidRPr="006836AC">
              <w:rPr>
                <w:rStyle w:val="Hyperlink"/>
                <w:noProof/>
              </w:rPr>
              <w:t>APPENDIX I: Outcome Measures</w:t>
            </w:r>
            <w:r>
              <w:rPr>
                <w:noProof/>
                <w:webHidden/>
              </w:rPr>
              <w:tab/>
            </w:r>
            <w:r>
              <w:rPr>
                <w:noProof/>
                <w:webHidden/>
              </w:rPr>
              <w:fldChar w:fldCharType="begin"/>
            </w:r>
            <w:r>
              <w:rPr>
                <w:noProof/>
                <w:webHidden/>
              </w:rPr>
              <w:instrText xml:space="preserve"> PAGEREF _Toc223963006 \h </w:instrText>
            </w:r>
            <w:r>
              <w:rPr>
                <w:noProof/>
                <w:webHidden/>
              </w:rPr>
            </w:r>
            <w:r>
              <w:rPr>
                <w:noProof/>
                <w:webHidden/>
              </w:rPr>
              <w:fldChar w:fldCharType="separate"/>
            </w:r>
            <w:r>
              <w:rPr>
                <w:noProof/>
                <w:webHidden/>
              </w:rPr>
              <w:t>61</w:t>
            </w:r>
            <w:r>
              <w:rPr>
                <w:noProof/>
                <w:webHidden/>
              </w:rPr>
              <w:fldChar w:fldCharType="end"/>
            </w:r>
          </w:hyperlink>
        </w:p>
        <w:p w14:paraId="497B4249" w14:textId="3D6E914B" w:rsidR="00834664" w:rsidRDefault="00834664">
          <w:pPr>
            <w:pStyle w:val="TOC1"/>
            <w:tabs>
              <w:tab w:val="right" w:leader="dot" w:pos="10390"/>
            </w:tabs>
            <w:rPr>
              <w:rFonts w:asciiTheme="minorHAnsi" w:eastAsiaTheme="minorEastAsia" w:hAnsiTheme="minorHAnsi" w:cstheme="minorBidi"/>
              <w:noProof/>
              <w:kern w:val="2"/>
              <w:szCs w:val="24"/>
              <w14:ligatures w14:val="standardContextual"/>
            </w:rPr>
          </w:pPr>
          <w:hyperlink w:anchor="_Toc223963007" w:history="1">
            <w:r w:rsidRPr="006836AC">
              <w:rPr>
                <w:rStyle w:val="Hyperlink"/>
                <w:noProof/>
              </w:rPr>
              <w:t>Appendix II: Speakers at the Public Hearing</w:t>
            </w:r>
            <w:r>
              <w:rPr>
                <w:noProof/>
                <w:webHidden/>
              </w:rPr>
              <w:tab/>
            </w:r>
            <w:r>
              <w:rPr>
                <w:noProof/>
                <w:webHidden/>
              </w:rPr>
              <w:fldChar w:fldCharType="begin"/>
            </w:r>
            <w:r>
              <w:rPr>
                <w:noProof/>
                <w:webHidden/>
              </w:rPr>
              <w:instrText xml:space="preserve"> PAGEREF _Toc223963007 \h </w:instrText>
            </w:r>
            <w:r>
              <w:rPr>
                <w:noProof/>
                <w:webHidden/>
              </w:rPr>
            </w:r>
            <w:r>
              <w:rPr>
                <w:noProof/>
                <w:webHidden/>
              </w:rPr>
              <w:fldChar w:fldCharType="separate"/>
            </w:r>
            <w:r>
              <w:rPr>
                <w:noProof/>
                <w:webHidden/>
              </w:rPr>
              <w:t>62</w:t>
            </w:r>
            <w:r>
              <w:rPr>
                <w:noProof/>
                <w:webHidden/>
              </w:rPr>
              <w:fldChar w:fldCharType="end"/>
            </w:r>
          </w:hyperlink>
        </w:p>
        <w:p w14:paraId="18AAD6CB" w14:textId="108AA384" w:rsidR="00834664" w:rsidRDefault="00834664">
          <w:pPr>
            <w:pStyle w:val="TOC1"/>
            <w:tabs>
              <w:tab w:val="right" w:leader="dot" w:pos="10390"/>
            </w:tabs>
            <w:rPr>
              <w:rFonts w:asciiTheme="minorHAnsi" w:eastAsiaTheme="minorEastAsia" w:hAnsiTheme="minorHAnsi" w:cstheme="minorBidi"/>
              <w:noProof/>
              <w:kern w:val="2"/>
              <w:szCs w:val="24"/>
              <w14:ligatures w14:val="standardContextual"/>
            </w:rPr>
          </w:pPr>
          <w:hyperlink w:anchor="_Toc223963008" w:history="1">
            <w:r w:rsidRPr="006836AC">
              <w:rPr>
                <w:rStyle w:val="Hyperlink"/>
                <w:noProof/>
              </w:rPr>
              <w:t>Appendix III: Written Commenters</w:t>
            </w:r>
            <w:r>
              <w:rPr>
                <w:noProof/>
                <w:webHidden/>
              </w:rPr>
              <w:tab/>
            </w:r>
            <w:r>
              <w:rPr>
                <w:noProof/>
                <w:webHidden/>
              </w:rPr>
              <w:fldChar w:fldCharType="begin"/>
            </w:r>
            <w:r>
              <w:rPr>
                <w:noProof/>
                <w:webHidden/>
              </w:rPr>
              <w:instrText xml:space="preserve"> PAGEREF _Toc223963008 \h </w:instrText>
            </w:r>
            <w:r>
              <w:rPr>
                <w:noProof/>
                <w:webHidden/>
              </w:rPr>
            </w:r>
            <w:r>
              <w:rPr>
                <w:noProof/>
                <w:webHidden/>
              </w:rPr>
              <w:fldChar w:fldCharType="separate"/>
            </w:r>
            <w:r>
              <w:rPr>
                <w:noProof/>
                <w:webHidden/>
              </w:rPr>
              <w:t>63</w:t>
            </w:r>
            <w:r>
              <w:rPr>
                <w:noProof/>
                <w:webHidden/>
              </w:rPr>
              <w:fldChar w:fldCharType="end"/>
            </w:r>
          </w:hyperlink>
        </w:p>
        <w:p w14:paraId="6CFEEF47" w14:textId="3B49040C" w:rsidR="00834664" w:rsidRDefault="00834664">
          <w:pPr>
            <w:pStyle w:val="TOC1"/>
            <w:tabs>
              <w:tab w:val="right" w:leader="dot" w:pos="10390"/>
            </w:tabs>
            <w:rPr>
              <w:rFonts w:asciiTheme="minorHAnsi" w:eastAsiaTheme="minorEastAsia" w:hAnsiTheme="minorHAnsi" w:cstheme="minorBidi"/>
              <w:noProof/>
              <w:kern w:val="2"/>
              <w:szCs w:val="24"/>
              <w14:ligatures w14:val="standardContextual"/>
            </w:rPr>
          </w:pPr>
          <w:hyperlink w:anchor="_Toc223963009" w:history="1">
            <w:r w:rsidRPr="006836AC">
              <w:rPr>
                <w:rStyle w:val="Hyperlink"/>
                <w:noProof/>
              </w:rPr>
              <w:t>Appendix IV: Summary of Comments</w:t>
            </w:r>
            <w:r>
              <w:rPr>
                <w:noProof/>
                <w:webHidden/>
              </w:rPr>
              <w:tab/>
            </w:r>
            <w:r>
              <w:rPr>
                <w:noProof/>
                <w:webHidden/>
              </w:rPr>
              <w:fldChar w:fldCharType="begin"/>
            </w:r>
            <w:r>
              <w:rPr>
                <w:noProof/>
                <w:webHidden/>
              </w:rPr>
              <w:instrText xml:space="preserve"> PAGEREF _Toc223963009 \h </w:instrText>
            </w:r>
            <w:r>
              <w:rPr>
                <w:noProof/>
                <w:webHidden/>
              </w:rPr>
            </w:r>
            <w:r>
              <w:rPr>
                <w:noProof/>
                <w:webHidden/>
              </w:rPr>
              <w:fldChar w:fldCharType="separate"/>
            </w:r>
            <w:r>
              <w:rPr>
                <w:noProof/>
                <w:webHidden/>
              </w:rPr>
              <w:t>65</w:t>
            </w:r>
            <w:r>
              <w:rPr>
                <w:noProof/>
                <w:webHidden/>
              </w:rPr>
              <w:fldChar w:fldCharType="end"/>
            </w:r>
          </w:hyperlink>
        </w:p>
        <w:p w14:paraId="0B2E6637" w14:textId="0E0D9449" w:rsidR="00834664" w:rsidRDefault="00834664">
          <w:pPr>
            <w:pStyle w:val="TOC1"/>
            <w:tabs>
              <w:tab w:val="right" w:leader="dot" w:pos="10390"/>
            </w:tabs>
            <w:rPr>
              <w:rFonts w:asciiTheme="minorHAnsi" w:eastAsiaTheme="minorEastAsia" w:hAnsiTheme="minorHAnsi" w:cstheme="minorBidi"/>
              <w:noProof/>
              <w:kern w:val="2"/>
              <w:szCs w:val="24"/>
              <w14:ligatures w14:val="standardContextual"/>
            </w:rPr>
          </w:pPr>
          <w:hyperlink w:anchor="_Toc223963010" w:history="1">
            <w:r w:rsidRPr="006836AC">
              <w:rPr>
                <w:rStyle w:val="Hyperlink"/>
                <w:noProof/>
              </w:rPr>
              <w:t>Appendix V: TTGs Overview</w:t>
            </w:r>
            <w:r>
              <w:rPr>
                <w:noProof/>
                <w:webHidden/>
              </w:rPr>
              <w:tab/>
            </w:r>
            <w:r>
              <w:rPr>
                <w:noProof/>
                <w:webHidden/>
              </w:rPr>
              <w:fldChar w:fldCharType="begin"/>
            </w:r>
            <w:r>
              <w:rPr>
                <w:noProof/>
                <w:webHidden/>
              </w:rPr>
              <w:instrText xml:space="preserve"> PAGEREF _Toc223963010 \h </w:instrText>
            </w:r>
            <w:r>
              <w:rPr>
                <w:noProof/>
                <w:webHidden/>
              </w:rPr>
            </w:r>
            <w:r>
              <w:rPr>
                <w:noProof/>
                <w:webHidden/>
              </w:rPr>
              <w:fldChar w:fldCharType="separate"/>
            </w:r>
            <w:r>
              <w:rPr>
                <w:noProof/>
                <w:webHidden/>
              </w:rPr>
              <w:t>66</w:t>
            </w:r>
            <w:r>
              <w:rPr>
                <w:noProof/>
                <w:webHidden/>
              </w:rPr>
              <w:fldChar w:fldCharType="end"/>
            </w:r>
          </w:hyperlink>
        </w:p>
        <w:p w14:paraId="0E14035B" w14:textId="7277D5D2" w:rsidR="00834664" w:rsidRDefault="00834664">
          <w:pPr>
            <w:pStyle w:val="TOC1"/>
            <w:tabs>
              <w:tab w:val="right" w:leader="dot" w:pos="10390"/>
            </w:tabs>
            <w:rPr>
              <w:rFonts w:asciiTheme="minorHAnsi" w:eastAsiaTheme="minorEastAsia" w:hAnsiTheme="minorHAnsi" w:cstheme="minorBidi"/>
              <w:noProof/>
              <w:kern w:val="2"/>
              <w:szCs w:val="24"/>
              <w14:ligatures w14:val="standardContextual"/>
            </w:rPr>
          </w:pPr>
          <w:hyperlink w:anchor="_Toc223963011" w:history="1">
            <w:r w:rsidRPr="006836AC">
              <w:rPr>
                <w:rStyle w:val="Hyperlink"/>
                <w:noProof/>
              </w:rPr>
              <w:t>REFERENCES</w:t>
            </w:r>
            <w:r>
              <w:rPr>
                <w:noProof/>
                <w:webHidden/>
              </w:rPr>
              <w:tab/>
            </w:r>
            <w:r>
              <w:rPr>
                <w:noProof/>
                <w:webHidden/>
              </w:rPr>
              <w:fldChar w:fldCharType="begin"/>
            </w:r>
            <w:r>
              <w:rPr>
                <w:noProof/>
                <w:webHidden/>
              </w:rPr>
              <w:instrText xml:space="preserve"> PAGEREF _Toc223963011 \h </w:instrText>
            </w:r>
            <w:r>
              <w:rPr>
                <w:noProof/>
                <w:webHidden/>
              </w:rPr>
            </w:r>
            <w:r>
              <w:rPr>
                <w:noProof/>
                <w:webHidden/>
              </w:rPr>
              <w:fldChar w:fldCharType="separate"/>
            </w:r>
            <w:r>
              <w:rPr>
                <w:noProof/>
                <w:webHidden/>
              </w:rPr>
              <w:t>67</w:t>
            </w:r>
            <w:r>
              <w:rPr>
                <w:noProof/>
                <w:webHidden/>
              </w:rPr>
              <w:fldChar w:fldCharType="end"/>
            </w:r>
          </w:hyperlink>
        </w:p>
        <w:p w14:paraId="0675CDB9" w14:textId="30D17674" w:rsidR="008650F2" w:rsidRPr="004D5540" w:rsidRDefault="008650F2">
          <w:pPr>
            <w:rPr>
              <w:rFonts w:asciiTheme="minorHAnsi" w:hAnsiTheme="minorHAnsi"/>
              <w:szCs w:val="24"/>
            </w:rPr>
          </w:pPr>
          <w:r w:rsidRPr="004D5540">
            <w:rPr>
              <w:rFonts w:asciiTheme="minorHAnsi" w:hAnsiTheme="minorHAnsi"/>
              <w:b/>
              <w:bCs/>
              <w:noProof/>
              <w:szCs w:val="24"/>
            </w:rPr>
            <w:fldChar w:fldCharType="end"/>
          </w:r>
        </w:p>
      </w:sdtContent>
    </w:sdt>
    <w:p w14:paraId="71FF1976" w14:textId="77777777" w:rsidR="00B447F3" w:rsidRPr="003436F0" w:rsidRDefault="00B447F3">
      <w:pPr>
        <w:rPr>
          <w:rFonts w:asciiTheme="minorHAnsi" w:hAnsiTheme="minorHAnsi"/>
        </w:rPr>
        <w:sectPr w:rsidR="00B447F3" w:rsidRPr="003436F0" w:rsidSect="001831DE">
          <w:pgSz w:w="12240" w:h="15840"/>
          <w:pgMar w:top="1360" w:right="980" w:bottom="1120" w:left="860" w:header="0" w:footer="937" w:gutter="0"/>
          <w:cols w:space="720"/>
        </w:sectPr>
      </w:pPr>
    </w:p>
    <w:p w14:paraId="1CB62EF1" w14:textId="6A589EC6" w:rsidR="004D6D60" w:rsidRDefault="00A4110F" w:rsidP="004D6D60">
      <w:pPr>
        <w:pStyle w:val="Heading1"/>
        <w:ind w:left="0"/>
        <w:rPr>
          <w:rFonts w:asciiTheme="minorHAnsi" w:hAnsiTheme="minorHAnsi"/>
          <w:color w:val="1F497D" w:themeColor="text2"/>
        </w:rPr>
      </w:pPr>
      <w:bookmarkStart w:id="0" w:name="Background:_Emerson_Endoscopy_and_Digest"/>
      <w:bookmarkStart w:id="1" w:name="_Toc223962988"/>
      <w:bookmarkEnd w:id="0"/>
      <w:r w:rsidRPr="00C515CE">
        <w:rPr>
          <w:rFonts w:asciiTheme="minorHAnsi" w:hAnsiTheme="minorHAnsi"/>
          <w:color w:val="1F497D" w:themeColor="text2"/>
        </w:rPr>
        <w:lastRenderedPageBreak/>
        <w:t>Background</w:t>
      </w:r>
      <w:r w:rsidR="00C44A75">
        <w:rPr>
          <w:rFonts w:asciiTheme="minorHAnsi" w:hAnsiTheme="minorHAnsi"/>
          <w:color w:val="1F497D" w:themeColor="text2"/>
        </w:rPr>
        <w:t xml:space="preserve"> </w:t>
      </w:r>
      <w:r w:rsidRPr="00C515CE">
        <w:rPr>
          <w:rFonts w:asciiTheme="minorHAnsi" w:hAnsiTheme="minorHAnsi"/>
          <w:color w:val="1F497D" w:themeColor="text2"/>
        </w:rPr>
        <w:t>and Application Overview</w:t>
      </w:r>
      <w:bookmarkEnd w:id="1"/>
    </w:p>
    <w:p w14:paraId="190C1AFE" w14:textId="77777777" w:rsidR="004D6D60" w:rsidRDefault="004D6D60" w:rsidP="007760D9"/>
    <w:p w14:paraId="0F1F1640" w14:textId="10B05FD2" w:rsidR="00784ED9" w:rsidRPr="00784ED9" w:rsidRDefault="00784ED9" w:rsidP="007760D9">
      <w:pPr>
        <w:rPr>
          <w:b/>
          <w:bCs/>
        </w:rPr>
      </w:pPr>
      <w:r w:rsidRPr="00784ED9">
        <w:rPr>
          <w:b/>
          <w:bCs/>
        </w:rPr>
        <w:t>Dana-Farber Cancer Institute, Inc. (Applicant)</w:t>
      </w:r>
    </w:p>
    <w:p w14:paraId="4CCF5C56" w14:textId="3191BFD6" w:rsidR="001564F2" w:rsidRDefault="00D55F06" w:rsidP="00BA7775">
      <w:r>
        <w:t>Dana-Farber Cancer Institute, Inc. (</w:t>
      </w:r>
      <w:r w:rsidR="00704F43">
        <w:t>DFCI</w:t>
      </w:r>
      <w:r>
        <w:t xml:space="preserve"> or Applicant)</w:t>
      </w:r>
      <w:r w:rsidR="002531C4">
        <w:t xml:space="preserve"> </w:t>
      </w:r>
      <w:r w:rsidR="00D80C93">
        <w:t xml:space="preserve">is </w:t>
      </w:r>
      <w:r>
        <w:t>a</w:t>
      </w:r>
      <w:r w:rsidR="00E54F94">
        <w:t xml:space="preserve"> </w:t>
      </w:r>
      <w:r w:rsidR="00C642EF">
        <w:t xml:space="preserve">nonprofit, </w:t>
      </w:r>
      <w:r>
        <w:t xml:space="preserve">acute care </w:t>
      </w:r>
      <w:r w:rsidR="00C642EF">
        <w:t xml:space="preserve">cancer </w:t>
      </w:r>
      <w:r w:rsidR="007C5536">
        <w:t>hospital</w:t>
      </w:r>
      <w:r w:rsidR="004F7E95">
        <w:t xml:space="preserve"> and research institute</w:t>
      </w:r>
      <w:r w:rsidR="007C5536">
        <w:t xml:space="preserve"> dedicated to pediatric and adult cancer treatment and research</w:t>
      </w:r>
      <w:r w:rsidR="00D80C93">
        <w:t>.</w:t>
      </w:r>
      <w:r w:rsidR="00C642EF" w:rsidRPr="00C642EF">
        <w:rPr>
          <w:vertAlign w:val="superscript"/>
        </w:rPr>
        <w:endnoteReference w:id="2"/>
      </w:r>
      <w:r w:rsidR="00D80C93">
        <w:t xml:space="preserve"> </w:t>
      </w:r>
      <w:r w:rsidR="00994C22">
        <w:t>DFCI’s</w:t>
      </w:r>
      <w:r w:rsidR="008C3AA0" w:rsidRPr="008B2F77">
        <w:t xml:space="preserve"> main campus</w:t>
      </w:r>
      <w:r w:rsidR="0068258E">
        <w:t xml:space="preserve">, located </w:t>
      </w:r>
      <w:r w:rsidR="008C3AA0" w:rsidRPr="008B2F77">
        <w:t xml:space="preserve">in </w:t>
      </w:r>
      <w:r w:rsidR="00F9585F">
        <w:t xml:space="preserve">the </w:t>
      </w:r>
      <w:r w:rsidR="008C3AA0" w:rsidRPr="008B2F77">
        <w:t>Longwood Medical Area</w:t>
      </w:r>
      <w:r w:rsidR="0005140E">
        <w:t xml:space="preserve"> of Boston</w:t>
      </w:r>
      <w:r w:rsidR="0068258E">
        <w:t>,</w:t>
      </w:r>
      <w:r w:rsidR="008C3AA0" w:rsidRPr="008B2F77">
        <w:t xml:space="preserve"> provides care for adult and pediatric </w:t>
      </w:r>
      <w:r w:rsidR="00B61444" w:rsidRPr="008B2F77">
        <w:t>patients with cancer</w:t>
      </w:r>
      <w:r w:rsidR="008C3AA0" w:rsidRPr="008B2F77">
        <w:t>.</w:t>
      </w:r>
      <w:r w:rsidR="00276459" w:rsidRPr="008B2F77">
        <w:t xml:space="preserve"> </w:t>
      </w:r>
      <w:r w:rsidR="00BA7775">
        <w:t xml:space="preserve">The </w:t>
      </w:r>
      <w:r w:rsidR="00BA7775" w:rsidRPr="00214F1E">
        <w:t>Applicant provides outpatient care at its main campus as well as at numerous satellite locations</w:t>
      </w:r>
      <w:r w:rsidR="00206013">
        <w:t xml:space="preserve"> under its license</w:t>
      </w:r>
      <w:r w:rsidR="00BA7775" w:rsidRPr="00214F1E">
        <w:t>.</w:t>
      </w:r>
      <w:r w:rsidR="00BA7775" w:rsidRPr="00214F1E">
        <w:rPr>
          <w:rStyle w:val="FootnoteReference"/>
        </w:rPr>
        <w:footnoteReference w:id="2"/>
      </w:r>
      <w:r w:rsidR="00BA7775">
        <w:t xml:space="preserve"> </w:t>
      </w:r>
      <w:r w:rsidR="00B96F5D">
        <w:t>Dana-Farber/Harvard Cancer Center (DF/HCC), a collaboration of academic medical institutions and Harvard Schools, is one of 57 National Cancer Institute (NCI)-Designated Comprehensive Cancer Centers</w:t>
      </w:r>
      <w:r w:rsidR="00B96F5D" w:rsidRPr="00B96F5D">
        <w:rPr>
          <w:vertAlign w:val="superscript"/>
        </w:rPr>
        <w:footnoteReference w:id="3"/>
      </w:r>
      <w:r w:rsidR="00B96F5D">
        <w:t>, and is the only NCI-Designated Comprehensive Cancer Center in New England.</w:t>
      </w:r>
      <w:r w:rsidR="00B96F5D" w:rsidRPr="00B96F5D">
        <w:rPr>
          <w:vertAlign w:val="superscript"/>
        </w:rPr>
        <w:endnoteReference w:id="3"/>
      </w:r>
      <w:r w:rsidR="00B96F5D" w:rsidRPr="77470F0C">
        <w:rPr>
          <w:vertAlign w:val="superscript"/>
        </w:rPr>
        <w:t>,</w:t>
      </w:r>
      <w:r w:rsidR="00B96F5D" w:rsidRPr="00B96F5D">
        <w:rPr>
          <w:vertAlign w:val="superscript"/>
        </w:rPr>
        <w:endnoteReference w:id="4"/>
      </w:r>
    </w:p>
    <w:p w14:paraId="62353722" w14:textId="77777777" w:rsidR="001564F2" w:rsidRPr="00994C22" w:rsidRDefault="001564F2" w:rsidP="00BA7775">
      <w:pPr>
        <w:rPr>
          <w:b/>
          <w:bCs/>
        </w:rPr>
      </w:pPr>
    </w:p>
    <w:p w14:paraId="76A45877" w14:textId="0B8D2AE7" w:rsidR="00C94FCA" w:rsidRPr="00C13A4A" w:rsidRDefault="00C94FCA" w:rsidP="00C94FCA">
      <w:r>
        <w:t>The</w:t>
      </w:r>
      <w:r w:rsidRPr="002D3A26">
        <w:t xml:space="preserve"> Applicant </w:t>
      </w:r>
      <w:r>
        <w:t>and</w:t>
      </w:r>
      <w:r w:rsidRPr="002D3A26">
        <w:t xml:space="preserve"> The Children’s Hospital Corporation (Boston Children’s Hospital</w:t>
      </w:r>
      <w:r>
        <w:t xml:space="preserve"> or BCH</w:t>
      </w:r>
      <w:r w:rsidRPr="002D3A26">
        <w:t>)</w:t>
      </w:r>
      <w:r>
        <w:t xml:space="preserve"> have been collaborating since 1947 to provide comprehensive, integrated care for children with cancer and blood disorders.</w:t>
      </w:r>
      <w:r w:rsidRPr="002D3A26">
        <w:t xml:space="preserve"> </w:t>
      </w:r>
      <w:r>
        <w:t xml:space="preserve">Together, the Applicant and BCH provide pediatric oncology care across the cancer care continuum. The Applicant’s clinicians work alongside BCH clinicians, to treat patients in BCH beds. </w:t>
      </w:r>
    </w:p>
    <w:p w14:paraId="082B5A3D" w14:textId="77777777" w:rsidR="001848DA" w:rsidRDefault="001848DA" w:rsidP="00BA2054">
      <w:pPr>
        <w:rPr>
          <w:b/>
          <w:bCs/>
        </w:rPr>
      </w:pPr>
    </w:p>
    <w:p w14:paraId="73EB18A2" w14:textId="0686A22F" w:rsidR="00EC585F" w:rsidRDefault="00EC585F" w:rsidP="00EC585F">
      <w:r>
        <w:t xml:space="preserve">As part of its clinical collaboration with </w:t>
      </w:r>
      <w:r w:rsidRPr="00877B05">
        <w:t>Beth Israel Deaconess Medical Center (BIDMC</w:t>
      </w:r>
      <w:r>
        <w:t>) and</w:t>
      </w:r>
      <w:r w:rsidRPr="00877B05">
        <w:t xml:space="preserve"> Harvard Medical Faculty Physicians at BIDMC (HMFP)</w:t>
      </w:r>
      <w:r w:rsidR="001564F2">
        <w:t>,</w:t>
      </w:r>
      <w:r>
        <w:t xml:space="preserve"> </w:t>
      </w:r>
      <w:r w:rsidR="001564F2">
        <w:t>the Applicant is</w:t>
      </w:r>
      <w:r>
        <w:t xml:space="preserve"> continuing to coordinate in the planning and development of the</w:t>
      </w:r>
      <w:r w:rsidRPr="00C642EF">
        <w:t xml:space="preserve"> new </w:t>
      </w:r>
      <w:r>
        <w:t xml:space="preserve">freestanding, inpatient hospital (Future Cancer Hospital or FCH) that received DoN approval in March 2025. The Applicant does not anticipate that the clinical affiliation with BIDMC and HFMP will have any effect on the Proposed Project or its associated need projections. </w:t>
      </w:r>
    </w:p>
    <w:p w14:paraId="406C4A74" w14:textId="77777777" w:rsidR="000C1A2E" w:rsidRDefault="000C1A2E" w:rsidP="00BA2054">
      <w:pPr>
        <w:rPr>
          <w:b/>
          <w:bCs/>
        </w:rPr>
      </w:pPr>
    </w:p>
    <w:p w14:paraId="38015343" w14:textId="225C74BE" w:rsidR="00B447F3" w:rsidRPr="004D6D60" w:rsidRDefault="00A4110F" w:rsidP="00BA2054">
      <w:pPr>
        <w:rPr>
          <w:rFonts w:asciiTheme="minorHAnsi" w:hAnsiTheme="minorHAnsi"/>
          <w:b/>
          <w:bCs/>
          <w:color w:val="1F497D" w:themeColor="text2"/>
        </w:rPr>
      </w:pPr>
      <w:r w:rsidRPr="004D6D60">
        <w:rPr>
          <w:b/>
          <w:bCs/>
        </w:rPr>
        <w:t>Application Overview</w:t>
      </w:r>
    </w:p>
    <w:p w14:paraId="7997F0E9" w14:textId="0871BECB" w:rsidR="00AA39D8" w:rsidRPr="00AA39D8" w:rsidRDefault="00E65AB1" w:rsidP="00AA39D8">
      <w:r>
        <w:t xml:space="preserve">The </w:t>
      </w:r>
      <w:r w:rsidR="00374BA6">
        <w:t>Proposed Project includes</w:t>
      </w:r>
      <w:r w:rsidR="00832385">
        <w:t xml:space="preserve"> </w:t>
      </w:r>
      <w:r w:rsidR="00AA39D8">
        <w:t xml:space="preserve">the construction of an approximately 4,500 square-foot proton </w:t>
      </w:r>
      <w:r w:rsidR="00361134">
        <w:t xml:space="preserve">beam </w:t>
      </w:r>
      <w:r w:rsidR="00AA39D8">
        <w:t>therapy</w:t>
      </w:r>
      <w:r w:rsidR="00361134">
        <w:t xml:space="preserve"> (PBT)</w:t>
      </w:r>
      <w:r w:rsidR="00AA39D8">
        <w:t xml:space="preserve"> center (the Center), servicing adult and pediatric patients, to be located at 35 Binney Street, Boston, M</w:t>
      </w:r>
      <w:r w:rsidR="00505443">
        <w:t>A</w:t>
      </w:r>
      <w:r w:rsidR="00495B8D">
        <w:t>.</w:t>
      </w:r>
      <w:r w:rsidR="00AA39D8">
        <w:t xml:space="preserve"> The </w:t>
      </w:r>
      <w:r w:rsidR="00F71027">
        <w:t>Applicant</w:t>
      </w:r>
      <w:r w:rsidR="007E43DB">
        <w:t xml:space="preserve"> is </w:t>
      </w:r>
      <w:r w:rsidR="00F71027">
        <w:t>seek</w:t>
      </w:r>
      <w:r w:rsidR="007E43DB">
        <w:t>ing</w:t>
      </w:r>
      <w:r w:rsidR="00F71027">
        <w:t xml:space="preserve"> to </w:t>
      </w:r>
      <w:r w:rsidR="007E43DB">
        <w:t xml:space="preserve">establish </w:t>
      </w:r>
      <w:r w:rsidR="00F71027">
        <w:t>PBT services</w:t>
      </w:r>
      <w:r w:rsidR="007E43DB">
        <w:t xml:space="preserve"> </w:t>
      </w:r>
      <w:r w:rsidR="00F71027">
        <w:t>through</w:t>
      </w:r>
      <w:r w:rsidR="00AA39D8">
        <w:t xml:space="preserve"> </w:t>
      </w:r>
      <w:r w:rsidR="00F71027">
        <w:t xml:space="preserve">the </w:t>
      </w:r>
      <w:r w:rsidR="00AA39D8">
        <w:t>Center</w:t>
      </w:r>
      <w:r w:rsidR="007E43DB">
        <w:t>,</w:t>
      </w:r>
      <w:r w:rsidR="00AA39D8">
        <w:t xml:space="preserve"> </w:t>
      </w:r>
      <w:r w:rsidR="00F71027">
        <w:t>which</w:t>
      </w:r>
      <w:r w:rsidR="00AA39D8">
        <w:t xml:space="preserve"> will include the following:</w:t>
      </w:r>
    </w:p>
    <w:p w14:paraId="550225EF" w14:textId="6F6D9A69" w:rsidR="00AA39D8" w:rsidRPr="00AA39D8" w:rsidRDefault="00AA39D8">
      <w:pPr>
        <w:numPr>
          <w:ilvl w:val="0"/>
          <w:numId w:val="3"/>
        </w:numPr>
      </w:pPr>
      <w:r w:rsidRPr="00AA39D8">
        <w:t>A</w:t>
      </w:r>
      <w:r w:rsidR="00CF0607">
        <w:t xml:space="preserve">n </w:t>
      </w:r>
      <w:r w:rsidRPr="00AA39D8">
        <w:t xml:space="preserve">upright single-gantry proton therapy system with a dedicated accelerator which includes a computed tomography (CT) scanner for image-guidance; </w:t>
      </w:r>
    </w:p>
    <w:p w14:paraId="4E763570" w14:textId="58330995" w:rsidR="00AA39D8" w:rsidRPr="00AA39D8" w:rsidRDefault="00AA39D8">
      <w:pPr>
        <w:numPr>
          <w:ilvl w:val="0"/>
          <w:numId w:val="3"/>
        </w:numPr>
      </w:pPr>
      <w:r w:rsidRPr="00AA39D8">
        <w:t>A</w:t>
      </w:r>
      <w:r w:rsidR="00774AD2">
        <w:t xml:space="preserve"> separate</w:t>
      </w:r>
      <w:r w:rsidRPr="00AA39D8">
        <w:t xml:space="preserve"> vertical CT for simulation and treatment planning; and </w:t>
      </w:r>
    </w:p>
    <w:p w14:paraId="27ECEDF1" w14:textId="77777777" w:rsidR="00AA39D8" w:rsidRPr="00AA39D8" w:rsidRDefault="00AA39D8">
      <w:pPr>
        <w:numPr>
          <w:ilvl w:val="0"/>
          <w:numId w:val="3"/>
        </w:numPr>
      </w:pPr>
      <w:r w:rsidRPr="00AA39D8">
        <w:t>Clinical and administrative spaces.</w:t>
      </w:r>
    </w:p>
    <w:p w14:paraId="312B7588" w14:textId="77777777" w:rsidR="00FB52FC" w:rsidRDefault="00FB52FC" w:rsidP="008B624B"/>
    <w:p w14:paraId="4CD8AD63" w14:textId="72434D34" w:rsidR="008B624B" w:rsidRDefault="00FB52FC" w:rsidP="008B624B">
      <w:r w:rsidRPr="00FB52FC">
        <w:lastRenderedPageBreak/>
        <w:t>The DoN-</w:t>
      </w:r>
      <w:r w:rsidR="00C61D01">
        <w:t>r</w:t>
      </w:r>
      <w:r w:rsidRPr="00FB52FC">
        <w:t xml:space="preserve">equired Equipment and Services Guidelines categorize </w:t>
      </w:r>
      <w:r w:rsidR="00361134">
        <w:t>PBT</w:t>
      </w:r>
      <w:r w:rsidRPr="00FB52FC">
        <w:t xml:space="preserve"> as megavoltage radiation therapy</w:t>
      </w:r>
      <w:r w:rsidR="009D360B">
        <w:t xml:space="preserve"> (MRT)</w:t>
      </w:r>
      <w:r w:rsidRPr="00FB52FC">
        <w:t>, a DoN-Required Service</w:t>
      </w:r>
      <w:r>
        <w:t>, and</w:t>
      </w:r>
      <w:r w:rsidRPr="00FB52FC">
        <w:t xml:space="preserve"> list CT scanners as DoN-</w:t>
      </w:r>
      <w:r w:rsidR="00C61D01">
        <w:t>r</w:t>
      </w:r>
      <w:r w:rsidRPr="00FB52FC">
        <w:t>equired Equipment.</w:t>
      </w:r>
    </w:p>
    <w:p w14:paraId="208E4ED1" w14:textId="77777777" w:rsidR="001828AA" w:rsidRPr="00B730B7" w:rsidRDefault="001828AA" w:rsidP="008B624B"/>
    <w:p w14:paraId="440F9785" w14:textId="4EC363E2" w:rsidR="0079133F" w:rsidRDefault="00391F1B" w:rsidP="00BA2054">
      <w:r>
        <w:t>Table 1 provides an overview of the Proposed Project.</w:t>
      </w:r>
      <w:r w:rsidR="00E84B81">
        <w:rPr>
          <w:rStyle w:val="FootnoteReference"/>
        </w:rPr>
        <w:footnoteReference w:id="4"/>
      </w:r>
    </w:p>
    <w:p w14:paraId="746D382A" w14:textId="77777777" w:rsidR="00DE7CC7" w:rsidRDefault="00DE7CC7" w:rsidP="00BA2054"/>
    <w:p w14:paraId="1E5F4574" w14:textId="1B953D45" w:rsidR="00DE7CC7" w:rsidRPr="00DE7CC7" w:rsidRDefault="00DE7CC7" w:rsidP="00BA2054">
      <w:pPr>
        <w:rPr>
          <w:b/>
          <w:bCs/>
        </w:rPr>
      </w:pPr>
      <w:r w:rsidRPr="00DE7CC7">
        <w:rPr>
          <w:b/>
          <w:bCs/>
          <w:u w:val="single"/>
        </w:rPr>
        <w:t>Table 1</w:t>
      </w:r>
      <w:r w:rsidRPr="00DE7CC7">
        <w:rPr>
          <w:b/>
          <w:bCs/>
        </w:rPr>
        <w:t>: Overview of the Proposed Project</w:t>
      </w:r>
    </w:p>
    <w:tbl>
      <w:tblPr>
        <w:tblStyle w:val="TableGrid"/>
        <w:tblW w:w="0" w:type="auto"/>
        <w:tblLook w:val="04A0" w:firstRow="1" w:lastRow="0" w:firstColumn="1" w:lastColumn="0" w:noHBand="0" w:noVBand="1"/>
      </w:tblPr>
      <w:tblGrid>
        <w:gridCol w:w="1580"/>
        <w:gridCol w:w="1741"/>
        <w:gridCol w:w="2262"/>
        <w:gridCol w:w="1999"/>
      </w:tblGrid>
      <w:tr w:rsidR="00142EE4" w:rsidRPr="00DE7CC7" w14:paraId="4B4CEAA6" w14:textId="77777777" w:rsidTr="00694316">
        <w:trPr>
          <w:cantSplit/>
          <w:tblHeader/>
        </w:trPr>
        <w:tc>
          <w:tcPr>
            <w:tcW w:w="0" w:type="auto"/>
          </w:tcPr>
          <w:p w14:paraId="64F12F4A" w14:textId="77777777" w:rsidR="00142EE4" w:rsidRPr="00DE7CC7" w:rsidRDefault="00142EE4" w:rsidP="00BA2054">
            <w:pPr>
              <w:rPr>
                <w:sz w:val="22"/>
                <w:szCs w:val="22"/>
              </w:rPr>
            </w:pPr>
          </w:p>
        </w:tc>
        <w:tc>
          <w:tcPr>
            <w:tcW w:w="0" w:type="auto"/>
            <w:shd w:val="clear" w:color="auto" w:fill="DBE5F1" w:themeFill="accent1" w:themeFillTint="33"/>
          </w:tcPr>
          <w:p w14:paraId="7B6E28CF" w14:textId="77777777" w:rsidR="00561111" w:rsidRDefault="00142EE4" w:rsidP="00DE7CC7">
            <w:pPr>
              <w:jc w:val="center"/>
              <w:rPr>
                <w:b/>
                <w:bCs/>
                <w:sz w:val="22"/>
                <w:szCs w:val="22"/>
              </w:rPr>
            </w:pPr>
            <w:r w:rsidRPr="00DE7CC7">
              <w:rPr>
                <w:b/>
                <w:bCs/>
                <w:sz w:val="22"/>
                <w:szCs w:val="22"/>
              </w:rPr>
              <w:t xml:space="preserve">Total Number at </w:t>
            </w:r>
          </w:p>
          <w:p w14:paraId="13B01DBA" w14:textId="5C8BD4C3" w:rsidR="00142EE4" w:rsidRPr="00DE7CC7" w:rsidRDefault="00142EE4" w:rsidP="00DE7CC7">
            <w:pPr>
              <w:jc w:val="center"/>
              <w:rPr>
                <w:b/>
                <w:bCs/>
                <w:sz w:val="22"/>
                <w:szCs w:val="22"/>
              </w:rPr>
            </w:pPr>
            <w:r w:rsidRPr="00DE7CC7">
              <w:rPr>
                <w:b/>
                <w:bCs/>
                <w:sz w:val="22"/>
                <w:szCs w:val="22"/>
              </w:rPr>
              <w:t>Current Location</w:t>
            </w:r>
          </w:p>
        </w:tc>
        <w:tc>
          <w:tcPr>
            <w:tcW w:w="0" w:type="auto"/>
            <w:shd w:val="clear" w:color="auto" w:fill="DBE5F1" w:themeFill="accent1" w:themeFillTint="33"/>
          </w:tcPr>
          <w:p w14:paraId="1664EB09" w14:textId="77777777" w:rsidR="00561111" w:rsidRDefault="00142EE4" w:rsidP="00DE7CC7">
            <w:pPr>
              <w:jc w:val="center"/>
              <w:rPr>
                <w:b/>
                <w:bCs/>
                <w:sz w:val="22"/>
                <w:szCs w:val="22"/>
              </w:rPr>
            </w:pPr>
            <w:r w:rsidRPr="00DE7CC7">
              <w:rPr>
                <w:b/>
                <w:bCs/>
                <w:sz w:val="22"/>
                <w:szCs w:val="22"/>
              </w:rPr>
              <w:t xml:space="preserve">Number of New at the </w:t>
            </w:r>
          </w:p>
          <w:p w14:paraId="0973081B" w14:textId="4C208396" w:rsidR="00DE7CC7" w:rsidRDefault="00142EE4" w:rsidP="00DE7CC7">
            <w:pPr>
              <w:jc w:val="center"/>
              <w:rPr>
                <w:b/>
                <w:bCs/>
                <w:sz w:val="22"/>
                <w:szCs w:val="22"/>
              </w:rPr>
            </w:pPr>
            <w:r w:rsidRPr="00DE7CC7">
              <w:rPr>
                <w:b/>
                <w:bCs/>
                <w:sz w:val="22"/>
                <w:szCs w:val="22"/>
              </w:rPr>
              <w:t>Proposed Site</w:t>
            </w:r>
          </w:p>
          <w:p w14:paraId="66711500" w14:textId="70E12C72" w:rsidR="00142EE4" w:rsidRPr="00DE7CC7" w:rsidRDefault="00142EE4" w:rsidP="00DE7CC7">
            <w:pPr>
              <w:jc w:val="center"/>
              <w:rPr>
                <w:b/>
                <w:bCs/>
                <w:sz w:val="22"/>
                <w:szCs w:val="22"/>
              </w:rPr>
            </w:pPr>
            <w:r w:rsidRPr="00DE7CC7">
              <w:rPr>
                <w:b/>
                <w:bCs/>
                <w:sz w:val="22"/>
                <w:szCs w:val="22"/>
              </w:rPr>
              <w:t xml:space="preserve"> (the Center)</w:t>
            </w:r>
          </w:p>
        </w:tc>
        <w:tc>
          <w:tcPr>
            <w:tcW w:w="0" w:type="auto"/>
            <w:shd w:val="clear" w:color="auto" w:fill="DBE5F1" w:themeFill="accent1" w:themeFillTint="33"/>
          </w:tcPr>
          <w:p w14:paraId="3B227FD1" w14:textId="77777777" w:rsidR="00DE7CC7" w:rsidRDefault="00142EE4" w:rsidP="00DE7CC7">
            <w:pPr>
              <w:jc w:val="center"/>
              <w:rPr>
                <w:b/>
                <w:bCs/>
                <w:sz w:val="22"/>
                <w:szCs w:val="22"/>
              </w:rPr>
            </w:pPr>
            <w:r w:rsidRPr="00DE7CC7">
              <w:rPr>
                <w:b/>
                <w:bCs/>
                <w:sz w:val="22"/>
                <w:szCs w:val="22"/>
              </w:rPr>
              <w:t xml:space="preserve">Total Number After </w:t>
            </w:r>
          </w:p>
          <w:p w14:paraId="1B3F9631" w14:textId="1D0A9C7F" w:rsidR="00142EE4" w:rsidRPr="00DE7CC7" w:rsidRDefault="00142EE4" w:rsidP="00DE7CC7">
            <w:pPr>
              <w:jc w:val="center"/>
              <w:rPr>
                <w:b/>
                <w:bCs/>
                <w:sz w:val="22"/>
                <w:szCs w:val="22"/>
              </w:rPr>
            </w:pPr>
            <w:r w:rsidRPr="00DE7CC7">
              <w:rPr>
                <w:b/>
                <w:bCs/>
                <w:sz w:val="22"/>
                <w:szCs w:val="22"/>
              </w:rPr>
              <w:t>Project Completion</w:t>
            </w:r>
          </w:p>
        </w:tc>
      </w:tr>
      <w:tr w:rsidR="00142EE4" w:rsidRPr="00DE7CC7" w14:paraId="4AC96C72" w14:textId="77777777" w:rsidTr="00FC6851">
        <w:trPr>
          <w:cantSplit/>
        </w:trPr>
        <w:tc>
          <w:tcPr>
            <w:tcW w:w="0" w:type="auto"/>
          </w:tcPr>
          <w:p w14:paraId="60D2CAD4" w14:textId="63C7EB11" w:rsidR="00142EE4" w:rsidRPr="00DE7CC7" w:rsidRDefault="00695ABB" w:rsidP="00BA2054">
            <w:pPr>
              <w:rPr>
                <w:sz w:val="22"/>
                <w:szCs w:val="22"/>
              </w:rPr>
            </w:pPr>
            <w:r>
              <w:rPr>
                <w:sz w:val="22"/>
                <w:szCs w:val="22"/>
              </w:rPr>
              <w:t>PBT</w:t>
            </w:r>
            <w:r w:rsidR="00142EE4" w:rsidRPr="00DE7CC7">
              <w:rPr>
                <w:sz w:val="22"/>
                <w:szCs w:val="22"/>
              </w:rPr>
              <w:t xml:space="preserve"> System</w:t>
            </w:r>
          </w:p>
        </w:tc>
        <w:tc>
          <w:tcPr>
            <w:tcW w:w="0" w:type="auto"/>
          </w:tcPr>
          <w:p w14:paraId="11BC0FC5" w14:textId="2A8A017F" w:rsidR="00142EE4" w:rsidRPr="00DE7CC7" w:rsidRDefault="00DE7CC7" w:rsidP="00DE7CC7">
            <w:pPr>
              <w:jc w:val="center"/>
              <w:rPr>
                <w:sz w:val="22"/>
                <w:szCs w:val="22"/>
              </w:rPr>
            </w:pPr>
            <w:r w:rsidRPr="00DE7CC7">
              <w:rPr>
                <w:sz w:val="22"/>
                <w:szCs w:val="22"/>
              </w:rPr>
              <w:t>0</w:t>
            </w:r>
          </w:p>
        </w:tc>
        <w:tc>
          <w:tcPr>
            <w:tcW w:w="0" w:type="auto"/>
          </w:tcPr>
          <w:p w14:paraId="76B5A97E" w14:textId="364830E5" w:rsidR="00142EE4" w:rsidRPr="00DE7CC7" w:rsidRDefault="00DE7CC7" w:rsidP="00DE7CC7">
            <w:pPr>
              <w:jc w:val="center"/>
              <w:rPr>
                <w:sz w:val="22"/>
                <w:szCs w:val="22"/>
              </w:rPr>
            </w:pPr>
            <w:r w:rsidRPr="00DE7CC7">
              <w:rPr>
                <w:sz w:val="22"/>
                <w:szCs w:val="22"/>
              </w:rPr>
              <w:t>1</w:t>
            </w:r>
          </w:p>
        </w:tc>
        <w:tc>
          <w:tcPr>
            <w:tcW w:w="0" w:type="auto"/>
          </w:tcPr>
          <w:p w14:paraId="32343811" w14:textId="332C708C" w:rsidR="00142EE4" w:rsidRPr="00DE7CC7" w:rsidRDefault="00DE7CC7" w:rsidP="00DE7CC7">
            <w:pPr>
              <w:jc w:val="center"/>
              <w:rPr>
                <w:sz w:val="22"/>
                <w:szCs w:val="22"/>
              </w:rPr>
            </w:pPr>
            <w:r w:rsidRPr="00DE7CC7">
              <w:rPr>
                <w:sz w:val="22"/>
                <w:szCs w:val="22"/>
              </w:rPr>
              <w:t>1</w:t>
            </w:r>
          </w:p>
        </w:tc>
      </w:tr>
      <w:tr w:rsidR="00142EE4" w:rsidRPr="00DE7CC7" w14:paraId="1B47C980" w14:textId="77777777" w:rsidTr="00FC6851">
        <w:trPr>
          <w:cantSplit/>
        </w:trPr>
        <w:tc>
          <w:tcPr>
            <w:tcW w:w="0" w:type="auto"/>
          </w:tcPr>
          <w:p w14:paraId="2C521FF1" w14:textId="463B38D5" w:rsidR="00142EE4" w:rsidRPr="00DE7CC7" w:rsidRDefault="00142EE4" w:rsidP="00BA2054">
            <w:pPr>
              <w:rPr>
                <w:sz w:val="22"/>
                <w:szCs w:val="22"/>
              </w:rPr>
            </w:pPr>
            <w:r w:rsidRPr="00DE7CC7">
              <w:rPr>
                <w:sz w:val="22"/>
                <w:szCs w:val="22"/>
              </w:rPr>
              <w:t>Vertical CT unit</w:t>
            </w:r>
          </w:p>
        </w:tc>
        <w:tc>
          <w:tcPr>
            <w:tcW w:w="0" w:type="auto"/>
          </w:tcPr>
          <w:p w14:paraId="65A021D0" w14:textId="0B682B0C" w:rsidR="00142EE4" w:rsidRPr="00DE7CC7" w:rsidRDefault="00DE7CC7" w:rsidP="00DE7CC7">
            <w:pPr>
              <w:jc w:val="center"/>
              <w:rPr>
                <w:sz w:val="22"/>
                <w:szCs w:val="22"/>
              </w:rPr>
            </w:pPr>
            <w:r w:rsidRPr="00DE7CC7">
              <w:rPr>
                <w:sz w:val="22"/>
                <w:szCs w:val="22"/>
              </w:rPr>
              <w:t>0</w:t>
            </w:r>
          </w:p>
        </w:tc>
        <w:tc>
          <w:tcPr>
            <w:tcW w:w="0" w:type="auto"/>
          </w:tcPr>
          <w:p w14:paraId="4B3E0A6B" w14:textId="0A888A40" w:rsidR="00142EE4" w:rsidRPr="00DE7CC7" w:rsidRDefault="00DE7CC7" w:rsidP="00DE7CC7">
            <w:pPr>
              <w:jc w:val="center"/>
              <w:rPr>
                <w:sz w:val="22"/>
                <w:szCs w:val="22"/>
              </w:rPr>
            </w:pPr>
            <w:r w:rsidRPr="00DE7CC7">
              <w:rPr>
                <w:sz w:val="22"/>
                <w:szCs w:val="22"/>
              </w:rPr>
              <w:t>1</w:t>
            </w:r>
          </w:p>
        </w:tc>
        <w:tc>
          <w:tcPr>
            <w:tcW w:w="0" w:type="auto"/>
          </w:tcPr>
          <w:p w14:paraId="26228D41" w14:textId="4AE686A5" w:rsidR="00142EE4" w:rsidRPr="00DE7CC7" w:rsidRDefault="00DE7CC7" w:rsidP="00DE7CC7">
            <w:pPr>
              <w:jc w:val="center"/>
              <w:rPr>
                <w:sz w:val="22"/>
                <w:szCs w:val="22"/>
              </w:rPr>
            </w:pPr>
            <w:r w:rsidRPr="00DE7CC7">
              <w:rPr>
                <w:sz w:val="22"/>
                <w:szCs w:val="22"/>
              </w:rPr>
              <w:t>1</w:t>
            </w:r>
          </w:p>
        </w:tc>
      </w:tr>
    </w:tbl>
    <w:p w14:paraId="6A185ADE" w14:textId="77777777" w:rsidR="008B624B" w:rsidRDefault="008B624B" w:rsidP="00BA2054"/>
    <w:p w14:paraId="341841D9" w14:textId="256BE281" w:rsidR="00EB1EA4" w:rsidRDefault="4890DE66" w:rsidP="00E469E6">
      <w:r>
        <w:t xml:space="preserve">The Applicant is proposing to construct and operate a new </w:t>
      </w:r>
      <w:r w:rsidR="117603D7">
        <w:t>PBT</w:t>
      </w:r>
      <w:r>
        <w:t xml:space="preserve"> </w:t>
      </w:r>
      <w:r w:rsidR="04731F52">
        <w:t>system</w:t>
      </w:r>
      <w:r>
        <w:t xml:space="preserve"> on the Applicant’s campus in Boston in order to provide patients</w:t>
      </w:r>
      <w:r w:rsidR="004D29BB">
        <w:t xml:space="preserve"> who would </w:t>
      </w:r>
      <w:r w:rsidR="00B21013">
        <w:t>benefit from PBT</w:t>
      </w:r>
      <w:r>
        <w:t xml:space="preserve">, such as pediatric </w:t>
      </w:r>
      <w:r w:rsidR="4582A992">
        <w:t>patients</w:t>
      </w:r>
      <w:r w:rsidR="00A1429D">
        <w:t xml:space="preserve"> with solid tumors</w:t>
      </w:r>
      <w:r>
        <w:t>, with “the most effective treatment options, improved health outcomes, and enhanced quality of life.”</w:t>
      </w:r>
      <w:r w:rsidR="562525BA">
        <w:t xml:space="preserve"> </w:t>
      </w:r>
      <w:r w:rsidR="0438F315">
        <w:t xml:space="preserve">The Applicant cites the comparative benefits of PBT relative to </w:t>
      </w:r>
      <w:r w:rsidR="14F94A23">
        <w:t>traditional</w:t>
      </w:r>
      <w:r w:rsidR="0438F315">
        <w:t xml:space="preserve"> </w:t>
      </w:r>
      <w:r w:rsidR="14F94A23">
        <w:t xml:space="preserve">photon-based </w:t>
      </w:r>
      <w:r w:rsidR="0438F315">
        <w:t>radiatio</w:t>
      </w:r>
      <w:r w:rsidR="562525BA">
        <w:t>n therapy (RT)</w:t>
      </w:r>
      <w:r w:rsidR="0438F315">
        <w:t>, due to its ability to deliver radiation in a more localized region, while reducing the integral dose to normal tissue making PBT particularly useful in the treatment of pediatric cancers, certain types of adult cancers, and the preferred treatment for oncology patients requiring re-irradiation.</w:t>
      </w:r>
      <w:r w:rsidR="25374EAF">
        <w:t xml:space="preserve"> </w:t>
      </w:r>
    </w:p>
    <w:p w14:paraId="05B77A7C" w14:textId="77777777" w:rsidR="00EB1EA4" w:rsidRDefault="00EB1EA4" w:rsidP="00E469E6"/>
    <w:p w14:paraId="6F011A3F" w14:textId="3F7937F4" w:rsidR="00E469E6" w:rsidRPr="00E469E6" w:rsidRDefault="52C11F31" w:rsidP="00E469E6">
      <w:r>
        <w:t xml:space="preserve">The </w:t>
      </w:r>
      <w:r w:rsidR="4FF977AA">
        <w:t xml:space="preserve">Applicant states that it recognized for a significant portion of </w:t>
      </w:r>
      <w:r w:rsidR="1A846839">
        <w:t>Massachusetts</w:t>
      </w:r>
      <w:r w:rsidR="4FF977AA">
        <w:t xml:space="preserve"> residents diagnosed with cancer, </w:t>
      </w:r>
      <w:r w:rsidR="1CEEB82E">
        <w:t>PBT</w:t>
      </w:r>
      <w:r w:rsidR="4FF977AA">
        <w:t xml:space="preserve"> is the most clinically appropriate course of treatment</w:t>
      </w:r>
      <w:r w:rsidR="79D4B56F">
        <w:t xml:space="preserve">. </w:t>
      </w:r>
      <w:r w:rsidR="00D4E0AC">
        <w:t>However</w:t>
      </w:r>
      <w:r>
        <w:t>,</w:t>
      </w:r>
      <w:r w:rsidR="00EB1EA4">
        <w:t xml:space="preserve"> </w:t>
      </w:r>
      <w:r w:rsidR="00020143">
        <w:t>t</w:t>
      </w:r>
      <w:r w:rsidR="00E469E6" w:rsidRPr="00E469E6">
        <w:t xml:space="preserve">he Applicant states that </w:t>
      </w:r>
      <w:r w:rsidR="00494CB4">
        <w:t xml:space="preserve">with only one PBT </w:t>
      </w:r>
      <w:r w:rsidR="00096814">
        <w:t xml:space="preserve">system </w:t>
      </w:r>
      <w:r w:rsidR="00494CB4">
        <w:t xml:space="preserve">currently operating in Massachusetts, </w:t>
      </w:r>
      <w:r w:rsidR="00E469E6" w:rsidRPr="00E469E6">
        <w:t xml:space="preserve">many </w:t>
      </w:r>
      <w:r w:rsidR="00840D16">
        <w:t xml:space="preserve">of the Applicant’s </w:t>
      </w:r>
      <w:r w:rsidR="00E469E6" w:rsidRPr="00E469E6">
        <w:t xml:space="preserve">pediatric and adult patients </w:t>
      </w:r>
      <w:r w:rsidR="00840D16">
        <w:t>report that they are unable to</w:t>
      </w:r>
      <w:r w:rsidR="00840D16" w:rsidRPr="00E469E6">
        <w:t xml:space="preserve"> </w:t>
      </w:r>
      <w:r w:rsidR="00E469E6" w:rsidRPr="00E469E6">
        <w:t xml:space="preserve">access </w:t>
      </w:r>
      <w:r w:rsidR="00494CB4">
        <w:t>PBT</w:t>
      </w:r>
      <w:r w:rsidR="00E469E6" w:rsidRPr="00E469E6">
        <w:t xml:space="preserve"> in Massachusetts because of insufficient </w:t>
      </w:r>
      <w:r w:rsidR="00494CB4">
        <w:t>capacity</w:t>
      </w:r>
      <w:r w:rsidR="00E469E6" w:rsidRPr="00E469E6">
        <w:t xml:space="preserve"> to meet the current need. As a result, some patients travel out of state to access </w:t>
      </w:r>
      <w:r w:rsidR="00B26FE8">
        <w:t>PBT</w:t>
      </w:r>
      <w:r w:rsidR="00E469E6" w:rsidRPr="00E469E6">
        <w:t xml:space="preserve">, while others forgo </w:t>
      </w:r>
      <w:r w:rsidR="00B26FE8">
        <w:t>PBT altogether</w:t>
      </w:r>
      <w:r w:rsidR="00E469E6" w:rsidRPr="00E469E6">
        <w:t xml:space="preserve">. The Applicant states that when its patients travel elsewhere to receive </w:t>
      </w:r>
      <w:r w:rsidR="006D44ED">
        <w:t>PBT</w:t>
      </w:r>
      <w:r w:rsidR="00E469E6" w:rsidRPr="00E469E6">
        <w:t xml:space="preserve">, it displaces them from their primary care team and clinical setting for </w:t>
      </w:r>
      <w:r w:rsidR="007D3B2D">
        <w:t>weeks or months</w:t>
      </w:r>
      <w:r w:rsidR="00C61D01">
        <w:t xml:space="preserve"> at a time</w:t>
      </w:r>
      <w:r w:rsidR="00E469E6" w:rsidRPr="00E469E6">
        <w:t>, which is stressful for children and families, often leads to treatment delays, and puts patients at risk for communication errors in transferring care. Traveling elsewhere to receive</w:t>
      </w:r>
      <w:r w:rsidR="006D44ED">
        <w:t xml:space="preserve"> PBT</w:t>
      </w:r>
      <w:r w:rsidR="00E469E6" w:rsidRPr="00E469E6">
        <w:t xml:space="preserve"> is </w:t>
      </w:r>
      <w:r w:rsidR="006D44ED">
        <w:t xml:space="preserve">also </w:t>
      </w:r>
      <w:r w:rsidR="00E469E6" w:rsidRPr="00E469E6">
        <w:t xml:space="preserve">not feasible for very sick children, is </w:t>
      </w:r>
      <w:r w:rsidR="005D619F" w:rsidRPr="00E469E6">
        <w:t>too</w:t>
      </w:r>
      <w:r w:rsidR="00E469E6" w:rsidRPr="00E469E6">
        <w:t xml:space="preserve"> </w:t>
      </w:r>
      <w:r w:rsidR="00623DE7">
        <w:t xml:space="preserve">emotionally </w:t>
      </w:r>
      <w:r w:rsidR="00E469E6" w:rsidRPr="00E469E6">
        <w:t>stressful for some families that would need to leave their support systems</w:t>
      </w:r>
      <w:r w:rsidR="00A10659">
        <w:t xml:space="preserve">, </w:t>
      </w:r>
      <w:r w:rsidR="00CE6A1A">
        <w:t>and</w:t>
      </w:r>
      <w:r w:rsidR="00E469E6" w:rsidRPr="00E469E6">
        <w:t xml:space="preserve"> can pose a financial and logistical burden which can be insurmountable. </w:t>
      </w:r>
    </w:p>
    <w:p w14:paraId="4284781F" w14:textId="77777777" w:rsidR="00E469E6" w:rsidRDefault="00E469E6" w:rsidP="00A73DE6"/>
    <w:p w14:paraId="4D9362CF" w14:textId="3DB1835E" w:rsidR="004B1EBD" w:rsidRDefault="00187A17" w:rsidP="004B1EBD">
      <w:r w:rsidRPr="00187A17">
        <w:t xml:space="preserve">The Applicant is proposing the first </w:t>
      </w:r>
      <w:r w:rsidR="00CA0D78">
        <w:t>PBT</w:t>
      </w:r>
      <w:r w:rsidRPr="00187A17">
        <w:t xml:space="preserve"> </w:t>
      </w:r>
      <w:r w:rsidR="00E731B5">
        <w:t>C</w:t>
      </w:r>
      <w:r w:rsidRPr="00187A17">
        <w:t>enter in Massachusetts with upright patient rotation.</w:t>
      </w:r>
      <w:r w:rsidR="00B01AAC">
        <w:t xml:space="preserve"> </w:t>
      </w:r>
      <w:r w:rsidR="00F945C6">
        <w:t xml:space="preserve">PBT will be delivered to patients in a seated or </w:t>
      </w:r>
      <w:r w:rsidR="004245A5">
        <w:t xml:space="preserve">inclined position, where the patient moves around the beam rather than moving </w:t>
      </w:r>
      <w:r w:rsidR="00713CAD">
        <w:t xml:space="preserve">the beam </w:t>
      </w:r>
      <w:r w:rsidR="004245A5">
        <w:t>around</w:t>
      </w:r>
      <w:r w:rsidR="000A7BB8">
        <w:t xml:space="preserve"> a supine patient </w:t>
      </w:r>
      <w:r w:rsidR="004245A5">
        <w:t xml:space="preserve">as is the case with </w:t>
      </w:r>
      <w:r w:rsidR="0011706E">
        <w:t>standard</w:t>
      </w:r>
      <w:r w:rsidR="004245A5">
        <w:t xml:space="preserve"> PBT. </w:t>
      </w:r>
      <w:r w:rsidR="00391DB5" w:rsidRPr="00391DB5">
        <w:t xml:space="preserve">The </w:t>
      </w:r>
      <w:r w:rsidR="00E777DF">
        <w:t xml:space="preserve">Applicant states that the </w:t>
      </w:r>
      <w:r w:rsidR="00391DB5" w:rsidRPr="00391DB5">
        <w:t xml:space="preserve">upright position </w:t>
      </w:r>
      <w:r w:rsidR="0081685A">
        <w:t xml:space="preserve">may </w:t>
      </w:r>
      <w:r w:rsidR="00391DB5" w:rsidRPr="00391DB5">
        <w:t xml:space="preserve">decrease the need for daily sedation through </w:t>
      </w:r>
      <w:r w:rsidR="00391DB5" w:rsidRPr="00391DB5">
        <w:lastRenderedPageBreak/>
        <w:t>distraction techniques</w:t>
      </w:r>
      <w:r w:rsidR="001B0722">
        <w:rPr>
          <w:rStyle w:val="FootnoteReference"/>
        </w:rPr>
        <w:footnoteReference w:id="5"/>
      </w:r>
      <w:r w:rsidR="003951B2">
        <w:t>,</w:t>
      </w:r>
      <w:r w:rsidR="00391DB5" w:rsidRPr="00391DB5">
        <w:t xml:space="preserve"> </w:t>
      </w:r>
      <w:r w:rsidR="003951B2" w:rsidRPr="003951B2">
        <w:t>reduce anxiety for pediatric and adult patients, improve scheduling efficiency</w:t>
      </w:r>
      <w:r w:rsidR="003951B2">
        <w:t xml:space="preserve">, </w:t>
      </w:r>
      <w:r w:rsidR="00391DB5" w:rsidRPr="00391DB5">
        <w:t>and reduce time required for treatment</w:t>
      </w:r>
      <w:r w:rsidR="00391DB5">
        <w:t xml:space="preserve">. </w:t>
      </w:r>
      <w:r w:rsidR="00E56888">
        <w:t>Additionally,</w:t>
      </w:r>
      <w:r w:rsidRPr="00187A17">
        <w:t xml:space="preserve"> upright </w:t>
      </w:r>
      <w:r w:rsidR="00973CB7">
        <w:t xml:space="preserve">PBT </w:t>
      </w:r>
      <w:r w:rsidRPr="00187A17">
        <w:t xml:space="preserve">treatment allows for the Center to be small enough to be located on the Applicant’s </w:t>
      </w:r>
      <w:r w:rsidR="00F60F99">
        <w:t>c</w:t>
      </w:r>
      <w:r w:rsidRPr="00187A17">
        <w:t>ampus</w:t>
      </w:r>
      <w:r w:rsidR="00062AD5">
        <w:t xml:space="preserve"> in the Longwood Medical Area</w:t>
      </w:r>
      <w:r w:rsidR="00F60F99">
        <w:t xml:space="preserve"> of Boston</w:t>
      </w:r>
      <w:r w:rsidRPr="00187A17">
        <w:t xml:space="preserve">, </w:t>
      </w:r>
      <w:r w:rsidR="00651E90">
        <w:t xml:space="preserve">where it </w:t>
      </w:r>
      <w:r w:rsidR="00A636FD">
        <w:t xml:space="preserve">will </w:t>
      </w:r>
      <w:r w:rsidR="004B1EBD">
        <w:t xml:space="preserve">have physical connectivity to </w:t>
      </w:r>
      <w:r w:rsidR="00CE17E6">
        <w:t>BCH, DFCI</w:t>
      </w:r>
      <w:r w:rsidR="004B1EBD">
        <w:t>’s Jimmy Fund Clinic,</w:t>
      </w:r>
    </w:p>
    <w:p w14:paraId="5DD4A555" w14:textId="3E69D1CB" w:rsidR="00C83FEE" w:rsidRDefault="004B1EBD" w:rsidP="004B1EBD">
      <w:r>
        <w:t xml:space="preserve">the Yawkey Center for Cancer Care, </w:t>
      </w:r>
      <w:r w:rsidR="00CE17E6">
        <w:t xml:space="preserve">and </w:t>
      </w:r>
      <w:r>
        <w:t xml:space="preserve">the </w:t>
      </w:r>
      <w:r w:rsidR="00236B81">
        <w:t xml:space="preserve">Applicant’s </w:t>
      </w:r>
      <w:r w:rsidR="008E17B5">
        <w:t>FCH</w:t>
      </w:r>
      <w:r>
        <w:t xml:space="preserve"> being constructed</w:t>
      </w:r>
      <w:r w:rsidR="00071A78">
        <w:t xml:space="preserve">. </w:t>
      </w:r>
      <w:r w:rsidR="00187A17" w:rsidRPr="00187A17">
        <w:t>The Applicant states further that the location is also accessible by public transport</w:t>
      </w:r>
      <w:r w:rsidR="00937256">
        <w:t>ation</w:t>
      </w:r>
      <w:r w:rsidR="00187A17" w:rsidRPr="00187A17">
        <w:t xml:space="preserve"> and is therefore convenient for adult patients</w:t>
      </w:r>
      <w:r w:rsidR="003D73E3">
        <w:t xml:space="preserve"> </w:t>
      </w:r>
      <w:r w:rsidR="00792EC1">
        <w:t xml:space="preserve">from across the socioeconomic strata. </w:t>
      </w:r>
      <w:r w:rsidR="00C83FEE" w:rsidRPr="00C83FEE">
        <w:t>The Applicant asserts that the Proposed Project will increase the availability of PBT for</w:t>
      </w:r>
      <w:r w:rsidR="00B33EC5">
        <w:t xml:space="preserve"> </w:t>
      </w:r>
      <w:r w:rsidR="00C83FEE" w:rsidRPr="00C83FEE">
        <w:t xml:space="preserve">Massachusetts residents and improve timely access to PBT for cancer treatment. </w:t>
      </w:r>
    </w:p>
    <w:p w14:paraId="5784196D" w14:textId="77777777" w:rsidR="009A0F9C" w:rsidRDefault="009A0F9C" w:rsidP="00C83FEE"/>
    <w:p w14:paraId="0E0F08A9" w14:textId="77777777" w:rsidR="006671E8" w:rsidRDefault="006671E8" w:rsidP="006671E8">
      <w:pPr>
        <w:rPr>
          <w:rFonts w:asciiTheme="minorHAnsi" w:hAnsiTheme="minorHAnsi"/>
          <w:b/>
          <w:bCs/>
          <w:szCs w:val="24"/>
        </w:rPr>
      </w:pPr>
      <w:r>
        <w:rPr>
          <w:rFonts w:asciiTheme="minorHAnsi" w:hAnsiTheme="minorHAnsi"/>
          <w:b/>
          <w:bCs/>
          <w:szCs w:val="24"/>
        </w:rPr>
        <w:t>BACKGROUND: PROTON BEAM THERAPY (PBT)</w:t>
      </w:r>
    </w:p>
    <w:p w14:paraId="71CC0280" w14:textId="63AF69C2" w:rsidR="006671E8" w:rsidRPr="00B8115A" w:rsidRDefault="006671E8" w:rsidP="00167F30">
      <w:pPr>
        <w:rPr>
          <w:rFonts w:asciiTheme="minorHAnsi" w:hAnsiTheme="minorHAnsi"/>
          <w:szCs w:val="24"/>
        </w:rPr>
      </w:pPr>
      <w:r>
        <w:rPr>
          <w:rFonts w:asciiTheme="minorHAnsi" w:hAnsiTheme="minorHAnsi"/>
          <w:szCs w:val="24"/>
        </w:rPr>
        <w:t>Radiation therapy (RT), also referred to as radiotherapy,</w:t>
      </w:r>
      <w:r w:rsidRPr="009B7994">
        <w:rPr>
          <w:rFonts w:ascii="Source Sans Pro" w:hAnsi="Source Sans Pro"/>
          <w:color w:val="1A1A1A"/>
          <w:sz w:val="27"/>
          <w:szCs w:val="27"/>
          <w:shd w:val="clear" w:color="auto" w:fill="FFFFFF"/>
        </w:rPr>
        <w:t xml:space="preserve"> </w:t>
      </w:r>
      <w:r w:rsidRPr="009B7994">
        <w:rPr>
          <w:rFonts w:asciiTheme="minorHAnsi" w:hAnsiTheme="minorHAnsi"/>
          <w:szCs w:val="24"/>
        </w:rPr>
        <w:t>irradiation, x-ray therapy, radiation treatment</w:t>
      </w:r>
      <w:r>
        <w:rPr>
          <w:rFonts w:asciiTheme="minorHAnsi" w:hAnsiTheme="minorHAnsi"/>
          <w:szCs w:val="24"/>
        </w:rPr>
        <w:t>, or radiation, is one of the four pillars of cancer treatment alongside surgery, chemotherapy, and immunotherapy.</w:t>
      </w:r>
      <w:r>
        <w:rPr>
          <w:rStyle w:val="EndnoteReference"/>
          <w:rFonts w:asciiTheme="minorHAnsi" w:hAnsiTheme="minorHAnsi"/>
          <w:szCs w:val="24"/>
        </w:rPr>
        <w:endnoteReference w:id="5"/>
      </w:r>
      <w:r w:rsidRPr="00685617">
        <w:rPr>
          <w:rFonts w:asciiTheme="minorHAnsi" w:hAnsiTheme="minorHAnsi"/>
          <w:szCs w:val="24"/>
          <w:vertAlign w:val="superscript"/>
        </w:rPr>
        <w:t>,</w:t>
      </w:r>
      <w:r>
        <w:rPr>
          <w:rStyle w:val="EndnoteReference"/>
          <w:rFonts w:asciiTheme="minorHAnsi" w:hAnsiTheme="minorHAnsi"/>
          <w:szCs w:val="24"/>
        </w:rPr>
        <w:endnoteReference w:id="6"/>
      </w:r>
      <w:r w:rsidRPr="00685617">
        <w:rPr>
          <w:rFonts w:asciiTheme="minorHAnsi" w:hAnsiTheme="minorHAnsi"/>
          <w:szCs w:val="24"/>
          <w:vertAlign w:val="superscript"/>
        </w:rPr>
        <w:t xml:space="preserve"> </w:t>
      </w:r>
      <w:r w:rsidRPr="00947B0A">
        <w:rPr>
          <w:rFonts w:asciiTheme="minorHAnsi" w:hAnsiTheme="minorHAnsi"/>
          <w:szCs w:val="24"/>
        </w:rPr>
        <w:t>Radiation is a critical component of cancer treatment and one of the most common</w:t>
      </w:r>
      <w:r w:rsidRPr="00CE4202">
        <w:rPr>
          <w:rFonts w:asciiTheme="minorHAnsi" w:hAnsiTheme="minorHAnsi"/>
          <w:szCs w:val="24"/>
        </w:rPr>
        <w:t>, with</w:t>
      </w:r>
      <w:r w:rsidRPr="00CE4202">
        <w:rPr>
          <w:rFonts w:eastAsia="PMingLiU" w:cs="Times New Roman"/>
          <w:szCs w:val="24"/>
        </w:rPr>
        <w:t xml:space="preserve"> </w:t>
      </w:r>
      <w:r w:rsidRPr="00CE4202">
        <w:rPr>
          <w:rFonts w:asciiTheme="minorHAnsi" w:hAnsiTheme="minorHAnsi"/>
          <w:szCs w:val="24"/>
        </w:rPr>
        <w:t>approximately 50% of cancer patients in North America undergoing RT, predominantly using photon-based (traditional radiation therapy) treatment modalities.</w:t>
      </w:r>
      <w:r w:rsidRPr="00CE4202">
        <w:rPr>
          <w:rFonts w:asciiTheme="minorHAnsi" w:hAnsiTheme="minorHAnsi"/>
          <w:szCs w:val="24"/>
          <w:vertAlign w:val="superscript"/>
        </w:rPr>
        <w:footnoteReference w:id="6"/>
      </w:r>
      <w:r w:rsidRPr="00CE4202">
        <w:rPr>
          <w:rFonts w:asciiTheme="minorHAnsi" w:hAnsiTheme="minorHAnsi"/>
          <w:szCs w:val="24"/>
          <w:vertAlign w:val="superscript"/>
        </w:rPr>
        <w:t>,</w:t>
      </w:r>
      <w:r w:rsidRPr="00CE4202">
        <w:rPr>
          <w:rFonts w:asciiTheme="minorHAnsi" w:hAnsiTheme="minorHAnsi"/>
          <w:szCs w:val="24"/>
          <w:vertAlign w:val="superscript"/>
        </w:rPr>
        <w:endnoteReference w:id="7"/>
      </w:r>
      <w:r w:rsidRPr="00CE4202">
        <w:rPr>
          <w:rFonts w:asciiTheme="minorHAnsi" w:hAnsiTheme="minorHAnsi"/>
          <w:szCs w:val="24"/>
          <w:vertAlign w:val="superscript"/>
        </w:rPr>
        <w:t>,</w:t>
      </w:r>
      <w:r w:rsidRPr="00CE4202">
        <w:rPr>
          <w:rFonts w:asciiTheme="minorHAnsi" w:hAnsiTheme="minorHAnsi"/>
          <w:szCs w:val="24"/>
          <w:vertAlign w:val="superscript"/>
        </w:rPr>
        <w:endnoteReference w:id="8"/>
      </w:r>
      <w:r w:rsidRPr="00CE4202">
        <w:rPr>
          <w:rFonts w:asciiTheme="minorHAnsi" w:hAnsiTheme="minorHAnsi"/>
          <w:szCs w:val="24"/>
        </w:rPr>
        <w:t xml:space="preserve"> The</w:t>
      </w:r>
      <w:r>
        <w:rPr>
          <w:rFonts w:asciiTheme="minorHAnsi" w:hAnsiTheme="minorHAnsi"/>
          <w:szCs w:val="24"/>
        </w:rPr>
        <w:t xml:space="preserve"> goal of RT is to maximize the dose delivered to the target</w:t>
      </w:r>
      <w:r w:rsidR="00743833">
        <w:rPr>
          <w:rFonts w:asciiTheme="minorHAnsi" w:hAnsiTheme="minorHAnsi"/>
          <w:szCs w:val="24"/>
        </w:rPr>
        <w:t xml:space="preserve"> (tumor)</w:t>
      </w:r>
      <w:r>
        <w:rPr>
          <w:rFonts w:asciiTheme="minorHAnsi" w:hAnsiTheme="minorHAnsi"/>
          <w:szCs w:val="24"/>
        </w:rPr>
        <w:t xml:space="preserve"> while minimizing the dose to normal, non-targeted healthy tissue.</w:t>
      </w:r>
      <w:r>
        <w:rPr>
          <w:rStyle w:val="EndnoteReference"/>
          <w:rFonts w:asciiTheme="minorHAnsi" w:hAnsiTheme="minorHAnsi"/>
          <w:szCs w:val="24"/>
        </w:rPr>
        <w:endnoteReference w:id="9"/>
      </w:r>
      <w:r>
        <w:rPr>
          <w:rFonts w:asciiTheme="minorHAnsi" w:hAnsiTheme="minorHAnsi"/>
          <w:szCs w:val="24"/>
        </w:rPr>
        <w:t xml:space="preserve"> External Beam Radiation (EBR) is the most common form of radiation treatment used for cancer treatment. EBR delivers radiation beams generated by a machine, from outside of the body into the tumor, causing damage to the deoxyribonucleic acid (DNA) in the cells, which keeps the cells from growing and dividing, ultimately leading to cell death.</w:t>
      </w:r>
      <w:r>
        <w:rPr>
          <w:rStyle w:val="EndnoteReference"/>
          <w:rFonts w:asciiTheme="minorHAnsi" w:hAnsiTheme="minorHAnsi"/>
          <w:szCs w:val="24"/>
        </w:rPr>
        <w:endnoteReference w:id="10"/>
      </w:r>
      <w:r w:rsidRPr="00BD0768">
        <w:rPr>
          <w:rFonts w:asciiTheme="minorHAnsi" w:hAnsiTheme="minorHAnsi"/>
          <w:szCs w:val="24"/>
          <w:vertAlign w:val="superscript"/>
        </w:rPr>
        <w:t>,</w:t>
      </w:r>
      <w:r>
        <w:rPr>
          <w:rStyle w:val="EndnoteReference"/>
          <w:rFonts w:asciiTheme="minorHAnsi" w:hAnsiTheme="minorHAnsi"/>
          <w:szCs w:val="24"/>
        </w:rPr>
        <w:endnoteReference w:id="11"/>
      </w:r>
      <w:r>
        <w:rPr>
          <w:rFonts w:asciiTheme="minorHAnsi" w:hAnsiTheme="minorHAnsi"/>
          <w:szCs w:val="24"/>
        </w:rPr>
        <w:t xml:space="preserve"> EBR therapy is usually administered during an outpatient visit. </w:t>
      </w:r>
    </w:p>
    <w:p w14:paraId="3A88D0CD" w14:textId="77777777" w:rsidR="006671E8" w:rsidRDefault="006671E8" w:rsidP="00167F30">
      <w:pPr>
        <w:rPr>
          <w:rFonts w:asciiTheme="minorHAnsi" w:hAnsiTheme="minorHAnsi"/>
          <w:szCs w:val="24"/>
        </w:rPr>
      </w:pPr>
    </w:p>
    <w:p w14:paraId="2DBF1C52" w14:textId="2CAC4D05" w:rsidR="006671E8" w:rsidRPr="005D57C7" w:rsidRDefault="006671E8" w:rsidP="00167F30">
      <w:pPr>
        <w:rPr>
          <w:rFonts w:asciiTheme="minorHAnsi" w:hAnsiTheme="minorHAnsi"/>
          <w:szCs w:val="24"/>
        </w:rPr>
      </w:pPr>
      <w:r>
        <w:rPr>
          <w:rFonts w:asciiTheme="minorHAnsi" w:hAnsiTheme="minorHAnsi"/>
          <w:szCs w:val="24"/>
        </w:rPr>
        <w:t xml:space="preserve">Traditional RT, the most common form of EBR to treat cancer, uses photons or x-rays as the delivery mechanism for RT to treat certain kinds of cancer. </w:t>
      </w:r>
      <w:r w:rsidRPr="00CE4202">
        <w:rPr>
          <w:rFonts w:asciiTheme="minorHAnsi" w:hAnsiTheme="minorHAnsi"/>
          <w:szCs w:val="24"/>
        </w:rPr>
        <w:t>Photon therapy relies on high-energy photons generated by linear accelerators.</w:t>
      </w:r>
      <w:r w:rsidRPr="00CE4202">
        <w:rPr>
          <w:rFonts w:asciiTheme="minorHAnsi" w:hAnsiTheme="minorHAnsi"/>
          <w:szCs w:val="24"/>
          <w:vertAlign w:val="superscript"/>
        </w:rPr>
        <w:endnoteReference w:id="12"/>
      </w:r>
      <w:r w:rsidRPr="00CE4202">
        <w:rPr>
          <w:rFonts w:asciiTheme="minorHAnsi" w:hAnsiTheme="minorHAnsi"/>
          <w:szCs w:val="24"/>
        </w:rPr>
        <w:t xml:space="preserve"> Technological advancements have generated process improvements in photon therapy including intensity modulation (I</w:t>
      </w:r>
      <w:r w:rsidR="00267C2A">
        <w:rPr>
          <w:rFonts w:asciiTheme="minorHAnsi" w:hAnsiTheme="minorHAnsi"/>
          <w:szCs w:val="24"/>
        </w:rPr>
        <w:t>M</w:t>
      </w:r>
      <w:r w:rsidRPr="00CE4202">
        <w:rPr>
          <w:rFonts w:asciiTheme="minorHAnsi" w:hAnsiTheme="minorHAnsi"/>
          <w:szCs w:val="24"/>
        </w:rPr>
        <w:t>) and image guidance (IG).</w:t>
      </w:r>
      <w:r w:rsidRPr="00CE4202">
        <w:rPr>
          <w:rFonts w:asciiTheme="minorHAnsi" w:hAnsiTheme="minorHAnsi"/>
          <w:szCs w:val="24"/>
          <w:vertAlign w:val="superscript"/>
        </w:rPr>
        <w:endnoteReference w:id="13"/>
      </w:r>
      <w:r w:rsidRPr="00CE4202">
        <w:rPr>
          <w:rFonts w:asciiTheme="minorHAnsi" w:hAnsiTheme="minorHAnsi"/>
          <w:szCs w:val="24"/>
        </w:rPr>
        <w:t xml:space="preserve">  These features along with compact systems, cost</w:t>
      </w:r>
      <w:r w:rsidRPr="005D57C7">
        <w:rPr>
          <w:rFonts w:asciiTheme="minorHAnsi" w:hAnsiTheme="minorHAnsi"/>
          <w:szCs w:val="24"/>
        </w:rPr>
        <w:t xml:space="preserve"> </w:t>
      </w:r>
      <w:r w:rsidRPr="00CE4202">
        <w:rPr>
          <w:rFonts w:asciiTheme="minorHAnsi" w:hAnsiTheme="minorHAnsi"/>
          <w:szCs w:val="24"/>
        </w:rPr>
        <w:t>efficiency, and reproducibility, have made photon therapy an essential component of cancer care.</w:t>
      </w:r>
      <w:r w:rsidRPr="00CE4202">
        <w:rPr>
          <w:rFonts w:asciiTheme="minorHAnsi" w:hAnsiTheme="minorHAnsi"/>
          <w:szCs w:val="24"/>
          <w:vertAlign w:val="superscript"/>
        </w:rPr>
        <w:footnoteReference w:id="7"/>
      </w:r>
    </w:p>
    <w:p w14:paraId="17AE3315" w14:textId="77777777" w:rsidR="006671E8" w:rsidRDefault="006671E8" w:rsidP="00167F30">
      <w:pPr>
        <w:rPr>
          <w:rFonts w:asciiTheme="minorHAnsi" w:hAnsiTheme="minorHAnsi"/>
          <w:szCs w:val="24"/>
        </w:rPr>
      </w:pPr>
    </w:p>
    <w:p w14:paraId="10EA7670" w14:textId="19259BDB" w:rsidR="006671E8" w:rsidRDefault="006671E8" w:rsidP="00167F30">
      <w:pPr>
        <w:rPr>
          <w:rFonts w:asciiTheme="minorHAnsi" w:hAnsiTheme="minorHAnsi"/>
          <w:szCs w:val="24"/>
          <w:highlight w:val="yellow"/>
        </w:rPr>
      </w:pPr>
      <w:r>
        <w:rPr>
          <w:rFonts w:eastAsia="PMingLiU" w:cs="Times New Roman"/>
        </w:rPr>
        <w:t>W</w:t>
      </w:r>
      <w:r w:rsidRPr="4EEC3551">
        <w:rPr>
          <w:rFonts w:eastAsia="PMingLiU" w:cs="Times New Roman"/>
        </w:rPr>
        <w:t xml:space="preserve">ith traditional </w:t>
      </w:r>
      <w:r>
        <w:rPr>
          <w:rFonts w:eastAsia="PMingLiU" w:cs="Times New Roman"/>
        </w:rPr>
        <w:t>RT</w:t>
      </w:r>
      <w:r w:rsidRPr="4EEC3551">
        <w:rPr>
          <w:rFonts w:eastAsia="PMingLiU" w:cs="Times New Roman"/>
        </w:rPr>
        <w:t>, it is estimated 30</w:t>
      </w:r>
      <w:r w:rsidR="00F44669">
        <w:rPr>
          <w:rFonts w:eastAsia="PMingLiU" w:cs="Times New Roman"/>
        </w:rPr>
        <w:t>%</w:t>
      </w:r>
      <w:r w:rsidR="00015272">
        <w:rPr>
          <w:rFonts w:eastAsia="PMingLiU" w:cs="Times New Roman"/>
        </w:rPr>
        <w:t xml:space="preserve"> to </w:t>
      </w:r>
      <w:r w:rsidRPr="4EEC3551">
        <w:rPr>
          <w:rFonts w:eastAsia="PMingLiU" w:cs="Times New Roman"/>
        </w:rPr>
        <w:t xml:space="preserve">40% of photon beams continue passing through </w:t>
      </w:r>
      <w:r w:rsidR="00492981">
        <w:rPr>
          <w:rFonts w:eastAsia="PMingLiU" w:cs="Times New Roman"/>
        </w:rPr>
        <w:t>the tumor</w:t>
      </w:r>
      <w:r w:rsidR="00492981" w:rsidRPr="4EEC3551">
        <w:rPr>
          <w:rFonts w:eastAsia="PMingLiU" w:cs="Times New Roman"/>
        </w:rPr>
        <w:t xml:space="preserve"> </w:t>
      </w:r>
      <w:r w:rsidR="009406E4">
        <w:rPr>
          <w:rFonts w:eastAsia="PMingLiU" w:cs="Times New Roman"/>
        </w:rPr>
        <w:t>and radiate healthy tissues beyond the tumor</w:t>
      </w:r>
      <w:r w:rsidRPr="4EEC3551">
        <w:rPr>
          <w:rFonts w:eastAsia="PMingLiU" w:cs="Times New Roman"/>
        </w:rPr>
        <w:t>.</w:t>
      </w:r>
      <w:r w:rsidRPr="4EEC3551">
        <w:rPr>
          <w:rFonts w:eastAsia="PMingLiU" w:cs="Times New Roman"/>
          <w:vertAlign w:val="superscript"/>
        </w:rPr>
        <w:footnoteReference w:id="8"/>
      </w:r>
      <w:r w:rsidRPr="4EEC3551">
        <w:rPr>
          <w:rFonts w:eastAsia="PMingLiU" w:cs="Times New Roman"/>
        </w:rPr>
        <w:t xml:space="preserve"> The residual radiation that is deposited in surrounding normal tissues beyond the treatment target is called the exit dose.</w:t>
      </w:r>
      <w:r w:rsidRPr="4EEC3551">
        <w:rPr>
          <w:rFonts w:eastAsia="PMingLiU" w:cs="Times New Roman"/>
          <w:vertAlign w:val="superscript"/>
        </w:rPr>
        <w:footnoteReference w:id="9"/>
      </w:r>
      <w:r w:rsidRPr="4EEC3551">
        <w:rPr>
          <w:rFonts w:eastAsia="PMingLiU" w:cs="Times New Roman"/>
        </w:rPr>
        <w:t xml:space="preserve"> Despite the current </w:t>
      </w:r>
      <w:r w:rsidRPr="4EEC3551">
        <w:rPr>
          <w:rFonts w:eastAsia="PMingLiU" w:cs="Times New Roman"/>
        </w:rPr>
        <w:lastRenderedPageBreak/>
        <w:t>advanced treatment planning techniques, normal tissue exposure from the exit dose can lead to long-term complications, called radiotherapy-induced adverse effects (“RIAE”) or late effects which can be severe, including 1) organ dysfunction and 2) secondary malignancies.</w:t>
      </w:r>
      <w:r w:rsidRPr="4EEC3551">
        <w:rPr>
          <w:rFonts w:eastAsia="PMingLiU" w:cs="Times New Roman"/>
          <w:vertAlign w:val="superscript"/>
        </w:rPr>
        <w:endnoteReference w:id="14"/>
      </w:r>
      <w:r w:rsidRPr="4EEC3551">
        <w:rPr>
          <w:rFonts w:eastAsia="PMingLiU" w:cs="Times New Roman"/>
          <w:vertAlign w:val="superscript"/>
        </w:rPr>
        <w:t>,</w:t>
      </w:r>
      <w:r w:rsidRPr="4EEC3551">
        <w:rPr>
          <w:rFonts w:eastAsia="PMingLiU" w:cs="Times New Roman"/>
          <w:vertAlign w:val="superscript"/>
        </w:rPr>
        <w:endnoteReference w:id="15"/>
      </w:r>
      <w:r w:rsidRPr="4EEC3551">
        <w:rPr>
          <w:rFonts w:eastAsia="PMingLiU" w:cs="Times New Roman"/>
          <w:vertAlign w:val="superscript"/>
        </w:rPr>
        <w:t>,</w:t>
      </w:r>
      <w:r w:rsidRPr="4EEC3551">
        <w:rPr>
          <w:rFonts w:eastAsia="PMingLiU" w:cs="Times New Roman"/>
          <w:vertAlign w:val="superscript"/>
        </w:rPr>
        <w:endnoteReference w:id="16"/>
      </w:r>
      <w:r w:rsidRPr="4EEC3551">
        <w:rPr>
          <w:rFonts w:eastAsia="PMingLiU" w:cs="Times New Roman"/>
          <w:vertAlign w:val="superscript"/>
        </w:rPr>
        <w:t xml:space="preserve"> </w:t>
      </w:r>
      <w:r w:rsidRPr="4EEC3551">
        <w:rPr>
          <w:rFonts w:eastAsia="PMingLiU" w:cs="Times New Roman"/>
        </w:rPr>
        <w:t>Depending on the treatment site, these complications may include: early menopause, infertility, heart and vascular problems, hypothyroidism, increased risk of other cancers, increased risk of stroke, intestinal problems, lung disease, lymphedema, cognitive and memory issues, osteoporosis, cavities and tooth decay, liver problems, kidney problems, cataracts, vision loss, hearing loss, and nerve damage.</w:t>
      </w:r>
      <w:r w:rsidRPr="4EEC3551">
        <w:rPr>
          <w:rFonts w:eastAsia="PMingLiU" w:cs="Times New Roman"/>
          <w:vertAlign w:val="superscript"/>
        </w:rPr>
        <w:endnoteReference w:id="17"/>
      </w:r>
      <w:r w:rsidRPr="4EEC3551">
        <w:rPr>
          <w:rFonts w:eastAsia="PMingLiU" w:cs="Times New Roman"/>
          <w:vertAlign w:val="superscript"/>
        </w:rPr>
        <w:t>,</w:t>
      </w:r>
      <w:r w:rsidRPr="4EEC3551">
        <w:rPr>
          <w:rFonts w:eastAsia="PMingLiU" w:cs="Times New Roman"/>
          <w:vertAlign w:val="superscript"/>
        </w:rPr>
        <w:endnoteReference w:id="18"/>
      </w:r>
      <w:r w:rsidRPr="4EEC3551">
        <w:rPr>
          <w:rFonts w:eastAsia="PMingLiU" w:cs="Times New Roman"/>
        </w:rPr>
        <w:t xml:space="preserve"> The resource use and costs of these RIAE have not been comprehensively documented and studied.</w:t>
      </w:r>
      <w:r w:rsidRPr="4EEC3551">
        <w:rPr>
          <w:rFonts w:eastAsia="PMingLiU" w:cs="Times New Roman"/>
          <w:vertAlign w:val="superscript"/>
        </w:rPr>
        <w:endnoteReference w:id="19"/>
      </w:r>
    </w:p>
    <w:p w14:paraId="0DCE56F2" w14:textId="77777777" w:rsidR="006671E8" w:rsidRDefault="006671E8" w:rsidP="00167F30">
      <w:pPr>
        <w:rPr>
          <w:rFonts w:asciiTheme="minorHAnsi" w:hAnsiTheme="minorHAnsi"/>
          <w:szCs w:val="24"/>
          <w:highlight w:val="yellow"/>
        </w:rPr>
      </w:pPr>
    </w:p>
    <w:p w14:paraId="0C7255B4" w14:textId="4D75DB02" w:rsidR="006671E8" w:rsidRPr="004D1978" w:rsidRDefault="006671E8" w:rsidP="00167F30">
      <w:pPr>
        <w:rPr>
          <w:rFonts w:asciiTheme="minorHAnsi" w:hAnsiTheme="minorHAnsi"/>
          <w:szCs w:val="24"/>
        </w:rPr>
      </w:pPr>
      <w:r w:rsidRPr="006076F6">
        <w:rPr>
          <w:rFonts w:asciiTheme="minorHAnsi" w:hAnsiTheme="minorHAnsi"/>
          <w:szCs w:val="24"/>
          <w:shd w:val="clear" w:color="auto" w:fill="FFFFFF" w:themeFill="background1"/>
        </w:rPr>
        <w:t>PBT</w:t>
      </w:r>
      <w:r>
        <w:rPr>
          <w:rFonts w:asciiTheme="minorHAnsi" w:hAnsiTheme="minorHAnsi"/>
          <w:szCs w:val="24"/>
          <w:shd w:val="clear" w:color="auto" w:fill="FFFFFF" w:themeFill="background1"/>
        </w:rPr>
        <w:t xml:space="preserve"> is a Food and Drug Administration (FDA) approved</w:t>
      </w:r>
      <w:r w:rsidRPr="006076F6">
        <w:rPr>
          <w:rFonts w:asciiTheme="minorHAnsi" w:hAnsiTheme="minorHAnsi"/>
          <w:szCs w:val="24"/>
          <w:shd w:val="clear" w:color="auto" w:fill="FFFFFF" w:themeFill="background1"/>
        </w:rPr>
        <w:t xml:space="preserve"> </w:t>
      </w:r>
      <w:r>
        <w:rPr>
          <w:rFonts w:asciiTheme="minorHAnsi" w:hAnsiTheme="minorHAnsi"/>
          <w:szCs w:val="24"/>
          <w:shd w:val="clear" w:color="auto" w:fill="FFFFFF" w:themeFill="background1"/>
        </w:rPr>
        <w:t>type of EBR that</w:t>
      </w:r>
      <w:r w:rsidRPr="006076F6">
        <w:rPr>
          <w:rFonts w:asciiTheme="minorHAnsi" w:hAnsiTheme="minorHAnsi"/>
          <w:szCs w:val="24"/>
          <w:shd w:val="clear" w:color="auto" w:fill="FFFFFF" w:themeFill="background1"/>
        </w:rPr>
        <w:t xml:space="preserve"> uses protons, or positively charged particles for the delivery of radiation to treat both benign and malignant tumors.</w:t>
      </w:r>
      <w:r w:rsidRPr="006076F6">
        <w:rPr>
          <w:rFonts w:asciiTheme="minorHAnsi" w:hAnsiTheme="minorHAnsi"/>
          <w:szCs w:val="24"/>
          <w:shd w:val="clear" w:color="auto" w:fill="FFFFFF" w:themeFill="background1"/>
          <w:vertAlign w:val="superscript"/>
        </w:rPr>
        <w:endnoteReference w:id="20"/>
      </w:r>
      <w:r w:rsidRPr="006076F6">
        <w:rPr>
          <w:rFonts w:asciiTheme="minorHAnsi" w:hAnsiTheme="minorHAnsi"/>
          <w:szCs w:val="24"/>
          <w:shd w:val="clear" w:color="auto" w:fill="FFFFFF" w:themeFill="background1"/>
        </w:rPr>
        <w:t xml:space="preserve"> A notable difference between proton and photons is that photons are massless</w:t>
      </w:r>
      <w:r>
        <w:rPr>
          <w:rFonts w:asciiTheme="minorHAnsi" w:hAnsiTheme="minorHAnsi"/>
          <w:szCs w:val="24"/>
          <w:shd w:val="clear" w:color="auto" w:fill="FFFFFF" w:themeFill="background1"/>
        </w:rPr>
        <w:t>, have no charge,</w:t>
      </w:r>
      <w:r w:rsidRPr="006076F6">
        <w:rPr>
          <w:rFonts w:asciiTheme="minorHAnsi" w:hAnsiTheme="minorHAnsi"/>
          <w:szCs w:val="24"/>
          <w:shd w:val="clear" w:color="auto" w:fill="FFFFFF" w:themeFill="background1"/>
        </w:rPr>
        <w:t xml:space="preserve"> and will pass through the body and have an exit dose, whereas </w:t>
      </w:r>
      <w:r w:rsidRPr="009835A9">
        <w:rPr>
          <w:rFonts w:asciiTheme="minorHAnsi" w:hAnsiTheme="minorHAnsi"/>
          <w:szCs w:val="24"/>
          <w:shd w:val="clear" w:color="auto" w:fill="FFFFFF" w:themeFill="background1"/>
        </w:rPr>
        <w:t>protons have physical mass and</w:t>
      </w:r>
      <w:r>
        <w:rPr>
          <w:rFonts w:asciiTheme="minorHAnsi" w:hAnsiTheme="minorHAnsi"/>
          <w:szCs w:val="24"/>
          <w:shd w:val="clear" w:color="auto" w:fill="FFFFFF" w:themeFill="background1"/>
        </w:rPr>
        <w:t xml:space="preserve"> are positively charged and</w:t>
      </w:r>
      <w:r w:rsidRPr="009835A9">
        <w:rPr>
          <w:rFonts w:asciiTheme="minorHAnsi" w:hAnsiTheme="minorHAnsi"/>
          <w:szCs w:val="24"/>
          <w:shd w:val="clear" w:color="auto" w:fill="FFFFFF" w:themeFill="background1"/>
        </w:rPr>
        <w:t xml:space="preserve"> can be stopped at different depths inside tissue, with minimal exit dose.</w:t>
      </w:r>
      <w:r w:rsidRPr="009835A9">
        <w:rPr>
          <w:rStyle w:val="EndnoteReference"/>
          <w:rFonts w:asciiTheme="minorHAnsi" w:hAnsiTheme="minorHAnsi"/>
          <w:szCs w:val="24"/>
          <w:shd w:val="clear" w:color="auto" w:fill="FFFFFF" w:themeFill="background1"/>
        </w:rPr>
        <w:endnoteReference w:id="21"/>
      </w:r>
      <w:r w:rsidRPr="009835A9">
        <w:rPr>
          <w:rFonts w:asciiTheme="minorHAnsi" w:hAnsiTheme="minorHAnsi"/>
          <w:szCs w:val="24"/>
        </w:rPr>
        <w:t xml:space="preserve"> </w:t>
      </w:r>
      <w:r w:rsidRPr="00CE4202">
        <w:rPr>
          <w:rFonts w:asciiTheme="minorHAnsi" w:hAnsiTheme="minorHAnsi"/>
          <w:szCs w:val="24"/>
        </w:rPr>
        <w:t>Because of their distinct properties, protons deliver a more limited and precise dose of radiation to tumor tissue, which significantly reduces exposure of non-targeted surrounding health</w:t>
      </w:r>
      <w:r w:rsidR="0021653B">
        <w:rPr>
          <w:rFonts w:asciiTheme="minorHAnsi" w:hAnsiTheme="minorHAnsi"/>
          <w:szCs w:val="24"/>
        </w:rPr>
        <w:t>y</w:t>
      </w:r>
      <w:r w:rsidRPr="00CE4202">
        <w:rPr>
          <w:rFonts w:asciiTheme="minorHAnsi" w:hAnsiTheme="minorHAnsi"/>
          <w:szCs w:val="24"/>
        </w:rPr>
        <w:t xml:space="preserve"> tissue and organs to radiation, thus allowing for the use of a higher dose of radiation to be delivered for some cancers, while minimizing side effects.</w:t>
      </w:r>
      <w:r w:rsidRPr="00CE4202">
        <w:rPr>
          <w:rStyle w:val="EndnoteReference"/>
          <w:rFonts w:asciiTheme="minorHAnsi" w:hAnsiTheme="minorHAnsi"/>
          <w:szCs w:val="24"/>
        </w:rPr>
        <w:endnoteReference w:id="22"/>
      </w:r>
      <w:r w:rsidRPr="00CE4202">
        <w:rPr>
          <w:rFonts w:asciiTheme="minorHAnsi" w:hAnsiTheme="minorHAnsi"/>
          <w:szCs w:val="24"/>
        </w:rPr>
        <w:t xml:space="preserve"> This has potential benefits for patients such as for those with long life expectancy (including children), those who would otherwise experience significant toxicities from photons due to the site of treatment, and those who have reduced tissue tolerance such as those who require re-irradiation treatments due to recurrence of disease. To date, several studies suggest there may be fewer secondary malignancies for patients treated with PBT.</w:t>
      </w:r>
      <w:r w:rsidRPr="00CE4202">
        <w:rPr>
          <w:rFonts w:asciiTheme="minorHAnsi" w:hAnsiTheme="minorHAnsi"/>
          <w:szCs w:val="24"/>
          <w:vertAlign w:val="superscript"/>
        </w:rPr>
        <w:endnoteReference w:id="23"/>
      </w:r>
      <w:r w:rsidRPr="00CE4202">
        <w:rPr>
          <w:rFonts w:asciiTheme="minorHAnsi" w:hAnsiTheme="minorHAnsi"/>
          <w:szCs w:val="24"/>
        </w:rPr>
        <w:t xml:space="preserve"> Therefore, for some cancer disease categories, PBT provides an alternative to photon therapy.</w:t>
      </w:r>
      <w:r w:rsidRPr="00CE4202">
        <w:rPr>
          <w:rFonts w:asciiTheme="minorHAnsi" w:hAnsiTheme="minorHAnsi"/>
          <w:szCs w:val="24"/>
          <w:vertAlign w:val="superscript"/>
        </w:rPr>
        <w:endnoteReference w:id="24"/>
      </w:r>
      <w:r w:rsidRPr="00CE4202">
        <w:rPr>
          <w:rFonts w:asciiTheme="minorHAnsi" w:hAnsiTheme="minorHAnsi"/>
          <w:szCs w:val="24"/>
        </w:rPr>
        <w:t xml:space="preserve"> Staff also note that indications are limited. Evidence supports superiority over photon therapy only for specific indications and does not support broad use outside of these indications which is described in more detail under Factor 1(a), need methodologies.</w:t>
      </w:r>
    </w:p>
    <w:p w14:paraId="194EA41F" w14:textId="4F647E28" w:rsidR="006671E8" w:rsidRDefault="006671E8" w:rsidP="00167F30">
      <w:pPr>
        <w:spacing w:before="240" w:after="240"/>
        <w:rPr>
          <w:rFonts w:eastAsia="PMingLiU" w:cs="Times New Roman"/>
        </w:rPr>
      </w:pPr>
      <w:r w:rsidRPr="5A4878F1">
        <w:rPr>
          <w:rFonts w:eastAsia="PMingLiU" w:cs="Times New Roman"/>
        </w:rPr>
        <w:t>The National Comprehensive Cancer Network (NCCN), a not-for-profit alliance of 33 leading cancer centers dedicated to patient care, research, and education, defines clinical practice guidelines for cancer treatment. These guidelines recognize PBT as an important modality for multiple cancer types, especially when minimizing normal tissue toxicity is critical, or when photon-based therapy limitations arise.</w:t>
      </w:r>
      <w:r w:rsidRPr="5A4878F1">
        <w:rPr>
          <w:rFonts w:eastAsia="PMingLiU" w:cs="Times New Roman"/>
          <w:vertAlign w:val="superscript"/>
        </w:rPr>
        <w:endnoteReference w:id="25"/>
      </w:r>
      <w:r w:rsidR="00424B43">
        <w:rPr>
          <w:rFonts w:eastAsia="PMingLiU" w:cs="Times New Roman"/>
        </w:rPr>
        <w:t xml:space="preserve"> </w:t>
      </w:r>
      <w:r w:rsidR="00107DC0">
        <w:rPr>
          <w:rFonts w:eastAsia="PMingLiU" w:cs="Times New Roman"/>
        </w:rPr>
        <w:t>DFCI</w:t>
      </w:r>
      <w:r w:rsidR="00424B43" w:rsidRPr="00424B43">
        <w:rPr>
          <w:rFonts w:eastAsia="PMingLiU" w:cs="Times New Roman"/>
        </w:rPr>
        <w:t xml:space="preserve"> </w:t>
      </w:r>
      <w:r w:rsidR="00363545">
        <w:rPr>
          <w:rFonts w:eastAsia="PMingLiU" w:cs="Times New Roman"/>
        </w:rPr>
        <w:t>(</w:t>
      </w:r>
      <w:r w:rsidR="00363545" w:rsidRPr="00363545">
        <w:rPr>
          <w:rFonts w:eastAsia="PMingLiU" w:cs="Times New Roman"/>
        </w:rPr>
        <w:t>as part of the </w:t>
      </w:r>
      <w:r w:rsidR="00363545" w:rsidRPr="001769C6">
        <w:rPr>
          <w:rFonts w:eastAsia="PMingLiU" w:cs="Times New Roman"/>
        </w:rPr>
        <w:t>Dana-Farber/Brigham and Women's Cancer Center</w:t>
      </w:r>
      <w:r w:rsidR="00363545">
        <w:rPr>
          <w:rFonts w:eastAsia="PMingLiU" w:cs="Times New Roman"/>
        </w:rPr>
        <w:t xml:space="preserve"> and</w:t>
      </w:r>
      <w:r w:rsidR="00363545" w:rsidRPr="001769C6">
        <w:rPr>
          <w:rFonts w:eastAsia="PMingLiU" w:cs="Times New Roman"/>
        </w:rPr>
        <w:t xml:space="preserve"> Massachusetts General Hospital Cancer Center</w:t>
      </w:r>
      <w:r w:rsidR="00363545" w:rsidRPr="00363545">
        <w:rPr>
          <w:rFonts w:eastAsia="PMingLiU" w:cs="Times New Roman"/>
        </w:rPr>
        <w:t> group</w:t>
      </w:r>
      <w:r w:rsidR="00363545">
        <w:rPr>
          <w:rFonts w:eastAsia="PMingLiU" w:cs="Times New Roman"/>
        </w:rPr>
        <w:t>)</w:t>
      </w:r>
      <w:r w:rsidR="00363545" w:rsidRPr="00363545">
        <w:rPr>
          <w:rFonts w:eastAsia="PMingLiU" w:cs="Times New Roman"/>
        </w:rPr>
        <w:t xml:space="preserve"> </w:t>
      </w:r>
      <w:r w:rsidR="00424B43" w:rsidRPr="00424B43">
        <w:rPr>
          <w:rFonts w:eastAsia="PMingLiU" w:cs="Times New Roman"/>
        </w:rPr>
        <w:t>is a member of the NCCN.</w:t>
      </w:r>
      <w:r w:rsidR="00424B43">
        <w:rPr>
          <w:rStyle w:val="EndnoteReference"/>
          <w:rFonts w:eastAsia="PMingLiU" w:cs="Times New Roman"/>
        </w:rPr>
        <w:endnoteReference w:id="26"/>
      </w:r>
      <w:r w:rsidR="00B10DC7" w:rsidRPr="00B10DC7">
        <w:rPr>
          <w:rFonts w:eastAsia="PMingLiU" w:cs="Times New Roman"/>
          <w:vertAlign w:val="superscript"/>
        </w:rPr>
        <w:t>,</w:t>
      </w:r>
      <w:r w:rsidR="00913EA1">
        <w:rPr>
          <w:rStyle w:val="EndnoteReference"/>
          <w:rFonts w:eastAsia="PMingLiU" w:cs="Times New Roman"/>
        </w:rPr>
        <w:endnoteReference w:id="27"/>
      </w:r>
      <w:r w:rsidR="0080673A">
        <w:rPr>
          <w:rFonts w:eastAsia="PMingLiU" w:cs="Times New Roman"/>
        </w:rPr>
        <w:t xml:space="preserve"> </w:t>
      </w:r>
    </w:p>
    <w:p w14:paraId="0AED8509" w14:textId="77777777" w:rsidR="007F745E" w:rsidRDefault="007F745E" w:rsidP="00977494">
      <w:pPr>
        <w:rPr>
          <w:rFonts w:asciiTheme="minorHAnsi" w:hAnsiTheme="minorHAnsi"/>
          <w:b/>
          <w:bCs/>
          <w:szCs w:val="24"/>
        </w:rPr>
      </w:pPr>
    </w:p>
    <w:p w14:paraId="236D13AE" w14:textId="24D49890" w:rsidR="00977494" w:rsidRPr="007377C8" w:rsidRDefault="00977494" w:rsidP="00977494">
      <w:pPr>
        <w:rPr>
          <w:rFonts w:asciiTheme="minorHAnsi" w:hAnsiTheme="minorHAnsi"/>
          <w:b/>
          <w:bCs/>
          <w:szCs w:val="24"/>
        </w:rPr>
      </w:pPr>
      <w:r>
        <w:rPr>
          <w:rFonts w:asciiTheme="minorHAnsi" w:hAnsiTheme="minorHAnsi"/>
          <w:b/>
          <w:bCs/>
          <w:szCs w:val="24"/>
        </w:rPr>
        <w:t xml:space="preserve">BACKGROUND: AVAILABILITY OF PBT IN MASSACHUSETTS </w:t>
      </w:r>
      <w:r w:rsidRPr="007377C8">
        <w:rPr>
          <w:rFonts w:asciiTheme="minorHAnsi" w:hAnsiTheme="minorHAnsi"/>
          <w:b/>
          <w:bCs/>
          <w:szCs w:val="24"/>
        </w:rPr>
        <w:t xml:space="preserve"> </w:t>
      </w:r>
    </w:p>
    <w:p w14:paraId="2A98C12B" w14:textId="77777777" w:rsidR="00977494" w:rsidRDefault="00977494" w:rsidP="00977494">
      <w:pPr>
        <w:rPr>
          <w:rFonts w:asciiTheme="minorHAnsi" w:hAnsiTheme="minorHAnsi"/>
          <w:szCs w:val="24"/>
        </w:rPr>
      </w:pPr>
    </w:p>
    <w:p w14:paraId="413768FC" w14:textId="32E241D3" w:rsidR="00977494" w:rsidRDefault="00977494" w:rsidP="00977494">
      <w:pPr>
        <w:rPr>
          <w:rFonts w:asciiTheme="minorHAnsi" w:hAnsiTheme="minorHAnsi"/>
        </w:rPr>
      </w:pPr>
      <w:r w:rsidRPr="003F7897">
        <w:rPr>
          <w:rFonts w:asciiTheme="minorHAnsi" w:hAnsiTheme="minorHAnsi"/>
        </w:rPr>
        <w:t xml:space="preserve">Currently, the Mass General Brigham Cancer Institute has the only </w:t>
      </w:r>
      <w:r w:rsidRPr="1684A1F0">
        <w:rPr>
          <w:rFonts w:asciiTheme="minorHAnsi" w:hAnsiTheme="minorHAnsi"/>
        </w:rPr>
        <w:t>operational proton</w:t>
      </w:r>
      <w:r w:rsidRPr="003F7897">
        <w:rPr>
          <w:rFonts w:asciiTheme="minorHAnsi" w:hAnsiTheme="minorHAnsi"/>
        </w:rPr>
        <w:t xml:space="preserve"> therapy site in Massachusetts, with two proton therapy centers, both of which are located on Massachusetts General Hospital’s (MGH’s) main campus in Boston.</w:t>
      </w:r>
      <w:r w:rsidRPr="003F7897">
        <w:rPr>
          <w:rStyle w:val="EndnoteReference"/>
          <w:rFonts w:asciiTheme="minorHAnsi" w:hAnsiTheme="minorHAnsi"/>
        </w:rPr>
        <w:endnoteReference w:id="28"/>
      </w:r>
      <w:r w:rsidRPr="003F7897">
        <w:rPr>
          <w:rFonts w:asciiTheme="minorHAnsi" w:hAnsiTheme="minorHAnsi"/>
        </w:rPr>
        <w:t xml:space="preserve"> The Francis H. Burr Proton Therapy Center opened in 2001</w:t>
      </w:r>
      <w:r w:rsidR="00FA76E6">
        <w:rPr>
          <w:rFonts w:asciiTheme="minorHAnsi" w:hAnsiTheme="minorHAnsi"/>
        </w:rPr>
        <w:t xml:space="preserve"> (three-room)</w:t>
      </w:r>
      <w:r w:rsidRPr="003F7897">
        <w:rPr>
          <w:rFonts w:asciiTheme="minorHAnsi" w:hAnsiTheme="minorHAnsi"/>
        </w:rPr>
        <w:t xml:space="preserve"> and was operational until February 14, 2025 at which point </w:t>
      </w:r>
      <w:r w:rsidR="00EE1C83">
        <w:rPr>
          <w:rFonts w:asciiTheme="minorHAnsi" w:hAnsiTheme="minorHAnsi"/>
        </w:rPr>
        <w:t xml:space="preserve">the Applicant states that </w:t>
      </w:r>
      <w:r w:rsidRPr="003F7897">
        <w:rPr>
          <w:rFonts w:asciiTheme="minorHAnsi" w:hAnsiTheme="minorHAnsi"/>
        </w:rPr>
        <w:t>it closed for renovations. The Gordon</w:t>
      </w:r>
      <w:r w:rsidR="00F123C4">
        <w:rPr>
          <w:rFonts w:asciiTheme="minorHAnsi" w:hAnsiTheme="minorHAnsi"/>
        </w:rPr>
        <w:t>-</w:t>
      </w:r>
      <w:r w:rsidRPr="003F7897">
        <w:rPr>
          <w:rFonts w:asciiTheme="minorHAnsi" w:hAnsiTheme="minorHAnsi"/>
        </w:rPr>
        <w:t xml:space="preserve">Browne Proton Therapy Center opened </w:t>
      </w:r>
      <w:r w:rsidRPr="003F7897">
        <w:rPr>
          <w:rFonts w:asciiTheme="minorHAnsi" w:hAnsiTheme="minorHAnsi"/>
        </w:rPr>
        <w:lastRenderedPageBreak/>
        <w:t>in 2020</w:t>
      </w:r>
      <w:r w:rsidR="0077025D">
        <w:rPr>
          <w:rFonts w:asciiTheme="minorHAnsi" w:hAnsiTheme="minorHAnsi"/>
        </w:rPr>
        <w:t xml:space="preserve"> (one-room)</w:t>
      </w:r>
      <w:r w:rsidRPr="003F7897">
        <w:rPr>
          <w:rFonts w:asciiTheme="minorHAnsi" w:hAnsiTheme="minorHAnsi"/>
        </w:rPr>
        <w:t xml:space="preserve">. The Applicant states that the </w:t>
      </w:r>
      <w:r w:rsidR="000E6E22">
        <w:rPr>
          <w:rFonts w:asciiTheme="minorHAnsi" w:hAnsiTheme="minorHAnsi"/>
        </w:rPr>
        <w:t xml:space="preserve">three-gantry </w:t>
      </w:r>
      <w:r w:rsidRPr="003F7897">
        <w:rPr>
          <w:rFonts w:asciiTheme="minorHAnsi" w:hAnsiTheme="minorHAnsi"/>
        </w:rPr>
        <w:t>Francis H. Burr Proton Therapy Center</w:t>
      </w:r>
      <w:r w:rsidRPr="004A3338">
        <w:t xml:space="preserve"> </w:t>
      </w:r>
      <w:r w:rsidRPr="003F7897">
        <w:rPr>
          <w:rFonts w:asciiTheme="minorHAnsi" w:hAnsiTheme="minorHAnsi"/>
        </w:rPr>
        <w:t>averaged 537 patients per year from 2018 to 2022, which the Applicant states is insufficient to meet the existing need for PBT among the Applicant’s pediatric</w:t>
      </w:r>
      <w:r w:rsidR="009922C6">
        <w:rPr>
          <w:rFonts w:asciiTheme="minorHAnsi" w:hAnsiTheme="minorHAnsi"/>
        </w:rPr>
        <w:t xml:space="preserve"> patients</w:t>
      </w:r>
      <w:r w:rsidRPr="003F7897">
        <w:rPr>
          <w:rFonts w:asciiTheme="minorHAnsi" w:hAnsiTheme="minorHAnsi"/>
        </w:rPr>
        <w:t xml:space="preserve"> alone. </w:t>
      </w:r>
    </w:p>
    <w:p w14:paraId="05C367A3" w14:textId="77777777" w:rsidR="00977494" w:rsidRDefault="00977494" w:rsidP="00977494">
      <w:pPr>
        <w:rPr>
          <w:rFonts w:asciiTheme="minorHAnsi" w:hAnsiTheme="minorHAnsi"/>
          <w:szCs w:val="24"/>
        </w:rPr>
      </w:pPr>
    </w:p>
    <w:p w14:paraId="346B94C2" w14:textId="23F01E57" w:rsidR="00977494" w:rsidRDefault="00977494" w:rsidP="00977494">
      <w:pPr>
        <w:rPr>
          <w:rFonts w:asciiTheme="minorHAnsi" w:hAnsiTheme="minorHAnsi"/>
        </w:rPr>
      </w:pPr>
      <w:r w:rsidRPr="1684A1F0">
        <w:rPr>
          <w:rFonts w:asciiTheme="minorHAnsi" w:hAnsiTheme="minorHAnsi"/>
        </w:rPr>
        <w:t xml:space="preserve">On December 10, 2025, UMass Memorial Health Care, Inc. (UMass) received DoN approval to add a proton beam service on the Marlborough Hospital campus. </w:t>
      </w:r>
      <w:r w:rsidR="00251276">
        <w:rPr>
          <w:rFonts w:asciiTheme="minorHAnsi" w:hAnsiTheme="minorHAnsi"/>
        </w:rPr>
        <w:t xml:space="preserve">The President and CEO of </w:t>
      </w:r>
      <w:r w:rsidR="00E77C5A">
        <w:rPr>
          <w:rFonts w:asciiTheme="minorHAnsi" w:hAnsiTheme="minorHAnsi"/>
        </w:rPr>
        <w:t>DFCI</w:t>
      </w:r>
      <w:r w:rsidRPr="1684A1F0">
        <w:rPr>
          <w:rFonts w:asciiTheme="minorHAnsi" w:hAnsiTheme="minorHAnsi"/>
        </w:rPr>
        <w:t xml:space="preserve"> submitted written comment (Public Comments #4) in support of UMass’ proposal, citing “a critical shortage of proton therapy capacity in New England.” The Applicant maintains that even with the approved PBT treatment at UMass, additional PBT capacity is still needed in Massachusetts, and unlike the PBT capacity at UMass, the additional PBT capacity</w:t>
      </w:r>
      <w:r>
        <w:rPr>
          <w:rFonts w:asciiTheme="minorHAnsi" w:hAnsiTheme="minorHAnsi"/>
        </w:rPr>
        <w:t xml:space="preserve"> and proximity to BCH</w:t>
      </w:r>
      <w:r w:rsidRPr="1684A1F0">
        <w:rPr>
          <w:rFonts w:asciiTheme="minorHAnsi" w:hAnsiTheme="minorHAnsi"/>
        </w:rPr>
        <w:t xml:space="preserve"> that the Proposed Project would provide would maintain the continuum of care for the Applicant’s pediatric patients with cancer. </w:t>
      </w:r>
    </w:p>
    <w:p w14:paraId="1E36A754" w14:textId="77777777" w:rsidR="00977494" w:rsidRDefault="00977494" w:rsidP="00977494">
      <w:pPr>
        <w:rPr>
          <w:rFonts w:asciiTheme="minorHAnsi" w:hAnsiTheme="minorHAnsi"/>
          <w:b/>
          <w:bCs/>
          <w:szCs w:val="24"/>
        </w:rPr>
      </w:pPr>
    </w:p>
    <w:p w14:paraId="0723DB56" w14:textId="4E1ECC2E" w:rsidR="00B447F3" w:rsidRPr="003436F0" w:rsidRDefault="00A4110F" w:rsidP="00BA2054">
      <w:pPr>
        <w:pStyle w:val="Heading1"/>
        <w:ind w:left="0"/>
      </w:pPr>
      <w:bookmarkStart w:id="2" w:name="_Toc223962989"/>
      <w:r w:rsidRPr="00C776B7">
        <w:rPr>
          <w:color w:val="1F497D" w:themeColor="text2"/>
        </w:rPr>
        <w:t>Patient Panel</w:t>
      </w:r>
      <w:r w:rsidR="000F1587">
        <w:rPr>
          <w:rStyle w:val="FootnoteReference"/>
          <w:rFonts w:asciiTheme="minorHAnsi" w:hAnsiTheme="minorHAnsi"/>
          <w:color w:val="42558C"/>
        </w:rPr>
        <w:footnoteReference w:id="10"/>
      </w:r>
      <w:bookmarkEnd w:id="2"/>
    </w:p>
    <w:p w14:paraId="017EE0AE" w14:textId="30FF76B5" w:rsidR="00B67756" w:rsidRDefault="53CBDF3B" w:rsidP="00B67756">
      <w:bookmarkStart w:id="3" w:name="Patient_Information_(2019)"/>
      <w:bookmarkEnd w:id="3"/>
      <w:r>
        <w:t xml:space="preserve">Table </w:t>
      </w:r>
      <w:r w:rsidR="752EDC10">
        <w:t>2</w:t>
      </w:r>
      <w:r>
        <w:t xml:space="preserve"> shows the Applicant’s Patient Panel, </w:t>
      </w:r>
      <w:r w:rsidR="15FB6000">
        <w:t xml:space="preserve">defined as unique patients seen from </w:t>
      </w:r>
      <w:r w:rsidR="728E3C91">
        <w:t>fiscal year (FY)</w:t>
      </w:r>
      <w:r w:rsidR="69B479B5">
        <w:t xml:space="preserve"> 20</w:t>
      </w:r>
      <w:r w:rsidR="728E3C91">
        <w:t>2</w:t>
      </w:r>
      <w:r w:rsidR="74028BAF">
        <w:t>2</w:t>
      </w:r>
      <w:r w:rsidR="15FB6000">
        <w:t xml:space="preserve"> to FY2</w:t>
      </w:r>
      <w:r w:rsidR="74028BAF">
        <w:t>4</w:t>
      </w:r>
      <w:r w:rsidR="15FB6000">
        <w:t xml:space="preserve">. </w:t>
      </w:r>
      <w:r w:rsidR="53AE43D8">
        <w:t xml:space="preserve">The Applicant states that its Patient Panel </w:t>
      </w:r>
      <w:r w:rsidR="5B139BCC">
        <w:t>encompasses an “extensive geographic area” that includes patients from Boston and surrounding areas,</w:t>
      </w:r>
      <w:r w:rsidR="05861128">
        <w:t xml:space="preserve"> patients from other New England states, and </w:t>
      </w:r>
      <w:r w:rsidR="1612DB69">
        <w:t xml:space="preserve">patients </w:t>
      </w:r>
      <w:r w:rsidR="39C5381E">
        <w:t xml:space="preserve">from </w:t>
      </w:r>
      <w:r w:rsidR="05861128">
        <w:t xml:space="preserve">states outside of New England. </w:t>
      </w:r>
      <w:r w:rsidR="11195A1B">
        <w:t>The Applicant’s Patient Panel</w:t>
      </w:r>
      <w:r w:rsidR="2205FCD3">
        <w:t xml:space="preserve">, </w:t>
      </w:r>
      <w:r w:rsidR="11195A1B">
        <w:t>increase</w:t>
      </w:r>
      <w:r w:rsidR="6ED44CCB">
        <w:t>d</w:t>
      </w:r>
      <w:r w:rsidR="11195A1B">
        <w:t xml:space="preserve"> by 14.5% from FY22 to FY24. </w:t>
      </w:r>
    </w:p>
    <w:p w14:paraId="6A4C065D" w14:textId="77777777" w:rsidR="0010771E" w:rsidRDefault="0010771E" w:rsidP="007B0C1F">
      <w:pPr>
        <w:rPr>
          <w:rFonts w:asciiTheme="minorHAnsi" w:hAnsiTheme="minorHAnsi"/>
          <w:b/>
          <w:bCs/>
          <w:u w:val="single"/>
        </w:rPr>
      </w:pPr>
    </w:p>
    <w:p w14:paraId="1167AED8" w14:textId="254BDC38" w:rsidR="00A77FA8" w:rsidRPr="00F761EE" w:rsidRDefault="009977C3" w:rsidP="007B0C1F">
      <w:pPr>
        <w:rPr>
          <w:rFonts w:asciiTheme="minorHAnsi" w:hAnsiTheme="minorHAnsi"/>
          <w:b/>
          <w:bCs/>
        </w:rPr>
      </w:pPr>
      <w:r w:rsidRPr="00F761EE">
        <w:rPr>
          <w:rFonts w:asciiTheme="minorHAnsi" w:hAnsiTheme="minorHAnsi"/>
          <w:b/>
          <w:bCs/>
          <w:u w:val="single"/>
        </w:rPr>
        <w:t xml:space="preserve">Table </w:t>
      </w:r>
      <w:r w:rsidR="00910A32" w:rsidRPr="00F761EE">
        <w:rPr>
          <w:rFonts w:asciiTheme="minorHAnsi" w:hAnsiTheme="minorHAnsi"/>
          <w:b/>
          <w:bCs/>
          <w:u w:val="single"/>
        </w:rPr>
        <w:t>2</w:t>
      </w:r>
      <w:r w:rsidRPr="00F761EE">
        <w:rPr>
          <w:rFonts w:asciiTheme="minorHAnsi" w:hAnsiTheme="minorHAnsi"/>
          <w:b/>
          <w:bCs/>
        </w:rPr>
        <w:t xml:space="preserve">: </w:t>
      </w:r>
      <w:r w:rsidR="00A00A70" w:rsidRPr="00F761EE">
        <w:rPr>
          <w:rFonts w:asciiTheme="minorHAnsi" w:hAnsiTheme="minorHAnsi"/>
          <w:b/>
          <w:bCs/>
        </w:rPr>
        <w:t>D</w:t>
      </w:r>
      <w:r w:rsidR="008D4A6F">
        <w:rPr>
          <w:rFonts w:asciiTheme="minorHAnsi" w:hAnsiTheme="minorHAnsi"/>
          <w:b/>
          <w:bCs/>
        </w:rPr>
        <w:t>FCI</w:t>
      </w:r>
      <w:r w:rsidR="00A00A70" w:rsidRPr="00F761EE">
        <w:rPr>
          <w:rFonts w:asciiTheme="minorHAnsi" w:hAnsiTheme="minorHAnsi"/>
          <w:b/>
          <w:bCs/>
        </w:rPr>
        <w:t xml:space="preserve"> </w:t>
      </w:r>
      <w:r w:rsidRPr="00F761EE">
        <w:rPr>
          <w:rFonts w:asciiTheme="minorHAnsi" w:hAnsiTheme="minorHAnsi"/>
          <w:b/>
          <w:bCs/>
        </w:rPr>
        <w:t>Patient Panel</w:t>
      </w:r>
      <w:r w:rsidR="00CD417B" w:rsidRPr="00F761EE">
        <w:rPr>
          <w:rFonts w:asciiTheme="minorHAnsi" w:hAnsiTheme="minorHAnsi"/>
          <w:b/>
          <w:bCs/>
        </w:rPr>
        <w:t>, FY2</w:t>
      </w:r>
      <w:r w:rsidR="00DE7D18" w:rsidRPr="00F761EE">
        <w:rPr>
          <w:rFonts w:asciiTheme="minorHAnsi" w:hAnsiTheme="minorHAnsi"/>
          <w:b/>
          <w:bCs/>
        </w:rPr>
        <w:t>2</w:t>
      </w:r>
      <w:r w:rsidR="00CD417B" w:rsidRPr="00F761EE">
        <w:rPr>
          <w:rFonts w:asciiTheme="minorHAnsi" w:hAnsiTheme="minorHAnsi"/>
          <w:b/>
          <w:bCs/>
        </w:rPr>
        <w:t xml:space="preserve"> to FY2</w:t>
      </w:r>
      <w:r w:rsidR="00DE7D18" w:rsidRPr="00F761EE">
        <w:rPr>
          <w:rFonts w:asciiTheme="minorHAnsi" w:hAnsiTheme="minorHAnsi"/>
          <w:b/>
          <w:bCs/>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1006"/>
        <w:gridCol w:w="1006"/>
        <w:gridCol w:w="1006"/>
        <w:gridCol w:w="1493"/>
      </w:tblGrid>
      <w:tr w:rsidR="000D13CF" w:rsidRPr="00F761EE" w14:paraId="7CD97307" w14:textId="392C0C9A" w:rsidTr="000D13CF">
        <w:trPr>
          <w:trHeight w:val="290"/>
        </w:trPr>
        <w:tc>
          <w:tcPr>
            <w:tcW w:w="0" w:type="auto"/>
            <w:noWrap/>
            <w:vAlign w:val="bottom"/>
            <w:hideMark/>
          </w:tcPr>
          <w:p w14:paraId="6C9F2BA6" w14:textId="77777777" w:rsidR="000D13CF" w:rsidRPr="00BE029D" w:rsidRDefault="000D13CF" w:rsidP="00BE029D">
            <w:pPr>
              <w:widowControl/>
              <w:autoSpaceDE/>
              <w:autoSpaceDN/>
              <w:rPr>
                <w:rFonts w:asciiTheme="minorHAnsi" w:eastAsia="Times New Roman" w:hAnsiTheme="minorHAnsi"/>
                <w:color w:val="000000"/>
                <w:szCs w:val="24"/>
              </w:rPr>
            </w:pPr>
            <w:r w:rsidRPr="00BE029D">
              <w:rPr>
                <w:rFonts w:asciiTheme="minorHAnsi" w:eastAsia="Times New Roman" w:hAnsiTheme="minorHAnsi"/>
                <w:color w:val="000000"/>
                <w:szCs w:val="24"/>
              </w:rPr>
              <w:t> </w:t>
            </w:r>
          </w:p>
        </w:tc>
        <w:tc>
          <w:tcPr>
            <w:tcW w:w="0" w:type="auto"/>
            <w:shd w:val="clear" w:color="auto" w:fill="DBE5F1" w:themeFill="accent1" w:themeFillTint="33"/>
            <w:noWrap/>
            <w:vAlign w:val="bottom"/>
            <w:hideMark/>
          </w:tcPr>
          <w:p w14:paraId="73A1A099" w14:textId="2A01B212" w:rsidR="000D13CF" w:rsidRPr="00BE029D" w:rsidRDefault="000D13CF" w:rsidP="00896E60">
            <w:pPr>
              <w:widowControl/>
              <w:autoSpaceDE/>
              <w:autoSpaceDN/>
              <w:jc w:val="center"/>
              <w:rPr>
                <w:rFonts w:asciiTheme="minorHAnsi" w:eastAsia="Times New Roman" w:hAnsiTheme="minorHAnsi"/>
                <w:b/>
                <w:bCs/>
                <w:color w:val="000000"/>
                <w:szCs w:val="24"/>
              </w:rPr>
            </w:pPr>
            <w:r w:rsidRPr="00BE029D">
              <w:rPr>
                <w:rFonts w:asciiTheme="minorHAnsi" w:eastAsia="Times New Roman" w:hAnsiTheme="minorHAnsi"/>
                <w:b/>
                <w:bCs/>
                <w:color w:val="000000"/>
                <w:szCs w:val="24"/>
              </w:rPr>
              <w:t>FY22</w:t>
            </w:r>
          </w:p>
        </w:tc>
        <w:tc>
          <w:tcPr>
            <w:tcW w:w="0" w:type="auto"/>
            <w:shd w:val="clear" w:color="auto" w:fill="DBE5F1" w:themeFill="accent1" w:themeFillTint="33"/>
            <w:noWrap/>
            <w:vAlign w:val="bottom"/>
            <w:hideMark/>
          </w:tcPr>
          <w:p w14:paraId="1A9AFCEE" w14:textId="77777777" w:rsidR="000D13CF" w:rsidRPr="00BE029D" w:rsidRDefault="000D13CF" w:rsidP="00896E60">
            <w:pPr>
              <w:widowControl/>
              <w:autoSpaceDE/>
              <w:autoSpaceDN/>
              <w:jc w:val="center"/>
              <w:rPr>
                <w:rFonts w:asciiTheme="minorHAnsi" w:eastAsia="Times New Roman" w:hAnsiTheme="minorHAnsi"/>
                <w:b/>
                <w:bCs/>
                <w:color w:val="000000"/>
                <w:szCs w:val="24"/>
              </w:rPr>
            </w:pPr>
            <w:r w:rsidRPr="00BE029D">
              <w:rPr>
                <w:rFonts w:asciiTheme="minorHAnsi" w:eastAsia="Times New Roman" w:hAnsiTheme="minorHAnsi"/>
                <w:b/>
                <w:bCs/>
                <w:color w:val="000000"/>
                <w:szCs w:val="24"/>
              </w:rPr>
              <w:t>FY23</w:t>
            </w:r>
          </w:p>
        </w:tc>
        <w:tc>
          <w:tcPr>
            <w:tcW w:w="0" w:type="auto"/>
            <w:shd w:val="clear" w:color="auto" w:fill="DBE5F1" w:themeFill="accent1" w:themeFillTint="33"/>
            <w:noWrap/>
            <w:vAlign w:val="bottom"/>
            <w:hideMark/>
          </w:tcPr>
          <w:p w14:paraId="46E5E6F0" w14:textId="77777777" w:rsidR="000D13CF" w:rsidRPr="00BE029D" w:rsidRDefault="000D13CF" w:rsidP="00896E60">
            <w:pPr>
              <w:widowControl/>
              <w:autoSpaceDE/>
              <w:autoSpaceDN/>
              <w:jc w:val="center"/>
              <w:rPr>
                <w:rFonts w:asciiTheme="minorHAnsi" w:eastAsia="Times New Roman" w:hAnsiTheme="minorHAnsi"/>
                <w:b/>
                <w:bCs/>
                <w:color w:val="000000"/>
                <w:szCs w:val="24"/>
              </w:rPr>
            </w:pPr>
            <w:r w:rsidRPr="00BE029D">
              <w:rPr>
                <w:rFonts w:asciiTheme="minorHAnsi" w:eastAsia="Times New Roman" w:hAnsiTheme="minorHAnsi"/>
                <w:b/>
                <w:bCs/>
                <w:color w:val="000000"/>
                <w:szCs w:val="24"/>
              </w:rPr>
              <w:t>FY24</w:t>
            </w:r>
          </w:p>
        </w:tc>
        <w:tc>
          <w:tcPr>
            <w:tcW w:w="0" w:type="auto"/>
            <w:shd w:val="clear" w:color="auto" w:fill="DBE5F1" w:themeFill="accent1" w:themeFillTint="33"/>
          </w:tcPr>
          <w:p w14:paraId="60794381" w14:textId="1E191BB5" w:rsidR="000D13CF" w:rsidRPr="00F761EE" w:rsidRDefault="000D13CF" w:rsidP="00896E60">
            <w:pPr>
              <w:widowControl/>
              <w:autoSpaceDE/>
              <w:autoSpaceDN/>
              <w:jc w:val="center"/>
              <w:rPr>
                <w:rFonts w:asciiTheme="minorHAnsi" w:eastAsia="Times New Roman" w:hAnsiTheme="minorHAnsi"/>
                <w:b/>
                <w:bCs/>
                <w:color w:val="000000"/>
                <w:szCs w:val="24"/>
              </w:rPr>
            </w:pPr>
            <w:r w:rsidRPr="00F761EE">
              <w:rPr>
                <w:rFonts w:asciiTheme="minorHAnsi" w:eastAsia="Times New Roman" w:hAnsiTheme="minorHAnsi"/>
                <w:b/>
                <w:bCs/>
                <w:color w:val="000000"/>
                <w:szCs w:val="24"/>
              </w:rPr>
              <w:t>% Change</w:t>
            </w:r>
          </w:p>
          <w:p w14:paraId="69EC528C" w14:textId="134BDD66" w:rsidR="000D13CF" w:rsidRPr="00F761EE" w:rsidRDefault="000D13CF" w:rsidP="00896E60">
            <w:pPr>
              <w:widowControl/>
              <w:autoSpaceDE/>
              <w:autoSpaceDN/>
              <w:jc w:val="center"/>
              <w:rPr>
                <w:rFonts w:asciiTheme="minorHAnsi" w:eastAsia="Times New Roman" w:hAnsiTheme="minorHAnsi"/>
                <w:b/>
                <w:bCs/>
                <w:color w:val="000000"/>
                <w:szCs w:val="24"/>
              </w:rPr>
            </w:pPr>
            <w:r w:rsidRPr="00F761EE">
              <w:rPr>
                <w:rFonts w:asciiTheme="minorHAnsi" w:eastAsia="Times New Roman" w:hAnsiTheme="minorHAnsi"/>
                <w:b/>
                <w:bCs/>
                <w:color w:val="000000"/>
                <w:szCs w:val="24"/>
              </w:rPr>
              <w:t>FY22 to FY24</w:t>
            </w:r>
          </w:p>
        </w:tc>
      </w:tr>
      <w:tr w:rsidR="000D13CF" w:rsidRPr="00F761EE" w14:paraId="609AC68A" w14:textId="3FFB5C40" w:rsidTr="000D13CF">
        <w:trPr>
          <w:trHeight w:val="290"/>
        </w:trPr>
        <w:tc>
          <w:tcPr>
            <w:tcW w:w="0" w:type="auto"/>
            <w:noWrap/>
            <w:vAlign w:val="bottom"/>
            <w:hideMark/>
          </w:tcPr>
          <w:p w14:paraId="525DF459" w14:textId="77777777" w:rsidR="000D13CF" w:rsidRPr="00BE029D" w:rsidRDefault="000D13CF" w:rsidP="00BE029D">
            <w:pPr>
              <w:widowControl/>
              <w:autoSpaceDE/>
              <w:autoSpaceDN/>
              <w:rPr>
                <w:rFonts w:asciiTheme="minorHAnsi" w:eastAsia="Times New Roman" w:hAnsiTheme="minorHAnsi"/>
                <w:b/>
                <w:bCs/>
                <w:color w:val="000000"/>
                <w:szCs w:val="24"/>
              </w:rPr>
            </w:pPr>
            <w:r w:rsidRPr="00BE029D">
              <w:rPr>
                <w:rFonts w:asciiTheme="minorHAnsi" w:eastAsia="Times New Roman" w:hAnsiTheme="minorHAnsi"/>
                <w:b/>
                <w:bCs/>
                <w:color w:val="000000"/>
                <w:szCs w:val="24"/>
              </w:rPr>
              <w:t xml:space="preserve">Total Unique Patients </w:t>
            </w:r>
          </w:p>
        </w:tc>
        <w:tc>
          <w:tcPr>
            <w:tcW w:w="0" w:type="auto"/>
            <w:noWrap/>
            <w:vAlign w:val="bottom"/>
            <w:hideMark/>
          </w:tcPr>
          <w:p w14:paraId="67FF4DF4" w14:textId="5603B92A" w:rsidR="000D13CF" w:rsidRPr="00BE029D" w:rsidRDefault="000D13CF" w:rsidP="00896E60">
            <w:pPr>
              <w:widowControl/>
              <w:autoSpaceDE/>
              <w:autoSpaceDN/>
              <w:jc w:val="center"/>
              <w:rPr>
                <w:rFonts w:asciiTheme="minorHAnsi" w:eastAsia="Times New Roman" w:hAnsiTheme="minorHAnsi"/>
                <w:color w:val="000000"/>
                <w:szCs w:val="24"/>
              </w:rPr>
            </w:pPr>
            <w:r w:rsidRPr="00BE029D">
              <w:rPr>
                <w:rFonts w:asciiTheme="minorHAnsi" w:eastAsia="Times New Roman" w:hAnsiTheme="minorHAnsi"/>
                <w:color w:val="000000"/>
                <w:szCs w:val="24"/>
              </w:rPr>
              <w:t>103,795</w:t>
            </w:r>
          </w:p>
        </w:tc>
        <w:tc>
          <w:tcPr>
            <w:tcW w:w="0" w:type="auto"/>
            <w:noWrap/>
            <w:vAlign w:val="bottom"/>
            <w:hideMark/>
          </w:tcPr>
          <w:p w14:paraId="692F2AF0" w14:textId="417AE52E" w:rsidR="000D13CF" w:rsidRPr="00BE029D" w:rsidRDefault="000D13CF" w:rsidP="00896E60">
            <w:pPr>
              <w:widowControl/>
              <w:autoSpaceDE/>
              <w:autoSpaceDN/>
              <w:jc w:val="center"/>
              <w:rPr>
                <w:rFonts w:asciiTheme="minorHAnsi" w:eastAsia="Times New Roman" w:hAnsiTheme="minorHAnsi"/>
                <w:color w:val="000000"/>
                <w:szCs w:val="24"/>
              </w:rPr>
            </w:pPr>
            <w:r w:rsidRPr="00BE029D">
              <w:rPr>
                <w:rFonts w:asciiTheme="minorHAnsi" w:eastAsia="Times New Roman" w:hAnsiTheme="minorHAnsi"/>
                <w:color w:val="000000"/>
                <w:szCs w:val="24"/>
              </w:rPr>
              <w:t>110,560</w:t>
            </w:r>
          </w:p>
        </w:tc>
        <w:tc>
          <w:tcPr>
            <w:tcW w:w="0" w:type="auto"/>
            <w:noWrap/>
            <w:vAlign w:val="bottom"/>
            <w:hideMark/>
          </w:tcPr>
          <w:p w14:paraId="7CBC5877" w14:textId="0BA004D0" w:rsidR="000D13CF" w:rsidRPr="00BE029D" w:rsidRDefault="000D13CF" w:rsidP="00896E60">
            <w:pPr>
              <w:widowControl/>
              <w:autoSpaceDE/>
              <w:autoSpaceDN/>
              <w:jc w:val="center"/>
              <w:rPr>
                <w:rFonts w:asciiTheme="minorHAnsi" w:eastAsia="Times New Roman" w:hAnsiTheme="minorHAnsi"/>
                <w:color w:val="000000"/>
                <w:szCs w:val="24"/>
              </w:rPr>
            </w:pPr>
            <w:r w:rsidRPr="00BE029D">
              <w:rPr>
                <w:rFonts w:asciiTheme="minorHAnsi" w:eastAsia="Times New Roman" w:hAnsiTheme="minorHAnsi"/>
                <w:color w:val="000000"/>
                <w:szCs w:val="24"/>
              </w:rPr>
              <w:t>118,830</w:t>
            </w:r>
          </w:p>
        </w:tc>
        <w:tc>
          <w:tcPr>
            <w:tcW w:w="0" w:type="auto"/>
          </w:tcPr>
          <w:p w14:paraId="290ED8F8" w14:textId="303BDC67" w:rsidR="000D13CF" w:rsidRPr="00F761EE" w:rsidRDefault="00636AC5" w:rsidP="00896E60">
            <w:pPr>
              <w:widowControl/>
              <w:autoSpaceDE/>
              <w:autoSpaceDN/>
              <w:jc w:val="center"/>
              <w:rPr>
                <w:rFonts w:asciiTheme="minorHAnsi" w:eastAsia="Times New Roman" w:hAnsiTheme="minorHAnsi"/>
                <w:color w:val="000000"/>
                <w:szCs w:val="24"/>
              </w:rPr>
            </w:pPr>
            <w:r w:rsidRPr="00F761EE">
              <w:rPr>
                <w:rFonts w:asciiTheme="minorHAnsi" w:eastAsia="Times New Roman" w:hAnsiTheme="minorHAnsi"/>
                <w:color w:val="000000"/>
                <w:szCs w:val="24"/>
              </w:rPr>
              <w:t>14.5%</w:t>
            </w:r>
          </w:p>
        </w:tc>
      </w:tr>
    </w:tbl>
    <w:p w14:paraId="7FF92D2E" w14:textId="77777777" w:rsidR="00DE7D18" w:rsidRPr="009977C3" w:rsidRDefault="00DE7D18" w:rsidP="007B0C1F">
      <w:pPr>
        <w:rPr>
          <w:b/>
          <w:bCs/>
        </w:rPr>
      </w:pPr>
    </w:p>
    <w:p w14:paraId="2F753464" w14:textId="41BBD759" w:rsidR="00591136" w:rsidRDefault="00E623BD" w:rsidP="007B0C1F">
      <w:r>
        <w:t xml:space="preserve">Table </w:t>
      </w:r>
      <w:r w:rsidR="00F761EE">
        <w:t>3</w:t>
      </w:r>
      <w:r>
        <w:t xml:space="preserve"> shows the Applicant’s </w:t>
      </w:r>
      <w:r w:rsidR="00616145">
        <w:t>Massachusetts</w:t>
      </w:r>
      <w:r w:rsidR="00F52C93">
        <w:t xml:space="preserve"> </w:t>
      </w:r>
      <w:r w:rsidR="00E77941">
        <w:t>patients</w:t>
      </w:r>
      <w:r w:rsidR="00F761EE">
        <w:t xml:space="preserve">. The Applicant’s Massachusetts </w:t>
      </w:r>
      <w:r w:rsidR="00E77941">
        <w:t xml:space="preserve">patients </w:t>
      </w:r>
      <w:r w:rsidR="00F761EE">
        <w:t xml:space="preserve"> increased by 14.8%</w:t>
      </w:r>
      <w:r w:rsidR="007537C6" w:rsidRPr="007537C6">
        <w:t xml:space="preserve"> from FY22 to FY24</w:t>
      </w:r>
      <w:r w:rsidR="00F761EE">
        <w:t xml:space="preserve">, slightly more than the Applicant’s Patient Panel. </w:t>
      </w:r>
      <w:r w:rsidR="00616145">
        <w:t xml:space="preserve"> </w:t>
      </w:r>
    </w:p>
    <w:p w14:paraId="5EF0DB8C" w14:textId="77777777" w:rsidR="00616145" w:rsidRDefault="00616145" w:rsidP="007B0C1F"/>
    <w:p w14:paraId="229BBE84" w14:textId="5B8D51F0" w:rsidR="00616145" w:rsidRDefault="00616145" w:rsidP="00616145">
      <w:pPr>
        <w:rPr>
          <w:b/>
          <w:bCs/>
        </w:rPr>
      </w:pPr>
      <w:r w:rsidRPr="009977C3">
        <w:rPr>
          <w:b/>
          <w:bCs/>
          <w:u w:val="single"/>
        </w:rPr>
        <w:t xml:space="preserve">Table </w:t>
      </w:r>
      <w:r w:rsidR="00F761EE">
        <w:rPr>
          <w:b/>
          <w:bCs/>
          <w:u w:val="single"/>
        </w:rPr>
        <w:t>3</w:t>
      </w:r>
      <w:r w:rsidRPr="009977C3">
        <w:rPr>
          <w:b/>
          <w:bCs/>
        </w:rPr>
        <w:t xml:space="preserve">: </w:t>
      </w:r>
      <w:r w:rsidR="00F050E5">
        <w:rPr>
          <w:b/>
          <w:bCs/>
        </w:rPr>
        <w:t>DFCI</w:t>
      </w:r>
      <w:r>
        <w:rPr>
          <w:b/>
          <w:bCs/>
        </w:rPr>
        <w:t xml:space="preserve"> Massachusetts </w:t>
      </w:r>
      <w:r w:rsidRPr="009977C3">
        <w:rPr>
          <w:b/>
          <w:bCs/>
        </w:rPr>
        <w:t>Patient</w:t>
      </w:r>
      <w:r w:rsidR="00E77941">
        <w:rPr>
          <w:b/>
          <w:bCs/>
        </w:rPr>
        <w:t>s</w:t>
      </w:r>
      <w:r>
        <w:rPr>
          <w:b/>
          <w:bCs/>
        </w:rPr>
        <w:t>, FY22 to FY24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885"/>
        <w:gridCol w:w="885"/>
        <w:gridCol w:w="885"/>
        <w:gridCol w:w="1493"/>
      </w:tblGrid>
      <w:tr w:rsidR="00733B59" w:rsidRPr="00733B59" w14:paraId="196761CE" w14:textId="7DFDC6F6" w:rsidTr="00593625">
        <w:trPr>
          <w:trHeight w:val="290"/>
        </w:trPr>
        <w:tc>
          <w:tcPr>
            <w:tcW w:w="0" w:type="auto"/>
            <w:noWrap/>
            <w:vAlign w:val="bottom"/>
            <w:hideMark/>
          </w:tcPr>
          <w:p w14:paraId="124E6D28" w14:textId="77777777" w:rsidR="00733B59" w:rsidRPr="00733B59" w:rsidRDefault="00733B59" w:rsidP="00733B59">
            <w:pPr>
              <w:widowControl/>
              <w:autoSpaceDE/>
              <w:autoSpaceDN/>
              <w:rPr>
                <w:rFonts w:eastAsia="Times New Roman" w:cs="Calibri"/>
                <w:color w:val="000000"/>
                <w:szCs w:val="24"/>
              </w:rPr>
            </w:pPr>
            <w:r w:rsidRPr="00733B59">
              <w:rPr>
                <w:rFonts w:eastAsia="Times New Roman" w:cs="Calibri"/>
                <w:color w:val="000000"/>
                <w:szCs w:val="24"/>
              </w:rPr>
              <w:t> </w:t>
            </w:r>
          </w:p>
        </w:tc>
        <w:tc>
          <w:tcPr>
            <w:tcW w:w="0" w:type="auto"/>
            <w:shd w:val="clear" w:color="auto" w:fill="DBE5F1" w:themeFill="accent1" w:themeFillTint="33"/>
            <w:noWrap/>
            <w:vAlign w:val="bottom"/>
            <w:hideMark/>
          </w:tcPr>
          <w:p w14:paraId="514D5204" w14:textId="77777777" w:rsidR="00733B59" w:rsidRPr="00733B59" w:rsidRDefault="00733B59" w:rsidP="00733B59">
            <w:pPr>
              <w:widowControl/>
              <w:autoSpaceDE/>
              <w:autoSpaceDN/>
              <w:jc w:val="center"/>
              <w:rPr>
                <w:rFonts w:eastAsia="Times New Roman" w:cs="Calibri"/>
                <w:b/>
                <w:bCs/>
                <w:color w:val="000000"/>
                <w:szCs w:val="24"/>
              </w:rPr>
            </w:pPr>
            <w:r w:rsidRPr="00733B59">
              <w:rPr>
                <w:rFonts w:eastAsia="Times New Roman" w:cs="Calibri"/>
                <w:b/>
                <w:bCs/>
                <w:color w:val="000000"/>
                <w:szCs w:val="24"/>
              </w:rPr>
              <w:t xml:space="preserve">FY22 </w:t>
            </w:r>
          </w:p>
        </w:tc>
        <w:tc>
          <w:tcPr>
            <w:tcW w:w="0" w:type="auto"/>
            <w:shd w:val="clear" w:color="auto" w:fill="DBE5F1" w:themeFill="accent1" w:themeFillTint="33"/>
            <w:noWrap/>
            <w:vAlign w:val="bottom"/>
            <w:hideMark/>
          </w:tcPr>
          <w:p w14:paraId="1E5051D3" w14:textId="77777777" w:rsidR="00733B59" w:rsidRPr="00733B59" w:rsidRDefault="00733B59" w:rsidP="00733B59">
            <w:pPr>
              <w:widowControl/>
              <w:autoSpaceDE/>
              <w:autoSpaceDN/>
              <w:jc w:val="center"/>
              <w:rPr>
                <w:rFonts w:eastAsia="Times New Roman" w:cs="Calibri"/>
                <w:b/>
                <w:bCs/>
                <w:color w:val="000000"/>
                <w:szCs w:val="24"/>
              </w:rPr>
            </w:pPr>
            <w:r w:rsidRPr="00733B59">
              <w:rPr>
                <w:rFonts w:eastAsia="Times New Roman" w:cs="Calibri"/>
                <w:b/>
                <w:bCs/>
                <w:color w:val="000000"/>
                <w:szCs w:val="24"/>
              </w:rPr>
              <w:t>FY23</w:t>
            </w:r>
          </w:p>
        </w:tc>
        <w:tc>
          <w:tcPr>
            <w:tcW w:w="0" w:type="auto"/>
            <w:shd w:val="clear" w:color="auto" w:fill="DBE5F1" w:themeFill="accent1" w:themeFillTint="33"/>
            <w:noWrap/>
            <w:vAlign w:val="bottom"/>
            <w:hideMark/>
          </w:tcPr>
          <w:p w14:paraId="0A5FD47C" w14:textId="77777777" w:rsidR="00733B59" w:rsidRPr="00733B59" w:rsidRDefault="00733B59" w:rsidP="00733B59">
            <w:pPr>
              <w:widowControl/>
              <w:autoSpaceDE/>
              <w:autoSpaceDN/>
              <w:jc w:val="center"/>
              <w:rPr>
                <w:rFonts w:eastAsia="Times New Roman" w:cs="Calibri"/>
                <w:b/>
                <w:bCs/>
                <w:color w:val="000000"/>
                <w:szCs w:val="24"/>
              </w:rPr>
            </w:pPr>
            <w:r w:rsidRPr="00733B59">
              <w:rPr>
                <w:rFonts w:eastAsia="Times New Roman" w:cs="Calibri"/>
                <w:b/>
                <w:bCs/>
                <w:color w:val="000000"/>
                <w:szCs w:val="24"/>
              </w:rPr>
              <w:t>FY24</w:t>
            </w:r>
          </w:p>
        </w:tc>
        <w:tc>
          <w:tcPr>
            <w:tcW w:w="0" w:type="auto"/>
            <w:shd w:val="clear" w:color="auto" w:fill="DBE5F1" w:themeFill="accent1" w:themeFillTint="33"/>
          </w:tcPr>
          <w:p w14:paraId="5AF40D6F" w14:textId="77777777" w:rsidR="00593625" w:rsidRPr="00F761EE" w:rsidRDefault="00733B59" w:rsidP="00733B59">
            <w:pPr>
              <w:widowControl/>
              <w:autoSpaceDE/>
              <w:autoSpaceDN/>
              <w:jc w:val="center"/>
              <w:rPr>
                <w:rFonts w:eastAsia="Times New Roman" w:cs="Calibri"/>
                <w:b/>
                <w:bCs/>
                <w:color w:val="000000"/>
                <w:szCs w:val="24"/>
              </w:rPr>
            </w:pPr>
            <w:r w:rsidRPr="00F761EE">
              <w:rPr>
                <w:rFonts w:eastAsia="Times New Roman" w:cs="Calibri"/>
                <w:b/>
                <w:bCs/>
                <w:color w:val="000000"/>
                <w:szCs w:val="24"/>
              </w:rPr>
              <w:t xml:space="preserve">% Change </w:t>
            </w:r>
          </w:p>
          <w:p w14:paraId="0BC6B53F" w14:textId="5EC587B5" w:rsidR="00733B59" w:rsidRPr="00F761EE" w:rsidRDefault="00733B59" w:rsidP="00733B59">
            <w:pPr>
              <w:widowControl/>
              <w:autoSpaceDE/>
              <w:autoSpaceDN/>
              <w:jc w:val="center"/>
              <w:rPr>
                <w:rFonts w:eastAsia="Times New Roman" w:cs="Calibri"/>
                <w:b/>
                <w:bCs/>
                <w:color w:val="000000"/>
                <w:szCs w:val="24"/>
              </w:rPr>
            </w:pPr>
            <w:r w:rsidRPr="00F761EE">
              <w:rPr>
                <w:rFonts w:eastAsia="Times New Roman" w:cs="Calibri"/>
                <w:b/>
                <w:bCs/>
                <w:color w:val="000000"/>
                <w:szCs w:val="24"/>
              </w:rPr>
              <w:t>FY22 to FY24</w:t>
            </w:r>
          </w:p>
        </w:tc>
      </w:tr>
      <w:tr w:rsidR="00733B59" w:rsidRPr="00733B59" w14:paraId="248745BF" w14:textId="6F3C0614" w:rsidTr="00593625">
        <w:trPr>
          <w:trHeight w:val="290"/>
        </w:trPr>
        <w:tc>
          <w:tcPr>
            <w:tcW w:w="0" w:type="auto"/>
            <w:noWrap/>
            <w:vAlign w:val="bottom"/>
            <w:hideMark/>
          </w:tcPr>
          <w:p w14:paraId="0C2B9DB2" w14:textId="77777777" w:rsidR="00733B59" w:rsidRPr="00733B59" w:rsidRDefault="00733B59" w:rsidP="00733B59">
            <w:pPr>
              <w:widowControl/>
              <w:autoSpaceDE/>
              <w:autoSpaceDN/>
              <w:rPr>
                <w:rFonts w:eastAsia="Times New Roman" w:cs="Calibri"/>
                <w:b/>
                <w:bCs/>
                <w:color w:val="000000"/>
                <w:szCs w:val="24"/>
              </w:rPr>
            </w:pPr>
            <w:r w:rsidRPr="00733B59">
              <w:rPr>
                <w:rFonts w:eastAsia="Times New Roman" w:cs="Calibri"/>
                <w:b/>
                <w:bCs/>
                <w:color w:val="000000"/>
                <w:szCs w:val="24"/>
              </w:rPr>
              <w:t xml:space="preserve">Total Unique Patients </w:t>
            </w:r>
          </w:p>
        </w:tc>
        <w:tc>
          <w:tcPr>
            <w:tcW w:w="0" w:type="auto"/>
            <w:noWrap/>
            <w:vAlign w:val="bottom"/>
            <w:hideMark/>
          </w:tcPr>
          <w:p w14:paraId="4FADAA4C" w14:textId="77777777" w:rsidR="00733B59" w:rsidRPr="00F761EE" w:rsidRDefault="00733B59" w:rsidP="00F761EE">
            <w:pPr>
              <w:widowControl/>
              <w:autoSpaceDE/>
              <w:autoSpaceDN/>
              <w:jc w:val="center"/>
              <w:rPr>
                <w:rFonts w:eastAsia="Times New Roman" w:cs="Calibri"/>
                <w:color w:val="000000"/>
                <w:szCs w:val="24"/>
              </w:rPr>
            </w:pPr>
            <w:r w:rsidRPr="00733B59">
              <w:rPr>
                <w:rFonts w:eastAsia="Times New Roman" w:cs="Calibri"/>
                <w:color w:val="000000"/>
                <w:szCs w:val="24"/>
              </w:rPr>
              <w:t>77,996</w:t>
            </w:r>
          </w:p>
          <w:p w14:paraId="0E518A11" w14:textId="77AFFF59" w:rsidR="00733B59" w:rsidRPr="00733B59" w:rsidRDefault="00733B59" w:rsidP="00F761EE">
            <w:pPr>
              <w:widowControl/>
              <w:autoSpaceDE/>
              <w:autoSpaceDN/>
              <w:jc w:val="center"/>
              <w:rPr>
                <w:rFonts w:eastAsia="Times New Roman" w:cs="Calibri"/>
                <w:color w:val="000000"/>
                <w:szCs w:val="24"/>
              </w:rPr>
            </w:pPr>
          </w:p>
        </w:tc>
        <w:tc>
          <w:tcPr>
            <w:tcW w:w="0" w:type="auto"/>
            <w:noWrap/>
            <w:vAlign w:val="bottom"/>
            <w:hideMark/>
          </w:tcPr>
          <w:p w14:paraId="697B18EC" w14:textId="77777777" w:rsidR="00733B59" w:rsidRPr="00F761EE" w:rsidRDefault="00733B59" w:rsidP="00F761EE">
            <w:pPr>
              <w:widowControl/>
              <w:autoSpaceDE/>
              <w:autoSpaceDN/>
              <w:jc w:val="center"/>
              <w:rPr>
                <w:rFonts w:eastAsia="Times New Roman" w:cs="Calibri"/>
                <w:color w:val="000000"/>
                <w:szCs w:val="24"/>
              </w:rPr>
            </w:pPr>
            <w:r w:rsidRPr="00733B59">
              <w:rPr>
                <w:rFonts w:eastAsia="Times New Roman" w:cs="Calibri"/>
                <w:color w:val="000000"/>
                <w:szCs w:val="24"/>
              </w:rPr>
              <w:t>82,885</w:t>
            </w:r>
          </w:p>
          <w:p w14:paraId="1B6C8445" w14:textId="35E3E514" w:rsidR="00733B59" w:rsidRPr="00733B59" w:rsidRDefault="00733B59" w:rsidP="00F761EE">
            <w:pPr>
              <w:widowControl/>
              <w:autoSpaceDE/>
              <w:autoSpaceDN/>
              <w:jc w:val="center"/>
              <w:rPr>
                <w:rFonts w:eastAsia="Times New Roman" w:cs="Calibri"/>
                <w:color w:val="000000"/>
                <w:szCs w:val="24"/>
              </w:rPr>
            </w:pPr>
          </w:p>
        </w:tc>
        <w:tc>
          <w:tcPr>
            <w:tcW w:w="0" w:type="auto"/>
            <w:noWrap/>
            <w:vAlign w:val="bottom"/>
            <w:hideMark/>
          </w:tcPr>
          <w:p w14:paraId="4DD4EBEA" w14:textId="77777777" w:rsidR="00733B59" w:rsidRPr="00F761EE" w:rsidRDefault="00733B59" w:rsidP="00F761EE">
            <w:pPr>
              <w:widowControl/>
              <w:autoSpaceDE/>
              <w:autoSpaceDN/>
              <w:jc w:val="center"/>
              <w:rPr>
                <w:rFonts w:eastAsia="Times New Roman" w:cs="Calibri"/>
                <w:color w:val="000000"/>
                <w:szCs w:val="24"/>
              </w:rPr>
            </w:pPr>
            <w:r w:rsidRPr="00733B59">
              <w:rPr>
                <w:rFonts w:eastAsia="Times New Roman" w:cs="Calibri"/>
                <w:color w:val="000000"/>
                <w:szCs w:val="24"/>
              </w:rPr>
              <w:t>89,515</w:t>
            </w:r>
          </w:p>
          <w:p w14:paraId="0449F6A2" w14:textId="02D811E7" w:rsidR="00733B59" w:rsidRPr="00733B59" w:rsidRDefault="00733B59" w:rsidP="00F761EE">
            <w:pPr>
              <w:widowControl/>
              <w:autoSpaceDE/>
              <w:autoSpaceDN/>
              <w:jc w:val="center"/>
              <w:rPr>
                <w:rFonts w:eastAsia="Times New Roman" w:cs="Calibri"/>
                <w:color w:val="000000"/>
                <w:szCs w:val="24"/>
              </w:rPr>
            </w:pPr>
          </w:p>
        </w:tc>
        <w:tc>
          <w:tcPr>
            <w:tcW w:w="0" w:type="auto"/>
          </w:tcPr>
          <w:p w14:paraId="6CC21A5C" w14:textId="69C9A446" w:rsidR="00733B59" w:rsidRPr="00F761EE" w:rsidRDefault="00F761EE" w:rsidP="00F761EE">
            <w:pPr>
              <w:widowControl/>
              <w:autoSpaceDE/>
              <w:autoSpaceDN/>
              <w:jc w:val="center"/>
              <w:rPr>
                <w:rFonts w:eastAsia="Times New Roman" w:cs="Calibri"/>
                <w:color w:val="000000"/>
                <w:szCs w:val="24"/>
              </w:rPr>
            </w:pPr>
            <w:r w:rsidRPr="00F761EE">
              <w:rPr>
                <w:rFonts w:eastAsia="Times New Roman" w:cs="Calibri"/>
                <w:color w:val="000000"/>
                <w:szCs w:val="24"/>
              </w:rPr>
              <w:t>14.8%</w:t>
            </w:r>
          </w:p>
        </w:tc>
      </w:tr>
    </w:tbl>
    <w:p w14:paraId="420749E9" w14:textId="77777777" w:rsidR="00616145" w:rsidRDefault="00616145" w:rsidP="007B0C1F"/>
    <w:p w14:paraId="35FF9BCF" w14:textId="2293A76B" w:rsidR="00B447F3" w:rsidRDefault="00A4110F" w:rsidP="00BA2054">
      <w:pPr>
        <w:pStyle w:val="NoSpacing"/>
        <w:rPr>
          <w:rFonts w:asciiTheme="minorHAnsi" w:hAnsiTheme="minorHAnsi" w:cstheme="minorHAnsi"/>
          <w:b/>
          <w:bCs/>
          <w:color w:val="1F497D" w:themeColor="text2"/>
          <w:sz w:val="28"/>
          <w:szCs w:val="28"/>
        </w:rPr>
      </w:pPr>
      <w:r w:rsidRPr="00C776B7">
        <w:rPr>
          <w:rFonts w:asciiTheme="minorHAnsi" w:hAnsiTheme="minorHAnsi" w:cstheme="minorHAnsi"/>
          <w:b/>
          <w:bCs/>
          <w:color w:val="1F497D" w:themeColor="text2"/>
          <w:sz w:val="28"/>
          <w:szCs w:val="28"/>
        </w:rPr>
        <w:t xml:space="preserve">Patient Information </w:t>
      </w:r>
    </w:p>
    <w:p w14:paraId="13C3A4C2" w14:textId="77777777" w:rsidR="009449AF" w:rsidRDefault="009449AF" w:rsidP="00BA2054"/>
    <w:p w14:paraId="5EBF0244" w14:textId="275A0355" w:rsidR="0064048B" w:rsidRDefault="00B96034" w:rsidP="00BA2054">
      <w:r>
        <w:t xml:space="preserve">Table </w:t>
      </w:r>
      <w:r w:rsidR="00F761EE">
        <w:t>4</w:t>
      </w:r>
      <w:r>
        <w:t xml:space="preserve"> provides</w:t>
      </w:r>
      <w:r w:rsidR="00596BA7">
        <w:t xml:space="preserve"> </w:t>
      </w:r>
      <w:r w:rsidR="001B13D0">
        <w:t xml:space="preserve">a </w:t>
      </w:r>
      <w:r w:rsidR="009449AF" w:rsidRPr="009449AF">
        <w:t>demographic and geographic profile</w:t>
      </w:r>
      <w:r>
        <w:t xml:space="preserve"> of the </w:t>
      </w:r>
      <w:r w:rsidR="0092271C">
        <w:t xml:space="preserve">Applicant’s </w:t>
      </w:r>
      <w:r w:rsidR="0008057E">
        <w:t xml:space="preserve">Total </w:t>
      </w:r>
      <w:r w:rsidR="00513DD5">
        <w:t xml:space="preserve">patients </w:t>
      </w:r>
      <w:r w:rsidR="003666FB">
        <w:t xml:space="preserve">and Massachusetts </w:t>
      </w:r>
      <w:r w:rsidR="00513DD5">
        <w:t>patients</w:t>
      </w:r>
      <w:r>
        <w:t xml:space="preserve"> </w:t>
      </w:r>
      <w:r w:rsidR="006E668A">
        <w:t>for FY2</w:t>
      </w:r>
      <w:r w:rsidR="003666FB">
        <w:t>4</w:t>
      </w:r>
      <w:r w:rsidR="00BC5D61">
        <w:t xml:space="preserve">. The demographic profile is similar across </w:t>
      </w:r>
      <w:r w:rsidR="003666FB">
        <w:t>the two</w:t>
      </w:r>
      <w:r w:rsidR="00BC5D61">
        <w:t xml:space="preserve"> </w:t>
      </w:r>
      <w:r w:rsidR="00513DD5">
        <w:t xml:space="preserve">patient </w:t>
      </w:r>
      <w:r w:rsidR="00513DD5">
        <w:lastRenderedPageBreak/>
        <w:t>populations</w:t>
      </w:r>
      <w:r w:rsidR="00BC5D61">
        <w:t>.</w:t>
      </w:r>
      <w:r w:rsidR="00DB16AB">
        <w:rPr>
          <w:rStyle w:val="FootnoteReference"/>
        </w:rPr>
        <w:footnoteReference w:id="11"/>
      </w:r>
      <w:r w:rsidR="00BC5D61">
        <w:t xml:space="preserve"> </w:t>
      </w:r>
    </w:p>
    <w:p w14:paraId="13DE6BFB" w14:textId="77777777" w:rsidR="00FA0884" w:rsidRDefault="00FA0884" w:rsidP="00BA2054"/>
    <w:p w14:paraId="6680F9CA" w14:textId="73752877" w:rsidR="003802C5" w:rsidRDefault="003802C5" w:rsidP="00BA2054">
      <w:r>
        <w:t xml:space="preserve">Staff note the following about the data presented in Table </w:t>
      </w:r>
      <w:r w:rsidR="003666FB">
        <w:t>4</w:t>
      </w:r>
      <w:r>
        <w:t>:</w:t>
      </w:r>
    </w:p>
    <w:p w14:paraId="3D8BB190" w14:textId="16C13110" w:rsidR="009D232D" w:rsidRDefault="009D232D">
      <w:pPr>
        <w:pStyle w:val="ListParagraph"/>
        <w:numPr>
          <w:ilvl w:val="0"/>
          <w:numId w:val="2"/>
        </w:numPr>
      </w:pPr>
      <w:r w:rsidRPr="00BC5D61">
        <w:rPr>
          <w:b/>
          <w:bCs/>
        </w:rPr>
        <w:t>Age</w:t>
      </w:r>
      <w:r>
        <w:t xml:space="preserve">: </w:t>
      </w:r>
      <w:r w:rsidR="00E91889">
        <w:t xml:space="preserve">Almost </w:t>
      </w:r>
      <w:r w:rsidR="00F259AD">
        <w:t>50</w:t>
      </w:r>
      <w:r w:rsidR="00E91889">
        <w:t xml:space="preserve">% of the Applicant’s </w:t>
      </w:r>
      <w:r w:rsidR="00B50FA4">
        <w:t>Total</w:t>
      </w:r>
      <w:r w:rsidR="00E91889">
        <w:t xml:space="preserve"> and Massachusetts </w:t>
      </w:r>
      <w:r w:rsidR="00513DD5">
        <w:t>patients</w:t>
      </w:r>
      <w:r w:rsidR="00E91889">
        <w:t xml:space="preserve"> are aged </w:t>
      </w:r>
      <w:r w:rsidR="00F259AD">
        <w:t xml:space="preserve">65 </w:t>
      </w:r>
      <w:r w:rsidR="00E91889">
        <w:t xml:space="preserve">and older. </w:t>
      </w:r>
      <w:r w:rsidR="00C60586">
        <w:t xml:space="preserve">Approximately 3% of the Applicant’s </w:t>
      </w:r>
      <w:r w:rsidR="00B50FA4">
        <w:t>Total</w:t>
      </w:r>
      <w:r w:rsidR="00C60586">
        <w:t xml:space="preserve"> and Massachusetts </w:t>
      </w:r>
      <w:r w:rsidR="00513DD5">
        <w:t>patients</w:t>
      </w:r>
      <w:r w:rsidR="00C60586">
        <w:t xml:space="preserve"> are age 21 and under. </w:t>
      </w:r>
    </w:p>
    <w:p w14:paraId="2AE3BFCE" w14:textId="03AECE69" w:rsidR="00BC5D61" w:rsidRDefault="00BC5D61">
      <w:pPr>
        <w:pStyle w:val="ListParagraph"/>
        <w:numPr>
          <w:ilvl w:val="0"/>
          <w:numId w:val="2"/>
        </w:numPr>
      </w:pPr>
      <w:r>
        <w:rPr>
          <w:b/>
          <w:bCs/>
        </w:rPr>
        <w:t>Race/Ethnicity</w:t>
      </w:r>
      <w:r w:rsidRPr="00BC5D61">
        <w:t>:</w:t>
      </w:r>
      <w:r>
        <w:t xml:space="preserve"> </w:t>
      </w:r>
      <w:r w:rsidR="00583176">
        <w:t xml:space="preserve">73% of the Applicant’s </w:t>
      </w:r>
      <w:r w:rsidR="00B50FA4">
        <w:t xml:space="preserve">Total </w:t>
      </w:r>
      <w:r w:rsidR="00513DD5">
        <w:t>patients</w:t>
      </w:r>
      <w:r w:rsidR="00583176">
        <w:t xml:space="preserve">, and 71% of the Applicant’s Massachusetts </w:t>
      </w:r>
      <w:r w:rsidR="00513DD5">
        <w:t>patients</w:t>
      </w:r>
      <w:r w:rsidR="00583176">
        <w:t xml:space="preserve"> identified at White. </w:t>
      </w:r>
      <w:r w:rsidR="00C60586">
        <w:t xml:space="preserve">Approximately 7% of the Applicant’s </w:t>
      </w:r>
      <w:r w:rsidR="00B50FA4">
        <w:t xml:space="preserve">Total </w:t>
      </w:r>
      <w:r w:rsidR="00513DD5">
        <w:t>patients</w:t>
      </w:r>
      <w:r w:rsidR="00C60586">
        <w:t xml:space="preserve"> and almost 9% of the Applicant’s Massachusetts </w:t>
      </w:r>
      <w:r w:rsidR="00513DD5">
        <w:t>patients</w:t>
      </w:r>
      <w:r w:rsidR="00C60586">
        <w:t xml:space="preserve"> identified as Hispanic or Latino. </w:t>
      </w:r>
    </w:p>
    <w:p w14:paraId="2FA18F87" w14:textId="4F26B152" w:rsidR="00BC5D61" w:rsidRPr="00BC5D61" w:rsidRDefault="00BC5D61">
      <w:pPr>
        <w:pStyle w:val="ListParagraph"/>
        <w:numPr>
          <w:ilvl w:val="0"/>
          <w:numId w:val="2"/>
        </w:numPr>
      </w:pPr>
      <w:r>
        <w:rPr>
          <w:b/>
          <w:bCs/>
        </w:rPr>
        <w:t xml:space="preserve">Patient Origin: </w:t>
      </w:r>
      <w:r w:rsidR="00354A8F" w:rsidRPr="00354A8F">
        <w:t xml:space="preserve">78.5% of the Applicant’s </w:t>
      </w:r>
      <w:r w:rsidR="00513DD5">
        <w:t>patients</w:t>
      </w:r>
      <w:r w:rsidR="00354A8F" w:rsidRPr="00354A8F">
        <w:t xml:space="preserve"> </w:t>
      </w:r>
      <w:r w:rsidR="00583176">
        <w:t>were from Massachusetts</w:t>
      </w:r>
      <w:r w:rsidR="007E5BB3">
        <w:t xml:space="preserve">, approximately </w:t>
      </w:r>
      <w:r w:rsidR="00A12599">
        <w:t>17.5</w:t>
      </w:r>
      <w:r w:rsidR="007E5BB3">
        <w:t xml:space="preserve">% were from other New England states, and </w:t>
      </w:r>
      <w:r w:rsidR="00827610">
        <w:t>4</w:t>
      </w:r>
      <w:r w:rsidR="007E5BB3">
        <w:t xml:space="preserve">% were from </w:t>
      </w:r>
      <w:r w:rsidR="005A62B9">
        <w:t xml:space="preserve">outside New England. </w:t>
      </w:r>
      <w:r w:rsidR="002650C4">
        <w:t xml:space="preserve">Of the </w:t>
      </w:r>
      <w:r w:rsidR="00E43222">
        <w:t xml:space="preserve">Applicant’s </w:t>
      </w:r>
      <w:r w:rsidR="002650C4">
        <w:t xml:space="preserve">Massachusetts patients, the largest percentage </w:t>
      </w:r>
      <w:r w:rsidR="00AF5B19">
        <w:t>originated</w:t>
      </w:r>
      <w:r w:rsidR="00E43222">
        <w:t xml:space="preserve"> </w:t>
      </w:r>
      <w:r w:rsidR="002650C4">
        <w:t xml:space="preserve">from </w:t>
      </w:r>
      <w:r w:rsidR="00E43222">
        <w:t>Norfolk (18.</w:t>
      </w:r>
      <w:r w:rsidR="00AF5B19">
        <w:t>8</w:t>
      </w:r>
      <w:r w:rsidR="00E43222">
        <w:t xml:space="preserve">%) and Middlesex (18.6%) Counties. </w:t>
      </w:r>
    </w:p>
    <w:p w14:paraId="5EBC45B4" w14:textId="77777777" w:rsidR="009449AF" w:rsidRPr="003B2CD4" w:rsidRDefault="009449AF" w:rsidP="003B2CD4">
      <w:pPr>
        <w:rPr>
          <w:rFonts w:asciiTheme="minorHAnsi" w:hAnsiTheme="minorHAnsi"/>
          <w:b/>
          <w:bCs/>
          <w:color w:val="1F497D" w:themeColor="text2"/>
          <w:sz w:val="28"/>
          <w:szCs w:val="28"/>
        </w:rPr>
      </w:pPr>
    </w:p>
    <w:p w14:paraId="440BCD18" w14:textId="04C5C4DD" w:rsidR="008917DC" w:rsidRDefault="00466C0D" w:rsidP="002C52D4">
      <w:pPr>
        <w:rPr>
          <w:rFonts w:asciiTheme="minorHAnsi" w:hAnsiTheme="minorHAnsi"/>
          <w:b/>
          <w:bCs/>
          <w:szCs w:val="24"/>
        </w:rPr>
      </w:pPr>
      <w:r w:rsidRPr="00BB7A67">
        <w:rPr>
          <w:rFonts w:asciiTheme="minorHAnsi" w:hAnsiTheme="minorHAnsi"/>
          <w:b/>
          <w:bCs/>
          <w:szCs w:val="24"/>
          <w:u w:val="single"/>
        </w:rPr>
        <w:t xml:space="preserve">Table </w:t>
      </w:r>
      <w:r w:rsidR="0083526F" w:rsidRPr="00BB7A67">
        <w:rPr>
          <w:rFonts w:asciiTheme="minorHAnsi" w:hAnsiTheme="minorHAnsi"/>
          <w:b/>
          <w:bCs/>
          <w:szCs w:val="24"/>
          <w:u w:val="single"/>
        </w:rPr>
        <w:t>4</w:t>
      </w:r>
      <w:r w:rsidRPr="00BB7A67">
        <w:rPr>
          <w:rFonts w:asciiTheme="minorHAnsi" w:hAnsiTheme="minorHAnsi"/>
          <w:b/>
          <w:bCs/>
          <w:szCs w:val="24"/>
          <w:u w:val="single"/>
        </w:rPr>
        <w:t>:</w:t>
      </w:r>
      <w:r w:rsidR="001D1ABB" w:rsidRPr="00BB7A67">
        <w:rPr>
          <w:rFonts w:asciiTheme="minorHAnsi" w:hAnsiTheme="minorHAnsi"/>
          <w:b/>
          <w:bCs/>
          <w:szCs w:val="24"/>
        </w:rPr>
        <w:t xml:space="preserve"> </w:t>
      </w:r>
      <w:r w:rsidR="00610165">
        <w:rPr>
          <w:rFonts w:asciiTheme="minorHAnsi" w:hAnsiTheme="minorHAnsi"/>
          <w:b/>
          <w:bCs/>
          <w:szCs w:val="24"/>
        </w:rPr>
        <w:t>DFCI</w:t>
      </w:r>
      <w:r w:rsidR="006A4FD9" w:rsidRPr="00BB7A67">
        <w:rPr>
          <w:rFonts w:asciiTheme="minorHAnsi" w:hAnsiTheme="minorHAnsi"/>
          <w:b/>
          <w:bCs/>
          <w:szCs w:val="24"/>
        </w:rPr>
        <w:t xml:space="preserve"> </w:t>
      </w:r>
      <w:r w:rsidR="001D1ABB" w:rsidRPr="00BB7A67">
        <w:rPr>
          <w:rFonts w:asciiTheme="minorHAnsi" w:hAnsiTheme="minorHAnsi"/>
          <w:b/>
          <w:bCs/>
          <w:szCs w:val="24"/>
        </w:rPr>
        <w:t>Patient</w:t>
      </w:r>
      <w:r w:rsidR="00446B14">
        <w:rPr>
          <w:rFonts w:asciiTheme="minorHAnsi" w:hAnsiTheme="minorHAnsi"/>
          <w:b/>
          <w:bCs/>
          <w:szCs w:val="24"/>
        </w:rPr>
        <w:t xml:space="preserve"> </w:t>
      </w:r>
      <w:r w:rsidR="001D1ABB" w:rsidRPr="00BB7A67">
        <w:rPr>
          <w:rFonts w:asciiTheme="minorHAnsi" w:hAnsiTheme="minorHAnsi"/>
          <w:b/>
          <w:bCs/>
          <w:szCs w:val="24"/>
        </w:rPr>
        <w:t>Information</w:t>
      </w:r>
      <w:r w:rsidR="008C5543">
        <w:rPr>
          <w:rFonts w:asciiTheme="minorHAnsi" w:hAnsiTheme="minorHAnsi"/>
          <w:b/>
          <w:bCs/>
          <w:szCs w:val="24"/>
        </w:rPr>
        <w:t xml:space="preserve"> (</w:t>
      </w:r>
      <w:r w:rsidR="00AF5B19">
        <w:rPr>
          <w:rFonts w:asciiTheme="minorHAnsi" w:hAnsiTheme="minorHAnsi"/>
          <w:b/>
          <w:bCs/>
          <w:szCs w:val="24"/>
        </w:rPr>
        <w:t>Total</w:t>
      </w:r>
      <w:r w:rsidR="004B4674">
        <w:rPr>
          <w:rFonts w:asciiTheme="minorHAnsi" w:hAnsiTheme="minorHAnsi"/>
          <w:b/>
          <w:bCs/>
          <w:szCs w:val="24"/>
        </w:rPr>
        <w:t xml:space="preserve"> </w:t>
      </w:r>
      <w:r w:rsidR="008C5543">
        <w:rPr>
          <w:rFonts w:asciiTheme="minorHAnsi" w:hAnsiTheme="minorHAnsi"/>
          <w:b/>
          <w:bCs/>
          <w:szCs w:val="24"/>
        </w:rPr>
        <w:t>and Massachusetts)</w:t>
      </w:r>
      <w:r w:rsidR="001D1ABB" w:rsidRPr="00BB7A67">
        <w:rPr>
          <w:rFonts w:asciiTheme="minorHAnsi" w:hAnsiTheme="minorHAnsi"/>
          <w:b/>
          <w:bCs/>
          <w:szCs w:val="24"/>
        </w:rPr>
        <w:t xml:space="preserve">, </w:t>
      </w:r>
      <w:r w:rsidR="00BC5D61" w:rsidRPr="00BB7A67">
        <w:rPr>
          <w:rFonts w:asciiTheme="minorHAnsi" w:hAnsiTheme="minorHAnsi"/>
          <w:b/>
          <w:bCs/>
          <w:szCs w:val="24"/>
        </w:rPr>
        <w:t>FY</w:t>
      </w:r>
      <w:r w:rsidR="001D1ABB" w:rsidRPr="00BB7A67">
        <w:rPr>
          <w:rFonts w:asciiTheme="minorHAnsi" w:hAnsiTheme="minorHAnsi"/>
          <w:b/>
          <w:bCs/>
          <w:szCs w:val="24"/>
        </w:rPr>
        <w:t>2</w:t>
      </w:r>
      <w:r w:rsidR="0083526F" w:rsidRPr="00BB7A67">
        <w:rPr>
          <w:rFonts w:asciiTheme="minorHAnsi" w:hAnsiTheme="minorHAnsi"/>
          <w:b/>
          <w:bCs/>
          <w:szCs w:val="24"/>
        </w:rPr>
        <w:t>4</w:t>
      </w:r>
      <w:r w:rsidR="001D1ABB" w:rsidRPr="00BB7A67">
        <w:rPr>
          <w:rFonts w:asciiTheme="minorHAnsi" w:hAnsiTheme="minorHAnsi"/>
          <w:b/>
          <w:bC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0"/>
        <w:gridCol w:w="1045"/>
        <w:gridCol w:w="1009"/>
        <w:gridCol w:w="2909"/>
        <w:gridCol w:w="942"/>
        <w:gridCol w:w="996"/>
      </w:tblGrid>
      <w:tr w:rsidR="00694316" w:rsidRPr="00617F96" w14:paraId="65C66BDB" w14:textId="77777777" w:rsidTr="00244E46">
        <w:trPr>
          <w:cantSplit/>
          <w:trHeight w:val="290"/>
          <w:tblHeader/>
        </w:trPr>
        <w:tc>
          <w:tcPr>
            <w:tcW w:w="2910" w:type="dxa"/>
            <w:shd w:val="clear" w:color="auto" w:fill="DBE5F1" w:themeFill="accent1" w:themeFillTint="33"/>
            <w:noWrap/>
            <w:vAlign w:val="bottom"/>
            <w:hideMark/>
          </w:tcPr>
          <w:p w14:paraId="4D1730AD" w14:textId="77777777" w:rsidR="00694316" w:rsidRPr="00617F96" w:rsidRDefault="00694316" w:rsidP="00694316">
            <w:pPr>
              <w:widowControl/>
              <w:autoSpaceDE/>
              <w:autoSpaceDN/>
              <w:rPr>
                <w:rFonts w:eastAsia="Times New Roman" w:cs="Calibri"/>
                <w:color w:val="000000"/>
                <w:sz w:val="22"/>
                <w:szCs w:val="22"/>
              </w:rPr>
            </w:pPr>
            <w:r w:rsidRPr="00617F96">
              <w:rPr>
                <w:rFonts w:eastAsia="Times New Roman" w:cs="Calibri"/>
                <w:color w:val="000000"/>
                <w:sz w:val="22"/>
                <w:szCs w:val="22"/>
              </w:rPr>
              <w:t> </w:t>
            </w:r>
          </w:p>
        </w:tc>
        <w:tc>
          <w:tcPr>
            <w:tcW w:w="1045" w:type="dxa"/>
            <w:shd w:val="clear" w:color="auto" w:fill="DBE5F1" w:themeFill="accent1" w:themeFillTint="33"/>
            <w:noWrap/>
            <w:vAlign w:val="bottom"/>
            <w:hideMark/>
          </w:tcPr>
          <w:p w14:paraId="7E8AC1C8" w14:textId="77777777" w:rsidR="00694316" w:rsidRPr="00617F96" w:rsidRDefault="00694316" w:rsidP="00694316">
            <w:pPr>
              <w:widowControl/>
              <w:autoSpaceDE/>
              <w:autoSpaceDN/>
              <w:jc w:val="center"/>
              <w:rPr>
                <w:rFonts w:eastAsia="Times New Roman" w:cs="Calibri"/>
                <w:b/>
                <w:bCs/>
                <w:color w:val="000000"/>
                <w:sz w:val="22"/>
                <w:szCs w:val="22"/>
              </w:rPr>
            </w:pPr>
            <w:r w:rsidRPr="00617F96">
              <w:rPr>
                <w:rFonts w:eastAsia="Times New Roman" w:cs="Calibri"/>
                <w:b/>
                <w:bCs/>
                <w:color w:val="000000"/>
                <w:sz w:val="22"/>
                <w:szCs w:val="22"/>
              </w:rPr>
              <w:t>Total</w:t>
            </w:r>
          </w:p>
        </w:tc>
        <w:tc>
          <w:tcPr>
            <w:tcW w:w="1009" w:type="dxa"/>
            <w:shd w:val="clear" w:color="auto" w:fill="DBE5F1" w:themeFill="accent1" w:themeFillTint="33"/>
            <w:vAlign w:val="bottom"/>
          </w:tcPr>
          <w:p w14:paraId="0DB34214" w14:textId="54B57F51" w:rsidR="00694316" w:rsidRPr="00617F96" w:rsidRDefault="00694316" w:rsidP="00694316">
            <w:pPr>
              <w:widowControl/>
              <w:autoSpaceDE/>
              <w:autoSpaceDN/>
              <w:jc w:val="center"/>
              <w:rPr>
                <w:rFonts w:eastAsia="Times New Roman" w:cs="Calibri"/>
                <w:b/>
                <w:bCs/>
                <w:color w:val="000000"/>
                <w:sz w:val="22"/>
                <w:szCs w:val="22"/>
              </w:rPr>
            </w:pPr>
            <w:r w:rsidRPr="00617F96">
              <w:rPr>
                <w:rFonts w:eastAsia="Times New Roman" w:cs="Calibri"/>
                <w:b/>
                <w:bCs/>
                <w:color w:val="000000"/>
                <w:sz w:val="22"/>
                <w:szCs w:val="22"/>
              </w:rPr>
              <w:t>Total</w:t>
            </w:r>
          </w:p>
        </w:tc>
        <w:tc>
          <w:tcPr>
            <w:tcW w:w="2909" w:type="dxa"/>
            <w:shd w:val="clear" w:color="auto" w:fill="DBE5F1" w:themeFill="accent1" w:themeFillTint="33"/>
            <w:noWrap/>
            <w:vAlign w:val="bottom"/>
            <w:hideMark/>
          </w:tcPr>
          <w:p w14:paraId="30FABBF4" w14:textId="77777777" w:rsidR="00694316" w:rsidRPr="00617F96" w:rsidRDefault="00694316" w:rsidP="00694316">
            <w:pPr>
              <w:widowControl/>
              <w:autoSpaceDE/>
              <w:autoSpaceDN/>
              <w:rPr>
                <w:rFonts w:eastAsia="Times New Roman" w:cs="Calibri"/>
                <w:color w:val="000000"/>
                <w:sz w:val="22"/>
                <w:szCs w:val="22"/>
              </w:rPr>
            </w:pPr>
            <w:r w:rsidRPr="00617F96">
              <w:rPr>
                <w:rFonts w:eastAsia="Times New Roman" w:cs="Calibri"/>
                <w:color w:val="000000"/>
                <w:sz w:val="22"/>
                <w:szCs w:val="22"/>
              </w:rPr>
              <w:t> </w:t>
            </w:r>
          </w:p>
        </w:tc>
        <w:tc>
          <w:tcPr>
            <w:tcW w:w="942" w:type="dxa"/>
            <w:shd w:val="clear" w:color="auto" w:fill="DBE5F1" w:themeFill="accent1" w:themeFillTint="33"/>
            <w:noWrap/>
            <w:vAlign w:val="bottom"/>
            <w:hideMark/>
          </w:tcPr>
          <w:p w14:paraId="25611D45" w14:textId="77777777" w:rsidR="00694316" w:rsidRPr="00617F96" w:rsidRDefault="00694316" w:rsidP="00694316">
            <w:pPr>
              <w:widowControl/>
              <w:autoSpaceDE/>
              <w:autoSpaceDN/>
              <w:jc w:val="center"/>
              <w:rPr>
                <w:rFonts w:eastAsia="Times New Roman" w:cs="Calibri"/>
                <w:b/>
                <w:bCs/>
                <w:color w:val="000000"/>
                <w:sz w:val="22"/>
                <w:szCs w:val="22"/>
              </w:rPr>
            </w:pPr>
            <w:r w:rsidRPr="00617F96">
              <w:rPr>
                <w:rFonts w:eastAsia="Times New Roman" w:cs="Calibri"/>
                <w:b/>
                <w:bCs/>
                <w:color w:val="000000"/>
                <w:sz w:val="22"/>
                <w:szCs w:val="22"/>
              </w:rPr>
              <w:t>Massachusetts</w:t>
            </w:r>
          </w:p>
        </w:tc>
        <w:tc>
          <w:tcPr>
            <w:tcW w:w="996" w:type="dxa"/>
            <w:shd w:val="clear" w:color="auto" w:fill="DBE5F1" w:themeFill="accent1" w:themeFillTint="33"/>
            <w:vAlign w:val="bottom"/>
          </w:tcPr>
          <w:p w14:paraId="1E094C72" w14:textId="77F20B20" w:rsidR="00694316" w:rsidRPr="00617F96" w:rsidRDefault="00694316" w:rsidP="00694316">
            <w:pPr>
              <w:widowControl/>
              <w:autoSpaceDE/>
              <w:autoSpaceDN/>
              <w:jc w:val="center"/>
              <w:rPr>
                <w:rFonts w:eastAsia="Times New Roman" w:cs="Calibri"/>
                <w:b/>
                <w:bCs/>
                <w:color w:val="000000"/>
                <w:sz w:val="22"/>
                <w:szCs w:val="22"/>
              </w:rPr>
            </w:pPr>
            <w:r w:rsidRPr="00617F96">
              <w:rPr>
                <w:rFonts w:eastAsia="Times New Roman" w:cs="Calibri"/>
                <w:b/>
                <w:bCs/>
                <w:color w:val="000000"/>
                <w:sz w:val="22"/>
                <w:szCs w:val="22"/>
              </w:rPr>
              <w:t>Massachusetts</w:t>
            </w:r>
          </w:p>
        </w:tc>
      </w:tr>
      <w:tr w:rsidR="00694316" w:rsidRPr="00617F96" w14:paraId="0F1FEB3B" w14:textId="77777777" w:rsidTr="00244E46">
        <w:trPr>
          <w:cantSplit/>
          <w:trHeight w:val="290"/>
          <w:tblHeader/>
        </w:trPr>
        <w:tc>
          <w:tcPr>
            <w:tcW w:w="2910" w:type="dxa"/>
            <w:shd w:val="clear" w:color="auto" w:fill="F2F2F2" w:themeFill="background1" w:themeFillShade="F2"/>
            <w:noWrap/>
            <w:vAlign w:val="bottom"/>
            <w:hideMark/>
          </w:tcPr>
          <w:p w14:paraId="0824A47A" w14:textId="77777777" w:rsidR="00694316" w:rsidRPr="00617F96" w:rsidRDefault="00694316" w:rsidP="00694316">
            <w:pPr>
              <w:widowControl/>
              <w:autoSpaceDE/>
              <w:autoSpaceDN/>
              <w:rPr>
                <w:rFonts w:eastAsia="Times New Roman" w:cs="Calibri"/>
                <w:color w:val="000000"/>
                <w:sz w:val="22"/>
                <w:szCs w:val="22"/>
              </w:rPr>
            </w:pPr>
            <w:r w:rsidRPr="00617F96">
              <w:rPr>
                <w:rFonts w:eastAsia="Times New Roman" w:cs="Calibri"/>
                <w:color w:val="000000"/>
                <w:sz w:val="22"/>
                <w:szCs w:val="22"/>
              </w:rPr>
              <w:t> </w:t>
            </w:r>
          </w:p>
        </w:tc>
        <w:tc>
          <w:tcPr>
            <w:tcW w:w="1045" w:type="dxa"/>
            <w:shd w:val="clear" w:color="auto" w:fill="F2F2F2" w:themeFill="background1" w:themeFillShade="F2"/>
            <w:noWrap/>
            <w:vAlign w:val="bottom"/>
            <w:hideMark/>
          </w:tcPr>
          <w:p w14:paraId="00C68FBA" w14:textId="77777777" w:rsidR="00694316" w:rsidRPr="00617F96" w:rsidRDefault="00694316" w:rsidP="00694316">
            <w:pPr>
              <w:widowControl/>
              <w:autoSpaceDE/>
              <w:autoSpaceDN/>
              <w:jc w:val="center"/>
              <w:rPr>
                <w:rFonts w:eastAsia="Times New Roman" w:cs="Calibri"/>
                <w:b/>
                <w:bCs/>
                <w:color w:val="000000"/>
                <w:sz w:val="22"/>
                <w:szCs w:val="22"/>
              </w:rPr>
            </w:pPr>
            <w:r w:rsidRPr="00617F96">
              <w:rPr>
                <w:rFonts w:eastAsia="Times New Roman" w:cs="Calibri"/>
                <w:b/>
                <w:bCs/>
                <w:color w:val="000000"/>
                <w:sz w:val="22"/>
                <w:szCs w:val="22"/>
              </w:rPr>
              <w:t>Count</w:t>
            </w:r>
          </w:p>
        </w:tc>
        <w:tc>
          <w:tcPr>
            <w:tcW w:w="1009" w:type="dxa"/>
            <w:shd w:val="clear" w:color="auto" w:fill="F2F2F2" w:themeFill="background1" w:themeFillShade="F2"/>
            <w:noWrap/>
            <w:vAlign w:val="bottom"/>
            <w:hideMark/>
          </w:tcPr>
          <w:p w14:paraId="5C8476E9" w14:textId="77777777" w:rsidR="00694316" w:rsidRPr="00617F96" w:rsidRDefault="00694316" w:rsidP="00694316">
            <w:pPr>
              <w:widowControl/>
              <w:autoSpaceDE/>
              <w:autoSpaceDN/>
              <w:jc w:val="center"/>
              <w:rPr>
                <w:rFonts w:eastAsia="Times New Roman" w:cs="Calibri"/>
                <w:b/>
                <w:bCs/>
                <w:color w:val="000000"/>
                <w:sz w:val="22"/>
                <w:szCs w:val="22"/>
              </w:rPr>
            </w:pPr>
            <w:r w:rsidRPr="00617F96">
              <w:rPr>
                <w:rFonts w:eastAsia="Times New Roman" w:cs="Calibri"/>
                <w:b/>
                <w:bCs/>
                <w:color w:val="000000"/>
                <w:sz w:val="22"/>
                <w:szCs w:val="22"/>
              </w:rPr>
              <w:t xml:space="preserve">Percent </w:t>
            </w:r>
          </w:p>
        </w:tc>
        <w:tc>
          <w:tcPr>
            <w:tcW w:w="2909" w:type="dxa"/>
            <w:shd w:val="clear" w:color="auto" w:fill="F2F2F2" w:themeFill="background1" w:themeFillShade="F2"/>
            <w:noWrap/>
            <w:vAlign w:val="bottom"/>
            <w:hideMark/>
          </w:tcPr>
          <w:p w14:paraId="60D2A628" w14:textId="77777777" w:rsidR="00694316" w:rsidRPr="00617F96" w:rsidRDefault="00694316" w:rsidP="00694316">
            <w:pPr>
              <w:widowControl/>
              <w:autoSpaceDE/>
              <w:autoSpaceDN/>
              <w:rPr>
                <w:rFonts w:eastAsia="Times New Roman" w:cs="Calibri"/>
                <w:b/>
                <w:bCs/>
                <w:color w:val="000000"/>
                <w:sz w:val="22"/>
                <w:szCs w:val="22"/>
              </w:rPr>
            </w:pPr>
            <w:r w:rsidRPr="00617F96">
              <w:rPr>
                <w:rFonts w:eastAsia="Times New Roman" w:cs="Calibri"/>
                <w:b/>
                <w:bCs/>
                <w:color w:val="000000"/>
                <w:sz w:val="22"/>
                <w:szCs w:val="22"/>
              </w:rPr>
              <w:t> </w:t>
            </w:r>
          </w:p>
        </w:tc>
        <w:tc>
          <w:tcPr>
            <w:tcW w:w="942" w:type="dxa"/>
            <w:shd w:val="clear" w:color="auto" w:fill="F2F2F2" w:themeFill="background1" w:themeFillShade="F2"/>
            <w:noWrap/>
            <w:vAlign w:val="bottom"/>
            <w:hideMark/>
          </w:tcPr>
          <w:p w14:paraId="0C3D25D9" w14:textId="77777777" w:rsidR="00694316" w:rsidRPr="00617F96" w:rsidRDefault="00694316" w:rsidP="00694316">
            <w:pPr>
              <w:widowControl/>
              <w:autoSpaceDE/>
              <w:autoSpaceDN/>
              <w:jc w:val="center"/>
              <w:rPr>
                <w:rFonts w:eastAsia="Times New Roman" w:cs="Calibri"/>
                <w:b/>
                <w:bCs/>
                <w:color w:val="000000"/>
                <w:sz w:val="22"/>
                <w:szCs w:val="22"/>
              </w:rPr>
            </w:pPr>
            <w:r w:rsidRPr="00617F96">
              <w:rPr>
                <w:rFonts w:eastAsia="Times New Roman" w:cs="Calibri"/>
                <w:b/>
                <w:bCs/>
                <w:color w:val="000000"/>
                <w:sz w:val="22"/>
                <w:szCs w:val="22"/>
              </w:rPr>
              <w:t>Count</w:t>
            </w:r>
          </w:p>
        </w:tc>
        <w:tc>
          <w:tcPr>
            <w:tcW w:w="996" w:type="dxa"/>
            <w:shd w:val="clear" w:color="auto" w:fill="F2F2F2" w:themeFill="background1" w:themeFillShade="F2"/>
            <w:noWrap/>
            <w:vAlign w:val="bottom"/>
            <w:hideMark/>
          </w:tcPr>
          <w:p w14:paraId="20E1BD17" w14:textId="77777777" w:rsidR="00694316" w:rsidRPr="00617F96" w:rsidRDefault="00694316" w:rsidP="00694316">
            <w:pPr>
              <w:widowControl/>
              <w:autoSpaceDE/>
              <w:autoSpaceDN/>
              <w:jc w:val="center"/>
              <w:rPr>
                <w:rFonts w:eastAsia="Times New Roman" w:cs="Calibri"/>
                <w:b/>
                <w:bCs/>
                <w:color w:val="000000"/>
                <w:sz w:val="22"/>
                <w:szCs w:val="22"/>
              </w:rPr>
            </w:pPr>
            <w:r w:rsidRPr="00617F96">
              <w:rPr>
                <w:rFonts w:eastAsia="Times New Roman" w:cs="Calibri"/>
                <w:b/>
                <w:bCs/>
                <w:color w:val="000000"/>
                <w:sz w:val="22"/>
                <w:szCs w:val="22"/>
              </w:rPr>
              <w:t xml:space="preserve">Percent </w:t>
            </w:r>
          </w:p>
        </w:tc>
      </w:tr>
      <w:tr w:rsidR="00694316" w:rsidRPr="00617F96" w14:paraId="136131F1" w14:textId="77777777" w:rsidTr="00244E46">
        <w:trPr>
          <w:cantSplit/>
          <w:trHeight w:val="290"/>
        </w:trPr>
        <w:tc>
          <w:tcPr>
            <w:tcW w:w="2910" w:type="dxa"/>
            <w:noWrap/>
            <w:vAlign w:val="bottom"/>
            <w:hideMark/>
          </w:tcPr>
          <w:p w14:paraId="56900209" w14:textId="77777777" w:rsidR="00694316" w:rsidRPr="00617F96" w:rsidRDefault="00694316" w:rsidP="00694316">
            <w:pPr>
              <w:widowControl/>
              <w:autoSpaceDE/>
              <w:autoSpaceDN/>
              <w:rPr>
                <w:rFonts w:eastAsia="Times New Roman" w:cs="Calibri"/>
                <w:b/>
                <w:bCs/>
                <w:color w:val="000000"/>
                <w:sz w:val="22"/>
                <w:szCs w:val="22"/>
              </w:rPr>
            </w:pPr>
            <w:r w:rsidRPr="00617F96">
              <w:rPr>
                <w:rFonts w:eastAsia="Times New Roman" w:cs="Calibri"/>
                <w:b/>
                <w:bCs/>
                <w:color w:val="000000"/>
                <w:sz w:val="22"/>
                <w:szCs w:val="22"/>
              </w:rPr>
              <w:t xml:space="preserve">Total Unique Patients </w:t>
            </w:r>
          </w:p>
        </w:tc>
        <w:tc>
          <w:tcPr>
            <w:tcW w:w="1045" w:type="dxa"/>
            <w:noWrap/>
            <w:vAlign w:val="bottom"/>
            <w:hideMark/>
          </w:tcPr>
          <w:p w14:paraId="6DAAF7AC"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118,830</w:t>
            </w:r>
          </w:p>
        </w:tc>
        <w:tc>
          <w:tcPr>
            <w:tcW w:w="1009" w:type="dxa"/>
            <w:noWrap/>
            <w:vAlign w:val="bottom"/>
            <w:hideMark/>
          </w:tcPr>
          <w:p w14:paraId="52EC6A9C"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100.0%</w:t>
            </w:r>
          </w:p>
        </w:tc>
        <w:tc>
          <w:tcPr>
            <w:tcW w:w="2909" w:type="dxa"/>
            <w:noWrap/>
            <w:vAlign w:val="bottom"/>
            <w:hideMark/>
          </w:tcPr>
          <w:p w14:paraId="52C2B684" w14:textId="77777777" w:rsidR="00694316" w:rsidRPr="00617F96" w:rsidRDefault="00694316" w:rsidP="00694316">
            <w:pPr>
              <w:widowControl/>
              <w:autoSpaceDE/>
              <w:autoSpaceDN/>
              <w:rPr>
                <w:rFonts w:eastAsia="Times New Roman" w:cs="Calibri"/>
                <w:b/>
                <w:bCs/>
                <w:color w:val="000000"/>
                <w:sz w:val="22"/>
                <w:szCs w:val="22"/>
              </w:rPr>
            </w:pPr>
            <w:r w:rsidRPr="00617F96">
              <w:rPr>
                <w:rFonts w:eastAsia="Times New Roman" w:cs="Calibri"/>
                <w:b/>
                <w:bCs/>
                <w:color w:val="000000"/>
                <w:sz w:val="22"/>
                <w:szCs w:val="22"/>
              </w:rPr>
              <w:t xml:space="preserve">Total Unique Patients </w:t>
            </w:r>
          </w:p>
        </w:tc>
        <w:tc>
          <w:tcPr>
            <w:tcW w:w="942" w:type="dxa"/>
            <w:noWrap/>
            <w:vAlign w:val="bottom"/>
            <w:hideMark/>
          </w:tcPr>
          <w:p w14:paraId="12E0C99C"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89,515</w:t>
            </w:r>
          </w:p>
        </w:tc>
        <w:tc>
          <w:tcPr>
            <w:tcW w:w="996" w:type="dxa"/>
            <w:noWrap/>
            <w:vAlign w:val="bottom"/>
            <w:hideMark/>
          </w:tcPr>
          <w:p w14:paraId="54A32F7A"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100.0%</w:t>
            </w:r>
          </w:p>
        </w:tc>
      </w:tr>
      <w:tr w:rsidR="00694316" w:rsidRPr="00617F96" w14:paraId="4D879A5C" w14:textId="77777777" w:rsidTr="00244E46">
        <w:trPr>
          <w:cantSplit/>
          <w:trHeight w:val="290"/>
        </w:trPr>
        <w:tc>
          <w:tcPr>
            <w:tcW w:w="2910" w:type="dxa"/>
            <w:shd w:val="clear" w:color="auto" w:fill="F2F2F2" w:themeFill="background1" w:themeFillShade="F2"/>
            <w:noWrap/>
            <w:vAlign w:val="bottom"/>
            <w:hideMark/>
          </w:tcPr>
          <w:p w14:paraId="7DAE31E6" w14:textId="77777777" w:rsidR="00694316" w:rsidRPr="00617F96" w:rsidRDefault="00694316" w:rsidP="00694316">
            <w:pPr>
              <w:widowControl/>
              <w:autoSpaceDE/>
              <w:autoSpaceDN/>
              <w:rPr>
                <w:rFonts w:eastAsia="Times New Roman" w:cs="Calibri"/>
                <w:b/>
                <w:bCs/>
                <w:color w:val="000000"/>
                <w:sz w:val="22"/>
                <w:szCs w:val="22"/>
              </w:rPr>
            </w:pPr>
            <w:r w:rsidRPr="00617F96">
              <w:rPr>
                <w:rFonts w:eastAsia="Times New Roman" w:cs="Calibri"/>
                <w:b/>
                <w:bCs/>
                <w:color w:val="000000"/>
                <w:sz w:val="22"/>
                <w:szCs w:val="22"/>
              </w:rPr>
              <w:t>Gender</w:t>
            </w:r>
          </w:p>
        </w:tc>
        <w:tc>
          <w:tcPr>
            <w:tcW w:w="1045" w:type="dxa"/>
            <w:shd w:val="clear" w:color="auto" w:fill="F2F2F2" w:themeFill="background1" w:themeFillShade="F2"/>
            <w:noWrap/>
            <w:vAlign w:val="bottom"/>
            <w:hideMark/>
          </w:tcPr>
          <w:p w14:paraId="1EBD4941" w14:textId="1C218723" w:rsidR="00694316" w:rsidRPr="00617F96" w:rsidRDefault="00694316" w:rsidP="00694316">
            <w:pPr>
              <w:widowControl/>
              <w:autoSpaceDE/>
              <w:autoSpaceDN/>
              <w:jc w:val="center"/>
              <w:rPr>
                <w:rFonts w:eastAsia="Times New Roman" w:cs="Calibri"/>
                <w:color w:val="000000"/>
                <w:sz w:val="22"/>
                <w:szCs w:val="22"/>
              </w:rPr>
            </w:pPr>
          </w:p>
        </w:tc>
        <w:tc>
          <w:tcPr>
            <w:tcW w:w="1009" w:type="dxa"/>
            <w:shd w:val="clear" w:color="auto" w:fill="F2F2F2" w:themeFill="background1" w:themeFillShade="F2"/>
            <w:noWrap/>
            <w:vAlign w:val="bottom"/>
            <w:hideMark/>
          </w:tcPr>
          <w:p w14:paraId="5EB01076" w14:textId="4D4A0E46" w:rsidR="00694316" w:rsidRPr="00617F96" w:rsidRDefault="00694316" w:rsidP="00694316">
            <w:pPr>
              <w:widowControl/>
              <w:autoSpaceDE/>
              <w:autoSpaceDN/>
              <w:jc w:val="center"/>
              <w:rPr>
                <w:rFonts w:eastAsia="Times New Roman" w:cs="Calibri"/>
                <w:color w:val="000000"/>
                <w:sz w:val="22"/>
                <w:szCs w:val="22"/>
              </w:rPr>
            </w:pPr>
          </w:p>
        </w:tc>
        <w:tc>
          <w:tcPr>
            <w:tcW w:w="2909" w:type="dxa"/>
            <w:shd w:val="clear" w:color="auto" w:fill="F2F2F2" w:themeFill="background1" w:themeFillShade="F2"/>
            <w:noWrap/>
            <w:vAlign w:val="bottom"/>
            <w:hideMark/>
          </w:tcPr>
          <w:p w14:paraId="23747482" w14:textId="77777777" w:rsidR="00694316" w:rsidRPr="00617F96" w:rsidRDefault="00694316" w:rsidP="00694316">
            <w:pPr>
              <w:widowControl/>
              <w:autoSpaceDE/>
              <w:autoSpaceDN/>
              <w:rPr>
                <w:rFonts w:eastAsia="Times New Roman" w:cs="Calibri"/>
                <w:b/>
                <w:bCs/>
                <w:color w:val="000000"/>
                <w:sz w:val="22"/>
                <w:szCs w:val="22"/>
              </w:rPr>
            </w:pPr>
            <w:r w:rsidRPr="00617F96">
              <w:rPr>
                <w:rFonts w:eastAsia="Times New Roman" w:cs="Calibri"/>
                <w:b/>
                <w:bCs/>
                <w:color w:val="000000"/>
                <w:sz w:val="22"/>
                <w:szCs w:val="22"/>
              </w:rPr>
              <w:t>Gender</w:t>
            </w:r>
          </w:p>
        </w:tc>
        <w:tc>
          <w:tcPr>
            <w:tcW w:w="942" w:type="dxa"/>
            <w:shd w:val="clear" w:color="auto" w:fill="F2F2F2" w:themeFill="background1" w:themeFillShade="F2"/>
            <w:noWrap/>
            <w:vAlign w:val="bottom"/>
            <w:hideMark/>
          </w:tcPr>
          <w:p w14:paraId="45A65972" w14:textId="77777777" w:rsidR="00694316" w:rsidRPr="00617F96" w:rsidRDefault="00694316" w:rsidP="00694316">
            <w:pPr>
              <w:widowControl/>
              <w:autoSpaceDE/>
              <w:autoSpaceDN/>
              <w:rPr>
                <w:rFonts w:eastAsia="Times New Roman" w:cs="Calibri"/>
                <w:color w:val="000000"/>
                <w:sz w:val="22"/>
                <w:szCs w:val="22"/>
              </w:rPr>
            </w:pPr>
            <w:r w:rsidRPr="00617F96">
              <w:rPr>
                <w:rFonts w:eastAsia="Times New Roman" w:cs="Calibri"/>
                <w:color w:val="000000"/>
                <w:sz w:val="22"/>
                <w:szCs w:val="22"/>
              </w:rPr>
              <w:t> </w:t>
            </w:r>
          </w:p>
        </w:tc>
        <w:tc>
          <w:tcPr>
            <w:tcW w:w="996" w:type="dxa"/>
            <w:shd w:val="clear" w:color="auto" w:fill="F2F2F2" w:themeFill="background1" w:themeFillShade="F2"/>
            <w:noWrap/>
            <w:vAlign w:val="bottom"/>
            <w:hideMark/>
          </w:tcPr>
          <w:p w14:paraId="19C2496D" w14:textId="77777777" w:rsidR="00694316" w:rsidRPr="00617F96" w:rsidRDefault="00694316" w:rsidP="00694316">
            <w:pPr>
              <w:widowControl/>
              <w:autoSpaceDE/>
              <w:autoSpaceDN/>
              <w:rPr>
                <w:rFonts w:eastAsia="Times New Roman" w:cs="Calibri"/>
                <w:color w:val="000000"/>
                <w:sz w:val="22"/>
                <w:szCs w:val="22"/>
              </w:rPr>
            </w:pPr>
            <w:r w:rsidRPr="00617F96">
              <w:rPr>
                <w:rFonts w:eastAsia="Times New Roman" w:cs="Calibri"/>
                <w:color w:val="000000"/>
                <w:sz w:val="22"/>
                <w:szCs w:val="22"/>
              </w:rPr>
              <w:t> </w:t>
            </w:r>
          </w:p>
        </w:tc>
      </w:tr>
      <w:tr w:rsidR="00694316" w:rsidRPr="00617F96" w14:paraId="3571796E" w14:textId="77777777" w:rsidTr="00244E46">
        <w:trPr>
          <w:cantSplit/>
          <w:trHeight w:val="290"/>
        </w:trPr>
        <w:tc>
          <w:tcPr>
            <w:tcW w:w="2910" w:type="dxa"/>
            <w:noWrap/>
            <w:vAlign w:val="bottom"/>
            <w:hideMark/>
          </w:tcPr>
          <w:p w14:paraId="6639AB5D"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 xml:space="preserve">Male </w:t>
            </w:r>
          </w:p>
        </w:tc>
        <w:tc>
          <w:tcPr>
            <w:tcW w:w="1045" w:type="dxa"/>
            <w:noWrap/>
            <w:vAlign w:val="bottom"/>
            <w:hideMark/>
          </w:tcPr>
          <w:p w14:paraId="4D6FF6DC"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44,810</w:t>
            </w:r>
          </w:p>
        </w:tc>
        <w:tc>
          <w:tcPr>
            <w:tcW w:w="1009" w:type="dxa"/>
            <w:noWrap/>
            <w:vAlign w:val="bottom"/>
            <w:hideMark/>
          </w:tcPr>
          <w:p w14:paraId="5B5E3B39"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37.7%</w:t>
            </w:r>
          </w:p>
        </w:tc>
        <w:tc>
          <w:tcPr>
            <w:tcW w:w="2909" w:type="dxa"/>
            <w:noWrap/>
            <w:vAlign w:val="bottom"/>
            <w:hideMark/>
          </w:tcPr>
          <w:p w14:paraId="4912E9B9"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 xml:space="preserve">Male </w:t>
            </w:r>
          </w:p>
        </w:tc>
        <w:tc>
          <w:tcPr>
            <w:tcW w:w="942" w:type="dxa"/>
            <w:noWrap/>
            <w:vAlign w:val="bottom"/>
            <w:hideMark/>
          </w:tcPr>
          <w:p w14:paraId="759D4D3F"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32,067</w:t>
            </w:r>
          </w:p>
        </w:tc>
        <w:tc>
          <w:tcPr>
            <w:tcW w:w="996" w:type="dxa"/>
            <w:noWrap/>
            <w:vAlign w:val="bottom"/>
            <w:hideMark/>
          </w:tcPr>
          <w:p w14:paraId="2EA9716F"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35.8%</w:t>
            </w:r>
          </w:p>
        </w:tc>
      </w:tr>
      <w:tr w:rsidR="00694316" w:rsidRPr="00617F96" w14:paraId="01B88A01" w14:textId="77777777" w:rsidTr="00244E46">
        <w:trPr>
          <w:cantSplit/>
          <w:trHeight w:val="290"/>
        </w:trPr>
        <w:tc>
          <w:tcPr>
            <w:tcW w:w="2910" w:type="dxa"/>
            <w:noWrap/>
            <w:vAlign w:val="bottom"/>
            <w:hideMark/>
          </w:tcPr>
          <w:p w14:paraId="5D4C3D16"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 xml:space="preserve">Female </w:t>
            </w:r>
          </w:p>
        </w:tc>
        <w:tc>
          <w:tcPr>
            <w:tcW w:w="1045" w:type="dxa"/>
            <w:noWrap/>
            <w:vAlign w:val="bottom"/>
            <w:hideMark/>
          </w:tcPr>
          <w:p w14:paraId="50D063CF"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74,012</w:t>
            </w:r>
          </w:p>
        </w:tc>
        <w:tc>
          <w:tcPr>
            <w:tcW w:w="1009" w:type="dxa"/>
            <w:noWrap/>
            <w:vAlign w:val="bottom"/>
            <w:hideMark/>
          </w:tcPr>
          <w:p w14:paraId="6591EED6"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62.3%</w:t>
            </w:r>
          </w:p>
        </w:tc>
        <w:tc>
          <w:tcPr>
            <w:tcW w:w="2909" w:type="dxa"/>
            <w:noWrap/>
            <w:vAlign w:val="bottom"/>
            <w:hideMark/>
          </w:tcPr>
          <w:p w14:paraId="2A848480"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 xml:space="preserve">Female </w:t>
            </w:r>
          </w:p>
        </w:tc>
        <w:tc>
          <w:tcPr>
            <w:tcW w:w="942" w:type="dxa"/>
            <w:noWrap/>
            <w:vAlign w:val="bottom"/>
            <w:hideMark/>
          </w:tcPr>
          <w:p w14:paraId="38DBE689"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57,444</w:t>
            </w:r>
          </w:p>
        </w:tc>
        <w:tc>
          <w:tcPr>
            <w:tcW w:w="996" w:type="dxa"/>
            <w:noWrap/>
            <w:vAlign w:val="bottom"/>
            <w:hideMark/>
          </w:tcPr>
          <w:p w14:paraId="6727ECE9"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64.2%</w:t>
            </w:r>
          </w:p>
        </w:tc>
      </w:tr>
      <w:tr w:rsidR="00694316" w:rsidRPr="00617F96" w14:paraId="37620B2B" w14:textId="77777777" w:rsidTr="00244E46">
        <w:trPr>
          <w:cantSplit/>
          <w:trHeight w:val="290"/>
        </w:trPr>
        <w:tc>
          <w:tcPr>
            <w:tcW w:w="2910" w:type="dxa"/>
            <w:noWrap/>
            <w:vAlign w:val="bottom"/>
            <w:hideMark/>
          </w:tcPr>
          <w:p w14:paraId="1F92F64C"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Unknown</w:t>
            </w:r>
          </w:p>
        </w:tc>
        <w:tc>
          <w:tcPr>
            <w:tcW w:w="1045" w:type="dxa"/>
            <w:noWrap/>
            <w:vAlign w:val="bottom"/>
            <w:hideMark/>
          </w:tcPr>
          <w:p w14:paraId="63FF8259" w14:textId="6B3A4A3D"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Masked</w:t>
            </w:r>
            <w:r w:rsidRPr="00617F96">
              <w:rPr>
                <w:rStyle w:val="FootnoteReference"/>
                <w:rFonts w:eastAsia="Times New Roman" w:cs="Calibri"/>
                <w:color w:val="000000"/>
                <w:sz w:val="22"/>
                <w:szCs w:val="22"/>
              </w:rPr>
              <w:footnoteReference w:id="12"/>
            </w:r>
          </w:p>
        </w:tc>
        <w:tc>
          <w:tcPr>
            <w:tcW w:w="1009" w:type="dxa"/>
            <w:noWrap/>
            <w:vAlign w:val="bottom"/>
            <w:hideMark/>
          </w:tcPr>
          <w:p w14:paraId="5C387EC6" w14:textId="2D1274FD"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Masked</w:t>
            </w:r>
          </w:p>
        </w:tc>
        <w:tc>
          <w:tcPr>
            <w:tcW w:w="2909" w:type="dxa"/>
            <w:noWrap/>
            <w:vAlign w:val="bottom"/>
            <w:hideMark/>
          </w:tcPr>
          <w:p w14:paraId="7E646817"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Unknown</w:t>
            </w:r>
          </w:p>
        </w:tc>
        <w:tc>
          <w:tcPr>
            <w:tcW w:w="942" w:type="dxa"/>
            <w:noWrap/>
            <w:vAlign w:val="bottom"/>
            <w:hideMark/>
          </w:tcPr>
          <w:p w14:paraId="6CFA255A" w14:textId="089D8FCE" w:rsidR="00694316" w:rsidRPr="00617F96" w:rsidRDefault="00694316" w:rsidP="00694316">
            <w:pPr>
              <w:widowControl/>
              <w:autoSpaceDE/>
              <w:autoSpaceDN/>
              <w:rPr>
                <w:rFonts w:eastAsia="Times New Roman" w:cs="Calibri"/>
                <w:color w:val="000000"/>
                <w:sz w:val="22"/>
                <w:szCs w:val="22"/>
              </w:rPr>
            </w:pPr>
            <w:r w:rsidRPr="00617F96">
              <w:rPr>
                <w:rFonts w:eastAsia="Times New Roman" w:cs="Calibri"/>
                <w:color w:val="000000"/>
                <w:sz w:val="22"/>
                <w:szCs w:val="22"/>
              </w:rPr>
              <w:t>Masked</w:t>
            </w:r>
            <w:r w:rsidRPr="00617F96">
              <w:rPr>
                <w:rStyle w:val="FootnoteReference"/>
                <w:rFonts w:eastAsia="Times New Roman" w:cs="Calibri"/>
                <w:color w:val="000000"/>
                <w:sz w:val="22"/>
                <w:szCs w:val="22"/>
              </w:rPr>
              <w:footnoteReference w:id="13"/>
            </w:r>
          </w:p>
        </w:tc>
        <w:tc>
          <w:tcPr>
            <w:tcW w:w="996" w:type="dxa"/>
            <w:noWrap/>
            <w:vAlign w:val="bottom"/>
            <w:hideMark/>
          </w:tcPr>
          <w:p w14:paraId="5377D638" w14:textId="77777777" w:rsidR="00694316" w:rsidRPr="00617F96" w:rsidRDefault="00694316" w:rsidP="00694316">
            <w:pPr>
              <w:widowControl/>
              <w:autoSpaceDE/>
              <w:autoSpaceDN/>
              <w:rPr>
                <w:rFonts w:eastAsia="Times New Roman" w:cs="Calibri"/>
                <w:color w:val="000000"/>
                <w:sz w:val="22"/>
                <w:szCs w:val="22"/>
              </w:rPr>
            </w:pPr>
            <w:r w:rsidRPr="00617F96">
              <w:rPr>
                <w:rFonts w:eastAsia="Times New Roman" w:cs="Calibri"/>
                <w:color w:val="000000"/>
                <w:sz w:val="22"/>
                <w:szCs w:val="22"/>
              </w:rPr>
              <w:t>Masked</w:t>
            </w:r>
          </w:p>
        </w:tc>
      </w:tr>
      <w:tr w:rsidR="00694316" w:rsidRPr="00617F96" w14:paraId="649136B2" w14:textId="77777777" w:rsidTr="00244E46">
        <w:trPr>
          <w:cantSplit/>
          <w:trHeight w:val="290"/>
        </w:trPr>
        <w:tc>
          <w:tcPr>
            <w:tcW w:w="2910" w:type="dxa"/>
            <w:shd w:val="clear" w:color="auto" w:fill="F2F2F2" w:themeFill="background1" w:themeFillShade="F2"/>
            <w:noWrap/>
            <w:vAlign w:val="bottom"/>
            <w:hideMark/>
          </w:tcPr>
          <w:p w14:paraId="47534EE1" w14:textId="5C1950C1" w:rsidR="00694316" w:rsidRPr="00617F96" w:rsidRDefault="00694316" w:rsidP="00694316">
            <w:pPr>
              <w:widowControl/>
              <w:autoSpaceDE/>
              <w:autoSpaceDN/>
              <w:rPr>
                <w:rFonts w:eastAsia="Times New Roman" w:cs="Calibri"/>
                <w:b/>
                <w:bCs/>
                <w:color w:val="000000"/>
                <w:sz w:val="22"/>
                <w:szCs w:val="22"/>
              </w:rPr>
            </w:pPr>
            <w:r w:rsidRPr="00617F96">
              <w:rPr>
                <w:rFonts w:eastAsia="Times New Roman" w:cs="Calibri"/>
                <w:b/>
                <w:bCs/>
                <w:color w:val="000000"/>
                <w:sz w:val="22"/>
                <w:szCs w:val="22"/>
              </w:rPr>
              <w:t>Age</w:t>
            </w:r>
            <w:r w:rsidRPr="00617F96">
              <w:rPr>
                <w:rStyle w:val="FootnoteReference"/>
                <w:rFonts w:eastAsia="Times New Roman" w:cs="Calibri"/>
                <w:b/>
                <w:bCs/>
                <w:color w:val="000000"/>
                <w:sz w:val="22"/>
                <w:szCs w:val="22"/>
              </w:rPr>
              <w:footnoteReference w:id="14"/>
            </w:r>
          </w:p>
        </w:tc>
        <w:tc>
          <w:tcPr>
            <w:tcW w:w="1045" w:type="dxa"/>
            <w:shd w:val="clear" w:color="auto" w:fill="F2F2F2" w:themeFill="background1" w:themeFillShade="F2"/>
            <w:noWrap/>
            <w:vAlign w:val="bottom"/>
            <w:hideMark/>
          </w:tcPr>
          <w:p w14:paraId="6205FAE8" w14:textId="381ED46B" w:rsidR="00694316" w:rsidRPr="00617F96" w:rsidRDefault="00694316" w:rsidP="00694316">
            <w:pPr>
              <w:widowControl/>
              <w:autoSpaceDE/>
              <w:autoSpaceDN/>
              <w:jc w:val="center"/>
              <w:rPr>
                <w:rFonts w:eastAsia="Times New Roman" w:cs="Calibri"/>
                <w:color w:val="000000"/>
                <w:sz w:val="22"/>
                <w:szCs w:val="22"/>
              </w:rPr>
            </w:pPr>
          </w:p>
        </w:tc>
        <w:tc>
          <w:tcPr>
            <w:tcW w:w="1009" w:type="dxa"/>
            <w:shd w:val="clear" w:color="auto" w:fill="F2F2F2" w:themeFill="background1" w:themeFillShade="F2"/>
            <w:noWrap/>
            <w:vAlign w:val="bottom"/>
            <w:hideMark/>
          </w:tcPr>
          <w:p w14:paraId="1A778913" w14:textId="11C7E3CB" w:rsidR="00694316" w:rsidRPr="00617F96" w:rsidRDefault="00694316" w:rsidP="00694316">
            <w:pPr>
              <w:widowControl/>
              <w:autoSpaceDE/>
              <w:autoSpaceDN/>
              <w:jc w:val="center"/>
              <w:rPr>
                <w:rFonts w:eastAsia="Times New Roman" w:cs="Calibri"/>
                <w:color w:val="000000"/>
                <w:sz w:val="22"/>
                <w:szCs w:val="22"/>
              </w:rPr>
            </w:pPr>
          </w:p>
        </w:tc>
        <w:tc>
          <w:tcPr>
            <w:tcW w:w="2909" w:type="dxa"/>
            <w:shd w:val="clear" w:color="auto" w:fill="F2F2F2" w:themeFill="background1" w:themeFillShade="F2"/>
            <w:noWrap/>
            <w:vAlign w:val="bottom"/>
            <w:hideMark/>
          </w:tcPr>
          <w:p w14:paraId="76D25BDD" w14:textId="456EA2C1" w:rsidR="00694316" w:rsidRPr="00617F96" w:rsidRDefault="00694316" w:rsidP="00694316">
            <w:pPr>
              <w:widowControl/>
              <w:autoSpaceDE/>
              <w:autoSpaceDN/>
              <w:rPr>
                <w:rFonts w:eastAsia="Times New Roman" w:cs="Calibri"/>
                <w:b/>
                <w:bCs/>
                <w:color w:val="000000"/>
                <w:sz w:val="22"/>
                <w:szCs w:val="22"/>
              </w:rPr>
            </w:pPr>
            <w:r w:rsidRPr="00617F96">
              <w:rPr>
                <w:rFonts w:eastAsia="Times New Roman" w:cs="Calibri"/>
                <w:b/>
                <w:bCs/>
                <w:color w:val="000000"/>
                <w:sz w:val="22"/>
                <w:szCs w:val="22"/>
              </w:rPr>
              <w:t>Age</w:t>
            </w:r>
            <w:r w:rsidRPr="00617F96">
              <w:rPr>
                <w:rStyle w:val="FootnoteReference"/>
                <w:rFonts w:eastAsia="Times New Roman" w:cs="Calibri"/>
                <w:b/>
                <w:bCs/>
                <w:color w:val="000000"/>
                <w:sz w:val="22"/>
                <w:szCs w:val="22"/>
              </w:rPr>
              <w:footnoteReference w:id="15"/>
            </w:r>
          </w:p>
        </w:tc>
        <w:tc>
          <w:tcPr>
            <w:tcW w:w="942" w:type="dxa"/>
            <w:shd w:val="clear" w:color="auto" w:fill="F2F2F2" w:themeFill="background1" w:themeFillShade="F2"/>
            <w:noWrap/>
            <w:vAlign w:val="bottom"/>
            <w:hideMark/>
          </w:tcPr>
          <w:p w14:paraId="7F1B35CD" w14:textId="77777777" w:rsidR="00694316" w:rsidRPr="00617F96" w:rsidRDefault="00694316" w:rsidP="00694316">
            <w:pPr>
              <w:widowControl/>
              <w:autoSpaceDE/>
              <w:autoSpaceDN/>
              <w:rPr>
                <w:rFonts w:eastAsia="Times New Roman" w:cs="Calibri"/>
                <w:color w:val="000000"/>
                <w:sz w:val="22"/>
                <w:szCs w:val="22"/>
              </w:rPr>
            </w:pPr>
            <w:r w:rsidRPr="00617F96">
              <w:rPr>
                <w:rFonts w:eastAsia="Times New Roman" w:cs="Calibri"/>
                <w:color w:val="000000"/>
                <w:sz w:val="22"/>
                <w:szCs w:val="22"/>
              </w:rPr>
              <w:t> </w:t>
            </w:r>
          </w:p>
        </w:tc>
        <w:tc>
          <w:tcPr>
            <w:tcW w:w="996" w:type="dxa"/>
            <w:shd w:val="clear" w:color="auto" w:fill="F2F2F2" w:themeFill="background1" w:themeFillShade="F2"/>
            <w:noWrap/>
            <w:vAlign w:val="bottom"/>
            <w:hideMark/>
          </w:tcPr>
          <w:p w14:paraId="51EBF7E0" w14:textId="77777777" w:rsidR="00694316" w:rsidRPr="00617F96" w:rsidRDefault="00694316" w:rsidP="00694316">
            <w:pPr>
              <w:widowControl/>
              <w:autoSpaceDE/>
              <w:autoSpaceDN/>
              <w:rPr>
                <w:rFonts w:eastAsia="Times New Roman" w:cs="Calibri"/>
                <w:color w:val="000000"/>
                <w:sz w:val="22"/>
                <w:szCs w:val="22"/>
              </w:rPr>
            </w:pPr>
            <w:r w:rsidRPr="00617F96">
              <w:rPr>
                <w:rFonts w:eastAsia="Times New Roman" w:cs="Calibri"/>
                <w:color w:val="000000"/>
                <w:sz w:val="22"/>
                <w:szCs w:val="22"/>
              </w:rPr>
              <w:t> </w:t>
            </w:r>
          </w:p>
        </w:tc>
      </w:tr>
      <w:tr w:rsidR="00694316" w:rsidRPr="00617F96" w14:paraId="509BE400" w14:textId="77777777" w:rsidTr="00244E46">
        <w:trPr>
          <w:cantSplit/>
          <w:trHeight w:val="290"/>
        </w:trPr>
        <w:tc>
          <w:tcPr>
            <w:tcW w:w="2910" w:type="dxa"/>
            <w:noWrap/>
            <w:vAlign w:val="bottom"/>
            <w:hideMark/>
          </w:tcPr>
          <w:p w14:paraId="31EC4134"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21 and Under</w:t>
            </w:r>
          </w:p>
        </w:tc>
        <w:tc>
          <w:tcPr>
            <w:tcW w:w="1045" w:type="dxa"/>
            <w:shd w:val="clear" w:color="000000" w:fill="FFFFFF"/>
            <w:noWrap/>
            <w:vAlign w:val="bottom"/>
            <w:hideMark/>
          </w:tcPr>
          <w:p w14:paraId="4F8E2901"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3,671</w:t>
            </w:r>
          </w:p>
        </w:tc>
        <w:tc>
          <w:tcPr>
            <w:tcW w:w="1009" w:type="dxa"/>
            <w:shd w:val="clear" w:color="000000" w:fill="FFFFFF"/>
            <w:noWrap/>
            <w:vAlign w:val="bottom"/>
            <w:hideMark/>
          </w:tcPr>
          <w:p w14:paraId="1BC7DF49"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3.1%</w:t>
            </w:r>
          </w:p>
        </w:tc>
        <w:tc>
          <w:tcPr>
            <w:tcW w:w="2909" w:type="dxa"/>
            <w:noWrap/>
            <w:vAlign w:val="bottom"/>
            <w:hideMark/>
          </w:tcPr>
          <w:p w14:paraId="5DCDB7C7"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21 and Under</w:t>
            </w:r>
          </w:p>
        </w:tc>
        <w:tc>
          <w:tcPr>
            <w:tcW w:w="942" w:type="dxa"/>
            <w:shd w:val="clear" w:color="000000" w:fill="FFFFFF"/>
            <w:noWrap/>
            <w:vAlign w:val="bottom"/>
            <w:hideMark/>
          </w:tcPr>
          <w:p w14:paraId="38103957"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2,560</w:t>
            </w:r>
          </w:p>
        </w:tc>
        <w:tc>
          <w:tcPr>
            <w:tcW w:w="996" w:type="dxa"/>
            <w:noWrap/>
            <w:vAlign w:val="bottom"/>
            <w:hideMark/>
          </w:tcPr>
          <w:p w14:paraId="61749598"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2.9%</w:t>
            </w:r>
          </w:p>
        </w:tc>
      </w:tr>
      <w:tr w:rsidR="00694316" w:rsidRPr="00617F96" w14:paraId="48D6B7CD" w14:textId="77777777" w:rsidTr="00244E46">
        <w:trPr>
          <w:cantSplit/>
          <w:trHeight w:val="290"/>
        </w:trPr>
        <w:tc>
          <w:tcPr>
            <w:tcW w:w="2910" w:type="dxa"/>
            <w:noWrap/>
            <w:vAlign w:val="bottom"/>
            <w:hideMark/>
          </w:tcPr>
          <w:p w14:paraId="0786B08A"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22-35</w:t>
            </w:r>
          </w:p>
        </w:tc>
        <w:tc>
          <w:tcPr>
            <w:tcW w:w="1045" w:type="dxa"/>
            <w:shd w:val="clear" w:color="000000" w:fill="FFFFFF"/>
            <w:noWrap/>
            <w:vAlign w:val="bottom"/>
            <w:hideMark/>
          </w:tcPr>
          <w:p w14:paraId="552F5E1F"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7,504</w:t>
            </w:r>
          </w:p>
        </w:tc>
        <w:tc>
          <w:tcPr>
            <w:tcW w:w="1009" w:type="dxa"/>
            <w:shd w:val="clear" w:color="000000" w:fill="FFFFFF"/>
            <w:noWrap/>
            <w:vAlign w:val="bottom"/>
            <w:hideMark/>
          </w:tcPr>
          <w:p w14:paraId="153AA9C0"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6.3%</w:t>
            </w:r>
          </w:p>
        </w:tc>
        <w:tc>
          <w:tcPr>
            <w:tcW w:w="2909" w:type="dxa"/>
            <w:noWrap/>
            <w:vAlign w:val="bottom"/>
            <w:hideMark/>
          </w:tcPr>
          <w:p w14:paraId="068EE01A"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22-35</w:t>
            </w:r>
          </w:p>
        </w:tc>
        <w:tc>
          <w:tcPr>
            <w:tcW w:w="942" w:type="dxa"/>
            <w:shd w:val="clear" w:color="000000" w:fill="FFFFFF"/>
            <w:noWrap/>
            <w:vAlign w:val="bottom"/>
            <w:hideMark/>
          </w:tcPr>
          <w:p w14:paraId="32380583"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5,783</w:t>
            </w:r>
          </w:p>
        </w:tc>
        <w:tc>
          <w:tcPr>
            <w:tcW w:w="996" w:type="dxa"/>
            <w:noWrap/>
            <w:vAlign w:val="bottom"/>
            <w:hideMark/>
          </w:tcPr>
          <w:p w14:paraId="2A3831AE"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6.5%</w:t>
            </w:r>
          </w:p>
        </w:tc>
      </w:tr>
      <w:tr w:rsidR="00694316" w:rsidRPr="00617F96" w14:paraId="6D420725" w14:textId="77777777" w:rsidTr="00244E46">
        <w:trPr>
          <w:cantSplit/>
          <w:trHeight w:val="290"/>
        </w:trPr>
        <w:tc>
          <w:tcPr>
            <w:tcW w:w="2910" w:type="dxa"/>
            <w:noWrap/>
            <w:vAlign w:val="bottom"/>
            <w:hideMark/>
          </w:tcPr>
          <w:p w14:paraId="70561A46"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36-55</w:t>
            </w:r>
          </w:p>
        </w:tc>
        <w:tc>
          <w:tcPr>
            <w:tcW w:w="1045" w:type="dxa"/>
            <w:shd w:val="clear" w:color="000000" w:fill="FFFFFF"/>
            <w:noWrap/>
            <w:vAlign w:val="bottom"/>
            <w:hideMark/>
          </w:tcPr>
          <w:p w14:paraId="323AD15D"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27,103</w:t>
            </w:r>
          </w:p>
        </w:tc>
        <w:tc>
          <w:tcPr>
            <w:tcW w:w="1009" w:type="dxa"/>
            <w:shd w:val="clear" w:color="000000" w:fill="FFFFFF"/>
            <w:noWrap/>
            <w:vAlign w:val="bottom"/>
            <w:hideMark/>
          </w:tcPr>
          <w:p w14:paraId="157E9FD9"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22.8%</w:t>
            </w:r>
          </w:p>
        </w:tc>
        <w:tc>
          <w:tcPr>
            <w:tcW w:w="2909" w:type="dxa"/>
            <w:noWrap/>
            <w:vAlign w:val="bottom"/>
            <w:hideMark/>
          </w:tcPr>
          <w:p w14:paraId="35C7111D"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36-55</w:t>
            </w:r>
          </w:p>
        </w:tc>
        <w:tc>
          <w:tcPr>
            <w:tcW w:w="942" w:type="dxa"/>
            <w:shd w:val="clear" w:color="000000" w:fill="FFFFFF"/>
            <w:noWrap/>
            <w:vAlign w:val="bottom"/>
            <w:hideMark/>
          </w:tcPr>
          <w:p w14:paraId="30E851BD"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20,558</w:t>
            </w:r>
          </w:p>
        </w:tc>
        <w:tc>
          <w:tcPr>
            <w:tcW w:w="996" w:type="dxa"/>
            <w:noWrap/>
            <w:vAlign w:val="bottom"/>
            <w:hideMark/>
          </w:tcPr>
          <w:p w14:paraId="5B948F15"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23.0%</w:t>
            </w:r>
          </w:p>
        </w:tc>
      </w:tr>
      <w:tr w:rsidR="00694316" w:rsidRPr="00617F96" w14:paraId="2277AE3F" w14:textId="77777777" w:rsidTr="00244E46">
        <w:trPr>
          <w:cantSplit/>
          <w:trHeight w:val="290"/>
        </w:trPr>
        <w:tc>
          <w:tcPr>
            <w:tcW w:w="2910" w:type="dxa"/>
            <w:noWrap/>
            <w:vAlign w:val="bottom"/>
            <w:hideMark/>
          </w:tcPr>
          <w:p w14:paraId="19191393" w14:textId="578D581A"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56-6</w:t>
            </w:r>
            <w:r>
              <w:rPr>
                <w:rFonts w:eastAsia="Times New Roman" w:cs="Calibri"/>
                <w:color w:val="000000"/>
                <w:sz w:val="22"/>
                <w:szCs w:val="22"/>
              </w:rPr>
              <w:t>4</w:t>
            </w:r>
          </w:p>
        </w:tc>
        <w:tc>
          <w:tcPr>
            <w:tcW w:w="1045" w:type="dxa"/>
            <w:shd w:val="clear" w:color="000000" w:fill="FFFFFF"/>
            <w:noWrap/>
            <w:vAlign w:val="bottom"/>
            <w:hideMark/>
          </w:tcPr>
          <w:p w14:paraId="7210AF10"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24,247</w:t>
            </w:r>
          </w:p>
        </w:tc>
        <w:tc>
          <w:tcPr>
            <w:tcW w:w="1009" w:type="dxa"/>
            <w:shd w:val="clear" w:color="000000" w:fill="FFFFFF"/>
            <w:noWrap/>
            <w:vAlign w:val="bottom"/>
            <w:hideMark/>
          </w:tcPr>
          <w:p w14:paraId="0518EFA7"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20.4%</w:t>
            </w:r>
          </w:p>
        </w:tc>
        <w:tc>
          <w:tcPr>
            <w:tcW w:w="2909" w:type="dxa"/>
            <w:noWrap/>
            <w:vAlign w:val="bottom"/>
            <w:hideMark/>
          </w:tcPr>
          <w:p w14:paraId="28AE9071" w14:textId="6479B735"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56-6</w:t>
            </w:r>
            <w:r>
              <w:rPr>
                <w:rFonts w:eastAsia="Times New Roman" w:cs="Calibri"/>
                <w:color w:val="000000"/>
                <w:sz w:val="22"/>
                <w:szCs w:val="22"/>
              </w:rPr>
              <w:t>4</w:t>
            </w:r>
          </w:p>
        </w:tc>
        <w:tc>
          <w:tcPr>
            <w:tcW w:w="942" w:type="dxa"/>
            <w:shd w:val="clear" w:color="000000" w:fill="FFFFFF"/>
            <w:noWrap/>
            <w:vAlign w:val="bottom"/>
            <w:hideMark/>
          </w:tcPr>
          <w:p w14:paraId="4BE8106C"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17,781</w:t>
            </w:r>
          </w:p>
        </w:tc>
        <w:tc>
          <w:tcPr>
            <w:tcW w:w="996" w:type="dxa"/>
            <w:noWrap/>
            <w:vAlign w:val="bottom"/>
            <w:hideMark/>
          </w:tcPr>
          <w:p w14:paraId="20CAE31E"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19.9%</w:t>
            </w:r>
          </w:p>
        </w:tc>
      </w:tr>
      <w:tr w:rsidR="00694316" w:rsidRPr="00617F96" w14:paraId="2B963440" w14:textId="77777777" w:rsidTr="00244E46">
        <w:trPr>
          <w:cantSplit/>
          <w:trHeight w:val="290"/>
        </w:trPr>
        <w:tc>
          <w:tcPr>
            <w:tcW w:w="2910" w:type="dxa"/>
            <w:noWrap/>
            <w:vAlign w:val="bottom"/>
            <w:hideMark/>
          </w:tcPr>
          <w:p w14:paraId="64647124"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65+</w:t>
            </w:r>
          </w:p>
        </w:tc>
        <w:tc>
          <w:tcPr>
            <w:tcW w:w="1045" w:type="dxa"/>
            <w:shd w:val="clear" w:color="000000" w:fill="FFFFFF"/>
            <w:noWrap/>
            <w:vAlign w:val="bottom"/>
            <w:hideMark/>
          </w:tcPr>
          <w:p w14:paraId="7C554C23"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58,520</w:t>
            </w:r>
          </w:p>
        </w:tc>
        <w:tc>
          <w:tcPr>
            <w:tcW w:w="1009" w:type="dxa"/>
            <w:shd w:val="clear" w:color="000000" w:fill="FFFFFF"/>
            <w:noWrap/>
            <w:vAlign w:val="bottom"/>
            <w:hideMark/>
          </w:tcPr>
          <w:p w14:paraId="6F56E7A7"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49.2%</w:t>
            </w:r>
          </w:p>
        </w:tc>
        <w:tc>
          <w:tcPr>
            <w:tcW w:w="2909" w:type="dxa"/>
            <w:noWrap/>
            <w:vAlign w:val="bottom"/>
            <w:hideMark/>
          </w:tcPr>
          <w:p w14:paraId="7401E521"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65+</w:t>
            </w:r>
          </w:p>
        </w:tc>
        <w:tc>
          <w:tcPr>
            <w:tcW w:w="942" w:type="dxa"/>
            <w:shd w:val="clear" w:color="000000" w:fill="FFFFFF"/>
            <w:noWrap/>
            <w:vAlign w:val="bottom"/>
            <w:hideMark/>
          </w:tcPr>
          <w:p w14:paraId="07C01FBF"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44,441</w:t>
            </w:r>
          </w:p>
        </w:tc>
        <w:tc>
          <w:tcPr>
            <w:tcW w:w="996" w:type="dxa"/>
            <w:noWrap/>
            <w:vAlign w:val="bottom"/>
            <w:hideMark/>
          </w:tcPr>
          <w:p w14:paraId="708EA67E"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49.6%</w:t>
            </w:r>
          </w:p>
        </w:tc>
      </w:tr>
      <w:tr w:rsidR="00694316" w:rsidRPr="00617F96" w14:paraId="038DC389" w14:textId="77777777" w:rsidTr="00244E46">
        <w:trPr>
          <w:cantSplit/>
          <w:trHeight w:val="290"/>
        </w:trPr>
        <w:tc>
          <w:tcPr>
            <w:tcW w:w="2910" w:type="dxa"/>
            <w:shd w:val="clear" w:color="auto" w:fill="F2F2F2" w:themeFill="background1" w:themeFillShade="F2"/>
            <w:noWrap/>
            <w:vAlign w:val="bottom"/>
            <w:hideMark/>
          </w:tcPr>
          <w:p w14:paraId="3C5F341F" w14:textId="49F6276C" w:rsidR="00694316" w:rsidRPr="00617F96" w:rsidRDefault="00694316" w:rsidP="00694316">
            <w:pPr>
              <w:widowControl/>
              <w:autoSpaceDE/>
              <w:autoSpaceDN/>
              <w:rPr>
                <w:rFonts w:eastAsia="Times New Roman" w:cs="Calibri"/>
                <w:b/>
                <w:bCs/>
                <w:color w:val="000000"/>
                <w:sz w:val="22"/>
                <w:szCs w:val="22"/>
              </w:rPr>
            </w:pPr>
            <w:r w:rsidRPr="00617F96">
              <w:rPr>
                <w:rFonts w:eastAsia="Times New Roman" w:cs="Calibri"/>
                <w:b/>
                <w:bCs/>
                <w:color w:val="000000"/>
                <w:sz w:val="22"/>
                <w:szCs w:val="22"/>
              </w:rPr>
              <w:t>Race/Ethnicity</w:t>
            </w:r>
            <w:r w:rsidRPr="00617F96">
              <w:rPr>
                <w:rStyle w:val="FootnoteReference"/>
                <w:rFonts w:eastAsia="Times New Roman" w:cs="Calibri"/>
                <w:b/>
                <w:bCs/>
                <w:color w:val="000000"/>
                <w:sz w:val="22"/>
                <w:szCs w:val="22"/>
              </w:rPr>
              <w:footnoteReference w:id="16"/>
            </w:r>
          </w:p>
        </w:tc>
        <w:tc>
          <w:tcPr>
            <w:tcW w:w="1045" w:type="dxa"/>
            <w:shd w:val="clear" w:color="auto" w:fill="F2F2F2" w:themeFill="background1" w:themeFillShade="F2"/>
            <w:noWrap/>
            <w:vAlign w:val="bottom"/>
            <w:hideMark/>
          </w:tcPr>
          <w:p w14:paraId="2B5F5DEF" w14:textId="3C7A8AD5" w:rsidR="00694316" w:rsidRPr="00617F96" w:rsidRDefault="00694316" w:rsidP="00694316">
            <w:pPr>
              <w:widowControl/>
              <w:autoSpaceDE/>
              <w:autoSpaceDN/>
              <w:jc w:val="center"/>
              <w:rPr>
                <w:rFonts w:eastAsia="Times New Roman" w:cs="Calibri"/>
                <w:color w:val="000000"/>
                <w:sz w:val="22"/>
                <w:szCs w:val="22"/>
              </w:rPr>
            </w:pPr>
          </w:p>
        </w:tc>
        <w:tc>
          <w:tcPr>
            <w:tcW w:w="1009" w:type="dxa"/>
            <w:shd w:val="clear" w:color="auto" w:fill="F2F2F2" w:themeFill="background1" w:themeFillShade="F2"/>
            <w:noWrap/>
            <w:vAlign w:val="bottom"/>
            <w:hideMark/>
          </w:tcPr>
          <w:p w14:paraId="04A3570B" w14:textId="442CEE09" w:rsidR="00694316" w:rsidRPr="00617F96" w:rsidRDefault="00694316" w:rsidP="00694316">
            <w:pPr>
              <w:widowControl/>
              <w:autoSpaceDE/>
              <w:autoSpaceDN/>
              <w:jc w:val="center"/>
              <w:rPr>
                <w:rFonts w:eastAsia="Times New Roman" w:cs="Calibri"/>
                <w:color w:val="000000"/>
                <w:sz w:val="22"/>
                <w:szCs w:val="22"/>
              </w:rPr>
            </w:pPr>
          </w:p>
        </w:tc>
        <w:tc>
          <w:tcPr>
            <w:tcW w:w="2909" w:type="dxa"/>
            <w:shd w:val="clear" w:color="auto" w:fill="F2F2F2" w:themeFill="background1" w:themeFillShade="F2"/>
            <w:noWrap/>
            <w:vAlign w:val="bottom"/>
            <w:hideMark/>
          </w:tcPr>
          <w:p w14:paraId="094F03D6" w14:textId="097AF278" w:rsidR="00694316" w:rsidRPr="00617F96" w:rsidRDefault="00694316" w:rsidP="00694316">
            <w:pPr>
              <w:widowControl/>
              <w:autoSpaceDE/>
              <w:autoSpaceDN/>
              <w:rPr>
                <w:rFonts w:eastAsia="Times New Roman" w:cs="Calibri"/>
                <w:b/>
                <w:bCs/>
                <w:color w:val="000000"/>
                <w:sz w:val="22"/>
                <w:szCs w:val="22"/>
              </w:rPr>
            </w:pPr>
            <w:r w:rsidRPr="00617F96">
              <w:rPr>
                <w:rFonts w:eastAsia="Times New Roman" w:cs="Calibri"/>
                <w:b/>
                <w:bCs/>
                <w:color w:val="000000"/>
                <w:sz w:val="22"/>
                <w:szCs w:val="22"/>
              </w:rPr>
              <w:t>Race/Ethnicity</w:t>
            </w:r>
            <w:r w:rsidRPr="00617F96">
              <w:rPr>
                <w:rStyle w:val="FootnoteReference"/>
                <w:rFonts w:eastAsia="Times New Roman" w:cs="Calibri"/>
                <w:b/>
                <w:bCs/>
                <w:color w:val="000000"/>
                <w:sz w:val="22"/>
                <w:szCs w:val="22"/>
              </w:rPr>
              <w:footnoteReference w:id="17"/>
            </w:r>
          </w:p>
        </w:tc>
        <w:tc>
          <w:tcPr>
            <w:tcW w:w="942" w:type="dxa"/>
            <w:shd w:val="clear" w:color="auto" w:fill="F2F2F2" w:themeFill="background1" w:themeFillShade="F2"/>
            <w:noWrap/>
            <w:vAlign w:val="bottom"/>
            <w:hideMark/>
          </w:tcPr>
          <w:p w14:paraId="3752DD1E" w14:textId="77777777" w:rsidR="00694316" w:rsidRPr="00617F96" w:rsidRDefault="00694316" w:rsidP="00694316">
            <w:pPr>
              <w:widowControl/>
              <w:autoSpaceDE/>
              <w:autoSpaceDN/>
              <w:rPr>
                <w:rFonts w:eastAsia="Times New Roman" w:cs="Calibri"/>
                <w:color w:val="000000"/>
                <w:sz w:val="22"/>
                <w:szCs w:val="22"/>
              </w:rPr>
            </w:pPr>
            <w:r w:rsidRPr="00617F96">
              <w:rPr>
                <w:rFonts w:eastAsia="Times New Roman" w:cs="Calibri"/>
                <w:color w:val="000000"/>
                <w:sz w:val="22"/>
                <w:szCs w:val="22"/>
              </w:rPr>
              <w:t> </w:t>
            </w:r>
          </w:p>
        </w:tc>
        <w:tc>
          <w:tcPr>
            <w:tcW w:w="996" w:type="dxa"/>
            <w:shd w:val="clear" w:color="auto" w:fill="F2F2F2" w:themeFill="background1" w:themeFillShade="F2"/>
            <w:noWrap/>
            <w:vAlign w:val="bottom"/>
            <w:hideMark/>
          </w:tcPr>
          <w:p w14:paraId="00F9A078" w14:textId="77777777" w:rsidR="00694316" w:rsidRPr="00617F96" w:rsidRDefault="00694316" w:rsidP="00694316">
            <w:pPr>
              <w:widowControl/>
              <w:autoSpaceDE/>
              <w:autoSpaceDN/>
              <w:rPr>
                <w:rFonts w:eastAsia="Times New Roman" w:cs="Calibri"/>
                <w:color w:val="000000"/>
                <w:sz w:val="22"/>
                <w:szCs w:val="22"/>
              </w:rPr>
            </w:pPr>
            <w:r w:rsidRPr="00617F96">
              <w:rPr>
                <w:rFonts w:eastAsia="Times New Roman" w:cs="Calibri"/>
                <w:color w:val="000000"/>
                <w:sz w:val="22"/>
                <w:szCs w:val="22"/>
              </w:rPr>
              <w:t> </w:t>
            </w:r>
          </w:p>
        </w:tc>
      </w:tr>
      <w:tr w:rsidR="00694316" w:rsidRPr="00617F96" w14:paraId="38888681" w14:textId="77777777" w:rsidTr="00244E46">
        <w:trPr>
          <w:cantSplit/>
          <w:trHeight w:val="290"/>
        </w:trPr>
        <w:tc>
          <w:tcPr>
            <w:tcW w:w="2910" w:type="dxa"/>
            <w:noWrap/>
            <w:vAlign w:val="bottom"/>
            <w:hideMark/>
          </w:tcPr>
          <w:p w14:paraId="70930B20" w14:textId="3C1093D1"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lastRenderedPageBreak/>
              <w:t xml:space="preserve">Asian, Non-Hispanic or Latino </w:t>
            </w:r>
          </w:p>
        </w:tc>
        <w:tc>
          <w:tcPr>
            <w:tcW w:w="1045" w:type="dxa"/>
            <w:shd w:val="clear" w:color="000000" w:fill="FFFFFF"/>
            <w:noWrap/>
            <w:vAlign w:val="bottom"/>
            <w:hideMark/>
          </w:tcPr>
          <w:p w14:paraId="541EC457"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3,762</w:t>
            </w:r>
          </w:p>
        </w:tc>
        <w:tc>
          <w:tcPr>
            <w:tcW w:w="1009" w:type="dxa"/>
            <w:shd w:val="clear" w:color="000000" w:fill="FFFFFF"/>
            <w:noWrap/>
            <w:vAlign w:val="bottom"/>
            <w:hideMark/>
          </w:tcPr>
          <w:p w14:paraId="3B5F25FB"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3.2%</w:t>
            </w:r>
          </w:p>
        </w:tc>
        <w:tc>
          <w:tcPr>
            <w:tcW w:w="2909" w:type="dxa"/>
            <w:noWrap/>
            <w:vAlign w:val="bottom"/>
            <w:hideMark/>
          </w:tcPr>
          <w:p w14:paraId="4C40E8FF" w14:textId="6303854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 xml:space="preserve">Asian, Non-Hispanic or Latino </w:t>
            </w:r>
          </w:p>
        </w:tc>
        <w:tc>
          <w:tcPr>
            <w:tcW w:w="942" w:type="dxa"/>
            <w:shd w:val="clear" w:color="000000" w:fill="FFFFFF"/>
            <w:noWrap/>
            <w:vAlign w:val="bottom"/>
            <w:hideMark/>
          </w:tcPr>
          <w:p w14:paraId="71375E2B"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3,053</w:t>
            </w:r>
          </w:p>
        </w:tc>
        <w:tc>
          <w:tcPr>
            <w:tcW w:w="996" w:type="dxa"/>
            <w:noWrap/>
            <w:vAlign w:val="bottom"/>
            <w:hideMark/>
          </w:tcPr>
          <w:p w14:paraId="74248829"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3.4%</w:t>
            </w:r>
          </w:p>
        </w:tc>
      </w:tr>
      <w:tr w:rsidR="00694316" w:rsidRPr="00617F96" w14:paraId="5BE2A63F" w14:textId="77777777" w:rsidTr="00244E46">
        <w:trPr>
          <w:cantSplit/>
          <w:trHeight w:val="290"/>
        </w:trPr>
        <w:tc>
          <w:tcPr>
            <w:tcW w:w="2910" w:type="dxa"/>
            <w:noWrap/>
            <w:vAlign w:val="bottom"/>
            <w:hideMark/>
          </w:tcPr>
          <w:p w14:paraId="689CD535"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Black of African American</w:t>
            </w:r>
          </w:p>
        </w:tc>
        <w:tc>
          <w:tcPr>
            <w:tcW w:w="1045" w:type="dxa"/>
            <w:shd w:val="clear" w:color="000000" w:fill="FFFFFF"/>
            <w:noWrap/>
            <w:vAlign w:val="bottom"/>
            <w:hideMark/>
          </w:tcPr>
          <w:p w14:paraId="63AC43FE"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5,288</w:t>
            </w:r>
          </w:p>
        </w:tc>
        <w:tc>
          <w:tcPr>
            <w:tcW w:w="1009" w:type="dxa"/>
            <w:shd w:val="clear" w:color="000000" w:fill="FFFFFF"/>
            <w:noWrap/>
            <w:vAlign w:val="bottom"/>
            <w:hideMark/>
          </w:tcPr>
          <w:p w14:paraId="62B95D22"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4.5%</w:t>
            </w:r>
          </w:p>
        </w:tc>
        <w:tc>
          <w:tcPr>
            <w:tcW w:w="2909" w:type="dxa"/>
            <w:noWrap/>
            <w:vAlign w:val="bottom"/>
            <w:hideMark/>
          </w:tcPr>
          <w:p w14:paraId="7C36D6D6"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Black of African American</w:t>
            </w:r>
          </w:p>
        </w:tc>
        <w:tc>
          <w:tcPr>
            <w:tcW w:w="942" w:type="dxa"/>
            <w:shd w:val="clear" w:color="000000" w:fill="FFFFFF"/>
            <w:noWrap/>
            <w:vAlign w:val="bottom"/>
            <w:hideMark/>
          </w:tcPr>
          <w:p w14:paraId="5EDCC8C0"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4,757</w:t>
            </w:r>
          </w:p>
        </w:tc>
        <w:tc>
          <w:tcPr>
            <w:tcW w:w="996" w:type="dxa"/>
            <w:noWrap/>
            <w:vAlign w:val="bottom"/>
            <w:hideMark/>
          </w:tcPr>
          <w:p w14:paraId="570E5513"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5.3%</w:t>
            </w:r>
          </w:p>
        </w:tc>
      </w:tr>
      <w:tr w:rsidR="00694316" w:rsidRPr="00617F96" w14:paraId="09F59237" w14:textId="77777777" w:rsidTr="00244E46">
        <w:trPr>
          <w:cantSplit/>
          <w:trHeight w:val="290"/>
        </w:trPr>
        <w:tc>
          <w:tcPr>
            <w:tcW w:w="2910" w:type="dxa"/>
            <w:noWrap/>
            <w:vAlign w:val="bottom"/>
            <w:hideMark/>
          </w:tcPr>
          <w:p w14:paraId="2110B1C1"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Hispanic or Latino</w:t>
            </w:r>
          </w:p>
        </w:tc>
        <w:tc>
          <w:tcPr>
            <w:tcW w:w="1045" w:type="dxa"/>
            <w:shd w:val="clear" w:color="000000" w:fill="FFFFFF"/>
            <w:noWrap/>
            <w:vAlign w:val="bottom"/>
            <w:hideMark/>
          </w:tcPr>
          <w:p w14:paraId="187FFE0D"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8,687</w:t>
            </w:r>
          </w:p>
        </w:tc>
        <w:tc>
          <w:tcPr>
            <w:tcW w:w="1009" w:type="dxa"/>
            <w:shd w:val="clear" w:color="000000" w:fill="FFFFFF"/>
            <w:noWrap/>
            <w:vAlign w:val="bottom"/>
            <w:hideMark/>
          </w:tcPr>
          <w:p w14:paraId="0141F066"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7.3%</w:t>
            </w:r>
          </w:p>
        </w:tc>
        <w:tc>
          <w:tcPr>
            <w:tcW w:w="2909" w:type="dxa"/>
            <w:noWrap/>
            <w:vAlign w:val="bottom"/>
            <w:hideMark/>
          </w:tcPr>
          <w:p w14:paraId="59B02AF5"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Hispanic or Latino</w:t>
            </w:r>
          </w:p>
        </w:tc>
        <w:tc>
          <w:tcPr>
            <w:tcW w:w="942" w:type="dxa"/>
            <w:shd w:val="clear" w:color="000000" w:fill="FFFFFF"/>
            <w:noWrap/>
            <w:vAlign w:val="bottom"/>
            <w:hideMark/>
          </w:tcPr>
          <w:p w14:paraId="566CD1CB"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7,887</w:t>
            </w:r>
          </w:p>
        </w:tc>
        <w:tc>
          <w:tcPr>
            <w:tcW w:w="996" w:type="dxa"/>
            <w:noWrap/>
            <w:vAlign w:val="bottom"/>
            <w:hideMark/>
          </w:tcPr>
          <w:p w14:paraId="27B9476B"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8.8%</w:t>
            </w:r>
          </w:p>
        </w:tc>
      </w:tr>
      <w:tr w:rsidR="00694316" w:rsidRPr="00617F96" w14:paraId="6139B0B4" w14:textId="77777777" w:rsidTr="00244E46">
        <w:trPr>
          <w:cantSplit/>
          <w:trHeight w:val="580"/>
        </w:trPr>
        <w:tc>
          <w:tcPr>
            <w:tcW w:w="2910" w:type="dxa"/>
            <w:vAlign w:val="bottom"/>
            <w:hideMark/>
          </w:tcPr>
          <w:p w14:paraId="02EE03B5" w14:textId="6F0C0B0B"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 xml:space="preserve">White or Caucasian, </w:t>
            </w:r>
          </w:p>
          <w:p w14:paraId="2CF70041" w14:textId="21D852D2"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Non-Hispanic or Latino</w:t>
            </w:r>
          </w:p>
        </w:tc>
        <w:tc>
          <w:tcPr>
            <w:tcW w:w="1045" w:type="dxa"/>
            <w:shd w:val="clear" w:color="000000" w:fill="FFFFFF"/>
            <w:noWrap/>
            <w:vAlign w:val="bottom"/>
            <w:hideMark/>
          </w:tcPr>
          <w:p w14:paraId="1AD180E7"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87,136</w:t>
            </w:r>
          </w:p>
        </w:tc>
        <w:tc>
          <w:tcPr>
            <w:tcW w:w="1009" w:type="dxa"/>
            <w:shd w:val="clear" w:color="000000" w:fill="FFFFFF"/>
            <w:noWrap/>
            <w:vAlign w:val="bottom"/>
            <w:hideMark/>
          </w:tcPr>
          <w:p w14:paraId="724AD5BD"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73.3%</w:t>
            </w:r>
          </w:p>
        </w:tc>
        <w:tc>
          <w:tcPr>
            <w:tcW w:w="2909" w:type="dxa"/>
            <w:vAlign w:val="bottom"/>
            <w:hideMark/>
          </w:tcPr>
          <w:p w14:paraId="73CF3408"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 xml:space="preserve">White or Caucasian, </w:t>
            </w:r>
          </w:p>
          <w:p w14:paraId="3BF699DD" w14:textId="114A8B50"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Non-Hispanic or Latino</w:t>
            </w:r>
          </w:p>
        </w:tc>
        <w:tc>
          <w:tcPr>
            <w:tcW w:w="942" w:type="dxa"/>
            <w:shd w:val="clear" w:color="000000" w:fill="FFFFFF"/>
            <w:noWrap/>
            <w:vAlign w:val="bottom"/>
            <w:hideMark/>
          </w:tcPr>
          <w:p w14:paraId="7E7983D4"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63,846</w:t>
            </w:r>
          </w:p>
        </w:tc>
        <w:tc>
          <w:tcPr>
            <w:tcW w:w="996" w:type="dxa"/>
            <w:noWrap/>
            <w:vAlign w:val="bottom"/>
            <w:hideMark/>
          </w:tcPr>
          <w:p w14:paraId="16C36656"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71.3%</w:t>
            </w:r>
          </w:p>
        </w:tc>
      </w:tr>
      <w:tr w:rsidR="00694316" w:rsidRPr="00617F96" w14:paraId="61EC6390" w14:textId="77777777" w:rsidTr="00244E46">
        <w:trPr>
          <w:cantSplit/>
          <w:trHeight w:val="290"/>
        </w:trPr>
        <w:tc>
          <w:tcPr>
            <w:tcW w:w="2910" w:type="dxa"/>
            <w:noWrap/>
            <w:vAlign w:val="bottom"/>
            <w:hideMark/>
          </w:tcPr>
          <w:p w14:paraId="7D3CE3D2"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 xml:space="preserve">Other </w:t>
            </w:r>
          </w:p>
        </w:tc>
        <w:tc>
          <w:tcPr>
            <w:tcW w:w="1045" w:type="dxa"/>
            <w:shd w:val="clear" w:color="000000" w:fill="FFFFFF"/>
            <w:noWrap/>
            <w:vAlign w:val="bottom"/>
            <w:hideMark/>
          </w:tcPr>
          <w:p w14:paraId="23FCE7DA"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13,957</w:t>
            </w:r>
          </w:p>
        </w:tc>
        <w:tc>
          <w:tcPr>
            <w:tcW w:w="1009" w:type="dxa"/>
            <w:shd w:val="clear" w:color="000000" w:fill="FFFFFF"/>
            <w:noWrap/>
            <w:vAlign w:val="bottom"/>
            <w:hideMark/>
          </w:tcPr>
          <w:p w14:paraId="385753B6"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11.7%</w:t>
            </w:r>
          </w:p>
        </w:tc>
        <w:tc>
          <w:tcPr>
            <w:tcW w:w="2909" w:type="dxa"/>
            <w:noWrap/>
            <w:vAlign w:val="bottom"/>
            <w:hideMark/>
          </w:tcPr>
          <w:p w14:paraId="09334BD5"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 xml:space="preserve">Other </w:t>
            </w:r>
          </w:p>
        </w:tc>
        <w:tc>
          <w:tcPr>
            <w:tcW w:w="942" w:type="dxa"/>
            <w:shd w:val="clear" w:color="000000" w:fill="FFFFFF"/>
            <w:noWrap/>
            <w:vAlign w:val="bottom"/>
            <w:hideMark/>
          </w:tcPr>
          <w:p w14:paraId="0FF0CE46"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9,972</w:t>
            </w:r>
          </w:p>
        </w:tc>
        <w:tc>
          <w:tcPr>
            <w:tcW w:w="996" w:type="dxa"/>
            <w:noWrap/>
            <w:vAlign w:val="bottom"/>
            <w:hideMark/>
          </w:tcPr>
          <w:p w14:paraId="24260722"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11.1%</w:t>
            </w:r>
          </w:p>
        </w:tc>
      </w:tr>
      <w:tr w:rsidR="00694316" w:rsidRPr="00617F96" w14:paraId="16CFF44F" w14:textId="77777777" w:rsidTr="00244E46">
        <w:trPr>
          <w:cantSplit/>
          <w:trHeight w:val="290"/>
        </w:trPr>
        <w:tc>
          <w:tcPr>
            <w:tcW w:w="2910" w:type="dxa"/>
            <w:shd w:val="clear" w:color="auto" w:fill="F2F2F2" w:themeFill="background1" w:themeFillShade="F2"/>
            <w:noWrap/>
            <w:vAlign w:val="bottom"/>
            <w:hideMark/>
          </w:tcPr>
          <w:p w14:paraId="7654E4E2" w14:textId="2D92EA9C" w:rsidR="00694316" w:rsidRPr="00617F96" w:rsidRDefault="00694316" w:rsidP="00694316">
            <w:pPr>
              <w:widowControl/>
              <w:autoSpaceDE/>
              <w:autoSpaceDN/>
              <w:rPr>
                <w:rFonts w:eastAsia="Times New Roman" w:cs="Calibri"/>
                <w:b/>
                <w:bCs/>
                <w:color w:val="000000"/>
                <w:sz w:val="22"/>
                <w:szCs w:val="22"/>
              </w:rPr>
            </w:pPr>
            <w:r w:rsidRPr="00617F96">
              <w:rPr>
                <w:rFonts w:eastAsia="Times New Roman" w:cs="Calibri"/>
                <w:b/>
                <w:bCs/>
                <w:color w:val="000000"/>
                <w:sz w:val="22"/>
                <w:szCs w:val="22"/>
              </w:rPr>
              <w:t>Geography</w:t>
            </w:r>
            <w:r w:rsidRPr="00617F96">
              <w:rPr>
                <w:rStyle w:val="FootnoteReference"/>
                <w:rFonts w:eastAsia="Times New Roman" w:cs="Calibri"/>
                <w:b/>
                <w:bCs/>
                <w:color w:val="000000"/>
                <w:sz w:val="22"/>
                <w:szCs w:val="22"/>
              </w:rPr>
              <w:footnoteReference w:id="18"/>
            </w:r>
          </w:p>
        </w:tc>
        <w:tc>
          <w:tcPr>
            <w:tcW w:w="1045" w:type="dxa"/>
            <w:shd w:val="clear" w:color="auto" w:fill="F2F2F2" w:themeFill="background1" w:themeFillShade="F2"/>
            <w:noWrap/>
            <w:vAlign w:val="bottom"/>
            <w:hideMark/>
          </w:tcPr>
          <w:p w14:paraId="31DD9F29" w14:textId="0AB4B540" w:rsidR="00694316" w:rsidRPr="00617F96" w:rsidRDefault="00694316" w:rsidP="00694316">
            <w:pPr>
              <w:widowControl/>
              <w:autoSpaceDE/>
              <w:autoSpaceDN/>
              <w:jc w:val="center"/>
              <w:rPr>
                <w:rFonts w:eastAsia="Times New Roman" w:cs="Calibri"/>
                <w:color w:val="000000"/>
                <w:sz w:val="22"/>
                <w:szCs w:val="22"/>
              </w:rPr>
            </w:pPr>
          </w:p>
        </w:tc>
        <w:tc>
          <w:tcPr>
            <w:tcW w:w="1009" w:type="dxa"/>
            <w:shd w:val="clear" w:color="auto" w:fill="F2F2F2" w:themeFill="background1" w:themeFillShade="F2"/>
            <w:noWrap/>
            <w:vAlign w:val="bottom"/>
            <w:hideMark/>
          </w:tcPr>
          <w:p w14:paraId="1E2FBD17" w14:textId="519A13E4" w:rsidR="00694316" w:rsidRPr="00617F96" w:rsidRDefault="00694316" w:rsidP="00694316">
            <w:pPr>
              <w:widowControl/>
              <w:autoSpaceDE/>
              <w:autoSpaceDN/>
              <w:jc w:val="center"/>
              <w:rPr>
                <w:rFonts w:eastAsia="Times New Roman" w:cs="Calibri"/>
                <w:color w:val="000000"/>
                <w:sz w:val="22"/>
                <w:szCs w:val="22"/>
              </w:rPr>
            </w:pPr>
          </w:p>
        </w:tc>
        <w:tc>
          <w:tcPr>
            <w:tcW w:w="2909" w:type="dxa"/>
            <w:shd w:val="clear" w:color="auto" w:fill="F2F2F2" w:themeFill="background1" w:themeFillShade="F2"/>
            <w:noWrap/>
            <w:vAlign w:val="bottom"/>
            <w:hideMark/>
          </w:tcPr>
          <w:p w14:paraId="2875E2FD" w14:textId="4E889AED" w:rsidR="00694316" w:rsidRPr="00617F96" w:rsidRDefault="00694316" w:rsidP="00694316">
            <w:pPr>
              <w:widowControl/>
              <w:autoSpaceDE/>
              <w:autoSpaceDN/>
              <w:rPr>
                <w:rFonts w:eastAsia="Times New Roman" w:cs="Calibri"/>
                <w:b/>
                <w:bCs/>
                <w:color w:val="000000"/>
                <w:sz w:val="22"/>
                <w:szCs w:val="22"/>
              </w:rPr>
            </w:pPr>
            <w:r w:rsidRPr="00617F96">
              <w:rPr>
                <w:rFonts w:eastAsia="Times New Roman" w:cs="Calibri"/>
                <w:b/>
                <w:bCs/>
                <w:color w:val="000000"/>
                <w:sz w:val="22"/>
                <w:szCs w:val="22"/>
              </w:rPr>
              <w:t>Geography</w:t>
            </w:r>
            <w:r w:rsidRPr="00617F96">
              <w:rPr>
                <w:rStyle w:val="FootnoteReference"/>
                <w:rFonts w:eastAsia="Times New Roman" w:cs="Calibri"/>
                <w:b/>
                <w:bCs/>
                <w:color w:val="000000"/>
                <w:sz w:val="22"/>
                <w:szCs w:val="22"/>
              </w:rPr>
              <w:footnoteReference w:id="19"/>
            </w:r>
          </w:p>
        </w:tc>
        <w:tc>
          <w:tcPr>
            <w:tcW w:w="942" w:type="dxa"/>
            <w:shd w:val="clear" w:color="auto" w:fill="F2F2F2" w:themeFill="background1" w:themeFillShade="F2"/>
            <w:noWrap/>
            <w:vAlign w:val="bottom"/>
            <w:hideMark/>
          </w:tcPr>
          <w:p w14:paraId="4D91D043" w14:textId="77777777" w:rsidR="00694316" w:rsidRPr="00617F96" w:rsidRDefault="00694316" w:rsidP="00694316">
            <w:pPr>
              <w:widowControl/>
              <w:autoSpaceDE/>
              <w:autoSpaceDN/>
              <w:rPr>
                <w:rFonts w:eastAsia="Times New Roman" w:cs="Calibri"/>
                <w:color w:val="000000"/>
                <w:sz w:val="22"/>
                <w:szCs w:val="22"/>
              </w:rPr>
            </w:pPr>
            <w:r w:rsidRPr="00617F96">
              <w:rPr>
                <w:rFonts w:eastAsia="Times New Roman" w:cs="Calibri"/>
                <w:color w:val="000000"/>
                <w:sz w:val="22"/>
                <w:szCs w:val="22"/>
              </w:rPr>
              <w:t> </w:t>
            </w:r>
          </w:p>
        </w:tc>
        <w:tc>
          <w:tcPr>
            <w:tcW w:w="996" w:type="dxa"/>
            <w:shd w:val="clear" w:color="auto" w:fill="F2F2F2" w:themeFill="background1" w:themeFillShade="F2"/>
            <w:noWrap/>
            <w:vAlign w:val="bottom"/>
            <w:hideMark/>
          </w:tcPr>
          <w:p w14:paraId="6DEF77B3" w14:textId="77777777" w:rsidR="00694316" w:rsidRPr="00617F96" w:rsidRDefault="00694316" w:rsidP="00694316">
            <w:pPr>
              <w:widowControl/>
              <w:autoSpaceDE/>
              <w:autoSpaceDN/>
              <w:rPr>
                <w:rFonts w:eastAsia="Times New Roman" w:cs="Calibri"/>
                <w:color w:val="000000"/>
                <w:sz w:val="22"/>
                <w:szCs w:val="22"/>
              </w:rPr>
            </w:pPr>
            <w:r w:rsidRPr="00617F96">
              <w:rPr>
                <w:rFonts w:eastAsia="Times New Roman" w:cs="Calibri"/>
                <w:color w:val="000000"/>
                <w:sz w:val="22"/>
                <w:szCs w:val="22"/>
              </w:rPr>
              <w:t> </w:t>
            </w:r>
          </w:p>
        </w:tc>
      </w:tr>
      <w:tr w:rsidR="00694316" w:rsidRPr="00617F96" w14:paraId="05CD75E2" w14:textId="77777777" w:rsidTr="00244E46">
        <w:trPr>
          <w:cantSplit/>
          <w:trHeight w:val="290"/>
        </w:trPr>
        <w:tc>
          <w:tcPr>
            <w:tcW w:w="2910" w:type="dxa"/>
            <w:noWrap/>
            <w:vAlign w:val="bottom"/>
            <w:hideMark/>
          </w:tcPr>
          <w:p w14:paraId="42DC2BED"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Massachusetts</w:t>
            </w:r>
          </w:p>
        </w:tc>
        <w:tc>
          <w:tcPr>
            <w:tcW w:w="1045" w:type="dxa"/>
            <w:shd w:val="clear" w:color="000000" w:fill="FFFFFF"/>
            <w:noWrap/>
            <w:vAlign w:val="bottom"/>
            <w:hideMark/>
          </w:tcPr>
          <w:p w14:paraId="138E09E7"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89,515</w:t>
            </w:r>
          </w:p>
        </w:tc>
        <w:tc>
          <w:tcPr>
            <w:tcW w:w="1009" w:type="dxa"/>
            <w:shd w:val="clear" w:color="000000" w:fill="FFFFFF"/>
            <w:noWrap/>
            <w:vAlign w:val="bottom"/>
            <w:hideMark/>
          </w:tcPr>
          <w:p w14:paraId="4B1E9E7C"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75.3%</w:t>
            </w:r>
          </w:p>
        </w:tc>
        <w:tc>
          <w:tcPr>
            <w:tcW w:w="2909" w:type="dxa"/>
            <w:noWrap/>
            <w:vAlign w:val="bottom"/>
            <w:hideMark/>
          </w:tcPr>
          <w:p w14:paraId="70B2E465"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Norfolk</w:t>
            </w:r>
          </w:p>
        </w:tc>
        <w:tc>
          <w:tcPr>
            <w:tcW w:w="942" w:type="dxa"/>
            <w:shd w:val="clear" w:color="000000" w:fill="FFFFFF"/>
            <w:noWrap/>
            <w:vAlign w:val="bottom"/>
            <w:hideMark/>
          </w:tcPr>
          <w:p w14:paraId="19F0DF5E" w14:textId="449D740E"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16,838</w:t>
            </w:r>
          </w:p>
        </w:tc>
        <w:tc>
          <w:tcPr>
            <w:tcW w:w="996" w:type="dxa"/>
            <w:noWrap/>
            <w:vAlign w:val="bottom"/>
            <w:hideMark/>
          </w:tcPr>
          <w:p w14:paraId="48B5E98C"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18.8%</w:t>
            </w:r>
          </w:p>
        </w:tc>
      </w:tr>
      <w:tr w:rsidR="00694316" w:rsidRPr="00617F96" w14:paraId="4CB9F303" w14:textId="77777777" w:rsidTr="00244E46">
        <w:trPr>
          <w:cantSplit/>
          <w:trHeight w:val="290"/>
        </w:trPr>
        <w:tc>
          <w:tcPr>
            <w:tcW w:w="2910" w:type="dxa"/>
            <w:noWrap/>
            <w:vAlign w:val="bottom"/>
            <w:hideMark/>
          </w:tcPr>
          <w:p w14:paraId="3630004C"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New Hampshire</w:t>
            </w:r>
          </w:p>
        </w:tc>
        <w:tc>
          <w:tcPr>
            <w:tcW w:w="1045" w:type="dxa"/>
            <w:shd w:val="clear" w:color="000000" w:fill="FFFFFF"/>
            <w:noWrap/>
            <w:vAlign w:val="bottom"/>
            <w:hideMark/>
          </w:tcPr>
          <w:p w14:paraId="6A8828FE"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8,193</w:t>
            </w:r>
          </w:p>
        </w:tc>
        <w:tc>
          <w:tcPr>
            <w:tcW w:w="1009" w:type="dxa"/>
            <w:shd w:val="clear" w:color="000000" w:fill="FFFFFF"/>
            <w:noWrap/>
            <w:vAlign w:val="bottom"/>
            <w:hideMark/>
          </w:tcPr>
          <w:p w14:paraId="049979C2"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6.9%</w:t>
            </w:r>
          </w:p>
        </w:tc>
        <w:tc>
          <w:tcPr>
            <w:tcW w:w="2909" w:type="dxa"/>
            <w:noWrap/>
            <w:vAlign w:val="bottom"/>
            <w:hideMark/>
          </w:tcPr>
          <w:p w14:paraId="0EE0C705"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Middlesex</w:t>
            </w:r>
          </w:p>
        </w:tc>
        <w:tc>
          <w:tcPr>
            <w:tcW w:w="942" w:type="dxa"/>
            <w:shd w:val="clear" w:color="000000" w:fill="FFFFFF"/>
            <w:noWrap/>
            <w:vAlign w:val="bottom"/>
            <w:hideMark/>
          </w:tcPr>
          <w:p w14:paraId="603FBF7D" w14:textId="677A271B"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16,639</w:t>
            </w:r>
          </w:p>
        </w:tc>
        <w:tc>
          <w:tcPr>
            <w:tcW w:w="996" w:type="dxa"/>
            <w:noWrap/>
            <w:vAlign w:val="bottom"/>
            <w:hideMark/>
          </w:tcPr>
          <w:p w14:paraId="08A212DA"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18.6%</w:t>
            </w:r>
          </w:p>
        </w:tc>
      </w:tr>
      <w:tr w:rsidR="00694316" w:rsidRPr="00617F96" w14:paraId="5C708EE7" w14:textId="77777777" w:rsidTr="00244E46">
        <w:trPr>
          <w:cantSplit/>
          <w:trHeight w:val="290"/>
        </w:trPr>
        <w:tc>
          <w:tcPr>
            <w:tcW w:w="2910" w:type="dxa"/>
            <w:noWrap/>
            <w:vAlign w:val="bottom"/>
            <w:hideMark/>
          </w:tcPr>
          <w:p w14:paraId="14AC8E50"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Rhode Island</w:t>
            </w:r>
          </w:p>
        </w:tc>
        <w:tc>
          <w:tcPr>
            <w:tcW w:w="1045" w:type="dxa"/>
            <w:shd w:val="clear" w:color="000000" w:fill="FFFFFF"/>
            <w:noWrap/>
            <w:vAlign w:val="bottom"/>
            <w:hideMark/>
          </w:tcPr>
          <w:p w14:paraId="3ADC4CD5"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4,174</w:t>
            </w:r>
          </w:p>
        </w:tc>
        <w:tc>
          <w:tcPr>
            <w:tcW w:w="1009" w:type="dxa"/>
            <w:shd w:val="clear" w:color="000000" w:fill="FFFFFF"/>
            <w:noWrap/>
            <w:vAlign w:val="bottom"/>
            <w:hideMark/>
          </w:tcPr>
          <w:p w14:paraId="307C62F1"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3.5%</w:t>
            </w:r>
          </w:p>
        </w:tc>
        <w:tc>
          <w:tcPr>
            <w:tcW w:w="2909" w:type="dxa"/>
            <w:noWrap/>
            <w:vAlign w:val="bottom"/>
            <w:hideMark/>
          </w:tcPr>
          <w:p w14:paraId="2EEC900B"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Plymouth</w:t>
            </w:r>
          </w:p>
        </w:tc>
        <w:tc>
          <w:tcPr>
            <w:tcW w:w="942" w:type="dxa"/>
            <w:shd w:val="clear" w:color="000000" w:fill="FFFFFF"/>
            <w:noWrap/>
            <w:vAlign w:val="bottom"/>
            <w:hideMark/>
          </w:tcPr>
          <w:p w14:paraId="445EBD54" w14:textId="543B37D6"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12,293</w:t>
            </w:r>
          </w:p>
        </w:tc>
        <w:tc>
          <w:tcPr>
            <w:tcW w:w="996" w:type="dxa"/>
            <w:noWrap/>
            <w:vAlign w:val="bottom"/>
            <w:hideMark/>
          </w:tcPr>
          <w:p w14:paraId="0192165D"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13.7%</w:t>
            </w:r>
          </w:p>
        </w:tc>
      </w:tr>
      <w:tr w:rsidR="00694316" w:rsidRPr="00617F96" w14:paraId="7C8E9380" w14:textId="77777777" w:rsidTr="00244E46">
        <w:trPr>
          <w:cantSplit/>
          <w:trHeight w:val="290"/>
        </w:trPr>
        <w:tc>
          <w:tcPr>
            <w:tcW w:w="2910" w:type="dxa"/>
            <w:noWrap/>
            <w:vAlign w:val="bottom"/>
            <w:hideMark/>
          </w:tcPr>
          <w:p w14:paraId="652718B2"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Maine</w:t>
            </w:r>
          </w:p>
        </w:tc>
        <w:tc>
          <w:tcPr>
            <w:tcW w:w="1045" w:type="dxa"/>
            <w:shd w:val="clear" w:color="000000" w:fill="FFFFFF"/>
            <w:noWrap/>
            <w:vAlign w:val="bottom"/>
            <w:hideMark/>
          </w:tcPr>
          <w:p w14:paraId="27EB55BC"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3,814</w:t>
            </w:r>
          </w:p>
        </w:tc>
        <w:tc>
          <w:tcPr>
            <w:tcW w:w="1009" w:type="dxa"/>
            <w:shd w:val="clear" w:color="000000" w:fill="FFFFFF"/>
            <w:noWrap/>
            <w:vAlign w:val="bottom"/>
            <w:hideMark/>
          </w:tcPr>
          <w:p w14:paraId="0A44C473"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3.2%</w:t>
            </w:r>
          </w:p>
        </w:tc>
        <w:tc>
          <w:tcPr>
            <w:tcW w:w="2909" w:type="dxa"/>
            <w:noWrap/>
            <w:vAlign w:val="bottom"/>
            <w:hideMark/>
          </w:tcPr>
          <w:p w14:paraId="0B311745"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Essex</w:t>
            </w:r>
          </w:p>
        </w:tc>
        <w:tc>
          <w:tcPr>
            <w:tcW w:w="942" w:type="dxa"/>
            <w:shd w:val="clear" w:color="000000" w:fill="FFFFFF"/>
            <w:noWrap/>
            <w:vAlign w:val="bottom"/>
            <w:hideMark/>
          </w:tcPr>
          <w:p w14:paraId="75565AF9" w14:textId="7ED9DE56"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10,827</w:t>
            </w:r>
          </w:p>
        </w:tc>
        <w:tc>
          <w:tcPr>
            <w:tcW w:w="996" w:type="dxa"/>
            <w:noWrap/>
            <w:vAlign w:val="bottom"/>
            <w:hideMark/>
          </w:tcPr>
          <w:p w14:paraId="0CED0968"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12.1%</w:t>
            </w:r>
          </w:p>
        </w:tc>
      </w:tr>
      <w:tr w:rsidR="00694316" w:rsidRPr="00617F96" w14:paraId="4F6A1FD8" w14:textId="77777777" w:rsidTr="00244E46">
        <w:trPr>
          <w:cantSplit/>
          <w:trHeight w:val="290"/>
        </w:trPr>
        <w:tc>
          <w:tcPr>
            <w:tcW w:w="2910" w:type="dxa"/>
            <w:noWrap/>
            <w:vAlign w:val="bottom"/>
            <w:hideMark/>
          </w:tcPr>
          <w:p w14:paraId="04BD8299"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New York</w:t>
            </w:r>
          </w:p>
        </w:tc>
        <w:tc>
          <w:tcPr>
            <w:tcW w:w="1045" w:type="dxa"/>
            <w:shd w:val="clear" w:color="000000" w:fill="FFFFFF"/>
            <w:noWrap/>
            <w:vAlign w:val="bottom"/>
            <w:hideMark/>
          </w:tcPr>
          <w:p w14:paraId="7547ED0A"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2,749</w:t>
            </w:r>
          </w:p>
        </w:tc>
        <w:tc>
          <w:tcPr>
            <w:tcW w:w="1009" w:type="dxa"/>
            <w:shd w:val="clear" w:color="000000" w:fill="FFFFFF"/>
            <w:noWrap/>
            <w:vAlign w:val="bottom"/>
            <w:hideMark/>
          </w:tcPr>
          <w:p w14:paraId="635D8115"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2.3%</w:t>
            </w:r>
          </w:p>
        </w:tc>
        <w:tc>
          <w:tcPr>
            <w:tcW w:w="2909" w:type="dxa"/>
            <w:noWrap/>
            <w:vAlign w:val="bottom"/>
            <w:hideMark/>
          </w:tcPr>
          <w:p w14:paraId="152DE490"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Suffolk</w:t>
            </w:r>
          </w:p>
        </w:tc>
        <w:tc>
          <w:tcPr>
            <w:tcW w:w="942" w:type="dxa"/>
            <w:shd w:val="clear" w:color="000000" w:fill="FFFFFF"/>
            <w:noWrap/>
            <w:vAlign w:val="bottom"/>
            <w:hideMark/>
          </w:tcPr>
          <w:p w14:paraId="1CA62B4D" w14:textId="07338208"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9,962</w:t>
            </w:r>
          </w:p>
        </w:tc>
        <w:tc>
          <w:tcPr>
            <w:tcW w:w="996" w:type="dxa"/>
            <w:noWrap/>
            <w:vAlign w:val="bottom"/>
            <w:hideMark/>
          </w:tcPr>
          <w:p w14:paraId="2DD7EB49"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11.1%</w:t>
            </w:r>
          </w:p>
        </w:tc>
      </w:tr>
      <w:tr w:rsidR="00694316" w:rsidRPr="00617F96" w14:paraId="4DA22CB8" w14:textId="77777777" w:rsidTr="00244E46">
        <w:trPr>
          <w:cantSplit/>
          <w:trHeight w:val="290"/>
        </w:trPr>
        <w:tc>
          <w:tcPr>
            <w:tcW w:w="2910" w:type="dxa"/>
            <w:noWrap/>
            <w:vAlign w:val="bottom"/>
            <w:hideMark/>
          </w:tcPr>
          <w:p w14:paraId="35547085"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Connecticut</w:t>
            </w:r>
          </w:p>
        </w:tc>
        <w:tc>
          <w:tcPr>
            <w:tcW w:w="1045" w:type="dxa"/>
            <w:shd w:val="clear" w:color="000000" w:fill="FFFFFF"/>
            <w:noWrap/>
            <w:vAlign w:val="bottom"/>
            <w:hideMark/>
          </w:tcPr>
          <w:p w14:paraId="036D69FF"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2,741</w:t>
            </w:r>
          </w:p>
        </w:tc>
        <w:tc>
          <w:tcPr>
            <w:tcW w:w="1009" w:type="dxa"/>
            <w:shd w:val="clear" w:color="000000" w:fill="FFFFFF"/>
            <w:noWrap/>
            <w:vAlign w:val="bottom"/>
            <w:hideMark/>
          </w:tcPr>
          <w:p w14:paraId="178820A6"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2.3%</w:t>
            </w:r>
          </w:p>
        </w:tc>
        <w:tc>
          <w:tcPr>
            <w:tcW w:w="2909" w:type="dxa"/>
            <w:noWrap/>
            <w:vAlign w:val="bottom"/>
            <w:hideMark/>
          </w:tcPr>
          <w:p w14:paraId="5C593EF1"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Worcester</w:t>
            </w:r>
          </w:p>
        </w:tc>
        <w:tc>
          <w:tcPr>
            <w:tcW w:w="942" w:type="dxa"/>
            <w:shd w:val="clear" w:color="000000" w:fill="FFFFFF"/>
            <w:noWrap/>
            <w:vAlign w:val="bottom"/>
            <w:hideMark/>
          </w:tcPr>
          <w:p w14:paraId="66D09E0E" w14:textId="5E1018E3"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8,545</w:t>
            </w:r>
          </w:p>
        </w:tc>
        <w:tc>
          <w:tcPr>
            <w:tcW w:w="996" w:type="dxa"/>
            <w:noWrap/>
            <w:vAlign w:val="bottom"/>
            <w:hideMark/>
          </w:tcPr>
          <w:p w14:paraId="6C4C7E9D"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9.5%</w:t>
            </w:r>
          </w:p>
        </w:tc>
      </w:tr>
      <w:tr w:rsidR="00694316" w:rsidRPr="00617F96" w14:paraId="72D6B66F" w14:textId="77777777" w:rsidTr="00244E46">
        <w:trPr>
          <w:cantSplit/>
          <w:trHeight w:val="290"/>
        </w:trPr>
        <w:tc>
          <w:tcPr>
            <w:tcW w:w="2910" w:type="dxa"/>
            <w:noWrap/>
            <w:vAlign w:val="bottom"/>
            <w:hideMark/>
          </w:tcPr>
          <w:p w14:paraId="619A6708"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Florida</w:t>
            </w:r>
          </w:p>
        </w:tc>
        <w:tc>
          <w:tcPr>
            <w:tcW w:w="1045" w:type="dxa"/>
            <w:shd w:val="clear" w:color="000000" w:fill="FFFFFF"/>
            <w:noWrap/>
            <w:vAlign w:val="bottom"/>
            <w:hideMark/>
          </w:tcPr>
          <w:p w14:paraId="7B6F9617"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1,788</w:t>
            </w:r>
          </w:p>
        </w:tc>
        <w:tc>
          <w:tcPr>
            <w:tcW w:w="1009" w:type="dxa"/>
            <w:shd w:val="clear" w:color="000000" w:fill="FFFFFF"/>
            <w:noWrap/>
            <w:vAlign w:val="bottom"/>
            <w:hideMark/>
          </w:tcPr>
          <w:p w14:paraId="02DDD7B0"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1.5%</w:t>
            </w:r>
          </w:p>
        </w:tc>
        <w:tc>
          <w:tcPr>
            <w:tcW w:w="2909" w:type="dxa"/>
            <w:noWrap/>
            <w:vAlign w:val="bottom"/>
            <w:hideMark/>
          </w:tcPr>
          <w:p w14:paraId="13A81AA3"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Bristol</w:t>
            </w:r>
          </w:p>
        </w:tc>
        <w:tc>
          <w:tcPr>
            <w:tcW w:w="942" w:type="dxa"/>
            <w:shd w:val="clear" w:color="000000" w:fill="FFFFFF"/>
            <w:noWrap/>
            <w:vAlign w:val="bottom"/>
            <w:hideMark/>
          </w:tcPr>
          <w:p w14:paraId="33128C53" w14:textId="2A97AE35"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5,746</w:t>
            </w:r>
          </w:p>
        </w:tc>
        <w:tc>
          <w:tcPr>
            <w:tcW w:w="996" w:type="dxa"/>
            <w:noWrap/>
            <w:vAlign w:val="bottom"/>
            <w:hideMark/>
          </w:tcPr>
          <w:p w14:paraId="699E23F7"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6.4%</w:t>
            </w:r>
          </w:p>
        </w:tc>
      </w:tr>
      <w:tr w:rsidR="00694316" w:rsidRPr="00617F96" w14:paraId="40DD4270" w14:textId="77777777" w:rsidTr="00244E46">
        <w:trPr>
          <w:cantSplit/>
          <w:trHeight w:val="290"/>
        </w:trPr>
        <w:tc>
          <w:tcPr>
            <w:tcW w:w="2910" w:type="dxa"/>
            <w:noWrap/>
            <w:vAlign w:val="bottom"/>
            <w:hideMark/>
          </w:tcPr>
          <w:p w14:paraId="3221BC42"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Vermont</w:t>
            </w:r>
          </w:p>
        </w:tc>
        <w:tc>
          <w:tcPr>
            <w:tcW w:w="1045" w:type="dxa"/>
            <w:shd w:val="clear" w:color="000000" w:fill="FFFFFF"/>
            <w:noWrap/>
            <w:vAlign w:val="bottom"/>
            <w:hideMark/>
          </w:tcPr>
          <w:p w14:paraId="533FF43C"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1,058</w:t>
            </w:r>
          </w:p>
        </w:tc>
        <w:tc>
          <w:tcPr>
            <w:tcW w:w="1009" w:type="dxa"/>
            <w:shd w:val="clear" w:color="000000" w:fill="FFFFFF"/>
            <w:noWrap/>
            <w:vAlign w:val="bottom"/>
            <w:hideMark/>
          </w:tcPr>
          <w:p w14:paraId="57898DD8" w14:textId="77777777" w:rsidR="00694316" w:rsidRPr="00617F96" w:rsidRDefault="00694316" w:rsidP="00694316">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0.9%</w:t>
            </w:r>
          </w:p>
        </w:tc>
        <w:tc>
          <w:tcPr>
            <w:tcW w:w="2909" w:type="dxa"/>
            <w:noWrap/>
            <w:vAlign w:val="bottom"/>
            <w:hideMark/>
          </w:tcPr>
          <w:p w14:paraId="53136E76"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Barnstable</w:t>
            </w:r>
          </w:p>
        </w:tc>
        <w:tc>
          <w:tcPr>
            <w:tcW w:w="942" w:type="dxa"/>
            <w:shd w:val="clear" w:color="000000" w:fill="FFFFFF"/>
            <w:noWrap/>
            <w:vAlign w:val="bottom"/>
            <w:hideMark/>
          </w:tcPr>
          <w:p w14:paraId="2B817A49" w14:textId="1802F6C1"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3,444</w:t>
            </w:r>
          </w:p>
        </w:tc>
        <w:tc>
          <w:tcPr>
            <w:tcW w:w="996" w:type="dxa"/>
            <w:noWrap/>
            <w:vAlign w:val="bottom"/>
            <w:hideMark/>
          </w:tcPr>
          <w:p w14:paraId="213D1F0F"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3.8%</w:t>
            </w:r>
          </w:p>
        </w:tc>
      </w:tr>
      <w:tr w:rsidR="00694316" w:rsidRPr="00617F96" w14:paraId="46F7B954" w14:textId="77777777" w:rsidTr="00244E46">
        <w:trPr>
          <w:cantSplit/>
          <w:trHeight w:val="290"/>
        </w:trPr>
        <w:tc>
          <w:tcPr>
            <w:tcW w:w="2910" w:type="dxa"/>
            <w:shd w:val="clear" w:color="auto" w:fill="F2F2F2" w:themeFill="background1" w:themeFillShade="F2"/>
            <w:noWrap/>
            <w:vAlign w:val="bottom"/>
            <w:hideMark/>
          </w:tcPr>
          <w:p w14:paraId="034AA12D" w14:textId="77777777" w:rsidR="00694316" w:rsidRPr="00617F96" w:rsidRDefault="00694316" w:rsidP="00694316">
            <w:pPr>
              <w:widowControl/>
              <w:autoSpaceDE/>
              <w:autoSpaceDN/>
              <w:rPr>
                <w:rFonts w:eastAsia="Times New Roman" w:cs="Calibri"/>
                <w:color w:val="000000"/>
                <w:sz w:val="22"/>
                <w:szCs w:val="22"/>
              </w:rPr>
            </w:pPr>
            <w:r w:rsidRPr="00617F96">
              <w:rPr>
                <w:rFonts w:eastAsia="Times New Roman" w:cs="Calibri"/>
                <w:color w:val="000000"/>
                <w:sz w:val="22"/>
                <w:szCs w:val="22"/>
              </w:rPr>
              <w:t> </w:t>
            </w:r>
          </w:p>
        </w:tc>
        <w:tc>
          <w:tcPr>
            <w:tcW w:w="1045" w:type="dxa"/>
            <w:shd w:val="clear" w:color="auto" w:fill="F2F2F2" w:themeFill="background1" w:themeFillShade="F2"/>
            <w:noWrap/>
            <w:vAlign w:val="bottom"/>
            <w:hideMark/>
          </w:tcPr>
          <w:p w14:paraId="6115F0B2" w14:textId="1EFA0226" w:rsidR="00694316" w:rsidRPr="00617F96" w:rsidRDefault="00694316" w:rsidP="00694316">
            <w:pPr>
              <w:widowControl/>
              <w:autoSpaceDE/>
              <w:autoSpaceDN/>
              <w:jc w:val="center"/>
              <w:rPr>
                <w:rFonts w:eastAsia="Times New Roman" w:cs="Calibri"/>
                <w:color w:val="000000"/>
                <w:sz w:val="22"/>
                <w:szCs w:val="22"/>
              </w:rPr>
            </w:pPr>
          </w:p>
        </w:tc>
        <w:tc>
          <w:tcPr>
            <w:tcW w:w="1009" w:type="dxa"/>
            <w:shd w:val="clear" w:color="auto" w:fill="F2F2F2" w:themeFill="background1" w:themeFillShade="F2"/>
            <w:noWrap/>
            <w:vAlign w:val="bottom"/>
            <w:hideMark/>
          </w:tcPr>
          <w:p w14:paraId="21BFC318" w14:textId="783129FE" w:rsidR="00694316" w:rsidRPr="00617F96" w:rsidRDefault="00694316" w:rsidP="00694316">
            <w:pPr>
              <w:widowControl/>
              <w:autoSpaceDE/>
              <w:autoSpaceDN/>
              <w:jc w:val="center"/>
              <w:rPr>
                <w:rFonts w:eastAsia="Times New Roman" w:cs="Calibri"/>
                <w:color w:val="000000"/>
                <w:sz w:val="22"/>
                <w:szCs w:val="22"/>
              </w:rPr>
            </w:pPr>
          </w:p>
        </w:tc>
        <w:tc>
          <w:tcPr>
            <w:tcW w:w="2909" w:type="dxa"/>
            <w:noWrap/>
            <w:vAlign w:val="bottom"/>
            <w:hideMark/>
          </w:tcPr>
          <w:p w14:paraId="54AC45CF"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Hampden</w:t>
            </w:r>
          </w:p>
        </w:tc>
        <w:tc>
          <w:tcPr>
            <w:tcW w:w="942" w:type="dxa"/>
            <w:noWrap/>
            <w:vAlign w:val="bottom"/>
            <w:hideMark/>
          </w:tcPr>
          <w:p w14:paraId="6FFF0B16" w14:textId="44C1193D"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1,751</w:t>
            </w:r>
          </w:p>
        </w:tc>
        <w:tc>
          <w:tcPr>
            <w:tcW w:w="996" w:type="dxa"/>
            <w:noWrap/>
            <w:vAlign w:val="bottom"/>
            <w:hideMark/>
          </w:tcPr>
          <w:p w14:paraId="2659329F"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2.0%</w:t>
            </w:r>
          </w:p>
        </w:tc>
      </w:tr>
      <w:tr w:rsidR="00694316" w:rsidRPr="00617F96" w14:paraId="2A10951C" w14:textId="77777777" w:rsidTr="00244E46">
        <w:trPr>
          <w:cantSplit/>
          <w:trHeight w:val="290"/>
        </w:trPr>
        <w:tc>
          <w:tcPr>
            <w:tcW w:w="2910" w:type="dxa"/>
            <w:shd w:val="clear" w:color="auto" w:fill="F2F2F2" w:themeFill="background1" w:themeFillShade="F2"/>
            <w:noWrap/>
            <w:vAlign w:val="bottom"/>
            <w:hideMark/>
          </w:tcPr>
          <w:p w14:paraId="288DB4DE" w14:textId="77777777" w:rsidR="00694316" w:rsidRPr="00617F96" w:rsidRDefault="00694316" w:rsidP="00694316">
            <w:pPr>
              <w:widowControl/>
              <w:autoSpaceDE/>
              <w:autoSpaceDN/>
              <w:rPr>
                <w:rFonts w:eastAsia="Times New Roman" w:cs="Calibri"/>
                <w:color w:val="000000"/>
                <w:sz w:val="22"/>
                <w:szCs w:val="22"/>
              </w:rPr>
            </w:pPr>
            <w:r w:rsidRPr="00617F96">
              <w:rPr>
                <w:rFonts w:eastAsia="Times New Roman" w:cs="Calibri"/>
                <w:color w:val="000000"/>
                <w:sz w:val="22"/>
                <w:szCs w:val="22"/>
              </w:rPr>
              <w:t> </w:t>
            </w:r>
          </w:p>
        </w:tc>
        <w:tc>
          <w:tcPr>
            <w:tcW w:w="1045" w:type="dxa"/>
            <w:shd w:val="clear" w:color="auto" w:fill="F2F2F2" w:themeFill="background1" w:themeFillShade="F2"/>
            <w:noWrap/>
            <w:vAlign w:val="bottom"/>
            <w:hideMark/>
          </w:tcPr>
          <w:p w14:paraId="5F606AF5" w14:textId="1124EC56" w:rsidR="00694316" w:rsidRPr="00617F96" w:rsidRDefault="00694316" w:rsidP="00694316">
            <w:pPr>
              <w:widowControl/>
              <w:autoSpaceDE/>
              <w:autoSpaceDN/>
              <w:jc w:val="center"/>
              <w:rPr>
                <w:rFonts w:eastAsia="Times New Roman" w:cs="Calibri"/>
                <w:color w:val="000000"/>
                <w:sz w:val="22"/>
                <w:szCs w:val="22"/>
              </w:rPr>
            </w:pPr>
          </w:p>
        </w:tc>
        <w:tc>
          <w:tcPr>
            <w:tcW w:w="1009" w:type="dxa"/>
            <w:shd w:val="clear" w:color="auto" w:fill="F2F2F2" w:themeFill="background1" w:themeFillShade="F2"/>
            <w:noWrap/>
            <w:vAlign w:val="bottom"/>
            <w:hideMark/>
          </w:tcPr>
          <w:p w14:paraId="10F42FB2" w14:textId="508B6AD8" w:rsidR="00694316" w:rsidRPr="00617F96" w:rsidRDefault="00694316" w:rsidP="00694316">
            <w:pPr>
              <w:widowControl/>
              <w:autoSpaceDE/>
              <w:autoSpaceDN/>
              <w:jc w:val="center"/>
              <w:rPr>
                <w:rFonts w:eastAsia="Times New Roman" w:cs="Calibri"/>
                <w:color w:val="000000"/>
                <w:sz w:val="22"/>
                <w:szCs w:val="22"/>
              </w:rPr>
            </w:pPr>
          </w:p>
        </w:tc>
        <w:tc>
          <w:tcPr>
            <w:tcW w:w="2909" w:type="dxa"/>
            <w:noWrap/>
            <w:vAlign w:val="bottom"/>
            <w:hideMark/>
          </w:tcPr>
          <w:p w14:paraId="02D6685B" w14:textId="77777777" w:rsidR="00694316" w:rsidRPr="00617F96" w:rsidRDefault="00694316" w:rsidP="00694316">
            <w:pPr>
              <w:widowControl/>
              <w:autoSpaceDE/>
              <w:autoSpaceDN/>
              <w:ind w:left="144"/>
              <w:rPr>
                <w:rFonts w:eastAsia="Times New Roman" w:cs="Calibri"/>
                <w:color w:val="000000"/>
                <w:sz w:val="22"/>
                <w:szCs w:val="22"/>
              </w:rPr>
            </w:pPr>
            <w:r w:rsidRPr="00617F96">
              <w:rPr>
                <w:rFonts w:eastAsia="Times New Roman" w:cs="Calibri"/>
                <w:color w:val="000000"/>
                <w:sz w:val="22"/>
                <w:szCs w:val="22"/>
              </w:rPr>
              <w:t>Unknown</w:t>
            </w:r>
          </w:p>
        </w:tc>
        <w:tc>
          <w:tcPr>
            <w:tcW w:w="942" w:type="dxa"/>
            <w:noWrap/>
            <w:vAlign w:val="bottom"/>
            <w:hideMark/>
          </w:tcPr>
          <w:p w14:paraId="766E105F" w14:textId="3EF20BCE"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1,056</w:t>
            </w:r>
          </w:p>
        </w:tc>
        <w:tc>
          <w:tcPr>
            <w:tcW w:w="996" w:type="dxa"/>
            <w:noWrap/>
            <w:vAlign w:val="bottom"/>
            <w:hideMark/>
          </w:tcPr>
          <w:p w14:paraId="7776F7E2" w14:textId="77777777" w:rsidR="00694316" w:rsidRPr="00617F96" w:rsidRDefault="00694316" w:rsidP="00694316">
            <w:pPr>
              <w:widowControl/>
              <w:autoSpaceDE/>
              <w:autoSpaceDN/>
              <w:jc w:val="right"/>
              <w:rPr>
                <w:rFonts w:eastAsia="Times New Roman" w:cs="Calibri"/>
                <w:color w:val="000000"/>
                <w:sz w:val="22"/>
                <w:szCs w:val="22"/>
              </w:rPr>
            </w:pPr>
            <w:r w:rsidRPr="00617F96">
              <w:rPr>
                <w:rFonts w:eastAsia="Times New Roman" w:cs="Calibri"/>
                <w:color w:val="000000"/>
                <w:sz w:val="22"/>
                <w:szCs w:val="22"/>
              </w:rPr>
              <w:t>1.2%</w:t>
            </w:r>
          </w:p>
        </w:tc>
      </w:tr>
    </w:tbl>
    <w:p w14:paraId="39CF0F9F" w14:textId="77777777" w:rsidR="008235B6" w:rsidRPr="00BB7A67" w:rsidRDefault="008235B6" w:rsidP="002C52D4">
      <w:pPr>
        <w:rPr>
          <w:rFonts w:asciiTheme="minorHAnsi" w:hAnsiTheme="minorHAnsi"/>
          <w:b/>
          <w:bCs/>
          <w:szCs w:val="24"/>
        </w:rPr>
      </w:pPr>
    </w:p>
    <w:p w14:paraId="3275E83E" w14:textId="1CC1C13E" w:rsidR="00684BF6" w:rsidRDefault="00684BF6" w:rsidP="00684BF6">
      <w:bookmarkStart w:id="4" w:name="Factor_1a:_Patient_Panel_Need"/>
      <w:bookmarkEnd w:id="4"/>
      <w:r>
        <w:t xml:space="preserve">Table </w:t>
      </w:r>
      <w:r w:rsidR="007F57F0">
        <w:t>5</w:t>
      </w:r>
      <w:r>
        <w:t xml:space="preserve"> shows the </w:t>
      </w:r>
      <w:r w:rsidRPr="00AB348B">
        <w:t xml:space="preserve">payer mix for </w:t>
      </w:r>
      <w:r>
        <w:t xml:space="preserve">the </w:t>
      </w:r>
      <w:r w:rsidR="004959B3">
        <w:t xml:space="preserve">Applicant’s </w:t>
      </w:r>
      <w:r w:rsidR="000A1F6E">
        <w:t>a</w:t>
      </w:r>
      <w:r w:rsidR="004959B3">
        <w:t xml:space="preserve">dult patients, and Table </w:t>
      </w:r>
      <w:r w:rsidR="007F57F0">
        <w:t>6</w:t>
      </w:r>
      <w:r w:rsidR="004959B3">
        <w:t xml:space="preserve"> shows the payer mix for the Applicant’s pediatric patients</w:t>
      </w:r>
      <w:r>
        <w:t>.</w:t>
      </w:r>
      <w:r w:rsidR="004959B3">
        <w:t xml:space="preserve"> </w:t>
      </w:r>
      <w:r>
        <w:t xml:space="preserve"> </w:t>
      </w:r>
    </w:p>
    <w:p w14:paraId="57E2DA3E" w14:textId="77777777" w:rsidR="00167F30" w:rsidRDefault="00167F30" w:rsidP="00684BF6"/>
    <w:p w14:paraId="7F6A112B" w14:textId="0B48EAA6" w:rsidR="00684BF6" w:rsidRPr="007F46F5" w:rsidRDefault="00684BF6" w:rsidP="00684BF6">
      <w:pPr>
        <w:rPr>
          <w:b/>
          <w:bCs/>
        </w:rPr>
      </w:pPr>
      <w:r w:rsidRPr="00206C59">
        <w:rPr>
          <w:b/>
          <w:bCs/>
          <w:u w:val="single"/>
        </w:rPr>
        <w:t xml:space="preserve">Table </w:t>
      </w:r>
      <w:r w:rsidR="007F57F0">
        <w:rPr>
          <w:b/>
          <w:bCs/>
          <w:u w:val="single"/>
        </w:rPr>
        <w:t>5</w:t>
      </w:r>
      <w:r>
        <w:rPr>
          <w:b/>
          <w:bCs/>
        </w:rPr>
        <w:t xml:space="preserve">: </w:t>
      </w:r>
      <w:r w:rsidR="00FD0A3D">
        <w:rPr>
          <w:b/>
          <w:bCs/>
        </w:rPr>
        <w:t>DFCI</w:t>
      </w:r>
      <w:r w:rsidR="006A4FD9">
        <w:rPr>
          <w:b/>
          <w:bCs/>
        </w:rPr>
        <w:t xml:space="preserve"> </w:t>
      </w:r>
      <w:r w:rsidRPr="00E43E76">
        <w:rPr>
          <w:b/>
          <w:bCs/>
        </w:rPr>
        <w:t>Pay</w:t>
      </w:r>
      <w:r w:rsidR="00D724C7">
        <w:rPr>
          <w:b/>
          <w:bCs/>
        </w:rPr>
        <w:t>e</w:t>
      </w:r>
      <w:r w:rsidRPr="00E43E76">
        <w:rPr>
          <w:b/>
          <w:bCs/>
        </w:rPr>
        <w:t>r Mix (Gross Revenues)</w:t>
      </w:r>
      <w:r w:rsidR="00DC1CBA">
        <w:rPr>
          <w:b/>
          <w:bCs/>
        </w:rPr>
        <w:t xml:space="preserve"> - </w:t>
      </w:r>
      <w:r w:rsidR="00FB588B">
        <w:rPr>
          <w:b/>
          <w:bCs/>
        </w:rPr>
        <w:t>Adult</w:t>
      </w:r>
      <w:r w:rsidR="00803BB5">
        <w:rPr>
          <w:b/>
          <w:bCs/>
        </w:rPr>
        <w:t xml:space="preserve">, </w:t>
      </w:r>
      <w:r w:rsidR="0058225C">
        <w:rPr>
          <w:b/>
          <w:bCs/>
        </w:rPr>
        <w:t xml:space="preserve">2022 to </w:t>
      </w:r>
      <w:r w:rsidR="00803BB5">
        <w:rPr>
          <w:b/>
          <w:bCs/>
        </w:rPr>
        <w:t>2024</w:t>
      </w:r>
      <w:r w:rsidR="00D462D4">
        <w:rPr>
          <w:rStyle w:val="FootnoteReference"/>
          <w:b/>
          <w:bCs/>
        </w:rPr>
        <w:footnoteReference w:id="20"/>
      </w:r>
    </w:p>
    <w:tbl>
      <w:tblPr>
        <w:tblStyle w:val="TableGrid"/>
        <w:tblW w:w="0" w:type="auto"/>
        <w:tblLook w:val="04A0" w:firstRow="1" w:lastRow="0" w:firstColumn="1" w:lastColumn="0" w:noHBand="0" w:noVBand="1"/>
      </w:tblPr>
      <w:tblGrid>
        <w:gridCol w:w="5271"/>
        <w:gridCol w:w="764"/>
        <w:gridCol w:w="764"/>
        <w:gridCol w:w="764"/>
      </w:tblGrid>
      <w:tr w:rsidR="00BC19A9" w:rsidRPr="00617F96" w14:paraId="41D02544" w14:textId="77777777" w:rsidTr="006858CF">
        <w:trPr>
          <w:cantSplit/>
          <w:tblHeader/>
        </w:trPr>
        <w:tc>
          <w:tcPr>
            <w:tcW w:w="0" w:type="auto"/>
            <w:shd w:val="clear" w:color="auto" w:fill="DBE5F1" w:themeFill="accent1" w:themeFillTint="33"/>
          </w:tcPr>
          <w:p w14:paraId="23731DB1" w14:textId="31F9BC59" w:rsidR="00BC19A9" w:rsidRPr="00617F96" w:rsidRDefault="00BC19A9" w:rsidP="00232C1A">
            <w:pPr>
              <w:rPr>
                <w:b/>
                <w:bCs/>
                <w:sz w:val="22"/>
                <w:szCs w:val="22"/>
              </w:rPr>
            </w:pPr>
            <w:r w:rsidRPr="00617F96">
              <w:rPr>
                <w:b/>
                <w:bCs/>
                <w:sz w:val="22"/>
                <w:szCs w:val="22"/>
              </w:rPr>
              <w:t>Payer Mix Category</w:t>
            </w:r>
          </w:p>
        </w:tc>
        <w:tc>
          <w:tcPr>
            <w:tcW w:w="0" w:type="auto"/>
            <w:shd w:val="clear" w:color="auto" w:fill="DBE5F1" w:themeFill="accent1" w:themeFillTint="33"/>
          </w:tcPr>
          <w:p w14:paraId="742C6F54" w14:textId="2C91845F" w:rsidR="00BC19A9" w:rsidRPr="00617F96" w:rsidRDefault="00714070" w:rsidP="00232C1A">
            <w:pPr>
              <w:jc w:val="center"/>
              <w:rPr>
                <w:b/>
                <w:bCs/>
                <w:sz w:val="22"/>
                <w:szCs w:val="22"/>
              </w:rPr>
            </w:pPr>
            <w:r>
              <w:rPr>
                <w:b/>
                <w:bCs/>
                <w:sz w:val="22"/>
                <w:szCs w:val="22"/>
              </w:rPr>
              <w:t>FY22</w:t>
            </w:r>
          </w:p>
        </w:tc>
        <w:tc>
          <w:tcPr>
            <w:tcW w:w="0" w:type="auto"/>
            <w:shd w:val="clear" w:color="auto" w:fill="DBE5F1" w:themeFill="accent1" w:themeFillTint="33"/>
          </w:tcPr>
          <w:p w14:paraId="21B9AEAF" w14:textId="3363D12A" w:rsidR="00BC19A9" w:rsidRPr="00617F96" w:rsidRDefault="00714070" w:rsidP="00232C1A">
            <w:pPr>
              <w:jc w:val="center"/>
              <w:rPr>
                <w:b/>
                <w:bCs/>
                <w:sz w:val="22"/>
                <w:szCs w:val="22"/>
              </w:rPr>
            </w:pPr>
            <w:r>
              <w:rPr>
                <w:b/>
                <w:bCs/>
                <w:sz w:val="22"/>
                <w:szCs w:val="22"/>
              </w:rPr>
              <w:t>FY23</w:t>
            </w:r>
          </w:p>
        </w:tc>
        <w:tc>
          <w:tcPr>
            <w:tcW w:w="0" w:type="auto"/>
            <w:shd w:val="clear" w:color="auto" w:fill="DBE5F1" w:themeFill="accent1" w:themeFillTint="33"/>
          </w:tcPr>
          <w:p w14:paraId="1246D117" w14:textId="2C40612E" w:rsidR="00BC19A9" w:rsidRPr="00617F96" w:rsidRDefault="00714070" w:rsidP="00232C1A">
            <w:pPr>
              <w:jc w:val="center"/>
              <w:rPr>
                <w:b/>
                <w:bCs/>
                <w:sz w:val="22"/>
                <w:szCs w:val="22"/>
              </w:rPr>
            </w:pPr>
            <w:r>
              <w:rPr>
                <w:b/>
                <w:bCs/>
                <w:sz w:val="22"/>
                <w:szCs w:val="22"/>
              </w:rPr>
              <w:t>FY24</w:t>
            </w:r>
          </w:p>
        </w:tc>
      </w:tr>
      <w:tr w:rsidR="000D2C14" w:rsidRPr="00617F96" w14:paraId="3A8BEF90" w14:textId="77777777" w:rsidTr="006858CF">
        <w:trPr>
          <w:cantSplit/>
        </w:trPr>
        <w:tc>
          <w:tcPr>
            <w:tcW w:w="0" w:type="auto"/>
          </w:tcPr>
          <w:p w14:paraId="31E18AB0" w14:textId="77777777" w:rsidR="000D2C14" w:rsidRPr="00617F96" w:rsidRDefault="000D2C14" w:rsidP="000D2C14">
            <w:pPr>
              <w:ind w:left="144"/>
              <w:rPr>
                <w:sz w:val="22"/>
                <w:szCs w:val="22"/>
              </w:rPr>
            </w:pPr>
            <w:r w:rsidRPr="00617F96">
              <w:rPr>
                <w:sz w:val="22"/>
                <w:szCs w:val="22"/>
              </w:rPr>
              <w:t xml:space="preserve">Commercial Medicare </w:t>
            </w:r>
          </w:p>
          <w:p w14:paraId="53CF66C2" w14:textId="61EF3C1A" w:rsidR="000D2C14" w:rsidRPr="00617F96" w:rsidRDefault="000D2C14" w:rsidP="000D2C14">
            <w:pPr>
              <w:ind w:left="144"/>
              <w:rPr>
                <w:b/>
                <w:bCs/>
                <w:sz w:val="22"/>
                <w:szCs w:val="22"/>
              </w:rPr>
            </w:pPr>
            <w:r w:rsidRPr="00617F96">
              <w:rPr>
                <w:sz w:val="22"/>
                <w:szCs w:val="22"/>
              </w:rPr>
              <w:t xml:space="preserve">(Private Medicare/Medicare Advantage) </w:t>
            </w:r>
          </w:p>
        </w:tc>
        <w:tc>
          <w:tcPr>
            <w:tcW w:w="0" w:type="auto"/>
          </w:tcPr>
          <w:p w14:paraId="45BAE773" w14:textId="2BE29879" w:rsidR="000D2C14" w:rsidRPr="000D2C14" w:rsidRDefault="000D2C14" w:rsidP="000D2C14">
            <w:pPr>
              <w:jc w:val="center"/>
              <w:rPr>
                <w:sz w:val="22"/>
                <w:szCs w:val="22"/>
              </w:rPr>
            </w:pPr>
            <w:r w:rsidRPr="000D2C14">
              <w:rPr>
                <w:sz w:val="22"/>
                <w:szCs w:val="22"/>
              </w:rPr>
              <w:t>11.1%</w:t>
            </w:r>
          </w:p>
        </w:tc>
        <w:tc>
          <w:tcPr>
            <w:tcW w:w="0" w:type="auto"/>
          </w:tcPr>
          <w:p w14:paraId="4CF73B5F" w14:textId="2F002EED" w:rsidR="000D2C14" w:rsidRPr="000D2C14" w:rsidRDefault="000D2C14" w:rsidP="000D2C14">
            <w:pPr>
              <w:jc w:val="center"/>
              <w:rPr>
                <w:sz w:val="22"/>
                <w:szCs w:val="22"/>
              </w:rPr>
            </w:pPr>
            <w:r w:rsidRPr="000D2C14">
              <w:rPr>
                <w:sz w:val="22"/>
                <w:szCs w:val="22"/>
              </w:rPr>
              <w:t>12.2%</w:t>
            </w:r>
          </w:p>
        </w:tc>
        <w:tc>
          <w:tcPr>
            <w:tcW w:w="0" w:type="auto"/>
          </w:tcPr>
          <w:p w14:paraId="56A607F4" w14:textId="3C380A7D" w:rsidR="000D2C14" w:rsidRPr="000D2C14" w:rsidRDefault="000D2C14" w:rsidP="000D2C14">
            <w:pPr>
              <w:jc w:val="center"/>
              <w:rPr>
                <w:b/>
                <w:bCs/>
                <w:sz w:val="22"/>
                <w:szCs w:val="22"/>
              </w:rPr>
            </w:pPr>
            <w:r w:rsidRPr="000D2C14">
              <w:rPr>
                <w:sz w:val="22"/>
                <w:szCs w:val="22"/>
              </w:rPr>
              <w:t>13.6%</w:t>
            </w:r>
          </w:p>
        </w:tc>
      </w:tr>
      <w:tr w:rsidR="000D2C14" w:rsidRPr="00617F96" w14:paraId="66855EFB" w14:textId="77777777" w:rsidTr="006858CF">
        <w:trPr>
          <w:cantSplit/>
        </w:trPr>
        <w:tc>
          <w:tcPr>
            <w:tcW w:w="0" w:type="auto"/>
          </w:tcPr>
          <w:p w14:paraId="25722B93" w14:textId="61272438" w:rsidR="000D2C14" w:rsidRPr="00617F96" w:rsidRDefault="000D2C14" w:rsidP="000D2C14">
            <w:pPr>
              <w:ind w:left="144"/>
              <w:rPr>
                <w:b/>
                <w:bCs/>
                <w:sz w:val="22"/>
                <w:szCs w:val="22"/>
              </w:rPr>
            </w:pPr>
            <w:r w:rsidRPr="00617F96">
              <w:rPr>
                <w:sz w:val="22"/>
                <w:szCs w:val="22"/>
              </w:rPr>
              <w:t xml:space="preserve">Medicare FFS </w:t>
            </w:r>
          </w:p>
        </w:tc>
        <w:tc>
          <w:tcPr>
            <w:tcW w:w="0" w:type="auto"/>
          </w:tcPr>
          <w:p w14:paraId="7F71D58A" w14:textId="35151330" w:rsidR="000D2C14" w:rsidRPr="000D2C14" w:rsidRDefault="000D2C14" w:rsidP="000D2C14">
            <w:pPr>
              <w:jc w:val="center"/>
              <w:rPr>
                <w:sz w:val="22"/>
                <w:szCs w:val="22"/>
              </w:rPr>
            </w:pPr>
            <w:r w:rsidRPr="000D2C14">
              <w:rPr>
                <w:sz w:val="22"/>
                <w:szCs w:val="22"/>
              </w:rPr>
              <w:t>37.3%</w:t>
            </w:r>
          </w:p>
        </w:tc>
        <w:tc>
          <w:tcPr>
            <w:tcW w:w="0" w:type="auto"/>
          </w:tcPr>
          <w:p w14:paraId="61F16F51" w14:textId="048DF128" w:rsidR="000D2C14" w:rsidRPr="000D2C14" w:rsidRDefault="000D2C14" w:rsidP="000D2C14">
            <w:pPr>
              <w:jc w:val="center"/>
              <w:rPr>
                <w:sz w:val="22"/>
                <w:szCs w:val="22"/>
              </w:rPr>
            </w:pPr>
            <w:r w:rsidRPr="000D2C14">
              <w:rPr>
                <w:sz w:val="22"/>
                <w:szCs w:val="22"/>
              </w:rPr>
              <w:t>38.2%</w:t>
            </w:r>
          </w:p>
        </w:tc>
        <w:tc>
          <w:tcPr>
            <w:tcW w:w="0" w:type="auto"/>
          </w:tcPr>
          <w:p w14:paraId="27FE6C16" w14:textId="39508B01" w:rsidR="000D2C14" w:rsidRPr="000D2C14" w:rsidRDefault="000D2C14" w:rsidP="000D2C14">
            <w:pPr>
              <w:jc w:val="center"/>
              <w:rPr>
                <w:b/>
                <w:bCs/>
                <w:sz w:val="22"/>
                <w:szCs w:val="22"/>
              </w:rPr>
            </w:pPr>
            <w:r w:rsidRPr="000D2C14">
              <w:rPr>
                <w:sz w:val="22"/>
                <w:szCs w:val="22"/>
              </w:rPr>
              <w:t>37.3%</w:t>
            </w:r>
          </w:p>
        </w:tc>
      </w:tr>
      <w:tr w:rsidR="000D2C14" w:rsidRPr="00617F96" w14:paraId="2C71A50F" w14:textId="77777777" w:rsidTr="006858CF">
        <w:trPr>
          <w:cantSplit/>
        </w:trPr>
        <w:tc>
          <w:tcPr>
            <w:tcW w:w="0" w:type="auto"/>
          </w:tcPr>
          <w:p w14:paraId="2599BEF8" w14:textId="35A55EC6" w:rsidR="000D2C14" w:rsidRPr="00617F96" w:rsidRDefault="000D2C14" w:rsidP="000D2C14">
            <w:pPr>
              <w:ind w:left="144"/>
              <w:rPr>
                <w:b/>
                <w:bCs/>
                <w:sz w:val="22"/>
                <w:szCs w:val="22"/>
              </w:rPr>
            </w:pPr>
            <w:r w:rsidRPr="00617F96">
              <w:rPr>
                <w:sz w:val="22"/>
                <w:szCs w:val="22"/>
              </w:rPr>
              <w:t xml:space="preserve">Managed Medicaid (Private Medicaid/Medicaid MCOs) </w:t>
            </w:r>
          </w:p>
        </w:tc>
        <w:tc>
          <w:tcPr>
            <w:tcW w:w="0" w:type="auto"/>
          </w:tcPr>
          <w:p w14:paraId="4076A8B2" w14:textId="54694167" w:rsidR="000D2C14" w:rsidRPr="000D2C14" w:rsidRDefault="000D2C14" w:rsidP="000D2C14">
            <w:pPr>
              <w:jc w:val="center"/>
              <w:rPr>
                <w:sz w:val="22"/>
                <w:szCs w:val="22"/>
              </w:rPr>
            </w:pPr>
            <w:r w:rsidRPr="000D2C14">
              <w:rPr>
                <w:sz w:val="22"/>
                <w:szCs w:val="22"/>
              </w:rPr>
              <w:t>2.9%</w:t>
            </w:r>
          </w:p>
        </w:tc>
        <w:tc>
          <w:tcPr>
            <w:tcW w:w="0" w:type="auto"/>
          </w:tcPr>
          <w:p w14:paraId="23F8B9ED" w14:textId="64FEFD42" w:rsidR="000D2C14" w:rsidRPr="000D2C14" w:rsidRDefault="000D2C14" w:rsidP="000D2C14">
            <w:pPr>
              <w:jc w:val="center"/>
              <w:rPr>
                <w:sz w:val="22"/>
                <w:szCs w:val="22"/>
              </w:rPr>
            </w:pPr>
            <w:r w:rsidRPr="000D2C14">
              <w:rPr>
                <w:sz w:val="22"/>
                <w:szCs w:val="22"/>
              </w:rPr>
              <w:t>3.8%</w:t>
            </w:r>
          </w:p>
        </w:tc>
        <w:tc>
          <w:tcPr>
            <w:tcW w:w="0" w:type="auto"/>
          </w:tcPr>
          <w:p w14:paraId="163FE645" w14:textId="77EEECA0" w:rsidR="000D2C14" w:rsidRPr="000D2C14" w:rsidRDefault="000D2C14" w:rsidP="000D2C14">
            <w:pPr>
              <w:jc w:val="center"/>
              <w:rPr>
                <w:b/>
                <w:bCs/>
                <w:sz w:val="22"/>
                <w:szCs w:val="22"/>
              </w:rPr>
            </w:pPr>
            <w:r w:rsidRPr="000D2C14">
              <w:rPr>
                <w:sz w:val="22"/>
                <w:szCs w:val="22"/>
              </w:rPr>
              <w:t>4.8%</w:t>
            </w:r>
          </w:p>
        </w:tc>
      </w:tr>
      <w:tr w:rsidR="000D2C14" w:rsidRPr="00617F96" w14:paraId="58EB202D" w14:textId="77777777" w:rsidTr="006858CF">
        <w:trPr>
          <w:cantSplit/>
        </w:trPr>
        <w:tc>
          <w:tcPr>
            <w:tcW w:w="0" w:type="auto"/>
          </w:tcPr>
          <w:p w14:paraId="1ED5E893" w14:textId="24319105" w:rsidR="000D2C14" w:rsidRPr="00617F96" w:rsidRDefault="000D2C14" w:rsidP="000D2C14">
            <w:pPr>
              <w:ind w:left="144"/>
              <w:rPr>
                <w:b/>
                <w:bCs/>
                <w:sz w:val="22"/>
                <w:szCs w:val="22"/>
              </w:rPr>
            </w:pPr>
            <w:r w:rsidRPr="00617F96">
              <w:rPr>
                <w:sz w:val="22"/>
                <w:szCs w:val="22"/>
              </w:rPr>
              <w:t xml:space="preserve">MassHealth </w:t>
            </w:r>
          </w:p>
        </w:tc>
        <w:tc>
          <w:tcPr>
            <w:tcW w:w="0" w:type="auto"/>
          </w:tcPr>
          <w:p w14:paraId="59861101" w14:textId="2546BBF3" w:rsidR="000D2C14" w:rsidRPr="000D2C14" w:rsidRDefault="000D2C14" w:rsidP="000D2C14">
            <w:pPr>
              <w:jc w:val="center"/>
              <w:rPr>
                <w:sz w:val="22"/>
                <w:szCs w:val="22"/>
              </w:rPr>
            </w:pPr>
            <w:r w:rsidRPr="000D2C14">
              <w:rPr>
                <w:sz w:val="22"/>
                <w:szCs w:val="22"/>
              </w:rPr>
              <w:t>4.5%</w:t>
            </w:r>
          </w:p>
        </w:tc>
        <w:tc>
          <w:tcPr>
            <w:tcW w:w="0" w:type="auto"/>
          </w:tcPr>
          <w:p w14:paraId="25B1A731" w14:textId="25A50D21" w:rsidR="000D2C14" w:rsidRPr="000D2C14" w:rsidRDefault="000D2C14" w:rsidP="000D2C14">
            <w:pPr>
              <w:jc w:val="center"/>
              <w:rPr>
                <w:sz w:val="22"/>
                <w:szCs w:val="22"/>
              </w:rPr>
            </w:pPr>
            <w:r w:rsidRPr="000D2C14">
              <w:rPr>
                <w:sz w:val="22"/>
                <w:szCs w:val="22"/>
              </w:rPr>
              <w:t>3.9%</w:t>
            </w:r>
          </w:p>
        </w:tc>
        <w:tc>
          <w:tcPr>
            <w:tcW w:w="0" w:type="auto"/>
          </w:tcPr>
          <w:p w14:paraId="0F4804C1" w14:textId="1C4BDEDE" w:rsidR="000D2C14" w:rsidRPr="000D2C14" w:rsidRDefault="000D2C14" w:rsidP="000D2C14">
            <w:pPr>
              <w:jc w:val="center"/>
              <w:rPr>
                <w:b/>
                <w:bCs/>
                <w:sz w:val="22"/>
                <w:szCs w:val="22"/>
              </w:rPr>
            </w:pPr>
            <w:r w:rsidRPr="000D2C14">
              <w:rPr>
                <w:sz w:val="22"/>
                <w:szCs w:val="22"/>
              </w:rPr>
              <w:t>3.1%</w:t>
            </w:r>
          </w:p>
        </w:tc>
      </w:tr>
      <w:tr w:rsidR="000D2C14" w:rsidRPr="00617F96" w14:paraId="1D9C379E" w14:textId="77777777" w:rsidTr="006858CF">
        <w:trPr>
          <w:cantSplit/>
        </w:trPr>
        <w:tc>
          <w:tcPr>
            <w:tcW w:w="0" w:type="auto"/>
          </w:tcPr>
          <w:p w14:paraId="4F3E43CD" w14:textId="1C954469" w:rsidR="000D2C14" w:rsidRPr="00617F96" w:rsidRDefault="000D2C14" w:rsidP="000D2C14">
            <w:pPr>
              <w:ind w:left="144"/>
              <w:rPr>
                <w:b/>
                <w:bCs/>
                <w:sz w:val="22"/>
                <w:szCs w:val="22"/>
              </w:rPr>
            </w:pPr>
            <w:r w:rsidRPr="00617F96">
              <w:rPr>
                <w:sz w:val="22"/>
                <w:szCs w:val="22"/>
              </w:rPr>
              <w:t xml:space="preserve">Commercial (PPO/Indemnity and HMO/POS) </w:t>
            </w:r>
          </w:p>
        </w:tc>
        <w:tc>
          <w:tcPr>
            <w:tcW w:w="0" w:type="auto"/>
          </w:tcPr>
          <w:p w14:paraId="5BF38956" w14:textId="47F57923" w:rsidR="000D2C14" w:rsidRPr="000D2C14" w:rsidRDefault="000D2C14" w:rsidP="000D2C14">
            <w:pPr>
              <w:jc w:val="center"/>
              <w:rPr>
                <w:sz w:val="22"/>
                <w:szCs w:val="22"/>
              </w:rPr>
            </w:pPr>
            <w:r w:rsidRPr="000D2C14">
              <w:rPr>
                <w:sz w:val="22"/>
                <w:szCs w:val="22"/>
              </w:rPr>
              <w:t>43.3%</w:t>
            </w:r>
          </w:p>
        </w:tc>
        <w:tc>
          <w:tcPr>
            <w:tcW w:w="0" w:type="auto"/>
          </w:tcPr>
          <w:p w14:paraId="52FB1278" w14:textId="2F351EDD" w:rsidR="000D2C14" w:rsidRPr="000D2C14" w:rsidRDefault="000D2C14" w:rsidP="000D2C14">
            <w:pPr>
              <w:jc w:val="center"/>
              <w:rPr>
                <w:sz w:val="22"/>
                <w:szCs w:val="22"/>
              </w:rPr>
            </w:pPr>
            <w:r w:rsidRPr="000D2C14">
              <w:rPr>
                <w:sz w:val="22"/>
                <w:szCs w:val="22"/>
              </w:rPr>
              <w:t>41.1%</w:t>
            </w:r>
          </w:p>
        </w:tc>
        <w:tc>
          <w:tcPr>
            <w:tcW w:w="0" w:type="auto"/>
          </w:tcPr>
          <w:p w14:paraId="22BBE711" w14:textId="39A03AC3" w:rsidR="000D2C14" w:rsidRPr="000D2C14" w:rsidRDefault="000D2C14" w:rsidP="000D2C14">
            <w:pPr>
              <w:jc w:val="center"/>
              <w:rPr>
                <w:b/>
                <w:bCs/>
                <w:sz w:val="22"/>
                <w:szCs w:val="22"/>
              </w:rPr>
            </w:pPr>
            <w:r w:rsidRPr="000D2C14">
              <w:rPr>
                <w:sz w:val="22"/>
                <w:szCs w:val="22"/>
              </w:rPr>
              <w:t>40.1%</w:t>
            </w:r>
          </w:p>
        </w:tc>
      </w:tr>
      <w:tr w:rsidR="000D2C14" w:rsidRPr="00617F96" w14:paraId="21C3BBF1" w14:textId="77777777" w:rsidTr="006858CF">
        <w:trPr>
          <w:cantSplit/>
        </w:trPr>
        <w:tc>
          <w:tcPr>
            <w:tcW w:w="0" w:type="auto"/>
          </w:tcPr>
          <w:p w14:paraId="0D0E63F8" w14:textId="3F234D91" w:rsidR="000D2C14" w:rsidRPr="00617F96" w:rsidRDefault="000D2C14" w:rsidP="000D2C14">
            <w:pPr>
              <w:ind w:left="144"/>
              <w:rPr>
                <w:b/>
                <w:bCs/>
                <w:sz w:val="22"/>
                <w:szCs w:val="22"/>
              </w:rPr>
            </w:pPr>
            <w:r w:rsidRPr="00617F96">
              <w:rPr>
                <w:sz w:val="22"/>
                <w:szCs w:val="22"/>
              </w:rPr>
              <w:t>Other</w:t>
            </w:r>
            <w:r w:rsidRPr="00617F96">
              <w:rPr>
                <w:rStyle w:val="FootnoteReference"/>
                <w:sz w:val="22"/>
                <w:szCs w:val="22"/>
              </w:rPr>
              <w:footnoteReference w:id="21"/>
            </w:r>
            <w:r w:rsidRPr="00617F96">
              <w:rPr>
                <w:sz w:val="22"/>
                <w:szCs w:val="22"/>
              </w:rPr>
              <w:t xml:space="preserve"> </w:t>
            </w:r>
          </w:p>
        </w:tc>
        <w:tc>
          <w:tcPr>
            <w:tcW w:w="0" w:type="auto"/>
          </w:tcPr>
          <w:p w14:paraId="15B33E62" w14:textId="23EDD463" w:rsidR="000D2C14" w:rsidRPr="000D2C14" w:rsidRDefault="000D2C14" w:rsidP="000D2C14">
            <w:pPr>
              <w:jc w:val="center"/>
              <w:rPr>
                <w:sz w:val="22"/>
                <w:szCs w:val="22"/>
              </w:rPr>
            </w:pPr>
            <w:r w:rsidRPr="000D2C14">
              <w:rPr>
                <w:sz w:val="22"/>
                <w:szCs w:val="22"/>
              </w:rPr>
              <w:t>0.9%</w:t>
            </w:r>
          </w:p>
        </w:tc>
        <w:tc>
          <w:tcPr>
            <w:tcW w:w="0" w:type="auto"/>
          </w:tcPr>
          <w:p w14:paraId="5D32D429" w14:textId="75F9941B" w:rsidR="000D2C14" w:rsidRPr="000D2C14" w:rsidRDefault="000D2C14" w:rsidP="000D2C14">
            <w:pPr>
              <w:jc w:val="center"/>
              <w:rPr>
                <w:sz w:val="22"/>
                <w:szCs w:val="22"/>
              </w:rPr>
            </w:pPr>
            <w:r w:rsidRPr="000D2C14">
              <w:rPr>
                <w:sz w:val="22"/>
                <w:szCs w:val="22"/>
              </w:rPr>
              <w:t>0.8%</w:t>
            </w:r>
          </w:p>
        </w:tc>
        <w:tc>
          <w:tcPr>
            <w:tcW w:w="0" w:type="auto"/>
          </w:tcPr>
          <w:p w14:paraId="7C1DE414" w14:textId="6BB6C1B9" w:rsidR="000D2C14" w:rsidRPr="000D2C14" w:rsidRDefault="000D2C14" w:rsidP="000D2C14">
            <w:pPr>
              <w:jc w:val="center"/>
              <w:rPr>
                <w:b/>
                <w:bCs/>
                <w:sz w:val="22"/>
                <w:szCs w:val="22"/>
              </w:rPr>
            </w:pPr>
            <w:r w:rsidRPr="000D2C14">
              <w:rPr>
                <w:sz w:val="22"/>
                <w:szCs w:val="22"/>
              </w:rPr>
              <w:t>1.2%</w:t>
            </w:r>
          </w:p>
        </w:tc>
      </w:tr>
      <w:tr w:rsidR="00BC19A9" w:rsidRPr="00617F96" w14:paraId="4D0DB75D" w14:textId="77777777" w:rsidTr="006858CF">
        <w:trPr>
          <w:cantSplit/>
        </w:trPr>
        <w:tc>
          <w:tcPr>
            <w:tcW w:w="0" w:type="auto"/>
          </w:tcPr>
          <w:p w14:paraId="3C531731" w14:textId="6B50E32F" w:rsidR="00BC19A9" w:rsidRPr="00617F96" w:rsidRDefault="00BC19A9" w:rsidP="00DD212F">
            <w:pPr>
              <w:ind w:left="144"/>
              <w:rPr>
                <w:sz w:val="22"/>
                <w:szCs w:val="22"/>
              </w:rPr>
            </w:pPr>
            <w:r w:rsidRPr="00617F96">
              <w:rPr>
                <w:sz w:val="22"/>
                <w:szCs w:val="22"/>
              </w:rPr>
              <w:lastRenderedPageBreak/>
              <w:t xml:space="preserve">Total </w:t>
            </w:r>
          </w:p>
        </w:tc>
        <w:tc>
          <w:tcPr>
            <w:tcW w:w="0" w:type="auto"/>
          </w:tcPr>
          <w:p w14:paraId="7F87A90B" w14:textId="259ED5F7" w:rsidR="00BC19A9" w:rsidRPr="000D2C14" w:rsidRDefault="000D2C14" w:rsidP="00232C1A">
            <w:pPr>
              <w:jc w:val="center"/>
              <w:rPr>
                <w:sz w:val="22"/>
                <w:szCs w:val="22"/>
              </w:rPr>
            </w:pPr>
            <w:r w:rsidRPr="000D2C14">
              <w:rPr>
                <w:sz w:val="22"/>
                <w:szCs w:val="22"/>
              </w:rPr>
              <w:t>100%</w:t>
            </w:r>
          </w:p>
        </w:tc>
        <w:tc>
          <w:tcPr>
            <w:tcW w:w="0" w:type="auto"/>
          </w:tcPr>
          <w:p w14:paraId="412CC38E" w14:textId="05D46CEB" w:rsidR="00BC19A9" w:rsidRPr="000D2C14" w:rsidRDefault="000D2C14" w:rsidP="00232C1A">
            <w:pPr>
              <w:jc w:val="center"/>
              <w:rPr>
                <w:sz w:val="22"/>
                <w:szCs w:val="22"/>
              </w:rPr>
            </w:pPr>
            <w:r w:rsidRPr="000D2C14">
              <w:rPr>
                <w:sz w:val="22"/>
                <w:szCs w:val="22"/>
              </w:rPr>
              <w:t>100%</w:t>
            </w:r>
          </w:p>
        </w:tc>
        <w:tc>
          <w:tcPr>
            <w:tcW w:w="0" w:type="auto"/>
          </w:tcPr>
          <w:p w14:paraId="5AAD7FD3" w14:textId="0F8D7777" w:rsidR="00BC19A9" w:rsidRPr="000D2C14" w:rsidRDefault="00BC19A9" w:rsidP="00232C1A">
            <w:pPr>
              <w:jc w:val="center"/>
              <w:rPr>
                <w:b/>
                <w:bCs/>
                <w:sz w:val="22"/>
                <w:szCs w:val="22"/>
              </w:rPr>
            </w:pPr>
            <w:r w:rsidRPr="000D2C14">
              <w:rPr>
                <w:sz w:val="22"/>
                <w:szCs w:val="22"/>
              </w:rPr>
              <w:t>100%</w:t>
            </w:r>
          </w:p>
        </w:tc>
      </w:tr>
    </w:tbl>
    <w:p w14:paraId="12F2CA7A" w14:textId="77777777" w:rsidR="006D0DA4" w:rsidRDefault="006D0DA4" w:rsidP="00684BF6">
      <w:pPr>
        <w:rPr>
          <w:b/>
          <w:bCs/>
        </w:rPr>
      </w:pPr>
    </w:p>
    <w:p w14:paraId="33FEEF60" w14:textId="56062466" w:rsidR="00FB588B" w:rsidRPr="007F46F5" w:rsidRDefault="00FB588B" w:rsidP="00FB588B">
      <w:pPr>
        <w:rPr>
          <w:b/>
          <w:bCs/>
        </w:rPr>
      </w:pPr>
      <w:r>
        <w:rPr>
          <w:b/>
          <w:bCs/>
          <w:u w:val="single"/>
        </w:rPr>
        <w:t>Ta</w:t>
      </w:r>
      <w:r w:rsidRPr="00206C59">
        <w:rPr>
          <w:b/>
          <w:bCs/>
          <w:u w:val="single"/>
        </w:rPr>
        <w:t xml:space="preserve">ble </w:t>
      </w:r>
      <w:r w:rsidR="007F57F0">
        <w:rPr>
          <w:b/>
          <w:bCs/>
          <w:u w:val="single"/>
        </w:rPr>
        <w:t>6</w:t>
      </w:r>
      <w:r>
        <w:rPr>
          <w:b/>
          <w:bCs/>
        </w:rPr>
        <w:t xml:space="preserve">: </w:t>
      </w:r>
      <w:r w:rsidR="00FD0A3D">
        <w:rPr>
          <w:b/>
          <w:bCs/>
        </w:rPr>
        <w:t>DFCI</w:t>
      </w:r>
      <w:r>
        <w:rPr>
          <w:b/>
          <w:bCs/>
        </w:rPr>
        <w:t xml:space="preserve"> </w:t>
      </w:r>
      <w:r w:rsidRPr="00E43E76">
        <w:rPr>
          <w:b/>
          <w:bCs/>
        </w:rPr>
        <w:t>Pay</w:t>
      </w:r>
      <w:r w:rsidR="00D724C7">
        <w:rPr>
          <w:b/>
          <w:bCs/>
        </w:rPr>
        <w:t>e</w:t>
      </w:r>
      <w:r w:rsidRPr="00E43E76">
        <w:rPr>
          <w:b/>
          <w:bCs/>
        </w:rPr>
        <w:t>r Mix (Gross Revenues</w:t>
      </w:r>
      <w:r w:rsidR="00DC1CBA">
        <w:rPr>
          <w:b/>
          <w:bCs/>
        </w:rPr>
        <w:t xml:space="preserve">) - </w:t>
      </w:r>
      <w:r>
        <w:rPr>
          <w:b/>
          <w:bCs/>
        </w:rPr>
        <w:t>Pediatric</w:t>
      </w:r>
      <w:r w:rsidR="00803BB5">
        <w:rPr>
          <w:b/>
          <w:bCs/>
        </w:rPr>
        <w:t xml:space="preserve">, </w:t>
      </w:r>
      <w:r w:rsidR="0058225C">
        <w:rPr>
          <w:b/>
          <w:bCs/>
        </w:rPr>
        <w:t xml:space="preserve">2022 to </w:t>
      </w:r>
      <w:r w:rsidR="00803BB5">
        <w:rPr>
          <w:b/>
          <w:bCs/>
        </w:rPr>
        <w:t>2024</w:t>
      </w:r>
      <w:r w:rsidR="000A1853">
        <w:rPr>
          <w:rStyle w:val="FootnoteReference"/>
          <w:b/>
          <w:bCs/>
        </w:rPr>
        <w:footnoteReference w:id="22"/>
      </w:r>
    </w:p>
    <w:tbl>
      <w:tblPr>
        <w:tblStyle w:val="TableGrid"/>
        <w:tblW w:w="0" w:type="auto"/>
        <w:tblLook w:val="04A0" w:firstRow="1" w:lastRow="0" w:firstColumn="1" w:lastColumn="0" w:noHBand="0" w:noVBand="1"/>
      </w:tblPr>
      <w:tblGrid>
        <w:gridCol w:w="5271"/>
        <w:gridCol w:w="764"/>
        <w:gridCol w:w="764"/>
        <w:gridCol w:w="764"/>
      </w:tblGrid>
      <w:tr w:rsidR="009868B5" w:rsidRPr="00513DD5" w14:paraId="1AE2C6F4" w14:textId="77777777" w:rsidTr="006858CF">
        <w:trPr>
          <w:cantSplit/>
          <w:tblHeader/>
        </w:trPr>
        <w:tc>
          <w:tcPr>
            <w:tcW w:w="0" w:type="auto"/>
            <w:shd w:val="clear" w:color="auto" w:fill="DBE5F1" w:themeFill="accent1" w:themeFillTint="33"/>
          </w:tcPr>
          <w:p w14:paraId="7C4BF123" w14:textId="4C184690" w:rsidR="009868B5" w:rsidRPr="00513DD5" w:rsidRDefault="009868B5" w:rsidP="00292666">
            <w:pPr>
              <w:rPr>
                <w:b/>
                <w:bCs/>
                <w:sz w:val="22"/>
                <w:szCs w:val="22"/>
              </w:rPr>
            </w:pPr>
            <w:r w:rsidRPr="00513DD5">
              <w:rPr>
                <w:b/>
                <w:bCs/>
                <w:sz w:val="22"/>
                <w:szCs w:val="22"/>
              </w:rPr>
              <w:t>Payer Mix Category</w:t>
            </w:r>
          </w:p>
        </w:tc>
        <w:tc>
          <w:tcPr>
            <w:tcW w:w="0" w:type="auto"/>
            <w:shd w:val="clear" w:color="auto" w:fill="DBE5F1" w:themeFill="accent1" w:themeFillTint="33"/>
          </w:tcPr>
          <w:p w14:paraId="6DB8193F" w14:textId="5D6E3199" w:rsidR="009868B5" w:rsidRPr="00513DD5" w:rsidRDefault="00316E99" w:rsidP="003E5704">
            <w:pPr>
              <w:rPr>
                <w:b/>
                <w:bCs/>
                <w:sz w:val="22"/>
                <w:szCs w:val="22"/>
              </w:rPr>
            </w:pPr>
            <w:r>
              <w:rPr>
                <w:b/>
                <w:bCs/>
                <w:sz w:val="22"/>
                <w:szCs w:val="22"/>
              </w:rPr>
              <w:t>FY22</w:t>
            </w:r>
          </w:p>
        </w:tc>
        <w:tc>
          <w:tcPr>
            <w:tcW w:w="0" w:type="auto"/>
            <w:shd w:val="clear" w:color="auto" w:fill="DBE5F1" w:themeFill="accent1" w:themeFillTint="33"/>
          </w:tcPr>
          <w:p w14:paraId="09C53D06" w14:textId="48D8EE48" w:rsidR="009868B5" w:rsidRPr="00513DD5" w:rsidRDefault="00316E99" w:rsidP="003E5704">
            <w:pPr>
              <w:rPr>
                <w:b/>
                <w:bCs/>
                <w:sz w:val="22"/>
                <w:szCs w:val="22"/>
              </w:rPr>
            </w:pPr>
            <w:r>
              <w:rPr>
                <w:b/>
                <w:bCs/>
                <w:sz w:val="22"/>
                <w:szCs w:val="22"/>
              </w:rPr>
              <w:t>FY23</w:t>
            </w:r>
          </w:p>
        </w:tc>
        <w:tc>
          <w:tcPr>
            <w:tcW w:w="0" w:type="auto"/>
            <w:shd w:val="clear" w:color="auto" w:fill="DBE5F1" w:themeFill="accent1" w:themeFillTint="33"/>
          </w:tcPr>
          <w:p w14:paraId="086EBA03" w14:textId="6430F3FE" w:rsidR="009868B5" w:rsidRPr="00513DD5" w:rsidRDefault="00316E99" w:rsidP="003E5704">
            <w:pPr>
              <w:rPr>
                <w:b/>
                <w:bCs/>
                <w:sz w:val="22"/>
                <w:szCs w:val="22"/>
              </w:rPr>
            </w:pPr>
            <w:r>
              <w:rPr>
                <w:b/>
                <w:bCs/>
                <w:sz w:val="22"/>
                <w:szCs w:val="22"/>
              </w:rPr>
              <w:t>FY24</w:t>
            </w:r>
          </w:p>
        </w:tc>
      </w:tr>
      <w:tr w:rsidR="00411CA5" w:rsidRPr="00513DD5" w14:paraId="439D54B5" w14:textId="77777777" w:rsidTr="006858CF">
        <w:trPr>
          <w:cantSplit/>
        </w:trPr>
        <w:tc>
          <w:tcPr>
            <w:tcW w:w="0" w:type="auto"/>
          </w:tcPr>
          <w:p w14:paraId="53E39CD0" w14:textId="77777777" w:rsidR="00411CA5" w:rsidRPr="00513DD5" w:rsidRDefault="00411CA5" w:rsidP="00411CA5">
            <w:pPr>
              <w:ind w:left="144"/>
              <w:rPr>
                <w:sz w:val="22"/>
                <w:szCs w:val="22"/>
              </w:rPr>
            </w:pPr>
            <w:r w:rsidRPr="00513DD5">
              <w:rPr>
                <w:sz w:val="22"/>
                <w:szCs w:val="22"/>
              </w:rPr>
              <w:t xml:space="preserve">Commercial Medicare </w:t>
            </w:r>
          </w:p>
          <w:p w14:paraId="56320346" w14:textId="433E9B96" w:rsidR="00411CA5" w:rsidRPr="00513DD5" w:rsidRDefault="00411CA5" w:rsidP="00411CA5">
            <w:pPr>
              <w:ind w:left="144"/>
              <w:rPr>
                <w:b/>
                <w:bCs/>
                <w:sz w:val="22"/>
                <w:szCs w:val="22"/>
              </w:rPr>
            </w:pPr>
            <w:r w:rsidRPr="00513DD5">
              <w:rPr>
                <w:sz w:val="22"/>
                <w:szCs w:val="22"/>
              </w:rPr>
              <w:t xml:space="preserve">(Private Medicare/Medicare Advantage) </w:t>
            </w:r>
          </w:p>
        </w:tc>
        <w:tc>
          <w:tcPr>
            <w:tcW w:w="0" w:type="auto"/>
          </w:tcPr>
          <w:p w14:paraId="595F84C0" w14:textId="015FE222" w:rsidR="00411CA5" w:rsidRPr="00411CA5" w:rsidRDefault="00411CA5" w:rsidP="00411CA5">
            <w:pPr>
              <w:jc w:val="center"/>
              <w:rPr>
                <w:sz w:val="22"/>
                <w:szCs w:val="22"/>
              </w:rPr>
            </w:pPr>
            <w:r w:rsidRPr="00411CA5">
              <w:rPr>
                <w:sz w:val="22"/>
                <w:szCs w:val="22"/>
              </w:rPr>
              <w:t>0.0%</w:t>
            </w:r>
          </w:p>
        </w:tc>
        <w:tc>
          <w:tcPr>
            <w:tcW w:w="0" w:type="auto"/>
          </w:tcPr>
          <w:p w14:paraId="7B0CE840" w14:textId="5672F3C3" w:rsidR="00411CA5" w:rsidRPr="00411CA5" w:rsidRDefault="00411CA5" w:rsidP="00411CA5">
            <w:pPr>
              <w:jc w:val="center"/>
              <w:rPr>
                <w:sz w:val="22"/>
                <w:szCs w:val="22"/>
              </w:rPr>
            </w:pPr>
            <w:r w:rsidRPr="00411CA5">
              <w:rPr>
                <w:sz w:val="22"/>
                <w:szCs w:val="22"/>
              </w:rPr>
              <w:t>0.0%</w:t>
            </w:r>
          </w:p>
        </w:tc>
        <w:tc>
          <w:tcPr>
            <w:tcW w:w="0" w:type="auto"/>
          </w:tcPr>
          <w:p w14:paraId="57B4869F" w14:textId="4CB5F1DF" w:rsidR="00411CA5" w:rsidRPr="00513DD5" w:rsidRDefault="00411CA5" w:rsidP="00411CA5">
            <w:pPr>
              <w:jc w:val="center"/>
              <w:rPr>
                <w:b/>
                <w:bCs/>
                <w:sz w:val="22"/>
                <w:szCs w:val="22"/>
              </w:rPr>
            </w:pPr>
            <w:r w:rsidRPr="00513DD5">
              <w:rPr>
                <w:sz w:val="22"/>
                <w:szCs w:val="22"/>
              </w:rPr>
              <w:t>0.0%</w:t>
            </w:r>
          </w:p>
        </w:tc>
      </w:tr>
      <w:tr w:rsidR="00411CA5" w:rsidRPr="00513DD5" w14:paraId="205182F5" w14:textId="77777777" w:rsidTr="006858CF">
        <w:trPr>
          <w:cantSplit/>
        </w:trPr>
        <w:tc>
          <w:tcPr>
            <w:tcW w:w="0" w:type="auto"/>
          </w:tcPr>
          <w:p w14:paraId="05C78085" w14:textId="77777777" w:rsidR="00411CA5" w:rsidRPr="00513DD5" w:rsidRDefault="00411CA5" w:rsidP="00411CA5">
            <w:pPr>
              <w:ind w:left="144"/>
              <w:rPr>
                <w:b/>
                <w:bCs/>
                <w:sz w:val="22"/>
                <w:szCs w:val="22"/>
              </w:rPr>
            </w:pPr>
            <w:r w:rsidRPr="00513DD5">
              <w:rPr>
                <w:sz w:val="22"/>
                <w:szCs w:val="22"/>
              </w:rPr>
              <w:t xml:space="preserve">Medicare FFS </w:t>
            </w:r>
          </w:p>
        </w:tc>
        <w:tc>
          <w:tcPr>
            <w:tcW w:w="0" w:type="auto"/>
          </w:tcPr>
          <w:p w14:paraId="27CD9184" w14:textId="12FE6FA3" w:rsidR="00411CA5" w:rsidRPr="00411CA5" w:rsidRDefault="00411CA5" w:rsidP="00411CA5">
            <w:pPr>
              <w:jc w:val="center"/>
              <w:rPr>
                <w:sz w:val="22"/>
                <w:szCs w:val="22"/>
              </w:rPr>
            </w:pPr>
            <w:r w:rsidRPr="00411CA5">
              <w:rPr>
                <w:sz w:val="22"/>
                <w:szCs w:val="22"/>
              </w:rPr>
              <w:t>0.0%</w:t>
            </w:r>
          </w:p>
        </w:tc>
        <w:tc>
          <w:tcPr>
            <w:tcW w:w="0" w:type="auto"/>
          </w:tcPr>
          <w:p w14:paraId="029C4CE6" w14:textId="460D7F74" w:rsidR="00411CA5" w:rsidRPr="00411CA5" w:rsidRDefault="00411CA5" w:rsidP="00411CA5">
            <w:pPr>
              <w:jc w:val="center"/>
              <w:rPr>
                <w:sz w:val="22"/>
                <w:szCs w:val="22"/>
              </w:rPr>
            </w:pPr>
            <w:r w:rsidRPr="00411CA5">
              <w:rPr>
                <w:sz w:val="22"/>
                <w:szCs w:val="22"/>
              </w:rPr>
              <w:t>0.0%</w:t>
            </w:r>
          </w:p>
        </w:tc>
        <w:tc>
          <w:tcPr>
            <w:tcW w:w="0" w:type="auto"/>
          </w:tcPr>
          <w:p w14:paraId="519A1CD9" w14:textId="4A32315B" w:rsidR="00411CA5" w:rsidRPr="00513DD5" w:rsidRDefault="00411CA5" w:rsidP="00411CA5">
            <w:pPr>
              <w:jc w:val="center"/>
              <w:rPr>
                <w:b/>
                <w:bCs/>
                <w:sz w:val="22"/>
                <w:szCs w:val="22"/>
              </w:rPr>
            </w:pPr>
            <w:r w:rsidRPr="00513DD5">
              <w:rPr>
                <w:sz w:val="22"/>
                <w:szCs w:val="22"/>
              </w:rPr>
              <w:t>0.0%</w:t>
            </w:r>
          </w:p>
        </w:tc>
      </w:tr>
      <w:tr w:rsidR="00411CA5" w:rsidRPr="00513DD5" w14:paraId="342B0C3A" w14:textId="77777777" w:rsidTr="006858CF">
        <w:trPr>
          <w:cantSplit/>
        </w:trPr>
        <w:tc>
          <w:tcPr>
            <w:tcW w:w="0" w:type="auto"/>
          </w:tcPr>
          <w:p w14:paraId="7219A779" w14:textId="083FD69F" w:rsidR="00411CA5" w:rsidRPr="00513DD5" w:rsidRDefault="00411CA5" w:rsidP="00411CA5">
            <w:pPr>
              <w:ind w:left="144"/>
              <w:rPr>
                <w:sz w:val="22"/>
                <w:szCs w:val="22"/>
              </w:rPr>
            </w:pPr>
            <w:r w:rsidRPr="00513DD5">
              <w:rPr>
                <w:sz w:val="22"/>
                <w:szCs w:val="22"/>
              </w:rPr>
              <w:t xml:space="preserve">Managed Medicaid (Private Medicaid/Medicaid MCOs) </w:t>
            </w:r>
          </w:p>
        </w:tc>
        <w:tc>
          <w:tcPr>
            <w:tcW w:w="0" w:type="auto"/>
          </w:tcPr>
          <w:p w14:paraId="67750C88" w14:textId="0EDF6AAC" w:rsidR="00411CA5" w:rsidRPr="00411CA5" w:rsidRDefault="00411CA5" w:rsidP="00411CA5">
            <w:pPr>
              <w:jc w:val="center"/>
              <w:rPr>
                <w:sz w:val="22"/>
                <w:szCs w:val="22"/>
              </w:rPr>
            </w:pPr>
            <w:r w:rsidRPr="00411CA5">
              <w:rPr>
                <w:sz w:val="22"/>
                <w:szCs w:val="22"/>
              </w:rPr>
              <w:t>20.2%</w:t>
            </w:r>
          </w:p>
        </w:tc>
        <w:tc>
          <w:tcPr>
            <w:tcW w:w="0" w:type="auto"/>
          </w:tcPr>
          <w:p w14:paraId="6FFC4C87" w14:textId="2C0C00AF" w:rsidR="00411CA5" w:rsidRPr="00411CA5" w:rsidRDefault="00411CA5" w:rsidP="00411CA5">
            <w:pPr>
              <w:jc w:val="center"/>
              <w:rPr>
                <w:sz w:val="22"/>
                <w:szCs w:val="22"/>
              </w:rPr>
            </w:pPr>
            <w:r w:rsidRPr="00411CA5">
              <w:rPr>
                <w:sz w:val="22"/>
                <w:szCs w:val="22"/>
              </w:rPr>
              <w:t>24.7%</w:t>
            </w:r>
          </w:p>
        </w:tc>
        <w:tc>
          <w:tcPr>
            <w:tcW w:w="0" w:type="auto"/>
          </w:tcPr>
          <w:p w14:paraId="5D3ACF2E" w14:textId="3174FC35" w:rsidR="00411CA5" w:rsidRPr="00513DD5" w:rsidRDefault="00411CA5" w:rsidP="00411CA5">
            <w:pPr>
              <w:jc w:val="center"/>
              <w:rPr>
                <w:b/>
                <w:bCs/>
                <w:sz w:val="22"/>
                <w:szCs w:val="22"/>
              </w:rPr>
            </w:pPr>
            <w:r w:rsidRPr="00513DD5">
              <w:rPr>
                <w:sz w:val="22"/>
                <w:szCs w:val="22"/>
              </w:rPr>
              <w:t>34.4%</w:t>
            </w:r>
          </w:p>
        </w:tc>
      </w:tr>
      <w:tr w:rsidR="00411CA5" w:rsidRPr="00513DD5" w14:paraId="3110A39D" w14:textId="77777777" w:rsidTr="006858CF">
        <w:trPr>
          <w:cantSplit/>
        </w:trPr>
        <w:tc>
          <w:tcPr>
            <w:tcW w:w="0" w:type="auto"/>
          </w:tcPr>
          <w:p w14:paraId="7280D1DA" w14:textId="77777777" w:rsidR="00411CA5" w:rsidRPr="00513DD5" w:rsidRDefault="00411CA5" w:rsidP="00411CA5">
            <w:pPr>
              <w:ind w:left="144"/>
              <w:rPr>
                <w:b/>
                <w:bCs/>
                <w:sz w:val="22"/>
                <w:szCs w:val="22"/>
              </w:rPr>
            </w:pPr>
            <w:r w:rsidRPr="00513DD5">
              <w:rPr>
                <w:sz w:val="22"/>
                <w:szCs w:val="22"/>
              </w:rPr>
              <w:t xml:space="preserve">MassHealth </w:t>
            </w:r>
          </w:p>
        </w:tc>
        <w:tc>
          <w:tcPr>
            <w:tcW w:w="0" w:type="auto"/>
          </w:tcPr>
          <w:p w14:paraId="331A3F64" w14:textId="6382F5E4" w:rsidR="00411CA5" w:rsidRPr="00411CA5" w:rsidRDefault="00411CA5" w:rsidP="00411CA5">
            <w:pPr>
              <w:jc w:val="center"/>
              <w:rPr>
                <w:sz w:val="22"/>
                <w:szCs w:val="22"/>
              </w:rPr>
            </w:pPr>
            <w:r w:rsidRPr="00411CA5">
              <w:rPr>
                <w:sz w:val="22"/>
                <w:szCs w:val="22"/>
              </w:rPr>
              <w:t>7.1%</w:t>
            </w:r>
          </w:p>
        </w:tc>
        <w:tc>
          <w:tcPr>
            <w:tcW w:w="0" w:type="auto"/>
          </w:tcPr>
          <w:p w14:paraId="0B11DC28" w14:textId="32200E23" w:rsidR="00411CA5" w:rsidRPr="00411CA5" w:rsidRDefault="00411CA5" w:rsidP="00411CA5">
            <w:pPr>
              <w:jc w:val="center"/>
              <w:rPr>
                <w:sz w:val="22"/>
                <w:szCs w:val="22"/>
              </w:rPr>
            </w:pPr>
            <w:r w:rsidRPr="00411CA5">
              <w:rPr>
                <w:sz w:val="22"/>
                <w:szCs w:val="22"/>
              </w:rPr>
              <w:t>4.5%</w:t>
            </w:r>
          </w:p>
        </w:tc>
        <w:tc>
          <w:tcPr>
            <w:tcW w:w="0" w:type="auto"/>
          </w:tcPr>
          <w:p w14:paraId="52FF8EA8" w14:textId="41E8625A" w:rsidR="00411CA5" w:rsidRPr="00513DD5" w:rsidRDefault="00411CA5" w:rsidP="00411CA5">
            <w:pPr>
              <w:jc w:val="center"/>
              <w:rPr>
                <w:b/>
                <w:bCs/>
                <w:sz w:val="22"/>
                <w:szCs w:val="22"/>
              </w:rPr>
            </w:pPr>
            <w:r w:rsidRPr="00513DD5">
              <w:rPr>
                <w:sz w:val="22"/>
                <w:szCs w:val="22"/>
              </w:rPr>
              <w:t>4.1%</w:t>
            </w:r>
          </w:p>
        </w:tc>
      </w:tr>
      <w:tr w:rsidR="00411CA5" w:rsidRPr="00513DD5" w14:paraId="2EAFB635" w14:textId="77777777" w:rsidTr="006858CF">
        <w:trPr>
          <w:cantSplit/>
        </w:trPr>
        <w:tc>
          <w:tcPr>
            <w:tcW w:w="0" w:type="auto"/>
          </w:tcPr>
          <w:p w14:paraId="66619D0B" w14:textId="77777777" w:rsidR="00411CA5" w:rsidRPr="00513DD5" w:rsidRDefault="00411CA5" w:rsidP="00411CA5">
            <w:pPr>
              <w:ind w:left="144"/>
              <w:rPr>
                <w:b/>
                <w:bCs/>
                <w:sz w:val="22"/>
                <w:szCs w:val="22"/>
              </w:rPr>
            </w:pPr>
            <w:r w:rsidRPr="00513DD5">
              <w:rPr>
                <w:sz w:val="22"/>
                <w:szCs w:val="22"/>
              </w:rPr>
              <w:t xml:space="preserve">Commercial (PPO/Indemnity and HMO/POS) </w:t>
            </w:r>
          </w:p>
        </w:tc>
        <w:tc>
          <w:tcPr>
            <w:tcW w:w="0" w:type="auto"/>
          </w:tcPr>
          <w:p w14:paraId="5CDE5ABB" w14:textId="12CB142F" w:rsidR="00411CA5" w:rsidRPr="00411CA5" w:rsidRDefault="00411CA5" w:rsidP="00411CA5">
            <w:pPr>
              <w:jc w:val="center"/>
              <w:rPr>
                <w:sz w:val="22"/>
                <w:szCs w:val="22"/>
              </w:rPr>
            </w:pPr>
            <w:r w:rsidRPr="00411CA5">
              <w:rPr>
                <w:sz w:val="22"/>
                <w:szCs w:val="22"/>
              </w:rPr>
              <w:t>72.2%</w:t>
            </w:r>
          </w:p>
        </w:tc>
        <w:tc>
          <w:tcPr>
            <w:tcW w:w="0" w:type="auto"/>
          </w:tcPr>
          <w:p w14:paraId="047BF92F" w14:textId="13D1FCC9" w:rsidR="00411CA5" w:rsidRPr="00411CA5" w:rsidRDefault="00411CA5" w:rsidP="00411CA5">
            <w:pPr>
              <w:jc w:val="center"/>
              <w:rPr>
                <w:sz w:val="22"/>
                <w:szCs w:val="22"/>
              </w:rPr>
            </w:pPr>
            <w:r w:rsidRPr="00411CA5">
              <w:rPr>
                <w:sz w:val="22"/>
                <w:szCs w:val="22"/>
              </w:rPr>
              <w:t>68.6%</w:t>
            </w:r>
          </w:p>
        </w:tc>
        <w:tc>
          <w:tcPr>
            <w:tcW w:w="0" w:type="auto"/>
          </w:tcPr>
          <w:p w14:paraId="49D29520" w14:textId="3D47BF20" w:rsidR="00411CA5" w:rsidRPr="00513DD5" w:rsidRDefault="00411CA5" w:rsidP="00411CA5">
            <w:pPr>
              <w:jc w:val="center"/>
              <w:rPr>
                <w:b/>
                <w:bCs/>
                <w:sz w:val="22"/>
                <w:szCs w:val="22"/>
              </w:rPr>
            </w:pPr>
            <w:r w:rsidRPr="00513DD5">
              <w:rPr>
                <w:sz w:val="22"/>
                <w:szCs w:val="22"/>
              </w:rPr>
              <w:t>60.3%</w:t>
            </w:r>
          </w:p>
        </w:tc>
      </w:tr>
      <w:tr w:rsidR="00411CA5" w:rsidRPr="00513DD5" w14:paraId="6F0E17EC" w14:textId="77777777" w:rsidTr="006858CF">
        <w:trPr>
          <w:cantSplit/>
        </w:trPr>
        <w:tc>
          <w:tcPr>
            <w:tcW w:w="0" w:type="auto"/>
          </w:tcPr>
          <w:p w14:paraId="25EDD0F8" w14:textId="0BD5EDE5" w:rsidR="00411CA5" w:rsidRPr="00513DD5" w:rsidRDefault="00411CA5" w:rsidP="00411CA5">
            <w:pPr>
              <w:ind w:left="144"/>
              <w:rPr>
                <w:b/>
                <w:bCs/>
                <w:sz w:val="22"/>
                <w:szCs w:val="22"/>
              </w:rPr>
            </w:pPr>
            <w:r w:rsidRPr="00513DD5">
              <w:rPr>
                <w:sz w:val="22"/>
                <w:szCs w:val="22"/>
              </w:rPr>
              <w:t>Other</w:t>
            </w:r>
            <w:r w:rsidR="00AB0D28">
              <w:rPr>
                <w:rStyle w:val="FootnoteReference"/>
                <w:sz w:val="22"/>
                <w:szCs w:val="22"/>
              </w:rPr>
              <w:footnoteReference w:id="23"/>
            </w:r>
            <w:r w:rsidRPr="00513DD5">
              <w:rPr>
                <w:sz w:val="22"/>
                <w:szCs w:val="22"/>
              </w:rPr>
              <w:t xml:space="preserve"> </w:t>
            </w:r>
          </w:p>
        </w:tc>
        <w:tc>
          <w:tcPr>
            <w:tcW w:w="0" w:type="auto"/>
          </w:tcPr>
          <w:p w14:paraId="7B9DFB8B" w14:textId="79DB56D9" w:rsidR="00411CA5" w:rsidRPr="00411CA5" w:rsidRDefault="00411CA5" w:rsidP="00411CA5">
            <w:pPr>
              <w:jc w:val="center"/>
              <w:rPr>
                <w:sz w:val="22"/>
                <w:szCs w:val="22"/>
              </w:rPr>
            </w:pPr>
            <w:r w:rsidRPr="00411CA5">
              <w:rPr>
                <w:sz w:val="22"/>
                <w:szCs w:val="22"/>
              </w:rPr>
              <w:t>0.4%</w:t>
            </w:r>
          </w:p>
        </w:tc>
        <w:tc>
          <w:tcPr>
            <w:tcW w:w="0" w:type="auto"/>
          </w:tcPr>
          <w:p w14:paraId="5B337993" w14:textId="6E9FCCFF" w:rsidR="00411CA5" w:rsidRPr="00411CA5" w:rsidRDefault="00411CA5" w:rsidP="00411CA5">
            <w:pPr>
              <w:jc w:val="center"/>
              <w:rPr>
                <w:sz w:val="22"/>
                <w:szCs w:val="22"/>
              </w:rPr>
            </w:pPr>
            <w:r w:rsidRPr="00411CA5">
              <w:rPr>
                <w:sz w:val="22"/>
                <w:szCs w:val="22"/>
              </w:rPr>
              <w:t>2.1%</w:t>
            </w:r>
          </w:p>
        </w:tc>
        <w:tc>
          <w:tcPr>
            <w:tcW w:w="0" w:type="auto"/>
          </w:tcPr>
          <w:p w14:paraId="2F767909" w14:textId="407B748F" w:rsidR="00411CA5" w:rsidRPr="00513DD5" w:rsidRDefault="00411CA5" w:rsidP="00411CA5">
            <w:pPr>
              <w:jc w:val="center"/>
              <w:rPr>
                <w:b/>
                <w:bCs/>
                <w:sz w:val="22"/>
                <w:szCs w:val="22"/>
              </w:rPr>
            </w:pPr>
            <w:r w:rsidRPr="00513DD5">
              <w:rPr>
                <w:sz w:val="22"/>
                <w:szCs w:val="22"/>
              </w:rPr>
              <w:t>1.2%</w:t>
            </w:r>
          </w:p>
        </w:tc>
      </w:tr>
      <w:tr w:rsidR="009868B5" w:rsidRPr="00513DD5" w14:paraId="277FF818" w14:textId="77777777" w:rsidTr="006858CF">
        <w:trPr>
          <w:cantSplit/>
        </w:trPr>
        <w:tc>
          <w:tcPr>
            <w:tcW w:w="0" w:type="auto"/>
          </w:tcPr>
          <w:p w14:paraId="0AB8A7C8" w14:textId="6BFFE351" w:rsidR="009868B5" w:rsidRPr="00513DD5" w:rsidRDefault="009868B5" w:rsidP="00343AEA">
            <w:pPr>
              <w:ind w:left="144"/>
              <w:rPr>
                <w:sz w:val="22"/>
                <w:szCs w:val="22"/>
              </w:rPr>
            </w:pPr>
            <w:r w:rsidRPr="00513DD5">
              <w:rPr>
                <w:sz w:val="22"/>
                <w:szCs w:val="22"/>
              </w:rPr>
              <w:t xml:space="preserve">Total </w:t>
            </w:r>
          </w:p>
        </w:tc>
        <w:tc>
          <w:tcPr>
            <w:tcW w:w="0" w:type="auto"/>
          </w:tcPr>
          <w:p w14:paraId="1FB6CDDF" w14:textId="468C0ACC" w:rsidR="009868B5" w:rsidRPr="00513DD5" w:rsidRDefault="00411CA5" w:rsidP="00292666">
            <w:pPr>
              <w:jc w:val="center"/>
              <w:rPr>
                <w:sz w:val="22"/>
                <w:szCs w:val="22"/>
              </w:rPr>
            </w:pPr>
            <w:r>
              <w:rPr>
                <w:sz w:val="22"/>
                <w:szCs w:val="22"/>
              </w:rPr>
              <w:t>100%</w:t>
            </w:r>
          </w:p>
        </w:tc>
        <w:tc>
          <w:tcPr>
            <w:tcW w:w="0" w:type="auto"/>
          </w:tcPr>
          <w:p w14:paraId="57886082" w14:textId="26FBA58D" w:rsidR="009868B5" w:rsidRPr="00513DD5" w:rsidRDefault="00411CA5" w:rsidP="00292666">
            <w:pPr>
              <w:jc w:val="center"/>
              <w:rPr>
                <w:sz w:val="22"/>
                <w:szCs w:val="22"/>
              </w:rPr>
            </w:pPr>
            <w:r>
              <w:rPr>
                <w:sz w:val="22"/>
                <w:szCs w:val="22"/>
              </w:rPr>
              <w:t>100%</w:t>
            </w:r>
          </w:p>
        </w:tc>
        <w:tc>
          <w:tcPr>
            <w:tcW w:w="0" w:type="auto"/>
          </w:tcPr>
          <w:p w14:paraId="69095E9F" w14:textId="78BBCBDA" w:rsidR="009868B5" w:rsidRPr="00513DD5" w:rsidRDefault="009868B5" w:rsidP="00292666">
            <w:pPr>
              <w:jc w:val="center"/>
              <w:rPr>
                <w:b/>
                <w:bCs/>
                <w:sz w:val="22"/>
                <w:szCs w:val="22"/>
              </w:rPr>
            </w:pPr>
            <w:r w:rsidRPr="00513DD5">
              <w:rPr>
                <w:sz w:val="22"/>
                <w:szCs w:val="22"/>
              </w:rPr>
              <w:t>100%</w:t>
            </w:r>
          </w:p>
        </w:tc>
      </w:tr>
    </w:tbl>
    <w:p w14:paraId="65FDDAEF" w14:textId="77777777" w:rsidR="006D0DA4" w:rsidRDefault="006D0DA4" w:rsidP="00684BF6">
      <w:pPr>
        <w:rPr>
          <w:b/>
          <w:bCs/>
        </w:rPr>
      </w:pPr>
    </w:p>
    <w:p w14:paraId="6CA2EC55" w14:textId="3EB016E1" w:rsidR="004959B3" w:rsidRDefault="004959B3" w:rsidP="00684BF6">
      <w:r w:rsidRPr="00522828">
        <w:t xml:space="preserve">Table </w:t>
      </w:r>
      <w:r w:rsidR="007F57F0">
        <w:t>7</w:t>
      </w:r>
      <w:r w:rsidRPr="00522828">
        <w:t xml:space="preserve"> shows the Accountable Care Organization (ACO) and Alternative Payment Method (APM) percentages for the Applicant’s Patient Panel.</w:t>
      </w:r>
      <w:r>
        <w:t xml:space="preserve"> </w:t>
      </w:r>
    </w:p>
    <w:p w14:paraId="5AE21497" w14:textId="77777777" w:rsidR="004959B3" w:rsidRPr="004959B3" w:rsidRDefault="004959B3" w:rsidP="00684BF6"/>
    <w:p w14:paraId="63C41AF1" w14:textId="04D57C49" w:rsidR="006028D4" w:rsidRDefault="006028D4" w:rsidP="00684BF6">
      <w:pPr>
        <w:rPr>
          <w:b/>
          <w:bCs/>
        </w:rPr>
      </w:pPr>
      <w:r w:rsidRPr="006028D4">
        <w:rPr>
          <w:b/>
          <w:bCs/>
          <w:u w:val="single"/>
        </w:rPr>
        <w:t xml:space="preserve">Table </w:t>
      </w:r>
      <w:r w:rsidR="007F57F0">
        <w:rPr>
          <w:b/>
          <w:bCs/>
          <w:u w:val="single"/>
        </w:rPr>
        <w:t>7</w:t>
      </w:r>
      <w:r>
        <w:rPr>
          <w:b/>
          <w:bCs/>
        </w:rPr>
        <w:t xml:space="preserve">: </w:t>
      </w:r>
      <w:r w:rsidR="0086204C">
        <w:rPr>
          <w:b/>
          <w:bCs/>
        </w:rPr>
        <w:t>DFCI</w:t>
      </w:r>
      <w:r>
        <w:rPr>
          <w:b/>
          <w:bCs/>
        </w:rPr>
        <w:t xml:space="preserve"> ACO and APM Contract Percentages, 2024</w:t>
      </w:r>
      <w:r w:rsidR="00462E82">
        <w:rPr>
          <w:rStyle w:val="FootnoteReference"/>
          <w:b/>
          <w:bCs/>
        </w:rPr>
        <w:footnoteReference w:id="24"/>
      </w:r>
    </w:p>
    <w:tbl>
      <w:tblPr>
        <w:tblStyle w:val="TableGrid"/>
        <w:tblW w:w="0" w:type="auto"/>
        <w:tblLook w:val="04A0" w:firstRow="1" w:lastRow="0" w:firstColumn="1" w:lastColumn="0" w:noHBand="0" w:noVBand="1"/>
      </w:tblPr>
      <w:tblGrid>
        <w:gridCol w:w="2964"/>
        <w:gridCol w:w="920"/>
      </w:tblGrid>
      <w:tr w:rsidR="009D0A36" w:rsidRPr="00617F96" w14:paraId="46DEF19A" w14:textId="77777777" w:rsidTr="006858CF">
        <w:trPr>
          <w:cantSplit/>
          <w:tblHeader/>
        </w:trPr>
        <w:tc>
          <w:tcPr>
            <w:tcW w:w="0" w:type="auto"/>
            <w:shd w:val="clear" w:color="auto" w:fill="DBE5F1" w:themeFill="accent1" w:themeFillTint="33"/>
          </w:tcPr>
          <w:p w14:paraId="13F4288E" w14:textId="7DF8D061" w:rsidR="009D0A36" w:rsidRPr="00617F96" w:rsidRDefault="009746A8" w:rsidP="00FD1D49">
            <w:pPr>
              <w:rPr>
                <w:b/>
                <w:bCs/>
                <w:sz w:val="22"/>
                <w:szCs w:val="22"/>
              </w:rPr>
            </w:pPr>
            <w:r w:rsidRPr="00617F96">
              <w:rPr>
                <w:b/>
                <w:bCs/>
                <w:sz w:val="22"/>
                <w:szCs w:val="22"/>
              </w:rPr>
              <w:t>APM Contracts</w:t>
            </w:r>
          </w:p>
        </w:tc>
        <w:tc>
          <w:tcPr>
            <w:tcW w:w="0" w:type="auto"/>
            <w:shd w:val="clear" w:color="auto" w:fill="DBE5F1" w:themeFill="accent1" w:themeFillTint="33"/>
          </w:tcPr>
          <w:p w14:paraId="18C48996" w14:textId="15492A4F" w:rsidR="009D0A36" w:rsidRPr="00617F96" w:rsidRDefault="00B1726D" w:rsidP="00CE33AF">
            <w:pPr>
              <w:jc w:val="center"/>
              <w:rPr>
                <w:b/>
                <w:bCs/>
                <w:sz w:val="22"/>
                <w:szCs w:val="22"/>
              </w:rPr>
            </w:pPr>
            <w:r w:rsidRPr="00617F96">
              <w:rPr>
                <w:b/>
                <w:bCs/>
                <w:sz w:val="22"/>
                <w:szCs w:val="22"/>
              </w:rPr>
              <w:t>Percent</w:t>
            </w:r>
          </w:p>
        </w:tc>
      </w:tr>
      <w:tr w:rsidR="006028D4" w:rsidRPr="00617F96" w14:paraId="038BE3DF" w14:textId="7356DAFE" w:rsidTr="006858CF">
        <w:trPr>
          <w:cantSplit/>
        </w:trPr>
        <w:tc>
          <w:tcPr>
            <w:tcW w:w="0" w:type="auto"/>
          </w:tcPr>
          <w:p w14:paraId="59FABF5B" w14:textId="77777777" w:rsidR="006028D4" w:rsidRPr="00617F96" w:rsidRDefault="006028D4" w:rsidP="009746A8">
            <w:pPr>
              <w:ind w:left="144"/>
              <w:rPr>
                <w:sz w:val="22"/>
                <w:szCs w:val="22"/>
              </w:rPr>
            </w:pPr>
            <w:r w:rsidRPr="00617F96">
              <w:rPr>
                <w:sz w:val="22"/>
                <w:szCs w:val="22"/>
              </w:rPr>
              <w:t xml:space="preserve">ACO and APM Contracts </w:t>
            </w:r>
          </w:p>
        </w:tc>
        <w:tc>
          <w:tcPr>
            <w:tcW w:w="0" w:type="auto"/>
          </w:tcPr>
          <w:p w14:paraId="661C3D4E" w14:textId="4A4C72F7" w:rsidR="006028D4" w:rsidRPr="00617F96" w:rsidRDefault="003346B8" w:rsidP="00B1726D">
            <w:pPr>
              <w:jc w:val="center"/>
              <w:rPr>
                <w:sz w:val="22"/>
                <w:szCs w:val="22"/>
              </w:rPr>
            </w:pPr>
            <w:r w:rsidRPr="00617F96">
              <w:rPr>
                <w:sz w:val="22"/>
                <w:szCs w:val="22"/>
              </w:rPr>
              <w:t>36.4%</w:t>
            </w:r>
          </w:p>
        </w:tc>
      </w:tr>
      <w:tr w:rsidR="006028D4" w:rsidRPr="00617F96" w14:paraId="422212AA" w14:textId="64330DC6" w:rsidTr="006858CF">
        <w:trPr>
          <w:cantSplit/>
        </w:trPr>
        <w:tc>
          <w:tcPr>
            <w:tcW w:w="0" w:type="auto"/>
          </w:tcPr>
          <w:p w14:paraId="28B1A560" w14:textId="77777777" w:rsidR="006028D4" w:rsidRPr="00617F96" w:rsidRDefault="006028D4" w:rsidP="009746A8">
            <w:pPr>
              <w:ind w:left="144"/>
              <w:rPr>
                <w:sz w:val="22"/>
                <w:szCs w:val="22"/>
              </w:rPr>
            </w:pPr>
            <w:r w:rsidRPr="00617F96">
              <w:rPr>
                <w:sz w:val="22"/>
                <w:szCs w:val="22"/>
              </w:rPr>
              <w:t xml:space="preserve">Non-ACO and APM Contracts </w:t>
            </w:r>
          </w:p>
        </w:tc>
        <w:tc>
          <w:tcPr>
            <w:tcW w:w="0" w:type="auto"/>
          </w:tcPr>
          <w:p w14:paraId="15A43E3F" w14:textId="7F7DCC0F" w:rsidR="006028D4" w:rsidRPr="00617F96" w:rsidRDefault="003346B8" w:rsidP="00B1726D">
            <w:pPr>
              <w:jc w:val="center"/>
              <w:rPr>
                <w:sz w:val="22"/>
                <w:szCs w:val="22"/>
              </w:rPr>
            </w:pPr>
            <w:r w:rsidRPr="00617F96">
              <w:rPr>
                <w:sz w:val="22"/>
                <w:szCs w:val="22"/>
              </w:rPr>
              <w:t>63.6%</w:t>
            </w:r>
          </w:p>
        </w:tc>
      </w:tr>
      <w:tr w:rsidR="006028D4" w:rsidRPr="00617F96" w14:paraId="2BA83A08" w14:textId="74B52C07" w:rsidTr="006858CF">
        <w:trPr>
          <w:cantSplit/>
        </w:trPr>
        <w:tc>
          <w:tcPr>
            <w:tcW w:w="0" w:type="auto"/>
          </w:tcPr>
          <w:p w14:paraId="3032E5D7" w14:textId="52C08F50" w:rsidR="006028D4" w:rsidRPr="00617F96" w:rsidRDefault="006028D4" w:rsidP="009746A8">
            <w:pPr>
              <w:ind w:left="144"/>
              <w:rPr>
                <w:sz w:val="22"/>
                <w:szCs w:val="22"/>
              </w:rPr>
            </w:pPr>
            <w:r w:rsidRPr="00617F96">
              <w:rPr>
                <w:sz w:val="22"/>
                <w:szCs w:val="22"/>
              </w:rPr>
              <w:t xml:space="preserve">Total </w:t>
            </w:r>
          </w:p>
        </w:tc>
        <w:tc>
          <w:tcPr>
            <w:tcW w:w="0" w:type="auto"/>
          </w:tcPr>
          <w:p w14:paraId="6566ECF2" w14:textId="73D7E6CB" w:rsidR="006028D4" w:rsidRPr="00617F96" w:rsidRDefault="003346B8" w:rsidP="00B1726D">
            <w:pPr>
              <w:jc w:val="center"/>
              <w:rPr>
                <w:sz w:val="22"/>
                <w:szCs w:val="22"/>
              </w:rPr>
            </w:pPr>
            <w:r w:rsidRPr="00617F96">
              <w:rPr>
                <w:sz w:val="22"/>
                <w:szCs w:val="22"/>
              </w:rPr>
              <w:t>100</w:t>
            </w:r>
            <w:r w:rsidR="002B73DB" w:rsidRPr="00617F96">
              <w:rPr>
                <w:sz w:val="22"/>
                <w:szCs w:val="22"/>
              </w:rPr>
              <w:t>%</w:t>
            </w:r>
          </w:p>
        </w:tc>
      </w:tr>
    </w:tbl>
    <w:p w14:paraId="4DCEC9EA" w14:textId="711A98FA" w:rsidR="00B447F3" w:rsidRPr="003436F0" w:rsidRDefault="00F06B37" w:rsidP="008917DC">
      <w:pPr>
        <w:pStyle w:val="Heading1"/>
        <w:spacing w:before="268"/>
        <w:ind w:left="0"/>
        <w:rPr>
          <w:rFonts w:asciiTheme="minorHAnsi" w:hAnsiTheme="minorHAnsi"/>
        </w:rPr>
      </w:pPr>
      <w:bookmarkStart w:id="5" w:name="_Toc223962990"/>
      <w:r>
        <w:rPr>
          <w:rFonts w:asciiTheme="minorHAnsi" w:hAnsiTheme="minorHAnsi"/>
          <w:color w:val="42558C"/>
        </w:rPr>
        <w:t>F</w:t>
      </w:r>
      <w:r w:rsidR="00A4110F" w:rsidRPr="003436F0">
        <w:rPr>
          <w:rFonts w:asciiTheme="minorHAnsi" w:hAnsiTheme="minorHAnsi"/>
          <w:color w:val="42558C"/>
        </w:rPr>
        <w:t>actor 1:</w:t>
      </w:r>
      <w:r w:rsidR="00E22936">
        <w:rPr>
          <w:rFonts w:asciiTheme="minorHAnsi" w:hAnsiTheme="minorHAnsi"/>
          <w:color w:val="42558C"/>
        </w:rPr>
        <w:t xml:space="preserve"> </w:t>
      </w:r>
      <w:r w:rsidR="008C5957">
        <w:rPr>
          <w:rFonts w:asciiTheme="minorHAnsi" w:hAnsiTheme="minorHAnsi"/>
          <w:color w:val="42558C"/>
        </w:rPr>
        <w:t>a</w:t>
      </w:r>
      <w:r w:rsidR="00E22936">
        <w:rPr>
          <w:rFonts w:asciiTheme="minorHAnsi" w:hAnsiTheme="minorHAnsi"/>
          <w:color w:val="42558C"/>
        </w:rPr>
        <w:t>)</w:t>
      </w:r>
      <w:r w:rsidR="00A4110F" w:rsidRPr="003436F0">
        <w:rPr>
          <w:rFonts w:asciiTheme="minorHAnsi" w:hAnsiTheme="minorHAnsi"/>
          <w:color w:val="42558C"/>
        </w:rPr>
        <w:t xml:space="preserve"> Patient Panel Need</w:t>
      </w:r>
      <w:bookmarkEnd w:id="5"/>
    </w:p>
    <w:p w14:paraId="46C548D8" w14:textId="272FF2CA" w:rsidR="00172906" w:rsidRDefault="00DE729D" w:rsidP="00932E5D">
      <w:pPr>
        <w:rPr>
          <w:rFonts w:asciiTheme="minorHAnsi" w:hAnsiTheme="minorHAnsi"/>
          <w:szCs w:val="24"/>
        </w:rPr>
      </w:pPr>
      <w:r w:rsidRPr="00DE729D">
        <w:rPr>
          <w:rFonts w:asciiTheme="minorHAnsi" w:hAnsiTheme="minorHAnsi"/>
          <w:szCs w:val="24"/>
        </w:rPr>
        <w:t xml:space="preserve">In this section, staff assesses if the Applicant has sufficiently addressed Patient Panel need for the Proposed Project. </w:t>
      </w:r>
    </w:p>
    <w:p w14:paraId="0DD0D7FC" w14:textId="77777777" w:rsidR="004F6A4F" w:rsidRDefault="004F6A4F" w:rsidP="00F7419E">
      <w:pPr>
        <w:rPr>
          <w:rFonts w:asciiTheme="minorHAnsi" w:hAnsiTheme="minorHAnsi"/>
          <w:b/>
          <w:bCs/>
          <w:szCs w:val="24"/>
        </w:rPr>
      </w:pPr>
    </w:p>
    <w:p w14:paraId="72A77619" w14:textId="77777777" w:rsidR="007377C8" w:rsidRPr="00211A7B" w:rsidRDefault="007377C8" w:rsidP="007377C8">
      <w:pPr>
        <w:rPr>
          <w:rFonts w:asciiTheme="minorHAnsi" w:hAnsiTheme="minorHAnsi"/>
          <w:b/>
          <w:bCs/>
          <w:szCs w:val="24"/>
        </w:rPr>
      </w:pPr>
      <w:r>
        <w:rPr>
          <w:rFonts w:asciiTheme="minorHAnsi" w:hAnsiTheme="minorHAnsi"/>
          <w:b/>
          <w:bCs/>
          <w:szCs w:val="24"/>
        </w:rPr>
        <w:t>PATIENT PANEL NEED</w:t>
      </w:r>
    </w:p>
    <w:p w14:paraId="32BE40C7" w14:textId="77777777" w:rsidR="008D3D3A" w:rsidRDefault="008D3D3A" w:rsidP="00BA2054">
      <w:pPr>
        <w:rPr>
          <w:rFonts w:asciiTheme="minorHAnsi" w:hAnsiTheme="minorHAnsi"/>
          <w:szCs w:val="24"/>
        </w:rPr>
      </w:pPr>
    </w:p>
    <w:p w14:paraId="402635EB" w14:textId="6F38A60A" w:rsidR="00827CB4" w:rsidRDefault="00011149" w:rsidP="006076F6">
      <w:pPr>
        <w:shd w:val="clear" w:color="auto" w:fill="FFFFFF" w:themeFill="background1"/>
        <w:rPr>
          <w:rFonts w:asciiTheme="minorHAnsi" w:hAnsiTheme="minorHAnsi"/>
          <w:szCs w:val="24"/>
        </w:rPr>
      </w:pPr>
      <w:r w:rsidRPr="006076F6">
        <w:rPr>
          <w:rFonts w:asciiTheme="minorHAnsi" w:hAnsiTheme="minorHAnsi"/>
          <w:szCs w:val="24"/>
        </w:rPr>
        <w:t>The Applicant’s explanation of Need for the Proposed Project discusses the following key issue</w:t>
      </w:r>
      <w:r w:rsidR="0046753A">
        <w:rPr>
          <w:rFonts w:asciiTheme="minorHAnsi" w:hAnsiTheme="minorHAnsi"/>
          <w:szCs w:val="24"/>
        </w:rPr>
        <w:t>s</w:t>
      </w:r>
      <w:r w:rsidRPr="006076F6">
        <w:rPr>
          <w:rFonts w:asciiTheme="minorHAnsi" w:hAnsiTheme="minorHAnsi"/>
          <w:szCs w:val="24"/>
        </w:rPr>
        <w:t>:</w:t>
      </w:r>
      <w:r w:rsidR="00661F9F" w:rsidRPr="006076F6">
        <w:rPr>
          <w:rFonts w:asciiTheme="minorHAnsi" w:hAnsiTheme="minorHAnsi"/>
          <w:szCs w:val="24"/>
        </w:rPr>
        <w:t xml:space="preserve"> </w:t>
      </w:r>
    </w:p>
    <w:p w14:paraId="39360985" w14:textId="0C278013" w:rsidR="00310671" w:rsidRDefault="00453B61">
      <w:pPr>
        <w:pStyle w:val="ListParagraph"/>
        <w:numPr>
          <w:ilvl w:val="0"/>
          <w:numId w:val="17"/>
        </w:numPr>
        <w:shd w:val="clear" w:color="auto" w:fill="FFFFFF" w:themeFill="background1"/>
        <w:rPr>
          <w:rFonts w:asciiTheme="minorHAnsi" w:hAnsiTheme="minorHAnsi"/>
          <w:i/>
          <w:iCs/>
          <w:szCs w:val="24"/>
        </w:rPr>
      </w:pPr>
      <w:r w:rsidRPr="00453B61">
        <w:rPr>
          <w:rFonts w:asciiTheme="minorHAnsi" w:hAnsiTheme="minorHAnsi"/>
          <w:i/>
          <w:iCs/>
          <w:szCs w:val="24"/>
        </w:rPr>
        <w:t xml:space="preserve">Patient Panel Barriers to accessing PBT; </w:t>
      </w:r>
      <w:r w:rsidR="00F83242">
        <w:rPr>
          <w:rFonts w:asciiTheme="minorHAnsi" w:hAnsiTheme="minorHAnsi"/>
          <w:i/>
          <w:iCs/>
          <w:szCs w:val="24"/>
        </w:rPr>
        <w:t>and</w:t>
      </w:r>
    </w:p>
    <w:p w14:paraId="138A7C91" w14:textId="45E220BF" w:rsidR="0046753A" w:rsidRPr="0046753A" w:rsidRDefault="0046753A">
      <w:pPr>
        <w:pStyle w:val="ListParagraph"/>
        <w:numPr>
          <w:ilvl w:val="0"/>
          <w:numId w:val="17"/>
        </w:numPr>
        <w:shd w:val="clear" w:color="auto" w:fill="FFFFFF" w:themeFill="background1"/>
        <w:rPr>
          <w:rFonts w:asciiTheme="minorHAnsi" w:hAnsiTheme="minorHAnsi"/>
          <w:szCs w:val="24"/>
        </w:rPr>
      </w:pPr>
      <w:r>
        <w:rPr>
          <w:rFonts w:asciiTheme="minorHAnsi" w:hAnsiTheme="minorHAnsi"/>
          <w:i/>
          <w:iCs/>
          <w:szCs w:val="24"/>
        </w:rPr>
        <w:t xml:space="preserve">Unmet Need for PBT in the Applicant’s Patient Panel </w:t>
      </w:r>
    </w:p>
    <w:p w14:paraId="47DBBFF1" w14:textId="77777777" w:rsidR="0046753A" w:rsidRDefault="0046753A" w:rsidP="00085144">
      <w:pPr>
        <w:rPr>
          <w:rFonts w:cs="Calibri"/>
          <w:szCs w:val="24"/>
        </w:rPr>
      </w:pPr>
    </w:p>
    <w:p w14:paraId="1C2176C5" w14:textId="5B6C32CF" w:rsidR="00D32B56" w:rsidRDefault="00E24AE4" w:rsidP="001769C6">
      <w:pPr>
        <w:pStyle w:val="ListParagraph"/>
        <w:numPr>
          <w:ilvl w:val="0"/>
          <w:numId w:val="68"/>
        </w:numPr>
      </w:pPr>
      <w:r w:rsidRPr="00E24AE4">
        <w:rPr>
          <w:rFonts w:cs="Calibri"/>
          <w:i/>
          <w:iCs/>
          <w:szCs w:val="24"/>
        </w:rPr>
        <w:t xml:space="preserve">Patient Panel Barriers to accessing PBT </w:t>
      </w:r>
    </w:p>
    <w:p w14:paraId="37B03FDC" w14:textId="25D99C88" w:rsidR="00592E56" w:rsidRDefault="000A0CB1" w:rsidP="00CA701A">
      <w:pPr>
        <w:rPr>
          <w:rFonts w:cs="Calibri"/>
        </w:rPr>
      </w:pPr>
      <w:r w:rsidRPr="1B850782">
        <w:rPr>
          <w:rFonts w:cs="Calibri"/>
        </w:rPr>
        <w:t xml:space="preserve">As noted above, </w:t>
      </w:r>
      <w:r w:rsidR="007F723C" w:rsidRPr="2FEDF9E8">
        <w:rPr>
          <w:rFonts w:cs="Calibri"/>
        </w:rPr>
        <w:t>MGH is</w:t>
      </w:r>
      <w:r w:rsidRPr="1B850782">
        <w:rPr>
          <w:rFonts w:cs="Calibri"/>
        </w:rPr>
        <w:t xml:space="preserve"> currently </w:t>
      </w:r>
      <w:r w:rsidR="007F723C" w:rsidRPr="2FEDF9E8">
        <w:rPr>
          <w:rFonts w:cs="Calibri"/>
        </w:rPr>
        <w:t xml:space="preserve">the </w:t>
      </w:r>
      <w:r w:rsidR="006D752E" w:rsidRPr="1B850782">
        <w:rPr>
          <w:rFonts w:cs="Calibri"/>
        </w:rPr>
        <w:t xml:space="preserve">only </w:t>
      </w:r>
      <w:r w:rsidRPr="1B850782">
        <w:rPr>
          <w:rFonts w:cs="Calibri"/>
        </w:rPr>
        <w:t>PBT provider in Massachusetts</w:t>
      </w:r>
      <w:r w:rsidR="007F723C" w:rsidRPr="2FEDF9E8">
        <w:rPr>
          <w:rFonts w:cs="Calibri"/>
        </w:rPr>
        <w:t xml:space="preserve"> with two PBT </w:t>
      </w:r>
      <w:r w:rsidR="005C3B75" w:rsidRPr="2FEDF9E8">
        <w:rPr>
          <w:rFonts w:cs="Calibri"/>
        </w:rPr>
        <w:t xml:space="preserve">treatment </w:t>
      </w:r>
      <w:r w:rsidR="007F723C" w:rsidRPr="2FEDF9E8">
        <w:rPr>
          <w:rFonts w:cs="Calibri"/>
        </w:rPr>
        <w:lastRenderedPageBreak/>
        <w:t>centers</w:t>
      </w:r>
      <w:r w:rsidR="0095650B" w:rsidRPr="2FEDF9E8">
        <w:rPr>
          <w:rFonts w:cs="Calibri"/>
        </w:rPr>
        <w:t xml:space="preserve">: </w:t>
      </w:r>
      <w:r w:rsidR="00CA701A" w:rsidRPr="2FEDF9E8">
        <w:rPr>
          <w:rFonts w:cs="Calibri"/>
        </w:rPr>
        <w:t>The Gordon</w:t>
      </w:r>
      <w:r w:rsidR="00DF17C8">
        <w:rPr>
          <w:rFonts w:cs="Calibri"/>
        </w:rPr>
        <w:t>-</w:t>
      </w:r>
      <w:r w:rsidR="00CA701A" w:rsidRPr="2FEDF9E8">
        <w:rPr>
          <w:rFonts w:cs="Calibri"/>
        </w:rPr>
        <w:t xml:space="preserve">Browne </w:t>
      </w:r>
      <w:r w:rsidR="00D608AC" w:rsidRPr="2FEDF9E8">
        <w:rPr>
          <w:rFonts w:cs="Calibri"/>
        </w:rPr>
        <w:t xml:space="preserve">Proton Therapy Center (one-room), which is </w:t>
      </w:r>
      <w:r w:rsidR="00CA701A" w:rsidRPr="2FEDF9E8">
        <w:rPr>
          <w:rFonts w:cs="Calibri"/>
        </w:rPr>
        <w:t>in operation</w:t>
      </w:r>
      <w:r w:rsidR="00D608AC" w:rsidRPr="2FEDF9E8">
        <w:rPr>
          <w:rFonts w:cs="Calibri"/>
        </w:rPr>
        <w:t xml:space="preserve">, and </w:t>
      </w:r>
      <w:r w:rsidR="6F30EB52" w:rsidRPr="2FEDF9E8">
        <w:rPr>
          <w:rFonts w:cs="Calibri"/>
        </w:rPr>
        <w:t>t</w:t>
      </w:r>
      <w:r w:rsidR="00C22C96" w:rsidRPr="2FEDF9E8">
        <w:rPr>
          <w:rFonts w:cs="Calibri"/>
        </w:rPr>
        <w:t xml:space="preserve">he Francis H. Burr Proton Therapy Center (three-room) </w:t>
      </w:r>
      <w:r w:rsidR="00D608AC" w:rsidRPr="2FEDF9E8">
        <w:rPr>
          <w:rFonts w:cs="Calibri"/>
        </w:rPr>
        <w:t>which</w:t>
      </w:r>
      <w:r w:rsidR="00C22C96" w:rsidRPr="2FEDF9E8">
        <w:rPr>
          <w:rFonts w:cs="Calibri"/>
        </w:rPr>
        <w:t xml:space="preserve"> was operational until February 14, 2025 at which point </w:t>
      </w:r>
      <w:r w:rsidR="009930D9">
        <w:rPr>
          <w:rFonts w:cs="Calibri"/>
        </w:rPr>
        <w:t xml:space="preserve">the Applicant states that </w:t>
      </w:r>
      <w:r w:rsidR="00C22C96" w:rsidRPr="2FEDF9E8">
        <w:rPr>
          <w:rFonts w:cs="Calibri"/>
        </w:rPr>
        <w:t xml:space="preserve">it closed for renovations. </w:t>
      </w:r>
      <w:r w:rsidR="00B20ED2" w:rsidRPr="2FEDF9E8">
        <w:rPr>
          <w:rFonts w:cs="Calibri"/>
        </w:rPr>
        <w:t>The Applicant states that the Francis H. Burr Proton Therapy Center averaged 537 patients per year from 2018 to 2022</w:t>
      </w:r>
      <w:r w:rsidR="00735E51">
        <w:rPr>
          <w:rFonts w:cs="Calibri"/>
        </w:rPr>
        <w:t>.</w:t>
      </w:r>
      <w:r w:rsidR="00B20ED2" w:rsidRPr="2FEDF9E8">
        <w:rPr>
          <w:rFonts w:cs="Calibri"/>
        </w:rPr>
        <w:t xml:space="preserve"> </w:t>
      </w:r>
      <w:r w:rsidR="003639B7" w:rsidRPr="00C05246">
        <w:rPr>
          <w:rFonts w:cs="Calibri"/>
        </w:rPr>
        <w:t>The Applicant</w:t>
      </w:r>
      <w:r w:rsidR="00BA6A9B" w:rsidRPr="00C05246">
        <w:rPr>
          <w:rFonts w:cs="Calibri"/>
        </w:rPr>
        <w:t>’s clinicians report that some</w:t>
      </w:r>
      <w:r w:rsidR="003639B7" w:rsidRPr="00C05246">
        <w:rPr>
          <w:rFonts w:cs="Calibri"/>
        </w:rPr>
        <w:t xml:space="preserve"> </w:t>
      </w:r>
      <w:r w:rsidR="00592E56" w:rsidRPr="00C05246">
        <w:rPr>
          <w:rFonts w:cs="Calibri"/>
        </w:rPr>
        <w:t>craniospinal irradiation</w:t>
      </w:r>
      <w:r w:rsidR="0018018F" w:rsidRPr="00C05246">
        <w:rPr>
          <w:rFonts w:cs="Calibri"/>
        </w:rPr>
        <w:t xml:space="preserve"> or CSI</w:t>
      </w:r>
      <w:r w:rsidR="00C05246">
        <w:rPr>
          <w:rFonts w:cs="Calibri"/>
        </w:rPr>
        <w:t xml:space="preserve"> (</w:t>
      </w:r>
      <w:r w:rsidR="00592E56" w:rsidRPr="00C05246">
        <w:rPr>
          <w:rFonts w:cs="Calibri"/>
        </w:rPr>
        <w:t>a complex radiation therapy technique that is primarily used to treat central nervous system (CNS) tumors, and select cases of hematologic malignancies</w:t>
      </w:r>
      <w:r w:rsidR="00592E56" w:rsidRPr="00C05246">
        <w:rPr>
          <w:rFonts w:cs="Calibri"/>
          <w:vertAlign w:val="superscript"/>
        </w:rPr>
        <w:endnoteReference w:id="29"/>
      </w:r>
      <w:r w:rsidR="00C05246">
        <w:rPr>
          <w:rFonts w:cs="Calibri"/>
        </w:rPr>
        <w:t>) patients</w:t>
      </w:r>
      <w:r w:rsidR="009550C9" w:rsidRPr="00C05246">
        <w:rPr>
          <w:rFonts w:cs="Calibri"/>
        </w:rPr>
        <w:t xml:space="preserve">, are not </w:t>
      </w:r>
      <w:r w:rsidR="008E5CB2" w:rsidRPr="00C05246">
        <w:rPr>
          <w:rFonts w:cs="Calibri"/>
        </w:rPr>
        <w:t>ab</w:t>
      </w:r>
      <w:r w:rsidR="00C05246">
        <w:rPr>
          <w:rFonts w:cs="Calibri"/>
        </w:rPr>
        <w:t>le</w:t>
      </w:r>
      <w:r w:rsidR="008E5CB2" w:rsidRPr="00C05246">
        <w:rPr>
          <w:rFonts w:cs="Calibri"/>
        </w:rPr>
        <w:t xml:space="preserve"> to obtain treatment at MGH. Staff note </w:t>
      </w:r>
      <w:r w:rsidR="000A7398">
        <w:rPr>
          <w:rFonts w:cs="Calibri"/>
        </w:rPr>
        <w:t xml:space="preserve">the limitations in </w:t>
      </w:r>
      <w:r w:rsidR="00C315E9">
        <w:rPr>
          <w:rFonts w:cs="Calibri"/>
        </w:rPr>
        <w:t xml:space="preserve">assessing MGH’s capacity as </w:t>
      </w:r>
      <w:r w:rsidR="008E5CB2" w:rsidRPr="00C05246">
        <w:rPr>
          <w:rFonts w:cs="Calibri"/>
        </w:rPr>
        <w:t xml:space="preserve">the Applicant was unable to provide </w:t>
      </w:r>
      <w:r w:rsidR="006837D2" w:rsidRPr="00C05246">
        <w:rPr>
          <w:rFonts w:cs="Calibri"/>
        </w:rPr>
        <w:t>written confirmation</w:t>
      </w:r>
      <w:r w:rsidR="00E46064" w:rsidRPr="00C05246">
        <w:rPr>
          <w:rFonts w:cs="Calibri"/>
        </w:rPr>
        <w:t xml:space="preserve"> </w:t>
      </w:r>
      <w:r w:rsidR="006837D2" w:rsidRPr="00C05246">
        <w:rPr>
          <w:rFonts w:cs="Calibri"/>
        </w:rPr>
        <w:t>from MGH</w:t>
      </w:r>
      <w:r w:rsidR="000879ED">
        <w:rPr>
          <w:rFonts w:cs="Calibri"/>
        </w:rPr>
        <w:t xml:space="preserve"> about access for CSI patients</w:t>
      </w:r>
      <w:r w:rsidR="006837D2" w:rsidRPr="00C05246">
        <w:rPr>
          <w:rFonts w:cs="Calibri"/>
        </w:rPr>
        <w:t>.</w:t>
      </w:r>
      <w:r w:rsidR="00DE7CA2" w:rsidRPr="00C05246">
        <w:rPr>
          <w:rFonts w:cs="Calibri"/>
        </w:rPr>
        <w:t xml:space="preserve"> Additionally, staff can only make statements about current capacity, </w:t>
      </w:r>
      <w:r w:rsidR="00E16F68" w:rsidRPr="00C05246">
        <w:rPr>
          <w:rFonts w:cs="Calibri"/>
        </w:rPr>
        <w:t xml:space="preserve">and </w:t>
      </w:r>
      <w:r w:rsidR="00DE7CA2" w:rsidRPr="00C05246">
        <w:rPr>
          <w:rFonts w:cs="Calibri"/>
        </w:rPr>
        <w:t xml:space="preserve">cannot assume </w:t>
      </w:r>
      <w:r w:rsidR="00C05246" w:rsidRPr="00C05246">
        <w:rPr>
          <w:rFonts w:cs="Calibri"/>
        </w:rPr>
        <w:t>insufficient</w:t>
      </w:r>
      <w:r w:rsidR="00DE7CA2" w:rsidRPr="00C05246">
        <w:rPr>
          <w:rFonts w:cs="Calibri"/>
        </w:rPr>
        <w:t xml:space="preserve"> capacity in </w:t>
      </w:r>
      <w:r w:rsidR="009814D6">
        <w:rPr>
          <w:rFonts w:cs="Calibri"/>
        </w:rPr>
        <w:t xml:space="preserve">the </w:t>
      </w:r>
      <w:r w:rsidR="00DE7CA2" w:rsidRPr="00C05246">
        <w:rPr>
          <w:rFonts w:cs="Calibri"/>
        </w:rPr>
        <w:t>future after renovations</w:t>
      </w:r>
      <w:r w:rsidR="00592E56" w:rsidRPr="00C05246">
        <w:rPr>
          <w:rFonts w:cs="Calibri"/>
        </w:rPr>
        <w:t>.</w:t>
      </w:r>
      <w:r w:rsidR="00592E56" w:rsidRPr="2FEDF9E8">
        <w:rPr>
          <w:rFonts w:cs="Calibri"/>
        </w:rPr>
        <w:t xml:space="preserve"> </w:t>
      </w:r>
      <w:r w:rsidR="00211CEA" w:rsidRPr="00211CEA">
        <w:rPr>
          <w:rFonts w:cs="Calibri"/>
        </w:rPr>
        <w:t xml:space="preserve">Staff inquired about the Applicant’s decision to site the proposed Center in close physical proximity to MGH’s established PBT services. The Applicant states that MGH is constrained by high demand across adult and pediatric indications, resulting in access limitations. </w:t>
      </w:r>
      <w:r w:rsidR="008A6761" w:rsidRPr="2FEDF9E8">
        <w:rPr>
          <w:rFonts w:cs="Calibri"/>
        </w:rPr>
        <w:t xml:space="preserve">The Applicant states that even when renovations are completed on the Francis H. Burr Proton Therapy Center, MGH will not have the capacity to meet the need for PBT in the region. </w:t>
      </w:r>
    </w:p>
    <w:p w14:paraId="7981BB42" w14:textId="77777777" w:rsidR="00592E56" w:rsidRDefault="00592E56" w:rsidP="00AE0598">
      <w:pPr>
        <w:rPr>
          <w:rFonts w:cs="Calibri"/>
        </w:rPr>
      </w:pPr>
    </w:p>
    <w:p w14:paraId="4A4153AC" w14:textId="680C45B8" w:rsidR="00CA600E" w:rsidRDefault="007D5AF8" w:rsidP="00110C53">
      <w:pPr>
        <w:rPr>
          <w:rFonts w:cs="Calibri"/>
        </w:rPr>
      </w:pPr>
      <w:r w:rsidRPr="4E0E7674">
        <w:rPr>
          <w:rFonts w:cs="Calibri"/>
        </w:rPr>
        <w:t xml:space="preserve">Centers for Medicare and Medicaid Services (CMS) publishes local coverage determinations (LCDs) and related Billing and Coding Articles </w:t>
      </w:r>
      <w:r w:rsidR="00D4763F" w:rsidRPr="4E0E7674">
        <w:rPr>
          <w:rFonts w:cs="Calibri"/>
        </w:rPr>
        <w:t>that include</w:t>
      </w:r>
      <w:r w:rsidR="00E7157D" w:rsidRPr="4E0E7674">
        <w:rPr>
          <w:rFonts w:cs="Calibri"/>
        </w:rPr>
        <w:t xml:space="preserve"> </w:t>
      </w:r>
      <w:r w:rsidR="00DF3387" w:rsidRPr="4E0E7674">
        <w:rPr>
          <w:rFonts w:cs="Calibri"/>
        </w:rPr>
        <w:t xml:space="preserve">diagnosis codes that support medical necessity for PBT. The codes are structured into </w:t>
      </w:r>
      <w:r w:rsidR="004E7C10" w:rsidRPr="4E0E7674">
        <w:rPr>
          <w:rFonts w:cs="Calibri"/>
        </w:rPr>
        <w:t xml:space="preserve">two groups: Group 1 patients, for whom PBT is considered medically necessary, and Group 2 patients, </w:t>
      </w:r>
      <w:r w:rsidR="00837CAC" w:rsidRPr="4E0E7674">
        <w:rPr>
          <w:rFonts w:cs="Calibri"/>
        </w:rPr>
        <w:t>for whom</w:t>
      </w:r>
      <w:r w:rsidR="004E7C10" w:rsidRPr="4E0E7674">
        <w:rPr>
          <w:rFonts w:cs="Calibri"/>
        </w:rPr>
        <w:t xml:space="preserve"> PBT is covered for certain indications. </w:t>
      </w:r>
      <w:r w:rsidR="008A2806" w:rsidRPr="4E0E7674">
        <w:rPr>
          <w:rFonts w:cs="Calibri"/>
        </w:rPr>
        <w:t>The Applicant states that it encourages all Group 1 patients</w:t>
      </w:r>
      <w:r w:rsidR="00B504BD" w:rsidRPr="4E0E7674">
        <w:rPr>
          <w:rFonts w:cs="Calibri"/>
        </w:rPr>
        <w:t xml:space="preserve"> </w:t>
      </w:r>
      <w:r w:rsidR="008A2806" w:rsidRPr="4E0E7674">
        <w:rPr>
          <w:rFonts w:cs="Calibri"/>
        </w:rPr>
        <w:t>and some Group 2 patients</w:t>
      </w:r>
      <w:r w:rsidR="00360729" w:rsidRPr="4E0E7674">
        <w:rPr>
          <w:rFonts w:cs="Calibri"/>
        </w:rPr>
        <w:t xml:space="preserve"> </w:t>
      </w:r>
      <w:r w:rsidR="008A2806" w:rsidRPr="4E0E7674">
        <w:rPr>
          <w:rFonts w:cs="Calibri"/>
        </w:rPr>
        <w:t xml:space="preserve">to obtain PBT, despite </w:t>
      </w:r>
      <w:r w:rsidR="632FBC67" w:rsidRPr="4E0E7674">
        <w:rPr>
          <w:rFonts w:cs="Calibri"/>
        </w:rPr>
        <w:t xml:space="preserve">reported </w:t>
      </w:r>
      <w:r w:rsidR="008A2806" w:rsidRPr="4E0E7674">
        <w:rPr>
          <w:rFonts w:cs="Calibri"/>
        </w:rPr>
        <w:t>widespread difficulty for patients to access PBT</w:t>
      </w:r>
      <w:r w:rsidR="00ED61FA" w:rsidRPr="4E0E7674">
        <w:rPr>
          <w:rFonts w:cs="Calibri"/>
        </w:rPr>
        <w:t xml:space="preserve">. </w:t>
      </w:r>
      <w:r w:rsidR="00D4763F" w:rsidRPr="4E0E7674">
        <w:rPr>
          <w:rFonts w:cs="Calibri"/>
        </w:rPr>
        <w:t xml:space="preserve">The Applicant notes that </w:t>
      </w:r>
      <w:r w:rsidR="008D5BD5" w:rsidRPr="4E0E7674">
        <w:rPr>
          <w:rFonts w:cs="Calibri"/>
        </w:rPr>
        <w:t>PBT is the standard of care across a range of intra- and extra-cranial pediatric tumors.</w:t>
      </w:r>
      <w:r w:rsidR="000143D6" w:rsidRPr="4E0E7674">
        <w:rPr>
          <w:rFonts w:cs="Calibri"/>
        </w:rPr>
        <w:t xml:space="preserve"> </w:t>
      </w:r>
      <w:r w:rsidR="000259A1" w:rsidRPr="4E0E7674">
        <w:rPr>
          <w:rFonts w:cs="Calibri"/>
        </w:rPr>
        <w:t xml:space="preserve">The Applicant refers out all patients for which PBT is standard of care. </w:t>
      </w:r>
      <w:r w:rsidR="009F3452" w:rsidRPr="4E0E7674">
        <w:rPr>
          <w:rFonts w:cs="Calibri"/>
        </w:rPr>
        <w:t xml:space="preserve">The Applicant states that </w:t>
      </w:r>
      <w:r w:rsidR="00437FD2" w:rsidRPr="4E0E7674">
        <w:rPr>
          <w:rFonts w:cs="Calibri"/>
        </w:rPr>
        <w:t>because of the challenges patients report in obtaining PBT at MGH or out</w:t>
      </w:r>
      <w:r w:rsidR="00FB263E" w:rsidRPr="4E0E7674">
        <w:rPr>
          <w:rFonts w:cs="Calibri"/>
        </w:rPr>
        <w:t xml:space="preserve"> of state, DFCI does not have a standard referral process or protocol for PBT referrals. R</w:t>
      </w:r>
      <w:r w:rsidR="009F3452" w:rsidRPr="4E0E7674">
        <w:rPr>
          <w:rFonts w:cs="Calibri"/>
        </w:rPr>
        <w:t>eferrals are case-specific, and can depend on whether a patient has the means to travel out</w:t>
      </w:r>
      <w:r w:rsidR="00283227">
        <w:rPr>
          <w:rFonts w:cs="Calibri"/>
        </w:rPr>
        <w:t xml:space="preserve"> </w:t>
      </w:r>
      <w:r w:rsidR="009F3452" w:rsidRPr="4E0E7674">
        <w:rPr>
          <w:rFonts w:cs="Calibri"/>
        </w:rPr>
        <w:t>of</w:t>
      </w:r>
      <w:r w:rsidR="00283227">
        <w:rPr>
          <w:rFonts w:cs="Calibri"/>
        </w:rPr>
        <w:t xml:space="preserve"> </w:t>
      </w:r>
      <w:r w:rsidR="009F3452" w:rsidRPr="4E0E7674">
        <w:rPr>
          <w:rFonts w:cs="Calibri"/>
        </w:rPr>
        <w:t xml:space="preserve">state frequently for treatment. The Applicant states that before closure of </w:t>
      </w:r>
      <w:r w:rsidR="00122759" w:rsidRPr="4E0E7674">
        <w:rPr>
          <w:rFonts w:cs="Calibri"/>
        </w:rPr>
        <w:t>The Francis H. Burr Proton Therapy Center</w:t>
      </w:r>
      <w:r w:rsidR="00A747D3" w:rsidRPr="4E0E7674">
        <w:rPr>
          <w:rFonts w:cs="Calibri"/>
        </w:rPr>
        <w:t xml:space="preserve"> for renovations</w:t>
      </w:r>
      <w:r w:rsidR="009F3452" w:rsidRPr="4E0E7674">
        <w:rPr>
          <w:rFonts w:cs="Calibri"/>
        </w:rPr>
        <w:t xml:space="preserve">, it more routinely referred its patients to MGH, but with the </w:t>
      </w:r>
      <w:r w:rsidR="00EC6F01" w:rsidRPr="4E0E7674">
        <w:rPr>
          <w:rFonts w:cs="Calibri"/>
        </w:rPr>
        <w:t xml:space="preserve">current </w:t>
      </w:r>
      <w:r w:rsidR="009F3452" w:rsidRPr="4E0E7674">
        <w:rPr>
          <w:rFonts w:cs="Calibri"/>
        </w:rPr>
        <w:t>reduced capacity, referrals to MGH are extremely limited.</w:t>
      </w:r>
      <w:r w:rsidR="00EC6F01" w:rsidRPr="4E0E7674">
        <w:rPr>
          <w:rFonts w:cs="Calibri"/>
        </w:rPr>
        <w:t xml:space="preserve"> </w:t>
      </w:r>
    </w:p>
    <w:p w14:paraId="7AD4741A" w14:textId="77777777" w:rsidR="00CA600E" w:rsidRDefault="00CA600E" w:rsidP="00110C53">
      <w:pPr>
        <w:rPr>
          <w:rFonts w:cs="Calibri"/>
        </w:rPr>
      </w:pPr>
    </w:p>
    <w:p w14:paraId="42F4A9BD" w14:textId="3420630E" w:rsidR="00110C53" w:rsidRPr="00110C53" w:rsidRDefault="1B0C1672" w:rsidP="00110C53">
      <w:pPr>
        <w:rPr>
          <w:rFonts w:cs="Calibri"/>
        </w:rPr>
      </w:pPr>
      <w:r w:rsidRPr="10CB29F7">
        <w:rPr>
          <w:rFonts w:cs="Calibri"/>
        </w:rPr>
        <w:t>While t</w:t>
      </w:r>
      <w:r w:rsidR="0077637B" w:rsidRPr="10CB29F7">
        <w:rPr>
          <w:rFonts w:cs="Calibri"/>
        </w:rPr>
        <w:t>he</w:t>
      </w:r>
      <w:r w:rsidR="0077637B">
        <w:rPr>
          <w:rFonts w:cs="Calibri"/>
        </w:rPr>
        <w:t xml:space="preserve"> Applicant </w:t>
      </w:r>
      <w:r w:rsidR="6CF7837C" w:rsidRPr="10CB29F7">
        <w:rPr>
          <w:rFonts w:cs="Calibri"/>
        </w:rPr>
        <w:t xml:space="preserve">notes </w:t>
      </w:r>
      <w:r w:rsidR="00E27548">
        <w:rPr>
          <w:rFonts w:cs="Calibri"/>
        </w:rPr>
        <w:t xml:space="preserve">that its </w:t>
      </w:r>
      <w:r w:rsidR="6CF7837C" w:rsidRPr="10CB29F7">
        <w:rPr>
          <w:rFonts w:cs="Calibri"/>
        </w:rPr>
        <w:t>patients experience “widespread difficulty”</w:t>
      </w:r>
      <w:r w:rsidR="6CF7837C" w:rsidRPr="5DB1D4AA">
        <w:rPr>
          <w:rFonts w:cs="Calibri"/>
        </w:rPr>
        <w:t xml:space="preserve"> accessing </w:t>
      </w:r>
      <w:r w:rsidR="6CF7837C" w:rsidRPr="055C7A79">
        <w:rPr>
          <w:rFonts w:cs="Calibri"/>
        </w:rPr>
        <w:t xml:space="preserve">PBT, it </w:t>
      </w:r>
      <w:r w:rsidR="0077637B">
        <w:rPr>
          <w:rFonts w:cs="Calibri"/>
        </w:rPr>
        <w:t>does not track referrals to other PBT providers, and is unable to access data from MGH or out-of-state PBT providers</w:t>
      </w:r>
      <w:r w:rsidR="00B44311" w:rsidRPr="00B44311">
        <w:rPr>
          <w:rFonts w:cs="Calibri"/>
        </w:rPr>
        <w:t>.</w:t>
      </w:r>
      <w:r w:rsidR="00CA600E">
        <w:rPr>
          <w:rFonts w:cs="Calibri"/>
        </w:rPr>
        <w:t xml:space="preserve"> </w:t>
      </w:r>
      <w:r w:rsidR="00190CE9" w:rsidRPr="00190CE9">
        <w:rPr>
          <w:rFonts w:cs="Calibri"/>
        </w:rPr>
        <w:t xml:space="preserve">The Applicant states that DFCI clinicians report that patients have been able to obtain PBT from MGH, the New York Proton Center, and Penn Medicine’s and Children’s Hospital of Philadelphia’s PBT centers. </w:t>
      </w:r>
      <w:r w:rsidR="00D2346D" w:rsidRPr="00D2346D">
        <w:rPr>
          <w:rFonts w:cs="Calibri"/>
        </w:rPr>
        <w:t xml:space="preserve">The Applicant states that while it does not have data from MGH or out-of-state providers allowing it to </w:t>
      </w:r>
      <w:r w:rsidR="00B21DB4">
        <w:rPr>
          <w:rFonts w:cs="Calibri"/>
        </w:rPr>
        <w:t>estimate the number of its patients that are ultimately unable to receive PBT</w:t>
      </w:r>
      <w:r w:rsidR="00D2346D" w:rsidRPr="00D2346D">
        <w:rPr>
          <w:rFonts w:cs="Calibri"/>
        </w:rPr>
        <w:t xml:space="preserve">, DFCI clinicians and patients continue to report significant barriers to accessing PBT, pointing to difficulty in accessing PBT at MGH or out-of-state providers. </w:t>
      </w:r>
      <w:r w:rsidR="00532664" w:rsidRPr="00532664">
        <w:rPr>
          <w:rFonts w:cs="Calibri"/>
        </w:rPr>
        <w:t>The Applicant states further that DFCI providers’ decisions regarding referrals will be supported by dialogue with patients, and will include discussion of whether the patient has the means to travel, and has the family or other social supports near an available PBT center.</w:t>
      </w:r>
    </w:p>
    <w:p w14:paraId="328148A4" w14:textId="77777777" w:rsidR="004742C0" w:rsidRDefault="004742C0" w:rsidP="0015660F">
      <w:pPr>
        <w:rPr>
          <w:rFonts w:cs="Calibri"/>
        </w:rPr>
      </w:pPr>
    </w:p>
    <w:p w14:paraId="4E32D3C3" w14:textId="355E86F3" w:rsidR="00E41493" w:rsidRDefault="0D41A26C" w:rsidP="0015660F">
      <w:pPr>
        <w:rPr>
          <w:rFonts w:cs="Calibri"/>
        </w:rPr>
      </w:pPr>
      <w:r w:rsidRPr="7A7DE3ED">
        <w:rPr>
          <w:rFonts w:cs="Calibri"/>
        </w:rPr>
        <w:t xml:space="preserve">The Applicant states that referring its patients to other providers for PBT compromises continuity of care, because patients are no longer receiving care with their DFCI oncologists and nurses. </w:t>
      </w:r>
      <w:r w:rsidR="1867F629" w:rsidRPr="7A7DE3ED">
        <w:rPr>
          <w:rFonts w:cs="Calibri"/>
        </w:rPr>
        <w:t xml:space="preserve">Additionally, many children receiving care from DFCI and BCH that travel out of state to receive PBT, are displaced from their primary care team and clinical setting for approximately six weeks, which can be stressful for children and families. </w:t>
      </w:r>
      <w:r w:rsidR="2C8BD3DF" w:rsidRPr="7A7DE3ED">
        <w:rPr>
          <w:rFonts w:cs="Calibri"/>
        </w:rPr>
        <w:t xml:space="preserve">The Applicant states that there are significant costs and time burdens for patients that must </w:t>
      </w:r>
      <w:r w:rsidR="30A1EB62" w:rsidRPr="7A7DE3ED">
        <w:rPr>
          <w:rFonts w:cs="Calibri"/>
        </w:rPr>
        <w:t xml:space="preserve">travel </w:t>
      </w:r>
      <w:r w:rsidR="1DEE9965" w:rsidRPr="7A7DE3ED">
        <w:rPr>
          <w:rFonts w:cs="Calibri"/>
        </w:rPr>
        <w:t>out</w:t>
      </w:r>
      <w:r w:rsidR="46A72AC7" w:rsidRPr="7A7DE3ED">
        <w:rPr>
          <w:rFonts w:cs="Calibri"/>
        </w:rPr>
        <w:t xml:space="preserve"> </w:t>
      </w:r>
      <w:r w:rsidR="1DEE9965" w:rsidRPr="7A7DE3ED">
        <w:rPr>
          <w:rFonts w:cs="Calibri"/>
        </w:rPr>
        <w:t>of</w:t>
      </w:r>
      <w:r w:rsidR="46A72AC7" w:rsidRPr="7A7DE3ED">
        <w:rPr>
          <w:rFonts w:cs="Calibri"/>
        </w:rPr>
        <w:t xml:space="preserve"> </w:t>
      </w:r>
      <w:r w:rsidR="1DEE9965" w:rsidRPr="7A7DE3ED">
        <w:rPr>
          <w:rFonts w:cs="Calibri"/>
        </w:rPr>
        <w:t xml:space="preserve">state </w:t>
      </w:r>
      <w:r w:rsidR="2C8BD3DF" w:rsidRPr="7A7DE3ED">
        <w:rPr>
          <w:rFonts w:cs="Calibri"/>
        </w:rPr>
        <w:t>t</w:t>
      </w:r>
      <w:r w:rsidR="048FDB13" w:rsidRPr="7A7DE3ED">
        <w:rPr>
          <w:rFonts w:cs="Calibri"/>
        </w:rPr>
        <w:t>o receive</w:t>
      </w:r>
      <w:r w:rsidR="2C8BD3DF" w:rsidRPr="7A7DE3ED">
        <w:rPr>
          <w:rFonts w:cs="Calibri"/>
        </w:rPr>
        <w:t xml:space="preserve"> PBT. </w:t>
      </w:r>
      <w:r w:rsidR="49C0036A" w:rsidRPr="7A7DE3ED">
        <w:rPr>
          <w:rFonts w:cs="Calibri"/>
        </w:rPr>
        <w:t xml:space="preserve">Traveling </w:t>
      </w:r>
      <w:r w:rsidR="2345F9F1" w:rsidRPr="7A7DE3ED">
        <w:rPr>
          <w:rFonts w:cs="Calibri"/>
        </w:rPr>
        <w:t>out</w:t>
      </w:r>
      <w:r w:rsidR="53A01472" w:rsidRPr="7A7DE3ED">
        <w:rPr>
          <w:rFonts w:cs="Calibri"/>
        </w:rPr>
        <w:t xml:space="preserve"> </w:t>
      </w:r>
      <w:r w:rsidR="2345F9F1" w:rsidRPr="7A7DE3ED">
        <w:rPr>
          <w:rFonts w:cs="Calibri"/>
        </w:rPr>
        <w:t>of</w:t>
      </w:r>
      <w:r w:rsidR="53A01472" w:rsidRPr="7A7DE3ED">
        <w:rPr>
          <w:rFonts w:cs="Calibri"/>
        </w:rPr>
        <w:t xml:space="preserve"> s</w:t>
      </w:r>
      <w:r w:rsidR="2345F9F1" w:rsidRPr="7A7DE3ED">
        <w:rPr>
          <w:rFonts w:cs="Calibri"/>
        </w:rPr>
        <w:t xml:space="preserve">tate </w:t>
      </w:r>
      <w:r w:rsidR="49C0036A" w:rsidRPr="7A7DE3ED">
        <w:rPr>
          <w:rFonts w:cs="Calibri"/>
        </w:rPr>
        <w:t>to receive PBT</w:t>
      </w:r>
      <w:r w:rsidR="5BCEA015" w:rsidRPr="7A7DE3ED">
        <w:rPr>
          <w:rFonts w:cs="Calibri"/>
        </w:rPr>
        <w:t xml:space="preserve"> is not feasible for very sick children, and some families may forgo it because of the financial </w:t>
      </w:r>
      <w:r w:rsidR="042CAF93" w:rsidRPr="7A7DE3ED">
        <w:rPr>
          <w:rFonts w:cs="Calibri"/>
        </w:rPr>
        <w:t xml:space="preserve">and logistical </w:t>
      </w:r>
      <w:r w:rsidR="5BCEA015" w:rsidRPr="7A7DE3ED">
        <w:rPr>
          <w:rFonts w:cs="Calibri"/>
        </w:rPr>
        <w:t>burden,</w:t>
      </w:r>
      <w:r w:rsidR="042CAF93" w:rsidRPr="7A7DE3ED">
        <w:rPr>
          <w:rFonts w:cs="Calibri"/>
        </w:rPr>
        <w:t xml:space="preserve"> and</w:t>
      </w:r>
      <w:r w:rsidR="5BCEA015" w:rsidRPr="7A7DE3ED">
        <w:rPr>
          <w:rFonts w:cs="Calibri"/>
        </w:rPr>
        <w:t xml:space="preserve"> the emotional stress of leaving their support system</w:t>
      </w:r>
      <w:r w:rsidR="4C924BB4" w:rsidRPr="7A7DE3ED">
        <w:rPr>
          <w:rFonts w:cs="Calibri"/>
        </w:rPr>
        <w:t xml:space="preserve">. </w:t>
      </w:r>
      <w:r w:rsidR="7427D026" w:rsidRPr="7A7DE3ED">
        <w:rPr>
          <w:rFonts w:cs="Calibri"/>
        </w:rPr>
        <w:t xml:space="preserve">The </w:t>
      </w:r>
      <w:r w:rsidR="17D80E37" w:rsidRPr="7A7DE3ED">
        <w:rPr>
          <w:rFonts w:cs="Calibri"/>
        </w:rPr>
        <w:t>barrier</w:t>
      </w:r>
      <w:r w:rsidR="7427D026" w:rsidRPr="7A7DE3ED">
        <w:rPr>
          <w:rFonts w:cs="Calibri"/>
        </w:rPr>
        <w:t xml:space="preserve">s </w:t>
      </w:r>
      <w:r w:rsidR="6D202031" w:rsidRPr="7A7DE3ED">
        <w:rPr>
          <w:rFonts w:cs="Calibri"/>
        </w:rPr>
        <w:t>to accessing PBT</w:t>
      </w:r>
      <w:r w:rsidR="17D80E37" w:rsidRPr="7A7DE3ED">
        <w:rPr>
          <w:rFonts w:cs="Calibri"/>
        </w:rPr>
        <w:t xml:space="preserve"> </w:t>
      </w:r>
      <w:r w:rsidR="56F33C08" w:rsidRPr="7A7DE3ED">
        <w:rPr>
          <w:rFonts w:cs="Calibri"/>
        </w:rPr>
        <w:t xml:space="preserve">can lead </w:t>
      </w:r>
      <w:r w:rsidR="6D202031" w:rsidRPr="7A7DE3ED">
        <w:rPr>
          <w:rFonts w:cs="Calibri"/>
        </w:rPr>
        <w:t>some patients</w:t>
      </w:r>
      <w:r w:rsidR="17D80E37" w:rsidRPr="7A7DE3ED">
        <w:rPr>
          <w:rFonts w:cs="Calibri"/>
        </w:rPr>
        <w:t xml:space="preserve"> </w:t>
      </w:r>
      <w:r w:rsidR="56F33C08" w:rsidRPr="7A7DE3ED">
        <w:rPr>
          <w:rFonts w:cs="Calibri"/>
        </w:rPr>
        <w:t xml:space="preserve">to </w:t>
      </w:r>
      <w:r w:rsidR="17D80E37" w:rsidRPr="7A7DE3ED">
        <w:rPr>
          <w:rFonts w:cs="Calibri"/>
        </w:rPr>
        <w:t xml:space="preserve">forgo </w:t>
      </w:r>
      <w:r w:rsidR="6D202031" w:rsidRPr="7A7DE3ED">
        <w:rPr>
          <w:rFonts w:cs="Calibri"/>
        </w:rPr>
        <w:t>PBT</w:t>
      </w:r>
      <w:r w:rsidR="17D80E37" w:rsidRPr="7A7DE3ED">
        <w:rPr>
          <w:rFonts w:cs="Calibri"/>
        </w:rPr>
        <w:t xml:space="preserve"> treatment for more convenient yet comparatively less effective radiation therapies. </w:t>
      </w:r>
      <w:r w:rsidR="337C9B4E" w:rsidRPr="7A7DE3ED">
        <w:rPr>
          <w:rFonts w:cs="Calibri"/>
        </w:rPr>
        <w:t xml:space="preserve"> At the same time, staff note</w:t>
      </w:r>
      <w:r w:rsidR="00212C47">
        <w:rPr>
          <w:rFonts w:cs="Calibri"/>
        </w:rPr>
        <w:t xml:space="preserve"> that</w:t>
      </w:r>
      <w:r w:rsidR="337C9B4E" w:rsidRPr="7A7DE3ED">
        <w:rPr>
          <w:rFonts w:cs="Calibri"/>
        </w:rPr>
        <w:t xml:space="preserve"> some patients currently travel from out</w:t>
      </w:r>
      <w:r w:rsidR="00DC7B1E">
        <w:rPr>
          <w:rFonts w:cs="Calibri"/>
        </w:rPr>
        <w:t xml:space="preserve"> </w:t>
      </w:r>
      <w:r w:rsidR="337C9B4E" w:rsidRPr="7A7DE3ED">
        <w:rPr>
          <w:rFonts w:cs="Calibri"/>
        </w:rPr>
        <w:t>of</w:t>
      </w:r>
      <w:r w:rsidR="00DC7B1E">
        <w:rPr>
          <w:rFonts w:cs="Calibri"/>
        </w:rPr>
        <w:t xml:space="preserve"> </w:t>
      </w:r>
      <w:r w:rsidR="337C9B4E" w:rsidRPr="7A7DE3ED">
        <w:rPr>
          <w:rFonts w:cs="Calibri"/>
        </w:rPr>
        <w:t xml:space="preserve">state to Massachusetts to receive care and, with anticipated PBT capacity coming online in other states, </w:t>
      </w:r>
      <w:r w:rsidR="00C11E6F">
        <w:rPr>
          <w:rFonts w:cs="Calibri"/>
        </w:rPr>
        <w:t xml:space="preserve">they </w:t>
      </w:r>
      <w:r w:rsidR="337C9B4E" w:rsidRPr="7A7DE3ED">
        <w:rPr>
          <w:rFonts w:cs="Calibri"/>
        </w:rPr>
        <w:t>may be able to acces</w:t>
      </w:r>
      <w:r w:rsidR="14B02E77" w:rsidRPr="7A7DE3ED">
        <w:rPr>
          <w:rFonts w:cs="Calibri"/>
        </w:rPr>
        <w:t xml:space="preserve">s PBT services at another location closer to home. </w:t>
      </w:r>
    </w:p>
    <w:p w14:paraId="2CAC32C4" w14:textId="55BB63BE" w:rsidR="009F396B" w:rsidRDefault="009F396B" w:rsidP="0015660F">
      <w:pPr>
        <w:rPr>
          <w:rFonts w:cs="Calibri"/>
        </w:rPr>
      </w:pPr>
    </w:p>
    <w:p w14:paraId="6EF73DE5" w14:textId="63E760C5" w:rsidR="00F30E79" w:rsidRDefault="00C9721F" w:rsidP="0015660F">
      <w:pPr>
        <w:rPr>
          <w:rFonts w:cs="Calibri"/>
        </w:rPr>
      </w:pPr>
      <w:r w:rsidRPr="054DAB12">
        <w:rPr>
          <w:rFonts w:cs="Calibri"/>
        </w:rPr>
        <w:t>In its comment on the UMass Proton Beam DoN application (Public Comments #4), the Applicant state</w:t>
      </w:r>
      <w:r w:rsidR="006C6C95" w:rsidRPr="2FEDF9E8">
        <w:rPr>
          <w:rFonts w:cs="Calibri"/>
        </w:rPr>
        <w:t>d</w:t>
      </w:r>
      <w:r w:rsidRPr="054DAB12">
        <w:rPr>
          <w:rFonts w:cs="Calibri"/>
        </w:rPr>
        <w:t xml:space="preserve"> “There is a critical shortage of proton therapy capacity in New England. We believe the region requires 14 to 19 treatment rooms to serve all patients eligible for proton therapy, yet only four licensed rooms exist, all at Massachusetts General Hospital (MGH).” </w:t>
      </w:r>
      <w:r w:rsidR="2D4DC04C" w:rsidRPr="52F9152F">
        <w:rPr>
          <w:rFonts w:cs="Calibri"/>
        </w:rPr>
        <w:t xml:space="preserve">In addition to the approval of </w:t>
      </w:r>
      <w:r w:rsidR="2D4DC04C" w:rsidRPr="15C0F0C2">
        <w:rPr>
          <w:rFonts w:cs="Calibri"/>
        </w:rPr>
        <w:t xml:space="preserve">the UMass </w:t>
      </w:r>
      <w:r w:rsidR="2D4DC04C" w:rsidRPr="75A4B3D0">
        <w:rPr>
          <w:rFonts w:cs="Calibri"/>
        </w:rPr>
        <w:t>Proton Beam DoN application</w:t>
      </w:r>
      <w:r w:rsidR="00955F82" w:rsidRPr="2FEDF9E8">
        <w:rPr>
          <w:rFonts w:cs="Calibri"/>
        </w:rPr>
        <w:t xml:space="preserve"> (one room)</w:t>
      </w:r>
      <w:r w:rsidR="2D4DC04C" w:rsidRPr="75A4B3D0">
        <w:rPr>
          <w:rFonts w:cs="Calibri"/>
        </w:rPr>
        <w:t xml:space="preserve">, </w:t>
      </w:r>
      <w:r w:rsidR="00F93765" w:rsidRPr="00167F30">
        <w:rPr>
          <w:rFonts w:cs="Calibri"/>
        </w:rPr>
        <w:t>t</w:t>
      </w:r>
      <w:r w:rsidR="003A6487" w:rsidRPr="2FEDF9E8">
        <w:rPr>
          <w:rFonts w:cs="Calibri"/>
        </w:rPr>
        <w:t>hree</w:t>
      </w:r>
      <w:r w:rsidR="00F93765" w:rsidRPr="00167F30">
        <w:rPr>
          <w:rFonts w:cs="Calibri"/>
        </w:rPr>
        <w:t xml:space="preserve"> other PBT services have been</w:t>
      </w:r>
      <w:r w:rsidR="7760BD39" w:rsidRPr="00167F30">
        <w:rPr>
          <w:rFonts w:cs="Calibri"/>
        </w:rPr>
        <w:t xml:space="preserve"> </w:t>
      </w:r>
      <w:r w:rsidR="1ED511F6" w:rsidRPr="00167F30">
        <w:rPr>
          <w:rFonts w:cs="Calibri"/>
        </w:rPr>
        <w:t>recently</w:t>
      </w:r>
      <w:r w:rsidR="00F93765" w:rsidRPr="00167F30">
        <w:rPr>
          <w:rFonts w:cs="Calibri"/>
        </w:rPr>
        <w:t xml:space="preserve"> approved in New England but are not yet operational; one</w:t>
      </w:r>
      <w:r w:rsidR="001722FD" w:rsidRPr="2FEDF9E8">
        <w:rPr>
          <w:rFonts w:cs="Calibri"/>
        </w:rPr>
        <w:t xml:space="preserve"> is</w:t>
      </w:r>
      <w:r w:rsidR="00F93765" w:rsidRPr="00167F30">
        <w:rPr>
          <w:rFonts w:cs="Calibri"/>
        </w:rPr>
        <w:t xml:space="preserve"> in Johnston, Rhode Island</w:t>
      </w:r>
      <w:r w:rsidR="00100023" w:rsidRPr="2FEDF9E8">
        <w:rPr>
          <w:rFonts w:cs="Calibri"/>
        </w:rPr>
        <w:t xml:space="preserve"> (one-room)</w:t>
      </w:r>
      <w:r w:rsidR="00F93765" w:rsidRPr="00167F30">
        <w:rPr>
          <w:rFonts w:cs="Calibri"/>
        </w:rPr>
        <w:t>, one is in Danbury, Connecticut</w:t>
      </w:r>
      <w:r w:rsidR="002E457F" w:rsidRPr="2FEDF9E8">
        <w:rPr>
          <w:rFonts w:cs="Calibri"/>
        </w:rPr>
        <w:t xml:space="preserve"> (</w:t>
      </w:r>
      <w:r w:rsidR="003A6487" w:rsidRPr="2FEDF9E8">
        <w:rPr>
          <w:rFonts w:cs="Calibri"/>
        </w:rPr>
        <w:t>one</w:t>
      </w:r>
      <w:r w:rsidR="002E457F" w:rsidRPr="2FEDF9E8">
        <w:rPr>
          <w:rFonts w:cs="Calibri"/>
        </w:rPr>
        <w:t>-room)</w:t>
      </w:r>
      <w:r w:rsidR="00F31935" w:rsidRPr="2FEDF9E8">
        <w:rPr>
          <w:rFonts w:cs="Calibri"/>
        </w:rPr>
        <w:t>, and one is in Wallingford, Connecticut (one-room)</w:t>
      </w:r>
      <w:r w:rsidR="00F93765" w:rsidRPr="00167F30">
        <w:rPr>
          <w:rFonts w:cs="Calibri"/>
        </w:rPr>
        <w:t>.</w:t>
      </w:r>
      <w:r w:rsidR="002E5B66">
        <w:rPr>
          <w:rStyle w:val="FootnoteReference"/>
          <w:rFonts w:cs="Calibri"/>
        </w:rPr>
        <w:footnoteReference w:id="25"/>
      </w:r>
      <w:r w:rsidR="00F93765" w:rsidRPr="00167F30">
        <w:rPr>
          <w:rFonts w:cs="Calibri"/>
        </w:rPr>
        <w:t xml:space="preserve"> </w:t>
      </w:r>
    </w:p>
    <w:p w14:paraId="6DAFD2F3" w14:textId="2BB70A4F" w:rsidR="00C9721F" w:rsidRPr="0015660F" w:rsidRDefault="00C9721F" w:rsidP="0015660F">
      <w:pPr>
        <w:rPr>
          <w:rFonts w:cs="Calibri"/>
        </w:rPr>
      </w:pPr>
      <w:r w:rsidRPr="00167F30">
        <w:rPr>
          <w:rFonts w:cs="Calibri"/>
        </w:rPr>
        <w:t>Staff inquired further about the Applicant’s methodology for determining need for PBT treatment rooms in New England. The Applicant states that to determine the number of treatment rooms required to serve all patients eligible</w:t>
      </w:r>
      <w:r w:rsidRPr="054DAB12">
        <w:rPr>
          <w:rFonts w:cs="Calibri"/>
        </w:rPr>
        <w:t xml:space="preserve"> for PBT</w:t>
      </w:r>
      <w:r w:rsidR="0099782D" w:rsidRPr="054DAB12">
        <w:rPr>
          <w:rFonts w:cs="Calibri"/>
        </w:rPr>
        <w:t xml:space="preserve"> it </w:t>
      </w:r>
      <w:r w:rsidR="00581B41" w:rsidRPr="054DAB12">
        <w:rPr>
          <w:rFonts w:cs="Calibri"/>
        </w:rPr>
        <w:t>multiplied</w:t>
      </w:r>
      <w:r w:rsidR="0099782D" w:rsidRPr="054DAB12">
        <w:rPr>
          <w:rFonts w:cs="Calibri"/>
        </w:rPr>
        <w:t xml:space="preserve"> the </w:t>
      </w:r>
      <w:r w:rsidRPr="2FEDF9E8">
        <w:rPr>
          <w:rFonts w:cs="Calibri"/>
          <w:i/>
          <w:iCs/>
        </w:rPr>
        <w:t>Population of New England</w:t>
      </w:r>
      <w:r w:rsidRPr="054DAB12">
        <w:rPr>
          <w:rFonts w:cs="Calibri"/>
        </w:rPr>
        <w:t xml:space="preserve"> (15,400,000</w:t>
      </w:r>
      <w:r w:rsidR="001D53F8">
        <w:rPr>
          <w:rFonts w:cs="Calibri"/>
        </w:rPr>
        <w:t xml:space="preserve"> individuals</w:t>
      </w:r>
      <w:r w:rsidRPr="054DAB12">
        <w:rPr>
          <w:rFonts w:cs="Calibri"/>
        </w:rPr>
        <w:t xml:space="preserve">) </w:t>
      </w:r>
      <w:r w:rsidR="00B23780" w:rsidRPr="054DAB12">
        <w:rPr>
          <w:rFonts w:cs="Calibri"/>
        </w:rPr>
        <w:t>by the</w:t>
      </w:r>
      <w:r w:rsidRPr="054DAB12">
        <w:rPr>
          <w:rFonts w:cs="Calibri"/>
        </w:rPr>
        <w:t xml:space="preserve"> </w:t>
      </w:r>
      <w:r w:rsidRPr="2FEDF9E8">
        <w:rPr>
          <w:rFonts w:cs="Calibri"/>
          <w:i/>
          <w:iCs/>
        </w:rPr>
        <w:t>Cancer Incidence Rate</w:t>
      </w:r>
      <w:r w:rsidRPr="054DAB12">
        <w:rPr>
          <w:rFonts w:cs="Calibri"/>
        </w:rPr>
        <w:t xml:space="preserve"> (471.8</w:t>
      </w:r>
      <w:r w:rsidR="003B4FAD">
        <w:rPr>
          <w:rFonts w:cs="Calibri"/>
        </w:rPr>
        <w:t xml:space="preserve"> per 100,000</w:t>
      </w:r>
      <w:r w:rsidR="00164495">
        <w:rPr>
          <w:rFonts w:cs="Calibri"/>
        </w:rPr>
        <w:t xml:space="preserve"> people</w:t>
      </w:r>
      <w:r w:rsidRPr="054DAB12">
        <w:rPr>
          <w:rFonts w:cs="Calibri"/>
        </w:rPr>
        <w:t xml:space="preserve">) </w:t>
      </w:r>
      <w:r w:rsidR="00B23780" w:rsidRPr="054DAB12">
        <w:rPr>
          <w:rFonts w:cs="Calibri"/>
        </w:rPr>
        <w:t xml:space="preserve">which equals a total of </w:t>
      </w:r>
      <w:r w:rsidRPr="054DAB12">
        <w:rPr>
          <w:rFonts w:cs="Calibri"/>
        </w:rPr>
        <w:t xml:space="preserve">72,657 cancer cases per year. </w:t>
      </w:r>
      <w:r w:rsidR="00AF208E" w:rsidRPr="2FEDF9E8">
        <w:rPr>
          <w:rFonts w:cs="Calibri"/>
        </w:rPr>
        <w:t>The Applicant states that r</w:t>
      </w:r>
      <w:r w:rsidRPr="054DAB12">
        <w:rPr>
          <w:rFonts w:cs="Calibri"/>
        </w:rPr>
        <w:t xml:space="preserve">esearch indicates that approximately 50% of those cases or 36,329 cases, are cases where RT is the most appropriate treatment, and in 14% </w:t>
      </w:r>
      <w:r w:rsidR="00581B41" w:rsidRPr="054DAB12">
        <w:rPr>
          <w:rFonts w:cs="Calibri"/>
        </w:rPr>
        <w:t xml:space="preserve">of those cases, </w:t>
      </w:r>
      <w:r w:rsidRPr="054DAB12">
        <w:rPr>
          <w:rFonts w:cs="Calibri"/>
        </w:rPr>
        <w:t xml:space="preserve">or 5,086 cases, PBT is the </w:t>
      </w:r>
      <w:r w:rsidR="00C65CA5">
        <w:rPr>
          <w:rFonts w:cs="Calibri"/>
        </w:rPr>
        <w:t xml:space="preserve">most </w:t>
      </w:r>
      <w:r w:rsidRPr="054DAB12">
        <w:rPr>
          <w:rFonts w:cs="Calibri"/>
        </w:rPr>
        <w:t>clinical</w:t>
      </w:r>
      <w:r w:rsidR="00581B41" w:rsidRPr="054DAB12">
        <w:rPr>
          <w:rFonts w:cs="Calibri"/>
        </w:rPr>
        <w:t>ly</w:t>
      </w:r>
      <w:r w:rsidRPr="054DAB12">
        <w:rPr>
          <w:rFonts w:cs="Calibri"/>
        </w:rPr>
        <w:t xml:space="preserve"> appropriate treatment.</w:t>
      </w:r>
      <w:r w:rsidRPr="00C9721F">
        <w:rPr>
          <w:vertAlign w:val="superscript"/>
        </w:rPr>
        <w:endnoteReference w:id="30"/>
      </w:r>
      <w:r w:rsidRPr="054DAB12">
        <w:rPr>
          <w:rFonts w:cs="Calibri"/>
          <w:vertAlign w:val="superscript"/>
        </w:rPr>
        <w:t>,</w:t>
      </w:r>
      <w:r w:rsidRPr="00C9721F">
        <w:rPr>
          <w:vertAlign w:val="superscript"/>
        </w:rPr>
        <w:endnoteReference w:id="31"/>
      </w:r>
      <w:r w:rsidR="00FE474A">
        <w:rPr>
          <w:rFonts w:cs="Calibri"/>
          <w:vertAlign w:val="superscript"/>
        </w:rPr>
        <w:t xml:space="preserve"> </w:t>
      </w:r>
      <w:r w:rsidR="009F5E2D">
        <w:rPr>
          <w:rFonts w:cs="Calibri"/>
        </w:rPr>
        <w:t>Staff note</w:t>
      </w:r>
      <w:r w:rsidR="00E43FB8">
        <w:rPr>
          <w:rFonts w:cs="Calibri"/>
        </w:rPr>
        <w:t xml:space="preserve"> </w:t>
      </w:r>
      <w:r w:rsidR="00C44C44">
        <w:rPr>
          <w:rFonts w:cs="Calibri"/>
        </w:rPr>
        <w:t>that</w:t>
      </w:r>
      <w:r w:rsidR="007D6063">
        <w:rPr>
          <w:rFonts w:cs="Calibri"/>
        </w:rPr>
        <w:t xml:space="preserve"> </w:t>
      </w:r>
      <w:r w:rsidR="00D268AF">
        <w:rPr>
          <w:rFonts w:cs="Calibri"/>
        </w:rPr>
        <w:t>one</w:t>
      </w:r>
      <w:r w:rsidR="000E395C">
        <w:rPr>
          <w:rFonts w:cs="Calibri"/>
        </w:rPr>
        <w:t xml:space="preserve"> limitation of</w:t>
      </w:r>
      <w:r w:rsidR="009F5E2D">
        <w:rPr>
          <w:rFonts w:cs="Calibri"/>
        </w:rPr>
        <w:t xml:space="preserve"> the Applicant</w:t>
      </w:r>
      <w:r w:rsidR="00676079">
        <w:rPr>
          <w:rFonts w:cs="Calibri"/>
        </w:rPr>
        <w:t xml:space="preserve">’s 14% estimate of the number of cases for whom PBT would be appropriate is </w:t>
      </w:r>
      <w:r w:rsidR="008E0CE9">
        <w:rPr>
          <w:rFonts w:cs="Calibri"/>
        </w:rPr>
        <w:t xml:space="preserve">that it is </w:t>
      </w:r>
      <w:r w:rsidR="00676079">
        <w:rPr>
          <w:rFonts w:cs="Calibri"/>
        </w:rPr>
        <w:t xml:space="preserve">based on a modeling study </w:t>
      </w:r>
      <w:r w:rsidR="000E7498">
        <w:rPr>
          <w:rFonts w:cs="Calibri"/>
        </w:rPr>
        <w:t xml:space="preserve">from 2005 </w:t>
      </w:r>
      <w:r w:rsidR="00676079">
        <w:rPr>
          <w:rFonts w:cs="Calibri"/>
        </w:rPr>
        <w:t>in a Swedish population, and therefore may not be applicable to the United States</w:t>
      </w:r>
      <w:r w:rsidR="007C4821">
        <w:rPr>
          <w:rFonts w:cs="Calibri"/>
        </w:rPr>
        <w:t xml:space="preserve"> (US)</w:t>
      </w:r>
      <w:r w:rsidR="00676079">
        <w:rPr>
          <w:rFonts w:cs="Calibri"/>
        </w:rPr>
        <w:t xml:space="preserve"> population using </w:t>
      </w:r>
      <w:r w:rsidR="007C4821">
        <w:rPr>
          <w:rFonts w:cs="Calibri"/>
        </w:rPr>
        <w:t>US</w:t>
      </w:r>
      <w:r w:rsidR="00676079">
        <w:rPr>
          <w:rFonts w:cs="Calibri"/>
        </w:rPr>
        <w:t xml:space="preserve"> guidelines for PBT in 2026.  </w:t>
      </w:r>
    </w:p>
    <w:p w14:paraId="50F73C5E" w14:textId="0D3CB4B6" w:rsidR="00B24BEA" w:rsidRDefault="00B24BEA" w:rsidP="00085144">
      <w:pPr>
        <w:rPr>
          <w:rFonts w:cs="Calibri"/>
          <w:szCs w:val="24"/>
        </w:rPr>
      </w:pPr>
    </w:p>
    <w:p w14:paraId="10B59246" w14:textId="2813474D" w:rsidR="006A14F8" w:rsidRDefault="006A14F8" w:rsidP="007E537A">
      <w:pPr>
        <w:rPr>
          <w:rFonts w:cs="Calibri"/>
        </w:rPr>
      </w:pPr>
      <w:r w:rsidRPr="3CAB2095">
        <w:rPr>
          <w:rFonts w:cs="Calibri"/>
        </w:rPr>
        <w:t>Letters of support</w:t>
      </w:r>
      <w:r w:rsidR="254283A6" w:rsidRPr="3CAB2095">
        <w:rPr>
          <w:rFonts w:cs="Calibri"/>
        </w:rPr>
        <w:t xml:space="preserve"> for DFCI’s application</w:t>
      </w:r>
      <w:r w:rsidRPr="3CAB2095">
        <w:rPr>
          <w:rFonts w:cs="Calibri"/>
        </w:rPr>
        <w:t xml:space="preserve"> </w:t>
      </w:r>
      <w:r w:rsidR="00A75E28">
        <w:rPr>
          <w:rFonts w:cs="Calibri"/>
        </w:rPr>
        <w:t xml:space="preserve">from </w:t>
      </w:r>
      <w:r w:rsidRPr="3CAB2095">
        <w:rPr>
          <w:rFonts w:cs="Calibri"/>
        </w:rPr>
        <w:t xml:space="preserve">practicing oncologists in Boston, </w:t>
      </w:r>
      <w:r w:rsidR="007563A9" w:rsidRPr="3CAB2095">
        <w:rPr>
          <w:rFonts w:cs="Calibri"/>
        </w:rPr>
        <w:t>commented on</w:t>
      </w:r>
      <w:r w:rsidR="00925E14" w:rsidRPr="3CAB2095">
        <w:rPr>
          <w:rFonts w:cs="Calibri"/>
        </w:rPr>
        <w:t xml:space="preserve"> the unmet need for PBT in Massachusetts, and the resulting challeng</w:t>
      </w:r>
      <w:r w:rsidR="007563A9" w:rsidRPr="3CAB2095">
        <w:rPr>
          <w:rFonts w:cs="Calibri"/>
        </w:rPr>
        <w:t>es</w:t>
      </w:r>
      <w:r w:rsidR="00925E14" w:rsidRPr="3CAB2095">
        <w:rPr>
          <w:rFonts w:cs="Calibri"/>
        </w:rPr>
        <w:t xml:space="preserve"> that patients and families encounter, when trying to access PBT</w:t>
      </w:r>
      <w:r w:rsidRPr="3CAB2095">
        <w:rPr>
          <w:rFonts w:cs="Calibri"/>
        </w:rPr>
        <w:t xml:space="preserve">. Dr. </w:t>
      </w:r>
      <w:r w:rsidR="00925E14" w:rsidRPr="3CAB2095">
        <w:rPr>
          <w:rFonts w:cs="Calibri"/>
        </w:rPr>
        <w:t>Peter Orio, III</w:t>
      </w:r>
      <w:r w:rsidRPr="3CAB2095">
        <w:rPr>
          <w:rFonts w:cs="Calibri"/>
        </w:rPr>
        <w:t xml:space="preserve">, a </w:t>
      </w:r>
      <w:r w:rsidR="00925E14" w:rsidRPr="3CAB2095">
        <w:rPr>
          <w:rFonts w:cs="Calibri"/>
        </w:rPr>
        <w:t xml:space="preserve">radiation </w:t>
      </w:r>
      <w:r w:rsidRPr="3CAB2095">
        <w:rPr>
          <w:rFonts w:cs="Calibri"/>
        </w:rPr>
        <w:t xml:space="preserve">oncologist </w:t>
      </w:r>
      <w:r w:rsidR="00925E14" w:rsidRPr="3CAB2095">
        <w:rPr>
          <w:rFonts w:cs="Calibri"/>
        </w:rPr>
        <w:t xml:space="preserve">practicing in the greater Boston area </w:t>
      </w:r>
      <w:r w:rsidRPr="3CAB2095">
        <w:rPr>
          <w:rFonts w:cs="Calibri"/>
        </w:rPr>
        <w:t xml:space="preserve">and </w:t>
      </w:r>
      <w:r w:rsidR="00B1033A" w:rsidRPr="3CAB2095">
        <w:rPr>
          <w:rFonts w:cs="Calibri"/>
        </w:rPr>
        <w:t>Chair of the Department of Radi</w:t>
      </w:r>
      <w:r w:rsidR="00C30714" w:rsidRPr="3CAB2095">
        <w:rPr>
          <w:rFonts w:cs="Calibri"/>
        </w:rPr>
        <w:t>ation Oncology</w:t>
      </w:r>
      <w:r w:rsidRPr="3CAB2095">
        <w:rPr>
          <w:rFonts w:cs="Calibri"/>
        </w:rPr>
        <w:t xml:space="preserve"> at DFCI stated,</w:t>
      </w:r>
      <w:r w:rsidR="00B1033A" w:rsidRPr="3CAB2095">
        <w:rPr>
          <w:rFonts w:cs="Calibri"/>
        </w:rPr>
        <w:t xml:space="preserve"> “</w:t>
      </w:r>
      <w:r w:rsidR="0074329F" w:rsidRPr="3CAB2095">
        <w:rPr>
          <w:rFonts w:cs="Calibri"/>
          <w:i/>
        </w:rPr>
        <w:t xml:space="preserve">There is </w:t>
      </w:r>
      <w:r w:rsidR="0074329F" w:rsidRPr="3CAB2095">
        <w:rPr>
          <w:rFonts w:cs="Calibri"/>
          <w:i/>
        </w:rPr>
        <w:lastRenderedPageBreak/>
        <w:t>currently only one operational proton therapy facility serving Massachusetts, and the entire New England region, a catchment area of more than 15 million residents. Existing regional capacity is insufficient to meet current clinical demand, even under optimal utilization scenarios. As a result, patients face prolonged treatment delays, referral outside the Commonwealth, or the inability to receive proton therapy altogether. These barriers disproportionately affect pediatric patients, medically complex patients, and families with limited resources, directly conflicting with state goals related to access and equity</w:t>
      </w:r>
      <w:r w:rsidR="0074329F" w:rsidRPr="3CAB2095">
        <w:rPr>
          <w:rFonts w:cs="Calibri"/>
        </w:rPr>
        <w:t>.”</w:t>
      </w:r>
    </w:p>
    <w:p w14:paraId="326C5917" w14:textId="77777777" w:rsidR="00DF65A9" w:rsidRDefault="00DF65A9" w:rsidP="007E537A">
      <w:pPr>
        <w:rPr>
          <w:rFonts w:cs="Calibri"/>
          <w:szCs w:val="24"/>
        </w:rPr>
      </w:pPr>
    </w:p>
    <w:p w14:paraId="090D05C2" w14:textId="7DCF3642" w:rsidR="00F26732" w:rsidRDefault="00D20906" w:rsidP="000476DE">
      <w:pPr>
        <w:rPr>
          <w:rFonts w:cs="Calibri"/>
          <w:szCs w:val="24"/>
        </w:rPr>
      </w:pPr>
      <w:r>
        <w:rPr>
          <w:rFonts w:cs="Calibri"/>
          <w:szCs w:val="24"/>
        </w:rPr>
        <w:t xml:space="preserve">The Applicant states that </w:t>
      </w:r>
      <w:r w:rsidR="00240A3F">
        <w:rPr>
          <w:rFonts w:cs="Calibri"/>
          <w:szCs w:val="24"/>
        </w:rPr>
        <w:t xml:space="preserve">geographic access, travel burden, and logistical and care </w:t>
      </w:r>
      <w:r w:rsidR="00BE2A57">
        <w:rPr>
          <w:rFonts w:cs="Calibri"/>
          <w:szCs w:val="24"/>
        </w:rPr>
        <w:t>coordination</w:t>
      </w:r>
      <w:r w:rsidR="00240A3F">
        <w:rPr>
          <w:rFonts w:cs="Calibri"/>
          <w:szCs w:val="24"/>
        </w:rPr>
        <w:t xml:space="preserve"> </w:t>
      </w:r>
      <w:r w:rsidR="00BE2A57">
        <w:rPr>
          <w:rFonts w:cs="Calibri"/>
          <w:szCs w:val="24"/>
        </w:rPr>
        <w:t>issues</w:t>
      </w:r>
      <w:r w:rsidR="00240A3F">
        <w:rPr>
          <w:rFonts w:cs="Calibri"/>
          <w:szCs w:val="24"/>
        </w:rPr>
        <w:t xml:space="preserve"> are primary </w:t>
      </w:r>
      <w:r w:rsidR="00BE2A57">
        <w:rPr>
          <w:rFonts w:cs="Calibri"/>
          <w:szCs w:val="24"/>
        </w:rPr>
        <w:t>barriers</w:t>
      </w:r>
      <w:r w:rsidR="00240A3F">
        <w:rPr>
          <w:rFonts w:cs="Calibri"/>
          <w:szCs w:val="24"/>
        </w:rPr>
        <w:t xml:space="preserve"> to receiving PBT</w:t>
      </w:r>
      <w:r w:rsidR="003A0C52">
        <w:rPr>
          <w:rFonts w:cs="Calibri"/>
          <w:szCs w:val="24"/>
        </w:rPr>
        <w:t>,</w:t>
      </w:r>
      <w:r w:rsidR="00240A3F">
        <w:rPr>
          <w:rFonts w:cs="Calibri"/>
          <w:szCs w:val="24"/>
        </w:rPr>
        <w:t xml:space="preserve"> citing </w:t>
      </w:r>
      <w:r w:rsidR="00DF65A9">
        <w:rPr>
          <w:rFonts w:cs="Calibri"/>
          <w:szCs w:val="24"/>
        </w:rPr>
        <w:t xml:space="preserve">a study investigating the </w:t>
      </w:r>
      <w:r w:rsidR="00DF65A9" w:rsidRPr="009F6A3F">
        <w:rPr>
          <w:rFonts w:cs="Calibri"/>
          <w:szCs w:val="24"/>
        </w:rPr>
        <w:t xml:space="preserve">drive-time accessibility of all full-service proton facilities operational in the </w:t>
      </w:r>
      <w:r w:rsidR="007C4821">
        <w:rPr>
          <w:rFonts w:cs="Calibri"/>
          <w:szCs w:val="24"/>
        </w:rPr>
        <w:t>US</w:t>
      </w:r>
      <w:r w:rsidR="00DF65A9" w:rsidRPr="009F6A3F">
        <w:rPr>
          <w:rFonts w:cs="Calibri"/>
          <w:szCs w:val="24"/>
        </w:rPr>
        <w:t xml:space="preserve"> as of September 2023</w:t>
      </w:r>
      <w:r w:rsidR="003A0C52">
        <w:rPr>
          <w:rFonts w:cs="Calibri"/>
          <w:szCs w:val="24"/>
        </w:rPr>
        <w:t>. The study</w:t>
      </w:r>
      <w:r w:rsidR="00DF65A9">
        <w:rPr>
          <w:rFonts w:cs="Calibri"/>
          <w:szCs w:val="24"/>
        </w:rPr>
        <w:t xml:space="preserve"> </w:t>
      </w:r>
      <w:r w:rsidR="003A0C52">
        <w:rPr>
          <w:rFonts w:cs="Calibri"/>
          <w:szCs w:val="24"/>
        </w:rPr>
        <w:t>findings were</w:t>
      </w:r>
      <w:r w:rsidR="00DF65A9" w:rsidRPr="00F867A8">
        <w:rPr>
          <w:rFonts w:cs="Calibri"/>
          <w:szCs w:val="24"/>
        </w:rPr>
        <w:t xml:space="preserve"> that “Drivetime accessibility presents a substantial barrier to the delivery of PBT at scale for the US population today</w:t>
      </w:r>
      <w:r w:rsidR="00DF65A9">
        <w:rPr>
          <w:rFonts w:cs="Calibri"/>
          <w:szCs w:val="24"/>
        </w:rPr>
        <w:t>,</w:t>
      </w:r>
      <w:r w:rsidR="00DF65A9" w:rsidRPr="00F867A8">
        <w:rPr>
          <w:rFonts w:cs="Calibri"/>
          <w:szCs w:val="24"/>
        </w:rPr>
        <w:t>”</w:t>
      </w:r>
      <w:r w:rsidR="003F4EAE">
        <w:rPr>
          <w:rFonts w:cs="Calibri"/>
          <w:szCs w:val="24"/>
        </w:rPr>
        <w:t xml:space="preserve"> </w:t>
      </w:r>
      <w:r w:rsidR="00DF65A9">
        <w:rPr>
          <w:rFonts w:cs="Calibri"/>
          <w:szCs w:val="24"/>
        </w:rPr>
        <w:t xml:space="preserve">with </w:t>
      </w:r>
      <w:r w:rsidR="00DF65A9" w:rsidRPr="00A81C24">
        <w:rPr>
          <w:rFonts w:cs="Calibri"/>
          <w:szCs w:val="24"/>
        </w:rPr>
        <w:t xml:space="preserve">36.6% of the population living within </w:t>
      </w:r>
      <w:r w:rsidR="00DF65A9">
        <w:rPr>
          <w:rFonts w:cs="Calibri"/>
          <w:szCs w:val="24"/>
        </w:rPr>
        <w:t>one</w:t>
      </w:r>
      <w:r w:rsidR="00DF65A9" w:rsidRPr="00A81C24">
        <w:rPr>
          <w:rFonts w:cs="Calibri"/>
          <w:szCs w:val="24"/>
        </w:rPr>
        <w:t xml:space="preserve"> hour of a currently operating facility, and 16.4%</w:t>
      </w:r>
      <w:r w:rsidR="00DF65A9">
        <w:rPr>
          <w:rFonts w:cs="Calibri"/>
          <w:szCs w:val="24"/>
        </w:rPr>
        <w:t xml:space="preserve"> living </w:t>
      </w:r>
      <w:r w:rsidR="00DF65A9" w:rsidRPr="00A81C24">
        <w:rPr>
          <w:rFonts w:cs="Calibri"/>
          <w:szCs w:val="24"/>
        </w:rPr>
        <w:t xml:space="preserve">at a driving distance of </w:t>
      </w:r>
      <w:r w:rsidR="00DF65A9">
        <w:rPr>
          <w:rFonts w:cs="Calibri"/>
          <w:szCs w:val="24"/>
        </w:rPr>
        <w:t>four</w:t>
      </w:r>
      <w:r w:rsidR="00DF65A9" w:rsidRPr="00A81C24">
        <w:rPr>
          <w:rFonts w:cs="Calibri"/>
          <w:szCs w:val="24"/>
        </w:rPr>
        <w:t xml:space="preserve"> or more hours</w:t>
      </w:r>
      <w:r w:rsidR="00DF65A9">
        <w:rPr>
          <w:rFonts w:cs="Calibri"/>
          <w:szCs w:val="24"/>
        </w:rPr>
        <w:t>.</w:t>
      </w:r>
      <w:r w:rsidR="00DF65A9" w:rsidRPr="0046753A">
        <w:rPr>
          <w:rFonts w:cs="Calibri"/>
          <w:szCs w:val="24"/>
          <w:vertAlign w:val="superscript"/>
        </w:rPr>
        <w:endnoteReference w:id="32"/>
      </w:r>
      <w:r w:rsidR="00DF65A9" w:rsidRPr="0046753A">
        <w:rPr>
          <w:rFonts w:cs="Calibri"/>
          <w:szCs w:val="24"/>
        </w:rPr>
        <w:t xml:space="preserve"> </w:t>
      </w:r>
      <w:r w:rsidR="00DF65A9">
        <w:rPr>
          <w:rFonts w:cs="Calibri"/>
          <w:szCs w:val="24"/>
        </w:rPr>
        <w:t xml:space="preserve">Additionally, access to PBT in the </w:t>
      </w:r>
      <w:r w:rsidR="007C4821">
        <w:rPr>
          <w:rFonts w:cs="Calibri"/>
          <w:szCs w:val="24"/>
        </w:rPr>
        <w:t>US</w:t>
      </w:r>
      <w:r w:rsidR="00DF65A9">
        <w:rPr>
          <w:rFonts w:cs="Calibri"/>
          <w:szCs w:val="24"/>
        </w:rPr>
        <w:t xml:space="preserve"> was found to be inequitable with </w:t>
      </w:r>
      <w:r w:rsidR="00DF65A9" w:rsidRPr="00A04EB6">
        <w:rPr>
          <w:rFonts w:cs="Calibri"/>
          <w:szCs w:val="24"/>
        </w:rPr>
        <w:t xml:space="preserve">individuals aged 65 years and older, </w:t>
      </w:r>
      <w:r w:rsidR="00DF65A9">
        <w:rPr>
          <w:rFonts w:cs="Calibri"/>
          <w:szCs w:val="24"/>
        </w:rPr>
        <w:t xml:space="preserve">those </w:t>
      </w:r>
      <w:r w:rsidR="00DF65A9" w:rsidRPr="00A04EB6">
        <w:rPr>
          <w:rFonts w:cs="Calibri"/>
          <w:szCs w:val="24"/>
        </w:rPr>
        <w:t xml:space="preserve">living below the federal poverty line, and residing in suburban and rural areas at greatest risk of having long commutes (4 hours) to </w:t>
      </w:r>
      <w:r w:rsidR="00DF65A9">
        <w:rPr>
          <w:rFonts w:cs="Calibri"/>
          <w:szCs w:val="24"/>
        </w:rPr>
        <w:t>PBT</w:t>
      </w:r>
      <w:r w:rsidR="00DF65A9" w:rsidRPr="00A04EB6">
        <w:rPr>
          <w:rFonts w:cs="Calibri"/>
          <w:szCs w:val="24"/>
        </w:rPr>
        <w:t xml:space="preserve"> for cancer treatment.</w:t>
      </w:r>
      <w:r w:rsidR="00DF65A9" w:rsidRPr="00A04EB6">
        <w:rPr>
          <w:rFonts w:cs="Calibri"/>
          <w:szCs w:val="24"/>
          <w:vertAlign w:val="superscript"/>
        </w:rPr>
        <w:endnoteReference w:id="33"/>
      </w:r>
      <w:r w:rsidR="00DF65A9" w:rsidRPr="00A04EB6">
        <w:rPr>
          <w:rFonts w:cs="Calibri"/>
          <w:szCs w:val="24"/>
        </w:rPr>
        <w:t xml:space="preserve"> </w:t>
      </w:r>
      <w:r w:rsidR="00DF65A9">
        <w:rPr>
          <w:rFonts w:cs="Calibri"/>
          <w:szCs w:val="24"/>
        </w:rPr>
        <w:t>The study goes on to state that “</w:t>
      </w:r>
      <w:r w:rsidR="00DF65A9" w:rsidRPr="00753431">
        <w:rPr>
          <w:rFonts w:cs="Calibri"/>
          <w:szCs w:val="24"/>
        </w:rPr>
        <w:t>Drivetime accessibility presents a substantial barrier to the delivery of PBT at scale for the US population today. While temporary overnight accommodations near a proton therapy facility are an option, most people with cancer prefer to receive their treatments in a location that allows for continued residence in the home environment.</w:t>
      </w:r>
      <w:r w:rsidR="00DF65A9">
        <w:rPr>
          <w:rFonts w:cs="Calibri"/>
          <w:szCs w:val="24"/>
        </w:rPr>
        <w:t>”</w:t>
      </w:r>
      <w:r w:rsidR="00DF65A9" w:rsidRPr="00753431">
        <w:rPr>
          <w:rFonts w:cs="Calibri"/>
          <w:szCs w:val="24"/>
          <w:vertAlign w:val="superscript"/>
        </w:rPr>
        <w:endnoteReference w:id="34"/>
      </w:r>
      <w:r w:rsidR="006A4B5C">
        <w:rPr>
          <w:rFonts w:cs="Calibri"/>
          <w:szCs w:val="24"/>
        </w:rPr>
        <w:t xml:space="preserve"> Staff note that the study was published </w:t>
      </w:r>
      <w:r w:rsidR="00364CF1">
        <w:rPr>
          <w:rFonts w:cs="Calibri"/>
          <w:szCs w:val="24"/>
        </w:rPr>
        <w:t xml:space="preserve">in May 2024, </w:t>
      </w:r>
      <w:r w:rsidR="006A4B5C">
        <w:rPr>
          <w:rFonts w:cs="Calibri"/>
          <w:szCs w:val="24"/>
        </w:rPr>
        <w:t>before the UMass PBT</w:t>
      </w:r>
      <w:r w:rsidR="00BC1DE9">
        <w:rPr>
          <w:rFonts w:cs="Calibri"/>
          <w:szCs w:val="24"/>
        </w:rPr>
        <w:t xml:space="preserve"> Service</w:t>
      </w:r>
      <w:r w:rsidR="00490725">
        <w:rPr>
          <w:rFonts w:cs="Calibri"/>
          <w:szCs w:val="24"/>
        </w:rPr>
        <w:t xml:space="preserve"> </w:t>
      </w:r>
      <w:r w:rsidR="006A4B5C">
        <w:rPr>
          <w:rFonts w:cs="Calibri"/>
          <w:szCs w:val="24"/>
        </w:rPr>
        <w:t xml:space="preserve">approval in 2025, and </w:t>
      </w:r>
      <w:r w:rsidR="005741FC">
        <w:rPr>
          <w:rFonts w:cs="Calibri"/>
          <w:szCs w:val="24"/>
        </w:rPr>
        <w:t xml:space="preserve">the </w:t>
      </w:r>
      <w:r w:rsidR="00B466AD">
        <w:rPr>
          <w:rFonts w:cs="Calibri"/>
          <w:szCs w:val="24"/>
        </w:rPr>
        <w:t>PBT center approval</w:t>
      </w:r>
      <w:r w:rsidR="00070D66">
        <w:rPr>
          <w:rFonts w:cs="Calibri"/>
          <w:szCs w:val="24"/>
        </w:rPr>
        <w:t>s</w:t>
      </w:r>
      <w:r w:rsidR="00B466AD">
        <w:rPr>
          <w:rFonts w:cs="Calibri"/>
          <w:szCs w:val="24"/>
        </w:rPr>
        <w:t xml:space="preserve"> in Johnston Rhode Island</w:t>
      </w:r>
      <w:r w:rsidR="00682D6D">
        <w:rPr>
          <w:rFonts w:cs="Calibri"/>
          <w:szCs w:val="24"/>
        </w:rPr>
        <w:t xml:space="preserve"> (2024), and </w:t>
      </w:r>
      <w:r w:rsidR="00A34D40">
        <w:rPr>
          <w:rFonts w:cs="Calibri"/>
          <w:szCs w:val="24"/>
        </w:rPr>
        <w:t>Danbury</w:t>
      </w:r>
      <w:r w:rsidR="00314CCE">
        <w:rPr>
          <w:rFonts w:cs="Calibri"/>
          <w:szCs w:val="24"/>
        </w:rPr>
        <w:t xml:space="preserve"> Connecticut</w:t>
      </w:r>
      <w:r w:rsidR="00186244">
        <w:rPr>
          <w:rFonts w:cs="Calibri"/>
          <w:szCs w:val="24"/>
        </w:rPr>
        <w:t xml:space="preserve"> (2025)</w:t>
      </w:r>
      <w:r w:rsidR="00314CCE">
        <w:rPr>
          <w:rFonts w:cs="Calibri"/>
          <w:szCs w:val="24"/>
        </w:rPr>
        <w:t xml:space="preserve">. </w:t>
      </w:r>
    </w:p>
    <w:p w14:paraId="55B99537" w14:textId="77777777" w:rsidR="00F26732" w:rsidRDefault="00F26732" w:rsidP="000476DE">
      <w:pPr>
        <w:rPr>
          <w:rFonts w:cs="Calibri"/>
          <w:szCs w:val="24"/>
        </w:rPr>
      </w:pPr>
    </w:p>
    <w:p w14:paraId="39A02197" w14:textId="41FCCF37" w:rsidR="0075400C" w:rsidRDefault="006B49DA" w:rsidP="001769C6">
      <w:pPr>
        <w:pStyle w:val="ListParagraph"/>
        <w:numPr>
          <w:ilvl w:val="0"/>
          <w:numId w:val="68"/>
        </w:numPr>
        <w:rPr>
          <w:bCs/>
          <w:i/>
          <w:iCs/>
        </w:rPr>
      </w:pPr>
      <w:r w:rsidRPr="006B49DA">
        <w:rPr>
          <w:bCs/>
          <w:i/>
          <w:iCs/>
        </w:rPr>
        <w:t xml:space="preserve">Unmet </w:t>
      </w:r>
      <w:r w:rsidR="006B2E0C" w:rsidRPr="006B49DA">
        <w:rPr>
          <w:bCs/>
          <w:i/>
          <w:iCs/>
        </w:rPr>
        <w:t xml:space="preserve">Need for PBT </w:t>
      </w:r>
      <w:r w:rsidR="006B2E0C">
        <w:rPr>
          <w:bCs/>
          <w:i/>
          <w:iCs/>
        </w:rPr>
        <w:t xml:space="preserve">in the Applicant’s </w:t>
      </w:r>
      <w:r w:rsidR="00162F4C">
        <w:rPr>
          <w:bCs/>
          <w:i/>
          <w:iCs/>
        </w:rPr>
        <w:t xml:space="preserve">Patient Panel </w:t>
      </w:r>
    </w:p>
    <w:p w14:paraId="385289C6" w14:textId="65A438E0" w:rsidR="00920E4F" w:rsidRDefault="00624909" w:rsidP="5706BF88">
      <w:pPr>
        <w:rPr>
          <w:rFonts w:asciiTheme="minorHAnsi" w:hAnsiTheme="minorHAnsi"/>
        </w:rPr>
      </w:pPr>
      <w:r w:rsidRPr="5706BF88">
        <w:rPr>
          <w:rFonts w:asciiTheme="minorHAnsi" w:hAnsiTheme="minorHAnsi"/>
        </w:rPr>
        <w:t xml:space="preserve">The Applicant estimated its Patient Panel need for PBT, and states that current limited access to PBT in Massachusetts is not sufficient to meet </w:t>
      </w:r>
      <w:r w:rsidR="00657FA6" w:rsidRPr="5706BF88">
        <w:rPr>
          <w:rFonts w:asciiTheme="minorHAnsi" w:hAnsiTheme="minorHAnsi"/>
        </w:rPr>
        <w:t>the needs of its Patient Panel</w:t>
      </w:r>
      <w:r w:rsidRPr="5706BF88">
        <w:rPr>
          <w:rFonts w:asciiTheme="minorHAnsi" w:hAnsiTheme="minorHAnsi"/>
        </w:rPr>
        <w:t xml:space="preserve">. </w:t>
      </w:r>
      <w:r w:rsidR="00920E4F" w:rsidRPr="5706BF88">
        <w:rPr>
          <w:rFonts w:asciiTheme="minorHAnsi" w:hAnsiTheme="minorHAnsi"/>
        </w:rPr>
        <w:t xml:space="preserve">To estimate Patient Panel need for </w:t>
      </w:r>
      <w:r w:rsidR="00DE2021" w:rsidRPr="5706BF88">
        <w:rPr>
          <w:rFonts w:asciiTheme="minorHAnsi" w:hAnsiTheme="minorHAnsi"/>
        </w:rPr>
        <w:t>PBT</w:t>
      </w:r>
      <w:r w:rsidR="00920E4F" w:rsidRPr="5706BF88">
        <w:rPr>
          <w:rFonts w:asciiTheme="minorHAnsi" w:hAnsiTheme="minorHAnsi"/>
        </w:rPr>
        <w:t xml:space="preserve">, the Applicant </w:t>
      </w:r>
      <w:r w:rsidR="00073506">
        <w:rPr>
          <w:rFonts w:asciiTheme="minorHAnsi" w:hAnsiTheme="minorHAnsi"/>
        </w:rPr>
        <w:t>started</w:t>
      </w:r>
      <w:r w:rsidR="00A02184">
        <w:rPr>
          <w:rFonts w:asciiTheme="minorHAnsi" w:hAnsiTheme="minorHAnsi"/>
        </w:rPr>
        <w:t xml:space="preserve"> </w:t>
      </w:r>
      <w:r w:rsidR="00EB3D60">
        <w:rPr>
          <w:rFonts w:asciiTheme="minorHAnsi" w:hAnsiTheme="minorHAnsi"/>
        </w:rPr>
        <w:t xml:space="preserve">with </w:t>
      </w:r>
      <w:r w:rsidR="009262E5" w:rsidRPr="5706BF88">
        <w:rPr>
          <w:rFonts w:asciiTheme="minorHAnsi" w:hAnsiTheme="minorHAnsi"/>
        </w:rPr>
        <w:t>historical data f</w:t>
      </w:r>
      <w:r w:rsidR="00F43DD8" w:rsidRPr="5706BF88">
        <w:rPr>
          <w:rFonts w:asciiTheme="minorHAnsi" w:hAnsiTheme="minorHAnsi"/>
        </w:rPr>
        <w:t>rom</w:t>
      </w:r>
      <w:r w:rsidR="009262E5" w:rsidRPr="5706BF88">
        <w:rPr>
          <w:rFonts w:asciiTheme="minorHAnsi" w:hAnsiTheme="minorHAnsi"/>
        </w:rPr>
        <w:t xml:space="preserve"> </w:t>
      </w:r>
      <w:r w:rsidR="00065AAD" w:rsidRPr="5706BF88">
        <w:rPr>
          <w:rFonts w:asciiTheme="minorHAnsi" w:hAnsiTheme="minorHAnsi"/>
        </w:rPr>
        <w:t>N</w:t>
      </w:r>
      <w:r w:rsidR="009262E5" w:rsidRPr="5706BF88">
        <w:rPr>
          <w:rFonts w:asciiTheme="minorHAnsi" w:hAnsiTheme="minorHAnsi"/>
        </w:rPr>
        <w:t xml:space="preserve">ew </w:t>
      </w:r>
      <w:r w:rsidR="00065AAD" w:rsidRPr="5706BF88">
        <w:rPr>
          <w:rFonts w:asciiTheme="minorHAnsi" w:hAnsiTheme="minorHAnsi"/>
        </w:rPr>
        <w:t>P</w:t>
      </w:r>
      <w:r w:rsidR="009262E5" w:rsidRPr="5706BF88">
        <w:rPr>
          <w:rFonts w:asciiTheme="minorHAnsi" w:hAnsiTheme="minorHAnsi"/>
        </w:rPr>
        <w:t xml:space="preserve">atient </w:t>
      </w:r>
      <w:r w:rsidR="00065AAD" w:rsidRPr="5706BF88">
        <w:rPr>
          <w:rFonts w:asciiTheme="minorHAnsi" w:hAnsiTheme="minorHAnsi"/>
        </w:rPr>
        <w:t>C</w:t>
      </w:r>
      <w:r w:rsidR="009262E5" w:rsidRPr="5706BF88">
        <w:rPr>
          <w:rFonts w:asciiTheme="minorHAnsi" w:hAnsiTheme="minorHAnsi"/>
        </w:rPr>
        <w:t>onsults by disease area</w:t>
      </w:r>
      <w:r w:rsidR="006A6663">
        <w:rPr>
          <w:rFonts w:asciiTheme="minorHAnsi" w:hAnsiTheme="minorHAnsi"/>
        </w:rPr>
        <w:t xml:space="preserve">. </w:t>
      </w:r>
      <w:r w:rsidR="006A6663" w:rsidRPr="006A6663">
        <w:rPr>
          <w:rFonts w:asciiTheme="minorHAnsi" w:hAnsiTheme="minorHAnsi"/>
        </w:rPr>
        <w:t xml:space="preserve">This is shown in Table 8. </w:t>
      </w:r>
      <w:r w:rsidR="006A6663">
        <w:rPr>
          <w:rFonts w:asciiTheme="minorHAnsi" w:hAnsiTheme="minorHAnsi"/>
        </w:rPr>
        <w:t xml:space="preserve">The Applicant then applied a methodology to determine </w:t>
      </w:r>
      <w:r w:rsidR="00A02184">
        <w:rPr>
          <w:rFonts w:asciiTheme="minorHAnsi" w:hAnsiTheme="minorHAnsi"/>
        </w:rPr>
        <w:t>New Patient Consult eligibility</w:t>
      </w:r>
      <w:r w:rsidR="006A6663">
        <w:rPr>
          <w:rFonts w:asciiTheme="minorHAnsi" w:hAnsiTheme="minorHAnsi"/>
        </w:rPr>
        <w:t xml:space="preserve"> for PBT</w:t>
      </w:r>
      <w:r w:rsidR="009262E5" w:rsidRPr="5706BF88">
        <w:rPr>
          <w:rFonts w:asciiTheme="minorHAnsi" w:hAnsiTheme="minorHAnsi"/>
        </w:rPr>
        <w:t>.</w:t>
      </w:r>
      <w:r w:rsidR="006A6663">
        <w:rPr>
          <w:rFonts w:asciiTheme="minorHAnsi" w:hAnsiTheme="minorHAnsi"/>
        </w:rPr>
        <w:t xml:space="preserve"> This is discussed </w:t>
      </w:r>
      <w:r w:rsidR="00A02184">
        <w:rPr>
          <w:rFonts w:asciiTheme="minorHAnsi" w:hAnsiTheme="minorHAnsi"/>
        </w:rPr>
        <w:t>in more detail</w:t>
      </w:r>
      <w:r w:rsidR="006A6663">
        <w:rPr>
          <w:rFonts w:asciiTheme="minorHAnsi" w:hAnsiTheme="minorHAnsi"/>
        </w:rPr>
        <w:t xml:space="preserve"> below.</w:t>
      </w:r>
      <w:r w:rsidR="00065AAD" w:rsidRPr="5706BF88">
        <w:rPr>
          <w:rFonts w:asciiTheme="minorHAnsi" w:hAnsiTheme="minorHAnsi"/>
        </w:rPr>
        <w:t xml:space="preserve"> </w:t>
      </w:r>
    </w:p>
    <w:p w14:paraId="282BC732" w14:textId="77777777" w:rsidR="00395C28" w:rsidRDefault="00395C28" w:rsidP="00BA2054">
      <w:pPr>
        <w:rPr>
          <w:rFonts w:asciiTheme="minorHAnsi" w:hAnsiTheme="minorHAnsi"/>
          <w:szCs w:val="24"/>
        </w:rPr>
      </w:pPr>
    </w:p>
    <w:p w14:paraId="217E1FA8" w14:textId="37F34B4F" w:rsidR="00EB33F5" w:rsidRPr="0091081F" w:rsidRDefault="00EB33F5" w:rsidP="00BA2054">
      <w:pPr>
        <w:rPr>
          <w:rFonts w:asciiTheme="minorHAnsi" w:hAnsiTheme="minorHAnsi"/>
          <w:b/>
          <w:bCs/>
          <w:szCs w:val="24"/>
        </w:rPr>
      </w:pPr>
      <w:r w:rsidRPr="0091081F">
        <w:rPr>
          <w:rFonts w:asciiTheme="minorHAnsi" w:hAnsiTheme="minorHAnsi"/>
          <w:b/>
          <w:bCs/>
          <w:szCs w:val="24"/>
          <w:u w:val="single"/>
        </w:rPr>
        <w:t xml:space="preserve">Table </w:t>
      </w:r>
      <w:r w:rsidR="007F57F0">
        <w:rPr>
          <w:rFonts w:asciiTheme="minorHAnsi" w:hAnsiTheme="minorHAnsi"/>
          <w:b/>
          <w:bCs/>
          <w:szCs w:val="24"/>
          <w:u w:val="single"/>
        </w:rPr>
        <w:t>8</w:t>
      </w:r>
      <w:r w:rsidR="0091081F" w:rsidRPr="0091081F">
        <w:rPr>
          <w:rFonts w:asciiTheme="minorHAnsi" w:hAnsiTheme="minorHAnsi"/>
          <w:b/>
          <w:bCs/>
          <w:szCs w:val="24"/>
        </w:rPr>
        <w:t>: DFCI New Patient Consult Volume</w:t>
      </w:r>
      <w:r w:rsidR="0091081F">
        <w:rPr>
          <w:rFonts w:asciiTheme="minorHAnsi" w:hAnsiTheme="minorHAnsi"/>
          <w:b/>
          <w:bCs/>
          <w:szCs w:val="24"/>
        </w:rPr>
        <w:t>, FY22 to FY24</w:t>
      </w:r>
      <w:r w:rsidR="00257628">
        <w:rPr>
          <w:rStyle w:val="FootnoteReference"/>
          <w:rFonts w:asciiTheme="minorHAnsi" w:hAnsiTheme="minorHAnsi"/>
          <w:b/>
          <w:bCs/>
          <w:szCs w:val="24"/>
        </w:rPr>
        <w:footnoteReference w:id="26"/>
      </w:r>
      <w:r w:rsidR="0091081F">
        <w:rPr>
          <w:rFonts w:asciiTheme="minorHAnsi" w:hAnsiTheme="minorHAnsi"/>
          <w:b/>
          <w:bC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1100"/>
        <w:gridCol w:w="1234"/>
        <w:gridCol w:w="1101"/>
        <w:gridCol w:w="1234"/>
        <w:gridCol w:w="1101"/>
        <w:gridCol w:w="1234"/>
      </w:tblGrid>
      <w:tr w:rsidR="00EB33F5" w:rsidRPr="00617F96" w14:paraId="2FB8D306" w14:textId="77777777" w:rsidTr="006858CF">
        <w:trPr>
          <w:cantSplit/>
          <w:trHeight w:val="290"/>
          <w:tblHeader/>
        </w:trPr>
        <w:tc>
          <w:tcPr>
            <w:tcW w:w="0" w:type="auto"/>
            <w:noWrap/>
            <w:vAlign w:val="bottom"/>
            <w:hideMark/>
          </w:tcPr>
          <w:p w14:paraId="5E00FF2D" w14:textId="77777777" w:rsidR="00EB33F5" w:rsidRPr="00617F96" w:rsidRDefault="00EB33F5" w:rsidP="00EB33F5">
            <w:pPr>
              <w:widowControl/>
              <w:autoSpaceDE/>
              <w:autoSpaceDN/>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 </w:t>
            </w:r>
          </w:p>
        </w:tc>
        <w:tc>
          <w:tcPr>
            <w:tcW w:w="0" w:type="auto"/>
            <w:shd w:val="clear" w:color="auto" w:fill="DBE5F1" w:themeFill="accent1" w:themeFillTint="33"/>
            <w:noWrap/>
            <w:vAlign w:val="bottom"/>
            <w:hideMark/>
          </w:tcPr>
          <w:p w14:paraId="674A3CAF" w14:textId="77777777" w:rsidR="00EB33F5" w:rsidRPr="00617F96" w:rsidRDefault="00EB33F5" w:rsidP="0091081F">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FY22 Count</w:t>
            </w:r>
          </w:p>
        </w:tc>
        <w:tc>
          <w:tcPr>
            <w:tcW w:w="0" w:type="auto"/>
            <w:shd w:val="clear" w:color="auto" w:fill="DBE5F1" w:themeFill="accent1" w:themeFillTint="33"/>
            <w:noWrap/>
            <w:vAlign w:val="bottom"/>
            <w:hideMark/>
          </w:tcPr>
          <w:p w14:paraId="2606EF86" w14:textId="77777777" w:rsidR="00EB33F5" w:rsidRPr="00617F96" w:rsidRDefault="00EB33F5" w:rsidP="0091081F">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FY22 Percent</w:t>
            </w:r>
          </w:p>
        </w:tc>
        <w:tc>
          <w:tcPr>
            <w:tcW w:w="0" w:type="auto"/>
            <w:shd w:val="clear" w:color="auto" w:fill="DBE5F1" w:themeFill="accent1" w:themeFillTint="33"/>
            <w:noWrap/>
            <w:vAlign w:val="bottom"/>
            <w:hideMark/>
          </w:tcPr>
          <w:p w14:paraId="731FBB5F" w14:textId="77777777" w:rsidR="00EB33F5" w:rsidRPr="00617F96" w:rsidRDefault="00EB33F5" w:rsidP="0091081F">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FY23 Count</w:t>
            </w:r>
          </w:p>
        </w:tc>
        <w:tc>
          <w:tcPr>
            <w:tcW w:w="0" w:type="auto"/>
            <w:shd w:val="clear" w:color="auto" w:fill="DBE5F1" w:themeFill="accent1" w:themeFillTint="33"/>
            <w:noWrap/>
            <w:vAlign w:val="bottom"/>
            <w:hideMark/>
          </w:tcPr>
          <w:p w14:paraId="23642798" w14:textId="77777777" w:rsidR="00EB33F5" w:rsidRPr="00617F96" w:rsidRDefault="00EB33F5" w:rsidP="0091081F">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FY23 Percent</w:t>
            </w:r>
          </w:p>
        </w:tc>
        <w:tc>
          <w:tcPr>
            <w:tcW w:w="0" w:type="auto"/>
            <w:shd w:val="clear" w:color="auto" w:fill="DBE5F1" w:themeFill="accent1" w:themeFillTint="33"/>
            <w:noWrap/>
            <w:vAlign w:val="bottom"/>
            <w:hideMark/>
          </w:tcPr>
          <w:p w14:paraId="544FC444" w14:textId="77777777" w:rsidR="00EB33F5" w:rsidRPr="00617F96" w:rsidRDefault="00EB33F5" w:rsidP="0091081F">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FY24 Count</w:t>
            </w:r>
          </w:p>
        </w:tc>
        <w:tc>
          <w:tcPr>
            <w:tcW w:w="0" w:type="auto"/>
            <w:shd w:val="clear" w:color="auto" w:fill="DBE5F1" w:themeFill="accent1" w:themeFillTint="33"/>
            <w:noWrap/>
            <w:vAlign w:val="bottom"/>
            <w:hideMark/>
          </w:tcPr>
          <w:p w14:paraId="13293A93" w14:textId="77777777" w:rsidR="00EB33F5" w:rsidRPr="00617F96" w:rsidRDefault="00EB33F5" w:rsidP="0091081F">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FY24 Percent</w:t>
            </w:r>
          </w:p>
        </w:tc>
      </w:tr>
      <w:tr w:rsidR="00EB33F5" w:rsidRPr="00617F96" w14:paraId="02DBCDE6" w14:textId="77777777" w:rsidTr="006858CF">
        <w:trPr>
          <w:cantSplit/>
          <w:trHeight w:val="290"/>
        </w:trPr>
        <w:tc>
          <w:tcPr>
            <w:tcW w:w="0" w:type="auto"/>
            <w:shd w:val="clear" w:color="auto" w:fill="FFFFFF" w:themeFill="background1"/>
            <w:noWrap/>
            <w:vAlign w:val="bottom"/>
            <w:hideMark/>
          </w:tcPr>
          <w:p w14:paraId="40D27586" w14:textId="02F51C57" w:rsidR="00EB33F5" w:rsidRPr="00617F96" w:rsidRDefault="00EB33F5" w:rsidP="00EB33F5">
            <w:pPr>
              <w:widowControl/>
              <w:autoSpaceDE/>
              <w:autoSpaceDN/>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Medical Oncology Regional Sites</w:t>
            </w:r>
            <w:r w:rsidR="0075004F" w:rsidRPr="00617F96">
              <w:rPr>
                <w:rStyle w:val="FootnoteReference"/>
                <w:rFonts w:asciiTheme="minorHAnsi" w:eastAsia="Times New Roman" w:hAnsiTheme="minorHAnsi"/>
                <w:color w:val="000000"/>
                <w:sz w:val="22"/>
                <w:szCs w:val="22"/>
              </w:rPr>
              <w:footnoteReference w:id="27"/>
            </w:r>
          </w:p>
        </w:tc>
        <w:tc>
          <w:tcPr>
            <w:tcW w:w="0" w:type="auto"/>
            <w:noWrap/>
            <w:vAlign w:val="bottom"/>
            <w:hideMark/>
          </w:tcPr>
          <w:p w14:paraId="64F368A0"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10,795</w:t>
            </w:r>
          </w:p>
        </w:tc>
        <w:tc>
          <w:tcPr>
            <w:tcW w:w="0" w:type="auto"/>
            <w:noWrap/>
            <w:vAlign w:val="bottom"/>
            <w:hideMark/>
          </w:tcPr>
          <w:p w14:paraId="69019EE2"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28.8%</w:t>
            </w:r>
          </w:p>
        </w:tc>
        <w:tc>
          <w:tcPr>
            <w:tcW w:w="0" w:type="auto"/>
            <w:noWrap/>
            <w:vAlign w:val="bottom"/>
            <w:hideMark/>
          </w:tcPr>
          <w:p w14:paraId="7E393F5B"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11,224</w:t>
            </w:r>
          </w:p>
        </w:tc>
        <w:tc>
          <w:tcPr>
            <w:tcW w:w="0" w:type="auto"/>
            <w:noWrap/>
            <w:vAlign w:val="bottom"/>
            <w:hideMark/>
          </w:tcPr>
          <w:p w14:paraId="75407E8A"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28.6%</w:t>
            </w:r>
          </w:p>
        </w:tc>
        <w:tc>
          <w:tcPr>
            <w:tcW w:w="0" w:type="auto"/>
            <w:noWrap/>
            <w:vAlign w:val="bottom"/>
            <w:hideMark/>
          </w:tcPr>
          <w:p w14:paraId="46437755"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11,178</w:t>
            </w:r>
          </w:p>
        </w:tc>
        <w:tc>
          <w:tcPr>
            <w:tcW w:w="0" w:type="auto"/>
            <w:noWrap/>
            <w:vAlign w:val="bottom"/>
            <w:hideMark/>
          </w:tcPr>
          <w:p w14:paraId="2545D3D1"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27.7%</w:t>
            </w:r>
          </w:p>
        </w:tc>
      </w:tr>
      <w:tr w:rsidR="00EB33F5" w:rsidRPr="00617F96" w14:paraId="669143D8" w14:textId="77777777" w:rsidTr="006858CF">
        <w:trPr>
          <w:cantSplit/>
          <w:trHeight w:val="290"/>
        </w:trPr>
        <w:tc>
          <w:tcPr>
            <w:tcW w:w="0" w:type="auto"/>
            <w:noWrap/>
            <w:vAlign w:val="bottom"/>
            <w:hideMark/>
          </w:tcPr>
          <w:p w14:paraId="4576A348" w14:textId="77777777" w:rsidR="00EB33F5" w:rsidRPr="00617F96" w:rsidRDefault="00EB33F5" w:rsidP="00EB33F5">
            <w:pPr>
              <w:widowControl/>
              <w:autoSpaceDE/>
              <w:autoSpaceDN/>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lastRenderedPageBreak/>
              <w:t>Breast Oncology Center</w:t>
            </w:r>
          </w:p>
        </w:tc>
        <w:tc>
          <w:tcPr>
            <w:tcW w:w="0" w:type="auto"/>
            <w:noWrap/>
            <w:vAlign w:val="bottom"/>
            <w:hideMark/>
          </w:tcPr>
          <w:p w14:paraId="7362D9DF"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4,821</w:t>
            </w:r>
          </w:p>
        </w:tc>
        <w:tc>
          <w:tcPr>
            <w:tcW w:w="0" w:type="auto"/>
            <w:noWrap/>
            <w:vAlign w:val="bottom"/>
            <w:hideMark/>
          </w:tcPr>
          <w:p w14:paraId="324D3341"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12.9%</w:t>
            </w:r>
          </w:p>
        </w:tc>
        <w:tc>
          <w:tcPr>
            <w:tcW w:w="0" w:type="auto"/>
            <w:noWrap/>
            <w:vAlign w:val="bottom"/>
            <w:hideMark/>
          </w:tcPr>
          <w:p w14:paraId="56B4062D"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4,840</w:t>
            </w:r>
          </w:p>
        </w:tc>
        <w:tc>
          <w:tcPr>
            <w:tcW w:w="0" w:type="auto"/>
            <w:noWrap/>
            <w:vAlign w:val="bottom"/>
            <w:hideMark/>
          </w:tcPr>
          <w:p w14:paraId="535DC3B7"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12.3%</w:t>
            </w:r>
          </w:p>
        </w:tc>
        <w:tc>
          <w:tcPr>
            <w:tcW w:w="0" w:type="auto"/>
            <w:noWrap/>
            <w:vAlign w:val="bottom"/>
            <w:hideMark/>
          </w:tcPr>
          <w:p w14:paraId="4F2A1560"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5,003</w:t>
            </w:r>
          </w:p>
        </w:tc>
        <w:tc>
          <w:tcPr>
            <w:tcW w:w="0" w:type="auto"/>
            <w:noWrap/>
            <w:vAlign w:val="bottom"/>
            <w:hideMark/>
          </w:tcPr>
          <w:p w14:paraId="1C82F22C"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12.4%</w:t>
            </w:r>
          </w:p>
        </w:tc>
      </w:tr>
      <w:tr w:rsidR="00EB33F5" w:rsidRPr="00617F96" w14:paraId="693546F6" w14:textId="77777777" w:rsidTr="006858CF">
        <w:trPr>
          <w:cantSplit/>
          <w:trHeight w:val="290"/>
        </w:trPr>
        <w:tc>
          <w:tcPr>
            <w:tcW w:w="0" w:type="auto"/>
            <w:noWrap/>
            <w:vAlign w:val="bottom"/>
            <w:hideMark/>
          </w:tcPr>
          <w:p w14:paraId="6DE4A8B5" w14:textId="77777777" w:rsidR="00EB33F5" w:rsidRPr="00617F96" w:rsidRDefault="00EB33F5" w:rsidP="00EB33F5">
            <w:pPr>
              <w:widowControl/>
              <w:autoSpaceDE/>
              <w:autoSpaceDN/>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Gastrointestinal Oncology</w:t>
            </w:r>
          </w:p>
        </w:tc>
        <w:tc>
          <w:tcPr>
            <w:tcW w:w="0" w:type="auto"/>
            <w:noWrap/>
            <w:vAlign w:val="bottom"/>
            <w:hideMark/>
          </w:tcPr>
          <w:p w14:paraId="78290F87"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3,789</w:t>
            </w:r>
          </w:p>
        </w:tc>
        <w:tc>
          <w:tcPr>
            <w:tcW w:w="0" w:type="auto"/>
            <w:noWrap/>
            <w:vAlign w:val="bottom"/>
            <w:hideMark/>
          </w:tcPr>
          <w:p w14:paraId="5A459DE9"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10.1%</w:t>
            </w:r>
          </w:p>
        </w:tc>
        <w:tc>
          <w:tcPr>
            <w:tcW w:w="0" w:type="auto"/>
            <w:noWrap/>
            <w:vAlign w:val="bottom"/>
            <w:hideMark/>
          </w:tcPr>
          <w:p w14:paraId="3BC7D4D4"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3,763</w:t>
            </w:r>
          </w:p>
        </w:tc>
        <w:tc>
          <w:tcPr>
            <w:tcW w:w="0" w:type="auto"/>
            <w:noWrap/>
            <w:vAlign w:val="bottom"/>
            <w:hideMark/>
          </w:tcPr>
          <w:p w14:paraId="7C3C930B"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9.6%</w:t>
            </w:r>
          </w:p>
        </w:tc>
        <w:tc>
          <w:tcPr>
            <w:tcW w:w="0" w:type="auto"/>
            <w:noWrap/>
            <w:vAlign w:val="bottom"/>
            <w:hideMark/>
          </w:tcPr>
          <w:p w14:paraId="3AE1F885"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4,013</w:t>
            </w:r>
          </w:p>
        </w:tc>
        <w:tc>
          <w:tcPr>
            <w:tcW w:w="0" w:type="auto"/>
            <w:noWrap/>
            <w:vAlign w:val="bottom"/>
            <w:hideMark/>
          </w:tcPr>
          <w:p w14:paraId="0A07D2F9"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9.9%</w:t>
            </w:r>
          </w:p>
        </w:tc>
      </w:tr>
      <w:tr w:rsidR="00EB33F5" w:rsidRPr="00617F96" w14:paraId="41A9F49C" w14:textId="77777777" w:rsidTr="006858CF">
        <w:trPr>
          <w:cantSplit/>
          <w:trHeight w:val="290"/>
        </w:trPr>
        <w:tc>
          <w:tcPr>
            <w:tcW w:w="0" w:type="auto"/>
            <w:noWrap/>
            <w:vAlign w:val="bottom"/>
            <w:hideMark/>
          </w:tcPr>
          <w:p w14:paraId="3BF04786" w14:textId="77777777" w:rsidR="00EB33F5" w:rsidRPr="00617F96" w:rsidRDefault="00EB33F5" w:rsidP="00EB33F5">
            <w:pPr>
              <w:widowControl/>
              <w:autoSpaceDE/>
              <w:autoSpaceDN/>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Genitourinary Oncology</w:t>
            </w:r>
          </w:p>
        </w:tc>
        <w:tc>
          <w:tcPr>
            <w:tcW w:w="0" w:type="auto"/>
            <w:noWrap/>
            <w:vAlign w:val="bottom"/>
            <w:hideMark/>
          </w:tcPr>
          <w:p w14:paraId="0BF4B8B3"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3,033</w:t>
            </w:r>
          </w:p>
        </w:tc>
        <w:tc>
          <w:tcPr>
            <w:tcW w:w="0" w:type="auto"/>
            <w:noWrap/>
            <w:vAlign w:val="bottom"/>
            <w:hideMark/>
          </w:tcPr>
          <w:p w14:paraId="465E5669"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8.1%</w:t>
            </w:r>
          </w:p>
        </w:tc>
        <w:tc>
          <w:tcPr>
            <w:tcW w:w="0" w:type="auto"/>
            <w:noWrap/>
            <w:vAlign w:val="bottom"/>
            <w:hideMark/>
          </w:tcPr>
          <w:p w14:paraId="2C25DA81"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3,568</w:t>
            </w:r>
          </w:p>
        </w:tc>
        <w:tc>
          <w:tcPr>
            <w:tcW w:w="0" w:type="auto"/>
            <w:noWrap/>
            <w:vAlign w:val="bottom"/>
            <w:hideMark/>
          </w:tcPr>
          <w:p w14:paraId="433C50F8"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9.1%</w:t>
            </w:r>
          </w:p>
        </w:tc>
        <w:tc>
          <w:tcPr>
            <w:tcW w:w="0" w:type="auto"/>
            <w:noWrap/>
            <w:vAlign w:val="bottom"/>
            <w:hideMark/>
          </w:tcPr>
          <w:p w14:paraId="7BFB0638"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3,901</w:t>
            </w:r>
          </w:p>
        </w:tc>
        <w:tc>
          <w:tcPr>
            <w:tcW w:w="0" w:type="auto"/>
            <w:noWrap/>
            <w:vAlign w:val="bottom"/>
            <w:hideMark/>
          </w:tcPr>
          <w:p w14:paraId="682A8129"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9.7%</w:t>
            </w:r>
          </w:p>
        </w:tc>
      </w:tr>
      <w:tr w:rsidR="00EB33F5" w:rsidRPr="00617F96" w14:paraId="4C1A9A8A" w14:textId="77777777" w:rsidTr="006858CF">
        <w:trPr>
          <w:cantSplit/>
          <w:trHeight w:val="290"/>
        </w:trPr>
        <w:tc>
          <w:tcPr>
            <w:tcW w:w="0" w:type="auto"/>
            <w:noWrap/>
            <w:vAlign w:val="bottom"/>
            <w:hideMark/>
          </w:tcPr>
          <w:p w14:paraId="3019E209" w14:textId="77777777" w:rsidR="00EB33F5" w:rsidRPr="00617F96" w:rsidRDefault="00EB33F5" w:rsidP="00EB33F5">
            <w:pPr>
              <w:widowControl/>
              <w:autoSpaceDE/>
              <w:autoSpaceDN/>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Thoracic Oncology Program</w:t>
            </w:r>
          </w:p>
        </w:tc>
        <w:tc>
          <w:tcPr>
            <w:tcW w:w="0" w:type="auto"/>
            <w:noWrap/>
            <w:vAlign w:val="bottom"/>
            <w:hideMark/>
          </w:tcPr>
          <w:p w14:paraId="6C01332E"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2,111</w:t>
            </w:r>
          </w:p>
        </w:tc>
        <w:tc>
          <w:tcPr>
            <w:tcW w:w="0" w:type="auto"/>
            <w:noWrap/>
            <w:vAlign w:val="bottom"/>
            <w:hideMark/>
          </w:tcPr>
          <w:p w14:paraId="05156998"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5.6%</w:t>
            </w:r>
          </w:p>
        </w:tc>
        <w:tc>
          <w:tcPr>
            <w:tcW w:w="0" w:type="auto"/>
            <w:noWrap/>
            <w:vAlign w:val="bottom"/>
            <w:hideMark/>
          </w:tcPr>
          <w:p w14:paraId="2180A5B1"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2,225</w:t>
            </w:r>
          </w:p>
        </w:tc>
        <w:tc>
          <w:tcPr>
            <w:tcW w:w="0" w:type="auto"/>
            <w:noWrap/>
            <w:vAlign w:val="bottom"/>
            <w:hideMark/>
          </w:tcPr>
          <w:p w14:paraId="5F6136FD"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5.7%</w:t>
            </w:r>
          </w:p>
        </w:tc>
        <w:tc>
          <w:tcPr>
            <w:tcW w:w="0" w:type="auto"/>
            <w:noWrap/>
            <w:vAlign w:val="bottom"/>
            <w:hideMark/>
          </w:tcPr>
          <w:p w14:paraId="2F8770E3"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2,297</w:t>
            </w:r>
          </w:p>
        </w:tc>
        <w:tc>
          <w:tcPr>
            <w:tcW w:w="0" w:type="auto"/>
            <w:noWrap/>
            <w:vAlign w:val="bottom"/>
            <w:hideMark/>
          </w:tcPr>
          <w:p w14:paraId="7A027A4B"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5.7%</w:t>
            </w:r>
          </w:p>
        </w:tc>
      </w:tr>
      <w:tr w:rsidR="00EB33F5" w:rsidRPr="00617F96" w14:paraId="60878AC0" w14:textId="77777777" w:rsidTr="006858CF">
        <w:trPr>
          <w:cantSplit/>
          <w:trHeight w:val="290"/>
        </w:trPr>
        <w:tc>
          <w:tcPr>
            <w:tcW w:w="0" w:type="auto"/>
            <w:noWrap/>
            <w:vAlign w:val="bottom"/>
            <w:hideMark/>
          </w:tcPr>
          <w:p w14:paraId="33A76D63" w14:textId="77777777" w:rsidR="00EB33F5" w:rsidRPr="00617F96" w:rsidRDefault="00EB33F5" w:rsidP="00EB33F5">
            <w:pPr>
              <w:widowControl/>
              <w:autoSpaceDE/>
              <w:autoSpaceDN/>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Gynecological Oncology</w:t>
            </w:r>
          </w:p>
        </w:tc>
        <w:tc>
          <w:tcPr>
            <w:tcW w:w="0" w:type="auto"/>
            <w:noWrap/>
            <w:vAlign w:val="bottom"/>
            <w:hideMark/>
          </w:tcPr>
          <w:p w14:paraId="391C2CDB"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1,911</w:t>
            </w:r>
          </w:p>
        </w:tc>
        <w:tc>
          <w:tcPr>
            <w:tcW w:w="0" w:type="auto"/>
            <w:noWrap/>
            <w:vAlign w:val="bottom"/>
            <w:hideMark/>
          </w:tcPr>
          <w:p w14:paraId="08F1A8C0"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5.1%</w:t>
            </w:r>
          </w:p>
        </w:tc>
        <w:tc>
          <w:tcPr>
            <w:tcW w:w="0" w:type="auto"/>
            <w:noWrap/>
            <w:vAlign w:val="bottom"/>
            <w:hideMark/>
          </w:tcPr>
          <w:p w14:paraId="39E38366"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2,075</w:t>
            </w:r>
          </w:p>
        </w:tc>
        <w:tc>
          <w:tcPr>
            <w:tcW w:w="0" w:type="auto"/>
            <w:noWrap/>
            <w:vAlign w:val="bottom"/>
            <w:hideMark/>
          </w:tcPr>
          <w:p w14:paraId="6834BBFD"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5.3%</w:t>
            </w:r>
          </w:p>
        </w:tc>
        <w:tc>
          <w:tcPr>
            <w:tcW w:w="0" w:type="auto"/>
            <w:noWrap/>
            <w:vAlign w:val="bottom"/>
            <w:hideMark/>
          </w:tcPr>
          <w:p w14:paraId="4A1CD43E"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2,117</w:t>
            </w:r>
          </w:p>
        </w:tc>
        <w:tc>
          <w:tcPr>
            <w:tcW w:w="0" w:type="auto"/>
            <w:noWrap/>
            <w:vAlign w:val="bottom"/>
            <w:hideMark/>
          </w:tcPr>
          <w:p w14:paraId="4F07279D"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5.2%</w:t>
            </w:r>
          </w:p>
        </w:tc>
      </w:tr>
      <w:tr w:rsidR="00EB33F5" w:rsidRPr="00617F96" w14:paraId="5D1BA8A7" w14:textId="77777777" w:rsidTr="006858CF">
        <w:trPr>
          <w:cantSplit/>
          <w:trHeight w:val="290"/>
        </w:trPr>
        <w:tc>
          <w:tcPr>
            <w:tcW w:w="0" w:type="auto"/>
            <w:noWrap/>
            <w:vAlign w:val="bottom"/>
            <w:hideMark/>
          </w:tcPr>
          <w:p w14:paraId="4AE2C3FD" w14:textId="77777777" w:rsidR="00EB33F5" w:rsidRPr="00617F96" w:rsidRDefault="00EB33F5" w:rsidP="00EB33F5">
            <w:pPr>
              <w:widowControl/>
              <w:autoSpaceDE/>
              <w:autoSpaceDN/>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Lymphoma</w:t>
            </w:r>
          </w:p>
        </w:tc>
        <w:tc>
          <w:tcPr>
            <w:tcW w:w="0" w:type="auto"/>
            <w:noWrap/>
            <w:vAlign w:val="bottom"/>
            <w:hideMark/>
          </w:tcPr>
          <w:p w14:paraId="78858B63"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1,774</w:t>
            </w:r>
          </w:p>
        </w:tc>
        <w:tc>
          <w:tcPr>
            <w:tcW w:w="0" w:type="auto"/>
            <w:noWrap/>
            <w:vAlign w:val="bottom"/>
            <w:hideMark/>
          </w:tcPr>
          <w:p w14:paraId="364143EF"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4.7%</w:t>
            </w:r>
          </w:p>
        </w:tc>
        <w:tc>
          <w:tcPr>
            <w:tcW w:w="0" w:type="auto"/>
            <w:noWrap/>
            <w:vAlign w:val="bottom"/>
            <w:hideMark/>
          </w:tcPr>
          <w:p w14:paraId="00D8021E"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1,644</w:t>
            </w:r>
          </w:p>
        </w:tc>
        <w:tc>
          <w:tcPr>
            <w:tcW w:w="0" w:type="auto"/>
            <w:noWrap/>
            <w:vAlign w:val="bottom"/>
            <w:hideMark/>
          </w:tcPr>
          <w:p w14:paraId="79D5E7A7"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4.2%</w:t>
            </w:r>
          </w:p>
        </w:tc>
        <w:tc>
          <w:tcPr>
            <w:tcW w:w="0" w:type="auto"/>
            <w:noWrap/>
            <w:vAlign w:val="bottom"/>
            <w:hideMark/>
          </w:tcPr>
          <w:p w14:paraId="1E24D8B3"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1,688</w:t>
            </w:r>
          </w:p>
        </w:tc>
        <w:tc>
          <w:tcPr>
            <w:tcW w:w="0" w:type="auto"/>
            <w:noWrap/>
            <w:vAlign w:val="bottom"/>
            <w:hideMark/>
          </w:tcPr>
          <w:p w14:paraId="069A00C1"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4.2%</w:t>
            </w:r>
          </w:p>
        </w:tc>
      </w:tr>
      <w:tr w:rsidR="00EB33F5" w:rsidRPr="00617F96" w14:paraId="1A19FF4C" w14:textId="77777777" w:rsidTr="006858CF">
        <w:trPr>
          <w:cantSplit/>
          <w:trHeight w:val="290"/>
        </w:trPr>
        <w:tc>
          <w:tcPr>
            <w:tcW w:w="0" w:type="auto"/>
            <w:noWrap/>
            <w:vAlign w:val="bottom"/>
            <w:hideMark/>
          </w:tcPr>
          <w:p w14:paraId="092205E2" w14:textId="77777777" w:rsidR="00EB33F5" w:rsidRPr="00617F96" w:rsidRDefault="00EB33F5" w:rsidP="00EB33F5">
            <w:pPr>
              <w:widowControl/>
              <w:autoSpaceDE/>
              <w:autoSpaceDN/>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Multiple Myeloma</w:t>
            </w:r>
          </w:p>
        </w:tc>
        <w:tc>
          <w:tcPr>
            <w:tcW w:w="0" w:type="auto"/>
            <w:noWrap/>
            <w:vAlign w:val="bottom"/>
            <w:hideMark/>
          </w:tcPr>
          <w:p w14:paraId="79486233"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1,357</w:t>
            </w:r>
          </w:p>
        </w:tc>
        <w:tc>
          <w:tcPr>
            <w:tcW w:w="0" w:type="auto"/>
            <w:noWrap/>
            <w:vAlign w:val="bottom"/>
            <w:hideMark/>
          </w:tcPr>
          <w:p w14:paraId="68EC3A15"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3.6%</w:t>
            </w:r>
          </w:p>
        </w:tc>
        <w:tc>
          <w:tcPr>
            <w:tcW w:w="0" w:type="auto"/>
            <w:noWrap/>
            <w:vAlign w:val="bottom"/>
            <w:hideMark/>
          </w:tcPr>
          <w:p w14:paraId="497D25B3"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1,514</w:t>
            </w:r>
          </w:p>
        </w:tc>
        <w:tc>
          <w:tcPr>
            <w:tcW w:w="0" w:type="auto"/>
            <w:noWrap/>
            <w:vAlign w:val="bottom"/>
            <w:hideMark/>
          </w:tcPr>
          <w:p w14:paraId="611C1759"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3.9%</w:t>
            </w:r>
          </w:p>
        </w:tc>
        <w:tc>
          <w:tcPr>
            <w:tcW w:w="0" w:type="auto"/>
            <w:noWrap/>
            <w:vAlign w:val="bottom"/>
            <w:hideMark/>
          </w:tcPr>
          <w:p w14:paraId="0DB88A93"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1,547</w:t>
            </w:r>
          </w:p>
        </w:tc>
        <w:tc>
          <w:tcPr>
            <w:tcW w:w="0" w:type="auto"/>
            <w:noWrap/>
            <w:vAlign w:val="bottom"/>
            <w:hideMark/>
          </w:tcPr>
          <w:p w14:paraId="7BA8E9B0"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3.8%</w:t>
            </w:r>
          </w:p>
        </w:tc>
      </w:tr>
      <w:tr w:rsidR="00EB33F5" w:rsidRPr="00617F96" w14:paraId="3431B40F" w14:textId="77777777" w:rsidTr="006858CF">
        <w:trPr>
          <w:cantSplit/>
          <w:trHeight w:val="290"/>
        </w:trPr>
        <w:tc>
          <w:tcPr>
            <w:tcW w:w="0" w:type="auto"/>
            <w:noWrap/>
            <w:vAlign w:val="bottom"/>
            <w:hideMark/>
          </w:tcPr>
          <w:p w14:paraId="7263D1E9" w14:textId="77777777" w:rsidR="00EB33F5" w:rsidRPr="00617F96" w:rsidRDefault="00EB33F5" w:rsidP="00EB33F5">
            <w:pPr>
              <w:widowControl/>
              <w:autoSpaceDE/>
              <w:autoSpaceDN/>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Head and Neck Oncology</w:t>
            </w:r>
          </w:p>
        </w:tc>
        <w:tc>
          <w:tcPr>
            <w:tcW w:w="0" w:type="auto"/>
            <w:noWrap/>
            <w:vAlign w:val="bottom"/>
            <w:hideMark/>
          </w:tcPr>
          <w:p w14:paraId="7A78C689"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1,153</w:t>
            </w:r>
          </w:p>
        </w:tc>
        <w:tc>
          <w:tcPr>
            <w:tcW w:w="0" w:type="auto"/>
            <w:noWrap/>
            <w:vAlign w:val="bottom"/>
            <w:hideMark/>
          </w:tcPr>
          <w:p w14:paraId="06656F62"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3.1%</w:t>
            </w:r>
          </w:p>
        </w:tc>
        <w:tc>
          <w:tcPr>
            <w:tcW w:w="0" w:type="auto"/>
            <w:noWrap/>
            <w:vAlign w:val="bottom"/>
            <w:hideMark/>
          </w:tcPr>
          <w:p w14:paraId="7C6EAE95"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1,280</w:t>
            </w:r>
          </w:p>
        </w:tc>
        <w:tc>
          <w:tcPr>
            <w:tcW w:w="0" w:type="auto"/>
            <w:noWrap/>
            <w:vAlign w:val="bottom"/>
            <w:hideMark/>
          </w:tcPr>
          <w:p w14:paraId="3D2C7BDF"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3.3%</w:t>
            </w:r>
          </w:p>
        </w:tc>
        <w:tc>
          <w:tcPr>
            <w:tcW w:w="0" w:type="auto"/>
            <w:noWrap/>
            <w:vAlign w:val="bottom"/>
            <w:hideMark/>
          </w:tcPr>
          <w:p w14:paraId="6E98E9A8"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1,276</w:t>
            </w:r>
          </w:p>
        </w:tc>
        <w:tc>
          <w:tcPr>
            <w:tcW w:w="0" w:type="auto"/>
            <w:noWrap/>
            <w:vAlign w:val="bottom"/>
            <w:hideMark/>
          </w:tcPr>
          <w:p w14:paraId="7B48D574"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3.2%</w:t>
            </w:r>
          </w:p>
        </w:tc>
      </w:tr>
      <w:tr w:rsidR="00EB33F5" w:rsidRPr="00617F96" w14:paraId="4195F2BF" w14:textId="77777777" w:rsidTr="006858CF">
        <w:trPr>
          <w:cantSplit/>
          <w:trHeight w:val="290"/>
        </w:trPr>
        <w:tc>
          <w:tcPr>
            <w:tcW w:w="0" w:type="auto"/>
            <w:noWrap/>
            <w:vAlign w:val="bottom"/>
            <w:hideMark/>
          </w:tcPr>
          <w:p w14:paraId="71D57318" w14:textId="77777777" w:rsidR="00EB33F5" w:rsidRPr="00617F96" w:rsidRDefault="00EB33F5" w:rsidP="00EB33F5">
            <w:pPr>
              <w:widowControl/>
              <w:autoSpaceDE/>
              <w:autoSpaceDN/>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Hematology Services</w:t>
            </w:r>
          </w:p>
        </w:tc>
        <w:tc>
          <w:tcPr>
            <w:tcW w:w="0" w:type="auto"/>
            <w:noWrap/>
            <w:vAlign w:val="bottom"/>
            <w:hideMark/>
          </w:tcPr>
          <w:p w14:paraId="24AD6325"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1,052</w:t>
            </w:r>
          </w:p>
        </w:tc>
        <w:tc>
          <w:tcPr>
            <w:tcW w:w="0" w:type="auto"/>
            <w:noWrap/>
            <w:vAlign w:val="bottom"/>
            <w:hideMark/>
          </w:tcPr>
          <w:p w14:paraId="2AC14CFF"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2.8%</w:t>
            </w:r>
          </w:p>
        </w:tc>
        <w:tc>
          <w:tcPr>
            <w:tcW w:w="0" w:type="auto"/>
            <w:noWrap/>
            <w:vAlign w:val="bottom"/>
            <w:hideMark/>
          </w:tcPr>
          <w:p w14:paraId="54B3A236"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1,035</w:t>
            </w:r>
          </w:p>
        </w:tc>
        <w:tc>
          <w:tcPr>
            <w:tcW w:w="0" w:type="auto"/>
            <w:noWrap/>
            <w:vAlign w:val="bottom"/>
            <w:hideMark/>
          </w:tcPr>
          <w:p w14:paraId="0A62C7B7"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2.6%</w:t>
            </w:r>
          </w:p>
        </w:tc>
        <w:tc>
          <w:tcPr>
            <w:tcW w:w="0" w:type="auto"/>
            <w:noWrap/>
            <w:vAlign w:val="bottom"/>
            <w:hideMark/>
          </w:tcPr>
          <w:p w14:paraId="0A945FA5"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830</w:t>
            </w:r>
          </w:p>
        </w:tc>
        <w:tc>
          <w:tcPr>
            <w:tcW w:w="0" w:type="auto"/>
            <w:noWrap/>
            <w:vAlign w:val="bottom"/>
            <w:hideMark/>
          </w:tcPr>
          <w:p w14:paraId="7925FE33"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2.1%</w:t>
            </w:r>
          </w:p>
        </w:tc>
      </w:tr>
      <w:tr w:rsidR="00EB33F5" w:rsidRPr="00617F96" w14:paraId="3057923F" w14:textId="77777777" w:rsidTr="006858CF">
        <w:trPr>
          <w:cantSplit/>
          <w:trHeight w:val="290"/>
        </w:trPr>
        <w:tc>
          <w:tcPr>
            <w:tcW w:w="0" w:type="auto"/>
            <w:noWrap/>
            <w:vAlign w:val="bottom"/>
            <w:hideMark/>
          </w:tcPr>
          <w:p w14:paraId="308E6BEB" w14:textId="77777777" w:rsidR="00EB33F5" w:rsidRPr="00617F96" w:rsidRDefault="00EB33F5" w:rsidP="00EB33F5">
            <w:pPr>
              <w:widowControl/>
              <w:autoSpaceDE/>
              <w:autoSpaceDN/>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Pediatric Oncology</w:t>
            </w:r>
          </w:p>
        </w:tc>
        <w:tc>
          <w:tcPr>
            <w:tcW w:w="0" w:type="auto"/>
            <w:noWrap/>
            <w:vAlign w:val="bottom"/>
            <w:hideMark/>
          </w:tcPr>
          <w:p w14:paraId="62CEEABD"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1,012</w:t>
            </w:r>
          </w:p>
        </w:tc>
        <w:tc>
          <w:tcPr>
            <w:tcW w:w="0" w:type="auto"/>
            <w:noWrap/>
            <w:vAlign w:val="bottom"/>
            <w:hideMark/>
          </w:tcPr>
          <w:p w14:paraId="371042BB"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2.7%</w:t>
            </w:r>
          </w:p>
        </w:tc>
        <w:tc>
          <w:tcPr>
            <w:tcW w:w="0" w:type="auto"/>
            <w:noWrap/>
            <w:vAlign w:val="bottom"/>
            <w:hideMark/>
          </w:tcPr>
          <w:p w14:paraId="05DCD342"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1,023</w:t>
            </w:r>
          </w:p>
        </w:tc>
        <w:tc>
          <w:tcPr>
            <w:tcW w:w="0" w:type="auto"/>
            <w:noWrap/>
            <w:vAlign w:val="bottom"/>
            <w:hideMark/>
          </w:tcPr>
          <w:p w14:paraId="03A13DDB"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2.6%</w:t>
            </w:r>
          </w:p>
        </w:tc>
        <w:tc>
          <w:tcPr>
            <w:tcW w:w="0" w:type="auto"/>
            <w:noWrap/>
            <w:vAlign w:val="bottom"/>
            <w:hideMark/>
          </w:tcPr>
          <w:p w14:paraId="5BCEBAD8"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974</w:t>
            </w:r>
          </w:p>
        </w:tc>
        <w:tc>
          <w:tcPr>
            <w:tcW w:w="0" w:type="auto"/>
            <w:noWrap/>
            <w:vAlign w:val="bottom"/>
            <w:hideMark/>
          </w:tcPr>
          <w:p w14:paraId="24E2EAD4"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2.4%</w:t>
            </w:r>
          </w:p>
        </w:tc>
      </w:tr>
      <w:tr w:rsidR="00EB33F5" w:rsidRPr="00617F96" w14:paraId="273FABA8" w14:textId="77777777" w:rsidTr="006858CF">
        <w:trPr>
          <w:cantSplit/>
          <w:trHeight w:val="290"/>
        </w:trPr>
        <w:tc>
          <w:tcPr>
            <w:tcW w:w="0" w:type="auto"/>
            <w:noWrap/>
            <w:vAlign w:val="bottom"/>
            <w:hideMark/>
          </w:tcPr>
          <w:p w14:paraId="2A923C73" w14:textId="77777777" w:rsidR="00EB33F5" w:rsidRPr="00617F96" w:rsidRDefault="00EB33F5" w:rsidP="00EB33F5">
            <w:pPr>
              <w:widowControl/>
              <w:autoSpaceDE/>
              <w:autoSpaceDN/>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Leukemia</w:t>
            </w:r>
          </w:p>
        </w:tc>
        <w:tc>
          <w:tcPr>
            <w:tcW w:w="0" w:type="auto"/>
            <w:noWrap/>
            <w:vAlign w:val="bottom"/>
            <w:hideMark/>
          </w:tcPr>
          <w:p w14:paraId="4725DF25"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879</w:t>
            </w:r>
          </w:p>
        </w:tc>
        <w:tc>
          <w:tcPr>
            <w:tcW w:w="0" w:type="auto"/>
            <w:noWrap/>
            <w:vAlign w:val="bottom"/>
            <w:hideMark/>
          </w:tcPr>
          <w:p w14:paraId="12EE6057"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2.3%</w:t>
            </w:r>
          </w:p>
        </w:tc>
        <w:tc>
          <w:tcPr>
            <w:tcW w:w="0" w:type="auto"/>
            <w:noWrap/>
            <w:vAlign w:val="bottom"/>
            <w:hideMark/>
          </w:tcPr>
          <w:p w14:paraId="5DF2B189"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982</w:t>
            </w:r>
          </w:p>
        </w:tc>
        <w:tc>
          <w:tcPr>
            <w:tcW w:w="0" w:type="auto"/>
            <w:noWrap/>
            <w:vAlign w:val="bottom"/>
            <w:hideMark/>
          </w:tcPr>
          <w:p w14:paraId="4291BCFF"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2.5%</w:t>
            </w:r>
          </w:p>
        </w:tc>
        <w:tc>
          <w:tcPr>
            <w:tcW w:w="0" w:type="auto"/>
            <w:noWrap/>
            <w:vAlign w:val="bottom"/>
            <w:hideMark/>
          </w:tcPr>
          <w:p w14:paraId="6C0C4F83"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1,159</w:t>
            </w:r>
          </w:p>
        </w:tc>
        <w:tc>
          <w:tcPr>
            <w:tcW w:w="0" w:type="auto"/>
            <w:noWrap/>
            <w:vAlign w:val="bottom"/>
            <w:hideMark/>
          </w:tcPr>
          <w:p w14:paraId="2F533C5E"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2.9%</w:t>
            </w:r>
          </w:p>
        </w:tc>
      </w:tr>
      <w:tr w:rsidR="00EB33F5" w:rsidRPr="00617F96" w14:paraId="2FD8755A" w14:textId="77777777" w:rsidTr="006858CF">
        <w:trPr>
          <w:cantSplit/>
          <w:trHeight w:val="290"/>
        </w:trPr>
        <w:tc>
          <w:tcPr>
            <w:tcW w:w="0" w:type="auto"/>
            <w:noWrap/>
            <w:vAlign w:val="bottom"/>
            <w:hideMark/>
          </w:tcPr>
          <w:p w14:paraId="50A906C6" w14:textId="77777777" w:rsidR="00EB33F5" w:rsidRPr="00617F96" w:rsidRDefault="00EB33F5" w:rsidP="00EB33F5">
            <w:pPr>
              <w:widowControl/>
              <w:autoSpaceDE/>
              <w:autoSpaceDN/>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Melanoma</w:t>
            </w:r>
          </w:p>
        </w:tc>
        <w:tc>
          <w:tcPr>
            <w:tcW w:w="0" w:type="auto"/>
            <w:noWrap/>
            <w:vAlign w:val="bottom"/>
            <w:hideMark/>
          </w:tcPr>
          <w:p w14:paraId="7F75C35A"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843</w:t>
            </w:r>
          </w:p>
        </w:tc>
        <w:tc>
          <w:tcPr>
            <w:tcW w:w="0" w:type="auto"/>
            <w:noWrap/>
            <w:vAlign w:val="bottom"/>
            <w:hideMark/>
          </w:tcPr>
          <w:p w14:paraId="63D44356"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2.3%</w:t>
            </w:r>
          </w:p>
        </w:tc>
        <w:tc>
          <w:tcPr>
            <w:tcW w:w="0" w:type="auto"/>
            <w:noWrap/>
            <w:vAlign w:val="bottom"/>
            <w:hideMark/>
          </w:tcPr>
          <w:p w14:paraId="61282CF5"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901</w:t>
            </w:r>
          </w:p>
        </w:tc>
        <w:tc>
          <w:tcPr>
            <w:tcW w:w="0" w:type="auto"/>
            <w:noWrap/>
            <w:vAlign w:val="bottom"/>
            <w:hideMark/>
          </w:tcPr>
          <w:p w14:paraId="5D51905D"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2.3%</w:t>
            </w:r>
          </w:p>
        </w:tc>
        <w:tc>
          <w:tcPr>
            <w:tcW w:w="0" w:type="auto"/>
            <w:noWrap/>
            <w:vAlign w:val="bottom"/>
            <w:hideMark/>
          </w:tcPr>
          <w:p w14:paraId="1D1C2611"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978</w:t>
            </w:r>
          </w:p>
        </w:tc>
        <w:tc>
          <w:tcPr>
            <w:tcW w:w="0" w:type="auto"/>
            <w:noWrap/>
            <w:vAlign w:val="bottom"/>
            <w:hideMark/>
          </w:tcPr>
          <w:p w14:paraId="5BED0B54"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2.4%</w:t>
            </w:r>
          </w:p>
        </w:tc>
      </w:tr>
      <w:tr w:rsidR="00EB33F5" w:rsidRPr="00617F96" w14:paraId="5E92FC9F" w14:textId="77777777" w:rsidTr="006858CF">
        <w:trPr>
          <w:cantSplit/>
          <w:trHeight w:val="290"/>
        </w:trPr>
        <w:tc>
          <w:tcPr>
            <w:tcW w:w="0" w:type="auto"/>
            <w:noWrap/>
            <w:vAlign w:val="bottom"/>
            <w:hideMark/>
          </w:tcPr>
          <w:p w14:paraId="1E1ABD63" w14:textId="77777777" w:rsidR="00EB33F5" w:rsidRPr="00617F96" w:rsidRDefault="00EB33F5" w:rsidP="00EB33F5">
            <w:pPr>
              <w:widowControl/>
              <w:autoSpaceDE/>
              <w:autoSpaceDN/>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Neuro-Oncology Center</w:t>
            </w:r>
          </w:p>
        </w:tc>
        <w:tc>
          <w:tcPr>
            <w:tcW w:w="0" w:type="auto"/>
            <w:noWrap/>
            <w:vAlign w:val="bottom"/>
            <w:hideMark/>
          </w:tcPr>
          <w:p w14:paraId="02E04195"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835</w:t>
            </w:r>
          </w:p>
        </w:tc>
        <w:tc>
          <w:tcPr>
            <w:tcW w:w="0" w:type="auto"/>
            <w:noWrap/>
            <w:vAlign w:val="bottom"/>
            <w:hideMark/>
          </w:tcPr>
          <w:p w14:paraId="70409099"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2.2%</w:t>
            </w:r>
          </w:p>
        </w:tc>
        <w:tc>
          <w:tcPr>
            <w:tcW w:w="0" w:type="auto"/>
            <w:noWrap/>
            <w:vAlign w:val="bottom"/>
            <w:hideMark/>
          </w:tcPr>
          <w:p w14:paraId="77F82282"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897</w:t>
            </w:r>
          </w:p>
        </w:tc>
        <w:tc>
          <w:tcPr>
            <w:tcW w:w="0" w:type="auto"/>
            <w:noWrap/>
            <w:vAlign w:val="bottom"/>
            <w:hideMark/>
          </w:tcPr>
          <w:p w14:paraId="0550DFC6"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2.3%</w:t>
            </w:r>
          </w:p>
        </w:tc>
        <w:tc>
          <w:tcPr>
            <w:tcW w:w="0" w:type="auto"/>
            <w:noWrap/>
            <w:vAlign w:val="bottom"/>
            <w:hideMark/>
          </w:tcPr>
          <w:p w14:paraId="0AA55CDD"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950</w:t>
            </w:r>
          </w:p>
        </w:tc>
        <w:tc>
          <w:tcPr>
            <w:tcW w:w="0" w:type="auto"/>
            <w:noWrap/>
            <w:vAlign w:val="bottom"/>
            <w:hideMark/>
          </w:tcPr>
          <w:p w14:paraId="04E84B07"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2.4%</w:t>
            </w:r>
          </w:p>
        </w:tc>
      </w:tr>
      <w:tr w:rsidR="00EB33F5" w:rsidRPr="00617F96" w14:paraId="2B3C1D69" w14:textId="77777777" w:rsidTr="006858CF">
        <w:trPr>
          <w:cantSplit/>
          <w:trHeight w:val="290"/>
        </w:trPr>
        <w:tc>
          <w:tcPr>
            <w:tcW w:w="0" w:type="auto"/>
            <w:noWrap/>
            <w:vAlign w:val="bottom"/>
            <w:hideMark/>
          </w:tcPr>
          <w:p w14:paraId="47F238A0" w14:textId="77777777" w:rsidR="00EB33F5" w:rsidRPr="00617F96" w:rsidRDefault="00EB33F5" w:rsidP="00EB33F5">
            <w:pPr>
              <w:widowControl/>
              <w:autoSpaceDE/>
              <w:autoSpaceDN/>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Sarcoma and Bone Oncology</w:t>
            </w:r>
          </w:p>
        </w:tc>
        <w:tc>
          <w:tcPr>
            <w:tcW w:w="0" w:type="auto"/>
            <w:noWrap/>
            <w:vAlign w:val="bottom"/>
            <w:hideMark/>
          </w:tcPr>
          <w:p w14:paraId="32733C4D"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794</w:t>
            </w:r>
          </w:p>
        </w:tc>
        <w:tc>
          <w:tcPr>
            <w:tcW w:w="0" w:type="auto"/>
            <w:noWrap/>
            <w:vAlign w:val="bottom"/>
            <w:hideMark/>
          </w:tcPr>
          <w:p w14:paraId="09DD1837"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2.1%</w:t>
            </w:r>
          </w:p>
        </w:tc>
        <w:tc>
          <w:tcPr>
            <w:tcW w:w="0" w:type="auto"/>
            <w:noWrap/>
            <w:vAlign w:val="bottom"/>
            <w:hideMark/>
          </w:tcPr>
          <w:p w14:paraId="01F698FA"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808</w:t>
            </w:r>
          </w:p>
        </w:tc>
        <w:tc>
          <w:tcPr>
            <w:tcW w:w="0" w:type="auto"/>
            <w:noWrap/>
            <w:vAlign w:val="bottom"/>
            <w:hideMark/>
          </w:tcPr>
          <w:p w14:paraId="6C575BA0"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2.1%</w:t>
            </w:r>
          </w:p>
        </w:tc>
        <w:tc>
          <w:tcPr>
            <w:tcW w:w="0" w:type="auto"/>
            <w:noWrap/>
            <w:vAlign w:val="bottom"/>
            <w:hideMark/>
          </w:tcPr>
          <w:p w14:paraId="6E62FACB"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1,007</w:t>
            </w:r>
          </w:p>
        </w:tc>
        <w:tc>
          <w:tcPr>
            <w:tcW w:w="0" w:type="auto"/>
            <w:noWrap/>
            <w:vAlign w:val="bottom"/>
            <w:hideMark/>
          </w:tcPr>
          <w:p w14:paraId="663C1D47"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2.5%</w:t>
            </w:r>
          </w:p>
        </w:tc>
      </w:tr>
      <w:tr w:rsidR="00EB33F5" w:rsidRPr="00617F96" w14:paraId="1F0682D9" w14:textId="77777777" w:rsidTr="006858CF">
        <w:trPr>
          <w:cantSplit/>
          <w:trHeight w:val="290"/>
        </w:trPr>
        <w:tc>
          <w:tcPr>
            <w:tcW w:w="0" w:type="auto"/>
            <w:noWrap/>
            <w:vAlign w:val="bottom"/>
            <w:hideMark/>
          </w:tcPr>
          <w:p w14:paraId="3C411F35" w14:textId="77777777" w:rsidR="00EB33F5" w:rsidRPr="00617F96" w:rsidRDefault="00EB33F5" w:rsidP="00EB33F5">
            <w:pPr>
              <w:widowControl/>
              <w:autoSpaceDE/>
              <w:autoSpaceDN/>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Cutaneous Oncology Center</w:t>
            </w:r>
          </w:p>
        </w:tc>
        <w:tc>
          <w:tcPr>
            <w:tcW w:w="0" w:type="auto"/>
            <w:noWrap/>
            <w:vAlign w:val="bottom"/>
            <w:hideMark/>
          </w:tcPr>
          <w:p w14:paraId="29571AD5"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691</w:t>
            </w:r>
          </w:p>
        </w:tc>
        <w:tc>
          <w:tcPr>
            <w:tcW w:w="0" w:type="auto"/>
            <w:noWrap/>
            <w:vAlign w:val="bottom"/>
            <w:hideMark/>
          </w:tcPr>
          <w:p w14:paraId="0DAD2A69"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1.8%</w:t>
            </w:r>
          </w:p>
        </w:tc>
        <w:tc>
          <w:tcPr>
            <w:tcW w:w="0" w:type="auto"/>
            <w:noWrap/>
            <w:vAlign w:val="bottom"/>
            <w:hideMark/>
          </w:tcPr>
          <w:p w14:paraId="4740A721"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766</w:t>
            </w:r>
          </w:p>
        </w:tc>
        <w:tc>
          <w:tcPr>
            <w:tcW w:w="0" w:type="auto"/>
            <w:noWrap/>
            <w:vAlign w:val="bottom"/>
            <w:hideMark/>
          </w:tcPr>
          <w:p w14:paraId="1658848B"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2.0%</w:t>
            </w:r>
          </w:p>
        </w:tc>
        <w:tc>
          <w:tcPr>
            <w:tcW w:w="0" w:type="auto"/>
            <w:noWrap/>
            <w:vAlign w:val="bottom"/>
            <w:hideMark/>
          </w:tcPr>
          <w:p w14:paraId="5CE17D05"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709</w:t>
            </w:r>
          </w:p>
        </w:tc>
        <w:tc>
          <w:tcPr>
            <w:tcW w:w="0" w:type="auto"/>
            <w:noWrap/>
            <w:vAlign w:val="bottom"/>
            <w:hideMark/>
          </w:tcPr>
          <w:p w14:paraId="51860F51"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1.8%</w:t>
            </w:r>
          </w:p>
        </w:tc>
      </w:tr>
      <w:tr w:rsidR="00EB33F5" w:rsidRPr="00617F96" w14:paraId="40E57960" w14:textId="77777777" w:rsidTr="006858CF">
        <w:trPr>
          <w:cantSplit/>
          <w:trHeight w:val="290"/>
        </w:trPr>
        <w:tc>
          <w:tcPr>
            <w:tcW w:w="0" w:type="auto"/>
            <w:noWrap/>
            <w:vAlign w:val="bottom"/>
            <w:hideMark/>
          </w:tcPr>
          <w:p w14:paraId="57D6924D" w14:textId="77777777" w:rsidR="00EB33F5" w:rsidRPr="00617F96" w:rsidRDefault="00EB33F5" w:rsidP="00EB33F5">
            <w:pPr>
              <w:widowControl/>
              <w:autoSpaceDE/>
              <w:autoSpaceDN/>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Transplant</w:t>
            </w:r>
          </w:p>
        </w:tc>
        <w:tc>
          <w:tcPr>
            <w:tcW w:w="0" w:type="auto"/>
            <w:noWrap/>
            <w:vAlign w:val="bottom"/>
            <w:hideMark/>
          </w:tcPr>
          <w:p w14:paraId="5DB77B26"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590</w:t>
            </w:r>
          </w:p>
        </w:tc>
        <w:tc>
          <w:tcPr>
            <w:tcW w:w="0" w:type="auto"/>
            <w:noWrap/>
            <w:vAlign w:val="bottom"/>
            <w:hideMark/>
          </w:tcPr>
          <w:p w14:paraId="62FC3F36"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1.6%</w:t>
            </w:r>
          </w:p>
        </w:tc>
        <w:tc>
          <w:tcPr>
            <w:tcW w:w="0" w:type="auto"/>
            <w:noWrap/>
            <w:vAlign w:val="bottom"/>
            <w:hideMark/>
          </w:tcPr>
          <w:p w14:paraId="0211F5BA"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656</w:t>
            </w:r>
          </w:p>
        </w:tc>
        <w:tc>
          <w:tcPr>
            <w:tcW w:w="0" w:type="auto"/>
            <w:noWrap/>
            <w:vAlign w:val="bottom"/>
            <w:hideMark/>
          </w:tcPr>
          <w:p w14:paraId="060CA4C2"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1.7%</w:t>
            </w:r>
          </w:p>
        </w:tc>
        <w:tc>
          <w:tcPr>
            <w:tcW w:w="0" w:type="auto"/>
            <w:noWrap/>
            <w:vAlign w:val="bottom"/>
            <w:hideMark/>
          </w:tcPr>
          <w:p w14:paraId="2E196532"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709</w:t>
            </w:r>
          </w:p>
        </w:tc>
        <w:tc>
          <w:tcPr>
            <w:tcW w:w="0" w:type="auto"/>
            <w:noWrap/>
            <w:vAlign w:val="bottom"/>
            <w:hideMark/>
          </w:tcPr>
          <w:p w14:paraId="1F4BFAE9" w14:textId="77777777" w:rsidR="00EB33F5" w:rsidRPr="00617F96" w:rsidRDefault="00EB33F5" w:rsidP="0091081F">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1.8%</w:t>
            </w:r>
          </w:p>
        </w:tc>
      </w:tr>
      <w:tr w:rsidR="00CC36E0" w:rsidRPr="00617F96" w14:paraId="51002F93" w14:textId="77777777" w:rsidTr="006858CF">
        <w:trPr>
          <w:cantSplit/>
          <w:trHeight w:val="290"/>
        </w:trPr>
        <w:tc>
          <w:tcPr>
            <w:tcW w:w="0" w:type="auto"/>
            <w:noWrap/>
          </w:tcPr>
          <w:p w14:paraId="5B935976" w14:textId="099E2539" w:rsidR="00CC36E0" w:rsidRPr="00617F96" w:rsidRDefault="00CC36E0" w:rsidP="00CC36E0">
            <w:pPr>
              <w:widowControl/>
              <w:autoSpaceDE/>
              <w:autoSpaceDN/>
              <w:rPr>
                <w:rFonts w:asciiTheme="minorHAnsi" w:eastAsia="Times New Roman" w:hAnsiTheme="minorHAnsi"/>
                <w:color w:val="000000"/>
                <w:sz w:val="22"/>
                <w:szCs w:val="22"/>
              </w:rPr>
            </w:pPr>
            <w:r w:rsidRPr="00617F96">
              <w:rPr>
                <w:rFonts w:asciiTheme="minorHAnsi" w:hAnsiTheme="minorHAnsi"/>
                <w:sz w:val="22"/>
                <w:szCs w:val="22"/>
              </w:rPr>
              <w:t xml:space="preserve">Total </w:t>
            </w:r>
          </w:p>
        </w:tc>
        <w:tc>
          <w:tcPr>
            <w:tcW w:w="0" w:type="auto"/>
            <w:noWrap/>
          </w:tcPr>
          <w:p w14:paraId="3EDBF54F" w14:textId="5B12961A" w:rsidR="00CC36E0" w:rsidRPr="00617F96" w:rsidRDefault="00CC36E0" w:rsidP="00CC36E0">
            <w:pPr>
              <w:widowControl/>
              <w:autoSpaceDE/>
              <w:autoSpaceDN/>
              <w:jc w:val="center"/>
              <w:rPr>
                <w:rFonts w:asciiTheme="minorHAnsi" w:eastAsia="Times New Roman" w:hAnsiTheme="minorHAnsi"/>
                <w:color w:val="000000"/>
                <w:sz w:val="22"/>
                <w:szCs w:val="22"/>
              </w:rPr>
            </w:pPr>
            <w:r w:rsidRPr="00617F96">
              <w:rPr>
                <w:rFonts w:asciiTheme="minorHAnsi" w:hAnsiTheme="minorHAnsi"/>
                <w:sz w:val="22"/>
                <w:szCs w:val="22"/>
              </w:rPr>
              <w:t>37,440</w:t>
            </w:r>
          </w:p>
        </w:tc>
        <w:tc>
          <w:tcPr>
            <w:tcW w:w="0" w:type="auto"/>
            <w:noWrap/>
          </w:tcPr>
          <w:p w14:paraId="175EB1B1" w14:textId="73155376" w:rsidR="00CC36E0" w:rsidRPr="00617F96" w:rsidRDefault="00CC36E0" w:rsidP="00CC36E0">
            <w:pPr>
              <w:widowControl/>
              <w:autoSpaceDE/>
              <w:autoSpaceDN/>
              <w:jc w:val="center"/>
              <w:rPr>
                <w:rFonts w:asciiTheme="minorHAnsi" w:eastAsia="Times New Roman" w:hAnsiTheme="minorHAnsi"/>
                <w:color w:val="000000"/>
                <w:sz w:val="22"/>
                <w:szCs w:val="22"/>
              </w:rPr>
            </w:pPr>
            <w:r w:rsidRPr="00617F96">
              <w:rPr>
                <w:rFonts w:asciiTheme="minorHAnsi" w:hAnsiTheme="minorHAnsi"/>
                <w:sz w:val="22"/>
                <w:szCs w:val="22"/>
              </w:rPr>
              <w:t>100.0%</w:t>
            </w:r>
          </w:p>
        </w:tc>
        <w:tc>
          <w:tcPr>
            <w:tcW w:w="0" w:type="auto"/>
            <w:noWrap/>
          </w:tcPr>
          <w:p w14:paraId="26D38C8C" w14:textId="142FC4EA" w:rsidR="00CC36E0" w:rsidRPr="00617F96" w:rsidRDefault="00CC36E0" w:rsidP="00CC36E0">
            <w:pPr>
              <w:widowControl/>
              <w:autoSpaceDE/>
              <w:autoSpaceDN/>
              <w:jc w:val="center"/>
              <w:rPr>
                <w:rFonts w:asciiTheme="minorHAnsi" w:eastAsia="Times New Roman" w:hAnsiTheme="minorHAnsi"/>
                <w:color w:val="000000"/>
                <w:sz w:val="22"/>
                <w:szCs w:val="22"/>
              </w:rPr>
            </w:pPr>
            <w:r w:rsidRPr="00617F96">
              <w:rPr>
                <w:rFonts w:asciiTheme="minorHAnsi" w:hAnsiTheme="minorHAnsi"/>
                <w:sz w:val="22"/>
                <w:szCs w:val="22"/>
              </w:rPr>
              <w:t>39,201</w:t>
            </w:r>
          </w:p>
        </w:tc>
        <w:tc>
          <w:tcPr>
            <w:tcW w:w="0" w:type="auto"/>
            <w:noWrap/>
          </w:tcPr>
          <w:p w14:paraId="1CC3A802" w14:textId="07A1FFFB" w:rsidR="00CC36E0" w:rsidRPr="00617F96" w:rsidRDefault="00CC36E0" w:rsidP="00CC36E0">
            <w:pPr>
              <w:widowControl/>
              <w:autoSpaceDE/>
              <w:autoSpaceDN/>
              <w:jc w:val="center"/>
              <w:rPr>
                <w:rFonts w:asciiTheme="minorHAnsi" w:eastAsia="Times New Roman" w:hAnsiTheme="minorHAnsi"/>
                <w:color w:val="000000"/>
                <w:sz w:val="22"/>
                <w:szCs w:val="22"/>
              </w:rPr>
            </w:pPr>
            <w:r w:rsidRPr="00617F96">
              <w:rPr>
                <w:rFonts w:asciiTheme="minorHAnsi" w:hAnsiTheme="minorHAnsi"/>
                <w:sz w:val="22"/>
                <w:szCs w:val="22"/>
              </w:rPr>
              <w:t>100.0%</w:t>
            </w:r>
          </w:p>
        </w:tc>
        <w:tc>
          <w:tcPr>
            <w:tcW w:w="0" w:type="auto"/>
            <w:noWrap/>
          </w:tcPr>
          <w:p w14:paraId="191123B4" w14:textId="6CE5F1C9" w:rsidR="00CC36E0" w:rsidRPr="00617F96" w:rsidRDefault="00CC36E0" w:rsidP="00CC36E0">
            <w:pPr>
              <w:widowControl/>
              <w:autoSpaceDE/>
              <w:autoSpaceDN/>
              <w:jc w:val="center"/>
              <w:rPr>
                <w:rFonts w:asciiTheme="minorHAnsi" w:eastAsia="Times New Roman" w:hAnsiTheme="minorHAnsi"/>
                <w:color w:val="000000"/>
                <w:sz w:val="22"/>
                <w:szCs w:val="22"/>
              </w:rPr>
            </w:pPr>
            <w:r w:rsidRPr="00617F96">
              <w:rPr>
                <w:rFonts w:asciiTheme="minorHAnsi" w:hAnsiTheme="minorHAnsi"/>
                <w:sz w:val="22"/>
                <w:szCs w:val="22"/>
              </w:rPr>
              <w:t>40,336</w:t>
            </w:r>
          </w:p>
        </w:tc>
        <w:tc>
          <w:tcPr>
            <w:tcW w:w="0" w:type="auto"/>
            <w:noWrap/>
          </w:tcPr>
          <w:p w14:paraId="4193751A" w14:textId="4C798F4D" w:rsidR="00CC36E0" w:rsidRPr="00617F96" w:rsidRDefault="00CC36E0" w:rsidP="00CC36E0">
            <w:pPr>
              <w:widowControl/>
              <w:autoSpaceDE/>
              <w:autoSpaceDN/>
              <w:jc w:val="center"/>
              <w:rPr>
                <w:rFonts w:asciiTheme="minorHAnsi" w:eastAsia="Times New Roman" w:hAnsiTheme="minorHAnsi"/>
                <w:color w:val="000000"/>
                <w:sz w:val="22"/>
                <w:szCs w:val="22"/>
              </w:rPr>
            </w:pPr>
            <w:r w:rsidRPr="00617F96">
              <w:rPr>
                <w:rFonts w:asciiTheme="minorHAnsi" w:hAnsiTheme="minorHAnsi"/>
                <w:sz w:val="22"/>
                <w:szCs w:val="22"/>
              </w:rPr>
              <w:t>100.0%</w:t>
            </w:r>
          </w:p>
        </w:tc>
      </w:tr>
    </w:tbl>
    <w:p w14:paraId="5D2B8A19" w14:textId="77777777" w:rsidR="009262E5" w:rsidRDefault="009262E5" w:rsidP="00BA2054">
      <w:pPr>
        <w:rPr>
          <w:rFonts w:asciiTheme="minorHAnsi" w:hAnsiTheme="minorHAnsi"/>
          <w:szCs w:val="24"/>
        </w:rPr>
      </w:pPr>
    </w:p>
    <w:p w14:paraId="6C1BDF9F" w14:textId="1001E8F9" w:rsidR="00D74036" w:rsidRDefault="00D74036" w:rsidP="00BA2054">
      <w:pPr>
        <w:rPr>
          <w:rFonts w:asciiTheme="minorHAnsi" w:hAnsiTheme="minorHAnsi"/>
          <w:szCs w:val="24"/>
        </w:rPr>
      </w:pPr>
      <w:r>
        <w:rPr>
          <w:rFonts w:asciiTheme="minorHAnsi" w:hAnsiTheme="minorHAnsi"/>
          <w:szCs w:val="24"/>
        </w:rPr>
        <w:t xml:space="preserve">The Applicant </w:t>
      </w:r>
      <w:r w:rsidR="00452147">
        <w:rPr>
          <w:rFonts w:asciiTheme="minorHAnsi" w:hAnsiTheme="minorHAnsi"/>
          <w:szCs w:val="24"/>
        </w:rPr>
        <w:t>states</w:t>
      </w:r>
      <w:r>
        <w:rPr>
          <w:rFonts w:asciiTheme="minorHAnsi" w:hAnsiTheme="minorHAnsi"/>
          <w:szCs w:val="24"/>
        </w:rPr>
        <w:t xml:space="preserve"> </w:t>
      </w:r>
      <w:r w:rsidR="000D4B0D">
        <w:rPr>
          <w:rFonts w:asciiTheme="minorHAnsi" w:hAnsiTheme="minorHAnsi"/>
          <w:szCs w:val="24"/>
        </w:rPr>
        <w:t xml:space="preserve">that </w:t>
      </w:r>
      <w:r>
        <w:rPr>
          <w:rFonts w:asciiTheme="minorHAnsi" w:hAnsiTheme="minorHAnsi"/>
          <w:szCs w:val="24"/>
        </w:rPr>
        <w:t xml:space="preserve">the referral sources for </w:t>
      </w:r>
      <w:r w:rsidR="00B220ED">
        <w:rPr>
          <w:rFonts w:asciiTheme="minorHAnsi" w:hAnsiTheme="minorHAnsi"/>
          <w:szCs w:val="24"/>
        </w:rPr>
        <w:t xml:space="preserve">its </w:t>
      </w:r>
      <w:r>
        <w:rPr>
          <w:rFonts w:asciiTheme="minorHAnsi" w:hAnsiTheme="minorHAnsi"/>
          <w:szCs w:val="24"/>
        </w:rPr>
        <w:t>adult patients</w:t>
      </w:r>
      <w:r w:rsidR="006B5A52">
        <w:rPr>
          <w:rFonts w:asciiTheme="minorHAnsi" w:hAnsiTheme="minorHAnsi"/>
          <w:szCs w:val="24"/>
        </w:rPr>
        <w:t xml:space="preserve"> are</w:t>
      </w:r>
      <w:r>
        <w:rPr>
          <w:rFonts w:asciiTheme="minorHAnsi" w:hAnsiTheme="minorHAnsi"/>
          <w:szCs w:val="24"/>
        </w:rPr>
        <w:t xml:space="preserve"> any licensed provider, including the Applicant’s medical oncologists and surgical oncologists, community oncologists, urologists, colorectal surgeons, </w:t>
      </w:r>
      <w:r w:rsidR="006079F5">
        <w:rPr>
          <w:rFonts w:asciiTheme="minorHAnsi" w:hAnsiTheme="minorHAnsi"/>
          <w:szCs w:val="24"/>
        </w:rPr>
        <w:t>Ear, Nose and Throat Specialists (</w:t>
      </w:r>
      <w:r>
        <w:rPr>
          <w:rFonts w:asciiTheme="minorHAnsi" w:hAnsiTheme="minorHAnsi"/>
          <w:szCs w:val="24"/>
        </w:rPr>
        <w:t>ENTs</w:t>
      </w:r>
      <w:r w:rsidR="006079F5">
        <w:rPr>
          <w:rFonts w:asciiTheme="minorHAnsi" w:hAnsiTheme="minorHAnsi"/>
          <w:szCs w:val="24"/>
        </w:rPr>
        <w:t>)</w:t>
      </w:r>
      <w:r>
        <w:rPr>
          <w:rFonts w:asciiTheme="minorHAnsi" w:hAnsiTheme="minorHAnsi"/>
          <w:szCs w:val="24"/>
        </w:rPr>
        <w:t xml:space="preserve">, neurosurgeons, thoracic surgeons, gynecological surgeons, breast surgeons, neurologists, pulmonologists, primary care physicians (PCPs), self-referrals, and referrals from tumor boards and </w:t>
      </w:r>
      <w:r w:rsidR="00F42478">
        <w:rPr>
          <w:rFonts w:asciiTheme="minorHAnsi" w:hAnsiTheme="minorHAnsi"/>
          <w:szCs w:val="24"/>
        </w:rPr>
        <w:t xml:space="preserve">multidisciplinary clinics. </w:t>
      </w:r>
      <w:r w:rsidR="00EB6D78">
        <w:rPr>
          <w:rFonts w:asciiTheme="minorHAnsi" w:hAnsiTheme="minorHAnsi"/>
          <w:szCs w:val="24"/>
        </w:rPr>
        <w:t>The Applicant</w:t>
      </w:r>
      <w:r w:rsidR="00315348">
        <w:rPr>
          <w:rFonts w:asciiTheme="minorHAnsi" w:hAnsiTheme="minorHAnsi"/>
          <w:szCs w:val="24"/>
        </w:rPr>
        <w:t xml:space="preserve"> states that its</w:t>
      </w:r>
      <w:r w:rsidR="00EB6D78">
        <w:rPr>
          <w:rFonts w:asciiTheme="minorHAnsi" w:hAnsiTheme="minorHAnsi"/>
          <w:szCs w:val="24"/>
        </w:rPr>
        <w:t xml:space="preserve"> pediatric patients may be referred by any oncologist, however, more pediatric patients seek care initially from the Applicant or BCH. </w:t>
      </w:r>
      <w:r w:rsidR="00675F0A">
        <w:rPr>
          <w:rFonts w:asciiTheme="minorHAnsi" w:hAnsiTheme="minorHAnsi"/>
          <w:szCs w:val="24"/>
        </w:rPr>
        <w:t xml:space="preserve">The Applicant anticipates that out-of-state patients will be referred to the Center in the same manner as in-state patients, directly through a physician, by phone or through a self-referral. </w:t>
      </w:r>
    </w:p>
    <w:p w14:paraId="34489CF0" w14:textId="77777777" w:rsidR="00B729AD" w:rsidRDefault="00B729AD" w:rsidP="00BA2054">
      <w:pPr>
        <w:rPr>
          <w:rFonts w:asciiTheme="minorHAnsi" w:hAnsiTheme="minorHAnsi"/>
          <w:szCs w:val="24"/>
        </w:rPr>
      </w:pPr>
    </w:p>
    <w:p w14:paraId="2A7C6E87" w14:textId="247E62C2" w:rsidR="009262E5" w:rsidRDefault="003A34AC" w:rsidP="00BA2054">
      <w:pPr>
        <w:rPr>
          <w:rFonts w:asciiTheme="minorHAnsi" w:hAnsiTheme="minorHAnsi"/>
          <w:szCs w:val="24"/>
        </w:rPr>
      </w:pPr>
      <w:r>
        <w:rPr>
          <w:rFonts w:asciiTheme="minorHAnsi" w:hAnsiTheme="minorHAnsi"/>
          <w:szCs w:val="24"/>
        </w:rPr>
        <w:t>T</w:t>
      </w:r>
      <w:r w:rsidRPr="003A34AC">
        <w:rPr>
          <w:rFonts w:asciiTheme="minorHAnsi" w:hAnsiTheme="minorHAnsi"/>
          <w:szCs w:val="24"/>
        </w:rPr>
        <w:t xml:space="preserve">o identify and assess </w:t>
      </w:r>
      <w:r w:rsidR="006B1A17">
        <w:rPr>
          <w:rFonts w:asciiTheme="minorHAnsi" w:hAnsiTheme="minorHAnsi"/>
          <w:szCs w:val="24"/>
        </w:rPr>
        <w:t>N</w:t>
      </w:r>
      <w:r w:rsidRPr="003A34AC">
        <w:rPr>
          <w:rFonts w:asciiTheme="minorHAnsi" w:hAnsiTheme="minorHAnsi"/>
          <w:szCs w:val="24"/>
        </w:rPr>
        <w:t xml:space="preserve">ew </w:t>
      </w:r>
      <w:r w:rsidR="006B1A17">
        <w:rPr>
          <w:rFonts w:asciiTheme="minorHAnsi" w:hAnsiTheme="minorHAnsi"/>
          <w:szCs w:val="24"/>
        </w:rPr>
        <w:t>P</w:t>
      </w:r>
      <w:r w:rsidRPr="003A34AC">
        <w:rPr>
          <w:rFonts w:asciiTheme="minorHAnsi" w:hAnsiTheme="minorHAnsi"/>
          <w:szCs w:val="24"/>
        </w:rPr>
        <w:t xml:space="preserve">atient </w:t>
      </w:r>
      <w:r w:rsidR="006B1A17">
        <w:rPr>
          <w:rFonts w:asciiTheme="minorHAnsi" w:hAnsiTheme="minorHAnsi"/>
          <w:szCs w:val="24"/>
        </w:rPr>
        <w:t>C</w:t>
      </w:r>
      <w:r w:rsidRPr="003A34AC">
        <w:rPr>
          <w:rFonts w:asciiTheme="minorHAnsi" w:hAnsiTheme="minorHAnsi"/>
          <w:szCs w:val="24"/>
        </w:rPr>
        <w:t>onsult</w:t>
      </w:r>
      <w:r w:rsidR="00D61BF6">
        <w:rPr>
          <w:rFonts w:asciiTheme="minorHAnsi" w:hAnsiTheme="minorHAnsi"/>
          <w:szCs w:val="24"/>
        </w:rPr>
        <w:t>s that were</w:t>
      </w:r>
      <w:r w:rsidRPr="003A34AC">
        <w:rPr>
          <w:rFonts w:asciiTheme="minorHAnsi" w:hAnsiTheme="minorHAnsi"/>
          <w:szCs w:val="24"/>
        </w:rPr>
        <w:t xml:space="preserve"> eligib</w:t>
      </w:r>
      <w:r w:rsidR="00D61BF6">
        <w:rPr>
          <w:rFonts w:asciiTheme="minorHAnsi" w:hAnsiTheme="minorHAnsi"/>
          <w:szCs w:val="24"/>
        </w:rPr>
        <w:t>le</w:t>
      </w:r>
      <w:r w:rsidRPr="003A34AC">
        <w:rPr>
          <w:rFonts w:asciiTheme="minorHAnsi" w:hAnsiTheme="minorHAnsi"/>
          <w:szCs w:val="24"/>
        </w:rPr>
        <w:t xml:space="preserve"> for </w:t>
      </w:r>
      <w:r>
        <w:rPr>
          <w:rFonts w:asciiTheme="minorHAnsi" w:hAnsiTheme="minorHAnsi"/>
          <w:szCs w:val="24"/>
        </w:rPr>
        <w:t>PBT, t</w:t>
      </w:r>
      <w:r w:rsidR="000E5328">
        <w:rPr>
          <w:rFonts w:asciiTheme="minorHAnsi" w:hAnsiTheme="minorHAnsi"/>
          <w:szCs w:val="24"/>
        </w:rPr>
        <w:t>he Applicant</w:t>
      </w:r>
      <w:r w:rsidR="00A81670">
        <w:rPr>
          <w:rFonts w:asciiTheme="minorHAnsi" w:hAnsiTheme="minorHAnsi"/>
          <w:szCs w:val="24"/>
        </w:rPr>
        <w:t xml:space="preserve"> </w:t>
      </w:r>
      <w:r w:rsidR="000E5328">
        <w:rPr>
          <w:rFonts w:asciiTheme="minorHAnsi" w:hAnsiTheme="minorHAnsi"/>
          <w:szCs w:val="24"/>
        </w:rPr>
        <w:t>used</w:t>
      </w:r>
      <w:r w:rsidR="00DF4A7C">
        <w:rPr>
          <w:rFonts w:asciiTheme="minorHAnsi" w:hAnsiTheme="minorHAnsi"/>
          <w:szCs w:val="24"/>
        </w:rPr>
        <w:t xml:space="preserve"> </w:t>
      </w:r>
      <w:r w:rsidR="00124F2B">
        <w:rPr>
          <w:rFonts w:asciiTheme="minorHAnsi" w:hAnsiTheme="minorHAnsi"/>
          <w:szCs w:val="24"/>
        </w:rPr>
        <w:t>CMS’</w:t>
      </w:r>
      <w:r w:rsidR="000E5328">
        <w:rPr>
          <w:rFonts w:asciiTheme="minorHAnsi" w:hAnsiTheme="minorHAnsi"/>
          <w:szCs w:val="24"/>
        </w:rPr>
        <w:t xml:space="preserve"> </w:t>
      </w:r>
      <w:r w:rsidR="00431213" w:rsidRPr="00431213">
        <w:rPr>
          <w:rFonts w:asciiTheme="minorHAnsi" w:hAnsiTheme="minorHAnsi"/>
          <w:szCs w:val="24"/>
        </w:rPr>
        <w:t xml:space="preserve">Local Coverage Determination (LCD) </w:t>
      </w:r>
      <w:r w:rsidR="00431213">
        <w:rPr>
          <w:rFonts w:asciiTheme="minorHAnsi" w:hAnsiTheme="minorHAnsi"/>
          <w:szCs w:val="24"/>
        </w:rPr>
        <w:t xml:space="preserve">for </w:t>
      </w:r>
      <w:r w:rsidR="00431213" w:rsidRPr="00431213">
        <w:rPr>
          <w:rFonts w:asciiTheme="minorHAnsi" w:hAnsiTheme="minorHAnsi"/>
          <w:szCs w:val="24"/>
        </w:rPr>
        <w:t xml:space="preserve">Proton Beam </w:t>
      </w:r>
      <w:r w:rsidR="00A76EB5">
        <w:rPr>
          <w:rFonts w:asciiTheme="minorHAnsi" w:hAnsiTheme="minorHAnsi"/>
          <w:szCs w:val="24"/>
        </w:rPr>
        <w:t>Therapy</w:t>
      </w:r>
      <w:r w:rsidR="0064703D">
        <w:rPr>
          <w:rFonts w:asciiTheme="minorHAnsi" w:hAnsiTheme="minorHAnsi"/>
          <w:szCs w:val="24"/>
        </w:rPr>
        <w:t xml:space="preserve"> (</w:t>
      </w:r>
      <w:r w:rsidR="0064703D" w:rsidRPr="0064703D">
        <w:rPr>
          <w:rFonts w:asciiTheme="minorHAnsi" w:hAnsiTheme="minorHAnsi"/>
          <w:szCs w:val="24"/>
        </w:rPr>
        <w:t>LCD ID</w:t>
      </w:r>
      <w:r w:rsidR="0064703D">
        <w:rPr>
          <w:rFonts w:asciiTheme="minorHAnsi" w:hAnsiTheme="minorHAnsi"/>
          <w:szCs w:val="24"/>
        </w:rPr>
        <w:t xml:space="preserve"> </w:t>
      </w:r>
      <w:r w:rsidR="0064703D" w:rsidRPr="0064703D">
        <w:rPr>
          <w:rFonts w:asciiTheme="minorHAnsi" w:hAnsiTheme="minorHAnsi"/>
          <w:szCs w:val="24"/>
        </w:rPr>
        <w:t>L3</w:t>
      </w:r>
      <w:r w:rsidR="004E3F1E">
        <w:rPr>
          <w:rFonts w:asciiTheme="minorHAnsi" w:hAnsiTheme="minorHAnsi"/>
          <w:szCs w:val="24"/>
        </w:rPr>
        <w:t>5075</w:t>
      </w:r>
      <w:r w:rsidR="0064703D">
        <w:rPr>
          <w:rFonts w:asciiTheme="minorHAnsi" w:hAnsiTheme="minorHAnsi"/>
          <w:szCs w:val="24"/>
        </w:rPr>
        <w:t>)</w:t>
      </w:r>
      <w:r w:rsidR="005C700F">
        <w:rPr>
          <w:rFonts w:asciiTheme="minorHAnsi" w:hAnsiTheme="minorHAnsi"/>
          <w:szCs w:val="24"/>
        </w:rPr>
        <w:t xml:space="preserve"> which outlines </w:t>
      </w:r>
      <w:r w:rsidR="000739A9">
        <w:rPr>
          <w:rFonts w:asciiTheme="minorHAnsi" w:hAnsiTheme="minorHAnsi"/>
          <w:szCs w:val="24"/>
        </w:rPr>
        <w:t xml:space="preserve">the </w:t>
      </w:r>
      <w:r w:rsidR="0032794A">
        <w:rPr>
          <w:rFonts w:asciiTheme="minorHAnsi" w:hAnsiTheme="minorHAnsi"/>
          <w:szCs w:val="24"/>
        </w:rPr>
        <w:t xml:space="preserve">conditions for which </w:t>
      </w:r>
      <w:r w:rsidR="00551B7F">
        <w:rPr>
          <w:rFonts w:asciiTheme="minorHAnsi" w:hAnsiTheme="minorHAnsi"/>
          <w:szCs w:val="24"/>
        </w:rPr>
        <w:t>PBT</w:t>
      </w:r>
      <w:r w:rsidR="0032794A">
        <w:rPr>
          <w:rFonts w:asciiTheme="minorHAnsi" w:hAnsiTheme="minorHAnsi"/>
          <w:szCs w:val="24"/>
        </w:rPr>
        <w:t xml:space="preserve"> is considered medically reasonable and necessary</w:t>
      </w:r>
      <w:r w:rsidR="00973FF6">
        <w:rPr>
          <w:rFonts w:asciiTheme="minorHAnsi" w:hAnsiTheme="minorHAnsi"/>
          <w:szCs w:val="24"/>
        </w:rPr>
        <w:t xml:space="preserve"> (Group 1) as well as </w:t>
      </w:r>
      <w:r w:rsidR="001D659B">
        <w:rPr>
          <w:rFonts w:asciiTheme="minorHAnsi" w:hAnsiTheme="minorHAnsi"/>
          <w:szCs w:val="24"/>
        </w:rPr>
        <w:t>certain other conditions</w:t>
      </w:r>
      <w:r>
        <w:rPr>
          <w:rFonts w:asciiTheme="minorHAnsi" w:hAnsiTheme="minorHAnsi"/>
          <w:szCs w:val="24"/>
        </w:rPr>
        <w:t xml:space="preserve"> </w:t>
      </w:r>
      <w:r w:rsidR="00B1015C">
        <w:rPr>
          <w:rFonts w:asciiTheme="minorHAnsi" w:hAnsiTheme="minorHAnsi"/>
          <w:szCs w:val="24"/>
        </w:rPr>
        <w:t>which is</w:t>
      </w:r>
      <w:r>
        <w:rPr>
          <w:rFonts w:asciiTheme="minorHAnsi" w:hAnsiTheme="minorHAnsi"/>
          <w:szCs w:val="24"/>
        </w:rPr>
        <w:t xml:space="preserve"> </w:t>
      </w:r>
      <w:r w:rsidR="00B1015C" w:rsidRPr="00B1015C">
        <w:rPr>
          <w:rFonts w:asciiTheme="minorHAnsi" w:hAnsiTheme="minorHAnsi"/>
          <w:szCs w:val="24"/>
        </w:rPr>
        <w:t>limited to providers who have demonstrated experience in data collection</w:t>
      </w:r>
      <w:r w:rsidR="003C6055">
        <w:rPr>
          <w:rFonts w:asciiTheme="minorHAnsi" w:hAnsiTheme="minorHAnsi"/>
          <w:szCs w:val="24"/>
        </w:rPr>
        <w:t xml:space="preserve"> and </w:t>
      </w:r>
      <w:r w:rsidR="00B1015C" w:rsidRPr="00B1015C">
        <w:rPr>
          <w:rFonts w:asciiTheme="minorHAnsi" w:hAnsiTheme="minorHAnsi"/>
          <w:szCs w:val="24"/>
        </w:rPr>
        <w:t>analysis with a history of publication in the peer-reviewed medical literature</w:t>
      </w:r>
      <w:r w:rsidR="003C6055">
        <w:rPr>
          <w:rFonts w:asciiTheme="minorHAnsi" w:hAnsiTheme="minorHAnsi"/>
          <w:szCs w:val="24"/>
        </w:rPr>
        <w:t xml:space="preserve"> (Group 2)</w:t>
      </w:r>
      <w:r w:rsidR="0064703D">
        <w:rPr>
          <w:rFonts w:asciiTheme="minorHAnsi" w:hAnsiTheme="minorHAnsi"/>
          <w:szCs w:val="24"/>
        </w:rPr>
        <w:t>.</w:t>
      </w:r>
      <w:r w:rsidR="00B02DC3">
        <w:rPr>
          <w:rStyle w:val="EndnoteReference"/>
          <w:rFonts w:asciiTheme="minorHAnsi" w:hAnsiTheme="minorHAnsi"/>
          <w:szCs w:val="24"/>
        </w:rPr>
        <w:endnoteReference w:id="35"/>
      </w:r>
      <w:r w:rsidR="00F0555F">
        <w:rPr>
          <w:rFonts w:asciiTheme="minorHAnsi" w:hAnsiTheme="minorHAnsi"/>
          <w:szCs w:val="24"/>
        </w:rPr>
        <w:t xml:space="preserve"> </w:t>
      </w:r>
      <w:r w:rsidR="003C6055">
        <w:rPr>
          <w:rFonts w:asciiTheme="minorHAnsi" w:hAnsiTheme="minorHAnsi"/>
          <w:szCs w:val="24"/>
        </w:rPr>
        <w:t xml:space="preserve">CMS’ groupings are outlined below in Table </w:t>
      </w:r>
      <w:r w:rsidR="000F3288">
        <w:rPr>
          <w:rFonts w:asciiTheme="minorHAnsi" w:hAnsiTheme="minorHAnsi"/>
          <w:szCs w:val="24"/>
        </w:rPr>
        <w:t>9</w:t>
      </w:r>
      <w:r w:rsidR="003C6055">
        <w:rPr>
          <w:rFonts w:asciiTheme="minorHAnsi" w:hAnsiTheme="minorHAnsi"/>
          <w:szCs w:val="24"/>
        </w:rPr>
        <w:t xml:space="preserve">. </w:t>
      </w:r>
      <w:r w:rsidR="00367B6C" w:rsidRPr="00367B6C">
        <w:rPr>
          <w:rFonts w:asciiTheme="minorHAnsi" w:hAnsiTheme="minorHAnsi"/>
          <w:szCs w:val="24"/>
        </w:rPr>
        <w:t>The Applicant states that PBT is widely accepted as the most appropriate radiation modality for children with access to it</w:t>
      </w:r>
      <w:r w:rsidR="004F6E3F">
        <w:rPr>
          <w:rFonts w:asciiTheme="minorHAnsi" w:hAnsiTheme="minorHAnsi"/>
          <w:szCs w:val="24"/>
        </w:rPr>
        <w:t xml:space="preserve">, and </w:t>
      </w:r>
      <w:r w:rsidR="007B1C1A">
        <w:rPr>
          <w:rFonts w:asciiTheme="minorHAnsi" w:hAnsiTheme="minorHAnsi"/>
          <w:szCs w:val="24"/>
        </w:rPr>
        <w:t xml:space="preserve">notes that </w:t>
      </w:r>
      <w:r w:rsidR="00CF7DE6">
        <w:rPr>
          <w:rFonts w:asciiTheme="minorHAnsi" w:hAnsiTheme="minorHAnsi"/>
          <w:szCs w:val="24"/>
        </w:rPr>
        <w:t xml:space="preserve">CMS’ </w:t>
      </w:r>
      <w:r w:rsidR="007B1C1A">
        <w:rPr>
          <w:rFonts w:asciiTheme="minorHAnsi" w:hAnsiTheme="minorHAnsi"/>
          <w:szCs w:val="24"/>
        </w:rPr>
        <w:t xml:space="preserve">Group 1 includes all pediatric patients with solid tumors. </w:t>
      </w:r>
    </w:p>
    <w:p w14:paraId="165CE457" w14:textId="77777777" w:rsidR="003735D4" w:rsidRDefault="003735D4" w:rsidP="00BA2054">
      <w:pPr>
        <w:rPr>
          <w:rFonts w:asciiTheme="minorHAnsi" w:hAnsiTheme="minorHAnsi"/>
          <w:szCs w:val="24"/>
        </w:rPr>
      </w:pPr>
    </w:p>
    <w:p w14:paraId="3E2F3CC2" w14:textId="5BE7420A" w:rsidR="00F0555F" w:rsidRPr="00B02DC3" w:rsidRDefault="003C6055" w:rsidP="00B02DC3">
      <w:pPr>
        <w:rPr>
          <w:rFonts w:asciiTheme="minorHAnsi" w:hAnsiTheme="minorHAnsi"/>
          <w:b/>
          <w:bCs/>
          <w:szCs w:val="24"/>
        </w:rPr>
      </w:pPr>
      <w:r w:rsidRPr="00B02DC3">
        <w:rPr>
          <w:rFonts w:asciiTheme="minorHAnsi" w:hAnsiTheme="minorHAnsi"/>
          <w:b/>
          <w:bCs/>
          <w:szCs w:val="24"/>
          <w:u w:val="single"/>
        </w:rPr>
        <w:t xml:space="preserve">Table </w:t>
      </w:r>
      <w:r w:rsidR="000F3288">
        <w:rPr>
          <w:rFonts w:asciiTheme="minorHAnsi" w:hAnsiTheme="minorHAnsi"/>
          <w:b/>
          <w:bCs/>
          <w:szCs w:val="24"/>
          <w:u w:val="single"/>
        </w:rPr>
        <w:t>9</w:t>
      </w:r>
      <w:r w:rsidRPr="00B02DC3">
        <w:rPr>
          <w:rFonts w:asciiTheme="minorHAnsi" w:hAnsiTheme="minorHAnsi"/>
          <w:b/>
          <w:bCs/>
          <w:szCs w:val="24"/>
        </w:rPr>
        <w:t xml:space="preserve">: </w:t>
      </w:r>
      <w:r w:rsidR="00B02DC3">
        <w:rPr>
          <w:rFonts w:asciiTheme="minorHAnsi" w:hAnsiTheme="minorHAnsi"/>
          <w:b/>
          <w:bCs/>
          <w:szCs w:val="24"/>
        </w:rPr>
        <w:t xml:space="preserve">CMS </w:t>
      </w:r>
      <w:r w:rsidR="00B02DC3" w:rsidRPr="00B02DC3">
        <w:rPr>
          <w:rFonts w:asciiTheme="minorHAnsi" w:hAnsiTheme="minorHAnsi"/>
          <w:b/>
          <w:bCs/>
          <w:szCs w:val="24"/>
        </w:rPr>
        <w:t>Local Coverage Determination (LCD)</w:t>
      </w:r>
      <w:r w:rsidR="00F030EC">
        <w:rPr>
          <w:rFonts w:asciiTheme="minorHAnsi" w:hAnsiTheme="minorHAnsi"/>
          <w:b/>
          <w:bCs/>
          <w:szCs w:val="24"/>
        </w:rPr>
        <w:t>,</w:t>
      </w:r>
      <w:r w:rsidR="00B02DC3" w:rsidRPr="00B02DC3">
        <w:rPr>
          <w:rFonts w:asciiTheme="minorHAnsi" w:hAnsiTheme="minorHAnsi"/>
          <w:b/>
          <w:bCs/>
          <w:szCs w:val="24"/>
        </w:rPr>
        <w:t xml:space="preserve"> Proton Beam Radiotherapy</w:t>
      </w:r>
      <w:r w:rsidR="00244841">
        <w:rPr>
          <w:rFonts w:asciiTheme="minorHAnsi" w:hAnsiTheme="minorHAnsi"/>
          <w:b/>
          <w:bCs/>
          <w:szCs w:val="24"/>
        </w:rPr>
        <w:t xml:space="preserve"> (35075)</w:t>
      </w:r>
    </w:p>
    <w:tbl>
      <w:tblPr>
        <w:tblStyle w:val="TableGrid"/>
        <w:tblW w:w="0" w:type="auto"/>
        <w:tblLook w:val="04A0" w:firstRow="1" w:lastRow="0" w:firstColumn="1" w:lastColumn="0" w:noHBand="0" w:noVBand="1"/>
      </w:tblPr>
      <w:tblGrid>
        <w:gridCol w:w="9811"/>
      </w:tblGrid>
      <w:tr w:rsidR="00440565" w14:paraId="418825A5" w14:textId="77777777" w:rsidTr="006858CF">
        <w:trPr>
          <w:cantSplit/>
        </w:trPr>
        <w:tc>
          <w:tcPr>
            <w:tcW w:w="0" w:type="auto"/>
            <w:shd w:val="clear" w:color="auto" w:fill="DBE5F1" w:themeFill="accent1" w:themeFillTint="33"/>
          </w:tcPr>
          <w:p w14:paraId="7EE555F6" w14:textId="398B077E" w:rsidR="00440565" w:rsidRPr="00B02DC3" w:rsidRDefault="00440565" w:rsidP="00BA2054">
            <w:pPr>
              <w:rPr>
                <w:rFonts w:asciiTheme="minorHAnsi" w:hAnsiTheme="minorHAnsi"/>
                <w:b/>
                <w:bCs/>
                <w:szCs w:val="24"/>
              </w:rPr>
            </w:pPr>
            <w:r w:rsidRPr="00B02DC3">
              <w:rPr>
                <w:rFonts w:asciiTheme="minorHAnsi" w:hAnsiTheme="minorHAnsi"/>
                <w:b/>
                <w:bCs/>
                <w:szCs w:val="24"/>
              </w:rPr>
              <w:t>Group 1</w:t>
            </w:r>
            <w:r>
              <w:rPr>
                <w:rFonts w:asciiTheme="minorHAnsi" w:hAnsiTheme="minorHAnsi"/>
                <w:b/>
                <w:bCs/>
                <w:szCs w:val="24"/>
              </w:rPr>
              <w:t xml:space="preserve"> </w:t>
            </w:r>
          </w:p>
        </w:tc>
      </w:tr>
      <w:tr w:rsidR="00440565" w14:paraId="6B029E44" w14:textId="77777777" w:rsidTr="006858CF">
        <w:trPr>
          <w:cantSplit/>
        </w:trPr>
        <w:tc>
          <w:tcPr>
            <w:tcW w:w="0" w:type="auto"/>
          </w:tcPr>
          <w:p w14:paraId="4ECB3AFE" w14:textId="0D4ED15D" w:rsidR="00FC2A5C" w:rsidRPr="00FC2A5C" w:rsidRDefault="00FC2A5C" w:rsidP="00FC2A5C">
            <w:pPr>
              <w:rPr>
                <w:rFonts w:asciiTheme="minorHAnsi" w:hAnsiTheme="minorHAnsi"/>
                <w:szCs w:val="24"/>
              </w:rPr>
            </w:pPr>
            <w:r w:rsidRPr="00FC2A5C">
              <w:rPr>
                <w:rFonts w:asciiTheme="minorHAnsi" w:hAnsiTheme="minorHAnsi"/>
                <w:szCs w:val="24"/>
              </w:rPr>
              <w:lastRenderedPageBreak/>
              <w:t>On the basis of the above medical necessity requirements</w:t>
            </w:r>
            <w:r w:rsidR="00540D1F">
              <w:rPr>
                <w:rStyle w:val="FootnoteReference"/>
                <w:rFonts w:asciiTheme="minorHAnsi" w:hAnsiTheme="minorHAnsi"/>
                <w:szCs w:val="24"/>
              </w:rPr>
              <w:footnoteReference w:id="28"/>
            </w:r>
            <w:r w:rsidRPr="00FC2A5C">
              <w:rPr>
                <w:rFonts w:asciiTheme="minorHAnsi" w:hAnsiTheme="minorHAnsi"/>
                <w:szCs w:val="24"/>
              </w:rPr>
              <w:t xml:space="preserve"> and published clinical data, disease sites that frequently support the use of PBT include the following:</w:t>
            </w:r>
          </w:p>
          <w:p w14:paraId="65A2F4EB" w14:textId="77777777" w:rsidR="00FC2A5C" w:rsidRPr="00FC2A5C" w:rsidRDefault="00FC2A5C" w:rsidP="00FC2A5C">
            <w:pPr>
              <w:numPr>
                <w:ilvl w:val="0"/>
                <w:numId w:val="45"/>
              </w:numPr>
              <w:rPr>
                <w:rFonts w:asciiTheme="minorHAnsi" w:hAnsiTheme="minorHAnsi"/>
                <w:szCs w:val="24"/>
              </w:rPr>
            </w:pPr>
            <w:r w:rsidRPr="00FC2A5C">
              <w:rPr>
                <w:rFonts w:asciiTheme="minorHAnsi" w:hAnsiTheme="minorHAnsi"/>
                <w:szCs w:val="24"/>
              </w:rPr>
              <w:t>Ocular tumors, including intraocular melanomas</w:t>
            </w:r>
          </w:p>
          <w:p w14:paraId="379AC2A0" w14:textId="11BC22FC" w:rsidR="00FC2A5C" w:rsidRPr="00FC2A5C" w:rsidRDefault="00FC2A5C" w:rsidP="00FC2A5C">
            <w:pPr>
              <w:numPr>
                <w:ilvl w:val="0"/>
                <w:numId w:val="45"/>
              </w:numPr>
              <w:rPr>
                <w:rFonts w:asciiTheme="minorHAnsi" w:hAnsiTheme="minorHAnsi"/>
                <w:szCs w:val="24"/>
              </w:rPr>
            </w:pPr>
            <w:r w:rsidRPr="00FC2A5C">
              <w:rPr>
                <w:rFonts w:asciiTheme="minorHAnsi" w:hAnsiTheme="minorHAnsi"/>
                <w:szCs w:val="24"/>
              </w:rPr>
              <w:t>Tumors that approach or are located at the base of skull, including but not limited to:</w:t>
            </w:r>
          </w:p>
          <w:p w14:paraId="47293324" w14:textId="77777777" w:rsidR="00FC2A5C" w:rsidRPr="00FC2A5C" w:rsidRDefault="00FC2A5C" w:rsidP="00FC2A5C">
            <w:pPr>
              <w:numPr>
                <w:ilvl w:val="1"/>
                <w:numId w:val="45"/>
              </w:numPr>
              <w:rPr>
                <w:rFonts w:asciiTheme="minorHAnsi" w:hAnsiTheme="minorHAnsi"/>
                <w:szCs w:val="24"/>
              </w:rPr>
            </w:pPr>
            <w:r w:rsidRPr="00FC2A5C">
              <w:rPr>
                <w:rFonts w:asciiTheme="minorHAnsi" w:hAnsiTheme="minorHAnsi"/>
                <w:szCs w:val="24"/>
              </w:rPr>
              <w:t>Chordoma</w:t>
            </w:r>
          </w:p>
          <w:p w14:paraId="129BBCB4" w14:textId="77777777" w:rsidR="00FC2A5C" w:rsidRPr="00FC2A5C" w:rsidRDefault="00FC2A5C" w:rsidP="00FC2A5C">
            <w:pPr>
              <w:numPr>
                <w:ilvl w:val="1"/>
                <w:numId w:val="45"/>
              </w:numPr>
              <w:rPr>
                <w:rFonts w:asciiTheme="minorHAnsi" w:hAnsiTheme="minorHAnsi"/>
                <w:szCs w:val="24"/>
              </w:rPr>
            </w:pPr>
            <w:r w:rsidRPr="00FC2A5C">
              <w:rPr>
                <w:rFonts w:asciiTheme="minorHAnsi" w:hAnsiTheme="minorHAnsi"/>
                <w:szCs w:val="24"/>
              </w:rPr>
              <w:t>Chondrosarcomas</w:t>
            </w:r>
          </w:p>
          <w:p w14:paraId="7BA309F2" w14:textId="77777777" w:rsidR="00FC2A5C" w:rsidRPr="00FC2A5C" w:rsidRDefault="00FC2A5C" w:rsidP="00FC2A5C">
            <w:pPr>
              <w:numPr>
                <w:ilvl w:val="1"/>
                <w:numId w:val="45"/>
              </w:numPr>
              <w:rPr>
                <w:rFonts w:asciiTheme="minorHAnsi" w:hAnsiTheme="minorHAnsi"/>
                <w:szCs w:val="24"/>
              </w:rPr>
            </w:pPr>
            <w:r w:rsidRPr="00FC2A5C">
              <w:rPr>
                <w:rFonts w:asciiTheme="minorHAnsi" w:hAnsiTheme="minorHAnsi"/>
                <w:szCs w:val="24"/>
              </w:rPr>
              <w:t>Primary or metastatic tumors of the spine where the spinal cord tolerance may be exceeded with conventional treatment or where the spinal cord has previously been irradiated</w:t>
            </w:r>
          </w:p>
          <w:p w14:paraId="38C190D6" w14:textId="77777777" w:rsidR="00FC2A5C" w:rsidRPr="00FC2A5C" w:rsidRDefault="00FC2A5C" w:rsidP="00FC2A5C">
            <w:pPr>
              <w:numPr>
                <w:ilvl w:val="0"/>
                <w:numId w:val="45"/>
              </w:numPr>
              <w:rPr>
                <w:rFonts w:asciiTheme="minorHAnsi" w:hAnsiTheme="minorHAnsi"/>
                <w:szCs w:val="24"/>
              </w:rPr>
            </w:pPr>
            <w:r w:rsidRPr="00FC2A5C">
              <w:rPr>
                <w:rFonts w:asciiTheme="minorHAnsi" w:hAnsiTheme="minorHAnsi"/>
                <w:szCs w:val="24"/>
              </w:rPr>
              <w:t>Unresectable benign or malignant central nervous system tumors to include but not be limited to primary and variant forms of astrocytoma, glioblastoma, medulloblastoma, acoustic neuroma, craniopharyngioma, benign and atypical meningiomas, pineal gland tumors, and arteriovenous malformations</w:t>
            </w:r>
          </w:p>
          <w:p w14:paraId="74DE2866" w14:textId="77777777" w:rsidR="00FC2A5C" w:rsidRPr="00FC2A5C" w:rsidRDefault="00FC2A5C" w:rsidP="00FC2A5C">
            <w:pPr>
              <w:numPr>
                <w:ilvl w:val="0"/>
                <w:numId w:val="45"/>
              </w:numPr>
              <w:rPr>
                <w:rFonts w:asciiTheme="minorHAnsi" w:hAnsiTheme="minorHAnsi"/>
                <w:szCs w:val="24"/>
              </w:rPr>
            </w:pPr>
            <w:r w:rsidRPr="00FC2A5C">
              <w:rPr>
                <w:rFonts w:asciiTheme="minorHAnsi" w:hAnsiTheme="minorHAnsi"/>
                <w:szCs w:val="24"/>
              </w:rPr>
              <w:t>Primary hepatocellular cancer treated in a hypofractionated regimen</w:t>
            </w:r>
          </w:p>
          <w:p w14:paraId="09C0B5E9" w14:textId="77777777" w:rsidR="00FC2A5C" w:rsidRPr="00FC2A5C" w:rsidRDefault="00FC2A5C" w:rsidP="00FC2A5C">
            <w:pPr>
              <w:numPr>
                <w:ilvl w:val="0"/>
                <w:numId w:val="45"/>
              </w:numPr>
              <w:rPr>
                <w:rFonts w:asciiTheme="minorHAnsi" w:hAnsiTheme="minorHAnsi"/>
                <w:szCs w:val="24"/>
              </w:rPr>
            </w:pPr>
            <w:r w:rsidRPr="00FC2A5C">
              <w:rPr>
                <w:rFonts w:asciiTheme="minorHAnsi" w:hAnsiTheme="minorHAnsi"/>
                <w:szCs w:val="24"/>
              </w:rPr>
              <w:t>Primary or benign solid tumors in children treated with curative intent and occasional palliative treatment of childhood tumors when at least one of the four criteria noted above apply</w:t>
            </w:r>
          </w:p>
          <w:p w14:paraId="410F7201" w14:textId="77777777" w:rsidR="00FC2A5C" w:rsidRPr="00FC2A5C" w:rsidRDefault="00FC2A5C" w:rsidP="00FC2A5C">
            <w:pPr>
              <w:numPr>
                <w:ilvl w:val="0"/>
                <w:numId w:val="45"/>
              </w:numPr>
              <w:rPr>
                <w:rFonts w:asciiTheme="minorHAnsi" w:hAnsiTheme="minorHAnsi"/>
                <w:szCs w:val="24"/>
              </w:rPr>
            </w:pPr>
            <w:r w:rsidRPr="00FC2A5C">
              <w:rPr>
                <w:rFonts w:asciiTheme="minorHAnsi" w:hAnsiTheme="minorHAnsi"/>
                <w:szCs w:val="24"/>
              </w:rPr>
              <w:t>Patients with genetic syndromes making total volume of radiation minimization crucial such as but not limited to NF-1 patients and retinoblastoma patients</w:t>
            </w:r>
          </w:p>
          <w:p w14:paraId="08955959" w14:textId="77777777" w:rsidR="00FC2A5C" w:rsidRPr="00FC2A5C" w:rsidRDefault="00FC2A5C" w:rsidP="00FC2A5C">
            <w:pPr>
              <w:numPr>
                <w:ilvl w:val="0"/>
                <w:numId w:val="45"/>
              </w:numPr>
              <w:rPr>
                <w:rFonts w:asciiTheme="minorHAnsi" w:hAnsiTheme="minorHAnsi"/>
                <w:szCs w:val="24"/>
              </w:rPr>
            </w:pPr>
            <w:r w:rsidRPr="00FC2A5C">
              <w:rPr>
                <w:rFonts w:asciiTheme="minorHAnsi" w:hAnsiTheme="minorHAnsi"/>
                <w:szCs w:val="24"/>
              </w:rPr>
              <w:t>Pituitary neoplasm</w:t>
            </w:r>
          </w:p>
          <w:p w14:paraId="64915BA9" w14:textId="77777777" w:rsidR="00FC2A5C" w:rsidRPr="00FC2A5C" w:rsidRDefault="00FC2A5C" w:rsidP="00FC2A5C">
            <w:pPr>
              <w:numPr>
                <w:ilvl w:val="0"/>
                <w:numId w:val="45"/>
              </w:numPr>
              <w:rPr>
                <w:rFonts w:asciiTheme="minorHAnsi" w:hAnsiTheme="minorHAnsi"/>
                <w:szCs w:val="24"/>
              </w:rPr>
            </w:pPr>
            <w:r w:rsidRPr="00FC2A5C">
              <w:rPr>
                <w:rFonts w:asciiTheme="minorHAnsi" w:hAnsiTheme="minorHAnsi"/>
                <w:szCs w:val="24"/>
              </w:rPr>
              <w:t>Advanced staged (e.g., T4) and/or unresectable malignant lesions of the head and neck</w:t>
            </w:r>
          </w:p>
          <w:p w14:paraId="3776424E" w14:textId="77777777" w:rsidR="00FC2A5C" w:rsidRPr="00FC2A5C" w:rsidRDefault="00FC2A5C" w:rsidP="00FC2A5C">
            <w:pPr>
              <w:numPr>
                <w:ilvl w:val="0"/>
                <w:numId w:val="45"/>
              </w:numPr>
              <w:rPr>
                <w:rFonts w:asciiTheme="minorHAnsi" w:hAnsiTheme="minorHAnsi"/>
                <w:szCs w:val="24"/>
              </w:rPr>
            </w:pPr>
            <w:r w:rsidRPr="00FC2A5C">
              <w:rPr>
                <w:rFonts w:asciiTheme="minorHAnsi" w:hAnsiTheme="minorHAnsi"/>
                <w:szCs w:val="24"/>
              </w:rPr>
              <w:t>Malignant lesions of the paranasal sinus, and other accessory sinuses</w:t>
            </w:r>
          </w:p>
          <w:p w14:paraId="4EDA70FE" w14:textId="77777777" w:rsidR="00FC2A5C" w:rsidRPr="00FC2A5C" w:rsidRDefault="00FC2A5C" w:rsidP="00FC2A5C">
            <w:pPr>
              <w:numPr>
                <w:ilvl w:val="0"/>
                <w:numId w:val="45"/>
              </w:numPr>
              <w:rPr>
                <w:rFonts w:asciiTheme="minorHAnsi" w:hAnsiTheme="minorHAnsi"/>
                <w:szCs w:val="24"/>
              </w:rPr>
            </w:pPr>
            <w:r w:rsidRPr="00FC2A5C">
              <w:rPr>
                <w:rFonts w:asciiTheme="minorHAnsi" w:hAnsiTheme="minorHAnsi"/>
                <w:szCs w:val="24"/>
              </w:rPr>
              <w:t>Unresectable retroperitoneal sarcoma.</w:t>
            </w:r>
          </w:p>
          <w:p w14:paraId="127474B6" w14:textId="2D2DA521" w:rsidR="00440565" w:rsidRPr="00187079" w:rsidRDefault="00FC2A5C" w:rsidP="00FC2A5C">
            <w:pPr>
              <w:rPr>
                <w:rFonts w:asciiTheme="minorHAnsi" w:hAnsiTheme="minorHAnsi"/>
                <w:szCs w:val="24"/>
              </w:rPr>
            </w:pPr>
            <w:r w:rsidRPr="00FC2A5C">
              <w:rPr>
                <w:rFonts w:asciiTheme="minorHAnsi" w:hAnsiTheme="minorHAnsi"/>
                <w:szCs w:val="24"/>
              </w:rPr>
              <w:br/>
              <w:t>PBT is one of the acceptable forms of external beam radiation therapy that may be used to administer Stereotactic Body Radiation Therapy (SBRT) or Stereotactic Radiosurgery (SRS). When PBT is used to administer SBRT or SRS, the delivery and management codes relevant for SBRT or SRS apply, and the same clinical indications apply as for those treatment strategies.</w:t>
            </w:r>
          </w:p>
        </w:tc>
      </w:tr>
      <w:tr w:rsidR="00440565" w14:paraId="2EC8962F" w14:textId="77777777" w:rsidTr="006858CF">
        <w:trPr>
          <w:cantSplit/>
        </w:trPr>
        <w:tc>
          <w:tcPr>
            <w:tcW w:w="0" w:type="auto"/>
            <w:shd w:val="clear" w:color="auto" w:fill="DBE5F1" w:themeFill="accent1" w:themeFillTint="33"/>
          </w:tcPr>
          <w:p w14:paraId="560F94B4" w14:textId="2DD2439A" w:rsidR="00440565" w:rsidRPr="00440565" w:rsidRDefault="00440565" w:rsidP="00440565">
            <w:pPr>
              <w:rPr>
                <w:rFonts w:asciiTheme="minorHAnsi" w:hAnsiTheme="minorHAnsi"/>
                <w:b/>
                <w:bCs/>
                <w:szCs w:val="24"/>
              </w:rPr>
            </w:pPr>
            <w:r w:rsidRPr="00440565">
              <w:rPr>
                <w:rFonts w:asciiTheme="minorHAnsi" w:hAnsiTheme="minorHAnsi"/>
                <w:b/>
                <w:bCs/>
                <w:szCs w:val="24"/>
              </w:rPr>
              <w:t>Group 2</w:t>
            </w:r>
          </w:p>
        </w:tc>
      </w:tr>
      <w:tr w:rsidR="00440565" w14:paraId="4CAF7931" w14:textId="77777777" w:rsidTr="006858CF">
        <w:trPr>
          <w:cantSplit/>
        </w:trPr>
        <w:tc>
          <w:tcPr>
            <w:tcW w:w="0" w:type="auto"/>
          </w:tcPr>
          <w:p w14:paraId="112E40DE" w14:textId="5719A0A0" w:rsidR="00926B90" w:rsidRPr="00926B90" w:rsidRDefault="00926B90" w:rsidP="00926B90">
            <w:pPr>
              <w:rPr>
                <w:rFonts w:asciiTheme="minorHAnsi" w:hAnsiTheme="minorHAnsi"/>
                <w:szCs w:val="24"/>
              </w:rPr>
            </w:pPr>
            <w:r w:rsidRPr="00926B90">
              <w:rPr>
                <w:rFonts w:asciiTheme="minorHAnsi" w:hAnsiTheme="minorHAnsi"/>
                <w:szCs w:val="24"/>
              </w:rPr>
              <w:lastRenderedPageBreak/>
              <w:t>Coverage of proton beam therapy in Group 2 is limited to providers who have demonstrated experience in data collection and analysis with a history of publication in the peer-reviewed medical literature.</w:t>
            </w:r>
          </w:p>
          <w:p w14:paraId="367B2FA8" w14:textId="77777777" w:rsidR="00926B90" w:rsidRPr="00926B90" w:rsidRDefault="00926B90" w:rsidP="00926B90">
            <w:pPr>
              <w:numPr>
                <w:ilvl w:val="0"/>
                <w:numId w:val="46"/>
              </w:numPr>
              <w:rPr>
                <w:rFonts w:asciiTheme="minorHAnsi" w:hAnsiTheme="minorHAnsi"/>
                <w:szCs w:val="24"/>
              </w:rPr>
            </w:pPr>
            <w:r w:rsidRPr="00926B90">
              <w:rPr>
                <w:rFonts w:asciiTheme="minorHAnsi" w:hAnsiTheme="minorHAnsi"/>
                <w:szCs w:val="24"/>
              </w:rPr>
              <w:t>Unresectable lung cancers and upper abdominal/peri-diaphragmatic cancers</w:t>
            </w:r>
          </w:p>
          <w:p w14:paraId="2EE023E9" w14:textId="77777777" w:rsidR="00926B90" w:rsidRPr="00926B90" w:rsidRDefault="00926B90" w:rsidP="00926B90">
            <w:pPr>
              <w:numPr>
                <w:ilvl w:val="0"/>
                <w:numId w:val="46"/>
              </w:numPr>
              <w:rPr>
                <w:rFonts w:asciiTheme="minorHAnsi" w:hAnsiTheme="minorHAnsi"/>
                <w:szCs w:val="24"/>
              </w:rPr>
            </w:pPr>
            <w:r w:rsidRPr="00926B90">
              <w:rPr>
                <w:rFonts w:asciiTheme="minorHAnsi" w:hAnsiTheme="minorHAnsi"/>
                <w:szCs w:val="24"/>
              </w:rPr>
              <w:t>Advanced stage, unresectable pelvic tumors including those with peri-aortic nodes or malignant lesions of the cervix</w:t>
            </w:r>
          </w:p>
          <w:p w14:paraId="67CE805A" w14:textId="77777777" w:rsidR="00926B90" w:rsidRPr="00926B90" w:rsidRDefault="00926B90" w:rsidP="00926B90">
            <w:pPr>
              <w:numPr>
                <w:ilvl w:val="0"/>
                <w:numId w:val="46"/>
              </w:numPr>
              <w:rPr>
                <w:rFonts w:asciiTheme="minorHAnsi" w:hAnsiTheme="minorHAnsi"/>
                <w:szCs w:val="24"/>
              </w:rPr>
            </w:pPr>
            <w:r w:rsidRPr="00926B90">
              <w:rPr>
                <w:rFonts w:asciiTheme="minorHAnsi" w:hAnsiTheme="minorHAnsi"/>
                <w:szCs w:val="24"/>
              </w:rPr>
              <w:t>Breast cancers</w:t>
            </w:r>
          </w:p>
          <w:p w14:paraId="781EED4F" w14:textId="77777777" w:rsidR="00926B90" w:rsidRPr="00926B90" w:rsidRDefault="00926B90" w:rsidP="00926B90">
            <w:pPr>
              <w:numPr>
                <w:ilvl w:val="0"/>
                <w:numId w:val="46"/>
              </w:numPr>
              <w:rPr>
                <w:rFonts w:asciiTheme="minorHAnsi" w:hAnsiTheme="minorHAnsi"/>
                <w:szCs w:val="24"/>
              </w:rPr>
            </w:pPr>
            <w:r w:rsidRPr="00926B90">
              <w:rPr>
                <w:rFonts w:asciiTheme="minorHAnsi" w:hAnsiTheme="minorHAnsi"/>
                <w:szCs w:val="24"/>
              </w:rPr>
              <w:t>Unresectable pancreatic and adrenal tumors</w:t>
            </w:r>
          </w:p>
          <w:p w14:paraId="5582F020" w14:textId="77777777" w:rsidR="00926B90" w:rsidRPr="00926B90" w:rsidRDefault="00926B90" w:rsidP="00926B90">
            <w:pPr>
              <w:numPr>
                <w:ilvl w:val="0"/>
                <w:numId w:val="46"/>
              </w:numPr>
              <w:rPr>
                <w:rFonts w:asciiTheme="minorHAnsi" w:hAnsiTheme="minorHAnsi"/>
                <w:szCs w:val="24"/>
              </w:rPr>
            </w:pPr>
            <w:r w:rsidRPr="00926B90">
              <w:rPr>
                <w:rFonts w:asciiTheme="minorHAnsi" w:hAnsiTheme="minorHAnsi"/>
                <w:szCs w:val="24"/>
              </w:rPr>
              <w:t>Skin cancer with macroscopic perineural/cranial nerve invasion of skull base</w:t>
            </w:r>
          </w:p>
          <w:p w14:paraId="1B42E25B" w14:textId="77777777" w:rsidR="00926B90" w:rsidRPr="00926B90" w:rsidRDefault="00926B90" w:rsidP="00926B90">
            <w:pPr>
              <w:numPr>
                <w:ilvl w:val="0"/>
                <w:numId w:val="46"/>
              </w:numPr>
              <w:rPr>
                <w:rFonts w:asciiTheme="minorHAnsi" w:hAnsiTheme="minorHAnsi"/>
                <w:szCs w:val="24"/>
              </w:rPr>
            </w:pPr>
            <w:r w:rsidRPr="00926B90">
              <w:rPr>
                <w:rFonts w:asciiTheme="minorHAnsi" w:hAnsiTheme="minorHAnsi"/>
                <w:szCs w:val="24"/>
              </w:rPr>
              <w:t>Unresectable malignant</w:t>
            </w:r>
            <w:r w:rsidR="00E85CBD" w:rsidRPr="00E85CBD">
              <w:rPr>
                <w:rFonts w:asciiTheme="minorHAnsi" w:hAnsiTheme="minorHAnsi"/>
                <w:szCs w:val="24"/>
              </w:rPr>
              <w:t xml:space="preserve"> lesions of the liver, biliary tract, anal canal and rectum</w:t>
            </w:r>
          </w:p>
          <w:p w14:paraId="6FF271A8" w14:textId="77777777" w:rsidR="00926B90" w:rsidRPr="00926B90" w:rsidRDefault="00926B90" w:rsidP="00926B90">
            <w:pPr>
              <w:numPr>
                <w:ilvl w:val="0"/>
                <w:numId w:val="46"/>
              </w:numPr>
              <w:rPr>
                <w:rFonts w:asciiTheme="minorHAnsi" w:hAnsiTheme="minorHAnsi"/>
                <w:szCs w:val="24"/>
              </w:rPr>
            </w:pPr>
            <w:r w:rsidRPr="00926B90">
              <w:rPr>
                <w:rFonts w:asciiTheme="minorHAnsi" w:hAnsiTheme="minorHAnsi"/>
                <w:szCs w:val="24"/>
              </w:rPr>
              <w:t>Prostate cancer, without distant metastases</w:t>
            </w:r>
          </w:p>
          <w:p w14:paraId="42FF2780" w14:textId="77777777" w:rsidR="00926B90" w:rsidRPr="00926B90" w:rsidRDefault="00926B90" w:rsidP="00926B90">
            <w:pPr>
              <w:numPr>
                <w:ilvl w:val="0"/>
                <w:numId w:val="46"/>
              </w:numPr>
              <w:rPr>
                <w:rFonts w:asciiTheme="minorHAnsi" w:hAnsiTheme="minorHAnsi"/>
                <w:szCs w:val="24"/>
              </w:rPr>
            </w:pPr>
            <w:r w:rsidRPr="00926B90">
              <w:rPr>
                <w:rFonts w:asciiTheme="minorHAnsi" w:hAnsiTheme="minorHAnsi"/>
                <w:szCs w:val="24"/>
              </w:rPr>
              <w:t>Hodgkin or Non-Hodgkin Lymphoma involving the mediastinum or in non-mediastinal sites where PBT has the potential to reduce the risk of pneumonitis or late effects of radiation therapy (secondary malignancy, cardiovascular disease, or other chronic health conditions)</w:t>
            </w:r>
          </w:p>
          <w:p w14:paraId="519B41E0" w14:textId="77777777" w:rsidR="00926B90" w:rsidRPr="00926B90" w:rsidRDefault="00926B90" w:rsidP="00926B90">
            <w:pPr>
              <w:numPr>
                <w:ilvl w:val="0"/>
                <w:numId w:val="46"/>
              </w:numPr>
              <w:rPr>
                <w:rFonts w:asciiTheme="minorHAnsi" w:hAnsiTheme="minorHAnsi"/>
                <w:szCs w:val="24"/>
              </w:rPr>
            </w:pPr>
            <w:r w:rsidRPr="00926B90">
              <w:rPr>
                <w:rFonts w:asciiTheme="minorHAnsi" w:hAnsiTheme="minorHAnsi"/>
                <w:szCs w:val="24"/>
              </w:rPr>
              <w:t>Re-irradiation where prior radiation therapy to the site is the governing factor necessitating PBT in lieu of other radiotherapy.</w:t>
            </w:r>
          </w:p>
          <w:p w14:paraId="4C3B0930" w14:textId="264E574F" w:rsidR="00926B90" w:rsidRPr="00926B90" w:rsidRDefault="00926B90" w:rsidP="00926B90">
            <w:pPr>
              <w:rPr>
                <w:rFonts w:asciiTheme="minorHAnsi" w:hAnsiTheme="minorHAnsi"/>
                <w:szCs w:val="24"/>
              </w:rPr>
            </w:pPr>
            <w:r w:rsidRPr="00926B90">
              <w:rPr>
                <w:rFonts w:asciiTheme="minorHAnsi" w:hAnsiTheme="minorHAnsi"/>
                <w:szCs w:val="24"/>
              </w:rPr>
              <w:br/>
            </w:r>
            <w:r w:rsidRPr="00926B90">
              <w:rPr>
                <w:rFonts w:asciiTheme="minorHAnsi" w:hAnsiTheme="minorHAnsi"/>
                <w:szCs w:val="24"/>
                <w:u w:val="single"/>
              </w:rPr>
              <w:t>Prostate Cancer</w:t>
            </w:r>
            <w:r w:rsidRPr="00926B90">
              <w:rPr>
                <w:rFonts w:asciiTheme="minorHAnsi" w:hAnsiTheme="minorHAnsi"/>
                <w:szCs w:val="24"/>
              </w:rPr>
              <w:br/>
              <w:t>Coverage and payments of proton beam therapy for prostate cancer will require:</w:t>
            </w:r>
          </w:p>
          <w:p w14:paraId="0FDC55F9" w14:textId="77777777" w:rsidR="00926B90" w:rsidRPr="00926B90" w:rsidRDefault="00926B90" w:rsidP="00926B90">
            <w:pPr>
              <w:numPr>
                <w:ilvl w:val="0"/>
                <w:numId w:val="47"/>
              </w:numPr>
              <w:rPr>
                <w:rFonts w:asciiTheme="minorHAnsi" w:hAnsiTheme="minorHAnsi"/>
                <w:szCs w:val="24"/>
              </w:rPr>
            </w:pPr>
            <w:r w:rsidRPr="00926B90">
              <w:rPr>
                <w:rFonts w:asciiTheme="minorHAnsi" w:hAnsiTheme="minorHAnsi"/>
                <w:szCs w:val="24"/>
              </w:rPr>
              <w:t>Physician documentation of patient selection criteria (stage and other factors as represented in the NCCN guidelines);</w:t>
            </w:r>
          </w:p>
          <w:p w14:paraId="5C693F55" w14:textId="2A13B782" w:rsidR="00440565" w:rsidRPr="0097735E" w:rsidRDefault="00926B90" w:rsidP="00926B90">
            <w:pPr>
              <w:numPr>
                <w:ilvl w:val="0"/>
                <w:numId w:val="47"/>
              </w:numPr>
              <w:rPr>
                <w:rFonts w:asciiTheme="minorHAnsi" w:hAnsiTheme="minorHAnsi"/>
                <w:szCs w:val="24"/>
              </w:rPr>
            </w:pPr>
            <w:r w:rsidRPr="00926B90">
              <w:rPr>
                <w:rFonts w:asciiTheme="minorHAnsi" w:hAnsiTheme="minorHAnsi"/>
                <w:szCs w:val="24"/>
              </w:rPr>
              <w:t>Documentation and verification that the patient was informed of the range of therapy choices, including risks and benefits.</w:t>
            </w:r>
          </w:p>
        </w:tc>
      </w:tr>
    </w:tbl>
    <w:p w14:paraId="5CB90394" w14:textId="6538FA42" w:rsidR="00EB685A" w:rsidRDefault="00EB685A" w:rsidP="00BA2054">
      <w:pPr>
        <w:rPr>
          <w:rFonts w:asciiTheme="minorHAnsi" w:hAnsiTheme="minorHAnsi"/>
          <w:szCs w:val="24"/>
        </w:rPr>
      </w:pPr>
    </w:p>
    <w:p w14:paraId="59E3CC49" w14:textId="6D78BA02" w:rsidR="003B6A8A" w:rsidRDefault="00CE72D9" w:rsidP="00BA2054">
      <w:pPr>
        <w:rPr>
          <w:rFonts w:asciiTheme="minorHAnsi" w:hAnsiTheme="minorHAnsi"/>
          <w:szCs w:val="24"/>
        </w:rPr>
      </w:pPr>
      <w:r>
        <w:rPr>
          <w:rFonts w:asciiTheme="minorHAnsi" w:hAnsiTheme="minorHAnsi"/>
          <w:szCs w:val="24"/>
        </w:rPr>
        <w:t xml:space="preserve">Medicare coverage </w:t>
      </w:r>
      <w:r w:rsidR="0048340A" w:rsidRPr="0048340A">
        <w:rPr>
          <w:rFonts w:asciiTheme="minorHAnsi" w:hAnsiTheme="minorHAnsi"/>
          <w:szCs w:val="24"/>
        </w:rPr>
        <w:t xml:space="preserve">is </w:t>
      </w:r>
      <w:r w:rsidR="0048340A">
        <w:rPr>
          <w:rFonts w:asciiTheme="minorHAnsi" w:hAnsiTheme="minorHAnsi"/>
          <w:szCs w:val="24"/>
        </w:rPr>
        <w:t>“</w:t>
      </w:r>
      <w:r w:rsidR="0048340A" w:rsidRPr="0048340A">
        <w:rPr>
          <w:rFonts w:asciiTheme="minorHAnsi" w:hAnsiTheme="minorHAnsi"/>
          <w:szCs w:val="24"/>
        </w:rPr>
        <w:t>limited to items and services that are reasonable and necessary for the diagnosis or treatment of an illness or injury (and within the scope of a Medicare benefit category)</w:t>
      </w:r>
      <w:r w:rsidR="0048340A">
        <w:rPr>
          <w:rFonts w:asciiTheme="minorHAnsi" w:hAnsiTheme="minorHAnsi"/>
          <w:szCs w:val="24"/>
        </w:rPr>
        <w:t>.”</w:t>
      </w:r>
      <w:r w:rsidR="006D4424">
        <w:rPr>
          <w:rStyle w:val="EndnoteReference"/>
          <w:rFonts w:asciiTheme="minorHAnsi" w:hAnsiTheme="minorHAnsi"/>
          <w:szCs w:val="24"/>
        </w:rPr>
        <w:endnoteReference w:id="36"/>
      </w:r>
      <w:r w:rsidR="0048340A">
        <w:rPr>
          <w:rFonts w:asciiTheme="minorHAnsi" w:hAnsiTheme="minorHAnsi"/>
          <w:szCs w:val="24"/>
        </w:rPr>
        <w:t xml:space="preserve"> </w:t>
      </w:r>
      <w:r w:rsidR="00EB63BE">
        <w:rPr>
          <w:rFonts w:asciiTheme="minorHAnsi" w:hAnsiTheme="minorHAnsi"/>
          <w:szCs w:val="24"/>
        </w:rPr>
        <w:t xml:space="preserve">Through an evidence-based process, </w:t>
      </w:r>
      <w:r w:rsidR="009D7C13">
        <w:rPr>
          <w:rFonts w:asciiTheme="minorHAnsi" w:hAnsiTheme="minorHAnsi"/>
          <w:szCs w:val="24"/>
        </w:rPr>
        <w:t xml:space="preserve">CMS makes </w:t>
      </w:r>
      <w:r w:rsidR="0048340A">
        <w:rPr>
          <w:rFonts w:asciiTheme="minorHAnsi" w:hAnsiTheme="minorHAnsi"/>
          <w:szCs w:val="24"/>
        </w:rPr>
        <w:t>National Coverage Determination</w:t>
      </w:r>
      <w:r w:rsidR="009D7C13">
        <w:rPr>
          <w:rFonts w:asciiTheme="minorHAnsi" w:hAnsiTheme="minorHAnsi"/>
          <w:szCs w:val="24"/>
        </w:rPr>
        <w:t>s</w:t>
      </w:r>
      <w:r w:rsidR="00FF5175">
        <w:rPr>
          <w:rFonts w:asciiTheme="minorHAnsi" w:hAnsiTheme="minorHAnsi"/>
          <w:szCs w:val="24"/>
        </w:rPr>
        <w:t xml:space="preserve"> (NCD</w:t>
      </w:r>
      <w:r w:rsidR="009D7C13">
        <w:rPr>
          <w:rFonts w:asciiTheme="minorHAnsi" w:hAnsiTheme="minorHAnsi"/>
          <w:szCs w:val="24"/>
        </w:rPr>
        <w:t>s</w:t>
      </w:r>
      <w:r w:rsidR="00FF5175">
        <w:rPr>
          <w:rFonts w:asciiTheme="minorHAnsi" w:hAnsiTheme="minorHAnsi"/>
          <w:szCs w:val="24"/>
        </w:rPr>
        <w:t xml:space="preserve">) </w:t>
      </w:r>
      <w:r w:rsidR="00EB63BE">
        <w:rPr>
          <w:rFonts w:asciiTheme="minorHAnsi" w:hAnsiTheme="minorHAnsi"/>
          <w:szCs w:val="24"/>
        </w:rPr>
        <w:t xml:space="preserve">to </w:t>
      </w:r>
      <w:r w:rsidR="00EB63BE" w:rsidRPr="00EB63BE">
        <w:rPr>
          <w:rFonts w:asciiTheme="minorHAnsi" w:hAnsiTheme="minorHAnsi"/>
          <w:szCs w:val="24"/>
        </w:rPr>
        <w:t>grant, limit, or exclude coverage for items and services for Medicare beneficiaries</w:t>
      </w:r>
      <w:r w:rsidR="004A1C96">
        <w:rPr>
          <w:rFonts w:asciiTheme="minorHAnsi" w:hAnsiTheme="minorHAnsi"/>
          <w:szCs w:val="24"/>
        </w:rPr>
        <w:t>.</w:t>
      </w:r>
      <w:r w:rsidR="00063275">
        <w:rPr>
          <w:rStyle w:val="EndnoteReference"/>
          <w:rFonts w:asciiTheme="minorHAnsi" w:hAnsiTheme="minorHAnsi"/>
          <w:szCs w:val="24"/>
        </w:rPr>
        <w:endnoteReference w:id="37"/>
      </w:r>
      <w:r w:rsidR="004A1C96">
        <w:rPr>
          <w:rFonts w:asciiTheme="minorHAnsi" w:hAnsiTheme="minorHAnsi"/>
          <w:szCs w:val="24"/>
        </w:rPr>
        <w:t xml:space="preserve"> If </w:t>
      </w:r>
      <w:r w:rsidR="00EA35D5">
        <w:rPr>
          <w:rFonts w:asciiTheme="minorHAnsi" w:hAnsiTheme="minorHAnsi"/>
          <w:szCs w:val="24"/>
        </w:rPr>
        <w:t>a NCD does not exist</w:t>
      </w:r>
      <w:r w:rsidR="00FF5175">
        <w:rPr>
          <w:rFonts w:asciiTheme="minorHAnsi" w:hAnsiTheme="minorHAnsi"/>
          <w:szCs w:val="24"/>
        </w:rPr>
        <w:t xml:space="preserve">, </w:t>
      </w:r>
      <w:r w:rsidR="00DA4CE3" w:rsidRPr="00DA4CE3">
        <w:rPr>
          <w:rFonts w:asciiTheme="minorHAnsi" w:hAnsiTheme="minorHAnsi"/>
          <w:szCs w:val="24"/>
        </w:rPr>
        <w:t xml:space="preserve">an item or service may be covered </w:t>
      </w:r>
      <w:r w:rsidR="00C171BA" w:rsidRPr="00C171BA">
        <w:rPr>
          <w:rFonts w:asciiTheme="minorHAnsi" w:hAnsiTheme="minorHAnsi"/>
          <w:szCs w:val="24"/>
        </w:rPr>
        <w:t>based on a LCD</w:t>
      </w:r>
      <w:r w:rsidR="00AF59B2">
        <w:rPr>
          <w:rFonts w:asciiTheme="minorHAnsi" w:hAnsiTheme="minorHAnsi"/>
          <w:szCs w:val="24"/>
        </w:rPr>
        <w:t>,</w:t>
      </w:r>
      <w:r w:rsidR="00C171BA">
        <w:rPr>
          <w:rFonts w:asciiTheme="minorHAnsi" w:hAnsiTheme="minorHAnsi"/>
          <w:szCs w:val="24"/>
        </w:rPr>
        <w:t xml:space="preserve"> which are established </w:t>
      </w:r>
      <w:r w:rsidR="00710795">
        <w:rPr>
          <w:rFonts w:asciiTheme="minorHAnsi" w:hAnsiTheme="minorHAnsi"/>
          <w:szCs w:val="24"/>
        </w:rPr>
        <w:t xml:space="preserve">by each of </w:t>
      </w:r>
      <w:r w:rsidR="00DA4CE3" w:rsidRPr="00DA4CE3">
        <w:rPr>
          <w:rFonts w:asciiTheme="minorHAnsi" w:hAnsiTheme="minorHAnsi"/>
          <w:szCs w:val="24"/>
        </w:rPr>
        <w:t>the</w:t>
      </w:r>
      <w:r w:rsidR="000E6A36">
        <w:rPr>
          <w:rFonts w:asciiTheme="minorHAnsi" w:hAnsiTheme="minorHAnsi"/>
          <w:szCs w:val="24"/>
        </w:rPr>
        <w:t xml:space="preserve"> </w:t>
      </w:r>
      <w:r w:rsidR="00DA4CE3" w:rsidRPr="00DA4CE3">
        <w:rPr>
          <w:rFonts w:asciiTheme="minorHAnsi" w:hAnsiTheme="minorHAnsi"/>
          <w:szCs w:val="24"/>
        </w:rPr>
        <w:t xml:space="preserve">Medicare </w:t>
      </w:r>
      <w:r w:rsidR="00C11AF6">
        <w:rPr>
          <w:rFonts w:asciiTheme="minorHAnsi" w:hAnsiTheme="minorHAnsi"/>
          <w:szCs w:val="24"/>
        </w:rPr>
        <w:t>Administrative C</w:t>
      </w:r>
      <w:r w:rsidR="00DA4CE3" w:rsidRPr="00DA4CE3">
        <w:rPr>
          <w:rFonts w:asciiTheme="minorHAnsi" w:hAnsiTheme="minorHAnsi"/>
          <w:szCs w:val="24"/>
        </w:rPr>
        <w:t>ontractors</w:t>
      </w:r>
      <w:r w:rsidR="00C11AF6">
        <w:rPr>
          <w:rFonts w:asciiTheme="minorHAnsi" w:hAnsiTheme="minorHAnsi"/>
          <w:szCs w:val="24"/>
        </w:rPr>
        <w:t xml:space="preserve"> (MAC)</w:t>
      </w:r>
      <w:r w:rsidR="00A80EA7">
        <w:rPr>
          <w:rStyle w:val="FootnoteReference"/>
          <w:rFonts w:asciiTheme="minorHAnsi" w:hAnsiTheme="minorHAnsi"/>
          <w:szCs w:val="24"/>
        </w:rPr>
        <w:footnoteReference w:id="29"/>
      </w:r>
      <w:r w:rsidR="00B33810">
        <w:rPr>
          <w:rFonts w:asciiTheme="minorHAnsi" w:hAnsiTheme="minorHAnsi"/>
          <w:szCs w:val="24"/>
        </w:rPr>
        <w:t xml:space="preserve"> (private entities </w:t>
      </w:r>
      <w:r w:rsidR="00BA11B7">
        <w:rPr>
          <w:rFonts w:asciiTheme="minorHAnsi" w:hAnsiTheme="minorHAnsi"/>
          <w:szCs w:val="24"/>
        </w:rPr>
        <w:t xml:space="preserve">that </w:t>
      </w:r>
      <w:r w:rsidR="00BA11B7" w:rsidRPr="00BA11B7">
        <w:rPr>
          <w:rFonts w:asciiTheme="minorHAnsi" w:hAnsiTheme="minorHAnsi"/>
          <w:szCs w:val="24"/>
        </w:rPr>
        <w:t>process claims for health care items and services submitted by enrolled Medicare providers and suppliers</w:t>
      </w:r>
      <w:r w:rsidR="00B33810">
        <w:rPr>
          <w:rFonts w:asciiTheme="minorHAnsi" w:hAnsiTheme="minorHAnsi"/>
          <w:szCs w:val="24"/>
        </w:rPr>
        <w:t>)</w:t>
      </w:r>
      <w:r w:rsidR="00710795">
        <w:rPr>
          <w:rFonts w:asciiTheme="minorHAnsi" w:hAnsiTheme="minorHAnsi"/>
          <w:szCs w:val="24"/>
        </w:rPr>
        <w:t xml:space="preserve"> to specify coverage rules in its jurisdiction.</w:t>
      </w:r>
      <w:r w:rsidR="00710795" w:rsidRPr="00710795">
        <w:rPr>
          <w:rFonts w:asciiTheme="minorHAnsi" w:hAnsiTheme="minorHAnsi"/>
          <w:szCs w:val="24"/>
          <w:vertAlign w:val="superscript"/>
        </w:rPr>
        <w:endnoteReference w:id="38"/>
      </w:r>
      <w:r w:rsidR="00710795" w:rsidRPr="00710795">
        <w:rPr>
          <w:rFonts w:asciiTheme="minorHAnsi" w:hAnsiTheme="minorHAnsi"/>
          <w:szCs w:val="24"/>
        </w:rPr>
        <w:t xml:space="preserve"> </w:t>
      </w:r>
      <w:r w:rsidR="003A1A95">
        <w:rPr>
          <w:rFonts w:asciiTheme="minorHAnsi" w:hAnsiTheme="minorHAnsi"/>
          <w:szCs w:val="24"/>
        </w:rPr>
        <w:t>CMS has not issued a NCD for PBT</w:t>
      </w:r>
      <w:r w:rsidR="00AF59B2">
        <w:rPr>
          <w:rFonts w:asciiTheme="minorHAnsi" w:hAnsiTheme="minorHAnsi"/>
          <w:szCs w:val="24"/>
        </w:rPr>
        <w:t>, and t</w:t>
      </w:r>
      <w:r w:rsidR="00CD45FD">
        <w:rPr>
          <w:rFonts w:asciiTheme="minorHAnsi" w:hAnsiTheme="minorHAnsi"/>
          <w:szCs w:val="24"/>
        </w:rPr>
        <w:t xml:space="preserve">he first </w:t>
      </w:r>
      <w:r w:rsidR="00EC27A9">
        <w:rPr>
          <w:rFonts w:asciiTheme="minorHAnsi" w:hAnsiTheme="minorHAnsi"/>
          <w:szCs w:val="24"/>
        </w:rPr>
        <w:t>LCD</w:t>
      </w:r>
      <w:r w:rsidR="00C87ACA">
        <w:rPr>
          <w:rFonts w:asciiTheme="minorHAnsi" w:hAnsiTheme="minorHAnsi"/>
          <w:szCs w:val="24"/>
        </w:rPr>
        <w:t>s</w:t>
      </w:r>
      <w:r w:rsidR="00EC27A9">
        <w:rPr>
          <w:rFonts w:asciiTheme="minorHAnsi" w:hAnsiTheme="minorHAnsi"/>
          <w:szCs w:val="24"/>
        </w:rPr>
        <w:t xml:space="preserve"> for PBT went into effect in 2009.</w:t>
      </w:r>
      <w:r w:rsidR="00CD45FD">
        <w:rPr>
          <w:rStyle w:val="EndnoteReference"/>
          <w:rFonts w:asciiTheme="minorHAnsi" w:hAnsiTheme="minorHAnsi"/>
          <w:szCs w:val="24"/>
        </w:rPr>
        <w:endnoteReference w:id="39"/>
      </w:r>
      <w:r w:rsidR="00EC27A9">
        <w:rPr>
          <w:rFonts w:asciiTheme="minorHAnsi" w:hAnsiTheme="minorHAnsi"/>
          <w:szCs w:val="24"/>
        </w:rPr>
        <w:t xml:space="preserve"> </w:t>
      </w:r>
    </w:p>
    <w:p w14:paraId="6F495391" w14:textId="77777777" w:rsidR="003B6A8A" w:rsidRDefault="003B6A8A" w:rsidP="00BA2054">
      <w:pPr>
        <w:rPr>
          <w:rFonts w:asciiTheme="minorHAnsi" w:hAnsiTheme="minorHAnsi"/>
          <w:szCs w:val="24"/>
        </w:rPr>
      </w:pPr>
    </w:p>
    <w:p w14:paraId="11F8F83B" w14:textId="3647B30E" w:rsidR="00C81BDF" w:rsidRDefault="007E0AA9" w:rsidP="00BA2054">
      <w:pPr>
        <w:rPr>
          <w:rFonts w:asciiTheme="minorHAnsi" w:hAnsiTheme="minorHAnsi"/>
          <w:szCs w:val="24"/>
        </w:rPr>
      </w:pPr>
      <w:r>
        <w:rPr>
          <w:rFonts w:asciiTheme="minorHAnsi" w:hAnsiTheme="minorHAnsi"/>
          <w:szCs w:val="24"/>
        </w:rPr>
        <w:t>The Applicant</w:t>
      </w:r>
      <w:r w:rsidR="0000240B">
        <w:rPr>
          <w:rFonts w:asciiTheme="minorHAnsi" w:hAnsiTheme="minorHAnsi"/>
          <w:szCs w:val="24"/>
        </w:rPr>
        <w:t xml:space="preserve"> grouped</w:t>
      </w:r>
      <w:r w:rsidR="00B130DD">
        <w:rPr>
          <w:rFonts w:asciiTheme="minorHAnsi" w:hAnsiTheme="minorHAnsi"/>
          <w:szCs w:val="24"/>
        </w:rPr>
        <w:t xml:space="preserve"> </w:t>
      </w:r>
      <w:r w:rsidR="00E011BF">
        <w:rPr>
          <w:rFonts w:asciiTheme="minorHAnsi" w:hAnsiTheme="minorHAnsi"/>
          <w:szCs w:val="24"/>
        </w:rPr>
        <w:t xml:space="preserve">its </w:t>
      </w:r>
      <w:r w:rsidR="00B130DD">
        <w:rPr>
          <w:rFonts w:asciiTheme="minorHAnsi" w:hAnsiTheme="minorHAnsi"/>
          <w:szCs w:val="24"/>
        </w:rPr>
        <w:t xml:space="preserve">internal </w:t>
      </w:r>
      <w:r w:rsidR="00365F9C">
        <w:rPr>
          <w:rFonts w:asciiTheme="minorHAnsi" w:hAnsiTheme="minorHAnsi"/>
          <w:szCs w:val="24"/>
        </w:rPr>
        <w:t>N</w:t>
      </w:r>
      <w:r w:rsidR="00B130DD">
        <w:rPr>
          <w:rFonts w:asciiTheme="minorHAnsi" w:hAnsiTheme="minorHAnsi"/>
          <w:szCs w:val="24"/>
        </w:rPr>
        <w:t xml:space="preserve">ew </w:t>
      </w:r>
      <w:r w:rsidR="00365F9C">
        <w:rPr>
          <w:rFonts w:asciiTheme="minorHAnsi" w:hAnsiTheme="minorHAnsi"/>
          <w:szCs w:val="24"/>
        </w:rPr>
        <w:t>P</w:t>
      </w:r>
      <w:r w:rsidR="00B130DD">
        <w:rPr>
          <w:rFonts w:asciiTheme="minorHAnsi" w:hAnsiTheme="minorHAnsi"/>
          <w:szCs w:val="24"/>
        </w:rPr>
        <w:t xml:space="preserve">atient </w:t>
      </w:r>
      <w:r w:rsidR="00365F9C">
        <w:rPr>
          <w:rFonts w:asciiTheme="minorHAnsi" w:hAnsiTheme="minorHAnsi"/>
          <w:szCs w:val="24"/>
        </w:rPr>
        <w:t>C</w:t>
      </w:r>
      <w:r w:rsidR="00B130DD">
        <w:rPr>
          <w:rFonts w:asciiTheme="minorHAnsi" w:hAnsiTheme="minorHAnsi"/>
          <w:szCs w:val="24"/>
        </w:rPr>
        <w:t xml:space="preserve">onsult data into Group 1 or Group 2, using patients’ top three diagnosis </w:t>
      </w:r>
      <w:r w:rsidR="00C22E92">
        <w:rPr>
          <w:rFonts w:asciiTheme="minorHAnsi" w:hAnsiTheme="minorHAnsi"/>
          <w:szCs w:val="24"/>
        </w:rPr>
        <w:t>codes from the tenth revision of the International Classification of Diseases (ICD-10), and ma</w:t>
      </w:r>
      <w:r w:rsidR="007615D5">
        <w:rPr>
          <w:rFonts w:asciiTheme="minorHAnsi" w:hAnsiTheme="minorHAnsi"/>
          <w:szCs w:val="24"/>
        </w:rPr>
        <w:t>tch</w:t>
      </w:r>
      <w:r w:rsidR="0068414A">
        <w:rPr>
          <w:rFonts w:asciiTheme="minorHAnsi" w:hAnsiTheme="minorHAnsi"/>
          <w:szCs w:val="24"/>
        </w:rPr>
        <w:t>ing</w:t>
      </w:r>
      <w:r w:rsidR="00C22E92">
        <w:rPr>
          <w:rFonts w:asciiTheme="minorHAnsi" w:hAnsiTheme="minorHAnsi"/>
          <w:szCs w:val="24"/>
        </w:rPr>
        <w:t xml:space="preserve"> them with CMS’ classification of Group 1 or Group 2</w:t>
      </w:r>
      <w:r w:rsidR="007E32EB">
        <w:rPr>
          <w:rFonts w:asciiTheme="minorHAnsi" w:hAnsiTheme="minorHAnsi"/>
          <w:szCs w:val="24"/>
        </w:rPr>
        <w:t xml:space="preserve"> </w:t>
      </w:r>
      <w:r w:rsidR="007E32EB" w:rsidRPr="007E32EB">
        <w:rPr>
          <w:rFonts w:asciiTheme="minorHAnsi" w:hAnsiTheme="minorHAnsi"/>
          <w:szCs w:val="24"/>
        </w:rPr>
        <w:t xml:space="preserve">(LCD ID </w:t>
      </w:r>
      <w:r w:rsidR="002577E7" w:rsidRPr="002577E7">
        <w:rPr>
          <w:rFonts w:asciiTheme="minorHAnsi" w:hAnsiTheme="minorHAnsi"/>
          <w:szCs w:val="24"/>
        </w:rPr>
        <w:t>L35075</w:t>
      </w:r>
      <w:r w:rsidR="007E32EB" w:rsidRPr="007E32EB">
        <w:rPr>
          <w:rFonts w:asciiTheme="minorHAnsi" w:hAnsiTheme="minorHAnsi"/>
          <w:szCs w:val="24"/>
        </w:rPr>
        <w:t>)</w:t>
      </w:r>
      <w:r w:rsidR="00C22E92">
        <w:rPr>
          <w:rFonts w:asciiTheme="minorHAnsi" w:hAnsiTheme="minorHAnsi"/>
          <w:szCs w:val="24"/>
        </w:rPr>
        <w:t xml:space="preserve">. </w:t>
      </w:r>
      <w:r w:rsidR="00CD6B9E">
        <w:rPr>
          <w:rFonts w:asciiTheme="minorHAnsi" w:hAnsiTheme="minorHAnsi"/>
          <w:szCs w:val="24"/>
        </w:rPr>
        <w:t xml:space="preserve">The Applicant’s grouping of </w:t>
      </w:r>
      <w:r w:rsidR="006D0DBE">
        <w:rPr>
          <w:rFonts w:asciiTheme="minorHAnsi" w:hAnsiTheme="minorHAnsi"/>
          <w:szCs w:val="24"/>
        </w:rPr>
        <w:t>N</w:t>
      </w:r>
      <w:r w:rsidR="00CD6B9E">
        <w:rPr>
          <w:rFonts w:asciiTheme="minorHAnsi" w:hAnsiTheme="minorHAnsi"/>
          <w:szCs w:val="24"/>
        </w:rPr>
        <w:t xml:space="preserve">ew </w:t>
      </w:r>
      <w:r w:rsidR="006D0DBE">
        <w:rPr>
          <w:rFonts w:asciiTheme="minorHAnsi" w:hAnsiTheme="minorHAnsi"/>
          <w:szCs w:val="24"/>
        </w:rPr>
        <w:t>P</w:t>
      </w:r>
      <w:r w:rsidR="00CD6B9E">
        <w:rPr>
          <w:rFonts w:asciiTheme="minorHAnsi" w:hAnsiTheme="minorHAnsi"/>
          <w:szCs w:val="24"/>
        </w:rPr>
        <w:t xml:space="preserve">atient </w:t>
      </w:r>
      <w:r w:rsidR="006D0DBE">
        <w:rPr>
          <w:rFonts w:asciiTheme="minorHAnsi" w:hAnsiTheme="minorHAnsi"/>
          <w:szCs w:val="24"/>
        </w:rPr>
        <w:t>C</w:t>
      </w:r>
      <w:r w:rsidR="00CD6B9E">
        <w:rPr>
          <w:rFonts w:asciiTheme="minorHAnsi" w:hAnsiTheme="minorHAnsi"/>
          <w:szCs w:val="24"/>
        </w:rPr>
        <w:t>onsults is shown in Table 1</w:t>
      </w:r>
      <w:r w:rsidR="000F3288">
        <w:rPr>
          <w:rFonts w:asciiTheme="minorHAnsi" w:hAnsiTheme="minorHAnsi"/>
          <w:szCs w:val="24"/>
        </w:rPr>
        <w:t>0</w:t>
      </w:r>
      <w:r w:rsidR="00CD6B9E">
        <w:rPr>
          <w:rFonts w:asciiTheme="minorHAnsi" w:hAnsiTheme="minorHAnsi"/>
          <w:szCs w:val="24"/>
        </w:rPr>
        <w:t xml:space="preserve">. </w:t>
      </w:r>
      <w:r w:rsidR="004D6A79">
        <w:rPr>
          <w:rFonts w:asciiTheme="minorHAnsi" w:hAnsiTheme="minorHAnsi"/>
          <w:szCs w:val="24"/>
        </w:rPr>
        <w:t>Table 1</w:t>
      </w:r>
      <w:r w:rsidR="000F3288">
        <w:rPr>
          <w:rFonts w:asciiTheme="minorHAnsi" w:hAnsiTheme="minorHAnsi"/>
          <w:szCs w:val="24"/>
        </w:rPr>
        <w:t>0</w:t>
      </w:r>
      <w:r w:rsidR="004D6A79">
        <w:rPr>
          <w:rFonts w:asciiTheme="minorHAnsi" w:hAnsiTheme="minorHAnsi"/>
          <w:szCs w:val="24"/>
        </w:rPr>
        <w:t xml:space="preserve"> is broken down </w:t>
      </w:r>
      <w:r w:rsidR="00DE2021">
        <w:rPr>
          <w:rFonts w:asciiTheme="minorHAnsi" w:hAnsiTheme="minorHAnsi"/>
          <w:szCs w:val="24"/>
        </w:rPr>
        <w:t>by</w:t>
      </w:r>
      <w:r w:rsidR="004D6A79">
        <w:rPr>
          <w:rFonts w:asciiTheme="minorHAnsi" w:hAnsiTheme="minorHAnsi"/>
          <w:szCs w:val="24"/>
        </w:rPr>
        <w:t xml:space="preserve"> </w:t>
      </w:r>
      <w:r w:rsidR="004D6A79">
        <w:rPr>
          <w:rFonts w:asciiTheme="minorHAnsi" w:hAnsiTheme="minorHAnsi"/>
          <w:szCs w:val="24"/>
        </w:rPr>
        <w:lastRenderedPageBreak/>
        <w:t xml:space="preserve">pediatric and adult patients, </w:t>
      </w:r>
      <w:r w:rsidR="0068414A">
        <w:rPr>
          <w:rFonts w:asciiTheme="minorHAnsi" w:hAnsiTheme="minorHAnsi"/>
          <w:szCs w:val="24"/>
        </w:rPr>
        <w:t xml:space="preserve">based on </w:t>
      </w:r>
      <w:r w:rsidR="004D6A79">
        <w:rPr>
          <w:rFonts w:asciiTheme="minorHAnsi" w:hAnsiTheme="minorHAnsi"/>
          <w:szCs w:val="24"/>
        </w:rPr>
        <w:t>the department in which the patient was scheduled.</w:t>
      </w:r>
    </w:p>
    <w:p w14:paraId="0566E147" w14:textId="77777777" w:rsidR="000F3288" w:rsidRDefault="000F3288" w:rsidP="00BA2054">
      <w:pPr>
        <w:rPr>
          <w:rFonts w:asciiTheme="minorHAnsi" w:hAnsiTheme="minorHAnsi"/>
          <w:szCs w:val="24"/>
        </w:rPr>
      </w:pPr>
    </w:p>
    <w:p w14:paraId="59CF69BF" w14:textId="0053D1AC" w:rsidR="00990F67" w:rsidRPr="00990F67" w:rsidRDefault="00990F67" w:rsidP="00BA2054">
      <w:pPr>
        <w:rPr>
          <w:rFonts w:asciiTheme="minorHAnsi" w:hAnsiTheme="minorHAnsi"/>
          <w:b/>
          <w:bCs/>
          <w:szCs w:val="24"/>
        </w:rPr>
      </w:pPr>
      <w:r w:rsidRPr="00990F67">
        <w:rPr>
          <w:rFonts w:asciiTheme="minorHAnsi" w:hAnsiTheme="minorHAnsi"/>
          <w:b/>
          <w:bCs/>
          <w:szCs w:val="24"/>
          <w:u w:val="single"/>
        </w:rPr>
        <w:t>Table 1</w:t>
      </w:r>
      <w:r w:rsidR="000F3288">
        <w:rPr>
          <w:rFonts w:asciiTheme="minorHAnsi" w:hAnsiTheme="minorHAnsi"/>
          <w:b/>
          <w:bCs/>
          <w:szCs w:val="24"/>
          <w:u w:val="single"/>
        </w:rPr>
        <w:t>0</w:t>
      </w:r>
      <w:r w:rsidRPr="00990F67">
        <w:rPr>
          <w:rFonts w:asciiTheme="minorHAnsi" w:hAnsiTheme="minorHAnsi"/>
          <w:b/>
          <w:bCs/>
          <w:szCs w:val="24"/>
        </w:rPr>
        <w:t xml:space="preserve">: DFCI New Patient Consult </w:t>
      </w:r>
      <w:r w:rsidR="00866B1B">
        <w:rPr>
          <w:rFonts w:asciiTheme="minorHAnsi" w:hAnsiTheme="minorHAnsi"/>
          <w:b/>
          <w:bCs/>
          <w:szCs w:val="24"/>
        </w:rPr>
        <w:t>PBT</w:t>
      </w:r>
      <w:r w:rsidRPr="00990F67">
        <w:rPr>
          <w:rFonts w:asciiTheme="minorHAnsi" w:hAnsiTheme="minorHAnsi"/>
          <w:b/>
          <w:bCs/>
          <w:szCs w:val="24"/>
        </w:rPr>
        <w:t xml:space="preserve"> Eligibility</w:t>
      </w:r>
      <w:r w:rsidR="00763977">
        <w:rPr>
          <w:rFonts w:asciiTheme="minorHAnsi" w:hAnsiTheme="minorHAnsi"/>
          <w:b/>
          <w:bC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1346"/>
        <w:gridCol w:w="992"/>
        <w:gridCol w:w="992"/>
        <w:gridCol w:w="992"/>
        <w:gridCol w:w="992"/>
        <w:gridCol w:w="992"/>
      </w:tblGrid>
      <w:tr w:rsidR="00457F19" w:rsidRPr="00990F67" w14:paraId="4AE1107A" w14:textId="77777777" w:rsidTr="00101F89">
        <w:trPr>
          <w:cantSplit/>
          <w:trHeight w:val="520"/>
          <w:tblHeader/>
        </w:trPr>
        <w:tc>
          <w:tcPr>
            <w:tcW w:w="0" w:type="auto"/>
            <w:shd w:val="clear" w:color="auto" w:fill="DBE5F1" w:themeFill="accent1" w:themeFillTint="33"/>
            <w:vAlign w:val="center"/>
            <w:hideMark/>
          </w:tcPr>
          <w:p w14:paraId="044DC3EB" w14:textId="77777777" w:rsidR="00990F67" w:rsidRPr="00990F67" w:rsidRDefault="00990F67" w:rsidP="00990F67">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Patient Population</w:t>
            </w:r>
          </w:p>
        </w:tc>
        <w:tc>
          <w:tcPr>
            <w:tcW w:w="0" w:type="auto"/>
            <w:shd w:val="clear" w:color="auto" w:fill="DBE5F1" w:themeFill="accent1" w:themeFillTint="33"/>
            <w:vAlign w:val="center"/>
            <w:hideMark/>
          </w:tcPr>
          <w:p w14:paraId="3661C6B8" w14:textId="77777777" w:rsidR="00990F67" w:rsidRPr="00990F67" w:rsidRDefault="00990F67" w:rsidP="00990F67">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CMS Group</w:t>
            </w:r>
          </w:p>
        </w:tc>
        <w:tc>
          <w:tcPr>
            <w:tcW w:w="0" w:type="auto"/>
            <w:shd w:val="clear" w:color="auto" w:fill="DBE5F1" w:themeFill="accent1" w:themeFillTint="33"/>
            <w:vAlign w:val="center"/>
            <w:hideMark/>
          </w:tcPr>
          <w:p w14:paraId="60114B19" w14:textId="77777777" w:rsidR="00990F67" w:rsidRPr="00990F67" w:rsidRDefault="00990F67" w:rsidP="00990F67">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FY 2020</w:t>
            </w:r>
          </w:p>
        </w:tc>
        <w:tc>
          <w:tcPr>
            <w:tcW w:w="0" w:type="auto"/>
            <w:shd w:val="clear" w:color="auto" w:fill="DBE5F1" w:themeFill="accent1" w:themeFillTint="33"/>
            <w:vAlign w:val="center"/>
            <w:hideMark/>
          </w:tcPr>
          <w:p w14:paraId="127AD826" w14:textId="77777777" w:rsidR="00990F67" w:rsidRPr="00990F67" w:rsidRDefault="00990F67" w:rsidP="00990F67">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FY 2021</w:t>
            </w:r>
          </w:p>
        </w:tc>
        <w:tc>
          <w:tcPr>
            <w:tcW w:w="0" w:type="auto"/>
            <w:shd w:val="clear" w:color="auto" w:fill="DBE5F1" w:themeFill="accent1" w:themeFillTint="33"/>
            <w:vAlign w:val="center"/>
            <w:hideMark/>
          </w:tcPr>
          <w:p w14:paraId="0DC2EA06" w14:textId="77777777" w:rsidR="00990F67" w:rsidRPr="00990F67" w:rsidRDefault="00990F67" w:rsidP="00990F67">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FY 2022</w:t>
            </w:r>
          </w:p>
        </w:tc>
        <w:tc>
          <w:tcPr>
            <w:tcW w:w="0" w:type="auto"/>
            <w:shd w:val="clear" w:color="auto" w:fill="DBE5F1" w:themeFill="accent1" w:themeFillTint="33"/>
            <w:vAlign w:val="center"/>
            <w:hideMark/>
          </w:tcPr>
          <w:p w14:paraId="09988ED9" w14:textId="77777777" w:rsidR="00990F67" w:rsidRPr="00990F67" w:rsidRDefault="00990F67" w:rsidP="00990F67">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FY 2023</w:t>
            </w:r>
          </w:p>
        </w:tc>
        <w:tc>
          <w:tcPr>
            <w:tcW w:w="0" w:type="auto"/>
            <w:shd w:val="clear" w:color="auto" w:fill="DBE5F1" w:themeFill="accent1" w:themeFillTint="33"/>
            <w:vAlign w:val="center"/>
            <w:hideMark/>
          </w:tcPr>
          <w:p w14:paraId="3CACC3D1" w14:textId="77777777" w:rsidR="00990F67" w:rsidRPr="00990F67" w:rsidRDefault="00990F67" w:rsidP="00990F67">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FY 2024</w:t>
            </w:r>
          </w:p>
        </w:tc>
      </w:tr>
      <w:tr w:rsidR="00457F19" w:rsidRPr="00990F67" w14:paraId="030FFE11" w14:textId="77777777" w:rsidTr="00101F89">
        <w:trPr>
          <w:cantSplit/>
          <w:trHeight w:val="290"/>
        </w:trPr>
        <w:tc>
          <w:tcPr>
            <w:tcW w:w="0" w:type="auto"/>
            <w:vAlign w:val="center"/>
            <w:hideMark/>
          </w:tcPr>
          <w:p w14:paraId="3741F336"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Adult</w:t>
            </w:r>
          </w:p>
        </w:tc>
        <w:tc>
          <w:tcPr>
            <w:tcW w:w="0" w:type="auto"/>
            <w:vAlign w:val="center"/>
            <w:hideMark/>
          </w:tcPr>
          <w:p w14:paraId="781C1EC1"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Group 1</w:t>
            </w:r>
          </w:p>
        </w:tc>
        <w:tc>
          <w:tcPr>
            <w:tcW w:w="0" w:type="auto"/>
            <w:vAlign w:val="center"/>
            <w:hideMark/>
          </w:tcPr>
          <w:p w14:paraId="69D4BE88"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2,381</w:t>
            </w:r>
          </w:p>
        </w:tc>
        <w:tc>
          <w:tcPr>
            <w:tcW w:w="0" w:type="auto"/>
            <w:vAlign w:val="center"/>
            <w:hideMark/>
          </w:tcPr>
          <w:p w14:paraId="219E6151"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2,893</w:t>
            </w:r>
          </w:p>
        </w:tc>
        <w:tc>
          <w:tcPr>
            <w:tcW w:w="0" w:type="auto"/>
            <w:vAlign w:val="center"/>
            <w:hideMark/>
          </w:tcPr>
          <w:p w14:paraId="54082835"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2,848</w:t>
            </w:r>
          </w:p>
        </w:tc>
        <w:tc>
          <w:tcPr>
            <w:tcW w:w="0" w:type="auto"/>
            <w:vAlign w:val="center"/>
            <w:hideMark/>
          </w:tcPr>
          <w:p w14:paraId="57FB538B"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3,012</w:t>
            </w:r>
          </w:p>
        </w:tc>
        <w:tc>
          <w:tcPr>
            <w:tcW w:w="0" w:type="auto"/>
            <w:vAlign w:val="center"/>
            <w:hideMark/>
          </w:tcPr>
          <w:p w14:paraId="5FC0D09D"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3,190</w:t>
            </w:r>
          </w:p>
        </w:tc>
      </w:tr>
      <w:tr w:rsidR="00457F19" w:rsidRPr="00990F67" w14:paraId="3EAE79FF" w14:textId="77777777" w:rsidTr="00101F89">
        <w:trPr>
          <w:cantSplit/>
          <w:trHeight w:val="290"/>
        </w:trPr>
        <w:tc>
          <w:tcPr>
            <w:tcW w:w="0" w:type="auto"/>
            <w:vAlign w:val="center"/>
            <w:hideMark/>
          </w:tcPr>
          <w:p w14:paraId="17927C4A"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 </w:t>
            </w:r>
          </w:p>
        </w:tc>
        <w:tc>
          <w:tcPr>
            <w:tcW w:w="0" w:type="auto"/>
            <w:vAlign w:val="center"/>
            <w:hideMark/>
          </w:tcPr>
          <w:p w14:paraId="69B6D981"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Group 2</w:t>
            </w:r>
          </w:p>
        </w:tc>
        <w:tc>
          <w:tcPr>
            <w:tcW w:w="0" w:type="auto"/>
            <w:vAlign w:val="center"/>
            <w:hideMark/>
          </w:tcPr>
          <w:p w14:paraId="26C32AAB"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11,109</w:t>
            </w:r>
          </w:p>
        </w:tc>
        <w:tc>
          <w:tcPr>
            <w:tcW w:w="0" w:type="auto"/>
            <w:vAlign w:val="center"/>
            <w:hideMark/>
          </w:tcPr>
          <w:p w14:paraId="28489ED1"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14,004</w:t>
            </w:r>
          </w:p>
        </w:tc>
        <w:tc>
          <w:tcPr>
            <w:tcW w:w="0" w:type="auto"/>
            <w:vAlign w:val="center"/>
            <w:hideMark/>
          </w:tcPr>
          <w:p w14:paraId="0501705A"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13,964</w:t>
            </w:r>
          </w:p>
        </w:tc>
        <w:tc>
          <w:tcPr>
            <w:tcW w:w="0" w:type="auto"/>
            <w:vAlign w:val="center"/>
            <w:hideMark/>
          </w:tcPr>
          <w:p w14:paraId="233FD78E"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14,201</w:t>
            </w:r>
          </w:p>
        </w:tc>
        <w:tc>
          <w:tcPr>
            <w:tcW w:w="0" w:type="auto"/>
            <w:vAlign w:val="center"/>
            <w:hideMark/>
          </w:tcPr>
          <w:p w14:paraId="633D3887"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15,116</w:t>
            </w:r>
          </w:p>
        </w:tc>
      </w:tr>
      <w:tr w:rsidR="00457F19" w:rsidRPr="00990F67" w14:paraId="6C47A595" w14:textId="77777777" w:rsidTr="00101F89">
        <w:trPr>
          <w:cantSplit/>
          <w:trHeight w:val="290"/>
        </w:trPr>
        <w:tc>
          <w:tcPr>
            <w:tcW w:w="0" w:type="auto"/>
            <w:shd w:val="clear" w:color="auto" w:fill="F2F2F2" w:themeFill="background1" w:themeFillShade="F2"/>
            <w:vAlign w:val="center"/>
            <w:hideMark/>
          </w:tcPr>
          <w:p w14:paraId="468AF524" w14:textId="77777777" w:rsidR="00990F67" w:rsidRPr="00990F67" w:rsidRDefault="00990F67" w:rsidP="00990F67">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Adult Total</w:t>
            </w:r>
          </w:p>
        </w:tc>
        <w:tc>
          <w:tcPr>
            <w:tcW w:w="0" w:type="auto"/>
            <w:shd w:val="clear" w:color="auto" w:fill="F2F2F2" w:themeFill="background1" w:themeFillShade="F2"/>
            <w:vAlign w:val="center"/>
            <w:hideMark/>
          </w:tcPr>
          <w:p w14:paraId="5BEB472F" w14:textId="77777777" w:rsidR="00990F67" w:rsidRPr="00990F67" w:rsidRDefault="00990F67" w:rsidP="00990F67">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 </w:t>
            </w:r>
          </w:p>
        </w:tc>
        <w:tc>
          <w:tcPr>
            <w:tcW w:w="0" w:type="auto"/>
            <w:shd w:val="clear" w:color="auto" w:fill="F2F2F2" w:themeFill="background1" w:themeFillShade="F2"/>
            <w:vAlign w:val="center"/>
            <w:hideMark/>
          </w:tcPr>
          <w:p w14:paraId="6C16BF7F" w14:textId="77777777" w:rsidR="00990F67" w:rsidRPr="00990F67" w:rsidRDefault="00990F67" w:rsidP="00990F67">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13,490</w:t>
            </w:r>
          </w:p>
        </w:tc>
        <w:tc>
          <w:tcPr>
            <w:tcW w:w="0" w:type="auto"/>
            <w:shd w:val="clear" w:color="auto" w:fill="F2F2F2" w:themeFill="background1" w:themeFillShade="F2"/>
            <w:vAlign w:val="center"/>
            <w:hideMark/>
          </w:tcPr>
          <w:p w14:paraId="3FBD5AC8" w14:textId="77777777" w:rsidR="00990F67" w:rsidRPr="00990F67" w:rsidRDefault="00990F67" w:rsidP="00990F67">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16,897</w:t>
            </w:r>
          </w:p>
        </w:tc>
        <w:tc>
          <w:tcPr>
            <w:tcW w:w="0" w:type="auto"/>
            <w:shd w:val="clear" w:color="auto" w:fill="F2F2F2" w:themeFill="background1" w:themeFillShade="F2"/>
            <w:vAlign w:val="center"/>
            <w:hideMark/>
          </w:tcPr>
          <w:p w14:paraId="5E507702" w14:textId="77777777" w:rsidR="00990F67" w:rsidRPr="00990F67" w:rsidRDefault="00990F67" w:rsidP="00990F67">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16,812</w:t>
            </w:r>
          </w:p>
        </w:tc>
        <w:tc>
          <w:tcPr>
            <w:tcW w:w="0" w:type="auto"/>
            <w:shd w:val="clear" w:color="auto" w:fill="F2F2F2" w:themeFill="background1" w:themeFillShade="F2"/>
            <w:vAlign w:val="center"/>
            <w:hideMark/>
          </w:tcPr>
          <w:p w14:paraId="4FF26516" w14:textId="77777777" w:rsidR="00990F67" w:rsidRPr="00990F67" w:rsidRDefault="00990F67" w:rsidP="00990F67">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17,213</w:t>
            </w:r>
          </w:p>
        </w:tc>
        <w:tc>
          <w:tcPr>
            <w:tcW w:w="0" w:type="auto"/>
            <w:shd w:val="clear" w:color="auto" w:fill="F2F2F2" w:themeFill="background1" w:themeFillShade="F2"/>
            <w:vAlign w:val="center"/>
            <w:hideMark/>
          </w:tcPr>
          <w:p w14:paraId="211CE346" w14:textId="77777777" w:rsidR="00990F67" w:rsidRPr="00990F67" w:rsidRDefault="00990F67" w:rsidP="00990F67">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18,306</w:t>
            </w:r>
          </w:p>
        </w:tc>
      </w:tr>
      <w:tr w:rsidR="00457F19" w:rsidRPr="00990F67" w14:paraId="7C441540" w14:textId="77777777" w:rsidTr="00101F89">
        <w:trPr>
          <w:cantSplit/>
          <w:trHeight w:val="290"/>
        </w:trPr>
        <w:tc>
          <w:tcPr>
            <w:tcW w:w="0" w:type="auto"/>
            <w:vAlign w:val="center"/>
            <w:hideMark/>
          </w:tcPr>
          <w:p w14:paraId="13A824F7"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Pediatric</w:t>
            </w:r>
          </w:p>
        </w:tc>
        <w:tc>
          <w:tcPr>
            <w:tcW w:w="0" w:type="auto"/>
            <w:vAlign w:val="center"/>
            <w:hideMark/>
          </w:tcPr>
          <w:p w14:paraId="349ED77F"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Group 1</w:t>
            </w:r>
          </w:p>
        </w:tc>
        <w:tc>
          <w:tcPr>
            <w:tcW w:w="0" w:type="auto"/>
            <w:vAlign w:val="center"/>
            <w:hideMark/>
          </w:tcPr>
          <w:p w14:paraId="4CBDECB7"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192</w:t>
            </w:r>
          </w:p>
        </w:tc>
        <w:tc>
          <w:tcPr>
            <w:tcW w:w="0" w:type="auto"/>
            <w:vAlign w:val="center"/>
            <w:hideMark/>
          </w:tcPr>
          <w:p w14:paraId="2D2F108F"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381</w:t>
            </w:r>
          </w:p>
        </w:tc>
        <w:tc>
          <w:tcPr>
            <w:tcW w:w="0" w:type="auto"/>
            <w:vAlign w:val="center"/>
            <w:hideMark/>
          </w:tcPr>
          <w:p w14:paraId="019AFCE5"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256</w:t>
            </w:r>
          </w:p>
        </w:tc>
        <w:tc>
          <w:tcPr>
            <w:tcW w:w="0" w:type="auto"/>
            <w:vAlign w:val="center"/>
            <w:hideMark/>
          </w:tcPr>
          <w:p w14:paraId="31E4807C"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269</w:t>
            </w:r>
          </w:p>
        </w:tc>
        <w:tc>
          <w:tcPr>
            <w:tcW w:w="0" w:type="auto"/>
            <w:vAlign w:val="center"/>
            <w:hideMark/>
          </w:tcPr>
          <w:p w14:paraId="2621DDBB"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276</w:t>
            </w:r>
          </w:p>
        </w:tc>
      </w:tr>
      <w:tr w:rsidR="00457F19" w:rsidRPr="00990F67" w14:paraId="312802B1" w14:textId="77777777" w:rsidTr="00101F89">
        <w:trPr>
          <w:cantSplit/>
          <w:trHeight w:val="290"/>
        </w:trPr>
        <w:tc>
          <w:tcPr>
            <w:tcW w:w="0" w:type="auto"/>
            <w:vAlign w:val="center"/>
            <w:hideMark/>
          </w:tcPr>
          <w:p w14:paraId="5AF0374A"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 </w:t>
            </w:r>
          </w:p>
        </w:tc>
        <w:tc>
          <w:tcPr>
            <w:tcW w:w="0" w:type="auto"/>
            <w:vAlign w:val="center"/>
            <w:hideMark/>
          </w:tcPr>
          <w:p w14:paraId="4C85FDDB"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Group 2</w:t>
            </w:r>
          </w:p>
        </w:tc>
        <w:tc>
          <w:tcPr>
            <w:tcW w:w="0" w:type="auto"/>
            <w:vAlign w:val="center"/>
            <w:hideMark/>
          </w:tcPr>
          <w:p w14:paraId="4B688A95"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92</w:t>
            </w:r>
          </w:p>
        </w:tc>
        <w:tc>
          <w:tcPr>
            <w:tcW w:w="0" w:type="auto"/>
            <w:vAlign w:val="center"/>
            <w:hideMark/>
          </w:tcPr>
          <w:p w14:paraId="04994FAC"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96</w:t>
            </w:r>
          </w:p>
        </w:tc>
        <w:tc>
          <w:tcPr>
            <w:tcW w:w="0" w:type="auto"/>
            <w:vAlign w:val="center"/>
            <w:hideMark/>
          </w:tcPr>
          <w:p w14:paraId="08922F49"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145</w:t>
            </w:r>
          </w:p>
        </w:tc>
        <w:tc>
          <w:tcPr>
            <w:tcW w:w="0" w:type="auto"/>
            <w:vAlign w:val="center"/>
            <w:hideMark/>
          </w:tcPr>
          <w:p w14:paraId="6B2CC707"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150</w:t>
            </w:r>
          </w:p>
        </w:tc>
        <w:tc>
          <w:tcPr>
            <w:tcW w:w="0" w:type="auto"/>
            <w:vAlign w:val="center"/>
            <w:hideMark/>
          </w:tcPr>
          <w:p w14:paraId="2FDC4AA2"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147</w:t>
            </w:r>
          </w:p>
        </w:tc>
      </w:tr>
      <w:tr w:rsidR="00457F19" w:rsidRPr="00990F67" w14:paraId="7902CDBD" w14:textId="77777777" w:rsidTr="00101F89">
        <w:trPr>
          <w:cantSplit/>
          <w:trHeight w:val="92"/>
        </w:trPr>
        <w:tc>
          <w:tcPr>
            <w:tcW w:w="0" w:type="auto"/>
            <w:shd w:val="clear" w:color="auto" w:fill="F2F2F2" w:themeFill="background1" w:themeFillShade="F2"/>
            <w:vAlign w:val="center"/>
            <w:hideMark/>
          </w:tcPr>
          <w:p w14:paraId="66FC11F8" w14:textId="77777777" w:rsidR="00990F67" w:rsidRPr="00990F67" w:rsidRDefault="00990F67" w:rsidP="00990F67">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Pediatric Total</w:t>
            </w:r>
          </w:p>
        </w:tc>
        <w:tc>
          <w:tcPr>
            <w:tcW w:w="0" w:type="auto"/>
            <w:shd w:val="clear" w:color="auto" w:fill="F2F2F2" w:themeFill="background1" w:themeFillShade="F2"/>
            <w:vAlign w:val="center"/>
            <w:hideMark/>
          </w:tcPr>
          <w:p w14:paraId="6F4A56D8" w14:textId="77777777" w:rsidR="00990F67" w:rsidRPr="00990F67" w:rsidRDefault="00990F67" w:rsidP="00990F67">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 </w:t>
            </w:r>
          </w:p>
        </w:tc>
        <w:tc>
          <w:tcPr>
            <w:tcW w:w="0" w:type="auto"/>
            <w:shd w:val="clear" w:color="auto" w:fill="F2F2F2" w:themeFill="background1" w:themeFillShade="F2"/>
            <w:vAlign w:val="center"/>
            <w:hideMark/>
          </w:tcPr>
          <w:p w14:paraId="11F2910F" w14:textId="77777777" w:rsidR="00990F67" w:rsidRPr="00990F67" w:rsidRDefault="00990F67" w:rsidP="00990F67">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284</w:t>
            </w:r>
          </w:p>
        </w:tc>
        <w:tc>
          <w:tcPr>
            <w:tcW w:w="0" w:type="auto"/>
            <w:shd w:val="clear" w:color="auto" w:fill="F2F2F2" w:themeFill="background1" w:themeFillShade="F2"/>
            <w:vAlign w:val="center"/>
            <w:hideMark/>
          </w:tcPr>
          <w:p w14:paraId="21B3B834" w14:textId="77777777" w:rsidR="00990F67" w:rsidRPr="00990F67" w:rsidRDefault="00990F67" w:rsidP="00990F67">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477</w:t>
            </w:r>
          </w:p>
        </w:tc>
        <w:tc>
          <w:tcPr>
            <w:tcW w:w="0" w:type="auto"/>
            <w:shd w:val="clear" w:color="auto" w:fill="F2F2F2" w:themeFill="background1" w:themeFillShade="F2"/>
            <w:vAlign w:val="center"/>
            <w:hideMark/>
          </w:tcPr>
          <w:p w14:paraId="06AE6EDF" w14:textId="77777777" w:rsidR="00990F67" w:rsidRPr="00990F67" w:rsidRDefault="00990F67" w:rsidP="00990F67">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401</w:t>
            </w:r>
          </w:p>
        </w:tc>
        <w:tc>
          <w:tcPr>
            <w:tcW w:w="0" w:type="auto"/>
            <w:shd w:val="clear" w:color="auto" w:fill="F2F2F2" w:themeFill="background1" w:themeFillShade="F2"/>
            <w:vAlign w:val="center"/>
            <w:hideMark/>
          </w:tcPr>
          <w:p w14:paraId="6CE01B87" w14:textId="77777777" w:rsidR="00990F67" w:rsidRPr="00990F67" w:rsidRDefault="00990F67" w:rsidP="00990F67">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419</w:t>
            </w:r>
          </w:p>
        </w:tc>
        <w:tc>
          <w:tcPr>
            <w:tcW w:w="0" w:type="auto"/>
            <w:shd w:val="clear" w:color="auto" w:fill="F2F2F2" w:themeFill="background1" w:themeFillShade="F2"/>
            <w:vAlign w:val="center"/>
            <w:hideMark/>
          </w:tcPr>
          <w:p w14:paraId="6C8D04EC" w14:textId="77777777" w:rsidR="00990F67" w:rsidRPr="00990F67" w:rsidRDefault="00990F67" w:rsidP="00990F67">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423</w:t>
            </w:r>
          </w:p>
        </w:tc>
      </w:tr>
      <w:tr w:rsidR="00457F19" w:rsidRPr="00990F67" w14:paraId="309BB7BE" w14:textId="77777777" w:rsidTr="00101F89">
        <w:trPr>
          <w:cantSplit/>
          <w:trHeight w:val="290"/>
        </w:trPr>
        <w:tc>
          <w:tcPr>
            <w:tcW w:w="0" w:type="auto"/>
            <w:vAlign w:val="center"/>
            <w:hideMark/>
          </w:tcPr>
          <w:p w14:paraId="7B9BBD2C" w14:textId="77777777" w:rsidR="00990F67" w:rsidRPr="00990F67" w:rsidRDefault="00990F67" w:rsidP="00990F67">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Grand Total</w:t>
            </w:r>
          </w:p>
        </w:tc>
        <w:tc>
          <w:tcPr>
            <w:tcW w:w="0" w:type="auto"/>
            <w:vAlign w:val="center"/>
            <w:hideMark/>
          </w:tcPr>
          <w:p w14:paraId="20B54862" w14:textId="77777777" w:rsidR="00990F67" w:rsidRPr="00990F67" w:rsidRDefault="00990F67" w:rsidP="00990F67">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 </w:t>
            </w:r>
          </w:p>
        </w:tc>
        <w:tc>
          <w:tcPr>
            <w:tcW w:w="0" w:type="auto"/>
            <w:vAlign w:val="center"/>
            <w:hideMark/>
          </w:tcPr>
          <w:p w14:paraId="65A693C4" w14:textId="77777777" w:rsidR="00990F67" w:rsidRPr="00990F67" w:rsidRDefault="00990F67" w:rsidP="00990F67">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13,774</w:t>
            </w:r>
          </w:p>
        </w:tc>
        <w:tc>
          <w:tcPr>
            <w:tcW w:w="0" w:type="auto"/>
            <w:vAlign w:val="center"/>
            <w:hideMark/>
          </w:tcPr>
          <w:p w14:paraId="427FC0F0" w14:textId="77777777" w:rsidR="00990F67" w:rsidRPr="00990F67" w:rsidRDefault="00990F67" w:rsidP="00990F67">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17,374</w:t>
            </w:r>
          </w:p>
        </w:tc>
        <w:tc>
          <w:tcPr>
            <w:tcW w:w="0" w:type="auto"/>
            <w:vAlign w:val="center"/>
            <w:hideMark/>
          </w:tcPr>
          <w:p w14:paraId="3A197EE5" w14:textId="77777777" w:rsidR="00990F67" w:rsidRPr="00990F67" w:rsidRDefault="00990F67" w:rsidP="00990F67">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17,213</w:t>
            </w:r>
          </w:p>
        </w:tc>
        <w:tc>
          <w:tcPr>
            <w:tcW w:w="0" w:type="auto"/>
            <w:vAlign w:val="center"/>
            <w:hideMark/>
          </w:tcPr>
          <w:p w14:paraId="7F25EA82" w14:textId="77777777" w:rsidR="00990F67" w:rsidRPr="00990F67" w:rsidRDefault="00990F67" w:rsidP="00990F67">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17,632</w:t>
            </w:r>
          </w:p>
        </w:tc>
        <w:tc>
          <w:tcPr>
            <w:tcW w:w="0" w:type="auto"/>
            <w:vAlign w:val="center"/>
            <w:hideMark/>
          </w:tcPr>
          <w:p w14:paraId="6CA27CD4" w14:textId="77777777" w:rsidR="00990F67" w:rsidRPr="00990F67" w:rsidRDefault="00990F67" w:rsidP="00990F67">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18,729</w:t>
            </w:r>
          </w:p>
        </w:tc>
      </w:tr>
    </w:tbl>
    <w:p w14:paraId="13BD4460" w14:textId="77777777" w:rsidR="004D6A79" w:rsidRDefault="004D6A79" w:rsidP="00BA2054">
      <w:pPr>
        <w:rPr>
          <w:rFonts w:asciiTheme="minorHAnsi" w:hAnsiTheme="minorHAnsi"/>
          <w:szCs w:val="24"/>
        </w:rPr>
      </w:pPr>
    </w:p>
    <w:p w14:paraId="607777AA" w14:textId="42A94303" w:rsidR="00154F5C" w:rsidRDefault="00154F5C" w:rsidP="00154F5C">
      <w:pPr>
        <w:rPr>
          <w:rFonts w:asciiTheme="minorHAnsi" w:hAnsiTheme="minorHAnsi"/>
          <w:szCs w:val="24"/>
        </w:rPr>
      </w:pPr>
      <w:r>
        <w:rPr>
          <w:rFonts w:asciiTheme="minorHAnsi" w:hAnsiTheme="minorHAnsi"/>
          <w:szCs w:val="24"/>
        </w:rPr>
        <w:t>The Applicant notes the following about Table 1</w:t>
      </w:r>
      <w:r w:rsidR="000F3288">
        <w:rPr>
          <w:rFonts w:asciiTheme="minorHAnsi" w:hAnsiTheme="minorHAnsi"/>
          <w:szCs w:val="24"/>
        </w:rPr>
        <w:t>0</w:t>
      </w:r>
      <w:r>
        <w:rPr>
          <w:rFonts w:asciiTheme="minorHAnsi" w:hAnsiTheme="minorHAnsi"/>
          <w:szCs w:val="24"/>
        </w:rPr>
        <w:t>:</w:t>
      </w:r>
    </w:p>
    <w:p w14:paraId="2E26C509" w14:textId="77777777" w:rsidR="002C56A8" w:rsidRDefault="00154F5C">
      <w:pPr>
        <w:pStyle w:val="ListParagraph"/>
        <w:numPr>
          <w:ilvl w:val="0"/>
          <w:numId w:val="8"/>
        </w:numPr>
        <w:rPr>
          <w:rFonts w:asciiTheme="minorHAnsi" w:hAnsiTheme="minorHAnsi"/>
          <w:szCs w:val="24"/>
        </w:rPr>
      </w:pPr>
      <w:r w:rsidRPr="003A08D4">
        <w:rPr>
          <w:rFonts w:asciiTheme="minorHAnsi" w:hAnsiTheme="minorHAnsi"/>
          <w:szCs w:val="24"/>
        </w:rPr>
        <w:t xml:space="preserve">Some portion of new patients that had a clinical consult visit with one of the Applicant’s medical oncologists may ultimately elect not to continue medical oncology treatment with the Applicant for any number of reasons. </w:t>
      </w:r>
    </w:p>
    <w:p w14:paraId="636DC537" w14:textId="2045BB15" w:rsidR="00154F5C" w:rsidRPr="002C56A8" w:rsidRDefault="00154F5C">
      <w:pPr>
        <w:pStyle w:val="ListParagraph"/>
        <w:numPr>
          <w:ilvl w:val="0"/>
          <w:numId w:val="8"/>
        </w:numPr>
        <w:rPr>
          <w:rFonts w:asciiTheme="minorHAnsi" w:hAnsiTheme="minorHAnsi"/>
          <w:szCs w:val="24"/>
        </w:rPr>
      </w:pPr>
      <w:r w:rsidRPr="002C56A8">
        <w:rPr>
          <w:rFonts w:asciiTheme="minorHAnsi" w:hAnsiTheme="minorHAnsi"/>
          <w:szCs w:val="24"/>
        </w:rPr>
        <w:t xml:space="preserve">While difficult to estimate that proportion with precision, it is reasonable to assume that the proportion would be higher among adult patients than pediatric patients. </w:t>
      </w:r>
    </w:p>
    <w:p w14:paraId="0533C273" w14:textId="719E0B9C" w:rsidR="00154F5C" w:rsidRDefault="00154F5C">
      <w:pPr>
        <w:pStyle w:val="ListParagraph"/>
        <w:numPr>
          <w:ilvl w:val="0"/>
          <w:numId w:val="8"/>
        </w:numPr>
        <w:rPr>
          <w:rFonts w:asciiTheme="minorHAnsi" w:hAnsiTheme="minorHAnsi"/>
          <w:szCs w:val="24"/>
        </w:rPr>
      </w:pPr>
      <w:r w:rsidRPr="003A08D4">
        <w:rPr>
          <w:rFonts w:asciiTheme="minorHAnsi" w:hAnsiTheme="minorHAnsi"/>
          <w:szCs w:val="24"/>
        </w:rPr>
        <w:t xml:space="preserve">Regardless, each of the patients still represent need within the </w:t>
      </w:r>
      <w:r>
        <w:rPr>
          <w:rFonts w:asciiTheme="minorHAnsi" w:hAnsiTheme="minorHAnsi"/>
          <w:szCs w:val="24"/>
        </w:rPr>
        <w:t>P</w:t>
      </w:r>
      <w:r w:rsidRPr="003A08D4">
        <w:rPr>
          <w:rFonts w:asciiTheme="minorHAnsi" w:hAnsiTheme="minorHAnsi"/>
          <w:szCs w:val="24"/>
        </w:rPr>
        <w:t xml:space="preserve">atient </w:t>
      </w:r>
      <w:r>
        <w:rPr>
          <w:rFonts w:asciiTheme="minorHAnsi" w:hAnsiTheme="minorHAnsi"/>
          <w:szCs w:val="24"/>
        </w:rPr>
        <w:t>P</w:t>
      </w:r>
      <w:r w:rsidRPr="003A08D4">
        <w:rPr>
          <w:rFonts w:asciiTheme="minorHAnsi" w:hAnsiTheme="minorHAnsi"/>
          <w:szCs w:val="24"/>
        </w:rPr>
        <w:t xml:space="preserve">anel for </w:t>
      </w:r>
      <w:r w:rsidR="002C56A8">
        <w:rPr>
          <w:rFonts w:asciiTheme="minorHAnsi" w:hAnsiTheme="minorHAnsi"/>
          <w:szCs w:val="24"/>
        </w:rPr>
        <w:t>PBT</w:t>
      </w:r>
      <w:r w:rsidRPr="003A08D4">
        <w:rPr>
          <w:rFonts w:asciiTheme="minorHAnsi" w:hAnsiTheme="minorHAnsi"/>
          <w:szCs w:val="24"/>
        </w:rPr>
        <w:t xml:space="preserve"> based on their Group 1 diagnoses. </w:t>
      </w:r>
    </w:p>
    <w:p w14:paraId="2DB765BC" w14:textId="4005F770" w:rsidR="00154F5C" w:rsidRDefault="00154F5C">
      <w:pPr>
        <w:pStyle w:val="ListParagraph"/>
        <w:numPr>
          <w:ilvl w:val="0"/>
          <w:numId w:val="8"/>
        </w:numPr>
        <w:rPr>
          <w:rFonts w:asciiTheme="minorHAnsi" w:hAnsiTheme="minorHAnsi"/>
          <w:szCs w:val="24"/>
        </w:rPr>
      </w:pPr>
      <w:r>
        <w:rPr>
          <w:rFonts w:asciiTheme="minorHAnsi" w:hAnsiTheme="minorHAnsi"/>
          <w:szCs w:val="24"/>
        </w:rPr>
        <w:t>P</w:t>
      </w:r>
      <w:r w:rsidRPr="003A08D4">
        <w:rPr>
          <w:rFonts w:asciiTheme="minorHAnsi" w:hAnsiTheme="minorHAnsi"/>
          <w:szCs w:val="24"/>
        </w:rPr>
        <w:t xml:space="preserve">atient </w:t>
      </w:r>
      <w:r>
        <w:rPr>
          <w:rFonts w:asciiTheme="minorHAnsi" w:hAnsiTheme="minorHAnsi"/>
          <w:szCs w:val="24"/>
        </w:rPr>
        <w:t>P</w:t>
      </w:r>
      <w:r w:rsidRPr="003A08D4">
        <w:rPr>
          <w:rFonts w:asciiTheme="minorHAnsi" w:hAnsiTheme="minorHAnsi"/>
          <w:szCs w:val="24"/>
        </w:rPr>
        <w:t xml:space="preserve">anel need for the Proposed Project would be sufficiently demonstrated even if considering only the pediatric Group 1 patients. </w:t>
      </w:r>
    </w:p>
    <w:p w14:paraId="6FC69A5C" w14:textId="72F03AA9" w:rsidR="00154F5C" w:rsidRPr="003A08D4" w:rsidRDefault="00154F5C">
      <w:pPr>
        <w:pStyle w:val="ListParagraph"/>
        <w:numPr>
          <w:ilvl w:val="0"/>
          <w:numId w:val="8"/>
        </w:numPr>
        <w:rPr>
          <w:rFonts w:asciiTheme="minorHAnsi" w:hAnsiTheme="minorHAnsi"/>
          <w:szCs w:val="24"/>
        </w:rPr>
      </w:pPr>
      <w:r w:rsidRPr="003A08D4">
        <w:rPr>
          <w:rFonts w:asciiTheme="minorHAnsi" w:hAnsiTheme="minorHAnsi"/>
          <w:szCs w:val="24"/>
        </w:rPr>
        <w:t xml:space="preserve">Patient </w:t>
      </w:r>
      <w:r>
        <w:rPr>
          <w:rFonts w:asciiTheme="minorHAnsi" w:hAnsiTheme="minorHAnsi"/>
          <w:szCs w:val="24"/>
        </w:rPr>
        <w:t>P</w:t>
      </w:r>
      <w:r w:rsidRPr="003A08D4">
        <w:rPr>
          <w:rFonts w:asciiTheme="minorHAnsi" w:hAnsiTheme="minorHAnsi"/>
          <w:szCs w:val="24"/>
        </w:rPr>
        <w:t xml:space="preserve">anel need may be understated as </w:t>
      </w:r>
      <w:r w:rsidR="009F567E">
        <w:rPr>
          <w:rFonts w:asciiTheme="minorHAnsi" w:hAnsiTheme="minorHAnsi"/>
          <w:szCs w:val="24"/>
        </w:rPr>
        <w:t>N</w:t>
      </w:r>
      <w:r w:rsidRPr="003A08D4">
        <w:rPr>
          <w:rFonts w:asciiTheme="minorHAnsi" w:hAnsiTheme="minorHAnsi"/>
          <w:szCs w:val="24"/>
        </w:rPr>
        <w:t xml:space="preserve">ew </w:t>
      </w:r>
      <w:r w:rsidR="009F567E">
        <w:rPr>
          <w:rFonts w:asciiTheme="minorHAnsi" w:hAnsiTheme="minorHAnsi"/>
          <w:szCs w:val="24"/>
        </w:rPr>
        <w:t>P</w:t>
      </w:r>
      <w:r w:rsidRPr="003A08D4">
        <w:rPr>
          <w:rFonts w:asciiTheme="minorHAnsi" w:hAnsiTheme="minorHAnsi"/>
          <w:szCs w:val="24"/>
        </w:rPr>
        <w:t xml:space="preserve">atient </w:t>
      </w:r>
      <w:r w:rsidR="009F567E">
        <w:rPr>
          <w:rFonts w:asciiTheme="minorHAnsi" w:hAnsiTheme="minorHAnsi"/>
          <w:szCs w:val="24"/>
        </w:rPr>
        <w:t>C</w:t>
      </w:r>
      <w:r w:rsidRPr="003A08D4">
        <w:rPr>
          <w:rFonts w:asciiTheme="minorHAnsi" w:hAnsiTheme="minorHAnsi"/>
          <w:szCs w:val="24"/>
        </w:rPr>
        <w:t xml:space="preserve">onsults do not reflect those patients who elected not to seek treatment from the Applicant because </w:t>
      </w:r>
      <w:r w:rsidR="00E446EF">
        <w:rPr>
          <w:rFonts w:asciiTheme="minorHAnsi" w:hAnsiTheme="minorHAnsi"/>
          <w:szCs w:val="24"/>
        </w:rPr>
        <w:t>PBT</w:t>
      </w:r>
      <w:r w:rsidRPr="003A08D4">
        <w:rPr>
          <w:rFonts w:asciiTheme="minorHAnsi" w:hAnsiTheme="minorHAnsi"/>
          <w:szCs w:val="24"/>
        </w:rPr>
        <w:t xml:space="preserve"> was not offered, and does not reflect existing patients who would be eligible for </w:t>
      </w:r>
      <w:r w:rsidR="001415F7">
        <w:rPr>
          <w:rFonts w:asciiTheme="minorHAnsi" w:hAnsiTheme="minorHAnsi"/>
          <w:szCs w:val="24"/>
        </w:rPr>
        <w:t>PBT</w:t>
      </w:r>
      <w:r w:rsidRPr="003A08D4">
        <w:rPr>
          <w:rFonts w:asciiTheme="minorHAnsi" w:hAnsiTheme="minorHAnsi"/>
          <w:szCs w:val="24"/>
        </w:rPr>
        <w:t xml:space="preserve">.  </w:t>
      </w:r>
    </w:p>
    <w:p w14:paraId="00910F1B" w14:textId="77777777" w:rsidR="00DC2F6D" w:rsidRDefault="00DC2F6D" w:rsidP="00BA2054">
      <w:pPr>
        <w:rPr>
          <w:rFonts w:asciiTheme="minorHAnsi" w:hAnsiTheme="minorHAnsi"/>
          <w:szCs w:val="24"/>
        </w:rPr>
      </w:pPr>
    </w:p>
    <w:p w14:paraId="29CF118E" w14:textId="3F868EF4" w:rsidR="00DC2F6D" w:rsidRDefault="7B05C46A" w:rsidP="2FEDF9E8">
      <w:pPr>
        <w:rPr>
          <w:rFonts w:asciiTheme="minorHAnsi" w:hAnsiTheme="minorHAnsi"/>
        </w:rPr>
      </w:pPr>
      <w:r w:rsidRPr="2FEDF9E8">
        <w:rPr>
          <w:rFonts w:asciiTheme="minorHAnsi" w:hAnsiTheme="minorHAnsi"/>
        </w:rPr>
        <w:t>Table 1</w:t>
      </w:r>
      <w:r w:rsidR="5DDD8041" w:rsidRPr="2FEDF9E8">
        <w:rPr>
          <w:rFonts w:asciiTheme="minorHAnsi" w:hAnsiTheme="minorHAnsi"/>
        </w:rPr>
        <w:t>1</w:t>
      </w:r>
      <w:r w:rsidRPr="2FEDF9E8">
        <w:rPr>
          <w:rFonts w:asciiTheme="minorHAnsi" w:hAnsiTheme="minorHAnsi"/>
        </w:rPr>
        <w:t xml:space="preserve"> shows the combined adult and pediatric </w:t>
      </w:r>
      <w:r w:rsidR="6370FE75" w:rsidRPr="2FEDF9E8">
        <w:rPr>
          <w:rFonts w:asciiTheme="minorHAnsi" w:hAnsiTheme="minorHAnsi"/>
        </w:rPr>
        <w:t>PBT</w:t>
      </w:r>
      <w:r w:rsidRPr="2FEDF9E8">
        <w:rPr>
          <w:rFonts w:asciiTheme="minorHAnsi" w:hAnsiTheme="minorHAnsi"/>
        </w:rPr>
        <w:t xml:space="preserve"> Eligibility totals by CMS grouping. </w:t>
      </w:r>
      <w:r w:rsidR="6370FE75" w:rsidRPr="2FEDF9E8">
        <w:rPr>
          <w:rFonts w:asciiTheme="minorHAnsi" w:hAnsiTheme="minorHAnsi"/>
        </w:rPr>
        <w:t xml:space="preserve">The Applicant states that in FY24, the total 3,466 adult and pediatric patients in Group 1 that needed PBT, could not access the treatment in Massachusetts, given </w:t>
      </w:r>
      <w:r w:rsidR="1D368AE9" w:rsidRPr="2FEDF9E8">
        <w:rPr>
          <w:rFonts w:asciiTheme="minorHAnsi" w:hAnsiTheme="minorHAnsi"/>
        </w:rPr>
        <w:t xml:space="preserve">the state’s </w:t>
      </w:r>
      <w:r w:rsidR="000B3FDD" w:rsidRPr="2FEDF9E8">
        <w:rPr>
          <w:rFonts w:asciiTheme="minorHAnsi" w:hAnsiTheme="minorHAnsi"/>
        </w:rPr>
        <w:t xml:space="preserve">current </w:t>
      </w:r>
      <w:r w:rsidR="18C14708" w:rsidRPr="2FEDF9E8">
        <w:rPr>
          <w:rFonts w:asciiTheme="minorHAnsi" w:hAnsiTheme="minorHAnsi"/>
        </w:rPr>
        <w:t>operational</w:t>
      </w:r>
      <w:r w:rsidR="2444A4A2" w:rsidRPr="2FEDF9E8">
        <w:rPr>
          <w:rFonts w:asciiTheme="minorHAnsi" w:hAnsiTheme="minorHAnsi"/>
        </w:rPr>
        <w:t xml:space="preserve"> </w:t>
      </w:r>
      <w:r w:rsidR="29E5B9E3" w:rsidRPr="2FEDF9E8">
        <w:rPr>
          <w:rFonts w:asciiTheme="minorHAnsi" w:hAnsiTheme="minorHAnsi"/>
        </w:rPr>
        <w:t>P</w:t>
      </w:r>
      <w:r w:rsidR="6370FE75" w:rsidRPr="2FEDF9E8">
        <w:rPr>
          <w:rFonts w:asciiTheme="minorHAnsi" w:hAnsiTheme="minorHAnsi"/>
        </w:rPr>
        <w:t>BT capacity.</w:t>
      </w:r>
      <w:r w:rsidR="000B3FDD">
        <w:rPr>
          <w:rStyle w:val="FootnoteReference"/>
          <w:rFonts w:asciiTheme="minorHAnsi" w:hAnsiTheme="minorHAnsi"/>
        </w:rPr>
        <w:footnoteReference w:id="30"/>
      </w:r>
      <w:r w:rsidR="6370FE75" w:rsidRPr="2FEDF9E8">
        <w:rPr>
          <w:rFonts w:asciiTheme="minorHAnsi" w:hAnsiTheme="minorHAnsi"/>
        </w:rPr>
        <w:t xml:space="preserve"> </w:t>
      </w:r>
    </w:p>
    <w:p w14:paraId="77AC08E4" w14:textId="77777777" w:rsidR="00DC2F6D" w:rsidRDefault="00DC2F6D" w:rsidP="00BA2054">
      <w:pPr>
        <w:rPr>
          <w:rFonts w:asciiTheme="minorHAnsi" w:hAnsiTheme="minorHAnsi"/>
          <w:szCs w:val="24"/>
        </w:rPr>
      </w:pPr>
    </w:p>
    <w:p w14:paraId="461B09F1" w14:textId="08AD6DA4" w:rsidR="008D2B05" w:rsidRDefault="008D2B05" w:rsidP="00BA2054">
      <w:pPr>
        <w:rPr>
          <w:rFonts w:asciiTheme="minorHAnsi" w:hAnsiTheme="minorHAnsi"/>
          <w:szCs w:val="24"/>
        </w:rPr>
      </w:pPr>
      <w:r w:rsidRPr="00DC2F6D">
        <w:rPr>
          <w:rFonts w:asciiTheme="minorHAnsi" w:hAnsiTheme="minorHAnsi"/>
          <w:b/>
          <w:bCs/>
          <w:szCs w:val="24"/>
          <w:u w:val="single"/>
        </w:rPr>
        <w:t>Table 1</w:t>
      </w:r>
      <w:r w:rsidR="000F3288">
        <w:rPr>
          <w:rFonts w:asciiTheme="minorHAnsi" w:hAnsiTheme="minorHAnsi"/>
          <w:b/>
          <w:bCs/>
          <w:szCs w:val="24"/>
          <w:u w:val="single"/>
        </w:rPr>
        <w:t>1</w:t>
      </w:r>
      <w:r>
        <w:rPr>
          <w:rFonts w:asciiTheme="minorHAnsi" w:hAnsiTheme="minorHAnsi"/>
          <w:szCs w:val="24"/>
        </w:rPr>
        <w:t xml:space="preserve">: </w:t>
      </w:r>
      <w:r w:rsidRPr="008D2B05">
        <w:rPr>
          <w:rFonts w:asciiTheme="minorHAnsi" w:hAnsiTheme="minorHAnsi"/>
          <w:b/>
          <w:bCs/>
          <w:szCs w:val="24"/>
        </w:rPr>
        <w:t xml:space="preserve">DFCI New Patient Consult </w:t>
      </w:r>
      <w:r w:rsidR="002C56A8">
        <w:rPr>
          <w:rFonts w:asciiTheme="minorHAnsi" w:hAnsiTheme="minorHAnsi"/>
          <w:b/>
          <w:bCs/>
          <w:szCs w:val="24"/>
        </w:rPr>
        <w:t>PBT</w:t>
      </w:r>
      <w:r w:rsidRPr="008D2B05">
        <w:rPr>
          <w:rFonts w:asciiTheme="minorHAnsi" w:hAnsiTheme="minorHAnsi"/>
          <w:b/>
          <w:bCs/>
          <w:szCs w:val="24"/>
        </w:rPr>
        <w:t xml:space="preserve"> Eligibility</w:t>
      </w:r>
      <w:r>
        <w:rPr>
          <w:rFonts w:asciiTheme="minorHAnsi" w:hAnsiTheme="minorHAnsi"/>
          <w:b/>
          <w:bCs/>
          <w:szCs w:val="24"/>
        </w:rPr>
        <w:t xml:space="preserve">, Group 1 and Group 2 Totals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1554"/>
        <w:gridCol w:w="992"/>
        <w:gridCol w:w="992"/>
        <w:gridCol w:w="992"/>
        <w:gridCol w:w="992"/>
        <w:gridCol w:w="992"/>
      </w:tblGrid>
      <w:tr w:rsidR="008D2B05" w:rsidRPr="00990F67" w14:paraId="6A1C7E5D" w14:textId="77777777" w:rsidTr="008E1816">
        <w:trPr>
          <w:cantSplit/>
          <w:trHeight w:val="520"/>
          <w:tblHeader/>
        </w:trPr>
        <w:tc>
          <w:tcPr>
            <w:tcW w:w="0" w:type="auto"/>
            <w:shd w:val="clear" w:color="auto" w:fill="DBE5F1" w:themeFill="accent1" w:themeFillTint="33"/>
            <w:vAlign w:val="center"/>
            <w:hideMark/>
          </w:tcPr>
          <w:p w14:paraId="25CB7B1E" w14:textId="77777777" w:rsidR="008D2B05" w:rsidRPr="00990F67" w:rsidRDefault="008D2B05" w:rsidP="00FD1D49">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Patient Population</w:t>
            </w:r>
          </w:p>
        </w:tc>
        <w:tc>
          <w:tcPr>
            <w:tcW w:w="0" w:type="auto"/>
            <w:shd w:val="clear" w:color="auto" w:fill="DBE5F1" w:themeFill="accent1" w:themeFillTint="33"/>
            <w:vAlign w:val="center"/>
            <w:hideMark/>
          </w:tcPr>
          <w:p w14:paraId="0A3EFA7B" w14:textId="77777777" w:rsidR="008D2B05" w:rsidRPr="00990F67" w:rsidRDefault="008D2B05" w:rsidP="00FD1D49">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CMS Group</w:t>
            </w:r>
          </w:p>
        </w:tc>
        <w:tc>
          <w:tcPr>
            <w:tcW w:w="0" w:type="auto"/>
            <w:shd w:val="clear" w:color="auto" w:fill="DBE5F1" w:themeFill="accent1" w:themeFillTint="33"/>
            <w:vAlign w:val="center"/>
            <w:hideMark/>
          </w:tcPr>
          <w:p w14:paraId="2D1BE639" w14:textId="77777777" w:rsidR="008D2B05" w:rsidRPr="00990F67" w:rsidRDefault="008D2B05" w:rsidP="00FD1D49">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FY 2020</w:t>
            </w:r>
          </w:p>
        </w:tc>
        <w:tc>
          <w:tcPr>
            <w:tcW w:w="0" w:type="auto"/>
            <w:shd w:val="clear" w:color="auto" w:fill="DBE5F1" w:themeFill="accent1" w:themeFillTint="33"/>
            <w:vAlign w:val="center"/>
            <w:hideMark/>
          </w:tcPr>
          <w:p w14:paraId="225BF2A0" w14:textId="77777777" w:rsidR="008D2B05" w:rsidRPr="00990F67" w:rsidRDefault="008D2B05" w:rsidP="00FD1D49">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FY 2021</w:t>
            </w:r>
          </w:p>
        </w:tc>
        <w:tc>
          <w:tcPr>
            <w:tcW w:w="0" w:type="auto"/>
            <w:shd w:val="clear" w:color="auto" w:fill="DBE5F1" w:themeFill="accent1" w:themeFillTint="33"/>
            <w:vAlign w:val="center"/>
            <w:hideMark/>
          </w:tcPr>
          <w:p w14:paraId="3C779667" w14:textId="77777777" w:rsidR="008D2B05" w:rsidRPr="00990F67" w:rsidRDefault="008D2B05" w:rsidP="00FD1D49">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FY 2022</w:t>
            </w:r>
          </w:p>
        </w:tc>
        <w:tc>
          <w:tcPr>
            <w:tcW w:w="0" w:type="auto"/>
            <w:shd w:val="clear" w:color="auto" w:fill="DBE5F1" w:themeFill="accent1" w:themeFillTint="33"/>
            <w:vAlign w:val="center"/>
            <w:hideMark/>
          </w:tcPr>
          <w:p w14:paraId="52D1C2AF" w14:textId="77777777" w:rsidR="008D2B05" w:rsidRPr="00990F67" w:rsidRDefault="008D2B05" w:rsidP="00FD1D49">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FY 2023</w:t>
            </w:r>
          </w:p>
        </w:tc>
        <w:tc>
          <w:tcPr>
            <w:tcW w:w="0" w:type="auto"/>
            <w:shd w:val="clear" w:color="auto" w:fill="DBE5F1" w:themeFill="accent1" w:themeFillTint="33"/>
            <w:vAlign w:val="center"/>
            <w:hideMark/>
          </w:tcPr>
          <w:p w14:paraId="5426A889" w14:textId="77777777" w:rsidR="008D2B05" w:rsidRPr="00990F67" w:rsidRDefault="008D2B05" w:rsidP="00FD1D49">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FY 2024</w:t>
            </w:r>
          </w:p>
        </w:tc>
      </w:tr>
      <w:tr w:rsidR="008D2B05" w:rsidRPr="00990F67" w14:paraId="7806926B" w14:textId="77777777" w:rsidTr="008E1816">
        <w:trPr>
          <w:cantSplit/>
          <w:trHeight w:val="520"/>
        </w:trPr>
        <w:tc>
          <w:tcPr>
            <w:tcW w:w="0" w:type="auto"/>
            <w:shd w:val="clear" w:color="auto" w:fill="FFFFFF" w:themeFill="background1"/>
            <w:vAlign w:val="center"/>
          </w:tcPr>
          <w:p w14:paraId="70A6DEB5" w14:textId="77777777" w:rsidR="008D2B05" w:rsidRPr="00866A8D" w:rsidRDefault="008D2B05" w:rsidP="00FD1D49">
            <w:pPr>
              <w:widowControl/>
              <w:autoSpaceDE/>
              <w:autoSpaceDN/>
              <w:jc w:val="center"/>
              <w:rPr>
                <w:rFonts w:asciiTheme="minorHAnsi" w:eastAsia="Times New Roman" w:hAnsiTheme="minorHAnsi"/>
                <w:color w:val="000000"/>
                <w:szCs w:val="24"/>
              </w:rPr>
            </w:pPr>
            <w:r w:rsidRPr="00866A8D">
              <w:rPr>
                <w:rFonts w:asciiTheme="minorHAnsi" w:eastAsia="Times New Roman" w:hAnsiTheme="minorHAnsi"/>
                <w:color w:val="000000"/>
                <w:szCs w:val="24"/>
              </w:rPr>
              <w:t>Adult and Pediatric</w:t>
            </w:r>
          </w:p>
        </w:tc>
        <w:tc>
          <w:tcPr>
            <w:tcW w:w="0" w:type="auto"/>
            <w:shd w:val="clear" w:color="auto" w:fill="FFFFFF" w:themeFill="background1"/>
            <w:vAlign w:val="center"/>
          </w:tcPr>
          <w:p w14:paraId="4CBAB792" w14:textId="77777777" w:rsidR="008D2B05" w:rsidRPr="006E618D" w:rsidRDefault="008D2B05" w:rsidP="00FD1D49">
            <w:pPr>
              <w:widowControl/>
              <w:autoSpaceDE/>
              <w:autoSpaceDN/>
              <w:jc w:val="center"/>
              <w:rPr>
                <w:rFonts w:asciiTheme="minorHAnsi" w:eastAsia="Times New Roman" w:hAnsiTheme="minorHAnsi"/>
                <w:color w:val="000000"/>
                <w:szCs w:val="24"/>
              </w:rPr>
            </w:pPr>
            <w:r w:rsidRPr="006E618D">
              <w:rPr>
                <w:rFonts w:asciiTheme="minorHAnsi" w:eastAsia="Times New Roman" w:hAnsiTheme="minorHAnsi"/>
                <w:color w:val="000000"/>
                <w:szCs w:val="24"/>
              </w:rPr>
              <w:t xml:space="preserve">Group 1 Total </w:t>
            </w:r>
          </w:p>
        </w:tc>
        <w:tc>
          <w:tcPr>
            <w:tcW w:w="0" w:type="auto"/>
            <w:shd w:val="clear" w:color="auto" w:fill="FFFFFF" w:themeFill="background1"/>
            <w:vAlign w:val="center"/>
          </w:tcPr>
          <w:p w14:paraId="32213295" w14:textId="77777777" w:rsidR="008D2B05" w:rsidRPr="006E618D" w:rsidRDefault="008D2B05" w:rsidP="00FD1D49">
            <w:pPr>
              <w:widowControl/>
              <w:autoSpaceDE/>
              <w:autoSpaceDN/>
              <w:jc w:val="center"/>
              <w:rPr>
                <w:rFonts w:asciiTheme="minorHAnsi" w:eastAsia="Times New Roman" w:hAnsiTheme="minorHAnsi"/>
                <w:color w:val="000000"/>
                <w:szCs w:val="24"/>
              </w:rPr>
            </w:pPr>
            <w:r w:rsidRPr="006E618D">
              <w:rPr>
                <w:rFonts w:asciiTheme="minorHAnsi" w:eastAsia="Times New Roman" w:hAnsiTheme="minorHAnsi"/>
                <w:color w:val="000000"/>
                <w:szCs w:val="24"/>
              </w:rPr>
              <w:t>2,573</w:t>
            </w:r>
          </w:p>
        </w:tc>
        <w:tc>
          <w:tcPr>
            <w:tcW w:w="0" w:type="auto"/>
            <w:shd w:val="clear" w:color="auto" w:fill="FFFFFF" w:themeFill="background1"/>
            <w:vAlign w:val="center"/>
          </w:tcPr>
          <w:p w14:paraId="3E9E501A" w14:textId="77777777" w:rsidR="008D2B05" w:rsidRPr="006E618D" w:rsidRDefault="008D2B05" w:rsidP="00FD1D49">
            <w:pPr>
              <w:widowControl/>
              <w:autoSpaceDE/>
              <w:autoSpaceDN/>
              <w:jc w:val="center"/>
              <w:rPr>
                <w:rFonts w:asciiTheme="minorHAnsi" w:eastAsia="Times New Roman" w:hAnsiTheme="minorHAnsi"/>
                <w:color w:val="000000"/>
                <w:szCs w:val="24"/>
              </w:rPr>
            </w:pPr>
            <w:r w:rsidRPr="006E618D">
              <w:rPr>
                <w:rFonts w:asciiTheme="minorHAnsi" w:eastAsia="Times New Roman" w:hAnsiTheme="minorHAnsi"/>
                <w:color w:val="000000"/>
                <w:szCs w:val="24"/>
              </w:rPr>
              <w:t>3,274</w:t>
            </w:r>
          </w:p>
        </w:tc>
        <w:tc>
          <w:tcPr>
            <w:tcW w:w="0" w:type="auto"/>
            <w:shd w:val="clear" w:color="auto" w:fill="FFFFFF" w:themeFill="background1"/>
            <w:vAlign w:val="center"/>
          </w:tcPr>
          <w:p w14:paraId="5A73C458" w14:textId="77777777" w:rsidR="008D2B05" w:rsidRPr="006E618D" w:rsidRDefault="008D2B05" w:rsidP="00FD1D49">
            <w:pPr>
              <w:widowControl/>
              <w:autoSpaceDE/>
              <w:autoSpaceDN/>
              <w:jc w:val="center"/>
              <w:rPr>
                <w:rFonts w:asciiTheme="minorHAnsi" w:eastAsia="Times New Roman" w:hAnsiTheme="minorHAnsi"/>
                <w:color w:val="000000"/>
                <w:szCs w:val="24"/>
              </w:rPr>
            </w:pPr>
            <w:r w:rsidRPr="006E618D">
              <w:rPr>
                <w:rFonts w:asciiTheme="minorHAnsi" w:eastAsia="Times New Roman" w:hAnsiTheme="minorHAnsi"/>
                <w:color w:val="000000"/>
                <w:szCs w:val="24"/>
              </w:rPr>
              <w:t>3,104</w:t>
            </w:r>
          </w:p>
        </w:tc>
        <w:tc>
          <w:tcPr>
            <w:tcW w:w="0" w:type="auto"/>
            <w:shd w:val="clear" w:color="auto" w:fill="FFFFFF" w:themeFill="background1"/>
            <w:vAlign w:val="center"/>
          </w:tcPr>
          <w:p w14:paraId="26404813" w14:textId="77777777" w:rsidR="008D2B05" w:rsidRPr="006E618D" w:rsidRDefault="008D2B05" w:rsidP="00FD1D49">
            <w:pPr>
              <w:widowControl/>
              <w:autoSpaceDE/>
              <w:autoSpaceDN/>
              <w:jc w:val="center"/>
              <w:rPr>
                <w:rFonts w:asciiTheme="minorHAnsi" w:eastAsia="Times New Roman" w:hAnsiTheme="minorHAnsi"/>
                <w:color w:val="000000"/>
                <w:szCs w:val="24"/>
              </w:rPr>
            </w:pPr>
            <w:r w:rsidRPr="006E618D">
              <w:rPr>
                <w:rFonts w:asciiTheme="minorHAnsi" w:eastAsia="Times New Roman" w:hAnsiTheme="minorHAnsi"/>
                <w:color w:val="000000"/>
                <w:szCs w:val="24"/>
              </w:rPr>
              <w:t>3,281</w:t>
            </w:r>
          </w:p>
        </w:tc>
        <w:tc>
          <w:tcPr>
            <w:tcW w:w="0" w:type="auto"/>
            <w:shd w:val="clear" w:color="auto" w:fill="FFFFFF" w:themeFill="background1"/>
            <w:vAlign w:val="center"/>
          </w:tcPr>
          <w:p w14:paraId="0B19CE28" w14:textId="77777777" w:rsidR="008D2B05" w:rsidRPr="006E618D" w:rsidRDefault="008D2B05" w:rsidP="00FD1D49">
            <w:pPr>
              <w:widowControl/>
              <w:autoSpaceDE/>
              <w:autoSpaceDN/>
              <w:jc w:val="center"/>
              <w:rPr>
                <w:rFonts w:asciiTheme="minorHAnsi" w:eastAsia="Times New Roman" w:hAnsiTheme="minorHAnsi"/>
                <w:color w:val="000000"/>
                <w:szCs w:val="24"/>
              </w:rPr>
            </w:pPr>
            <w:r w:rsidRPr="006E618D">
              <w:rPr>
                <w:rFonts w:asciiTheme="minorHAnsi" w:eastAsia="Times New Roman" w:hAnsiTheme="minorHAnsi"/>
                <w:color w:val="000000"/>
                <w:szCs w:val="24"/>
              </w:rPr>
              <w:t>3,466</w:t>
            </w:r>
          </w:p>
        </w:tc>
      </w:tr>
      <w:tr w:rsidR="008D2B05" w:rsidRPr="00990F67" w14:paraId="05AC5785" w14:textId="77777777" w:rsidTr="008E1816">
        <w:trPr>
          <w:cantSplit/>
          <w:trHeight w:val="520"/>
        </w:trPr>
        <w:tc>
          <w:tcPr>
            <w:tcW w:w="0" w:type="auto"/>
            <w:shd w:val="clear" w:color="auto" w:fill="FFFFFF" w:themeFill="background1"/>
            <w:vAlign w:val="center"/>
          </w:tcPr>
          <w:p w14:paraId="2F2C146C" w14:textId="77777777" w:rsidR="008D2B05" w:rsidRPr="00866A8D" w:rsidRDefault="008D2B05" w:rsidP="00FD1D49">
            <w:pPr>
              <w:widowControl/>
              <w:autoSpaceDE/>
              <w:autoSpaceDN/>
              <w:jc w:val="center"/>
              <w:rPr>
                <w:rFonts w:asciiTheme="minorHAnsi" w:eastAsia="Times New Roman" w:hAnsiTheme="minorHAnsi"/>
                <w:color w:val="000000"/>
                <w:szCs w:val="24"/>
              </w:rPr>
            </w:pPr>
            <w:r w:rsidRPr="00866A8D">
              <w:rPr>
                <w:rFonts w:asciiTheme="minorHAnsi" w:eastAsia="Times New Roman" w:hAnsiTheme="minorHAnsi"/>
                <w:color w:val="000000"/>
                <w:szCs w:val="24"/>
              </w:rPr>
              <w:t>Adult and Pediatric</w:t>
            </w:r>
          </w:p>
        </w:tc>
        <w:tc>
          <w:tcPr>
            <w:tcW w:w="0" w:type="auto"/>
            <w:shd w:val="clear" w:color="auto" w:fill="FFFFFF" w:themeFill="background1"/>
            <w:vAlign w:val="center"/>
          </w:tcPr>
          <w:p w14:paraId="49184F52" w14:textId="77777777" w:rsidR="008D2B05" w:rsidRPr="006E618D" w:rsidRDefault="008D2B05" w:rsidP="00FD1D49">
            <w:pPr>
              <w:widowControl/>
              <w:autoSpaceDE/>
              <w:autoSpaceDN/>
              <w:jc w:val="center"/>
              <w:rPr>
                <w:rFonts w:asciiTheme="minorHAnsi" w:eastAsia="Times New Roman" w:hAnsiTheme="minorHAnsi"/>
                <w:color w:val="000000"/>
                <w:szCs w:val="24"/>
              </w:rPr>
            </w:pPr>
            <w:r w:rsidRPr="006E618D">
              <w:rPr>
                <w:rFonts w:asciiTheme="minorHAnsi" w:eastAsia="Times New Roman" w:hAnsiTheme="minorHAnsi"/>
                <w:color w:val="000000"/>
                <w:szCs w:val="24"/>
              </w:rPr>
              <w:t xml:space="preserve">Group 2 Total </w:t>
            </w:r>
          </w:p>
        </w:tc>
        <w:tc>
          <w:tcPr>
            <w:tcW w:w="0" w:type="auto"/>
            <w:shd w:val="clear" w:color="auto" w:fill="FFFFFF" w:themeFill="background1"/>
            <w:vAlign w:val="center"/>
          </w:tcPr>
          <w:p w14:paraId="44A7DFB2" w14:textId="77777777" w:rsidR="008D2B05" w:rsidRPr="006E618D" w:rsidRDefault="008D2B05" w:rsidP="00FD1D49">
            <w:pPr>
              <w:widowControl/>
              <w:autoSpaceDE/>
              <w:autoSpaceDN/>
              <w:jc w:val="center"/>
              <w:rPr>
                <w:rFonts w:asciiTheme="minorHAnsi" w:eastAsia="Times New Roman" w:hAnsiTheme="minorHAnsi"/>
                <w:color w:val="000000"/>
                <w:szCs w:val="24"/>
              </w:rPr>
            </w:pPr>
            <w:r w:rsidRPr="006E618D">
              <w:rPr>
                <w:rFonts w:asciiTheme="minorHAnsi" w:eastAsia="Times New Roman" w:hAnsiTheme="minorHAnsi"/>
                <w:color w:val="000000"/>
                <w:szCs w:val="24"/>
              </w:rPr>
              <w:t>11,201</w:t>
            </w:r>
          </w:p>
        </w:tc>
        <w:tc>
          <w:tcPr>
            <w:tcW w:w="0" w:type="auto"/>
            <w:shd w:val="clear" w:color="auto" w:fill="FFFFFF" w:themeFill="background1"/>
            <w:vAlign w:val="center"/>
          </w:tcPr>
          <w:p w14:paraId="773D8082" w14:textId="77777777" w:rsidR="008D2B05" w:rsidRPr="006E618D" w:rsidRDefault="008D2B05" w:rsidP="00FD1D49">
            <w:pPr>
              <w:widowControl/>
              <w:autoSpaceDE/>
              <w:autoSpaceDN/>
              <w:jc w:val="center"/>
              <w:rPr>
                <w:rFonts w:asciiTheme="minorHAnsi" w:eastAsia="Times New Roman" w:hAnsiTheme="minorHAnsi"/>
                <w:color w:val="000000"/>
                <w:szCs w:val="24"/>
              </w:rPr>
            </w:pPr>
            <w:r w:rsidRPr="006E618D">
              <w:rPr>
                <w:rFonts w:asciiTheme="minorHAnsi" w:eastAsia="Times New Roman" w:hAnsiTheme="minorHAnsi"/>
                <w:color w:val="000000"/>
                <w:szCs w:val="24"/>
              </w:rPr>
              <w:t>14,100</w:t>
            </w:r>
          </w:p>
        </w:tc>
        <w:tc>
          <w:tcPr>
            <w:tcW w:w="0" w:type="auto"/>
            <w:shd w:val="clear" w:color="auto" w:fill="FFFFFF" w:themeFill="background1"/>
            <w:vAlign w:val="center"/>
          </w:tcPr>
          <w:p w14:paraId="0D77FB0F" w14:textId="77777777" w:rsidR="008D2B05" w:rsidRPr="006E618D" w:rsidRDefault="008D2B05" w:rsidP="00FD1D49">
            <w:pPr>
              <w:widowControl/>
              <w:autoSpaceDE/>
              <w:autoSpaceDN/>
              <w:jc w:val="center"/>
              <w:rPr>
                <w:rFonts w:asciiTheme="minorHAnsi" w:eastAsia="Times New Roman" w:hAnsiTheme="minorHAnsi"/>
                <w:color w:val="000000"/>
                <w:szCs w:val="24"/>
              </w:rPr>
            </w:pPr>
            <w:r w:rsidRPr="006E618D">
              <w:rPr>
                <w:rFonts w:asciiTheme="minorHAnsi" w:eastAsia="Times New Roman" w:hAnsiTheme="minorHAnsi"/>
                <w:color w:val="000000"/>
                <w:szCs w:val="24"/>
              </w:rPr>
              <w:t>14,109</w:t>
            </w:r>
          </w:p>
        </w:tc>
        <w:tc>
          <w:tcPr>
            <w:tcW w:w="0" w:type="auto"/>
            <w:shd w:val="clear" w:color="auto" w:fill="FFFFFF" w:themeFill="background1"/>
            <w:vAlign w:val="center"/>
          </w:tcPr>
          <w:p w14:paraId="4EE71D6E" w14:textId="77777777" w:rsidR="008D2B05" w:rsidRPr="006E618D" w:rsidRDefault="008D2B05" w:rsidP="00FD1D49">
            <w:pPr>
              <w:widowControl/>
              <w:autoSpaceDE/>
              <w:autoSpaceDN/>
              <w:jc w:val="center"/>
              <w:rPr>
                <w:rFonts w:asciiTheme="minorHAnsi" w:eastAsia="Times New Roman" w:hAnsiTheme="minorHAnsi"/>
                <w:color w:val="000000"/>
                <w:szCs w:val="24"/>
              </w:rPr>
            </w:pPr>
            <w:r w:rsidRPr="006E618D">
              <w:rPr>
                <w:rFonts w:asciiTheme="minorHAnsi" w:eastAsia="Times New Roman" w:hAnsiTheme="minorHAnsi"/>
                <w:color w:val="000000"/>
                <w:szCs w:val="24"/>
              </w:rPr>
              <w:t>14,351</w:t>
            </w:r>
          </w:p>
        </w:tc>
        <w:tc>
          <w:tcPr>
            <w:tcW w:w="0" w:type="auto"/>
            <w:shd w:val="clear" w:color="auto" w:fill="FFFFFF" w:themeFill="background1"/>
            <w:vAlign w:val="center"/>
          </w:tcPr>
          <w:p w14:paraId="1360DA88" w14:textId="28270D72" w:rsidR="008D2B05" w:rsidRPr="006E618D" w:rsidRDefault="008D2B05" w:rsidP="00FD1D49">
            <w:pPr>
              <w:widowControl/>
              <w:autoSpaceDE/>
              <w:autoSpaceDN/>
              <w:jc w:val="center"/>
              <w:rPr>
                <w:rFonts w:asciiTheme="minorHAnsi" w:eastAsia="Times New Roman" w:hAnsiTheme="minorHAnsi"/>
                <w:color w:val="000000"/>
                <w:szCs w:val="24"/>
              </w:rPr>
            </w:pPr>
            <w:r w:rsidRPr="006E618D">
              <w:rPr>
                <w:rFonts w:asciiTheme="minorHAnsi" w:eastAsia="Times New Roman" w:hAnsiTheme="minorHAnsi"/>
                <w:color w:val="000000"/>
                <w:szCs w:val="24"/>
              </w:rPr>
              <w:t>15,26</w:t>
            </w:r>
            <w:r w:rsidR="00F1080D">
              <w:rPr>
                <w:rFonts w:asciiTheme="minorHAnsi" w:eastAsia="Times New Roman" w:hAnsiTheme="minorHAnsi"/>
                <w:color w:val="000000"/>
                <w:szCs w:val="24"/>
              </w:rPr>
              <w:t>3</w:t>
            </w:r>
          </w:p>
        </w:tc>
      </w:tr>
      <w:tr w:rsidR="008D2B05" w:rsidRPr="00990F67" w14:paraId="7E562F8B" w14:textId="77777777" w:rsidTr="008E1816">
        <w:trPr>
          <w:cantSplit/>
          <w:trHeight w:val="290"/>
        </w:trPr>
        <w:tc>
          <w:tcPr>
            <w:tcW w:w="0" w:type="auto"/>
            <w:shd w:val="clear" w:color="auto" w:fill="F2F2F2" w:themeFill="background1" w:themeFillShade="F2"/>
            <w:vAlign w:val="center"/>
            <w:hideMark/>
          </w:tcPr>
          <w:p w14:paraId="3FA64110" w14:textId="77777777" w:rsidR="008D2B05" w:rsidRPr="00990F67" w:rsidRDefault="008D2B05" w:rsidP="00FD1D49">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Grand Total</w:t>
            </w:r>
          </w:p>
        </w:tc>
        <w:tc>
          <w:tcPr>
            <w:tcW w:w="0" w:type="auto"/>
            <w:shd w:val="clear" w:color="auto" w:fill="F2F2F2" w:themeFill="background1" w:themeFillShade="F2"/>
            <w:vAlign w:val="center"/>
            <w:hideMark/>
          </w:tcPr>
          <w:p w14:paraId="681AE20B" w14:textId="77777777" w:rsidR="008D2B05" w:rsidRPr="00990F67" w:rsidRDefault="008D2B05" w:rsidP="00FD1D49">
            <w:pPr>
              <w:widowControl/>
              <w:autoSpaceDE/>
              <w:autoSpaceDN/>
              <w:jc w:val="center"/>
              <w:rPr>
                <w:rFonts w:asciiTheme="minorHAnsi" w:eastAsia="Times New Roman" w:hAnsiTheme="minorHAnsi"/>
                <w:color w:val="000000"/>
                <w:szCs w:val="24"/>
              </w:rPr>
            </w:pPr>
            <w:r w:rsidRPr="00990F67">
              <w:rPr>
                <w:rFonts w:asciiTheme="minorHAnsi" w:eastAsia="Times New Roman" w:hAnsiTheme="minorHAnsi"/>
                <w:color w:val="000000"/>
                <w:szCs w:val="24"/>
              </w:rPr>
              <w:t> </w:t>
            </w:r>
          </w:p>
        </w:tc>
        <w:tc>
          <w:tcPr>
            <w:tcW w:w="0" w:type="auto"/>
            <w:shd w:val="clear" w:color="auto" w:fill="F2F2F2" w:themeFill="background1" w:themeFillShade="F2"/>
            <w:vAlign w:val="center"/>
            <w:hideMark/>
          </w:tcPr>
          <w:p w14:paraId="6A5EBB07" w14:textId="77777777" w:rsidR="008D2B05" w:rsidRPr="00990F67" w:rsidRDefault="008D2B05" w:rsidP="00FD1D49">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13,774</w:t>
            </w:r>
          </w:p>
        </w:tc>
        <w:tc>
          <w:tcPr>
            <w:tcW w:w="0" w:type="auto"/>
            <w:shd w:val="clear" w:color="auto" w:fill="F2F2F2" w:themeFill="background1" w:themeFillShade="F2"/>
            <w:vAlign w:val="center"/>
            <w:hideMark/>
          </w:tcPr>
          <w:p w14:paraId="4F39DF1F" w14:textId="77777777" w:rsidR="008D2B05" w:rsidRPr="00990F67" w:rsidRDefault="008D2B05" w:rsidP="00FD1D49">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17,374</w:t>
            </w:r>
          </w:p>
        </w:tc>
        <w:tc>
          <w:tcPr>
            <w:tcW w:w="0" w:type="auto"/>
            <w:shd w:val="clear" w:color="auto" w:fill="F2F2F2" w:themeFill="background1" w:themeFillShade="F2"/>
            <w:vAlign w:val="center"/>
            <w:hideMark/>
          </w:tcPr>
          <w:p w14:paraId="7A319175" w14:textId="77777777" w:rsidR="008D2B05" w:rsidRPr="00990F67" w:rsidRDefault="008D2B05" w:rsidP="00FD1D49">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17,213</w:t>
            </w:r>
          </w:p>
        </w:tc>
        <w:tc>
          <w:tcPr>
            <w:tcW w:w="0" w:type="auto"/>
            <w:shd w:val="clear" w:color="auto" w:fill="F2F2F2" w:themeFill="background1" w:themeFillShade="F2"/>
            <w:vAlign w:val="center"/>
            <w:hideMark/>
          </w:tcPr>
          <w:p w14:paraId="5AA6369B" w14:textId="77777777" w:rsidR="008D2B05" w:rsidRPr="00990F67" w:rsidRDefault="008D2B05" w:rsidP="00FD1D49">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17,632</w:t>
            </w:r>
          </w:p>
        </w:tc>
        <w:tc>
          <w:tcPr>
            <w:tcW w:w="0" w:type="auto"/>
            <w:shd w:val="clear" w:color="auto" w:fill="F2F2F2" w:themeFill="background1" w:themeFillShade="F2"/>
            <w:vAlign w:val="center"/>
            <w:hideMark/>
          </w:tcPr>
          <w:p w14:paraId="3589B0F3" w14:textId="77777777" w:rsidR="008D2B05" w:rsidRPr="00990F67" w:rsidRDefault="008D2B05" w:rsidP="00FD1D49">
            <w:pPr>
              <w:widowControl/>
              <w:autoSpaceDE/>
              <w:autoSpaceDN/>
              <w:jc w:val="center"/>
              <w:rPr>
                <w:rFonts w:asciiTheme="minorHAnsi" w:eastAsia="Times New Roman" w:hAnsiTheme="minorHAnsi"/>
                <w:b/>
                <w:bCs/>
                <w:color w:val="000000"/>
                <w:szCs w:val="24"/>
              </w:rPr>
            </w:pPr>
            <w:r w:rsidRPr="00990F67">
              <w:rPr>
                <w:rFonts w:asciiTheme="minorHAnsi" w:eastAsia="Times New Roman" w:hAnsiTheme="minorHAnsi"/>
                <w:b/>
                <w:bCs/>
                <w:color w:val="000000"/>
                <w:szCs w:val="24"/>
              </w:rPr>
              <w:t>18,729</w:t>
            </w:r>
          </w:p>
        </w:tc>
      </w:tr>
    </w:tbl>
    <w:p w14:paraId="3BEE987C" w14:textId="77777777" w:rsidR="00E53F1C" w:rsidRDefault="00E53F1C" w:rsidP="003C50FD">
      <w:pPr>
        <w:rPr>
          <w:rFonts w:asciiTheme="minorHAnsi" w:hAnsiTheme="minorHAnsi"/>
          <w:szCs w:val="24"/>
        </w:rPr>
      </w:pPr>
    </w:p>
    <w:p w14:paraId="08283833" w14:textId="57F3CFB1" w:rsidR="002C5340" w:rsidRDefault="2A24D26F" w:rsidP="00F9200D">
      <w:pPr>
        <w:rPr>
          <w:rFonts w:asciiTheme="minorHAnsi" w:hAnsiTheme="minorHAnsi"/>
        </w:rPr>
      </w:pPr>
      <w:r>
        <w:t xml:space="preserve">Staff inquired about the impact of recently approved PBT services at UMass, in RI, and in CT, on the Applicant’s estimated need for PBT among its Patient Panel. The </w:t>
      </w:r>
      <w:r w:rsidR="00CA13DC">
        <w:t xml:space="preserve">Applicant states that it welcomes the addition of multiple new PBT providers, given the need for PBT within its Patient Panel. </w:t>
      </w:r>
      <w:r w:rsidR="00A10841">
        <w:t xml:space="preserve">The </w:t>
      </w:r>
      <w:r>
        <w:t xml:space="preserve">Applicant asserts that “out-of-state capacity should not displace in-state access planning for pediatric and other complex PBT patients.” </w:t>
      </w:r>
      <w:r w:rsidR="000E4200" w:rsidRPr="000E4200">
        <w:t xml:space="preserve">The Applicant states that even with new approved market entrants, the need for PBT services among the Applicant’s pediatric patients is sufficient to warrant the Proposed Project, because it addresses cases where PBT coordinated with oncology and other care is essential to minimize long-term risks. </w:t>
      </w:r>
      <w:r w:rsidR="293D7E3F" w:rsidRPr="3DE251F5">
        <w:rPr>
          <w:rFonts w:asciiTheme="minorHAnsi" w:hAnsiTheme="minorHAnsi"/>
        </w:rPr>
        <w:t xml:space="preserve">The Applicant </w:t>
      </w:r>
      <w:r w:rsidR="52ED5833" w:rsidRPr="3DE251F5">
        <w:rPr>
          <w:rFonts w:asciiTheme="minorHAnsi" w:hAnsiTheme="minorHAnsi"/>
        </w:rPr>
        <w:t xml:space="preserve">categorized </w:t>
      </w:r>
      <w:r w:rsidR="293D7E3F" w:rsidRPr="3DE251F5">
        <w:rPr>
          <w:rFonts w:asciiTheme="minorHAnsi" w:hAnsiTheme="minorHAnsi"/>
        </w:rPr>
        <w:t xml:space="preserve">Group 1 patients </w:t>
      </w:r>
      <w:r w:rsidR="0EFF8D22" w:rsidRPr="3DE251F5">
        <w:rPr>
          <w:rFonts w:asciiTheme="minorHAnsi" w:hAnsiTheme="minorHAnsi"/>
        </w:rPr>
        <w:t xml:space="preserve">by </w:t>
      </w:r>
      <w:r w:rsidR="20636CB8" w:rsidRPr="3DE251F5">
        <w:rPr>
          <w:rFonts w:asciiTheme="minorHAnsi" w:hAnsiTheme="minorHAnsi"/>
        </w:rPr>
        <w:t xml:space="preserve">their proximity to a </w:t>
      </w:r>
      <w:r w:rsidR="6F6B7C93" w:rsidRPr="3DE251F5">
        <w:rPr>
          <w:rFonts w:asciiTheme="minorHAnsi" w:hAnsiTheme="minorHAnsi"/>
        </w:rPr>
        <w:t>facility (</w:t>
      </w:r>
      <w:r w:rsidR="293D7E3F" w:rsidRPr="3DE251F5">
        <w:rPr>
          <w:rFonts w:asciiTheme="minorHAnsi" w:hAnsiTheme="minorHAnsi"/>
        </w:rPr>
        <w:t xml:space="preserve">DFCI </w:t>
      </w:r>
      <w:r w:rsidR="38AFC0DA" w:rsidRPr="3DE251F5">
        <w:rPr>
          <w:rFonts w:asciiTheme="minorHAnsi" w:hAnsiTheme="minorHAnsi"/>
        </w:rPr>
        <w:t>or</w:t>
      </w:r>
      <w:r w:rsidR="293D7E3F" w:rsidRPr="3DE251F5">
        <w:rPr>
          <w:rFonts w:asciiTheme="minorHAnsi" w:hAnsiTheme="minorHAnsi"/>
        </w:rPr>
        <w:t xml:space="preserve"> </w:t>
      </w:r>
      <w:r w:rsidR="0C28A865" w:rsidRPr="3DE251F5">
        <w:rPr>
          <w:rFonts w:asciiTheme="minorHAnsi" w:hAnsiTheme="minorHAnsi"/>
        </w:rPr>
        <w:t>another</w:t>
      </w:r>
      <w:r w:rsidR="293D7E3F" w:rsidRPr="3DE251F5">
        <w:rPr>
          <w:rFonts w:asciiTheme="minorHAnsi" w:hAnsiTheme="minorHAnsi"/>
        </w:rPr>
        <w:t xml:space="preserve"> approved regional facility</w:t>
      </w:r>
      <w:r w:rsidR="30438988" w:rsidRPr="3DE251F5">
        <w:rPr>
          <w:rFonts w:asciiTheme="minorHAnsi" w:hAnsiTheme="minorHAnsi"/>
        </w:rPr>
        <w:t>)</w:t>
      </w:r>
      <w:r w:rsidR="293D7E3F" w:rsidRPr="3DE251F5">
        <w:rPr>
          <w:rFonts w:asciiTheme="minorHAnsi" w:hAnsiTheme="minorHAnsi"/>
        </w:rPr>
        <w:t xml:space="preserve"> based on their respective zip codes. </w:t>
      </w:r>
      <w:r w:rsidR="1BF26A03" w:rsidRPr="3DE251F5">
        <w:rPr>
          <w:rFonts w:asciiTheme="minorHAnsi" w:hAnsiTheme="minorHAnsi"/>
        </w:rPr>
        <w:t xml:space="preserve">This is shown in Table </w:t>
      </w:r>
      <w:r w:rsidR="5ECC7087" w:rsidRPr="3DE251F5">
        <w:rPr>
          <w:rFonts w:asciiTheme="minorHAnsi" w:hAnsiTheme="minorHAnsi"/>
        </w:rPr>
        <w:t>12</w:t>
      </w:r>
      <w:r w:rsidR="1BF26A03" w:rsidRPr="3DE251F5">
        <w:rPr>
          <w:rFonts w:asciiTheme="minorHAnsi" w:hAnsiTheme="minorHAnsi"/>
        </w:rPr>
        <w:t xml:space="preserve">. </w:t>
      </w:r>
      <w:r w:rsidR="42EFF1EC" w:rsidRPr="3DE251F5">
        <w:rPr>
          <w:rFonts w:asciiTheme="minorHAnsi" w:hAnsiTheme="minorHAnsi"/>
        </w:rPr>
        <w:t xml:space="preserve">Of the Applicant’s Group 1 patients, almost </w:t>
      </w:r>
      <w:r w:rsidR="005139DF">
        <w:rPr>
          <w:rFonts w:asciiTheme="minorHAnsi" w:hAnsiTheme="minorHAnsi"/>
        </w:rPr>
        <w:t>47</w:t>
      </w:r>
      <w:r w:rsidR="42EFF1EC" w:rsidRPr="3DE251F5">
        <w:rPr>
          <w:rFonts w:asciiTheme="minorHAnsi" w:hAnsiTheme="minorHAnsi"/>
        </w:rPr>
        <w:t xml:space="preserve">% reside closest to DFCI </w:t>
      </w:r>
      <w:r w:rsidR="0036765E">
        <w:rPr>
          <w:rFonts w:asciiTheme="minorHAnsi" w:hAnsiTheme="minorHAnsi"/>
        </w:rPr>
        <w:t>and the remaining 5</w:t>
      </w:r>
      <w:r w:rsidR="00EF05D5">
        <w:rPr>
          <w:rFonts w:asciiTheme="minorHAnsi" w:hAnsiTheme="minorHAnsi"/>
        </w:rPr>
        <w:t>3</w:t>
      </w:r>
      <w:r w:rsidR="0036765E">
        <w:rPr>
          <w:rFonts w:asciiTheme="minorHAnsi" w:hAnsiTheme="minorHAnsi"/>
        </w:rPr>
        <w:t>% are in closer proximity to other</w:t>
      </w:r>
      <w:r w:rsidR="42EFF1EC" w:rsidRPr="3DE251F5">
        <w:rPr>
          <w:rFonts w:asciiTheme="minorHAnsi" w:hAnsiTheme="minorHAnsi"/>
        </w:rPr>
        <w:t xml:space="preserve"> approved</w:t>
      </w:r>
      <w:r w:rsidR="358AD54F" w:rsidRPr="3DE251F5">
        <w:rPr>
          <w:rFonts w:asciiTheme="minorHAnsi" w:hAnsiTheme="minorHAnsi"/>
        </w:rPr>
        <w:t xml:space="preserve"> regional</w:t>
      </w:r>
      <w:r w:rsidR="42EFF1EC" w:rsidRPr="3DE251F5">
        <w:rPr>
          <w:rFonts w:asciiTheme="minorHAnsi" w:hAnsiTheme="minorHAnsi"/>
        </w:rPr>
        <w:t xml:space="preserve"> PBT sites. </w:t>
      </w:r>
      <w:r w:rsidR="007106F1">
        <w:rPr>
          <w:rFonts w:asciiTheme="minorHAnsi" w:hAnsiTheme="minorHAnsi"/>
        </w:rPr>
        <w:t xml:space="preserve">Staff note </w:t>
      </w:r>
      <w:r w:rsidR="00C92E50">
        <w:rPr>
          <w:rFonts w:asciiTheme="minorHAnsi" w:hAnsiTheme="minorHAnsi"/>
        </w:rPr>
        <w:t xml:space="preserve">that </w:t>
      </w:r>
      <w:r w:rsidR="007106F1">
        <w:rPr>
          <w:rFonts w:asciiTheme="minorHAnsi" w:hAnsiTheme="minorHAnsi"/>
        </w:rPr>
        <w:t xml:space="preserve">travel has been cited as a consideration in determining where patients receive PBT services, </w:t>
      </w:r>
      <w:r w:rsidR="003D10FE">
        <w:rPr>
          <w:rFonts w:asciiTheme="minorHAnsi" w:hAnsiTheme="minorHAnsi"/>
        </w:rPr>
        <w:t xml:space="preserve">and that </w:t>
      </w:r>
      <w:r w:rsidR="007106F1">
        <w:rPr>
          <w:rFonts w:asciiTheme="minorHAnsi" w:hAnsiTheme="minorHAnsi"/>
        </w:rPr>
        <w:t xml:space="preserve">patients in closer proximity to other approved facilities </w:t>
      </w:r>
      <w:r w:rsidR="006D3C7E">
        <w:rPr>
          <w:rFonts w:asciiTheme="minorHAnsi" w:hAnsiTheme="minorHAnsi"/>
        </w:rPr>
        <w:t xml:space="preserve">will </w:t>
      </w:r>
      <w:r w:rsidR="006038D3">
        <w:rPr>
          <w:rFonts w:asciiTheme="minorHAnsi" w:hAnsiTheme="minorHAnsi"/>
        </w:rPr>
        <w:t>have the option to</w:t>
      </w:r>
      <w:r w:rsidR="007106F1">
        <w:rPr>
          <w:rFonts w:asciiTheme="minorHAnsi" w:hAnsiTheme="minorHAnsi"/>
        </w:rPr>
        <w:t xml:space="preserve"> choose one of those </w:t>
      </w:r>
      <w:r w:rsidR="00DE4A09">
        <w:rPr>
          <w:rFonts w:asciiTheme="minorHAnsi" w:hAnsiTheme="minorHAnsi"/>
        </w:rPr>
        <w:t xml:space="preserve">approved </w:t>
      </w:r>
      <w:r w:rsidR="007106F1">
        <w:rPr>
          <w:rFonts w:asciiTheme="minorHAnsi" w:hAnsiTheme="minorHAnsi"/>
        </w:rPr>
        <w:t>facilities for their PBT treatmen</w:t>
      </w:r>
      <w:r w:rsidR="00DE4A09">
        <w:rPr>
          <w:rFonts w:asciiTheme="minorHAnsi" w:hAnsiTheme="minorHAnsi"/>
        </w:rPr>
        <w:t>t</w:t>
      </w:r>
      <w:r w:rsidR="008B5952">
        <w:rPr>
          <w:rFonts w:asciiTheme="minorHAnsi" w:hAnsiTheme="minorHAnsi"/>
        </w:rPr>
        <w:t xml:space="preserve"> once they become operational</w:t>
      </w:r>
      <w:r w:rsidR="007106F1">
        <w:rPr>
          <w:rFonts w:asciiTheme="minorHAnsi" w:hAnsiTheme="minorHAnsi"/>
        </w:rPr>
        <w:t>.</w:t>
      </w:r>
      <w:r w:rsidR="00E43F93">
        <w:rPr>
          <w:rFonts w:asciiTheme="minorHAnsi" w:hAnsiTheme="minorHAnsi"/>
        </w:rPr>
        <w:t xml:space="preserve"> </w:t>
      </w:r>
      <w:r w:rsidR="000C4893">
        <w:rPr>
          <w:rFonts w:asciiTheme="minorHAnsi" w:hAnsiTheme="minorHAnsi"/>
        </w:rPr>
        <w:t xml:space="preserve">With </w:t>
      </w:r>
      <w:r w:rsidR="00513F78">
        <w:rPr>
          <w:rFonts w:asciiTheme="minorHAnsi" w:hAnsiTheme="minorHAnsi"/>
        </w:rPr>
        <w:t>the</w:t>
      </w:r>
      <w:r w:rsidR="000C4893">
        <w:rPr>
          <w:rFonts w:asciiTheme="minorHAnsi" w:hAnsiTheme="minorHAnsi"/>
        </w:rPr>
        <w:t xml:space="preserve"> capacity to serve 216 patients per year, the</w:t>
      </w:r>
      <w:r w:rsidR="00557FB7">
        <w:rPr>
          <w:rFonts w:asciiTheme="minorHAnsi" w:hAnsiTheme="minorHAnsi"/>
        </w:rPr>
        <w:t xml:space="preserve"> proposed PBT system</w:t>
      </w:r>
      <w:r w:rsidR="000C4893">
        <w:rPr>
          <w:rFonts w:asciiTheme="minorHAnsi" w:hAnsiTheme="minorHAnsi"/>
        </w:rPr>
        <w:t xml:space="preserve"> will address </w:t>
      </w:r>
      <w:r w:rsidR="00513F78">
        <w:rPr>
          <w:rFonts w:asciiTheme="minorHAnsi" w:hAnsiTheme="minorHAnsi"/>
        </w:rPr>
        <w:t xml:space="preserve">approximately </w:t>
      </w:r>
      <w:r w:rsidR="000C4893">
        <w:rPr>
          <w:rFonts w:asciiTheme="minorHAnsi" w:hAnsiTheme="minorHAnsi"/>
        </w:rPr>
        <w:t>10% of the Applicant</w:t>
      </w:r>
      <w:r w:rsidR="006F53E3">
        <w:rPr>
          <w:rFonts w:asciiTheme="minorHAnsi" w:hAnsiTheme="minorHAnsi"/>
        </w:rPr>
        <w:t>’</w:t>
      </w:r>
      <w:r w:rsidR="000C4893">
        <w:rPr>
          <w:rFonts w:asciiTheme="minorHAnsi" w:hAnsiTheme="minorHAnsi"/>
        </w:rPr>
        <w:t>s estimated need for PBT.</w:t>
      </w:r>
      <w:r w:rsidR="00DA305F">
        <w:rPr>
          <w:rFonts w:asciiTheme="minorHAnsi" w:hAnsiTheme="minorHAnsi"/>
        </w:rPr>
        <w:t xml:space="preserve"> The Applicant ha</w:t>
      </w:r>
      <w:r w:rsidR="006F53E3">
        <w:rPr>
          <w:rFonts w:asciiTheme="minorHAnsi" w:hAnsiTheme="minorHAnsi"/>
        </w:rPr>
        <w:t>s</w:t>
      </w:r>
      <w:r w:rsidR="00DA305F">
        <w:rPr>
          <w:rFonts w:asciiTheme="minorHAnsi" w:hAnsiTheme="minorHAnsi"/>
        </w:rPr>
        <w:t xml:space="preserve"> demonstrated that there is sufficient need to fill this capacity within their Group 1 patients alone, even if some Group 1 patients choose to obtain PBT services from another approved </w:t>
      </w:r>
      <w:r w:rsidR="006F53E3">
        <w:rPr>
          <w:rFonts w:asciiTheme="minorHAnsi" w:hAnsiTheme="minorHAnsi"/>
        </w:rPr>
        <w:t xml:space="preserve">regional PBT </w:t>
      </w:r>
      <w:r w:rsidR="00DA305F">
        <w:rPr>
          <w:rFonts w:asciiTheme="minorHAnsi" w:hAnsiTheme="minorHAnsi"/>
        </w:rPr>
        <w:t xml:space="preserve">facility. </w:t>
      </w:r>
      <w:r w:rsidR="00E43F93">
        <w:rPr>
          <w:rFonts w:asciiTheme="minorHAnsi" w:hAnsiTheme="minorHAnsi"/>
        </w:rPr>
        <w:t xml:space="preserve"> </w:t>
      </w:r>
    </w:p>
    <w:p w14:paraId="477CEF6C" w14:textId="77777777" w:rsidR="00433954" w:rsidRDefault="00433954" w:rsidP="67D67D1A">
      <w:pPr>
        <w:rPr>
          <w:rFonts w:asciiTheme="minorHAnsi" w:hAnsiTheme="minorHAnsi"/>
        </w:rPr>
      </w:pPr>
    </w:p>
    <w:p w14:paraId="21FE3097" w14:textId="62B68FCC" w:rsidR="002C5340" w:rsidRPr="001769C6" w:rsidRDefault="00433954" w:rsidP="67D67D1A">
      <w:pPr>
        <w:rPr>
          <w:rFonts w:asciiTheme="minorHAnsi" w:hAnsiTheme="minorHAnsi"/>
          <w:b/>
          <w:bCs/>
        </w:rPr>
      </w:pPr>
      <w:r w:rsidRPr="001769C6">
        <w:rPr>
          <w:rFonts w:asciiTheme="minorHAnsi" w:hAnsiTheme="minorHAnsi"/>
          <w:b/>
          <w:bCs/>
          <w:u w:val="single"/>
        </w:rPr>
        <w:t xml:space="preserve">Table </w:t>
      </w:r>
      <w:r w:rsidR="00A967EF">
        <w:rPr>
          <w:rFonts w:asciiTheme="minorHAnsi" w:hAnsiTheme="minorHAnsi"/>
          <w:b/>
          <w:bCs/>
          <w:u w:val="single"/>
        </w:rPr>
        <w:t>12</w:t>
      </w:r>
      <w:r w:rsidRPr="001769C6">
        <w:rPr>
          <w:rFonts w:asciiTheme="minorHAnsi" w:hAnsiTheme="minorHAnsi"/>
          <w:b/>
          <w:bCs/>
        </w:rPr>
        <w:t>: DFCI Group 1 Patients Proximity to DFCI and Approved PBT sites in New England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816"/>
        <w:gridCol w:w="1749"/>
        <w:gridCol w:w="2713"/>
      </w:tblGrid>
      <w:tr w:rsidR="002C234A" w:rsidRPr="002C234A" w14:paraId="6B6DE5FD" w14:textId="77777777" w:rsidTr="008E1816">
        <w:trPr>
          <w:cantSplit/>
          <w:trHeight w:val="290"/>
          <w:tblHeader/>
        </w:trPr>
        <w:tc>
          <w:tcPr>
            <w:tcW w:w="0" w:type="auto"/>
            <w:shd w:val="clear" w:color="000000" w:fill="DAE9F8"/>
            <w:noWrap/>
            <w:vAlign w:val="bottom"/>
            <w:hideMark/>
          </w:tcPr>
          <w:p w14:paraId="10B2AD89" w14:textId="77777777" w:rsidR="00433954" w:rsidRPr="001769C6" w:rsidRDefault="00433954" w:rsidP="00433954">
            <w:pPr>
              <w:widowControl/>
              <w:autoSpaceDE/>
              <w:autoSpaceDN/>
              <w:rPr>
                <w:rFonts w:asciiTheme="minorHAnsi" w:eastAsia="Times New Roman" w:hAnsiTheme="minorHAnsi"/>
                <w:b/>
                <w:bCs/>
                <w:color w:val="000000"/>
                <w:sz w:val="22"/>
                <w:szCs w:val="22"/>
              </w:rPr>
            </w:pPr>
            <w:r w:rsidRPr="001769C6">
              <w:rPr>
                <w:rFonts w:asciiTheme="minorHAnsi" w:eastAsia="Times New Roman" w:hAnsiTheme="minorHAnsi"/>
                <w:b/>
                <w:bCs/>
                <w:color w:val="000000"/>
                <w:sz w:val="22"/>
                <w:szCs w:val="22"/>
              </w:rPr>
              <w:t>Facility/Operator</w:t>
            </w:r>
          </w:p>
        </w:tc>
        <w:tc>
          <w:tcPr>
            <w:tcW w:w="0" w:type="auto"/>
            <w:shd w:val="clear" w:color="000000" w:fill="DAE9F8"/>
            <w:noWrap/>
            <w:vAlign w:val="bottom"/>
            <w:hideMark/>
          </w:tcPr>
          <w:p w14:paraId="31B8155F" w14:textId="77777777" w:rsidR="00433954" w:rsidRPr="001769C6" w:rsidRDefault="00433954" w:rsidP="00433954">
            <w:pPr>
              <w:widowControl/>
              <w:autoSpaceDE/>
              <w:autoSpaceDN/>
              <w:rPr>
                <w:rFonts w:asciiTheme="minorHAnsi" w:eastAsia="Times New Roman" w:hAnsiTheme="minorHAnsi"/>
                <w:b/>
                <w:bCs/>
                <w:color w:val="000000"/>
                <w:sz w:val="22"/>
                <w:szCs w:val="22"/>
              </w:rPr>
            </w:pPr>
            <w:r w:rsidRPr="001769C6">
              <w:rPr>
                <w:rFonts w:asciiTheme="minorHAnsi" w:eastAsia="Times New Roman" w:hAnsiTheme="minorHAnsi"/>
                <w:b/>
                <w:bCs/>
                <w:color w:val="000000"/>
                <w:sz w:val="22"/>
                <w:szCs w:val="22"/>
              </w:rPr>
              <w:t>Location</w:t>
            </w:r>
          </w:p>
        </w:tc>
        <w:tc>
          <w:tcPr>
            <w:tcW w:w="0" w:type="auto"/>
            <w:shd w:val="clear" w:color="000000" w:fill="DAE9F8"/>
            <w:noWrap/>
            <w:vAlign w:val="bottom"/>
            <w:hideMark/>
          </w:tcPr>
          <w:p w14:paraId="7E18A49D" w14:textId="77777777" w:rsidR="00433954" w:rsidRPr="001769C6" w:rsidRDefault="00433954" w:rsidP="00433954">
            <w:pPr>
              <w:widowControl/>
              <w:autoSpaceDE/>
              <w:autoSpaceDN/>
              <w:jc w:val="center"/>
              <w:rPr>
                <w:rFonts w:asciiTheme="minorHAnsi" w:eastAsia="Times New Roman" w:hAnsiTheme="minorHAnsi"/>
                <w:b/>
                <w:bCs/>
                <w:color w:val="000000"/>
                <w:sz w:val="22"/>
                <w:szCs w:val="22"/>
              </w:rPr>
            </w:pPr>
            <w:r w:rsidRPr="001769C6">
              <w:rPr>
                <w:rFonts w:asciiTheme="minorHAnsi" w:eastAsia="Times New Roman" w:hAnsiTheme="minorHAnsi"/>
                <w:b/>
                <w:bCs/>
                <w:color w:val="000000"/>
                <w:sz w:val="22"/>
                <w:szCs w:val="22"/>
              </w:rPr>
              <w:t>Group 1 Patients</w:t>
            </w:r>
          </w:p>
        </w:tc>
        <w:tc>
          <w:tcPr>
            <w:tcW w:w="0" w:type="auto"/>
            <w:shd w:val="clear" w:color="000000" w:fill="DAE9F8"/>
            <w:noWrap/>
            <w:vAlign w:val="bottom"/>
            <w:hideMark/>
          </w:tcPr>
          <w:p w14:paraId="127029B4" w14:textId="77777777" w:rsidR="00433954" w:rsidRPr="001769C6" w:rsidRDefault="00433954" w:rsidP="00433954">
            <w:pPr>
              <w:widowControl/>
              <w:autoSpaceDE/>
              <w:autoSpaceDN/>
              <w:jc w:val="center"/>
              <w:rPr>
                <w:rFonts w:asciiTheme="minorHAnsi" w:eastAsia="Times New Roman" w:hAnsiTheme="minorHAnsi"/>
                <w:b/>
                <w:bCs/>
                <w:color w:val="000000"/>
                <w:sz w:val="22"/>
                <w:szCs w:val="22"/>
              </w:rPr>
            </w:pPr>
            <w:r w:rsidRPr="001769C6">
              <w:rPr>
                <w:rFonts w:asciiTheme="minorHAnsi" w:eastAsia="Times New Roman" w:hAnsiTheme="minorHAnsi"/>
                <w:b/>
                <w:bCs/>
                <w:color w:val="000000"/>
                <w:sz w:val="22"/>
                <w:szCs w:val="22"/>
              </w:rPr>
              <w:t xml:space="preserve">% of Total Group 1 Patients </w:t>
            </w:r>
          </w:p>
        </w:tc>
      </w:tr>
      <w:tr w:rsidR="002C234A" w:rsidRPr="002C234A" w14:paraId="22D5BF6C" w14:textId="77777777" w:rsidTr="008E1816">
        <w:trPr>
          <w:cantSplit/>
          <w:trHeight w:val="290"/>
        </w:trPr>
        <w:tc>
          <w:tcPr>
            <w:tcW w:w="0" w:type="auto"/>
            <w:noWrap/>
            <w:vAlign w:val="bottom"/>
            <w:hideMark/>
          </w:tcPr>
          <w:p w14:paraId="3A8ECDAB" w14:textId="77777777" w:rsidR="00433954" w:rsidRPr="001769C6" w:rsidRDefault="00433954" w:rsidP="001769C6">
            <w:pPr>
              <w:widowControl/>
              <w:autoSpaceDE/>
              <w:autoSpaceDN/>
              <w:ind w:left="144"/>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DFCI</w:t>
            </w:r>
          </w:p>
        </w:tc>
        <w:tc>
          <w:tcPr>
            <w:tcW w:w="0" w:type="auto"/>
            <w:noWrap/>
            <w:vAlign w:val="bottom"/>
            <w:hideMark/>
          </w:tcPr>
          <w:p w14:paraId="1374E314" w14:textId="77777777" w:rsidR="00433954" w:rsidRPr="001769C6" w:rsidRDefault="00433954" w:rsidP="00433954">
            <w:pPr>
              <w:widowControl/>
              <w:autoSpaceDE/>
              <w:autoSpaceDN/>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 xml:space="preserve">Boston, MA </w:t>
            </w:r>
          </w:p>
        </w:tc>
        <w:tc>
          <w:tcPr>
            <w:tcW w:w="0" w:type="auto"/>
            <w:noWrap/>
            <w:vAlign w:val="bottom"/>
            <w:hideMark/>
          </w:tcPr>
          <w:p w14:paraId="06383476" w14:textId="77777777" w:rsidR="00433954" w:rsidRPr="001769C6" w:rsidRDefault="00433954" w:rsidP="00433954">
            <w:pPr>
              <w:widowControl/>
              <w:autoSpaceDE/>
              <w:autoSpaceDN/>
              <w:jc w:val="center"/>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1,568</w:t>
            </w:r>
          </w:p>
        </w:tc>
        <w:tc>
          <w:tcPr>
            <w:tcW w:w="0" w:type="auto"/>
            <w:noWrap/>
            <w:vAlign w:val="bottom"/>
            <w:hideMark/>
          </w:tcPr>
          <w:p w14:paraId="35413D34" w14:textId="77777777" w:rsidR="00433954" w:rsidRPr="001769C6" w:rsidRDefault="00433954" w:rsidP="00433954">
            <w:pPr>
              <w:widowControl/>
              <w:autoSpaceDE/>
              <w:autoSpaceDN/>
              <w:jc w:val="center"/>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47%</w:t>
            </w:r>
          </w:p>
        </w:tc>
      </w:tr>
      <w:tr w:rsidR="002C234A" w:rsidRPr="002C234A" w14:paraId="48BBA7ED" w14:textId="77777777" w:rsidTr="008E1816">
        <w:trPr>
          <w:cantSplit/>
          <w:trHeight w:val="290"/>
        </w:trPr>
        <w:tc>
          <w:tcPr>
            <w:tcW w:w="0" w:type="auto"/>
            <w:noWrap/>
            <w:vAlign w:val="bottom"/>
            <w:hideMark/>
          </w:tcPr>
          <w:p w14:paraId="7D1D494E" w14:textId="4110C38E" w:rsidR="00433954" w:rsidRPr="001769C6" w:rsidRDefault="00433954" w:rsidP="001769C6">
            <w:pPr>
              <w:widowControl/>
              <w:autoSpaceDE/>
              <w:autoSpaceDN/>
              <w:ind w:left="144"/>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U</w:t>
            </w:r>
            <w:r w:rsidR="002C234A" w:rsidRPr="001769C6">
              <w:rPr>
                <w:rFonts w:asciiTheme="minorHAnsi" w:eastAsia="Times New Roman" w:hAnsiTheme="minorHAnsi"/>
                <w:color w:val="000000"/>
                <w:sz w:val="22"/>
                <w:szCs w:val="22"/>
              </w:rPr>
              <w:t>M</w:t>
            </w:r>
            <w:r w:rsidRPr="001769C6">
              <w:rPr>
                <w:rFonts w:asciiTheme="minorHAnsi" w:eastAsia="Times New Roman" w:hAnsiTheme="minorHAnsi"/>
                <w:color w:val="000000"/>
                <w:sz w:val="22"/>
                <w:szCs w:val="22"/>
              </w:rPr>
              <w:t xml:space="preserve">ass Memorial Health </w:t>
            </w:r>
          </w:p>
        </w:tc>
        <w:tc>
          <w:tcPr>
            <w:tcW w:w="0" w:type="auto"/>
            <w:noWrap/>
            <w:vAlign w:val="bottom"/>
            <w:hideMark/>
          </w:tcPr>
          <w:p w14:paraId="67922294" w14:textId="77777777" w:rsidR="00433954" w:rsidRPr="001769C6" w:rsidRDefault="00433954" w:rsidP="00433954">
            <w:pPr>
              <w:widowControl/>
              <w:autoSpaceDE/>
              <w:autoSpaceDN/>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Marlborough, MA</w:t>
            </w:r>
          </w:p>
        </w:tc>
        <w:tc>
          <w:tcPr>
            <w:tcW w:w="0" w:type="auto"/>
            <w:noWrap/>
            <w:vAlign w:val="bottom"/>
            <w:hideMark/>
          </w:tcPr>
          <w:p w14:paraId="6C4581AC" w14:textId="77777777" w:rsidR="00433954" w:rsidRPr="001769C6" w:rsidRDefault="00433954" w:rsidP="00433954">
            <w:pPr>
              <w:widowControl/>
              <w:autoSpaceDE/>
              <w:autoSpaceDN/>
              <w:jc w:val="center"/>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634</w:t>
            </w:r>
          </w:p>
        </w:tc>
        <w:tc>
          <w:tcPr>
            <w:tcW w:w="0" w:type="auto"/>
            <w:noWrap/>
            <w:vAlign w:val="bottom"/>
            <w:hideMark/>
          </w:tcPr>
          <w:p w14:paraId="418C91A1" w14:textId="77777777" w:rsidR="00433954" w:rsidRPr="001769C6" w:rsidRDefault="00433954" w:rsidP="00433954">
            <w:pPr>
              <w:widowControl/>
              <w:autoSpaceDE/>
              <w:autoSpaceDN/>
              <w:jc w:val="center"/>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19%</w:t>
            </w:r>
          </w:p>
        </w:tc>
      </w:tr>
      <w:tr w:rsidR="002C234A" w:rsidRPr="002C234A" w14:paraId="5441A505" w14:textId="77777777" w:rsidTr="008E1816">
        <w:trPr>
          <w:cantSplit/>
          <w:trHeight w:val="290"/>
        </w:trPr>
        <w:tc>
          <w:tcPr>
            <w:tcW w:w="0" w:type="auto"/>
            <w:noWrap/>
            <w:vAlign w:val="bottom"/>
            <w:hideMark/>
          </w:tcPr>
          <w:p w14:paraId="62261227" w14:textId="77777777" w:rsidR="00433954" w:rsidRPr="001769C6" w:rsidRDefault="00433954" w:rsidP="001769C6">
            <w:pPr>
              <w:widowControl/>
              <w:autoSpaceDE/>
              <w:autoSpaceDN/>
              <w:ind w:left="144"/>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 xml:space="preserve">Danbury Proton </w:t>
            </w:r>
          </w:p>
        </w:tc>
        <w:tc>
          <w:tcPr>
            <w:tcW w:w="0" w:type="auto"/>
            <w:noWrap/>
            <w:vAlign w:val="bottom"/>
            <w:hideMark/>
          </w:tcPr>
          <w:p w14:paraId="699340F3" w14:textId="77777777" w:rsidR="00433954" w:rsidRPr="001769C6" w:rsidRDefault="00433954" w:rsidP="00433954">
            <w:pPr>
              <w:widowControl/>
              <w:autoSpaceDE/>
              <w:autoSpaceDN/>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Danbury, CT</w:t>
            </w:r>
          </w:p>
        </w:tc>
        <w:tc>
          <w:tcPr>
            <w:tcW w:w="0" w:type="auto"/>
            <w:noWrap/>
            <w:vAlign w:val="bottom"/>
            <w:hideMark/>
          </w:tcPr>
          <w:p w14:paraId="512FA1DD" w14:textId="77777777" w:rsidR="00433954" w:rsidRPr="001769C6" w:rsidRDefault="00433954" w:rsidP="00433954">
            <w:pPr>
              <w:widowControl/>
              <w:autoSpaceDE/>
              <w:autoSpaceDN/>
              <w:jc w:val="center"/>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493</w:t>
            </w:r>
          </w:p>
        </w:tc>
        <w:tc>
          <w:tcPr>
            <w:tcW w:w="0" w:type="auto"/>
            <w:noWrap/>
            <w:vAlign w:val="bottom"/>
            <w:hideMark/>
          </w:tcPr>
          <w:p w14:paraId="2B61713B" w14:textId="77777777" w:rsidR="00433954" w:rsidRPr="001769C6" w:rsidRDefault="00433954" w:rsidP="00433954">
            <w:pPr>
              <w:widowControl/>
              <w:autoSpaceDE/>
              <w:autoSpaceDN/>
              <w:jc w:val="center"/>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15%</w:t>
            </w:r>
          </w:p>
        </w:tc>
      </w:tr>
      <w:tr w:rsidR="002C234A" w:rsidRPr="002C234A" w14:paraId="70EA7056" w14:textId="77777777" w:rsidTr="008E1816">
        <w:trPr>
          <w:cantSplit/>
          <w:trHeight w:val="290"/>
        </w:trPr>
        <w:tc>
          <w:tcPr>
            <w:tcW w:w="0" w:type="auto"/>
            <w:noWrap/>
            <w:vAlign w:val="bottom"/>
            <w:hideMark/>
          </w:tcPr>
          <w:p w14:paraId="7564A0AE" w14:textId="77777777" w:rsidR="00433954" w:rsidRPr="001769C6" w:rsidRDefault="00433954" w:rsidP="001769C6">
            <w:pPr>
              <w:widowControl/>
              <w:autoSpaceDE/>
              <w:autoSpaceDN/>
              <w:ind w:left="144"/>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American Shared Hospital Services</w:t>
            </w:r>
          </w:p>
        </w:tc>
        <w:tc>
          <w:tcPr>
            <w:tcW w:w="0" w:type="auto"/>
            <w:noWrap/>
            <w:vAlign w:val="bottom"/>
            <w:hideMark/>
          </w:tcPr>
          <w:p w14:paraId="30753AAF" w14:textId="77777777" w:rsidR="00433954" w:rsidRPr="001769C6" w:rsidRDefault="00433954" w:rsidP="00433954">
            <w:pPr>
              <w:widowControl/>
              <w:autoSpaceDE/>
              <w:autoSpaceDN/>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Johnston, RI</w:t>
            </w:r>
          </w:p>
        </w:tc>
        <w:tc>
          <w:tcPr>
            <w:tcW w:w="0" w:type="auto"/>
            <w:noWrap/>
            <w:vAlign w:val="bottom"/>
            <w:hideMark/>
          </w:tcPr>
          <w:p w14:paraId="1C590EA3" w14:textId="77777777" w:rsidR="00433954" w:rsidRPr="001769C6" w:rsidRDefault="00433954" w:rsidP="00433954">
            <w:pPr>
              <w:widowControl/>
              <w:autoSpaceDE/>
              <w:autoSpaceDN/>
              <w:jc w:val="center"/>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462</w:t>
            </w:r>
          </w:p>
        </w:tc>
        <w:tc>
          <w:tcPr>
            <w:tcW w:w="0" w:type="auto"/>
            <w:noWrap/>
            <w:vAlign w:val="bottom"/>
            <w:hideMark/>
          </w:tcPr>
          <w:p w14:paraId="1F934C7F" w14:textId="77777777" w:rsidR="00433954" w:rsidRPr="001769C6" w:rsidRDefault="00433954" w:rsidP="00433954">
            <w:pPr>
              <w:widowControl/>
              <w:autoSpaceDE/>
              <w:autoSpaceDN/>
              <w:jc w:val="center"/>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14%</w:t>
            </w:r>
          </w:p>
        </w:tc>
      </w:tr>
      <w:tr w:rsidR="002C234A" w:rsidRPr="002C234A" w14:paraId="2A750685" w14:textId="77777777" w:rsidTr="008E1816">
        <w:trPr>
          <w:cantSplit/>
          <w:trHeight w:val="290"/>
        </w:trPr>
        <w:tc>
          <w:tcPr>
            <w:tcW w:w="0" w:type="auto"/>
            <w:noWrap/>
            <w:vAlign w:val="bottom"/>
            <w:hideMark/>
          </w:tcPr>
          <w:p w14:paraId="6CE48907" w14:textId="77777777" w:rsidR="00433954" w:rsidRPr="001769C6" w:rsidRDefault="00433954" w:rsidP="001769C6">
            <w:pPr>
              <w:widowControl/>
              <w:autoSpaceDE/>
              <w:autoSpaceDN/>
              <w:ind w:left="144"/>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 xml:space="preserve">The Connecticut Proton Center </w:t>
            </w:r>
          </w:p>
        </w:tc>
        <w:tc>
          <w:tcPr>
            <w:tcW w:w="0" w:type="auto"/>
            <w:noWrap/>
            <w:vAlign w:val="bottom"/>
            <w:hideMark/>
          </w:tcPr>
          <w:p w14:paraId="1669C011" w14:textId="77777777" w:rsidR="00433954" w:rsidRPr="001769C6" w:rsidRDefault="00433954" w:rsidP="00433954">
            <w:pPr>
              <w:widowControl/>
              <w:autoSpaceDE/>
              <w:autoSpaceDN/>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Wallingford, CT</w:t>
            </w:r>
          </w:p>
        </w:tc>
        <w:tc>
          <w:tcPr>
            <w:tcW w:w="0" w:type="auto"/>
            <w:noWrap/>
            <w:vAlign w:val="bottom"/>
            <w:hideMark/>
          </w:tcPr>
          <w:p w14:paraId="71F9FCA7" w14:textId="77777777" w:rsidR="00433954" w:rsidRPr="001769C6" w:rsidRDefault="00433954" w:rsidP="00433954">
            <w:pPr>
              <w:widowControl/>
              <w:autoSpaceDE/>
              <w:autoSpaceDN/>
              <w:jc w:val="center"/>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196</w:t>
            </w:r>
          </w:p>
        </w:tc>
        <w:tc>
          <w:tcPr>
            <w:tcW w:w="0" w:type="auto"/>
            <w:noWrap/>
            <w:vAlign w:val="bottom"/>
            <w:hideMark/>
          </w:tcPr>
          <w:p w14:paraId="1E5E8084" w14:textId="77777777" w:rsidR="00433954" w:rsidRPr="001769C6" w:rsidRDefault="00433954" w:rsidP="00433954">
            <w:pPr>
              <w:widowControl/>
              <w:autoSpaceDE/>
              <w:autoSpaceDN/>
              <w:jc w:val="center"/>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6%</w:t>
            </w:r>
          </w:p>
        </w:tc>
      </w:tr>
      <w:tr w:rsidR="002C234A" w:rsidRPr="002C234A" w14:paraId="42302FFE" w14:textId="77777777" w:rsidTr="008E1816">
        <w:trPr>
          <w:cantSplit/>
          <w:trHeight w:val="290"/>
        </w:trPr>
        <w:tc>
          <w:tcPr>
            <w:tcW w:w="0" w:type="auto"/>
            <w:noWrap/>
            <w:vAlign w:val="bottom"/>
            <w:hideMark/>
          </w:tcPr>
          <w:p w14:paraId="6687E97E" w14:textId="77777777" w:rsidR="00433954" w:rsidRPr="001769C6" w:rsidRDefault="00433954" w:rsidP="001769C6">
            <w:pPr>
              <w:widowControl/>
              <w:autoSpaceDE/>
              <w:autoSpaceDN/>
              <w:ind w:left="144"/>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 xml:space="preserve">Total </w:t>
            </w:r>
          </w:p>
        </w:tc>
        <w:tc>
          <w:tcPr>
            <w:tcW w:w="0" w:type="auto"/>
            <w:shd w:val="clear" w:color="000000" w:fill="F2F2F2"/>
            <w:noWrap/>
            <w:vAlign w:val="bottom"/>
            <w:hideMark/>
          </w:tcPr>
          <w:p w14:paraId="07156410" w14:textId="77777777" w:rsidR="00433954" w:rsidRPr="001769C6" w:rsidRDefault="00433954" w:rsidP="00433954">
            <w:pPr>
              <w:widowControl/>
              <w:autoSpaceDE/>
              <w:autoSpaceDN/>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 </w:t>
            </w:r>
          </w:p>
        </w:tc>
        <w:tc>
          <w:tcPr>
            <w:tcW w:w="0" w:type="auto"/>
            <w:noWrap/>
            <w:vAlign w:val="bottom"/>
            <w:hideMark/>
          </w:tcPr>
          <w:p w14:paraId="5AAC72C2" w14:textId="77777777" w:rsidR="00433954" w:rsidRPr="001769C6" w:rsidRDefault="00433954" w:rsidP="00433954">
            <w:pPr>
              <w:widowControl/>
              <w:autoSpaceDE/>
              <w:autoSpaceDN/>
              <w:jc w:val="center"/>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3,353</w:t>
            </w:r>
          </w:p>
        </w:tc>
        <w:tc>
          <w:tcPr>
            <w:tcW w:w="0" w:type="auto"/>
            <w:noWrap/>
            <w:vAlign w:val="bottom"/>
            <w:hideMark/>
          </w:tcPr>
          <w:p w14:paraId="24BB581E" w14:textId="77777777" w:rsidR="00433954" w:rsidRPr="001769C6" w:rsidRDefault="00433954" w:rsidP="00433954">
            <w:pPr>
              <w:widowControl/>
              <w:autoSpaceDE/>
              <w:autoSpaceDN/>
              <w:jc w:val="center"/>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100%</w:t>
            </w:r>
          </w:p>
        </w:tc>
      </w:tr>
    </w:tbl>
    <w:p w14:paraId="4ACCB7C3" w14:textId="77777777" w:rsidR="002C5340" w:rsidRDefault="002C5340" w:rsidP="67D67D1A">
      <w:pPr>
        <w:rPr>
          <w:rFonts w:asciiTheme="minorHAnsi" w:hAnsiTheme="minorHAnsi"/>
        </w:rPr>
      </w:pPr>
    </w:p>
    <w:p w14:paraId="4EF2C05C" w14:textId="7F4EE80C" w:rsidR="002C2FDC" w:rsidRDefault="7BEC0DC5" w:rsidP="3DE251F5">
      <w:pPr>
        <w:rPr>
          <w:rFonts w:asciiTheme="minorHAnsi" w:hAnsiTheme="minorHAnsi"/>
        </w:rPr>
      </w:pPr>
      <w:r>
        <w:t>The Applicant anticipates that many patients requiring PBT are already receiving care from the Applicant, and the Center’s location will be proximate to patients’ other existing care at DFCI. The Applicant states that DFCI’s long collaboration with BCH, and the excellence in pediatric oncology, and comprehensive care that is provides for its pediatric patients, uniquely positions the Applicant to offer a pediatric focus and capabilities that the other approved (yet not operational) PBT centers will not have. The Applicant states that its patients are in need of PBT, are oftentimes already receiving care at DFCI and BCH, and therefore proximity between the Center and BCH is critical to the delivery of their existing care, regardless of the geographic location of their residences.</w:t>
      </w:r>
      <w:r w:rsidR="00853323">
        <w:t xml:space="preserve"> </w:t>
      </w:r>
      <w:r w:rsidR="0051600D">
        <w:t>M</w:t>
      </w:r>
      <w:r w:rsidR="0051600D" w:rsidRPr="0051600D">
        <w:t xml:space="preserve">any </w:t>
      </w:r>
      <w:r w:rsidR="0051600D">
        <w:t xml:space="preserve">of the Applicant’s </w:t>
      </w:r>
      <w:r w:rsidR="0051600D" w:rsidRPr="0051600D">
        <w:t>patients who would be undergoing PBT have multiple other specialty appointments at DFCI/BCH during their course of PBT treatment. For those patients it is more convenient to go to one site</w:t>
      </w:r>
      <w:r w:rsidR="00365B98">
        <w:t xml:space="preserve"> for all of their oncology care. </w:t>
      </w:r>
    </w:p>
    <w:p w14:paraId="5952C179" w14:textId="77777777" w:rsidR="002C2FDC" w:rsidRDefault="002C2FDC" w:rsidP="67D67D1A">
      <w:pPr>
        <w:rPr>
          <w:rFonts w:asciiTheme="minorHAnsi" w:hAnsiTheme="minorHAnsi"/>
        </w:rPr>
      </w:pPr>
    </w:p>
    <w:p w14:paraId="60F995E8" w14:textId="676CC141" w:rsidR="000F45A1" w:rsidRDefault="63AFC02E" w:rsidP="67D67D1A">
      <w:pPr>
        <w:rPr>
          <w:rFonts w:asciiTheme="minorHAnsi" w:hAnsiTheme="minorHAnsi"/>
        </w:rPr>
      </w:pPr>
      <w:r w:rsidRPr="67D67D1A">
        <w:rPr>
          <w:rFonts w:asciiTheme="minorHAnsi" w:hAnsiTheme="minorHAnsi"/>
        </w:rPr>
        <w:t xml:space="preserve">Staff requested a </w:t>
      </w:r>
      <w:r w:rsidR="067B0F9E" w:rsidRPr="67D67D1A">
        <w:rPr>
          <w:rFonts w:asciiTheme="minorHAnsi" w:hAnsiTheme="minorHAnsi"/>
        </w:rPr>
        <w:t xml:space="preserve">demographic breakdown for </w:t>
      </w:r>
      <w:r w:rsidR="584A50F7" w:rsidRPr="67D67D1A">
        <w:rPr>
          <w:rFonts w:asciiTheme="minorHAnsi" w:hAnsiTheme="minorHAnsi"/>
        </w:rPr>
        <w:t>a</w:t>
      </w:r>
      <w:r w:rsidR="067B0F9E" w:rsidRPr="67D67D1A">
        <w:rPr>
          <w:rFonts w:asciiTheme="minorHAnsi" w:hAnsiTheme="minorHAnsi"/>
        </w:rPr>
        <w:t xml:space="preserve">dult Group 1 and Group 2 patients. </w:t>
      </w:r>
      <w:r w:rsidRPr="67D67D1A">
        <w:rPr>
          <w:rFonts w:asciiTheme="minorHAnsi" w:hAnsiTheme="minorHAnsi"/>
        </w:rPr>
        <w:t xml:space="preserve">This is shown in </w:t>
      </w:r>
      <w:r w:rsidRPr="67D67D1A">
        <w:rPr>
          <w:rFonts w:asciiTheme="minorHAnsi" w:hAnsiTheme="minorHAnsi"/>
        </w:rPr>
        <w:lastRenderedPageBreak/>
        <w:t>Table</w:t>
      </w:r>
      <w:r w:rsidR="1980BFB9" w:rsidRPr="67D67D1A">
        <w:rPr>
          <w:rFonts w:asciiTheme="minorHAnsi" w:hAnsiTheme="minorHAnsi"/>
        </w:rPr>
        <w:t>s</w:t>
      </w:r>
      <w:r w:rsidRPr="67D67D1A">
        <w:rPr>
          <w:rFonts w:asciiTheme="minorHAnsi" w:hAnsiTheme="minorHAnsi"/>
        </w:rPr>
        <w:t xml:space="preserve"> 1</w:t>
      </w:r>
      <w:r w:rsidR="00A967EF">
        <w:rPr>
          <w:rFonts w:asciiTheme="minorHAnsi" w:hAnsiTheme="minorHAnsi"/>
        </w:rPr>
        <w:t>3</w:t>
      </w:r>
      <w:r w:rsidR="53E4BE4C" w:rsidRPr="67D67D1A">
        <w:rPr>
          <w:rFonts w:asciiTheme="minorHAnsi" w:hAnsiTheme="minorHAnsi"/>
        </w:rPr>
        <w:t xml:space="preserve"> and Table 1</w:t>
      </w:r>
      <w:r w:rsidR="00A967EF">
        <w:rPr>
          <w:rFonts w:asciiTheme="minorHAnsi" w:hAnsiTheme="minorHAnsi"/>
        </w:rPr>
        <w:t>4</w:t>
      </w:r>
      <w:r w:rsidRPr="67D67D1A">
        <w:rPr>
          <w:rFonts w:asciiTheme="minorHAnsi" w:hAnsiTheme="minorHAnsi"/>
        </w:rPr>
        <w:t xml:space="preserve">. </w:t>
      </w:r>
      <w:r w:rsidR="3A54C5EE" w:rsidRPr="67D67D1A">
        <w:rPr>
          <w:rFonts w:asciiTheme="minorHAnsi" w:hAnsiTheme="minorHAnsi"/>
        </w:rPr>
        <w:t xml:space="preserve">The category “Geography” shows </w:t>
      </w:r>
      <w:r w:rsidR="6B77F99F" w:rsidRPr="67D67D1A">
        <w:rPr>
          <w:rFonts w:asciiTheme="minorHAnsi" w:hAnsiTheme="minorHAnsi"/>
        </w:rPr>
        <w:t xml:space="preserve">the </w:t>
      </w:r>
      <w:r w:rsidR="3A54C5EE" w:rsidRPr="67D67D1A">
        <w:rPr>
          <w:rFonts w:asciiTheme="minorHAnsi" w:hAnsiTheme="minorHAnsi"/>
        </w:rPr>
        <w:t xml:space="preserve">top </w:t>
      </w:r>
      <w:r w:rsidR="7F04D7CE" w:rsidRPr="67D67D1A">
        <w:rPr>
          <w:rFonts w:asciiTheme="minorHAnsi" w:hAnsiTheme="minorHAnsi"/>
        </w:rPr>
        <w:t>10</w:t>
      </w:r>
      <w:r w:rsidR="3A54C5EE" w:rsidRPr="67D67D1A">
        <w:rPr>
          <w:rFonts w:asciiTheme="minorHAnsi" w:hAnsiTheme="minorHAnsi"/>
        </w:rPr>
        <w:t xml:space="preserve"> locations of patient origin for </w:t>
      </w:r>
      <w:r w:rsidR="3401A4A4" w:rsidRPr="67D67D1A">
        <w:rPr>
          <w:rFonts w:asciiTheme="minorHAnsi" w:hAnsiTheme="minorHAnsi"/>
        </w:rPr>
        <w:t>a</w:t>
      </w:r>
      <w:r w:rsidR="0B36CF3F" w:rsidRPr="67D67D1A">
        <w:rPr>
          <w:rFonts w:asciiTheme="minorHAnsi" w:hAnsiTheme="minorHAnsi"/>
        </w:rPr>
        <w:t>dult Group 1 and Group 2 patients</w:t>
      </w:r>
      <w:r w:rsidR="3A54C5EE" w:rsidRPr="67D67D1A">
        <w:rPr>
          <w:rFonts w:asciiTheme="minorHAnsi" w:hAnsiTheme="minorHAnsi"/>
        </w:rPr>
        <w:t>.</w:t>
      </w:r>
      <w:r w:rsidR="7D8CA4FB" w:rsidRPr="67D67D1A">
        <w:rPr>
          <w:rFonts w:asciiTheme="minorHAnsi" w:hAnsiTheme="minorHAnsi"/>
        </w:rPr>
        <w:t xml:space="preserve"> </w:t>
      </w:r>
      <w:r w:rsidR="22179367" w:rsidRPr="67D67D1A">
        <w:rPr>
          <w:rFonts w:asciiTheme="minorHAnsi" w:hAnsiTheme="minorHAnsi"/>
        </w:rPr>
        <w:t xml:space="preserve">Similar to the Applicant’s </w:t>
      </w:r>
      <w:r w:rsidR="1A35E307" w:rsidRPr="67D67D1A">
        <w:rPr>
          <w:rFonts w:asciiTheme="minorHAnsi" w:hAnsiTheme="minorHAnsi"/>
        </w:rPr>
        <w:t>Patient Panel and Massachusetts patients</w:t>
      </w:r>
      <w:r w:rsidR="22179367" w:rsidRPr="67D67D1A">
        <w:rPr>
          <w:rFonts w:asciiTheme="minorHAnsi" w:hAnsiTheme="minorHAnsi"/>
        </w:rPr>
        <w:t xml:space="preserve">, the age 65 and older population make up greater than 40% of </w:t>
      </w:r>
      <w:r w:rsidR="72B90E7B" w:rsidRPr="67D67D1A">
        <w:rPr>
          <w:rFonts w:asciiTheme="minorHAnsi" w:hAnsiTheme="minorHAnsi"/>
        </w:rPr>
        <w:t>a</w:t>
      </w:r>
      <w:r w:rsidR="22179367" w:rsidRPr="67D67D1A">
        <w:rPr>
          <w:rFonts w:asciiTheme="minorHAnsi" w:hAnsiTheme="minorHAnsi"/>
        </w:rPr>
        <w:t xml:space="preserve">dult Group 1 patients, </w:t>
      </w:r>
      <w:r w:rsidR="4978B5C9" w:rsidRPr="67D67D1A">
        <w:rPr>
          <w:rFonts w:asciiTheme="minorHAnsi" w:hAnsiTheme="minorHAnsi"/>
        </w:rPr>
        <w:t xml:space="preserve">and more than 50% of </w:t>
      </w:r>
      <w:r w:rsidR="7C045854" w:rsidRPr="67D67D1A">
        <w:rPr>
          <w:rFonts w:asciiTheme="minorHAnsi" w:hAnsiTheme="minorHAnsi"/>
        </w:rPr>
        <w:t>a</w:t>
      </w:r>
      <w:r w:rsidR="4978B5C9" w:rsidRPr="67D67D1A">
        <w:rPr>
          <w:rFonts w:asciiTheme="minorHAnsi" w:hAnsiTheme="minorHAnsi"/>
        </w:rPr>
        <w:t xml:space="preserve">dult Group 2 patients. The percentage of </w:t>
      </w:r>
      <w:r w:rsidR="1A35E307" w:rsidRPr="67D67D1A">
        <w:rPr>
          <w:rFonts w:asciiTheme="minorHAnsi" w:hAnsiTheme="minorHAnsi"/>
        </w:rPr>
        <w:t xml:space="preserve">the Applicant’s </w:t>
      </w:r>
      <w:r w:rsidR="00E27198">
        <w:rPr>
          <w:rFonts w:asciiTheme="minorHAnsi" w:hAnsiTheme="minorHAnsi"/>
        </w:rPr>
        <w:t xml:space="preserve">Total </w:t>
      </w:r>
      <w:r w:rsidR="1A35E307" w:rsidRPr="67D67D1A">
        <w:rPr>
          <w:rFonts w:asciiTheme="minorHAnsi" w:hAnsiTheme="minorHAnsi"/>
        </w:rPr>
        <w:t>Patient Panel and Massachusetts patients</w:t>
      </w:r>
      <w:r w:rsidR="4978B5C9" w:rsidRPr="67D67D1A">
        <w:rPr>
          <w:rFonts w:asciiTheme="minorHAnsi" w:hAnsiTheme="minorHAnsi"/>
        </w:rPr>
        <w:t xml:space="preserve"> identifying as White is slightly more than 70%, while for </w:t>
      </w:r>
      <w:r w:rsidR="72B90E7B" w:rsidRPr="67D67D1A">
        <w:rPr>
          <w:rFonts w:asciiTheme="minorHAnsi" w:hAnsiTheme="minorHAnsi"/>
        </w:rPr>
        <w:t>a</w:t>
      </w:r>
      <w:r w:rsidR="4978B5C9" w:rsidRPr="67D67D1A">
        <w:rPr>
          <w:rFonts w:asciiTheme="minorHAnsi" w:hAnsiTheme="minorHAnsi"/>
        </w:rPr>
        <w:t>dult Group 1 and Group 2 patients it</w:t>
      </w:r>
      <w:r w:rsidR="72B90E7B" w:rsidRPr="67D67D1A">
        <w:rPr>
          <w:rFonts w:asciiTheme="minorHAnsi" w:hAnsiTheme="minorHAnsi"/>
        </w:rPr>
        <w:t xml:space="preserve"> is</w:t>
      </w:r>
      <w:r w:rsidR="4978B5C9" w:rsidRPr="67D67D1A">
        <w:rPr>
          <w:rFonts w:asciiTheme="minorHAnsi" w:hAnsiTheme="minorHAnsi"/>
        </w:rPr>
        <w:t xml:space="preserve"> 80% and 77%, respectively. </w:t>
      </w:r>
      <w:r w:rsidR="4B05B2E6" w:rsidRPr="67D67D1A">
        <w:rPr>
          <w:rFonts w:asciiTheme="minorHAnsi" w:hAnsiTheme="minorHAnsi"/>
        </w:rPr>
        <w:t xml:space="preserve">Similar to </w:t>
      </w:r>
      <w:r w:rsidR="7C045854" w:rsidRPr="67D67D1A">
        <w:rPr>
          <w:rFonts w:asciiTheme="minorHAnsi" w:hAnsiTheme="minorHAnsi"/>
        </w:rPr>
        <w:t>the</w:t>
      </w:r>
      <w:r w:rsidR="4B05B2E6" w:rsidRPr="67D67D1A">
        <w:rPr>
          <w:rFonts w:asciiTheme="minorHAnsi" w:hAnsiTheme="minorHAnsi"/>
        </w:rPr>
        <w:t xml:space="preserve"> Massachusetts</w:t>
      </w:r>
      <w:r w:rsidR="014686BA" w:rsidRPr="67D67D1A">
        <w:rPr>
          <w:rFonts w:asciiTheme="minorHAnsi" w:hAnsiTheme="minorHAnsi"/>
        </w:rPr>
        <w:t xml:space="preserve"> patients</w:t>
      </w:r>
      <w:r w:rsidR="59ED07D7" w:rsidRPr="67D67D1A">
        <w:rPr>
          <w:rFonts w:asciiTheme="minorHAnsi" w:hAnsiTheme="minorHAnsi"/>
        </w:rPr>
        <w:t>,</w:t>
      </w:r>
      <w:r w:rsidR="280DE38C" w:rsidRPr="67D67D1A">
        <w:rPr>
          <w:rFonts w:asciiTheme="minorHAnsi" w:hAnsiTheme="minorHAnsi"/>
        </w:rPr>
        <w:t xml:space="preserve"> </w:t>
      </w:r>
      <w:r w:rsidR="68D40747" w:rsidRPr="67D67D1A">
        <w:rPr>
          <w:rFonts w:asciiTheme="minorHAnsi" w:hAnsiTheme="minorHAnsi"/>
        </w:rPr>
        <w:t>Norfolk</w:t>
      </w:r>
      <w:r w:rsidR="4B05B2E6" w:rsidRPr="67D67D1A">
        <w:rPr>
          <w:rFonts w:asciiTheme="minorHAnsi" w:hAnsiTheme="minorHAnsi"/>
        </w:rPr>
        <w:t xml:space="preserve"> and Middlesex Counties, are the largest </w:t>
      </w:r>
      <w:r w:rsidR="7C045854" w:rsidRPr="67D67D1A">
        <w:rPr>
          <w:rFonts w:asciiTheme="minorHAnsi" w:hAnsiTheme="minorHAnsi"/>
        </w:rPr>
        <w:t xml:space="preserve">counties </w:t>
      </w:r>
      <w:r w:rsidR="4B05B2E6" w:rsidRPr="67D67D1A">
        <w:rPr>
          <w:rFonts w:asciiTheme="minorHAnsi" w:hAnsiTheme="minorHAnsi"/>
        </w:rPr>
        <w:t xml:space="preserve">represented </w:t>
      </w:r>
      <w:r w:rsidR="11649246" w:rsidRPr="67D67D1A">
        <w:rPr>
          <w:rFonts w:asciiTheme="minorHAnsi" w:hAnsiTheme="minorHAnsi"/>
        </w:rPr>
        <w:t>for</w:t>
      </w:r>
      <w:r w:rsidR="4B05B2E6" w:rsidRPr="67D67D1A">
        <w:rPr>
          <w:rFonts w:asciiTheme="minorHAnsi" w:hAnsiTheme="minorHAnsi"/>
        </w:rPr>
        <w:t xml:space="preserve"> patient origin or geography. </w:t>
      </w:r>
      <w:r w:rsidR="68D40747" w:rsidRPr="67D67D1A">
        <w:rPr>
          <w:rFonts w:asciiTheme="minorHAnsi" w:hAnsiTheme="minorHAnsi"/>
        </w:rPr>
        <w:t xml:space="preserve">For </w:t>
      </w:r>
      <w:r w:rsidR="4F67D6B5" w:rsidRPr="67D67D1A">
        <w:rPr>
          <w:rFonts w:asciiTheme="minorHAnsi" w:hAnsiTheme="minorHAnsi"/>
        </w:rPr>
        <w:t>the Applicant’s adult patients</w:t>
      </w:r>
      <w:r w:rsidR="218983AF" w:rsidRPr="67D67D1A">
        <w:rPr>
          <w:rFonts w:asciiTheme="minorHAnsi" w:hAnsiTheme="minorHAnsi"/>
        </w:rPr>
        <w:t xml:space="preserve"> (Table 5)</w:t>
      </w:r>
      <w:r w:rsidR="3EB9B4AF" w:rsidRPr="67D67D1A">
        <w:rPr>
          <w:rFonts w:asciiTheme="minorHAnsi" w:hAnsiTheme="minorHAnsi"/>
        </w:rPr>
        <w:t xml:space="preserve">, </w:t>
      </w:r>
      <w:r w:rsidR="389A5F89" w:rsidRPr="67D67D1A">
        <w:rPr>
          <w:rFonts w:asciiTheme="minorHAnsi" w:hAnsiTheme="minorHAnsi"/>
        </w:rPr>
        <w:t>Medicare</w:t>
      </w:r>
      <w:r w:rsidR="3EB9B4AF" w:rsidRPr="67D67D1A">
        <w:rPr>
          <w:rFonts w:asciiTheme="minorHAnsi" w:hAnsiTheme="minorHAnsi"/>
        </w:rPr>
        <w:t xml:space="preserve"> is the largest payer</w:t>
      </w:r>
      <w:r w:rsidR="1980BFB9" w:rsidRPr="67D67D1A">
        <w:rPr>
          <w:rFonts w:asciiTheme="minorHAnsi" w:hAnsiTheme="minorHAnsi"/>
        </w:rPr>
        <w:t xml:space="preserve"> category</w:t>
      </w:r>
      <w:r w:rsidR="3EB9B4AF" w:rsidRPr="67D67D1A">
        <w:rPr>
          <w:rFonts w:asciiTheme="minorHAnsi" w:hAnsiTheme="minorHAnsi"/>
        </w:rPr>
        <w:t xml:space="preserve">, followed by </w:t>
      </w:r>
      <w:r w:rsidR="1980BFB9" w:rsidRPr="67D67D1A">
        <w:rPr>
          <w:rFonts w:asciiTheme="minorHAnsi" w:hAnsiTheme="minorHAnsi"/>
        </w:rPr>
        <w:t>c</w:t>
      </w:r>
      <w:r w:rsidR="3EB9B4AF" w:rsidRPr="67D67D1A">
        <w:rPr>
          <w:rFonts w:asciiTheme="minorHAnsi" w:hAnsiTheme="minorHAnsi"/>
        </w:rPr>
        <w:t xml:space="preserve">ommercial, </w:t>
      </w:r>
      <w:r w:rsidR="389A5F89" w:rsidRPr="67D67D1A">
        <w:rPr>
          <w:rFonts w:asciiTheme="minorHAnsi" w:hAnsiTheme="minorHAnsi"/>
        </w:rPr>
        <w:t xml:space="preserve">which is the same for </w:t>
      </w:r>
      <w:r w:rsidR="11649246" w:rsidRPr="67D67D1A">
        <w:rPr>
          <w:rFonts w:asciiTheme="minorHAnsi" w:hAnsiTheme="minorHAnsi"/>
        </w:rPr>
        <w:t>a</w:t>
      </w:r>
      <w:r w:rsidR="389A5F89" w:rsidRPr="67D67D1A">
        <w:rPr>
          <w:rFonts w:asciiTheme="minorHAnsi" w:hAnsiTheme="minorHAnsi"/>
        </w:rPr>
        <w:t xml:space="preserve">dult Group </w:t>
      </w:r>
      <w:r w:rsidR="6B7E5C9E" w:rsidRPr="67D67D1A">
        <w:rPr>
          <w:rFonts w:asciiTheme="minorHAnsi" w:hAnsiTheme="minorHAnsi"/>
        </w:rPr>
        <w:t>2</w:t>
      </w:r>
      <w:r w:rsidR="389A5F89" w:rsidRPr="67D67D1A">
        <w:rPr>
          <w:rFonts w:asciiTheme="minorHAnsi" w:hAnsiTheme="minorHAnsi"/>
        </w:rPr>
        <w:t xml:space="preserve"> patients, but for </w:t>
      </w:r>
      <w:r w:rsidR="74308D6C" w:rsidRPr="67D67D1A">
        <w:rPr>
          <w:rFonts w:asciiTheme="minorHAnsi" w:hAnsiTheme="minorHAnsi"/>
        </w:rPr>
        <w:t>a</w:t>
      </w:r>
      <w:r w:rsidR="389A5F89" w:rsidRPr="67D67D1A">
        <w:rPr>
          <w:rFonts w:asciiTheme="minorHAnsi" w:hAnsiTheme="minorHAnsi"/>
        </w:rPr>
        <w:t xml:space="preserve">dult Group </w:t>
      </w:r>
      <w:r w:rsidR="6B7E5C9E" w:rsidRPr="67D67D1A">
        <w:rPr>
          <w:rFonts w:asciiTheme="minorHAnsi" w:hAnsiTheme="minorHAnsi"/>
        </w:rPr>
        <w:t>1</w:t>
      </w:r>
      <w:r w:rsidR="389A5F89" w:rsidRPr="67D67D1A">
        <w:rPr>
          <w:rFonts w:asciiTheme="minorHAnsi" w:hAnsiTheme="minorHAnsi"/>
        </w:rPr>
        <w:t xml:space="preserve"> patients, </w:t>
      </w:r>
      <w:r w:rsidR="1980BFB9" w:rsidRPr="67D67D1A">
        <w:rPr>
          <w:rFonts w:asciiTheme="minorHAnsi" w:hAnsiTheme="minorHAnsi"/>
        </w:rPr>
        <w:t>c</w:t>
      </w:r>
      <w:r w:rsidR="389A5F89" w:rsidRPr="67D67D1A">
        <w:rPr>
          <w:rFonts w:asciiTheme="minorHAnsi" w:hAnsiTheme="minorHAnsi"/>
        </w:rPr>
        <w:t xml:space="preserve">ommercial </w:t>
      </w:r>
      <w:r w:rsidR="404BA5F1" w:rsidRPr="67D67D1A">
        <w:rPr>
          <w:rFonts w:asciiTheme="minorHAnsi" w:hAnsiTheme="minorHAnsi"/>
        </w:rPr>
        <w:t>is the largest payer</w:t>
      </w:r>
      <w:r w:rsidR="1980BFB9" w:rsidRPr="67D67D1A">
        <w:rPr>
          <w:rFonts w:asciiTheme="minorHAnsi" w:hAnsiTheme="minorHAnsi"/>
        </w:rPr>
        <w:t xml:space="preserve"> category </w:t>
      </w:r>
      <w:r w:rsidR="389A5F89" w:rsidRPr="67D67D1A">
        <w:rPr>
          <w:rFonts w:asciiTheme="minorHAnsi" w:hAnsiTheme="minorHAnsi"/>
        </w:rPr>
        <w:t xml:space="preserve">followed by Medicare. </w:t>
      </w:r>
      <w:r w:rsidR="68D40747" w:rsidRPr="67D67D1A">
        <w:rPr>
          <w:rFonts w:asciiTheme="minorHAnsi" w:hAnsiTheme="minorHAnsi"/>
        </w:rPr>
        <w:t xml:space="preserve"> </w:t>
      </w:r>
    </w:p>
    <w:p w14:paraId="7200934C" w14:textId="77777777" w:rsidR="00C87B78" w:rsidRDefault="00C87B78" w:rsidP="003C50FD">
      <w:pPr>
        <w:rPr>
          <w:rFonts w:asciiTheme="minorHAnsi" w:hAnsiTheme="minorHAnsi"/>
          <w:szCs w:val="24"/>
        </w:rPr>
      </w:pPr>
    </w:p>
    <w:p w14:paraId="50C3EC2A" w14:textId="523EC2B0" w:rsidR="000F45A1" w:rsidRDefault="005368F9" w:rsidP="003C50FD">
      <w:pPr>
        <w:rPr>
          <w:rFonts w:asciiTheme="minorHAnsi" w:hAnsiTheme="minorHAnsi"/>
          <w:b/>
          <w:bCs/>
          <w:szCs w:val="24"/>
        </w:rPr>
      </w:pPr>
      <w:bookmarkStart w:id="6" w:name="_Hlk218838683"/>
      <w:r w:rsidRPr="005368F9">
        <w:rPr>
          <w:rFonts w:asciiTheme="minorHAnsi" w:hAnsiTheme="minorHAnsi"/>
          <w:b/>
          <w:bCs/>
          <w:szCs w:val="24"/>
          <w:u w:val="single"/>
        </w:rPr>
        <w:t xml:space="preserve">Table </w:t>
      </w:r>
      <w:r w:rsidR="007F57F0">
        <w:rPr>
          <w:rFonts w:asciiTheme="minorHAnsi" w:hAnsiTheme="minorHAnsi"/>
          <w:b/>
          <w:bCs/>
          <w:szCs w:val="24"/>
          <w:u w:val="single"/>
        </w:rPr>
        <w:t>1</w:t>
      </w:r>
      <w:r w:rsidR="00A967EF">
        <w:rPr>
          <w:rFonts w:asciiTheme="minorHAnsi" w:hAnsiTheme="minorHAnsi"/>
          <w:b/>
          <w:bCs/>
          <w:szCs w:val="24"/>
          <w:u w:val="single"/>
        </w:rPr>
        <w:t>3</w:t>
      </w:r>
      <w:r w:rsidRPr="005368F9">
        <w:rPr>
          <w:rFonts w:asciiTheme="minorHAnsi" w:hAnsiTheme="minorHAnsi"/>
          <w:b/>
          <w:bCs/>
          <w:szCs w:val="24"/>
        </w:rPr>
        <w:t xml:space="preserve">: </w:t>
      </w:r>
      <w:r w:rsidR="00840CB8">
        <w:rPr>
          <w:rFonts w:asciiTheme="minorHAnsi" w:hAnsiTheme="minorHAnsi"/>
          <w:b/>
          <w:bCs/>
          <w:szCs w:val="24"/>
        </w:rPr>
        <w:t xml:space="preserve">DFCI </w:t>
      </w:r>
      <w:r w:rsidRPr="005368F9">
        <w:rPr>
          <w:rFonts w:asciiTheme="minorHAnsi" w:hAnsiTheme="minorHAnsi"/>
          <w:b/>
          <w:bCs/>
          <w:szCs w:val="24"/>
        </w:rPr>
        <w:t>Adult Group 1 and Group 2 Demographic Information, FY24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951"/>
        <w:gridCol w:w="951"/>
        <w:gridCol w:w="2990"/>
        <w:gridCol w:w="951"/>
        <w:gridCol w:w="951"/>
      </w:tblGrid>
      <w:tr w:rsidR="00BD6DDA" w:rsidRPr="00617F96" w14:paraId="163E30E1" w14:textId="77777777" w:rsidTr="00A907AE">
        <w:trPr>
          <w:cantSplit/>
          <w:trHeight w:val="290"/>
          <w:tblHeader/>
        </w:trPr>
        <w:tc>
          <w:tcPr>
            <w:tcW w:w="0" w:type="auto"/>
            <w:shd w:val="clear" w:color="auto" w:fill="DBE5F1" w:themeFill="accent1" w:themeFillTint="33"/>
            <w:noWrap/>
            <w:vAlign w:val="bottom"/>
            <w:hideMark/>
          </w:tcPr>
          <w:bookmarkEnd w:id="6"/>
          <w:p w14:paraId="3674B370" w14:textId="77777777" w:rsidR="00BD6DDA" w:rsidRPr="00617F96" w:rsidRDefault="00BD6DDA" w:rsidP="00BD6DDA">
            <w:pPr>
              <w:widowControl/>
              <w:autoSpaceDE/>
              <w:autoSpaceDN/>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 </w:t>
            </w:r>
          </w:p>
        </w:tc>
        <w:tc>
          <w:tcPr>
            <w:tcW w:w="0" w:type="auto"/>
            <w:shd w:val="clear" w:color="auto" w:fill="DBE5F1" w:themeFill="accent1" w:themeFillTint="33"/>
            <w:noWrap/>
            <w:vAlign w:val="bottom"/>
            <w:hideMark/>
          </w:tcPr>
          <w:p w14:paraId="31FCFEB8" w14:textId="77777777" w:rsidR="00BD6DDA" w:rsidRPr="00617F96" w:rsidRDefault="00BD6DDA" w:rsidP="00BD6DDA">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Group 1</w:t>
            </w:r>
          </w:p>
        </w:tc>
        <w:tc>
          <w:tcPr>
            <w:tcW w:w="0" w:type="auto"/>
            <w:shd w:val="clear" w:color="auto" w:fill="DBE5F1" w:themeFill="accent1" w:themeFillTint="33"/>
            <w:vAlign w:val="bottom"/>
          </w:tcPr>
          <w:p w14:paraId="527BE8EB" w14:textId="0A6CB587" w:rsidR="00BD6DDA" w:rsidRPr="00617F96" w:rsidRDefault="00BD6DDA" w:rsidP="00BD6DDA">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Group 1</w:t>
            </w:r>
          </w:p>
        </w:tc>
        <w:tc>
          <w:tcPr>
            <w:tcW w:w="0" w:type="auto"/>
            <w:shd w:val="clear" w:color="auto" w:fill="DBE5F1" w:themeFill="accent1" w:themeFillTint="33"/>
            <w:noWrap/>
            <w:vAlign w:val="bottom"/>
            <w:hideMark/>
          </w:tcPr>
          <w:p w14:paraId="77905106" w14:textId="77777777" w:rsidR="00BD6DDA" w:rsidRPr="00617F96" w:rsidRDefault="00BD6DDA" w:rsidP="00BD6DDA">
            <w:pPr>
              <w:widowControl/>
              <w:autoSpaceDE/>
              <w:autoSpaceDN/>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 </w:t>
            </w:r>
          </w:p>
        </w:tc>
        <w:tc>
          <w:tcPr>
            <w:tcW w:w="0" w:type="auto"/>
            <w:shd w:val="clear" w:color="auto" w:fill="DBE5F1" w:themeFill="accent1" w:themeFillTint="33"/>
            <w:noWrap/>
            <w:vAlign w:val="bottom"/>
            <w:hideMark/>
          </w:tcPr>
          <w:p w14:paraId="0AED847F" w14:textId="77777777" w:rsidR="00BD6DDA" w:rsidRPr="00617F96" w:rsidRDefault="00BD6DDA" w:rsidP="00BD6DDA">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Group 2</w:t>
            </w:r>
          </w:p>
        </w:tc>
        <w:tc>
          <w:tcPr>
            <w:tcW w:w="0" w:type="auto"/>
            <w:shd w:val="clear" w:color="auto" w:fill="DBE5F1" w:themeFill="accent1" w:themeFillTint="33"/>
            <w:vAlign w:val="bottom"/>
          </w:tcPr>
          <w:p w14:paraId="56E7D0B2" w14:textId="6ECB41B4" w:rsidR="00BD6DDA" w:rsidRPr="00617F96" w:rsidRDefault="00BD6DDA" w:rsidP="00BD6DDA">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Group 2</w:t>
            </w:r>
          </w:p>
        </w:tc>
      </w:tr>
      <w:tr w:rsidR="00BD6DDA" w:rsidRPr="00617F96" w14:paraId="080EFF4D" w14:textId="77777777" w:rsidTr="00A907AE">
        <w:trPr>
          <w:cantSplit/>
          <w:trHeight w:val="290"/>
          <w:tblHeader/>
        </w:trPr>
        <w:tc>
          <w:tcPr>
            <w:tcW w:w="0" w:type="auto"/>
            <w:shd w:val="clear" w:color="auto" w:fill="F2F2F2" w:themeFill="background1" w:themeFillShade="F2"/>
            <w:noWrap/>
            <w:vAlign w:val="bottom"/>
            <w:hideMark/>
          </w:tcPr>
          <w:p w14:paraId="6AE5F703" w14:textId="77777777" w:rsidR="00BD6DDA" w:rsidRPr="00617F96" w:rsidRDefault="00BD6DDA" w:rsidP="00BD6DDA">
            <w:pPr>
              <w:widowControl/>
              <w:autoSpaceDE/>
              <w:autoSpaceDN/>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 </w:t>
            </w:r>
          </w:p>
        </w:tc>
        <w:tc>
          <w:tcPr>
            <w:tcW w:w="0" w:type="auto"/>
            <w:shd w:val="clear" w:color="auto" w:fill="F2F2F2" w:themeFill="background1" w:themeFillShade="F2"/>
            <w:noWrap/>
            <w:vAlign w:val="bottom"/>
            <w:hideMark/>
          </w:tcPr>
          <w:p w14:paraId="13420EAD" w14:textId="77777777" w:rsidR="00BD6DDA" w:rsidRPr="00617F96" w:rsidRDefault="00BD6DDA" w:rsidP="00BD6DDA">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Count</w:t>
            </w:r>
          </w:p>
        </w:tc>
        <w:tc>
          <w:tcPr>
            <w:tcW w:w="0" w:type="auto"/>
            <w:shd w:val="clear" w:color="auto" w:fill="F2F2F2" w:themeFill="background1" w:themeFillShade="F2"/>
            <w:noWrap/>
            <w:vAlign w:val="bottom"/>
            <w:hideMark/>
          </w:tcPr>
          <w:p w14:paraId="6839BB91" w14:textId="77777777" w:rsidR="00BD6DDA" w:rsidRPr="00617F96" w:rsidRDefault="00BD6DDA" w:rsidP="00BD6DDA">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w:t>
            </w:r>
          </w:p>
        </w:tc>
        <w:tc>
          <w:tcPr>
            <w:tcW w:w="0" w:type="auto"/>
            <w:shd w:val="clear" w:color="auto" w:fill="F2F2F2" w:themeFill="background1" w:themeFillShade="F2"/>
            <w:noWrap/>
            <w:vAlign w:val="bottom"/>
            <w:hideMark/>
          </w:tcPr>
          <w:p w14:paraId="14EDEF64" w14:textId="77777777" w:rsidR="00BD6DDA" w:rsidRPr="00617F96" w:rsidRDefault="00BD6DDA" w:rsidP="00BD6DDA">
            <w:pPr>
              <w:widowControl/>
              <w:autoSpaceDE/>
              <w:autoSpaceDN/>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 </w:t>
            </w:r>
          </w:p>
        </w:tc>
        <w:tc>
          <w:tcPr>
            <w:tcW w:w="0" w:type="auto"/>
            <w:shd w:val="clear" w:color="auto" w:fill="F2F2F2" w:themeFill="background1" w:themeFillShade="F2"/>
            <w:noWrap/>
            <w:vAlign w:val="bottom"/>
            <w:hideMark/>
          </w:tcPr>
          <w:p w14:paraId="0705916B" w14:textId="77777777" w:rsidR="00BD6DDA" w:rsidRPr="00617F96" w:rsidRDefault="00BD6DDA" w:rsidP="00BD6DDA">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Count</w:t>
            </w:r>
          </w:p>
        </w:tc>
        <w:tc>
          <w:tcPr>
            <w:tcW w:w="0" w:type="auto"/>
            <w:shd w:val="clear" w:color="auto" w:fill="F2F2F2" w:themeFill="background1" w:themeFillShade="F2"/>
            <w:noWrap/>
            <w:vAlign w:val="bottom"/>
            <w:hideMark/>
          </w:tcPr>
          <w:p w14:paraId="7BA87149" w14:textId="77777777" w:rsidR="00BD6DDA" w:rsidRPr="00617F96" w:rsidRDefault="00BD6DDA" w:rsidP="00BD6DDA">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w:t>
            </w:r>
          </w:p>
        </w:tc>
      </w:tr>
      <w:tr w:rsidR="00BD6DDA" w:rsidRPr="00617F96" w14:paraId="417C479A" w14:textId="77777777" w:rsidTr="0057591C">
        <w:trPr>
          <w:cantSplit/>
          <w:trHeight w:val="290"/>
        </w:trPr>
        <w:tc>
          <w:tcPr>
            <w:tcW w:w="0" w:type="auto"/>
            <w:noWrap/>
            <w:vAlign w:val="bottom"/>
            <w:hideMark/>
          </w:tcPr>
          <w:p w14:paraId="4264D12A" w14:textId="77777777" w:rsidR="00BD6DDA" w:rsidRPr="00617F96" w:rsidRDefault="00BD6DDA" w:rsidP="00BD6DDA">
            <w:pPr>
              <w:widowControl/>
              <w:autoSpaceDE/>
              <w:autoSpaceDN/>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 xml:space="preserve">Total </w:t>
            </w:r>
          </w:p>
        </w:tc>
        <w:tc>
          <w:tcPr>
            <w:tcW w:w="0" w:type="auto"/>
            <w:noWrap/>
            <w:vAlign w:val="bottom"/>
            <w:hideMark/>
          </w:tcPr>
          <w:p w14:paraId="30B907D5"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3,190</w:t>
            </w:r>
          </w:p>
        </w:tc>
        <w:tc>
          <w:tcPr>
            <w:tcW w:w="0" w:type="auto"/>
            <w:noWrap/>
            <w:vAlign w:val="bottom"/>
            <w:hideMark/>
          </w:tcPr>
          <w:p w14:paraId="456E4C79"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100%</w:t>
            </w:r>
          </w:p>
        </w:tc>
        <w:tc>
          <w:tcPr>
            <w:tcW w:w="0" w:type="auto"/>
            <w:noWrap/>
            <w:vAlign w:val="bottom"/>
            <w:hideMark/>
          </w:tcPr>
          <w:p w14:paraId="32B23250" w14:textId="542C1597" w:rsidR="00BD6DDA" w:rsidRPr="00617F96" w:rsidRDefault="00BD6DDA" w:rsidP="00BD6DDA">
            <w:pPr>
              <w:widowControl/>
              <w:autoSpaceDE/>
              <w:autoSpaceDN/>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 xml:space="preserve"> Total </w:t>
            </w:r>
          </w:p>
        </w:tc>
        <w:tc>
          <w:tcPr>
            <w:tcW w:w="0" w:type="auto"/>
            <w:noWrap/>
            <w:vAlign w:val="bottom"/>
            <w:hideMark/>
          </w:tcPr>
          <w:p w14:paraId="7940E28D"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15,116</w:t>
            </w:r>
          </w:p>
        </w:tc>
        <w:tc>
          <w:tcPr>
            <w:tcW w:w="0" w:type="auto"/>
            <w:noWrap/>
            <w:vAlign w:val="bottom"/>
            <w:hideMark/>
          </w:tcPr>
          <w:p w14:paraId="494043F7"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100%</w:t>
            </w:r>
          </w:p>
        </w:tc>
      </w:tr>
      <w:tr w:rsidR="00BD6DDA" w:rsidRPr="00617F96" w14:paraId="7EF75E88" w14:textId="77777777" w:rsidTr="0057591C">
        <w:trPr>
          <w:cantSplit/>
          <w:trHeight w:val="290"/>
        </w:trPr>
        <w:tc>
          <w:tcPr>
            <w:tcW w:w="0" w:type="auto"/>
            <w:shd w:val="clear" w:color="auto" w:fill="F2F2F2" w:themeFill="background1" w:themeFillShade="F2"/>
            <w:noWrap/>
            <w:vAlign w:val="bottom"/>
            <w:hideMark/>
          </w:tcPr>
          <w:p w14:paraId="3DA21688" w14:textId="3FB7B33F" w:rsidR="00BD6DDA" w:rsidRPr="00617F96" w:rsidRDefault="00BD6DDA" w:rsidP="00BD6DDA">
            <w:pPr>
              <w:widowControl/>
              <w:autoSpaceDE/>
              <w:autoSpaceDN/>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Age</w:t>
            </w:r>
            <w:r w:rsidRPr="00617F96">
              <w:rPr>
                <w:rFonts w:asciiTheme="minorHAnsi" w:eastAsia="Times New Roman" w:hAnsiTheme="minorHAnsi"/>
                <w:b/>
                <w:bCs/>
                <w:color w:val="000000"/>
                <w:sz w:val="22"/>
                <w:szCs w:val="22"/>
                <w:vertAlign w:val="superscript"/>
              </w:rPr>
              <w:footnoteReference w:id="31"/>
            </w:r>
          </w:p>
        </w:tc>
        <w:tc>
          <w:tcPr>
            <w:tcW w:w="0" w:type="auto"/>
            <w:shd w:val="clear" w:color="auto" w:fill="F2F2F2" w:themeFill="background1" w:themeFillShade="F2"/>
            <w:noWrap/>
            <w:vAlign w:val="bottom"/>
            <w:hideMark/>
          </w:tcPr>
          <w:p w14:paraId="0E474097" w14:textId="77777777" w:rsidR="00BD6DDA" w:rsidRPr="00617F96" w:rsidRDefault="00BD6DDA" w:rsidP="00BD6DDA">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Count</w:t>
            </w:r>
          </w:p>
        </w:tc>
        <w:tc>
          <w:tcPr>
            <w:tcW w:w="0" w:type="auto"/>
            <w:shd w:val="clear" w:color="auto" w:fill="F2F2F2" w:themeFill="background1" w:themeFillShade="F2"/>
            <w:noWrap/>
            <w:vAlign w:val="bottom"/>
            <w:hideMark/>
          </w:tcPr>
          <w:p w14:paraId="5E85AAE2" w14:textId="77777777" w:rsidR="00BD6DDA" w:rsidRPr="00617F96" w:rsidRDefault="00BD6DDA" w:rsidP="00BD6DDA">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w:t>
            </w:r>
          </w:p>
        </w:tc>
        <w:tc>
          <w:tcPr>
            <w:tcW w:w="0" w:type="auto"/>
            <w:shd w:val="clear" w:color="auto" w:fill="F2F2F2" w:themeFill="background1" w:themeFillShade="F2"/>
            <w:noWrap/>
            <w:vAlign w:val="bottom"/>
            <w:hideMark/>
          </w:tcPr>
          <w:p w14:paraId="286E45B4" w14:textId="3D63821C" w:rsidR="00BD6DDA" w:rsidRPr="00617F96" w:rsidRDefault="00BD6DDA" w:rsidP="00BD6DDA">
            <w:pPr>
              <w:widowControl/>
              <w:autoSpaceDE/>
              <w:autoSpaceDN/>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Age</w:t>
            </w:r>
            <w:r w:rsidRPr="00617F96">
              <w:rPr>
                <w:rStyle w:val="FootnoteReference"/>
                <w:rFonts w:asciiTheme="minorHAnsi" w:eastAsia="Times New Roman" w:hAnsiTheme="minorHAnsi"/>
                <w:b/>
                <w:bCs/>
                <w:color w:val="000000"/>
                <w:sz w:val="22"/>
                <w:szCs w:val="22"/>
              </w:rPr>
              <w:footnoteReference w:id="32"/>
            </w:r>
          </w:p>
        </w:tc>
        <w:tc>
          <w:tcPr>
            <w:tcW w:w="0" w:type="auto"/>
            <w:shd w:val="clear" w:color="auto" w:fill="F2F2F2" w:themeFill="background1" w:themeFillShade="F2"/>
            <w:noWrap/>
            <w:vAlign w:val="bottom"/>
            <w:hideMark/>
          </w:tcPr>
          <w:p w14:paraId="2974D64B" w14:textId="77777777" w:rsidR="00BD6DDA" w:rsidRPr="00617F96" w:rsidRDefault="00BD6DDA" w:rsidP="00BD6DDA">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Count</w:t>
            </w:r>
          </w:p>
        </w:tc>
        <w:tc>
          <w:tcPr>
            <w:tcW w:w="0" w:type="auto"/>
            <w:shd w:val="clear" w:color="auto" w:fill="F2F2F2" w:themeFill="background1" w:themeFillShade="F2"/>
            <w:noWrap/>
            <w:vAlign w:val="bottom"/>
            <w:hideMark/>
          </w:tcPr>
          <w:p w14:paraId="024DD52A" w14:textId="77777777" w:rsidR="00BD6DDA" w:rsidRPr="00617F96" w:rsidRDefault="00BD6DDA" w:rsidP="00BD6DDA">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w:t>
            </w:r>
          </w:p>
        </w:tc>
      </w:tr>
      <w:tr w:rsidR="00BD6DDA" w:rsidRPr="00617F96" w14:paraId="644FAF5F" w14:textId="77777777" w:rsidTr="0057591C">
        <w:trPr>
          <w:cantSplit/>
          <w:trHeight w:val="290"/>
        </w:trPr>
        <w:tc>
          <w:tcPr>
            <w:tcW w:w="0" w:type="auto"/>
            <w:noWrap/>
            <w:vAlign w:val="bottom"/>
            <w:hideMark/>
          </w:tcPr>
          <w:p w14:paraId="72F2830A" w14:textId="2BDCDC4B"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21 &amp; Under</w:t>
            </w:r>
            <w:r w:rsidRPr="00617F96">
              <w:rPr>
                <w:rFonts w:asciiTheme="minorHAnsi" w:eastAsia="Times New Roman" w:hAnsiTheme="minorHAnsi"/>
                <w:color w:val="000000"/>
                <w:sz w:val="22"/>
                <w:szCs w:val="22"/>
                <w:vertAlign w:val="superscript"/>
              </w:rPr>
              <w:footnoteReference w:id="33"/>
            </w:r>
          </w:p>
        </w:tc>
        <w:tc>
          <w:tcPr>
            <w:tcW w:w="0" w:type="auto"/>
            <w:noWrap/>
            <w:vAlign w:val="bottom"/>
            <w:hideMark/>
          </w:tcPr>
          <w:p w14:paraId="5C99FC4F"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20</w:t>
            </w:r>
          </w:p>
        </w:tc>
        <w:tc>
          <w:tcPr>
            <w:tcW w:w="0" w:type="auto"/>
            <w:noWrap/>
            <w:vAlign w:val="bottom"/>
            <w:hideMark/>
          </w:tcPr>
          <w:p w14:paraId="1A714F46"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w:t>
            </w:r>
          </w:p>
        </w:tc>
        <w:tc>
          <w:tcPr>
            <w:tcW w:w="0" w:type="auto"/>
            <w:noWrap/>
            <w:vAlign w:val="bottom"/>
            <w:hideMark/>
          </w:tcPr>
          <w:p w14:paraId="40285FE4" w14:textId="774BE1AA"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21 &amp; Under</w:t>
            </w:r>
            <w:r w:rsidRPr="00617F96">
              <w:rPr>
                <w:rFonts w:asciiTheme="minorHAnsi" w:eastAsia="Times New Roman" w:hAnsiTheme="minorHAnsi"/>
                <w:color w:val="000000"/>
                <w:sz w:val="22"/>
                <w:szCs w:val="22"/>
                <w:vertAlign w:val="superscript"/>
              </w:rPr>
              <w:footnoteReference w:id="34"/>
            </w:r>
          </w:p>
        </w:tc>
        <w:tc>
          <w:tcPr>
            <w:tcW w:w="0" w:type="auto"/>
            <w:noWrap/>
            <w:vAlign w:val="bottom"/>
            <w:hideMark/>
          </w:tcPr>
          <w:p w14:paraId="67F38CFC"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23</w:t>
            </w:r>
          </w:p>
        </w:tc>
        <w:tc>
          <w:tcPr>
            <w:tcW w:w="0" w:type="auto"/>
            <w:noWrap/>
            <w:vAlign w:val="bottom"/>
            <w:hideMark/>
          </w:tcPr>
          <w:p w14:paraId="0574939D"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0%</w:t>
            </w:r>
          </w:p>
        </w:tc>
      </w:tr>
      <w:tr w:rsidR="00BD6DDA" w:rsidRPr="00617F96" w14:paraId="5312F069" w14:textId="77777777" w:rsidTr="0057591C">
        <w:trPr>
          <w:cantSplit/>
          <w:trHeight w:val="290"/>
        </w:trPr>
        <w:tc>
          <w:tcPr>
            <w:tcW w:w="0" w:type="auto"/>
            <w:noWrap/>
            <w:vAlign w:val="bottom"/>
            <w:hideMark/>
          </w:tcPr>
          <w:p w14:paraId="6007B856"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22-35</w:t>
            </w:r>
          </w:p>
        </w:tc>
        <w:tc>
          <w:tcPr>
            <w:tcW w:w="0" w:type="auto"/>
            <w:noWrap/>
            <w:vAlign w:val="bottom"/>
            <w:hideMark/>
          </w:tcPr>
          <w:p w14:paraId="23379981"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210</w:t>
            </w:r>
          </w:p>
        </w:tc>
        <w:tc>
          <w:tcPr>
            <w:tcW w:w="0" w:type="auto"/>
            <w:noWrap/>
            <w:vAlign w:val="bottom"/>
            <w:hideMark/>
          </w:tcPr>
          <w:p w14:paraId="2708B0AC"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7%</w:t>
            </w:r>
          </w:p>
        </w:tc>
        <w:tc>
          <w:tcPr>
            <w:tcW w:w="0" w:type="auto"/>
            <w:noWrap/>
            <w:vAlign w:val="bottom"/>
            <w:hideMark/>
          </w:tcPr>
          <w:p w14:paraId="11A108FA"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22-35</w:t>
            </w:r>
          </w:p>
        </w:tc>
        <w:tc>
          <w:tcPr>
            <w:tcW w:w="0" w:type="auto"/>
            <w:noWrap/>
            <w:vAlign w:val="bottom"/>
            <w:hideMark/>
          </w:tcPr>
          <w:p w14:paraId="69E21A9C"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408</w:t>
            </w:r>
          </w:p>
        </w:tc>
        <w:tc>
          <w:tcPr>
            <w:tcW w:w="0" w:type="auto"/>
            <w:noWrap/>
            <w:vAlign w:val="bottom"/>
            <w:hideMark/>
          </w:tcPr>
          <w:p w14:paraId="2223D0EE"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3%</w:t>
            </w:r>
          </w:p>
        </w:tc>
      </w:tr>
      <w:tr w:rsidR="00BD6DDA" w:rsidRPr="00617F96" w14:paraId="18BF5F10" w14:textId="77777777" w:rsidTr="0057591C">
        <w:trPr>
          <w:cantSplit/>
          <w:trHeight w:val="290"/>
        </w:trPr>
        <w:tc>
          <w:tcPr>
            <w:tcW w:w="0" w:type="auto"/>
            <w:noWrap/>
            <w:vAlign w:val="bottom"/>
            <w:hideMark/>
          </w:tcPr>
          <w:p w14:paraId="189DBD98"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36-55</w:t>
            </w:r>
          </w:p>
        </w:tc>
        <w:tc>
          <w:tcPr>
            <w:tcW w:w="0" w:type="auto"/>
            <w:noWrap/>
            <w:vAlign w:val="bottom"/>
            <w:hideMark/>
          </w:tcPr>
          <w:p w14:paraId="767F34B3"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828</w:t>
            </w:r>
          </w:p>
        </w:tc>
        <w:tc>
          <w:tcPr>
            <w:tcW w:w="0" w:type="auto"/>
            <w:noWrap/>
            <w:vAlign w:val="bottom"/>
            <w:hideMark/>
          </w:tcPr>
          <w:p w14:paraId="0915B7FC"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26%</w:t>
            </w:r>
          </w:p>
        </w:tc>
        <w:tc>
          <w:tcPr>
            <w:tcW w:w="0" w:type="auto"/>
            <w:noWrap/>
            <w:vAlign w:val="bottom"/>
            <w:hideMark/>
          </w:tcPr>
          <w:p w14:paraId="2AEFFBFA"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36-55</w:t>
            </w:r>
          </w:p>
        </w:tc>
        <w:tc>
          <w:tcPr>
            <w:tcW w:w="0" w:type="auto"/>
            <w:noWrap/>
            <w:vAlign w:val="bottom"/>
            <w:hideMark/>
          </w:tcPr>
          <w:p w14:paraId="53A273AC"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3,137</w:t>
            </w:r>
          </w:p>
        </w:tc>
        <w:tc>
          <w:tcPr>
            <w:tcW w:w="0" w:type="auto"/>
            <w:noWrap/>
            <w:vAlign w:val="bottom"/>
            <w:hideMark/>
          </w:tcPr>
          <w:p w14:paraId="1A3C5CC3"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21%</w:t>
            </w:r>
          </w:p>
        </w:tc>
      </w:tr>
      <w:tr w:rsidR="00BD6DDA" w:rsidRPr="00617F96" w14:paraId="691E9284" w14:textId="77777777" w:rsidTr="0057591C">
        <w:trPr>
          <w:cantSplit/>
          <w:trHeight w:val="290"/>
        </w:trPr>
        <w:tc>
          <w:tcPr>
            <w:tcW w:w="0" w:type="auto"/>
            <w:noWrap/>
            <w:vAlign w:val="bottom"/>
            <w:hideMark/>
          </w:tcPr>
          <w:p w14:paraId="00AEA176"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56-64</w:t>
            </w:r>
          </w:p>
        </w:tc>
        <w:tc>
          <w:tcPr>
            <w:tcW w:w="0" w:type="auto"/>
            <w:noWrap/>
            <w:vAlign w:val="bottom"/>
            <w:hideMark/>
          </w:tcPr>
          <w:p w14:paraId="4674EBA2"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751</w:t>
            </w:r>
          </w:p>
        </w:tc>
        <w:tc>
          <w:tcPr>
            <w:tcW w:w="0" w:type="auto"/>
            <w:noWrap/>
            <w:vAlign w:val="bottom"/>
            <w:hideMark/>
          </w:tcPr>
          <w:p w14:paraId="0E806F70"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24%</w:t>
            </w:r>
          </w:p>
        </w:tc>
        <w:tc>
          <w:tcPr>
            <w:tcW w:w="0" w:type="auto"/>
            <w:noWrap/>
            <w:vAlign w:val="bottom"/>
            <w:hideMark/>
          </w:tcPr>
          <w:p w14:paraId="591585C9"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56-64</w:t>
            </w:r>
          </w:p>
        </w:tc>
        <w:tc>
          <w:tcPr>
            <w:tcW w:w="0" w:type="auto"/>
            <w:noWrap/>
            <w:vAlign w:val="bottom"/>
            <w:hideMark/>
          </w:tcPr>
          <w:p w14:paraId="29BA4F68"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3,451</w:t>
            </w:r>
          </w:p>
        </w:tc>
        <w:tc>
          <w:tcPr>
            <w:tcW w:w="0" w:type="auto"/>
            <w:noWrap/>
            <w:vAlign w:val="bottom"/>
            <w:hideMark/>
          </w:tcPr>
          <w:p w14:paraId="6B850505"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23%</w:t>
            </w:r>
          </w:p>
        </w:tc>
      </w:tr>
      <w:tr w:rsidR="00BD6DDA" w:rsidRPr="00617F96" w14:paraId="0CAED187" w14:textId="77777777" w:rsidTr="0057591C">
        <w:trPr>
          <w:cantSplit/>
          <w:trHeight w:val="290"/>
        </w:trPr>
        <w:tc>
          <w:tcPr>
            <w:tcW w:w="0" w:type="auto"/>
            <w:noWrap/>
            <w:vAlign w:val="bottom"/>
            <w:hideMark/>
          </w:tcPr>
          <w:p w14:paraId="54E7BBFA"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65+</w:t>
            </w:r>
          </w:p>
        </w:tc>
        <w:tc>
          <w:tcPr>
            <w:tcW w:w="0" w:type="auto"/>
            <w:noWrap/>
            <w:vAlign w:val="bottom"/>
            <w:hideMark/>
          </w:tcPr>
          <w:p w14:paraId="5923407B"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1,389</w:t>
            </w:r>
          </w:p>
        </w:tc>
        <w:tc>
          <w:tcPr>
            <w:tcW w:w="0" w:type="auto"/>
            <w:noWrap/>
            <w:vAlign w:val="bottom"/>
            <w:hideMark/>
          </w:tcPr>
          <w:p w14:paraId="386DA6A5"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44%</w:t>
            </w:r>
          </w:p>
        </w:tc>
        <w:tc>
          <w:tcPr>
            <w:tcW w:w="0" w:type="auto"/>
            <w:noWrap/>
            <w:vAlign w:val="bottom"/>
            <w:hideMark/>
          </w:tcPr>
          <w:p w14:paraId="262BF422"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65+</w:t>
            </w:r>
          </w:p>
        </w:tc>
        <w:tc>
          <w:tcPr>
            <w:tcW w:w="0" w:type="auto"/>
            <w:noWrap/>
            <w:vAlign w:val="bottom"/>
            <w:hideMark/>
          </w:tcPr>
          <w:p w14:paraId="7F4187BA"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8,131</w:t>
            </w:r>
          </w:p>
        </w:tc>
        <w:tc>
          <w:tcPr>
            <w:tcW w:w="0" w:type="auto"/>
            <w:noWrap/>
            <w:vAlign w:val="bottom"/>
            <w:hideMark/>
          </w:tcPr>
          <w:p w14:paraId="1000E070"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54%</w:t>
            </w:r>
          </w:p>
        </w:tc>
      </w:tr>
      <w:tr w:rsidR="00BD6DDA" w:rsidRPr="00617F96" w14:paraId="72D3B32A" w14:textId="77777777" w:rsidTr="0057591C">
        <w:trPr>
          <w:cantSplit/>
          <w:trHeight w:val="290"/>
        </w:trPr>
        <w:tc>
          <w:tcPr>
            <w:tcW w:w="0" w:type="auto"/>
            <w:shd w:val="clear" w:color="auto" w:fill="F2F2F2" w:themeFill="background1" w:themeFillShade="F2"/>
            <w:noWrap/>
            <w:vAlign w:val="bottom"/>
            <w:hideMark/>
          </w:tcPr>
          <w:p w14:paraId="3D9B59AD" w14:textId="77777777" w:rsidR="00BD6DDA" w:rsidRPr="00617F96" w:rsidRDefault="00BD6DDA" w:rsidP="00BD6DDA">
            <w:pPr>
              <w:widowControl/>
              <w:autoSpaceDE/>
              <w:autoSpaceDN/>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Race &amp; Ethnicity</w:t>
            </w:r>
          </w:p>
        </w:tc>
        <w:tc>
          <w:tcPr>
            <w:tcW w:w="0" w:type="auto"/>
            <w:shd w:val="clear" w:color="auto" w:fill="F2F2F2" w:themeFill="background1" w:themeFillShade="F2"/>
            <w:noWrap/>
            <w:vAlign w:val="bottom"/>
            <w:hideMark/>
          </w:tcPr>
          <w:p w14:paraId="0BCC1732" w14:textId="7D7B5CAE" w:rsidR="00BD6DDA" w:rsidRPr="00617F96" w:rsidRDefault="00BD6DDA" w:rsidP="00BD6DDA">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Count</w:t>
            </w:r>
          </w:p>
        </w:tc>
        <w:tc>
          <w:tcPr>
            <w:tcW w:w="0" w:type="auto"/>
            <w:shd w:val="clear" w:color="auto" w:fill="F2F2F2" w:themeFill="background1" w:themeFillShade="F2"/>
            <w:noWrap/>
            <w:vAlign w:val="bottom"/>
            <w:hideMark/>
          </w:tcPr>
          <w:p w14:paraId="2FA2885F" w14:textId="009F7920" w:rsidR="00BD6DDA" w:rsidRPr="00617F96" w:rsidRDefault="00BD6DDA" w:rsidP="00BD6DDA">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w:t>
            </w:r>
          </w:p>
        </w:tc>
        <w:tc>
          <w:tcPr>
            <w:tcW w:w="0" w:type="auto"/>
            <w:shd w:val="clear" w:color="auto" w:fill="F2F2F2" w:themeFill="background1" w:themeFillShade="F2"/>
            <w:noWrap/>
            <w:vAlign w:val="bottom"/>
            <w:hideMark/>
          </w:tcPr>
          <w:p w14:paraId="52F879DF" w14:textId="77777777" w:rsidR="00BD6DDA" w:rsidRPr="00617F96" w:rsidRDefault="00BD6DDA" w:rsidP="00BD6DDA">
            <w:pPr>
              <w:widowControl/>
              <w:autoSpaceDE/>
              <w:autoSpaceDN/>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Race &amp; Ethnicity</w:t>
            </w:r>
          </w:p>
        </w:tc>
        <w:tc>
          <w:tcPr>
            <w:tcW w:w="0" w:type="auto"/>
            <w:shd w:val="clear" w:color="auto" w:fill="F2F2F2" w:themeFill="background1" w:themeFillShade="F2"/>
            <w:noWrap/>
            <w:vAlign w:val="bottom"/>
            <w:hideMark/>
          </w:tcPr>
          <w:p w14:paraId="21683F3F" w14:textId="777C0742" w:rsidR="00BD6DDA" w:rsidRPr="00617F96" w:rsidRDefault="00BD6DDA" w:rsidP="00BD6DDA">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Count</w:t>
            </w:r>
          </w:p>
        </w:tc>
        <w:tc>
          <w:tcPr>
            <w:tcW w:w="0" w:type="auto"/>
            <w:shd w:val="clear" w:color="auto" w:fill="F2F2F2" w:themeFill="background1" w:themeFillShade="F2"/>
            <w:noWrap/>
            <w:vAlign w:val="bottom"/>
            <w:hideMark/>
          </w:tcPr>
          <w:p w14:paraId="374F288E" w14:textId="6C2F5B78" w:rsidR="00BD6DDA" w:rsidRPr="00617F96" w:rsidRDefault="00BD6DDA" w:rsidP="00BD6DDA">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w:t>
            </w:r>
          </w:p>
        </w:tc>
      </w:tr>
      <w:tr w:rsidR="00BD6DDA" w:rsidRPr="00617F96" w14:paraId="38A073FE" w14:textId="77777777" w:rsidTr="0057591C">
        <w:trPr>
          <w:cantSplit/>
          <w:trHeight w:val="580"/>
        </w:trPr>
        <w:tc>
          <w:tcPr>
            <w:tcW w:w="0" w:type="auto"/>
            <w:hideMark/>
          </w:tcPr>
          <w:p w14:paraId="3450E862"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 xml:space="preserve">White or Caucasian, </w:t>
            </w:r>
          </w:p>
          <w:p w14:paraId="3E8D3B75" w14:textId="25F1C1BF"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Non-Hispanic Latino</w:t>
            </w:r>
          </w:p>
        </w:tc>
        <w:tc>
          <w:tcPr>
            <w:tcW w:w="0" w:type="auto"/>
            <w:noWrap/>
            <w:vAlign w:val="bottom"/>
            <w:hideMark/>
          </w:tcPr>
          <w:p w14:paraId="4B2ED23E"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2,541</w:t>
            </w:r>
          </w:p>
        </w:tc>
        <w:tc>
          <w:tcPr>
            <w:tcW w:w="0" w:type="auto"/>
            <w:noWrap/>
            <w:vAlign w:val="bottom"/>
            <w:hideMark/>
          </w:tcPr>
          <w:p w14:paraId="5E446D16"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80%</w:t>
            </w:r>
          </w:p>
        </w:tc>
        <w:tc>
          <w:tcPr>
            <w:tcW w:w="0" w:type="auto"/>
            <w:hideMark/>
          </w:tcPr>
          <w:p w14:paraId="6DCD558D"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 xml:space="preserve">White or Caucasian, </w:t>
            </w:r>
          </w:p>
          <w:p w14:paraId="34BFD4C1" w14:textId="611BCDD9"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Non-Hispanic Latino</w:t>
            </w:r>
          </w:p>
        </w:tc>
        <w:tc>
          <w:tcPr>
            <w:tcW w:w="0" w:type="auto"/>
            <w:noWrap/>
            <w:vAlign w:val="bottom"/>
            <w:hideMark/>
          </w:tcPr>
          <w:p w14:paraId="3E51B7F9"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11,634</w:t>
            </w:r>
          </w:p>
        </w:tc>
        <w:tc>
          <w:tcPr>
            <w:tcW w:w="0" w:type="auto"/>
            <w:noWrap/>
            <w:vAlign w:val="bottom"/>
            <w:hideMark/>
          </w:tcPr>
          <w:p w14:paraId="600B9D5A"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77%</w:t>
            </w:r>
          </w:p>
        </w:tc>
      </w:tr>
      <w:tr w:rsidR="00BD6DDA" w:rsidRPr="00617F96" w14:paraId="36B8D26B" w14:textId="77777777" w:rsidTr="0057591C">
        <w:trPr>
          <w:cantSplit/>
          <w:trHeight w:val="290"/>
        </w:trPr>
        <w:tc>
          <w:tcPr>
            <w:tcW w:w="0" w:type="auto"/>
            <w:noWrap/>
            <w:vAlign w:val="bottom"/>
            <w:hideMark/>
          </w:tcPr>
          <w:p w14:paraId="7E8E9922" w14:textId="12A80D0F"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Other</w:t>
            </w:r>
            <w:r w:rsidRPr="00617F96">
              <w:rPr>
                <w:rFonts w:asciiTheme="minorHAnsi" w:eastAsia="Times New Roman" w:hAnsiTheme="minorHAnsi"/>
                <w:color w:val="000000"/>
                <w:sz w:val="22"/>
                <w:szCs w:val="22"/>
                <w:vertAlign w:val="superscript"/>
              </w:rPr>
              <w:footnoteReference w:id="35"/>
            </w:r>
          </w:p>
        </w:tc>
        <w:tc>
          <w:tcPr>
            <w:tcW w:w="0" w:type="auto"/>
            <w:noWrap/>
            <w:vAlign w:val="bottom"/>
            <w:hideMark/>
          </w:tcPr>
          <w:p w14:paraId="3F95A097"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247</w:t>
            </w:r>
          </w:p>
        </w:tc>
        <w:tc>
          <w:tcPr>
            <w:tcW w:w="0" w:type="auto"/>
            <w:noWrap/>
            <w:vAlign w:val="bottom"/>
            <w:hideMark/>
          </w:tcPr>
          <w:p w14:paraId="6A3EA8C7"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8%</w:t>
            </w:r>
          </w:p>
        </w:tc>
        <w:tc>
          <w:tcPr>
            <w:tcW w:w="0" w:type="auto"/>
            <w:noWrap/>
            <w:vAlign w:val="bottom"/>
            <w:hideMark/>
          </w:tcPr>
          <w:p w14:paraId="59B53013" w14:textId="19EF30D9"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Other</w:t>
            </w:r>
            <w:r w:rsidRPr="00617F96">
              <w:rPr>
                <w:rFonts w:asciiTheme="minorHAnsi" w:eastAsia="Times New Roman" w:hAnsiTheme="minorHAnsi"/>
                <w:color w:val="000000"/>
                <w:sz w:val="22"/>
                <w:szCs w:val="22"/>
                <w:vertAlign w:val="superscript"/>
              </w:rPr>
              <w:footnoteReference w:id="36"/>
            </w:r>
          </w:p>
        </w:tc>
        <w:tc>
          <w:tcPr>
            <w:tcW w:w="0" w:type="auto"/>
            <w:noWrap/>
            <w:vAlign w:val="bottom"/>
            <w:hideMark/>
          </w:tcPr>
          <w:p w14:paraId="17023733"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1,393</w:t>
            </w:r>
          </w:p>
        </w:tc>
        <w:tc>
          <w:tcPr>
            <w:tcW w:w="0" w:type="auto"/>
            <w:noWrap/>
            <w:vAlign w:val="bottom"/>
            <w:hideMark/>
          </w:tcPr>
          <w:p w14:paraId="4B0C6CDA"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9%</w:t>
            </w:r>
          </w:p>
        </w:tc>
      </w:tr>
      <w:tr w:rsidR="00BD6DDA" w:rsidRPr="00617F96" w14:paraId="4AD34716" w14:textId="77777777" w:rsidTr="0057591C">
        <w:trPr>
          <w:cantSplit/>
          <w:trHeight w:val="290"/>
        </w:trPr>
        <w:tc>
          <w:tcPr>
            <w:tcW w:w="0" w:type="auto"/>
            <w:noWrap/>
            <w:vAlign w:val="bottom"/>
            <w:hideMark/>
          </w:tcPr>
          <w:p w14:paraId="6B6D29EF"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Hispanic or Latino</w:t>
            </w:r>
          </w:p>
        </w:tc>
        <w:tc>
          <w:tcPr>
            <w:tcW w:w="0" w:type="auto"/>
            <w:noWrap/>
            <w:vAlign w:val="bottom"/>
            <w:hideMark/>
          </w:tcPr>
          <w:p w14:paraId="55EEB893"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131</w:t>
            </w:r>
          </w:p>
        </w:tc>
        <w:tc>
          <w:tcPr>
            <w:tcW w:w="0" w:type="auto"/>
            <w:noWrap/>
            <w:vAlign w:val="bottom"/>
            <w:hideMark/>
          </w:tcPr>
          <w:p w14:paraId="422BB7E5"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4%</w:t>
            </w:r>
          </w:p>
        </w:tc>
        <w:tc>
          <w:tcPr>
            <w:tcW w:w="0" w:type="auto"/>
            <w:noWrap/>
            <w:vAlign w:val="bottom"/>
            <w:hideMark/>
          </w:tcPr>
          <w:p w14:paraId="3C3A5286"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Hispanic or Latino</w:t>
            </w:r>
          </w:p>
        </w:tc>
        <w:tc>
          <w:tcPr>
            <w:tcW w:w="0" w:type="auto"/>
            <w:noWrap/>
            <w:vAlign w:val="bottom"/>
            <w:hideMark/>
          </w:tcPr>
          <w:p w14:paraId="247CA62A"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677</w:t>
            </w:r>
          </w:p>
        </w:tc>
        <w:tc>
          <w:tcPr>
            <w:tcW w:w="0" w:type="auto"/>
            <w:noWrap/>
            <w:vAlign w:val="bottom"/>
            <w:hideMark/>
          </w:tcPr>
          <w:p w14:paraId="5CFF57AC"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4%</w:t>
            </w:r>
          </w:p>
        </w:tc>
      </w:tr>
      <w:tr w:rsidR="00BD6DDA" w:rsidRPr="00617F96" w14:paraId="54C509E2" w14:textId="77777777" w:rsidTr="0057591C">
        <w:trPr>
          <w:cantSplit/>
          <w:trHeight w:val="290"/>
        </w:trPr>
        <w:tc>
          <w:tcPr>
            <w:tcW w:w="0" w:type="auto"/>
            <w:noWrap/>
            <w:vAlign w:val="bottom"/>
            <w:hideMark/>
          </w:tcPr>
          <w:p w14:paraId="265AFC86"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Asian, Non-Hispanic or Latino</w:t>
            </w:r>
          </w:p>
        </w:tc>
        <w:tc>
          <w:tcPr>
            <w:tcW w:w="0" w:type="auto"/>
            <w:noWrap/>
            <w:vAlign w:val="bottom"/>
            <w:hideMark/>
          </w:tcPr>
          <w:p w14:paraId="0B9658E1"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114</w:t>
            </w:r>
          </w:p>
        </w:tc>
        <w:tc>
          <w:tcPr>
            <w:tcW w:w="0" w:type="auto"/>
            <w:noWrap/>
            <w:vAlign w:val="bottom"/>
            <w:hideMark/>
          </w:tcPr>
          <w:p w14:paraId="21DC6C0F"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4%</w:t>
            </w:r>
          </w:p>
        </w:tc>
        <w:tc>
          <w:tcPr>
            <w:tcW w:w="0" w:type="auto"/>
            <w:noWrap/>
            <w:vAlign w:val="bottom"/>
            <w:hideMark/>
          </w:tcPr>
          <w:p w14:paraId="0E9BDD29"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Asian, Non-Hispanic or Latino</w:t>
            </w:r>
          </w:p>
        </w:tc>
        <w:tc>
          <w:tcPr>
            <w:tcW w:w="0" w:type="auto"/>
            <w:noWrap/>
            <w:vAlign w:val="bottom"/>
            <w:hideMark/>
          </w:tcPr>
          <w:p w14:paraId="0C801B9B"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652</w:t>
            </w:r>
          </w:p>
        </w:tc>
        <w:tc>
          <w:tcPr>
            <w:tcW w:w="0" w:type="auto"/>
            <w:noWrap/>
            <w:vAlign w:val="bottom"/>
            <w:hideMark/>
          </w:tcPr>
          <w:p w14:paraId="29AFB525"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4%</w:t>
            </w:r>
          </w:p>
        </w:tc>
      </w:tr>
      <w:tr w:rsidR="00BD6DDA" w:rsidRPr="00617F96" w14:paraId="0BD46255" w14:textId="77777777" w:rsidTr="0057591C">
        <w:trPr>
          <w:cantSplit/>
          <w:trHeight w:val="290"/>
        </w:trPr>
        <w:tc>
          <w:tcPr>
            <w:tcW w:w="0" w:type="auto"/>
            <w:noWrap/>
            <w:vAlign w:val="bottom"/>
            <w:hideMark/>
          </w:tcPr>
          <w:p w14:paraId="2618FAD8"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Black or African-American</w:t>
            </w:r>
          </w:p>
        </w:tc>
        <w:tc>
          <w:tcPr>
            <w:tcW w:w="0" w:type="auto"/>
            <w:noWrap/>
            <w:vAlign w:val="bottom"/>
            <w:hideMark/>
          </w:tcPr>
          <w:p w14:paraId="275BFED8"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108</w:t>
            </w:r>
          </w:p>
        </w:tc>
        <w:tc>
          <w:tcPr>
            <w:tcW w:w="0" w:type="auto"/>
            <w:noWrap/>
            <w:vAlign w:val="bottom"/>
            <w:hideMark/>
          </w:tcPr>
          <w:p w14:paraId="0F4C7E29"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3%</w:t>
            </w:r>
          </w:p>
        </w:tc>
        <w:tc>
          <w:tcPr>
            <w:tcW w:w="0" w:type="auto"/>
            <w:noWrap/>
            <w:vAlign w:val="bottom"/>
            <w:hideMark/>
          </w:tcPr>
          <w:p w14:paraId="3D88381F"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Black or African-American</w:t>
            </w:r>
          </w:p>
        </w:tc>
        <w:tc>
          <w:tcPr>
            <w:tcW w:w="0" w:type="auto"/>
            <w:noWrap/>
            <w:vAlign w:val="bottom"/>
            <w:hideMark/>
          </w:tcPr>
          <w:p w14:paraId="2DDDCABD"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549</w:t>
            </w:r>
          </w:p>
        </w:tc>
        <w:tc>
          <w:tcPr>
            <w:tcW w:w="0" w:type="auto"/>
            <w:noWrap/>
            <w:vAlign w:val="bottom"/>
            <w:hideMark/>
          </w:tcPr>
          <w:p w14:paraId="30B78775"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4%</w:t>
            </w:r>
          </w:p>
        </w:tc>
      </w:tr>
      <w:tr w:rsidR="00BD6DDA" w:rsidRPr="00617F96" w14:paraId="609331AB" w14:textId="77777777" w:rsidTr="0057591C">
        <w:trPr>
          <w:cantSplit/>
          <w:trHeight w:val="290"/>
        </w:trPr>
        <w:tc>
          <w:tcPr>
            <w:tcW w:w="0" w:type="auto"/>
            <w:noWrap/>
            <w:vAlign w:val="bottom"/>
            <w:hideMark/>
          </w:tcPr>
          <w:p w14:paraId="6DCD0DA6"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Multiracial, Non-Hispanic</w:t>
            </w:r>
          </w:p>
        </w:tc>
        <w:tc>
          <w:tcPr>
            <w:tcW w:w="0" w:type="auto"/>
            <w:noWrap/>
            <w:vAlign w:val="bottom"/>
            <w:hideMark/>
          </w:tcPr>
          <w:p w14:paraId="6E91910A"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49</w:t>
            </w:r>
          </w:p>
        </w:tc>
        <w:tc>
          <w:tcPr>
            <w:tcW w:w="0" w:type="auto"/>
            <w:noWrap/>
            <w:vAlign w:val="bottom"/>
            <w:hideMark/>
          </w:tcPr>
          <w:p w14:paraId="617610A9"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w:t>
            </w:r>
          </w:p>
        </w:tc>
        <w:tc>
          <w:tcPr>
            <w:tcW w:w="0" w:type="auto"/>
            <w:noWrap/>
            <w:vAlign w:val="bottom"/>
            <w:hideMark/>
          </w:tcPr>
          <w:p w14:paraId="44F917E1"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Multiracial, Non-Hispanic</w:t>
            </w:r>
          </w:p>
        </w:tc>
        <w:tc>
          <w:tcPr>
            <w:tcW w:w="0" w:type="auto"/>
            <w:noWrap/>
            <w:vAlign w:val="bottom"/>
            <w:hideMark/>
          </w:tcPr>
          <w:p w14:paraId="2315E96F"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211</w:t>
            </w:r>
          </w:p>
        </w:tc>
        <w:tc>
          <w:tcPr>
            <w:tcW w:w="0" w:type="auto"/>
            <w:noWrap/>
            <w:vAlign w:val="bottom"/>
            <w:hideMark/>
          </w:tcPr>
          <w:p w14:paraId="1AA900DF"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w:t>
            </w:r>
          </w:p>
        </w:tc>
      </w:tr>
      <w:tr w:rsidR="00BD6DDA" w:rsidRPr="00617F96" w14:paraId="6C6BCFB0" w14:textId="77777777" w:rsidTr="0057591C">
        <w:trPr>
          <w:cantSplit/>
          <w:trHeight w:val="290"/>
        </w:trPr>
        <w:tc>
          <w:tcPr>
            <w:tcW w:w="0" w:type="auto"/>
            <w:shd w:val="clear" w:color="auto" w:fill="F2F2F2" w:themeFill="background1" w:themeFillShade="F2"/>
            <w:noWrap/>
            <w:vAlign w:val="bottom"/>
            <w:hideMark/>
          </w:tcPr>
          <w:p w14:paraId="3D83A137" w14:textId="37F2F70E" w:rsidR="00BD6DDA" w:rsidRPr="00617F96" w:rsidRDefault="00BD6DDA" w:rsidP="00BD6DDA">
            <w:pPr>
              <w:widowControl/>
              <w:autoSpaceDE/>
              <w:autoSpaceDN/>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Geography</w:t>
            </w:r>
            <w:r w:rsidRPr="00617F96">
              <w:rPr>
                <w:rFonts w:asciiTheme="minorHAnsi" w:eastAsia="Times New Roman" w:hAnsiTheme="minorHAnsi"/>
                <w:b/>
                <w:bCs/>
                <w:color w:val="000000"/>
                <w:sz w:val="22"/>
                <w:szCs w:val="22"/>
                <w:vertAlign w:val="superscript"/>
              </w:rPr>
              <w:footnoteReference w:id="37"/>
            </w:r>
          </w:p>
        </w:tc>
        <w:tc>
          <w:tcPr>
            <w:tcW w:w="0" w:type="auto"/>
            <w:shd w:val="clear" w:color="auto" w:fill="F2F2F2" w:themeFill="background1" w:themeFillShade="F2"/>
            <w:noWrap/>
            <w:vAlign w:val="bottom"/>
            <w:hideMark/>
          </w:tcPr>
          <w:p w14:paraId="7DCC987D" w14:textId="42D4DF65" w:rsidR="00BD6DDA" w:rsidRPr="00617F96" w:rsidRDefault="00BD6DDA" w:rsidP="00BD6DDA">
            <w:pPr>
              <w:widowControl/>
              <w:autoSpaceDE/>
              <w:autoSpaceDN/>
              <w:jc w:val="center"/>
              <w:rPr>
                <w:rFonts w:asciiTheme="minorHAnsi" w:eastAsia="Times New Roman" w:hAnsiTheme="minorHAnsi"/>
                <w:b/>
                <w:bCs/>
                <w:color w:val="000000"/>
                <w:sz w:val="22"/>
                <w:szCs w:val="22"/>
              </w:rPr>
            </w:pPr>
          </w:p>
        </w:tc>
        <w:tc>
          <w:tcPr>
            <w:tcW w:w="0" w:type="auto"/>
            <w:shd w:val="clear" w:color="auto" w:fill="F2F2F2" w:themeFill="background1" w:themeFillShade="F2"/>
            <w:noWrap/>
            <w:vAlign w:val="bottom"/>
            <w:hideMark/>
          </w:tcPr>
          <w:p w14:paraId="2D02E7A0" w14:textId="7B8AF197" w:rsidR="00BD6DDA" w:rsidRPr="00617F96" w:rsidRDefault="00BD6DDA" w:rsidP="00BD6DDA">
            <w:pPr>
              <w:widowControl/>
              <w:autoSpaceDE/>
              <w:autoSpaceDN/>
              <w:jc w:val="center"/>
              <w:rPr>
                <w:rFonts w:asciiTheme="minorHAnsi" w:eastAsia="Times New Roman" w:hAnsiTheme="minorHAnsi"/>
                <w:b/>
                <w:bCs/>
                <w:color w:val="000000"/>
                <w:sz w:val="22"/>
                <w:szCs w:val="22"/>
              </w:rPr>
            </w:pPr>
          </w:p>
        </w:tc>
        <w:tc>
          <w:tcPr>
            <w:tcW w:w="0" w:type="auto"/>
            <w:shd w:val="clear" w:color="auto" w:fill="F2F2F2" w:themeFill="background1" w:themeFillShade="F2"/>
            <w:noWrap/>
            <w:vAlign w:val="bottom"/>
            <w:hideMark/>
          </w:tcPr>
          <w:p w14:paraId="42246D82" w14:textId="49A43077" w:rsidR="00BD6DDA" w:rsidRPr="00617F96" w:rsidRDefault="00BD6DDA" w:rsidP="00BD6DDA">
            <w:pPr>
              <w:widowControl/>
              <w:autoSpaceDE/>
              <w:autoSpaceDN/>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Geography</w:t>
            </w:r>
            <w:r w:rsidRPr="00617F96">
              <w:rPr>
                <w:rFonts w:asciiTheme="minorHAnsi" w:eastAsia="Times New Roman" w:hAnsiTheme="minorHAnsi"/>
                <w:b/>
                <w:bCs/>
                <w:color w:val="000000"/>
                <w:sz w:val="22"/>
                <w:szCs w:val="22"/>
                <w:vertAlign w:val="superscript"/>
              </w:rPr>
              <w:footnoteReference w:id="38"/>
            </w:r>
          </w:p>
        </w:tc>
        <w:tc>
          <w:tcPr>
            <w:tcW w:w="0" w:type="auto"/>
            <w:shd w:val="clear" w:color="auto" w:fill="F2F2F2" w:themeFill="background1" w:themeFillShade="F2"/>
            <w:noWrap/>
            <w:vAlign w:val="bottom"/>
            <w:hideMark/>
          </w:tcPr>
          <w:p w14:paraId="0A89EF1E" w14:textId="2204AF0F" w:rsidR="00BD6DDA" w:rsidRPr="00617F96" w:rsidRDefault="00BD6DDA" w:rsidP="00BD6DDA">
            <w:pPr>
              <w:widowControl/>
              <w:autoSpaceDE/>
              <w:autoSpaceDN/>
              <w:jc w:val="center"/>
              <w:rPr>
                <w:rFonts w:asciiTheme="minorHAnsi" w:eastAsia="Times New Roman" w:hAnsiTheme="minorHAnsi"/>
                <w:b/>
                <w:bCs/>
                <w:color w:val="000000"/>
                <w:sz w:val="22"/>
                <w:szCs w:val="22"/>
              </w:rPr>
            </w:pPr>
          </w:p>
        </w:tc>
        <w:tc>
          <w:tcPr>
            <w:tcW w:w="0" w:type="auto"/>
            <w:shd w:val="clear" w:color="auto" w:fill="F2F2F2" w:themeFill="background1" w:themeFillShade="F2"/>
            <w:noWrap/>
            <w:vAlign w:val="bottom"/>
            <w:hideMark/>
          </w:tcPr>
          <w:p w14:paraId="68A71209" w14:textId="28BC98CF" w:rsidR="00BD6DDA" w:rsidRPr="00617F96" w:rsidRDefault="00BD6DDA" w:rsidP="00BD6DDA">
            <w:pPr>
              <w:widowControl/>
              <w:autoSpaceDE/>
              <w:autoSpaceDN/>
              <w:jc w:val="center"/>
              <w:rPr>
                <w:rFonts w:asciiTheme="minorHAnsi" w:eastAsia="Times New Roman" w:hAnsiTheme="minorHAnsi"/>
                <w:b/>
                <w:bCs/>
                <w:color w:val="000000"/>
                <w:sz w:val="22"/>
                <w:szCs w:val="22"/>
              </w:rPr>
            </w:pPr>
          </w:p>
        </w:tc>
      </w:tr>
      <w:tr w:rsidR="00BD6DDA" w:rsidRPr="00617F96" w14:paraId="08E86E0E" w14:textId="77777777" w:rsidTr="0057591C">
        <w:trPr>
          <w:cantSplit/>
          <w:trHeight w:val="290"/>
        </w:trPr>
        <w:tc>
          <w:tcPr>
            <w:tcW w:w="0" w:type="auto"/>
            <w:noWrap/>
            <w:vAlign w:val="bottom"/>
            <w:hideMark/>
          </w:tcPr>
          <w:p w14:paraId="7F0B8CC4"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Middlesex</w:t>
            </w:r>
          </w:p>
        </w:tc>
        <w:tc>
          <w:tcPr>
            <w:tcW w:w="0" w:type="auto"/>
            <w:noWrap/>
            <w:vAlign w:val="bottom"/>
            <w:hideMark/>
          </w:tcPr>
          <w:p w14:paraId="792448E4"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371</w:t>
            </w:r>
          </w:p>
        </w:tc>
        <w:tc>
          <w:tcPr>
            <w:tcW w:w="0" w:type="auto"/>
            <w:noWrap/>
            <w:vAlign w:val="bottom"/>
            <w:hideMark/>
          </w:tcPr>
          <w:p w14:paraId="000D3F41"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12%</w:t>
            </w:r>
          </w:p>
        </w:tc>
        <w:tc>
          <w:tcPr>
            <w:tcW w:w="0" w:type="auto"/>
            <w:noWrap/>
            <w:vAlign w:val="bottom"/>
            <w:hideMark/>
          </w:tcPr>
          <w:p w14:paraId="18F552E5"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Norfolk</w:t>
            </w:r>
          </w:p>
        </w:tc>
        <w:tc>
          <w:tcPr>
            <w:tcW w:w="0" w:type="auto"/>
            <w:noWrap/>
            <w:vAlign w:val="bottom"/>
            <w:hideMark/>
          </w:tcPr>
          <w:p w14:paraId="1679DCC6"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1,944</w:t>
            </w:r>
          </w:p>
        </w:tc>
        <w:tc>
          <w:tcPr>
            <w:tcW w:w="0" w:type="auto"/>
            <w:noWrap/>
            <w:vAlign w:val="bottom"/>
            <w:hideMark/>
          </w:tcPr>
          <w:p w14:paraId="5C176772"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13%</w:t>
            </w:r>
          </w:p>
        </w:tc>
      </w:tr>
      <w:tr w:rsidR="00BD6DDA" w:rsidRPr="00617F96" w14:paraId="470BA826" w14:textId="77777777" w:rsidTr="0057591C">
        <w:trPr>
          <w:cantSplit/>
          <w:trHeight w:val="290"/>
        </w:trPr>
        <w:tc>
          <w:tcPr>
            <w:tcW w:w="0" w:type="auto"/>
            <w:noWrap/>
            <w:vAlign w:val="bottom"/>
            <w:hideMark/>
          </w:tcPr>
          <w:p w14:paraId="57D2D717"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lastRenderedPageBreak/>
              <w:t>Norfolk</w:t>
            </w:r>
          </w:p>
        </w:tc>
        <w:tc>
          <w:tcPr>
            <w:tcW w:w="0" w:type="auto"/>
            <w:noWrap/>
            <w:vAlign w:val="bottom"/>
            <w:hideMark/>
          </w:tcPr>
          <w:p w14:paraId="4E927C8C"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309</w:t>
            </w:r>
          </w:p>
        </w:tc>
        <w:tc>
          <w:tcPr>
            <w:tcW w:w="0" w:type="auto"/>
            <w:noWrap/>
            <w:vAlign w:val="bottom"/>
            <w:hideMark/>
          </w:tcPr>
          <w:p w14:paraId="64C0F5FA"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10%</w:t>
            </w:r>
          </w:p>
        </w:tc>
        <w:tc>
          <w:tcPr>
            <w:tcW w:w="0" w:type="auto"/>
            <w:noWrap/>
            <w:vAlign w:val="bottom"/>
            <w:hideMark/>
          </w:tcPr>
          <w:p w14:paraId="51D3995D"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Middlesex</w:t>
            </w:r>
          </w:p>
        </w:tc>
        <w:tc>
          <w:tcPr>
            <w:tcW w:w="0" w:type="auto"/>
            <w:noWrap/>
            <w:vAlign w:val="bottom"/>
            <w:hideMark/>
          </w:tcPr>
          <w:p w14:paraId="3DAF70AF"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1,891</w:t>
            </w:r>
          </w:p>
        </w:tc>
        <w:tc>
          <w:tcPr>
            <w:tcW w:w="0" w:type="auto"/>
            <w:noWrap/>
            <w:vAlign w:val="bottom"/>
            <w:hideMark/>
          </w:tcPr>
          <w:p w14:paraId="0E82B2A2"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13%</w:t>
            </w:r>
          </w:p>
        </w:tc>
      </w:tr>
      <w:tr w:rsidR="00BD6DDA" w:rsidRPr="00617F96" w14:paraId="1D5A9C50" w14:textId="77777777" w:rsidTr="0057591C">
        <w:trPr>
          <w:cantSplit/>
          <w:trHeight w:val="290"/>
        </w:trPr>
        <w:tc>
          <w:tcPr>
            <w:tcW w:w="0" w:type="auto"/>
            <w:noWrap/>
            <w:vAlign w:val="bottom"/>
            <w:hideMark/>
          </w:tcPr>
          <w:p w14:paraId="253E9598"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Plymouth</w:t>
            </w:r>
          </w:p>
        </w:tc>
        <w:tc>
          <w:tcPr>
            <w:tcW w:w="0" w:type="auto"/>
            <w:noWrap/>
            <w:vAlign w:val="bottom"/>
            <w:hideMark/>
          </w:tcPr>
          <w:p w14:paraId="6CFDAF40"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259</w:t>
            </w:r>
          </w:p>
        </w:tc>
        <w:tc>
          <w:tcPr>
            <w:tcW w:w="0" w:type="auto"/>
            <w:noWrap/>
            <w:vAlign w:val="bottom"/>
            <w:hideMark/>
          </w:tcPr>
          <w:p w14:paraId="5B390B95"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8%</w:t>
            </w:r>
          </w:p>
        </w:tc>
        <w:tc>
          <w:tcPr>
            <w:tcW w:w="0" w:type="auto"/>
            <w:noWrap/>
            <w:vAlign w:val="bottom"/>
            <w:hideMark/>
          </w:tcPr>
          <w:p w14:paraId="214AFADF"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Plymouth</w:t>
            </w:r>
          </w:p>
        </w:tc>
        <w:tc>
          <w:tcPr>
            <w:tcW w:w="0" w:type="auto"/>
            <w:noWrap/>
            <w:vAlign w:val="bottom"/>
            <w:hideMark/>
          </w:tcPr>
          <w:p w14:paraId="54870637"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1,555</w:t>
            </w:r>
          </w:p>
        </w:tc>
        <w:tc>
          <w:tcPr>
            <w:tcW w:w="0" w:type="auto"/>
            <w:noWrap/>
            <w:vAlign w:val="bottom"/>
            <w:hideMark/>
          </w:tcPr>
          <w:p w14:paraId="5B065793"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10%</w:t>
            </w:r>
          </w:p>
        </w:tc>
      </w:tr>
      <w:tr w:rsidR="00BD6DDA" w:rsidRPr="00617F96" w14:paraId="2EF1B917" w14:textId="77777777" w:rsidTr="0057591C">
        <w:trPr>
          <w:cantSplit/>
          <w:trHeight w:val="290"/>
        </w:trPr>
        <w:tc>
          <w:tcPr>
            <w:tcW w:w="0" w:type="auto"/>
            <w:noWrap/>
            <w:vAlign w:val="bottom"/>
            <w:hideMark/>
          </w:tcPr>
          <w:p w14:paraId="382B70D8"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New Hampshire</w:t>
            </w:r>
          </w:p>
        </w:tc>
        <w:tc>
          <w:tcPr>
            <w:tcW w:w="0" w:type="auto"/>
            <w:noWrap/>
            <w:vAlign w:val="bottom"/>
            <w:hideMark/>
          </w:tcPr>
          <w:p w14:paraId="7594E8C1"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233</w:t>
            </w:r>
          </w:p>
        </w:tc>
        <w:tc>
          <w:tcPr>
            <w:tcW w:w="0" w:type="auto"/>
            <w:noWrap/>
            <w:vAlign w:val="bottom"/>
            <w:hideMark/>
          </w:tcPr>
          <w:p w14:paraId="6CB22F98"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7%</w:t>
            </w:r>
          </w:p>
        </w:tc>
        <w:tc>
          <w:tcPr>
            <w:tcW w:w="0" w:type="auto"/>
            <w:noWrap/>
            <w:vAlign w:val="bottom"/>
            <w:hideMark/>
          </w:tcPr>
          <w:p w14:paraId="387A5E6F"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New Hampshire</w:t>
            </w:r>
          </w:p>
        </w:tc>
        <w:tc>
          <w:tcPr>
            <w:tcW w:w="0" w:type="auto"/>
            <w:noWrap/>
            <w:vAlign w:val="bottom"/>
            <w:hideMark/>
          </w:tcPr>
          <w:p w14:paraId="4985AC47"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1,081</w:t>
            </w:r>
          </w:p>
        </w:tc>
        <w:tc>
          <w:tcPr>
            <w:tcW w:w="0" w:type="auto"/>
            <w:noWrap/>
            <w:vAlign w:val="bottom"/>
            <w:hideMark/>
          </w:tcPr>
          <w:p w14:paraId="282F0579"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7%</w:t>
            </w:r>
          </w:p>
        </w:tc>
      </w:tr>
      <w:tr w:rsidR="00BD6DDA" w:rsidRPr="00617F96" w14:paraId="5864B2E5" w14:textId="77777777" w:rsidTr="0057591C">
        <w:trPr>
          <w:cantSplit/>
          <w:trHeight w:val="290"/>
        </w:trPr>
        <w:tc>
          <w:tcPr>
            <w:tcW w:w="0" w:type="auto"/>
            <w:noWrap/>
            <w:vAlign w:val="bottom"/>
            <w:hideMark/>
          </w:tcPr>
          <w:p w14:paraId="0A5681CC"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Worcester</w:t>
            </w:r>
          </w:p>
        </w:tc>
        <w:tc>
          <w:tcPr>
            <w:tcW w:w="0" w:type="auto"/>
            <w:noWrap/>
            <w:vAlign w:val="bottom"/>
            <w:hideMark/>
          </w:tcPr>
          <w:p w14:paraId="33BE2BCD"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226</w:t>
            </w:r>
          </w:p>
        </w:tc>
        <w:tc>
          <w:tcPr>
            <w:tcW w:w="0" w:type="auto"/>
            <w:noWrap/>
            <w:vAlign w:val="bottom"/>
            <w:hideMark/>
          </w:tcPr>
          <w:p w14:paraId="21A33642"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7%</w:t>
            </w:r>
          </w:p>
        </w:tc>
        <w:tc>
          <w:tcPr>
            <w:tcW w:w="0" w:type="auto"/>
            <w:noWrap/>
            <w:vAlign w:val="bottom"/>
            <w:hideMark/>
          </w:tcPr>
          <w:p w14:paraId="0335A179"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Worcester</w:t>
            </w:r>
          </w:p>
        </w:tc>
        <w:tc>
          <w:tcPr>
            <w:tcW w:w="0" w:type="auto"/>
            <w:noWrap/>
            <w:vAlign w:val="bottom"/>
            <w:hideMark/>
          </w:tcPr>
          <w:p w14:paraId="3B805F8C"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1,064</w:t>
            </w:r>
          </w:p>
        </w:tc>
        <w:tc>
          <w:tcPr>
            <w:tcW w:w="0" w:type="auto"/>
            <w:noWrap/>
            <w:vAlign w:val="bottom"/>
            <w:hideMark/>
          </w:tcPr>
          <w:p w14:paraId="46DE475E"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7%</w:t>
            </w:r>
          </w:p>
        </w:tc>
      </w:tr>
      <w:tr w:rsidR="00BD6DDA" w:rsidRPr="00617F96" w14:paraId="60F0C351" w14:textId="77777777" w:rsidTr="0057591C">
        <w:trPr>
          <w:cantSplit/>
          <w:trHeight w:val="290"/>
        </w:trPr>
        <w:tc>
          <w:tcPr>
            <w:tcW w:w="0" w:type="auto"/>
            <w:noWrap/>
            <w:vAlign w:val="bottom"/>
            <w:hideMark/>
          </w:tcPr>
          <w:p w14:paraId="2A2FDB8D"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Maine</w:t>
            </w:r>
          </w:p>
        </w:tc>
        <w:tc>
          <w:tcPr>
            <w:tcW w:w="0" w:type="auto"/>
            <w:noWrap/>
            <w:vAlign w:val="bottom"/>
            <w:hideMark/>
          </w:tcPr>
          <w:p w14:paraId="09067A55"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192</w:t>
            </w:r>
          </w:p>
        </w:tc>
        <w:tc>
          <w:tcPr>
            <w:tcW w:w="0" w:type="auto"/>
            <w:noWrap/>
            <w:vAlign w:val="bottom"/>
            <w:hideMark/>
          </w:tcPr>
          <w:p w14:paraId="588FB4A4"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6%</w:t>
            </w:r>
          </w:p>
        </w:tc>
        <w:tc>
          <w:tcPr>
            <w:tcW w:w="0" w:type="auto"/>
            <w:noWrap/>
            <w:vAlign w:val="bottom"/>
            <w:hideMark/>
          </w:tcPr>
          <w:p w14:paraId="75C0A354"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Suffolk</w:t>
            </w:r>
          </w:p>
        </w:tc>
        <w:tc>
          <w:tcPr>
            <w:tcW w:w="0" w:type="auto"/>
            <w:noWrap/>
            <w:vAlign w:val="bottom"/>
            <w:hideMark/>
          </w:tcPr>
          <w:p w14:paraId="7A46CA45"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937</w:t>
            </w:r>
          </w:p>
        </w:tc>
        <w:tc>
          <w:tcPr>
            <w:tcW w:w="0" w:type="auto"/>
            <w:noWrap/>
            <w:vAlign w:val="bottom"/>
            <w:hideMark/>
          </w:tcPr>
          <w:p w14:paraId="08CAA38B"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6%</w:t>
            </w:r>
          </w:p>
        </w:tc>
      </w:tr>
      <w:tr w:rsidR="00BD6DDA" w:rsidRPr="00617F96" w14:paraId="1732074D" w14:textId="77777777" w:rsidTr="0057591C">
        <w:trPr>
          <w:cantSplit/>
          <w:trHeight w:val="290"/>
        </w:trPr>
        <w:tc>
          <w:tcPr>
            <w:tcW w:w="0" w:type="auto"/>
            <w:noWrap/>
            <w:vAlign w:val="bottom"/>
            <w:hideMark/>
          </w:tcPr>
          <w:p w14:paraId="0F81E0A2"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Essex</w:t>
            </w:r>
          </w:p>
        </w:tc>
        <w:tc>
          <w:tcPr>
            <w:tcW w:w="0" w:type="auto"/>
            <w:noWrap/>
            <w:vAlign w:val="bottom"/>
            <w:hideMark/>
          </w:tcPr>
          <w:p w14:paraId="0493510A"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184</w:t>
            </w:r>
          </w:p>
        </w:tc>
        <w:tc>
          <w:tcPr>
            <w:tcW w:w="0" w:type="auto"/>
            <w:noWrap/>
            <w:vAlign w:val="bottom"/>
            <w:hideMark/>
          </w:tcPr>
          <w:p w14:paraId="2298AA3A"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6%</w:t>
            </w:r>
          </w:p>
        </w:tc>
        <w:tc>
          <w:tcPr>
            <w:tcW w:w="0" w:type="auto"/>
            <w:noWrap/>
            <w:vAlign w:val="bottom"/>
            <w:hideMark/>
          </w:tcPr>
          <w:p w14:paraId="55E4C619"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Essex</w:t>
            </w:r>
          </w:p>
        </w:tc>
        <w:tc>
          <w:tcPr>
            <w:tcW w:w="0" w:type="auto"/>
            <w:noWrap/>
            <w:vAlign w:val="bottom"/>
            <w:hideMark/>
          </w:tcPr>
          <w:p w14:paraId="44908785"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918</w:t>
            </w:r>
          </w:p>
        </w:tc>
        <w:tc>
          <w:tcPr>
            <w:tcW w:w="0" w:type="auto"/>
            <w:noWrap/>
            <w:vAlign w:val="bottom"/>
            <w:hideMark/>
          </w:tcPr>
          <w:p w14:paraId="77ABDC5E"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6%</w:t>
            </w:r>
          </w:p>
        </w:tc>
      </w:tr>
      <w:tr w:rsidR="00BD6DDA" w:rsidRPr="00617F96" w14:paraId="00C71A9C" w14:textId="77777777" w:rsidTr="0057591C">
        <w:trPr>
          <w:cantSplit/>
          <w:trHeight w:val="290"/>
        </w:trPr>
        <w:tc>
          <w:tcPr>
            <w:tcW w:w="0" w:type="auto"/>
            <w:noWrap/>
            <w:vAlign w:val="bottom"/>
            <w:hideMark/>
          </w:tcPr>
          <w:p w14:paraId="754EBFE7"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Bristol</w:t>
            </w:r>
          </w:p>
        </w:tc>
        <w:tc>
          <w:tcPr>
            <w:tcW w:w="0" w:type="auto"/>
            <w:noWrap/>
            <w:vAlign w:val="bottom"/>
            <w:hideMark/>
          </w:tcPr>
          <w:p w14:paraId="69250431"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166</w:t>
            </w:r>
          </w:p>
        </w:tc>
        <w:tc>
          <w:tcPr>
            <w:tcW w:w="0" w:type="auto"/>
            <w:noWrap/>
            <w:vAlign w:val="bottom"/>
            <w:hideMark/>
          </w:tcPr>
          <w:p w14:paraId="4C1EAEA1"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5%</w:t>
            </w:r>
          </w:p>
        </w:tc>
        <w:tc>
          <w:tcPr>
            <w:tcW w:w="0" w:type="auto"/>
            <w:noWrap/>
            <w:vAlign w:val="bottom"/>
            <w:hideMark/>
          </w:tcPr>
          <w:p w14:paraId="348C5185"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Bristol</w:t>
            </w:r>
          </w:p>
        </w:tc>
        <w:tc>
          <w:tcPr>
            <w:tcW w:w="0" w:type="auto"/>
            <w:noWrap/>
            <w:vAlign w:val="bottom"/>
            <w:hideMark/>
          </w:tcPr>
          <w:p w14:paraId="06203024"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813</w:t>
            </w:r>
          </w:p>
        </w:tc>
        <w:tc>
          <w:tcPr>
            <w:tcW w:w="0" w:type="auto"/>
            <w:noWrap/>
            <w:vAlign w:val="bottom"/>
            <w:hideMark/>
          </w:tcPr>
          <w:p w14:paraId="1BE379DF"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5%</w:t>
            </w:r>
          </w:p>
        </w:tc>
      </w:tr>
      <w:tr w:rsidR="00BD6DDA" w:rsidRPr="00617F96" w14:paraId="6527C42A" w14:textId="77777777" w:rsidTr="0057591C">
        <w:trPr>
          <w:cantSplit/>
          <w:trHeight w:val="290"/>
        </w:trPr>
        <w:tc>
          <w:tcPr>
            <w:tcW w:w="0" w:type="auto"/>
            <w:noWrap/>
            <w:vAlign w:val="bottom"/>
            <w:hideMark/>
          </w:tcPr>
          <w:p w14:paraId="715487CB"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Suffolk</w:t>
            </w:r>
          </w:p>
        </w:tc>
        <w:tc>
          <w:tcPr>
            <w:tcW w:w="0" w:type="auto"/>
            <w:noWrap/>
            <w:vAlign w:val="bottom"/>
            <w:hideMark/>
          </w:tcPr>
          <w:p w14:paraId="52EA6EA2"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159</w:t>
            </w:r>
          </w:p>
        </w:tc>
        <w:tc>
          <w:tcPr>
            <w:tcW w:w="0" w:type="auto"/>
            <w:noWrap/>
            <w:vAlign w:val="bottom"/>
            <w:hideMark/>
          </w:tcPr>
          <w:p w14:paraId="06A313D9"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5%</w:t>
            </w:r>
          </w:p>
        </w:tc>
        <w:tc>
          <w:tcPr>
            <w:tcW w:w="0" w:type="auto"/>
            <w:noWrap/>
            <w:vAlign w:val="bottom"/>
            <w:hideMark/>
          </w:tcPr>
          <w:p w14:paraId="783D5300"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Rhode Island</w:t>
            </w:r>
          </w:p>
        </w:tc>
        <w:tc>
          <w:tcPr>
            <w:tcW w:w="0" w:type="auto"/>
            <w:noWrap/>
            <w:vAlign w:val="bottom"/>
            <w:hideMark/>
          </w:tcPr>
          <w:p w14:paraId="63A60D5A"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673</w:t>
            </w:r>
          </w:p>
        </w:tc>
        <w:tc>
          <w:tcPr>
            <w:tcW w:w="0" w:type="auto"/>
            <w:noWrap/>
            <w:vAlign w:val="bottom"/>
            <w:hideMark/>
          </w:tcPr>
          <w:p w14:paraId="745B1454"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4%</w:t>
            </w:r>
          </w:p>
        </w:tc>
      </w:tr>
      <w:tr w:rsidR="00BD6DDA" w:rsidRPr="00617F96" w14:paraId="5DCA24BB" w14:textId="77777777" w:rsidTr="0057591C">
        <w:trPr>
          <w:cantSplit/>
          <w:trHeight w:val="290"/>
        </w:trPr>
        <w:tc>
          <w:tcPr>
            <w:tcW w:w="0" w:type="auto"/>
            <w:noWrap/>
            <w:vAlign w:val="bottom"/>
            <w:hideMark/>
          </w:tcPr>
          <w:p w14:paraId="419D5D98"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New York</w:t>
            </w:r>
          </w:p>
        </w:tc>
        <w:tc>
          <w:tcPr>
            <w:tcW w:w="0" w:type="auto"/>
            <w:noWrap/>
            <w:vAlign w:val="bottom"/>
            <w:hideMark/>
          </w:tcPr>
          <w:p w14:paraId="4D1C5DFE"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153</w:t>
            </w:r>
          </w:p>
        </w:tc>
        <w:tc>
          <w:tcPr>
            <w:tcW w:w="0" w:type="auto"/>
            <w:noWrap/>
            <w:vAlign w:val="bottom"/>
            <w:hideMark/>
          </w:tcPr>
          <w:p w14:paraId="544EC7F1"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5%</w:t>
            </w:r>
          </w:p>
        </w:tc>
        <w:tc>
          <w:tcPr>
            <w:tcW w:w="0" w:type="auto"/>
            <w:noWrap/>
            <w:vAlign w:val="bottom"/>
            <w:hideMark/>
          </w:tcPr>
          <w:p w14:paraId="15F59540" w14:textId="77777777" w:rsidR="00BD6DDA" w:rsidRPr="00617F96" w:rsidRDefault="00BD6DDA" w:rsidP="00BD6DDA">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Maine</w:t>
            </w:r>
          </w:p>
        </w:tc>
        <w:tc>
          <w:tcPr>
            <w:tcW w:w="0" w:type="auto"/>
            <w:noWrap/>
            <w:vAlign w:val="bottom"/>
            <w:hideMark/>
          </w:tcPr>
          <w:p w14:paraId="096B7B9D"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620</w:t>
            </w:r>
          </w:p>
        </w:tc>
        <w:tc>
          <w:tcPr>
            <w:tcW w:w="0" w:type="auto"/>
            <w:noWrap/>
            <w:vAlign w:val="bottom"/>
            <w:hideMark/>
          </w:tcPr>
          <w:p w14:paraId="7B71F4D2" w14:textId="77777777" w:rsidR="00BD6DDA" w:rsidRPr="00617F96" w:rsidRDefault="00BD6DDA" w:rsidP="00BD6DDA">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4%</w:t>
            </w:r>
          </w:p>
        </w:tc>
      </w:tr>
    </w:tbl>
    <w:p w14:paraId="5EFD5A03" w14:textId="77777777" w:rsidR="00DE712A" w:rsidRDefault="00DE712A" w:rsidP="005368F9">
      <w:pPr>
        <w:rPr>
          <w:rFonts w:asciiTheme="minorHAnsi" w:hAnsiTheme="minorHAnsi"/>
          <w:szCs w:val="24"/>
        </w:rPr>
      </w:pPr>
    </w:p>
    <w:p w14:paraId="3D7153D0" w14:textId="3F372C96" w:rsidR="00B9320A" w:rsidRPr="00B9320A" w:rsidRDefault="00B9320A" w:rsidP="00B9320A">
      <w:pPr>
        <w:rPr>
          <w:rFonts w:asciiTheme="minorHAnsi" w:hAnsiTheme="minorHAnsi"/>
          <w:b/>
          <w:bCs/>
          <w:szCs w:val="24"/>
        </w:rPr>
      </w:pPr>
      <w:r>
        <w:rPr>
          <w:rFonts w:asciiTheme="minorHAnsi" w:hAnsiTheme="minorHAnsi"/>
          <w:b/>
          <w:bCs/>
          <w:szCs w:val="24"/>
          <w:u w:val="single"/>
        </w:rPr>
        <w:t>T</w:t>
      </w:r>
      <w:r w:rsidRPr="00B9320A">
        <w:rPr>
          <w:rFonts w:asciiTheme="minorHAnsi" w:hAnsiTheme="minorHAnsi"/>
          <w:b/>
          <w:bCs/>
          <w:szCs w:val="24"/>
          <w:u w:val="single"/>
        </w:rPr>
        <w:t xml:space="preserve">able </w:t>
      </w:r>
      <w:r w:rsidR="00617F96">
        <w:rPr>
          <w:rFonts w:asciiTheme="minorHAnsi" w:hAnsiTheme="minorHAnsi"/>
          <w:b/>
          <w:bCs/>
          <w:szCs w:val="24"/>
          <w:u w:val="single"/>
        </w:rPr>
        <w:t>1</w:t>
      </w:r>
      <w:r w:rsidR="00A967EF">
        <w:rPr>
          <w:rFonts w:asciiTheme="minorHAnsi" w:hAnsiTheme="minorHAnsi"/>
          <w:b/>
          <w:bCs/>
          <w:szCs w:val="24"/>
          <w:u w:val="single"/>
        </w:rPr>
        <w:t>4</w:t>
      </w:r>
      <w:r w:rsidRPr="00B9320A">
        <w:rPr>
          <w:rFonts w:asciiTheme="minorHAnsi" w:hAnsiTheme="minorHAnsi"/>
          <w:b/>
          <w:bCs/>
          <w:szCs w:val="24"/>
        </w:rPr>
        <w:t xml:space="preserve">: </w:t>
      </w:r>
      <w:r w:rsidR="00840CB8">
        <w:rPr>
          <w:rFonts w:asciiTheme="minorHAnsi" w:hAnsiTheme="minorHAnsi"/>
          <w:b/>
          <w:bCs/>
          <w:szCs w:val="24"/>
        </w:rPr>
        <w:t xml:space="preserve">DFCI </w:t>
      </w:r>
      <w:r w:rsidRPr="00B9320A">
        <w:rPr>
          <w:rFonts w:asciiTheme="minorHAnsi" w:hAnsiTheme="minorHAnsi"/>
          <w:b/>
          <w:bCs/>
          <w:szCs w:val="24"/>
        </w:rPr>
        <w:t xml:space="preserve">Adult Group 1 and Group 2 </w:t>
      </w:r>
      <w:r>
        <w:rPr>
          <w:rFonts w:asciiTheme="minorHAnsi" w:hAnsiTheme="minorHAnsi"/>
          <w:b/>
          <w:bCs/>
          <w:szCs w:val="24"/>
        </w:rPr>
        <w:t>Payer Mix</w:t>
      </w:r>
      <w:r w:rsidRPr="00B9320A">
        <w:rPr>
          <w:rFonts w:asciiTheme="minorHAnsi" w:hAnsiTheme="minorHAnsi"/>
          <w:b/>
          <w:bCs/>
          <w:szCs w:val="24"/>
        </w:rPr>
        <w:t>, FY24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951"/>
        <w:gridCol w:w="2329"/>
        <w:gridCol w:w="951"/>
      </w:tblGrid>
      <w:tr w:rsidR="00A907AE" w:rsidRPr="00617F96" w14:paraId="4EFA510C" w14:textId="77777777" w:rsidTr="00A907AE">
        <w:trPr>
          <w:cantSplit/>
          <w:trHeight w:val="290"/>
          <w:tblHeader/>
        </w:trPr>
        <w:tc>
          <w:tcPr>
            <w:tcW w:w="0" w:type="auto"/>
            <w:shd w:val="clear" w:color="auto" w:fill="DBE5F1" w:themeFill="accent1" w:themeFillTint="33"/>
            <w:noWrap/>
            <w:vAlign w:val="bottom"/>
            <w:hideMark/>
          </w:tcPr>
          <w:p w14:paraId="3B32CDF1" w14:textId="77777777" w:rsidR="00A907AE" w:rsidRPr="00617F96" w:rsidRDefault="00A907AE" w:rsidP="00A907AE">
            <w:pPr>
              <w:widowControl/>
              <w:autoSpaceDE/>
              <w:autoSpaceDN/>
              <w:jc w:val="center"/>
              <w:rPr>
                <w:rFonts w:eastAsia="Times New Roman" w:cs="Calibri"/>
                <w:b/>
                <w:bCs/>
                <w:color w:val="000000"/>
                <w:sz w:val="22"/>
                <w:szCs w:val="22"/>
              </w:rPr>
            </w:pPr>
            <w:r w:rsidRPr="00617F96">
              <w:rPr>
                <w:rFonts w:eastAsia="Times New Roman" w:cs="Calibri"/>
                <w:b/>
                <w:bCs/>
                <w:color w:val="000000"/>
                <w:sz w:val="22"/>
                <w:szCs w:val="22"/>
              </w:rPr>
              <w:t>Group 1</w:t>
            </w:r>
          </w:p>
        </w:tc>
        <w:tc>
          <w:tcPr>
            <w:tcW w:w="0" w:type="auto"/>
            <w:shd w:val="clear" w:color="auto" w:fill="DBE5F1" w:themeFill="accent1" w:themeFillTint="33"/>
            <w:vAlign w:val="bottom"/>
          </w:tcPr>
          <w:p w14:paraId="685B9096" w14:textId="3F814F78" w:rsidR="00A907AE" w:rsidRPr="00617F96" w:rsidRDefault="00A907AE" w:rsidP="00A907AE">
            <w:pPr>
              <w:widowControl/>
              <w:autoSpaceDE/>
              <w:autoSpaceDN/>
              <w:jc w:val="center"/>
              <w:rPr>
                <w:rFonts w:eastAsia="Times New Roman" w:cs="Calibri"/>
                <w:b/>
                <w:bCs/>
                <w:color w:val="000000"/>
                <w:sz w:val="22"/>
                <w:szCs w:val="22"/>
              </w:rPr>
            </w:pPr>
            <w:r w:rsidRPr="00617F96">
              <w:rPr>
                <w:rFonts w:eastAsia="Times New Roman" w:cs="Calibri"/>
                <w:b/>
                <w:bCs/>
                <w:color w:val="000000"/>
                <w:sz w:val="22"/>
                <w:szCs w:val="22"/>
              </w:rPr>
              <w:t>Group 1</w:t>
            </w:r>
          </w:p>
        </w:tc>
        <w:tc>
          <w:tcPr>
            <w:tcW w:w="0" w:type="auto"/>
            <w:shd w:val="clear" w:color="auto" w:fill="DBE5F1" w:themeFill="accent1" w:themeFillTint="33"/>
            <w:noWrap/>
            <w:vAlign w:val="bottom"/>
            <w:hideMark/>
          </w:tcPr>
          <w:p w14:paraId="3252E768" w14:textId="77777777" w:rsidR="00A907AE" w:rsidRPr="00617F96" w:rsidRDefault="00A907AE" w:rsidP="00A907AE">
            <w:pPr>
              <w:widowControl/>
              <w:autoSpaceDE/>
              <w:autoSpaceDN/>
              <w:jc w:val="center"/>
              <w:rPr>
                <w:rFonts w:eastAsia="Times New Roman" w:cs="Calibri"/>
                <w:b/>
                <w:bCs/>
                <w:color w:val="000000"/>
                <w:sz w:val="22"/>
                <w:szCs w:val="22"/>
              </w:rPr>
            </w:pPr>
            <w:r w:rsidRPr="00617F96">
              <w:rPr>
                <w:rFonts w:eastAsia="Times New Roman" w:cs="Calibri"/>
                <w:b/>
                <w:bCs/>
                <w:color w:val="000000"/>
                <w:sz w:val="22"/>
                <w:szCs w:val="22"/>
              </w:rPr>
              <w:t>Group 2</w:t>
            </w:r>
          </w:p>
        </w:tc>
        <w:tc>
          <w:tcPr>
            <w:tcW w:w="0" w:type="auto"/>
            <w:shd w:val="clear" w:color="auto" w:fill="DBE5F1" w:themeFill="accent1" w:themeFillTint="33"/>
            <w:vAlign w:val="bottom"/>
          </w:tcPr>
          <w:p w14:paraId="320D9AD9" w14:textId="381545C1" w:rsidR="00A907AE" w:rsidRPr="00617F96" w:rsidRDefault="00A907AE" w:rsidP="00A907AE">
            <w:pPr>
              <w:widowControl/>
              <w:autoSpaceDE/>
              <w:autoSpaceDN/>
              <w:jc w:val="center"/>
              <w:rPr>
                <w:rFonts w:eastAsia="Times New Roman" w:cs="Calibri"/>
                <w:b/>
                <w:bCs/>
                <w:color w:val="000000"/>
                <w:sz w:val="22"/>
                <w:szCs w:val="22"/>
              </w:rPr>
            </w:pPr>
            <w:r w:rsidRPr="00617F96">
              <w:rPr>
                <w:rFonts w:eastAsia="Times New Roman" w:cs="Calibri"/>
                <w:b/>
                <w:bCs/>
                <w:color w:val="000000"/>
                <w:sz w:val="22"/>
                <w:szCs w:val="22"/>
              </w:rPr>
              <w:t>Group 2</w:t>
            </w:r>
          </w:p>
        </w:tc>
      </w:tr>
      <w:tr w:rsidR="00A907AE" w:rsidRPr="00617F96" w14:paraId="5EF7DBC5" w14:textId="77777777" w:rsidTr="00A907AE">
        <w:trPr>
          <w:cantSplit/>
          <w:trHeight w:val="290"/>
          <w:tblHeader/>
        </w:trPr>
        <w:tc>
          <w:tcPr>
            <w:tcW w:w="0" w:type="auto"/>
            <w:shd w:val="clear" w:color="auto" w:fill="F2F2F2" w:themeFill="background1" w:themeFillShade="F2"/>
            <w:noWrap/>
            <w:vAlign w:val="bottom"/>
            <w:hideMark/>
          </w:tcPr>
          <w:p w14:paraId="01676AE6" w14:textId="366184EA" w:rsidR="00A907AE" w:rsidRPr="00617F96" w:rsidRDefault="00A907AE" w:rsidP="00A907AE">
            <w:pPr>
              <w:widowControl/>
              <w:autoSpaceDE/>
              <w:autoSpaceDN/>
              <w:rPr>
                <w:rFonts w:eastAsia="Times New Roman" w:cs="Calibri"/>
                <w:b/>
                <w:bCs/>
                <w:color w:val="000000"/>
                <w:sz w:val="22"/>
                <w:szCs w:val="22"/>
              </w:rPr>
            </w:pPr>
            <w:r w:rsidRPr="00617F96">
              <w:rPr>
                <w:rFonts w:eastAsia="Times New Roman" w:cs="Calibri"/>
                <w:b/>
                <w:bCs/>
                <w:color w:val="000000"/>
                <w:sz w:val="22"/>
                <w:szCs w:val="22"/>
              </w:rPr>
              <w:t>Payer Mix Category</w:t>
            </w:r>
          </w:p>
        </w:tc>
        <w:tc>
          <w:tcPr>
            <w:tcW w:w="0" w:type="auto"/>
            <w:shd w:val="clear" w:color="auto" w:fill="F2F2F2" w:themeFill="background1" w:themeFillShade="F2"/>
            <w:noWrap/>
            <w:vAlign w:val="bottom"/>
            <w:hideMark/>
          </w:tcPr>
          <w:p w14:paraId="059C56DC" w14:textId="42859BAC" w:rsidR="00A907AE" w:rsidRPr="00617F96" w:rsidRDefault="00A907AE" w:rsidP="00A907AE">
            <w:pPr>
              <w:widowControl/>
              <w:autoSpaceDE/>
              <w:autoSpaceDN/>
              <w:jc w:val="center"/>
              <w:rPr>
                <w:rFonts w:eastAsia="Times New Roman" w:cs="Calibri"/>
                <w:b/>
                <w:bCs/>
                <w:color w:val="000000"/>
                <w:sz w:val="22"/>
                <w:szCs w:val="22"/>
              </w:rPr>
            </w:pPr>
            <w:r w:rsidRPr="00617F96">
              <w:rPr>
                <w:rFonts w:eastAsia="Times New Roman" w:cs="Calibri"/>
                <w:b/>
                <w:bCs/>
                <w:color w:val="000000"/>
                <w:sz w:val="22"/>
                <w:szCs w:val="22"/>
              </w:rPr>
              <w:t>Percent</w:t>
            </w:r>
          </w:p>
        </w:tc>
        <w:tc>
          <w:tcPr>
            <w:tcW w:w="0" w:type="auto"/>
            <w:shd w:val="clear" w:color="auto" w:fill="F2F2F2" w:themeFill="background1" w:themeFillShade="F2"/>
            <w:noWrap/>
            <w:vAlign w:val="bottom"/>
            <w:hideMark/>
          </w:tcPr>
          <w:p w14:paraId="59BCDE02" w14:textId="77777777" w:rsidR="00A907AE" w:rsidRPr="00617F96" w:rsidRDefault="00A907AE" w:rsidP="00A907AE">
            <w:pPr>
              <w:widowControl/>
              <w:autoSpaceDE/>
              <w:autoSpaceDN/>
              <w:rPr>
                <w:rFonts w:eastAsia="Times New Roman" w:cs="Calibri"/>
                <w:b/>
                <w:bCs/>
                <w:color w:val="000000"/>
                <w:sz w:val="22"/>
                <w:szCs w:val="22"/>
              </w:rPr>
            </w:pPr>
            <w:r w:rsidRPr="00617F96">
              <w:rPr>
                <w:rFonts w:eastAsia="Times New Roman" w:cs="Calibri"/>
                <w:b/>
                <w:bCs/>
                <w:color w:val="000000"/>
                <w:sz w:val="22"/>
                <w:szCs w:val="22"/>
              </w:rPr>
              <w:t>Payer Mix</w:t>
            </w:r>
          </w:p>
        </w:tc>
        <w:tc>
          <w:tcPr>
            <w:tcW w:w="0" w:type="auto"/>
            <w:shd w:val="clear" w:color="auto" w:fill="F2F2F2" w:themeFill="background1" w:themeFillShade="F2"/>
            <w:noWrap/>
            <w:vAlign w:val="bottom"/>
            <w:hideMark/>
          </w:tcPr>
          <w:p w14:paraId="6AC33C94" w14:textId="582717C3" w:rsidR="00A907AE" w:rsidRPr="00617F96" w:rsidRDefault="00A907AE" w:rsidP="00A907AE">
            <w:pPr>
              <w:widowControl/>
              <w:autoSpaceDE/>
              <w:autoSpaceDN/>
              <w:jc w:val="center"/>
              <w:rPr>
                <w:rFonts w:eastAsia="Times New Roman" w:cs="Calibri"/>
                <w:b/>
                <w:bCs/>
                <w:color w:val="000000"/>
                <w:sz w:val="22"/>
                <w:szCs w:val="22"/>
              </w:rPr>
            </w:pPr>
            <w:r w:rsidRPr="00617F96">
              <w:rPr>
                <w:rFonts w:eastAsia="Times New Roman" w:cs="Calibri"/>
                <w:b/>
                <w:bCs/>
                <w:color w:val="000000"/>
                <w:sz w:val="22"/>
                <w:szCs w:val="22"/>
              </w:rPr>
              <w:t>Percent</w:t>
            </w:r>
          </w:p>
        </w:tc>
      </w:tr>
      <w:tr w:rsidR="00A907AE" w:rsidRPr="00617F96" w14:paraId="34C0DE9C" w14:textId="77777777" w:rsidTr="00A907AE">
        <w:trPr>
          <w:cantSplit/>
          <w:trHeight w:val="290"/>
        </w:trPr>
        <w:tc>
          <w:tcPr>
            <w:tcW w:w="0" w:type="auto"/>
            <w:noWrap/>
            <w:vAlign w:val="bottom"/>
            <w:hideMark/>
          </w:tcPr>
          <w:p w14:paraId="65B704E2" w14:textId="77777777" w:rsidR="00A907AE" w:rsidRPr="00617F96" w:rsidRDefault="00A907AE" w:rsidP="00A907AE">
            <w:pPr>
              <w:widowControl/>
              <w:autoSpaceDE/>
              <w:autoSpaceDN/>
              <w:ind w:left="144"/>
              <w:rPr>
                <w:rFonts w:eastAsia="Times New Roman" w:cs="Calibri"/>
                <w:color w:val="000000"/>
                <w:sz w:val="22"/>
                <w:szCs w:val="22"/>
              </w:rPr>
            </w:pPr>
            <w:r w:rsidRPr="00617F96">
              <w:rPr>
                <w:rFonts w:eastAsia="Times New Roman" w:cs="Calibri"/>
                <w:color w:val="000000"/>
                <w:sz w:val="22"/>
                <w:szCs w:val="22"/>
              </w:rPr>
              <w:t>Commercial Medicare</w:t>
            </w:r>
          </w:p>
        </w:tc>
        <w:tc>
          <w:tcPr>
            <w:tcW w:w="0" w:type="auto"/>
            <w:noWrap/>
            <w:vAlign w:val="bottom"/>
            <w:hideMark/>
          </w:tcPr>
          <w:p w14:paraId="62949BBA" w14:textId="77777777" w:rsidR="00A907AE" w:rsidRPr="00617F96" w:rsidRDefault="00A907AE" w:rsidP="00A907AE">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12.1%</w:t>
            </w:r>
          </w:p>
        </w:tc>
        <w:tc>
          <w:tcPr>
            <w:tcW w:w="0" w:type="auto"/>
            <w:noWrap/>
            <w:vAlign w:val="bottom"/>
            <w:hideMark/>
          </w:tcPr>
          <w:p w14:paraId="7A272075" w14:textId="77777777" w:rsidR="00A907AE" w:rsidRPr="00617F96" w:rsidRDefault="00A907AE" w:rsidP="00A907AE">
            <w:pPr>
              <w:widowControl/>
              <w:autoSpaceDE/>
              <w:autoSpaceDN/>
              <w:ind w:left="144"/>
              <w:rPr>
                <w:rFonts w:eastAsia="Times New Roman" w:cs="Calibri"/>
                <w:color w:val="000000"/>
                <w:sz w:val="22"/>
                <w:szCs w:val="22"/>
              </w:rPr>
            </w:pPr>
            <w:r w:rsidRPr="00617F96">
              <w:rPr>
                <w:rFonts w:eastAsia="Times New Roman" w:cs="Calibri"/>
                <w:color w:val="000000"/>
                <w:sz w:val="22"/>
                <w:szCs w:val="22"/>
              </w:rPr>
              <w:t>Commercial Medicare</w:t>
            </w:r>
          </w:p>
        </w:tc>
        <w:tc>
          <w:tcPr>
            <w:tcW w:w="0" w:type="auto"/>
            <w:noWrap/>
            <w:vAlign w:val="bottom"/>
            <w:hideMark/>
          </w:tcPr>
          <w:p w14:paraId="2951734B" w14:textId="77777777" w:rsidR="00A907AE" w:rsidRPr="00617F96" w:rsidRDefault="00A907AE" w:rsidP="00A907AE">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13.6%</w:t>
            </w:r>
          </w:p>
        </w:tc>
      </w:tr>
      <w:tr w:rsidR="00A907AE" w:rsidRPr="00617F96" w14:paraId="50B8E9AC" w14:textId="77777777" w:rsidTr="00A907AE">
        <w:trPr>
          <w:cantSplit/>
          <w:trHeight w:val="290"/>
        </w:trPr>
        <w:tc>
          <w:tcPr>
            <w:tcW w:w="0" w:type="auto"/>
            <w:noWrap/>
            <w:vAlign w:val="bottom"/>
            <w:hideMark/>
          </w:tcPr>
          <w:p w14:paraId="6628E2C2" w14:textId="77777777" w:rsidR="00A907AE" w:rsidRPr="00617F96" w:rsidRDefault="00A907AE" w:rsidP="00A907AE">
            <w:pPr>
              <w:widowControl/>
              <w:autoSpaceDE/>
              <w:autoSpaceDN/>
              <w:ind w:left="144"/>
              <w:rPr>
                <w:rFonts w:eastAsia="Times New Roman" w:cs="Calibri"/>
                <w:color w:val="000000"/>
                <w:sz w:val="22"/>
                <w:szCs w:val="22"/>
              </w:rPr>
            </w:pPr>
            <w:r w:rsidRPr="00617F96">
              <w:rPr>
                <w:rFonts w:eastAsia="Times New Roman" w:cs="Calibri"/>
                <w:color w:val="000000"/>
                <w:sz w:val="22"/>
                <w:szCs w:val="22"/>
              </w:rPr>
              <w:t>Medicare FFS</w:t>
            </w:r>
          </w:p>
        </w:tc>
        <w:tc>
          <w:tcPr>
            <w:tcW w:w="0" w:type="auto"/>
            <w:noWrap/>
            <w:vAlign w:val="bottom"/>
            <w:hideMark/>
          </w:tcPr>
          <w:p w14:paraId="36AAF373" w14:textId="77777777" w:rsidR="00A907AE" w:rsidRPr="00617F96" w:rsidRDefault="00A907AE" w:rsidP="00A907AE">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28.9%</w:t>
            </w:r>
          </w:p>
        </w:tc>
        <w:tc>
          <w:tcPr>
            <w:tcW w:w="0" w:type="auto"/>
            <w:noWrap/>
            <w:vAlign w:val="bottom"/>
            <w:hideMark/>
          </w:tcPr>
          <w:p w14:paraId="574A5C3E" w14:textId="77777777" w:rsidR="00A907AE" w:rsidRPr="00617F96" w:rsidRDefault="00A907AE" w:rsidP="00A907AE">
            <w:pPr>
              <w:widowControl/>
              <w:autoSpaceDE/>
              <w:autoSpaceDN/>
              <w:ind w:left="144"/>
              <w:rPr>
                <w:rFonts w:eastAsia="Times New Roman" w:cs="Calibri"/>
                <w:color w:val="000000"/>
                <w:sz w:val="22"/>
                <w:szCs w:val="22"/>
              </w:rPr>
            </w:pPr>
            <w:r w:rsidRPr="00617F96">
              <w:rPr>
                <w:rFonts w:eastAsia="Times New Roman" w:cs="Calibri"/>
                <w:color w:val="000000"/>
                <w:sz w:val="22"/>
                <w:szCs w:val="22"/>
              </w:rPr>
              <w:t>Medicare FFS</w:t>
            </w:r>
          </w:p>
        </w:tc>
        <w:tc>
          <w:tcPr>
            <w:tcW w:w="0" w:type="auto"/>
            <w:noWrap/>
            <w:vAlign w:val="bottom"/>
            <w:hideMark/>
          </w:tcPr>
          <w:p w14:paraId="4E19D97A" w14:textId="77777777" w:rsidR="00A907AE" w:rsidRPr="00617F96" w:rsidRDefault="00A907AE" w:rsidP="00A907AE">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33.6%</w:t>
            </w:r>
          </w:p>
        </w:tc>
      </w:tr>
      <w:tr w:rsidR="00A907AE" w:rsidRPr="00617F96" w14:paraId="6BDC84AF" w14:textId="77777777" w:rsidTr="00A907AE">
        <w:trPr>
          <w:cantSplit/>
          <w:trHeight w:val="290"/>
        </w:trPr>
        <w:tc>
          <w:tcPr>
            <w:tcW w:w="0" w:type="auto"/>
            <w:noWrap/>
            <w:vAlign w:val="bottom"/>
            <w:hideMark/>
          </w:tcPr>
          <w:p w14:paraId="60E948D8" w14:textId="77777777" w:rsidR="00A907AE" w:rsidRPr="00617F96" w:rsidRDefault="00A907AE" w:rsidP="00A907AE">
            <w:pPr>
              <w:widowControl/>
              <w:autoSpaceDE/>
              <w:autoSpaceDN/>
              <w:ind w:left="144"/>
              <w:rPr>
                <w:rFonts w:eastAsia="Times New Roman" w:cs="Calibri"/>
                <w:color w:val="000000"/>
                <w:sz w:val="22"/>
                <w:szCs w:val="22"/>
              </w:rPr>
            </w:pPr>
            <w:r w:rsidRPr="00617F96">
              <w:rPr>
                <w:rFonts w:eastAsia="Times New Roman" w:cs="Calibri"/>
                <w:color w:val="000000"/>
                <w:sz w:val="22"/>
                <w:szCs w:val="22"/>
              </w:rPr>
              <w:t>Managed Medicaid</w:t>
            </w:r>
          </w:p>
        </w:tc>
        <w:tc>
          <w:tcPr>
            <w:tcW w:w="0" w:type="auto"/>
            <w:noWrap/>
            <w:vAlign w:val="bottom"/>
            <w:hideMark/>
          </w:tcPr>
          <w:p w14:paraId="3C04B2E7" w14:textId="77777777" w:rsidR="00A907AE" w:rsidRPr="00617F96" w:rsidRDefault="00A907AE" w:rsidP="00A907AE">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6.6%</w:t>
            </w:r>
          </w:p>
        </w:tc>
        <w:tc>
          <w:tcPr>
            <w:tcW w:w="0" w:type="auto"/>
            <w:noWrap/>
            <w:vAlign w:val="bottom"/>
            <w:hideMark/>
          </w:tcPr>
          <w:p w14:paraId="1B5027C1" w14:textId="77777777" w:rsidR="00A907AE" w:rsidRPr="00617F96" w:rsidRDefault="00A907AE" w:rsidP="00A907AE">
            <w:pPr>
              <w:widowControl/>
              <w:autoSpaceDE/>
              <w:autoSpaceDN/>
              <w:ind w:left="144"/>
              <w:rPr>
                <w:rFonts w:eastAsia="Times New Roman" w:cs="Calibri"/>
                <w:color w:val="000000"/>
                <w:sz w:val="22"/>
                <w:szCs w:val="22"/>
              </w:rPr>
            </w:pPr>
            <w:r w:rsidRPr="00617F96">
              <w:rPr>
                <w:rFonts w:eastAsia="Times New Roman" w:cs="Calibri"/>
                <w:color w:val="000000"/>
                <w:sz w:val="22"/>
                <w:szCs w:val="22"/>
              </w:rPr>
              <w:t>Managed Medicaid</w:t>
            </w:r>
          </w:p>
        </w:tc>
        <w:tc>
          <w:tcPr>
            <w:tcW w:w="0" w:type="auto"/>
            <w:noWrap/>
            <w:vAlign w:val="bottom"/>
            <w:hideMark/>
          </w:tcPr>
          <w:p w14:paraId="606A5F72" w14:textId="77777777" w:rsidR="00A907AE" w:rsidRPr="00617F96" w:rsidRDefault="00A907AE" w:rsidP="00A907AE">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5.4%</w:t>
            </w:r>
          </w:p>
        </w:tc>
      </w:tr>
      <w:tr w:rsidR="00A907AE" w:rsidRPr="00617F96" w14:paraId="64D7C6D2" w14:textId="77777777" w:rsidTr="00A907AE">
        <w:trPr>
          <w:cantSplit/>
          <w:trHeight w:val="290"/>
        </w:trPr>
        <w:tc>
          <w:tcPr>
            <w:tcW w:w="0" w:type="auto"/>
            <w:noWrap/>
            <w:vAlign w:val="bottom"/>
            <w:hideMark/>
          </w:tcPr>
          <w:p w14:paraId="05DB197A" w14:textId="77777777" w:rsidR="00A907AE" w:rsidRPr="00617F96" w:rsidRDefault="00A907AE" w:rsidP="00A907AE">
            <w:pPr>
              <w:widowControl/>
              <w:autoSpaceDE/>
              <w:autoSpaceDN/>
              <w:ind w:left="144"/>
              <w:rPr>
                <w:rFonts w:eastAsia="Times New Roman" w:cs="Calibri"/>
                <w:color w:val="000000"/>
                <w:sz w:val="22"/>
                <w:szCs w:val="22"/>
              </w:rPr>
            </w:pPr>
            <w:r w:rsidRPr="00617F96">
              <w:rPr>
                <w:rFonts w:eastAsia="Times New Roman" w:cs="Calibri"/>
                <w:color w:val="000000"/>
                <w:sz w:val="22"/>
                <w:szCs w:val="22"/>
              </w:rPr>
              <w:t>MassHealth</w:t>
            </w:r>
          </w:p>
        </w:tc>
        <w:tc>
          <w:tcPr>
            <w:tcW w:w="0" w:type="auto"/>
            <w:noWrap/>
            <w:vAlign w:val="bottom"/>
            <w:hideMark/>
          </w:tcPr>
          <w:p w14:paraId="0DA650C1" w14:textId="77777777" w:rsidR="00A907AE" w:rsidRPr="00617F96" w:rsidRDefault="00A907AE" w:rsidP="00A907AE">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4.1%</w:t>
            </w:r>
          </w:p>
        </w:tc>
        <w:tc>
          <w:tcPr>
            <w:tcW w:w="0" w:type="auto"/>
            <w:noWrap/>
            <w:vAlign w:val="bottom"/>
            <w:hideMark/>
          </w:tcPr>
          <w:p w14:paraId="4074B18A" w14:textId="77777777" w:rsidR="00A907AE" w:rsidRPr="00617F96" w:rsidRDefault="00A907AE" w:rsidP="00A907AE">
            <w:pPr>
              <w:widowControl/>
              <w:autoSpaceDE/>
              <w:autoSpaceDN/>
              <w:ind w:left="144"/>
              <w:rPr>
                <w:rFonts w:eastAsia="Times New Roman" w:cs="Calibri"/>
                <w:color w:val="000000"/>
                <w:sz w:val="22"/>
                <w:szCs w:val="22"/>
              </w:rPr>
            </w:pPr>
            <w:r w:rsidRPr="00617F96">
              <w:rPr>
                <w:rFonts w:eastAsia="Times New Roman" w:cs="Calibri"/>
                <w:color w:val="000000"/>
                <w:sz w:val="22"/>
                <w:szCs w:val="22"/>
              </w:rPr>
              <w:t>MassHealth</w:t>
            </w:r>
          </w:p>
        </w:tc>
        <w:tc>
          <w:tcPr>
            <w:tcW w:w="0" w:type="auto"/>
            <w:noWrap/>
            <w:vAlign w:val="bottom"/>
            <w:hideMark/>
          </w:tcPr>
          <w:p w14:paraId="3EE4A697" w14:textId="77777777" w:rsidR="00A907AE" w:rsidRPr="00617F96" w:rsidRDefault="00A907AE" w:rsidP="00A907AE">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3.6%</w:t>
            </w:r>
          </w:p>
        </w:tc>
      </w:tr>
      <w:tr w:rsidR="00A907AE" w:rsidRPr="00617F96" w14:paraId="3D0AAEEE" w14:textId="77777777" w:rsidTr="00A907AE">
        <w:trPr>
          <w:cantSplit/>
          <w:trHeight w:val="290"/>
        </w:trPr>
        <w:tc>
          <w:tcPr>
            <w:tcW w:w="0" w:type="auto"/>
            <w:noWrap/>
            <w:vAlign w:val="bottom"/>
            <w:hideMark/>
          </w:tcPr>
          <w:p w14:paraId="44F34992" w14:textId="77777777" w:rsidR="00A907AE" w:rsidRPr="00617F96" w:rsidRDefault="00A907AE" w:rsidP="00A907AE">
            <w:pPr>
              <w:widowControl/>
              <w:autoSpaceDE/>
              <w:autoSpaceDN/>
              <w:ind w:left="144"/>
              <w:rPr>
                <w:rFonts w:eastAsia="Times New Roman" w:cs="Calibri"/>
                <w:color w:val="000000"/>
                <w:sz w:val="22"/>
                <w:szCs w:val="22"/>
              </w:rPr>
            </w:pPr>
            <w:r w:rsidRPr="00617F96">
              <w:rPr>
                <w:rFonts w:eastAsia="Times New Roman" w:cs="Calibri"/>
                <w:color w:val="000000"/>
                <w:sz w:val="22"/>
                <w:szCs w:val="22"/>
              </w:rPr>
              <w:t>Commercial</w:t>
            </w:r>
          </w:p>
        </w:tc>
        <w:tc>
          <w:tcPr>
            <w:tcW w:w="0" w:type="auto"/>
            <w:noWrap/>
            <w:vAlign w:val="bottom"/>
            <w:hideMark/>
          </w:tcPr>
          <w:p w14:paraId="53716202" w14:textId="77777777" w:rsidR="00A907AE" w:rsidRPr="00617F96" w:rsidRDefault="00A907AE" w:rsidP="00A907AE">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46.4%</w:t>
            </w:r>
          </w:p>
        </w:tc>
        <w:tc>
          <w:tcPr>
            <w:tcW w:w="0" w:type="auto"/>
            <w:noWrap/>
            <w:vAlign w:val="bottom"/>
            <w:hideMark/>
          </w:tcPr>
          <w:p w14:paraId="3FC9BDCB" w14:textId="77777777" w:rsidR="00A907AE" w:rsidRPr="00617F96" w:rsidRDefault="00A907AE" w:rsidP="00A907AE">
            <w:pPr>
              <w:widowControl/>
              <w:autoSpaceDE/>
              <w:autoSpaceDN/>
              <w:ind w:left="144"/>
              <w:rPr>
                <w:rFonts w:eastAsia="Times New Roman" w:cs="Calibri"/>
                <w:color w:val="000000"/>
                <w:sz w:val="22"/>
                <w:szCs w:val="22"/>
              </w:rPr>
            </w:pPr>
            <w:r w:rsidRPr="00617F96">
              <w:rPr>
                <w:rFonts w:eastAsia="Times New Roman" w:cs="Calibri"/>
                <w:color w:val="000000"/>
                <w:sz w:val="22"/>
                <w:szCs w:val="22"/>
              </w:rPr>
              <w:t>Commercial</w:t>
            </w:r>
          </w:p>
        </w:tc>
        <w:tc>
          <w:tcPr>
            <w:tcW w:w="0" w:type="auto"/>
            <w:noWrap/>
            <w:vAlign w:val="bottom"/>
            <w:hideMark/>
          </w:tcPr>
          <w:p w14:paraId="6F697DC4" w14:textId="77777777" w:rsidR="00A907AE" w:rsidRPr="00617F96" w:rsidRDefault="00A907AE" w:rsidP="00A907AE">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42.5%</w:t>
            </w:r>
          </w:p>
        </w:tc>
      </w:tr>
      <w:tr w:rsidR="00A907AE" w:rsidRPr="00617F96" w14:paraId="55EDCC3C" w14:textId="77777777" w:rsidTr="00A907AE">
        <w:trPr>
          <w:cantSplit/>
          <w:trHeight w:val="290"/>
        </w:trPr>
        <w:tc>
          <w:tcPr>
            <w:tcW w:w="0" w:type="auto"/>
            <w:noWrap/>
            <w:vAlign w:val="bottom"/>
            <w:hideMark/>
          </w:tcPr>
          <w:p w14:paraId="5DE5BB7F" w14:textId="77777777" w:rsidR="00A907AE" w:rsidRPr="00617F96" w:rsidRDefault="00A907AE" w:rsidP="00A907AE">
            <w:pPr>
              <w:widowControl/>
              <w:autoSpaceDE/>
              <w:autoSpaceDN/>
              <w:ind w:left="144"/>
              <w:rPr>
                <w:rFonts w:eastAsia="Times New Roman" w:cs="Calibri"/>
                <w:color w:val="000000"/>
                <w:sz w:val="22"/>
                <w:szCs w:val="22"/>
              </w:rPr>
            </w:pPr>
            <w:r w:rsidRPr="00617F96">
              <w:rPr>
                <w:rFonts w:eastAsia="Times New Roman" w:cs="Calibri"/>
                <w:color w:val="000000"/>
                <w:sz w:val="22"/>
                <w:szCs w:val="22"/>
              </w:rPr>
              <w:t>Other</w:t>
            </w:r>
            <w:r w:rsidRPr="00617F96">
              <w:rPr>
                <w:rFonts w:eastAsia="Times New Roman" w:cs="Calibri"/>
                <w:b/>
                <w:bCs/>
                <w:color w:val="000000"/>
                <w:sz w:val="22"/>
                <w:szCs w:val="22"/>
                <w:vertAlign w:val="superscript"/>
              </w:rPr>
              <w:footnoteReference w:id="39"/>
            </w:r>
            <w:r w:rsidRPr="00617F96">
              <w:rPr>
                <w:rFonts w:eastAsia="Times New Roman" w:cs="Calibri"/>
                <w:color w:val="000000"/>
                <w:sz w:val="22"/>
                <w:szCs w:val="22"/>
              </w:rPr>
              <w:t xml:space="preserve"> </w:t>
            </w:r>
          </w:p>
        </w:tc>
        <w:tc>
          <w:tcPr>
            <w:tcW w:w="0" w:type="auto"/>
            <w:noWrap/>
            <w:vAlign w:val="bottom"/>
            <w:hideMark/>
          </w:tcPr>
          <w:p w14:paraId="0E984A96" w14:textId="77777777" w:rsidR="00A907AE" w:rsidRPr="00617F96" w:rsidRDefault="00A907AE" w:rsidP="00A907AE">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2.0%</w:t>
            </w:r>
          </w:p>
        </w:tc>
        <w:tc>
          <w:tcPr>
            <w:tcW w:w="0" w:type="auto"/>
            <w:noWrap/>
            <w:vAlign w:val="bottom"/>
            <w:hideMark/>
          </w:tcPr>
          <w:p w14:paraId="03720A5A" w14:textId="77777777" w:rsidR="00A907AE" w:rsidRPr="00617F96" w:rsidRDefault="00A907AE" w:rsidP="00A907AE">
            <w:pPr>
              <w:widowControl/>
              <w:autoSpaceDE/>
              <w:autoSpaceDN/>
              <w:ind w:left="144"/>
              <w:rPr>
                <w:rFonts w:eastAsia="Times New Roman" w:cs="Calibri"/>
                <w:color w:val="000000"/>
                <w:sz w:val="22"/>
                <w:szCs w:val="22"/>
              </w:rPr>
            </w:pPr>
            <w:r w:rsidRPr="00617F96">
              <w:rPr>
                <w:rFonts w:eastAsia="Times New Roman" w:cs="Calibri"/>
                <w:color w:val="000000"/>
                <w:sz w:val="22"/>
                <w:szCs w:val="22"/>
              </w:rPr>
              <w:t>Other</w:t>
            </w:r>
            <w:r w:rsidRPr="00617F96">
              <w:rPr>
                <w:rFonts w:eastAsia="Times New Roman" w:cs="Calibri"/>
                <w:b/>
                <w:bCs/>
                <w:color w:val="000000"/>
                <w:sz w:val="22"/>
                <w:szCs w:val="22"/>
                <w:vertAlign w:val="superscript"/>
              </w:rPr>
              <w:footnoteReference w:id="40"/>
            </w:r>
            <w:r w:rsidRPr="00617F96">
              <w:rPr>
                <w:rFonts w:eastAsia="Times New Roman" w:cs="Calibri"/>
                <w:color w:val="000000"/>
                <w:sz w:val="22"/>
                <w:szCs w:val="22"/>
              </w:rPr>
              <w:t xml:space="preserve"> </w:t>
            </w:r>
          </w:p>
        </w:tc>
        <w:tc>
          <w:tcPr>
            <w:tcW w:w="0" w:type="auto"/>
            <w:noWrap/>
            <w:vAlign w:val="bottom"/>
            <w:hideMark/>
          </w:tcPr>
          <w:p w14:paraId="339428CB" w14:textId="77777777" w:rsidR="00A907AE" w:rsidRPr="00617F96" w:rsidRDefault="00A907AE" w:rsidP="00A907AE">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1.3%</w:t>
            </w:r>
          </w:p>
        </w:tc>
      </w:tr>
      <w:tr w:rsidR="00A907AE" w:rsidRPr="00617F96" w14:paraId="5961CC80" w14:textId="77777777" w:rsidTr="00A907AE">
        <w:trPr>
          <w:cantSplit/>
          <w:trHeight w:val="290"/>
        </w:trPr>
        <w:tc>
          <w:tcPr>
            <w:tcW w:w="0" w:type="auto"/>
            <w:shd w:val="clear" w:color="auto" w:fill="FFFFFF" w:themeFill="background1"/>
            <w:noWrap/>
            <w:vAlign w:val="bottom"/>
          </w:tcPr>
          <w:p w14:paraId="1EC1077F" w14:textId="77777777" w:rsidR="00A907AE" w:rsidRPr="00617F96" w:rsidRDefault="00A907AE" w:rsidP="00A907AE">
            <w:pPr>
              <w:widowControl/>
              <w:autoSpaceDE/>
              <w:autoSpaceDN/>
              <w:ind w:left="144"/>
              <w:rPr>
                <w:rFonts w:eastAsia="Times New Roman" w:cs="Calibri"/>
                <w:color w:val="000000"/>
                <w:sz w:val="22"/>
                <w:szCs w:val="22"/>
              </w:rPr>
            </w:pPr>
            <w:r w:rsidRPr="00617F96">
              <w:rPr>
                <w:rFonts w:eastAsia="Times New Roman" w:cs="Calibri"/>
                <w:color w:val="000000"/>
                <w:sz w:val="22"/>
                <w:szCs w:val="22"/>
              </w:rPr>
              <w:t xml:space="preserve">Total </w:t>
            </w:r>
          </w:p>
        </w:tc>
        <w:tc>
          <w:tcPr>
            <w:tcW w:w="0" w:type="auto"/>
            <w:noWrap/>
            <w:vAlign w:val="bottom"/>
          </w:tcPr>
          <w:p w14:paraId="0BB3CBE2" w14:textId="77777777" w:rsidR="00A907AE" w:rsidRPr="00617F96" w:rsidRDefault="00A907AE" w:rsidP="00A907AE">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100%</w:t>
            </w:r>
          </w:p>
        </w:tc>
        <w:tc>
          <w:tcPr>
            <w:tcW w:w="0" w:type="auto"/>
            <w:shd w:val="clear" w:color="auto" w:fill="FFFFFF" w:themeFill="background1"/>
            <w:noWrap/>
            <w:vAlign w:val="bottom"/>
          </w:tcPr>
          <w:p w14:paraId="0BA15BAC" w14:textId="77777777" w:rsidR="00A907AE" w:rsidRPr="00617F96" w:rsidRDefault="00A907AE" w:rsidP="00A907AE">
            <w:pPr>
              <w:widowControl/>
              <w:autoSpaceDE/>
              <w:autoSpaceDN/>
              <w:ind w:left="144"/>
              <w:rPr>
                <w:rFonts w:eastAsia="Times New Roman" w:cs="Calibri"/>
                <w:color w:val="000000"/>
                <w:sz w:val="22"/>
                <w:szCs w:val="22"/>
              </w:rPr>
            </w:pPr>
            <w:r w:rsidRPr="00617F96">
              <w:rPr>
                <w:rFonts w:eastAsia="Times New Roman" w:cs="Calibri"/>
                <w:color w:val="000000"/>
                <w:sz w:val="22"/>
                <w:szCs w:val="22"/>
              </w:rPr>
              <w:t>Total</w:t>
            </w:r>
          </w:p>
        </w:tc>
        <w:tc>
          <w:tcPr>
            <w:tcW w:w="0" w:type="auto"/>
            <w:noWrap/>
            <w:vAlign w:val="bottom"/>
          </w:tcPr>
          <w:p w14:paraId="531B4CE5" w14:textId="77777777" w:rsidR="00A907AE" w:rsidRPr="00617F96" w:rsidRDefault="00A907AE" w:rsidP="00A907AE">
            <w:pPr>
              <w:widowControl/>
              <w:autoSpaceDE/>
              <w:autoSpaceDN/>
              <w:jc w:val="center"/>
              <w:rPr>
                <w:rFonts w:eastAsia="Times New Roman" w:cs="Calibri"/>
                <w:color w:val="000000"/>
                <w:sz w:val="22"/>
                <w:szCs w:val="22"/>
              </w:rPr>
            </w:pPr>
            <w:r w:rsidRPr="00617F96">
              <w:rPr>
                <w:rFonts w:eastAsia="Times New Roman" w:cs="Calibri"/>
                <w:color w:val="000000"/>
                <w:sz w:val="22"/>
                <w:szCs w:val="22"/>
              </w:rPr>
              <w:t>100%</w:t>
            </w:r>
          </w:p>
        </w:tc>
      </w:tr>
    </w:tbl>
    <w:p w14:paraId="7437E377" w14:textId="77777777" w:rsidR="00B9320A" w:rsidRDefault="00B9320A" w:rsidP="005368F9">
      <w:pPr>
        <w:rPr>
          <w:rFonts w:asciiTheme="minorHAnsi" w:hAnsiTheme="minorHAnsi"/>
          <w:szCs w:val="24"/>
        </w:rPr>
      </w:pPr>
    </w:p>
    <w:p w14:paraId="73305E04" w14:textId="1E5C975F" w:rsidR="005368F9" w:rsidRDefault="00C51D34" w:rsidP="005368F9">
      <w:pPr>
        <w:rPr>
          <w:rFonts w:asciiTheme="minorHAnsi" w:hAnsiTheme="minorHAnsi"/>
          <w:szCs w:val="24"/>
        </w:rPr>
      </w:pPr>
      <w:r>
        <w:rPr>
          <w:rFonts w:asciiTheme="minorHAnsi" w:hAnsiTheme="minorHAnsi"/>
          <w:szCs w:val="24"/>
        </w:rPr>
        <w:t xml:space="preserve">Staff also requested a </w:t>
      </w:r>
      <w:r w:rsidR="005368F9">
        <w:rPr>
          <w:rFonts w:asciiTheme="minorHAnsi" w:hAnsiTheme="minorHAnsi"/>
          <w:szCs w:val="24"/>
        </w:rPr>
        <w:t xml:space="preserve">demographic breakdown for </w:t>
      </w:r>
      <w:r w:rsidR="00403DC2">
        <w:rPr>
          <w:rFonts w:asciiTheme="minorHAnsi" w:hAnsiTheme="minorHAnsi"/>
          <w:szCs w:val="24"/>
        </w:rPr>
        <w:t>p</w:t>
      </w:r>
      <w:r w:rsidR="005368F9">
        <w:rPr>
          <w:rFonts w:asciiTheme="minorHAnsi" w:hAnsiTheme="minorHAnsi"/>
          <w:szCs w:val="24"/>
        </w:rPr>
        <w:t xml:space="preserve">ediatric Group 1 and Group 2 patients. </w:t>
      </w:r>
      <w:r>
        <w:rPr>
          <w:rFonts w:asciiTheme="minorHAnsi" w:hAnsiTheme="minorHAnsi"/>
          <w:szCs w:val="24"/>
        </w:rPr>
        <w:t xml:space="preserve">This is shown in </w:t>
      </w:r>
      <w:r w:rsidRPr="00C51D34">
        <w:rPr>
          <w:rFonts w:asciiTheme="minorHAnsi" w:hAnsiTheme="minorHAnsi"/>
          <w:szCs w:val="24"/>
        </w:rPr>
        <w:t>Table</w:t>
      </w:r>
      <w:r w:rsidR="006A7894">
        <w:rPr>
          <w:rFonts w:asciiTheme="minorHAnsi" w:hAnsiTheme="minorHAnsi"/>
          <w:szCs w:val="24"/>
        </w:rPr>
        <w:t>s</w:t>
      </w:r>
      <w:r w:rsidRPr="00C51D34">
        <w:rPr>
          <w:rFonts w:asciiTheme="minorHAnsi" w:hAnsiTheme="minorHAnsi"/>
          <w:szCs w:val="24"/>
        </w:rPr>
        <w:t xml:space="preserve"> 1</w:t>
      </w:r>
      <w:r w:rsidR="00993A37">
        <w:rPr>
          <w:rFonts w:asciiTheme="minorHAnsi" w:hAnsiTheme="minorHAnsi"/>
          <w:szCs w:val="24"/>
        </w:rPr>
        <w:t>5</w:t>
      </w:r>
      <w:r w:rsidR="00617F96">
        <w:rPr>
          <w:rFonts w:asciiTheme="minorHAnsi" w:hAnsiTheme="minorHAnsi"/>
          <w:szCs w:val="24"/>
        </w:rPr>
        <w:t xml:space="preserve"> and Table 1</w:t>
      </w:r>
      <w:r w:rsidR="00993A37">
        <w:rPr>
          <w:rFonts w:asciiTheme="minorHAnsi" w:hAnsiTheme="minorHAnsi"/>
          <w:szCs w:val="24"/>
        </w:rPr>
        <w:t>6</w:t>
      </w:r>
      <w:r>
        <w:rPr>
          <w:rFonts w:asciiTheme="minorHAnsi" w:hAnsiTheme="minorHAnsi"/>
          <w:szCs w:val="24"/>
        </w:rPr>
        <w:t xml:space="preserve">. </w:t>
      </w:r>
      <w:r w:rsidR="00A84FCD">
        <w:rPr>
          <w:rFonts w:asciiTheme="minorHAnsi" w:hAnsiTheme="minorHAnsi"/>
          <w:szCs w:val="24"/>
        </w:rPr>
        <w:t xml:space="preserve">A smaller percent of pediatric Group 1 and Group 2 patients identified at White compared to </w:t>
      </w:r>
      <w:r w:rsidR="001603C1">
        <w:rPr>
          <w:rFonts w:asciiTheme="minorHAnsi" w:hAnsiTheme="minorHAnsi"/>
          <w:szCs w:val="24"/>
        </w:rPr>
        <w:t xml:space="preserve">the </w:t>
      </w:r>
      <w:r w:rsidR="000B5C98">
        <w:rPr>
          <w:rFonts w:asciiTheme="minorHAnsi" w:hAnsiTheme="minorHAnsi"/>
          <w:szCs w:val="24"/>
        </w:rPr>
        <w:t xml:space="preserve">Applicant’s Patient Panel </w:t>
      </w:r>
      <w:r w:rsidR="00A84FCD">
        <w:rPr>
          <w:rFonts w:asciiTheme="minorHAnsi" w:hAnsiTheme="minorHAnsi"/>
          <w:szCs w:val="24"/>
        </w:rPr>
        <w:t>and Massachusetts</w:t>
      </w:r>
      <w:r w:rsidR="000B5C98">
        <w:rPr>
          <w:rFonts w:asciiTheme="minorHAnsi" w:hAnsiTheme="minorHAnsi"/>
          <w:szCs w:val="24"/>
        </w:rPr>
        <w:t xml:space="preserve"> patients</w:t>
      </w:r>
      <w:r w:rsidR="00A84FCD">
        <w:rPr>
          <w:rFonts w:asciiTheme="minorHAnsi" w:hAnsiTheme="minorHAnsi"/>
          <w:szCs w:val="24"/>
        </w:rPr>
        <w:t xml:space="preserve">, and a </w:t>
      </w:r>
      <w:r w:rsidR="002A2137">
        <w:rPr>
          <w:rFonts w:asciiTheme="minorHAnsi" w:hAnsiTheme="minorHAnsi"/>
          <w:szCs w:val="24"/>
        </w:rPr>
        <w:t xml:space="preserve">much </w:t>
      </w:r>
      <w:r w:rsidR="00A84FCD">
        <w:rPr>
          <w:rFonts w:asciiTheme="minorHAnsi" w:hAnsiTheme="minorHAnsi"/>
          <w:szCs w:val="24"/>
        </w:rPr>
        <w:t xml:space="preserve">larger percentage of pediatric Group 1 or Group 2 patients </w:t>
      </w:r>
      <w:r w:rsidR="006A7894">
        <w:rPr>
          <w:rFonts w:asciiTheme="minorHAnsi" w:hAnsiTheme="minorHAnsi"/>
          <w:szCs w:val="24"/>
        </w:rPr>
        <w:t>comprised</w:t>
      </w:r>
      <w:r w:rsidR="002A2137">
        <w:rPr>
          <w:rFonts w:asciiTheme="minorHAnsi" w:hAnsiTheme="minorHAnsi"/>
          <w:szCs w:val="24"/>
        </w:rPr>
        <w:t xml:space="preserve"> the race/ethnicity category </w:t>
      </w:r>
      <w:r w:rsidR="00A84FCD">
        <w:rPr>
          <w:rFonts w:asciiTheme="minorHAnsi" w:hAnsiTheme="minorHAnsi"/>
          <w:szCs w:val="24"/>
        </w:rPr>
        <w:t xml:space="preserve">“Other”. </w:t>
      </w:r>
      <w:r w:rsidR="00F66683">
        <w:rPr>
          <w:rFonts w:asciiTheme="minorHAnsi" w:hAnsiTheme="minorHAnsi"/>
          <w:szCs w:val="24"/>
        </w:rPr>
        <w:t>Commercial</w:t>
      </w:r>
      <w:r w:rsidR="0066203B">
        <w:rPr>
          <w:rFonts w:asciiTheme="minorHAnsi" w:hAnsiTheme="minorHAnsi"/>
          <w:szCs w:val="24"/>
        </w:rPr>
        <w:t xml:space="preserve"> payer mix is the largest payer followed by </w:t>
      </w:r>
      <w:r w:rsidR="007112A8">
        <w:rPr>
          <w:rFonts w:asciiTheme="minorHAnsi" w:hAnsiTheme="minorHAnsi"/>
          <w:szCs w:val="24"/>
        </w:rPr>
        <w:t>Medicaid</w:t>
      </w:r>
      <w:r w:rsidR="00AE506D">
        <w:rPr>
          <w:rFonts w:asciiTheme="minorHAnsi" w:hAnsiTheme="minorHAnsi"/>
          <w:szCs w:val="24"/>
        </w:rPr>
        <w:t xml:space="preserve">, similar to the </w:t>
      </w:r>
      <w:r w:rsidR="007850FA">
        <w:rPr>
          <w:rFonts w:asciiTheme="minorHAnsi" w:hAnsiTheme="minorHAnsi"/>
          <w:szCs w:val="24"/>
        </w:rPr>
        <w:t>p</w:t>
      </w:r>
      <w:r w:rsidR="00AE506D">
        <w:rPr>
          <w:rFonts w:asciiTheme="minorHAnsi" w:hAnsiTheme="minorHAnsi"/>
          <w:szCs w:val="24"/>
        </w:rPr>
        <w:t xml:space="preserve">ayer </w:t>
      </w:r>
      <w:r w:rsidR="007850FA">
        <w:rPr>
          <w:rFonts w:asciiTheme="minorHAnsi" w:hAnsiTheme="minorHAnsi"/>
          <w:szCs w:val="24"/>
        </w:rPr>
        <w:t>m</w:t>
      </w:r>
      <w:r w:rsidR="00AE506D">
        <w:rPr>
          <w:rFonts w:asciiTheme="minorHAnsi" w:hAnsiTheme="minorHAnsi"/>
          <w:szCs w:val="24"/>
        </w:rPr>
        <w:t>ix for the Applicant’s pediatric patients</w:t>
      </w:r>
      <w:r w:rsidR="00DC0531">
        <w:rPr>
          <w:rFonts w:asciiTheme="minorHAnsi" w:hAnsiTheme="minorHAnsi"/>
          <w:szCs w:val="24"/>
        </w:rPr>
        <w:t xml:space="preserve"> (Table 6)</w:t>
      </w:r>
      <w:r w:rsidR="007112A8">
        <w:rPr>
          <w:rFonts w:asciiTheme="minorHAnsi" w:hAnsiTheme="minorHAnsi"/>
          <w:szCs w:val="24"/>
        </w:rPr>
        <w:t xml:space="preserve">. </w:t>
      </w:r>
      <w:r w:rsidR="006A7894">
        <w:rPr>
          <w:rFonts w:asciiTheme="minorHAnsi" w:hAnsiTheme="minorHAnsi"/>
          <w:szCs w:val="24"/>
        </w:rPr>
        <w:t>“</w:t>
      </w:r>
      <w:r w:rsidR="00F66683">
        <w:rPr>
          <w:rFonts w:asciiTheme="minorHAnsi" w:hAnsiTheme="minorHAnsi"/>
          <w:szCs w:val="24"/>
        </w:rPr>
        <w:t>Other</w:t>
      </w:r>
      <w:r w:rsidR="006A7894">
        <w:rPr>
          <w:rFonts w:asciiTheme="minorHAnsi" w:hAnsiTheme="minorHAnsi"/>
          <w:szCs w:val="24"/>
        </w:rPr>
        <w:t>”</w:t>
      </w:r>
      <w:r w:rsidR="00F66683">
        <w:rPr>
          <w:rFonts w:asciiTheme="minorHAnsi" w:hAnsiTheme="minorHAnsi"/>
          <w:szCs w:val="24"/>
        </w:rPr>
        <w:t xml:space="preserve"> and </w:t>
      </w:r>
      <w:r w:rsidR="006A7894">
        <w:rPr>
          <w:rFonts w:asciiTheme="minorHAnsi" w:hAnsiTheme="minorHAnsi"/>
          <w:szCs w:val="24"/>
        </w:rPr>
        <w:t>“</w:t>
      </w:r>
      <w:r w:rsidR="00F66683">
        <w:rPr>
          <w:rFonts w:asciiTheme="minorHAnsi" w:hAnsiTheme="minorHAnsi"/>
          <w:szCs w:val="24"/>
        </w:rPr>
        <w:t>Other MA counties</w:t>
      </w:r>
      <w:r w:rsidR="006A7894">
        <w:rPr>
          <w:rFonts w:asciiTheme="minorHAnsi" w:hAnsiTheme="minorHAnsi"/>
          <w:szCs w:val="24"/>
        </w:rPr>
        <w:t>”</w:t>
      </w:r>
      <w:r w:rsidR="003C09B8">
        <w:rPr>
          <w:rFonts w:asciiTheme="minorHAnsi" w:hAnsiTheme="minorHAnsi"/>
          <w:szCs w:val="24"/>
        </w:rPr>
        <w:t xml:space="preserve">, both representing combined counts </w:t>
      </w:r>
      <w:r w:rsidR="006A7894">
        <w:rPr>
          <w:rFonts w:asciiTheme="minorHAnsi" w:hAnsiTheme="minorHAnsi"/>
          <w:szCs w:val="24"/>
        </w:rPr>
        <w:t>with</w:t>
      </w:r>
      <w:r w:rsidR="003C09B8">
        <w:rPr>
          <w:rFonts w:asciiTheme="minorHAnsi" w:hAnsiTheme="minorHAnsi"/>
          <w:szCs w:val="24"/>
        </w:rPr>
        <w:t xml:space="preserve"> less than 11,</w:t>
      </w:r>
      <w:r w:rsidR="00F66683">
        <w:rPr>
          <w:rFonts w:asciiTheme="minorHAnsi" w:hAnsiTheme="minorHAnsi"/>
          <w:szCs w:val="24"/>
        </w:rPr>
        <w:t xml:space="preserve"> were the </w:t>
      </w:r>
      <w:r w:rsidR="004E7055">
        <w:rPr>
          <w:rFonts w:asciiTheme="minorHAnsi" w:hAnsiTheme="minorHAnsi"/>
          <w:szCs w:val="24"/>
        </w:rPr>
        <w:t xml:space="preserve">largest </w:t>
      </w:r>
      <w:r w:rsidR="006A7894">
        <w:rPr>
          <w:rFonts w:asciiTheme="minorHAnsi" w:hAnsiTheme="minorHAnsi"/>
          <w:szCs w:val="24"/>
        </w:rPr>
        <w:t>groups representing</w:t>
      </w:r>
      <w:r w:rsidR="00F66683">
        <w:rPr>
          <w:rFonts w:asciiTheme="minorHAnsi" w:hAnsiTheme="minorHAnsi"/>
          <w:szCs w:val="24"/>
        </w:rPr>
        <w:t xml:space="preserve"> patient origin</w:t>
      </w:r>
      <w:r w:rsidR="004E7055">
        <w:rPr>
          <w:rFonts w:asciiTheme="minorHAnsi" w:hAnsiTheme="minorHAnsi"/>
          <w:szCs w:val="24"/>
        </w:rPr>
        <w:t xml:space="preserve"> or</w:t>
      </w:r>
      <w:r w:rsidR="00F66683">
        <w:rPr>
          <w:rFonts w:asciiTheme="minorHAnsi" w:hAnsiTheme="minorHAnsi"/>
          <w:szCs w:val="24"/>
        </w:rPr>
        <w:t xml:space="preserve"> geograph</w:t>
      </w:r>
      <w:r w:rsidR="004E7055">
        <w:rPr>
          <w:rFonts w:asciiTheme="minorHAnsi" w:hAnsiTheme="minorHAnsi"/>
          <w:szCs w:val="24"/>
        </w:rPr>
        <w:t>y</w:t>
      </w:r>
      <w:r w:rsidR="00F66683">
        <w:rPr>
          <w:rFonts w:asciiTheme="minorHAnsi" w:hAnsiTheme="minorHAnsi"/>
          <w:szCs w:val="24"/>
        </w:rPr>
        <w:t xml:space="preserve"> for pediatric Group 1 and Group 2 patients</w:t>
      </w:r>
      <w:r w:rsidR="00267E7C">
        <w:rPr>
          <w:rFonts w:asciiTheme="minorHAnsi" w:hAnsiTheme="minorHAnsi"/>
          <w:szCs w:val="24"/>
        </w:rPr>
        <w:t>,</w:t>
      </w:r>
      <w:r w:rsidR="00F66683">
        <w:rPr>
          <w:rFonts w:asciiTheme="minorHAnsi" w:hAnsiTheme="minorHAnsi"/>
          <w:szCs w:val="24"/>
        </w:rPr>
        <w:t xml:space="preserve"> respectively.</w:t>
      </w:r>
      <w:r w:rsidR="00B63ACC">
        <w:rPr>
          <w:rFonts w:asciiTheme="minorHAnsi" w:hAnsiTheme="minorHAnsi"/>
          <w:szCs w:val="24"/>
        </w:rPr>
        <w:t xml:space="preserve"> </w:t>
      </w:r>
      <w:r w:rsidR="00A42803">
        <w:rPr>
          <w:rFonts w:asciiTheme="minorHAnsi" w:hAnsiTheme="minorHAnsi"/>
          <w:szCs w:val="24"/>
        </w:rPr>
        <w:t xml:space="preserve">Staff note that the </w:t>
      </w:r>
      <w:r w:rsidR="00FE2D5E">
        <w:rPr>
          <w:rFonts w:asciiTheme="minorHAnsi" w:hAnsiTheme="minorHAnsi"/>
          <w:szCs w:val="24"/>
        </w:rPr>
        <w:lastRenderedPageBreak/>
        <w:t>Geography C</w:t>
      </w:r>
      <w:r w:rsidR="00A42803">
        <w:rPr>
          <w:rFonts w:asciiTheme="minorHAnsi" w:hAnsiTheme="minorHAnsi"/>
          <w:szCs w:val="24"/>
        </w:rPr>
        <w:t>ategory “Other” for Grou</w:t>
      </w:r>
      <w:r w:rsidR="00834019">
        <w:rPr>
          <w:rFonts w:asciiTheme="minorHAnsi" w:hAnsiTheme="minorHAnsi"/>
          <w:szCs w:val="24"/>
        </w:rPr>
        <w:t>p</w:t>
      </w:r>
      <w:r w:rsidR="00A42803">
        <w:rPr>
          <w:rFonts w:asciiTheme="minorHAnsi" w:hAnsiTheme="minorHAnsi"/>
          <w:szCs w:val="24"/>
        </w:rPr>
        <w:t xml:space="preserve"> 2 pediatric patients, includes states </w:t>
      </w:r>
      <w:r w:rsidR="00793F14">
        <w:rPr>
          <w:rFonts w:asciiTheme="minorHAnsi" w:hAnsiTheme="minorHAnsi"/>
          <w:szCs w:val="24"/>
        </w:rPr>
        <w:t>(</w:t>
      </w:r>
      <w:r w:rsidR="005B463B" w:rsidRPr="005B463B">
        <w:rPr>
          <w:rFonts w:asciiTheme="minorHAnsi" w:hAnsiTheme="minorHAnsi"/>
          <w:szCs w:val="24"/>
        </w:rPr>
        <w:t>New York, Connecticut, Rhode Island, Maine, Virginia, Vermont, North Carolina, Illinois,</w:t>
      </w:r>
      <w:r w:rsidR="00362A05">
        <w:rPr>
          <w:rFonts w:asciiTheme="minorHAnsi" w:hAnsiTheme="minorHAnsi"/>
          <w:szCs w:val="24"/>
        </w:rPr>
        <w:t xml:space="preserve"> and</w:t>
      </w:r>
      <w:r w:rsidR="005B463B" w:rsidRPr="005B463B">
        <w:rPr>
          <w:rFonts w:asciiTheme="minorHAnsi" w:hAnsiTheme="minorHAnsi"/>
          <w:szCs w:val="24"/>
        </w:rPr>
        <w:t xml:space="preserve"> Florida</w:t>
      </w:r>
      <w:r w:rsidR="005B463B">
        <w:rPr>
          <w:rFonts w:asciiTheme="minorHAnsi" w:hAnsiTheme="minorHAnsi"/>
          <w:szCs w:val="24"/>
        </w:rPr>
        <w:t xml:space="preserve">) </w:t>
      </w:r>
      <w:r w:rsidR="006D7702">
        <w:rPr>
          <w:rFonts w:asciiTheme="minorHAnsi" w:hAnsiTheme="minorHAnsi"/>
          <w:szCs w:val="24"/>
        </w:rPr>
        <w:t>from</w:t>
      </w:r>
      <w:r w:rsidR="00A42803">
        <w:rPr>
          <w:rFonts w:asciiTheme="minorHAnsi" w:hAnsiTheme="minorHAnsi"/>
          <w:szCs w:val="24"/>
        </w:rPr>
        <w:t xml:space="preserve"> which patients </w:t>
      </w:r>
      <w:r w:rsidR="00A15937">
        <w:rPr>
          <w:rFonts w:asciiTheme="minorHAnsi" w:hAnsiTheme="minorHAnsi"/>
          <w:szCs w:val="24"/>
        </w:rPr>
        <w:t xml:space="preserve">may be </w:t>
      </w:r>
      <w:r w:rsidR="00A42803">
        <w:rPr>
          <w:rFonts w:asciiTheme="minorHAnsi" w:hAnsiTheme="minorHAnsi"/>
          <w:szCs w:val="24"/>
        </w:rPr>
        <w:t>unlikely to</w:t>
      </w:r>
      <w:r w:rsidR="00F8349A">
        <w:rPr>
          <w:rFonts w:asciiTheme="minorHAnsi" w:hAnsiTheme="minorHAnsi"/>
          <w:szCs w:val="24"/>
        </w:rPr>
        <w:t xml:space="preserve"> travel to Massachusetts to </w:t>
      </w:r>
      <w:r w:rsidR="00A42803">
        <w:rPr>
          <w:rFonts w:asciiTheme="minorHAnsi" w:hAnsiTheme="minorHAnsi"/>
          <w:szCs w:val="24"/>
        </w:rPr>
        <w:t xml:space="preserve">seek PBT </w:t>
      </w:r>
      <w:r w:rsidR="006D7702">
        <w:rPr>
          <w:rFonts w:asciiTheme="minorHAnsi" w:hAnsiTheme="minorHAnsi"/>
          <w:szCs w:val="24"/>
        </w:rPr>
        <w:t>treatment</w:t>
      </w:r>
      <w:r w:rsidR="00A42803">
        <w:rPr>
          <w:rFonts w:asciiTheme="minorHAnsi" w:hAnsiTheme="minorHAnsi"/>
          <w:szCs w:val="24"/>
        </w:rPr>
        <w:t xml:space="preserve">, </w:t>
      </w:r>
      <w:r w:rsidR="00D2366E">
        <w:rPr>
          <w:rFonts w:asciiTheme="minorHAnsi" w:hAnsiTheme="minorHAnsi"/>
          <w:szCs w:val="24"/>
        </w:rPr>
        <w:t>because</w:t>
      </w:r>
      <w:r w:rsidR="00E77266">
        <w:rPr>
          <w:rFonts w:asciiTheme="minorHAnsi" w:hAnsiTheme="minorHAnsi"/>
          <w:szCs w:val="24"/>
        </w:rPr>
        <w:t xml:space="preserve"> patients </w:t>
      </w:r>
      <w:r w:rsidR="00A15937">
        <w:rPr>
          <w:rFonts w:asciiTheme="minorHAnsi" w:hAnsiTheme="minorHAnsi"/>
          <w:szCs w:val="24"/>
        </w:rPr>
        <w:t>c</w:t>
      </w:r>
      <w:r w:rsidR="001E2D32">
        <w:rPr>
          <w:rFonts w:asciiTheme="minorHAnsi" w:hAnsiTheme="minorHAnsi"/>
          <w:szCs w:val="24"/>
        </w:rPr>
        <w:t>ould instead seek PBT treatment closer to home</w:t>
      </w:r>
      <w:r w:rsidR="006720E7">
        <w:rPr>
          <w:rFonts w:asciiTheme="minorHAnsi" w:hAnsiTheme="minorHAnsi"/>
          <w:szCs w:val="24"/>
        </w:rPr>
        <w:t>.</w:t>
      </w:r>
    </w:p>
    <w:p w14:paraId="4EF11805" w14:textId="77777777" w:rsidR="00306F94" w:rsidRDefault="00306F94" w:rsidP="005368F9">
      <w:pPr>
        <w:rPr>
          <w:rFonts w:asciiTheme="minorHAnsi" w:hAnsiTheme="minorHAnsi"/>
          <w:szCs w:val="24"/>
        </w:rPr>
      </w:pPr>
    </w:p>
    <w:p w14:paraId="55A54DA4" w14:textId="77777777" w:rsidR="00306F94" w:rsidRDefault="00306F94" w:rsidP="005368F9">
      <w:pPr>
        <w:rPr>
          <w:rFonts w:asciiTheme="minorHAnsi" w:hAnsiTheme="minorHAnsi"/>
          <w:szCs w:val="24"/>
        </w:rPr>
      </w:pPr>
    </w:p>
    <w:p w14:paraId="44F860D7" w14:textId="77777777" w:rsidR="00306F94" w:rsidRDefault="00306F94" w:rsidP="005368F9">
      <w:pPr>
        <w:rPr>
          <w:rFonts w:asciiTheme="minorHAnsi" w:hAnsiTheme="minorHAnsi"/>
          <w:szCs w:val="24"/>
        </w:rPr>
      </w:pPr>
    </w:p>
    <w:p w14:paraId="08CE155C" w14:textId="77777777" w:rsidR="003735D4" w:rsidRDefault="003735D4" w:rsidP="005368F9">
      <w:pPr>
        <w:rPr>
          <w:rFonts w:asciiTheme="minorHAnsi" w:hAnsiTheme="minorHAnsi"/>
          <w:szCs w:val="24"/>
        </w:rPr>
      </w:pPr>
    </w:p>
    <w:p w14:paraId="4C1DE208" w14:textId="50DA034D" w:rsidR="00FB7989" w:rsidRDefault="00193C27" w:rsidP="003C50FD">
      <w:pPr>
        <w:rPr>
          <w:rFonts w:asciiTheme="minorHAnsi" w:hAnsiTheme="minorHAnsi"/>
          <w:b/>
          <w:bCs/>
          <w:szCs w:val="24"/>
        </w:rPr>
      </w:pPr>
      <w:r w:rsidRPr="00193C27">
        <w:rPr>
          <w:rFonts w:asciiTheme="minorHAnsi" w:hAnsiTheme="minorHAnsi"/>
          <w:b/>
          <w:bCs/>
          <w:szCs w:val="24"/>
          <w:u w:val="single"/>
        </w:rPr>
        <w:t xml:space="preserve">Table </w:t>
      </w:r>
      <w:r w:rsidR="007F57F0">
        <w:rPr>
          <w:rFonts w:asciiTheme="minorHAnsi" w:hAnsiTheme="minorHAnsi"/>
          <w:b/>
          <w:bCs/>
          <w:szCs w:val="24"/>
          <w:u w:val="single"/>
        </w:rPr>
        <w:t>1</w:t>
      </w:r>
      <w:r w:rsidR="00993A37">
        <w:rPr>
          <w:rFonts w:asciiTheme="minorHAnsi" w:hAnsiTheme="minorHAnsi"/>
          <w:b/>
          <w:bCs/>
          <w:szCs w:val="24"/>
          <w:u w:val="single"/>
        </w:rPr>
        <w:t>5</w:t>
      </w:r>
      <w:r w:rsidRPr="00193C27">
        <w:rPr>
          <w:rFonts w:asciiTheme="minorHAnsi" w:hAnsiTheme="minorHAnsi"/>
          <w:b/>
          <w:bCs/>
          <w:szCs w:val="24"/>
        </w:rPr>
        <w:t xml:space="preserve">: </w:t>
      </w:r>
      <w:r w:rsidR="00840CB8">
        <w:rPr>
          <w:rFonts w:asciiTheme="minorHAnsi" w:hAnsiTheme="minorHAnsi"/>
          <w:b/>
          <w:bCs/>
          <w:szCs w:val="24"/>
        </w:rPr>
        <w:t xml:space="preserve">DFCI </w:t>
      </w:r>
      <w:r w:rsidRPr="00193C27">
        <w:rPr>
          <w:rFonts w:asciiTheme="minorHAnsi" w:hAnsiTheme="minorHAnsi"/>
          <w:b/>
          <w:bCs/>
          <w:szCs w:val="24"/>
        </w:rPr>
        <w:t>Pediatric Group 1 and Group 2 Demographic Information, FY24</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960"/>
        <w:gridCol w:w="960"/>
        <w:gridCol w:w="2920"/>
        <w:gridCol w:w="960"/>
        <w:gridCol w:w="960"/>
      </w:tblGrid>
      <w:tr w:rsidR="00A907AE" w:rsidRPr="00617F96" w14:paraId="18BB8BF2" w14:textId="77777777" w:rsidTr="004F1F0A">
        <w:trPr>
          <w:cantSplit/>
          <w:trHeight w:val="290"/>
          <w:tblHeader/>
        </w:trPr>
        <w:tc>
          <w:tcPr>
            <w:tcW w:w="2760" w:type="dxa"/>
            <w:shd w:val="clear" w:color="auto" w:fill="DBE5F1" w:themeFill="accent1" w:themeFillTint="33"/>
            <w:noWrap/>
            <w:vAlign w:val="bottom"/>
            <w:hideMark/>
          </w:tcPr>
          <w:p w14:paraId="1FC08ECB" w14:textId="7AC8A849" w:rsidR="00A907AE" w:rsidRPr="00617F96" w:rsidRDefault="00A907AE" w:rsidP="00A907AE">
            <w:pPr>
              <w:widowControl/>
              <w:autoSpaceDE/>
              <w:autoSpaceDN/>
              <w:jc w:val="center"/>
              <w:rPr>
                <w:rFonts w:asciiTheme="minorHAnsi" w:eastAsia="Times New Roman" w:hAnsiTheme="minorHAnsi"/>
                <w:b/>
                <w:bCs/>
                <w:color w:val="000000"/>
                <w:sz w:val="22"/>
                <w:szCs w:val="22"/>
              </w:rPr>
            </w:pPr>
          </w:p>
        </w:tc>
        <w:tc>
          <w:tcPr>
            <w:tcW w:w="960" w:type="dxa"/>
            <w:shd w:val="clear" w:color="auto" w:fill="DBE5F1" w:themeFill="accent1" w:themeFillTint="33"/>
            <w:noWrap/>
            <w:vAlign w:val="bottom"/>
            <w:hideMark/>
          </w:tcPr>
          <w:p w14:paraId="0CE67A7B" w14:textId="77777777" w:rsidR="00A907AE" w:rsidRPr="00617F96" w:rsidRDefault="00A907AE" w:rsidP="00A907AE">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Group 1</w:t>
            </w:r>
          </w:p>
        </w:tc>
        <w:tc>
          <w:tcPr>
            <w:tcW w:w="960" w:type="dxa"/>
            <w:shd w:val="clear" w:color="auto" w:fill="DBE5F1" w:themeFill="accent1" w:themeFillTint="33"/>
            <w:vAlign w:val="bottom"/>
          </w:tcPr>
          <w:p w14:paraId="6AE60BCA" w14:textId="4642E401" w:rsidR="00A907AE" w:rsidRPr="00617F96" w:rsidRDefault="00A907AE" w:rsidP="00A907AE">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Group 1</w:t>
            </w:r>
          </w:p>
        </w:tc>
        <w:tc>
          <w:tcPr>
            <w:tcW w:w="2920" w:type="dxa"/>
            <w:shd w:val="clear" w:color="auto" w:fill="DBE5F1" w:themeFill="accent1" w:themeFillTint="33"/>
            <w:noWrap/>
            <w:vAlign w:val="bottom"/>
            <w:hideMark/>
          </w:tcPr>
          <w:p w14:paraId="165F2CC3" w14:textId="62065A6F" w:rsidR="00A907AE" w:rsidRPr="00617F96" w:rsidRDefault="00A907AE" w:rsidP="00A907AE">
            <w:pPr>
              <w:widowControl/>
              <w:autoSpaceDE/>
              <w:autoSpaceDN/>
              <w:jc w:val="center"/>
              <w:rPr>
                <w:rFonts w:asciiTheme="minorHAnsi" w:eastAsia="Times New Roman" w:hAnsiTheme="minorHAnsi"/>
                <w:b/>
                <w:bCs/>
                <w:color w:val="000000"/>
                <w:sz w:val="22"/>
                <w:szCs w:val="22"/>
              </w:rPr>
            </w:pPr>
          </w:p>
        </w:tc>
        <w:tc>
          <w:tcPr>
            <w:tcW w:w="960" w:type="dxa"/>
            <w:shd w:val="clear" w:color="auto" w:fill="DBE5F1" w:themeFill="accent1" w:themeFillTint="33"/>
            <w:noWrap/>
            <w:vAlign w:val="bottom"/>
            <w:hideMark/>
          </w:tcPr>
          <w:p w14:paraId="7BED9791" w14:textId="77777777" w:rsidR="00A907AE" w:rsidRPr="00617F96" w:rsidRDefault="00A907AE" w:rsidP="00A907AE">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Group 2</w:t>
            </w:r>
          </w:p>
        </w:tc>
        <w:tc>
          <w:tcPr>
            <w:tcW w:w="960" w:type="dxa"/>
            <w:shd w:val="clear" w:color="auto" w:fill="DBE5F1" w:themeFill="accent1" w:themeFillTint="33"/>
            <w:vAlign w:val="bottom"/>
          </w:tcPr>
          <w:p w14:paraId="5AB97B49" w14:textId="11E2C4C8" w:rsidR="00A907AE" w:rsidRPr="00617F96" w:rsidRDefault="00A907AE" w:rsidP="00A907AE">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Group 2</w:t>
            </w:r>
          </w:p>
        </w:tc>
      </w:tr>
      <w:tr w:rsidR="00A907AE" w:rsidRPr="00617F96" w14:paraId="6394E240" w14:textId="77777777" w:rsidTr="004F1F0A">
        <w:trPr>
          <w:cantSplit/>
          <w:trHeight w:val="290"/>
          <w:tblHeader/>
        </w:trPr>
        <w:tc>
          <w:tcPr>
            <w:tcW w:w="2760" w:type="dxa"/>
            <w:noWrap/>
            <w:vAlign w:val="bottom"/>
            <w:hideMark/>
          </w:tcPr>
          <w:p w14:paraId="6DF47005" w14:textId="77777777" w:rsidR="00A907AE" w:rsidRPr="00617F96" w:rsidRDefault="00A907AE" w:rsidP="00A907AE">
            <w:pPr>
              <w:widowControl/>
              <w:autoSpaceDE/>
              <w:autoSpaceDN/>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 </w:t>
            </w:r>
          </w:p>
        </w:tc>
        <w:tc>
          <w:tcPr>
            <w:tcW w:w="960" w:type="dxa"/>
            <w:noWrap/>
            <w:vAlign w:val="bottom"/>
            <w:hideMark/>
          </w:tcPr>
          <w:p w14:paraId="557A56FE" w14:textId="77777777" w:rsidR="00A907AE" w:rsidRPr="00617F96" w:rsidRDefault="00A907AE" w:rsidP="00A907AE">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Count</w:t>
            </w:r>
          </w:p>
        </w:tc>
        <w:tc>
          <w:tcPr>
            <w:tcW w:w="960" w:type="dxa"/>
            <w:noWrap/>
            <w:vAlign w:val="bottom"/>
            <w:hideMark/>
          </w:tcPr>
          <w:p w14:paraId="51682CC2" w14:textId="77777777" w:rsidR="00A907AE" w:rsidRPr="00617F96" w:rsidRDefault="00A907AE" w:rsidP="00A907AE">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w:t>
            </w:r>
          </w:p>
        </w:tc>
        <w:tc>
          <w:tcPr>
            <w:tcW w:w="2920" w:type="dxa"/>
            <w:noWrap/>
            <w:vAlign w:val="bottom"/>
            <w:hideMark/>
          </w:tcPr>
          <w:p w14:paraId="2489EA31" w14:textId="27349E2B" w:rsidR="00A907AE" w:rsidRPr="00617F96" w:rsidRDefault="00A907AE" w:rsidP="00A907AE">
            <w:pPr>
              <w:widowControl/>
              <w:autoSpaceDE/>
              <w:autoSpaceDN/>
              <w:jc w:val="center"/>
              <w:rPr>
                <w:rFonts w:asciiTheme="minorHAnsi" w:eastAsia="Times New Roman" w:hAnsiTheme="minorHAnsi"/>
                <w:b/>
                <w:bCs/>
                <w:color w:val="000000"/>
                <w:sz w:val="22"/>
                <w:szCs w:val="22"/>
              </w:rPr>
            </w:pPr>
          </w:p>
        </w:tc>
        <w:tc>
          <w:tcPr>
            <w:tcW w:w="960" w:type="dxa"/>
            <w:noWrap/>
            <w:vAlign w:val="bottom"/>
            <w:hideMark/>
          </w:tcPr>
          <w:p w14:paraId="59EA19DD" w14:textId="77777777" w:rsidR="00A907AE" w:rsidRPr="00617F96" w:rsidRDefault="00A907AE" w:rsidP="00A907AE">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Count</w:t>
            </w:r>
          </w:p>
        </w:tc>
        <w:tc>
          <w:tcPr>
            <w:tcW w:w="960" w:type="dxa"/>
            <w:noWrap/>
            <w:vAlign w:val="bottom"/>
            <w:hideMark/>
          </w:tcPr>
          <w:p w14:paraId="04EF18BE" w14:textId="77777777" w:rsidR="00A907AE" w:rsidRPr="00617F96" w:rsidRDefault="00A907AE" w:rsidP="00A907AE">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w:t>
            </w:r>
          </w:p>
        </w:tc>
      </w:tr>
      <w:tr w:rsidR="00A907AE" w:rsidRPr="00617F96" w14:paraId="1C7B4376" w14:textId="77777777" w:rsidTr="00A907AE">
        <w:trPr>
          <w:cantSplit/>
          <w:trHeight w:val="290"/>
        </w:trPr>
        <w:tc>
          <w:tcPr>
            <w:tcW w:w="2760" w:type="dxa"/>
            <w:noWrap/>
            <w:vAlign w:val="bottom"/>
            <w:hideMark/>
          </w:tcPr>
          <w:p w14:paraId="61B8980D" w14:textId="77777777" w:rsidR="00A907AE" w:rsidRPr="00617F96" w:rsidRDefault="00A907AE" w:rsidP="00A907AE">
            <w:pPr>
              <w:widowControl/>
              <w:autoSpaceDE/>
              <w:autoSpaceDN/>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 xml:space="preserve">Total </w:t>
            </w:r>
          </w:p>
        </w:tc>
        <w:tc>
          <w:tcPr>
            <w:tcW w:w="960" w:type="dxa"/>
            <w:noWrap/>
            <w:vAlign w:val="bottom"/>
            <w:hideMark/>
          </w:tcPr>
          <w:p w14:paraId="01AE0CA8"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276</w:t>
            </w:r>
          </w:p>
        </w:tc>
        <w:tc>
          <w:tcPr>
            <w:tcW w:w="960" w:type="dxa"/>
            <w:noWrap/>
            <w:vAlign w:val="bottom"/>
            <w:hideMark/>
          </w:tcPr>
          <w:p w14:paraId="0D284C05" w14:textId="3CF3F51B"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100%</w:t>
            </w:r>
          </w:p>
        </w:tc>
        <w:tc>
          <w:tcPr>
            <w:tcW w:w="2920" w:type="dxa"/>
            <w:noWrap/>
            <w:vAlign w:val="bottom"/>
            <w:hideMark/>
          </w:tcPr>
          <w:p w14:paraId="5DF91E21" w14:textId="77777777" w:rsidR="00A907AE" w:rsidRPr="00617F96" w:rsidRDefault="00A907AE" w:rsidP="00A907AE">
            <w:pPr>
              <w:widowControl/>
              <w:autoSpaceDE/>
              <w:autoSpaceDN/>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 xml:space="preserve">Total </w:t>
            </w:r>
          </w:p>
        </w:tc>
        <w:tc>
          <w:tcPr>
            <w:tcW w:w="960" w:type="dxa"/>
            <w:noWrap/>
            <w:vAlign w:val="bottom"/>
            <w:hideMark/>
          </w:tcPr>
          <w:p w14:paraId="3905BF4E"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147</w:t>
            </w:r>
          </w:p>
        </w:tc>
        <w:tc>
          <w:tcPr>
            <w:tcW w:w="960" w:type="dxa"/>
            <w:noWrap/>
            <w:vAlign w:val="bottom"/>
            <w:hideMark/>
          </w:tcPr>
          <w:p w14:paraId="2C88F066" w14:textId="0355F2B9"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100%</w:t>
            </w:r>
          </w:p>
        </w:tc>
      </w:tr>
      <w:tr w:rsidR="00A907AE" w:rsidRPr="00617F96" w14:paraId="274D17A8" w14:textId="77777777" w:rsidTr="00A907AE">
        <w:trPr>
          <w:cantSplit/>
          <w:trHeight w:val="290"/>
        </w:trPr>
        <w:tc>
          <w:tcPr>
            <w:tcW w:w="2760" w:type="dxa"/>
            <w:shd w:val="clear" w:color="auto" w:fill="F2F2F2" w:themeFill="background1" w:themeFillShade="F2"/>
            <w:noWrap/>
            <w:vAlign w:val="bottom"/>
            <w:hideMark/>
          </w:tcPr>
          <w:p w14:paraId="57673417" w14:textId="773665F5" w:rsidR="00A907AE" w:rsidRPr="00617F96" w:rsidRDefault="00A907AE" w:rsidP="00A907AE">
            <w:pPr>
              <w:widowControl/>
              <w:autoSpaceDE/>
              <w:autoSpaceDN/>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Race &amp; Ethnicity</w:t>
            </w:r>
            <w:r w:rsidRPr="00617F96">
              <w:rPr>
                <w:rFonts w:asciiTheme="minorHAnsi" w:eastAsia="Times New Roman" w:hAnsiTheme="minorHAnsi"/>
                <w:b/>
                <w:bCs/>
                <w:color w:val="000000"/>
                <w:sz w:val="22"/>
                <w:szCs w:val="22"/>
                <w:vertAlign w:val="superscript"/>
              </w:rPr>
              <w:footnoteReference w:id="41"/>
            </w:r>
          </w:p>
        </w:tc>
        <w:tc>
          <w:tcPr>
            <w:tcW w:w="960" w:type="dxa"/>
            <w:shd w:val="clear" w:color="auto" w:fill="F2F2F2" w:themeFill="background1" w:themeFillShade="F2"/>
            <w:noWrap/>
            <w:vAlign w:val="bottom"/>
            <w:hideMark/>
          </w:tcPr>
          <w:p w14:paraId="2D463CA2" w14:textId="77777777" w:rsidR="00A907AE" w:rsidRPr="00617F96" w:rsidRDefault="00A907AE" w:rsidP="00A907AE">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Count</w:t>
            </w:r>
          </w:p>
        </w:tc>
        <w:tc>
          <w:tcPr>
            <w:tcW w:w="960" w:type="dxa"/>
            <w:shd w:val="clear" w:color="auto" w:fill="F2F2F2" w:themeFill="background1" w:themeFillShade="F2"/>
            <w:noWrap/>
            <w:vAlign w:val="bottom"/>
            <w:hideMark/>
          </w:tcPr>
          <w:p w14:paraId="7A90EA5D" w14:textId="77777777" w:rsidR="00A907AE" w:rsidRPr="00617F96" w:rsidRDefault="00A907AE" w:rsidP="00A907AE">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w:t>
            </w:r>
          </w:p>
        </w:tc>
        <w:tc>
          <w:tcPr>
            <w:tcW w:w="2920" w:type="dxa"/>
            <w:shd w:val="clear" w:color="auto" w:fill="F2F2F2" w:themeFill="background1" w:themeFillShade="F2"/>
            <w:noWrap/>
            <w:vAlign w:val="bottom"/>
            <w:hideMark/>
          </w:tcPr>
          <w:p w14:paraId="247BF7FC" w14:textId="1EF3749C" w:rsidR="00A907AE" w:rsidRPr="00617F96" w:rsidRDefault="00A907AE" w:rsidP="00A907AE">
            <w:pPr>
              <w:widowControl/>
              <w:autoSpaceDE/>
              <w:autoSpaceDN/>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Race &amp; Ethnicity</w:t>
            </w:r>
            <w:r w:rsidRPr="00617F96">
              <w:rPr>
                <w:rFonts w:asciiTheme="minorHAnsi" w:eastAsia="Times New Roman" w:hAnsiTheme="minorHAnsi"/>
                <w:b/>
                <w:bCs/>
                <w:color w:val="000000"/>
                <w:sz w:val="22"/>
                <w:szCs w:val="22"/>
                <w:vertAlign w:val="superscript"/>
              </w:rPr>
              <w:footnoteReference w:id="42"/>
            </w:r>
          </w:p>
        </w:tc>
        <w:tc>
          <w:tcPr>
            <w:tcW w:w="960" w:type="dxa"/>
            <w:shd w:val="clear" w:color="auto" w:fill="F2F2F2" w:themeFill="background1" w:themeFillShade="F2"/>
            <w:noWrap/>
            <w:vAlign w:val="bottom"/>
            <w:hideMark/>
          </w:tcPr>
          <w:p w14:paraId="42E53E50" w14:textId="77777777" w:rsidR="00A907AE" w:rsidRPr="00617F96" w:rsidRDefault="00A907AE" w:rsidP="00A907AE">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Count</w:t>
            </w:r>
          </w:p>
        </w:tc>
        <w:tc>
          <w:tcPr>
            <w:tcW w:w="960" w:type="dxa"/>
            <w:shd w:val="clear" w:color="auto" w:fill="F2F2F2" w:themeFill="background1" w:themeFillShade="F2"/>
            <w:noWrap/>
            <w:vAlign w:val="bottom"/>
            <w:hideMark/>
          </w:tcPr>
          <w:p w14:paraId="6F944CA4" w14:textId="77777777" w:rsidR="00A907AE" w:rsidRPr="00617F96" w:rsidRDefault="00A907AE" w:rsidP="00A907AE">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w:t>
            </w:r>
          </w:p>
        </w:tc>
      </w:tr>
      <w:tr w:rsidR="00A907AE" w:rsidRPr="00617F96" w14:paraId="3EEDE382" w14:textId="77777777" w:rsidTr="00A907AE">
        <w:trPr>
          <w:cantSplit/>
          <w:trHeight w:val="530"/>
        </w:trPr>
        <w:tc>
          <w:tcPr>
            <w:tcW w:w="2760" w:type="dxa"/>
            <w:hideMark/>
          </w:tcPr>
          <w:p w14:paraId="19006961" w14:textId="77777777"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 xml:space="preserve">White or Caucasian, </w:t>
            </w:r>
          </w:p>
          <w:p w14:paraId="5391470C" w14:textId="455954D1"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Non-Hispanic Latino</w:t>
            </w:r>
          </w:p>
        </w:tc>
        <w:tc>
          <w:tcPr>
            <w:tcW w:w="960" w:type="dxa"/>
            <w:noWrap/>
            <w:vAlign w:val="bottom"/>
            <w:hideMark/>
          </w:tcPr>
          <w:p w14:paraId="075F67FC"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125</w:t>
            </w:r>
          </w:p>
        </w:tc>
        <w:tc>
          <w:tcPr>
            <w:tcW w:w="960" w:type="dxa"/>
            <w:noWrap/>
            <w:vAlign w:val="bottom"/>
            <w:hideMark/>
          </w:tcPr>
          <w:p w14:paraId="7224F31B"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45%</w:t>
            </w:r>
          </w:p>
        </w:tc>
        <w:tc>
          <w:tcPr>
            <w:tcW w:w="2920" w:type="dxa"/>
            <w:hideMark/>
          </w:tcPr>
          <w:p w14:paraId="1929761D" w14:textId="77777777"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 xml:space="preserve">White or Caucasian, </w:t>
            </w:r>
          </w:p>
          <w:p w14:paraId="0E8F345E" w14:textId="60789DD6"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Non-Hispanic Latino</w:t>
            </w:r>
          </w:p>
        </w:tc>
        <w:tc>
          <w:tcPr>
            <w:tcW w:w="960" w:type="dxa"/>
            <w:noWrap/>
            <w:vAlign w:val="bottom"/>
            <w:hideMark/>
          </w:tcPr>
          <w:p w14:paraId="26D8C0CF"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80</w:t>
            </w:r>
          </w:p>
        </w:tc>
        <w:tc>
          <w:tcPr>
            <w:tcW w:w="960" w:type="dxa"/>
            <w:noWrap/>
            <w:vAlign w:val="bottom"/>
            <w:hideMark/>
          </w:tcPr>
          <w:p w14:paraId="646983B0"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54%</w:t>
            </w:r>
          </w:p>
        </w:tc>
      </w:tr>
      <w:tr w:rsidR="00A907AE" w:rsidRPr="00617F96" w14:paraId="64F4FF65" w14:textId="77777777" w:rsidTr="00A907AE">
        <w:trPr>
          <w:cantSplit/>
          <w:trHeight w:val="290"/>
        </w:trPr>
        <w:tc>
          <w:tcPr>
            <w:tcW w:w="2760" w:type="dxa"/>
            <w:noWrap/>
            <w:vAlign w:val="bottom"/>
            <w:hideMark/>
          </w:tcPr>
          <w:p w14:paraId="473DD3A2" w14:textId="2594CEDD"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Other</w:t>
            </w:r>
            <w:r w:rsidRPr="00617F96">
              <w:rPr>
                <w:rFonts w:asciiTheme="minorHAnsi" w:eastAsia="Times New Roman" w:hAnsiTheme="minorHAnsi"/>
                <w:color w:val="000000"/>
                <w:sz w:val="22"/>
                <w:szCs w:val="22"/>
                <w:vertAlign w:val="superscript"/>
              </w:rPr>
              <w:footnoteReference w:id="43"/>
            </w:r>
          </w:p>
        </w:tc>
        <w:tc>
          <w:tcPr>
            <w:tcW w:w="960" w:type="dxa"/>
            <w:noWrap/>
            <w:vAlign w:val="bottom"/>
            <w:hideMark/>
          </w:tcPr>
          <w:p w14:paraId="29ECCCCA"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118</w:t>
            </w:r>
          </w:p>
        </w:tc>
        <w:tc>
          <w:tcPr>
            <w:tcW w:w="960" w:type="dxa"/>
            <w:noWrap/>
            <w:vAlign w:val="bottom"/>
            <w:hideMark/>
          </w:tcPr>
          <w:p w14:paraId="7C791A2D"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43%</w:t>
            </w:r>
          </w:p>
        </w:tc>
        <w:tc>
          <w:tcPr>
            <w:tcW w:w="2920" w:type="dxa"/>
            <w:noWrap/>
            <w:vAlign w:val="bottom"/>
            <w:hideMark/>
          </w:tcPr>
          <w:p w14:paraId="4CEE2469" w14:textId="7635C797"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Other</w:t>
            </w:r>
            <w:r w:rsidRPr="00617F96">
              <w:rPr>
                <w:rFonts w:asciiTheme="minorHAnsi" w:eastAsia="Times New Roman" w:hAnsiTheme="minorHAnsi"/>
                <w:color w:val="000000"/>
                <w:sz w:val="22"/>
                <w:szCs w:val="22"/>
                <w:vertAlign w:val="superscript"/>
              </w:rPr>
              <w:footnoteReference w:id="44"/>
            </w:r>
          </w:p>
        </w:tc>
        <w:tc>
          <w:tcPr>
            <w:tcW w:w="960" w:type="dxa"/>
            <w:noWrap/>
            <w:vAlign w:val="bottom"/>
            <w:hideMark/>
          </w:tcPr>
          <w:p w14:paraId="66F7B7EB"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45</w:t>
            </w:r>
          </w:p>
        </w:tc>
        <w:tc>
          <w:tcPr>
            <w:tcW w:w="960" w:type="dxa"/>
            <w:noWrap/>
            <w:vAlign w:val="bottom"/>
            <w:hideMark/>
          </w:tcPr>
          <w:p w14:paraId="4857A22A"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31%</w:t>
            </w:r>
          </w:p>
        </w:tc>
      </w:tr>
      <w:tr w:rsidR="00A907AE" w:rsidRPr="00617F96" w14:paraId="768090A6" w14:textId="77777777" w:rsidTr="00A907AE">
        <w:trPr>
          <w:cantSplit/>
          <w:trHeight w:val="290"/>
        </w:trPr>
        <w:tc>
          <w:tcPr>
            <w:tcW w:w="2760" w:type="dxa"/>
            <w:noWrap/>
            <w:vAlign w:val="bottom"/>
            <w:hideMark/>
          </w:tcPr>
          <w:p w14:paraId="25F6B33D" w14:textId="77777777"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Hispanic or Latino</w:t>
            </w:r>
          </w:p>
        </w:tc>
        <w:tc>
          <w:tcPr>
            <w:tcW w:w="960" w:type="dxa"/>
            <w:noWrap/>
            <w:vAlign w:val="bottom"/>
            <w:hideMark/>
          </w:tcPr>
          <w:p w14:paraId="0446F412"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14</w:t>
            </w:r>
          </w:p>
        </w:tc>
        <w:tc>
          <w:tcPr>
            <w:tcW w:w="960" w:type="dxa"/>
            <w:noWrap/>
            <w:vAlign w:val="bottom"/>
            <w:hideMark/>
          </w:tcPr>
          <w:p w14:paraId="310DFFE7"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5%</w:t>
            </w:r>
          </w:p>
        </w:tc>
        <w:tc>
          <w:tcPr>
            <w:tcW w:w="2920" w:type="dxa"/>
            <w:noWrap/>
            <w:vAlign w:val="bottom"/>
            <w:hideMark/>
          </w:tcPr>
          <w:p w14:paraId="011EFE97" w14:textId="77777777"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Hispanic or Latino</w:t>
            </w:r>
          </w:p>
        </w:tc>
        <w:tc>
          <w:tcPr>
            <w:tcW w:w="960" w:type="dxa"/>
            <w:noWrap/>
            <w:vAlign w:val="bottom"/>
            <w:hideMark/>
          </w:tcPr>
          <w:p w14:paraId="1D1986C7"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Masked</w:t>
            </w:r>
          </w:p>
        </w:tc>
        <w:tc>
          <w:tcPr>
            <w:tcW w:w="960" w:type="dxa"/>
            <w:noWrap/>
            <w:vAlign w:val="bottom"/>
            <w:hideMark/>
          </w:tcPr>
          <w:p w14:paraId="7754424E"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Masked</w:t>
            </w:r>
          </w:p>
        </w:tc>
      </w:tr>
      <w:tr w:rsidR="00A907AE" w:rsidRPr="00617F96" w14:paraId="2500232F" w14:textId="77777777" w:rsidTr="00A907AE">
        <w:trPr>
          <w:cantSplit/>
          <w:trHeight w:val="290"/>
        </w:trPr>
        <w:tc>
          <w:tcPr>
            <w:tcW w:w="2760" w:type="dxa"/>
            <w:noWrap/>
            <w:vAlign w:val="bottom"/>
            <w:hideMark/>
          </w:tcPr>
          <w:p w14:paraId="3D3A1E86" w14:textId="77777777"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Asian, Non-Hispanic or Latino</w:t>
            </w:r>
          </w:p>
        </w:tc>
        <w:tc>
          <w:tcPr>
            <w:tcW w:w="960" w:type="dxa"/>
            <w:noWrap/>
            <w:vAlign w:val="bottom"/>
            <w:hideMark/>
          </w:tcPr>
          <w:p w14:paraId="79B1DC02"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Masked</w:t>
            </w:r>
          </w:p>
        </w:tc>
        <w:tc>
          <w:tcPr>
            <w:tcW w:w="960" w:type="dxa"/>
            <w:noWrap/>
            <w:vAlign w:val="bottom"/>
            <w:hideMark/>
          </w:tcPr>
          <w:p w14:paraId="3752370E"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Masked</w:t>
            </w:r>
          </w:p>
        </w:tc>
        <w:tc>
          <w:tcPr>
            <w:tcW w:w="2920" w:type="dxa"/>
            <w:noWrap/>
            <w:vAlign w:val="bottom"/>
            <w:hideMark/>
          </w:tcPr>
          <w:p w14:paraId="6816F783" w14:textId="77777777"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Asian, Non-Hispanic or Latino</w:t>
            </w:r>
          </w:p>
        </w:tc>
        <w:tc>
          <w:tcPr>
            <w:tcW w:w="960" w:type="dxa"/>
            <w:noWrap/>
            <w:vAlign w:val="bottom"/>
            <w:hideMark/>
          </w:tcPr>
          <w:p w14:paraId="54225E37"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Masked</w:t>
            </w:r>
          </w:p>
        </w:tc>
        <w:tc>
          <w:tcPr>
            <w:tcW w:w="960" w:type="dxa"/>
            <w:noWrap/>
            <w:vAlign w:val="bottom"/>
            <w:hideMark/>
          </w:tcPr>
          <w:p w14:paraId="458546F6"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Masked</w:t>
            </w:r>
          </w:p>
        </w:tc>
      </w:tr>
      <w:tr w:rsidR="00A907AE" w:rsidRPr="00617F96" w14:paraId="1B4758D5" w14:textId="77777777" w:rsidTr="00A907AE">
        <w:trPr>
          <w:cantSplit/>
          <w:trHeight w:val="290"/>
        </w:trPr>
        <w:tc>
          <w:tcPr>
            <w:tcW w:w="2760" w:type="dxa"/>
            <w:noWrap/>
            <w:vAlign w:val="bottom"/>
            <w:hideMark/>
          </w:tcPr>
          <w:p w14:paraId="1152976C" w14:textId="77777777"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Black or African-American</w:t>
            </w:r>
          </w:p>
        </w:tc>
        <w:tc>
          <w:tcPr>
            <w:tcW w:w="960" w:type="dxa"/>
            <w:noWrap/>
            <w:vAlign w:val="bottom"/>
            <w:hideMark/>
          </w:tcPr>
          <w:p w14:paraId="2887B971"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Masked</w:t>
            </w:r>
          </w:p>
        </w:tc>
        <w:tc>
          <w:tcPr>
            <w:tcW w:w="960" w:type="dxa"/>
            <w:noWrap/>
            <w:vAlign w:val="bottom"/>
            <w:hideMark/>
          </w:tcPr>
          <w:p w14:paraId="79E1E828"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Masked</w:t>
            </w:r>
          </w:p>
        </w:tc>
        <w:tc>
          <w:tcPr>
            <w:tcW w:w="2920" w:type="dxa"/>
            <w:noWrap/>
            <w:vAlign w:val="bottom"/>
            <w:hideMark/>
          </w:tcPr>
          <w:p w14:paraId="6A944B01" w14:textId="77777777"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Black or African-American</w:t>
            </w:r>
          </w:p>
        </w:tc>
        <w:tc>
          <w:tcPr>
            <w:tcW w:w="960" w:type="dxa"/>
            <w:noWrap/>
            <w:vAlign w:val="bottom"/>
            <w:hideMark/>
          </w:tcPr>
          <w:p w14:paraId="560E4499"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Masked</w:t>
            </w:r>
          </w:p>
        </w:tc>
        <w:tc>
          <w:tcPr>
            <w:tcW w:w="960" w:type="dxa"/>
            <w:noWrap/>
            <w:vAlign w:val="bottom"/>
            <w:hideMark/>
          </w:tcPr>
          <w:p w14:paraId="7C6A763F"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Masked</w:t>
            </w:r>
          </w:p>
        </w:tc>
      </w:tr>
      <w:tr w:rsidR="00A907AE" w:rsidRPr="00617F96" w14:paraId="4849273B" w14:textId="77777777" w:rsidTr="00A907AE">
        <w:trPr>
          <w:cantSplit/>
          <w:trHeight w:val="290"/>
        </w:trPr>
        <w:tc>
          <w:tcPr>
            <w:tcW w:w="2760" w:type="dxa"/>
            <w:noWrap/>
            <w:vAlign w:val="bottom"/>
            <w:hideMark/>
          </w:tcPr>
          <w:p w14:paraId="1B27A64B" w14:textId="77777777"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Multiracial, Non-Hispanic</w:t>
            </w:r>
          </w:p>
        </w:tc>
        <w:tc>
          <w:tcPr>
            <w:tcW w:w="960" w:type="dxa"/>
            <w:noWrap/>
            <w:vAlign w:val="bottom"/>
            <w:hideMark/>
          </w:tcPr>
          <w:p w14:paraId="5B234697"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Masked</w:t>
            </w:r>
          </w:p>
        </w:tc>
        <w:tc>
          <w:tcPr>
            <w:tcW w:w="960" w:type="dxa"/>
            <w:noWrap/>
            <w:vAlign w:val="bottom"/>
            <w:hideMark/>
          </w:tcPr>
          <w:p w14:paraId="7357E34C"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Masked</w:t>
            </w:r>
          </w:p>
        </w:tc>
        <w:tc>
          <w:tcPr>
            <w:tcW w:w="2920" w:type="dxa"/>
            <w:noWrap/>
            <w:vAlign w:val="bottom"/>
            <w:hideMark/>
          </w:tcPr>
          <w:p w14:paraId="0DB7CFA7" w14:textId="77777777"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Multiracial, Non-Hispanic</w:t>
            </w:r>
          </w:p>
        </w:tc>
        <w:tc>
          <w:tcPr>
            <w:tcW w:w="960" w:type="dxa"/>
            <w:noWrap/>
            <w:vAlign w:val="bottom"/>
            <w:hideMark/>
          </w:tcPr>
          <w:p w14:paraId="5FA5E2A7"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Masked</w:t>
            </w:r>
          </w:p>
        </w:tc>
        <w:tc>
          <w:tcPr>
            <w:tcW w:w="960" w:type="dxa"/>
            <w:noWrap/>
            <w:vAlign w:val="bottom"/>
            <w:hideMark/>
          </w:tcPr>
          <w:p w14:paraId="79F50837"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Masked</w:t>
            </w:r>
          </w:p>
        </w:tc>
      </w:tr>
      <w:tr w:rsidR="00A907AE" w:rsidRPr="00617F96" w14:paraId="5D8FC198" w14:textId="77777777" w:rsidTr="00A907AE">
        <w:trPr>
          <w:cantSplit/>
          <w:trHeight w:val="290"/>
        </w:trPr>
        <w:tc>
          <w:tcPr>
            <w:tcW w:w="2760" w:type="dxa"/>
            <w:shd w:val="clear" w:color="auto" w:fill="F2F2F2" w:themeFill="background1" w:themeFillShade="F2"/>
            <w:noWrap/>
            <w:vAlign w:val="bottom"/>
            <w:hideMark/>
          </w:tcPr>
          <w:p w14:paraId="28369F0C" w14:textId="77777777" w:rsidR="00A907AE" w:rsidRPr="00617F96" w:rsidRDefault="00A907AE" w:rsidP="00A907AE">
            <w:pPr>
              <w:widowControl/>
              <w:autoSpaceDE/>
              <w:autoSpaceDN/>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Geography</w:t>
            </w:r>
          </w:p>
        </w:tc>
        <w:tc>
          <w:tcPr>
            <w:tcW w:w="960" w:type="dxa"/>
            <w:shd w:val="clear" w:color="auto" w:fill="F2F2F2" w:themeFill="background1" w:themeFillShade="F2"/>
            <w:noWrap/>
            <w:vAlign w:val="bottom"/>
            <w:hideMark/>
          </w:tcPr>
          <w:p w14:paraId="528068E6" w14:textId="2EDC01B3" w:rsidR="00A907AE" w:rsidRPr="00617F96" w:rsidRDefault="00A907AE" w:rsidP="00A907AE">
            <w:pPr>
              <w:widowControl/>
              <w:autoSpaceDE/>
              <w:autoSpaceDN/>
              <w:jc w:val="center"/>
              <w:rPr>
                <w:rFonts w:asciiTheme="minorHAnsi" w:eastAsia="Times New Roman" w:hAnsiTheme="minorHAnsi"/>
                <w:b/>
                <w:bCs/>
                <w:color w:val="000000"/>
                <w:sz w:val="22"/>
                <w:szCs w:val="22"/>
              </w:rPr>
            </w:pPr>
          </w:p>
        </w:tc>
        <w:tc>
          <w:tcPr>
            <w:tcW w:w="960" w:type="dxa"/>
            <w:shd w:val="clear" w:color="auto" w:fill="F2F2F2" w:themeFill="background1" w:themeFillShade="F2"/>
            <w:noWrap/>
            <w:vAlign w:val="bottom"/>
            <w:hideMark/>
          </w:tcPr>
          <w:p w14:paraId="23451BB8" w14:textId="4939ECF2" w:rsidR="00A907AE" w:rsidRPr="00617F96" w:rsidRDefault="00A907AE" w:rsidP="00A907AE">
            <w:pPr>
              <w:widowControl/>
              <w:autoSpaceDE/>
              <w:autoSpaceDN/>
              <w:jc w:val="center"/>
              <w:rPr>
                <w:rFonts w:asciiTheme="minorHAnsi" w:eastAsia="Times New Roman" w:hAnsiTheme="minorHAnsi"/>
                <w:b/>
                <w:bCs/>
                <w:color w:val="000000"/>
                <w:sz w:val="22"/>
                <w:szCs w:val="22"/>
              </w:rPr>
            </w:pPr>
          </w:p>
        </w:tc>
        <w:tc>
          <w:tcPr>
            <w:tcW w:w="2920" w:type="dxa"/>
            <w:shd w:val="clear" w:color="auto" w:fill="F2F2F2" w:themeFill="background1" w:themeFillShade="F2"/>
            <w:noWrap/>
            <w:vAlign w:val="bottom"/>
            <w:hideMark/>
          </w:tcPr>
          <w:p w14:paraId="2D45255B" w14:textId="77777777" w:rsidR="00A907AE" w:rsidRPr="00617F96" w:rsidRDefault="00A907AE" w:rsidP="00A907AE">
            <w:pPr>
              <w:widowControl/>
              <w:autoSpaceDE/>
              <w:autoSpaceDN/>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Geography</w:t>
            </w:r>
          </w:p>
        </w:tc>
        <w:tc>
          <w:tcPr>
            <w:tcW w:w="960" w:type="dxa"/>
            <w:shd w:val="clear" w:color="auto" w:fill="F2F2F2" w:themeFill="background1" w:themeFillShade="F2"/>
            <w:noWrap/>
            <w:vAlign w:val="bottom"/>
            <w:hideMark/>
          </w:tcPr>
          <w:p w14:paraId="50B6E0C9" w14:textId="78A8265F" w:rsidR="00A907AE" w:rsidRPr="00617F96" w:rsidRDefault="00A907AE" w:rsidP="00A907AE">
            <w:pPr>
              <w:widowControl/>
              <w:autoSpaceDE/>
              <w:autoSpaceDN/>
              <w:jc w:val="center"/>
              <w:rPr>
                <w:rFonts w:asciiTheme="minorHAnsi" w:eastAsia="Times New Roman" w:hAnsiTheme="minorHAnsi"/>
                <w:color w:val="000000"/>
                <w:sz w:val="22"/>
                <w:szCs w:val="22"/>
              </w:rPr>
            </w:pPr>
          </w:p>
        </w:tc>
        <w:tc>
          <w:tcPr>
            <w:tcW w:w="960" w:type="dxa"/>
            <w:shd w:val="clear" w:color="auto" w:fill="F2F2F2" w:themeFill="background1" w:themeFillShade="F2"/>
            <w:noWrap/>
            <w:vAlign w:val="bottom"/>
            <w:hideMark/>
          </w:tcPr>
          <w:p w14:paraId="12DA58DD" w14:textId="65D50D56" w:rsidR="00A907AE" w:rsidRPr="00617F96" w:rsidRDefault="00A907AE" w:rsidP="00A907AE">
            <w:pPr>
              <w:widowControl/>
              <w:autoSpaceDE/>
              <w:autoSpaceDN/>
              <w:jc w:val="center"/>
              <w:rPr>
                <w:rFonts w:asciiTheme="minorHAnsi" w:eastAsia="Times New Roman" w:hAnsiTheme="minorHAnsi"/>
                <w:color w:val="000000"/>
                <w:sz w:val="22"/>
                <w:szCs w:val="22"/>
              </w:rPr>
            </w:pPr>
          </w:p>
        </w:tc>
      </w:tr>
      <w:tr w:rsidR="00A907AE" w:rsidRPr="00617F96" w14:paraId="0CD526A8" w14:textId="77777777" w:rsidTr="00A907AE">
        <w:trPr>
          <w:cantSplit/>
          <w:trHeight w:val="290"/>
        </w:trPr>
        <w:tc>
          <w:tcPr>
            <w:tcW w:w="2760" w:type="dxa"/>
            <w:noWrap/>
            <w:vAlign w:val="bottom"/>
            <w:hideMark/>
          </w:tcPr>
          <w:p w14:paraId="6F02BD9B" w14:textId="21F203B4"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Other</w:t>
            </w:r>
            <w:r w:rsidRPr="00617F96">
              <w:rPr>
                <w:rFonts w:asciiTheme="minorHAnsi" w:eastAsia="Times New Roman" w:hAnsiTheme="minorHAnsi"/>
                <w:color w:val="000000"/>
                <w:sz w:val="22"/>
                <w:szCs w:val="22"/>
                <w:vertAlign w:val="superscript"/>
              </w:rPr>
              <w:footnoteReference w:id="45"/>
            </w:r>
          </w:p>
        </w:tc>
        <w:tc>
          <w:tcPr>
            <w:tcW w:w="960" w:type="dxa"/>
            <w:noWrap/>
            <w:vAlign w:val="bottom"/>
            <w:hideMark/>
          </w:tcPr>
          <w:p w14:paraId="5730D7E5"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53</w:t>
            </w:r>
          </w:p>
        </w:tc>
        <w:tc>
          <w:tcPr>
            <w:tcW w:w="960" w:type="dxa"/>
            <w:noWrap/>
            <w:vAlign w:val="bottom"/>
            <w:hideMark/>
          </w:tcPr>
          <w:p w14:paraId="07D75E50"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19%</w:t>
            </w:r>
          </w:p>
        </w:tc>
        <w:tc>
          <w:tcPr>
            <w:tcW w:w="2920" w:type="dxa"/>
            <w:noWrap/>
            <w:vAlign w:val="bottom"/>
            <w:hideMark/>
          </w:tcPr>
          <w:p w14:paraId="6C49C8AD" w14:textId="3E81D3EA"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Other MA Counties</w:t>
            </w:r>
            <w:r w:rsidRPr="00617F96">
              <w:rPr>
                <w:rFonts w:asciiTheme="minorHAnsi" w:eastAsia="Times New Roman" w:hAnsiTheme="minorHAnsi"/>
                <w:color w:val="000000"/>
                <w:sz w:val="22"/>
                <w:szCs w:val="22"/>
                <w:vertAlign w:val="superscript"/>
              </w:rPr>
              <w:footnoteReference w:id="46"/>
            </w:r>
          </w:p>
        </w:tc>
        <w:tc>
          <w:tcPr>
            <w:tcW w:w="960" w:type="dxa"/>
            <w:noWrap/>
            <w:vAlign w:val="bottom"/>
            <w:hideMark/>
          </w:tcPr>
          <w:p w14:paraId="65A475BA"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43</w:t>
            </w:r>
          </w:p>
        </w:tc>
        <w:tc>
          <w:tcPr>
            <w:tcW w:w="960" w:type="dxa"/>
            <w:noWrap/>
            <w:vAlign w:val="bottom"/>
            <w:hideMark/>
          </w:tcPr>
          <w:p w14:paraId="71455B86" w14:textId="295CFCBA"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29%</w:t>
            </w:r>
          </w:p>
        </w:tc>
      </w:tr>
      <w:tr w:rsidR="00A907AE" w:rsidRPr="00617F96" w14:paraId="29C5BAF9" w14:textId="77777777" w:rsidTr="00A907AE">
        <w:trPr>
          <w:cantSplit/>
          <w:trHeight w:val="290"/>
        </w:trPr>
        <w:tc>
          <w:tcPr>
            <w:tcW w:w="2760" w:type="dxa"/>
            <w:noWrap/>
            <w:vAlign w:val="bottom"/>
            <w:hideMark/>
          </w:tcPr>
          <w:p w14:paraId="6838C1FC" w14:textId="77777777"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Middlesex</w:t>
            </w:r>
          </w:p>
        </w:tc>
        <w:tc>
          <w:tcPr>
            <w:tcW w:w="960" w:type="dxa"/>
            <w:noWrap/>
            <w:vAlign w:val="bottom"/>
            <w:hideMark/>
          </w:tcPr>
          <w:p w14:paraId="6476E146"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38</w:t>
            </w:r>
          </w:p>
        </w:tc>
        <w:tc>
          <w:tcPr>
            <w:tcW w:w="960" w:type="dxa"/>
            <w:noWrap/>
            <w:vAlign w:val="bottom"/>
            <w:hideMark/>
          </w:tcPr>
          <w:p w14:paraId="3FAD1684"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14%</w:t>
            </w:r>
          </w:p>
        </w:tc>
        <w:tc>
          <w:tcPr>
            <w:tcW w:w="2920" w:type="dxa"/>
            <w:noWrap/>
            <w:vAlign w:val="bottom"/>
            <w:hideMark/>
          </w:tcPr>
          <w:p w14:paraId="6E45A8DB" w14:textId="2FF91EEB"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Other</w:t>
            </w:r>
            <w:r w:rsidRPr="00617F96">
              <w:rPr>
                <w:rFonts w:asciiTheme="minorHAnsi" w:eastAsia="Times New Roman" w:hAnsiTheme="minorHAnsi"/>
                <w:color w:val="000000"/>
                <w:sz w:val="22"/>
                <w:szCs w:val="22"/>
                <w:vertAlign w:val="superscript"/>
              </w:rPr>
              <w:footnoteReference w:id="47"/>
            </w:r>
          </w:p>
        </w:tc>
        <w:tc>
          <w:tcPr>
            <w:tcW w:w="960" w:type="dxa"/>
            <w:noWrap/>
            <w:vAlign w:val="bottom"/>
            <w:hideMark/>
          </w:tcPr>
          <w:p w14:paraId="016BD0C6"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35</w:t>
            </w:r>
          </w:p>
        </w:tc>
        <w:tc>
          <w:tcPr>
            <w:tcW w:w="960" w:type="dxa"/>
            <w:noWrap/>
            <w:vAlign w:val="bottom"/>
            <w:hideMark/>
          </w:tcPr>
          <w:p w14:paraId="2034EF1C" w14:textId="6F5830F4"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24%</w:t>
            </w:r>
          </w:p>
        </w:tc>
      </w:tr>
      <w:tr w:rsidR="00A907AE" w:rsidRPr="00617F96" w14:paraId="5CED2DA7" w14:textId="77777777" w:rsidTr="00A907AE">
        <w:trPr>
          <w:cantSplit/>
          <w:trHeight w:val="290"/>
        </w:trPr>
        <w:tc>
          <w:tcPr>
            <w:tcW w:w="2760" w:type="dxa"/>
            <w:noWrap/>
            <w:vAlign w:val="bottom"/>
            <w:hideMark/>
          </w:tcPr>
          <w:p w14:paraId="21A2B179" w14:textId="77777777"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New Hampshire</w:t>
            </w:r>
          </w:p>
        </w:tc>
        <w:tc>
          <w:tcPr>
            <w:tcW w:w="960" w:type="dxa"/>
            <w:noWrap/>
            <w:vAlign w:val="bottom"/>
            <w:hideMark/>
          </w:tcPr>
          <w:p w14:paraId="797F23F7"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31</w:t>
            </w:r>
          </w:p>
        </w:tc>
        <w:tc>
          <w:tcPr>
            <w:tcW w:w="960" w:type="dxa"/>
            <w:noWrap/>
            <w:vAlign w:val="bottom"/>
            <w:hideMark/>
          </w:tcPr>
          <w:p w14:paraId="1D93BB59"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11%</w:t>
            </w:r>
          </w:p>
        </w:tc>
        <w:tc>
          <w:tcPr>
            <w:tcW w:w="2920" w:type="dxa"/>
            <w:noWrap/>
            <w:vAlign w:val="bottom"/>
            <w:hideMark/>
          </w:tcPr>
          <w:p w14:paraId="478703E6" w14:textId="77777777"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Middlesex</w:t>
            </w:r>
          </w:p>
        </w:tc>
        <w:tc>
          <w:tcPr>
            <w:tcW w:w="960" w:type="dxa"/>
            <w:noWrap/>
            <w:vAlign w:val="bottom"/>
            <w:hideMark/>
          </w:tcPr>
          <w:p w14:paraId="21AD5BBC"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25</w:t>
            </w:r>
          </w:p>
        </w:tc>
        <w:tc>
          <w:tcPr>
            <w:tcW w:w="960" w:type="dxa"/>
            <w:noWrap/>
            <w:vAlign w:val="bottom"/>
            <w:hideMark/>
          </w:tcPr>
          <w:p w14:paraId="12A4F239"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17%</w:t>
            </w:r>
          </w:p>
        </w:tc>
      </w:tr>
      <w:tr w:rsidR="00A907AE" w:rsidRPr="00617F96" w14:paraId="2EC349CD" w14:textId="77777777" w:rsidTr="00A907AE">
        <w:trPr>
          <w:cantSplit/>
          <w:trHeight w:val="290"/>
        </w:trPr>
        <w:tc>
          <w:tcPr>
            <w:tcW w:w="2760" w:type="dxa"/>
            <w:noWrap/>
            <w:vAlign w:val="bottom"/>
            <w:hideMark/>
          </w:tcPr>
          <w:p w14:paraId="11FD3B4F" w14:textId="35CE55BC"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Other MA Counties</w:t>
            </w:r>
            <w:r w:rsidRPr="00617F96">
              <w:rPr>
                <w:rFonts w:asciiTheme="minorHAnsi" w:eastAsia="Times New Roman" w:hAnsiTheme="minorHAnsi"/>
                <w:color w:val="000000"/>
                <w:sz w:val="22"/>
                <w:szCs w:val="22"/>
                <w:vertAlign w:val="superscript"/>
              </w:rPr>
              <w:footnoteReference w:id="48"/>
            </w:r>
          </w:p>
        </w:tc>
        <w:tc>
          <w:tcPr>
            <w:tcW w:w="960" w:type="dxa"/>
            <w:noWrap/>
            <w:vAlign w:val="bottom"/>
            <w:hideMark/>
          </w:tcPr>
          <w:p w14:paraId="3AD8FECC"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28</w:t>
            </w:r>
          </w:p>
        </w:tc>
        <w:tc>
          <w:tcPr>
            <w:tcW w:w="960" w:type="dxa"/>
            <w:noWrap/>
            <w:vAlign w:val="bottom"/>
            <w:hideMark/>
          </w:tcPr>
          <w:p w14:paraId="31B39B52"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10%</w:t>
            </w:r>
          </w:p>
        </w:tc>
        <w:tc>
          <w:tcPr>
            <w:tcW w:w="2920" w:type="dxa"/>
            <w:noWrap/>
            <w:vAlign w:val="bottom"/>
            <w:hideMark/>
          </w:tcPr>
          <w:p w14:paraId="525A7001" w14:textId="77777777"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Suffolk</w:t>
            </w:r>
          </w:p>
        </w:tc>
        <w:tc>
          <w:tcPr>
            <w:tcW w:w="960" w:type="dxa"/>
            <w:noWrap/>
            <w:vAlign w:val="bottom"/>
            <w:hideMark/>
          </w:tcPr>
          <w:p w14:paraId="7287C0AF"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15</w:t>
            </w:r>
          </w:p>
        </w:tc>
        <w:tc>
          <w:tcPr>
            <w:tcW w:w="960" w:type="dxa"/>
            <w:noWrap/>
            <w:vAlign w:val="bottom"/>
            <w:hideMark/>
          </w:tcPr>
          <w:p w14:paraId="5CF7F01C"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10%</w:t>
            </w:r>
          </w:p>
        </w:tc>
      </w:tr>
      <w:tr w:rsidR="00A907AE" w:rsidRPr="00617F96" w14:paraId="5F3D5080" w14:textId="77777777" w:rsidTr="00A907AE">
        <w:trPr>
          <w:cantSplit/>
          <w:trHeight w:val="290"/>
        </w:trPr>
        <w:tc>
          <w:tcPr>
            <w:tcW w:w="2760" w:type="dxa"/>
            <w:noWrap/>
            <w:vAlign w:val="bottom"/>
            <w:hideMark/>
          </w:tcPr>
          <w:p w14:paraId="14F2F8F8" w14:textId="77777777" w:rsidR="00A907AE" w:rsidRPr="00617F96" w:rsidRDefault="00A907AE" w:rsidP="00A907AE">
            <w:pPr>
              <w:widowControl/>
              <w:autoSpaceDE/>
              <w:autoSpaceDN/>
              <w:ind w:left="144"/>
              <w:rPr>
                <w:rFonts w:asciiTheme="minorHAnsi" w:eastAsia="Times New Roman" w:hAnsiTheme="minorHAnsi"/>
                <w:color w:val="000000"/>
                <w:sz w:val="22"/>
                <w:szCs w:val="22"/>
              </w:rPr>
            </w:pPr>
            <w:r w:rsidRPr="66D2ECE7">
              <w:rPr>
                <w:rFonts w:asciiTheme="minorHAnsi" w:eastAsia="Times New Roman" w:hAnsiTheme="minorHAnsi"/>
                <w:color w:val="000000" w:themeColor="text1"/>
                <w:sz w:val="22"/>
                <w:szCs w:val="22"/>
              </w:rPr>
              <w:t>Worcester</w:t>
            </w:r>
          </w:p>
        </w:tc>
        <w:tc>
          <w:tcPr>
            <w:tcW w:w="960" w:type="dxa"/>
            <w:noWrap/>
            <w:vAlign w:val="bottom"/>
            <w:hideMark/>
          </w:tcPr>
          <w:p w14:paraId="4845FE1C"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21</w:t>
            </w:r>
          </w:p>
        </w:tc>
        <w:tc>
          <w:tcPr>
            <w:tcW w:w="960" w:type="dxa"/>
            <w:noWrap/>
            <w:vAlign w:val="bottom"/>
            <w:hideMark/>
          </w:tcPr>
          <w:p w14:paraId="403264F8" w14:textId="255AE220" w:rsidR="00A907AE" w:rsidRPr="00617F96" w:rsidRDefault="00A907AE" w:rsidP="00A907AE">
            <w:pPr>
              <w:widowControl/>
              <w:autoSpaceDE/>
              <w:autoSpaceDN/>
              <w:jc w:val="center"/>
              <w:rPr>
                <w:rFonts w:asciiTheme="minorHAnsi" w:eastAsia="Times New Roman" w:hAnsiTheme="minorHAnsi"/>
                <w:color w:val="000000"/>
                <w:sz w:val="22"/>
                <w:szCs w:val="22"/>
              </w:rPr>
            </w:pPr>
            <w:r w:rsidRPr="66D2ECE7">
              <w:rPr>
                <w:rFonts w:asciiTheme="minorHAnsi" w:eastAsia="Times New Roman" w:hAnsiTheme="minorHAnsi"/>
                <w:color w:val="000000" w:themeColor="text1"/>
                <w:sz w:val="22"/>
                <w:szCs w:val="22"/>
              </w:rPr>
              <w:t>8%</w:t>
            </w:r>
          </w:p>
        </w:tc>
        <w:tc>
          <w:tcPr>
            <w:tcW w:w="2920" w:type="dxa"/>
            <w:noWrap/>
            <w:vAlign w:val="bottom"/>
            <w:hideMark/>
          </w:tcPr>
          <w:p w14:paraId="68584E0A" w14:textId="77777777"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New Hampshire</w:t>
            </w:r>
          </w:p>
        </w:tc>
        <w:tc>
          <w:tcPr>
            <w:tcW w:w="960" w:type="dxa"/>
            <w:noWrap/>
            <w:vAlign w:val="bottom"/>
            <w:hideMark/>
          </w:tcPr>
          <w:p w14:paraId="1EB6CE92"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15</w:t>
            </w:r>
          </w:p>
        </w:tc>
        <w:tc>
          <w:tcPr>
            <w:tcW w:w="960" w:type="dxa"/>
            <w:noWrap/>
            <w:vAlign w:val="bottom"/>
            <w:hideMark/>
          </w:tcPr>
          <w:p w14:paraId="661F70F5"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10%</w:t>
            </w:r>
          </w:p>
        </w:tc>
      </w:tr>
      <w:tr w:rsidR="00A907AE" w:rsidRPr="00617F96" w14:paraId="6011A441" w14:textId="77777777" w:rsidTr="00A907AE">
        <w:trPr>
          <w:cantSplit/>
          <w:trHeight w:val="290"/>
        </w:trPr>
        <w:tc>
          <w:tcPr>
            <w:tcW w:w="2760" w:type="dxa"/>
            <w:noWrap/>
            <w:vAlign w:val="bottom"/>
            <w:hideMark/>
          </w:tcPr>
          <w:p w14:paraId="4E46351C" w14:textId="77777777"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Norfolk</w:t>
            </w:r>
          </w:p>
        </w:tc>
        <w:tc>
          <w:tcPr>
            <w:tcW w:w="960" w:type="dxa"/>
            <w:noWrap/>
            <w:vAlign w:val="bottom"/>
            <w:hideMark/>
          </w:tcPr>
          <w:p w14:paraId="7670619D"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17</w:t>
            </w:r>
          </w:p>
        </w:tc>
        <w:tc>
          <w:tcPr>
            <w:tcW w:w="960" w:type="dxa"/>
            <w:noWrap/>
            <w:vAlign w:val="bottom"/>
            <w:hideMark/>
          </w:tcPr>
          <w:p w14:paraId="505DBA32"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6%</w:t>
            </w:r>
          </w:p>
        </w:tc>
        <w:tc>
          <w:tcPr>
            <w:tcW w:w="2920" w:type="dxa"/>
            <w:noWrap/>
            <w:vAlign w:val="bottom"/>
            <w:hideMark/>
          </w:tcPr>
          <w:p w14:paraId="36BCFB3D" w14:textId="77777777"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Bristol</w:t>
            </w:r>
          </w:p>
        </w:tc>
        <w:tc>
          <w:tcPr>
            <w:tcW w:w="960" w:type="dxa"/>
            <w:noWrap/>
            <w:vAlign w:val="bottom"/>
            <w:hideMark/>
          </w:tcPr>
          <w:p w14:paraId="0AFF1C4B"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14</w:t>
            </w:r>
          </w:p>
        </w:tc>
        <w:tc>
          <w:tcPr>
            <w:tcW w:w="960" w:type="dxa"/>
            <w:noWrap/>
            <w:vAlign w:val="bottom"/>
            <w:hideMark/>
          </w:tcPr>
          <w:p w14:paraId="77ED2782"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10%</w:t>
            </w:r>
          </w:p>
        </w:tc>
      </w:tr>
      <w:tr w:rsidR="00A907AE" w:rsidRPr="00617F96" w14:paraId="7821AFF7" w14:textId="77777777" w:rsidTr="00A907AE">
        <w:trPr>
          <w:cantSplit/>
          <w:trHeight w:val="290"/>
        </w:trPr>
        <w:tc>
          <w:tcPr>
            <w:tcW w:w="2760" w:type="dxa"/>
            <w:noWrap/>
            <w:vAlign w:val="bottom"/>
            <w:hideMark/>
          </w:tcPr>
          <w:p w14:paraId="1FD73F89" w14:textId="77777777"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lastRenderedPageBreak/>
              <w:t>Essex</w:t>
            </w:r>
          </w:p>
        </w:tc>
        <w:tc>
          <w:tcPr>
            <w:tcW w:w="960" w:type="dxa"/>
            <w:noWrap/>
            <w:vAlign w:val="bottom"/>
            <w:hideMark/>
          </w:tcPr>
          <w:p w14:paraId="1FAD3028"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17</w:t>
            </w:r>
          </w:p>
        </w:tc>
        <w:tc>
          <w:tcPr>
            <w:tcW w:w="960" w:type="dxa"/>
            <w:noWrap/>
            <w:vAlign w:val="bottom"/>
            <w:hideMark/>
          </w:tcPr>
          <w:p w14:paraId="521D29A6"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6%</w:t>
            </w:r>
          </w:p>
        </w:tc>
        <w:tc>
          <w:tcPr>
            <w:tcW w:w="2920" w:type="dxa"/>
            <w:noWrap/>
            <w:vAlign w:val="bottom"/>
            <w:hideMark/>
          </w:tcPr>
          <w:p w14:paraId="43D3AB35" w14:textId="77777777"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 xml:space="preserve">Total </w:t>
            </w:r>
          </w:p>
        </w:tc>
        <w:tc>
          <w:tcPr>
            <w:tcW w:w="960" w:type="dxa"/>
            <w:noWrap/>
            <w:vAlign w:val="bottom"/>
            <w:hideMark/>
          </w:tcPr>
          <w:p w14:paraId="2A5BEB4B"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147</w:t>
            </w:r>
          </w:p>
        </w:tc>
        <w:tc>
          <w:tcPr>
            <w:tcW w:w="960" w:type="dxa"/>
            <w:noWrap/>
            <w:vAlign w:val="bottom"/>
            <w:hideMark/>
          </w:tcPr>
          <w:p w14:paraId="235E6A53"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100%</w:t>
            </w:r>
          </w:p>
        </w:tc>
      </w:tr>
      <w:tr w:rsidR="00A907AE" w:rsidRPr="00617F96" w14:paraId="26C2AA01" w14:textId="77777777" w:rsidTr="00A907AE">
        <w:trPr>
          <w:cantSplit/>
          <w:trHeight w:val="290"/>
        </w:trPr>
        <w:tc>
          <w:tcPr>
            <w:tcW w:w="2760" w:type="dxa"/>
            <w:noWrap/>
            <w:vAlign w:val="bottom"/>
            <w:hideMark/>
          </w:tcPr>
          <w:p w14:paraId="3F689150" w14:textId="77777777"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Connecticut</w:t>
            </w:r>
          </w:p>
        </w:tc>
        <w:tc>
          <w:tcPr>
            <w:tcW w:w="960" w:type="dxa"/>
            <w:noWrap/>
            <w:vAlign w:val="bottom"/>
            <w:hideMark/>
          </w:tcPr>
          <w:p w14:paraId="299B8A32"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17</w:t>
            </w:r>
          </w:p>
        </w:tc>
        <w:tc>
          <w:tcPr>
            <w:tcW w:w="960" w:type="dxa"/>
            <w:noWrap/>
            <w:vAlign w:val="bottom"/>
            <w:hideMark/>
          </w:tcPr>
          <w:p w14:paraId="4F117BBA" w14:textId="2AA1A53E"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6%</w:t>
            </w:r>
          </w:p>
        </w:tc>
        <w:tc>
          <w:tcPr>
            <w:tcW w:w="2920" w:type="dxa"/>
            <w:shd w:val="clear" w:color="auto" w:fill="F2F2F2" w:themeFill="background1" w:themeFillShade="F2"/>
            <w:noWrap/>
            <w:vAlign w:val="bottom"/>
            <w:hideMark/>
          </w:tcPr>
          <w:p w14:paraId="6CC4670F" w14:textId="77777777" w:rsidR="00A907AE" w:rsidRPr="00617F96" w:rsidRDefault="00A907AE" w:rsidP="00A907AE">
            <w:pPr>
              <w:widowControl/>
              <w:autoSpaceDE/>
              <w:autoSpaceDN/>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 </w:t>
            </w:r>
          </w:p>
        </w:tc>
        <w:tc>
          <w:tcPr>
            <w:tcW w:w="960" w:type="dxa"/>
            <w:shd w:val="clear" w:color="auto" w:fill="F2F2F2" w:themeFill="background1" w:themeFillShade="F2"/>
            <w:noWrap/>
            <w:vAlign w:val="bottom"/>
            <w:hideMark/>
          </w:tcPr>
          <w:p w14:paraId="45B29825" w14:textId="396D7BC7" w:rsidR="00A907AE" w:rsidRPr="00617F96" w:rsidRDefault="00A907AE" w:rsidP="00A907AE">
            <w:pPr>
              <w:widowControl/>
              <w:autoSpaceDE/>
              <w:autoSpaceDN/>
              <w:jc w:val="center"/>
              <w:rPr>
                <w:rFonts w:asciiTheme="minorHAnsi" w:eastAsia="Times New Roman" w:hAnsiTheme="minorHAnsi"/>
                <w:color w:val="000000"/>
                <w:sz w:val="22"/>
                <w:szCs w:val="22"/>
              </w:rPr>
            </w:pPr>
          </w:p>
        </w:tc>
        <w:tc>
          <w:tcPr>
            <w:tcW w:w="960" w:type="dxa"/>
            <w:shd w:val="clear" w:color="auto" w:fill="F2F2F2" w:themeFill="background1" w:themeFillShade="F2"/>
            <w:noWrap/>
            <w:vAlign w:val="bottom"/>
            <w:hideMark/>
          </w:tcPr>
          <w:p w14:paraId="6F839A48" w14:textId="38324B79" w:rsidR="00A907AE" w:rsidRPr="00617F96" w:rsidRDefault="00A907AE" w:rsidP="00A907AE">
            <w:pPr>
              <w:widowControl/>
              <w:autoSpaceDE/>
              <w:autoSpaceDN/>
              <w:jc w:val="center"/>
              <w:rPr>
                <w:rFonts w:asciiTheme="minorHAnsi" w:eastAsia="Times New Roman" w:hAnsiTheme="minorHAnsi"/>
                <w:color w:val="000000"/>
                <w:sz w:val="22"/>
                <w:szCs w:val="22"/>
              </w:rPr>
            </w:pPr>
          </w:p>
        </w:tc>
      </w:tr>
      <w:tr w:rsidR="00A907AE" w:rsidRPr="00617F96" w14:paraId="2A33071A" w14:textId="77777777" w:rsidTr="00A907AE">
        <w:trPr>
          <w:cantSplit/>
          <w:trHeight w:val="290"/>
        </w:trPr>
        <w:tc>
          <w:tcPr>
            <w:tcW w:w="2760" w:type="dxa"/>
            <w:noWrap/>
            <w:vAlign w:val="bottom"/>
            <w:hideMark/>
          </w:tcPr>
          <w:p w14:paraId="1500A6EE" w14:textId="77777777"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Maine</w:t>
            </w:r>
          </w:p>
        </w:tc>
        <w:tc>
          <w:tcPr>
            <w:tcW w:w="960" w:type="dxa"/>
            <w:noWrap/>
            <w:vAlign w:val="bottom"/>
            <w:hideMark/>
          </w:tcPr>
          <w:p w14:paraId="5510C5A3"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15</w:t>
            </w:r>
          </w:p>
        </w:tc>
        <w:tc>
          <w:tcPr>
            <w:tcW w:w="960" w:type="dxa"/>
            <w:noWrap/>
            <w:vAlign w:val="bottom"/>
            <w:hideMark/>
          </w:tcPr>
          <w:p w14:paraId="7F7ADB7F"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5%</w:t>
            </w:r>
          </w:p>
        </w:tc>
        <w:tc>
          <w:tcPr>
            <w:tcW w:w="2920" w:type="dxa"/>
            <w:shd w:val="clear" w:color="auto" w:fill="F2F2F2" w:themeFill="background1" w:themeFillShade="F2"/>
            <w:noWrap/>
            <w:vAlign w:val="bottom"/>
            <w:hideMark/>
          </w:tcPr>
          <w:p w14:paraId="27439CD0" w14:textId="77777777" w:rsidR="00A907AE" w:rsidRPr="00617F96" w:rsidRDefault="00A907AE" w:rsidP="00A907AE">
            <w:pPr>
              <w:widowControl/>
              <w:autoSpaceDE/>
              <w:autoSpaceDN/>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 </w:t>
            </w:r>
          </w:p>
        </w:tc>
        <w:tc>
          <w:tcPr>
            <w:tcW w:w="960" w:type="dxa"/>
            <w:shd w:val="clear" w:color="auto" w:fill="F2F2F2" w:themeFill="background1" w:themeFillShade="F2"/>
            <w:noWrap/>
            <w:vAlign w:val="bottom"/>
            <w:hideMark/>
          </w:tcPr>
          <w:p w14:paraId="67E38CD6" w14:textId="7C86340D" w:rsidR="00A907AE" w:rsidRPr="00617F96" w:rsidRDefault="00A907AE" w:rsidP="00A907AE">
            <w:pPr>
              <w:widowControl/>
              <w:autoSpaceDE/>
              <w:autoSpaceDN/>
              <w:jc w:val="center"/>
              <w:rPr>
                <w:rFonts w:asciiTheme="minorHAnsi" w:eastAsia="Times New Roman" w:hAnsiTheme="minorHAnsi"/>
                <w:color w:val="000000"/>
                <w:sz w:val="22"/>
                <w:szCs w:val="22"/>
              </w:rPr>
            </w:pPr>
          </w:p>
        </w:tc>
        <w:tc>
          <w:tcPr>
            <w:tcW w:w="960" w:type="dxa"/>
            <w:shd w:val="clear" w:color="auto" w:fill="F2F2F2" w:themeFill="background1" w:themeFillShade="F2"/>
            <w:noWrap/>
            <w:vAlign w:val="bottom"/>
            <w:hideMark/>
          </w:tcPr>
          <w:p w14:paraId="1F9ECD34" w14:textId="4387C16C" w:rsidR="00A907AE" w:rsidRPr="00617F96" w:rsidRDefault="00A907AE" w:rsidP="00A907AE">
            <w:pPr>
              <w:widowControl/>
              <w:autoSpaceDE/>
              <w:autoSpaceDN/>
              <w:jc w:val="center"/>
              <w:rPr>
                <w:rFonts w:asciiTheme="minorHAnsi" w:eastAsia="Times New Roman" w:hAnsiTheme="minorHAnsi"/>
                <w:color w:val="000000"/>
                <w:sz w:val="22"/>
                <w:szCs w:val="22"/>
              </w:rPr>
            </w:pPr>
          </w:p>
        </w:tc>
      </w:tr>
      <w:tr w:rsidR="00A907AE" w:rsidRPr="00617F96" w14:paraId="406A1C2F" w14:textId="77777777" w:rsidTr="00A907AE">
        <w:trPr>
          <w:cantSplit/>
          <w:trHeight w:val="290"/>
        </w:trPr>
        <w:tc>
          <w:tcPr>
            <w:tcW w:w="2760" w:type="dxa"/>
            <w:noWrap/>
            <w:vAlign w:val="bottom"/>
            <w:hideMark/>
          </w:tcPr>
          <w:p w14:paraId="02A447AA" w14:textId="77777777"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Plymouth</w:t>
            </w:r>
          </w:p>
        </w:tc>
        <w:tc>
          <w:tcPr>
            <w:tcW w:w="960" w:type="dxa"/>
            <w:noWrap/>
            <w:vAlign w:val="bottom"/>
            <w:hideMark/>
          </w:tcPr>
          <w:p w14:paraId="735E08B7"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14</w:t>
            </w:r>
          </w:p>
        </w:tc>
        <w:tc>
          <w:tcPr>
            <w:tcW w:w="960" w:type="dxa"/>
            <w:noWrap/>
            <w:vAlign w:val="bottom"/>
            <w:hideMark/>
          </w:tcPr>
          <w:p w14:paraId="79814B04"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5%</w:t>
            </w:r>
          </w:p>
        </w:tc>
        <w:tc>
          <w:tcPr>
            <w:tcW w:w="2920" w:type="dxa"/>
            <w:shd w:val="clear" w:color="auto" w:fill="F2F2F2" w:themeFill="background1" w:themeFillShade="F2"/>
            <w:noWrap/>
            <w:vAlign w:val="bottom"/>
            <w:hideMark/>
          </w:tcPr>
          <w:p w14:paraId="7027D701" w14:textId="77777777" w:rsidR="00A907AE" w:rsidRPr="00617F96" w:rsidRDefault="00A907AE" w:rsidP="00A907AE">
            <w:pPr>
              <w:widowControl/>
              <w:autoSpaceDE/>
              <w:autoSpaceDN/>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 </w:t>
            </w:r>
          </w:p>
        </w:tc>
        <w:tc>
          <w:tcPr>
            <w:tcW w:w="960" w:type="dxa"/>
            <w:shd w:val="clear" w:color="auto" w:fill="F2F2F2" w:themeFill="background1" w:themeFillShade="F2"/>
            <w:noWrap/>
            <w:vAlign w:val="bottom"/>
            <w:hideMark/>
          </w:tcPr>
          <w:p w14:paraId="437039A0" w14:textId="4A1418E3" w:rsidR="00A907AE" w:rsidRPr="00617F96" w:rsidRDefault="00A907AE" w:rsidP="00A907AE">
            <w:pPr>
              <w:widowControl/>
              <w:autoSpaceDE/>
              <w:autoSpaceDN/>
              <w:jc w:val="center"/>
              <w:rPr>
                <w:rFonts w:asciiTheme="minorHAnsi" w:eastAsia="Times New Roman" w:hAnsiTheme="minorHAnsi"/>
                <w:color w:val="000000"/>
                <w:sz w:val="22"/>
                <w:szCs w:val="22"/>
              </w:rPr>
            </w:pPr>
          </w:p>
        </w:tc>
        <w:tc>
          <w:tcPr>
            <w:tcW w:w="960" w:type="dxa"/>
            <w:shd w:val="clear" w:color="auto" w:fill="F2F2F2" w:themeFill="background1" w:themeFillShade="F2"/>
            <w:noWrap/>
            <w:vAlign w:val="bottom"/>
            <w:hideMark/>
          </w:tcPr>
          <w:p w14:paraId="435F7722" w14:textId="000B8F57" w:rsidR="00A907AE" w:rsidRPr="00617F96" w:rsidRDefault="00A907AE" w:rsidP="00A907AE">
            <w:pPr>
              <w:widowControl/>
              <w:autoSpaceDE/>
              <w:autoSpaceDN/>
              <w:jc w:val="center"/>
              <w:rPr>
                <w:rFonts w:asciiTheme="minorHAnsi" w:eastAsia="Times New Roman" w:hAnsiTheme="minorHAnsi"/>
                <w:color w:val="000000"/>
                <w:sz w:val="22"/>
                <w:szCs w:val="22"/>
              </w:rPr>
            </w:pPr>
          </w:p>
        </w:tc>
      </w:tr>
      <w:tr w:rsidR="00A907AE" w:rsidRPr="00617F96" w14:paraId="4931AC08" w14:textId="77777777" w:rsidTr="00A907AE">
        <w:trPr>
          <w:cantSplit/>
          <w:trHeight w:val="290"/>
        </w:trPr>
        <w:tc>
          <w:tcPr>
            <w:tcW w:w="2760" w:type="dxa"/>
            <w:noWrap/>
            <w:vAlign w:val="bottom"/>
            <w:hideMark/>
          </w:tcPr>
          <w:p w14:paraId="41C7FFD4" w14:textId="77777777"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Suffolk</w:t>
            </w:r>
          </w:p>
        </w:tc>
        <w:tc>
          <w:tcPr>
            <w:tcW w:w="960" w:type="dxa"/>
            <w:noWrap/>
            <w:vAlign w:val="bottom"/>
            <w:hideMark/>
          </w:tcPr>
          <w:p w14:paraId="30AE502B"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13</w:t>
            </w:r>
          </w:p>
        </w:tc>
        <w:tc>
          <w:tcPr>
            <w:tcW w:w="960" w:type="dxa"/>
            <w:noWrap/>
            <w:vAlign w:val="bottom"/>
            <w:hideMark/>
          </w:tcPr>
          <w:p w14:paraId="2A464788"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5%</w:t>
            </w:r>
          </w:p>
        </w:tc>
        <w:tc>
          <w:tcPr>
            <w:tcW w:w="2920" w:type="dxa"/>
            <w:shd w:val="clear" w:color="auto" w:fill="F2F2F2" w:themeFill="background1" w:themeFillShade="F2"/>
            <w:noWrap/>
            <w:vAlign w:val="bottom"/>
            <w:hideMark/>
          </w:tcPr>
          <w:p w14:paraId="6532F1F0" w14:textId="77777777" w:rsidR="00A907AE" w:rsidRPr="00617F96" w:rsidRDefault="00A907AE" w:rsidP="00A907AE">
            <w:pPr>
              <w:widowControl/>
              <w:autoSpaceDE/>
              <w:autoSpaceDN/>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 </w:t>
            </w:r>
          </w:p>
        </w:tc>
        <w:tc>
          <w:tcPr>
            <w:tcW w:w="960" w:type="dxa"/>
            <w:shd w:val="clear" w:color="auto" w:fill="F2F2F2" w:themeFill="background1" w:themeFillShade="F2"/>
            <w:noWrap/>
            <w:vAlign w:val="bottom"/>
            <w:hideMark/>
          </w:tcPr>
          <w:p w14:paraId="6E78739A" w14:textId="5686AC09" w:rsidR="00A907AE" w:rsidRPr="00617F96" w:rsidRDefault="00A907AE" w:rsidP="00A907AE">
            <w:pPr>
              <w:widowControl/>
              <w:autoSpaceDE/>
              <w:autoSpaceDN/>
              <w:jc w:val="center"/>
              <w:rPr>
                <w:rFonts w:asciiTheme="minorHAnsi" w:eastAsia="Times New Roman" w:hAnsiTheme="minorHAnsi"/>
                <w:color w:val="000000"/>
                <w:sz w:val="22"/>
                <w:szCs w:val="22"/>
              </w:rPr>
            </w:pPr>
          </w:p>
        </w:tc>
        <w:tc>
          <w:tcPr>
            <w:tcW w:w="960" w:type="dxa"/>
            <w:shd w:val="clear" w:color="auto" w:fill="F2F2F2" w:themeFill="background1" w:themeFillShade="F2"/>
            <w:noWrap/>
            <w:vAlign w:val="bottom"/>
            <w:hideMark/>
          </w:tcPr>
          <w:p w14:paraId="1DF7DEF9" w14:textId="0782AE4A" w:rsidR="00A907AE" w:rsidRPr="00617F96" w:rsidRDefault="00A907AE" w:rsidP="00A907AE">
            <w:pPr>
              <w:widowControl/>
              <w:autoSpaceDE/>
              <w:autoSpaceDN/>
              <w:jc w:val="center"/>
              <w:rPr>
                <w:rFonts w:asciiTheme="minorHAnsi" w:eastAsia="Times New Roman" w:hAnsiTheme="minorHAnsi"/>
                <w:color w:val="000000"/>
                <w:sz w:val="22"/>
                <w:szCs w:val="22"/>
              </w:rPr>
            </w:pPr>
          </w:p>
        </w:tc>
      </w:tr>
      <w:tr w:rsidR="00A907AE" w:rsidRPr="00617F96" w14:paraId="22AAC8DC" w14:textId="77777777" w:rsidTr="00A907AE">
        <w:trPr>
          <w:cantSplit/>
          <w:trHeight w:val="290"/>
        </w:trPr>
        <w:tc>
          <w:tcPr>
            <w:tcW w:w="2760" w:type="dxa"/>
            <w:noWrap/>
            <w:vAlign w:val="bottom"/>
            <w:hideMark/>
          </w:tcPr>
          <w:p w14:paraId="11A183E1" w14:textId="77777777"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New York</w:t>
            </w:r>
          </w:p>
        </w:tc>
        <w:tc>
          <w:tcPr>
            <w:tcW w:w="960" w:type="dxa"/>
            <w:noWrap/>
            <w:vAlign w:val="bottom"/>
            <w:hideMark/>
          </w:tcPr>
          <w:p w14:paraId="7C4D0176"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12</w:t>
            </w:r>
          </w:p>
        </w:tc>
        <w:tc>
          <w:tcPr>
            <w:tcW w:w="960" w:type="dxa"/>
            <w:noWrap/>
            <w:vAlign w:val="bottom"/>
            <w:hideMark/>
          </w:tcPr>
          <w:p w14:paraId="313E0AF2" w14:textId="164CF72B"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4%</w:t>
            </w:r>
          </w:p>
        </w:tc>
        <w:tc>
          <w:tcPr>
            <w:tcW w:w="2920" w:type="dxa"/>
            <w:shd w:val="clear" w:color="auto" w:fill="F2F2F2" w:themeFill="background1" w:themeFillShade="F2"/>
            <w:noWrap/>
            <w:vAlign w:val="bottom"/>
            <w:hideMark/>
          </w:tcPr>
          <w:p w14:paraId="3436C227" w14:textId="77777777" w:rsidR="00A907AE" w:rsidRPr="00617F96" w:rsidRDefault="00A907AE" w:rsidP="00A907AE">
            <w:pPr>
              <w:widowControl/>
              <w:autoSpaceDE/>
              <w:autoSpaceDN/>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 </w:t>
            </w:r>
          </w:p>
        </w:tc>
        <w:tc>
          <w:tcPr>
            <w:tcW w:w="960" w:type="dxa"/>
            <w:shd w:val="clear" w:color="auto" w:fill="F2F2F2" w:themeFill="background1" w:themeFillShade="F2"/>
            <w:noWrap/>
            <w:vAlign w:val="bottom"/>
            <w:hideMark/>
          </w:tcPr>
          <w:p w14:paraId="33C31CA6" w14:textId="3B6505E7" w:rsidR="00A907AE" w:rsidRPr="00617F96" w:rsidRDefault="00A907AE" w:rsidP="00A907AE">
            <w:pPr>
              <w:widowControl/>
              <w:autoSpaceDE/>
              <w:autoSpaceDN/>
              <w:jc w:val="center"/>
              <w:rPr>
                <w:rFonts w:asciiTheme="minorHAnsi" w:eastAsia="Times New Roman" w:hAnsiTheme="minorHAnsi"/>
                <w:color w:val="000000"/>
                <w:sz w:val="22"/>
                <w:szCs w:val="22"/>
              </w:rPr>
            </w:pPr>
          </w:p>
        </w:tc>
        <w:tc>
          <w:tcPr>
            <w:tcW w:w="960" w:type="dxa"/>
            <w:shd w:val="clear" w:color="auto" w:fill="F2F2F2" w:themeFill="background1" w:themeFillShade="F2"/>
            <w:noWrap/>
            <w:vAlign w:val="bottom"/>
            <w:hideMark/>
          </w:tcPr>
          <w:p w14:paraId="5F2ED4E9" w14:textId="2DA05186" w:rsidR="00A907AE" w:rsidRPr="00617F96" w:rsidRDefault="00A907AE" w:rsidP="00A907AE">
            <w:pPr>
              <w:widowControl/>
              <w:autoSpaceDE/>
              <w:autoSpaceDN/>
              <w:jc w:val="center"/>
              <w:rPr>
                <w:rFonts w:asciiTheme="minorHAnsi" w:eastAsia="Times New Roman" w:hAnsiTheme="minorHAnsi"/>
                <w:color w:val="000000"/>
                <w:sz w:val="22"/>
                <w:szCs w:val="22"/>
              </w:rPr>
            </w:pPr>
          </w:p>
        </w:tc>
      </w:tr>
      <w:tr w:rsidR="00A907AE" w:rsidRPr="00617F96" w14:paraId="771F4431" w14:textId="77777777" w:rsidTr="00A907AE">
        <w:trPr>
          <w:cantSplit/>
          <w:trHeight w:val="290"/>
        </w:trPr>
        <w:tc>
          <w:tcPr>
            <w:tcW w:w="2760" w:type="dxa"/>
            <w:noWrap/>
            <w:vAlign w:val="bottom"/>
            <w:hideMark/>
          </w:tcPr>
          <w:p w14:paraId="0CE86E13" w14:textId="77777777" w:rsidR="00A907AE" w:rsidRPr="00617F96" w:rsidRDefault="00A907AE" w:rsidP="00A907AE">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 xml:space="preserve">Total </w:t>
            </w:r>
          </w:p>
        </w:tc>
        <w:tc>
          <w:tcPr>
            <w:tcW w:w="960" w:type="dxa"/>
            <w:noWrap/>
            <w:vAlign w:val="bottom"/>
            <w:hideMark/>
          </w:tcPr>
          <w:p w14:paraId="4BD393B0"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276</w:t>
            </w:r>
          </w:p>
        </w:tc>
        <w:tc>
          <w:tcPr>
            <w:tcW w:w="960" w:type="dxa"/>
            <w:noWrap/>
            <w:vAlign w:val="bottom"/>
            <w:hideMark/>
          </w:tcPr>
          <w:p w14:paraId="0ED5970A" w14:textId="77777777" w:rsidR="00A907AE" w:rsidRPr="00617F96" w:rsidRDefault="00A907AE" w:rsidP="00A907AE">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100%</w:t>
            </w:r>
          </w:p>
        </w:tc>
        <w:tc>
          <w:tcPr>
            <w:tcW w:w="2920" w:type="dxa"/>
            <w:shd w:val="clear" w:color="auto" w:fill="F2F2F2" w:themeFill="background1" w:themeFillShade="F2"/>
            <w:noWrap/>
            <w:vAlign w:val="bottom"/>
            <w:hideMark/>
          </w:tcPr>
          <w:p w14:paraId="331014C7" w14:textId="77777777" w:rsidR="00A907AE" w:rsidRPr="00617F96" w:rsidRDefault="00A907AE" w:rsidP="00A907AE">
            <w:pPr>
              <w:widowControl/>
              <w:autoSpaceDE/>
              <w:autoSpaceDN/>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 </w:t>
            </w:r>
          </w:p>
        </w:tc>
        <w:tc>
          <w:tcPr>
            <w:tcW w:w="960" w:type="dxa"/>
            <w:shd w:val="clear" w:color="auto" w:fill="F2F2F2" w:themeFill="background1" w:themeFillShade="F2"/>
            <w:noWrap/>
            <w:vAlign w:val="bottom"/>
            <w:hideMark/>
          </w:tcPr>
          <w:p w14:paraId="0AF9EE56" w14:textId="7A645D04" w:rsidR="00A907AE" w:rsidRPr="00617F96" w:rsidRDefault="00A907AE" w:rsidP="00A907AE">
            <w:pPr>
              <w:widowControl/>
              <w:autoSpaceDE/>
              <w:autoSpaceDN/>
              <w:jc w:val="center"/>
              <w:rPr>
                <w:rFonts w:asciiTheme="minorHAnsi" w:eastAsia="Times New Roman" w:hAnsiTheme="minorHAnsi"/>
                <w:color w:val="000000"/>
                <w:sz w:val="22"/>
                <w:szCs w:val="22"/>
              </w:rPr>
            </w:pPr>
          </w:p>
        </w:tc>
        <w:tc>
          <w:tcPr>
            <w:tcW w:w="960" w:type="dxa"/>
            <w:shd w:val="clear" w:color="auto" w:fill="F2F2F2" w:themeFill="background1" w:themeFillShade="F2"/>
            <w:noWrap/>
            <w:vAlign w:val="bottom"/>
            <w:hideMark/>
          </w:tcPr>
          <w:p w14:paraId="31391D21" w14:textId="77514C66" w:rsidR="00A907AE" w:rsidRPr="00617F96" w:rsidRDefault="00A907AE" w:rsidP="00A907AE">
            <w:pPr>
              <w:widowControl/>
              <w:autoSpaceDE/>
              <w:autoSpaceDN/>
              <w:jc w:val="center"/>
              <w:rPr>
                <w:rFonts w:asciiTheme="minorHAnsi" w:eastAsia="Times New Roman" w:hAnsiTheme="minorHAnsi"/>
                <w:color w:val="000000"/>
                <w:sz w:val="22"/>
                <w:szCs w:val="22"/>
              </w:rPr>
            </w:pPr>
          </w:p>
        </w:tc>
      </w:tr>
    </w:tbl>
    <w:p w14:paraId="66285655" w14:textId="77777777" w:rsidR="00666187" w:rsidRPr="001769C6" w:rsidRDefault="00666187" w:rsidP="00B9320A">
      <w:pPr>
        <w:rPr>
          <w:rFonts w:asciiTheme="minorHAnsi" w:hAnsiTheme="minorHAnsi"/>
          <w:szCs w:val="24"/>
        </w:rPr>
      </w:pPr>
    </w:p>
    <w:p w14:paraId="511A2F51" w14:textId="3C203894" w:rsidR="00B9320A" w:rsidRDefault="00B9320A" w:rsidP="00B9320A">
      <w:pPr>
        <w:rPr>
          <w:rFonts w:asciiTheme="minorHAnsi" w:hAnsiTheme="minorHAnsi"/>
          <w:b/>
          <w:bCs/>
          <w:szCs w:val="24"/>
        </w:rPr>
      </w:pPr>
      <w:r w:rsidRPr="00193C27">
        <w:rPr>
          <w:rFonts w:asciiTheme="minorHAnsi" w:hAnsiTheme="minorHAnsi"/>
          <w:b/>
          <w:bCs/>
          <w:szCs w:val="24"/>
          <w:u w:val="single"/>
        </w:rPr>
        <w:t xml:space="preserve">Table </w:t>
      </w:r>
      <w:r>
        <w:rPr>
          <w:rFonts w:asciiTheme="minorHAnsi" w:hAnsiTheme="minorHAnsi"/>
          <w:b/>
          <w:bCs/>
          <w:szCs w:val="24"/>
          <w:u w:val="single"/>
        </w:rPr>
        <w:t>1</w:t>
      </w:r>
      <w:r w:rsidR="00993A37">
        <w:rPr>
          <w:rFonts w:asciiTheme="minorHAnsi" w:hAnsiTheme="minorHAnsi"/>
          <w:b/>
          <w:bCs/>
          <w:szCs w:val="24"/>
          <w:u w:val="single"/>
        </w:rPr>
        <w:t>6</w:t>
      </w:r>
      <w:r w:rsidRPr="00193C27">
        <w:rPr>
          <w:rFonts w:asciiTheme="minorHAnsi" w:hAnsiTheme="minorHAnsi"/>
          <w:b/>
          <w:bCs/>
          <w:szCs w:val="24"/>
        </w:rPr>
        <w:t xml:space="preserve">: </w:t>
      </w:r>
      <w:r w:rsidR="00840CB8">
        <w:rPr>
          <w:rFonts w:asciiTheme="minorHAnsi" w:hAnsiTheme="minorHAnsi"/>
          <w:b/>
          <w:bCs/>
          <w:szCs w:val="24"/>
        </w:rPr>
        <w:t xml:space="preserve">DFCI </w:t>
      </w:r>
      <w:r w:rsidRPr="00193C27">
        <w:rPr>
          <w:rFonts w:asciiTheme="minorHAnsi" w:hAnsiTheme="minorHAnsi"/>
          <w:b/>
          <w:bCs/>
          <w:szCs w:val="24"/>
        </w:rPr>
        <w:t xml:space="preserve">Pediatric Group 1 and Group 2 </w:t>
      </w:r>
      <w:r w:rsidR="00617F96">
        <w:rPr>
          <w:rFonts w:asciiTheme="minorHAnsi" w:hAnsiTheme="minorHAnsi"/>
          <w:b/>
          <w:bCs/>
          <w:szCs w:val="24"/>
        </w:rPr>
        <w:t>Payer Mix</w:t>
      </w:r>
      <w:r w:rsidRPr="00193C27">
        <w:rPr>
          <w:rFonts w:asciiTheme="minorHAnsi" w:hAnsiTheme="minorHAnsi"/>
          <w:b/>
          <w:bCs/>
          <w:szCs w:val="24"/>
        </w:rPr>
        <w:t>, FY24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951"/>
        <w:gridCol w:w="2329"/>
        <w:gridCol w:w="951"/>
      </w:tblGrid>
      <w:tr w:rsidR="0044110E" w:rsidRPr="00617F96" w14:paraId="40AA1868" w14:textId="77777777" w:rsidTr="00C41D8B">
        <w:trPr>
          <w:cantSplit/>
          <w:trHeight w:val="290"/>
          <w:tblHeader/>
        </w:trPr>
        <w:tc>
          <w:tcPr>
            <w:tcW w:w="0" w:type="auto"/>
            <w:shd w:val="clear" w:color="auto" w:fill="C6D9F1" w:themeFill="text2" w:themeFillTint="33"/>
            <w:noWrap/>
            <w:vAlign w:val="bottom"/>
            <w:hideMark/>
          </w:tcPr>
          <w:p w14:paraId="44F05396" w14:textId="77777777" w:rsidR="0044110E" w:rsidRPr="00617F96" w:rsidRDefault="0044110E" w:rsidP="00FD1D49">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Group 1</w:t>
            </w:r>
          </w:p>
        </w:tc>
        <w:tc>
          <w:tcPr>
            <w:tcW w:w="0" w:type="auto"/>
            <w:shd w:val="clear" w:color="auto" w:fill="C6D9F1" w:themeFill="text2" w:themeFillTint="33"/>
            <w:vAlign w:val="bottom"/>
          </w:tcPr>
          <w:p w14:paraId="7ED93E1B" w14:textId="425B3F2F" w:rsidR="0044110E" w:rsidRPr="00617F96" w:rsidRDefault="0044110E" w:rsidP="00FD1D49">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Group 1</w:t>
            </w:r>
          </w:p>
        </w:tc>
        <w:tc>
          <w:tcPr>
            <w:tcW w:w="0" w:type="auto"/>
            <w:shd w:val="clear" w:color="auto" w:fill="C6D9F1" w:themeFill="text2" w:themeFillTint="33"/>
            <w:noWrap/>
            <w:vAlign w:val="bottom"/>
            <w:hideMark/>
          </w:tcPr>
          <w:p w14:paraId="28C20728" w14:textId="77777777" w:rsidR="0044110E" w:rsidRPr="00617F96" w:rsidRDefault="0044110E" w:rsidP="00FD1D49">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Group 2</w:t>
            </w:r>
          </w:p>
        </w:tc>
        <w:tc>
          <w:tcPr>
            <w:tcW w:w="0" w:type="auto"/>
            <w:shd w:val="clear" w:color="auto" w:fill="C6D9F1" w:themeFill="text2" w:themeFillTint="33"/>
            <w:vAlign w:val="bottom"/>
          </w:tcPr>
          <w:p w14:paraId="11A6A239" w14:textId="75CA6881" w:rsidR="0044110E" w:rsidRPr="00617F96" w:rsidRDefault="0044110E" w:rsidP="00FD1D49">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Group 2</w:t>
            </w:r>
          </w:p>
        </w:tc>
      </w:tr>
      <w:tr w:rsidR="00617F96" w:rsidRPr="00617F96" w14:paraId="64E610B9" w14:textId="77777777" w:rsidTr="00C41D8B">
        <w:trPr>
          <w:cantSplit/>
          <w:trHeight w:val="290"/>
          <w:tblHeader/>
        </w:trPr>
        <w:tc>
          <w:tcPr>
            <w:tcW w:w="0" w:type="auto"/>
            <w:shd w:val="clear" w:color="auto" w:fill="F2F2F2" w:themeFill="background1" w:themeFillShade="F2"/>
            <w:noWrap/>
            <w:vAlign w:val="bottom"/>
            <w:hideMark/>
          </w:tcPr>
          <w:p w14:paraId="29D22E75" w14:textId="77777777" w:rsidR="00617F96" w:rsidRPr="00617F96" w:rsidRDefault="00617F96" w:rsidP="00FD1D49">
            <w:pPr>
              <w:widowControl/>
              <w:autoSpaceDE/>
              <w:autoSpaceDN/>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Payer Mix</w:t>
            </w:r>
          </w:p>
        </w:tc>
        <w:tc>
          <w:tcPr>
            <w:tcW w:w="0" w:type="auto"/>
            <w:shd w:val="clear" w:color="auto" w:fill="F2F2F2" w:themeFill="background1" w:themeFillShade="F2"/>
            <w:noWrap/>
            <w:vAlign w:val="bottom"/>
            <w:hideMark/>
          </w:tcPr>
          <w:p w14:paraId="4A024CC8" w14:textId="4673722E" w:rsidR="00617F96" w:rsidRPr="00617F96" w:rsidRDefault="00617F96" w:rsidP="00FD1D49">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Percent</w:t>
            </w:r>
          </w:p>
        </w:tc>
        <w:tc>
          <w:tcPr>
            <w:tcW w:w="0" w:type="auto"/>
            <w:shd w:val="clear" w:color="auto" w:fill="F2F2F2" w:themeFill="background1" w:themeFillShade="F2"/>
            <w:noWrap/>
            <w:vAlign w:val="bottom"/>
            <w:hideMark/>
          </w:tcPr>
          <w:p w14:paraId="55486A4C" w14:textId="77777777" w:rsidR="00617F96" w:rsidRPr="00617F96" w:rsidRDefault="00617F96" w:rsidP="00FD1D49">
            <w:pPr>
              <w:widowControl/>
              <w:autoSpaceDE/>
              <w:autoSpaceDN/>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Payer Mix</w:t>
            </w:r>
          </w:p>
        </w:tc>
        <w:tc>
          <w:tcPr>
            <w:tcW w:w="0" w:type="auto"/>
            <w:shd w:val="clear" w:color="auto" w:fill="F2F2F2" w:themeFill="background1" w:themeFillShade="F2"/>
            <w:noWrap/>
            <w:vAlign w:val="bottom"/>
            <w:hideMark/>
          </w:tcPr>
          <w:p w14:paraId="11A0E7B7" w14:textId="3E52B926" w:rsidR="00617F96" w:rsidRPr="00617F96" w:rsidRDefault="00617F96" w:rsidP="00FD1D49">
            <w:pPr>
              <w:widowControl/>
              <w:autoSpaceDE/>
              <w:autoSpaceDN/>
              <w:jc w:val="center"/>
              <w:rPr>
                <w:rFonts w:asciiTheme="minorHAnsi" w:eastAsia="Times New Roman" w:hAnsiTheme="minorHAnsi"/>
                <w:b/>
                <w:bCs/>
                <w:color w:val="000000"/>
                <w:sz w:val="22"/>
                <w:szCs w:val="22"/>
              </w:rPr>
            </w:pPr>
            <w:r w:rsidRPr="00617F96">
              <w:rPr>
                <w:rFonts w:asciiTheme="minorHAnsi" w:eastAsia="Times New Roman" w:hAnsiTheme="minorHAnsi"/>
                <w:b/>
                <w:bCs/>
                <w:color w:val="000000"/>
                <w:sz w:val="22"/>
                <w:szCs w:val="22"/>
              </w:rPr>
              <w:t>Percent</w:t>
            </w:r>
          </w:p>
        </w:tc>
      </w:tr>
      <w:tr w:rsidR="00617F96" w:rsidRPr="00617F96" w14:paraId="6967B195" w14:textId="77777777" w:rsidTr="00C41D8B">
        <w:trPr>
          <w:cantSplit/>
          <w:trHeight w:val="290"/>
        </w:trPr>
        <w:tc>
          <w:tcPr>
            <w:tcW w:w="0" w:type="auto"/>
            <w:noWrap/>
            <w:vAlign w:val="bottom"/>
            <w:hideMark/>
          </w:tcPr>
          <w:p w14:paraId="691C80B7" w14:textId="77777777" w:rsidR="00617F96" w:rsidRPr="00617F96" w:rsidRDefault="00617F96" w:rsidP="00FD1D49">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Commercial Medicare</w:t>
            </w:r>
          </w:p>
        </w:tc>
        <w:tc>
          <w:tcPr>
            <w:tcW w:w="0" w:type="auto"/>
            <w:noWrap/>
            <w:vAlign w:val="bottom"/>
            <w:hideMark/>
          </w:tcPr>
          <w:p w14:paraId="091DFA01" w14:textId="77777777" w:rsidR="00617F96" w:rsidRPr="00617F96" w:rsidRDefault="00617F96" w:rsidP="00FD1D49">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4.4%</w:t>
            </w:r>
          </w:p>
        </w:tc>
        <w:tc>
          <w:tcPr>
            <w:tcW w:w="0" w:type="auto"/>
            <w:noWrap/>
            <w:vAlign w:val="bottom"/>
            <w:hideMark/>
          </w:tcPr>
          <w:p w14:paraId="5E0C9B21" w14:textId="77777777" w:rsidR="00617F96" w:rsidRPr="00617F96" w:rsidRDefault="00617F96" w:rsidP="00FD1D49">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Commercial Medicare</w:t>
            </w:r>
          </w:p>
        </w:tc>
        <w:tc>
          <w:tcPr>
            <w:tcW w:w="0" w:type="auto"/>
            <w:noWrap/>
            <w:vAlign w:val="bottom"/>
            <w:hideMark/>
          </w:tcPr>
          <w:p w14:paraId="61B7F610" w14:textId="77777777" w:rsidR="00617F96" w:rsidRPr="00617F96" w:rsidRDefault="00617F96" w:rsidP="00FD1D49">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0.0%</w:t>
            </w:r>
          </w:p>
        </w:tc>
      </w:tr>
      <w:tr w:rsidR="00617F96" w:rsidRPr="00617F96" w14:paraId="09E052A7" w14:textId="77777777" w:rsidTr="00C41D8B">
        <w:trPr>
          <w:cantSplit/>
          <w:trHeight w:val="290"/>
        </w:trPr>
        <w:tc>
          <w:tcPr>
            <w:tcW w:w="0" w:type="auto"/>
            <w:noWrap/>
            <w:vAlign w:val="bottom"/>
            <w:hideMark/>
          </w:tcPr>
          <w:p w14:paraId="4A147EF0" w14:textId="77777777" w:rsidR="00617F96" w:rsidRPr="00617F96" w:rsidRDefault="00617F96" w:rsidP="00FD1D49">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Medicare FFS</w:t>
            </w:r>
          </w:p>
        </w:tc>
        <w:tc>
          <w:tcPr>
            <w:tcW w:w="0" w:type="auto"/>
            <w:noWrap/>
            <w:vAlign w:val="bottom"/>
            <w:hideMark/>
          </w:tcPr>
          <w:p w14:paraId="0A4E1DCD" w14:textId="77777777" w:rsidR="00617F96" w:rsidRPr="00617F96" w:rsidRDefault="00617F96" w:rsidP="00FD1D49">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0.0%</w:t>
            </w:r>
          </w:p>
        </w:tc>
        <w:tc>
          <w:tcPr>
            <w:tcW w:w="0" w:type="auto"/>
            <w:noWrap/>
            <w:vAlign w:val="bottom"/>
            <w:hideMark/>
          </w:tcPr>
          <w:p w14:paraId="71D9FD30" w14:textId="77777777" w:rsidR="00617F96" w:rsidRPr="00617F96" w:rsidRDefault="00617F96" w:rsidP="00FD1D49">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Medicare FFS</w:t>
            </w:r>
          </w:p>
        </w:tc>
        <w:tc>
          <w:tcPr>
            <w:tcW w:w="0" w:type="auto"/>
            <w:noWrap/>
            <w:vAlign w:val="bottom"/>
            <w:hideMark/>
          </w:tcPr>
          <w:p w14:paraId="065BC6A5" w14:textId="77777777" w:rsidR="00617F96" w:rsidRPr="00617F96" w:rsidRDefault="00617F96" w:rsidP="00FD1D49">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0.0%</w:t>
            </w:r>
          </w:p>
        </w:tc>
      </w:tr>
      <w:tr w:rsidR="00617F96" w:rsidRPr="00617F96" w14:paraId="6FE3AA2D" w14:textId="77777777" w:rsidTr="00C41D8B">
        <w:trPr>
          <w:cantSplit/>
          <w:trHeight w:val="290"/>
        </w:trPr>
        <w:tc>
          <w:tcPr>
            <w:tcW w:w="0" w:type="auto"/>
            <w:noWrap/>
            <w:vAlign w:val="bottom"/>
            <w:hideMark/>
          </w:tcPr>
          <w:p w14:paraId="7DCF98AC" w14:textId="77777777" w:rsidR="00617F96" w:rsidRPr="00617F96" w:rsidRDefault="00617F96" w:rsidP="00FD1D49">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Managed Medicaid</w:t>
            </w:r>
          </w:p>
        </w:tc>
        <w:tc>
          <w:tcPr>
            <w:tcW w:w="0" w:type="auto"/>
            <w:noWrap/>
            <w:vAlign w:val="bottom"/>
            <w:hideMark/>
          </w:tcPr>
          <w:p w14:paraId="2A4AF4F8" w14:textId="77777777" w:rsidR="00617F96" w:rsidRPr="00617F96" w:rsidRDefault="00617F96" w:rsidP="00FD1D49">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27.0%</w:t>
            </w:r>
          </w:p>
        </w:tc>
        <w:tc>
          <w:tcPr>
            <w:tcW w:w="0" w:type="auto"/>
            <w:noWrap/>
            <w:vAlign w:val="bottom"/>
            <w:hideMark/>
          </w:tcPr>
          <w:p w14:paraId="18A48FE2" w14:textId="77777777" w:rsidR="00617F96" w:rsidRPr="00617F96" w:rsidRDefault="00617F96" w:rsidP="00FD1D49">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Managed Medicaid</w:t>
            </w:r>
          </w:p>
        </w:tc>
        <w:tc>
          <w:tcPr>
            <w:tcW w:w="0" w:type="auto"/>
            <w:noWrap/>
            <w:vAlign w:val="bottom"/>
            <w:hideMark/>
          </w:tcPr>
          <w:p w14:paraId="6F1E139F" w14:textId="77777777" w:rsidR="00617F96" w:rsidRPr="00617F96" w:rsidRDefault="00617F96" w:rsidP="00FD1D49">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42.7%</w:t>
            </w:r>
          </w:p>
        </w:tc>
      </w:tr>
      <w:tr w:rsidR="00617F96" w:rsidRPr="00617F96" w14:paraId="6E9470F3" w14:textId="77777777" w:rsidTr="00C41D8B">
        <w:trPr>
          <w:cantSplit/>
          <w:trHeight w:val="290"/>
        </w:trPr>
        <w:tc>
          <w:tcPr>
            <w:tcW w:w="0" w:type="auto"/>
            <w:noWrap/>
            <w:vAlign w:val="bottom"/>
            <w:hideMark/>
          </w:tcPr>
          <w:p w14:paraId="0C048473" w14:textId="77777777" w:rsidR="00617F96" w:rsidRPr="00617F96" w:rsidRDefault="00617F96" w:rsidP="00FD1D49">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MassHealth</w:t>
            </w:r>
          </w:p>
        </w:tc>
        <w:tc>
          <w:tcPr>
            <w:tcW w:w="0" w:type="auto"/>
            <w:noWrap/>
            <w:vAlign w:val="bottom"/>
            <w:hideMark/>
          </w:tcPr>
          <w:p w14:paraId="28C8F6C5" w14:textId="77777777" w:rsidR="00617F96" w:rsidRPr="00617F96" w:rsidRDefault="00617F96" w:rsidP="00FD1D49">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2.3%</w:t>
            </w:r>
          </w:p>
        </w:tc>
        <w:tc>
          <w:tcPr>
            <w:tcW w:w="0" w:type="auto"/>
            <w:noWrap/>
            <w:vAlign w:val="bottom"/>
            <w:hideMark/>
          </w:tcPr>
          <w:p w14:paraId="40AF9ACA" w14:textId="77777777" w:rsidR="00617F96" w:rsidRPr="00617F96" w:rsidRDefault="00617F96" w:rsidP="00FD1D49">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MassHealth</w:t>
            </w:r>
          </w:p>
        </w:tc>
        <w:tc>
          <w:tcPr>
            <w:tcW w:w="0" w:type="auto"/>
            <w:noWrap/>
            <w:vAlign w:val="bottom"/>
            <w:hideMark/>
          </w:tcPr>
          <w:p w14:paraId="342AF20B" w14:textId="77777777" w:rsidR="00617F96" w:rsidRPr="00617F96" w:rsidRDefault="00617F96" w:rsidP="00FD1D49">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2.7%</w:t>
            </w:r>
          </w:p>
        </w:tc>
      </w:tr>
      <w:tr w:rsidR="00617F96" w:rsidRPr="00617F96" w14:paraId="7B43BE73" w14:textId="77777777" w:rsidTr="00C41D8B">
        <w:trPr>
          <w:cantSplit/>
          <w:trHeight w:val="290"/>
        </w:trPr>
        <w:tc>
          <w:tcPr>
            <w:tcW w:w="0" w:type="auto"/>
            <w:noWrap/>
            <w:vAlign w:val="bottom"/>
            <w:hideMark/>
          </w:tcPr>
          <w:p w14:paraId="4FBE1C21" w14:textId="77777777" w:rsidR="00617F96" w:rsidRPr="00617F96" w:rsidRDefault="00617F96" w:rsidP="00FD1D49">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Commercial</w:t>
            </w:r>
          </w:p>
        </w:tc>
        <w:tc>
          <w:tcPr>
            <w:tcW w:w="0" w:type="auto"/>
            <w:noWrap/>
            <w:vAlign w:val="bottom"/>
            <w:hideMark/>
          </w:tcPr>
          <w:p w14:paraId="6E791FE9" w14:textId="77777777" w:rsidR="00617F96" w:rsidRPr="00617F96" w:rsidRDefault="00617F96" w:rsidP="00FD1D49">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60.9%</w:t>
            </w:r>
          </w:p>
        </w:tc>
        <w:tc>
          <w:tcPr>
            <w:tcW w:w="0" w:type="auto"/>
            <w:noWrap/>
            <w:vAlign w:val="bottom"/>
            <w:hideMark/>
          </w:tcPr>
          <w:p w14:paraId="37CA265B" w14:textId="77777777" w:rsidR="00617F96" w:rsidRPr="00617F96" w:rsidRDefault="00617F96" w:rsidP="00FD1D49">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Commercial</w:t>
            </w:r>
          </w:p>
        </w:tc>
        <w:tc>
          <w:tcPr>
            <w:tcW w:w="0" w:type="auto"/>
            <w:noWrap/>
            <w:vAlign w:val="bottom"/>
            <w:hideMark/>
          </w:tcPr>
          <w:p w14:paraId="45D4440F" w14:textId="77777777" w:rsidR="00617F96" w:rsidRPr="00617F96" w:rsidRDefault="00617F96" w:rsidP="00FD1D49">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54.5%</w:t>
            </w:r>
          </w:p>
        </w:tc>
      </w:tr>
      <w:tr w:rsidR="00617F96" w:rsidRPr="00617F96" w14:paraId="5DA74346" w14:textId="77777777" w:rsidTr="00C41D8B">
        <w:trPr>
          <w:cantSplit/>
          <w:trHeight w:val="290"/>
        </w:trPr>
        <w:tc>
          <w:tcPr>
            <w:tcW w:w="0" w:type="auto"/>
            <w:noWrap/>
            <w:vAlign w:val="bottom"/>
            <w:hideMark/>
          </w:tcPr>
          <w:p w14:paraId="70EE3B29" w14:textId="77777777" w:rsidR="00617F96" w:rsidRPr="00617F96" w:rsidRDefault="00617F96" w:rsidP="00FD1D49">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Other</w:t>
            </w:r>
            <w:r w:rsidRPr="00617F96">
              <w:rPr>
                <w:rFonts w:asciiTheme="minorHAnsi" w:eastAsia="Times New Roman" w:hAnsiTheme="minorHAnsi"/>
                <w:color w:val="000000"/>
                <w:sz w:val="22"/>
                <w:szCs w:val="22"/>
                <w:vertAlign w:val="superscript"/>
              </w:rPr>
              <w:footnoteReference w:id="49"/>
            </w:r>
            <w:r w:rsidRPr="00617F96">
              <w:rPr>
                <w:rFonts w:asciiTheme="minorHAnsi" w:eastAsia="Times New Roman" w:hAnsiTheme="minorHAnsi"/>
                <w:color w:val="000000"/>
                <w:sz w:val="22"/>
                <w:szCs w:val="22"/>
              </w:rPr>
              <w:t xml:space="preserve">  </w:t>
            </w:r>
          </w:p>
        </w:tc>
        <w:tc>
          <w:tcPr>
            <w:tcW w:w="0" w:type="auto"/>
            <w:noWrap/>
            <w:vAlign w:val="bottom"/>
            <w:hideMark/>
          </w:tcPr>
          <w:p w14:paraId="55DA05F9" w14:textId="77777777" w:rsidR="00617F96" w:rsidRPr="00617F96" w:rsidRDefault="00617F96" w:rsidP="00FD1D49">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5.4%</w:t>
            </w:r>
          </w:p>
        </w:tc>
        <w:tc>
          <w:tcPr>
            <w:tcW w:w="0" w:type="auto"/>
            <w:noWrap/>
            <w:vAlign w:val="bottom"/>
            <w:hideMark/>
          </w:tcPr>
          <w:p w14:paraId="2823FB00" w14:textId="77777777" w:rsidR="00617F96" w:rsidRPr="00617F96" w:rsidRDefault="00617F96" w:rsidP="00FD1D49">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Other</w:t>
            </w:r>
            <w:r w:rsidRPr="00617F96">
              <w:rPr>
                <w:rFonts w:asciiTheme="minorHAnsi" w:eastAsia="Times New Roman" w:hAnsiTheme="minorHAnsi"/>
                <w:color w:val="000000"/>
                <w:sz w:val="22"/>
                <w:szCs w:val="22"/>
                <w:vertAlign w:val="superscript"/>
              </w:rPr>
              <w:footnoteReference w:id="50"/>
            </w:r>
          </w:p>
        </w:tc>
        <w:tc>
          <w:tcPr>
            <w:tcW w:w="0" w:type="auto"/>
            <w:noWrap/>
            <w:vAlign w:val="bottom"/>
            <w:hideMark/>
          </w:tcPr>
          <w:p w14:paraId="2B364FFC" w14:textId="77777777" w:rsidR="00617F96" w:rsidRPr="00617F96" w:rsidRDefault="00617F96" w:rsidP="00FD1D49">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0.1%</w:t>
            </w:r>
          </w:p>
        </w:tc>
      </w:tr>
      <w:tr w:rsidR="00617F96" w:rsidRPr="00617F96" w14:paraId="77CF1BEC" w14:textId="77777777" w:rsidTr="00C41D8B">
        <w:trPr>
          <w:cantSplit/>
          <w:trHeight w:val="290"/>
        </w:trPr>
        <w:tc>
          <w:tcPr>
            <w:tcW w:w="0" w:type="auto"/>
            <w:noWrap/>
            <w:vAlign w:val="bottom"/>
            <w:hideMark/>
          </w:tcPr>
          <w:p w14:paraId="74CCAE44" w14:textId="77777777" w:rsidR="00617F96" w:rsidRPr="00617F96" w:rsidRDefault="00617F96" w:rsidP="00FD1D49">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 xml:space="preserve">Total </w:t>
            </w:r>
          </w:p>
        </w:tc>
        <w:tc>
          <w:tcPr>
            <w:tcW w:w="0" w:type="auto"/>
            <w:noWrap/>
            <w:vAlign w:val="bottom"/>
            <w:hideMark/>
          </w:tcPr>
          <w:p w14:paraId="05AD5234" w14:textId="77777777" w:rsidR="00617F96" w:rsidRPr="00617F96" w:rsidRDefault="00617F96" w:rsidP="00FD1D49">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100.0%</w:t>
            </w:r>
          </w:p>
        </w:tc>
        <w:tc>
          <w:tcPr>
            <w:tcW w:w="0" w:type="auto"/>
            <w:noWrap/>
            <w:vAlign w:val="bottom"/>
            <w:hideMark/>
          </w:tcPr>
          <w:p w14:paraId="65374AC3" w14:textId="77777777" w:rsidR="00617F96" w:rsidRPr="00617F96" w:rsidRDefault="00617F96" w:rsidP="00FD1D49">
            <w:pPr>
              <w:widowControl/>
              <w:autoSpaceDE/>
              <w:autoSpaceDN/>
              <w:ind w:left="144"/>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 xml:space="preserve">Total </w:t>
            </w:r>
          </w:p>
        </w:tc>
        <w:tc>
          <w:tcPr>
            <w:tcW w:w="0" w:type="auto"/>
            <w:noWrap/>
            <w:vAlign w:val="bottom"/>
            <w:hideMark/>
          </w:tcPr>
          <w:p w14:paraId="3B99012E" w14:textId="77777777" w:rsidR="00617F96" w:rsidRPr="00617F96" w:rsidRDefault="00617F96" w:rsidP="00FD1D49">
            <w:pPr>
              <w:widowControl/>
              <w:autoSpaceDE/>
              <w:autoSpaceDN/>
              <w:jc w:val="center"/>
              <w:rPr>
                <w:rFonts w:asciiTheme="minorHAnsi" w:eastAsia="Times New Roman" w:hAnsiTheme="minorHAnsi"/>
                <w:color w:val="000000"/>
                <w:sz w:val="22"/>
                <w:szCs w:val="22"/>
              </w:rPr>
            </w:pPr>
            <w:r w:rsidRPr="00617F96">
              <w:rPr>
                <w:rFonts w:asciiTheme="minorHAnsi" w:eastAsia="Times New Roman" w:hAnsiTheme="minorHAnsi"/>
                <w:color w:val="000000"/>
                <w:sz w:val="22"/>
                <w:szCs w:val="22"/>
              </w:rPr>
              <w:t>100.0%</w:t>
            </w:r>
          </w:p>
        </w:tc>
      </w:tr>
    </w:tbl>
    <w:p w14:paraId="7D320975" w14:textId="77777777" w:rsidR="00050533" w:rsidRDefault="00050533" w:rsidP="003C50FD">
      <w:pPr>
        <w:rPr>
          <w:rFonts w:asciiTheme="minorHAnsi" w:hAnsiTheme="minorHAnsi"/>
          <w:szCs w:val="24"/>
        </w:rPr>
      </w:pPr>
    </w:p>
    <w:p w14:paraId="38ECAEF8" w14:textId="3ACCF541" w:rsidR="00B304A9" w:rsidRDefault="00AA3CBD" w:rsidP="003C50FD">
      <w:pPr>
        <w:rPr>
          <w:rFonts w:asciiTheme="minorHAnsi" w:hAnsiTheme="minorHAnsi"/>
          <w:szCs w:val="24"/>
        </w:rPr>
      </w:pPr>
      <w:r>
        <w:rPr>
          <w:rFonts w:asciiTheme="minorHAnsi" w:hAnsiTheme="minorHAnsi"/>
          <w:szCs w:val="24"/>
        </w:rPr>
        <w:t xml:space="preserve">To better understand need for PBT among the Applicant’s pediatric patients, the Applicant provided a breakdown of Group 1 and Group 2 pediatric patients by Massachusetts residency and out-of-state residency. This is shown in Table </w:t>
      </w:r>
      <w:r w:rsidR="00993A37">
        <w:rPr>
          <w:rFonts w:asciiTheme="minorHAnsi" w:hAnsiTheme="minorHAnsi"/>
          <w:szCs w:val="24"/>
        </w:rPr>
        <w:t>17</w:t>
      </w:r>
      <w:r>
        <w:rPr>
          <w:rFonts w:asciiTheme="minorHAnsi" w:hAnsiTheme="minorHAnsi"/>
          <w:szCs w:val="24"/>
        </w:rPr>
        <w:t xml:space="preserve">. </w:t>
      </w:r>
      <w:r w:rsidR="0093032B">
        <w:rPr>
          <w:rFonts w:asciiTheme="minorHAnsi" w:hAnsiTheme="minorHAnsi"/>
          <w:szCs w:val="24"/>
        </w:rPr>
        <w:t>Of the 423</w:t>
      </w:r>
      <w:r w:rsidR="008814BA">
        <w:rPr>
          <w:rFonts w:asciiTheme="minorHAnsi" w:hAnsiTheme="minorHAnsi"/>
          <w:szCs w:val="24"/>
        </w:rPr>
        <w:t xml:space="preserve"> </w:t>
      </w:r>
      <w:r w:rsidR="0093032B">
        <w:rPr>
          <w:rFonts w:asciiTheme="minorHAnsi" w:hAnsiTheme="minorHAnsi"/>
          <w:szCs w:val="24"/>
        </w:rPr>
        <w:t>Group 1 and Group 2 pediatric patients</w:t>
      </w:r>
      <w:r w:rsidR="008814BA">
        <w:rPr>
          <w:rFonts w:asciiTheme="minorHAnsi" w:hAnsiTheme="minorHAnsi"/>
          <w:szCs w:val="24"/>
        </w:rPr>
        <w:t xml:space="preserve"> in FY24</w:t>
      </w:r>
      <w:r w:rsidR="0093032B">
        <w:rPr>
          <w:rFonts w:asciiTheme="minorHAnsi" w:hAnsiTheme="minorHAnsi"/>
          <w:szCs w:val="24"/>
        </w:rPr>
        <w:t xml:space="preserve">, </w:t>
      </w:r>
      <w:r w:rsidR="000D60F0">
        <w:rPr>
          <w:rFonts w:asciiTheme="minorHAnsi" w:hAnsiTheme="minorHAnsi"/>
          <w:szCs w:val="24"/>
        </w:rPr>
        <w:t xml:space="preserve">59% </w:t>
      </w:r>
      <w:r w:rsidR="008814BA">
        <w:rPr>
          <w:rFonts w:asciiTheme="minorHAnsi" w:hAnsiTheme="minorHAnsi"/>
          <w:szCs w:val="24"/>
        </w:rPr>
        <w:t>were</w:t>
      </w:r>
      <w:r w:rsidR="000D60F0">
        <w:rPr>
          <w:rFonts w:asciiTheme="minorHAnsi" w:hAnsiTheme="minorHAnsi"/>
          <w:szCs w:val="24"/>
        </w:rPr>
        <w:t xml:space="preserve"> Massachusetts residents.</w:t>
      </w:r>
      <w:r w:rsidR="00CF3F74">
        <w:rPr>
          <w:rFonts w:asciiTheme="minorHAnsi" w:hAnsiTheme="minorHAnsi"/>
          <w:szCs w:val="24"/>
        </w:rPr>
        <w:t xml:space="preserve"> Staff note that</w:t>
      </w:r>
      <w:r w:rsidR="00746122">
        <w:rPr>
          <w:rFonts w:asciiTheme="minorHAnsi" w:hAnsiTheme="minorHAnsi"/>
          <w:szCs w:val="24"/>
        </w:rPr>
        <w:t xml:space="preserve"> the Applicant’s out-of-state residents may elect to seek PBT treatment at a facility in closer proximity than DFCI, </w:t>
      </w:r>
      <w:r w:rsidR="00E3560F">
        <w:rPr>
          <w:rFonts w:asciiTheme="minorHAnsi" w:hAnsiTheme="minorHAnsi"/>
          <w:szCs w:val="24"/>
        </w:rPr>
        <w:t>nonetheless,</w:t>
      </w:r>
      <w:r w:rsidR="00622D9A">
        <w:rPr>
          <w:rFonts w:asciiTheme="minorHAnsi" w:hAnsiTheme="minorHAnsi"/>
          <w:szCs w:val="24"/>
        </w:rPr>
        <w:t xml:space="preserve"> the Applicant has established that </w:t>
      </w:r>
      <w:r w:rsidR="00CF3F74">
        <w:rPr>
          <w:rFonts w:asciiTheme="minorHAnsi" w:hAnsiTheme="minorHAnsi"/>
          <w:szCs w:val="24"/>
        </w:rPr>
        <w:t xml:space="preserve">need for PBT therapy among </w:t>
      </w:r>
      <w:r w:rsidR="00175803">
        <w:rPr>
          <w:rFonts w:asciiTheme="minorHAnsi" w:hAnsiTheme="minorHAnsi"/>
          <w:szCs w:val="24"/>
        </w:rPr>
        <w:t xml:space="preserve">the Applicant’s </w:t>
      </w:r>
      <w:r w:rsidR="00CF3F74">
        <w:rPr>
          <w:rFonts w:asciiTheme="minorHAnsi" w:hAnsiTheme="minorHAnsi"/>
          <w:szCs w:val="24"/>
        </w:rPr>
        <w:t>pediatric patients in M</w:t>
      </w:r>
      <w:r w:rsidR="00175803">
        <w:rPr>
          <w:rFonts w:asciiTheme="minorHAnsi" w:hAnsiTheme="minorHAnsi"/>
          <w:szCs w:val="24"/>
        </w:rPr>
        <w:t>assachusetts alone</w:t>
      </w:r>
      <w:r w:rsidR="00CF3F74">
        <w:rPr>
          <w:rFonts w:asciiTheme="minorHAnsi" w:hAnsiTheme="minorHAnsi"/>
          <w:szCs w:val="24"/>
        </w:rPr>
        <w:t xml:space="preserve"> </w:t>
      </w:r>
      <w:r w:rsidR="00175803">
        <w:rPr>
          <w:rFonts w:asciiTheme="minorHAnsi" w:hAnsiTheme="minorHAnsi"/>
          <w:szCs w:val="24"/>
        </w:rPr>
        <w:t>is greater than</w:t>
      </w:r>
      <w:r w:rsidR="00CF3F74">
        <w:rPr>
          <w:rFonts w:asciiTheme="minorHAnsi" w:hAnsiTheme="minorHAnsi"/>
          <w:szCs w:val="24"/>
        </w:rPr>
        <w:t xml:space="preserve"> the capacity of the Applicant’s </w:t>
      </w:r>
      <w:r w:rsidR="00175803">
        <w:rPr>
          <w:rFonts w:asciiTheme="minorHAnsi" w:hAnsiTheme="minorHAnsi"/>
          <w:szCs w:val="24"/>
        </w:rPr>
        <w:t xml:space="preserve">proposed </w:t>
      </w:r>
      <w:r w:rsidR="00CF3F74">
        <w:rPr>
          <w:rFonts w:asciiTheme="minorHAnsi" w:hAnsiTheme="minorHAnsi"/>
          <w:szCs w:val="24"/>
        </w:rPr>
        <w:t xml:space="preserve">PBT system. </w:t>
      </w:r>
      <w:r w:rsidR="000D60F0">
        <w:rPr>
          <w:rFonts w:asciiTheme="minorHAnsi" w:hAnsiTheme="minorHAnsi"/>
          <w:szCs w:val="24"/>
        </w:rPr>
        <w:t xml:space="preserve"> </w:t>
      </w:r>
    </w:p>
    <w:p w14:paraId="2671E83D" w14:textId="77777777" w:rsidR="000D60F0" w:rsidRDefault="000D60F0" w:rsidP="003C50FD">
      <w:pPr>
        <w:rPr>
          <w:rFonts w:asciiTheme="minorHAnsi" w:hAnsiTheme="minorHAnsi"/>
          <w:b/>
          <w:bCs/>
          <w:szCs w:val="24"/>
          <w:u w:val="single"/>
        </w:rPr>
      </w:pPr>
    </w:p>
    <w:p w14:paraId="08C1106C" w14:textId="23144C30" w:rsidR="00AA3CBD" w:rsidRPr="001769C6" w:rsidRDefault="00FE29DB" w:rsidP="003C50FD">
      <w:pPr>
        <w:rPr>
          <w:rFonts w:asciiTheme="minorHAnsi" w:hAnsiTheme="minorHAnsi"/>
          <w:b/>
          <w:bCs/>
          <w:szCs w:val="24"/>
        </w:rPr>
      </w:pPr>
      <w:r w:rsidRPr="001769C6">
        <w:rPr>
          <w:rFonts w:asciiTheme="minorHAnsi" w:hAnsiTheme="minorHAnsi"/>
          <w:b/>
          <w:bCs/>
          <w:szCs w:val="24"/>
          <w:u w:val="single"/>
        </w:rPr>
        <w:t xml:space="preserve">Table </w:t>
      </w:r>
      <w:r w:rsidR="00993A37">
        <w:rPr>
          <w:rFonts w:asciiTheme="minorHAnsi" w:hAnsiTheme="minorHAnsi"/>
          <w:b/>
          <w:bCs/>
          <w:szCs w:val="24"/>
          <w:u w:val="single"/>
        </w:rPr>
        <w:t>17</w:t>
      </w:r>
      <w:r w:rsidRPr="001769C6">
        <w:rPr>
          <w:rFonts w:asciiTheme="minorHAnsi" w:hAnsiTheme="minorHAnsi"/>
          <w:b/>
          <w:bCs/>
          <w:szCs w:val="24"/>
        </w:rPr>
        <w:t>: DFCI Group 1 and Group 2 Pediatric Patients</w:t>
      </w:r>
      <w:r>
        <w:rPr>
          <w:rFonts w:asciiTheme="minorHAnsi" w:hAnsiTheme="minorHAnsi"/>
          <w:b/>
          <w:bCs/>
          <w:szCs w:val="24"/>
        </w:rPr>
        <w:t xml:space="preserve"> by In-state and Out-of-state </w:t>
      </w:r>
    </w:p>
    <w:tbl>
      <w:tblPr>
        <w:tblW w:w="0" w:type="auto"/>
        <w:tblLook w:val="04A0" w:firstRow="1" w:lastRow="0" w:firstColumn="1" w:lastColumn="0" w:noHBand="0" w:noVBand="1"/>
      </w:tblPr>
      <w:tblGrid>
        <w:gridCol w:w="2787"/>
        <w:gridCol w:w="1479"/>
        <w:gridCol w:w="2295"/>
      </w:tblGrid>
      <w:tr w:rsidR="00FE29DB" w:rsidRPr="00FE29DB" w14:paraId="4E8EC4E2" w14:textId="77777777" w:rsidTr="00C41D8B">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1EFCAB1A" w14:textId="77777777" w:rsidR="00FE29DB" w:rsidRPr="001769C6" w:rsidRDefault="00FE29DB" w:rsidP="00FE29DB">
            <w:pPr>
              <w:widowControl/>
              <w:autoSpaceDE/>
              <w:autoSpaceDN/>
              <w:rPr>
                <w:rFonts w:asciiTheme="minorHAnsi" w:eastAsia="Times New Roman" w:hAnsiTheme="minorHAnsi"/>
                <w:b/>
                <w:bCs/>
                <w:color w:val="000000"/>
                <w:sz w:val="22"/>
                <w:szCs w:val="22"/>
              </w:rPr>
            </w:pPr>
            <w:r w:rsidRPr="001769C6">
              <w:rPr>
                <w:rFonts w:asciiTheme="minorHAnsi" w:eastAsia="Times New Roman" w:hAnsiTheme="minorHAnsi"/>
                <w:b/>
                <w:bCs/>
                <w:color w:val="000000"/>
                <w:sz w:val="22"/>
                <w:szCs w:val="22"/>
              </w:rPr>
              <w:t xml:space="preserve">Pediatric Patient Population </w:t>
            </w:r>
          </w:p>
        </w:tc>
        <w:tc>
          <w:tcPr>
            <w:tcW w:w="0" w:type="auto"/>
            <w:tcBorders>
              <w:top w:val="single" w:sz="4" w:space="0" w:color="auto"/>
              <w:left w:val="nil"/>
              <w:bottom w:val="single" w:sz="4" w:space="0" w:color="auto"/>
              <w:right w:val="single" w:sz="4" w:space="0" w:color="auto"/>
            </w:tcBorders>
            <w:shd w:val="clear" w:color="000000" w:fill="DAE9F8"/>
            <w:noWrap/>
            <w:vAlign w:val="bottom"/>
            <w:hideMark/>
          </w:tcPr>
          <w:p w14:paraId="5E3CCCAD" w14:textId="77777777" w:rsidR="00FE29DB" w:rsidRPr="001769C6" w:rsidRDefault="00FE29DB" w:rsidP="00FE29DB">
            <w:pPr>
              <w:widowControl/>
              <w:autoSpaceDE/>
              <w:autoSpaceDN/>
              <w:rPr>
                <w:rFonts w:asciiTheme="minorHAnsi" w:eastAsia="Times New Roman" w:hAnsiTheme="minorHAnsi"/>
                <w:b/>
                <w:bCs/>
                <w:color w:val="000000"/>
                <w:sz w:val="22"/>
                <w:szCs w:val="22"/>
              </w:rPr>
            </w:pPr>
            <w:r w:rsidRPr="001769C6">
              <w:rPr>
                <w:rFonts w:asciiTheme="minorHAnsi" w:eastAsia="Times New Roman" w:hAnsiTheme="minorHAnsi"/>
                <w:b/>
                <w:bCs/>
                <w:color w:val="000000"/>
                <w:sz w:val="22"/>
                <w:szCs w:val="22"/>
              </w:rPr>
              <w:t>MA Residents</w:t>
            </w:r>
          </w:p>
        </w:tc>
        <w:tc>
          <w:tcPr>
            <w:tcW w:w="0" w:type="auto"/>
            <w:tcBorders>
              <w:top w:val="single" w:sz="4" w:space="0" w:color="auto"/>
              <w:left w:val="nil"/>
              <w:bottom w:val="single" w:sz="4" w:space="0" w:color="auto"/>
              <w:right w:val="single" w:sz="4" w:space="0" w:color="auto"/>
            </w:tcBorders>
            <w:shd w:val="clear" w:color="000000" w:fill="DAE9F8"/>
            <w:noWrap/>
            <w:vAlign w:val="bottom"/>
            <w:hideMark/>
          </w:tcPr>
          <w:p w14:paraId="5D84E695" w14:textId="77777777" w:rsidR="00FE29DB" w:rsidRPr="001769C6" w:rsidRDefault="00FE29DB" w:rsidP="00FE29DB">
            <w:pPr>
              <w:widowControl/>
              <w:autoSpaceDE/>
              <w:autoSpaceDN/>
              <w:rPr>
                <w:rFonts w:asciiTheme="minorHAnsi" w:eastAsia="Times New Roman" w:hAnsiTheme="minorHAnsi"/>
                <w:b/>
                <w:bCs/>
                <w:color w:val="000000"/>
                <w:sz w:val="22"/>
                <w:szCs w:val="22"/>
              </w:rPr>
            </w:pPr>
            <w:r w:rsidRPr="001769C6">
              <w:rPr>
                <w:rFonts w:asciiTheme="minorHAnsi" w:eastAsia="Times New Roman" w:hAnsiTheme="minorHAnsi"/>
                <w:b/>
                <w:bCs/>
                <w:color w:val="000000"/>
                <w:sz w:val="22"/>
                <w:szCs w:val="22"/>
              </w:rPr>
              <w:t>Out-of-State Residents</w:t>
            </w:r>
          </w:p>
        </w:tc>
      </w:tr>
      <w:tr w:rsidR="00FE29DB" w:rsidRPr="00FE29DB" w14:paraId="0040A915" w14:textId="77777777" w:rsidTr="00C41D8B">
        <w:trPr>
          <w:cantSplit/>
          <w:trHeight w:val="290"/>
        </w:trPr>
        <w:tc>
          <w:tcPr>
            <w:tcW w:w="0" w:type="auto"/>
            <w:tcBorders>
              <w:top w:val="nil"/>
              <w:left w:val="single" w:sz="4" w:space="0" w:color="auto"/>
              <w:bottom w:val="single" w:sz="4" w:space="0" w:color="auto"/>
              <w:right w:val="single" w:sz="4" w:space="0" w:color="auto"/>
            </w:tcBorders>
            <w:noWrap/>
            <w:vAlign w:val="bottom"/>
            <w:hideMark/>
          </w:tcPr>
          <w:p w14:paraId="5623FB60" w14:textId="77777777" w:rsidR="00FE29DB" w:rsidRPr="001769C6" w:rsidRDefault="00FE29DB" w:rsidP="001769C6">
            <w:pPr>
              <w:widowControl/>
              <w:autoSpaceDE/>
              <w:autoSpaceDN/>
              <w:ind w:left="144"/>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Group 1</w:t>
            </w:r>
          </w:p>
        </w:tc>
        <w:tc>
          <w:tcPr>
            <w:tcW w:w="0" w:type="auto"/>
            <w:tcBorders>
              <w:top w:val="nil"/>
              <w:left w:val="nil"/>
              <w:bottom w:val="single" w:sz="4" w:space="0" w:color="auto"/>
              <w:right w:val="single" w:sz="4" w:space="0" w:color="auto"/>
            </w:tcBorders>
            <w:noWrap/>
            <w:vAlign w:val="bottom"/>
            <w:hideMark/>
          </w:tcPr>
          <w:p w14:paraId="3D6F7395" w14:textId="77777777" w:rsidR="00FE29DB" w:rsidRPr="001769C6" w:rsidRDefault="00FE29DB" w:rsidP="00FE29DB">
            <w:pPr>
              <w:widowControl/>
              <w:autoSpaceDE/>
              <w:autoSpaceDN/>
              <w:jc w:val="center"/>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152</w:t>
            </w:r>
          </w:p>
        </w:tc>
        <w:tc>
          <w:tcPr>
            <w:tcW w:w="0" w:type="auto"/>
            <w:tcBorders>
              <w:top w:val="nil"/>
              <w:left w:val="nil"/>
              <w:bottom w:val="single" w:sz="4" w:space="0" w:color="auto"/>
              <w:right w:val="single" w:sz="4" w:space="0" w:color="auto"/>
            </w:tcBorders>
            <w:noWrap/>
            <w:vAlign w:val="bottom"/>
            <w:hideMark/>
          </w:tcPr>
          <w:p w14:paraId="77B1EF92" w14:textId="77777777" w:rsidR="00FE29DB" w:rsidRPr="001769C6" w:rsidRDefault="00FE29DB" w:rsidP="00FE29DB">
            <w:pPr>
              <w:widowControl/>
              <w:autoSpaceDE/>
              <w:autoSpaceDN/>
              <w:jc w:val="center"/>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124</w:t>
            </w:r>
          </w:p>
        </w:tc>
      </w:tr>
      <w:tr w:rsidR="00FE29DB" w:rsidRPr="00FE29DB" w14:paraId="018F94EA" w14:textId="77777777" w:rsidTr="00C41D8B">
        <w:trPr>
          <w:cantSplit/>
          <w:trHeight w:val="290"/>
        </w:trPr>
        <w:tc>
          <w:tcPr>
            <w:tcW w:w="0" w:type="auto"/>
            <w:tcBorders>
              <w:top w:val="nil"/>
              <w:left w:val="single" w:sz="4" w:space="0" w:color="auto"/>
              <w:bottom w:val="single" w:sz="4" w:space="0" w:color="auto"/>
              <w:right w:val="single" w:sz="4" w:space="0" w:color="auto"/>
            </w:tcBorders>
            <w:noWrap/>
            <w:vAlign w:val="bottom"/>
            <w:hideMark/>
          </w:tcPr>
          <w:p w14:paraId="4BA3339D" w14:textId="77777777" w:rsidR="00FE29DB" w:rsidRPr="001769C6" w:rsidRDefault="00FE29DB" w:rsidP="001769C6">
            <w:pPr>
              <w:widowControl/>
              <w:autoSpaceDE/>
              <w:autoSpaceDN/>
              <w:ind w:left="144"/>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Group 2</w:t>
            </w:r>
          </w:p>
        </w:tc>
        <w:tc>
          <w:tcPr>
            <w:tcW w:w="0" w:type="auto"/>
            <w:tcBorders>
              <w:top w:val="nil"/>
              <w:left w:val="nil"/>
              <w:bottom w:val="single" w:sz="4" w:space="0" w:color="auto"/>
              <w:right w:val="single" w:sz="4" w:space="0" w:color="auto"/>
            </w:tcBorders>
            <w:noWrap/>
            <w:vAlign w:val="bottom"/>
            <w:hideMark/>
          </w:tcPr>
          <w:p w14:paraId="4EFFF596" w14:textId="77777777" w:rsidR="00FE29DB" w:rsidRPr="001769C6" w:rsidRDefault="00FE29DB" w:rsidP="00FE29DB">
            <w:pPr>
              <w:widowControl/>
              <w:autoSpaceDE/>
              <w:autoSpaceDN/>
              <w:jc w:val="center"/>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97</w:t>
            </w:r>
          </w:p>
        </w:tc>
        <w:tc>
          <w:tcPr>
            <w:tcW w:w="0" w:type="auto"/>
            <w:tcBorders>
              <w:top w:val="nil"/>
              <w:left w:val="nil"/>
              <w:bottom w:val="single" w:sz="4" w:space="0" w:color="auto"/>
              <w:right w:val="single" w:sz="4" w:space="0" w:color="auto"/>
            </w:tcBorders>
            <w:noWrap/>
            <w:vAlign w:val="bottom"/>
            <w:hideMark/>
          </w:tcPr>
          <w:p w14:paraId="4C7D64C4" w14:textId="77777777" w:rsidR="00FE29DB" w:rsidRPr="001769C6" w:rsidRDefault="00FE29DB" w:rsidP="00FE29DB">
            <w:pPr>
              <w:widowControl/>
              <w:autoSpaceDE/>
              <w:autoSpaceDN/>
              <w:jc w:val="center"/>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50</w:t>
            </w:r>
          </w:p>
        </w:tc>
      </w:tr>
      <w:tr w:rsidR="00FE29DB" w:rsidRPr="00FE29DB" w14:paraId="10D8E383" w14:textId="77777777" w:rsidTr="00C41D8B">
        <w:trPr>
          <w:cantSplit/>
          <w:trHeight w:val="290"/>
        </w:trPr>
        <w:tc>
          <w:tcPr>
            <w:tcW w:w="0" w:type="auto"/>
            <w:tcBorders>
              <w:top w:val="nil"/>
              <w:left w:val="single" w:sz="4" w:space="0" w:color="auto"/>
              <w:bottom w:val="single" w:sz="4" w:space="0" w:color="auto"/>
              <w:right w:val="single" w:sz="4" w:space="0" w:color="auto"/>
            </w:tcBorders>
            <w:noWrap/>
            <w:vAlign w:val="bottom"/>
            <w:hideMark/>
          </w:tcPr>
          <w:p w14:paraId="7C508316" w14:textId="77777777" w:rsidR="00FE29DB" w:rsidRPr="001769C6" w:rsidRDefault="00FE29DB" w:rsidP="001769C6">
            <w:pPr>
              <w:widowControl/>
              <w:autoSpaceDE/>
              <w:autoSpaceDN/>
              <w:ind w:left="144"/>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 xml:space="preserve">Pediatric Total </w:t>
            </w:r>
          </w:p>
        </w:tc>
        <w:tc>
          <w:tcPr>
            <w:tcW w:w="0" w:type="auto"/>
            <w:tcBorders>
              <w:top w:val="nil"/>
              <w:left w:val="nil"/>
              <w:bottom w:val="single" w:sz="4" w:space="0" w:color="auto"/>
              <w:right w:val="single" w:sz="4" w:space="0" w:color="auto"/>
            </w:tcBorders>
            <w:noWrap/>
            <w:vAlign w:val="bottom"/>
            <w:hideMark/>
          </w:tcPr>
          <w:p w14:paraId="37C1D808" w14:textId="77777777" w:rsidR="00FE29DB" w:rsidRPr="001769C6" w:rsidRDefault="00FE29DB" w:rsidP="00FE29DB">
            <w:pPr>
              <w:widowControl/>
              <w:autoSpaceDE/>
              <w:autoSpaceDN/>
              <w:jc w:val="center"/>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249</w:t>
            </w:r>
          </w:p>
        </w:tc>
        <w:tc>
          <w:tcPr>
            <w:tcW w:w="0" w:type="auto"/>
            <w:tcBorders>
              <w:top w:val="nil"/>
              <w:left w:val="nil"/>
              <w:bottom w:val="single" w:sz="4" w:space="0" w:color="auto"/>
              <w:right w:val="single" w:sz="4" w:space="0" w:color="auto"/>
            </w:tcBorders>
            <w:noWrap/>
            <w:vAlign w:val="bottom"/>
            <w:hideMark/>
          </w:tcPr>
          <w:p w14:paraId="228985A6" w14:textId="77777777" w:rsidR="00FE29DB" w:rsidRPr="001769C6" w:rsidRDefault="00FE29DB" w:rsidP="00FE29DB">
            <w:pPr>
              <w:widowControl/>
              <w:autoSpaceDE/>
              <w:autoSpaceDN/>
              <w:jc w:val="center"/>
              <w:rPr>
                <w:rFonts w:asciiTheme="minorHAnsi" w:eastAsia="Times New Roman" w:hAnsiTheme="minorHAnsi"/>
                <w:color w:val="000000"/>
                <w:sz w:val="22"/>
                <w:szCs w:val="22"/>
              </w:rPr>
            </w:pPr>
            <w:r w:rsidRPr="001769C6">
              <w:rPr>
                <w:rFonts w:asciiTheme="minorHAnsi" w:eastAsia="Times New Roman" w:hAnsiTheme="minorHAnsi"/>
                <w:color w:val="000000"/>
                <w:sz w:val="22"/>
                <w:szCs w:val="22"/>
              </w:rPr>
              <w:t>174</w:t>
            </w:r>
          </w:p>
        </w:tc>
      </w:tr>
    </w:tbl>
    <w:p w14:paraId="63D2F340" w14:textId="77777777" w:rsidR="00AA3CBD" w:rsidRDefault="00AA3CBD" w:rsidP="003C50FD">
      <w:pPr>
        <w:rPr>
          <w:rFonts w:asciiTheme="minorHAnsi" w:hAnsiTheme="minorHAnsi"/>
          <w:szCs w:val="24"/>
        </w:rPr>
      </w:pPr>
    </w:p>
    <w:p w14:paraId="3751D83E" w14:textId="024B4133" w:rsidR="00BB74CF" w:rsidRDefault="002C56A8" w:rsidP="00C92C92">
      <w:pPr>
        <w:rPr>
          <w:rFonts w:asciiTheme="minorHAnsi" w:hAnsiTheme="minorHAnsi"/>
          <w:szCs w:val="24"/>
        </w:rPr>
      </w:pPr>
      <w:r>
        <w:rPr>
          <w:rFonts w:asciiTheme="minorHAnsi" w:hAnsiTheme="minorHAnsi"/>
          <w:szCs w:val="24"/>
        </w:rPr>
        <w:t xml:space="preserve">The Applicant estimates that the Proposed Project will allow </w:t>
      </w:r>
      <w:r w:rsidR="00A8649F">
        <w:rPr>
          <w:rFonts w:asciiTheme="minorHAnsi" w:hAnsiTheme="minorHAnsi"/>
          <w:szCs w:val="24"/>
        </w:rPr>
        <w:t>it</w:t>
      </w:r>
      <w:r>
        <w:rPr>
          <w:rFonts w:asciiTheme="minorHAnsi" w:hAnsiTheme="minorHAnsi"/>
          <w:szCs w:val="24"/>
        </w:rPr>
        <w:t xml:space="preserve"> to treat a total of 216 patients per year.</w:t>
      </w:r>
      <w:r w:rsidR="00116FC8">
        <w:rPr>
          <w:rFonts w:asciiTheme="minorHAnsi" w:hAnsiTheme="minorHAnsi"/>
          <w:szCs w:val="24"/>
        </w:rPr>
        <w:t xml:space="preserve"> </w:t>
      </w:r>
      <w:r w:rsidR="00AE0D15" w:rsidRPr="00C92C92">
        <w:rPr>
          <w:rFonts w:asciiTheme="minorHAnsi" w:hAnsiTheme="minorHAnsi"/>
          <w:szCs w:val="24"/>
        </w:rPr>
        <w:t>To arrive at that number the</w:t>
      </w:r>
      <w:r w:rsidR="00BF6D46" w:rsidRPr="00C92C92">
        <w:rPr>
          <w:rFonts w:asciiTheme="minorHAnsi" w:hAnsiTheme="minorHAnsi"/>
          <w:szCs w:val="24"/>
        </w:rPr>
        <w:t xml:space="preserve"> Applicant</w:t>
      </w:r>
      <w:r w:rsidR="00AE0D15" w:rsidRPr="00C92C92">
        <w:rPr>
          <w:rFonts w:asciiTheme="minorHAnsi" w:hAnsiTheme="minorHAnsi"/>
          <w:szCs w:val="24"/>
        </w:rPr>
        <w:t xml:space="preserve"> </w:t>
      </w:r>
      <w:r w:rsidR="00BB74CF" w:rsidRPr="00C92C92">
        <w:rPr>
          <w:rFonts w:asciiTheme="minorHAnsi" w:hAnsiTheme="minorHAnsi"/>
          <w:szCs w:val="24"/>
        </w:rPr>
        <w:t>projected</w:t>
      </w:r>
      <w:r w:rsidR="001F6D41" w:rsidRPr="00C92C92">
        <w:rPr>
          <w:rFonts w:asciiTheme="minorHAnsi" w:hAnsiTheme="minorHAnsi"/>
          <w:szCs w:val="24"/>
        </w:rPr>
        <w:t xml:space="preserve"> </w:t>
      </w:r>
      <w:r w:rsidRPr="00C92C92">
        <w:rPr>
          <w:rFonts w:asciiTheme="minorHAnsi" w:hAnsiTheme="minorHAnsi"/>
          <w:szCs w:val="24"/>
        </w:rPr>
        <w:t>PBT</w:t>
      </w:r>
      <w:r w:rsidR="00BB74CF" w:rsidRPr="00C92C92">
        <w:rPr>
          <w:rFonts w:asciiTheme="minorHAnsi" w:hAnsiTheme="minorHAnsi"/>
          <w:szCs w:val="24"/>
        </w:rPr>
        <w:t xml:space="preserve"> treatment</w:t>
      </w:r>
      <w:r w:rsidR="001F6D41" w:rsidRPr="00C92C92">
        <w:rPr>
          <w:rFonts w:asciiTheme="minorHAnsi" w:hAnsiTheme="minorHAnsi"/>
          <w:szCs w:val="24"/>
        </w:rPr>
        <w:t xml:space="preserve">s required for patients of each </w:t>
      </w:r>
      <w:r w:rsidR="001F6D41" w:rsidRPr="00C92C92">
        <w:rPr>
          <w:rFonts w:asciiTheme="minorHAnsi" w:hAnsiTheme="minorHAnsi"/>
          <w:szCs w:val="24"/>
        </w:rPr>
        <w:lastRenderedPageBreak/>
        <w:t>treatment type</w:t>
      </w:r>
      <w:r w:rsidR="00BA2049" w:rsidRPr="00C92C92">
        <w:rPr>
          <w:rFonts w:asciiTheme="minorHAnsi" w:hAnsiTheme="minorHAnsi"/>
          <w:szCs w:val="24"/>
        </w:rPr>
        <w:t>.</w:t>
      </w:r>
      <w:r w:rsidR="00AE0D15" w:rsidRPr="00C92C92">
        <w:rPr>
          <w:rFonts w:asciiTheme="minorHAnsi" w:hAnsiTheme="minorHAnsi"/>
          <w:szCs w:val="24"/>
        </w:rPr>
        <w:t xml:space="preserve"> This is shown in Table 1</w:t>
      </w:r>
      <w:r w:rsidR="00993A37" w:rsidRPr="00C92C92">
        <w:rPr>
          <w:rFonts w:asciiTheme="minorHAnsi" w:hAnsiTheme="minorHAnsi"/>
          <w:szCs w:val="24"/>
        </w:rPr>
        <w:t>8</w:t>
      </w:r>
      <w:r w:rsidR="00AE0D15" w:rsidRPr="00C92C92">
        <w:rPr>
          <w:rFonts w:asciiTheme="minorHAnsi" w:hAnsiTheme="minorHAnsi"/>
          <w:szCs w:val="24"/>
        </w:rPr>
        <w:t>.</w:t>
      </w:r>
      <w:r w:rsidR="00BA2049" w:rsidRPr="00C92C92">
        <w:rPr>
          <w:rFonts w:asciiTheme="minorHAnsi" w:hAnsiTheme="minorHAnsi"/>
          <w:szCs w:val="24"/>
        </w:rPr>
        <w:t xml:space="preserve"> The Applicant states that using its clinical experience, it made assumptions regarding (1) </w:t>
      </w:r>
      <w:r w:rsidR="001F6D41" w:rsidRPr="00C92C92">
        <w:rPr>
          <w:rFonts w:asciiTheme="minorHAnsi" w:hAnsiTheme="minorHAnsi"/>
          <w:szCs w:val="24"/>
        </w:rPr>
        <w:t>the distribution of the proton therapy cases among pediatric cases, adult cases, stereotactic body radiation therapy (SBRT), and craniospinal irradiation</w:t>
      </w:r>
      <w:r w:rsidR="00027981">
        <w:rPr>
          <w:rFonts w:asciiTheme="minorHAnsi" w:hAnsiTheme="minorHAnsi"/>
          <w:szCs w:val="24"/>
        </w:rPr>
        <w:t xml:space="preserve"> (CSI)</w:t>
      </w:r>
      <w:r w:rsidR="001F6D41" w:rsidRPr="00C92C92">
        <w:rPr>
          <w:rFonts w:asciiTheme="minorHAnsi" w:hAnsiTheme="minorHAnsi"/>
          <w:szCs w:val="24"/>
        </w:rPr>
        <w:t xml:space="preserve">, the latter two of which are special courses of </w:t>
      </w:r>
      <w:r w:rsidR="00D25678" w:rsidRPr="00C92C92">
        <w:rPr>
          <w:rFonts w:asciiTheme="minorHAnsi" w:hAnsiTheme="minorHAnsi"/>
          <w:szCs w:val="24"/>
        </w:rPr>
        <w:t>RT</w:t>
      </w:r>
      <w:r w:rsidR="001F6D41" w:rsidRPr="00C92C92">
        <w:rPr>
          <w:rFonts w:asciiTheme="minorHAnsi" w:hAnsiTheme="minorHAnsi"/>
          <w:szCs w:val="24"/>
        </w:rPr>
        <w:t xml:space="preserve"> that require longer treatment times;</w:t>
      </w:r>
      <w:r w:rsidR="00BA2049" w:rsidRPr="00C92C92">
        <w:rPr>
          <w:rFonts w:asciiTheme="minorHAnsi" w:hAnsiTheme="minorHAnsi"/>
          <w:szCs w:val="24"/>
        </w:rPr>
        <w:t xml:space="preserve"> (2) </w:t>
      </w:r>
      <w:r w:rsidR="001F6D41" w:rsidRPr="00C92C92">
        <w:rPr>
          <w:rFonts w:asciiTheme="minorHAnsi" w:hAnsiTheme="minorHAnsi"/>
          <w:szCs w:val="24"/>
        </w:rPr>
        <w:t xml:space="preserve">the length of treatment for each treatment type; and </w:t>
      </w:r>
      <w:r w:rsidR="00BA2049" w:rsidRPr="00C92C92">
        <w:rPr>
          <w:rFonts w:asciiTheme="minorHAnsi" w:hAnsiTheme="minorHAnsi"/>
          <w:szCs w:val="24"/>
        </w:rPr>
        <w:t xml:space="preserve">(3) </w:t>
      </w:r>
      <w:r w:rsidR="000779B2" w:rsidRPr="00C92C92">
        <w:rPr>
          <w:rFonts w:asciiTheme="minorHAnsi" w:hAnsiTheme="minorHAnsi"/>
          <w:szCs w:val="24"/>
        </w:rPr>
        <w:t>the total number of treatments required for patients of each treatment type</w:t>
      </w:r>
      <w:r w:rsidR="00BA2049" w:rsidRPr="00C92C92">
        <w:rPr>
          <w:rFonts w:asciiTheme="minorHAnsi" w:hAnsiTheme="minorHAnsi"/>
          <w:szCs w:val="24"/>
        </w:rPr>
        <w:t>.</w:t>
      </w:r>
    </w:p>
    <w:p w14:paraId="6079AE62" w14:textId="77777777" w:rsidR="00636DEB" w:rsidRDefault="00636DEB" w:rsidP="00C92C92">
      <w:pPr>
        <w:rPr>
          <w:rFonts w:asciiTheme="minorHAnsi" w:hAnsiTheme="minorHAnsi"/>
          <w:szCs w:val="24"/>
        </w:rPr>
      </w:pPr>
    </w:p>
    <w:p w14:paraId="2037CE0B" w14:textId="77777777" w:rsidR="00306F94" w:rsidRDefault="00306F94" w:rsidP="00C92C92">
      <w:pPr>
        <w:rPr>
          <w:rFonts w:asciiTheme="minorHAnsi" w:hAnsiTheme="minorHAnsi"/>
          <w:szCs w:val="24"/>
        </w:rPr>
      </w:pPr>
    </w:p>
    <w:p w14:paraId="430194A7" w14:textId="77777777" w:rsidR="00306F94" w:rsidRDefault="00306F94" w:rsidP="00C92C92">
      <w:pPr>
        <w:rPr>
          <w:rFonts w:asciiTheme="minorHAnsi" w:hAnsiTheme="minorHAnsi"/>
          <w:szCs w:val="24"/>
        </w:rPr>
      </w:pPr>
    </w:p>
    <w:p w14:paraId="5951DEB5" w14:textId="5B5289C7" w:rsidR="00BB74CF" w:rsidRPr="00D4586C" w:rsidRDefault="00BB74CF" w:rsidP="00BA2054">
      <w:pPr>
        <w:rPr>
          <w:rFonts w:asciiTheme="minorHAnsi" w:hAnsiTheme="minorHAnsi"/>
          <w:b/>
          <w:bCs/>
          <w:szCs w:val="24"/>
        </w:rPr>
      </w:pPr>
      <w:r w:rsidRPr="00D4586C">
        <w:rPr>
          <w:rFonts w:asciiTheme="minorHAnsi" w:hAnsiTheme="minorHAnsi"/>
          <w:b/>
          <w:bCs/>
          <w:szCs w:val="24"/>
          <w:u w:val="single"/>
        </w:rPr>
        <w:t>Table 1</w:t>
      </w:r>
      <w:r w:rsidR="00993A37">
        <w:rPr>
          <w:rFonts w:asciiTheme="minorHAnsi" w:hAnsiTheme="minorHAnsi"/>
          <w:b/>
          <w:bCs/>
          <w:szCs w:val="24"/>
          <w:u w:val="single"/>
        </w:rPr>
        <w:t>8</w:t>
      </w:r>
      <w:r w:rsidRPr="00D4586C">
        <w:rPr>
          <w:rFonts w:asciiTheme="minorHAnsi" w:hAnsiTheme="minorHAnsi"/>
          <w:b/>
          <w:bCs/>
          <w:szCs w:val="24"/>
        </w:rPr>
        <w:t xml:space="preserve">: </w:t>
      </w:r>
      <w:r w:rsidR="002F087D">
        <w:rPr>
          <w:rFonts w:asciiTheme="minorHAnsi" w:hAnsiTheme="minorHAnsi"/>
          <w:b/>
          <w:bCs/>
          <w:szCs w:val="24"/>
        </w:rPr>
        <w:t>PBT</w:t>
      </w:r>
      <w:r w:rsidRPr="00D4586C">
        <w:rPr>
          <w:rFonts w:asciiTheme="minorHAnsi" w:hAnsiTheme="minorHAnsi"/>
          <w:b/>
          <w:bCs/>
          <w:szCs w:val="24"/>
        </w:rPr>
        <w:t xml:space="preserve"> </w:t>
      </w:r>
      <w:r w:rsidR="00957483">
        <w:rPr>
          <w:rFonts w:asciiTheme="minorHAnsi" w:hAnsiTheme="minorHAnsi"/>
          <w:b/>
          <w:bCs/>
          <w:szCs w:val="24"/>
        </w:rPr>
        <w:t>Treatment Assumptions</w:t>
      </w:r>
      <w:r w:rsidR="00104522" w:rsidRPr="00D4586C">
        <w:rPr>
          <w:rFonts w:asciiTheme="minorHAnsi" w:hAnsiTheme="minorHAnsi"/>
          <w:b/>
          <w:bCs/>
          <w:szCs w:val="24"/>
        </w:rPr>
        <w:t xml:space="preserve">, by Treatment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1825"/>
        <w:gridCol w:w="2002"/>
        <w:gridCol w:w="2363"/>
      </w:tblGrid>
      <w:tr w:rsidR="00F318B6" w:rsidRPr="00BF6D46" w14:paraId="7AEA2B26" w14:textId="77777777" w:rsidTr="00E7472C">
        <w:trPr>
          <w:cantSplit/>
          <w:trHeight w:val="580"/>
          <w:tblHeader/>
        </w:trPr>
        <w:tc>
          <w:tcPr>
            <w:tcW w:w="0" w:type="auto"/>
            <w:shd w:val="clear" w:color="auto" w:fill="DBE5F1" w:themeFill="accent1" w:themeFillTint="33"/>
            <w:vAlign w:val="center"/>
            <w:hideMark/>
          </w:tcPr>
          <w:p w14:paraId="7B57DE5A" w14:textId="77777777" w:rsidR="00BF6D46" w:rsidRPr="00BF6D46" w:rsidRDefault="00BF6D46" w:rsidP="00BF6D46">
            <w:pPr>
              <w:widowControl/>
              <w:autoSpaceDE/>
              <w:autoSpaceDN/>
              <w:jc w:val="center"/>
              <w:rPr>
                <w:rFonts w:asciiTheme="minorHAnsi" w:eastAsia="Times New Roman" w:hAnsiTheme="minorHAnsi"/>
                <w:b/>
                <w:bCs/>
                <w:color w:val="000000"/>
                <w:szCs w:val="24"/>
              </w:rPr>
            </w:pPr>
            <w:r w:rsidRPr="00BF6D46">
              <w:rPr>
                <w:rFonts w:asciiTheme="minorHAnsi" w:eastAsia="Times New Roman" w:hAnsiTheme="minorHAnsi"/>
                <w:b/>
                <w:bCs/>
                <w:color w:val="000000"/>
                <w:szCs w:val="24"/>
              </w:rPr>
              <w:t xml:space="preserve">Type of Treatment </w:t>
            </w:r>
          </w:p>
        </w:tc>
        <w:tc>
          <w:tcPr>
            <w:tcW w:w="0" w:type="auto"/>
            <w:shd w:val="clear" w:color="auto" w:fill="DBE5F1" w:themeFill="accent1" w:themeFillTint="33"/>
            <w:vAlign w:val="center"/>
            <w:hideMark/>
          </w:tcPr>
          <w:p w14:paraId="74FA2598" w14:textId="77777777" w:rsidR="00BF6D46" w:rsidRPr="00BF6D46" w:rsidRDefault="00BF6D46" w:rsidP="00BF6D46">
            <w:pPr>
              <w:widowControl/>
              <w:autoSpaceDE/>
              <w:autoSpaceDN/>
              <w:jc w:val="center"/>
              <w:rPr>
                <w:rFonts w:asciiTheme="minorHAnsi" w:eastAsia="Times New Roman" w:hAnsiTheme="minorHAnsi"/>
                <w:b/>
                <w:bCs/>
                <w:color w:val="000000"/>
                <w:szCs w:val="24"/>
              </w:rPr>
            </w:pPr>
            <w:r w:rsidRPr="00BF6D46">
              <w:rPr>
                <w:rFonts w:asciiTheme="minorHAnsi" w:eastAsia="Times New Roman" w:hAnsiTheme="minorHAnsi"/>
                <w:b/>
                <w:bCs/>
                <w:color w:val="000000"/>
                <w:szCs w:val="24"/>
              </w:rPr>
              <w:t xml:space="preserve">% of Total Cases  </w:t>
            </w:r>
          </w:p>
        </w:tc>
        <w:tc>
          <w:tcPr>
            <w:tcW w:w="0" w:type="auto"/>
            <w:shd w:val="clear" w:color="auto" w:fill="DBE5F1" w:themeFill="accent1" w:themeFillTint="33"/>
            <w:vAlign w:val="center"/>
            <w:hideMark/>
          </w:tcPr>
          <w:p w14:paraId="77F0ABAF" w14:textId="77777777" w:rsidR="00F318B6" w:rsidRDefault="00BF6D46" w:rsidP="00BF6D46">
            <w:pPr>
              <w:widowControl/>
              <w:autoSpaceDE/>
              <w:autoSpaceDN/>
              <w:jc w:val="center"/>
              <w:rPr>
                <w:rFonts w:asciiTheme="minorHAnsi" w:eastAsia="Times New Roman" w:hAnsiTheme="minorHAnsi"/>
                <w:b/>
                <w:bCs/>
                <w:color w:val="000000"/>
                <w:szCs w:val="24"/>
              </w:rPr>
            </w:pPr>
            <w:r w:rsidRPr="00BF6D46">
              <w:rPr>
                <w:rFonts w:asciiTheme="minorHAnsi" w:eastAsia="Times New Roman" w:hAnsiTheme="minorHAnsi"/>
                <w:b/>
                <w:bCs/>
                <w:color w:val="000000"/>
                <w:szCs w:val="24"/>
              </w:rPr>
              <w:t xml:space="preserve">Treatment Length </w:t>
            </w:r>
          </w:p>
          <w:p w14:paraId="3B811EA5" w14:textId="236BC1A5" w:rsidR="00BF6D46" w:rsidRPr="00BF6D46" w:rsidRDefault="00BF6D46" w:rsidP="00BF6D46">
            <w:pPr>
              <w:widowControl/>
              <w:autoSpaceDE/>
              <w:autoSpaceDN/>
              <w:jc w:val="center"/>
              <w:rPr>
                <w:rFonts w:asciiTheme="minorHAnsi" w:eastAsia="Times New Roman" w:hAnsiTheme="minorHAnsi"/>
                <w:b/>
                <w:bCs/>
                <w:color w:val="000000"/>
                <w:szCs w:val="24"/>
              </w:rPr>
            </w:pPr>
            <w:r w:rsidRPr="00BF6D46">
              <w:rPr>
                <w:rFonts w:asciiTheme="minorHAnsi" w:eastAsia="Times New Roman" w:hAnsiTheme="minorHAnsi"/>
                <w:b/>
                <w:bCs/>
                <w:color w:val="000000"/>
                <w:szCs w:val="24"/>
              </w:rPr>
              <w:t>(in minutes)</w:t>
            </w:r>
          </w:p>
        </w:tc>
        <w:tc>
          <w:tcPr>
            <w:tcW w:w="0" w:type="auto"/>
            <w:shd w:val="clear" w:color="auto" w:fill="DBE5F1" w:themeFill="accent1" w:themeFillTint="33"/>
            <w:vAlign w:val="center"/>
            <w:hideMark/>
          </w:tcPr>
          <w:p w14:paraId="1FE37878" w14:textId="77777777" w:rsidR="00F318B6" w:rsidRDefault="00BF6D46" w:rsidP="00BF6D46">
            <w:pPr>
              <w:widowControl/>
              <w:autoSpaceDE/>
              <w:autoSpaceDN/>
              <w:jc w:val="center"/>
              <w:rPr>
                <w:rFonts w:asciiTheme="minorHAnsi" w:eastAsia="Times New Roman" w:hAnsiTheme="minorHAnsi"/>
                <w:b/>
                <w:bCs/>
                <w:color w:val="000000"/>
                <w:szCs w:val="24"/>
              </w:rPr>
            </w:pPr>
            <w:r w:rsidRPr="00BF6D46">
              <w:rPr>
                <w:rFonts w:asciiTheme="minorHAnsi" w:eastAsia="Times New Roman" w:hAnsiTheme="minorHAnsi"/>
                <w:b/>
                <w:bCs/>
                <w:color w:val="000000"/>
                <w:szCs w:val="24"/>
              </w:rPr>
              <w:t># of Total Treatments</w:t>
            </w:r>
            <w:r w:rsidR="00F318B6">
              <w:rPr>
                <w:rFonts w:asciiTheme="minorHAnsi" w:eastAsia="Times New Roman" w:hAnsiTheme="minorHAnsi"/>
                <w:b/>
                <w:bCs/>
                <w:color w:val="000000"/>
                <w:szCs w:val="24"/>
              </w:rPr>
              <w:t xml:space="preserve"> </w:t>
            </w:r>
          </w:p>
          <w:p w14:paraId="63818578" w14:textId="722566BE" w:rsidR="00BF6D46" w:rsidRPr="00BF6D46" w:rsidRDefault="00F318B6" w:rsidP="00BF6D46">
            <w:pPr>
              <w:widowControl/>
              <w:autoSpaceDE/>
              <w:autoSpaceDN/>
              <w:jc w:val="center"/>
              <w:rPr>
                <w:rFonts w:asciiTheme="minorHAnsi" w:eastAsia="Times New Roman" w:hAnsiTheme="minorHAnsi"/>
                <w:b/>
                <w:bCs/>
                <w:color w:val="000000"/>
                <w:szCs w:val="24"/>
              </w:rPr>
            </w:pPr>
            <w:r>
              <w:rPr>
                <w:rFonts w:asciiTheme="minorHAnsi" w:eastAsia="Times New Roman" w:hAnsiTheme="minorHAnsi"/>
                <w:b/>
                <w:bCs/>
                <w:color w:val="000000"/>
                <w:szCs w:val="24"/>
              </w:rPr>
              <w:t xml:space="preserve">Per </w:t>
            </w:r>
            <w:r w:rsidR="00BF6D46" w:rsidRPr="00BF6D46">
              <w:rPr>
                <w:rFonts w:asciiTheme="minorHAnsi" w:eastAsia="Times New Roman" w:hAnsiTheme="minorHAnsi"/>
                <w:b/>
                <w:bCs/>
                <w:color w:val="000000"/>
                <w:szCs w:val="24"/>
              </w:rPr>
              <w:t>Patient</w:t>
            </w:r>
          </w:p>
        </w:tc>
      </w:tr>
      <w:tr w:rsidR="00F318B6" w:rsidRPr="00BF6D46" w14:paraId="3F43D513" w14:textId="77777777" w:rsidTr="00E7472C">
        <w:trPr>
          <w:cantSplit/>
          <w:trHeight w:val="290"/>
        </w:trPr>
        <w:tc>
          <w:tcPr>
            <w:tcW w:w="0" w:type="auto"/>
            <w:vAlign w:val="center"/>
            <w:hideMark/>
          </w:tcPr>
          <w:p w14:paraId="048659DA" w14:textId="77777777" w:rsidR="00BF6D46" w:rsidRPr="00BF6D46" w:rsidRDefault="00BF6D46" w:rsidP="00DD43CF">
            <w:pPr>
              <w:widowControl/>
              <w:autoSpaceDE/>
              <w:autoSpaceDN/>
              <w:ind w:left="144"/>
              <w:rPr>
                <w:rFonts w:asciiTheme="minorHAnsi" w:eastAsia="Times New Roman" w:hAnsiTheme="minorHAnsi"/>
                <w:color w:val="000000"/>
                <w:szCs w:val="24"/>
              </w:rPr>
            </w:pPr>
            <w:r w:rsidRPr="00BF6D46">
              <w:rPr>
                <w:rFonts w:asciiTheme="minorHAnsi" w:eastAsia="Times New Roman" w:hAnsiTheme="minorHAnsi"/>
                <w:color w:val="000000"/>
                <w:szCs w:val="24"/>
              </w:rPr>
              <w:t xml:space="preserve">Pediatric </w:t>
            </w:r>
          </w:p>
        </w:tc>
        <w:tc>
          <w:tcPr>
            <w:tcW w:w="0" w:type="auto"/>
            <w:vAlign w:val="center"/>
            <w:hideMark/>
          </w:tcPr>
          <w:p w14:paraId="3131BC37" w14:textId="77777777" w:rsidR="00BF6D46" w:rsidRPr="00BF6D46" w:rsidRDefault="00BF6D46" w:rsidP="00BF6D46">
            <w:pPr>
              <w:widowControl/>
              <w:autoSpaceDE/>
              <w:autoSpaceDN/>
              <w:jc w:val="center"/>
              <w:rPr>
                <w:rFonts w:asciiTheme="minorHAnsi" w:eastAsia="Times New Roman" w:hAnsiTheme="minorHAnsi"/>
                <w:color w:val="000000"/>
                <w:szCs w:val="24"/>
              </w:rPr>
            </w:pPr>
            <w:r w:rsidRPr="00BF6D46">
              <w:rPr>
                <w:rFonts w:asciiTheme="minorHAnsi" w:eastAsia="Times New Roman" w:hAnsiTheme="minorHAnsi"/>
                <w:color w:val="000000"/>
                <w:szCs w:val="24"/>
              </w:rPr>
              <w:t>40</w:t>
            </w:r>
          </w:p>
        </w:tc>
        <w:tc>
          <w:tcPr>
            <w:tcW w:w="0" w:type="auto"/>
            <w:vAlign w:val="center"/>
            <w:hideMark/>
          </w:tcPr>
          <w:p w14:paraId="5C0E5069" w14:textId="77777777" w:rsidR="00BF6D46" w:rsidRPr="00BF6D46" w:rsidRDefault="00BF6D46" w:rsidP="00BF6D46">
            <w:pPr>
              <w:widowControl/>
              <w:autoSpaceDE/>
              <w:autoSpaceDN/>
              <w:jc w:val="center"/>
              <w:rPr>
                <w:rFonts w:asciiTheme="minorHAnsi" w:eastAsia="Times New Roman" w:hAnsiTheme="minorHAnsi"/>
                <w:color w:val="000000"/>
                <w:szCs w:val="24"/>
              </w:rPr>
            </w:pPr>
            <w:r w:rsidRPr="00BF6D46">
              <w:rPr>
                <w:rFonts w:asciiTheme="minorHAnsi" w:eastAsia="Times New Roman" w:hAnsiTheme="minorHAnsi"/>
                <w:color w:val="000000"/>
                <w:szCs w:val="24"/>
              </w:rPr>
              <w:t>40</w:t>
            </w:r>
          </w:p>
        </w:tc>
        <w:tc>
          <w:tcPr>
            <w:tcW w:w="0" w:type="auto"/>
            <w:vAlign w:val="center"/>
            <w:hideMark/>
          </w:tcPr>
          <w:p w14:paraId="2C2FC275" w14:textId="77777777" w:rsidR="00BF6D46" w:rsidRPr="00BF6D46" w:rsidRDefault="00BF6D46" w:rsidP="00BF6D46">
            <w:pPr>
              <w:widowControl/>
              <w:autoSpaceDE/>
              <w:autoSpaceDN/>
              <w:jc w:val="center"/>
              <w:rPr>
                <w:rFonts w:asciiTheme="minorHAnsi" w:eastAsia="Times New Roman" w:hAnsiTheme="minorHAnsi"/>
                <w:color w:val="000000"/>
                <w:szCs w:val="24"/>
              </w:rPr>
            </w:pPr>
            <w:r w:rsidRPr="00BF6D46">
              <w:rPr>
                <w:rFonts w:asciiTheme="minorHAnsi" w:eastAsia="Times New Roman" w:hAnsiTheme="minorHAnsi"/>
                <w:color w:val="000000"/>
                <w:szCs w:val="24"/>
              </w:rPr>
              <w:t>27</w:t>
            </w:r>
          </w:p>
        </w:tc>
      </w:tr>
      <w:tr w:rsidR="00F318B6" w:rsidRPr="00BF6D46" w14:paraId="7213186B" w14:textId="77777777" w:rsidTr="00E7472C">
        <w:trPr>
          <w:cantSplit/>
          <w:trHeight w:val="290"/>
        </w:trPr>
        <w:tc>
          <w:tcPr>
            <w:tcW w:w="0" w:type="auto"/>
            <w:vAlign w:val="center"/>
            <w:hideMark/>
          </w:tcPr>
          <w:p w14:paraId="28521A30" w14:textId="77777777" w:rsidR="00BF6D46" w:rsidRPr="00BF6D46" w:rsidRDefault="00BF6D46" w:rsidP="00DD43CF">
            <w:pPr>
              <w:widowControl/>
              <w:autoSpaceDE/>
              <w:autoSpaceDN/>
              <w:ind w:left="144"/>
              <w:rPr>
                <w:rFonts w:asciiTheme="minorHAnsi" w:eastAsia="Times New Roman" w:hAnsiTheme="minorHAnsi"/>
                <w:color w:val="000000"/>
                <w:szCs w:val="24"/>
              </w:rPr>
            </w:pPr>
            <w:r w:rsidRPr="00BF6D46">
              <w:rPr>
                <w:rFonts w:asciiTheme="minorHAnsi" w:eastAsia="Times New Roman" w:hAnsiTheme="minorHAnsi"/>
                <w:color w:val="000000"/>
                <w:szCs w:val="24"/>
              </w:rPr>
              <w:t>Standard Course</w:t>
            </w:r>
          </w:p>
        </w:tc>
        <w:tc>
          <w:tcPr>
            <w:tcW w:w="0" w:type="auto"/>
            <w:vAlign w:val="center"/>
            <w:hideMark/>
          </w:tcPr>
          <w:p w14:paraId="70C36692" w14:textId="77777777" w:rsidR="00BF6D46" w:rsidRPr="00BF6D46" w:rsidRDefault="00BF6D46" w:rsidP="00BF6D46">
            <w:pPr>
              <w:widowControl/>
              <w:autoSpaceDE/>
              <w:autoSpaceDN/>
              <w:jc w:val="center"/>
              <w:rPr>
                <w:rFonts w:asciiTheme="minorHAnsi" w:eastAsia="Times New Roman" w:hAnsiTheme="minorHAnsi"/>
                <w:color w:val="000000"/>
                <w:szCs w:val="24"/>
              </w:rPr>
            </w:pPr>
            <w:r w:rsidRPr="00BF6D46">
              <w:rPr>
                <w:rFonts w:asciiTheme="minorHAnsi" w:eastAsia="Times New Roman" w:hAnsiTheme="minorHAnsi"/>
                <w:color w:val="000000"/>
                <w:szCs w:val="24"/>
              </w:rPr>
              <w:t>50</w:t>
            </w:r>
          </w:p>
        </w:tc>
        <w:tc>
          <w:tcPr>
            <w:tcW w:w="0" w:type="auto"/>
            <w:vAlign w:val="center"/>
            <w:hideMark/>
          </w:tcPr>
          <w:p w14:paraId="1342E5A7" w14:textId="77777777" w:rsidR="00BF6D46" w:rsidRPr="00BF6D46" w:rsidRDefault="00BF6D46" w:rsidP="00BF6D46">
            <w:pPr>
              <w:widowControl/>
              <w:autoSpaceDE/>
              <w:autoSpaceDN/>
              <w:jc w:val="center"/>
              <w:rPr>
                <w:rFonts w:asciiTheme="minorHAnsi" w:eastAsia="Times New Roman" w:hAnsiTheme="minorHAnsi"/>
                <w:color w:val="000000"/>
                <w:szCs w:val="24"/>
              </w:rPr>
            </w:pPr>
            <w:r w:rsidRPr="00BF6D46">
              <w:rPr>
                <w:rFonts w:asciiTheme="minorHAnsi" w:eastAsia="Times New Roman" w:hAnsiTheme="minorHAnsi"/>
                <w:color w:val="000000"/>
                <w:szCs w:val="24"/>
              </w:rPr>
              <w:t>30</w:t>
            </w:r>
          </w:p>
        </w:tc>
        <w:tc>
          <w:tcPr>
            <w:tcW w:w="0" w:type="auto"/>
            <w:vAlign w:val="center"/>
            <w:hideMark/>
          </w:tcPr>
          <w:p w14:paraId="0870FFD4" w14:textId="77777777" w:rsidR="00BF6D46" w:rsidRPr="00BF6D46" w:rsidRDefault="00BF6D46" w:rsidP="00BF6D46">
            <w:pPr>
              <w:widowControl/>
              <w:autoSpaceDE/>
              <w:autoSpaceDN/>
              <w:jc w:val="center"/>
              <w:rPr>
                <w:rFonts w:asciiTheme="minorHAnsi" w:eastAsia="Times New Roman" w:hAnsiTheme="minorHAnsi"/>
                <w:color w:val="000000"/>
                <w:szCs w:val="24"/>
              </w:rPr>
            </w:pPr>
            <w:r w:rsidRPr="00BF6D46">
              <w:rPr>
                <w:rFonts w:asciiTheme="minorHAnsi" w:eastAsia="Times New Roman" w:hAnsiTheme="minorHAnsi"/>
                <w:color w:val="000000"/>
                <w:szCs w:val="24"/>
              </w:rPr>
              <w:t>24</w:t>
            </w:r>
          </w:p>
        </w:tc>
      </w:tr>
      <w:tr w:rsidR="00F318B6" w:rsidRPr="00BF6D46" w14:paraId="19CC89B2" w14:textId="77777777" w:rsidTr="00E7472C">
        <w:trPr>
          <w:cantSplit/>
          <w:trHeight w:val="290"/>
        </w:trPr>
        <w:tc>
          <w:tcPr>
            <w:tcW w:w="0" w:type="auto"/>
            <w:vAlign w:val="center"/>
            <w:hideMark/>
          </w:tcPr>
          <w:p w14:paraId="619CA7BF" w14:textId="77777777" w:rsidR="00BF6D46" w:rsidRPr="00BF6D46" w:rsidRDefault="00BF6D46" w:rsidP="00DD43CF">
            <w:pPr>
              <w:widowControl/>
              <w:autoSpaceDE/>
              <w:autoSpaceDN/>
              <w:ind w:left="144"/>
              <w:rPr>
                <w:rFonts w:asciiTheme="minorHAnsi" w:eastAsia="Times New Roman" w:hAnsiTheme="minorHAnsi"/>
                <w:color w:val="000000"/>
                <w:szCs w:val="24"/>
              </w:rPr>
            </w:pPr>
            <w:r w:rsidRPr="00BF6D46">
              <w:rPr>
                <w:rFonts w:asciiTheme="minorHAnsi" w:eastAsia="Times New Roman" w:hAnsiTheme="minorHAnsi"/>
                <w:color w:val="000000"/>
                <w:szCs w:val="24"/>
              </w:rPr>
              <w:t>SBRT/CSI</w:t>
            </w:r>
          </w:p>
        </w:tc>
        <w:tc>
          <w:tcPr>
            <w:tcW w:w="0" w:type="auto"/>
            <w:vAlign w:val="center"/>
            <w:hideMark/>
          </w:tcPr>
          <w:p w14:paraId="51DC335C" w14:textId="77777777" w:rsidR="00BF6D46" w:rsidRPr="00BF6D46" w:rsidRDefault="00BF6D46" w:rsidP="00BF6D46">
            <w:pPr>
              <w:widowControl/>
              <w:autoSpaceDE/>
              <w:autoSpaceDN/>
              <w:jc w:val="center"/>
              <w:rPr>
                <w:rFonts w:asciiTheme="minorHAnsi" w:eastAsia="Times New Roman" w:hAnsiTheme="minorHAnsi"/>
                <w:color w:val="000000"/>
                <w:szCs w:val="24"/>
              </w:rPr>
            </w:pPr>
            <w:r w:rsidRPr="00BF6D46">
              <w:rPr>
                <w:rFonts w:asciiTheme="minorHAnsi" w:eastAsia="Times New Roman" w:hAnsiTheme="minorHAnsi"/>
                <w:color w:val="000000"/>
                <w:szCs w:val="24"/>
              </w:rPr>
              <w:t>10</w:t>
            </w:r>
          </w:p>
        </w:tc>
        <w:tc>
          <w:tcPr>
            <w:tcW w:w="0" w:type="auto"/>
            <w:vAlign w:val="center"/>
            <w:hideMark/>
          </w:tcPr>
          <w:p w14:paraId="07AB3C9F" w14:textId="77777777" w:rsidR="00BF6D46" w:rsidRPr="00BF6D46" w:rsidRDefault="00BF6D46" w:rsidP="00BF6D46">
            <w:pPr>
              <w:widowControl/>
              <w:autoSpaceDE/>
              <w:autoSpaceDN/>
              <w:jc w:val="center"/>
              <w:rPr>
                <w:rFonts w:asciiTheme="minorHAnsi" w:eastAsia="Times New Roman" w:hAnsiTheme="minorHAnsi"/>
                <w:color w:val="000000"/>
                <w:szCs w:val="24"/>
              </w:rPr>
            </w:pPr>
            <w:r w:rsidRPr="00BF6D46">
              <w:rPr>
                <w:rFonts w:asciiTheme="minorHAnsi" w:eastAsia="Times New Roman" w:hAnsiTheme="minorHAnsi"/>
                <w:color w:val="000000"/>
                <w:szCs w:val="24"/>
              </w:rPr>
              <w:t>40</w:t>
            </w:r>
          </w:p>
        </w:tc>
        <w:tc>
          <w:tcPr>
            <w:tcW w:w="0" w:type="auto"/>
            <w:vAlign w:val="center"/>
            <w:hideMark/>
          </w:tcPr>
          <w:p w14:paraId="4F415E54" w14:textId="77777777" w:rsidR="00BF6D46" w:rsidRPr="00BF6D46" w:rsidRDefault="00BF6D46" w:rsidP="00BF6D46">
            <w:pPr>
              <w:widowControl/>
              <w:autoSpaceDE/>
              <w:autoSpaceDN/>
              <w:jc w:val="center"/>
              <w:rPr>
                <w:rFonts w:asciiTheme="minorHAnsi" w:eastAsia="Times New Roman" w:hAnsiTheme="minorHAnsi"/>
                <w:color w:val="000000"/>
                <w:szCs w:val="24"/>
              </w:rPr>
            </w:pPr>
            <w:r w:rsidRPr="00BF6D46">
              <w:rPr>
                <w:rFonts w:asciiTheme="minorHAnsi" w:eastAsia="Times New Roman" w:hAnsiTheme="minorHAnsi"/>
                <w:color w:val="000000"/>
                <w:szCs w:val="24"/>
              </w:rPr>
              <w:t>5</w:t>
            </w:r>
          </w:p>
        </w:tc>
      </w:tr>
      <w:tr w:rsidR="00F318B6" w:rsidRPr="00BF6D46" w14:paraId="7F85D00F" w14:textId="77777777" w:rsidTr="00E7472C">
        <w:trPr>
          <w:cantSplit/>
          <w:trHeight w:val="137"/>
        </w:trPr>
        <w:tc>
          <w:tcPr>
            <w:tcW w:w="0" w:type="auto"/>
            <w:shd w:val="clear" w:color="auto" w:fill="F2F2F2" w:themeFill="background1" w:themeFillShade="F2"/>
            <w:vAlign w:val="center"/>
            <w:hideMark/>
          </w:tcPr>
          <w:p w14:paraId="56CB2896" w14:textId="77777777" w:rsidR="00BF6D46" w:rsidRPr="00BF6D46" w:rsidRDefault="00BF6D46" w:rsidP="00BF6D46">
            <w:pPr>
              <w:widowControl/>
              <w:autoSpaceDE/>
              <w:autoSpaceDN/>
              <w:jc w:val="center"/>
              <w:rPr>
                <w:rFonts w:asciiTheme="minorHAnsi" w:eastAsia="Times New Roman" w:hAnsiTheme="minorHAnsi"/>
                <w:b/>
                <w:bCs/>
                <w:color w:val="000000"/>
                <w:szCs w:val="24"/>
              </w:rPr>
            </w:pPr>
            <w:r w:rsidRPr="00BF6D46">
              <w:rPr>
                <w:rFonts w:asciiTheme="minorHAnsi" w:eastAsia="Times New Roman" w:hAnsiTheme="minorHAnsi"/>
                <w:b/>
                <w:bCs/>
                <w:color w:val="000000"/>
                <w:szCs w:val="24"/>
              </w:rPr>
              <w:t>Total/Weighted Average</w:t>
            </w:r>
          </w:p>
        </w:tc>
        <w:tc>
          <w:tcPr>
            <w:tcW w:w="0" w:type="auto"/>
            <w:shd w:val="clear" w:color="auto" w:fill="F2F2F2" w:themeFill="background1" w:themeFillShade="F2"/>
            <w:vAlign w:val="center"/>
            <w:hideMark/>
          </w:tcPr>
          <w:p w14:paraId="4AE0E1CD" w14:textId="77777777" w:rsidR="00BF6D46" w:rsidRPr="00BF6D46" w:rsidRDefault="00BF6D46" w:rsidP="00BF6D46">
            <w:pPr>
              <w:widowControl/>
              <w:autoSpaceDE/>
              <w:autoSpaceDN/>
              <w:jc w:val="center"/>
              <w:rPr>
                <w:rFonts w:asciiTheme="minorHAnsi" w:eastAsia="Times New Roman" w:hAnsiTheme="minorHAnsi"/>
                <w:color w:val="000000"/>
                <w:szCs w:val="24"/>
              </w:rPr>
            </w:pPr>
            <w:r w:rsidRPr="00BF6D46">
              <w:rPr>
                <w:rFonts w:asciiTheme="minorHAnsi" w:eastAsia="Times New Roman" w:hAnsiTheme="minorHAnsi"/>
                <w:color w:val="000000"/>
                <w:szCs w:val="24"/>
              </w:rPr>
              <w:t>100</w:t>
            </w:r>
          </w:p>
        </w:tc>
        <w:tc>
          <w:tcPr>
            <w:tcW w:w="0" w:type="auto"/>
            <w:shd w:val="clear" w:color="auto" w:fill="F2F2F2" w:themeFill="background1" w:themeFillShade="F2"/>
            <w:vAlign w:val="center"/>
            <w:hideMark/>
          </w:tcPr>
          <w:p w14:paraId="3043511C" w14:textId="7FAC35AF" w:rsidR="00BF6D46" w:rsidRPr="00BF6D46" w:rsidRDefault="001F12F9" w:rsidP="00BF6D46">
            <w:pPr>
              <w:widowControl/>
              <w:autoSpaceDE/>
              <w:autoSpaceDN/>
              <w:jc w:val="center"/>
              <w:rPr>
                <w:rFonts w:asciiTheme="minorHAnsi" w:eastAsia="Times New Roman" w:hAnsiTheme="minorHAnsi"/>
                <w:color w:val="000000"/>
                <w:szCs w:val="24"/>
              </w:rPr>
            </w:pPr>
            <w:r>
              <w:rPr>
                <w:rFonts w:asciiTheme="minorHAnsi" w:eastAsia="Times New Roman" w:hAnsiTheme="minorHAnsi"/>
                <w:color w:val="000000"/>
                <w:szCs w:val="24"/>
              </w:rPr>
              <w:t>35</w:t>
            </w:r>
          </w:p>
        </w:tc>
        <w:tc>
          <w:tcPr>
            <w:tcW w:w="0" w:type="auto"/>
            <w:shd w:val="clear" w:color="auto" w:fill="F2F2F2" w:themeFill="background1" w:themeFillShade="F2"/>
            <w:vAlign w:val="center"/>
            <w:hideMark/>
          </w:tcPr>
          <w:p w14:paraId="218B7EA2" w14:textId="03F6BD83" w:rsidR="00BF6D46" w:rsidRPr="00BF6D46" w:rsidRDefault="001F12F9" w:rsidP="00BF6D46">
            <w:pPr>
              <w:widowControl/>
              <w:autoSpaceDE/>
              <w:autoSpaceDN/>
              <w:jc w:val="center"/>
              <w:rPr>
                <w:rFonts w:asciiTheme="minorHAnsi" w:eastAsia="Times New Roman" w:hAnsiTheme="minorHAnsi"/>
                <w:color w:val="000000"/>
                <w:szCs w:val="24"/>
              </w:rPr>
            </w:pPr>
            <w:r>
              <w:rPr>
                <w:rFonts w:asciiTheme="minorHAnsi" w:eastAsia="Times New Roman" w:hAnsiTheme="minorHAnsi"/>
                <w:color w:val="000000"/>
                <w:szCs w:val="24"/>
              </w:rPr>
              <w:t>23</w:t>
            </w:r>
          </w:p>
        </w:tc>
      </w:tr>
    </w:tbl>
    <w:p w14:paraId="2A59A244" w14:textId="77777777" w:rsidR="00401CED" w:rsidRDefault="00401CED" w:rsidP="00BA2054">
      <w:pPr>
        <w:rPr>
          <w:rFonts w:asciiTheme="minorHAnsi" w:hAnsiTheme="minorHAnsi"/>
          <w:szCs w:val="24"/>
        </w:rPr>
      </w:pPr>
    </w:p>
    <w:p w14:paraId="4D74E976" w14:textId="5B7CF65D" w:rsidR="0067710A" w:rsidRPr="00EC1887" w:rsidRDefault="0067710A" w:rsidP="0067710A">
      <w:pPr>
        <w:shd w:val="clear" w:color="auto" w:fill="FFFFFF" w:themeFill="background1"/>
        <w:rPr>
          <w:rFonts w:asciiTheme="minorHAnsi" w:hAnsiTheme="minorHAnsi"/>
          <w:szCs w:val="24"/>
        </w:rPr>
      </w:pPr>
      <w:r>
        <w:rPr>
          <w:rFonts w:asciiTheme="minorHAnsi" w:hAnsiTheme="minorHAnsi"/>
          <w:szCs w:val="24"/>
        </w:rPr>
        <w:t xml:space="preserve">The Applicant states that it considered a number of factors when calculating the treatment capacity of the proposed Center, including the time required to warm up the machine at the beginning of the day, </w:t>
      </w:r>
      <w:r w:rsidR="006A7894">
        <w:rPr>
          <w:rFonts w:asciiTheme="minorHAnsi" w:hAnsiTheme="minorHAnsi"/>
          <w:szCs w:val="24"/>
        </w:rPr>
        <w:t xml:space="preserve">the time required </w:t>
      </w:r>
      <w:r>
        <w:rPr>
          <w:rFonts w:asciiTheme="minorHAnsi" w:hAnsiTheme="minorHAnsi"/>
          <w:szCs w:val="24"/>
        </w:rPr>
        <w:t xml:space="preserve">to perform quality assurance testing at the end of the day, </w:t>
      </w:r>
      <w:r w:rsidR="006A7894">
        <w:rPr>
          <w:rFonts w:asciiTheme="minorHAnsi" w:hAnsiTheme="minorHAnsi"/>
          <w:szCs w:val="24"/>
        </w:rPr>
        <w:t xml:space="preserve">the time required </w:t>
      </w:r>
      <w:r>
        <w:rPr>
          <w:rFonts w:asciiTheme="minorHAnsi" w:hAnsiTheme="minorHAnsi"/>
          <w:szCs w:val="24"/>
        </w:rPr>
        <w:t xml:space="preserve">to conduct necessary and preventative maintenance, and </w:t>
      </w:r>
      <w:r w:rsidR="00583AFB">
        <w:rPr>
          <w:rFonts w:asciiTheme="minorHAnsi" w:hAnsiTheme="minorHAnsi"/>
          <w:szCs w:val="24"/>
        </w:rPr>
        <w:t>time require</w:t>
      </w:r>
      <w:r w:rsidR="003E389E">
        <w:rPr>
          <w:rFonts w:asciiTheme="minorHAnsi" w:hAnsiTheme="minorHAnsi"/>
          <w:szCs w:val="24"/>
        </w:rPr>
        <w:t>d</w:t>
      </w:r>
      <w:r w:rsidR="00583AFB">
        <w:rPr>
          <w:rFonts w:asciiTheme="minorHAnsi" w:hAnsiTheme="minorHAnsi"/>
          <w:szCs w:val="24"/>
        </w:rPr>
        <w:t xml:space="preserve"> </w:t>
      </w:r>
      <w:r>
        <w:rPr>
          <w:rFonts w:asciiTheme="minorHAnsi" w:hAnsiTheme="minorHAnsi"/>
          <w:szCs w:val="24"/>
        </w:rPr>
        <w:t>to conduct research. The Applicant states that this results in a 17</w:t>
      </w:r>
      <w:r w:rsidR="004126F3">
        <w:rPr>
          <w:rFonts w:asciiTheme="minorHAnsi" w:hAnsiTheme="minorHAnsi"/>
          <w:szCs w:val="24"/>
        </w:rPr>
        <w:t xml:space="preserve"> to </w:t>
      </w:r>
      <w:r>
        <w:rPr>
          <w:rFonts w:asciiTheme="minorHAnsi" w:hAnsiTheme="minorHAnsi"/>
          <w:szCs w:val="24"/>
        </w:rPr>
        <w:t xml:space="preserve">19 hours operating day, of which 12 hours will be used for PBT treatment. </w:t>
      </w:r>
      <w:r w:rsidR="00B06E2C">
        <w:rPr>
          <w:rFonts w:asciiTheme="minorHAnsi" w:hAnsiTheme="minorHAnsi"/>
          <w:szCs w:val="24"/>
        </w:rPr>
        <w:t>T</w:t>
      </w:r>
      <w:r>
        <w:rPr>
          <w:rFonts w:asciiTheme="minorHAnsi" w:hAnsiTheme="minorHAnsi"/>
          <w:szCs w:val="24"/>
        </w:rPr>
        <w:t>here are typically 251 treatment days per year after accounting for weekend</w:t>
      </w:r>
      <w:r w:rsidR="00922CA8">
        <w:rPr>
          <w:rFonts w:asciiTheme="minorHAnsi" w:hAnsiTheme="minorHAnsi"/>
          <w:szCs w:val="24"/>
        </w:rPr>
        <w:t>s</w:t>
      </w:r>
      <w:r>
        <w:rPr>
          <w:rFonts w:asciiTheme="minorHAnsi" w:hAnsiTheme="minorHAnsi"/>
          <w:szCs w:val="24"/>
        </w:rPr>
        <w:t xml:space="preserve"> and holidays. The Applicant anticipates that the machine will run at 97% uptime, resulting in 243 treatment days. </w:t>
      </w:r>
    </w:p>
    <w:p w14:paraId="3B8A8DF6" w14:textId="77777777" w:rsidR="0067710A" w:rsidRDefault="0067710A" w:rsidP="006A1C9F">
      <w:pPr>
        <w:rPr>
          <w:rFonts w:asciiTheme="minorHAnsi" w:hAnsiTheme="minorHAnsi"/>
          <w:szCs w:val="24"/>
        </w:rPr>
      </w:pPr>
    </w:p>
    <w:p w14:paraId="1A06F279" w14:textId="575DA590" w:rsidR="006A1C9F" w:rsidRPr="002676F3" w:rsidRDefault="006A1C9F" w:rsidP="002676F3">
      <w:pPr>
        <w:rPr>
          <w:rFonts w:asciiTheme="minorHAnsi" w:hAnsiTheme="minorHAnsi"/>
          <w:szCs w:val="24"/>
        </w:rPr>
      </w:pPr>
      <w:r w:rsidRPr="002676F3">
        <w:rPr>
          <w:rFonts w:asciiTheme="minorHAnsi" w:hAnsiTheme="minorHAnsi"/>
          <w:szCs w:val="24"/>
        </w:rPr>
        <w:t>Based on the assumptions outlined in Table 1</w:t>
      </w:r>
      <w:r w:rsidR="00993A37" w:rsidRPr="002676F3">
        <w:rPr>
          <w:rFonts w:asciiTheme="minorHAnsi" w:hAnsiTheme="minorHAnsi"/>
          <w:szCs w:val="24"/>
        </w:rPr>
        <w:t>8</w:t>
      </w:r>
      <w:r w:rsidR="007863DD" w:rsidRPr="002676F3">
        <w:rPr>
          <w:rFonts w:asciiTheme="minorHAnsi" w:hAnsiTheme="minorHAnsi"/>
          <w:szCs w:val="24"/>
        </w:rPr>
        <w:t xml:space="preserve"> and the equations included below</w:t>
      </w:r>
      <w:r w:rsidRPr="002676F3">
        <w:rPr>
          <w:rFonts w:asciiTheme="minorHAnsi" w:hAnsiTheme="minorHAnsi"/>
          <w:szCs w:val="24"/>
        </w:rPr>
        <w:t xml:space="preserve">, the Applicant then calculated the number of treatments per day and per year that the Center could provide, assuming the Center would be operational for 12 hours per day, 243 days per year. </w:t>
      </w:r>
      <w:r w:rsidR="00964186" w:rsidRPr="002676F3">
        <w:rPr>
          <w:rFonts w:asciiTheme="minorHAnsi" w:hAnsiTheme="minorHAnsi"/>
          <w:szCs w:val="24"/>
        </w:rPr>
        <w:t>This is shown in Table 1</w:t>
      </w:r>
      <w:r w:rsidR="00993A37" w:rsidRPr="002676F3">
        <w:rPr>
          <w:rFonts w:asciiTheme="minorHAnsi" w:hAnsiTheme="minorHAnsi"/>
          <w:szCs w:val="24"/>
        </w:rPr>
        <w:t>9</w:t>
      </w:r>
      <w:r w:rsidR="00964186" w:rsidRPr="002676F3">
        <w:rPr>
          <w:rFonts w:asciiTheme="minorHAnsi" w:hAnsiTheme="minorHAnsi"/>
          <w:szCs w:val="24"/>
        </w:rPr>
        <w:t xml:space="preserve">. </w:t>
      </w:r>
    </w:p>
    <w:p w14:paraId="3A14DF25" w14:textId="77777777" w:rsidR="00203986" w:rsidRDefault="00203986" w:rsidP="006A1C9F">
      <w:pPr>
        <w:rPr>
          <w:rFonts w:asciiTheme="minorHAnsi" w:hAnsiTheme="minorHAnsi"/>
          <w:szCs w:val="24"/>
        </w:rPr>
      </w:pPr>
    </w:p>
    <w:tbl>
      <w:tblPr>
        <w:tblStyle w:val="TableGrid"/>
        <w:tblW w:w="0" w:type="auto"/>
        <w:tblLook w:val="04A0" w:firstRow="1" w:lastRow="0" w:firstColumn="1" w:lastColumn="0" w:noHBand="0" w:noVBand="1"/>
      </w:tblPr>
      <w:tblGrid>
        <w:gridCol w:w="9810"/>
      </w:tblGrid>
      <w:tr w:rsidR="00203986" w14:paraId="72D17068" w14:textId="77777777" w:rsidTr="00203986">
        <w:tc>
          <w:tcPr>
            <w:tcW w:w="9810" w:type="dxa"/>
          </w:tcPr>
          <w:p w14:paraId="0D3D8FAF" w14:textId="756878AD" w:rsidR="00203986" w:rsidRDefault="00203986" w:rsidP="00203986">
            <w:pPr>
              <w:rPr>
                <w:rFonts w:asciiTheme="minorHAnsi" w:hAnsiTheme="minorHAnsi"/>
                <w:szCs w:val="24"/>
              </w:rPr>
            </w:pPr>
            <w:r w:rsidRPr="001F038A">
              <w:rPr>
                <w:rFonts w:asciiTheme="minorHAnsi" w:hAnsiTheme="minorHAnsi"/>
                <w:b/>
                <w:bCs/>
                <w:szCs w:val="24"/>
              </w:rPr>
              <w:t>Patients Treated Per Year</w:t>
            </w:r>
            <w:r>
              <w:rPr>
                <w:rFonts w:asciiTheme="minorHAnsi" w:hAnsiTheme="minorHAnsi"/>
                <w:szCs w:val="24"/>
              </w:rPr>
              <w:t xml:space="preserve"> = </w:t>
            </w:r>
            <w:r w:rsidRPr="00871ED8">
              <w:rPr>
                <w:rFonts w:asciiTheme="minorHAnsi" w:hAnsiTheme="minorHAnsi"/>
                <w:szCs w:val="24"/>
                <w:u w:val="single"/>
              </w:rPr>
              <w:t>___Annual Treatment Appointments____</w:t>
            </w:r>
          </w:p>
          <w:p w14:paraId="0DBDEB84" w14:textId="77777777" w:rsidR="00203986" w:rsidRDefault="00203986" w:rsidP="00203986">
            <w:pPr>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t xml:space="preserve">            Sessions Required per Patient per Year</w:t>
            </w:r>
          </w:p>
          <w:p w14:paraId="4A00F09B" w14:textId="77777777" w:rsidR="00203986" w:rsidRDefault="00203986" w:rsidP="00203986">
            <w:pPr>
              <w:rPr>
                <w:rFonts w:asciiTheme="minorHAnsi" w:hAnsiTheme="minorHAnsi"/>
                <w:b/>
                <w:bCs/>
                <w:szCs w:val="24"/>
              </w:rPr>
            </w:pPr>
          </w:p>
          <w:p w14:paraId="211B595B" w14:textId="77777777" w:rsidR="00203986" w:rsidRDefault="00203986" w:rsidP="00203986">
            <w:pPr>
              <w:rPr>
                <w:rFonts w:asciiTheme="minorHAnsi" w:hAnsiTheme="minorHAnsi"/>
                <w:szCs w:val="24"/>
              </w:rPr>
            </w:pPr>
            <w:r w:rsidRPr="001F038A">
              <w:rPr>
                <w:rFonts w:asciiTheme="minorHAnsi" w:hAnsiTheme="minorHAnsi"/>
                <w:b/>
                <w:bCs/>
                <w:szCs w:val="24"/>
              </w:rPr>
              <w:t>Annual Treatment Appointments</w:t>
            </w:r>
            <w:r>
              <w:rPr>
                <w:rFonts w:asciiTheme="minorHAnsi" w:hAnsiTheme="minorHAnsi"/>
                <w:szCs w:val="24"/>
              </w:rPr>
              <w:t xml:space="preserve"> = </w:t>
            </w:r>
            <w:r w:rsidRPr="001F038A">
              <w:rPr>
                <w:rFonts w:asciiTheme="minorHAnsi" w:hAnsiTheme="minorHAnsi"/>
                <w:szCs w:val="24"/>
                <w:u w:val="single"/>
              </w:rPr>
              <w:t>Daily Operating Time (minutes) x Operating Days (per year)</w:t>
            </w:r>
          </w:p>
          <w:p w14:paraId="6CBEE7D9" w14:textId="31422EB5" w:rsidR="00203986" w:rsidRDefault="00203986" w:rsidP="006A1C9F">
            <w:pPr>
              <w:rPr>
                <w:rFonts w:asciiTheme="minorHAnsi" w:hAnsiTheme="minorHAnsi"/>
                <w:szCs w:val="24"/>
              </w:rPr>
            </w:pPr>
            <w:r>
              <w:rPr>
                <w:rFonts w:asciiTheme="minorHAnsi" w:hAnsiTheme="minorHAnsi"/>
                <w:szCs w:val="24"/>
              </w:rPr>
              <w:t xml:space="preserve">                                                                                  Treatment Length (minutes per treatment)          </w:t>
            </w:r>
          </w:p>
        </w:tc>
      </w:tr>
    </w:tbl>
    <w:p w14:paraId="0EEC9138" w14:textId="77777777" w:rsidR="006A7894" w:rsidRDefault="006A7894" w:rsidP="006A1C9F">
      <w:pPr>
        <w:rPr>
          <w:rFonts w:asciiTheme="minorHAnsi" w:hAnsiTheme="minorHAnsi"/>
          <w:szCs w:val="24"/>
        </w:rPr>
      </w:pPr>
    </w:p>
    <w:p w14:paraId="120C6C3E" w14:textId="3EA56359" w:rsidR="00964186" w:rsidRDefault="00964186" w:rsidP="00BA2054">
      <w:pPr>
        <w:rPr>
          <w:rFonts w:asciiTheme="minorHAnsi" w:hAnsiTheme="minorHAnsi"/>
          <w:b/>
          <w:bCs/>
          <w:szCs w:val="24"/>
        </w:rPr>
      </w:pPr>
      <w:r>
        <w:rPr>
          <w:rFonts w:asciiTheme="minorHAnsi" w:hAnsiTheme="minorHAnsi"/>
          <w:b/>
          <w:bCs/>
          <w:szCs w:val="24"/>
        </w:rPr>
        <w:t>Table 1</w:t>
      </w:r>
      <w:r w:rsidR="00993A37">
        <w:rPr>
          <w:rFonts w:asciiTheme="minorHAnsi" w:hAnsiTheme="minorHAnsi"/>
          <w:b/>
          <w:bCs/>
          <w:szCs w:val="24"/>
        </w:rPr>
        <w:t>9</w:t>
      </w:r>
      <w:r>
        <w:rPr>
          <w:rFonts w:asciiTheme="minorHAnsi" w:hAnsiTheme="minorHAnsi"/>
          <w:b/>
          <w:bCs/>
          <w:szCs w:val="24"/>
        </w:rPr>
        <w:t xml:space="preserve">: </w:t>
      </w:r>
      <w:r w:rsidR="002C56A8">
        <w:rPr>
          <w:rFonts w:asciiTheme="minorHAnsi" w:hAnsiTheme="minorHAnsi"/>
          <w:b/>
          <w:bCs/>
          <w:szCs w:val="24"/>
        </w:rPr>
        <w:t>DFCI PBT</w:t>
      </w:r>
      <w:r w:rsidR="00957483">
        <w:rPr>
          <w:rFonts w:asciiTheme="minorHAnsi" w:hAnsiTheme="minorHAnsi"/>
          <w:b/>
          <w:bCs/>
          <w:szCs w:val="24"/>
        </w:rPr>
        <w:t xml:space="preserve"> Capacity Calculations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2016"/>
        <w:gridCol w:w="2082"/>
        <w:gridCol w:w="2362"/>
        <w:gridCol w:w="1943"/>
      </w:tblGrid>
      <w:tr w:rsidR="00964186" w:rsidRPr="00964186" w14:paraId="0115504C" w14:textId="77777777" w:rsidTr="00E7472C">
        <w:trPr>
          <w:cantSplit/>
          <w:trHeight w:val="620"/>
          <w:tblHeader/>
        </w:trPr>
        <w:tc>
          <w:tcPr>
            <w:tcW w:w="0" w:type="auto"/>
            <w:shd w:val="clear" w:color="auto" w:fill="DBE5F1" w:themeFill="accent1" w:themeFillTint="33"/>
            <w:vAlign w:val="center"/>
            <w:hideMark/>
          </w:tcPr>
          <w:p w14:paraId="658F4921" w14:textId="77777777" w:rsidR="00964186" w:rsidRPr="00964186" w:rsidRDefault="00964186" w:rsidP="00964186">
            <w:pPr>
              <w:widowControl/>
              <w:autoSpaceDE/>
              <w:autoSpaceDN/>
              <w:jc w:val="center"/>
              <w:rPr>
                <w:rFonts w:asciiTheme="minorHAnsi" w:eastAsia="Times New Roman" w:hAnsiTheme="minorHAnsi"/>
                <w:b/>
                <w:bCs/>
                <w:color w:val="000000"/>
                <w:szCs w:val="24"/>
              </w:rPr>
            </w:pPr>
            <w:r w:rsidRPr="00964186">
              <w:rPr>
                <w:rFonts w:asciiTheme="minorHAnsi" w:eastAsia="Times New Roman" w:hAnsiTheme="minorHAnsi"/>
                <w:b/>
                <w:bCs/>
                <w:color w:val="000000"/>
                <w:szCs w:val="24"/>
              </w:rPr>
              <w:lastRenderedPageBreak/>
              <w:t xml:space="preserve">Type of Treatment </w:t>
            </w:r>
          </w:p>
        </w:tc>
        <w:tc>
          <w:tcPr>
            <w:tcW w:w="0" w:type="auto"/>
            <w:shd w:val="clear" w:color="auto" w:fill="DBE5F1" w:themeFill="accent1" w:themeFillTint="33"/>
            <w:vAlign w:val="center"/>
            <w:hideMark/>
          </w:tcPr>
          <w:p w14:paraId="44F56F2C" w14:textId="2CC803F4" w:rsidR="00964186" w:rsidRPr="00964186" w:rsidRDefault="00964186" w:rsidP="00964186">
            <w:pPr>
              <w:widowControl/>
              <w:autoSpaceDE/>
              <w:autoSpaceDN/>
              <w:jc w:val="center"/>
              <w:rPr>
                <w:rFonts w:asciiTheme="minorHAnsi" w:eastAsia="Times New Roman" w:hAnsiTheme="minorHAnsi"/>
                <w:b/>
                <w:bCs/>
                <w:color w:val="000000"/>
                <w:szCs w:val="24"/>
              </w:rPr>
            </w:pPr>
            <w:r w:rsidRPr="00964186">
              <w:rPr>
                <w:rFonts w:asciiTheme="minorHAnsi" w:eastAsia="Times New Roman" w:hAnsiTheme="minorHAnsi"/>
                <w:b/>
                <w:bCs/>
                <w:color w:val="000000"/>
                <w:szCs w:val="24"/>
              </w:rPr>
              <w:t>Treatments/Day</w:t>
            </w:r>
            <w:r w:rsidR="001733FE">
              <w:rPr>
                <w:rStyle w:val="FootnoteReference"/>
                <w:rFonts w:asciiTheme="minorHAnsi" w:eastAsia="Times New Roman" w:hAnsiTheme="minorHAnsi"/>
                <w:b/>
                <w:bCs/>
                <w:color w:val="000000"/>
                <w:szCs w:val="24"/>
              </w:rPr>
              <w:footnoteReference w:id="51"/>
            </w:r>
          </w:p>
        </w:tc>
        <w:tc>
          <w:tcPr>
            <w:tcW w:w="0" w:type="auto"/>
            <w:shd w:val="clear" w:color="auto" w:fill="DBE5F1" w:themeFill="accent1" w:themeFillTint="33"/>
            <w:vAlign w:val="center"/>
            <w:hideMark/>
          </w:tcPr>
          <w:p w14:paraId="16B6D250" w14:textId="7498ECA4" w:rsidR="00964186" w:rsidRPr="00964186" w:rsidRDefault="00964186" w:rsidP="00964186">
            <w:pPr>
              <w:widowControl/>
              <w:autoSpaceDE/>
              <w:autoSpaceDN/>
              <w:jc w:val="center"/>
              <w:rPr>
                <w:rFonts w:asciiTheme="minorHAnsi" w:eastAsia="Times New Roman" w:hAnsiTheme="minorHAnsi"/>
                <w:b/>
                <w:bCs/>
                <w:color w:val="000000"/>
                <w:szCs w:val="24"/>
              </w:rPr>
            </w:pPr>
            <w:r w:rsidRPr="00964186">
              <w:rPr>
                <w:rFonts w:asciiTheme="minorHAnsi" w:eastAsia="Times New Roman" w:hAnsiTheme="minorHAnsi"/>
                <w:b/>
                <w:bCs/>
                <w:color w:val="000000"/>
                <w:szCs w:val="24"/>
              </w:rPr>
              <w:t>Treatments/Yea</w:t>
            </w:r>
            <w:r w:rsidR="001733FE">
              <w:rPr>
                <w:rFonts w:asciiTheme="minorHAnsi" w:eastAsia="Times New Roman" w:hAnsiTheme="minorHAnsi"/>
                <w:b/>
                <w:bCs/>
                <w:color w:val="000000"/>
                <w:szCs w:val="24"/>
              </w:rPr>
              <w:t>r</w:t>
            </w:r>
            <w:r w:rsidR="00C102A9">
              <w:rPr>
                <w:rStyle w:val="FootnoteReference"/>
                <w:rFonts w:asciiTheme="minorHAnsi" w:eastAsia="Times New Roman" w:hAnsiTheme="minorHAnsi"/>
                <w:b/>
                <w:bCs/>
                <w:color w:val="000000"/>
                <w:szCs w:val="24"/>
              </w:rPr>
              <w:footnoteReference w:id="52"/>
            </w:r>
          </w:p>
        </w:tc>
        <w:tc>
          <w:tcPr>
            <w:tcW w:w="0" w:type="auto"/>
            <w:shd w:val="clear" w:color="auto" w:fill="DBE5F1" w:themeFill="accent1" w:themeFillTint="33"/>
            <w:vAlign w:val="center"/>
            <w:hideMark/>
          </w:tcPr>
          <w:p w14:paraId="7EAF0D0B" w14:textId="77777777" w:rsidR="00964186" w:rsidRPr="00964186" w:rsidRDefault="00964186" w:rsidP="00964186">
            <w:pPr>
              <w:widowControl/>
              <w:autoSpaceDE/>
              <w:autoSpaceDN/>
              <w:jc w:val="center"/>
              <w:rPr>
                <w:rFonts w:asciiTheme="minorHAnsi" w:eastAsia="Times New Roman" w:hAnsiTheme="minorHAnsi"/>
                <w:b/>
                <w:bCs/>
                <w:color w:val="000000"/>
                <w:szCs w:val="24"/>
              </w:rPr>
            </w:pPr>
            <w:r w:rsidRPr="00964186">
              <w:rPr>
                <w:rFonts w:asciiTheme="minorHAnsi" w:eastAsia="Times New Roman" w:hAnsiTheme="minorHAnsi"/>
                <w:b/>
                <w:bCs/>
                <w:color w:val="000000"/>
                <w:szCs w:val="24"/>
              </w:rPr>
              <w:t># of Total Treatments/Patient</w:t>
            </w:r>
          </w:p>
        </w:tc>
        <w:tc>
          <w:tcPr>
            <w:tcW w:w="0" w:type="auto"/>
            <w:shd w:val="clear" w:color="auto" w:fill="DBE5F1" w:themeFill="accent1" w:themeFillTint="33"/>
            <w:vAlign w:val="center"/>
            <w:hideMark/>
          </w:tcPr>
          <w:p w14:paraId="1C9451DD" w14:textId="5E7E09FA" w:rsidR="00964186" w:rsidRPr="00964186" w:rsidRDefault="00964186" w:rsidP="00964186">
            <w:pPr>
              <w:widowControl/>
              <w:autoSpaceDE/>
              <w:autoSpaceDN/>
              <w:jc w:val="center"/>
              <w:rPr>
                <w:rFonts w:asciiTheme="minorHAnsi" w:eastAsia="Times New Roman" w:hAnsiTheme="minorHAnsi"/>
                <w:b/>
                <w:bCs/>
                <w:color w:val="000000"/>
                <w:szCs w:val="24"/>
              </w:rPr>
            </w:pPr>
            <w:r w:rsidRPr="00964186">
              <w:rPr>
                <w:rFonts w:asciiTheme="minorHAnsi" w:eastAsia="Times New Roman" w:hAnsiTheme="minorHAnsi"/>
                <w:b/>
                <w:bCs/>
                <w:color w:val="000000"/>
                <w:szCs w:val="24"/>
              </w:rPr>
              <w:t>Number of Patients/Yea</w:t>
            </w:r>
            <w:r w:rsidR="001733FE">
              <w:rPr>
                <w:rFonts w:asciiTheme="minorHAnsi" w:eastAsia="Times New Roman" w:hAnsiTheme="minorHAnsi"/>
                <w:b/>
                <w:bCs/>
                <w:color w:val="000000"/>
                <w:szCs w:val="24"/>
              </w:rPr>
              <w:t>r</w:t>
            </w:r>
            <w:r w:rsidR="00C102A9">
              <w:rPr>
                <w:rStyle w:val="FootnoteReference"/>
                <w:rFonts w:asciiTheme="minorHAnsi" w:eastAsia="Times New Roman" w:hAnsiTheme="minorHAnsi"/>
                <w:b/>
                <w:bCs/>
                <w:color w:val="000000"/>
                <w:szCs w:val="24"/>
              </w:rPr>
              <w:footnoteReference w:id="53"/>
            </w:r>
          </w:p>
        </w:tc>
      </w:tr>
      <w:tr w:rsidR="00964186" w:rsidRPr="00964186" w14:paraId="0D4A1F9D" w14:textId="77777777" w:rsidTr="00E7472C">
        <w:trPr>
          <w:cantSplit/>
          <w:trHeight w:val="290"/>
        </w:trPr>
        <w:tc>
          <w:tcPr>
            <w:tcW w:w="0" w:type="auto"/>
            <w:vAlign w:val="center"/>
            <w:hideMark/>
          </w:tcPr>
          <w:p w14:paraId="29B63240" w14:textId="77777777" w:rsidR="00964186" w:rsidRPr="00964186" w:rsidRDefault="00964186" w:rsidP="00964186">
            <w:pPr>
              <w:widowControl/>
              <w:autoSpaceDE/>
              <w:autoSpaceDN/>
              <w:jc w:val="center"/>
              <w:rPr>
                <w:rFonts w:asciiTheme="minorHAnsi" w:eastAsia="Times New Roman" w:hAnsiTheme="minorHAnsi"/>
                <w:color w:val="000000"/>
                <w:szCs w:val="24"/>
              </w:rPr>
            </w:pPr>
            <w:r w:rsidRPr="00964186">
              <w:rPr>
                <w:rFonts w:asciiTheme="minorHAnsi" w:eastAsia="Times New Roman" w:hAnsiTheme="minorHAnsi"/>
                <w:color w:val="000000"/>
                <w:szCs w:val="24"/>
              </w:rPr>
              <w:t xml:space="preserve">Pediatric </w:t>
            </w:r>
          </w:p>
        </w:tc>
        <w:tc>
          <w:tcPr>
            <w:tcW w:w="0" w:type="auto"/>
            <w:vAlign w:val="center"/>
            <w:hideMark/>
          </w:tcPr>
          <w:p w14:paraId="4DB29565" w14:textId="77777777" w:rsidR="00964186" w:rsidRPr="00964186" w:rsidRDefault="00964186" w:rsidP="00964186">
            <w:pPr>
              <w:widowControl/>
              <w:autoSpaceDE/>
              <w:autoSpaceDN/>
              <w:jc w:val="center"/>
              <w:rPr>
                <w:rFonts w:asciiTheme="minorHAnsi" w:eastAsia="Times New Roman" w:hAnsiTheme="minorHAnsi"/>
                <w:color w:val="000000"/>
                <w:szCs w:val="24"/>
              </w:rPr>
            </w:pPr>
            <w:r w:rsidRPr="00964186">
              <w:rPr>
                <w:rFonts w:asciiTheme="minorHAnsi" w:eastAsia="Times New Roman" w:hAnsiTheme="minorHAnsi"/>
                <w:color w:val="000000"/>
                <w:szCs w:val="24"/>
              </w:rPr>
              <w:t>9.6</w:t>
            </w:r>
          </w:p>
        </w:tc>
        <w:tc>
          <w:tcPr>
            <w:tcW w:w="0" w:type="auto"/>
            <w:vAlign w:val="center"/>
            <w:hideMark/>
          </w:tcPr>
          <w:p w14:paraId="571A285B" w14:textId="77777777" w:rsidR="00964186" w:rsidRPr="00964186" w:rsidRDefault="00964186" w:rsidP="00964186">
            <w:pPr>
              <w:widowControl/>
              <w:autoSpaceDE/>
              <w:autoSpaceDN/>
              <w:jc w:val="center"/>
              <w:rPr>
                <w:rFonts w:asciiTheme="minorHAnsi" w:eastAsia="Times New Roman" w:hAnsiTheme="minorHAnsi"/>
                <w:color w:val="000000"/>
                <w:szCs w:val="24"/>
              </w:rPr>
            </w:pPr>
            <w:r w:rsidRPr="00964186">
              <w:rPr>
                <w:rFonts w:asciiTheme="minorHAnsi" w:eastAsia="Times New Roman" w:hAnsiTheme="minorHAnsi"/>
                <w:color w:val="000000"/>
                <w:szCs w:val="24"/>
              </w:rPr>
              <w:t>2,322</w:t>
            </w:r>
          </w:p>
        </w:tc>
        <w:tc>
          <w:tcPr>
            <w:tcW w:w="0" w:type="auto"/>
            <w:vAlign w:val="center"/>
            <w:hideMark/>
          </w:tcPr>
          <w:p w14:paraId="218B195B" w14:textId="77777777" w:rsidR="00964186" w:rsidRPr="00964186" w:rsidRDefault="00964186" w:rsidP="00964186">
            <w:pPr>
              <w:widowControl/>
              <w:autoSpaceDE/>
              <w:autoSpaceDN/>
              <w:jc w:val="center"/>
              <w:rPr>
                <w:rFonts w:asciiTheme="minorHAnsi" w:eastAsia="Times New Roman" w:hAnsiTheme="minorHAnsi"/>
                <w:color w:val="000000"/>
                <w:szCs w:val="24"/>
              </w:rPr>
            </w:pPr>
            <w:r w:rsidRPr="00964186">
              <w:rPr>
                <w:rFonts w:asciiTheme="minorHAnsi" w:eastAsia="Times New Roman" w:hAnsiTheme="minorHAnsi"/>
                <w:color w:val="000000"/>
                <w:szCs w:val="24"/>
              </w:rPr>
              <w:t>27</w:t>
            </w:r>
          </w:p>
        </w:tc>
        <w:tc>
          <w:tcPr>
            <w:tcW w:w="0" w:type="auto"/>
            <w:vAlign w:val="center"/>
            <w:hideMark/>
          </w:tcPr>
          <w:p w14:paraId="705879EB" w14:textId="77777777" w:rsidR="00964186" w:rsidRPr="00964186" w:rsidRDefault="00964186" w:rsidP="00964186">
            <w:pPr>
              <w:widowControl/>
              <w:autoSpaceDE/>
              <w:autoSpaceDN/>
              <w:jc w:val="center"/>
              <w:rPr>
                <w:rFonts w:asciiTheme="minorHAnsi" w:eastAsia="Times New Roman" w:hAnsiTheme="minorHAnsi"/>
                <w:color w:val="000000"/>
                <w:szCs w:val="24"/>
              </w:rPr>
            </w:pPr>
            <w:r w:rsidRPr="00964186">
              <w:rPr>
                <w:rFonts w:asciiTheme="minorHAnsi" w:eastAsia="Times New Roman" w:hAnsiTheme="minorHAnsi"/>
                <w:color w:val="000000"/>
                <w:szCs w:val="24"/>
              </w:rPr>
              <w:t>86</w:t>
            </w:r>
          </w:p>
        </w:tc>
      </w:tr>
      <w:tr w:rsidR="00964186" w:rsidRPr="00964186" w14:paraId="73071E19" w14:textId="77777777" w:rsidTr="00E7472C">
        <w:trPr>
          <w:cantSplit/>
          <w:trHeight w:val="580"/>
        </w:trPr>
        <w:tc>
          <w:tcPr>
            <w:tcW w:w="0" w:type="auto"/>
            <w:vAlign w:val="center"/>
            <w:hideMark/>
          </w:tcPr>
          <w:p w14:paraId="6FAB8B98" w14:textId="77777777" w:rsidR="00964186" w:rsidRPr="00964186" w:rsidRDefault="00964186" w:rsidP="00964186">
            <w:pPr>
              <w:widowControl/>
              <w:autoSpaceDE/>
              <w:autoSpaceDN/>
              <w:jc w:val="center"/>
              <w:rPr>
                <w:rFonts w:asciiTheme="minorHAnsi" w:eastAsia="Times New Roman" w:hAnsiTheme="minorHAnsi"/>
                <w:color w:val="000000"/>
                <w:szCs w:val="24"/>
              </w:rPr>
            </w:pPr>
            <w:r w:rsidRPr="00964186">
              <w:rPr>
                <w:rFonts w:asciiTheme="minorHAnsi" w:eastAsia="Times New Roman" w:hAnsiTheme="minorHAnsi"/>
                <w:color w:val="000000"/>
                <w:szCs w:val="24"/>
              </w:rPr>
              <w:t>Standard Course</w:t>
            </w:r>
          </w:p>
        </w:tc>
        <w:tc>
          <w:tcPr>
            <w:tcW w:w="0" w:type="auto"/>
            <w:vAlign w:val="center"/>
            <w:hideMark/>
          </w:tcPr>
          <w:p w14:paraId="231743F3" w14:textId="77777777" w:rsidR="00964186" w:rsidRPr="00964186" w:rsidRDefault="00964186" w:rsidP="00964186">
            <w:pPr>
              <w:widowControl/>
              <w:autoSpaceDE/>
              <w:autoSpaceDN/>
              <w:jc w:val="center"/>
              <w:rPr>
                <w:rFonts w:asciiTheme="minorHAnsi" w:eastAsia="Times New Roman" w:hAnsiTheme="minorHAnsi"/>
                <w:color w:val="000000"/>
                <w:szCs w:val="24"/>
              </w:rPr>
            </w:pPr>
            <w:r w:rsidRPr="00964186">
              <w:rPr>
                <w:rFonts w:asciiTheme="minorHAnsi" w:eastAsia="Times New Roman" w:hAnsiTheme="minorHAnsi"/>
                <w:color w:val="000000"/>
                <w:szCs w:val="24"/>
              </w:rPr>
              <w:t>10.7</w:t>
            </w:r>
          </w:p>
        </w:tc>
        <w:tc>
          <w:tcPr>
            <w:tcW w:w="0" w:type="auto"/>
            <w:vAlign w:val="center"/>
            <w:hideMark/>
          </w:tcPr>
          <w:p w14:paraId="4E969353" w14:textId="77777777" w:rsidR="00964186" w:rsidRPr="00964186" w:rsidRDefault="00964186" w:rsidP="00964186">
            <w:pPr>
              <w:widowControl/>
              <w:autoSpaceDE/>
              <w:autoSpaceDN/>
              <w:jc w:val="center"/>
              <w:rPr>
                <w:rFonts w:asciiTheme="minorHAnsi" w:eastAsia="Times New Roman" w:hAnsiTheme="minorHAnsi"/>
                <w:color w:val="000000"/>
                <w:szCs w:val="24"/>
              </w:rPr>
            </w:pPr>
            <w:r w:rsidRPr="00964186">
              <w:rPr>
                <w:rFonts w:asciiTheme="minorHAnsi" w:eastAsia="Times New Roman" w:hAnsiTheme="minorHAnsi"/>
                <w:color w:val="000000"/>
                <w:szCs w:val="24"/>
              </w:rPr>
              <w:t>2,592</w:t>
            </w:r>
          </w:p>
        </w:tc>
        <w:tc>
          <w:tcPr>
            <w:tcW w:w="0" w:type="auto"/>
            <w:vAlign w:val="center"/>
            <w:hideMark/>
          </w:tcPr>
          <w:p w14:paraId="019EAD06" w14:textId="77777777" w:rsidR="00964186" w:rsidRPr="00964186" w:rsidRDefault="00964186" w:rsidP="00964186">
            <w:pPr>
              <w:widowControl/>
              <w:autoSpaceDE/>
              <w:autoSpaceDN/>
              <w:jc w:val="center"/>
              <w:rPr>
                <w:rFonts w:asciiTheme="minorHAnsi" w:eastAsia="Times New Roman" w:hAnsiTheme="minorHAnsi"/>
                <w:color w:val="000000"/>
                <w:szCs w:val="24"/>
              </w:rPr>
            </w:pPr>
            <w:r w:rsidRPr="00964186">
              <w:rPr>
                <w:rFonts w:asciiTheme="minorHAnsi" w:eastAsia="Times New Roman" w:hAnsiTheme="minorHAnsi"/>
                <w:color w:val="000000"/>
                <w:szCs w:val="24"/>
              </w:rPr>
              <w:t>24</w:t>
            </w:r>
          </w:p>
        </w:tc>
        <w:tc>
          <w:tcPr>
            <w:tcW w:w="0" w:type="auto"/>
            <w:vAlign w:val="center"/>
            <w:hideMark/>
          </w:tcPr>
          <w:p w14:paraId="3F6078CD" w14:textId="77777777" w:rsidR="00964186" w:rsidRPr="00964186" w:rsidRDefault="00964186" w:rsidP="00964186">
            <w:pPr>
              <w:widowControl/>
              <w:autoSpaceDE/>
              <w:autoSpaceDN/>
              <w:jc w:val="center"/>
              <w:rPr>
                <w:rFonts w:asciiTheme="minorHAnsi" w:eastAsia="Times New Roman" w:hAnsiTheme="minorHAnsi"/>
                <w:color w:val="000000"/>
                <w:szCs w:val="24"/>
              </w:rPr>
            </w:pPr>
            <w:r w:rsidRPr="00964186">
              <w:rPr>
                <w:rFonts w:asciiTheme="minorHAnsi" w:eastAsia="Times New Roman" w:hAnsiTheme="minorHAnsi"/>
                <w:color w:val="000000"/>
                <w:szCs w:val="24"/>
              </w:rPr>
              <w:t>108</w:t>
            </w:r>
          </w:p>
        </w:tc>
      </w:tr>
      <w:tr w:rsidR="00964186" w:rsidRPr="00964186" w14:paraId="5FAB1DC5" w14:textId="77777777" w:rsidTr="00E7472C">
        <w:trPr>
          <w:cantSplit/>
          <w:trHeight w:val="290"/>
        </w:trPr>
        <w:tc>
          <w:tcPr>
            <w:tcW w:w="0" w:type="auto"/>
            <w:vAlign w:val="center"/>
            <w:hideMark/>
          </w:tcPr>
          <w:p w14:paraId="731A9147" w14:textId="77777777" w:rsidR="00964186" w:rsidRPr="00964186" w:rsidRDefault="00964186" w:rsidP="00964186">
            <w:pPr>
              <w:widowControl/>
              <w:autoSpaceDE/>
              <w:autoSpaceDN/>
              <w:jc w:val="center"/>
              <w:rPr>
                <w:rFonts w:asciiTheme="minorHAnsi" w:eastAsia="Times New Roman" w:hAnsiTheme="minorHAnsi"/>
                <w:color w:val="000000"/>
                <w:szCs w:val="24"/>
              </w:rPr>
            </w:pPr>
            <w:r w:rsidRPr="00964186">
              <w:rPr>
                <w:rFonts w:asciiTheme="minorHAnsi" w:eastAsia="Times New Roman" w:hAnsiTheme="minorHAnsi"/>
                <w:color w:val="000000"/>
                <w:szCs w:val="24"/>
              </w:rPr>
              <w:t>SBRT/CSI</w:t>
            </w:r>
          </w:p>
        </w:tc>
        <w:tc>
          <w:tcPr>
            <w:tcW w:w="0" w:type="auto"/>
            <w:vAlign w:val="center"/>
            <w:hideMark/>
          </w:tcPr>
          <w:p w14:paraId="5D4435B8" w14:textId="77777777" w:rsidR="00964186" w:rsidRPr="00964186" w:rsidRDefault="00964186" w:rsidP="00964186">
            <w:pPr>
              <w:widowControl/>
              <w:autoSpaceDE/>
              <w:autoSpaceDN/>
              <w:jc w:val="center"/>
              <w:rPr>
                <w:rFonts w:asciiTheme="minorHAnsi" w:eastAsia="Times New Roman" w:hAnsiTheme="minorHAnsi"/>
                <w:color w:val="000000"/>
                <w:szCs w:val="24"/>
              </w:rPr>
            </w:pPr>
            <w:r w:rsidRPr="00964186">
              <w:rPr>
                <w:rFonts w:asciiTheme="minorHAnsi" w:eastAsia="Times New Roman" w:hAnsiTheme="minorHAnsi"/>
                <w:color w:val="000000"/>
                <w:szCs w:val="24"/>
              </w:rPr>
              <w:t>0.5</w:t>
            </w:r>
          </w:p>
        </w:tc>
        <w:tc>
          <w:tcPr>
            <w:tcW w:w="0" w:type="auto"/>
            <w:vAlign w:val="center"/>
            <w:hideMark/>
          </w:tcPr>
          <w:p w14:paraId="1CCDC776" w14:textId="77777777" w:rsidR="00964186" w:rsidRPr="00964186" w:rsidRDefault="00964186" w:rsidP="00964186">
            <w:pPr>
              <w:widowControl/>
              <w:autoSpaceDE/>
              <w:autoSpaceDN/>
              <w:jc w:val="center"/>
              <w:rPr>
                <w:rFonts w:asciiTheme="minorHAnsi" w:eastAsia="Times New Roman" w:hAnsiTheme="minorHAnsi"/>
                <w:color w:val="000000"/>
                <w:szCs w:val="24"/>
              </w:rPr>
            </w:pPr>
            <w:r w:rsidRPr="00964186">
              <w:rPr>
                <w:rFonts w:asciiTheme="minorHAnsi" w:eastAsia="Times New Roman" w:hAnsiTheme="minorHAnsi"/>
                <w:color w:val="000000"/>
                <w:szCs w:val="24"/>
              </w:rPr>
              <w:t>110</w:t>
            </w:r>
          </w:p>
        </w:tc>
        <w:tc>
          <w:tcPr>
            <w:tcW w:w="0" w:type="auto"/>
            <w:vAlign w:val="center"/>
            <w:hideMark/>
          </w:tcPr>
          <w:p w14:paraId="1D69B7C3" w14:textId="77777777" w:rsidR="00964186" w:rsidRPr="00964186" w:rsidRDefault="00964186" w:rsidP="00964186">
            <w:pPr>
              <w:widowControl/>
              <w:autoSpaceDE/>
              <w:autoSpaceDN/>
              <w:jc w:val="center"/>
              <w:rPr>
                <w:rFonts w:asciiTheme="minorHAnsi" w:eastAsia="Times New Roman" w:hAnsiTheme="minorHAnsi"/>
                <w:color w:val="000000"/>
                <w:szCs w:val="24"/>
              </w:rPr>
            </w:pPr>
            <w:r w:rsidRPr="00964186">
              <w:rPr>
                <w:rFonts w:asciiTheme="minorHAnsi" w:eastAsia="Times New Roman" w:hAnsiTheme="minorHAnsi"/>
                <w:color w:val="000000"/>
                <w:szCs w:val="24"/>
              </w:rPr>
              <w:t>5</w:t>
            </w:r>
          </w:p>
        </w:tc>
        <w:tc>
          <w:tcPr>
            <w:tcW w:w="0" w:type="auto"/>
            <w:vAlign w:val="center"/>
            <w:hideMark/>
          </w:tcPr>
          <w:p w14:paraId="7BBB68A9" w14:textId="77777777" w:rsidR="00964186" w:rsidRPr="00964186" w:rsidRDefault="00964186" w:rsidP="00964186">
            <w:pPr>
              <w:widowControl/>
              <w:autoSpaceDE/>
              <w:autoSpaceDN/>
              <w:jc w:val="center"/>
              <w:rPr>
                <w:rFonts w:asciiTheme="minorHAnsi" w:eastAsia="Times New Roman" w:hAnsiTheme="minorHAnsi"/>
                <w:color w:val="000000"/>
                <w:szCs w:val="24"/>
              </w:rPr>
            </w:pPr>
            <w:r w:rsidRPr="00964186">
              <w:rPr>
                <w:rFonts w:asciiTheme="minorHAnsi" w:eastAsia="Times New Roman" w:hAnsiTheme="minorHAnsi"/>
                <w:color w:val="000000"/>
                <w:szCs w:val="24"/>
              </w:rPr>
              <w:t>22</w:t>
            </w:r>
          </w:p>
        </w:tc>
      </w:tr>
      <w:tr w:rsidR="00CC572F" w:rsidRPr="00964186" w14:paraId="3DCBCEBE" w14:textId="77777777" w:rsidTr="00E7472C">
        <w:trPr>
          <w:cantSplit/>
          <w:trHeight w:val="85"/>
        </w:trPr>
        <w:tc>
          <w:tcPr>
            <w:tcW w:w="0" w:type="auto"/>
            <w:shd w:val="clear" w:color="auto" w:fill="F2F2F2" w:themeFill="background1" w:themeFillShade="F2"/>
            <w:vAlign w:val="center"/>
            <w:hideMark/>
          </w:tcPr>
          <w:p w14:paraId="42A1EA81" w14:textId="77777777" w:rsidR="00964186" w:rsidRPr="00964186" w:rsidRDefault="00964186" w:rsidP="00964186">
            <w:pPr>
              <w:widowControl/>
              <w:autoSpaceDE/>
              <w:autoSpaceDN/>
              <w:jc w:val="center"/>
              <w:rPr>
                <w:rFonts w:asciiTheme="minorHAnsi" w:eastAsia="Times New Roman" w:hAnsiTheme="minorHAnsi"/>
                <w:b/>
                <w:bCs/>
                <w:color w:val="000000"/>
                <w:szCs w:val="24"/>
              </w:rPr>
            </w:pPr>
            <w:r w:rsidRPr="00964186">
              <w:rPr>
                <w:rFonts w:asciiTheme="minorHAnsi" w:eastAsia="Times New Roman" w:hAnsiTheme="minorHAnsi"/>
                <w:b/>
                <w:bCs/>
                <w:color w:val="000000"/>
                <w:szCs w:val="24"/>
              </w:rPr>
              <w:t>Total</w:t>
            </w:r>
          </w:p>
        </w:tc>
        <w:tc>
          <w:tcPr>
            <w:tcW w:w="0" w:type="auto"/>
            <w:shd w:val="clear" w:color="auto" w:fill="F2F2F2" w:themeFill="background1" w:themeFillShade="F2"/>
            <w:vAlign w:val="center"/>
            <w:hideMark/>
          </w:tcPr>
          <w:p w14:paraId="58AE2BD5" w14:textId="77777777" w:rsidR="00964186" w:rsidRPr="00964186" w:rsidRDefault="00964186" w:rsidP="00964186">
            <w:pPr>
              <w:widowControl/>
              <w:autoSpaceDE/>
              <w:autoSpaceDN/>
              <w:jc w:val="center"/>
              <w:rPr>
                <w:rFonts w:asciiTheme="minorHAnsi" w:eastAsia="Times New Roman" w:hAnsiTheme="minorHAnsi"/>
                <w:b/>
                <w:bCs/>
                <w:color w:val="000000"/>
                <w:szCs w:val="24"/>
              </w:rPr>
            </w:pPr>
            <w:r w:rsidRPr="00964186">
              <w:rPr>
                <w:rFonts w:asciiTheme="minorHAnsi" w:eastAsia="Times New Roman" w:hAnsiTheme="minorHAnsi"/>
                <w:b/>
                <w:bCs/>
                <w:color w:val="000000"/>
                <w:szCs w:val="24"/>
              </w:rPr>
              <w:t>20.8</w:t>
            </w:r>
          </w:p>
        </w:tc>
        <w:tc>
          <w:tcPr>
            <w:tcW w:w="0" w:type="auto"/>
            <w:shd w:val="clear" w:color="auto" w:fill="F2F2F2" w:themeFill="background1" w:themeFillShade="F2"/>
            <w:vAlign w:val="center"/>
            <w:hideMark/>
          </w:tcPr>
          <w:p w14:paraId="2CD46378" w14:textId="77777777" w:rsidR="00964186" w:rsidRPr="00964186" w:rsidRDefault="00964186" w:rsidP="00964186">
            <w:pPr>
              <w:widowControl/>
              <w:autoSpaceDE/>
              <w:autoSpaceDN/>
              <w:jc w:val="center"/>
              <w:rPr>
                <w:rFonts w:asciiTheme="minorHAnsi" w:eastAsia="Times New Roman" w:hAnsiTheme="minorHAnsi"/>
                <w:b/>
                <w:bCs/>
                <w:color w:val="000000"/>
                <w:szCs w:val="24"/>
              </w:rPr>
            </w:pPr>
            <w:r w:rsidRPr="00964186">
              <w:rPr>
                <w:rFonts w:asciiTheme="minorHAnsi" w:eastAsia="Times New Roman" w:hAnsiTheme="minorHAnsi"/>
                <w:b/>
                <w:bCs/>
                <w:color w:val="000000"/>
                <w:szCs w:val="24"/>
              </w:rPr>
              <w:t>5,024</w:t>
            </w:r>
          </w:p>
        </w:tc>
        <w:tc>
          <w:tcPr>
            <w:tcW w:w="0" w:type="auto"/>
            <w:shd w:val="clear" w:color="auto" w:fill="F2F2F2" w:themeFill="background1" w:themeFillShade="F2"/>
            <w:vAlign w:val="center"/>
            <w:hideMark/>
          </w:tcPr>
          <w:p w14:paraId="6AF8CB4E" w14:textId="620EE3B7" w:rsidR="00964186" w:rsidRPr="00964186" w:rsidRDefault="00E3413B" w:rsidP="00964186">
            <w:pPr>
              <w:widowControl/>
              <w:autoSpaceDE/>
              <w:autoSpaceDN/>
              <w:jc w:val="center"/>
              <w:rPr>
                <w:rFonts w:asciiTheme="minorHAnsi" w:eastAsia="Times New Roman" w:hAnsiTheme="minorHAnsi"/>
                <w:b/>
                <w:bCs/>
                <w:color w:val="000000"/>
                <w:szCs w:val="24"/>
              </w:rPr>
            </w:pPr>
            <w:r>
              <w:rPr>
                <w:rFonts w:asciiTheme="minorHAnsi" w:eastAsia="Times New Roman" w:hAnsiTheme="minorHAnsi"/>
                <w:b/>
                <w:bCs/>
                <w:color w:val="000000"/>
                <w:szCs w:val="24"/>
              </w:rPr>
              <w:t>23.3</w:t>
            </w:r>
          </w:p>
        </w:tc>
        <w:tc>
          <w:tcPr>
            <w:tcW w:w="0" w:type="auto"/>
            <w:shd w:val="clear" w:color="auto" w:fill="F2F2F2" w:themeFill="background1" w:themeFillShade="F2"/>
            <w:vAlign w:val="center"/>
            <w:hideMark/>
          </w:tcPr>
          <w:p w14:paraId="659C71EF" w14:textId="3D82972C" w:rsidR="00964186" w:rsidRPr="00964186" w:rsidRDefault="00964186" w:rsidP="00964186">
            <w:pPr>
              <w:widowControl/>
              <w:autoSpaceDE/>
              <w:autoSpaceDN/>
              <w:jc w:val="center"/>
              <w:rPr>
                <w:rFonts w:asciiTheme="minorHAnsi" w:eastAsia="Times New Roman" w:hAnsiTheme="minorHAnsi"/>
                <w:b/>
                <w:bCs/>
                <w:color w:val="000000"/>
                <w:szCs w:val="24"/>
              </w:rPr>
            </w:pPr>
            <w:r w:rsidRPr="00964186">
              <w:rPr>
                <w:rFonts w:asciiTheme="minorHAnsi" w:eastAsia="Times New Roman" w:hAnsiTheme="minorHAnsi"/>
                <w:b/>
                <w:bCs/>
                <w:color w:val="000000"/>
                <w:szCs w:val="24"/>
              </w:rPr>
              <w:t>216</w:t>
            </w:r>
          </w:p>
        </w:tc>
      </w:tr>
    </w:tbl>
    <w:p w14:paraId="59DA6A41" w14:textId="77777777" w:rsidR="006A1C9F" w:rsidRDefault="006A1C9F" w:rsidP="00BA2054">
      <w:pPr>
        <w:rPr>
          <w:rFonts w:asciiTheme="minorHAnsi" w:hAnsiTheme="minorHAnsi"/>
          <w:b/>
          <w:bCs/>
          <w:szCs w:val="24"/>
        </w:rPr>
      </w:pPr>
    </w:p>
    <w:p w14:paraId="293037D6" w14:textId="0E59418F" w:rsidR="006A1C9F" w:rsidRDefault="00B84E00" w:rsidP="002C56A8">
      <w:pPr>
        <w:shd w:val="clear" w:color="auto" w:fill="FFFFFF" w:themeFill="background1"/>
        <w:rPr>
          <w:rFonts w:asciiTheme="minorHAnsi" w:hAnsiTheme="minorHAnsi"/>
        </w:rPr>
      </w:pPr>
      <w:r w:rsidRPr="67E6A8B1">
        <w:rPr>
          <w:rFonts w:asciiTheme="minorHAnsi" w:hAnsiTheme="minorHAnsi"/>
          <w:b/>
        </w:rPr>
        <w:t>Projected Number of Patients Treated:</w:t>
      </w:r>
      <w:r w:rsidRPr="67E6A8B1">
        <w:rPr>
          <w:rFonts w:asciiTheme="minorHAnsi" w:hAnsiTheme="minorHAnsi"/>
        </w:rPr>
        <w:t xml:space="preserve"> </w:t>
      </w:r>
      <w:r w:rsidR="00341BC7" w:rsidRPr="67E6A8B1">
        <w:rPr>
          <w:rFonts w:asciiTheme="minorHAnsi" w:hAnsiTheme="minorHAnsi"/>
        </w:rPr>
        <w:t>Based on the Applicant’s calculations, the Proposed Project would allow the Applicant to treat approximately 216 patients per year</w:t>
      </w:r>
      <w:r w:rsidRPr="67E6A8B1">
        <w:rPr>
          <w:rFonts w:asciiTheme="minorHAnsi" w:hAnsiTheme="minorHAnsi"/>
        </w:rPr>
        <w:t xml:space="preserve">. The Applicant determined that this would amount to </w:t>
      </w:r>
      <w:r w:rsidR="00493BDD" w:rsidRPr="67E6A8B1">
        <w:rPr>
          <w:rFonts w:asciiTheme="minorHAnsi" w:hAnsiTheme="minorHAnsi"/>
        </w:rPr>
        <w:t xml:space="preserve">approximately </w:t>
      </w:r>
      <w:r w:rsidR="00341BC7" w:rsidRPr="67E6A8B1">
        <w:rPr>
          <w:rFonts w:asciiTheme="minorHAnsi" w:hAnsiTheme="minorHAnsi"/>
        </w:rPr>
        <w:t>10% of the Applicant’s</w:t>
      </w:r>
      <w:r w:rsidR="00493BDD" w:rsidRPr="67E6A8B1">
        <w:rPr>
          <w:rFonts w:asciiTheme="minorHAnsi" w:hAnsiTheme="minorHAnsi"/>
        </w:rPr>
        <w:t xml:space="preserve"> </w:t>
      </w:r>
      <w:r w:rsidR="00341BC7" w:rsidRPr="67E6A8B1">
        <w:rPr>
          <w:rFonts w:asciiTheme="minorHAnsi" w:hAnsiTheme="minorHAnsi"/>
        </w:rPr>
        <w:t xml:space="preserve">estimated Patient Panel need for </w:t>
      </w:r>
      <w:r w:rsidR="000173E4" w:rsidRPr="67E6A8B1">
        <w:rPr>
          <w:rFonts w:asciiTheme="minorHAnsi" w:hAnsiTheme="minorHAnsi"/>
        </w:rPr>
        <w:t>PBT</w:t>
      </w:r>
      <w:r w:rsidRPr="67E6A8B1">
        <w:rPr>
          <w:rFonts w:asciiTheme="minorHAnsi" w:hAnsiTheme="minorHAnsi"/>
        </w:rPr>
        <w:t xml:space="preserve"> </w:t>
      </w:r>
      <w:r w:rsidR="004949C2" w:rsidRPr="67E6A8B1">
        <w:rPr>
          <w:rFonts w:asciiTheme="minorHAnsi" w:hAnsiTheme="minorHAnsi"/>
        </w:rPr>
        <w:t>by dividing the estimated annual capacity (216) by the sum of eligible Group 1 adult patients</w:t>
      </w:r>
      <w:r w:rsidR="00A43C34" w:rsidRPr="67E6A8B1">
        <w:rPr>
          <w:rFonts w:asciiTheme="minorHAnsi" w:hAnsiTheme="minorHAnsi"/>
        </w:rPr>
        <w:t xml:space="preserve"> (3,190)</w:t>
      </w:r>
      <w:r w:rsidR="004949C2" w:rsidRPr="67E6A8B1">
        <w:rPr>
          <w:rFonts w:asciiTheme="minorHAnsi" w:hAnsiTheme="minorHAnsi"/>
        </w:rPr>
        <w:t xml:space="preserve"> and Group 1 and Group 2 pediatric patients</w:t>
      </w:r>
      <w:r w:rsidR="00E609B8" w:rsidRPr="67E6A8B1">
        <w:rPr>
          <w:rFonts w:asciiTheme="minorHAnsi" w:hAnsiTheme="minorHAnsi"/>
        </w:rPr>
        <w:t xml:space="preserve"> (423)</w:t>
      </w:r>
      <w:r w:rsidR="004949C2" w:rsidRPr="67E6A8B1">
        <w:rPr>
          <w:rFonts w:asciiTheme="minorHAnsi" w:hAnsiTheme="minorHAnsi"/>
        </w:rPr>
        <w:t xml:space="preserve"> in FY24 (</w:t>
      </w:r>
      <w:r w:rsidR="006A7894" w:rsidRPr="67E6A8B1">
        <w:rPr>
          <w:rFonts w:asciiTheme="minorHAnsi" w:hAnsiTheme="minorHAnsi"/>
        </w:rPr>
        <w:t xml:space="preserve">total of </w:t>
      </w:r>
      <w:r w:rsidR="004949C2" w:rsidRPr="67E6A8B1">
        <w:rPr>
          <w:rFonts w:asciiTheme="minorHAnsi" w:hAnsiTheme="minorHAnsi"/>
        </w:rPr>
        <w:t>3,613</w:t>
      </w:r>
      <w:r w:rsidR="006A7894" w:rsidRPr="67E6A8B1">
        <w:rPr>
          <w:rFonts w:asciiTheme="minorHAnsi" w:hAnsiTheme="minorHAnsi"/>
        </w:rPr>
        <w:t xml:space="preserve"> patients</w:t>
      </w:r>
      <w:r w:rsidR="004949C2" w:rsidRPr="67E6A8B1">
        <w:rPr>
          <w:rFonts w:asciiTheme="minorHAnsi" w:hAnsiTheme="minorHAnsi"/>
        </w:rPr>
        <w:t>).</w:t>
      </w:r>
      <w:r w:rsidR="0078619A" w:rsidRPr="67E6A8B1">
        <w:rPr>
          <w:rStyle w:val="FootnoteReference"/>
          <w:rFonts w:asciiTheme="minorHAnsi" w:hAnsiTheme="minorHAnsi"/>
        </w:rPr>
        <w:footnoteReference w:id="54"/>
      </w:r>
      <w:r w:rsidR="004949C2" w:rsidRPr="67E6A8B1">
        <w:rPr>
          <w:rFonts w:asciiTheme="minorHAnsi" w:hAnsiTheme="minorHAnsi"/>
        </w:rPr>
        <w:t xml:space="preserve"> </w:t>
      </w:r>
      <w:r w:rsidR="00BC735E" w:rsidRPr="67E6A8B1">
        <w:rPr>
          <w:rFonts w:asciiTheme="minorHAnsi" w:hAnsiTheme="minorHAnsi"/>
        </w:rPr>
        <w:t>The Applicant notes that the projected number of patients treated relied on the Applicant’s historical data and assumptions, and does not take into consideration trends which the Applicant expect</w:t>
      </w:r>
      <w:r w:rsidR="005741F2" w:rsidRPr="67E6A8B1">
        <w:rPr>
          <w:rFonts w:asciiTheme="minorHAnsi" w:hAnsiTheme="minorHAnsi"/>
        </w:rPr>
        <w:t>s</w:t>
      </w:r>
      <w:r w:rsidR="00BC735E" w:rsidRPr="67E6A8B1">
        <w:rPr>
          <w:rFonts w:asciiTheme="minorHAnsi" w:hAnsiTheme="minorHAnsi"/>
        </w:rPr>
        <w:t xml:space="preserve"> will </w:t>
      </w:r>
      <w:r w:rsidR="00DC2F6D" w:rsidRPr="67E6A8B1">
        <w:rPr>
          <w:rFonts w:asciiTheme="minorHAnsi" w:hAnsiTheme="minorHAnsi"/>
        </w:rPr>
        <w:t>increase</w:t>
      </w:r>
      <w:r w:rsidR="00BC735E" w:rsidRPr="67E6A8B1">
        <w:rPr>
          <w:rFonts w:asciiTheme="minorHAnsi" w:hAnsiTheme="minorHAnsi"/>
        </w:rPr>
        <w:t xml:space="preserve"> </w:t>
      </w:r>
      <w:r w:rsidR="005741F2" w:rsidRPr="67E6A8B1">
        <w:rPr>
          <w:rFonts w:asciiTheme="minorHAnsi" w:hAnsiTheme="minorHAnsi"/>
        </w:rPr>
        <w:t xml:space="preserve">need for PBT, such as </w:t>
      </w:r>
      <w:r w:rsidR="005F6338" w:rsidRPr="67E6A8B1">
        <w:rPr>
          <w:rFonts w:asciiTheme="minorHAnsi" w:hAnsiTheme="minorHAnsi"/>
        </w:rPr>
        <w:t>the increase in early-onset cancer, and an</w:t>
      </w:r>
      <w:r w:rsidR="005741F2" w:rsidRPr="67E6A8B1">
        <w:rPr>
          <w:rFonts w:asciiTheme="minorHAnsi" w:hAnsiTheme="minorHAnsi"/>
        </w:rPr>
        <w:t xml:space="preserve"> increasing</w:t>
      </w:r>
      <w:r w:rsidR="005F6338" w:rsidRPr="67E6A8B1">
        <w:rPr>
          <w:rFonts w:asciiTheme="minorHAnsi" w:hAnsiTheme="minorHAnsi"/>
        </w:rPr>
        <w:t xml:space="preserve"> aging population in the Commonwealth that is expected to live longer. </w:t>
      </w:r>
    </w:p>
    <w:p w14:paraId="7A548173" w14:textId="77777777" w:rsidR="00DA695D" w:rsidRDefault="00DA695D" w:rsidP="002C56A8">
      <w:pPr>
        <w:shd w:val="clear" w:color="auto" w:fill="FFFFFF" w:themeFill="background1"/>
        <w:rPr>
          <w:rFonts w:asciiTheme="minorHAnsi" w:hAnsiTheme="minorHAnsi"/>
        </w:rPr>
      </w:pPr>
    </w:p>
    <w:p w14:paraId="318625B8" w14:textId="0E44D029" w:rsidR="00DA695D" w:rsidRDefault="00DA695D" w:rsidP="00DA695D">
      <w:pPr>
        <w:rPr>
          <w:rFonts w:asciiTheme="minorHAnsi" w:hAnsiTheme="minorHAnsi"/>
          <w:szCs w:val="24"/>
        </w:rPr>
      </w:pPr>
      <w:r>
        <w:rPr>
          <w:rFonts w:asciiTheme="minorHAnsi" w:hAnsiTheme="minorHAnsi"/>
          <w:szCs w:val="24"/>
        </w:rPr>
        <w:t xml:space="preserve">The Applicant states that cancer morbidity and mortality data for Massachusetts demonstrate increasing need for cancer treatment. </w:t>
      </w:r>
      <w:r w:rsidRPr="00654F72">
        <w:rPr>
          <w:rFonts w:asciiTheme="minorHAnsi" w:hAnsiTheme="minorHAnsi"/>
          <w:szCs w:val="24"/>
        </w:rPr>
        <w:t>Cancer is the leading cause of death in Massachusetts.</w:t>
      </w:r>
      <w:r>
        <w:rPr>
          <w:rStyle w:val="EndnoteReference"/>
          <w:rFonts w:asciiTheme="minorHAnsi" w:hAnsiTheme="minorHAnsi"/>
          <w:szCs w:val="24"/>
        </w:rPr>
        <w:endnoteReference w:id="40"/>
      </w:r>
      <w:r>
        <w:rPr>
          <w:rFonts w:asciiTheme="minorHAnsi" w:hAnsiTheme="minorHAnsi"/>
          <w:szCs w:val="24"/>
        </w:rPr>
        <w:t xml:space="preserve"> </w:t>
      </w:r>
      <w:r w:rsidRPr="00654F72">
        <w:rPr>
          <w:rFonts w:asciiTheme="minorHAnsi" w:hAnsiTheme="minorHAnsi"/>
          <w:szCs w:val="24"/>
        </w:rPr>
        <w:t>There were 196,399 new cancer cases and 63,231 cancer deaths in Massachusetts between 2016 and 2020.</w:t>
      </w:r>
      <w:r>
        <w:rPr>
          <w:rStyle w:val="EndnoteReference"/>
          <w:rFonts w:asciiTheme="minorHAnsi" w:hAnsiTheme="minorHAnsi"/>
          <w:szCs w:val="24"/>
        </w:rPr>
        <w:endnoteReference w:id="41"/>
      </w:r>
      <w:r>
        <w:rPr>
          <w:rFonts w:asciiTheme="minorHAnsi" w:hAnsiTheme="minorHAnsi"/>
          <w:szCs w:val="24"/>
        </w:rPr>
        <w:t xml:space="preserve"> </w:t>
      </w:r>
      <w:r w:rsidRPr="00654F72">
        <w:rPr>
          <w:rFonts w:asciiTheme="minorHAnsi" w:hAnsiTheme="minorHAnsi"/>
          <w:szCs w:val="24"/>
        </w:rPr>
        <w:t xml:space="preserve">Cancer is the second most common cause of death among children aged </w:t>
      </w:r>
      <w:r>
        <w:rPr>
          <w:rFonts w:asciiTheme="minorHAnsi" w:hAnsiTheme="minorHAnsi"/>
          <w:szCs w:val="24"/>
        </w:rPr>
        <w:t>one</w:t>
      </w:r>
      <w:r w:rsidRPr="00654F72">
        <w:rPr>
          <w:rFonts w:asciiTheme="minorHAnsi" w:hAnsiTheme="minorHAnsi"/>
          <w:szCs w:val="24"/>
        </w:rPr>
        <w:t xml:space="preserve"> to 14 years in the </w:t>
      </w:r>
      <w:r>
        <w:rPr>
          <w:rFonts w:asciiTheme="minorHAnsi" w:hAnsiTheme="minorHAnsi"/>
          <w:szCs w:val="24"/>
        </w:rPr>
        <w:t>US</w:t>
      </w:r>
      <w:r w:rsidRPr="00654F72">
        <w:rPr>
          <w:rFonts w:asciiTheme="minorHAnsi" w:hAnsiTheme="minorHAnsi"/>
          <w:szCs w:val="24"/>
        </w:rPr>
        <w:t>, surpassed only by accidents, and is the fourth most common cause of death among adolescents aged 15 to 19 years.</w:t>
      </w:r>
      <w:r>
        <w:rPr>
          <w:rStyle w:val="EndnoteReference"/>
          <w:rFonts w:asciiTheme="minorHAnsi" w:hAnsiTheme="minorHAnsi"/>
          <w:szCs w:val="24"/>
        </w:rPr>
        <w:endnoteReference w:id="42"/>
      </w:r>
      <w:r w:rsidRPr="00654F72">
        <w:rPr>
          <w:rFonts w:asciiTheme="minorHAnsi" w:hAnsiTheme="minorHAnsi"/>
          <w:szCs w:val="24"/>
        </w:rPr>
        <w:t xml:space="preserve"> Pediatric and adult cancer rates are highest in the Northeast compared with other </w:t>
      </w:r>
      <w:r>
        <w:rPr>
          <w:rFonts w:asciiTheme="minorHAnsi" w:hAnsiTheme="minorHAnsi"/>
          <w:szCs w:val="24"/>
        </w:rPr>
        <w:t>US</w:t>
      </w:r>
      <w:r w:rsidRPr="00654F72">
        <w:rPr>
          <w:rFonts w:asciiTheme="minorHAnsi" w:hAnsiTheme="minorHAnsi"/>
          <w:szCs w:val="24"/>
        </w:rPr>
        <w:t xml:space="preserve"> Census regions (Midwest, South, and West).</w:t>
      </w:r>
      <w:r>
        <w:rPr>
          <w:rStyle w:val="EndnoteReference"/>
          <w:rFonts w:asciiTheme="minorHAnsi" w:hAnsiTheme="minorHAnsi"/>
          <w:szCs w:val="24"/>
        </w:rPr>
        <w:endnoteReference w:id="43"/>
      </w:r>
      <w:r w:rsidRPr="00654F72">
        <w:rPr>
          <w:rFonts w:asciiTheme="minorHAnsi" w:hAnsiTheme="minorHAnsi"/>
          <w:szCs w:val="24"/>
          <w:vertAlign w:val="superscript"/>
        </w:rPr>
        <w:t>,</w:t>
      </w:r>
      <w:r>
        <w:rPr>
          <w:rStyle w:val="EndnoteReference"/>
          <w:rFonts w:asciiTheme="minorHAnsi" w:hAnsiTheme="minorHAnsi"/>
          <w:szCs w:val="24"/>
        </w:rPr>
        <w:endnoteReference w:id="44"/>
      </w:r>
      <w:r w:rsidRPr="00654F72">
        <w:rPr>
          <w:rFonts w:asciiTheme="minorHAnsi" w:hAnsiTheme="minorHAnsi"/>
          <w:szCs w:val="24"/>
        </w:rPr>
        <w:t xml:space="preserve"> While the overall five-year survival rate for childhood cancers is 85%</w:t>
      </w:r>
      <w:r w:rsidRPr="0046753A">
        <w:rPr>
          <w:rStyle w:val="EndnoteReference"/>
          <w:rFonts w:asciiTheme="minorHAnsi" w:hAnsiTheme="minorHAnsi"/>
          <w:szCs w:val="24"/>
        </w:rPr>
        <w:endnoteReference w:id="45"/>
      </w:r>
      <w:r w:rsidRPr="00654F72">
        <w:rPr>
          <w:rFonts w:asciiTheme="minorHAnsi" w:hAnsiTheme="minorHAnsi"/>
          <w:szCs w:val="24"/>
          <w:vertAlign w:val="superscript"/>
        </w:rPr>
        <w:t>,</w:t>
      </w:r>
      <w:r w:rsidRPr="0046753A">
        <w:rPr>
          <w:rStyle w:val="EndnoteReference"/>
          <w:rFonts w:asciiTheme="minorHAnsi" w:hAnsiTheme="minorHAnsi"/>
          <w:szCs w:val="24"/>
        </w:rPr>
        <w:endnoteReference w:id="46"/>
      </w:r>
      <w:r w:rsidRPr="00654F72">
        <w:rPr>
          <w:rFonts w:asciiTheme="minorHAnsi" w:hAnsiTheme="minorHAnsi"/>
          <w:szCs w:val="24"/>
        </w:rPr>
        <w:t xml:space="preserve">, </w:t>
      </w:r>
      <w:r>
        <w:rPr>
          <w:rFonts w:asciiTheme="minorHAnsi" w:hAnsiTheme="minorHAnsi"/>
          <w:szCs w:val="24"/>
        </w:rPr>
        <w:t>pediatric cancer survivors</w:t>
      </w:r>
      <w:r w:rsidRPr="00654F72">
        <w:rPr>
          <w:rFonts w:asciiTheme="minorHAnsi" w:hAnsiTheme="minorHAnsi"/>
          <w:szCs w:val="24"/>
        </w:rPr>
        <w:t xml:space="preserve"> are at much higher risk of developing late toxicity from </w:t>
      </w:r>
      <w:r>
        <w:rPr>
          <w:rFonts w:asciiTheme="minorHAnsi" w:hAnsiTheme="minorHAnsi"/>
          <w:szCs w:val="24"/>
        </w:rPr>
        <w:t>RT</w:t>
      </w:r>
      <w:r w:rsidRPr="00654F72">
        <w:rPr>
          <w:rFonts w:asciiTheme="minorHAnsi" w:hAnsiTheme="minorHAnsi"/>
          <w:szCs w:val="24"/>
        </w:rPr>
        <w:t xml:space="preserve">. </w:t>
      </w:r>
      <w:r w:rsidR="00891195">
        <w:rPr>
          <w:rFonts w:asciiTheme="minorHAnsi" w:hAnsiTheme="minorHAnsi"/>
          <w:szCs w:val="24"/>
        </w:rPr>
        <w:t xml:space="preserve"> S</w:t>
      </w:r>
      <w:r w:rsidR="00891195" w:rsidRPr="00891195">
        <w:rPr>
          <w:rFonts w:asciiTheme="minorHAnsi" w:hAnsiTheme="minorHAnsi"/>
          <w:szCs w:val="24"/>
        </w:rPr>
        <w:t>taff note that while we acknowledge these demographic trends, it is not known the exact impact this will have on PBT utilization, particularly for adults, given the possible impact of other emerging treatments for cancer.</w:t>
      </w:r>
    </w:p>
    <w:p w14:paraId="1A2C5FB4" w14:textId="77777777" w:rsidR="009A6083" w:rsidRDefault="009A6083" w:rsidP="002C56A8">
      <w:pPr>
        <w:shd w:val="clear" w:color="auto" w:fill="FFFFFF" w:themeFill="background1"/>
        <w:rPr>
          <w:rFonts w:asciiTheme="minorHAnsi" w:hAnsiTheme="minorHAnsi"/>
          <w:szCs w:val="24"/>
        </w:rPr>
      </w:pPr>
    </w:p>
    <w:p w14:paraId="7B364782" w14:textId="587FABB7" w:rsidR="008D1FE8" w:rsidRDefault="008D1FE8" w:rsidP="5706BF88">
      <w:pPr>
        <w:shd w:val="clear" w:color="auto" w:fill="FFFFFF" w:themeFill="background1"/>
        <w:rPr>
          <w:rFonts w:asciiTheme="minorHAnsi" w:hAnsiTheme="minorHAnsi"/>
        </w:rPr>
      </w:pPr>
      <w:r w:rsidRPr="5706BF88">
        <w:rPr>
          <w:rFonts w:asciiTheme="minorHAnsi" w:hAnsiTheme="minorHAnsi"/>
          <w:b/>
          <w:bCs/>
        </w:rPr>
        <w:t xml:space="preserve">Implementation: </w:t>
      </w:r>
      <w:r w:rsidRPr="5706BF88">
        <w:rPr>
          <w:rFonts w:asciiTheme="minorHAnsi" w:hAnsiTheme="minorHAnsi"/>
        </w:rPr>
        <w:t xml:space="preserve">The Applicant estimates that the Proposed Project will be operational by December 2027. </w:t>
      </w:r>
      <w:r w:rsidR="00A34DB2" w:rsidRPr="5706BF88">
        <w:rPr>
          <w:rFonts w:asciiTheme="minorHAnsi" w:hAnsiTheme="minorHAnsi"/>
        </w:rPr>
        <w:t>The Applicant states that i</w:t>
      </w:r>
      <w:r w:rsidR="0E05B4D2" w:rsidRPr="5706BF88">
        <w:rPr>
          <w:rFonts w:asciiTheme="minorHAnsi" w:hAnsiTheme="minorHAnsi"/>
        </w:rPr>
        <w:t>t</w:t>
      </w:r>
      <w:r w:rsidR="00A34DB2" w:rsidRPr="5706BF88">
        <w:rPr>
          <w:rFonts w:asciiTheme="minorHAnsi" w:hAnsiTheme="minorHAnsi"/>
        </w:rPr>
        <w:t xml:space="preserve"> anticipates that approximately half of the proposed volume (</w:t>
      </w:r>
      <w:r w:rsidR="00AD135A" w:rsidRPr="5706BF88">
        <w:rPr>
          <w:rFonts w:asciiTheme="minorHAnsi" w:hAnsiTheme="minorHAnsi"/>
        </w:rPr>
        <w:t>108) will be treated during the Center’s first year of operation. The Applicant expects to be able to fully ramp up</w:t>
      </w:r>
      <w:r w:rsidR="00617535" w:rsidRPr="5706BF88">
        <w:rPr>
          <w:rFonts w:asciiTheme="minorHAnsi" w:hAnsiTheme="minorHAnsi"/>
        </w:rPr>
        <w:t xml:space="preserve"> operation</w:t>
      </w:r>
      <w:r w:rsidR="00AD135A" w:rsidRPr="5706BF88">
        <w:rPr>
          <w:rFonts w:asciiTheme="minorHAnsi" w:hAnsiTheme="minorHAnsi"/>
        </w:rPr>
        <w:t xml:space="preserve"> in the second year, with annual capacity reach</w:t>
      </w:r>
      <w:r w:rsidR="00F63AFA" w:rsidRPr="5706BF88">
        <w:rPr>
          <w:rFonts w:asciiTheme="minorHAnsi" w:hAnsiTheme="minorHAnsi"/>
        </w:rPr>
        <w:t>ing</w:t>
      </w:r>
      <w:r w:rsidR="00AD135A" w:rsidRPr="5706BF88">
        <w:rPr>
          <w:rFonts w:asciiTheme="minorHAnsi" w:hAnsiTheme="minorHAnsi"/>
        </w:rPr>
        <w:t xml:space="preserve"> 216 patients. The Applicant notes that it is possible that optimization of scheduling, case-mix adjustments, and ongoing improvement in workflow processes, may allow modest incremental increases in projected volume without exceeding safe staffing ratios or compromising quality. </w:t>
      </w:r>
    </w:p>
    <w:p w14:paraId="44CED3F4" w14:textId="77777777" w:rsidR="000B2AAE" w:rsidRDefault="000B2AAE" w:rsidP="002C56A8">
      <w:pPr>
        <w:shd w:val="clear" w:color="auto" w:fill="FFFFFF" w:themeFill="background1"/>
        <w:rPr>
          <w:rFonts w:asciiTheme="minorHAnsi" w:hAnsiTheme="minorHAnsi"/>
          <w:szCs w:val="24"/>
        </w:rPr>
      </w:pPr>
    </w:p>
    <w:p w14:paraId="7807A132" w14:textId="56316F54" w:rsidR="000B2AAE" w:rsidRDefault="00B57D0C" w:rsidP="002C56A8">
      <w:pPr>
        <w:shd w:val="clear" w:color="auto" w:fill="FFFFFF" w:themeFill="background1"/>
        <w:rPr>
          <w:rFonts w:asciiTheme="minorHAnsi" w:hAnsiTheme="minorHAnsi"/>
        </w:rPr>
      </w:pPr>
      <w:r w:rsidRPr="4DBC5204">
        <w:rPr>
          <w:rFonts w:asciiTheme="minorHAnsi" w:hAnsiTheme="minorHAnsi"/>
          <w:b/>
        </w:rPr>
        <w:t>Referral for the Center’s PBT services:</w:t>
      </w:r>
      <w:r w:rsidRPr="4DBC5204">
        <w:rPr>
          <w:rFonts w:asciiTheme="minorHAnsi" w:hAnsiTheme="minorHAnsi"/>
        </w:rPr>
        <w:t xml:space="preserve"> </w:t>
      </w:r>
      <w:r w:rsidR="00B84E00" w:rsidRPr="4DBC5204">
        <w:rPr>
          <w:rFonts w:asciiTheme="minorHAnsi" w:hAnsiTheme="minorHAnsi"/>
        </w:rPr>
        <w:t>The Applicant states that any licensed oncologist in Massachusetts may refer a patient for evaluation for the Center’s services. Furthermore, materials submitted by referring oncologists will be reviewed by a Proton Utilization Tumor Board</w:t>
      </w:r>
      <w:r w:rsidR="00081AD2" w:rsidRPr="4DBC5204">
        <w:rPr>
          <w:rFonts w:asciiTheme="minorHAnsi" w:hAnsiTheme="minorHAnsi"/>
        </w:rPr>
        <w:t xml:space="preserve"> </w:t>
      </w:r>
      <w:r w:rsidR="00B84E00" w:rsidRPr="4DBC5204">
        <w:rPr>
          <w:rFonts w:asciiTheme="minorHAnsi" w:hAnsiTheme="minorHAnsi"/>
        </w:rPr>
        <w:t>or an equivalent body</w:t>
      </w:r>
      <w:r w:rsidR="00F827F0" w:rsidRPr="4DBC5204">
        <w:rPr>
          <w:rFonts w:asciiTheme="minorHAnsi" w:hAnsiTheme="minorHAnsi"/>
        </w:rPr>
        <w:t xml:space="preserve"> </w:t>
      </w:r>
      <w:r w:rsidR="00081AD2" w:rsidRPr="4DBC5204">
        <w:rPr>
          <w:rFonts w:asciiTheme="minorHAnsi" w:hAnsiTheme="minorHAnsi"/>
        </w:rPr>
        <w:t>(PUR-TB)</w:t>
      </w:r>
      <w:r w:rsidR="00FD0CE3" w:rsidRPr="4DBC5204">
        <w:rPr>
          <w:rFonts w:asciiTheme="minorHAnsi" w:hAnsiTheme="minorHAnsi"/>
        </w:rPr>
        <w:t>.</w:t>
      </w:r>
      <w:r w:rsidR="008701A3" w:rsidRPr="008701A3">
        <w:t xml:space="preserve"> </w:t>
      </w:r>
    </w:p>
    <w:p w14:paraId="015F8394" w14:textId="77777777" w:rsidR="00B84E00" w:rsidRDefault="00B84E00" w:rsidP="002C56A8">
      <w:pPr>
        <w:shd w:val="clear" w:color="auto" w:fill="FFFFFF" w:themeFill="background1"/>
        <w:rPr>
          <w:rFonts w:asciiTheme="minorHAnsi" w:hAnsiTheme="minorHAnsi"/>
          <w:szCs w:val="24"/>
        </w:rPr>
      </w:pPr>
    </w:p>
    <w:p w14:paraId="7897B74C" w14:textId="6CAE2DA7" w:rsidR="00B84E00" w:rsidRPr="00B21C4B" w:rsidRDefault="00B84E00" w:rsidP="002C56A8">
      <w:pPr>
        <w:shd w:val="clear" w:color="auto" w:fill="FFFFFF" w:themeFill="background1"/>
        <w:rPr>
          <w:rFonts w:asciiTheme="minorHAnsi" w:hAnsiTheme="minorHAnsi"/>
          <w:szCs w:val="24"/>
        </w:rPr>
      </w:pPr>
      <w:r w:rsidRPr="00B21C4B">
        <w:rPr>
          <w:rFonts w:asciiTheme="minorHAnsi" w:hAnsiTheme="minorHAnsi"/>
          <w:b/>
          <w:bCs/>
          <w:szCs w:val="24"/>
        </w:rPr>
        <w:t xml:space="preserve">Proton Utilization Tumor Board </w:t>
      </w:r>
      <w:r w:rsidR="009063D8">
        <w:rPr>
          <w:rFonts w:asciiTheme="minorHAnsi" w:hAnsiTheme="minorHAnsi"/>
          <w:b/>
          <w:bCs/>
          <w:szCs w:val="24"/>
        </w:rPr>
        <w:t>or Equivalent Body</w:t>
      </w:r>
      <w:r w:rsidR="00081AD2" w:rsidRPr="00081AD2">
        <w:rPr>
          <w:rFonts w:asciiTheme="minorHAnsi" w:hAnsiTheme="minorHAnsi"/>
          <w:b/>
          <w:bCs/>
          <w:szCs w:val="24"/>
        </w:rPr>
        <w:t>(PUR-TB)</w:t>
      </w:r>
      <w:r w:rsidRPr="00B21C4B">
        <w:rPr>
          <w:rFonts w:asciiTheme="minorHAnsi" w:hAnsiTheme="minorHAnsi"/>
          <w:b/>
          <w:bCs/>
          <w:szCs w:val="24"/>
        </w:rPr>
        <w:t xml:space="preserve">: </w:t>
      </w:r>
      <w:r w:rsidR="00A372C9">
        <w:rPr>
          <w:rFonts w:asciiTheme="minorHAnsi" w:hAnsiTheme="minorHAnsi"/>
          <w:szCs w:val="24"/>
        </w:rPr>
        <w:t xml:space="preserve">The Applicant states that </w:t>
      </w:r>
      <w:r w:rsidR="007F2843">
        <w:rPr>
          <w:rFonts w:asciiTheme="minorHAnsi" w:hAnsiTheme="minorHAnsi"/>
          <w:szCs w:val="24"/>
        </w:rPr>
        <w:t>referrals</w:t>
      </w:r>
      <w:r w:rsidR="00A372C9">
        <w:rPr>
          <w:rFonts w:asciiTheme="minorHAnsi" w:hAnsiTheme="minorHAnsi"/>
          <w:szCs w:val="24"/>
        </w:rPr>
        <w:t xml:space="preserve"> for PBT will be reviewed by </w:t>
      </w:r>
      <w:r w:rsidR="009F1615">
        <w:rPr>
          <w:rFonts w:asciiTheme="minorHAnsi" w:hAnsiTheme="minorHAnsi"/>
          <w:szCs w:val="24"/>
        </w:rPr>
        <w:t>a multidis</w:t>
      </w:r>
      <w:r w:rsidR="00DA6292">
        <w:rPr>
          <w:rFonts w:asciiTheme="minorHAnsi" w:hAnsiTheme="minorHAnsi"/>
          <w:szCs w:val="24"/>
        </w:rPr>
        <w:t>ci</w:t>
      </w:r>
      <w:r w:rsidR="009F1615">
        <w:rPr>
          <w:rFonts w:asciiTheme="minorHAnsi" w:hAnsiTheme="minorHAnsi"/>
          <w:szCs w:val="24"/>
        </w:rPr>
        <w:t xml:space="preserve">plinary committee that the Applicant anticipates will </w:t>
      </w:r>
      <w:r w:rsidR="00DA6292">
        <w:rPr>
          <w:rFonts w:asciiTheme="minorHAnsi" w:hAnsiTheme="minorHAnsi"/>
          <w:szCs w:val="24"/>
        </w:rPr>
        <w:t xml:space="preserve">include adult and pediatric radiation oncologists, medical physicists, dosimetrists, and ethicists. </w:t>
      </w:r>
      <w:r w:rsidR="009063D8">
        <w:rPr>
          <w:rFonts w:asciiTheme="minorHAnsi" w:hAnsiTheme="minorHAnsi"/>
          <w:szCs w:val="24"/>
        </w:rPr>
        <w:t xml:space="preserve">The Applicant states that the PUR-TB will implement best practices and use defined clinical criteria to assess the magnitude of proton benefit, with the aim of ensuring that each case is reviewed with </w:t>
      </w:r>
      <w:r w:rsidR="00DC3726">
        <w:rPr>
          <w:rFonts w:asciiTheme="minorHAnsi" w:hAnsiTheme="minorHAnsi"/>
          <w:szCs w:val="24"/>
        </w:rPr>
        <w:t xml:space="preserve">rigor, consistency, and transparency. </w:t>
      </w:r>
      <w:r w:rsidR="00105DE6">
        <w:rPr>
          <w:rFonts w:asciiTheme="minorHAnsi" w:hAnsiTheme="minorHAnsi"/>
          <w:szCs w:val="24"/>
        </w:rPr>
        <w:t xml:space="preserve">The </w:t>
      </w:r>
      <w:r w:rsidR="0046062F">
        <w:rPr>
          <w:rFonts w:asciiTheme="minorHAnsi" w:hAnsiTheme="minorHAnsi"/>
          <w:szCs w:val="24"/>
        </w:rPr>
        <w:t>PUR-TB’s criteria will include the following:</w:t>
      </w:r>
    </w:p>
    <w:p w14:paraId="2022DAB1" w14:textId="77777777" w:rsidR="00AB1A38" w:rsidRDefault="00711822" w:rsidP="00AB1A38">
      <w:pPr>
        <w:pStyle w:val="ListParagraph"/>
        <w:numPr>
          <w:ilvl w:val="0"/>
          <w:numId w:val="27"/>
        </w:numPr>
        <w:rPr>
          <w:rFonts w:asciiTheme="minorHAnsi" w:hAnsiTheme="minorHAnsi"/>
          <w:szCs w:val="24"/>
        </w:rPr>
      </w:pPr>
      <w:r w:rsidRPr="00AB1A38">
        <w:rPr>
          <w:rFonts w:asciiTheme="minorHAnsi" w:hAnsiTheme="minorHAnsi"/>
          <w:szCs w:val="24"/>
        </w:rPr>
        <w:t xml:space="preserve">magnitude of clinical benefit compared to photon therapy; </w:t>
      </w:r>
    </w:p>
    <w:p w14:paraId="69B0861F" w14:textId="12493C49" w:rsidR="00AB1A38" w:rsidRDefault="00711822" w:rsidP="00AB1A38">
      <w:pPr>
        <w:pStyle w:val="ListParagraph"/>
        <w:numPr>
          <w:ilvl w:val="0"/>
          <w:numId w:val="27"/>
        </w:numPr>
        <w:rPr>
          <w:rFonts w:asciiTheme="minorHAnsi" w:hAnsiTheme="minorHAnsi"/>
          <w:szCs w:val="24"/>
        </w:rPr>
      </w:pPr>
      <w:r w:rsidRPr="00AB1A38">
        <w:rPr>
          <w:rFonts w:asciiTheme="minorHAnsi" w:hAnsiTheme="minorHAnsi"/>
          <w:szCs w:val="24"/>
        </w:rPr>
        <w:t xml:space="preserve">risk reduction for acute and late toxicity; </w:t>
      </w:r>
    </w:p>
    <w:p w14:paraId="57C08B93" w14:textId="6AD033D6" w:rsidR="00AB1A38" w:rsidRDefault="00711822" w:rsidP="00AB1A38">
      <w:pPr>
        <w:pStyle w:val="ListParagraph"/>
        <w:numPr>
          <w:ilvl w:val="0"/>
          <w:numId w:val="27"/>
        </w:numPr>
        <w:rPr>
          <w:rFonts w:asciiTheme="minorHAnsi" w:hAnsiTheme="minorHAnsi"/>
          <w:szCs w:val="24"/>
        </w:rPr>
      </w:pPr>
      <w:r w:rsidRPr="00AB1A38">
        <w:rPr>
          <w:rFonts w:asciiTheme="minorHAnsi" w:hAnsiTheme="minorHAnsi"/>
          <w:szCs w:val="24"/>
        </w:rPr>
        <w:t xml:space="preserve">proximity of tumor to critical organs; </w:t>
      </w:r>
    </w:p>
    <w:p w14:paraId="66447892" w14:textId="191CDC52" w:rsidR="00AB1A38" w:rsidRDefault="00711822" w:rsidP="00AB1A38">
      <w:pPr>
        <w:pStyle w:val="ListParagraph"/>
        <w:numPr>
          <w:ilvl w:val="0"/>
          <w:numId w:val="27"/>
        </w:numPr>
        <w:rPr>
          <w:rFonts w:asciiTheme="minorHAnsi" w:hAnsiTheme="minorHAnsi"/>
          <w:szCs w:val="24"/>
        </w:rPr>
      </w:pPr>
      <w:r w:rsidRPr="00AB1A38">
        <w:rPr>
          <w:rFonts w:asciiTheme="minorHAnsi" w:hAnsiTheme="minorHAnsi"/>
          <w:szCs w:val="24"/>
        </w:rPr>
        <w:t xml:space="preserve">pediatric and adolescent/young adult status; </w:t>
      </w:r>
    </w:p>
    <w:p w14:paraId="0465527E" w14:textId="1B9C4AB9" w:rsidR="00AB1A38" w:rsidRDefault="00711822" w:rsidP="00AB1A38">
      <w:pPr>
        <w:pStyle w:val="ListParagraph"/>
        <w:numPr>
          <w:ilvl w:val="0"/>
          <w:numId w:val="27"/>
        </w:numPr>
        <w:rPr>
          <w:rFonts w:asciiTheme="minorHAnsi" w:hAnsiTheme="minorHAnsi"/>
          <w:szCs w:val="24"/>
        </w:rPr>
      </w:pPr>
      <w:r w:rsidRPr="00AB1A38">
        <w:rPr>
          <w:rFonts w:asciiTheme="minorHAnsi" w:hAnsiTheme="minorHAnsi"/>
          <w:szCs w:val="24"/>
        </w:rPr>
        <w:t xml:space="preserve">need for re-irradiation; and </w:t>
      </w:r>
    </w:p>
    <w:p w14:paraId="1D6DD812" w14:textId="73411559" w:rsidR="006A1C9F" w:rsidRPr="00AB1A38" w:rsidRDefault="00711822" w:rsidP="00AB1A38">
      <w:pPr>
        <w:pStyle w:val="ListParagraph"/>
        <w:numPr>
          <w:ilvl w:val="0"/>
          <w:numId w:val="27"/>
        </w:numPr>
        <w:rPr>
          <w:rFonts w:asciiTheme="minorHAnsi" w:hAnsiTheme="minorHAnsi"/>
          <w:szCs w:val="24"/>
        </w:rPr>
      </w:pPr>
      <w:r w:rsidRPr="00AB1A38">
        <w:rPr>
          <w:rFonts w:asciiTheme="minorHAnsi" w:hAnsiTheme="minorHAnsi"/>
          <w:szCs w:val="24"/>
        </w:rPr>
        <w:t>urgency of disease course.</w:t>
      </w:r>
    </w:p>
    <w:p w14:paraId="79AADE32" w14:textId="77777777" w:rsidR="00742B13" w:rsidRDefault="00742B13" w:rsidP="00BA2054">
      <w:pPr>
        <w:rPr>
          <w:rFonts w:asciiTheme="minorHAnsi" w:hAnsiTheme="minorHAnsi"/>
          <w:b/>
          <w:bCs/>
          <w:szCs w:val="24"/>
        </w:rPr>
      </w:pPr>
    </w:p>
    <w:p w14:paraId="53FB43E7" w14:textId="2FDFD1EA" w:rsidR="003957B4" w:rsidRDefault="003957B4" w:rsidP="00BA2054">
      <w:pPr>
        <w:rPr>
          <w:rFonts w:asciiTheme="minorHAnsi" w:hAnsiTheme="minorHAnsi"/>
          <w:szCs w:val="24"/>
        </w:rPr>
      </w:pPr>
      <w:r>
        <w:rPr>
          <w:rFonts w:asciiTheme="minorHAnsi" w:hAnsiTheme="minorHAnsi"/>
          <w:szCs w:val="24"/>
        </w:rPr>
        <w:t xml:space="preserve">The Applicant maintains that the PUR-TB’s prioritization structure will be applied uniformly and transparently in order to ensure that patients with the greatest clinical benefit and need receive access to PBT. The Applicant states that once patients are approved by the PUR-TB, they will proceed through coordinated navigation, insurance review, and simulation scheduling. </w:t>
      </w:r>
    </w:p>
    <w:p w14:paraId="660EC3B5" w14:textId="77777777" w:rsidR="002A5F08" w:rsidRDefault="002A5F08" w:rsidP="00BA2054">
      <w:pPr>
        <w:rPr>
          <w:rFonts w:asciiTheme="minorHAnsi" w:hAnsiTheme="minorHAnsi"/>
          <w:szCs w:val="24"/>
        </w:rPr>
      </w:pPr>
    </w:p>
    <w:p w14:paraId="7616C8D6" w14:textId="3B189F21" w:rsidR="002A5F08" w:rsidRDefault="00A26F34" w:rsidP="00BA2054">
      <w:pPr>
        <w:rPr>
          <w:rFonts w:asciiTheme="minorHAnsi" w:hAnsiTheme="minorHAnsi"/>
          <w:szCs w:val="24"/>
        </w:rPr>
      </w:pPr>
      <w:r>
        <w:rPr>
          <w:rFonts w:asciiTheme="minorHAnsi" w:hAnsiTheme="minorHAnsi"/>
          <w:szCs w:val="24"/>
        </w:rPr>
        <w:t>Staff inquired about PBT coverage guidelines for patients insured through MassHealth and for patients with commercial insurance. The Applicant states that MassHealth does not have specific coverage guidelines for PBT</w:t>
      </w:r>
      <w:r w:rsidR="003117F2">
        <w:rPr>
          <w:rFonts w:asciiTheme="minorHAnsi" w:hAnsiTheme="minorHAnsi"/>
          <w:szCs w:val="24"/>
        </w:rPr>
        <w:t xml:space="preserve"> and </w:t>
      </w:r>
      <w:r>
        <w:rPr>
          <w:rFonts w:asciiTheme="minorHAnsi" w:hAnsiTheme="minorHAnsi"/>
          <w:szCs w:val="24"/>
        </w:rPr>
        <w:t xml:space="preserve">that commercial insurance plans </w:t>
      </w:r>
      <w:r w:rsidR="00484D21">
        <w:rPr>
          <w:rFonts w:asciiTheme="minorHAnsi" w:hAnsiTheme="minorHAnsi"/>
          <w:szCs w:val="24"/>
        </w:rPr>
        <w:t xml:space="preserve">generally cover PBT for specific conditions. </w:t>
      </w:r>
      <w:r w:rsidR="00E70BEF">
        <w:rPr>
          <w:rFonts w:asciiTheme="minorHAnsi" w:hAnsiTheme="minorHAnsi"/>
          <w:szCs w:val="24"/>
        </w:rPr>
        <w:t xml:space="preserve">As an example, the Applicant referenced Aetna’s </w:t>
      </w:r>
      <w:r w:rsidR="001D1994">
        <w:rPr>
          <w:rFonts w:asciiTheme="minorHAnsi" w:hAnsiTheme="minorHAnsi"/>
          <w:szCs w:val="24"/>
        </w:rPr>
        <w:t>PBT clinical policy bulletin</w:t>
      </w:r>
      <w:r w:rsidR="00287DD8">
        <w:rPr>
          <w:rFonts w:asciiTheme="minorHAnsi" w:hAnsiTheme="minorHAnsi"/>
          <w:szCs w:val="24"/>
        </w:rPr>
        <w:t xml:space="preserve"> in</w:t>
      </w:r>
      <w:r w:rsidR="002607DD">
        <w:rPr>
          <w:rFonts w:asciiTheme="minorHAnsi" w:hAnsiTheme="minorHAnsi"/>
          <w:szCs w:val="24"/>
        </w:rPr>
        <w:t xml:space="preserve"> which</w:t>
      </w:r>
      <w:r w:rsidR="00E70BEF">
        <w:rPr>
          <w:rFonts w:asciiTheme="minorHAnsi" w:hAnsiTheme="minorHAnsi"/>
          <w:szCs w:val="24"/>
        </w:rPr>
        <w:t xml:space="preserve"> PBT</w:t>
      </w:r>
      <w:r w:rsidR="00287DD8">
        <w:rPr>
          <w:rFonts w:asciiTheme="minorHAnsi" w:hAnsiTheme="minorHAnsi"/>
          <w:szCs w:val="24"/>
        </w:rPr>
        <w:t xml:space="preserve"> is</w:t>
      </w:r>
      <w:r w:rsidR="00E70BEF">
        <w:rPr>
          <w:rFonts w:asciiTheme="minorHAnsi" w:hAnsiTheme="minorHAnsi"/>
          <w:szCs w:val="24"/>
        </w:rPr>
        <w:t xml:space="preserve"> medically necessary for </w:t>
      </w:r>
      <w:r w:rsidR="00F3441D">
        <w:rPr>
          <w:rFonts w:asciiTheme="minorHAnsi" w:hAnsiTheme="minorHAnsi"/>
          <w:szCs w:val="24"/>
        </w:rPr>
        <w:t>the curative treatment of certain</w:t>
      </w:r>
      <w:r w:rsidR="005F7E43">
        <w:rPr>
          <w:rFonts w:asciiTheme="minorHAnsi" w:hAnsiTheme="minorHAnsi"/>
          <w:szCs w:val="24"/>
        </w:rPr>
        <w:t xml:space="preserve"> </w:t>
      </w:r>
      <w:r w:rsidR="00387CC0">
        <w:rPr>
          <w:rFonts w:asciiTheme="minorHAnsi" w:hAnsiTheme="minorHAnsi"/>
          <w:szCs w:val="24"/>
        </w:rPr>
        <w:t>tumors</w:t>
      </w:r>
      <w:r w:rsidR="005F7E43">
        <w:rPr>
          <w:rFonts w:asciiTheme="minorHAnsi" w:hAnsiTheme="minorHAnsi"/>
          <w:szCs w:val="24"/>
        </w:rPr>
        <w:t>.</w:t>
      </w:r>
      <w:r w:rsidR="007538E0">
        <w:rPr>
          <w:rStyle w:val="EndnoteReference"/>
          <w:rFonts w:asciiTheme="minorHAnsi" w:hAnsiTheme="minorHAnsi"/>
          <w:szCs w:val="24"/>
        </w:rPr>
        <w:endnoteReference w:id="47"/>
      </w:r>
      <w:r w:rsidR="00387CC0" w:rsidRPr="00522A1A">
        <w:rPr>
          <w:rFonts w:asciiTheme="minorHAnsi" w:hAnsiTheme="minorHAnsi"/>
          <w:szCs w:val="24"/>
          <w:vertAlign w:val="superscript"/>
        </w:rPr>
        <w:t>,</w:t>
      </w:r>
      <w:r w:rsidR="005F7E43">
        <w:rPr>
          <w:rStyle w:val="FootnoteReference"/>
          <w:rFonts w:asciiTheme="minorHAnsi" w:hAnsiTheme="minorHAnsi"/>
          <w:szCs w:val="24"/>
        </w:rPr>
        <w:footnoteReference w:id="55"/>
      </w:r>
      <w:r w:rsidR="005F7E43">
        <w:rPr>
          <w:rFonts w:asciiTheme="minorHAnsi" w:hAnsiTheme="minorHAnsi"/>
          <w:szCs w:val="24"/>
        </w:rPr>
        <w:t xml:space="preserve"> </w:t>
      </w:r>
    </w:p>
    <w:p w14:paraId="7A82F609" w14:textId="77777777" w:rsidR="00517C09" w:rsidRDefault="00517C09" w:rsidP="00BA2054">
      <w:pPr>
        <w:rPr>
          <w:rFonts w:asciiTheme="minorHAnsi" w:hAnsiTheme="minorHAnsi"/>
          <w:szCs w:val="24"/>
        </w:rPr>
      </w:pPr>
    </w:p>
    <w:p w14:paraId="3B592694" w14:textId="6F864E30" w:rsidR="00517C09" w:rsidRDefault="00517C09" w:rsidP="00517C09">
      <w:pPr>
        <w:rPr>
          <w:rFonts w:cs="Calibri"/>
          <w:szCs w:val="24"/>
        </w:rPr>
      </w:pPr>
      <w:r>
        <w:rPr>
          <w:rFonts w:cs="Calibri"/>
          <w:szCs w:val="24"/>
        </w:rPr>
        <w:t xml:space="preserve">The Applicant </w:t>
      </w:r>
      <w:r w:rsidR="00DD1CEE">
        <w:rPr>
          <w:rFonts w:cs="Calibri"/>
          <w:szCs w:val="24"/>
        </w:rPr>
        <w:t>asserts</w:t>
      </w:r>
      <w:r>
        <w:rPr>
          <w:rFonts w:cs="Calibri"/>
          <w:szCs w:val="24"/>
        </w:rPr>
        <w:t xml:space="preserve"> that the increased access to PBT that will be attained through the </w:t>
      </w:r>
      <w:r w:rsidR="006A7894">
        <w:rPr>
          <w:rFonts w:cs="Calibri"/>
          <w:szCs w:val="24"/>
        </w:rPr>
        <w:t>Proposed Project</w:t>
      </w:r>
      <w:r>
        <w:rPr>
          <w:rFonts w:cs="Calibri"/>
          <w:szCs w:val="24"/>
        </w:rPr>
        <w:t xml:space="preserve"> </w:t>
      </w:r>
      <w:r w:rsidR="006A7894">
        <w:rPr>
          <w:rFonts w:cs="Calibri"/>
          <w:szCs w:val="24"/>
        </w:rPr>
        <w:t>will</w:t>
      </w:r>
      <w:r>
        <w:rPr>
          <w:rFonts w:cs="Calibri"/>
          <w:szCs w:val="24"/>
        </w:rPr>
        <w:t xml:space="preserve"> help to:</w:t>
      </w:r>
    </w:p>
    <w:p w14:paraId="6629E064" w14:textId="57A59489" w:rsidR="00517C09" w:rsidRDefault="00517C09" w:rsidP="00517C09">
      <w:pPr>
        <w:pStyle w:val="ListParagraph"/>
        <w:numPr>
          <w:ilvl w:val="0"/>
          <w:numId w:val="21"/>
        </w:numPr>
        <w:rPr>
          <w:rFonts w:cs="Calibri"/>
          <w:szCs w:val="24"/>
        </w:rPr>
      </w:pPr>
      <w:r>
        <w:rPr>
          <w:rFonts w:cs="Calibri"/>
          <w:szCs w:val="24"/>
        </w:rPr>
        <w:t>R</w:t>
      </w:r>
      <w:r w:rsidRPr="009142F8">
        <w:rPr>
          <w:rFonts w:cs="Calibri"/>
          <w:szCs w:val="24"/>
        </w:rPr>
        <w:t>educe treatment delays</w:t>
      </w:r>
      <w:r>
        <w:rPr>
          <w:rFonts w:cs="Calibri"/>
          <w:szCs w:val="24"/>
        </w:rPr>
        <w:t xml:space="preserve"> associated with limited local access to PBT</w:t>
      </w:r>
      <w:r w:rsidR="006A7894">
        <w:rPr>
          <w:rFonts w:cs="Calibri"/>
          <w:szCs w:val="24"/>
        </w:rPr>
        <w:t>,</w:t>
      </w:r>
      <w:r>
        <w:rPr>
          <w:rFonts w:cs="Calibri"/>
          <w:szCs w:val="24"/>
        </w:rPr>
        <w:t xml:space="preserve"> </w:t>
      </w:r>
      <w:r w:rsidRPr="009142F8">
        <w:rPr>
          <w:rFonts w:cs="Calibri"/>
          <w:szCs w:val="24"/>
        </w:rPr>
        <w:t xml:space="preserve"> </w:t>
      </w:r>
    </w:p>
    <w:p w14:paraId="6F925A5B" w14:textId="06F16AE9" w:rsidR="00517C09" w:rsidRDefault="00517C09" w:rsidP="00517C09">
      <w:pPr>
        <w:pStyle w:val="ListParagraph"/>
        <w:numPr>
          <w:ilvl w:val="0"/>
          <w:numId w:val="21"/>
        </w:numPr>
        <w:rPr>
          <w:rFonts w:cs="Calibri"/>
        </w:rPr>
      </w:pPr>
      <w:r w:rsidRPr="79D0291E">
        <w:rPr>
          <w:rFonts w:cs="Calibri"/>
        </w:rPr>
        <w:t xml:space="preserve">Decrease reliance on less effective forms of </w:t>
      </w:r>
      <w:r w:rsidR="00324AE4" w:rsidRPr="71929449">
        <w:rPr>
          <w:rFonts w:cs="Calibri"/>
        </w:rPr>
        <w:t>R</w:t>
      </w:r>
      <w:r w:rsidRPr="71929449" w:rsidDel="00324AE4">
        <w:rPr>
          <w:rFonts w:cs="Calibri"/>
        </w:rPr>
        <w:t>T</w:t>
      </w:r>
      <w:r w:rsidR="006A7894" w:rsidRPr="79D0291E">
        <w:rPr>
          <w:rFonts w:cs="Calibri"/>
        </w:rPr>
        <w:t>,</w:t>
      </w:r>
      <w:r w:rsidRPr="79D0291E">
        <w:rPr>
          <w:rFonts w:cs="Calibri"/>
        </w:rPr>
        <w:t xml:space="preserve"> </w:t>
      </w:r>
    </w:p>
    <w:p w14:paraId="5CA142D4" w14:textId="053FA167" w:rsidR="00517C09" w:rsidRDefault="00517C09" w:rsidP="00517C09">
      <w:pPr>
        <w:pStyle w:val="ListParagraph"/>
        <w:numPr>
          <w:ilvl w:val="0"/>
          <w:numId w:val="21"/>
        </w:numPr>
        <w:rPr>
          <w:rFonts w:cs="Calibri"/>
          <w:szCs w:val="24"/>
        </w:rPr>
      </w:pPr>
      <w:r>
        <w:rPr>
          <w:rFonts w:cs="Calibri"/>
          <w:szCs w:val="24"/>
        </w:rPr>
        <w:t>Decrease</w:t>
      </w:r>
      <w:r w:rsidRPr="009142F8">
        <w:rPr>
          <w:rFonts w:cs="Calibri"/>
          <w:szCs w:val="24"/>
        </w:rPr>
        <w:t xml:space="preserve"> the interruptions to employment and school that long distance travel </w:t>
      </w:r>
      <w:r>
        <w:rPr>
          <w:rFonts w:cs="Calibri"/>
          <w:szCs w:val="24"/>
        </w:rPr>
        <w:t xml:space="preserve">to access PBT </w:t>
      </w:r>
      <w:r w:rsidRPr="009142F8">
        <w:rPr>
          <w:rFonts w:cs="Calibri"/>
          <w:szCs w:val="24"/>
        </w:rPr>
        <w:t>can create</w:t>
      </w:r>
      <w:r w:rsidR="006A7894">
        <w:rPr>
          <w:rFonts w:cs="Calibri"/>
          <w:szCs w:val="24"/>
        </w:rPr>
        <w:t>,</w:t>
      </w:r>
      <w:r w:rsidRPr="009142F8">
        <w:rPr>
          <w:rFonts w:cs="Calibri"/>
          <w:szCs w:val="24"/>
        </w:rPr>
        <w:t xml:space="preserve"> </w:t>
      </w:r>
    </w:p>
    <w:p w14:paraId="318D9CE7" w14:textId="325E7402" w:rsidR="00517C09" w:rsidRDefault="00517C09" w:rsidP="00517C09">
      <w:pPr>
        <w:pStyle w:val="ListParagraph"/>
        <w:numPr>
          <w:ilvl w:val="0"/>
          <w:numId w:val="21"/>
        </w:numPr>
        <w:rPr>
          <w:rFonts w:cs="Calibri"/>
          <w:szCs w:val="24"/>
        </w:rPr>
      </w:pPr>
      <w:r>
        <w:rPr>
          <w:rFonts w:cs="Calibri"/>
          <w:szCs w:val="24"/>
        </w:rPr>
        <w:t>S</w:t>
      </w:r>
      <w:r w:rsidRPr="009142F8">
        <w:rPr>
          <w:rFonts w:cs="Calibri"/>
          <w:szCs w:val="24"/>
        </w:rPr>
        <w:t>upport continuity of care with BCH and DFCI providers</w:t>
      </w:r>
      <w:r w:rsidR="006A7894">
        <w:rPr>
          <w:rFonts w:cs="Calibri"/>
          <w:szCs w:val="24"/>
        </w:rPr>
        <w:t xml:space="preserve">, </w:t>
      </w:r>
    </w:p>
    <w:p w14:paraId="20C91440" w14:textId="51950C5A" w:rsidR="00517C09" w:rsidRDefault="00517C09" w:rsidP="00517C09">
      <w:pPr>
        <w:pStyle w:val="ListParagraph"/>
        <w:numPr>
          <w:ilvl w:val="0"/>
          <w:numId w:val="21"/>
        </w:numPr>
        <w:rPr>
          <w:rFonts w:cs="Calibri"/>
          <w:szCs w:val="24"/>
        </w:rPr>
      </w:pPr>
      <w:r>
        <w:rPr>
          <w:rFonts w:cs="Calibri"/>
          <w:szCs w:val="24"/>
        </w:rPr>
        <w:t>A</w:t>
      </w:r>
      <w:r w:rsidRPr="009142F8">
        <w:rPr>
          <w:rFonts w:cs="Calibri"/>
          <w:szCs w:val="24"/>
        </w:rPr>
        <w:t>llow patients to remain close to their support systems over the course of their treatment</w:t>
      </w:r>
      <w:r w:rsidR="006A7894">
        <w:rPr>
          <w:rFonts w:cs="Calibri"/>
          <w:szCs w:val="24"/>
        </w:rPr>
        <w:t>, and</w:t>
      </w:r>
      <w:r w:rsidRPr="009142F8">
        <w:rPr>
          <w:rFonts w:cs="Calibri"/>
          <w:szCs w:val="24"/>
        </w:rPr>
        <w:t xml:space="preserve"> </w:t>
      </w:r>
    </w:p>
    <w:p w14:paraId="5D1A95EB" w14:textId="2AE69C90" w:rsidR="00517C09" w:rsidRPr="009142F8" w:rsidRDefault="00517C09" w:rsidP="00517C09">
      <w:pPr>
        <w:pStyle w:val="ListParagraph"/>
        <w:numPr>
          <w:ilvl w:val="0"/>
          <w:numId w:val="21"/>
        </w:numPr>
        <w:rPr>
          <w:rFonts w:cs="Calibri"/>
        </w:rPr>
      </w:pPr>
      <w:r w:rsidRPr="7CB8050B">
        <w:rPr>
          <w:rFonts w:cs="Calibri"/>
        </w:rPr>
        <w:t>Support equitable access to PBT, particularly for those patients for whom access is currently limited due to transportation and financial barriers associated with traveling out</w:t>
      </w:r>
      <w:r w:rsidR="00560030">
        <w:rPr>
          <w:rFonts w:cs="Calibri"/>
        </w:rPr>
        <w:t xml:space="preserve"> </w:t>
      </w:r>
      <w:r w:rsidRPr="7CB8050B">
        <w:rPr>
          <w:rFonts w:cs="Calibri"/>
        </w:rPr>
        <w:t>of</w:t>
      </w:r>
      <w:r w:rsidR="00560030">
        <w:rPr>
          <w:rFonts w:cs="Calibri"/>
        </w:rPr>
        <w:t xml:space="preserve"> </w:t>
      </w:r>
      <w:r w:rsidRPr="7CB8050B">
        <w:rPr>
          <w:rFonts w:cs="Calibri"/>
        </w:rPr>
        <w:t xml:space="preserve">state to receive treatment which can last for several weeks. The Applicant notes that the location of the Center will allow Massachusetts </w:t>
      </w:r>
      <w:r w:rsidR="646E4D03" w:rsidRPr="7CB8050B">
        <w:rPr>
          <w:rFonts w:cs="Calibri"/>
        </w:rPr>
        <w:t>patients and families</w:t>
      </w:r>
      <w:r w:rsidRPr="7CB8050B">
        <w:rPr>
          <w:rFonts w:cs="Calibri"/>
        </w:rPr>
        <w:t xml:space="preserve"> access to free housing through Hope Lodge operated by the American Cancer Society, and through Ronald McDonald House. </w:t>
      </w:r>
    </w:p>
    <w:p w14:paraId="7A80D430" w14:textId="77777777" w:rsidR="00517C09" w:rsidRDefault="00517C09" w:rsidP="00BA2054">
      <w:pPr>
        <w:rPr>
          <w:rFonts w:asciiTheme="minorHAnsi" w:hAnsiTheme="minorHAnsi"/>
          <w:szCs w:val="24"/>
        </w:rPr>
      </w:pPr>
    </w:p>
    <w:p w14:paraId="58D8B20D" w14:textId="39DAE41C" w:rsidR="00AF3019" w:rsidRDefault="000D2EB8" w:rsidP="00BA2054">
      <w:pPr>
        <w:rPr>
          <w:rFonts w:asciiTheme="minorHAnsi" w:hAnsiTheme="minorHAnsi"/>
          <w:b/>
          <w:bCs/>
          <w:szCs w:val="24"/>
        </w:rPr>
      </w:pPr>
      <w:r>
        <w:rPr>
          <w:rFonts w:asciiTheme="minorHAnsi" w:hAnsiTheme="minorHAnsi"/>
          <w:b/>
          <w:bCs/>
          <w:szCs w:val="24"/>
        </w:rPr>
        <w:t xml:space="preserve">IMAGING EQUIPMENT </w:t>
      </w:r>
    </w:p>
    <w:p w14:paraId="764AEF9D" w14:textId="538DBA7C" w:rsidR="00EB6638" w:rsidRDefault="00DB72DE" w:rsidP="00BA2054">
      <w:pPr>
        <w:rPr>
          <w:rFonts w:asciiTheme="minorHAnsi" w:hAnsiTheme="minorHAnsi"/>
          <w:szCs w:val="24"/>
        </w:rPr>
      </w:pPr>
      <w:r w:rsidRPr="00371918">
        <w:rPr>
          <w:rFonts w:asciiTheme="minorHAnsi" w:hAnsiTheme="minorHAnsi"/>
          <w:szCs w:val="24"/>
        </w:rPr>
        <w:t xml:space="preserve">The Applicant affirms that imaging is an essential component of </w:t>
      </w:r>
      <w:r w:rsidR="00FA2401">
        <w:rPr>
          <w:rFonts w:asciiTheme="minorHAnsi" w:hAnsiTheme="minorHAnsi"/>
          <w:szCs w:val="24"/>
        </w:rPr>
        <w:t>radiation treatment planning</w:t>
      </w:r>
      <w:r w:rsidR="00780425">
        <w:rPr>
          <w:rFonts w:asciiTheme="minorHAnsi" w:hAnsiTheme="minorHAnsi"/>
          <w:szCs w:val="24"/>
        </w:rPr>
        <w:t>.</w:t>
      </w:r>
      <w:r w:rsidR="00EF327E">
        <w:rPr>
          <w:rFonts w:asciiTheme="minorHAnsi" w:hAnsiTheme="minorHAnsi"/>
          <w:szCs w:val="24"/>
        </w:rPr>
        <w:t xml:space="preserve"> </w:t>
      </w:r>
      <w:r w:rsidR="00266881">
        <w:rPr>
          <w:rFonts w:asciiTheme="minorHAnsi" w:hAnsiTheme="minorHAnsi"/>
          <w:szCs w:val="24"/>
        </w:rPr>
        <w:t>I</w:t>
      </w:r>
      <w:r w:rsidR="00266881" w:rsidRPr="00266881">
        <w:rPr>
          <w:rFonts w:asciiTheme="minorHAnsi" w:hAnsiTheme="minorHAnsi"/>
          <w:szCs w:val="24"/>
        </w:rPr>
        <w:t>maging equipment assists in the detection and diagnosis of cancers, the determination of a cancer’s spread, the approach for delivering certain treatments, and the assessment of the efficacy of a particular treatment.</w:t>
      </w:r>
      <w:r w:rsidR="00266881">
        <w:rPr>
          <w:rFonts w:asciiTheme="minorHAnsi" w:hAnsiTheme="minorHAnsi"/>
          <w:szCs w:val="24"/>
        </w:rPr>
        <w:t xml:space="preserve"> </w:t>
      </w:r>
      <w:r w:rsidR="00EF327E">
        <w:rPr>
          <w:rFonts w:asciiTheme="minorHAnsi" w:hAnsiTheme="minorHAnsi"/>
          <w:szCs w:val="24"/>
        </w:rPr>
        <w:t>CT is the most common form of imaging used for radiation treatment planning an</w:t>
      </w:r>
      <w:r w:rsidR="008938B0">
        <w:rPr>
          <w:rFonts w:asciiTheme="minorHAnsi" w:hAnsiTheme="minorHAnsi"/>
          <w:szCs w:val="24"/>
        </w:rPr>
        <w:t xml:space="preserve">d tissue density determined by CT imaging is necessary for proton treatment planning. </w:t>
      </w:r>
      <w:r w:rsidR="00D57758">
        <w:rPr>
          <w:rFonts w:asciiTheme="minorHAnsi" w:hAnsiTheme="minorHAnsi"/>
          <w:szCs w:val="24"/>
        </w:rPr>
        <w:t xml:space="preserve">Treatment planning attempts to </w:t>
      </w:r>
      <w:r w:rsidR="00DA118B">
        <w:rPr>
          <w:rFonts w:asciiTheme="minorHAnsi" w:hAnsiTheme="minorHAnsi"/>
          <w:szCs w:val="24"/>
        </w:rPr>
        <w:t>generate a radiation treatment plan that delivers a therapeutic dose of radiation to the tumor while also sparing nearby normal tissue.</w:t>
      </w:r>
      <w:r w:rsidR="00FA31A3">
        <w:rPr>
          <w:rStyle w:val="EndnoteReference"/>
          <w:rFonts w:asciiTheme="minorHAnsi" w:hAnsiTheme="minorHAnsi"/>
          <w:szCs w:val="24"/>
        </w:rPr>
        <w:endnoteReference w:id="48"/>
      </w:r>
      <w:r w:rsidR="00DA118B">
        <w:rPr>
          <w:rFonts w:asciiTheme="minorHAnsi" w:hAnsiTheme="minorHAnsi"/>
          <w:szCs w:val="24"/>
        </w:rPr>
        <w:t xml:space="preserve"> </w:t>
      </w:r>
    </w:p>
    <w:p w14:paraId="3C8B3558" w14:textId="77777777" w:rsidR="00A91F53" w:rsidRDefault="00A91F53" w:rsidP="00BA2054">
      <w:pPr>
        <w:rPr>
          <w:rFonts w:asciiTheme="minorHAnsi" w:hAnsiTheme="minorHAnsi"/>
          <w:szCs w:val="24"/>
        </w:rPr>
      </w:pPr>
    </w:p>
    <w:p w14:paraId="59CDD747" w14:textId="3C03AF0A" w:rsidR="003A5CE5" w:rsidRDefault="00AE568D" w:rsidP="00BA2054">
      <w:pPr>
        <w:widowControl/>
        <w:autoSpaceDE/>
        <w:autoSpaceDN/>
        <w:contextualSpacing/>
        <w:rPr>
          <w:rFonts w:cs="Calibri"/>
          <w:bCs/>
          <w:szCs w:val="24"/>
        </w:rPr>
      </w:pPr>
      <w:r>
        <w:rPr>
          <w:rFonts w:cs="Calibri"/>
          <w:bCs/>
          <w:szCs w:val="24"/>
        </w:rPr>
        <w:t xml:space="preserve">The Applicant states that two CT machines are needed for the Proposed Project: one CT </w:t>
      </w:r>
      <w:r w:rsidR="0053103A">
        <w:rPr>
          <w:rFonts w:cs="Calibri"/>
          <w:bCs/>
          <w:szCs w:val="24"/>
        </w:rPr>
        <w:t xml:space="preserve">is part of the proton beam system and will be used to guide radiation oncologists during treatment, and the second CT </w:t>
      </w:r>
      <w:r w:rsidR="00C74429">
        <w:rPr>
          <w:rFonts w:cs="Calibri"/>
          <w:bCs/>
          <w:szCs w:val="24"/>
        </w:rPr>
        <w:t xml:space="preserve">is a </w:t>
      </w:r>
      <w:r w:rsidR="00042F96">
        <w:rPr>
          <w:rFonts w:cs="Calibri"/>
          <w:bCs/>
          <w:szCs w:val="24"/>
        </w:rPr>
        <w:t xml:space="preserve">separate, </w:t>
      </w:r>
      <w:r w:rsidR="00C74429">
        <w:rPr>
          <w:rFonts w:cs="Calibri"/>
          <w:bCs/>
          <w:szCs w:val="24"/>
        </w:rPr>
        <w:t xml:space="preserve">vertical CT that is required for treatment planning. </w:t>
      </w:r>
      <w:r w:rsidR="008E3C39">
        <w:rPr>
          <w:rFonts w:cs="Calibri"/>
          <w:bCs/>
          <w:szCs w:val="24"/>
        </w:rPr>
        <w:t xml:space="preserve">The Applicant states that the CT that is part of the proton therapy system is an integrated vertical CT that will be used to provide upright imaging during the treatment itself. </w:t>
      </w:r>
    </w:p>
    <w:p w14:paraId="0FEBC238" w14:textId="77777777" w:rsidR="003735D4" w:rsidRDefault="003735D4" w:rsidP="00BA2054">
      <w:pPr>
        <w:widowControl/>
        <w:autoSpaceDE/>
        <w:autoSpaceDN/>
        <w:contextualSpacing/>
        <w:rPr>
          <w:rFonts w:cs="Calibri"/>
          <w:bCs/>
          <w:szCs w:val="24"/>
        </w:rPr>
      </w:pPr>
    </w:p>
    <w:p w14:paraId="6E9019F3" w14:textId="0980E7EA" w:rsidR="001634C9" w:rsidRPr="00FE3870" w:rsidRDefault="00FE3870" w:rsidP="00BA2054">
      <w:pPr>
        <w:widowControl/>
        <w:autoSpaceDE/>
        <w:autoSpaceDN/>
        <w:contextualSpacing/>
        <w:rPr>
          <w:rFonts w:cs="Calibri"/>
          <w:bCs/>
          <w:i/>
          <w:iCs/>
          <w:szCs w:val="24"/>
        </w:rPr>
      </w:pPr>
      <w:r w:rsidRPr="00FE3870">
        <w:rPr>
          <w:rFonts w:cs="Calibri"/>
          <w:bCs/>
          <w:i/>
          <w:iCs/>
          <w:szCs w:val="24"/>
        </w:rPr>
        <w:t>Vertical CT Scanner</w:t>
      </w:r>
    </w:p>
    <w:p w14:paraId="348A1853" w14:textId="383652DF" w:rsidR="00952F30" w:rsidRPr="00AA7677" w:rsidRDefault="00371C13" w:rsidP="00AA7677">
      <w:pPr>
        <w:widowControl/>
        <w:autoSpaceDE/>
        <w:autoSpaceDN/>
        <w:contextualSpacing/>
        <w:rPr>
          <w:rFonts w:cs="Calibri"/>
        </w:rPr>
      </w:pPr>
      <w:r w:rsidRPr="7CB8050B">
        <w:rPr>
          <w:rFonts w:cs="Calibri"/>
        </w:rPr>
        <w:t>The Applicant states that the</w:t>
      </w:r>
      <w:r w:rsidR="002A34C4" w:rsidRPr="7CB8050B">
        <w:rPr>
          <w:rFonts w:cs="Calibri"/>
        </w:rPr>
        <w:t xml:space="preserve"> proposed</w:t>
      </w:r>
      <w:r w:rsidRPr="7CB8050B">
        <w:rPr>
          <w:rFonts w:cs="Calibri"/>
        </w:rPr>
        <w:t xml:space="preserve"> </w:t>
      </w:r>
      <w:r w:rsidR="00147C8D" w:rsidRPr="7CB8050B">
        <w:rPr>
          <w:rFonts w:cs="Calibri"/>
        </w:rPr>
        <w:t xml:space="preserve">separate, </w:t>
      </w:r>
      <w:r w:rsidR="00952F30" w:rsidRPr="7CB8050B">
        <w:rPr>
          <w:rFonts w:cs="Calibri"/>
        </w:rPr>
        <w:t xml:space="preserve">vertical CT scanner is needed for simulation of </w:t>
      </w:r>
      <w:r w:rsidR="00BE2020">
        <w:rPr>
          <w:rFonts w:cs="Calibri"/>
        </w:rPr>
        <w:t xml:space="preserve">proton </w:t>
      </w:r>
      <w:r w:rsidR="00952F30" w:rsidRPr="7CB8050B">
        <w:rPr>
          <w:rFonts w:cs="Calibri"/>
        </w:rPr>
        <w:t xml:space="preserve">patients that matches their positioning during </w:t>
      </w:r>
      <w:r w:rsidR="00147C8D" w:rsidRPr="7CB8050B">
        <w:rPr>
          <w:rFonts w:cs="Calibri"/>
        </w:rPr>
        <w:t>PBT</w:t>
      </w:r>
      <w:r w:rsidR="00952F30" w:rsidRPr="7CB8050B">
        <w:rPr>
          <w:rFonts w:cs="Calibri"/>
        </w:rPr>
        <w:t xml:space="preserve">. The proposed vertical scanner is needed, and cannot be accomplished with the Applicant’s existing CT capacity, because the Applicant’s </w:t>
      </w:r>
      <w:r w:rsidR="00952F30" w:rsidRPr="7CB8050B">
        <w:rPr>
          <w:rFonts w:cs="Calibri"/>
        </w:rPr>
        <w:lastRenderedPageBreak/>
        <w:t xml:space="preserve">existing CT capabilities can only accommodate patients imaged in horizontal (supine) positions, which does not align with the upright proton therapy system. </w:t>
      </w:r>
      <w:r w:rsidR="00AA7677" w:rsidRPr="7CB8050B">
        <w:rPr>
          <w:rFonts w:cs="Calibri"/>
        </w:rPr>
        <w:t xml:space="preserve">The Applicant states further that </w:t>
      </w:r>
      <w:r w:rsidR="00952F30" w:rsidRPr="7CB8050B">
        <w:rPr>
          <w:rFonts w:cs="Calibri"/>
        </w:rPr>
        <w:t xml:space="preserve">the proposed vertical CT will also be used for studies that are necessary and that compare upright versus supine simulation, including upright versus supine comparative anatomy, lung and mediastinal motion assessment, new immobilization </w:t>
      </w:r>
      <w:r w:rsidR="008E3C39" w:rsidRPr="7CB8050B">
        <w:rPr>
          <w:rFonts w:cs="Calibri"/>
        </w:rPr>
        <w:t>devices</w:t>
      </w:r>
      <w:r w:rsidR="00952F30" w:rsidRPr="7CB8050B">
        <w:rPr>
          <w:rFonts w:cs="Calibri"/>
        </w:rPr>
        <w:t xml:space="preserve"> for upright treatment, and education of staff in upright imaging. </w:t>
      </w:r>
    </w:p>
    <w:p w14:paraId="4103D7A8" w14:textId="77777777" w:rsidR="008E3C39" w:rsidRDefault="008E3C39" w:rsidP="008E3C39">
      <w:pPr>
        <w:widowControl/>
        <w:autoSpaceDE/>
        <w:autoSpaceDN/>
        <w:contextualSpacing/>
        <w:rPr>
          <w:rFonts w:cs="Calibri"/>
          <w:bCs/>
          <w:szCs w:val="24"/>
        </w:rPr>
      </w:pPr>
    </w:p>
    <w:p w14:paraId="737D7FDC" w14:textId="17160BB5" w:rsidR="008E3C39" w:rsidRDefault="00AA7677" w:rsidP="008E3C39">
      <w:pPr>
        <w:widowControl/>
        <w:autoSpaceDE/>
        <w:autoSpaceDN/>
        <w:contextualSpacing/>
        <w:rPr>
          <w:rFonts w:cs="Calibri"/>
          <w:bCs/>
          <w:szCs w:val="24"/>
        </w:rPr>
      </w:pPr>
      <w:r>
        <w:rPr>
          <w:rFonts w:cs="Calibri"/>
          <w:bCs/>
          <w:szCs w:val="24"/>
        </w:rPr>
        <w:t xml:space="preserve">Table </w:t>
      </w:r>
      <w:r w:rsidR="00993A37">
        <w:rPr>
          <w:rFonts w:cs="Calibri"/>
          <w:bCs/>
          <w:szCs w:val="24"/>
        </w:rPr>
        <w:t>20</w:t>
      </w:r>
      <w:r>
        <w:rPr>
          <w:rFonts w:cs="Calibri"/>
          <w:bCs/>
          <w:szCs w:val="24"/>
        </w:rPr>
        <w:t xml:space="preserve"> shows the capacity, projected utilization, and scans</w:t>
      </w:r>
      <w:r w:rsidR="007025ED">
        <w:rPr>
          <w:rFonts w:cs="Calibri"/>
          <w:bCs/>
          <w:szCs w:val="24"/>
        </w:rPr>
        <w:t xml:space="preserve"> per </w:t>
      </w:r>
      <w:r>
        <w:rPr>
          <w:rFonts w:cs="Calibri"/>
          <w:bCs/>
          <w:szCs w:val="24"/>
        </w:rPr>
        <w:t xml:space="preserve">patient of the proposed vertical CT scanner. </w:t>
      </w:r>
    </w:p>
    <w:p w14:paraId="0F638FCD" w14:textId="77777777" w:rsidR="00D02DFA" w:rsidRDefault="00D02DFA" w:rsidP="008E3C39">
      <w:pPr>
        <w:widowControl/>
        <w:autoSpaceDE/>
        <w:autoSpaceDN/>
        <w:contextualSpacing/>
        <w:rPr>
          <w:rFonts w:cs="Calibri"/>
          <w:bCs/>
          <w:szCs w:val="24"/>
        </w:rPr>
      </w:pPr>
    </w:p>
    <w:p w14:paraId="328BE278" w14:textId="77777777" w:rsidR="00D02DFA" w:rsidRDefault="00D02DFA" w:rsidP="008E3C39">
      <w:pPr>
        <w:widowControl/>
        <w:autoSpaceDE/>
        <w:autoSpaceDN/>
        <w:contextualSpacing/>
        <w:rPr>
          <w:rFonts w:cs="Calibri"/>
          <w:bCs/>
          <w:szCs w:val="24"/>
        </w:rPr>
      </w:pPr>
    </w:p>
    <w:p w14:paraId="194A6D47" w14:textId="77777777" w:rsidR="00D02DFA" w:rsidRDefault="00D02DFA" w:rsidP="008E3C39">
      <w:pPr>
        <w:widowControl/>
        <w:autoSpaceDE/>
        <w:autoSpaceDN/>
        <w:contextualSpacing/>
        <w:rPr>
          <w:rFonts w:cs="Calibri"/>
          <w:bCs/>
          <w:szCs w:val="24"/>
        </w:rPr>
      </w:pPr>
    </w:p>
    <w:p w14:paraId="625982B5" w14:textId="77777777" w:rsidR="00AA7677" w:rsidRDefault="00AA7677" w:rsidP="008E3C39">
      <w:pPr>
        <w:widowControl/>
        <w:autoSpaceDE/>
        <w:autoSpaceDN/>
        <w:contextualSpacing/>
        <w:rPr>
          <w:rFonts w:cs="Calibri"/>
          <w:bCs/>
          <w:szCs w:val="24"/>
        </w:rPr>
      </w:pPr>
    </w:p>
    <w:p w14:paraId="09B3BD06" w14:textId="43CBD84D" w:rsidR="00530D0A" w:rsidRPr="00530D0A" w:rsidRDefault="00530D0A" w:rsidP="008E3C39">
      <w:pPr>
        <w:widowControl/>
        <w:autoSpaceDE/>
        <w:autoSpaceDN/>
        <w:contextualSpacing/>
        <w:rPr>
          <w:rFonts w:cs="Calibri"/>
          <w:b/>
          <w:szCs w:val="24"/>
        </w:rPr>
      </w:pPr>
      <w:r w:rsidRPr="00530D0A">
        <w:rPr>
          <w:rFonts w:cs="Calibri"/>
          <w:b/>
          <w:szCs w:val="24"/>
          <w:u w:val="single"/>
        </w:rPr>
        <w:t xml:space="preserve">Table </w:t>
      </w:r>
      <w:r w:rsidR="00993A37">
        <w:rPr>
          <w:rFonts w:cs="Calibri"/>
          <w:b/>
          <w:szCs w:val="24"/>
          <w:u w:val="single"/>
        </w:rPr>
        <w:t>20</w:t>
      </w:r>
      <w:r w:rsidRPr="00530D0A">
        <w:rPr>
          <w:rFonts w:cs="Calibri"/>
          <w:b/>
          <w:szCs w:val="24"/>
        </w:rPr>
        <w:t xml:space="preserve">: </w:t>
      </w:r>
      <w:r w:rsidR="00FE519C">
        <w:rPr>
          <w:rFonts w:cs="Calibri"/>
          <w:b/>
          <w:szCs w:val="24"/>
        </w:rPr>
        <w:t xml:space="preserve">Projected </w:t>
      </w:r>
      <w:r w:rsidRPr="00530D0A">
        <w:rPr>
          <w:rFonts w:cs="Calibri"/>
          <w:b/>
          <w:szCs w:val="24"/>
        </w:rPr>
        <w:t>Vertical CT Utilization</w:t>
      </w:r>
    </w:p>
    <w:tbl>
      <w:tblPr>
        <w:tblStyle w:val="TableGrid"/>
        <w:tblW w:w="0" w:type="auto"/>
        <w:tblLook w:val="04A0" w:firstRow="1" w:lastRow="0" w:firstColumn="1" w:lastColumn="0" w:noHBand="0" w:noVBand="1"/>
      </w:tblPr>
      <w:tblGrid>
        <w:gridCol w:w="2955"/>
        <w:gridCol w:w="3068"/>
        <w:gridCol w:w="3030"/>
      </w:tblGrid>
      <w:tr w:rsidR="00AA7677" w14:paraId="012384A1" w14:textId="77777777" w:rsidTr="00FE4F41">
        <w:trPr>
          <w:cantSplit/>
        </w:trPr>
        <w:tc>
          <w:tcPr>
            <w:tcW w:w="0" w:type="auto"/>
            <w:shd w:val="clear" w:color="auto" w:fill="DBE5F1" w:themeFill="accent1" w:themeFillTint="33"/>
          </w:tcPr>
          <w:p w14:paraId="209C52E8" w14:textId="162AEC8C" w:rsidR="00AA7677" w:rsidRPr="00530D0A" w:rsidRDefault="00530D0A" w:rsidP="00024AD0">
            <w:pPr>
              <w:widowControl/>
              <w:autoSpaceDE/>
              <w:autoSpaceDN/>
              <w:contextualSpacing/>
              <w:jc w:val="center"/>
              <w:rPr>
                <w:rFonts w:cs="Calibri"/>
                <w:b/>
                <w:szCs w:val="24"/>
              </w:rPr>
            </w:pPr>
            <w:r w:rsidRPr="00530D0A">
              <w:rPr>
                <w:rFonts w:cs="Calibri"/>
                <w:b/>
                <w:szCs w:val="24"/>
              </w:rPr>
              <w:t>Hours</w:t>
            </w:r>
            <w:r w:rsidR="00206A98">
              <w:rPr>
                <w:rFonts w:cs="Calibri"/>
                <w:b/>
                <w:szCs w:val="24"/>
              </w:rPr>
              <w:t xml:space="preserve"> per </w:t>
            </w:r>
            <w:r w:rsidR="000B2BEB">
              <w:rPr>
                <w:rFonts w:cs="Calibri"/>
                <w:b/>
                <w:szCs w:val="24"/>
              </w:rPr>
              <w:t>D</w:t>
            </w:r>
            <w:r w:rsidRPr="00530D0A">
              <w:rPr>
                <w:rFonts w:cs="Calibri"/>
                <w:b/>
                <w:szCs w:val="24"/>
              </w:rPr>
              <w:t>ay Available for</w:t>
            </w:r>
          </w:p>
          <w:p w14:paraId="68F3D9A3" w14:textId="1DADEB71" w:rsidR="00530D0A" w:rsidRPr="00530D0A" w:rsidRDefault="00530D0A" w:rsidP="00024AD0">
            <w:pPr>
              <w:widowControl/>
              <w:autoSpaceDE/>
              <w:autoSpaceDN/>
              <w:contextualSpacing/>
              <w:jc w:val="center"/>
              <w:rPr>
                <w:rFonts w:cs="Calibri"/>
                <w:b/>
                <w:szCs w:val="24"/>
              </w:rPr>
            </w:pPr>
            <w:r w:rsidRPr="00530D0A">
              <w:rPr>
                <w:rFonts w:cs="Calibri"/>
                <w:b/>
                <w:szCs w:val="24"/>
              </w:rPr>
              <w:t>Simulation</w:t>
            </w:r>
          </w:p>
        </w:tc>
        <w:tc>
          <w:tcPr>
            <w:tcW w:w="0" w:type="auto"/>
            <w:shd w:val="clear" w:color="auto" w:fill="DBE5F1" w:themeFill="accent1" w:themeFillTint="33"/>
          </w:tcPr>
          <w:p w14:paraId="23B98ADE" w14:textId="07C17C66" w:rsidR="000B2BEB" w:rsidRDefault="00530D0A" w:rsidP="00024AD0">
            <w:pPr>
              <w:widowControl/>
              <w:autoSpaceDE/>
              <w:autoSpaceDN/>
              <w:contextualSpacing/>
              <w:jc w:val="center"/>
              <w:rPr>
                <w:rFonts w:cs="Calibri"/>
                <w:b/>
                <w:szCs w:val="24"/>
              </w:rPr>
            </w:pPr>
            <w:r w:rsidRPr="00530D0A">
              <w:rPr>
                <w:rFonts w:cs="Calibri"/>
                <w:b/>
                <w:szCs w:val="24"/>
              </w:rPr>
              <w:t>Number of Operational</w:t>
            </w:r>
          </w:p>
          <w:p w14:paraId="6DF13441" w14:textId="5F4FCB2A" w:rsidR="00AA7677" w:rsidRPr="00530D0A" w:rsidRDefault="00530D0A" w:rsidP="00024AD0">
            <w:pPr>
              <w:widowControl/>
              <w:autoSpaceDE/>
              <w:autoSpaceDN/>
              <w:contextualSpacing/>
              <w:jc w:val="center"/>
              <w:rPr>
                <w:rFonts w:cs="Calibri"/>
                <w:b/>
                <w:szCs w:val="24"/>
              </w:rPr>
            </w:pPr>
            <w:r w:rsidRPr="00530D0A">
              <w:rPr>
                <w:rFonts w:cs="Calibri"/>
                <w:b/>
                <w:szCs w:val="24"/>
              </w:rPr>
              <w:t>Days</w:t>
            </w:r>
            <w:r w:rsidR="00206A98">
              <w:rPr>
                <w:rFonts w:cs="Calibri"/>
                <w:b/>
                <w:szCs w:val="24"/>
              </w:rPr>
              <w:t xml:space="preserve"> per </w:t>
            </w:r>
            <w:r w:rsidRPr="00530D0A">
              <w:rPr>
                <w:rFonts w:cs="Calibri"/>
                <w:b/>
                <w:szCs w:val="24"/>
              </w:rPr>
              <w:t>Year</w:t>
            </w:r>
          </w:p>
        </w:tc>
        <w:tc>
          <w:tcPr>
            <w:tcW w:w="0" w:type="auto"/>
            <w:shd w:val="clear" w:color="auto" w:fill="DBE5F1" w:themeFill="accent1" w:themeFillTint="33"/>
          </w:tcPr>
          <w:p w14:paraId="01591C55" w14:textId="77777777" w:rsidR="00AA7677" w:rsidRPr="00530D0A" w:rsidRDefault="00530D0A" w:rsidP="00024AD0">
            <w:pPr>
              <w:widowControl/>
              <w:autoSpaceDE/>
              <w:autoSpaceDN/>
              <w:contextualSpacing/>
              <w:jc w:val="center"/>
              <w:rPr>
                <w:rFonts w:cs="Calibri"/>
                <w:b/>
                <w:szCs w:val="24"/>
              </w:rPr>
            </w:pPr>
            <w:r w:rsidRPr="00530D0A">
              <w:rPr>
                <w:rFonts w:cs="Calibri"/>
                <w:b/>
                <w:szCs w:val="24"/>
              </w:rPr>
              <w:t>Annual Available Simulation</w:t>
            </w:r>
          </w:p>
          <w:p w14:paraId="596E8CFC" w14:textId="24CDF7C0" w:rsidR="00530D0A" w:rsidRPr="00530D0A" w:rsidRDefault="00530D0A" w:rsidP="00024AD0">
            <w:pPr>
              <w:widowControl/>
              <w:autoSpaceDE/>
              <w:autoSpaceDN/>
              <w:contextualSpacing/>
              <w:jc w:val="center"/>
              <w:rPr>
                <w:rFonts w:cs="Calibri"/>
                <w:b/>
                <w:szCs w:val="24"/>
              </w:rPr>
            </w:pPr>
            <w:r w:rsidRPr="00530D0A">
              <w:rPr>
                <w:rFonts w:cs="Calibri"/>
                <w:b/>
                <w:szCs w:val="24"/>
              </w:rPr>
              <w:t>Hours</w:t>
            </w:r>
          </w:p>
        </w:tc>
      </w:tr>
      <w:tr w:rsidR="00AA7677" w14:paraId="5DF73B15" w14:textId="77777777" w:rsidTr="00FE4F41">
        <w:trPr>
          <w:cantSplit/>
        </w:trPr>
        <w:tc>
          <w:tcPr>
            <w:tcW w:w="0" w:type="auto"/>
          </w:tcPr>
          <w:p w14:paraId="4AA3C93D" w14:textId="6B51C26D" w:rsidR="00AA7677" w:rsidRDefault="00530D0A" w:rsidP="00024AD0">
            <w:pPr>
              <w:widowControl/>
              <w:autoSpaceDE/>
              <w:autoSpaceDN/>
              <w:contextualSpacing/>
              <w:jc w:val="center"/>
              <w:rPr>
                <w:rFonts w:cs="Calibri"/>
                <w:bCs/>
                <w:szCs w:val="24"/>
              </w:rPr>
            </w:pPr>
            <w:r>
              <w:rPr>
                <w:rFonts w:cs="Calibri"/>
                <w:bCs/>
                <w:szCs w:val="24"/>
              </w:rPr>
              <w:t>8</w:t>
            </w:r>
          </w:p>
        </w:tc>
        <w:tc>
          <w:tcPr>
            <w:tcW w:w="0" w:type="auto"/>
          </w:tcPr>
          <w:p w14:paraId="086BFE35" w14:textId="5C93CACB" w:rsidR="00AA7677" w:rsidRDefault="00530D0A" w:rsidP="00024AD0">
            <w:pPr>
              <w:widowControl/>
              <w:autoSpaceDE/>
              <w:autoSpaceDN/>
              <w:contextualSpacing/>
              <w:jc w:val="center"/>
              <w:rPr>
                <w:rFonts w:cs="Calibri"/>
                <w:bCs/>
                <w:szCs w:val="24"/>
              </w:rPr>
            </w:pPr>
            <w:r>
              <w:rPr>
                <w:rFonts w:cs="Calibri"/>
                <w:bCs/>
                <w:szCs w:val="24"/>
              </w:rPr>
              <w:t>243</w:t>
            </w:r>
          </w:p>
        </w:tc>
        <w:tc>
          <w:tcPr>
            <w:tcW w:w="0" w:type="auto"/>
          </w:tcPr>
          <w:p w14:paraId="3203FC6A" w14:textId="54E85B04" w:rsidR="00AA7677" w:rsidRDefault="00530D0A" w:rsidP="00024AD0">
            <w:pPr>
              <w:widowControl/>
              <w:autoSpaceDE/>
              <w:autoSpaceDN/>
              <w:contextualSpacing/>
              <w:jc w:val="center"/>
              <w:rPr>
                <w:rFonts w:cs="Calibri"/>
                <w:bCs/>
                <w:szCs w:val="24"/>
              </w:rPr>
            </w:pPr>
            <w:r>
              <w:rPr>
                <w:rFonts w:cs="Calibri"/>
                <w:bCs/>
                <w:szCs w:val="24"/>
              </w:rPr>
              <w:t>1,944</w:t>
            </w:r>
          </w:p>
        </w:tc>
      </w:tr>
      <w:tr w:rsidR="00AA7677" w14:paraId="41507A2E" w14:textId="77777777" w:rsidTr="00FE4F41">
        <w:trPr>
          <w:cantSplit/>
        </w:trPr>
        <w:tc>
          <w:tcPr>
            <w:tcW w:w="0" w:type="auto"/>
            <w:shd w:val="clear" w:color="auto" w:fill="DBE5F1" w:themeFill="accent1" w:themeFillTint="33"/>
          </w:tcPr>
          <w:p w14:paraId="2B3508F6" w14:textId="6C130C8F" w:rsidR="00AA7677" w:rsidRPr="00206A98" w:rsidRDefault="00206A98" w:rsidP="00024AD0">
            <w:pPr>
              <w:widowControl/>
              <w:autoSpaceDE/>
              <w:autoSpaceDN/>
              <w:contextualSpacing/>
              <w:jc w:val="center"/>
              <w:rPr>
                <w:rFonts w:cs="Calibri"/>
                <w:b/>
                <w:szCs w:val="24"/>
              </w:rPr>
            </w:pPr>
            <w:r w:rsidRPr="00206A98">
              <w:rPr>
                <w:rFonts w:cs="Calibri"/>
                <w:b/>
                <w:szCs w:val="24"/>
              </w:rPr>
              <w:t>Patients per Year</w:t>
            </w:r>
          </w:p>
        </w:tc>
        <w:tc>
          <w:tcPr>
            <w:tcW w:w="0" w:type="auto"/>
            <w:shd w:val="clear" w:color="auto" w:fill="DBE5F1" w:themeFill="accent1" w:themeFillTint="33"/>
          </w:tcPr>
          <w:p w14:paraId="2CA58D99" w14:textId="7AD2B7B3" w:rsidR="00AA7677" w:rsidRPr="00206A98" w:rsidRDefault="00206A98" w:rsidP="00024AD0">
            <w:pPr>
              <w:widowControl/>
              <w:autoSpaceDE/>
              <w:autoSpaceDN/>
              <w:contextualSpacing/>
              <w:jc w:val="center"/>
              <w:rPr>
                <w:rFonts w:cs="Calibri"/>
                <w:b/>
                <w:szCs w:val="24"/>
              </w:rPr>
            </w:pPr>
            <w:r w:rsidRPr="00206A98">
              <w:rPr>
                <w:rFonts w:cs="Calibri"/>
                <w:b/>
                <w:szCs w:val="24"/>
              </w:rPr>
              <w:t>Number of Scans per Patient</w:t>
            </w:r>
          </w:p>
        </w:tc>
        <w:tc>
          <w:tcPr>
            <w:tcW w:w="0" w:type="auto"/>
            <w:shd w:val="clear" w:color="auto" w:fill="DBE5F1" w:themeFill="accent1" w:themeFillTint="33"/>
          </w:tcPr>
          <w:p w14:paraId="66360451" w14:textId="0267866C" w:rsidR="00AA7677" w:rsidRPr="00206A98" w:rsidRDefault="00206A98" w:rsidP="00024AD0">
            <w:pPr>
              <w:widowControl/>
              <w:autoSpaceDE/>
              <w:autoSpaceDN/>
              <w:contextualSpacing/>
              <w:jc w:val="center"/>
              <w:rPr>
                <w:rFonts w:cs="Calibri"/>
                <w:b/>
                <w:szCs w:val="24"/>
              </w:rPr>
            </w:pPr>
            <w:r w:rsidRPr="00206A98">
              <w:rPr>
                <w:rFonts w:cs="Calibri"/>
                <w:b/>
                <w:szCs w:val="24"/>
              </w:rPr>
              <w:t>Number of Scans per Year</w:t>
            </w:r>
          </w:p>
        </w:tc>
      </w:tr>
      <w:tr w:rsidR="00AA7677" w14:paraId="0FD74021" w14:textId="77777777" w:rsidTr="00FE4F41">
        <w:trPr>
          <w:cantSplit/>
        </w:trPr>
        <w:tc>
          <w:tcPr>
            <w:tcW w:w="0" w:type="auto"/>
          </w:tcPr>
          <w:p w14:paraId="476C1FFC" w14:textId="4375CF02" w:rsidR="00AA7677" w:rsidRDefault="00206A98" w:rsidP="00024AD0">
            <w:pPr>
              <w:widowControl/>
              <w:autoSpaceDE/>
              <w:autoSpaceDN/>
              <w:contextualSpacing/>
              <w:jc w:val="center"/>
              <w:rPr>
                <w:rFonts w:cs="Calibri"/>
                <w:bCs/>
                <w:szCs w:val="24"/>
              </w:rPr>
            </w:pPr>
            <w:r>
              <w:rPr>
                <w:rFonts w:cs="Calibri"/>
                <w:bCs/>
                <w:szCs w:val="24"/>
              </w:rPr>
              <w:t>216</w:t>
            </w:r>
          </w:p>
        </w:tc>
        <w:tc>
          <w:tcPr>
            <w:tcW w:w="0" w:type="auto"/>
          </w:tcPr>
          <w:p w14:paraId="1A13E842" w14:textId="3CABFD0F" w:rsidR="00AA7677" w:rsidRDefault="00206A98" w:rsidP="00024AD0">
            <w:pPr>
              <w:widowControl/>
              <w:autoSpaceDE/>
              <w:autoSpaceDN/>
              <w:contextualSpacing/>
              <w:jc w:val="center"/>
              <w:rPr>
                <w:rFonts w:cs="Calibri"/>
                <w:bCs/>
                <w:szCs w:val="24"/>
              </w:rPr>
            </w:pPr>
            <w:r>
              <w:rPr>
                <w:rFonts w:cs="Calibri"/>
                <w:bCs/>
                <w:szCs w:val="24"/>
              </w:rPr>
              <w:t>1.3</w:t>
            </w:r>
          </w:p>
        </w:tc>
        <w:tc>
          <w:tcPr>
            <w:tcW w:w="0" w:type="auto"/>
          </w:tcPr>
          <w:p w14:paraId="08C1DA10" w14:textId="57CDBFA5" w:rsidR="00AA7677" w:rsidRDefault="00206A98" w:rsidP="00024AD0">
            <w:pPr>
              <w:widowControl/>
              <w:autoSpaceDE/>
              <w:autoSpaceDN/>
              <w:contextualSpacing/>
              <w:jc w:val="center"/>
              <w:rPr>
                <w:rFonts w:cs="Calibri"/>
                <w:bCs/>
                <w:szCs w:val="24"/>
              </w:rPr>
            </w:pPr>
            <w:r>
              <w:rPr>
                <w:rFonts w:cs="Calibri"/>
                <w:bCs/>
                <w:szCs w:val="24"/>
              </w:rPr>
              <w:t>281</w:t>
            </w:r>
          </w:p>
        </w:tc>
      </w:tr>
      <w:tr w:rsidR="003C48CA" w14:paraId="452001AA" w14:textId="77777777" w:rsidTr="00FE4F41">
        <w:trPr>
          <w:cantSplit/>
        </w:trPr>
        <w:tc>
          <w:tcPr>
            <w:tcW w:w="0" w:type="auto"/>
            <w:shd w:val="clear" w:color="auto" w:fill="DBE5F1" w:themeFill="accent1" w:themeFillTint="33"/>
          </w:tcPr>
          <w:p w14:paraId="4482C319" w14:textId="1CBC6DA2" w:rsidR="003C48CA" w:rsidRPr="003C48CA" w:rsidRDefault="003C48CA" w:rsidP="00024AD0">
            <w:pPr>
              <w:widowControl/>
              <w:autoSpaceDE/>
              <w:autoSpaceDN/>
              <w:contextualSpacing/>
              <w:jc w:val="center"/>
              <w:rPr>
                <w:rFonts w:cs="Calibri"/>
                <w:b/>
                <w:szCs w:val="24"/>
              </w:rPr>
            </w:pPr>
            <w:r w:rsidRPr="003C48CA">
              <w:rPr>
                <w:rFonts w:cs="Calibri"/>
                <w:b/>
                <w:szCs w:val="24"/>
              </w:rPr>
              <w:t>Hours required per Scan</w:t>
            </w:r>
          </w:p>
        </w:tc>
        <w:tc>
          <w:tcPr>
            <w:tcW w:w="0" w:type="auto"/>
            <w:shd w:val="clear" w:color="auto" w:fill="DBE5F1" w:themeFill="accent1" w:themeFillTint="33"/>
          </w:tcPr>
          <w:p w14:paraId="67835F23" w14:textId="72537C93" w:rsidR="003C48CA" w:rsidRPr="003C48CA" w:rsidRDefault="003C48CA" w:rsidP="00024AD0">
            <w:pPr>
              <w:widowControl/>
              <w:autoSpaceDE/>
              <w:autoSpaceDN/>
              <w:contextualSpacing/>
              <w:jc w:val="center"/>
              <w:rPr>
                <w:rFonts w:cs="Calibri"/>
                <w:b/>
                <w:szCs w:val="24"/>
              </w:rPr>
            </w:pPr>
            <w:r w:rsidRPr="003C48CA">
              <w:rPr>
                <w:rFonts w:cs="Calibri"/>
                <w:b/>
                <w:szCs w:val="24"/>
              </w:rPr>
              <w:t>Number of Scans per Year</w:t>
            </w:r>
          </w:p>
        </w:tc>
        <w:tc>
          <w:tcPr>
            <w:tcW w:w="0" w:type="auto"/>
            <w:shd w:val="clear" w:color="auto" w:fill="DBE5F1" w:themeFill="accent1" w:themeFillTint="33"/>
          </w:tcPr>
          <w:p w14:paraId="35E59F60" w14:textId="0CA6380D" w:rsidR="003C48CA" w:rsidRPr="003C48CA" w:rsidRDefault="003C48CA" w:rsidP="00024AD0">
            <w:pPr>
              <w:widowControl/>
              <w:autoSpaceDE/>
              <w:autoSpaceDN/>
              <w:contextualSpacing/>
              <w:jc w:val="center"/>
              <w:rPr>
                <w:rFonts w:cs="Calibri"/>
                <w:b/>
                <w:szCs w:val="24"/>
              </w:rPr>
            </w:pPr>
            <w:r w:rsidRPr="003C48CA">
              <w:rPr>
                <w:rFonts w:cs="Calibri"/>
                <w:b/>
                <w:szCs w:val="24"/>
              </w:rPr>
              <w:t>Required Hours per Year</w:t>
            </w:r>
          </w:p>
        </w:tc>
      </w:tr>
      <w:tr w:rsidR="003C48CA" w14:paraId="41159167" w14:textId="77777777" w:rsidTr="00FE4F41">
        <w:trPr>
          <w:cantSplit/>
        </w:trPr>
        <w:tc>
          <w:tcPr>
            <w:tcW w:w="0" w:type="auto"/>
            <w:shd w:val="clear" w:color="auto" w:fill="FFFFFF" w:themeFill="background1"/>
          </w:tcPr>
          <w:p w14:paraId="6B9ED056" w14:textId="30E801BD" w:rsidR="003C48CA" w:rsidRPr="00024AD0" w:rsidRDefault="003C48CA" w:rsidP="00024AD0">
            <w:pPr>
              <w:widowControl/>
              <w:autoSpaceDE/>
              <w:autoSpaceDN/>
              <w:contextualSpacing/>
              <w:jc w:val="center"/>
              <w:rPr>
                <w:rFonts w:cs="Calibri"/>
                <w:bCs/>
                <w:szCs w:val="24"/>
              </w:rPr>
            </w:pPr>
            <w:r w:rsidRPr="00024AD0">
              <w:rPr>
                <w:rFonts w:cs="Calibri"/>
                <w:bCs/>
                <w:szCs w:val="24"/>
              </w:rPr>
              <w:t>1.25</w:t>
            </w:r>
          </w:p>
        </w:tc>
        <w:tc>
          <w:tcPr>
            <w:tcW w:w="0" w:type="auto"/>
            <w:shd w:val="clear" w:color="auto" w:fill="FFFFFF" w:themeFill="background1"/>
          </w:tcPr>
          <w:p w14:paraId="46AB6702" w14:textId="356550E6" w:rsidR="003C48CA" w:rsidRPr="00024AD0" w:rsidRDefault="00024AD0" w:rsidP="00024AD0">
            <w:pPr>
              <w:widowControl/>
              <w:autoSpaceDE/>
              <w:autoSpaceDN/>
              <w:contextualSpacing/>
              <w:jc w:val="center"/>
              <w:rPr>
                <w:rFonts w:cs="Calibri"/>
                <w:bCs/>
                <w:szCs w:val="24"/>
              </w:rPr>
            </w:pPr>
            <w:r w:rsidRPr="00024AD0">
              <w:rPr>
                <w:rFonts w:cs="Calibri"/>
                <w:bCs/>
                <w:szCs w:val="24"/>
              </w:rPr>
              <w:t>281</w:t>
            </w:r>
          </w:p>
        </w:tc>
        <w:tc>
          <w:tcPr>
            <w:tcW w:w="0" w:type="auto"/>
            <w:shd w:val="clear" w:color="auto" w:fill="FFFFFF" w:themeFill="background1"/>
          </w:tcPr>
          <w:p w14:paraId="389B83A1" w14:textId="2978B0FF" w:rsidR="003C48CA" w:rsidRPr="00024AD0" w:rsidRDefault="00024AD0" w:rsidP="00024AD0">
            <w:pPr>
              <w:widowControl/>
              <w:autoSpaceDE/>
              <w:autoSpaceDN/>
              <w:contextualSpacing/>
              <w:jc w:val="center"/>
              <w:rPr>
                <w:rFonts w:cs="Calibri"/>
                <w:bCs/>
                <w:szCs w:val="24"/>
              </w:rPr>
            </w:pPr>
            <w:r w:rsidRPr="00024AD0">
              <w:rPr>
                <w:rFonts w:cs="Calibri"/>
                <w:bCs/>
                <w:szCs w:val="24"/>
              </w:rPr>
              <w:t>351</w:t>
            </w:r>
          </w:p>
        </w:tc>
      </w:tr>
    </w:tbl>
    <w:p w14:paraId="33B7B631" w14:textId="77777777" w:rsidR="00AA7677" w:rsidRPr="008E3C39" w:rsidRDefault="00AA7677" w:rsidP="008E3C39">
      <w:pPr>
        <w:widowControl/>
        <w:autoSpaceDE/>
        <w:autoSpaceDN/>
        <w:contextualSpacing/>
        <w:rPr>
          <w:rFonts w:cs="Calibri"/>
          <w:bCs/>
          <w:szCs w:val="24"/>
        </w:rPr>
      </w:pPr>
    </w:p>
    <w:p w14:paraId="44422520" w14:textId="77777777" w:rsidR="00C34720" w:rsidRPr="0084045C" w:rsidRDefault="00C34720" w:rsidP="00BA2054">
      <w:pPr>
        <w:rPr>
          <w:rFonts w:asciiTheme="minorHAnsi" w:hAnsiTheme="minorHAnsi"/>
          <w:b/>
          <w:bCs/>
          <w:szCs w:val="24"/>
        </w:rPr>
      </w:pPr>
      <w:r w:rsidRPr="0084045C">
        <w:rPr>
          <w:rFonts w:asciiTheme="minorHAnsi" w:hAnsiTheme="minorHAnsi"/>
          <w:b/>
          <w:bCs/>
          <w:szCs w:val="24"/>
        </w:rPr>
        <w:t>Staffing</w:t>
      </w:r>
    </w:p>
    <w:p w14:paraId="06E501F5" w14:textId="3FE6225C" w:rsidR="00F2559D" w:rsidRDefault="009C1213" w:rsidP="0028104A">
      <w:pPr>
        <w:rPr>
          <w:rFonts w:asciiTheme="minorHAnsi" w:hAnsiTheme="minorHAnsi"/>
          <w:szCs w:val="24"/>
        </w:rPr>
      </w:pPr>
      <w:r>
        <w:rPr>
          <w:rFonts w:asciiTheme="minorHAnsi" w:hAnsiTheme="minorHAnsi"/>
          <w:szCs w:val="24"/>
        </w:rPr>
        <w:t xml:space="preserve">The Applicant states that it employs </w:t>
      </w:r>
      <w:r w:rsidR="00075D7A">
        <w:rPr>
          <w:rFonts w:asciiTheme="minorHAnsi" w:hAnsiTheme="minorHAnsi"/>
          <w:szCs w:val="24"/>
        </w:rPr>
        <w:t xml:space="preserve">250 </w:t>
      </w:r>
      <w:r w:rsidR="007907C1">
        <w:rPr>
          <w:rFonts w:asciiTheme="minorHAnsi" w:hAnsiTheme="minorHAnsi"/>
          <w:szCs w:val="24"/>
        </w:rPr>
        <w:t>oncology and hematology physicians</w:t>
      </w:r>
      <w:r w:rsidR="00DB13BB">
        <w:rPr>
          <w:rFonts w:asciiTheme="minorHAnsi" w:hAnsiTheme="minorHAnsi"/>
          <w:szCs w:val="24"/>
        </w:rPr>
        <w:t xml:space="preserve"> as well as</w:t>
      </w:r>
      <w:r w:rsidR="007907C1">
        <w:rPr>
          <w:rFonts w:asciiTheme="minorHAnsi" w:hAnsiTheme="minorHAnsi"/>
          <w:szCs w:val="24"/>
        </w:rPr>
        <w:t xml:space="preserve"> pediatric oncology advanced practice providers. </w:t>
      </w:r>
      <w:r w:rsidR="00910E74">
        <w:rPr>
          <w:rFonts w:asciiTheme="minorHAnsi" w:hAnsiTheme="minorHAnsi"/>
          <w:szCs w:val="24"/>
        </w:rPr>
        <w:t xml:space="preserve">The Applicant states that when the Center is fully operational, and ramped up, it will include approximately 28 full-time employees (FTEs). This is shown in Table </w:t>
      </w:r>
      <w:r w:rsidR="00993A37">
        <w:rPr>
          <w:rFonts w:asciiTheme="minorHAnsi" w:hAnsiTheme="minorHAnsi"/>
          <w:szCs w:val="24"/>
        </w:rPr>
        <w:t>21</w:t>
      </w:r>
      <w:r w:rsidR="00910E74">
        <w:rPr>
          <w:rFonts w:asciiTheme="minorHAnsi" w:hAnsiTheme="minorHAnsi"/>
          <w:szCs w:val="24"/>
        </w:rPr>
        <w:t xml:space="preserve">. </w:t>
      </w:r>
    </w:p>
    <w:p w14:paraId="7E7F4F66" w14:textId="77777777" w:rsidR="00910E74" w:rsidRDefault="00910E74" w:rsidP="0028104A">
      <w:pPr>
        <w:rPr>
          <w:rFonts w:asciiTheme="minorHAnsi" w:hAnsiTheme="minorHAnsi"/>
          <w:szCs w:val="24"/>
        </w:rPr>
      </w:pPr>
    </w:p>
    <w:p w14:paraId="06A0C8BD" w14:textId="011A9293" w:rsidR="00910E74" w:rsidRPr="00910E74" w:rsidRDefault="00910E74" w:rsidP="0028104A">
      <w:pPr>
        <w:rPr>
          <w:rFonts w:asciiTheme="minorHAnsi" w:hAnsiTheme="minorHAnsi"/>
          <w:b/>
          <w:bCs/>
          <w:szCs w:val="24"/>
        </w:rPr>
      </w:pPr>
      <w:r w:rsidRPr="00910E74">
        <w:rPr>
          <w:rFonts w:asciiTheme="minorHAnsi" w:hAnsiTheme="minorHAnsi"/>
          <w:b/>
          <w:bCs/>
          <w:szCs w:val="24"/>
          <w:u w:val="single"/>
        </w:rPr>
        <w:t xml:space="preserve">Table </w:t>
      </w:r>
      <w:r w:rsidR="00993A37">
        <w:rPr>
          <w:rFonts w:asciiTheme="minorHAnsi" w:hAnsiTheme="minorHAnsi"/>
          <w:b/>
          <w:bCs/>
          <w:szCs w:val="24"/>
          <w:u w:val="single"/>
        </w:rPr>
        <w:t>21</w:t>
      </w:r>
      <w:r w:rsidRPr="00910E74">
        <w:rPr>
          <w:rFonts w:asciiTheme="minorHAnsi" w:hAnsiTheme="minorHAnsi"/>
          <w:b/>
          <w:bCs/>
          <w:szCs w:val="24"/>
        </w:rPr>
        <w:t xml:space="preserve">: The Center’s </w:t>
      </w:r>
      <w:r w:rsidR="00184842">
        <w:rPr>
          <w:rFonts w:asciiTheme="minorHAnsi" w:hAnsiTheme="minorHAnsi"/>
          <w:b/>
          <w:bCs/>
          <w:szCs w:val="24"/>
        </w:rPr>
        <w:t xml:space="preserve">Proposed </w:t>
      </w:r>
      <w:r w:rsidRPr="00910E74">
        <w:rPr>
          <w:rFonts w:asciiTheme="minorHAnsi" w:hAnsiTheme="minorHAnsi"/>
          <w:b/>
          <w:bCs/>
          <w:szCs w:val="24"/>
        </w:rPr>
        <w:t xml:space="preserve">Staffing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1789"/>
      </w:tblGrid>
      <w:tr w:rsidR="00EA3A75" w:rsidRPr="00EA3A75" w14:paraId="6439AEBF" w14:textId="77777777" w:rsidTr="00371D22">
        <w:trPr>
          <w:cantSplit/>
          <w:trHeight w:val="128"/>
          <w:tblHeader/>
        </w:trPr>
        <w:tc>
          <w:tcPr>
            <w:tcW w:w="0" w:type="auto"/>
            <w:shd w:val="clear" w:color="000000" w:fill="DBE5F1"/>
            <w:vAlign w:val="center"/>
            <w:hideMark/>
          </w:tcPr>
          <w:p w14:paraId="723AA08E" w14:textId="77777777" w:rsidR="00EA3A75" w:rsidRPr="00EA3A75" w:rsidRDefault="00EA3A75" w:rsidP="00EA3A75">
            <w:pPr>
              <w:widowControl/>
              <w:autoSpaceDE/>
              <w:autoSpaceDN/>
              <w:rPr>
                <w:rFonts w:eastAsia="Times New Roman" w:cs="Calibri"/>
                <w:b/>
                <w:bCs/>
                <w:color w:val="000000"/>
                <w:szCs w:val="24"/>
              </w:rPr>
            </w:pPr>
            <w:r w:rsidRPr="00EA3A75">
              <w:rPr>
                <w:rFonts w:eastAsia="Times New Roman" w:cs="Calibri"/>
                <w:b/>
                <w:bCs/>
                <w:color w:val="000000"/>
                <w:szCs w:val="24"/>
              </w:rPr>
              <w:t>Type of Staff</w:t>
            </w:r>
          </w:p>
        </w:tc>
        <w:tc>
          <w:tcPr>
            <w:tcW w:w="0" w:type="auto"/>
            <w:shd w:val="clear" w:color="000000" w:fill="DBE5F1"/>
            <w:vAlign w:val="center"/>
            <w:hideMark/>
          </w:tcPr>
          <w:p w14:paraId="4E2E6085" w14:textId="77777777" w:rsidR="00EA3A75" w:rsidRPr="00EA3A75" w:rsidRDefault="00EA3A75" w:rsidP="00EA3A75">
            <w:pPr>
              <w:widowControl/>
              <w:autoSpaceDE/>
              <w:autoSpaceDN/>
              <w:jc w:val="center"/>
              <w:rPr>
                <w:rFonts w:eastAsia="Times New Roman" w:cs="Calibri"/>
                <w:b/>
                <w:bCs/>
                <w:color w:val="000000"/>
                <w:szCs w:val="24"/>
              </w:rPr>
            </w:pPr>
            <w:r w:rsidRPr="00EA3A75">
              <w:rPr>
                <w:rFonts w:eastAsia="Times New Roman" w:cs="Calibri"/>
                <w:b/>
                <w:bCs/>
                <w:color w:val="000000"/>
                <w:szCs w:val="24"/>
              </w:rPr>
              <w:t>Number of FTEs</w:t>
            </w:r>
          </w:p>
        </w:tc>
      </w:tr>
      <w:tr w:rsidR="00EA3A75" w:rsidRPr="00EA3A75" w14:paraId="71E05639" w14:textId="77777777" w:rsidTr="00371D22">
        <w:trPr>
          <w:cantSplit/>
          <w:trHeight w:val="320"/>
        </w:trPr>
        <w:tc>
          <w:tcPr>
            <w:tcW w:w="0" w:type="auto"/>
            <w:vAlign w:val="center"/>
            <w:hideMark/>
          </w:tcPr>
          <w:p w14:paraId="13F1CCD3" w14:textId="77777777" w:rsidR="00EA3A75" w:rsidRPr="00EA3A75" w:rsidRDefault="00EA3A75" w:rsidP="00071294">
            <w:pPr>
              <w:widowControl/>
              <w:autoSpaceDE/>
              <w:autoSpaceDN/>
              <w:ind w:left="144"/>
              <w:rPr>
                <w:rFonts w:eastAsia="Times New Roman" w:cs="Calibri"/>
                <w:color w:val="000000"/>
                <w:szCs w:val="24"/>
              </w:rPr>
            </w:pPr>
            <w:r w:rsidRPr="00EA3A75">
              <w:rPr>
                <w:rFonts w:eastAsia="Times New Roman" w:cs="Calibri"/>
                <w:color w:val="000000"/>
                <w:szCs w:val="24"/>
              </w:rPr>
              <w:t>Therapists</w:t>
            </w:r>
          </w:p>
        </w:tc>
        <w:tc>
          <w:tcPr>
            <w:tcW w:w="0" w:type="auto"/>
            <w:vAlign w:val="center"/>
            <w:hideMark/>
          </w:tcPr>
          <w:p w14:paraId="3E4B82A9" w14:textId="77777777" w:rsidR="00EA3A75" w:rsidRPr="00EA3A75" w:rsidRDefault="00EA3A75" w:rsidP="00EA3A75">
            <w:pPr>
              <w:widowControl/>
              <w:autoSpaceDE/>
              <w:autoSpaceDN/>
              <w:jc w:val="center"/>
              <w:rPr>
                <w:rFonts w:eastAsia="Times New Roman" w:cs="Calibri"/>
                <w:color w:val="000000"/>
                <w:szCs w:val="24"/>
              </w:rPr>
            </w:pPr>
            <w:r w:rsidRPr="00EA3A75">
              <w:rPr>
                <w:rFonts w:eastAsia="Times New Roman" w:cs="Calibri"/>
                <w:color w:val="000000"/>
                <w:szCs w:val="24"/>
              </w:rPr>
              <w:t>8.2</w:t>
            </w:r>
          </w:p>
        </w:tc>
      </w:tr>
      <w:tr w:rsidR="00EA3A75" w:rsidRPr="00EA3A75" w14:paraId="5A01E19D" w14:textId="77777777" w:rsidTr="00371D22">
        <w:trPr>
          <w:cantSplit/>
          <w:trHeight w:val="320"/>
        </w:trPr>
        <w:tc>
          <w:tcPr>
            <w:tcW w:w="0" w:type="auto"/>
            <w:vAlign w:val="center"/>
            <w:hideMark/>
          </w:tcPr>
          <w:p w14:paraId="4658B7D3" w14:textId="77777777" w:rsidR="00EA3A75" w:rsidRPr="00EA3A75" w:rsidRDefault="00EA3A75" w:rsidP="00071294">
            <w:pPr>
              <w:widowControl/>
              <w:autoSpaceDE/>
              <w:autoSpaceDN/>
              <w:ind w:left="144"/>
              <w:rPr>
                <w:rFonts w:eastAsia="Times New Roman" w:cs="Calibri"/>
                <w:color w:val="000000"/>
                <w:szCs w:val="24"/>
              </w:rPr>
            </w:pPr>
            <w:r w:rsidRPr="00EA3A75">
              <w:rPr>
                <w:rFonts w:eastAsia="Times New Roman" w:cs="Calibri"/>
                <w:color w:val="000000"/>
                <w:szCs w:val="24"/>
              </w:rPr>
              <w:t>Physicians</w:t>
            </w:r>
          </w:p>
        </w:tc>
        <w:tc>
          <w:tcPr>
            <w:tcW w:w="0" w:type="auto"/>
            <w:vAlign w:val="center"/>
            <w:hideMark/>
          </w:tcPr>
          <w:p w14:paraId="549101E0" w14:textId="77777777" w:rsidR="00EA3A75" w:rsidRPr="00EA3A75" w:rsidRDefault="00EA3A75" w:rsidP="00EA3A75">
            <w:pPr>
              <w:widowControl/>
              <w:autoSpaceDE/>
              <w:autoSpaceDN/>
              <w:jc w:val="center"/>
              <w:rPr>
                <w:rFonts w:eastAsia="Times New Roman" w:cs="Calibri"/>
                <w:color w:val="000000"/>
                <w:szCs w:val="24"/>
              </w:rPr>
            </w:pPr>
            <w:r w:rsidRPr="00EA3A75">
              <w:rPr>
                <w:rFonts w:eastAsia="Times New Roman" w:cs="Calibri"/>
                <w:color w:val="000000"/>
                <w:szCs w:val="24"/>
              </w:rPr>
              <w:t>4.9</w:t>
            </w:r>
          </w:p>
        </w:tc>
      </w:tr>
      <w:tr w:rsidR="00EA3A75" w:rsidRPr="00EA3A75" w14:paraId="74045169" w14:textId="77777777" w:rsidTr="00371D22">
        <w:trPr>
          <w:cantSplit/>
          <w:trHeight w:val="50"/>
        </w:trPr>
        <w:tc>
          <w:tcPr>
            <w:tcW w:w="0" w:type="auto"/>
            <w:vAlign w:val="center"/>
            <w:hideMark/>
          </w:tcPr>
          <w:p w14:paraId="15392BD0" w14:textId="77777777" w:rsidR="00EA3A75" w:rsidRPr="00EA3A75" w:rsidRDefault="00EA3A75" w:rsidP="00071294">
            <w:pPr>
              <w:widowControl/>
              <w:autoSpaceDE/>
              <w:autoSpaceDN/>
              <w:ind w:left="144"/>
              <w:rPr>
                <w:rFonts w:eastAsia="Times New Roman" w:cs="Calibri"/>
                <w:color w:val="000000"/>
                <w:szCs w:val="24"/>
              </w:rPr>
            </w:pPr>
            <w:r w:rsidRPr="00EA3A75">
              <w:rPr>
                <w:rFonts w:eastAsia="Times New Roman" w:cs="Calibri"/>
                <w:color w:val="000000"/>
                <w:szCs w:val="24"/>
              </w:rPr>
              <w:t>Billing/Pre-Auth/Intake</w:t>
            </w:r>
          </w:p>
        </w:tc>
        <w:tc>
          <w:tcPr>
            <w:tcW w:w="0" w:type="auto"/>
            <w:vAlign w:val="center"/>
            <w:hideMark/>
          </w:tcPr>
          <w:p w14:paraId="4D5293FE" w14:textId="77777777" w:rsidR="00EA3A75" w:rsidRPr="00EA3A75" w:rsidRDefault="00EA3A75" w:rsidP="00EA3A75">
            <w:pPr>
              <w:widowControl/>
              <w:autoSpaceDE/>
              <w:autoSpaceDN/>
              <w:jc w:val="center"/>
              <w:rPr>
                <w:rFonts w:eastAsia="Times New Roman" w:cs="Calibri"/>
                <w:color w:val="000000"/>
                <w:szCs w:val="24"/>
              </w:rPr>
            </w:pPr>
            <w:r w:rsidRPr="00EA3A75">
              <w:rPr>
                <w:rFonts w:eastAsia="Times New Roman" w:cs="Calibri"/>
                <w:color w:val="000000"/>
                <w:szCs w:val="24"/>
              </w:rPr>
              <w:t>3.2</w:t>
            </w:r>
          </w:p>
        </w:tc>
      </w:tr>
      <w:tr w:rsidR="00EA3A75" w:rsidRPr="00EA3A75" w14:paraId="3DBF79B8" w14:textId="77777777" w:rsidTr="00371D22">
        <w:trPr>
          <w:cantSplit/>
          <w:trHeight w:val="137"/>
        </w:trPr>
        <w:tc>
          <w:tcPr>
            <w:tcW w:w="0" w:type="auto"/>
            <w:vAlign w:val="center"/>
            <w:hideMark/>
          </w:tcPr>
          <w:p w14:paraId="64B416B0" w14:textId="77777777" w:rsidR="00EA3A75" w:rsidRPr="00EA3A75" w:rsidRDefault="00EA3A75" w:rsidP="00071294">
            <w:pPr>
              <w:widowControl/>
              <w:autoSpaceDE/>
              <w:autoSpaceDN/>
              <w:ind w:left="144"/>
              <w:rPr>
                <w:rFonts w:eastAsia="Times New Roman" w:cs="Calibri"/>
                <w:color w:val="000000"/>
                <w:szCs w:val="24"/>
              </w:rPr>
            </w:pPr>
            <w:r w:rsidRPr="00EA3A75">
              <w:rPr>
                <w:rFonts w:eastAsia="Times New Roman" w:cs="Calibri"/>
                <w:color w:val="000000"/>
                <w:szCs w:val="24"/>
              </w:rPr>
              <w:t>Treatment Planners</w:t>
            </w:r>
          </w:p>
        </w:tc>
        <w:tc>
          <w:tcPr>
            <w:tcW w:w="0" w:type="auto"/>
            <w:vAlign w:val="center"/>
            <w:hideMark/>
          </w:tcPr>
          <w:p w14:paraId="6BD74D5B" w14:textId="4C6EFE12" w:rsidR="00EA3A75" w:rsidRPr="00EA3A75" w:rsidRDefault="00EA3A75" w:rsidP="00EA3A75">
            <w:pPr>
              <w:widowControl/>
              <w:autoSpaceDE/>
              <w:autoSpaceDN/>
              <w:jc w:val="center"/>
              <w:rPr>
                <w:rFonts w:eastAsia="Times New Roman" w:cs="Calibri"/>
                <w:color w:val="000000"/>
                <w:szCs w:val="24"/>
              </w:rPr>
            </w:pPr>
            <w:r w:rsidRPr="00EA3A75">
              <w:rPr>
                <w:rFonts w:eastAsia="Times New Roman" w:cs="Calibri"/>
                <w:color w:val="000000"/>
                <w:szCs w:val="24"/>
              </w:rPr>
              <w:t>2</w:t>
            </w:r>
            <w:r w:rsidR="00047F09">
              <w:rPr>
                <w:rFonts w:eastAsia="Times New Roman" w:cs="Calibri"/>
                <w:color w:val="000000"/>
                <w:szCs w:val="24"/>
              </w:rPr>
              <w:t>.0</w:t>
            </w:r>
          </w:p>
        </w:tc>
      </w:tr>
      <w:tr w:rsidR="00EA3A75" w:rsidRPr="00EA3A75" w14:paraId="1859075E" w14:textId="77777777" w:rsidTr="00371D22">
        <w:trPr>
          <w:cantSplit/>
          <w:trHeight w:val="191"/>
        </w:trPr>
        <w:tc>
          <w:tcPr>
            <w:tcW w:w="0" w:type="auto"/>
            <w:vAlign w:val="center"/>
            <w:hideMark/>
          </w:tcPr>
          <w:p w14:paraId="75AD63C7" w14:textId="77777777" w:rsidR="00EA3A75" w:rsidRPr="00EA3A75" w:rsidRDefault="00EA3A75" w:rsidP="00071294">
            <w:pPr>
              <w:widowControl/>
              <w:autoSpaceDE/>
              <w:autoSpaceDN/>
              <w:ind w:left="144"/>
              <w:rPr>
                <w:rFonts w:eastAsia="Times New Roman" w:cs="Calibri"/>
                <w:color w:val="000000"/>
                <w:szCs w:val="24"/>
              </w:rPr>
            </w:pPr>
            <w:r w:rsidRPr="00EA3A75">
              <w:rPr>
                <w:rFonts w:eastAsia="Times New Roman" w:cs="Calibri"/>
                <w:color w:val="000000"/>
                <w:szCs w:val="24"/>
              </w:rPr>
              <w:t>Practice Support Staff</w:t>
            </w:r>
          </w:p>
        </w:tc>
        <w:tc>
          <w:tcPr>
            <w:tcW w:w="0" w:type="auto"/>
            <w:vAlign w:val="center"/>
            <w:hideMark/>
          </w:tcPr>
          <w:p w14:paraId="17D9C4A1" w14:textId="341811B7" w:rsidR="00EA3A75" w:rsidRPr="00EA3A75" w:rsidRDefault="00EA3A75" w:rsidP="00EA3A75">
            <w:pPr>
              <w:widowControl/>
              <w:autoSpaceDE/>
              <w:autoSpaceDN/>
              <w:jc w:val="center"/>
              <w:rPr>
                <w:rFonts w:eastAsia="Times New Roman" w:cs="Calibri"/>
                <w:color w:val="000000"/>
                <w:szCs w:val="24"/>
              </w:rPr>
            </w:pPr>
            <w:r w:rsidRPr="00EA3A75">
              <w:rPr>
                <w:rFonts w:eastAsia="Times New Roman" w:cs="Calibri"/>
                <w:color w:val="000000"/>
                <w:szCs w:val="24"/>
              </w:rPr>
              <w:t>2</w:t>
            </w:r>
            <w:r w:rsidR="00047F09">
              <w:rPr>
                <w:rFonts w:eastAsia="Times New Roman" w:cs="Calibri"/>
                <w:color w:val="000000"/>
                <w:szCs w:val="24"/>
              </w:rPr>
              <w:t>.0</w:t>
            </w:r>
          </w:p>
        </w:tc>
      </w:tr>
      <w:tr w:rsidR="00EA3A75" w:rsidRPr="00EA3A75" w14:paraId="6855D9CD" w14:textId="77777777" w:rsidTr="00371D22">
        <w:trPr>
          <w:cantSplit/>
          <w:trHeight w:val="320"/>
        </w:trPr>
        <w:tc>
          <w:tcPr>
            <w:tcW w:w="0" w:type="auto"/>
            <w:vAlign w:val="center"/>
            <w:hideMark/>
          </w:tcPr>
          <w:p w14:paraId="2A7C6170" w14:textId="77777777" w:rsidR="00EA3A75" w:rsidRPr="00EA3A75" w:rsidRDefault="00EA3A75" w:rsidP="00071294">
            <w:pPr>
              <w:widowControl/>
              <w:autoSpaceDE/>
              <w:autoSpaceDN/>
              <w:ind w:left="144"/>
              <w:rPr>
                <w:rFonts w:eastAsia="Times New Roman" w:cs="Calibri"/>
                <w:color w:val="000000"/>
                <w:szCs w:val="24"/>
              </w:rPr>
            </w:pPr>
            <w:r w:rsidRPr="00EA3A75">
              <w:rPr>
                <w:rFonts w:eastAsia="Times New Roman" w:cs="Calibri"/>
                <w:color w:val="000000"/>
                <w:szCs w:val="24"/>
              </w:rPr>
              <w:t>Nursing/APP</w:t>
            </w:r>
          </w:p>
        </w:tc>
        <w:tc>
          <w:tcPr>
            <w:tcW w:w="0" w:type="auto"/>
            <w:vAlign w:val="center"/>
            <w:hideMark/>
          </w:tcPr>
          <w:p w14:paraId="00B2D9B0" w14:textId="77777777" w:rsidR="00EA3A75" w:rsidRPr="00EA3A75" w:rsidRDefault="00EA3A75" w:rsidP="00EA3A75">
            <w:pPr>
              <w:widowControl/>
              <w:autoSpaceDE/>
              <w:autoSpaceDN/>
              <w:jc w:val="center"/>
              <w:rPr>
                <w:rFonts w:eastAsia="Times New Roman" w:cs="Calibri"/>
                <w:color w:val="000000"/>
                <w:szCs w:val="24"/>
              </w:rPr>
            </w:pPr>
            <w:r w:rsidRPr="00EA3A75">
              <w:rPr>
                <w:rFonts w:eastAsia="Times New Roman" w:cs="Calibri"/>
                <w:color w:val="000000"/>
                <w:szCs w:val="24"/>
              </w:rPr>
              <w:t>1.8</w:t>
            </w:r>
          </w:p>
        </w:tc>
      </w:tr>
      <w:tr w:rsidR="00EA3A75" w:rsidRPr="00EA3A75" w14:paraId="03624A59" w14:textId="77777777" w:rsidTr="00371D22">
        <w:trPr>
          <w:cantSplit/>
          <w:trHeight w:val="101"/>
        </w:trPr>
        <w:tc>
          <w:tcPr>
            <w:tcW w:w="0" w:type="auto"/>
            <w:vAlign w:val="center"/>
            <w:hideMark/>
          </w:tcPr>
          <w:p w14:paraId="40917566" w14:textId="77777777" w:rsidR="00EA3A75" w:rsidRPr="00EA3A75" w:rsidRDefault="00EA3A75" w:rsidP="00071294">
            <w:pPr>
              <w:widowControl/>
              <w:autoSpaceDE/>
              <w:autoSpaceDN/>
              <w:ind w:left="144"/>
              <w:rPr>
                <w:rFonts w:eastAsia="Times New Roman" w:cs="Calibri"/>
                <w:color w:val="000000"/>
                <w:szCs w:val="24"/>
              </w:rPr>
            </w:pPr>
            <w:r w:rsidRPr="00EA3A75">
              <w:rPr>
                <w:rFonts w:eastAsia="Times New Roman" w:cs="Calibri"/>
                <w:color w:val="000000"/>
                <w:szCs w:val="24"/>
              </w:rPr>
              <w:t>Medical Assistants</w:t>
            </w:r>
          </w:p>
        </w:tc>
        <w:tc>
          <w:tcPr>
            <w:tcW w:w="0" w:type="auto"/>
            <w:vAlign w:val="center"/>
            <w:hideMark/>
          </w:tcPr>
          <w:p w14:paraId="2751ACE3" w14:textId="77777777" w:rsidR="00EA3A75" w:rsidRPr="00EA3A75" w:rsidRDefault="00EA3A75" w:rsidP="00EA3A75">
            <w:pPr>
              <w:widowControl/>
              <w:autoSpaceDE/>
              <w:autoSpaceDN/>
              <w:jc w:val="center"/>
              <w:rPr>
                <w:rFonts w:eastAsia="Times New Roman" w:cs="Calibri"/>
                <w:color w:val="000000"/>
                <w:szCs w:val="24"/>
              </w:rPr>
            </w:pPr>
            <w:r w:rsidRPr="00EA3A75">
              <w:rPr>
                <w:rFonts w:eastAsia="Times New Roman" w:cs="Calibri"/>
                <w:color w:val="000000"/>
                <w:szCs w:val="24"/>
              </w:rPr>
              <w:t>1.5</w:t>
            </w:r>
          </w:p>
        </w:tc>
      </w:tr>
      <w:tr w:rsidR="00EA3A75" w:rsidRPr="00EA3A75" w14:paraId="157133F0" w14:textId="77777777" w:rsidTr="00371D22">
        <w:trPr>
          <w:cantSplit/>
          <w:trHeight w:val="74"/>
        </w:trPr>
        <w:tc>
          <w:tcPr>
            <w:tcW w:w="0" w:type="auto"/>
            <w:vAlign w:val="center"/>
            <w:hideMark/>
          </w:tcPr>
          <w:p w14:paraId="6CCAEF8D" w14:textId="77777777" w:rsidR="00EA3A75" w:rsidRPr="00EA3A75" w:rsidRDefault="00EA3A75" w:rsidP="00071294">
            <w:pPr>
              <w:widowControl/>
              <w:autoSpaceDE/>
              <w:autoSpaceDN/>
              <w:ind w:left="144"/>
              <w:rPr>
                <w:rFonts w:eastAsia="Times New Roman" w:cs="Calibri"/>
                <w:color w:val="000000"/>
                <w:szCs w:val="24"/>
              </w:rPr>
            </w:pPr>
            <w:r w:rsidRPr="00EA3A75">
              <w:rPr>
                <w:rFonts w:eastAsia="Times New Roman" w:cs="Calibri"/>
                <w:color w:val="000000"/>
                <w:szCs w:val="24"/>
              </w:rPr>
              <w:t>Research Personnel</w:t>
            </w:r>
          </w:p>
        </w:tc>
        <w:tc>
          <w:tcPr>
            <w:tcW w:w="0" w:type="auto"/>
            <w:vAlign w:val="center"/>
            <w:hideMark/>
          </w:tcPr>
          <w:p w14:paraId="4054EF68" w14:textId="77777777" w:rsidR="00EA3A75" w:rsidRPr="00EA3A75" w:rsidRDefault="00EA3A75" w:rsidP="00EA3A75">
            <w:pPr>
              <w:widowControl/>
              <w:autoSpaceDE/>
              <w:autoSpaceDN/>
              <w:jc w:val="center"/>
              <w:rPr>
                <w:rFonts w:eastAsia="Times New Roman" w:cs="Calibri"/>
                <w:color w:val="000000"/>
                <w:szCs w:val="24"/>
              </w:rPr>
            </w:pPr>
            <w:r w:rsidRPr="00EA3A75">
              <w:rPr>
                <w:rFonts w:eastAsia="Times New Roman" w:cs="Calibri"/>
                <w:color w:val="000000"/>
                <w:szCs w:val="24"/>
              </w:rPr>
              <w:t>1.5</w:t>
            </w:r>
          </w:p>
        </w:tc>
      </w:tr>
      <w:tr w:rsidR="00EA3A75" w:rsidRPr="00EA3A75" w14:paraId="140F58F7" w14:textId="77777777" w:rsidTr="00371D22">
        <w:trPr>
          <w:cantSplit/>
          <w:trHeight w:val="50"/>
        </w:trPr>
        <w:tc>
          <w:tcPr>
            <w:tcW w:w="0" w:type="auto"/>
            <w:vAlign w:val="center"/>
            <w:hideMark/>
          </w:tcPr>
          <w:p w14:paraId="32E238C8" w14:textId="77777777" w:rsidR="00EA3A75" w:rsidRPr="00EA3A75" w:rsidRDefault="00EA3A75" w:rsidP="00071294">
            <w:pPr>
              <w:widowControl/>
              <w:autoSpaceDE/>
              <w:autoSpaceDN/>
              <w:ind w:left="144"/>
              <w:rPr>
                <w:rFonts w:eastAsia="Times New Roman" w:cs="Calibri"/>
                <w:color w:val="000000"/>
                <w:szCs w:val="24"/>
              </w:rPr>
            </w:pPr>
            <w:r w:rsidRPr="00EA3A75">
              <w:rPr>
                <w:rFonts w:eastAsia="Times New Roman" w:cs="Calibri"/>
                <w:color w:val="000000"/>
                <w:szCs w:val="24"/>
              </w:rPr>
              <w:t>Medical Director</w:t>
            </w:r>
          </w:p>
        </w:tc>
        <w:tc>
          <w:tcPr>
            <w:tcW w:w="0" w:type="auto"/>
            <w:vAlign w:val="center"/>
            <w:hideMark/>
          </w:tcPr>
          <w:p w14:paraId="2BA92C25" w14:textId="4B661B6C" w:rsidR="00EA3A75" w:rsidRPr="00EA3A75" w:rsidRDefault="00EA3A75" w:rsidP="00EA3A75">
            <w:pPr>
              <w:widowControl/>
              <w:autoSpaceDE/>
              <w:autoSpaceDN/>
              <w:jc w:val="center"/>
              <w:rPr>
                <w:rFonts w:eastAsia="Times New Roman" w:cs="Calibri"/>
                <w:color w:val="000000"/>
                <w:szCs w:val="24"/>
              </w:rPr>
            </w:pPr>
            <w:r w:rsidRPr="00EA3A75">
              <w:rPr>
                <w:rFonts w:eastAsia="Times New Roman" w:cs="Calibri"/>
                <w:color w:val="000000"/>
                <w:szCs w:val="24"/>
              </w:rPr>
              <w:t>1</w:t>
            </w:r>
            <w:r w:rsidR="00047F09">
              <w:rPr>
                <w:rFonts w:eastAsia="Times New Roman" w:cs="Calibri"/>
                <w:color w:val="000000"/>
                <w:szCs w:val="24"/>
              </w:rPr>
              <w:t>.0</w:t>
            </w:r>
          </w:p>
        </w:tc>
      </w:tr>
      <w:tr w:rsidR="00EA3A75" w:rsidRPr="00EA3A75" w14:paraId="5EBB9B7F" w14:textId="77777777" w:rsidTr="00371D22">
        <w:trPr>
          <w:cantSplit/>
          <w:trHeight w:val="50"/>
        </w:trPr>
        <w:tc>
          <w:tcPr>
            <w:tcW w:w="0" w:type="auto"/>
            <w:vAlign w:val="center"/>
            <w:hideMark/>
          </w:tcPr>
          <w:p w14:paraId="2BD4C72F" w14:textId="77777777" w:rsidR="00EA3A75" w:rsidRPr="00EA3A75" w:rsidRDefault="00EA3A75" w:rsidP="00071294">
            <w:pPr>
              <w:widowControl/>
              <w:autoSpaceDE/>
              <w:autoSpaceDN/>
              <w:ind w:left="144"/>
              <w:rPr>
                <w:rFonts w:eastAsia="Times New Roman" w:cs="Calibri"/>
                <w:color w:val="000000"/>
                <w:szCs w:val="24"/>
              </w:rPr>
            </w:pPr>
            <w:r w:rsidRPr="00EA3A75">
              <w:rPr>
                <w:rFonts w:eastAsia="Times New Roman" w:cs="Calibri"/>
                <w:color w:val="000000"/>
                <w:szCs w:val="24"/>
              </w:rPr>
              <w:t>Child Life Specialist</w:t>
            </w:r>
          </w:p>
        </w:tc>
        <w:tc>
          <w:tcPr>
            <w:tcW w:w="0" w:type="auto"/>
            <w:vAlign w:val="center"/>
            <w:hideMark/>
          </w:tcPr>
          <w:p w14:paraId="1CEA2C8B" w14:textId="7C711510" w:rsidR="00EA3A75" w:rsidRPr="00EA3A75" w:rsidRDefault="00EA3A75" w:rsidP="00EA3A75">
            <w:pPr>
              <w:widowControl/>
              <w:autoSpaceDE/>
              <w:autoSpaceDN/>
              <w:jc w:val="center"/>
              <w:rPr>
                <w:rFonts w:eastAsia="Times New Roman" w:cs="Calibri"/>
                <w:color w:val="000000"/>
                <w:szCs w:val="24"/>
              </w:rPr>
            </w:pPr>
            <w:r w:rsidRPr="00EA3A75">
              <w:rPr>
                <w:rFonts w:eastAsia="Times New Roman" w:cs="Calibri"/>
                <w:color w:val="000000"/>
                <w:szCs w:val="24"/>
              </w:rPr>
              <w:t>1</w:t>
            </w:r>
            <w:r w:rsidR="00047F09">
              <w:rPr>
                <w:rFonts w:eastAsia="Times New Roman" w:cs="Calibri"/>
                <w:color w:val="000000"/>
                <w:szCs w:val="24"/>
              </w:rPr>
              <w:t>.0</w:t>
            </w:r>
          </w:p>
        </w:tc>
      </w:tr>
      <w:tr w:rsidR="00EA3A75" w:rsidRPr="00EA3A75" w14:paraId="2CC6B722" w14:textId="77777777" w:rsidTr="00371D22">
        <w:trPr>
          <w:cantSplit/>
          <w:trHeight w:val="50"/>
        </w:trPr>
        <w:tc>
          <w:tcPr>
            <w:tcW w:w="0" w:type="auto"/>
            <w:vAlign w:val="center"/>
            <w:hideMark/>
          </w:tcPr>
          <w:p w14:paraId="5E495085" w14:textId="77777777" w:rsidR="00EA3A75" w:rsidRPr="00EA3A75" w:rsidRDefault="00EA3A75" w:rsidP="00071294">
            <w:pPr>
              <w:widowControl/>
              <w:autoSpaceDE/>
              <w:autoSpaceDN/>
              <w:ind w:left="144"/>
              <w:rPr>
                <w:rFonts w:eastAsia="Times New Roman" w:cs="Calibri"/>
                <w:color w:val="000000"/>
                <w:szCs w:val="24"/>
              </w:rPr>
            </w:pPr>
            <w:r w:rsidRPr="00EA3A75">
              <w:rPr>
                <w:rFonts w:eastAsia="Times New Roman" w:cs="Calibri"/>
                <w:color w:val="000000"/>
                <w:szCs w:val="24"/>
              </w:rPr>
              <w:t>IT</w:t>
            </w:r>
          </w:p>
        </w:tc>
        <w:tc>
          <w:tcPr>
            <w:tcW w:w="0" w:type="auto"/>
            <w:vAlign w:val="center"/>
            <w:hideMark/>
          </w:tcPr>
          <w:p w14:paraId="3DA2E20C" w14:textId="17167F21" w:rsidR="00EA3A75" w:rsidRPr="00EA3A75" w:rsidRDefault="00EA3A75" w:rsidP="00EA3A75">
            <w:pPr>
              <w:widowControl/>
              <w:autoSpaceDE/>
              <w:autoSpaceDN/>
              <w:jc w:val="center"/>
              <w:rPr>
                <w:rFonts w:eastAsia="Times New Roman" w:cs="Calibri"/>
                <w:color w:val="000000"/>
                <w:szCs w:val="24"/>
              </w:rPr>
            </w:pPr>
            <w:r w:rsidRPr="00EA3A75">
              <w:rPr>
                <w:rFonts w:eastAsia="Times New Roman" w:cs="Calibri"/>
                <w:color w:val="000000"/>
                <w:szCs w:val="24"/>
              </w:rPr>
              <w:t>1</w:t>
            </w:r>
            <w:r w:rsidR="00047F09">
              <w:rPr>
                <w:rFonts w:eastAsia="Times New Roman" w:cs="Calibri"/>
                <w:color w:val="000000"/>
                <w:szCs w:val="24"/>
              </w:rPr>
              <w:t>.0</w:t>
            </w:r>
          </w:p>
        </w:tc>
      </w:tr>
      <w:tr w:rsidR="003C361D" w:rsidRPr="00EA3A75" w14:paraId="1478FD02" w14:textId="77777777" w:rsidTr="00371D22">
        <w:trPr>
          <w:cantSplit/>
          <w:trHeight w:val="50"/>
        </w:trPr>
        <w:tc>
          <w:tcPr>
            <w:tcW w:w="0" w:type="auto"/>
            <w:vAlign w:val="center"/>
          </w:tcPr>
          <w:p w14:paraId="1C457ABD" w14:textId="3531F530" w:rsidR="003C361D" w:rsidRPr="00EA3A75" w:rsidRDefault="003C361D" w:rsidP="00071294">
            <w:pPr>
              <w:widowControl/>
              <w:autoSpaceDE/>
              <w:autoSpaceDN/>
              <w:ind w:left="144"/>
              <w:rPr>
                <w:rFonts w:eastAsia="Times New Roman" w:cs="Calibri"/>
                <w:color w:val="000000"/>
                <w:szCs w:val="24"/>
              </w:rPr>
            </w:pPr>
            <w:r>
              <w:rPr>
                <w:rFonts w:eastAsia="Times New Roman" w:cs="Calibri"/>
                <w:color w:val="000000"/>
                <w:szCs w:val="24"/>
              </w:rPr>
              <w:lastRenderedPageBreak/>
              <w:t>Total</w:t>
            </w:r>
          </w:p>
        </w:tc>
        <w:tc>
          <w:tcPr>
            <w:tcW w:w="0" w:type="auto"/>
            <w:vAlign w:val="center"/>
          </w:tcPr>
          <w:p w14:paraId="30825EBB" w14:textId="2E4F231F" w:rsidR="003C361D" w:rsidRPr="00EA3A75" w:rsidRDefault="003C361D" w:rsidP="00EA3A75">
            <w:pPr>
              <w:widowControl/>
              <w:autoSpaceDE/>
              <w:autoSpaceDN/>
              <w:jc w:val="center"/>
              <w:rPr>
                <w:rFonts w:eastAsia="Times New Roman" w:cs="Calibri"/>
                <w:color w:val="000000"/>
                <w:szCs w:val="24"/>
              </w:rPr>
            </w:pPr>
            <w:r>
              <w:rPr>
                <w:rFonts w:eastAsia="Times New Roman" w:cs="Calibri"/>
                <w:color w:val="000000"/>
                <w:szCs w:val="24"/>
              </w:rPr>
              <w:t>28</w:t>
            </w:r>
          </w:p>
        </w:tc>
      </w:tr>
    </w:tbl>
    <w:p w14:paraId="64E33F85" w14:textId="77777777" w:rsidR="00910E74" w:rsidRPr="009C1213" w:rsidRDefault="00910E74" w:rsidP="0028104A">
      <w:pPr>
        <w:rPr>
          <w:rFonts w:asciiTheme="minorHAnsi" w:hAnsiTheme="minorHAnsi"/>
          <w:szCs w:val="24"/>
        </w:rPr>
      </w:pPr>
    </w:p>
    <w:p w14:paraId="3D909DA6" w14:textId="0E433148" w:rsidR="009C1213" w:rsidRPr="00910E74" w:rsidRDefault="00334A8A" w:rsidP="0028104A">
      <w:pPr>
        <w:rPr>
          <w:rFonts w:asciiTheme="minorHAnsi" w:hAnsiTheme="minorHAnsi"/>
          <w:szCs w:val="24"/>
        </w:rPr>
      </w:pPr>
      <w:r>
        <w:rPr>
          <w:rFonts w:asciiTheme="minorHAnsi" w:hAnsiTheme="minorHAnsi"/>
          <w:szCs w:val="24"/>
        </w:rPr>
        <w:t>To staff the Center, the Applicant states that it will leverage resources from the Applicant’s existing Radiation Oncology Department</w:t>
      </w:r>
      <w:r w:rsidR="001210DF">
        <w:rPr>
          <w:rFonts w:asciiTheme="minorHAnsi" w:hAnsiTheme="minorHAnsi"/>
          <w:szCs w:val="24"/>
        </w:rPr>
        <w:t xml:space="preserve">, and </w:t>
      </w:r>
      <w:r>
        <w:rPr>
          <w:rFonts w:asciiTheme="minorHAnsi" w:hAnsiTheme="minorHAnsi"/>
          <w:szCs w:val="24"/>
        </w:rPr>
        <w:t xml:space="preserve">that it will focus on recruiting talent from the communities that it serves. </w:t>
      </w:r>
    </w:p>
    <w:p w14:paraId="4C67702D" w14:textId="77777777" w:rsidR="009C1213" w:rsidRDefault="009C1213" w:rsidP="0028104A">
      <w:pPr>
        <w:rPr>
          <w:rFonts w:asciiTheme="minorHAnsi" w:hAnsiTheme="minorHAnsi"/>
          <w:b/>
          <w:bCs/>
          <w:i/>
          <w:iCs/>
          <w:szCs w:val="24"/>
        </w:rPr>
      </w:pPr>
    </w:p>
    <w:p w14:paraId="09DE79C9" w14:textId="5F4F7915" w:rsidR="00472A44" w:rsidRDefault="00A4110F" w:rsidP="0028104A">
      <w:pPr>
        <w:rPr>
          <w:rFonts w:asciiTheme="minorHAnsi" w:hAnsiTheme="minorHAnsi"/>
          <w:b/>
          <w:bCs/>
          <w:i/>
          <w:iCs/>
          <w:szCs w:val="24"/>
        </w:rPr>
      </w:pPr>
      <w:r w:rsidRPr="00932E5D">
        <w:rPr>
          <w:rFonts w:asciiTheme="minorHAnsi" w:hAnsiTheme="minorHAnsi"/>
          <w:b/>
          <w:bCs/>
          <w:i/>
          <w:iCs/>
          <w:szCs w:val="24"/>
        </w:rPr>
        <w:t>Analysis</w:t>
      </w:r>
    </w:p>
    <w:p w14:paraId="7EFAFDF1" w14:textId="08A436B1" w:rsidR="00C95217" w:rsidRDefault="00012280" w:rsidP="00C95217">
      <w:r w:rsidRPr="7CB8050B">
        <w:rPr>
          <w:rFonts w:asciiTheme="minorHAnsi" w:hAnsiTheme="minorHAnsi"/>
        </w:rPr>
        <w:t>Staff find that the Applicant has demonstrated, with data,</w:t>
      </w:r>
      <w:r w:rsidR="00AE1999" w:rsidRPr="7CB8050B">
        <w:rPr>
          <w:rFonts w:asciiTheme="minorHAnsi" w:hAnsiTheme="minorHAnsi"/>
        </w:rPr>
        <w:t xml:space="preserve"> </w:t>
      </w:r>
      <w:r w:rsidRPr="7CB8050B">
        <w:rPr>
          <w:rFonts w:asciiTheme="minorHAnsi" w:hAnsiTheme="minorHAnsi"/>
        </w:rPr>
        <w:t>need for additional PBT capacity in Massachusetts to address</w:t>
      </w:r>
      <w:r w:rsidR="00D06091" w:rsidRPr="7CB8050B">
        <w:rPr>
          <w:rFonts w:asciiTheme="minorHAnsi" w:hAnsiTheme="minorHAnsi"/>
        </w:rPr>
        <w:t xml:space="preserve"> </w:t>
      </w:r>
      <w:r w:rsidRPr="7CB8050B">
        <w:rPr>
          <w:rFonts w:asciiTheme="minorHAnsi" w:hAnsiTheme="minorHAnsi"/>
        </w:rPr>
        <w:t>an unmet need</w:t>
      </w:r>
      <w:r w:rsidR="00673588" w:rsidRPr="7CB8050B">
        <w:rPr>
          <w:rFonts w:asciiTheme="minorHAnsi" w:hAnsiTheme="minorHAnsi"/>
        </w:rPr>
        <w:t xml:space="preserve"> for PBT</w:t>
      </w:r>
      <w:r w:rsidRPr="7CB8050B">
        <w:rPr>
          <w:rFonts w:asciiTheme="minorHAnsi" w:hAnsiTheme="minorHAnsi"/>
        </w:rPr>
        <w:t xml:space="preserve"> in its Patient Panel. The Applicant has shown how existing PBT in Massachusetts i</w:t>
      </w:r>
      <w:r w:rsidR="00673588" w:rsidRPr="7CB8050B">
        <w:rPr>
          <w:rFonts w:asciiTheme="minorHAnsi" w:hAnsiTheme="minorHAnsi"/>
        </w:rPr>
        <w:t>s</w:t>
      </w:r>
      <w:r w:rsidRPr="7CB8050B">
        <w:rPr>
          <w:rFonts w:asciiTheme="minorHAnsi" w:hAnsiTheme="minorHAnsi"/>
        </w:rPr>
        <w:t xml:space="preserve"> </w:t>
      </w:r>
      <w:r w:rsidR="00320C4E" w:rsidRPr="7CB8050B">
        <w:rPr>
          <w:rFonts w:asciiTheme="minorHAnsi" w:hAnsiTheme="minorHAnsi"/>
        </w:rPr>
        <w:t>insufficient</w:t>
      </w:r>
      <w:r w:rsidRPr="7CB8050B">
        <w:rPr>
          <w:rFonts w:asciiTheme="minorHAnsi" w:hAnsiTheme="minorHAnsi"/>
        </w:rPr>
        <w:t xml:space="preserve"> to meet the needs of its patients for whom PBT is the most </w:t>
      </w:r>
      <w:r w:rsidR="00320C4E" w:rsidRPr="7CB8050B">
        <w:rPr>
          <w:rFonts w:asciiTheme="minorHAnsi" w:hAnsiTheme="minorHAnsi"/>
        </w:rPr>
        <w:t>clinically</w:t>
      </w:r>
      <w:r w:rsidRPr="7CB8050B">
        <w:rPr>
          <w:rFonts w:asciiTheme="minorHAnsi" w:hAnsiTheme="minorHAnsi"/>
        </w:rPr>
        <w:t xml:space="preserve"> appropriate treatment</w:t>
      </w:r>
      <w:r w:rsidR="00F15BC8" w:rsidRPr="7CB8050B">
        <w:rPr>
          <w:rFonts w:asciiTheme="minorHAnsi" w:hAnsiTheme="minorHAnsi"/>
        </w:rPr>
        <w:t xml:space="preserve"> based on CMS’ Group 1 </w:t>
      </w:r>
      <w:r w:rsidR="00A13E1F" w:rsidRPr="7CB8050B">
        <w:rPr>
          <w:rFonts w:asciiTheme="minorHAnsi" w:hAnsiTheme="minorHAnsi"/>
        </w:rPr>
        <w:t xml:space="preserve">criteria, for patients for whom PBT is </w:t>
      </w:r>
      <w:r w:rsidR="00C139BF" w:rsidRPr="7CB8050B">
        <w:rPr>
          <w:rFonts w:asciiTheme="minorHAnsi" w:hAnsiTheme="minorHAnsi"/>
        </w:rPr>
        <w:t>reasonable and</w:t>
      </w:r>
      <w:r w:rsidR="00A13E1F" w:rsidRPr="7CB8050B">
        <w:rPr>
          <w:rFonts w:asciiTheme="minorHAnsi" w:hAnsiTheme="minorHAnsi"/>
        </w:rPr>
        <w:t xml:space="preserve"> necessary</w:t>
      </w:r>
      <w:r w:rsidRPr="7CB8050B">
        <w:rPr>
          <w:rFonts w:asciiTheme="minorHAnsi" w:hAnsiTheme="minorHAnsi"/>
        </w:rPr>
        <w:t xml:space="preserve">. </w:t>
      </w:r>
      <w:r w:rsidR="00FC6861" w:rsidRPr="68AF13A7">
        <w:rPr>
          <w:rFonts w:asciiTheme="minorHAnsi" w:hAnsiTheme="minorHAnsi"/>
        </w:rPr>
        <w:t xml:space="preserve">To better understand the Applicant’s methodology for determining </w:t>
      </w:r>
      <w:r w:rsidR="00CF33FC" w:rsidRPr="68AF13A7">
        <w:rPr>
          <w:rFonts w:asciiTheme="minorHAnsi" w:hAnsiTheme="minorHAnsi"/>
        </w:rPr>
        <w:t xml:space="preserve">Patient Panel </w:t>
      </w:r>
      <w:r w:rsidR="00FC6861" w:rsidRPr="68AF13A7">
        <w:rPr>
          <w:rFonts w:asciiTheme="minorHAnsi" w:hAnsiTheme="minorHAnsi"/>
        </w:rPr>
        <w:t xml:space="preserve">eligibility for PBT, staff requested ICD-10 diagnosis codes for adult and pediatric Group 1 and Group 2 patients for the most recent year. The list of ICD-10 codes can be found online in Responses to DoN Questions #2. Staff took a random sample of Group 1 and Group 2 codes from the ones provided by the Applicant and compared them to the ICD-10  diagnosis codes included in CMS’ Billing and Coding: Proton Beam Therapy (A56827). </w:t>
      </w:r>
      <w:r w:rsidR="00C95217">
        <w:t xml:space="preserve">Staff note that </w:t>
      </w:r>
      <w:r w:rsidR="00C95217" w:rsidRPr="00964D75">
        <w:t xml:space="preserve">because some of the characteristics of Group 2 malignancies are not adequately reflected by ICD-10 codes, such as whether or not a malignancy is unresectable, the </w:t>
      </w:r>
      <w:r w:rsidR="00C95217">
        <w:t xml:space="preserve">Applicant’s </w:t>
      </w:r>
      <w:r w:rsidR="00C95217" w:rsidRPr="00964D75">
        <w:t xml:space="preserve">methodology to achieve </w:t>
      </w:r>
      <w:r w:rsidR="00C95217">
        <w:t>G</w:t>
      </w:r>
      <w:r w:rsidR="00C95217" w:rsidRPr="00964D75">
        <w:t xml:space="preserve">roup 2 estimates using ICD-10 </w:t>
      </w:r>
      <w:r w:rsidR="00C95217">
        <w:t xml:space="preserve">diagnosis </w:t>
      </w:r>
      <w:r w:rsidR="00C95217" w:rsidRPr="00964D75">
        <w:t>codes may overestimate the number of patients for whom PBT would be clinically necessary. However,</w:t>
      </w:r>
      <w:r w:rsidR="00C95217">
        <w:t xml:space="preserve"> the Applicant’s Patient Panel need for PBT </w:t>
      </w:r>
      <w:r w:rsidR="00C95217" w:rsidRPr="00964D75">
        <w:t>is me</w:t>
      </w:r>
      <w:r w:rsidR="00C95217">
        <w:t>t</w:t>
      </w:r>
      <w:r w:rsidR="00C95217" w:rsidRPr="00964D75">
        <w:t xml:space="preserve"> by</w:t>
      </w:r>
      <w:r w:rsidR="00C95217">
        <w:t xml:space="preserve"> CMS’</w:t>
      </w:r>
      <w:r w:rsidR="00C95217" w:rsidRPr="00964D75">
        <w:t xml:space="preserve"> </w:t>
      </w:r>
      <w:r w:rsidR="00C95217">
        <w:t>G</w:t>
      </w:r>
      <w:r w:rsidR="00C95217" w:rsidRPr="00964D75">
        <w:t xml:space="preserve">roup 1 </w:t>
      </w:r>
      <w:r w:rsidR="0059565B">
        <w:t xml:space="preserve">indications </w:t>
      </w:r>
      <w:r w:rsidR="00C95217" w:rsidRPr="00964D75">
        <w:t>alone.</w:t>
      </w:r>
      <w:r w:rsidR="00C95217">
        <w:t xml:space="preserve"> </w:t>
      </w:r>
    </w:p>
    <w:p w14:paraId="746A4866" w14:textId="77777777" w:rsidR="004F4ABE" w:rsidRDefault="004F4ABE" w:rsidP="00C95217"/>
    <w:p w14:paraId="77E20EFD" w14:textId="195803BE" w:rsidR="00D23AB1" w:rsidRDefault="00D23AB1" w:rsidP="00D23AB1">
      <w:r>
        <w:t xml:space="preserve">As shown in Table </w:t>
      </w:r>
      <w:r w:rsidR="00993A37">
        <w:t>22</w:t>
      </w:r>
      <w:r>
        <w:t xml:space="preserve">, </w:t>
      </w:r>
      <w:r w:rsidR="000D4BCB">
        <w:t>839</w:t>
      </w:r>
      <w:r>
        <w:t xml:space="preserve"> adult Group 1 patients and </w:t>
      </w:r>
      <w:r w:rsidR="000D4BCB">
        <w:t>68</w:t>
      </w:r>
      <w:r>
        <w:t xml:space="preserve"> pediatric Group 1 patients (</w:t>
      </w:r>
      <w:r w:rsidR="00821E5B">
        <w:t>907</w:t>
      </w:r>
      <w:r>
        <w:t xml:space="preserve"> total) reside in </w:t>
      </w:r>
      <w:r w:rsidR="2A3EDBE7">
        <w:t xml:space="preserve">either </w:t>
      </w:r>
      <w:r>
        <w:t xml:space="preserve">Suffolk County, where the proposed Center will be located, </w:t>
      </w:r>
      <w:r w:rsidR="369CBEE0">
        <w:t xml:space="preserve">or </w:t>
      </w:r>
      <w:r>
        <w:t xml:space="preserve">in Middlesex </w:t>
      </w:r>
      <w:r w:rsidR="441EB414">
        <w:t xml:space="preserve">or </w:t>
      </w:r>
      <w:r w:rsidR="00246F61">
        <w:t xml:space="preserve">Norfolk </w:t>
      </w:r>
      <w:r>
        <w:t>count</w:t>
      </w:r>
      <w:r w:rsidR="00246F61">
        <w:t>ies</w:t>
      </w:r>
      <w:r>
        <w:t xml:space="preserve">, which </w:t>
      </w:r>
      <w:r w:rsidR="00A37A98">
        <w:t xml:space="preserve">both </w:t>
      </w:r>
      <w:r>
        <w:t xml:space="preserve">border Suffolk county. The Applicant’s proposed PBT system will treat an estimated 216 patients per year, or approximately </w:t>
      </w:r>
      <w:r w:rsidR="00364856">
        <w:t>24</w:t>
      </w:r>
      <w:r>
        <w:t>% of Massachusetts Group 1 patients residing in close proximity to the</w:t>
      </w:r>
      <w:r w:rsidR="000920FD">
        <w:t xml:space="preserve"> proposed</w:t>
      </w:r>
      <w:r>
        <w:t xml:space="preserve"> Center.  </w:t>
      </w:r>
    </w:p>
    <w:p w14:paraId="6E3E5634" w14:textId="77777777" w:rsidR="00D87E6F" w:rsidRDefault="00D87E6F" w:rsidP="00C95217">
      <w:pPr>
        <w:rPr>
          <w:b/>
          <w:bCs/>
          <w:u w:val="single"/>
        </w:rPr>
      </w:pPr>
    </w:p>
    <w:p w14:paraId="2BA557DC" w14:textId="1586132D" w:rsidR="004F4ABE" w:rsidRPr="001769C6" w:rsidRDefault="00D87E6F" w:rsidP="00C95217">
      <w:pPr>
        <w:rPr>
          <w:b/>
          <w:bCs/>
        </w:rPr>
      </w:pPr>
      <w:r w:rsidRPr="001769C6">
        <w:rPr>
          <w:b/>
          <w:bCs/>
          <w:u w:val="single"/>
        </w:rPr>
        <w:t xml:space="preserve">Table </w:t>
      </w:r>
      <w:r w:rsidR="00993A37">
        <w:rPr>
          <w:b/>
          <w:bCs/>
          <w:u w:val="single"/>
        </w:rPr>
        <w:t>22</w:t>
      </w:r>
      <w:r w:rsidRPr="001769C6">
        <w:rPr>
          <w:b/>
          <w:bCs/>
        </w:rPr>
        <w:t xml:space="preserve">: </w:t>
      </w:r>
      <w:r>
        <w:rPr>
          <w:b/>
          <w:bCs/>
        </w:rPr>
        <w:t>Suffolk</w:t>
      </w:r>
      <w:r w:rsidR="00C14E35">
        <w:rPr>
          <w:b/>
          <w:bCs/>
        </w:rPr>
        <w:t xml:space="preserve"> County</w:t>
      </w:r>
      <w:r w:rsidR="009D467F">
        <w:rPr>
          <w:b/>
          <w:bCs/>
        </w:rPr>
        <w:t>, Middlesex</w:t>
      </w:r>
      <w:r w:rsidR="00C14E35">
        <w:rPr>
          <w:b/>
          <w:bCs/>
        </w:rPr>
        <w:t xml:space="preserve"> County</w:t>
      </w:r>
      <w:r w:rsidR="009D467F">
        <w:rPr>
          <w:b/>
          <w:bCs/>
        </w:rPr>
        <w:t xml:space="preserve">, and Norfolk County, </w:t>
      </w:r>
      <w:r w:rsidRPr="001769C6">
        <w:rPr>
          <w:b/>
          <w:bCs/>
        </w:rPr>
        <w:t>Group 1 Patients</w:t>
      </w:r>
    </w:p>
    <w:tbl>
      <w:tblPr>
        <w:tblW w:w="0" w:type="auto"/>
        <w:tblLook w:val="04A0" w:firstRow="1" w:lastRow="0" w:firstColumn="1" w:lastColumn="0" w:noHBand="0" w:noVBand="1"/>
      </w:tblPr>
      <w:tblGrid>
        <w:gridCol w:w="2456"/>
        <w:gridCol w:w="1617"/>
        <w:gridCol w:w="1954"/>
      </w:tblGrid>
      <w:tr w:rsidR="009D467F" w:rsidRPr="009D467F" w14:paraId="268E731F" w14:textId="77777777" w:rsidTr="00464B08">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7C9FC52B" w14:textId="77777777" w:rsidR="009D467F" w:rsidRPr="001769C6" w:rsidRDefault="009D467F" w:rsidP="009D467F">
            <w:pPr>
              <w:widowControl/>
              <w:autoSpaceDE/>
              <w:autoSpaceDN/>
              <w:rPr>
                <w:rFonts w:asciiTheme="minorHAnsi" w:eastAsia="Times New Roman" w:hAnsiTheme="minorHAnsi"/>
                <w:b/>
                <w:bCs/>
                <w:color w:val="000000"/>
                <w:szCs w:val="24"/>
              </w:rPr>
            </w:pPr>
            <w:r w:rsidRPr="001769C6">
              <w:rPr>
                <w:rFonts w:asciiTheme="minorHAnsi" w:eastAsia="Times New Roman" w:hAnsiTheme="minorHAnsi"/>
                <w:b/>
                <w:bCs/>
                <w:color w:val="000000"/>
                <w:szCs w:val="24"/>
              </w:rPr>
              <w:t>Massachusetts County</w:t>
            </w:r>
          </w:p>
        </w:tc>
        <w:tc>
          <w:tcPr>
            <w:tcW w:w="0" w:type="auto"/>
            <w:tcBorders>
              <w:top w:val="single" w:sz="4" w:space="0" w:color="auto"/>
              <w:left w:val="nil"/>
              <w:bottom w:val="single" w:sz="4" w:space="0" w:color="auto"/>
              <w:right w:val="single" w:sz="4" w:space="0" w:color="auto"/>
            </w:tcBorders>
            <w:shd w:val="clear" w:color="000000" w:fill="DAE9F8"/>
            <w:noWrap/>
            <w:vAlign w:val="bottom"/>
            <w:hideMark/>
          </w:tcPr>
          <w:p w14:paraId="185BFF01" w14:textId="77777777" w:rsidR="009D467F" w:rsidRPr="001769C6" w:rsidRDefault="009D467F" w:rsidP="009D467F">
            <w:pPr>
              <w:widowControl/>
              <w:autoSpaceDE/>
              <w:autoSpaceDN/>
              <w:jc w:val="center"/>
              <w:rPr>
                <w:rFonts w:asciiTheme="minorHAnsi" w:eastAsia="Times New Roman" w:hAnsiTheme="minorHAnsi"/>
                <w:b/>
                <w:bCs/>
                <w:color w:val="000000"/>
                <w:szCs w:val="24"/>
              </w:rPr>
            </w:pPr>
            <w:r w:rsidRPr="001769C6">
              <w:rPr>
                <w:rFonts w:asciiTheme="minorHAnsi" w:eastAsia="Times New Roman" w:hAnsiTheme="minorHAnsi"/>
                <w:b/>
                <w:bCs/>
                <w:color w:val="000000"/>
                <w:szCs w:val="24"/>
              </w:rPr>
              <w:t>Adult Group 1</w:t>
            </w:r>
          </w:p>
        </w:tc>
        <w:tc>
          <w:tcPr>
            <w:tcW w:w="0" w:type="auto"/>
            <w:tcBorders>
              <w:top w:val="single" w:sz="4" w:space="0" w:color="auto"/>
              <w:left w:val="nil"/>
              <w:bottom w:val="single" w:sz="4" w:space="0" w:color="auto"/>
              <w:right w:val="single" w:sz="4" w:space="0" w:color="auto"/>
            </w:tcBorders>
            <w:shd w:val="clear" w:color="000000" w:fill="DAE9F8"/>
            <w:noWrap/>
            <w:vAlign w:val="bottom"/>
            <w:hideMark/>
          </w:tcPr>
          <w:p w14:paraId="1C5290EC" w14:textId="77777777" w:rsidR="009D467F" w:rsidRPr="001769C6" w:rsidRDefault="009D467F" w:rsidP="009D467F">
            <w:pPr>
              <w:widowControl/>
              <w:autoSpaceDE/>
              <w:autoSpaceDN/>
              <w:jc w:val="center"/>
              <w:rPr>
                <w:rFonts w:asciiTheme="minorHAnsi" w:eastAsia="Times New Roman" w:hAnsiTheme="minorHAnsi"/>
                <w:b/>
                <w:bCs/>
                <w:color w:val="000000"/>
                <w:szCs w:val="24"/>
              </w:rPr>
            </w:pPr>
            <w:r w:rsidRPr="001769C6">
              <w:rPr>
                <w:rFonts w:asciiTheme="minorHAnsi" w:eastAsia="Times New Roman" w:hAnsiTheme="minorHAnsi"/>
                <w:b/>
                <w:bCs/>
                <w:color w:val="000000"/>
                <w:szCs w:val="24"/>
              </w:rPr>
              <w:t>Pediatric Group 1</w:t>
            </w:r>
          </w:p>
        </w:tc>
      </w:tr>
      <w:tr w:rsidR="009D467F" w:rsidRPr="009D467F" w14:paraId="659776F9" w14:textId="77777777" w:rsidTr="00464B08">
        <w:trPr>
          <w:cantSplit/>
          <w:trHeight w:val="290"/>
        </w:trPr>
        <w:tc>
          <w:tcPr>
            <w:tcW w:w="0" w:type="auto"/>
            <w:tcBorders>
              <w:top w:val="nil"/>
              <w:left w:val="single" w:sz="4" w:space="0" w:color="auto"/>
              <w:bottom w:val="single" w:sz="4" w:space="0" w:color="auto"/>
              <w:right w:val="single" w:sz="4" w:space="0" w:color="auto"/>
            </w:tcBorders>
            <w:noWrap/>
            <w:vAlign w:val="bottom"/>
            <w:hideMark/>
          </w:tcPr>
          <w:p w14:paraId="41E32761" w14:textId="4FF2BAF9" w:rsidR="009D467F" w:rsidRPr="001769C6" w:rsidRDefault="009D467F" w:rsidP="001769C6">
            <w:pPr>
              <w:widowControl/>
              <w:autoSpaceDE/>
              <w:autoSpaceDN/>
              <w:ind w:left="144"/>
              <w:rPr>
                <w:rFonts w:asciiTheme="minorHAnsi" w:eastAsia="Times New Roman" w:hAnsiTheme="minorHAnsi"/>
                <w:color w:val="000000"/>
                <w:szCs w:val="24"/>
              </w:rPr>
            </w:pPr>
            <w:r w:rsidRPr="001769C6">
              <w:rPr>
                <w:rFonts w:asciiTheme="minorHAnsi" w:eastAsia="Times New Roman" w:hAnsiTheme="minorHAnsi"/>
                <w:color w:val="000000"/>
                <w:szCs w:val="24"/>
              </w:rPr>
              <w:t>Suffolk County</w:t>
            </w:r>
            <w:r w:rsidR="006E49BC">
              <w:rPr>
                <w:rStyle w:val="FootnoteReference"/>
                <w:rFonts w:asciiTheme="minorHAnsi" w:eastAsia="Times New Roman" w:hAnsiTheme="minorHAnsi"/>
                <w:color w:val="000000"/>
                <w:szCs w:val="24"/>
              </w:rPr>
              <w:footnoteReference w:id="56"/>
            </w:r>
          </w:p>
        </w:tc>
        <w:tc>
          <w:tcPr>
            <w:tcW w:w="0" w:type="auto"/>
            <w:tcBorders>
              <w:top w:val="nil"/>
              <w:left w:val="nil"/>
              <w:bottom w:val="single" w:sz="4" w:space="0" w:color="auto"/>
              <w:right w:val="single" w:sz="4" w:space="0" w:color="auto"/>
            </w:tcBorders>
            <w:noWrap/>
            <w:vAlign w:val="bottom"/>
            <w:hideMark/>
          </w:tcPr>
          <w:p w14:paraId="426A9A24" w14:textId="77777777" w:rsidR="009D467F" w:rsidRPr="001769C6" w:rsidRDefault="009D467F" w:rsidP="009D467F">
            <w:pPr>
              <w:widowControl/>
              <w:autoSpaceDE/>
              <w:autoSpaceDN/>
              <w:jc w:val="center"/>
              <w:rPr>
                <w:rFonts w:asciiTheme="minorHAnsi" w:eastAsia="Times New Roman" w:hAnsiTheme="minorHAnsi"/>
                <w:color w:val="000000"/>
                <w:szCs w:val="24"/>
              </w:rPr>
            </w:pPr>
            <w:r w:rsidRPr="001769C6">
              <w:rPr>
                <w:rFonts w:asciiTheme="minorHAnsi" w:eastAsia="Times New Roman" w:hAnsiTheme="minorHAnsi"/>
                <w:color w:val="000000"/>
                <w:szCs w:val="24"/>
              </w:rPr>
              <w:t>159</w:t>
            </w:r>
          </w:p>
        </w:tc>
        <w:tc>
          <w:tcPr>
            <w:tcW w:w="0" w:type="auto"/>
            <w:tcBorders>
              <w:top w:val="nil"/>
              <w:left w:val="nil"/>
              <w:bottom w:val="single" w:sz="4" w:space="0" w:color="auto"/>
              <w:right w:val="single" w:sz="4" w:space="0" w:color="auto"/>
            </w:tcBorders>
            <w:noWrap/>
            <w:vAlign w:val="bottom"/>
            <w:hideMark/>
          </w:tcPr>
          <w:p w14:paraId="0EA8321F" w14:textId="77777777" w:rsidR="009D467F" w:rsidRPr="001769C6" w:rsidRDefault="009D467F" w:rsidP="009D467F">
            <w:pPr>
              <w:widowControl/>
              <w:autoSpaceDE/>
              <w:autoSpaceDN/>
              <w:jc w:val="center"/>
              <w:rPr>
                <w:rFonts w:asciiTheme="minorHAnsi" w:eastAsia="Times New Roman" w:hAnsiTheme="minorHAnsi"/>
                <w:color w:val="000000"/>
                <w:szCs w:val="24"/>
              </w:rPr>
            </w:pPr>
            <w:r w:rsidRPr="001769C6">
              <w:rPr>
                <w:rFonts w:asciiTheme="minorHAnsi" w:eastAsia="Times New Roman" w:hAnsiTheme="minorHAnsi"/>
                <w:color w:val="000000"/>
                <w:szCs w:val="24"/>
              </w:rPr>
              <w:t>13</w:t>
            </w:r>
          </w:p>
        </w:tc>
      </w:tr>
      <w:tr w:rsidR="009D467F" w:rsidRPr="009D467F" w14:paraId="641C0110" w14:textId="77777777" w:rsidTr="00464B08">
        <w:trPr>
          <w:cantSplit/>
          <w:trHeight w:val="290"/>
        </w:trPr>
        <w:tc>
          <w:tcPr>
            <w:tcW w:w="0" w:type="auto"/>
            <w:tcBorders>
              <w:top w:val="nil"/>
              <w:left w:val="single" w:sz="4" w:space="0" w:color="auto"/>
              <w:bottom w:val="single" w:sz="4" w:space="0" w:color="auto"/>
              <w:right w:val="single" w:sz="4" w:space="0" w:color="auto"/>
            </w:tcBorders>
            <w:noWrap/>
            <w:vAlign w:val="bottom"/>
            <w:hideMark/>
          </w:tcPr>
          <w:p w14:paraId="7EBC12A2" w14:textId="0D22E9E2" w:rsidR="009D467F" w:rsidRPr="001769C6" w:rsidRDefault="009D467F" w:rsidP="001769C6">
            <w:pPr>
              <w:widowControl/>
              <w:autoSpaceDE/>
              <w:autoSpaceDN/>
              <w:ind w:left="144"/>
              <w:rPr>
                <w:rFonts w:asciiTheme="minorHAnsi" w:eastAsia="Times New Roman" w:hAnsiTheme="minorHAnsi"/>
                <w:color w:val="000000"/>
                <w:szCs w:val="24"/>
              </w:rPr>
            </w:pPr>
            <w:r w:rsidRPr="001769C6">
              <w:rPr>
                <w:rFonts w:asciiTheme="minorHAnsi" w:eastAsia="Times New Roman" w:hAnsiTheme="minorHAnsi"/>
                <w:color w:val="000000"/>
                <w:szCs w:val="24"/>
              </w:rPr>
              <w:t>Middlesex County</w:t>
            </w:r>
            <w:r w:rsidR="004B6339">
              <w:rPr>
                <w:rStyle w:val="FootnoteReference"/>
                <w:rFonts w:asciiTheme="minorHAnsi" w:eastAsia="Times New Roman" w:hAnsiTheme="minorHAnsi"/>
                <w:color w:val="000000"/>
                <w:szCs w:val="24"/>
              </w:rPr>
              <w:footnoteReference w:id="57"/>
            </w:r>
          </w:p>
        </w:tc>
        <w:tc>
          <w:tcPr>
            <w:tcW w:w="0" w:type="auto"/>
            <w:tcBorders>
              <w:top w:val="nil"/>
              <w:left w:val="nil"/>
              <w:bottom w:val="single" w:sz="4" w:space="0" w:color="auto"/>
              <w:right w:val="single" w:sz="4" w:space="0" w:color="auto"/>
            </w:tcBorders>
            <w:noWrap/>
            <w:vAlign w:val="bottom"/>
            <w:hideMark/>
          </w:tcPr>
          <w:p w14:paraId="1023CB70" w14:textId="77777777" w:rsidR="009D467F" w:rsidRPr="001769C6" w:rsidRDefault="009D467F" w:rsidP="009D467F">
            <w:pPr>
              <w:widowControl/>
              <w:autoSpaceDE/>
              <w:autoSpaceDN/>
              <w:jc w:val="center"/>
              <w:rPr>
                <w:rFonts w:asciiTheme="minorHAnsi" w:eastAsia="Times New Roman" w:hAnsiTheme="minorHAnsi"/>
                <w:color w:val="000000"/>
                <w:szCs w:val="24"/>
              </w:rPr>
            </w:pPr>
            <w:r w:rsidRPr="001769C6">
              <w:rPr>
                <w:rFonts w:asciiTheme="minorHAnsi" w:eastAsia="Times New Roman" w:hAnsiTheme="minorHAnsi"/>
                <w:color w:val="000000"/>
                <w:szCs w:val="24"/>
              </w:rPr>
              <w:t>371</w:t>
            </w:r>
          </w:p>
        </w:tc>
        <w:tc>
          <w:tcPr>
            <w:tcW w:w="0" w:type="auto"/>
            <w:tcBorders>
              <w:top w:val="nil"/>
              <w:left w:val="nil"/>
              <w:bottom w:val="single" w:sz="4" w:space="0" w:color="auto"/>
              <w:right w:val="single" w:sz="4" w:space="0" w:color="auto"/>
            </w:tcBorders>
            <w:noWrap/>
            <w:vAlign w:val="bottom"/>
            <w:hideMark/>
          </w:tcPr>
          <w:p w14:paraId="48404175" w14:textId="77777777" w:rsidR="009D467F" w:rsidRPr="001769C6" w:rsidRDefault="009D467F" w:rsidP="009D467F">
            <w:pPr>
              <w:widowControl/>
              <w:autoSpaceDE/>
              <w:autoSpaceDN/>
              <w:jc w:val="center"/>
              <w:rPr>
                <w:rFonts w:asciiTheme="minorHAnsi" w:eastAsia="Times New Roman" w:hAnsiTheme="minorHAnsi"/>
                <w:color w:val="000000"/>
                <w:szCs w:val="24"/>
              </w:rPr>
            </w:pPr>
            <w:r w:rsidRPr="001769C6">
              <w:rPr>
                <w:rFonts w:asciiTheme="minorHAnsi" w:eastAsia="Times New Roman" w:hAnsiTheme="minorHAnsi"/>
                <w:color w:val="000000"/>
                <w:szCs w:val="24"/>
              </w:rPr>
              <w:t>38</w:t>
            </w:r>
          </w:p>
        </w:tc>
      </w:tr>
      <w:tr w:rsidR="009D467F" w:rsidRPr="009D467F" w14:paraId="0E5F8708" w14:textId="77777777" w:rsidTr="00464B08">
        <w:trPr>
          <w:cantSplit/>
          <w:trHeight w:val="290"/>
        </w:trPr>
        <w:tc>
          <w:tcPr>
            <w:tcW w:w="0" w:type="auto"/>
            <w:tcBorders>
              <w:top w:val="nil"/>
              <w:left w:val="single" w:sz="4" w:space="0" w:color="auto"/>
              <w:bottom w:val="single" w:sz="4" w:space="0" w:color="auto"/>
              <w:right w:val="single" w:sz="4" w:space="0" w:color="auto"/>
            </w:tcBorders>
            <w:noWrap/>
            <w:vAlign w:val="bottom"/>
            <w:hideMark/>
          </w:tcPr>
          <w:p w14:paraId="2161C1AB" w14:textId="0F4A7648" w:rsidR="009D467F" w:rsidRPr="001769C6" w:rsidRDefault="009D467F" w:rsidP="001769C6">
            <w:pPr>
              <w:widowControl/>
              <w:autoSpaceDE/>
              <w:autoSpaceDN/>
              <w:ind w:left="144"/>
              <w:rPr>
                <w:rFonts w:asciiTheme="minorHAnsi" w:eastAsia="Times New Roman" w:hAnsiTheme="minorHAnsi"/>
                <w:color w:val="000000"/>
                <w:szCs w:val="24"/>
              </w:rPr>
            </w:pPr>
            <w:r w:rsidRPr="001769C6">
              <w:rPr>
                <w:rFonts w:asciiTheme="minorHAnsi" w:eastAsia="Times New Roman" w:hAnsiTheme="minorHAnsi"/>
                <w:color w:val="000000"/>
                <w:szCs w:val="24"/>
              </w:rPr>
              <w:lastRenderedPageBreak/>
              <w:t>Norfolk County</w:t>
            </w:r>
            <w:r w:rsidR="00E923F4">
              <w:rPr>
                <w:rStyle w:val="FootnoteReference"/>
                <w:rFonts w:asciiTheme="minorHAnsi" w:eastAsia="Times New Roman" w:hAnsiTheme="minorHAnsi"/>
                <w:color w:val="000000"/>
                <w:szCs w:val="24"/>
              </w:rPr>
              <w:footnoteReference w:id="58"/>
            </w:r>
          </w:p>
        </w:tc>
        <w:tc>
          <w:tcPr>
            <w:tcW w:w="0" w:type="auto"/>
            <w:tcBorders>
              <w:top w:val="nil"/>
              <w:left w:val="nil"/>
              <w:bottom w:val="single" w:sz="4" w:space="0" w:color="auto"/>
              <w:right w:val="single" w:sz="4" w:space="0" w:color="auto"/>
            </w:tcBorders>
            <w:noWrap/>
            <w:vAlign w:val="bottom"/>
            <w:hideMark/>
          </w:tcPr>
          <w:p w14:paraId="3E4F8474" w14:textId="77777777" w:rsidR="009D467F" w:rsidRPr="001769C6" w:rsidRDefault="009D467F" w:rsidP="009D467F">
            <w:pPr>
              <w:widowControl/>
              <w:autoSpaceDE/>
              <w:autoSpaceDN/>
              <w:jc w:val="center"/>
              <w:rPr>
                <w:rFonts w:asciiTheme="minorHAnsi" w:eastAsia="Times New Roman" w:hAnsiTheme="minorHAnsi"/>
                <w:color w:val="000000"/>
                <w:szCs w:val="24"/>
              </w:rPr>
            </w:pPr>
            <w:r w:rsidRPr="001769C6">
              <w:rPr>
                <w:rFonts w:asciiTheme="minorHAnsi" w:eastAsia="Times New Roman" w:hAnsiTheme="minorHAnsi"/>
                <w:color w:val="000000"/>
                <w:szCs w:val="24"/>
              </w:rPr>
              <w:t>309</w:t>
            </w:r>
          </w:p>
        </w:tc>
        <w:tc>
          <w:tcPr>
            <w:tcW w:w="0" w:type="auto"/>
            <w:tcBorders>
              <w:top w:val="nil"/>
              <w:left w:val="nil"/>
              <w:bottom w:val="single" w:sz="4" w:space="0" w:color="auto"/>
              <w:right w:val="single" w:sz="4" w:space="0" w:color="auto"/>
            </w:tcBorders>
            <w:noWrap/>
            <w:vAlign w:val="bottom"/>
            <w:hideMark/>
          </w:tcPr>
          <w:p w14:paraId="0B992CFC" w14:textId="77777777" w:rsidR="009D467F" w:rsidRPr="001769C6" w:rsidRDefault="009D467F" w:rsidP="009D467F">
            <w:pPr>
              <w:widowControl/>
              <w:autoSpaceDE/>
              <w:autoSpaceDN/>
              <w:jc w:val="center"/>
              <w:rPr>
                <w:rFonts w:asciiTheme="minorHAnsi" w:eastAsia="Times New Roman" w:hAnsiTheme="minorHAnsi"/>
                <w:color w:val="000000"/>
                <w:szCs w:val="24"/>
              </w:rPr>
            </w:pPr>
            <w:r w:rsidRPr="001769C6">
              <w:rPr>
                <w:rFonts w:asciiTheme="minorHAnsi" w:eastAsia="Times New Roman" w:hAnsiTheme="minorHAnsi"/>
                <w:color w:val="000000"/>
                <w:szCs w:val="24"/>
              </w:rPr>
              <w:t>17</w:t>
            </w:r>
          </w:p>
        </w:tc>
      </w:tr>
      <w:tr w:rsidR="009D467F" w:rsidRPr="009D467F" w14:paraId="2109571D" w14:textId="77777777" w:rsidTr="00464B08">
        <w:trPr>
          <w:cantSplit/>
          <w:trHeight w:val="290"/>
        </w:trPr>
        <w:tc>
          <w:tcPr>
            <w:tcW w:w="0" w:type="auto"/>
            <w:tcBorders>
              <w:top w:val="nil"/>
              <w:left w:val="single" w:sz="4" w:space="0" w:color="auto"/>
              <w:bottom w:val="single" w:sz="4" w:space="0" w:color="auto"/>
              <w:right w:val="single" w:sz="4" w:space="0" w:color="auto"/>
            </w:tcBorders>
            <w:noWrap/>
            <w:vAlign w:val="bottom"/>
            <w:hideMark/>
          </w:tcPr>
          <w:p w14:paraId="01CBFC53" w14:textId="77777777" w:rsidR="009D467F" w:rsidRPr="001769C6" w:rsidRDefault="009D467F" w:rsidP="001769C6">
            <w:pPr>
              <w:widowControl/>
              <w:autoSpaceDE/>
              <w:autoSpaceDN/>
              <w:ind w:left="144"/>
              <w:rPr>
                <w:rFonts w:asciiTheme="minorHAnsi" w:eastAsia="Times New Roman" w:hAnsiTheme="minorHAnsi"/>
                <w:color w:val="000000"/>
                <w:szCs w:val="24"/>
              </w:rPr>
            </w:pPr>
            <w:r w:rsidRPr="001769C6">
              <w:rPr>
                <w:rFonts w:asciiTheme="minorHAnsi" w:eastAsia="Times New Roman" w:hAnsiTheme="minorHAnsi"/>
                <w:color w:val="000000"/>
                <w:szCs w:val="24"/>
              </w:rPr>
              <w:t xml:space="preserve">Total </w:t>
            </w:r>
          </w:p>
        </w:tc>
        <w:tc>
          <w:tcPr>
            <w:tcW w:w="0" w:type="auto"/>
            <w:tcBorders>
              <w:top w:val="nil"/>
              <w:left w:val="nil"/>
              <w:bottom w:val="single" w:sz="4" w:space="0" w:color="auto"/>
              <w:right w:val="single" w:sz="4" w:space="0" w:color="auto"/>
            </w:tcBorders>
            <w:noWrap/>
            <w:vAlign w:val="bottom"/>
            <w:hideMark/>
          </w:tcPr>
          <w:p w14:paraId="099BBB65" w14:textId="77777777" w:rsidR="009D467F" w:rsidRPr="001769C6" w:rsidRDefault="009D467F" w:rsidP="009D467F">
            <w:pPr>
              <w:widowControl/>
              <w:autoSpaceDE/>
              <w:autoSpaceDN/>
              <w:jc w:val="center"/>
              <w:rPr>
                <w:rFonts w:asciiTheme="minorHAnsi" w:eastAsia="Times New Roman" w:hAnsiTheme="minorHAnsi"/>
                <w:color w:val="000000"/>
                <w:szCs w:val="24"/>
              </w:rPr>
            </w:pPr>
            <w:r w:rsidRPr="001769C6">
              <w:rPr>
                <w:rFonts w:asciiTheme="minorHAnsi" w:eastAsia="Times New Roman" w:hAnsiTheme="minorHAnsi"/>
                <w:color w:val="000000"/>
                <w:szCs w:val="24"/>
              </w:rPr>
              <w:t>839</w:t>
            </w:r>
          </w:p>
        </w:tc>
        <w:tc>
          <w:tcPr>
            <w:tcW w:w="0" w:type="auto"/>
            <w:tcBorders>
              <w:top w:val="nil"/>
              <w:left w:val="nil"/>
              <w:bottom w:val="single" w:sz="4" w:space="0" w:color="auto"/>
              <w:right w:val="single" w:sz="4" w:space="0" w:color="auto"/>
            </w:tcBorders>
            <w:noWrap/>
            <w:vAlign w:val="bottom"/>
            <w:hideMark/>
          </w:tcPr>
          <w:p w14:paraId="3670D0DC" w14:textId="77777777" w:rsidR="009D467F" w:rsidRPr="001769C6" w:rsidRDefault="009D467F" w:rsidP="009D467F">
            <w:pPr>
              <w:widowControl/>
              <w:autoSpaceDE/>
              <w:autoSpaceDN/>
              <w:jc w:val="center"/>
              <w:rPr>
                <w:rFonts w:asciiTheme="minorHAnsi" w:eastAsia="Times New Roman" w:hAnsiTheme="minorHAnsi"/>
                <w:color w:val="000000"/>
                <w:szCs w:val="24"/>
              </w:rPr>
            </w:pPr>
            <w:r w:rsidRPr="001769C6">
              <w:rPr>
                <w:rFonts w:asciiTheme="minorHAnsi" w:eastAsia="Times New Roman" w:hAnsiTheme="minorHAnsi"/>
                <w:color w:val="000000"/>
                <w:szCs w:val="24"/>
              </w:rPr>
              <w:t>68</w:t>
            </w:r>
          </w:p>
        </w:tc>
      </w:tr>
    </w:tbl>
    <w:p w14:paraId="1CCA4D95" w14:textId="77777777" w:rsidR="00D87E6F" w:rsidRDefault="00D87E6F" w:rsidP="00C95217"/>
    <w:p w14:paraId="3CD2C566" w14:textId="4E7FC6E8" w:rsidR="00766DDA" w:rsidRDefault="00766DDA" w:rsidP="00766DDA">
      <w:pPr>
        <w:rPr>
          <w:rFonts w:eastAsia="Garamond" w:cs="Calibri"/>
          <w:i/>
          <w:iCs/>
        </w:rPr>
      </w:pPr>
      <w:r w:rsidRPr="0016531C">
        <w:rPr>
          <w:rFonts w:eastAsia="Garamond" w:cs="Calibri"/>
        </w:rPr>
        <w:t xml:space="preserve">Staff notes, the Center for Health Information and Analysis (CHIA) analyzed the </w:t>
      </w:r>
      <w:r w:rsidR="000F5985">
        <w:rPr>
          <w:rFonts w:eastAsia="Garamond" w:cs="Calibri"/>
        </w:rPr>
        <w:t>Massachusetts A</w:t>
      </w:r>
      <w:r w:rsidRPr="0016531C">
        <w:rPr>
          <w:rFonts w:eastAsia="Garamond" w:cs="Calibri"/>
        </w:rPr>
        <w:t>ll</w:t>
      </w:r>
      <w:r w:rsidR="000F5985">
        <w:rPr>
          <w:rFonts w:eastAsia="Garamond" w:cs="Calibri"/>
        </w:rPr>
        <w:t>-P</w:t>
      </w:r>
      <w:r w:rsidRPr="0016531C">
        <w:rPr>
          <w:rFonts w:eastAsia="Garamond" w:cs="Calibri"/>
        </w:rPr>
        <w:t xml:space="preserve">ayer </w:t>
      </w:r>
      <w:r w:rsidR="000F5985">
        <w:rPr>
          <w:rFonts w:eastAsia="Garamond" w:cs="Calibri"/>
        </w:rPr>
        <w:t>Cl</w:t>
      </w:r>
      <w:r w:rsidRPr="0016531C">
        <w:rPr>
          <w:rFonts w:eastAsia="Garamond" w:cs="Calibri"/>
        </w:rPr>
        <w:t xml:space="preserve">aims </w:t>
      </w:r>
      <w:r w:rsidR="000F5985">
        <w:rPr>
          <w:rFonts w:eastAsia="Garamond" w:cs="Calibri"/>
        </w:rPr>
        <w:t>D</w:t>
      </w:r>
      <w:r w:rsidRPr="0016531C">
        <w:rPr>
          <w:rFonts w:eastAsia="Garamond" w:cs="Calibri"/>
        </w:rPr>
        <w:t>ata</w:t>
      </w:r>
      <w:r w:rsidR="003053BA">
        <w:rPr>
          <w:rFonts w:eastAsia="Garamond" w:cs="Calibri"/>
        </w:rPr>
        <w:t>base</w:t>
      </w:r>
      <w:r w:rsidRPr="0016531C">
        <w:rPr>
          <w:rFonts w:eastAsia="Garamond" w:cs="Calibri"/>
        </w:rPr>
        <w:t xml:space="preserve"> (APCD) </w:t>
      </w:r>
      <w:r w:rsidR="003053BA">
        <w:rPr>
          <w:rFonts w:eastAsia="Garamond" w:cs="Calibri"/>
        </w:rPr>
        <w:t xml:space="preserve">data </w:t>
      </w:r>
      <w:r w:rsidR="00E41CE4">
        <w:rPr>
          <w:rFonts w:eastAsia="Garamond" w:cs="Calibri"/>
        </w:rPr>
        <w:t xml:space="preserve">set </w:t>
      </w:r>
      <w:r w:rsidRPr="0016531C">
        <w:rPr>
          <w:rFonts w:eastAsia="Garamond" w:cs="Calibri"/>
        </w:rPr>
        <w:t xml:space="preserve">to see where Massachusetts residents needing PBT go for their care based on claims submitted. It found that Massachusetts patients are traveling to 17 states, and the District of Columbia, for PBT treatments. CHIA highlighted the following caveat: </w:t>
      </w:r>
      <w:r w:rsidRPr="0016531C">
        <w:rPr>
          <w:rFonts w:eastAsia="Garamond" w:cs="Calibri"/>
          <w:i/>
          <w:iCs/>
        </w:rPr>
        <w:t>“… it is important to note that the overall claim volumes are lowered relative to the true MA population denominator, since the MA APCD excludes Medicare fee-for-service and, following Gobeille v. Liberty Mutual, has an approximately 40% reduction in commercial claims due to the absence of self-funded ERISA plan data.”</w:t>
      </w:r>
      <w:r w:rsidRPr="0016531C">
        <w:rPr>
          <w:rStyle w:val="EndnoteReference"/>
          <w:rFonts w:eastAsia="Garamond" w:cs="Calibri"/>
        </w:rPr>
        <w:endnoteReference w:id="49"/>
      </w:r>
    </w:p>
    <w:p w14:paraId="7CEBB816" w14:textId="77777777" w:rsidR="00766DDA" w:rsidRPr="0016531C" w:rsidRDefault="00766DDA" w:rsidP="00766DDA">
      <w:pPr>
        <w:rPr>
          <w:rFonts w:eastAsia="Garamond" w:cs="Calibri"/>
          <w:i/>
          <w:iCs/>
        </w:rPr>
      </w:pPr>
    </w:p>
    <w:p w14:paraId="7A02229E" w14:textId="354458F4" w:rsidR="00766DDA" w:rsidRDefault="00766DDA" w:rsidP="00766DDA">
      <w:pPr>
        <w:rPr>
          <w:rFonts w:eastAsia="Garamond" w:cs="Calibri"/>
          <w:i/>
          <w:iCs/>
        </w:rPr>
      </w:pPr>
      <w:r w:rsidRPr="0016531C">
        <w:rPr>
          <w:rFonts w:eastAsia="Garamond" w:cs="Calibri"/>
        </w:rPr>
        <w:t xml:space="preserve">CHIA filtered the medical claims for the proton beam CPT procedure codes 77520, 77522, 77523, and 77525 for calendar years 2021, 2022, 2023, and the first six months of 2024. The results are displayed in Table </w:t>
      </w:r>
      <w:r w:rsidR="00993A37">
        <w:rPr>
          <w:rFonts w:eastAsia="Garamond" w:cs="Calibri"/>
        </w:rPr>
        <w:t>23</w:t>
      </w:r>
      <w:r w:rsidRPr="0016531C">
        <w:rPr>
          <w:rFonts w:eastAsia="Garamond" w:cs="Calibri"/>
        </w:rPr>
        <w:t xml:space="preserve">, which shows the ten highest-volume providers by state, and in Table </w:t>
      </w:r>
      <w:r w:rsidR="00993A37">
        <w:rPr>
          <w:rFonts w:eastAsia="Garamond" w:cs="Calibri"/>
        </w:rPr>
        <w:t>24</w:t>
      </w:r>
      <w:r w:rsidRPr="0016531C">
        <w:rPr>
          <w:rFonts w:eastAsia="Garamond" w:cs="Calibri"/>
        </w:rPr>
        <w:t>, which shows PBT utilization by provider state</w:t>
      </w:r>
      <w:r w:rsidRPr="0016531C">
        <w:rPr>
          <w:rFonts w:eastAsia="Garamond" w:cs="Calibri"/>
          <w:i/>
          <w:iCs/>
        </w:rPr>
        <w:t>.</w:t>
      </w:r>
      <w:r w:rsidRPr="0016531C">
        <w:rPr>
          <w:rFonts w:eastAsia="Garamond" w:cs="Calibri"/>
          <w:vertAlign w:val="superscript"/>
        </w:rPr>
        <w:endnoteReference w:id="50"/>
      </w:r>
    </w:p>
    <w:p w14:paraId="3EF706B4" w14:textId="77777777" w:rsidR="00766DDA" w:rsidRPr="0016531C" w:rsidRDefault="00766DDA" w:rsidP="00766DDA">
      <w:pPr>
        <w:rPr>
          <w:rFonts w:eastAsia="Garamond" w:cs="Calibri"/>
        </w:rPr>
      </w:pPr>
    </w:p>
    <w:p w14:paraId="25C8F23F" w14:textId="3A23F913" w:rsidR="00766DDA" w:rsidRPr="0016531C" w:rsidRDefault="00766DDA" w:rsidP="00766DDA">
      <w:pPr>
        <w:rPr>
          <w:rFonts w:eastAsia="Garamond" w:cs="Calibri"/>
          <w:b/>
          <w:bCs/>
        </w:rPr>
      </w:pPr>
      <w:r w:rsidRPr="0016531C">
        <w:rPr>
          <w:rFonts w:eastAsia="Garamond" w:cs="Calibri"/>
          <w:b/>
          <w:bCs/>
          <w:u w:val="single"/>
        </w:rPr>
        <w:t xml:space="preserve">Table </w:t>
      </w:r>
      <w:r w:rsidR="00993A37">
        <w:rPr>
          <w:rFonts w:eastAsia="Garamond" w:cs="Calibri"/>
          <w:b/>
          <w:bCs/>
          <w:u w:val="single"/>
        </w:rPr>
        <w:t>23</w:t>
      </w:r>
      <w:r w:rsidRPr="0016531C">
        <w:rPr>
          <w:rFonts w:eastAsia="Garamond" w:cs="Calibri"/>
          <w:b/>
          <w:bCs/>
        </w:rPr>
        <w:t>. Top 10 Proton Beam Providers in MA APCD by State</w:t>
      </w:r>
    </w:p>
    <w:tbl>
      <w:tblPr>
        <w:tblStyle w:val="TableGrid"/>
        <w:tblW w:w="0" w:type="auto"/>
        <w:tblLook w:val="04A0" w:firstRow="1" w:lastRow="0" w:firstColumn="1" w:lastColumn="0" w:noHBand="0" w:noVBand="1"/>
      </w:tblPr>
      <w:tblGrid>
        <w:gridCol w:w="714"/>
        <w:gridCol w:w="6423"/>
      </w:tblGrid>
      <w:tr w:rsidR="00766DDA" w:rsidRPr="0016531C" w14:paraId="5012B133" w14:textId="77777777" w:rsidTr="00464B08">
        <w:trPr>
          <w:cantSplit/>
          <w:tblHeader/>
        </w:trPr>
        <w:tc>
          <w:tcPr>
            <w:tcW w:w="0" w:type="auto"/>
            <w:shd w:val="clear" w:color="auto" w:fill="E1EBF7" w:themeFill="text2" w:themeFillTint="1A"/>
          </w:tcPr>
          <w:p w14:paraId="29021FF9" w14:textId="77777777" w:rsidR="00766DDA" w:rsidRPr="0016531C" w:rsidRDefault="00766DDA" w:rsidP="007C41D5">
            <w:pPr>
              <w:rPr>
                <w:rFonts w:cs="Calibri"/>
                <w:b/>
                <w:bCs/>
              </w:rPr>
            </w:pPr>
            <w:r w:rsidRPr="0016531C">
              <w:rPr>
                <w:rFonts w:cs="Calibri"/>
                <w:b/>
                <w:bCs/>
              </w:rPr>
              <w:t>Rank</w:t>
            </w:r>
          </w:p>
        </w:tc>
        <w:tc>
          <w:tcPr>
            <w:tcW w:w="0" w:type="auto"/>
            <w:shd w:val="clear" w:color="auto" w:fill="E1EBF7" w:themeFill="text2" w:themeFillTint="1A"/>
          </w:tcPr>
          <w:p w14:paraId="51915911" w14:textId="77777777" w:rsidR="00766DDA" w:rsidRPr="0016531C" w:rsidRDefault="00766DDA" w:rsidP="007C41D5">
            <w:pPr>
              <w:rPr>
                <w:rFonts w:cs="Calibri"/>
                <w:b/>
                <w:bCs/>
              </w:rPr>
            </w:pPr>
            <w:r w:rsidRPr="0016531C">
              <w:rPr>
                <w:rFonts w:cs="Calibri"/>
                <w:b/>
                <w:bCs/>
              </w:rPr>
              <w:t>Provider</w:t>
            </w:r>
          </w:p>
        </w:tc>
      </w:tr>
      <w:tr w:rsidR="00766DDA" w:rsidRPr="0016531C" w14:paraId="2CE4F844" w14:textId="77777777" w:rsidTr="00464B08">
        <w:trPr>
          <w:cantSplit/>
        </w:trPr>
        <w:tc>
          <w:tcPr>
            <w:tcW w:w="0" w:type="auto"/>
          </w:tcPr>
          <w:p w14:paraId="7824CB10" w14:textId="77777777" w:rsidR="00766DDA" w:rsidRPr="0016531C" w:rsidRDefault="00766DDA" w:rsidP="007C41D5">
            <w:pPr>
              <w:jc w:val="center"/>
              <w:rPr>
                <w:rFonts w:cs="Calibri"/>
              </w:rPr>
            </w:pPr>
            <w:r w:rsidRPr="0016531C">
              <w:rPr>
                <w:rFonts w:cs="Calibri"/>
              </w:rPr>
              <w:t>1</w:t>
            </w:r>
          </w:p>
        </w:tc>
        <w:tc>
          <w:tcPr>
            <w:tcW w:w="0" w:type="auto"/>
          </w:tcPr>
          <w:p w14:paraId="368F2757" w14:textId="77777777" w:rsidR="00766DDA" w:rsidRPr="0016531C" w:rsidRDefault="00766DDA" w:rsidP="007C41D5">
            <w:pPr>
              <w:rPr>
                <w:rFonts w:cs="Calibri"/>
              </w:rPr>
            </w:pPr>
            <w:r w:rsidRPr="0016531C">
              <w:rPr>
                <w:rFonts w:cs="Calibri"/>
              </w:rPr>
              <w:t>MASSACHUSETTS GENERAL HOSPITAL, Massachusetts</w:t>
            </w:r>
          </w:p>
        </w:tc>
      </w:tr>
      <w:tr w:rsidR="00766DDA" w:rsidRPr="0016531C" w14:paraId="19A8D7CF" w14:textId="77777777" w:rsidTr="00464B08">
        <w:trPr>
          <w:cantSplit/>
        </w:trPr>
        <w:tc>
          <w:tcPr>
            <w:tcW w:w="0" w:type="auto"/>
          </w:tcPr>
          <w:p w14:paraId="6715235D" w14:textId="77777777" w:rsidR="00766DDA" w:rsidRPr="0016531C" w:rsidRDefault="00766DDA" w:rsidP="007C41D5">
            <w:pPr>
              <w:jc w:val="center"/>
              <w:rPr>
                <w:rFonts w:cs="Calibri"/>
              </w:rPr>
            </w:pPr>
            <w:r w:rsidRPr="0016531C">
              <w:rPr>
                <w:rFonts w:cs="Calibri"/>
              </w:rPr>
              <w:t>2</w:t>
            </w:r>
          </w:p>
        </w:tc>
        <w:tc>
          <w:tcPr>
            <w:tcW w:w="0" w:type="auto"/>
          </w:tcPr>
          <w:p w14:paraId="30FA9EBF" w14:textId="77777777" w:rsidR="00766DDA" w:rsidRPr="0016531C" w:rsidRDefault="00766DDA" w:rsidP="007C41D5">
            <w:pPr>
              <w:rPr>
                <w:rFonts w:cs="Calibri"/>
              </w:rPr>
            </w:pPr>
            <w:r w:rsidRPr="0016531C">
              <w:rPr>
                <w:rFonts w:cs="Calibri"/>
              </w:rPr>
              <w:t>PROTON INTERNATIONAL - DELRAY, LLC, Florida</w:t>
            </w:r>
          </w:p>
        </w:tc>
      </w:tr>
      <w:tr w:rsidR="00766DDA" w:rsidRPr="0016531C" w14:paraId="3329E3CF" w14:textId="77777777" w:rsidTr="00464B08">
        <w:trPr>
          <w:cantSplit/>
        </w:trPr>
        <w:tc>
          <w:tcPr>
            <w:tcW w:w="0" w:type="auto"/>
          </w:tcPr>
          <w:p w14:paraId="7D6BF28B" w14:textId="77777777" w:rsidR="00766DDA" w:rsidRPr="0016531C" w:rsidRDefault="00766DDA" w:rsidP="007C41D5">
            <w:pPr>
              <w:jc w:val="center"/>
              <w:rPr>
                <w:rFonts w:cs="Calibri"/>
              </w:rPr>
            </w:pPr>
            <w:r w:rsidRPr="0016531C">
              <w:rPr>
                <w:rFonts w:cs="Calibri"/>
              </w:rPr>
              <w:t>3</w:t>
            </w:r>
          </w:p>
        </w:tc>
        <w:tc>
          <w:tcPr>
            <w:tcW w:w="0" w:type="auto"/>
          </w:tcPr>
          <w:p w14:paraId="3144B03D" w14:textId="77777777" w:rsidR="00766DDA" w:rsidRPr="0016531C" w:rsidRDefault="00766DDA" w:rsidP="007C41D5">
            <w:pPr>
              <w:rPr>
                <w:rFonts w:cs="Calibri"/>
              </w:rPr>
            </w:pPr>
            <w:r w:rsidRPr="0016531C">
              <w:rPr>
                <w:rFonts w:cs="Calibri"/>
              </w:rPr>
              <w:t>BAPTIST HOSPITAL, Georgia</w:t>
            </w:r>
          </w:p>
        </w:tc>
      </w:tr>
      <w:tr w:rsidR="00766DDA" w:rsidRPr="0016531C" w14:paraId="01644607" w14:textId="77777777" w:rsidTr="00464B08">
        <w:trPr>
          <w:cantSplit/>
        </w:trPr>
        <w:tc>
          <w:tcPr>
            <w:tcW w:w="0" w:type="auto"/>
          </w:tcPr>
          <w:p w14:paraId="69155942" w14:textId="77777777" w:rsidR="00766DDA" w:rsidRPr="0016531C" w:rsidRDefault="00766DDA" w:rsidP="007C41D5">
            <w:pPr>
              <w:jc w:val="center"/>
              <w:rPr>
                <w:rFonts w:cs="Calibri"/>
              </w:rPr>
            </w:pPr>
            <w:r w:rsidRPr="0016531C">
              <w:rPr>
                <w:rFonts w:cs="Calibri"/>
              </w:rPr>
              <w:t>4</w:t>
            </w:r>
          </w:p>
        </w:tc>
        <w:tc>
          <w:tcPr>
            <w:tcW w:w="0" w:type="auto"/>
          </w:tcPr>
          <w:p w14:paraId="730E29BE" w14:textId="77777777" w:rsidR="00766DDA" w:rsidRPr="0016531C" w:rsidRDefault="00766DDA" w:rsidP="007C41D5">
            <w:pPr>
              <w:rPr>
                <w:rFonts w:cs="Calibri"/>
              </w:rPr>
            </w:pPr>
            <w:r w:rsidRPr="0016531C">
              <w:rPr>
                <w:rFonts w:cs="Calibri"/>
              </w:rPr>
              <w:t>THE NEW YORK PROTON CENTER, New York</w:t>
            </w:r>
          </w:p>
        </w:tc>
      </w:tr>
      <w:tr w:rsidR="00766DDA" w:rsidRPr="0016531C" w14:paraId="7F453CC6" w14:textId="77777777" w:rsidTr="00464B08">
        <w:trPr>
          <w:cantSplit/>
        </w:trPr>
        <w:tc>
          <w:tcPr>
            <w:tcW w:w="0" w:type="auto"/>
          </w:tcPr>
          <w:p w14:paraId="7EDF3283" w14:textId="77777777" w:rsidR="00766DDA" w:rsidRPr="0016531C" w:rsidRDefault="00766DDA" w:rsidP="007C41D5">
            <w:pPr>
              <w:jc w:val="center"/>
              <w:rPr>
                <w:rFonts w:cs="Calibri"/>
              </w:rPr>
            </w:pPr>
            <w:r w:rsidRPr="0016531C">
              <w:rPr>
                <w:rFonts w:cs="Calibri"/>
              </w:rPr>
              <w:t>5</w:t>
            </w:r>
          </w:p>
        </w:tc>
        <w:tc>
          <w:tcPr>
            <w:tcW w:w="0" w:type="auto"/>
          </w:tcPr>
          <w:p w14:paraId="53A1BFBB" w14:textId="77777777" w:rsidR="00766DDA" w:rsidRPr="0016531C" w:rsidRDefault="00766DDA" w:rsidP="007C41D5">
            <w:pPr>
              <w:rPr>
                <w:rFonts w:cs="Calibri"/>
              </w:rPr>
            </w:pPr>
            <w:r w:rsidRPr="0016531C">
              <w:rPr>
                <w:rFonts w:cs="Calibri"/>
              </w:rPr>
              <w:t>ACKERMAN CANCER CENTER, Pennsylvania</w:t>
            </w:r>
          </w:p>
        </w:tc>
      </w:tr>
      <w:tr w:rsidR="00766DDA" w:rsidRPr="0016531C" w14:paraId="3810E8FD" w14:textId="77777777" w:rsidTr="00464B08">
        <w:trPr>
          <w:cantSplit/>
        </w:trPr>
        <w:tc>
          <w:tcPr>
            <w:tcW w:w="0" w:type="auto"/>
          </w:tcPr>
          <w:p w14:paraId="1E3981F3" w14:textId="77777777" w:rsidR="00766DDA" w:rsidRPr="0016531C" w:rsidRDefault="00766DDA" w:rsidP="007C41D5">
            <w:pPr>
              <w:jc w:val="center"/>
              <w:rPr>
                <w:rFonts w:cs="Calibri"/>
              </w:rPr>
            </w:pPr>
            <w:r w:rsidRPr="0016531C">
              <w:rPr>
                <w:rFonts w:cs="Calibri"/>
              </w:rPr>
              <w:t>6</w:t>
            </w:r>
          </w:p>
        </w:tc>
        <w:tc>
          <w:tcPr>
            <w:tcW w:w="0" w:type="auto"/>
          </w:tcPr>
          <w:p w14:paraId="1F3B113C" w14:textId="77777777" w:rsidR="00766DDA" w:rsidRPr="0016531C" w:rsidRDefault="00766DDA" w:rsidP="007C41D5">
            <w:pPr>
              <w:rPr>
                <w:rFonts w:cs="Calibri"/>
              </w:rPr>
            </w:pPr>
            <w:r w:rsidRPr="0016531C">
              <w:rPr>
                <w:rFonts w:cs="Calibri"/>
              </w:rPr>
              <w:t>WILLIAM BEAUMONT HOSPITAL, Michigan</w:t>
            </w:r>
          </w:p>
        </w:tc>
      </w:tr>
      <w:tr w:rsidR="00766DDA" w:rsidRPr="0016531C" w14:paraId="6F7B0FF6" w14:textId="77777777" w:rsidTr="00464B08">
        <w:trPr>
          <w:cantSplit/>
        </w:trPr>
        <w:tc>
          <w:tcPr>
            <w:tcW w:w="0" w:type="auto"/>
          </w:tcPr>
          <w:p w14:paraId="7BC7029B" w14:textId="77777777" w:rsidR="00766DDA" w:rsidRPr="0016531C" w:rsidRDefault="00766DDA" w:rsidP="007C41D5">
            <w:pPr>
              <w:jc w:val="center"/>
              <w:rPr>
                <w:rFonts w:cs="Calibri"/>
              </w:rPr>
            </w:pPr>
            <w:r w:rsidRPr="0016531C">
              <w:rPr>
                <w:rFonts w:cs="Calibri"/>
              </w:rPr>
              <w:t>7</w:t>
            </w:r>
          </w:p>
        </w:tc>
        <w:tc>
          <w:tcPr>
            <w:tcW w:w="0" w:type="auto"/>
          </w:tcPr>
          <w:p w14:paraId="1CBBE634" w14:textId="77777777" w:rsidR="00766DDA" w:rsidRPr="0016531C" w:rsidRDefault="00766DDA" w:rsidP="007C41D5">
            <w:pPr>
              <w:rPr>
                <w:rFonts w:cs="Calibri"/>
              </w:rPr>
            </w:pPr>
            <w:r w:rsidRPr="0016531C">
              <w:rPr>
                <w:rFonts w:cs="Calibri"/>
              </w:rPr>
              <w:t>HOSPITAL OF THE UNIVERSITY OF PENNSYLVANIA, Pennsylvania</w:t>
            </w:r>
          </w:p>
        </w:tc>
      </w:tr>
      <w:tr w:rsidR="00766DDA" w:rsidRPr="0016531C" w14:paraId="5D0CB2E9" w14:textId="77777777" w:rsidTr="00464B08">
        <w:trPr>
          <w:cantSplit/>
        </w:trPr>
        <w:tc>
          <w:tcPr>
            <w:tcW w:w="0" w:type="auto"/>
          </w:tcPr>
          <w:p w14:paraId="5F203D9C" w14:textId="77777777" w:rsidR="00766DDA" w:rsidRPr="0016531C" w:rsidRDefault="00766DDA" w:rsidP="007C41D5">
            <w:pPr>
              <w:jc w:val="center"/>
              <w:rPr>
                <w:rFonts w:cs="Calibri"/>
              </w:rPr>
            </w:pPr>
            <w:r w:rsidRPr="0016531C">
              <w:rPr>
                <w:rFonts w:cs="Calibri"/>
              </w:rPr>
              <w:t>8</w:t>
            </w:r>
          </w:p>
        </w:tc>
        <w:tc>
          <w:tcPr>
            <w:tcW w:w="0" w:type="auto"/>
          </w:tcPr>
          <w:p w14:paraId="72E88394" w14:textId="77777777" w:rsidR="00766DDA" w:rsidRPr="0016531C" w:rsidRDefault="00766DDA" w:rsidP="007C41D5">
            <w:pPr>
              <w:rPr>
                <w:rFonts w:cs="Calibri"/>
              </w:rPr>
            </w:pPr>
            <w:r w:rsidRPr="0016531C">
              <w:rPr>
                <w:rFonts w:cs="Calibri"/>
              </w:rPr>
              <w:t>MARYLAND PROTON TREATMENT CENTER, LLC, Maryland</w:t>
            </w:r>
          </w:p>
        </w:tc>
      </w:tr>
      <w:tr w:rsidR="00766DDA" w:rsidRPr="0016531C" w14:paraId="5B6C275B" w14:textId="77777777" w:rsidTr="00464B08">
        <w:trPr>
          <w:cantSplit/>
        </w:trPr>
        <w:tc>
          <w:tcPr>
            <w:tcW w:w="0" w:type="auto"/>
          </w:tcPr>
          <w:p w14:paraId="4B386F15" w14:textId="77777777" w:rsidR="00766DDA" w:rsidRPr="0016531C" w:rsidRDefault="00766DDA" w:rsidP="007C41D5">
            <w:pPr>
              <w:jc w:val="center"/>
              <w:rPr>
                <w:rFonts w:cs="Calibri"/>
              </w:rPr>
            </w:pPr>
            <w:r w:rsidRPr="0016531C">
              <w:rPr>
                <w:rFonts w:cs="Calibri"/>
              </w:rPr>
              <w:t>9</w:t>
            </w:r>
          </w:p>
        </w:tc>
        <w:tc>
          <w:tcPr>
            <w:tcW w:w="0" w:type="auto"/>
          </w:tcPr>
          <w:p w14:paraId="4F0A5BAF" w14:textId="77777777" w:rsidR="00766DDA" w:rsidRPr="0016531C" w:rsidRDefault="00766DDA" w:rsidP="007C41D5">
            <w:pPr>
              <w:rPr>
                <w:rFonts w:cs="Calibri"/>
              </w:rPr>
            </w:pPr>
            <w:r w:rsidRPr="0016531C">
              <w:rPr>
                <w:rFonts w:cs="Calibri"/>
              </w:rPr>
              <w:t>NORTHWESTERN MEDICINE CHICAGO PROTON CENTER, Illinois</w:t>
            </w:r>
          </w:p>
        </w:tc>
      </w:tr>
      <w:tr w:rsidR="00766DDA" w:rsidRPr="0016531C" w14:paraId="4937650E" w14:textId="77777777" w:rsidTr="00464B08">
        <w:trPr>
          <w:cantSplit/>
        </w:trPr>
        <w:tc>
          <w:tcPr>
            <w:tcW w:w="0" w:type="auto"/>
          </w:tcPr>
          <w:p w14:paraId="5F2EC5A4" w14:textId="77777777" w:rsidR="00766DDA" w:rsidRPr="0016531C" w:rsidRDefault="00766DDA" w:rsidP="007C41D5">
            <w:pPr>
              <w:jc w:val="center"/>
              <w:rPr>
                <w:rFonts w:cs="Calibri"/>
              </w:rPr>
            </w:pPr>
            <w:r w:rsidRPr="0016531C">
              <w:rPr>
                <w:rFonts w:cs="Calibri"/>
              </w:rPr>
              <w:t>10</w:t>
            </w:r>
          </w:p>
        </w:tc>
        <w:tc>
          <w:tcPr>
            <w:tcW w:w="0" w:type="auto"/>
          </w:tcPr>
          <w:p w14:paraId="206120E3" w14:textId="77777777" w:rsidR="00766DDA" w:rsidRPr="0016531C" w:rsidRDefault="00766DDA" w:rsidP="007C41D5">
            <w:pPr>
              <w:rPr>
                <w:rFonts w:cs="Calibri"/>
              </w:rPr>
            </w:pPr>
            <w:r w:rsidRPr="0016531C">
              <w:rPr>
                <w:rFonts w:cs="Calibri"/>
              </w:rPr>
              <w:t>FLORIDA PROTON THERAPY INSTITUTE INC, Florida</w:t>
            </w:r>
          </w:p>
        </w:tc>
      </w:tr>
    </w:tbl>
    <w:p w14:paraId="6D2C9397" w14:textId="77777777" w:rsidR="00766DDA" w:rsidRPr="0016531C" w:rsidRDefault="00766DDA" w:rsidP="00766DDA">
      <w:pPr>
        <w:rPr>
          <w:rFonts w:cs="Calibri"/>
          <w:b/>
          <w:bCs/>
          <w:u w:val="single"/>
        </w:rPr>
      </w:pPr>
    </w:p>
    <w:p w14:paraId="41784B07" w14:textId="54AE2108" w:rsidR="00766DDA" w:rsidRPr="0016531C" w:rsidRDefault="00766DDA" w:rsidP="00766DDA">
      <w:pPr>
        <w:rPr>
          <w:rFonts w:cs="Calibri"/>
          <w:b/>
          <w:bCs/>
        </w:rPr>
      </w:pPr>
      <w:r w:rsidRPr="0016531C">
        <w:rPr>
          <w:rFonts w:cs="Calibri"/>
          <w:b/>
          <w:bCs/>
          <w:u w:val="single"/>
        </w:rPr>
        <w:t xml:space="preserve">Table </w:t>
      </w:r>
      <w:r w:rsidR="00993A37">
        <w:rPr>
          <w:rFonts w:cs="Calibri"/>
          <w:b/>
          <w:bCs/>
          <w:u w:val="single"/>
        </w:rPr>
        <w:t>24</w:t>
      </w:r>
      <w:r w:rsidRPr="0016531C">
        <w:rPr>
          <w:rFonts w:cs="Calibri"/>
          <w:b/>
          <w:bCs/>
        </w:rPr>
        <w:t>: Volume of MA APCD Medical Claims Proton Beam Procedures, CY2023</w:t>
      </w:r>
      <w:r w:rsidRPr="0016531C">
        <w:rPr>
          <w:rFonts w:cs="Calibri"/>
          <w:b/>
          <w:bCs/>
          <w:vertAlign w:val="superscript"/>
        </w:rPr>
        <w:footnoteReference w:id="59"/>
      </w:r>
    </w:p>
    <w:tbl>
      <w:tblPr>
        <w:tblStyle w:val="TableGrid"/>
        <w:tblW w:w="0" w:type="auto"/>
        <w:tblLook w:val="04A0" w:firstRow="1" w:lastRow="0" w:firstColumn="1" w:lastColumn="0" w:noHBand="0" w:noVBand="1"/>
      </w:tblPr>
      <w:tblGrid>
        <w:gridCol w:w="2679"/>
        <w:gridCol w:w="991"/>
      </w:tblGrid>
      <w:tr w:rsidR="00766DDA" w:rsidRPr="0016531C" w14:paraId="32B7248D" w14:textId="77777777" w:rsidTr="00464B08">
        <w:trPr>
          <w:cantSplit/>
          <w:tblHeader/>
        </w:trPr>
        <w:tc>
          <w:tcPr>
            <w:tcW w:w="0" w:type="auto"/>
            <w:shd w:val="clear" w:color="auto" w:fill="E1EBF7"/>
          </w:tcPr>
          <w:p w14:paraId="3EE317BF" w14:textId="77777777" w:rsidR="00766DDA" w:rsidRPr="0016531C" w:rsidRDefault="00766DDA" w:rsidP="007C41D5">
            <w:pPr>
              <w:jc w:val="center"/>
              <w:rPr>
                <w:rFonts w:cs="Calibri"/>
                <w:b/>
                <w:bCs/>
              </w:rPr>
            </w:pPr>
            <w:r w:rsidRPr="0016531C">
              <w:rPr>
                <w:rFonts w:cs="Calibri"/>
                <w:b/>
                <w:bCs/>
              </w:rPr>
              <w:t>Provider State</w:t>
            </w:r>
          </w:p>
          <w:p w14:paraId="2912C9D0" w14:textId="77777777" w:rsidR="00766DDA" w:rsidRPr="0016531C" w:rsidRDefault="00766DDA" w:rsidP="007C41D5">
            <w:pPr>
              <w:jc w:val="center"/>
              <w:rPr>
                <w:rFonts w:cs="Calibri"/>
                <w:b/>
                <w:bCs/>
              </w:rPr>
            </w:pPr>
            <w:r w:rsidRPr="0016531C">
              <w:rPr>
                <w:rFonts w:cs="Calibri"/>
                <w:b/>
                <w:bCs/>
              </w:rPr>
              <w:t>Top 10 based on Volume</w:t>
            </w:r>
          </w:p>
        </w:tc>
        <w:tc>
          <w:tcPr>
            <w:tcW w:w="0" w:type="auto"/>
            <w:shd w:val="clear" w:color="auto" w:fill="E1EBF7"/>
          </w:tcPr>
          <w:p w14:paraId="50D4F8B8" w14:textId="2F20D1D9" w:rsidR="00766DDA" w:rsidRPr="0016531C" w:rsidRDefault="00766DDA" w:rsidP="007C41D5">
            <w:pPr>
              <w:jc w:val="center"/>
              <w:rPr>
                <w:rFonts w:cs="Calibri"/>
                <w:b/>
                <w:bCs/>
              </w:rPr>
            </w:pPr>
            <w:r w:rsidRPr="0016531C">
              <w:rPr>
                <w:rFonts w:cs="Calibri"/>
                <w:b/>
                <w:bCs/>
              </w:rPr>
              <w:t>Volume</w:t>
            </w:r>
          </w:p>
          <w:p w14:paraId="1556819D" w14:textId="77777777" w:rsidR="00766DDA" w:rsidRPr="0016531C" w:rsidRDefault="00766DDA" w:rsidP="007C41D5">
            <w:pPr>
              <w:jc w:val="center"/>
              <w:rPr>
                <w:rFonts w:cs="Calibri"/>
                <w:b/>
                <w:bCs/>
              </w:rPr>
            </w:pPr>
          </w:p>
        </w:tc>
      </w:tr>
      <w:tr w:rsidR="00766DDA" w:rsidRPr="0016531C" w14:paraId="20F68C71" w14:textId="77777777" w:rsidTr="00464B08">
        <w:trPr>
          <w:cantSplit/>
        </w:trPr>
        <w:tc>
          <w:tcPr>
            <w:tcW w:w="0" w:type="auto"/>
          </w:tcPr>
          <w:p w14:paraId="3701F7C3" w14:textId="77777777" w:rsidR="00766DDA" w:rsidRPr="0016531C" w:rsidRDefault="00766DDA" w:rsidP="007C41D5">
            <w:pPr>
              <w:jc w:val="center"/>
              <w:rPr>
                <w:rFonts w:cs="Calibri"/>
              </w:rPr>
            </w:pPr>
            <w:r w:rsidRPr="0016531C">
              <w:rPr>
                <w:rFonts w:cs="Calibri"/>
              </w:rPr>
              <w:t>MA</w:t>
            </w:r>
          </w:p>
        </w:tc>
        <w:tc>
          <w:tcPr>
            <w:tcW w:w="0" w:type="auto"/>
          </w:tcPr>
          <w:p w14:paraId="618AB2B4" w14:textId="77777777" w:rsidR="00766DDA" w:rsidRPr="0016531C" w:rsidRDefault="00766DDA" w:rsidP="007C41D5">
            <w:pPr>
              <w:jc w:val="center"/>
              <w:rPr>
                <w:rFonts w:cs="Calibri"/>
              </w:rPr>
            </w:pPr>
            <w:r w:rsidRPr="0016531C">
              <w:rPr>
                <w:rFonts w:cs="Calibri"/>
              </w:rPr>
              <w:t>3,449</w:t>
            </w:r>
          </w:p>
        </w:tc>
      </w:tr>
      <w:tr w:rsidR="00766DDA" w:rsidRPr="0016531C" w14:paraId="25F85EEA" w14:textId="77777777" w:rsidTr="00464B08">
        <w:trPr>
          <w:cantSplit/>
        </w:trPr>
        <w:tc>
          <w:tcPr>
            <w:tcW w:w="0" w:type="auto"/>
          </w:tcPr>
          <w:p w14:paraId="2D7697DB" w14:textId="77777777" w:rsidR="00766DDA" w:rsidRPr="0016531C" w:rsidRDefault="00766DDA" w:rsidP="007C41D5">
            <w:pPr>
              <w:jc w:val="center"/>
              <w:rPr>
                <w:rFonts w:cs="Calibri"/>
              </w:rPr>
            </w:pPr>
            <w:r w:rsidRPr="0016531C">
              <w:rPr>
                <w:rFonts w:cs="Calibri"/>
              </w:rPr>
              <w:t>FL</w:t>
            </w:r>
          </w:p>
        </w:tc>
        <w:tc>
          <w:tcPr>
            <w:tcW w:w="0" w:type="auto"/>
          </w:tcPr>
          <w:p w14:paraId="39AC6701" w14:textId="77777777" w:rsidR="00766DDA" w:rsidRPr="0016531C" w:rsidRDefault="00766DDA" w:rsidP="007C41D5">
            <w:pPr>
              <w:jc w:val="center"/>
              <w:rPr>
                <w:rFonts w:cs="Calibri"/>
              </w:rPr>
            </w:pPr>
            <w:r w:rsidRPr="0016531C">
              <w:rPr>
                <w:rFonts w:cs="Calibri"/>
              </w:rPr>
              <w:t>569</w:t>
            </w:r>
          </w:p>
        </w:tc>
      </w:tr>
      <w:tr w:rsidR="00766DDA" w:rsidRPr="0016531C" w14:paraId="56C0925C" w14:textId="77777777" w:rsidTr="00464B08">
        <w:trPr>
          <w:cantSplit/>
        </w:trPr>
        <w:tc>
          <w:tcPr>
            <w:tcW w:w="0" w:type="auto"/>
          </w:tcPr>
          <w:p w14:paraId="445E10C6" w14:textId="77777777" w:rsidR="00766DDA" w:rsidRPr="0016531C" w:rsidRDefault="00766DDA" w:rsidP="007C41D5">
            <w:pPr>
              <w:jc w:val="center"/>
              <w:rPr>
                <w:rFonts w:cs="Calibri"/>
              </w:rPr>
            </w:pPr>
            <w:r w:rsidRPr="0016531C">
              <w:rPr>
                <w:rFonts w:cs="Calibri"/>
              </w:rPr>
              <w:t>NY</w:t>
            </w:r>
          </w:p>
        </w:tc>
        <w:tc>
          <w:tcPr>
            <w:tcW w:w="0" w:type="auto"/>
          </w:tcPr>
          <w:p w14:paraId="67B646A2" w14:textId="77777777" w:rsidR="00766DDA" w:rsidRPr="0016531C" w:rsidRDefault="00766DDA" w:rsidP="007C41D5">
            <w:pPr>
              <w:jc w:val="center"/>
              <w:rPr>
                <w:rFonts w:cs="Calibri"/>
              </w:rPr>
            </w:pPr>
            <w:r w:rsidRPr="0016531C">
              <w:rPr>
                <w:rFonts w:cs="Calibri"/>
              </w:rPr>
              <w:t>185</w:t>
            </w:r>
          </w:p>
        </w:tc>
      </w:tr>
      <w:tr w:rsidR="00766DDA" w:rsidRPr="0016531C" w14:paraId="00E8A6FF" w14:textId="77777777" w:rsidTr="00464B08">
        <w:trPr>
          <w:cantSplit/>
        </w:trPr>
        <w:tc>
          <w:tcPr>
            <w:tcW w:w="0" w:type="auto"/>
          </w:tcPr>
          <w:p w14:paraId="34BBC7A3" w14:textId="77777777" w:rsidR="00766DDA" w:rsidRPr="0016531C" w:rsidRDefault="00766DDA" w:rsidP="007C41D5">
            <w:pPr>
              <w:jc w:val="center"/>
              <w:rPr>
                <w:rFonts w:cs="Calibri"/>
              </w:rPr>
            </w:pPr>
            <w:r w:rsidRPr="0016531C">
              <w:rPr>
                <w:rFonts w:cs="Calibri"/>
              </w:rPr>
              <w:lastRenderedPageBreak/>
              <w:t>IL</w:t>
            </w:r>
          </w:p>
        </w:tc>
        <w:tc>
          <w:tcPr>
            <w:tcW w:w="0" w:type="auto"/>
          </w:tcPr>
          <w:p w14:paraId="22E6877E" w14:textId="77777777" w:rsidR="00766DDA" w:rsidRPr="0016531C" w:rsidRDefault="00766DDA" w:rsidP="007C41D5">
            <w:pPr>
              <w:jc w:val="center"/>
              <w:rPr>
                <w:rFonts w:cs="Calibri"/>
              </w:rPr>
            </w:pPr>
            <w:r w:rsidRPr="0016531C">
              <w:rPr>
                <w:rFonts w:cs="Calibri"/>
              </w:rPr>
              <w:t>84</w:t>
            </w:r>
          </w:p>
        </w:tc>
      </w:tr>
      <w:tr w:rsidR="00766DDA" w:rsidRPr="0016531C" w14:paraId="557E9AB6" w14:textId="77777777" w:rsidTr="00464B08">
        <w:trPr>
          <w:cantSplit/>
        </w:trPr>
        <w:tc>
          <w:tcPr>
            <w:tcW w:w="0" w:type="auto"/>
          </w:tcPr>
          <w:p w14:paraId="785B3D48" w14:textId="77777777" w:rsidR="00766DDA" w:rsidRPr="0016531C" w:rsidRDefault="00766DDA" w:rsidP="007C41D5">
            <w:pPr>
              <w:jc w:val="center"/>
              <w:rPr>
                <w:rFonts w:cs="Calibri"/>
              </w:rPr>
            </w:pPr>
            <w:r w:rsidRPr="0016531C">
              <w:rPr>
                <w:rFonts w:cs="Calibri"/>
              </w:rPr>
              <w:t>TN</w:t>
            </w:r>
          </w:p>
        </w:tc>
        <w:tc>
          <w:tcPr>
            <w:tcW w:w="0" w:type="auto"/>
          </w:tcPr>
          <w:p w14:paraId="5F4AD948" w14:textId="77777777" w:rsidR="00766DDA" w:rsidRPr="0016531C" w:rsidRDefault="00766DDA" w:rsidP="007C41D5">
            <w:pPr>
              <w:jc w:val="center"/>
              <w:rPr>
                <w:rFonts w:cs="Calibri"/>
              </w:rPr>
            </w:pPr>
            <w:r w:rsidRPr="0016531C">
              <w:rPr>
                <w:rFonts w:cs="Calibri"/>
              </w:rPr>
              <w:t>83</w:t>
            </w:r>
          </w:p>
        </w:tc>
      </w:tr>
      <w:tr w:rsidR="00766DDA" w:rsidRPr="0016531C" w14:paraId="4A7ECBE6" w14:textId="77777777" w:rsidTr="00464B08">
        <w:trPr>
          <w:cantSplit/>
        </w:trPr>
        <w:tc>
          <w:tcPr>
            <w:tcW w:w="0" w:type="auto"/>
          </w:tcPr>
          <w:p w14:paraId="7502261C" w14:textId="77777777" w:rsidR="00766DDA" w:rsidRPr="0016531C" w:rsidRDefault="00766DDA" w:rsidP="007C41D5">
            <w:pPr>
              <w:jc w:val="center"/>
              <w:rPr>
                <w:rFonts w:cs="Calibri"/>
              </w:rPr>
            </w:pPr>
            <w:r w:rsidRPr="0016531C">
              <w:rPr>
                <w:rFonts w:cs="Calibri"/>
              </w:rPr>
              <w:t>MI</w:t>
            </w:r>
          </w:p>
        </w:tc>
        <w:tc>
          <w:tcPr>
            <w:tcW w:w="0" w:type="auto"/>
          </w:tcPr>
          <w:p w14:paraId="6E7CF2E2" w14:textId="77777777" w:rsidR="00766DDA" w:rsidRPr="0016531C" w:rsidRDefault="00766DDA" w:rsidP="007C41D5">
            <w:pPr>
              <w:jc w:val="center"/>
              <w:rPr>
                <w:rFonts w:cs="Calibri"/>
              </w:rPr>
            </w:pPr>
            <w:r w:rsidRPr="0016531C">
              <w:rPr>
                <w:rFonts w:cs="Calibri"/>
              </w:rPr>
              <w:t>56</w:t>
            </w:r>
          </w:p>
        </w:tc>
      </w:tr>
      <w:tr w:rsidR="00766DDA" w:rsidRPr="0016531C" w14:paraId="240388E6" w14:textId="77777777" w:rsidTr="00464B08">
        <w:trPr>
          <w:cantSplit/>
        </w:trPr>
        <w:tc>
          <w:tcPr>
            <w:tcW w:w="0" w:type="auto"/>
          </w:tcPr>
          <w:p w14:paraId="7D6123DF" w14:textId="77777777" w:rsidR="00766DDA" w:rsidRPr="0016531C" w:rsidRDefault="00766DDA" w:rsidP="007C41D5">
            <w:pPr>
              <w:jc w:val="center"/>
              <w:rPr>
                <w:rFonts w:cs="Calibri"/>
              </w:rPr>
            </w:pPr>
            <w:r w:rsidRPr="0016531C">
              <w:rPr>
                <w:rFonts w:cs="Calibri"/>
              </w:rPr>
              <w:t>MD</w:t>
            </w:r>
          </w:p>
        </w:tc>
        <w:tc>
          <w:tcPr>
            <w:tcW w:w="0" w:type="auto"/>
          </w:tcPr>
          <w:p w14:paraId="12AA22BE" w14:textId="77777777" w:rsidR="00766DDA" w:rsidRPr="0016531C" w:rsidRDefault="00766DDA" w:rsidP="007C41D5">
            <w:pPr>
              <w:jc w:val="center"/>
              <w:rPr>
                <w:rFonts w:cs="Calibri"/>
              </w:rPr>
            </w:pPr>
            <w:r w:rsidRPr="0016531C">
              <w:rPr>
                <w:rFonts w:cs="Calibri"/>
              </w:rPr>
              <w:t>56</w:t>
            </w:r>
          </w:p>
        </w:tc>
      </w:tr>
      <w:tr w:rsidR="00766DDA" w:rsidRPr="0016531C" w14:paraId="105CE298" w14:textId="77777777" w:rsidTr="00464B08">
        <w:trPr>
          <w:cantSplit/>
        </w:trPr>
        <w:tc>
          <w:tcPr>
            <w:tcW w:w="0" w:type="auto"/>
          </w:tcPr>
          <w:p w14:paraId="36A7AA09" w14:textId="21B2F694" w:rsidR="00766DDA" w:rsidRPr="0016531C" w:rsidRDefault="00766DDA" w:rsidP="007C41D5">
            <w:pPr>
              <w:jc w:val="center"/>
              <w:rPr>
                <w:rFonts w:cs="Calibri"/>
              </w:rPr>
            </w:pPr>
            <w:r w:rsidRPr="0016531C">
              <w:rPr>
                <w:rFonts w:cs="Calibri"/>
              </w:rPr>
              <w:t>VA</w:t>
            </w:r>
          </w:p>
        </w:tc>
        <w:tc>
          <w:tcPr>
            <w:tcW w:w="0" w:type="auto"/>
          </w:tcPr>
          <w:p w14:paraId="5932E3E0" w14:textId="77777777" w:rsidR="00766DDA" w:rsidRPr="0016531C" w:rsidRDefault="00766DDA" w:rsidP="007C41D5">
            <w:pPr>
              <w:jc w:val="center"/>
              <w:rPr>
                <w:rFonts w:cs="Calibri"/>
              </w:rPr>
            </w:pPr>
            <w:r w:rsidRPr="0016531C">
              <w:rPr>
                <w:rFonts w:cs="Calibri"/>
              </w:rPr>
              <w:t>42</w:t>
            </w:r>
          </w:p>
        </w:tc>
      </w:tr>
      <w:tr w:rsidR="00766DDA" w:rsidRPr="0016531C" w14:paraId="508B2FB0" w14:textId="77777777" w:rsidTr="00464B08">
        <w:trPr>
          <w:cantSplit/>
        </w:trPr>
        <w:tc>
          <w:tcPr>
            <w:tcW w:w="0" w:type="auto"/>
          </w:tcPr>
          <w:p w14:paraId="566D8901" w14:textId="77777777" w:rsidR="00766DDA" w:rsidRPr="0016531C" w:rsidRDefault="00766DDA" w:rsidP="007C41D5">
            <w:pPr>
              <w:jc w:val="center"/>
              <w:rPr>
                <w:rFonts w:cs="Calibri"/>
              </w:rPr>
            </w:pPr>
            <w:r w:rsidRPr="0016531C">
              <w:rPr>
                <w:rFonts w:cs="Calibri"/>
              </w:rPr>
              <w:t>TX</w:t>
            </w:r>
          </w:p>
        </w:tc>
        <w:tc>
          <w:tcPr>
            <w:tcW w:w="0" w:type="auto"/>
          </w:tcPr>
          <w:p w14:paraId="432DD683" w14:textId="77777777" w:rsidR="00766DDA" w:rsidRPr="0016531C" w:rsidRDefault="00766DDA" w:rsidP="007C41D5">
            <w:pPr>
              <w:jc w:val="center"/>
              <w:rPr>
                <w:rFonts w:cs="Calibri"/>
              </w:rPr>
            </w:pPr>
            <w:r w:rsidRPr="0016531C">
              <w:rPr>
                <w:rFonts w:cs="Calibri"/>
              </w:rPr>
              <w:t>39</w:t>
            </w:r>
          </w:p>
        </w:tc>
      </w:tr>
      <w:tr w:rsidR="00766DDA" w:rsidRPr="0016531C" w14:paraId="7EAC9063" w14:textId="77777777" w:rsidTr="00464B08">
        <w:trPr>
          <w:cantSplit/>
        </w:trPr>
        <w:tc>
          <w:tcPr>
            <w:tcW w:w="0" w:type="auto"/>
          </w:tcPr>
          <w:p w14:paraId="06B15373" w14:textId="77777777" w:rsidR="00766DDA" w:rsidRPr="0016531C" w:rsidRDefault="00766DDA" w:rsidP="007C41D5">
            <w:pPr>
              <w:jc w:val="center"/>
              <w:rPr>
                <w:rFonts w:cs="Calibri"/>
              </w:rPr>
            </w:pPr>
            <w:r w:rsidRPr="0016531C">
              <w:rPr>
                <w:rFonts w:cs="Calibri"/>
              </w:rPr>
              <w:t>WA</w:t>
            </w:r>
          </w:p>
        </w:tc>
        <w:tc>
          <w:tcPr>
            <w:tcW w:w="0" w:type="auto"/>
          </w:tcPr>
          <w:p w14:paraId="5BDB1474" w14:textId="77777777" w:rsidR="00766DDA" w:rsidRPr="0016531C" w:rsidRDefault="00766DDA" w:rsidP="007C41D5">
            <w:pPr>
              <w:jc w:val="center"/>
              <w:rPr>
                <w:rFonts w:cs="Calibri"/>
              </w:rPr>
            </w:pPr>
            <w:r w:rsidRPr="0016531C">
              <w:rPr>
                <w:rFonts w:cs="Calibri"/>
              </w:rPr>
              <w:t>34</w:t>
            </w:r>
          </w:p>
        </w:tc>
      </w:tr>
    </w:tbl>
    <w:p w14:paraId="399EA391" w14:textId="77777777" w:rsidR="00766DDA" w:rsidRDefault="00766DDA" w:rsidP="00C95217">
      <w:pPr>
        <w:rPr>
          <w:rFonts w:asciiTheme="minorHAnsi" w:hAnsiTheme="minorHAnsi"/>
          <w:szCs w:val="24"/>
        </w:rPr>
      </w:pPr>
    </w:p>
    <w:p w14:paraId="13BB646B" w14:textId="5682E3CA" w:rsidR="00744CC7" w:rsidRPr="00060441" w:rsidRDefault="003E7C1B" w:rsidP="005016A1">
      <w:pPr>
        <w:rPr>
          <w:rFonts w:asciiTheme="minorHAnsi" w:hAnsiTheme="minorHAnsi"/>
        </w:rPr>
      </w:pPr>
      <w:r w:rsidRPr="7CB8050B">
        <w:rPr>
          <w:rFonts w:asciiTheme="minorHAnsi" w:hAnsiTheme="minorHAnsi"/>
        </w:rPr>
        <w:t>Based on staff analysis, t</w:t>
      </w:r>
      <w:r w:rsidR="00012280" w:rsidRPr="7CB8050B">
        <w:rPr>
          <w:rFonts w:asciiTheme="minorHAnsi" w:hAnsiTheme="minorHAnsi"/>
        </w:rPr>
        <w:t xml:space="preserve">he Applicant has demonstrated </w:t>
      </w:r>
      <w:r w:rsidR="00673588" w:rsidRPr="7CB8050B">
        <w:rPr>
          <w:rFonts w:asciiTheme="minorHAnsi" w:hAnsiTheme="minorHAnsi"/>
        </w:rPr>
        <w:t>that</w:t>
      </w:r>
      <w:r w:rsidR="00012280" w:rsidRPr="7CB8050B">
        <w:rPr>
          <w:rFonts w:asciiTheme="minorHAnsi" w:hAnsiTheme="minorHAnsi"/>
        </w:rPr>
        <w:t xml:space="preserve"> </w:t>
      </w:r>
      <w:r w:rsidR="005632A9" w:rsidRPr="7CB8050B">
        <w:rPr>
          <w:rFonts w:asciiTheme="minorHAnsi" w:hAnsiTheme="minorHAnsi"/>
        </w:rPr>
        <w:t xml:space="preserve">need for PBT in its Patient Panel </w:t>
      </w:r>
      <w:r w:rsidR="00F72CD7" w:rsidRPr="7CB8050B">
        <w:rPr>
          <w:rFonts w:asciiTheme="minorHAnsi" w:hAnsiTheme="minorHAnsi"/>
        </w:rPr>
        <w:t xml:space="preserve">is significant and surpasses existing capacity </w:t>
      </w:r>
      <w:r w:rsidR="00D06091" w:rsidRPr="7CB8050B">
        <w:rPr>
          <w:rFonts w:asciiTheme="minorHAnsi" w:hAnsiTheme="minorHAnsi"/>
        </w:rPr>
        <w:t xml:space="preserve">that includes all existing PBT systems in </w:t>
      </w:r>
      <w:r w:rsidR="00F5405E" w:rsidRPr="7CB8050B">
        <w:rPr>
          <w:rFonts w:asciiTheme="minorHAnsi" w:hAnsiTheme="minorHAnsi"/>
        </w:rPr>
        <w:t>Massachusetts</w:t>
      </w:r>
      <w:r w:rsidR="00D06091" w:rsidRPr="7CB8050B">
        <w:rPr>
          <w:rFonts w:asciiTheme="minorHAnsi" w:hAnsiTheme="minorHAnsi"/>
        </w:rPr>
        <w:t xml:space="preserve">, and UMass’ </w:t>
      </w:r>
      <w:r w:rsidR="004A4918" w:rsidRPr="7CB8050B">
        <w:rPr>
          <w:rFonts w:asciiTheme="minorHAnsi" w:hAnsiTheme="minorHAnsi"/>
        </w:rPr>
        <w:t xml:space="preserve">recently approved </w:t>
      </w:r>
      <w:r w:rsidR="00D06091" w:rsidRPr="7CB8050B">
        <w:rPr>
          <w:rFonts w:asciiTheme="minorHAnsi" w:hAnsiTheme="minorHAnsi"/>
        </w:rPr>
        <w:t>PBT project</w:t>
      </w:r>
      <w:r w:rsidR="00F231DC" w:rsidRPr="7CB8050B">
        <w:rPr>
          <w:rFonts w:asciiTheme="minorHAnsi" w:hAnsiTheme="minorHAnsi"/>
        </w:rPr>
        <w:t>.</w:t>
      </w:r>
      <w:r w:rsidR="0041529E" w:rsidRPr="0041529E">
        <w:rPr>
          <w:rFonts w:asciiTheme="minorHAnsi" w:hAnsiTheme="minorHAnsi"/>
        </w:rPr>
        <w:t xml:space="preserve"> Staff agree that lack of local access to PBT can result in challenges and barriers to accessing PBT, that have been cited in the literature, and that can delay or even prevent access to PBT for clinically appropriate patients</w:t>
      </w:r>
      <w:r w:rsidR="002C4C3F">
        <w:rPr>
          <w:rFonts w:asciiTheme="minorHAnsi" w:hAnsiTheme="minorHAnsi"/>
        </w:rPr>
        <w:t>.</w:t>
      </w:r>
      <w:r w:rsidR="00F231DC" w:rsidRPr="7CB8050B">
        <w:rPr>
          <w:rFonts w:asciiTheme="minorHAnsi" w:hAnsiTheme="minorHAnsi"/>
        </w:rPr>
        <w:t xml:space="preserve"> </w:t>
      </w:r>
      <w:r w:rsidR="006A5E03" w:rsidRPr="7CB8050B">
        <w:rPr>
          <w:rFonts w:asciiTheme="minorHAnsi" w:hAnsiTheme="minorHAnsi"/>
        </w:rPr>
        <w:t xml:space="preserve">Staff note that with the approval of PBT in </w:t>
      </w:r>
      <w:r w:rsidR="005B2209">
        <w:rPr>
          <w:rFonts w:asciiTheme="minorHAnsi" w:hAnsiTheme="minorHAnsi"/>
        </w:rPr>
        <w:t>Central</w:t>
      </w:r>
      <w:r w:rsidR="006A5E03" w:rsidRPr="7CB8050B">
        <w:rPr>
          <w:rFonts w:asciiTheme="minorHAnsi" w:hAnsiTheme="minorHAnsi"/>
        </w:rPr>
        <w:t xml:space="preserve">, MA (UMass), and in neighboring New England States, (RI and CT), the Applicant’s </w:t>
      </w:r>
      <w:r w:rsidR="00C033D3">
        <w:rPr>
          <w:rFonts w:asciiTheme="minorHAnsi" w:hAnsiTheme="minorHAnsi"/>
        </w:rPr>
        <w:t xml:space="preserve">adult </w:t>
      </w:r>
      <w:r w:rsidR="006A5E03" w:rsidRPr="7CB8050B">
        <w:rPr>
          <w:rFonts w:asciiTheme="minorHAnsi" w:hAnsiTheme="minorHAnsi"/>
        </w:rPr>
        <w:t>patients residing in closer proximity to th</w:t>
      </w:r>
      <w:r w:rsidR="00E27D36" w:rsidRPr="7CB8050B">
        <w:rPr>
          <w:rFonts w:asciiTheme="minorHAnsi" w:hAnsiTheme="minorHAnsi"/>
        </w:rPr>
        <w:t>o</w:t>
      </w:r>
      <w:r w:rsidR="006A5E03" w:rsidRPr="7CB8050B">
        <w:rPr>
          <w:rFonts w:asciiTheme="minorHAnsi" w:hAnsiTheme="minorHAnsi"/>
        </w:rPr>
        <w:t xml:space="preserve">se approved PBT systems, than to DFCI, </w:t>
      </w:r>
      <w:r w:rsidR="00BD6B08">
        <w:rPr>
          <w:rFonts w:asciiTheme="minorHAnsi" w:hAnsiTheme="minorHAnsi"/>
        </w:rPr>
        <w:t>could</w:t>
      </w:r>
      <w:r w:rsidR="006A5E03" w:rsidRPr="7CB8050B">
        <w:rPr>
          <w:rFonts w:asciiTheme="minorHAnsi" w:hAnsiTheme="minorHAnsi"/>
        </w:rPr>
        <w:t xml:space="preserve"> be more likely to seek PBT treatment at one of th</w:t>
      </w:r>
      <w:r w:rsidR="00E27D36" w:rsidRPr="7CB8050B">
        <w:rPr>
          <w:rFonts w:asciiTheme="minorHAnsi" w:hAnsiTheme="minorHAnsi"/>
        </w:rPr>
        <w:t>o</w:t>
      </w:r>
      <w:r w:rsidR="006A5E03" w:rsidRPr="7CB8050B">
        <w:rPr>
          <w:rFonts w:asciiTheme="minorHAnsi" w:hAnsiTheme="minorHAnsi"/>
        </w:rPr>
        <w:t xml:space="preserve">se facilities, closer to home. </w:t>
      </w:r>
      <w:r w:rsidR="009C498E">
        <w:rPr>
          <w:rFonts w:asciiTheme="minorHAnsi" w:hAnsiTheme="minorHAnsi"/>
        </w:rPr>
        <w:t>T</w:t>
      </w:r>
      <w:r w:rsidR="004F209E">
        <w:rPr>
          <w:rFonts w:asciiTheme="minorHAnsi" w:hAnsiTheme="minorHAnsi"/>
        </w:rPr>
        <w:t xml:space="preserve">he Applicant </w:t>
      </w:r>
      <w:r w:rsidR="009C498E">
        <w:rPr>
          <w:rFonts w:asciiTheme="minorHAnsi" w:hAnsiTheme="minorHAnsi"/>
        </w:rPr>
        <w:t>is proposing to treat</w:t>
      </w:r>
      <w:r w:rsidR="004F209E">
        <w:rPr>
          <w:rFonts w:asciiTheme="minorHAnsi" w:hAnsiTheme="minorHAnsi"/>
        </w:rPr>
        <w:t xml:space="preserve"> a small percentage of the total number of </w:t>
      </w:r>
      <w:r w:rsidR="00101F2A">
        <w:rPr>
          <w:rFonts w:asciiTheme="minorHAnsi" w:hAnsiTheme="minorHAnsi"/>
        </w:rPr>
        <w:t>Group 1 patients</w:t>
      </w:r>
      <w:r w:rsidR="004F209E">
        <w:rPr>
          <w:rFonts w:asciiTheme="minorHAnsi" w:hAnsiTheme="minorHAnsi"/>
        </w:rPr>
        <w:t xml:space="preserve"> for </w:t>
      </w:r>
      <w:r w:rsidR="005156F0">
        <w:rPr>
          <w:rFonts w:asciiTheme="minorHAnsi" w:hAnsiTheme="minorHAnsi"/>
        </w:rPr>
        <w:t xml:space="preserve">whom </w:t>
      </w:r>
      <w:r w:rsidR="004F209E">
        <w:rPr>
          <w:rFonts w:asciiTheme="minorHAnsi" w:hAnsiTheme="minorHAnsi"/>
        </w:rPr>
        <w:t xml:space="preserve">PBT </w:t>
      </w:r>
      <w:r w:rsidR="005156F0">
        <w:rPr>
          <w:rFonts w:asciiTheme="minorHAnsi" w:hAnsiTheme="minorHAnsi"/>
        </w:rPr>
        <w:t xml:space="preserve">is clinically appropriate. </w:t>
      </w:r>
      <w:r w:rsidR="00E715CA">
        <w:rPr>
          <w:rFonts w:asciiTheme="minorHAnsi" w:hAnsiTheme="minorHAnsi"/>
        </w:rPr>
        <w:t>Therefore</w:t>
      </w:r>
      <w:r w:rsidR="005156F0">
        <w:rPr>
          <w:rFonts w:asciiTheme="minorHAnsi" w:hAnsiTheme="minorHAnsi"/>
        </w:rPr>
        <w:t xml:space="preserve">, </w:t>
      </w:r>
      <w:r w:rsidR="002167AF">
        <w:rPr>
          <w:rFonts w:asciiTheme="minorHAnsi" w:hAnsiTheme="minorHAnsi"/>
        </w:rPr>
        <w:t xml:space="preserve">there will still be an unmet need for PBT </w:t>
      </w:r>
      <w:r w:rsidR="00E715CA">
        <w:rPr>
          <w:rFonts w:asciiTheme="minorHAnsi" w:hAnsiTheme="minorHAnsi"/>
        </w:rPr>
        <w:t xml:space="preserve">among the Applicant’s patients </w:t>
      </w:r>
      <w:r w:rsidR="002167AF">
        <w:rPr>
          <w:rFonts w:asciiTheme="minorHAnsi" w:hAnsiTheme="minorHAnsi"/>
        </w:rPr>
        <w:t>that can be met by other approved regional PBT providers</w:t>
      </w:r>
      <w:r w:rsidR="004C75EC">
        <w:rPr>
          <w:rFonts w:asciiTheme="minorHAnsi" w:hAnsiTheme="minorHAnsi"/>
        </w:rPr>
        <w:t>.</w:t>
      </w:r>
      <w:r w:rsidR="00257F4C">
        <w:rPr>
          <w:rFonts w:asciiTheme="minorHAnsi" w:hAnsiTheme="minorHAnsi"/>
        </w:rPr>
        <w:t xml:space="preserve"> </w:t>
      </w:r>
      <w:r w:rsidR="00EA50EB" w:rsidRPr="00EA50EB">
        <w:rPr>
          <w:bCs/>
        </w:rPr>
        <w:t xml:space="preserve">As a result of the foregoing, </w:t>
      </w:r>
      <w:r w:rsidR="008E2EDF">
        <w:rPr>
          <w:bCs/>
        </w:rPr>
        <w:t>s</w:t>
      </w:r>
      <w:r w:rsidR="00EA50EB" w:rsidRPr="00EA50EB">
        <w:rPr>
          <w:bCs/>
        </w:rPr>
        <w:t xml:space="preserve">taff finds that with additional analysis, the </w:t>
      </w:r>
      <w:r w:rsidR="006B006D">
        <w:rPr>
          <w:bCs/>
        </w:rPr>
        <w:t>A</w:t>
      </w:r>
      <w:r w:rsidR="00EA50EB" w:rsidRPr="00EA50EB">
        <w:rPr>
          <w:bCs/>
        </w:rPr>
        <w:t xml:space="preserve">pplicant has made reasonable projections of the need for and number of patients for whom PBT could be medically appropriate within its </w:t>
      </w:r>
      <w:r w:rsidR="00EA50EB">
        <w:rPr>
          <w:bCs/>
        </w:rPr>
        <w:t>Patient Panel</w:t>
      </w:r>
      <w:r w:rsidR="00DD1CEE">
        <w:rPr>
          <w:bCs/>
        </w:rPr>
        <w:t>.</w:t>
      </w:r>
      <w:r w:rsidR="00EA50EB" w:rsidRPr="00EA50EB">
        <w:rPr>
          <w:bCs/>
        </w:rPr>
        <w:t xml:space="preserve"> Staff finds that with the “Other Conditions” outlined below</w:t>
      </w:r>
      <w:r w:rsidR="00320C43">
        <w:rPr>
          <w:bCs/>
        </w:rPr>
        <w:t xml:space="preserve"> requiring the Applicant report on ICD-10 diagnosis codes</w:t>
      </w:r>
      <w:r w:rsidR="00F72696">
        <w:rPr>
          <w:bCs/>
        </w:rPr>
        <w:t xml:space="preserve"> and</w:t>
      </w:r>
      <w:r w:rsidR="0009629F">
        <w:rPr>
          <w:bCs/>
        </w:rPr>
        <w:t xml:space="preserve"> medical necessity criteria</w:t>
      </w:r>
      <w:r w:rsidR="00C12D6F">
        <w:rPr>
          <w:bCs/>
        </w:rPr>
        <w:t xml:space="preserve"> for PBT patients</w:t>
      </w:r>
      <w:r w:rsidR="00EA50EB" w:rsidRPr="00EA50EB">
        <w:rPr>
          <w:bCs/>
        </w:rPr>
        <w:t xml:space="preserve">, the Proposed </w:t>
      </w:r>
      <w:r w:rsidR="5D573AC8">
        <w:t xml:space="preserve">Project </w:t>
      </w:r>
      <w:r w:rsidR="00EA50EB" w:rsidRPr="00EA50EB">
        <w:rPr>
          <w:bCs/>
        </w:rPr>
        <w:t>meets the requirements of Factor 1(a).</w:t>
      </w:r>
    </w:p>
    <w:p w14:paraId="0ADCD05D" w14:textId="04321291" w:rsidR="00B447F3" w:rsidRPr="003436F0" w:rsidRDefault="00EE03EF" w:rsidP="008917DC">
      <w:pPr>
        <w:pStyle w:val="Heading1"/>
        <w:spacing w:before="188"/>
        <w:ind w:left="0" w:right="403"/>
        <w:rPr>
          <w:rFonts w:asciiTheme="minorHAnsi" w:hAnsiTheme="minorHAnsi"/>
        </w:rPr>
      </w:pPr>
      <w:bookmarkStart w:id="7" w:name="_Toc223962991"/>
      <w:r>
        <w:rPr>
          <w:rFonts w:asciiTheme="minorHAnsi" w:hAnsiTheme="minorHAnsi"/>
          <w:color w:val="42558C"/>
        </w:rPr>
        <w:t>F</w:t>
      </w:r>
      <w:r w:rsidR="00A4110F" w:rsidRPr="003436F0">
        <w:rPr>
          <w:rFonts w:asciiTheme="minorHAnsi" w:hAnsiTheme="minorHAnsi"/>
          <w:color w:val="42558C"/>
        </w:rPr>
        <w:t>actor 1: b) Public health value, improved health outcomes and quality of life; assurances of health equity</w:t>
      </w:r>
      <w:bookmarkEnd w:id="7"/>
    </w:p>
    <w:p w14:paraId="0821EED9" w14:textId="1870D6E0" w:rsidR="00615885" w:rsidRDefault="00615885" w:rsidP="00915290">
      <w:pPr>
        <w:pStyle w:val="BodyText"/>
        <w:rPr>
          <w:rFonts w:asciiTheme="minorHAnsi" w:hAnsiTheme="minorHAnsi"/>
        </w:rPr>
      </w:pPr>
    </w:p>
    <w:p w14:paraId="14258A46" w14:textId="77777777" w:rsidR="00500799" w:rsidRPr="00500799" w:rsidRDefault="00500799" w:rsidP="00500799">
      <w:pPr>
        <w:pStyle w:val="BodyText"/>
        <w:rPr>
          <w:rFonts w:asciiTheme="minorHAnsi" w:hAnsiTheme="minorHAnsi"/>
        </w:rPr>
      </w:pPr>
      <w:r w:rsidRPr="00500799">
        <w:rPr>
          <w:rFonts w:asciiTheme="minorHAnsi" w:hAnsiTheme="minorHAnsi"/>
        </w:rPr>
        <w:t>For this element of Factor 1, the Applicant must demonstrate that the Proposed Project adds public</w:t>
      </w:r>
    </w:p>
    <w:p w14:paraId="7F3661F6" w14:textId="77777777" w:rsidR="00500799" w:rsidRPr="00500799" w:rsidRDefault="00500799" w:rsidP="00500799">
      <w:pPr>
        <w:pStyle w:val="BodyText"/>
        <w:rPr>
          <w:rFonts w:asciiTheme="minorHAnsi" w:hAnsiTheme="minorHAnsi"/>
        </w:rPr>
      </w:pPr>
      <w:r w:rsidRPr="00500799">
        <w:rPr>
          <w:rFonts w:asciiTheme="minorHAnsi" w:hAnsiTheme="minorHAnsi"/>
        </w:rPr>
        <w:t>health value in terms of improved health outcomes and quality of life for the Applicant’s existing</w:t>
      </w:r>
    </w:p>
    <w:p w14:paraId="6F693F33" w14:textId="645925F5" w:rsidR="00500799" w:rsidRDefault="00500799" w:rsidP="00500799">
      <w:pPr>
        <w:pStyle w:val="BodyText"/>
        <w:rPr>
          <w:rFonts w:asciiTheme="minorHAnsi" w:hAnsiTheme="minorHAnsi"/>
        </w:rPr>
      </w:pPr>
      <w:r w:rsidRPr="00500799">
        <w:rPr>
          <w:rFonts w:asciiTheme="minorHAnsi" w:hAnsiTheme="minorHAnsi"/>
        </w:rPr>
        <w:t>Patient Panel, while providing reasonable assurances of health equity.</w:t>
      </w:r>
    </w:p>
    <w:p w14:paraId="2C7137A4" w14:textId="77777777" w:rsidR="00C6437C" w:rsidRDefault="00C6437C" w:rsidP="00915290">
      <w:pPr>
        <w:pStyle w:val="BodyText"/>
        <w:rPr>
          <w:rFonts w:asciiTheme="minorHAnsi" w:hAnsiTheme="minorHAnsi"/>
          <w:b/>
          <w:bCs/>
        </w:rPr>
      </w:pPr>
    </w:p>
    <w:p w14:paraId="0B47360A" w14:textId="3A8571F3" w:rsidR="00E04133" w:rsidRDefault="00750186" w:rsidP="00915290">
      <w:pPr>
        <w:pStyle w:val="BodyText"/>
        <w:rPr>
          <w:rFonts w:asciiTheme="minorHAnsi" w:hAnsiTheme="minorHAnsi"/>
          <w:b/>
          <w:bCs/>
        </w:rPr>
      </w:pPr>
      <w:r w:rsidRPr="00750186">
        <w:rPr>
          <w:rFonts w:asciiTheme="minorHAnsi" w:hAnsiTheme="minorHAnsi"/>
          <w:b/>
          <w:bCs/>
        </w:rPr>
        <w:t>Public Health Value: Improved Outcomes and Quality of Life</w:t>
      </w:r>
    </w:p>
    <w:p w14:paraId="79257135" w14:textId="32CE83F7" w:rsidR="0009184C" w:rsidRDefault="009F7B44" w:rsidP="00177A31">
      <w:pPr>
        <w:pStyle w:val="BodyText"/>
      </w:pPr>
      <w:r>
        <w:t xml:space="preserve">As noted above, </w:t>
      </w:r>
      <w:r w:rsidR="00B33B51">
        <w:t>t</w:t>
      </w:r>
      <w:r w:rsidR="00D50E90">
        <w:t xml:space="preserve">here are </w:t>
      </w:r>
      <w:r w:rsidR="008F77E7">
        <w:t>early</w:t>
      </w:r>
      <w:r w:rsidR="00C305B6">
        <w:t xml:space="preserve"> (acute)</w:t>
      </w:r>
      <w:r w:rsidR="008F77E7">
        <w:t xml:space="preserve"> </w:t>
      </w:r>
      <w:r w:rsidR="009B393D">
        <w:t xml:space="preserve">side effects and late side effects </w:t>
      </w:r>
      <w:r w:rsidR="00D50E90">
        <w:t>associated with</w:t>
      </w:r>
      <w:r w:rsidR="009B393D">
        <w:t xml:space="preserve"> </w:t>
      </w:r>
      <w:r w:rsidR="00D37FDF">
        <w:t>RT</w:t>
      </w:r>
      <w:r w:rsidR="00BD0308">
        <w:t xml:space="preserve">, </w:t>
      </w:r>
      <w:r w:rsidR="00236E2A">
        <w:t>caused by the radiation dose to normal tissues.</w:t>
      </w:r>
      <w:r w:rsidR="00236E2A">
        <w:rPr>
          <w:rStyle w:val="EndnoteReference"/>
        </w:rPr>
        <w:endnoteReference w:id="51"/>
      </w:r>
      <w:r w:rsidR="009B393D">
        <w:t xml:space="preserve"> Early side effects</w:t>
      </w:r>
      <w:r w:rsidR="00E25874">
        <w:t xml:space="preserve"> </w:t>
      </w:r>
      <w:r w:rsidR="009B393D">
        <w:t>occur shortly after treatment, tend to be short-term, mild and treatable,</w:t>
      </w:r>
      <w:r w:rsidR="00E25874">
        <w:t xml:space="preserve"> and the most common ones are fatigue and skin changes, while late </w:t>
      </w:r>
      <w:r w:rsidR="00791617">
        <w:t xml:space="preserve">side effects can occur months or years after treatment ends, </w:t>
      </w:r>
      <w:r w:rsidR="001D7144">
        <w:t>are more permanent</w:t>
      </w:r>
      <w:r w:rsidR="007065B6">
        <w:t xml:space="preserve">, </w:t>
      </w:r>
      <w:r w:rsidR="00F3330B">
        <w:t>and include physical</w:t>
      </w:r>
      <w:r w:rsidR="001D5A59">
        <w:t xml:space="preserve"> and </w:t>
      </w:r>
      <w:r w:rsidR="0082488F">
        <w:t>cognitive impacts</w:t>
      </w:r>
      <w:r w:rsidR="00D9169B">
        <w:t xml:space="preserve"> </w:t>
      </w:r>
      <w:r w:rsidR="006E408B">
        <w:t xml:space="preserve">including </w:t>
      </w:r>
      <w:r w:rsidR="00F3330B">
        <w:t>second cancers</w:t>
      </w:r>
      <w:r w:rsidR="000439EE">
        <w:t xml:space="preserve"> (also known as secondary cancers)</w:t>
      </w:r>
      <w:r w:rsidR="00F3330B">
        <w:t>.</w:t>
      </w:r>
      <w:r w:rsidR="008552ED">
        <w:rPr>
          <w:rStyle w:val="EndnoteReference"/>
        </w:rPr>
        <w:endnoteReference w:id="52"/>
      </w:r>
      <w:r w:rsidR="00893DEE" w:rsidRPr="00893DEE">
        <w:rPr>
          <w:vertAlign w:val="superscript"/>
        </w:rPr>
        <w:t>,</w:t>
      </w:r>
      <w:r w:rsidR="00893DEE">
        <w:rPr>
          <w:rStyle w:val="EndnoteReference"/>
        </w:rPr>
        <w:endnoteReference w:id="53"/>
      </w:r>
      <w:r w:rsidR="00F3330B">
        <w:t xml:space="preserve"> </w:t>
      </w:r>
      <w:r w:rsidR="00307B9B" w:rsidRPr="00307B9B">
        <w:t>Late effects are correlated with patient age</w:t>
      </w:r>
      <w:r w:rsidR="00E339CD">
        <w:t xml:space="preserve"> at time of treatment</w:t>
      </w:r>
      <w:r w:rsidR="00307B9B" w:rsidRPr="00307B9B">
        <w:t>, radiation dose and volume, and can be impacted by chemotherapy or surgery.</w:t>
      </w:r>
      <w:r w:rsidR="00307B9B" w:rsidRPr="00307B9B">
        <w:rPr>
          <w:vertAlign w:val="superscript"/>
        </w:rPr>
        <w:endnoteReference w:id="54"/>
      </w:r>
      <w:r w:rsidR="00307B9B" w:rsidRPr="00307B9B">
        <w:t xml:space="preserve"> </w:t>
      </w:r>
      <w:r w:rsidR="00862B7A">
        <w:t xml:space="preserve">The chance of late effects occurring increases over time, </w:t>
      </w:r>
      <w:r w:rsidR="00862B7A">
        <w:lastRenderedPageBreak/>
        <w:t xml:space="preserve">and </w:t>
      </w:r>
      <w:r w:rsidR="0009593C">
        <w:t xml:space="preserve">with </w:t>
      </w:r>
      <w:r w:rsidR="00795669">
        <w:t>childhoo</w:t>
      </w:r>
      <w:r w:rsidR="00551017">
        <w:t>d</w:t>
      </w:r>
      <w:r w:rsidR="00795669">
        <w:t xml:space="preserve"> cancer survivors</w:t>
      </w:r>
      <w:r w:rsidR="0009593C">
        <w:t xml:space="preserve"> living longer due to better treatments</w:t>
      </w:r>
      <w:r w:rsidR="00307B9B">
        <w:t xml:space="preserve">, </w:t>
      </w:r>
      <w:r w:rsidR="00551017">
        <w:t>an increasing number will have late effects.</w:t>
      </w:r>
      <w:r w:rsidR="00551017" w:rsidRPr="00551017">
        <w:rPr>
          <w:vertAlign w:val="superscript"/>
        </w:rPr>
        <w:endnoteReference w:id="55"/>
      </w:r>
      <w:r w:rsidR="000C6589">
        <w:t xml:space="preserve"> </w:t>
      </w:r>
      <w:r w:rsidR="000439EE">
        <w:t>In 2022</w:t>
      </w:r>
      <w:r w:rsidR="00A0264B" w:rsidRPr="00A0264B">
        <w:t xml:space="preserve">, </w:t>
      </w:r>
      <w:r w:rsidR="000439EE">
        <w:t>there were more than 521,000</w:t>
      </w:r>
      <w:r w:rsidR="00A0264B" w:rsidRPr="00A0264B">
        <w:t xml:space="preserve"> </w:t>
      </w:r>
      <w:r w:rsidR="000439EE">
        <w:t>pediatric</w:t>
      </w:r>
      <w:r w:rsidR="00A0264B" w:rsidRPr="00A0264B">
        <w:t xml:space="preserve"> cancer survivors </w:t>
      </w:r>
      <w:r w:rsidR="000439EE">
        <w:t xml:space="preserve">living in the </w:t>
      </w:r>
      <w:r w:rsidR="007C4821">
        <w:t>US</w:t>
      </w:r>
      <w:r w:rsidR="000439EE">
        <w:t xml:space="preserve"> and the number is projected to increase to 580,000 by 2040</w:t>
      </w:r>
      <w:r w:rsidR="00A0264B">
        <w:t>.</w:t>
      </w:r>
      <w:r w:rsidR="00A0264B">
        <w:rPr>
          <w:rStyle w:val="EndnoteReference"/>
        </w:rPr>
        <w:endnoteReference w:id="56"/>
      </w:r>
      <w:r w:rsidR="00A0264B">
        <w:t xml:space="preserve"> </w:t>
      </w:r>
    </w:p>
    <w:p w14:paraId="1E8F290C" w14:textId="77777777" w:rsidR="0009184C" w:rsidRDefault="0009184C" w:rsidP="00177A31">
      <w:pPr>
        <w:pStyle w:val="BodyText"/>
      </w:pPr>
    </w:p>
    <w:p w14:paraId="5A081E77" w14:textId="383898ED" w:rsidR="00177A31" w:rsidRDefault="00A00BDC" w:rsidP="00177A31">
      <w:pPr>
        <w:pStyle w:val="BodyText"/>
      </w:pPr>
      <w:r>
        <w:t>Because of the</w:t>
      </w:r>
      <w:r w:rsidR="00491BA7">
        <w:t xml:space="preserve"> </w:t>
      </w:r>
      <w:r w:rsidR="006507EA">
        <w:t>long-term and late-effects</w:t>
      </w:r>
      <w:r>
        <w:t xml:space="preserve"> associated with</w:t>
      </w:r>
      <w:r w:rsidR="006507EA">
        <w:t xml:space="preserve"> </w:t>
      </w:r>
      <w:r w:rsidR="007A43B7">
        <w:t>RT</w:t>
      </w:r>
      <w:r w:rsidR="003F33C2">
        <w:t xml:space="preserve">, </w:t>
      </w:r>
      <w:r w:rsidR="00E93C97">
        <w:t>reducing</w:t>
      </w:r>
      <w:r w:rsidR="00BC78BC">
        <w:t xml:space="preserve"> cumulative</w:t>
      </w:r>
      <w:r w:rsidR="00E93C97">
        <w:t xml:space="preserve"> radiation dose </w:t>
      </w:r>
      <w:r w:rsidR="00875BBB">
        <w:t xml:space="preserve">to normal, surrounding tissue, </w:t>
      </w:r>
      <w:r w:rsidR="00015A69">
        <w:t>while achieving optimal</w:t>
      </w:r>
      <w:r w:rsidR="00E93C97">
        <w:t xml:space="preserve"> control of the tumor</w:t>
      </w:r>
      <w:r w:rsidR="00BC78BC">
        <w:t xml:space="preserve"> has been a f</w:t>
      </w:r>
      <w:r w:rsidR="00D06FC1">
        <w:t xml:space="preserve">ocus of </w:t>
      </w:r>
      <w:r w:rsidR="007A43B7">
        <w:t>RT</w:t>
      </w:r>
      <w:r>
        <w:t>.</w:t>
      </w:r>
      <w:r w:rsidR="003E0BED">
        <w:t xml:space="preserve"> </w:t>
      </w:r>
      <w:r w:rsidR="00AC5FF5">
        <w:t xml:space="preserve">A 2010 study </w:t>
      </w:r>
      <w:r w:rsidR="00340419">
        <w:t xml:space="preserve">on the long-term health effects of cancer treatment </w:t>
      </w:r>
      <w:r w:rsidR="00474F72">
        <w:t>using</w:t>
      </w:r>
      <w:r w:rsidR="00340419">
        <w:t xml:space="preserve"> </w:t>
      </w:r>
      <w:r w:rsidR="000537DF">
        <w:t>data from</w:t>
      </w:r>
      <w:r w:rsidR="00AA118C" w:rsidRPr="00AA118C">
        <w:rPr>
          <w:szCs w:val="20"/>
        </w:rPr>
        <w:t xml:space="preserve"> </w:t>
      </w:r>
      <w:r w:rsidR="00AA118C" w:rsidRPr="00AA118C">
        <w:t>The Childhood Cancer Survivor Study (CCSS), a retrospective cohort of over 14,000 survivors of childhood cancer diagnosed between 1970 and 1986</w:t>
      </w:r>
      <w:r w:rsidR="00AA118C">
        <w:t>,</w:t>
      </w:r>
      <w:r w:rsidR="00AC5FF5">
        <w:t xml:space="preserve"> </w:t>
      </w:r>
      <w:r w:rsidR="00340419">
        <w:t xml:space="preserve">stated </w:t>
      </w:r>
      <w:r w:rsidR="00663B90">
        <w:t>“</w:t>
      </w:r>
      <w:r w:rsidR="00663B90" w:rsidRPr="00663B90">
        <w:t>Radiation therapy has been an essential element of treatment of childhood cancer, resulting in improvements in survival for some of the most common malignancies, including childhood ALL (prophylactic cranial irradiation), medulloblastoma, and many solid tumors. However, the increased use of radiation therapy has also resulted in an increase in long-term treatment-related adverse outcomes.</w:t>
      </w:r>
      <w:r w:rsidR="00AC5FF5">
        <w:t>”</w:t>
      </w:r>
      <w:r w:rsidR="00663B90">
        <w:rPr>
          <w:rStyle w:val="EndnoteReference"/>
        </w:rPr>
        <w:endnoteReference w:id="57"/>
      </w:r>
    </w:p>
    <w:p w14:paraId="23F0BFB6" w14:textId="77777777" w:rsidR="000B52DF" w:rsidRDefault="000B52DF" w:rsidP="00177A31">
      <w:pPr>
        <w:pStyle w:val="BodyText"/>
      </w:pPr>
    </w:p>
    <w:p w14:paraId="3D02BE77" w14:textId="0C2E3B0D" w:rsidR="006D5A14" w:rsidRDefault="00286EDD" w:rsidP="006D5A14">
      <w:pPr>
        <w:pStyle w:val="BodyText"/>
      </w:pPr>
      <w:r w:rsidRPr="00286EDD">
        <w:t xml:space="preserve">PBT’s clinical benefits include reduced toxicities while maintaining </w:t>
      </w:r>
      <w:r w:rsidR="009971CB">
        <w:t>survival</w:t>
      </w:r>
      <w:r w:rsidRPr="00286EDD">
        <w:t xml:space="preserve"> rates.</w:t>
      </w:r>
      <w:r w:rsidRPr="00286EDD">
        <w:rPr>
          <w:vertAlign w:val="superscript"/>
        </w:rPr>
        <w:endnoteReference w:id="58"/>
      </w:r>
      <w:r>
        <w:t xml:space="preserve"> </w:t>
      </w:r>
      <w:r w:rsidR="008221CE">
        <w:t>The Applicant states that PBT</w:t>
      </w:r>
      <w:r w:rsidR="00466260">
        <w:t xml:space="preserve"> “</w:t>
      </w:r>
      <w:r w:rsidR="00466260" w:rsidRPr="00466260">
        <w:t>is particularly successful and beneficial in the treatment of pediatric cancers, several adult cancers, and is also the preferred treatment for oncology patients requiring re-irradiation</w:t>
      </w:r>
      <w:r w:rsidR="008221CE">
        <w:t>.</w:t>
      </w:r>
      <w:r w:rsidR="00466260">
        <w:t>”</w:t>
      </w:r>
      <w:r w:rsidR="008221CE">
        <w:t xml:space="preserve"> </w:t>
      </w:r>
      <w:r w:rsidR="00A43CE9" w:rsidRPr="00A43CE9">
        <w:t xml:space="preserve">Included below is a brief summary of </w:t>
      </w:r>
      <w:r w:rsidR="00AC2EC7">
        <w:t>the</w:t>
      </w:r>
      <w:r w:rsidR="00703C28">
        <w:t xml:space="preserve"> Applicant’s presentation of</w:t>
      </w:r>
      <w:r w:rsidR="00AC2EC7">
        <w:t xml:space="preserve"> </w:t>
      </w:r>
      <w:r w:rsidR="00DB707A">
        <w:t>clinical evidence</w:t>
      </w:r>
      <w:r w:rsidR="00A43CE9" w:rsidRPr="00A43CE9">
        <w:t xml:space="preserve"> </w:t>
      </w:r>
      <w:r w:rsidR="00AC2EC7">
        <w:t xml:space="preserve">on </w:t>
      </w:r>
      <w:r w:rsidR="00A43CE9" w:rsidRPr="00A43CE9">
        <w:t>PBT’s contribution to improved health outcomes and quality of life</w:t>
      </w:r>
      <w:r w:rsidR="00DB707A">
        <w:t xml:space="preserve"> for adult and pediatric patients</w:t>
      </w:r>
      <w:r w:rsidR="00A43CE9" w:rsidRPr="00A43CE9">
        <w:t>.</w:t>
      </w:r>
      <w:r w:rsidR="00F253F0" w:rsidRPr="00F253F0">
        <w:rPr>
          <w:szCs w:val="20"/>
        </w:rPr>
        <w:t xml:space="preserve"> </w:t>
      </w:r>
      <w:r w:rsidR="00F253F0" w:rsidRPr="00F253F0">
        <w:t>Staff notes PBT</w:t>
      </w:r>
      <w:r w:rsidR="00A622BB">
        <w:t>’s</w:t>
      </w:r>
      <w:r w:rsidR="00F253F0" w:rsidRPr="00F253F0">
        <w:t xml:space="preserve"> efficacy for specific </w:t>
      </w:r>
      <w:r w:rsidR="00146C85">
        <w:t>clinical indications</w:t>
      </w:r>
      <w:r w:rsidR="00F253F0" w:rsidRPr="00F253F0">
        <w:t>, and</w:t>
      </w:r>
      <w:r w:rsidR="0039762C">
        <w:t xml:space="preserve"> that PBT</w:t>
      </w:r>
      <w:r w:rsidR="00F253F0" w:rsidRPr="00F253F0">
        <w:t xml:space="preserve"> is not a treatment applied generally across all cancer types.</w:t>
      </w:r>
    </w:p>
    <w:p w14:paraId="708905B4" w14:textId="77777777" w:rsidR="00CC5BB6" w:rsidRPr="00C17729" w:rsidRDefault="00CC5BB6" w:rsidP="006D5A14">
      <w:pPr>
        <w:pStyle w:val="BodyText"/>
      </w:pPr>
    </w:p>
    <w:p w14:paraId="036D173F" w14:textId="648EE83A" w:rsidR="00E8389E" w:rsidRPr="00574CE9" w:rsidRDefault="00DB707A" w:rsidP="00E8389E">
      <w:pPr>
        <w:pStyle w:val="BodyText"/>
        <w:rPr>
          <w:b/>
          <w:bCs/>
        </w:rPr>
      </w:pPr>
      <w:r>
        <w:rPr>
          <w:b/>
          <w:bCs/>
        </w:rPr>
        <w:t xml:space="preserve">PBT and </w:t>
      </w:r>
      <w:r w:rsidR="00432AC9" w:rsidRPr="00574CE9">
        <w:rPr>
          <w:b/>
          <w:bCs/>
        </w:rPr>
        <w:t>Pediatric Patients</w:t>
      </w:r>
    </w:p>
    <w:p w14:paraId="578C322A" w14:textId="3839C863" w:rsidR="00443939" w:rsidRPr="00443939" w:rsidRDefault="00BC3309" w:rsidP="00443939">
      <w:pPr>
        <w:pStyle w:val="BodyText"/>
      </w:pPr>
      <w:r>
        <w:t>T</w:t>
      </w:r>
      <w:r w:rsidR="0010653E">
        <w:t xml:space="preserve">he American Cancer Society </w:t>
      </w:r>
      <w:r w:rsidR="00E46B3D">
        <w:t>estimate</w:t>
      </w:r>
      <w:r w:rsidR="005F4047">
        <w:t>d</w:t>
      </w:r>
      <w:r w:rsidR="00E46B3D">
        <w:t xml:space="preserve"> that in</w:t>
      </w:r>
      <w:r w:rsidR="006A4E08">
        <w:t xml:space="preserve"> 2025, 9,550 children</w:t>
      </w:r>
      <w:r w:rsidR="005536DF">
        <w:t xml:space="preserve"> (aged birth to 14 years), and 5,140 adolescents aged 15 to 19 years </w:t>
      </w:r>
      <w:r w:rsidR="00E46B3D">
        <w:t>w</w:t>
      </w:r>
      <w:r w:rsidR="006C49B8">
        <w:t>ould</w:t>
      </w:r>
      <w:r w:rsidR="00E46B3D">
        <w:t xml:space="preserve"> be diagnosed with cancer.</w:t>
      </w:r>
      <w:r w:rsidR="00E46B3D">
        <w:rPr>
          <w:rStyle w:val="EndnoteReference"/>
        </w:rPr>
        <w:endnoteReference w:id="59"/>
      </w:r>
      <w:r w:rsidR="00E46B3D">
        <w:t xml:space="preserve"> </w:t>
      </w:r>
      <w:r w:rsidR="00515928">
        <w:t>C</w:t>
      </w:r>
      <w:r w:rsidRPr="00BC3309">
        <w:t>ancer is the second most common cause of death among children aged one to 14 years old, and the fourth most common cause among adolescents aged 15 to 19 years old.</w:t>
      </w:r>
      <w:r w:rsidRPr="00BC3309">
        <w:rPr>
          <w:vertAlign w:val="superscript"/>
        </w:rPr>
        <w:endnoteReference w:id="60"/>
      </w:r>
      <w:r w:rsidR="00E724FE">
        <w:t xml:space="preserve"> </w:t>
      </w:r>
      <w:r w:rsidR="00AC2EC7">
        <w:t>Pediatric patients</w:t>
      </w:r>
      <w:r w:rsidR="00885DF3" w:rsidRPr="00885DF3">
        <w:t xml:space="preserve"> </w:t>
      </w:r>
      <w:r w:rsidR="00E724FE">
        <w:t>treated with</w:t>
      </w:r>
      <w:r w:rsidR="00885DF3" w:rsidRPr="00885DF3">
        <w:t xml:space="preserve"> traditional RT as opposed to PBT, are at higher risk for life-altering toxicities of radiation, secondary tumors, neurocognitive decline, hearing loss, hormone deficiency, and growth abnormalities.</w:t>
      </w:r>
      <w:r w:rsidR="00885DF3" w:rsidRPr="00885DF3">
        <w:rPr>
          <w:vertAlign w:val="superscript"/>
        </w:rPr>
        <w:endnoteReference w:id="61"/>
      </w:r>
      <w:r w:rsidR="00885DF3" w:rsidRPr="00885DF3">
        <w:t xml:space="preserve"> Potential long-term side effects of RT in children and adolescents can include problems related to growth, intelligence, endocrine function, fertility, and organ function.</w:t>
      </w:r>
      <w:r w:rsidR="00885DF3" w:rsidRPr="00885DF3">
        <w:rPr>
          <w:vertAlign w:val="superscript"/>
        </w:rPr>
        <w:endnoteReference w:id="62"/>
      </w:r>
      <w:r w:rsidR="00885DF3" w:rsidRPr="00885DF3">
        <w:t xml:space="preserve"> Low doses of radiation can impact bone and soft tissue growth and development and can lead to limb length differences, limited movement and facial deformation or asymmetry. </w:t>
      </w:r>
    </w:p>
    <w:p w14:paraId="15FB2464" w14:textId="386D68B9" w:rsidR="00AF5228" w:rsidRDefault="00AF5228" w:rsidP="00D11892">
      <w:pPr>
        <w:pStyle w:val="BodyText"/>
      </w:pPr>
    </w:p>
    <w:p w14:paraId="0D4816C7" w14:textId="28D535C6" w:rsidR="005D657B" w:rsidRDefault="00AF5228" w:rsidP="00F963D7">
      <w:pPr>
        <w:pStyle w:val="BodyText"/>
      </w:pPr>
      <w:r w:rsidRPr="00AF5228">
        <w:t>PBT has been recognized as the superior choice to photon-based RT “for tumors with complex anatomy surrounded by critically sensitive tissues and for childhood cancers.”</w:t>
      </w:r>
      <w:r w:rsidRPr="00AF5228">
        <w:rPr>
          <w:vertAlign w:val="superscript"/>
        </w:rPr>
        <w:endnoteReference w:id="63"/>
      </w:r>
      <w:r w:rsidRPr="00AF5228">
        <w:rPr>
          <w:vertAlign w:val="superscript"/>
        </w:rPr>
        <w:t>,</w:t>
      </w:r>
      <w:r w:rsidRPr="00AF5228">
        <w:rPr>
          <w:vertAlign w:val="superscript"/>
        </w:rPr>
        <w:endnoteReference w:id="64"/>
      </w:r>
      <w:r w:rsidRPr="00AF5228">
        <w:t xml:space="preserve"> A survey of pediatric </w:t>
      </w:r>
      <w:r w:rsidR="00E2200B">
        <w:t xml:space="preserve">cancer </w:t>
      </w:r>
      <w:r w:rsidRPr="00AF5228">
        <w:t>patients treated at 40 proton centers in 11 countries, estimated that 15% of pediatric patients (less than 22 years) receiving radiotherapy in the U.S. were treated with PBT, and that protons were being used to treat 50% to 70% of pediatric patients with aggressive tumor types, including rhabdomyosarcoma</w:t>
      </w:r>
      <w:r w:rsidR="00F963D7">
        <w:t xml:space="preserve"> </w:t>
      </w:r>
      <w:r w:rsidR="00F963D7" w:rsidRPr="00F963D7">
        <w:t>(the most common soft tissue sarcoma in children and adolescents)</w:t>
      </w:r>
      <w:r w:rsidRPr="00AF5228">
        <w:t>, medulloblastoma</w:t>
      </w:r>
      <w:r w:rsidR="00F963D7">
        <w:t xml:space="preserve"> (</w:t>
      </w:r>
      <w:r w:rsidR="00F963D7" w:rsidRPr="00F963D7">
        <w:t>the most common cancerous brain tumor in children</w:t>
      </w:r>
      <w:r w:rsidR="00187C61">
        <w:t>)</w:t>
      </w:r>
      <w:r w:rsidRPr="00AF5228">
        <w:t>, ependymoma</w:t>
      </w:r>
      <w:r w:rsidR="00187C61">
        <w:t xml:space="preserve"> (</w:t>
      </w:r>
      <w:r w:rsidR="00187C61" w:rsidRPr="00187C61">
        <w:t>a tumor that grows from cells of the brain and spinal cord that is common in children and adolescents</w:t>
      </w:r>
      <w:r w:rsidR="00187C61">
        <w:t>)</w:t>
      </w:r>
      <w:r w:rsidRPr="00AF5228">
        <w:t xml:space="preserve">, </w:t>
      </w:r>
      <w:r w:rsidRPr="00AF5228">
        <w:lastRenderedPageBreak/>
        <w:t>Ewing’s sarcoma</w:t>
      </w:r>
      <w:r w:rsidR="00902CB2">
        <w:t xml:space="preserve"> (common cancer in children and adolescents that forms in the </w:t>
      </w:r>
      <w:r w:rsidR="00DC5665">
        <w:t>bones or soft tissues)</w:t>
      </w:r>
      <w:r w:rsidRPr="00AF5228">
        <w:t>, and atypical rhabdoid tumors</w:t>
      </w:r>
      <w:r w:rsidR="00DC5665">
        <w:t xml:space="preserve"> (cancer of the </w:t>
      </w:r>
      <w:r w:rsidR="006277B5">
        <w:t>central nervous system (CNS)</w:t>
      </w:r>
      <w:r w:rsidR="00DC5665">
        <w:t xml:space="preserve"> primarily affecting</w:t>
      </w:r>
      <w:r w:rsidR="006277B5">
        <w:t xml:space="preserve"> infants and young children)</w:t>
      </w:r>
      <w:r w:rsidRPr="00AF5228">
        <w:t>.</w:t>
      </w:r>
      <w:r w:rsidRPr="00AF5228">
        <w:rPr>
          <w:vertAlign w:val="superscript"/>
        </w:rPr>
        <w:endnoteReference w:id="65"/>
      </w:r>
      <w:r w:rsidRPr="00AF5228">
        <w:t xml:space="preserve"> </w:t>
      </w:r>
    </w:p>
    <w:p w14:paraId="65E55262" w14:textId="77777777" w:rsidR="003A1B34" w:rsidRDefault="003A1B34" w:rsidP="003A1B34">
      <w:pPr>
        <w:pStyle w:val="BodyText"/>
      </w:pPr>
    </w:p>
    <w:p w14:paraId="2982AAC6" w14:textId="0F569753" w:rsidR="00E73CC6" w:rsidRDefault="00E73CC6" w:rsidP="00E1445D">
      <w:pPr>
        <w:pStyle w:val="BodyText"/>
      </w:pPr>
      <w:r w:rsidRPr="00CA033B">
        <w:t>CNS tumors</w:t>
      </w:r>
      <w:r w:rsidRPr="00A62742">
        <w:rPr>
          <w:i/>
          <w:iCs/>
        </w:rPr>
        <w:t xml:space="preserve"> </w:t>
      </w:r>
      <w:r w:rsidRPr="00434917">
        <w:t>are</w:t>
      </w:r>
      <w:r w:rsidRPr="00A62742">
        <w:rPr>
          <w:i/>
          <w:iCs/>
        </w:rPr>
        <w:t xml:space="preserve"> </w:t>
      </w:r>
      <w:r w:rsidRPr="00860813">
        <w:t>the second most common childhood cancer, and the most common cancer in adolescents.</w:t>
      </w:r>
      <w:r w:rsidRPr="00860813">
        <w:rPr>
          <w:vertAlign w:val="superscript"/>
        </w:rPr>
        <w:endnoteReference w:id="66"/>
      </w:r>
      <w:r>
        <w:t xml:space="preserve"> The most common indication for </w:t>
      </w:r>
      <w:r w:rsidR="00195677">
        <w:t>RT</w:t>
      </w:r>
      <w:r>
        <w:t xml:space="preserve"> in pediatric patients is for brain tumors. Radiation exposure to the brain can predispose one to neurocognitive effects, hearing loss, vascular anomalies and neuroendocrine dysfunction.</w:t>
      </w:r>
      <w:r>
        <w:rPr>
          <w:rStyle w:val="EndnoteReference"/>
        </w:rPr>
        <w:endnoteReference w:id="67"/>
      </w:r>
      <w:r>
        <w:t xml:space="preserve"> Younger pediatric brain tumor patients are more vulnerable to brain damage due to ongoing brain development.</w:t>
      </w:r>
      <w:r>
        <w:rPr>
          <w:rStyle w:val="EndnoteReference"/>
        </w:rPr>
        <w:endnoteReference w:id="68"/>
      </w:r>
      <w:r>
        <w:t xml:space="preserve"> </w:t>
      </w:r>
      <w:r w:rsidRPr="00E57678">
        <w:t xml:space="preserve">PBT may reduce </w:t>
      </w:r>
      <w:r>
        <w:t>risk of adverse neurocognitive effects</w:t>
      </w:r>
      <w:r w:rsidRPr="00E57678">
        <w:t xml:space="preserve"> through better sparing of healthy brain tissue.</w:t>
      </w:r>
      <w:r w:rsidRPr="00E57678">
        <w:rPr>
          <w:vertAlign w:val="superscript"/>
        </w:rPr>
        <w:endnoteReference w:id="69"/>
      </w:r>
      <w:r w:rsidRPr="00E57678">
        <w:t xml:space="preserve"> </w:t>
      </w:r>
      <w:r w:rsidR="00022504" w:rsidRPr="00022504">
        <w:t xml:space="preserve">Within the cranium, it leads to lesser dose to normal sensitive regions like </w:t>
      </w:r>
      <w:r w:rsidR="00DA5CBD">
        <w:t xml:space="preserve">the </w:t>
      </w:r>
      <w:r w:rsidR="00022504" w:rsidRPr="00022504">
        <w:t>hippocampus and temporal lobes which can reduce radiation-associated endocrine dysfunction</w:t>
      </w:r>
      <w:r w:rsidR="00FC34BA">
        <w:t xml:space="preserve"> (hormonal disorders)</w:t>
      </w:r>
      <w:r w:rsidR="00022504" w:rsidRPr="00022504">
        <w:t>.</w:t>
      </w:r>
      <w:r w:rsidR="00022504" w:rsidRPr="00022504">
        <w:rPr>
          <w:vertAlign w:val="superscript"/>
        </w:rPr>
        <w:endnoteReference w:id="70"/>
      </w:r>
      <w:r w:rsidR="00022504" w:rsidRPr="00022504">
        <w:t xml:space="preserve"> </w:t>
      </w:r>
      <w:r w:rsidRPr="00CA033B">
        <w:t>PBT use in pediatric medulloblastoma</w:t>
      </w:r>
      <w:r>
        <w:t xml:space="preserve"> </w:t>
      </w:r>
      <w:r w:rsidRPr="008F1B98">
        <w:t xml:space="preserve">eliminates the exit doses to the heart, lungs, abdomen, and pelvis, which eliminates risk for radiation-induced cardiac, pulmonary, gastrointestinal, and reproductive adverse </w:t>
      </w:r>
      <w:r>
        <w:t xml:space="preserve">side </w:t>
      </w:r>
      <w:r w:rsidRPr="008F1B98">
        <w:t>effects, which studies have reported in patients treated with photons.</w:t>
      </w:r>
      <w:r w:rsidRPr="008F1B98">
        <w:rPr>
          <w:rStyle w:val="EndnoteReference"/>
        </w:rPr>
        <w:endnoteReference w:id="71"/>
      </w:r>
      <w:r w:rsidRPr="008F1B98">
        <w:t xml:space="preserve"> Studies of proton and photon use in pediatric medulloblastoma patients have also shown an association with improved global IQ, perceptual reasoning and working memory for PBT, and </w:t>
      </w:r>
      <w:r>
        <w:t>improved endocrine outcomes and reduced requirement for endocrine replacement therapy</w:t>
      </w:r>
      <w:r w:rsidRPr="008F1B98">
        <w:t>.</w:t>
      </w:r>
      <w:r w:rsidRPr="008F1B98">
        <w:rPr>
          <w:rStyle w:val="EndnoteReference"/>
        </w:rPr>
        <w:endnoteReference w:id="72"/>
      </w:r>
      <w:r>
        <w:t xml:space="preserve"> </w:t>
      </w:r>
      <w:r w:rsidRPr="005D59F4">
        <w:t>Ependymoma</w:t>
      </w:r>
      <w:r w:rsidR="004D7331">
        <w:t xml:space="preserve">, </w:t>
      </w:r>
      <w:r w:rsidR="009762AD">
        <w:t>a type</w:t>
      </w:r>
      <w:r w:rsidR="004D7331">
        <w:t xml:space="preserve"> of CNS tumor,</w:t>
      </w:r>
      <w:r>
        <w:t xml:space="preserve"> is </w:t>
      </w:r>
      <w:r w:rsidRPr="006F69F7">
        <w:t xml:space="preserve">treated with </w:t>
      </w:r>
      <w:r>
        <w:t>RT</w:t>
      </w:r>
      <w:r w:rsidRPr="006F69F7">
        <w:t xml:space="preserve"> post-operatively, and has been associated with lower toxicity in those treated with PBT</w:t>
      </w:r>
      <w:r>
        <w:t xml:space="preserve">, which </w:t>
      </w:r>
      <w:r w:rsidRPr="006F69F7">
        <w:t>spar</w:t>
      </w:r>
      <w:r>
        <w:t xml:space="preserve">es </w:t>
      </w:r>
      <w:r w:rsidRPr="006F69F7">
        <w:t xml:space="preserve">radiation to critical structures </w:t>
      </w:r>
      <w:r>
        <w:t>reducing</w:t>
      </w:r>
      <w:r w:rsidRPr="006F69F7">
        <w:t xml:space="preserve"> risk of growth hormone deficiency, hearing loss, and neurocognitive function. </w:t>
      </w:r>
      <w:r w:rsidR="00501D4F">
        <w:t>Growth hormone deficiency</w:t>
      </w:r>
      <w:r w:rsidR="00410733">
        <w:t xml:space="preserve"> in children has been linked to multiple co-morbidities including </w:t>
      </w:r>
      <w:r w:rsidR="0009243A">
        <w:t>poor growth and cognitive impairment, and growth hormone monitoring and replacement for pediatric patients can be costly.</w:t>
      </w:r>
      <w:r w:rsidR="0009243A">
        <w:rPr>
          <w:rStyle w:val="EndnoteReference"/>
        </w:rPr>
        <w:endnoteReference w:id="73"/>
      </w:r>
    </w:p>
    <w:p w14:paraId="61C2DB82" w14:textId="77777777" w:rsidR="00E1445D" w:rsidRDefault="00E1445D" w:rsidP="00E1445D">
      <w:pPr>
        <w:rPr>
          <w:szCs w:val="24"/>
        </w:rPr>
      </w:pPr>
    </w:p>
    <w:p w14:paraId="67E14A81" w14:textId="0B60B0C2" w:rsidR="00FB6BE0" w:rsidRDefault="00592C10" w:rsidP="00E1445D">
      <w:pPr>
        <w:rPr>
          <w:szCs w:val="24"/>
        </w:rPr>
      </w:pPr>
      <w:r w:rsidRPr="00E1445D">
        <w:rPr>
          <w:szCs w:val="24"/>
        </w:rPr>
        <w:t>A literature review of PBT use in non-</w:t>
      </w:r>
      <w:r w:rsidR="00EF1F44">
        <w:rPr>
          <w:szCs w:val="24"/>
        </w:rPr>
        <w:t>CNS</w:t>
      </w:r>
      <w:r w:rsidRPr="00E1445D">
        <w:rPr>
          <w:szCs w:val="24"/>
        </w:rPr>
        <w:t xml:space="preserve"> pediatric tumors</w:t>
      </w:r>
      <w:r w:rsidR="00105B70" w:rsidRPr="00105B70">
        <w:t xml:space="preserve"> </w:t>
      </w:r>
      <w:r w:rsidR="00105B70">
        <w:rPr>
          <w:szCs w:val="24"/>
        </w:rPr>
        <w:t>s</w:t>
      </w:r>
      <w:r w:rsidR="00105B70" w:rsidRPr="00105B70">
        <w:rPr>
          <w:szCs w:val="24"/>
        </w:rPr>
        <w:t>uch as retinoblastoma, Hodgkin Lymphoma, Wilms Tumor, and bone and soft tissue sarcoma</w:t>
      </w:r>
      <w:r w:rsidRPr="00E1445D">
        <w:rPr>
          <w:szCs w:val="24"/>
        </w:rPr>
        <w:t xml:space="preserve">, reported that PBT </w:t>
      </w:r>
      <w:r w:rsidR="00AD5CC2">
        <w:rPr>
          <w:szCs w:val="24"/>
        </w:rPr>
        <w:t>reduced</w:t>
      </w:r>
      <w:r w:rsidR="00AA4058" w:rsidRPr="00E1445D">
        <w:rPr>
          <w:szCs w:val="24"/>
        </w:rPr>
        <w:t xml:space="preserve"> radiation doses to healthy, growing organs, </w:t>
      </w:r>
      <w:r w:rsidR="009057B1">
        <w:rPr>
          <w:szCs w:val="24"/>
        </w:rPr>
        <w:t>which can reduce</w:t>
      </w:r>
      <w:r w:rsidRPr="00E1445D">
        <w:rPr>
          <w:szCs w:val="24"/>
        </w:rPr>
        <w:t xml:space="preserve"> risk of </w:t>
      </w:r>
      <w:r w:rsidR="000F428E">
        <w:rPr>
          <w:szCs w:val="24"/>
        </w:rPr>
        <w:t>side effects</w:t>
      </w:r>
      <w:r w:rsidR="00FB5BAE">
        <w:rPr>
          <w:szCs w:val="24"/>
        </w:rPr>
        <w:t xml:space="preserve"> from RT, including </w:t>
      </w:r>
      <w:r w:rsidRPr="00E1445D">
        <w:rPr>
          <w:szCs w:val="24"/>
        </w:rPr>
        <w:t>radiation-induced secondary malignant neoplasms (SMNs).</w:t>
      </w:r>
      <w:r w:rsidRPr="00592C10">
        <w:rPr>
          <w:vertAlign w:val="superscript"/>
        </w:rPr>
        <w:endnoteReference w:id="74"/>
      </w:r>
      <w:r w:rsidRPr="00E1445D">
        <w:rPr>
          <w:szCs w:val="24"/>
        </w:rPr>
        <w:t xml:space="preserve"> </w:t>
      </w:r>
      <w:r w:rsidR="00FB6BE0" w:rsidRPr="00E1445D">
        <w:rPr>
          <w:szCs w:val="24"/>
        </w:rPr>
        <w:t xml:space="preserve">A study comparing PBT and photons (IMRT) for </w:t>
      </w:r>
      <w:r w:rsidR="00C36299">
        <w:rPr>
          <w:szCs w:val="24"/>
        </w:rPr>
        <w:t>pediatric</w:t>
      </w:r>
      <w:r w:rsidR="00FB6BE0" w:rsidRPr="00E1445D">
        <w:rPr>
          <w:szCs w:val="24"/>
        </w:rPr>
        <w:t xml:space="preserve"> rhabdomyosarcoma, a non-CNS tumor, found that PBT reduced </w:t>
      </w:r>
      <w:r w:rsidR="00E23333">
        <w:rPr>
          <w:szCs w:val="24"/>
        </w:rPr>
        <w:t xml:space="preserve">radiation dose </w:t>
      </w:r>
      <w:r w:rsidR="00E73657">
        <w:rPr>
          <w:szCs w:val="24"/>
        </w:rPr>
        <w:t>to multiple structures</w:t>
      </w:r>
      <w:r w:rsidR="000D6566">
        <w:rPr>
          <w:szCs w:val="24"/>
        </w:rPr>
        <w:t xml:space="preserve"> in the CNS and non-CNS</w:t>
      </w:r>
      <w:r w:rsidR="00E73657">
        <w:rPr>
          <w:szCs w:val="24"/>
        </w:rPr>
        <w:t xml:space="preserve">, </w:t>
      </w:r>
      <w:r w:rsidR="000D6566">
        <w:rPr>
          <w:szCs w:val="24"/>
        </w:rPr>
        <w:t>including</w:t>
      </w:r>
      <w:r w:rsidR="004D3909">
        <w:rPr>
          <w:szCs w:val="24"/>
        </w:rPr>
        <w:t xml:space="preserve"> to</w:t>
      </w:r>
      <w:r w:rsidR="00E73657">
        <w:rPr>
          <w:szCs w:val="24"/>
        </w:rPr>
        <w:t xml:space="preserve"> the </w:t>
      </w:r>
      <w:r w:rsidR="000B5AA9">
        <w:rPr>
          <w:szCs w:val="24"/>
        </w:rPr>
        <w:t>hypothalamus</w:t>
      </w:r>
      <w:r w:rsidR="00334D26">
        <w:rPr>
          <w:szCs w:val="24"/>
        </w:rPr>
        <w:t xml:space="preserve">, which </w:t>
      </w:r>
      <w:r w:rsidR="00133BD7">
        <w:rPr>
          <w:szCs w:val="24"/>
        </w:rPr>
        <w:t xml:space="preserve">controls the </w:t>
      </w:r>
      <w:r w:rsidR="00036A53">
        <w:rPr>
          <w:szCs w:val="24"/>
        </w:rPr>
        <w:t>secretion</w:t>
      </w:r>
      <w:r w:rsidR="00133BD7">
        <w:rPr>
          <w:szCs w:val="24"/>
        </w:rPr>
        <w:t xml:space="preserve"> of growth hormone</w:t>
      </w:r>
      <w:r w:rsidR="00334D26">
        <w:rPr>
          <w:szCs w:val="24"/>
        </w:rPr>
        <w:t>,</w:t>
      </w:r>
      <w:r w:rsidR="006959A2">
        <w:rPr>
          <w:szCs w:val="24"/>
        </w:rPr>
        <w:t xml:space="preserve"> and to the</w:t>
      </w:r>
      <w:r w:rsidR="00334D26">
        <w:rPr>
          <w:szCs w:val="24"/>
        </w:rPr>
        <w:t xml:space="preserve"> </w:t>
      </w:r>
      <w:r w:rsidR="00F84301">
        <w:rPr>
          <w:szCs w:val="24"/>
        </w:rPr>
        <w:t>temporal lobe</w:t>
      </w:r>
      <w:r w:rsidR="00065BE7">
        <w:rPr>
          <w:szCs w:val="24"/>
        </w:rPr>
        <w:t xml:space="preserve">s where memory function </w:t>
      </w:r>
      <w:r w:rsidR="00A961C3">
        <w:rPr>
          <w:szCs w:val="24"/>
        </w:rPr>
        <w:t>is</w:t>
      </w:r>
      <w:r w:rsidR="00065BE7">
        <w:rPr>
          <w:szCs w:val="24"/>
        </w:rPr>
        <w:t xml:space="preserve"> located</w:t>
      </w:r>
      <w:r w:rsidR="00FB6BE0" w:rsidRPr="00E1445D">
        <w:rPr>
          <w:szCs w:val="24"/>
        </w:rPr>
        <w:t>.</w:t>
      </w:r>
      <w:r w:rsidR="00FB6BE0" w:rsidRPr="00FB6BE0">
        <w:rPr>
          <w:vertAlign w:val="superscript"/>
        </w:rPr>
        <w:endnoteReference w:id="75"/>
      </w:r>
      <w:r w:rsidR="00FB6BE0" w:rsidRPr="00E1445D">
        <w:rPr>
          <w:szCs w:val="24"/>
        </w:rPr>
        <w:t xml:space="preserve">  </w:t>
      </w:r>
    </w:p>
    <w:p w14:paraId="37380CCE" w14:textId="77777777" w:rsidR="002128E9" w:rsidRPr="00E1445D" w:rsidRDefault="002128E9" w:rsidP="00E1445D">
      <w:pPr>
        <w:rPr>
          <w:szCs w:val="24"/>
        </w:rPr>
      </w:pPr>
    </w:p>
    <w:p w14:paraId="2B062086" w14:textId="69AA49F4" w:rsidR="00A476CB" w:rsidRDefault="003B0678" w:rsidP="0084284D">
      <w:pPr>
        <w:rPr>
          <w:rFonts w:cs="Calibri"/>
          <w:szCs w:val="24"/>
        </w:rPr>
      </w:pPr>
      <w:r>
        <w:rPr>
          <w:rFonts w:cs="Calibri"/>
          <w:szCs w:val="24"/>
        </w:rPr>
        <w:t xml:space="preserve">Letters of support from </w:t>
      </w:r>
      <w:r w:rsidR="001D391D">
        <w:rPr>
          <w:rFonts w:cs="Calibri"/>
          <w:szCs w:val="24"/>
        </w:rPr>
        <w:t>DFCI</w:t>
      </w:r>
      <w:r>
        <w:rPr>
          <w:rFonts w:cs="Calibri"/>
          <w:szCs w:val="24"/>
        </w:rPr>
        <w:t xml:space="preserve"> practicing oncologists in Boston, emphasized the improved health outcomes and quality of life that can result from expanding access to PBT, especially for pediatric patients. Dr. Lisa Diller, a pediatric oncologist and </w:t>
      </w:r>
      <w:r w:rsidRPr="00794219">
        <w:rPr>
          <w:rFonts w:cs="Calibri"/>
          <w:szCs w:val="24"/>
        </w:rPr>
        <w:t>Vice Chair</w:t>
      </w:r>
      <w:r>
        <w:rPr>
          <w:rFonts w:cs="Calibri"/>
          <w:szCs w:val="24"/>
        </w:rPr>
        <w:t xml:space="preserve"> of the</w:t>
      </w:r>
      <w:r w:rsidRPr="00794219">
        <w:rPr>
          <w:rFonts w:cs="Calibri"/>
          <w:szCs w:val="24"/>
        </w:rPr>
        <w:t xml:space="preserve"> Department of Pediatric Oncology</w:t>
      </w:r>
      <w:r>
        <w:rPr>
          <w:rFonts w:cs="Calibri"/>
          <w:szCs w:val="24"/>
        </w:rPr>
        <w:t xml:space="preserve"> at DFCI stated, “</w:t>
      </w:r>
      <w:r w:rsidRPr="00D910A2">
        <w:rPr>
          <w:rFonts w:cs="Calibri"/>
          <w:i/>
          <w:iCs/>
          <w:szCs w:val="24"/>
        </w:rPr>
        <w:t>Over my more than 30 years of practicing as a pediatric oncologist, I have cared for patients who are long-term survivors of photon therapy, and have noted how the ‘exit dose’ associated with photon radiation (and avoided with protons) has caused irrevocable harm to reproductive organs, to normal muscle and bone, and to parts of the brain.</w:t>
      </w:r>
      <w:r>
        <w:rPr>
          <w:rFonts w:cs="Calibri"/>
          <w:i/>
          <w:iCs/>
          <w:szCs w:val="24"/>
        </w:rPr>
        <w:t xml:space="preserve"> </w:t>
      </w:r>
      <w:r w:rsidRPr="00D910A2">
        <w:rPr>
          <w:rFonts w:cs="Calibri"/>
          <w:i/>
          <w:iCs/>
          <w:szCs w:val="24"/>
        </w:rPr>
        <w:t xml:space="preserve">In the modern era of pediatric oncology, when we need to use radiation therapy to cure cancer, proton beam therapy is much preferred for most cases; children with retinoblastoma (a tumor of the retina, occurring in infants), rhabdomyosarcoma and brain tumors will live better lives after treatment due to improved </w:t>
      </w:r>
      <w:r w:rsidRPr="00D910A2">
        <w:rPr>
          <w:rFonts w:cs="Calibri"/>
          <w:i/>
          <w:iCs/>
          <w:szCs w:val="24"/>
        </w:rPr>
        <w:lastRenderedPageBreak/>
        <w:t>long-term outcomes with proton therapy</w:t>
      </w:r>
      <w:r w:rsidRPr="00ED1D85">
        <w:rPr>
          <w:rFonts w:cs="Calibri"/>
          <w:szCs w:val="24"/>
        </w:rPr>
        <w:t>.</w:t>
      </w:r>
      <w:r>
        <w:rPr>
          <w:rFonts w:cs="Calibri"/>
          <w:szCs w:val="24"/>
        </w:rPr>
        <w:t xml:space="preserve">” </w:t>
      </w:r>
    </w:p>
    <w:p w14:paraId="0D6C0A20" w14:textId="77777777" w:rsidR="00A476CB" w:rsidRDefault="00A476CB" w:rsidP="0084284D">
      <w:pPr>
        <w:rPr>
          <w:rFonts w:cs="Calibri"/>
          <w:szCs w:val="24"/>
        </w:rPr>
      </w:pPr>
    </w:p>
    <w:p w14:paraId="059900BE" w14:textId="50BD68D8" w:rsidR="0084284D" w:rsidRPr="0084284D" w:rsidRDefault="0084284D" w:rsidP="0084284D">
      <w:pPr>
        <w:rPr>
          <w:rFonts w:cs="Calibri"/>
          <w:szCs w:val="24"/>
        </w:rPr>
      </w:pPr>
      <w:r w:rsidRPr="0084284D">
        <w:rPr>
          <w:rFonts w:cs="Calibri"/>
          <w:szCs w:val="24"/>
        </w:rPr>
        <w:t>Dr. Ryan Nagy, BCH President and System COO states, “</w:t>
      </w:r>
      <w:r w:rsidRPr="0084284D">
        <w:rPr>
          <w:rFonts w:cs="Calibri"/>
          <w:i/>
          <w:iCs/>
          <w:szCs w:val="24"/>
        </w:rPr>
        <w:t>Neuro-oncology stands out as an area that will particularly benefit [from the Proposed Project], given the delicate nature of brain and nervous system tumors and the critical importance of preserving surrounding neurological function</w:t>
      </w:r>
      <w:r w:rsidRPr="0084284D">
        <w:rPr>
          <w:rFonts w:cs="Calibri"/>
          <w:szCs w:val="24"/>
        </w:rPr>
        <w:t>.”</w:t>
      </w:r>
    </w:p>
    <w:p w14:paraId="4A82C9EF" w14:textId="77777777" w:rsidR="007E239C" w:rsidRDefault="007E239C" w:rsidP="007E239C">
      <w:pPr>
        <w:pStyle w:val="BodyText"/>
      </w:pPr>
    </w:p>
    <w:p w14:paraId="13368472" w14:textId="40AC93C4" w:rsidR="00574CE9" w:rsidRPr="00CA0FFF" w:rsidRDefault="00DB707A" w:rsidP="00574CE9">
      <w:pPr>
        <w:pStyle w:val="BodyText"/>
        <w:rPr>
          <w:b/>
          <w:bCs/>
        </w:rPr>
      </w:pPr>
      <w:r>
        <w:rPr>
          <w:b/>
          <w:bCs/>
        </w:rPr>
        <w:t xml:space="preserve">PBT and </w:t>
      </w:r>
      <w:r w:rsidR="00574CE9" w:rsidRPr="00CA0FFF">
        <w:rPr>
          <w:b/>
          <w:bCs/>
        </w:rPr>
        <w:t>Adult Patients</w:t>
      </w:r>
    </w:p>
    <w:p w14:paraId="41DDB23C" w14:textId="1BC95A47" w:rsidR="00845F85" w:rsidRDefault="00574CE9" w:rsidP="008C61F6">
      <w:pPr>
        <w:pStyle w:val="BodyText"/>
        <w:rPr>
          <w:szCs w:val="20"/>
        </w:rPr>
      </w:pPr>
      <w:r>
        <w:t>A</w:t>
      </w:r>
      <w:r w:rsidRPr="007E239C">
        <w:t xml:space="preserve">dults receiving </w:t>
      </w:r>
      <w:r w:rsidR="00FD236B">
        <w:t xml:space="preserve">traditional RT </w:t>
      </w:r>
      <w:r w:rsidRPr="007E239C">
        <w:t xml:space="preserve">can experience damage to healthy tissues, which increases the </w:t>
      </w:r>
      <w:r w:rsidR="00FD236B">
        <w:t xml:space="preserve">risk of developing </w:t>
      </w:r>
      <w:r w:rsidRPr="007E239C">
        <w:t xml:space="preserve">secondary conditions that require additional medical interventions, such as organ dysfunction, secondary </w:t>
      </w:r>
      <w:r w:rsidR="00383138">
        <w:t>cancer</w:t>
      </w:r>
      <w:r w:rsidRPr="007E239C">
        <w:t xml:space="preserve">s, infertility, </w:t>
      </w:r>
      <w:r w:rsidR="0039308F">
        <w:t>and</w:t>
      </w:r>
      <w:r w:rsidRPr="007E239C">
        <w:t xml:space="preserve"> prolonged supportive care.</w:t>
      </w:r>
      <w:r>
        <w:t xml:space="preserve"> PBT is used to treat </w:t>
      </w:r>
      <w:r w:rsidR="00531A13">
        <w:t xml:space="preserve">certain </w:t>
      </w:r>
      <w:r>
        <w:t xml:space="preserve">adult cancers, including brain and spinal cord cancers, head and neck cancers, </w:t>
      </w:r>
      <w:r w:rsidR="005B4B47">
        <w:t xml:space="preserve">and </w:t>
      </w:r>
      <w:r w:rsidR="00471995">
        <w:t xml:space="preserve">many </w:t>
      </w:r>
      <w:r>
        <w:t>sarcoma.</w:t>
      </w:r>
      <w:r w:rsidR="00313B91">
        <w:rPr>
          <w:rStyle w:val="EndnoteReference"/>
        </w:rPr>
        <w:endnoteReference w:id="76"/>
      </w:r>
      <w:r w:rsidR="000439EE" w:rsidRPr="000439EE">
        <w:rPr>
          <w:szCs w:val="20"/>
        </w:rPr>
        <w:t xml:space="preserve"> </w:t>
      </w:r>
      <w:r w:rsidR="008C61F6">
        <w:rPr>
          <w:szCs w:val="20"/>
        </w:rPr>
        <w:t xml:space="preserve">Included below are some examples of PBT’s </w:t>
      </w:r>
      <w:r w:rsidR="00B003F2">
        <w:rPr>
          <w:szCs w:val="20"/>
        </w:rPr>
        <w:t xml:space="preserve">superior </w:t>
      </w:r>
      <w:r w:rsidR="008C61F6">
        <w:rPr>
          <w:szCs w:val="20"/>
        </w:rPr>
        <w:t>clinical effectiveness</w:t>
      </w:r>
      <w:r w:rsidR="00610D00">
        <w:rPr>
          <w:szCs w:val="20"/>
        </w:rPr>
        <w:t xml:space="preserve"> </w:t>
      </w:r>
      <w:r w:rsidR="00B73B81">
        <w:rPr>
          <w:szCs w:val="20"/>
        </w:rPr>
        <w:t>over traditional RT</w:t>
      </w:r>
      <w:r w:rsidR="009A7915">
        <w:rPr>
          <w:szCs w:val="20"/>
        </w:rPr>
        <w:t xml:space="preserve"> due to PBT’s ability to more </w:t>
      </w:r>
      <w:r w:rsidR="00E06D4A">
        <w:rPr>
          <w:szCs w:val="20"/>
        </w:rPr>
        <w:t>precisely</w:t>
      </w:r>
      <w:r w:rsidR="009A7915">
        <w:rPr>
          <w:szCs w:val="20"/>
        </w:rPr>
        <w:t xml:space="preserve"> target the tumor while minimizing radiation dose to surrounding </w:t>
      </w:r>
      <w:r w:rsidR="00AC7D60">
        <w:rPr>
          <w:szCs w:val="20"/>
        </w:rPr>
        <w:t>healthy</w:t>
      </w:r>
      <w:r w:rsidR="009A7915">
        <w:rPr>
          <w:szCs w:val="20"/>
        </w:rPr>
        <w:t xml:space="preserve"> tissue, </w:t>
      </w:r>
      <w:r w:rsidR="00E06D4A">
        <w:rPr>
          <w:szCs w:val="20"/>
        </w:rPr>
        <w:t xml:space="preserve">resulting in improved treatment outcomes, and </w:t>
      </w:r>
      <w:r w:rsidR="00F74491">
        <w:rPr>
          <w:szCs w:val="20"/>
        </w:rPr>
        <w:t>a reduction in</w:t>
      </w:r>
      <w:r w:rsidR="00E06D4A">
        <w:rPr>
          <w:szCs w:val="20"/>
        </w:rPr>
        <w:t xml:space="preserve"> </w:t>
      </w:r>
      <w:r w:rsidR="00AC7D60">
        <w:rPr>
          <w:szCs w:val="20"/>
        </w:rPr>
        <w:t xml:space="preserve">treatment-related </w:t>
      </w:r>
      <w:r w:rsidR="00E06D4A">
        <w:rPr>
          <w:szCs w:val="20"/>
        </w:rPr>
        <w:t>side effects.</w:t>
      </w:r>
      <w:r w:rsidR="008C61F6">
        <w:rPr>
          <w:szCs w:val="20"/>
        </w:rPr>
        <w:t xml:space="preserve"> </w:t>
      </w:r>
    </w:p>
    <w:p w14:paraId="6201DCF6" w14:textId="77777777" w:rsidR="00984040" w:rsidRPr="008C61F6" w:rsidRDefault="00984040" w:rsidP="008C61F6">
      <w:pPr>
        <w:pStyle w:val="BodyText"/>
        <w:rPr>
          <w:szCs w:val="20"/>
        </w:rPr>
      </w:pPr>
    </w:p>
    <w:p w14:paraId="07F0C0EF" w14:textId="759B5754" w:rsidR="00637E49" w:rsidRPr="00746A8E" w:rsidRDefault="002E2B6E" w:rsidP="00746A8E">
      <w:pPr>
        <w:rPr>
          <w:rFonts w:asciiTheme="minorHAnsi" w:hAnsiTheme="minorHAnsi"/>
          <w:szCs w:val="24"/>
        </w:rPr>
      </w:pPr>
      <w:r w:rsidRPr="00746A8E">
        <w:rPr>
          <w:rFonts w:asciiTheme="minorHAnsi" w:hAnsiTheme="minorHAnsi"/>
          <w:i/>
          <w:iCs/>
          <w:szCs w:val="24"/>
        </w:rPr>
        <w:t>Sarcomas</w:t>
      </w:r>
      <w:r w:rsidR="000A69D7" w:rsidRPr="00746A8E">
        <w:rPr>
          <w:rFonts w:asciiTheme="minorHAnsi" w:hAnsiTheme="minorHAnsi"/>
          <w:szCs w:val="24"/>
        </w:rPr>
        <w:t xml:space="preserve"> are </w:t>
      </w:r>
      <w:r w:rsidR="008C60BC" w:rsidRPr="00746A8E">
        <w:rPr>
          <w:rFonts w:asciiTheme="minorHAnsi" w:hAnsiTheme="minorHAnsi"/>
          <w:szCs w:val="24"/>
        </w:rPr>
        <w:t>a group of rare,</w:t>
      </w:r>
      <w:r w:rsidR="008E58BB" w:rsidRPr="00746A8E">
        <w:rPr>
          <w:rFonts w:asciiTheme="minorHAnsi" w:hAnsiTheme="minorHAnsi"/>
          <w:szCs w:val="24"/>
        </w:rPr>
        <w:t xml:space="preserve"> malignant cancers that develop in bone and</w:t>
      </w:r>
      <w:r w:rsidR="00FB4C80" w:rsidRPr="00746A8E">
        <w:rPr>
          <w:rFonts w:asciiTheme="minorHAnsi" w:hAnsiTheme="minorHAnsi"/>
          <w:szCs w:val="24"/>
        </w:rPr>
        <w:t xml:space="preserve"> or</w:t>
      </w:r>
      <w:r w:rsidR="008E58BB" w:rsidRPr="00746A8E">
        <w:rPr>
          <w:rFonts w:asciiTheme="minorHAnsi" w:hAnsiTheme="minorHAnsi"/>
          <w:szCs w:val="24"/>
        </w:rPr>
        <w:t xml:space="preserve"> connective </w:t>
      </w:r>
      <w:r w:rsidR="00A06CFC" w:rsidRPr="00746A8E">
        <w:rPr>
          <w:rFonts w:asciiTheme="minorHAnsi" w:hAnsiTheme="minorHAnsi"/>
          <w:szCs w:val="24"/>
        </w:rPr>
        <w:t>tissue such as fat, muscle, blood vessels, nerves and the tissue that surrounds bones and joints.</w:t>
      </w:r>
      <w:r w:rsidR="00E25D9A">
        <w:rPr>
          <w:rStyle w:val="EndnoteReference"/>
          <w:rFonts w:asciiTheme="minorHAnsi" w:hAnsiTheme="minorHAnsi"/>
          <w:szCs w:val="24"/>
        </w:rPr>
        <w:endnoteReference w:id="77"/>
      </w:r>
      <w:r w:rsidR="00A06CFC" w:rsidRPr="00746A8E">
        <w:rPr>
          <w:rFonts w:asciiTheme="minorHAnsi" w:hAnsiTheme="minorHAnsi"/>
          <w:szCs w:val="24"/>
        </w:rPr>
        <w:t xml:space="preserve"> </w:t>
      </w:r>
      <w:r w:rsidR="00CA7871" w:rsidRPr="00746A8E">
        <w:rPr>
          <w:rFonts w:asciiTheme="minorHAnsi" w:hAnsiTheme="minorHAnsi"/>
          <w:szCs w:val="24"/>
        </w:rPr>
        <w:t>Sarcomas</w:t>
      </w:r>
      <w:r w:rsidR="001C5D0E" w:rsidRPr="00746A8E">
        <w:rPr>
          <w:rFonts w:asciiTheme="minorHAnsi" w:hAnsiTheme="minorHAnsi"/>
          <w:szCs w:val="24"/>
        </w:rPr>
        <w:t xml:space="preserve"> are</w:t>
      </w:r>
      <w:r w:rsidR="00CA7871" w:rsidRPr="00746A8E">
        <w:rPr>
          <w:rFonts w:asciiTheme="minorHAnsi" w:hAnsiTheme="minorHAnsi"/>
          <w:szCs w:val="24"/>
        </w:rPr>
        <w:t xml:space="preserve"> found in the lower and upper extremities, </w:t>
      </w:r>
      <w:r w:rsidR="0079722C" w:rsidRPr="00746A8E">
        <w:rPr>
          <w:rFonts w:asciiTheme="minorHAnsi" w:hAnsiTheme="minorHAnsi"/>
          <w:szCs w:val="24"/>
        </w:rPr>
        <w:t>trunk/chest wall/abdomen/pelvis and head and neck</w:t>
      </w:r>
      <w:r w:rsidR="007C604E" w:rsidRPr="00746A8E">
        <w:rPr>
          <w:rFonts w:asciiTheme="minorHAnsi" w:hAnsiTheme="minorHAnsi"/>
          <w:szCs w:val="24"/>
        </w:rPr>
        <w:t>.</w:t>
      </w:r>
      <w:r w:rsidR="007C604E" w:rsidRPr="007C604E">
        <w:rPr>
          <w:vertAlign w:val="superscript"/>
        </w:rPr>
        <w:endnoteReference w:id="78"/>
      </w:r>
      <w:r w:rsidR="007C604E" w:rsidRPr="00746A8E">
        <w:rPr>
          <w:rFonts w:asciiTheme="minorHAnsi" w:hAnsiTheme="minorHAnsi"/>
          <w:szCs w:val="24"/>
        </w:rPr>
        <w:t xml:space="preserve"> </w:t>
      </w:r>
      <w:r w:rsidR="00A06CFC" w:rsidRPr="00746A8E">
        <w:rPr>
          <w:rFonts w:asciiTheme="minorHAnsi" w:hAnsiTheme="minorHAnsi"/>
          <w:szCs w:val="24"/>
        </w:rPr>
        <w:t xml:space="preserve">Treatment is multidisciplinary and </w:t>
      </w:r>
      <w:r w:rsidR="00A63B4C" w:rsidRPr="00746A8E">
        <w:rPr>
          <w:rFonts w:asciiTheme="minorHAnsi" w:hAnsiTheme="minorHAnsi"/>
          <w:szCs w:val="24"/>
        </w:rPr>
        <w:t xml:space="preserve">often </w:t>
      </w:r>
      <w:r w:rsidR="00A06CFC" w:rsidRPr="00746A8E">
        <w:rPr>
          <w:rFonts w:asciiTheme="minorHAnsi" w:hAnsiTheme="minorHAnsi"/>
          <w:szCs w:val="24"/>
        </w:rPr>
        <w:t>includes surgery, chemotherapy</w:t>
      </w:r>
      <w:r w:rsidR="00A63B4C" w:rsidRPr="00746A8E">
        <w:rPr>
          <w:rFonts w:asciiTheme="minorHAnsi" w:hAnsiTheme="minorHAnsi"/>
          <w:szCs w:val="24"/>
        </w:rPr>
        <w:t xml:space="preserve"> and </w:t>
      </w:r>
      <w:r w:rsidR="00FB4C80" w:rsidRPr="00746A8E">
        <w:rPr>
          <w:rFonts w:asciiTheme="minorHAnsi" w:hAnsiTheme="minorHAnsi"/>
          <w:szCs w:val="24"/>
        </w:rPr>
        <w:t>RT</w:t>
      </w:r>
      <w:r w:rsidR="00A06CFC" w:rsidRPr="00746A8E">
        <w:rPr>
          <w:rFonts w:asciiTheme="minorHAnsi" w:hAnsiTheme="minorHAnsi"/>
          <w:szCs w:val="24"/>
        </w:rPr>
        <w:t xml:space="preserve">. </w:t>
      </w:r>
      <w:r w:rsidR="000D46F8" w:rsidRPr="00746A8E">
        <w:rPr>
          <w:rFonts w:asciiTheme="minorHAnsi" w:hAnsiTheme="minorHAnsi"/>
          <w:szCs w:val="24"/>
        </w:rPr>
        <w:t xml:space="preserve">Sarcomas often </w:t>
      </w:r>
      <w:r w:rsidR="00D12A0D" w:rsidRPr="00746A8E">
        <w:rPr>
          <w:rFonts w:asciiTheme="minorHAnsi" w:hAnsiTheme="minorHAnsi"/>
          <w:szCs w:val="24"/>
        </w:rPr>
        <w:t>recur</w:t>
      </w:r>
      <w:r w:rsidR="000D46F8" w:rsidRPr="00746A8E">
        <w:rPr>
          <w:rFonts w:asciiTheme="minorHAnsi" w:hAnsiTheme="minorHAnsi"/>
          <w:szCs w:val="24"/>
        </w:rPr>
        <w:t xml:space="preserve">, </w:t>
      </w:r>
      <w:r w:rsidR="0021547E" w:rsidRPr="00746A8E">
        <w:rPr>
          <w:rFonts w:asciiTheme="minorHAnsi" w:hAnsiTheme="minorHAnsi"/>
          <w:szCs w:val="24"/>
        </w:rPr>
        <w:t>require high</w:t>
      </w:r>
      <w:r w:rsidR="00CA41E3" w:rsidRPr="00746A8E">
        <w:rPr>
          <w:rFonts w:asciiTheme="minorHAnsi" w:hAnsiTheme="minorHAnsi"/>
          <w:szCs w:val="24"/>
        </w:rPr>
        <w:t>er</w:t>
      </w:r>
      <w:r w:rsidR="0021547E" w:rsidRPr="00746A8E">
        <w:rPr>
          <w:rFonts w:asciiTheme="minorHAnsi" w:hAnsiTheme="minorHAnsi"/>
          <w:szCs w:val="24"/>
        </w:rPr>
        <w:t xml:space="preserve"> doses of radiation,</w:t>
      </w:r>
      <w:r w:rsidR="00243D14" w:rsidRPr="00746A8E">
        <w:rPr>
          <w:rFonts w:asciiTheme="minorHAnsi" w:hAnsiTheme="minorHAnsi"/>
          <w:szCs w:val="24"/>
        </w:rPr>
        <w:t xml:space="preserve"> and</w:t>
      </w:r>
      <w:r w:rsidR="0021547E" w:rsidRPr="00746A8E">
        <w:rPr>
          <w:rFonts w:asciiTheme="minorHAnsi" w:hAnsiTheme="minorHAnsi"/>
          <w:szCs w:val="24"/>
        </w:rPr>
        <w:t xml:space="preserve"> </w:t>
      </w:r>
      <w:r w:rsidR="00002876" w:rsidRPr="00746A8E">
        <w:rPr>
          <w:rFonts w:asciiTheme="minorHAnsi" w:hAnsiTheme="minorHAnsi"/>
          <w:szCs w:val="24"/>
        </w:rPr>
        <w:t>pose a challenge due to their location near critical structures</w:t>
      </w:r>
      <w:r w:rsidR="008030B6" w:rsidRPr="00746A8E">
        <w:rPr>
          <w:rFonts w:asciiTheme="minorHAnsi" w:hAnsiTheme="minorHAnsi"/>
          <w:szCs w:val="24"/>
        </w:rPr>
        <w:t>,</w:t>
      </w:r>
      <w:r w:rsidR="00002876" w:rsidRPr="00746A8E">
        <w:rPr>
          <w:rFonts w:asciiTheme="minorHAnsi" w:hAnsiTheme="minorHAnsi"/>
          <w:szCs w:val="24"/>
        </w:rPr>
        <w:t xml:space="preserve"> </w:t>
      </w:r>
      <w:r w:rsidR="0021547E" w:rsidRPr="00746A8E">
        <w:rPr>
          <w:rFonts w:asciiTheme="minorHAnsi" w:hAnsiTheme="minorHAnsi"/>
          <w:szCs w:val="24"/>
        </w:rPr>
        <w:t xml:space="preserve">making them difficult to treat. </w:t>
      </w:r>
      <w:r w:rsidR="008030B6" w:rsidRPr="00746A8E">
        <w:rPr>
          <w:rFonts w:asciiTheme="minorHAnsi" w:hAnsiTheme="minorHAnsi"/>
          <w:szCs w:val="24"/>
        </w:rPr>
        <w:t xml:space="preserve">The </w:t>
      </w:r>
      <w:r w:rsidR="00463213" w:rsidRPr="00746A8E">
        <w:rPr>
          <w:rFonts w:asciiTheme="minorHAnsi" w:hAnsiTheme="minorHAnsi"/>
          <w:szCs w:val="24"/>
        </w:rPr>
        <w:t xml:space="preserve">improved </w:t>
      </w:r>
      <w:r w:rsidR="008030B6" w:rsidRPr="00746A8E">
        <w:rPr>
          <w:rFonts w:asciiTheme="minorHAnsi" w:hAnsiTheme="minorHAnsi"/>
          <w:szCs w:val="24"/>
        </w:rPr>
        <w:t>precision that PBT provides compared to traditional RT</w:t>
      </w:r>
      <w:r w:rsidR="0021547E" w:rsidRPr="00746A8E">
        <w:rPr>
          <w:rFonts w:asciiTheme="minorHAnsi" w:hAnsiTheme="minorHAnsi"/>
          <w:szCs w:val="24"/>
        </w:rPr>
        <w:t xml:space="preserve">, </w:t>
      </w:r>
      <w:r w:rsidR="008E4021" w:rsidRPr="00746A8E">
        <w:rPr>
          <w:rFonts w:asciiTheme="minorHAnsi" w:hAnsiTheme="minorHAnsi"/>
          <w:szCs w:val="24"/>
        </w:rPr>
        <w:t xml:space="preserve">allows for higher doses of radiation to be delivered while </w:t>
      </w:r>
      <w:r w:rsidR="000C018D" w:rsidRPr="00746A8E">
        <w:rPr>
          <w:rFonts w:asciiTheme="minorHAnsi" w:hAnsiTheme="minorHAnsi"/>
          <w:szCs w:val="24"/>
        </w:rPr>
        <w:t>reduc</w:t>
      </w:r>
      <w:r w:rsidR="008E4021" w:rsidRPr="00746A8E">
        <w:rPr>
          <w:rFonts w:asciiTheme="minorHAnsi" w:hAnsiTheme="minorHAnsi"/>
          <w:szCs w:val="24"/>
        </w:rPr>
        <w:t>ing</w:t>
      </w:r>
      <w:r w:rsidR="000C018D" w:rsidRPr="00746A8E">
        <w:rPr>
          <w:rFonts w:asciiTheme="minorHAnsi" w:hAnsiTheme="minorHAnsi"/>
          <w:szCs w:val="24"/>
        </w:rPr>
        <w:t xml:space="preserve"> radiation </w:t>
      </w:r>
      <w:r w:rsidR="0021547E" w:rsidRPr="00746A8E">
        <w:rPr>
          <w:rFonts w:asciiTheme="minorHAnsi" w:hAnsiTheme="minorHAnsi"/>
          <w:szCs w:val="24"/>
        </w:rPr>
        <w:t>dose to surrounding tissue and organs,</w:t>
      </w:r>
      <w:r w:rsidR="008030B6" w:rsidRPr="00746A8E">
        <w:rPr>
          <w:rFonts w:asciiTheme="minorHAnsi" w:hAnsiTheme="minorHAnsi"/>
          <w:szCs w:val="24"/>
        </w:rPr>
        <w:t xml:space="preserve"> </w:t>
      </w:r>
      <w:r w:rsidR="00EA6B0C" w:rsidRPr="00746A8E">
        <w:rPr>
          <w:rFonts w:asciiTheme="minorHAnsi" w:hAnsiTheme="minorHAnsi"/>
          <w:szCs w:val="24"/>
        </w:rPr>
        <w:t xml:space="preserve">which </w:t>
      </w:r>
      <w:r w:rsidR="0021547E" w:rsidRPr="00746A8E">
        <w:rPr>
          <w:rFonts w:asciiTheme="minorHAnsi" w:hAnsiTheme="minorHAnsi"/>
          <w:szCs w:val="24"/>
        </w:rPr>
        <w:t>can help to reduce risk of side effects from treatment</w:t>
      </w:r>
      <w:r w:rsidR="00EA6B0C" w:rsidRPr="00746A8E">
        <w:rPr>
          <w:rFonts w:asciiTheme="minorHAnsi" w:hAnsiTheme="minorHAnsi"/>
          <w:szCs w:val="24"/>
        </w:rPr>
        <w:t xml:space="preserve"> and improve health outcomes.</w:t>
      </w:r>
      <w:r w:rsidR="0047475E">
        <w:rPr>
          <w:rStyle w:val="EndnoteReference"/>
          <w:rFonts w:asciiTheme="minorHAnsi" w:hAnsiTheme="minorHAnsi"/>
          <w:szCs w:val="24"/>
        </w:rPr>
        <w:endnoteReference w:id="79"/>
      </w:r>
      <w:r w:rsidR="00EA6B0C" w:rsidRPr="00746A8E">
        <w:rPr>
          <w:rFonts w:asciiTheme="minorHAnsi" w:hAnsiTheme="minorHAnsi"/>
          <w:szCs w:val="24"/>
        </w:rPr>
        <w:t xml:space="preserve"> </w:t>
      </w:r>
      <w:r w:rsidR="0061623B" w:rsidRPr="00746A8E">
        <w:rPr>
          <w:rFonts w:asciiTheme="minorHAnsi" w:hAnsiTheme="minorHAnsi"/>
          <w:szCs w:val="24"/>
        </w:rPr>
        <w:t xml:space="preserve">A large study evaluating PBT’s use in sarcoma patients found </w:t>
      </w:r>
      <w:r w:rsidR="000D1606" w:rsidRPr="00746A8E">
        <w:rPr>
          <w:rFonts w:asciiTheme="minorHAnsi" w:hAnsiTheme="minorHAnsi"/>
          <w:szCs w:val="24"/>
        </w:rPr>
        <w:t xml:space="preserve">that patients receiving PBT had </w:t>
      </w:r>
      <w:r w:rsidR="00DC372C" w:rsidRPr="00746A8E">
        <w:rPr>
          <w:rFonts w:asciiTheme="minorHAnsi" w:hAnsiTheme="minorHAnsi"/>
          <w:szCs w:val="24"/>
        </w:rPr>
        <w:t>better</w:t>
      </w:r>
      <w:r w:rsidR="000D1606" w:rsidRPr="00746A8E">
        <w:rPr>
          <w:rFonts w:asciiTheme="minorHAnsi" w:hAnsiTheme="minorHAnsi"/>
          <w:szCs w:val="24"/>
        </w:rPr>
        <w:t xml:space="preserve"> </w:t>
      </w:r>
      <w:r w:rsidR="00F17E3E" w:rsidRPr="00746A8E">
        <w:rPr>
          <w:rFonts w:asciiTheme="minorHAnsi" w:hAnsiTheme="minorHAnsi"/>
          <w:szCs w:val="24"/>
        </w:rPr>
        <w:t>overall survival</w:t>
      </w:r>
      <w:r w:rsidR="000D1606" w:rsidRPr="00746A8E">
        <w:rPr>
          <w:rFonts w:asciiTheme="minorHAnsi" w:hAnsiTheme="minorHAnsi"/>
          <w:szCs w:val="24"/>
        </w:rPr>
        <w:t xml:space="preserve"> than patients receiving photon-based RT</w:t>
      </w:r>
      <w:r w:rsidR="00C176C3" w:rsidRPr="00746A8E">
        <w:rPr>
          <w:rFonts w:asciiTheme="minorHAnsi" w:hAnsiTheme="minorHAnsi"/>
          <w:szCs w:val="24"/>
        </w:rPr>
        <w:t>,</w:t>
      </w:r>
      <w:r w:rsidR="007E3ECA" w:rsidRPr="00746A8E">
        <w:rPr>
          <w:rFonts w:asciiTheme="minorHAnsi" w:hAnsiTheme="minorHAnsi"/>
          <w:szCs w:val="24"/>
        </w:rPr>
        <w:t xml:space="preserve"> with improve</w:t>
      </w:r>
      <w:r w:rsidR="00DE3199" w:rsidRPr="00746A8E">
        <w:rPr>
          <w:rFonts w:asciiTheme="minorHAnsi" w:hAnsiTheme="minorHAnsi"/>
          <w:szCs w:val="24"/>
        </w:rPr>
        <w:t xml:space="preserve">d </w:t>
      </w:r>
      <w:r w:rsidR="00C06585" w:rsidRPr="00746A8E">
        <w:rPr>
          <w:rFonts w:asciiTheme="minorHAnsi" w:hAnsiTheme="minorHAnsi"/>
          <w:szCs w:val="24"/>
        </w:rPr>
        <w:t>overall survival</w:t>
      </w:r>
      <w:r w:rsidR="007E3ECA" w:rsidRPr="00746A8E">
        <w:rPr>
          <w:rFonts w:asciiTheme="minorHAnsi" w:hAnsiTheme="minorHAnsi"/>
          <w:szCs w:val="24"/>
        </w:rPr>
        <w:t xml:space="preserve"> found in</w:t>
      </w:r>
      <w:r w:rsidR="00C176C3" w:rsidRPr="00746A8E">
        <w:rPr>
          <w:rFonts w:asciiTheme="minorHAnsi" w:hAnsiTheme="minorHAnsi"/>
          <w:szCs w:val="24"/>
        </w:rPr>
        <w:t xml:space="preserve"> </w:t>
      </w:r>
      <w:r w:rsidR="007E3ECA" w:rsidRPr="00746A8E">
        <w:rPr>
          <w:rFonts w:asciiTheme="minorHAnsi" w:hAnsiTheme="minorHAnsi"/>
          <w:szCs w:val="24"/>
        </w:rPr>
        <w:t>patients diagnosed with chordoma</w:t>
      </w:r>
      <w:r w:rsidR="00B9320A">
        <w:rPr>
          <w:rFonts w:asciiTheme="minorHAnsi" w:hAnsiTheme="minorHAnsi"/>
          <w:szCs w:val="24"/>
        </w:rPr>
        <w:t xml:space="preserve"> </w:t>
      </w:r>
      <w:r w:rsidR="00AD132B">
        <w:rPr>
          <w:rFonts w:asciiTheme="minorHAnsi" w:hAnsiTheme="minorHAnsi"/>
          <w:szCs w:val="24"/>
        </w:rPr>
        <w:t>(</w:t>
      </w:r>
      <w:r w:rsidR="00B9320A" w:rsidRPr="00B9320A">
        <w:rPr>
          <w:rFonts w:asciiTheme="minorHAnsi" w:hAnsiTheme="minorHAnsi"/>
          <w:szCs w:val="24"/>
        </w:rPr>
        <w:t>rare, malignant bone tumor that forms in the spine or base of the skull</w:t>
      </w:r>
      <w:r w:rsidR="00AD132B">
        <w:rPr>
          <w:rFonts w:asciiTheme="minorHAnsi" w:hAnsiTheme="minorHAnsi"/>
          <w:szCs w:val="24"/>
        </w:rPr>
        <w:t>)</w:t>
      </w:r>
      <w:r w:rsidR="007E3ECA" w:rsidRPr="00746A8E">
        <w:rPr>
          <w:rFonts w:asciiTheme="minorHAnsi" w:hAnsiTheme="minorHAnsi"/>
          <w:szCs w:val="24"/>
        </w:rPr>
        <w:t>, rhabdomyosarcoma</w:t>
      </w:r>
      <w:r w:rsidR="00AD132B">
        <w:rPr>
          <w:rFonts w:asciiTheme="minorHAnsi" w:hAnsiTheme="minorHAnsi"/>
          <w:szCs w:val="24"/>
        </w:rPr>
        <w:t>(</w:t>
      </w:r>
      <w:r w:rsidR="00383138" w:rsidRPr="00383138">
        <w:rPr>
          <w:rFonts w:asciiTheme="minorHAnsi" w:hAnsiTheme="minorHAnsi"/>
          <w:szCs w:val="24"/>
        </w:rPr>
        <w:t>the most common soft tissue sarcoma in children and adolescents</w:t>
      </w:r>
      <w:r w:rsidR="00AD132B">
        <w:rPr>
          <w:rFonts w:asciiTheme="minorHAnsi" w:hAnsiTheme="minorHAnsi"/>
          <w:szCs w:val="24"/>
        </w:rPr>
        <w:t>)</w:t>
      </w:r>
      <w:r w:rsidR="007E3ECA" w:rsidRPr="00746A8E">
        <w:rPr>
          <w:rFonts w:asciiTheme="minorHAnsi" w:hAnsiTheme="minorHAnsi"/>
          <w:szCs w:val="24"/>
        </w:rPr>
        <w:t xml:space="preserve">, </w:t>
      </w:r>
      <w:r w:rsidR="00033435">
        <w:rPr>
          <w:rFonts w:asciiTheme="minorHAnsi" w:hAnsiTheme="minorHAnsi"/>
          <w:szCs w:val="24"/>
        </w:rPr>
        <w:t>and</w:t>
      </w:r>
      <w:r w:rsidR="007E3ECA" w:rsidRPr="00746A8E">
        <w:rPr>
          <w:rFonts w:asciiTheme="minorHAnsi" w:hAnsiTheme="minorHAnsi"/>
          <w:szCs w:val="24"/>
        </w:rPr>
        <w:t xml:space="preserve"> chondrosarcoma</w:t>
      </w:r>
      <w:r w:rsidR="00B9320A">
        <w:rPr>
          <w:rFonts w:asciiTheme="minorHAnsi" w:hAnsiTheme="minorHAnsi"/>
          <w:szCs w:val="24"/>
        </w:rPr>
        <w:t xml:space="preserve"> </w:t>
      </w:r>
      <w:r w:rsidR="00AD132B">
        <w:rPr>
          <w:rFonts w:asciiTheme="minorHAnsi" w:hAnsiTheme="minorHAnsi"/>
          <w:szCs w:val="24"/>
        </w:rPr>
        <w:t>(</w:t>
      </w:r>
      <w:r w:rsidR="00B9320A" w:rsidRPr="00B9320A">
        <w:rPr>
          <w:rFonts w:asciiTheme="minorHAnsi" w:hAnsiTheme="minorHAnsi"/>
          <w:szCs w:val="24"/>
        </w:rPr>
        <w:t>rare, malignant bone tumor</w:t>
      </w:r>
      <w:r w:rsidR="00AD132B">
        <w:rPr>
          <w:rFonts w:asciiTheme="minorHAnsi" w:hAnsiTheme="minorHAnsi"/>
          <w:szCs w:val="24"/>
        </w:rPr>
        <w:t>)</w:t>
      </w:r>
      <w:r w:rsidR="007E3ECA" w:rsidRPr="00746A8E">
        <w:rPr>
          <w:rFonts w:asciiTheme="minorHAnsi" w:hAnsiTheme="minorHAnsi"/>
          <w:szCs w:val="24"/>
        </w:rPr>
        <w:t>.</w:t>
      </w:r>
      <w:r w:rsidR="007E3ECA" w:rsidRPr="007E3ECA">
        <w:rPr>
          <w:vertAlign w:val="superscript"/>
        </w:rPr>
        <w:endnoteReference w:id="80"/>
      </w:r>
      <w:r w:rsidR="007E3ECA" w:rsidRPr="00746A8E">
        <w:rPr>
          <w:rFonts w:asciiTheme="minorHAnsi" w:hAnsiTheme="minorHAnsi"/>
          <w:szCs w:val="24"/>
        </w:rPr>
        <w:t xml:space="preserve"> T</w:t>
      </w:r>
      <w:r w:rsidR="00C176C3" w:rsidRPr="00746A8E">
        <w:rPr>
          <w:rFonts w:asciiTheme="minorHAnsi" w:hAnsiTheme="minorHAnsi"/>
          <w:szCs w:val="24"/>
        </w:rPr>
        <w:t xml:space="preserve">he </w:t>
      </w:r>
      <w:r w:rsidR="007E3ECA" w:rsidRPr="00746A8E">
        <w:rPr>
          <w:rFonts w:asciiTheme="minorHAnsi" w:hAnsiTheme="minorHAnsi"/>
          <w:szCs w:val="24"/>
        </w:rPr>
        <w:t xml:space="preserve">authors </w:t>
      </w:r>
      <w:r w:rsidR="00DE3199" w:rsidRPr="00746A8E">
        <w:rPr>
          <w:rFonts w:asciiTheme="minorHAnsi" w:hAnsiTheme="minorHAnsi"/>
          <w:szCs w:val="24"/>
        </w:rPr>
        <w:t xml:space="preserve">state </w:t>
      </w:r>
      <w:r w:rsidR="007E3ECA" w:rsidRPr="00746A8E">
        <w:rPr>
          <w:rFonts w:asciiTheme="minorHAnsi" w:hAnsiTheme="minorHAnsi"/>
          <w:szCs w:val="24"/>
        </w:rPr>
        <w:t xml:space="preserve">that the study </w:t>
      </w:r>
      <w:r w:rsidR="00C176C3" w:rsidRPr="00746A8E">
        <w:rPr>
          <w:rFonts w:asciiTheme="minorHAnsi" w:hAnsiTheme="minorHAnsi"/>
          <w:szCs w:val="24"/>
        </w:rPr>
        <w:t>“revealed that the use of PBT among sarcoma patients has increased, but there is still a large gap between the number of patients who should receive PBT and patients who are receiving PBT.”</w:t>
      </w:r>
      <w:r w:rsidR="000D1606">
        <w:rPr>
          <w:rStyle w:val="EndnoteReference"/>
          <w:rFonts w:asciiTheme="minorHAnsi" w:hAnsiTheme="minorHAnsi"/>
          <w:szCs w:val="24"/>
        </w:rPr>
        <w:endnoteReference w:id="81"/>
      </w:r>
      <w:r w:rsidR="00220E8B" w:rsidRPr="00746A8E">
        <w:rPr>
          <w:rFonts w:asciiTheme="minorHAnsi" w:hAnsiTheme="minorHAnsi"/>
          <w:szCs w:val="24"/>
        </w:rPr>
        <w:t xml:space="preserve"> </w:t>
      </w:r>
    </w:p>
    <w:p w14:paraId="7BA5D5DE" w14:textId="77777777" w:rsidR="00746A8E" w:rsidRDefault="00746A8E" w:rsidP="00746A8E">
      <w:pPr>
        <w:rPr>
          <w:rFonts w:asciiTheme="minorHAnsi" w:hAnsiTheme="minorHAnsi"/>
          <w:szCs w:val="24"/>
        </w:rPr>
      </w:pPr>
    </w:p>
    <w:p w14:paraId="3EAC0219" w14:textId="3F6D1CEB" w:rsidR="0084284D" w:rsidRPr="00746A8E" w:rsidRDefault="00B9320A" w:rsidP="00746A8E">
      <w:pPr>
        <w:rPr>
          <w:rFonts w:asciiTheme="minorHAnsi" w:hAnsiTheme="minorHAnsi"/>
          <w:szCs w:val="24"/>
        </w:rPr>
      </w:pPr>
      <w:r>
        <w:rPr>
          <w:rFonts w:asciiTheme="minorHAnsi" w:hAnsiTheme="minorHAnsi"/>
          <w:i/>
          <w:iCs/>
          <w:szCs w:val="24"/>
        </w:rPr>
        <w:t>C</w:t>
      </w:r>
      <w:r w:rsidRPr="00B9320A">
        <w:rPr>
          <w:rFonts w:asciiTheme="minorHAnsi" w:hAnsiTheme="minorHAnsi"/>
          <w:i/>
          <w:iCs/>
          <w:szCs w:val="24"/>
        </w:rPr>
        <w:t xml:space="preserve">hordomas and chondrosarcomas </w:t>
      </w:r>
      <w:r w:rsidRPr="00B9320A">
        <w:rPr>
          <w:rFonts w:asciiTheme="minorHAnsi" w:hAnsiTheme="minorHAnsi"/>
          <w:szCs w:val="24"/>
        </w:rPr>
        <w:t>of the skull base and spine</w:t>
      </w:r>
      <w:r w:rsidRPr="00B9320A">
        <w:rPr>
          <w:rFonts w:asciiTheme="minorHAnsi" w:hAnsiTheme="minorHAnsi"/>
          <w:i/>
          <w:iCs/>
          <w:szCs w:val="24"/>
        </w:rPr>
        <w:t xml:space="preserve"> </w:t>
      </w:r>
      <w:r w:rsidR="00215B40" w:rsidRPr="00746A8E">
        <w:rPr>
          <w:rFonts w:asciiTheme="minorHAnsi" w:hAnsiTheme="minorHAnsi"/>
          <w:szCs w:val="24"/>
        </w:rPr>
        <w:t xml:space="preserve">are radioresistant tumors with a high risk of local recurrence, </w:t>
      </w:r>
      <w:r w:rsidR="006F7049" w:rsidRPr="00746A8E">
        <w:rPr>
          <w:rFonts w:asciiTheme="minorHAnsi" w:hAnsiTheme="minorHAnsi"/>
          <w:szCs w:val="24"/>
        </w:rPr>
        <w:t xml:space="preserve">and </w:t>
      </w:r>
      <w:r w:rsidR="00215B40" w:rsidRPr="00746A8E">
        <w:rPr>
          <w:rFonts w:asciiTheme="minorHAnsi" w:hAnsiTheme="minorHAnsi"/>
          <w:szCs w:val="24"/>
        </w:rPr>
        <w:t>which can often require higher doses of radiation, but pose a challenge due to their location near critical structures</w:t>
      </w:r>
      <w:r w:rsidR="007A23E3" w:rsidRPr="00746A8E">
        <w:rPr>
          <w:rFonts w:asciiTheme="minorHAnsi" w:hAnsiTheme="minorHAnsi"/>
          <w:szCs w:val="24"/>
        </w:rPr>
        <w:t>.</w:t>
      </w:r>
      <w:r w:rsidR="00215B40" w:rsidRPr="00746A8E">
        <w:rPr>
          <w:rFonts w:asciiTheme="minorHAnsi" w:hAnsiTheme="minorHAnsi"/>
          <w:szCs w:val="24"/>
        </w:rPr>
        <w:t xml:space="preserve"> </w:t>
      </w:r>
      <w:r w:rsidR="007D51BC" w:rsidRPr="00746A8E">
        <w:rPr>
          <w:rFonts w:asciiTheme="minorHAnsi" w:hAnsiTheme="minorHAnsi"/>
          <w:szCs w:val="24"/>
        </w:rPr>
        <w:t>The use of high-dose photon</w:t>
      </w:r>
      <w:r w:rsidR="00F96A79" w:rsidRPr="00746A8E">
        <w:rPr>
          <w:rFonts w:asciiTheme="minorHAnsi" w:hAnsiTheme="minorHAnsi"/>
          <w:szCs w:val="24"/>
        </w:rPr>
        <w:t>-based RT</w:t>
      </w:r>
      <w:r w:rsidR="007D51BC" w:rsidRPr="00746A8E">
        <w:rPr>
          <w:rFonts w:asciiTheme="minorHAnsi" w:hAnsiTheme="minorHAnsi"/>
          <w:szCs w:val="24"/>
        </w:rPr>
        <w:t xml:space="preserve"> is limited by t</w:t>
      </w:r>
      <w:r w:rsidR="00C80CF7" w:rsidRPr="00746A8E">
        <w:rPr>
          <w:rFonts w:asciiTheme="minorHAnsi" w:hAnsiTheme="minorHAnsi"/>
          <w:szCs w:val="24"/>
        </w:rPr>
        <w:t xml:space="preserve">he ability to spare critical organs, which is particularly important for treatment of the base of the skull </w:t>
      </w:r>
      <w:r w:rsidR="00B03A98" w:rsidRPr="00746A8E">
        <w:rPr>
          <w:rFonts w:asciiTheme="minorHAnsi" w:hAnsiTheme="minorHAnsi"/>
          <w:szCs w:val="24"/>
        </w:rPr>
        <w:t>which often involve</w:t>
      </w:r>
      <w:r w:rsidR="00547E31" w:rsidRPr="00746A8E">
        <w:rPr>
          <w:rFonts w:asciiTheme="minorHAnsi" w:hAnsiTheme="minorHAnsi"/>
          <w:szCs w:val="24"/>
        </w:rPr>
        <w:t>s</w:t>
      </w:r>
      <w:r w:rsidR="00B03A98" w:rsidRPr="00746A8E">
        <w:rPr>
          <w:rFonts w:asciiTheme="minorHAnsi" w:hAnsiTheme="minorHAnsi"/>
          <w:szCs w:val="24"/>
        </w:rPr>
        <w:t xml:space="preserve"> the brainstem, optic chiasm, and spina</w:t>
      </w:r>
      <w:r w:rsidR="00FA2F7D" w:rsidRPr="00746A8E">
        <w:rPr>
          <w:rFonts w:asciiTheme="minorHAnsi" w:hAnsiTheme="minorHAnsi"/>
          <w:szCs w:val="24"/>
        </w:rPr>
        <w:t>l</w:t>
      </w:r>
      <w:r w:rsidR="00B03A98" w:rsidRPr="00746A8E">
        <w:rPr>
          <w:rFonts w:asciiTheme="minorHAnsi" w:hAnsiTheme="minorHAnsi"/>
          <w:szCs w:val="24"/>
        </w:rPr>
        <w:t xml:space="preserve"> cord.</w:t>
      </w:r>
      <w:r w:rsidR="0031185B">
        <w:rPr>
          <w:rStyle w:val="EndnoteReference"/>
          <w:rFonts w:asciiTheme="minorHAnsi" w:hAnsiTheme="minorHAnsi"/>
          <w:szCs w:val="24"/>
        </w:rPr>
        <w:endnoteReference w:id="82"/>
      </w:r>
      <w:r w:rsidR="00B03A98" w:rsidRPr="00746A8E">
        <w:rPr>
          <w:rFonts w:asciiTheme="minorHAnsi" w:hAnsiTheme="minorHAnsi"/>
          <w:szCs w:val="24"/>
        </w:rPr>
        <w:t xml:space="preserve"> </w:t>
      </w:r>
      <w:r w:rsidR="00215B40" w:rsidRPr="00746A8E">
        <w:rPr>
          <w:rFonts w:asciiTheme="minorHAnsi" w:hAnsiTheme="minorHAnsi"/>
          <w:szCs w:val="24"/>
        </w:rPr>
        <w:t xml:space="preserve">PBT can be used safely and effectively to improve outcomes, with one </w:t>
      </w:r>
      <w:r w:rsidR="009E2F70" w:rsidRPr="00746A8E">
        <w:rPr>
          <w:rFonts w:asciiTheme="minorHAnsi" w:hAnsiTheme="minorHAnsi"/>
          <w:szCs w:val="24"/>
        </w:rPr>
        <w:t>study</w:t>
      </w:r>
      <w:r w:rsidR="00215B40" w:rsidRPr="00746A8E">
        <w:rPr>
          <w:rFonts w:asciiTheme="minorHAnsi" w:hAnsiTheme="minorHAnsi"/>
          <w:szCs w:val="24"/>
        </w:rPr>
        <w:t xml:space="preserve"> </w:t>
      </w:r>
      <w:r w:rsidR="00BB66F5">
        <w:rPr>
          <w:rFonts w:asciiTheme="minorHAnsi" w:hAnsiTheme="minorHAnsi"/>
          <w:szCs w:val="24"/>
        </w:rPr>
        <w:t>that examined</w:t>
      </w:r>
      <w:r w:rsidR="006C5932" w:rsidRPr="00746A8E">
        <w:rPr>
          <w:rFonts w:asciiTheme="minorHAnsi" w:hAnsiTheme="minorHAnsi"/>
          <w:szCs w:val="24"/>
        </w:rPr>
        <w:t xml:space="preserve"> treatment of chordoma</w:t>
      </w:r>
      <w:r w:rsidR="0074176D" w:rsidRPr="00746A8E">
        <w:rPr>
          <w:rFonts w:asciiTheme="minorHAnsi" w:hAnsiTheme="minorHAnsi"/>
          <w:szCs w:val="24"/>
        </w:rPr>
        <w:t>s</w:t>
      </w:r>
      <w:r w:rsidR="006C5932" w:rsidRPr="00746A8E">
        <w:rPr>
          <w:rFonts w:asciiTheme="minorHAnsi" w:hAnsiTheme="minorHAnsi"/>
          <w:szCs w:val="24"/>
        </w:rPr>
        <w:t xml:space="preserve"> and chondrosarcomas of the skull base and spine </w:t>
      </w:r>
      <w:r w:rsidR="00215B40" w:rsidRPr="00746A8E">
        <w:rPr>
          <w:rFonts w:asciiTheme="minorHAnsi" w:hAnsiTheme="minorHAnsi"/>
          <w:szCs w:val="24"/>
        </w:rPr>
        <w:t>reporting “favorable feasibility, local tumor control, survival, and toxicity after high-dose proton therapy for chordomas and chondrosarcomas.”</w:t>
      </w:r>
      <w:r w:rsidR="00215B40" w:rsidRPr="0085030B">
        <w:rPr>
          <w:vertAlign w:val="superscript"/>
        </w:rPr>
        <w:endnoteReference w:id="83"/>
      </w:r>
      <w:r w:rsidR="00473C79" w:rsidRPr="00746A8E">
        <w:rPr>
          <w:rFonts w:asciiTheme="minorHAnsi" w:hAnsiTheme="minorHAnsi"/>
          <w:szCs w:val="24"/>
        </w:rPr>
        <w:t xml:space="preserve"> </w:t>
      </w:r>
    </w:p>
    <w:p w14:paraId="59C1321B" w14:textId="77777777" w:rsidR="005B10F2" w:rsidRPr="008C61F6" w:rsidRDefault="005B10F2" w:rsidP="005B10F2">
      <w:pPr>
        <w:pStyle w:val="ListParagraph"/>
        <w:ind w:left="720" w:firstLine="0"/>
        <w:rPr>
          <w:rFonts w:asciiTheme="minorHAnsi" w:hAnsiTheme="minorHAnsi"/>
          <w:szCs w:val="24"/>
        </w:rPr>
      </w:pPr>
    </w:p>
    <w:p w14:paraId="1DBB48E0" w14:textId="76A93D60" w:rsidR="00574CE9" w:rsidRPr="00685BF1" w:rsidRDefault="00CA0FFF" w:rsidP="00746A8E">
      <w:pPr>
        <w:rPr>
          <w:rFonts w:asciiTheme="minorHAnsi" w:hAnsiTheme="minorHAnsi"/>
          <w:b/>
          <w:bCs/>
          <w:szCs w:val="24"/>
        </w:rPr>
      </w:pPr>
      <w:r w:rsidRPr="00746A8E">
        <w:rPr>
          <w:rFonts w:asciiTheme="minorHAnsi" w:hAnsiTheme="minorHAnsi"/>
          <w:i/>
          <w:iCs/>
          <w:szCs w:val="24"/>
        </w:rPr>
        <w:lastRenderedPageBreak/>
        <w:t xml:space="preserve">Head and Neck cancer </w:t>
      </w:r>
      <w:r w:rsidRPr="00746A8E">
        <w:rPr>
          <w:rFonts w:asciiTheme="minorHAnsi" w:hAnsiTheme="minorHAnsi"/>
          <w:szCs w:val="24"/>
        </w:rPr>
        <w:t xml:space="preserve">can form in the oral cavity, throat, voice box, paranasal sinuses, nasal cavity, and salivary glands. Because many critical structures are located in the head </w:t>
      </w:r>
      <w:r w:rsidRPr="00167F30">
        <w:rPr>
          <w:rFonts w:asciiTheme="minorHAnsi" w:hAnsiTheme="minorHAnsi"/>
          <w:szCs w:val="24"/>
        </w:rPr>
        <w:t>and neck area, treating head and neck cancers with hi</w:t>
      </w:r>
      <w:r w:rsidR="00555F53" w:rsidRPr="00167F30">
        <w:rPr>
          <w:rFonts w:asciiTheme="minorHAnsi" w:hAnsiTheme="minorHAnsi"/>
          <w:szCs w:val="24"/>
        </w:rPr>
        <w:t>gh</w:t>
      </w:r>
      <w:r w:rsidRPr="00167F30">
        <w:rPr>
          <w:rFonts w:asciiTheme="minorHAnsi" w:hAnsiTheme="minorHAnsi"/>
          <w:szCs w:val="24"/>
        </w:rPr>
        <w:t xml:space="preserve"> doses of </w:t>
      </w:r>
      <w:r w:rsidR="00326312" w:rsidRPr="00167F30">
        <w:rPr>
          <w:rFonts w:asciiTheme="minorHAnsi" w:hAnsiTheme="minorHAnsi"/>
          <w:szCs w:val="24"/>
        </w:rPr>
        <w:t>radiation</w:t>
      </w:r>
      <w:r w:rsidRPr="00167F30">
        <w:rPr>
          <w:rFonts w:asciiTheme="minorHAnsi" w:hAnsiTheme="minorHAnsi"/>
          <w:szCs w:val="24"/>
        </w:rPr>
        <w:t xml:space="preserve"> can lead to significant side effects. Since PBT offers superior dosimetric precision, it has been shown to significantly lower the risk of treatment-related toxicities for head and neck cancers</w:t>
      </w:r>
      <w:r w:rsidRPr="00167F30">
        <w:rPr>
          <w:vertAlign w:val="superscript"/>
        </w:rPr>
        <w:endnoteReference w:id="84"/>
      </w:r>
      <w:r w:rsidR="00A76FD0">
        <w:rPr>
          <w:rFonts w:asciiTheme="minorHAnsi" w:hAnsiTheme="minorHAnsi"/>
          <w:szCs w:val="24"/>
        </w:rPr>
        <w:t>,</w:t>
      </w:r>
      <w:r w:rsidRPr="00167F30">
        <w:rPr>
          <w:rFonts w:asciiTheme="minorHAnsi" w:hAnsiTheme="minorHAnsi"/>
          <w:szCs w:val="24"/>
        </w:rPr>
        <w:t xml:space="preserve"> thereby decreasing acute and late side effects, including mucositis (inflammation of oral tissues), dry mouth, gastrostomy tube dependence, and limits need for opioid pain medication.</w:t>
      </w:r>
      <w:r w:rsidR="00685BF1" w:rsidRPr="00167F30">
        <w:rPr>
          <w:rFonts w:asciiTheme="minorHAnsi" w:hAnsiTheme="minorHAnsi"/>
          <w:b/>
          <w:bCs/>
          <w:szCs w:val="24"/>
        </w:rPr>
        <w:t xml:space="preserve"> </w:t>
      </w:r>
      <w:r w:rsidR="004B3EAB" w:rsidRPr="00167F30">
        <w:rPr>
          <w:rFonts w:asciiTheme="minorHAnsi" w:hAnsiTheme="minorHAnsi"/>
          <w:szCs w:val="24"/>
        </w:rPr>
        <w:t xml:space="preserve">Traditional RT is an integral component of treatment </w:t>
      </w:r>
      <w:r w:rsidR="008B00F7">
        <w:rPr>
          <w:rFonts w:asciiTheme="minorHAnsi" w:hAnsiTheme="minorHAnsi"/>
          <w:szCs w:val="24"/>
        </w:rPr>
        <w:t xml:space="preserve">of </w:t>
      </w:r>
      <w:r w:rsidR="004B3EAB" w:rsidRPr="00167F30">
        <w:rPr>
          <w:rFonts w:asciiTheme="minorHAnsi" w:hAnsiTheme="minorHAnsi"/>
          <w:szCs w:val="24"/>
        </w:rPr>
        <w:t>o</w:t>
      </w:r>
      <w:r w:rsidR="006103D2" w:rsidRPr="00167F30">
        <w:rPr>
          <w:rFonts w:asciiTheme="minorHAnsi" w:hAnsiTheme="minorHAnsi"/>
          <w:szCs w:val="24"/>
        </w:rPr>
        <w:t>ropharyngeal cancer</w:t>
      </w:r>
      <w:r w:rsidR="004B3EAB" w:rsidRPr="00167F30">
        <w:rPr>
          <w:rFonts w:asciiTheme="minorHAnsi" w:hAnsiTheme="minorHAnsi"/>
          <w:szCs w:val="24"/>
        </w:rPr>
        <w:t>,</w:t>
      </w:r>
      <w:r w:rsidR="006103D2" w:rsidRPr="00167F30">
        <w:rPr>
          <w:rFonts w:asciiTheme="minorHAnsi" w:hAnsiTheme="minorHAnsi"/>
          <w:szCs w:val="24"/>
        </w:rPr>
        <w:t xml:space="preserve"> a type of head and neck cancer that originates in the </w:t>
      </w:r>
      <w:r w:rsidR="008A42EB" w:rsidRPr="00167F30">
        <w:rPr>
          <w:rFonts w:asciiTheme="minorHAnsi" w:hAnsiTheme="minorHAnsi"/>
          <w:szCs w:val="24"/>
        </w:rPr>
        <w:t>middle section of the throat</w:t>
      </w:r>
      <w:r w:rsidR="0090227E" w:rsidRPr="00167F30">
        <w:rPr>
          <w:rFonts w:asciiTheme="minorHAnsi" w:hAnsiTheme="minorHAnsi"/>
          <w:szCs w:val="24"/>
        </w:rPr>
        <w:t xml:space="preserve">, however it </w:t>
      </w:r>
      <w:r w:rsidR="000031BC" w:rsidRPr="00167F30">
        <w:rPr>
          <w:rFonts w:asciiTheme="minorHAnsi" w:hAnsiTheme="minorHAnsi"/>
          <w:szCs w:val="24"/>
        </w:rPr>
        <w:t xml:space="preserve">is </w:t>
      </w:r>
      <w:r w:rsidR="009759E9" w:rsidRPr="00167F30">
        <w:rPr>
          <w:rFonts w:asciiTheme="minorHAnsi" w:hAnsiTheme="minorHAnsi"/>
          <w:szCs w:val="24"/>
        </w:rPr>
        <w:t xml:space="preserve">associated with severe </w:t>
      </w:r>
      <w:r w:rsidR="006733FB" w:rsidRPr="00167F30">
        <w:rPr>
          <w:rFonts w:asciiTheme="minorHAnsi" w:hAnsiTheme="minorHAnsi"/>
          <w:szCs w:val="24"/>
        </w:rPr>
        <w:t>toxicity</w:t>
      </w:r>
      <w:r w:rsidR="009759E9" w:rsidRPr="00167F30">
        <w:rPr>
          <w:rFonts w:asciiTheme="minorHAnsi" w:hAnsiTheme="minorHAnsi"/>
          <w:szCs w:val="24"/>
        </w:rPr>
        <w:t xml:space="preserve">. </w:t>
      </w:r>
      <w:r w:rsidR="002C1914" w:rsidRPr="00167F30">
        <w:rPr>
          <w:rFonts w:asciiTheme="minorHAnsi" w:hAnsiTheme="minorHAnsi"/>
          <w:szCs w:val="24"/>
        </w:rPr>
        <w:t>Staff point to a</w:t>
      </w:r>
      <w:r w:rsidR="00787878" w:rsidRPr="00167F30">
        <w:rPr>
          <w:rFonts w:asciiTheme="minorHAnsi" w:hAnsiTheme="minorHAnsi"/>
          <w:szCs w:val="24"/>
        </w:rPr>
        <w:t xml:space="preserve"> recent </w:t>
      </w:r>
      <w:r w:rsidR="001A07A0" w:rsidRPr="00167F30">
        <w:rPr>
          <w:rFonts w:asciiTheme="minorHAnsi" w:hAnsiTheme="minorHAnsi"/>
          <w:szCs w:val="24"/>
        </w:rPr>
        <w:t>study</w:t>
      </w:r>
      <w:r w:rsidR="00787878" w:rsidRPr="00167F30">
        <w:rPr>
          <w:rFonts w:asciiTheme="minorHAnsi" w:hAnsiTheme="minorHAnsi"/>
          <w:szCs w:val="24"/>
        </w:rPr>
        <w:t xml:space="preserve"> on the use of </w:t>
      </w:r>
      <w:r w:rsidR="00587DE9" w:rsidRPr="00167F30">
        <w:rPr>
          <w:rFonts w:asciiTheme="minorHAnsi" w:hAnsiTheme="minorHAnsi"/>
          <w:szCs w:val="24"/>
        </w:rPr>
        <w:t>protons</w:t>
      </w:r>
      <w:r w:rsidR="003A6F50" w:rsidRPr="00167F30">
        <w:rPr>
          <w:rFonts w:asciiTheme="minorHAnsi" w:hAnsiTheme="minorHAnsi"/>
          <w:szCs w:val="24"/>
        </w:rPr>
        <w:t xml:space="preserve"> (</w:t>
      </w:r>
      <w:r w:rsidR="00F66033" w:rsidRPr="00167F30">
        <w:rPr>
          <w:rFonts w:asciiTheme="minorHAnsi" w:hAnsiTheme="minorHAnsi"/>
          <w:szCs w:val="24"/>
        </w:rPr>
        <w:t>IMPT</w:t>
      </w:r>
      <w:r w:rsidR="00587DE9" w:rsidRPr="00167F30">
        <w:rPr>
          <w:rFonts w:asciiTheme="minorHAnsi" w:hAnsiTheme="minorHAnsi"/>
          <w:szCs w:val="24"/>
        </w:rPr>
        <w:t>)</w:t>
      </w:r>
      <w:r w:rsidR="00B92A77" w:rsidRPr="00167F30">
        <w:rPr>
          <w:rFonts w:asciiTheme="minorHAnsi" w:hAnsiTheme="minorHAnsi"/>
          <w:szCs w:val="24"/>
        </w:rPr>
        <w:t xml:space="preserve"> and </w:t>
      </w:r>
      <w:r w:rsidR="008356A1" w:rsidRPr="00167F30">
        <w:rPr>
          <w:rFonts w:asciiTheme="minorHAnsi" w:hAnsiTheme="minorHAnsi"/>
          <w:szCs w:val="24"/>
        </w:rPr>
        <w:t>photon</w:t>
      </w:r>
      <w:r w:rsidR="00587DE9" w:rsidRPr="00167F30">
        <w:rPr>
          <w:rFonts w:asciiTheme="minorHAnsi" w:hAnsiTheme="minorHAnsi"/>
          <w:szCs w:val="24"/>
        </w:rPr>
        <w:t>s</w:t>
      </w:r>
      <w:r w:rsidR="008356A1" w:rsidRPr="00167F30">
        <w:rPr>
          <w:rFonts w:asciiTheme="minorHAnsi" w:hAnsiTheme="minorHAnsi"/>
          <w:szCs w:val="24"/>
        </w:rPr>
        <w:t xml:space="preserve"> (</w:t>
      </w:r>
      <w:r w:rsidR="00F66033" w:rsidRPr="00167F30">
        <w:rPr>
          <w:rFonts w:asciiTheme="minorHAnsi" w:hAnsiTheme="minorHAnsi"/>
          <w:szCs w:val="24"/>
        </w:rPr>
        <w:t>IMRT</w:t>
      </w:r>
      <w:r w:rsidR="008356A1" w:rsidRPr="00167F30">
        <w:rPr>
          <w:rFonts w:asciiTheme="minorHAnsi" w:hAnsiTheme="minorHAnsi"/>
          <w:szCs w:val="24"/>
        </w:rPr>
        <w:t>)</w:t>
      </w:r>
      <w:r w:rsidR="00787878" w:rsidRPr="00167F30">
        <w:rPr>
          <w:rFonts w:asciiTheme="minorHAnsi" w:hAnsiTheme="minorHAnsi"/>
          <w:szCs w:val="24"/>
        </w:rPr>
        <w:t xml:space="preserve"> in </w:t>
      </w:r>
      <w:r w:rsidR="00E54FF3" w:rsidRPr="00167F30">
        <w:rPr>
          <w:rFonts w:asciiTheme="minorHAnsi" w:hAnsiTheme="minorHAnsi"/>
          <w:szCs w:val="24"/>
        </w:rPr>
        <w:t xml:space="preserve">oropharyngeal cancer </w:t>
      </w:r>
      <w:r w:rsidR="00420745" w:rsidRPr="00167F30">
        <w:rPr>
          <w:rFonts w:asciiTheme="minorHAnsi" w:hAnsiTheme="minorHAnsi"/>
          <w:szCs w:val="24"/>
        </w:rPr>
        <w:t xml:space="preserve">which </w:t>
      </w:r>
      <w:r w:rsidR="00E54FF3" w:rsidRPr="00167F30">
        <w:rPr>
          <w:rFonts w:asciiTheme="minorHAnsi" w:hAnsiTheme="minorHAnsi"/>
          <w:szCs w:val="24"/>
        </w:rPr>
        <w:t xml:space="preserve">found that patients treated with </w:t>
      </w:r>
      <w:r w:rsidR="009D03B8" w:rsidRPr="00167F30">
        <w:rPr>
          <w:rFonts w:asciiTheme="minorHAnsi" w:hAnsiTheme="minorHAnsi"/>
          <w:szCs w:val="24"/>
        </w:rPr>
        <w:t>protons</w:t>
      </w:r>
      <w:r w:rsidR="00E54FF3" w:rsidRPr="00167F30">
        <w:rPr>
          <w:rFonts w:asciiTheme="minorHAnsi" w:hAnsiTheme="minorHAnsi"/>
          <w:szCs w:val="24"/>
        </w:rPr>
        <w:t xml:space="preserve"> </w:t>
      </w:r>
      <w:r w:rsidR="00DF4C66" w:rsidRPr="00167F30">
        <w:rPr>
          <w:rFonts w:asciiTheme="minorHAnsi" w:hAnsiTheme="minorHAnsi"/>
          <w:szCs w:val="24"/>
        </w:rPr>
        <w:t>lived longer</w:t>
      </w:r>
      <w:r w:rsidR="0044432B" w:rsidRPr="00167F30">
        <w:rPr>
          <w:rFonts w:asciiTheme="minorHAnsi" w:hAnsiTheme="minorHAnsi"/>
          <w:szCs w:val="24"/>
        </w:rPr>
        <w:t xml:space="preserve"> (</w:t>
      </w:r>
      <w:r w:rsidR="008B5004" w:rsidRPr="00167F30">
        <w:rPr>
          <w:rFonts w:asciiTheme="minorHAnsi" w:hAnsiTheme="minorHAnsi"/>
          <w:szCs w:val="24"/>
        </w:rPr>
        <w:t>o</w:t>
      </w:r>
      <w:r w:rsidR="001F7513" w:rsidRPr="00167F30">
        <w:rPr>
          <w:rFonts w:asciiTheme="minorHAnsi" w:hAnsiTheme="minorHAnsi"/>
          <w:szCs w:val="24"/>
        </w:rPr>
        <w:t xml:space="preserve">verall Survival </w:t>
      </w:r>
      <w:r w:rsidR="0044432B" w:rsidRPr="00167F30">
        <w:rPr>
          <w:rFonts w:asciiTheme="minorHAnsi" w:hAnsiTheme="minorHAnsi"/>
          <w:szCs w:val="24"/>
        </w:rPr>
        <w:t xml:space="preserve">of 91% for </w:t>
      </w:r>
      <w:r w:rsidR="001F7513" w:rsidRPr="00167F30">
        <w:rPr>
          <w:rFonts w:asciiTheme="minorHAnsi" w:hAnsiTheme="minorHAnsi"/>
          <w:szCs w:val="24"/>
        </w:rPr>
        <w:t>protons</w:t>
      </w:r>
      <w:r w:rsidR="0044432B" w:rsidRPr="00167F30">
        <w:rPr>
          <w:rFonts w:asciiTheme="minorHAnsi" w:hAnsiTheme="minorHAnsi"/>
          <w:szCs w:val="24"/>
        </w:rPr>
        <w:t xml:space="preserve"> vs. 81% with </w:t>
      </w:r>
      <w:r w:rsidR="001F7513" w:rsidRPr="00167F30">
        <w:rPr>
          <w:rFonts w:asciiTheme="minorHAnsi" w:hAnsiTheme="minorHAnsi"/>
          <w:szCs w:val="24"/>
        </w:rPr>
        <w:t>protons</w:t>
      </w:r>
      <w:r w:rsidR="0044432B" w:rsidRPr="00167F30">
        <w:rPr>
          <w:rFonts w:asciiTheme="minorHAnsi" w:hAnsiTheme="minorHAnsi"/>
          <w:szCs w:val="24"/>
        </w:rPr>
        <w:t>)</w:t>
      </w:r>
      <w:r w:rsidR="00DF4C66" w:rsidRPr="00167F30">
        <w:rPr>
          <w:rFonts w:asciiTheme="minorHAnsi" w:hAnsiTheme="minorHAnsi"/>
          <w:szCs w:val="24"/>
        </w:rPr>
        <w:t xml:space="preserve"> and </w:t>
      </w:r>
      <w:r w:rsidR="008356A1" w:rsidRPr="00167F30">
        <w:rPr>
          <w:rFonts w:asciiTheme="minorHAnsi" w:hAnsiTheme="minorHAnsi"/>
          <w:szCs w:val="24"/>
        </w:rPr>
        <w:t>experienced</w:t>
      </w:r>
      <w:r w:rsidR="00DF4C66" w:rsidRPr="00167F30">
        <w:rPr>
          <w:rFonts w:asciiTheme="minorHAnsi" w:hAnsiTheme="minorHAnsi"/>
          <w:szCs w:val="24"/>
        </w:rPr>
        <w:t xml:space="preserve"> fewer side effects</w:t>
      </w:r>
      <w:r w:rsidR="0083121E" w:rsidRPr="00167F30">
        <w:rPr>
          <w:rFonts w:asciiTheme="minorHAnsi" w:hAnsiTheme="minorHAnsi"/>
          <w:szCs w:val="24"/>
        </w:rPr>
        <w:t xml:space="preserve"> </w:t>
      </w:r>
      <w:r w:rsidR="00017CE2" w:rsidRPr="00167F30">
        <w:rPr>
          <w:rFonts w:asciiTheme="minorHAnsi" w:hAnsiTheme="minorHAnsi"/>
          <w:szCs w:val="24"/>
        </w:rPr>
        <w:t>and improved quality of lif</w:t>
      </w:r>
      <w:r w:rsidR="00B52AD4" w:rsidRPr="00167F30">
        <w:rPr>
          <w:rFonts w:asciiTheme="minorHAnsi" w:hAnsiTheme="minorHAnsi"/>
          <w:szCs w:val="24"/>
        </w:rPr>
        <w:t>e,</w:t>
      </w:r>
      <w:r w:rsidR="00C5125E" w:rsidRPr="00167F30">
        <w:rPr>
          <w:rFonts w:asciiTheme="minorHAnsi" w:hAnsiTheme="minorHAnsi"/>
          <w:szCs w:val="24"/>
        </w:rPr>
        <w:t xml:space="preserve"> with protons</w:t>
      </w:r>
      <w:r w:rsidR="00B52AD4" w:rsidRPr="00167F30">
        <w:rPr>
          <w:rFonts w:asciiTheme="minorHAnsi" w:hAnsiTheme="minorHAnsi"/>
          <w:szCs w:val="24"/>
        </w:rPr>
        <w:t xml:space="preserve"> </w:t>
      </w:r>
      <w:r w:rsidR="0083121E" w:rsidRPr="00167F30">
        <w:rPr>
          <w:rFonts w:asciiTheme="minorHAnsi" w:hAnsiTheme="minorHAnsi"/>
          <w:szCs w:val="24"/>
        </w:rPr>
        <w:t>lowering the risk of se</w:t>
      </w:r>
      <w:r w:rsidR="0083121E" w:rsidRPr="0083121E">
        <w:rPr>
          <w:rFonts w:asciiTheme="minorHAnsi" w:hAnsiTheme="minorHAnsi"/>
          <w:szCs w:val="24"/>
        </w:rPr>
        <w:t>vere swallowing problems by 13% and reduc</w:t>
      </w:r>
      <w:r w:rsidR="008356A1">
        <w:rPr>
          <w:rFonts w:asciiTheme="minorHAnsi" w:hAnsiTheme="minorHAnsi"/>
          <w:szCs w:val="24"/>
        </w:rPr>
        <w:t>ing</w:t>
      </w:r>
      <w:r w:rsidR="0083121E" w:rsidRPr="0083121E">
        <w:rPr>
          <w:rFonts w:asciiTheme="minorHAnsi" w:hAnsiTheme="minorHAnsi"/>
          <w:szCs w:val="24"/>
        </w:rPr>
        <w:t xml:space="preserve"> the need for feeding tubes by more than 13%.</w:t>
      </w:r>
      <w:r w:rsidR="00A97A93">
        <w:rPr>
          <w:rStyle w:val="EndnoteReference"/>
          <w:rFonts w:asciiTheme="minorHAnsi" w:hAnsiTheme="minorHAnsi"/>
          <w:szCs w:val="24"/>
        </w:rPr>
        <w:endnoteReference w:id="85"/>
      </w:r>
      <w:r w:rsidR="0037649B" w:rsidRPr="0037649B">
        <w:rPr>
          <w:rFonts w:asciiTheme="minorHAnsi" w:hAnsiTheme="minorHAnsi"/>
          <w:szCs w:val="24"/>
          <w:vertAlign w:val="superscript"/>
        </w:rPr>
        <w:t>,</w:t>
      </w:r>
      <w:r w:rsidR="0037649B">
        <w:rPr>
          <w:rStyle w:val="EndnoteReference"/>
          <w:rFonts w:asciiTheme="minorHAnsi" w:hAnsiTheme="minorHAnsi"/>
          <w:szCs w:val="24"/>
        </w:rPr>
        <w:endnoteReference w:id="86"/>
      </w:r>
    </w:p>
    <w:p w14:paraId="2AFB732D" w14:textId="77777777" w:rsidR="00845F85" w:rsidRDefault="00845F85" w:rsidP="00CF5CDE">
      <w:pPr>
        <w:rPr>
          <w:rFonts w:asciiTheme="minorHAnsi" w:hAnsiTheme="minorHAnsi"/>
          <w:b/>
          <w:bCs/>
          <w:szCs w:val="24"/>
        </w:rPr>
      </w:pPr>
    </w:p>
    <w:p w14:paraId="3E04C082" w14:textId="0C748524" w:rsidR="00CF5CDE" w:rsidRPr="00574CE9" w:rsidRDefault="00DB707A" w:rsidP="00CF5CDE">
      <w:pPr>
        <w:rPr>
          <w:rFonts w:asciiTheme="minorHAnsi" w:hAnsiTheme="minorHAnsi"/>
          <w:b/>
          <w:bCs/>
          <w:szCs w:val="24"/>
        </w:rPr>
      </w:pPr>
      <w:r>
        <w:rPr>
          <w:rFonts w:asciiTheme="minorHAnsi" w:hAnsiTheme="minorHAnsi"/>
          <w:b/>
          <w:bCs/>
          <w:szCs w:val="24"/>
        </w:rPr>
        <w:t xml:space="preserve">PBT and </w:t>
      </w:r>
      <w:r w:rsidR="00CC1DE2" w:rsidRPr="00574CE9">
        <w:rPr>
          <w:rFonts w:asciiTheme="minorHAnsi" w:hAnsiTheme="minorHAnsi"/>
          <w:b/>
          <w:bCs/>
          <w:szCs w:val="24"/>
        </w:rPr>
        <w:t>Reduced Risk of Secondary Cancers</w:t>
      </w:r>
    </w:p>
    <w:p w14:paraId="2DECED79" w14:textId="0DEE41BA" w:rsidR="002C4A8E" w:rsidRPr="00574CE9" w:rsidRDefault="00BA031A" w:rsidP="00574CE9">
      <w:pPr>
        <w:rPr>
          <w:rFonts w:asciiTheme="minorHAnsi" w:hAnsiTheme="minorHAnsi"/>
          <w:szCs w:val="24"/>
        </w:rPr>
      </w:pPr>
      <w:r w:rsidRPr="00DE510F">
        <w:rPr>
          <w:rFonts w:asciiTheme="minorHAnsi" w:hAnsiTheme="minorHAnsi"/>
          <w:szCs w:val="24"/>
        </w:rPr>
        <w:t xml:space="preserve">RT increases the risk of </w:t>
      </w:r>
      <w:r w:rsidR="007117D3">
        <w:rPr>
          <w:rFonts w:asciiTheme="minorHAnsi" w:hAnsiTheme="minorHAnsi"/>
          <w:szCs w:val="24"/>
        </w:rPr>
        <w:t>second cancers</w:t>
      </w:r>
      <w:r w:rsidRPr="00DE510F">
        <w:rPr>
          <w:rFonts w:asciiTheme="minorHAnsi" w:hAnsiTheme="minorHAnsi"/>
          <w:szCs w:val="24"/>
        </w:rPr>
        <w:t xml:space="preserve"> by 1.2-fold to 3-fold in adults, and by 6-fold to 10-fold in pediatric patients</w:t>
      </w:r>
      <w:r w:rsidR="004113F1">
        <w:rPr>
          <w:rFonts w:asciiTheme="minorHAnsi" w:hAnsiTheme="minorHAnsi"/>
          <w:szCs w:val="24"/>
        </w:rPr>
        <w:t>.</w:t>
      </w:r>
      <w:r w:rsidR="002768F3">
        <w:rPr>
          <w:rStyle w:val="EndnoteReference"/>
          <w:rFonts w:asciiTheme="minorHAnsi" w:hAnsiTheme="minorHAnsi"/>
          <w:szCs w:val="24"/>
        </w:rPr>
        <w:endnoteReference w:id="87"/>
      </w:r>
      <w:r w:rsidR="004113F1">
        <w:rPr>
          <w:rFonts w:asciiTheme="minorHAnsi" w:hAnsiTheme="minorHAnsi"/>
          <w:szCs w:val="24"/>
        </w:rPr>
        <w:t xml:space="preserve"> </w:t>
      </w:r>
      <w:r w:rsidR="0037209E">
        <w:rPr>
          <w:rFonts w:asciiTheme="minorHAnsi" w:hAnsiTheme="minorHAnsi"/>
          <w:szCs w:val="24"/>
        </w:rPr>
        <w:t>S</w:t>
      </w:r>
      <w:r w:rsidR="0037209E" w:rsidRPr="00584D29">
        <w:rPr>
          <w:rFonts w:asciiTheme="minorHAnsi" w:hAnsiTheme="minorHAnsi"/>
          <w:szCs w:val="24"/>
        </w:rPr>
        <w:t>econdary cancers require additional treatments and lifelong care.</w:t>
      </w:r>
      <w:r w:rsidR="0037209E">
        <w:rPr>
          <w:rFonts w:asciiTheme="minorHAnsi" w:hAnsiTheme="minorHAnsi"/>
          <w:szCs w:val="24"/>
        </w:rPr>
        <w:t xml:space="preserve"> </w:t>
      </w:r>
      <w:r w:rsidR="00C859EE">
        <w:rPr>
          <w:rFonts w:asciiTheme="minorHAnsi" w:hAnsiTheme="minorHAnsi"/>
          <w:szCs w:val="24"/>
        </w:rPr>
        <w:t>A study</w:t>
      </w:r>
      <w:r w:rsidR="009678F9">
        <w:rPr>
          <w:rFonts w:asciiTheme="minorHAnsi" w:hAnsiTheme="minorHAnsi"/>
          <w:szCs w:val="24"/>
        </w:rPr>
        <w:t xml:space="preserve"> of second cancers after prostate therapy </w:t>
      </w:r>
      <w:r w:rsidR="00ED5FF1">
        <w:rPr>
          <w:rFonts w:asciiTheme="minorHAnsi" w:hAnsiTheme="minorHAnsi"/>
          <w:szCs w:val="24"/>
        </w:rPr>
        <w:t>found</w:t>
      </w:r>
      <w:r w:rsidR="009678F9">
        <w:rPr>
          <w:rFonts w:asciiTheme="minorHAnsi" w:hAnsiTheme="minorHAnsi"/>
          <w:szCs w:val="24"/>
        </w:rPr>
        <w:t xml:space="preserve"> that </w:t>
      </w:r>
      <w:r w:rsidR="009D6780">
        <w:rPr>
          <w:rFonts w:asciiTheme="minorHAnsi" w:hAnsiTheme="minorHAnsi"/>
          <w:szCs w:val="24"/>
        </w:rPr>
        <w:t xml:space="preserve">PBT </w:t>
      </w:r>
      <w:r w:rsidR="00ED5FF1">
        <w:rPr>
          <w:rFonts w:asciiTheme="minorHAnsi" w:hAnsiTheme="minorHAnsi"/>
          <w:szCs w:val="24"/>
        </w:rPr>
        <w:t>redu</w:t>
      </w:r>
      <w:r w:rsidR="009D6780">
        <w:rPr>
          <w:rFonts w:asciiTheme="minorHAnsi" w:hAnsiTheme="minorHAnsi"/>
          <w:szCs w:val="24"/>
        </w:rPr>
        <w:t>ce</w:t>
      </w:r>
      <w:r w:rsidR="00ED5FF1">
        <w:rPr>
          <w:rFonts w:asciiTheme="minorHAnsi" w:hAnsiTheme="minorHAnsi"/>
          <w:szCs w:val="24"/>
        </w:rPr>
        <w:t>d</w:t>
      </w:r>
      <w:r w:rsidR="009D6780">
        <w:rPr>
          <w:rFonts w:asciiTheme="minorHAnsi" w:hAnsiTheme="minorHAnsi"/>
          <w:szCs w:val="24"/>
        </w:rPr>
        <w:t xml:space="preserve"> the risk of </w:t>
      </w:r>
      <w:r w:rsidR="00622755">
        <w:rPr>
          <w:rFonts w:asciiTheme="minorHAnsi" w:hAnsiTheme="minorHAnsi"/>
          <w:szCs w:val="24"/>
        </w:rPr>
        <w:t>radiation-induced second cancer</w:t>
      </w:r>
      <w:r w:rsidR="00505F2E">
        <w:rPr>
          <w:rFonts w:asciiTheme="minorHAnsi" w:hAnsiTheme="minorHAnsi"/>
          <w:szCs w:val="24"/>
        </w:rPr>
        <w:t>s</w:t>
      </w:r>
      <w:r w:rsidR="004356A6">
        <w:rPr>
          <w:rFonts w:asciiTheme="minorHAnsi" w:hAnsiTheme="minorHAnsi"/>
          <w:szCs w:val="24"/>
        </w:rPr>
        <w:t xml:space="preserve"> </w:t>
      </w:r>
      <w:r w:rsidR="00873B54">
        <w:rPr>
          <w:rFonts w:asciiTheme="minorHAnsi" w:hAnsiTheme="minorHAnsi"/>
          <w:szCs w:val="24"/>
        </w:rPr>
        <w:t>by 26% to 36% compared to photon-based RT (IMRT)</w:t>
      </w:r>
      <w:r w:rsidR="00546DE4">
        <w:rPr>
          <w:rFonts w:asciiTheme="minorHAnsi" w:hAnsiTheme="minorHAnsi"/>
          <w:szCs w:val="24"/>
        </w:rPr>
        <w:t xml:space="preserve"> </w:t>
      </w:r>
      <w:r w:rsidR="003B6126">
        <w:rPr>
          <w:rFonts w:asciiTheme="minorHAnsi" w:hAnsiTheme="minorHAnsi"/>
          <w:szCs w:val="24"/>
        </w:rPr>
        <w:t>with</w:t>
      </w:r>
      <w:r w:rsidR="00546DE4">
        <w:rPr>
          <w:rFonts w:asciiTheme="minorHAnsi" w:hAnsiTheme="minorHAnsi"/>
          <w:szCs w:val="24"/>
        </w:rPr>
        <w:t xml:space="preserve"> </w:t>
      </w:r>
      <w:r w:rsidR="00960EC9">
        <w:rPr>
          <w:rFonts w:asciiTheme="minorHAnsi" w:hAnsiTheme="minorHAnsi"/>
          <w:szCs w:val="24"/>
        </w:rPr>
        <w:t xml:space="preserve">the reduction </w:t>
      </w:r>
      <w:r w:rsidR="00546DE4">
        <w:rPr>
          <w:rFonts w:asciiTheme="minorHAnsi" w:hAnsiTheme="minorHAnsi"/>
          <w:szCs w:val="24"/>
        </w:rPr>
        <w:t xml:space="preserve">attributed to PBT’s ability to reduce radiation dose </w:t>
      </w:r>
      <w:r w:rsidR="00F201EE">
        <w:rPr>
          <w:rFonts w:asciiTheme="minorHAnsi" w:hAnsiTheme="minorHAnsi"/>
          <w:szCs w:val="24"/>
        </w:rPr>
        <w:t>in nearby sensitive organs.</w:t>
      </w:r>
      <w:r w:rsidR="00873B54">
        <w:rPr>
          <w:rStyle w:val="EndnoteReference"/>
          <w:rFonts w:asciiTheme="minorHAnsi" w:hAnsiTheme="minorHAnsi"/>
          <w:szCs w:val="24"/>
        </w:rPr>
        <w:endnoteReference w:id="88"/>
      </w:r>
      <w:r w:rsidR="00873B54">
        <w:rPr>
          <w:rFonts w:asciiTheme="minorHAnsi" w:hAnsiTheme="minorHAnsi"/>
          <w:szCs w:val="24"/>
        </w:rPr>
        <w:t xml:space="preserve"> </w:t>
      </w:r>
      <w:r w:rsidR="002C4A8E" w:rsidRPr="00574CE9">
        <w:rPr>
          <w:rFonts w:asciiTheme="minorHAnsi" w:hAnsiTheme="minorHAnsi"/>
          <w:szCs w:val="24"/>
        </w:rPr>
        <w:t xml:space="preserve">A study examining 450,000 adult and pediatric patients </w:t>
      </w:r>
      <w:r w:rsidR="00F254A2">
        <w:rPr>
          <w:rFonts w:asciiTheme="minorHAnsi" w:hAnsiTheme="minorHAnsi"/>
          <w:szCs w:val="24"/>
        </w:rPr>
        <w:t>treated with proton</w:t>
      </w:r>
      <w:r w:rsidR="008E3963">
        <w:rPr>
          <w:rFonts w:asciiTheme="minorHAnsi" w:hAnsiTheme="minorHAnsi"/>
          <w:szCs w:val="24"/>
        </w:rPr>
        <w:t>-based</w:t>
      </w:r>
      <w:r w:rsidR="00F254A2">
        <w:rPr>
          <w:rFonts w:asciiTheme="minorHAnsi" w:hAnsiTheme="minorHAnsi"/>
          <w:szCs w:val="24"/>
        </w:rPr>
        <w:t xml:space="preserve"> and photon</w:t>
      </w:r>
      <w:r w:rsidR="008E3963">
        <w:rPr>
          <w:rFonts w:asciiTheme="minorHAnsi" w:hAnsiTheme="minorHAnsi"/>
          <w:szCs w:val="24"/>
        </w:rPr>
        <w:t>-based</w:t>
      </w:r>
      <w:r w:rsidR="00F254A2">
        <w:rPr>
          <w:rFonts w:asciiTheme="minorHAnsi" w:hAnsiTheme="minorHAnsi"/>
          <w:szCs w:val="24"/>
        </w:rPr>
        <w:t xml:space="preserve"> (IMRT and 3DCRT</w:t>
      </w:r>
      <w:r w:rsidR="003F338A">
        <w:rPr>
          <w:rStyle w:val="FootnoteReference"/>
          <w:rFonts w:asciiTheme="minorHAnsi" w:hAnsiTheme="minorHAnsi"/>
          <w:szCs w:val="24"/>
        </w:rPr>
        <w:footnoteReference w:id="60"/>
      </w:r>
      <w:r w:rsidR="00F254A2">
        <w:rPr>
          <w:rFonts w:asciiTheme="minorHAnsi" w:hAnsiTheme="minorHAnsi"/>
          <w:szCs w:val="24"/>
        </w:rPr>
        <w:t>)</w:t>
      </w:r>
      <w:r w:rsidR="002C4A8E" w:rsidRPr="00574CE9">
        <w:rPr>
          <w:rFonts w:asciiTheme="minorHAnsi" w:hAnsiTheme="minorHAnsi"/>
          <w:szCs w:val="24"/>
        </w:rPr>
        <w:t xml:space="preserve"> </w:t>
      </w:r>
      <w:r w:rsidR="008E3963">
        <w:rPr>
          <w:rFonts w:asciiTheme="minorHAnsi" w:hAnsiTheme="minorHAnsi"/>
          <w:szCs w:val="24"/>
        </w:rPr>
        <w:t xml:space="preserve">radiation </w:t>
      </w:r>
      <w:r w:rsidR="002C4A8E" w:rsidRPr="00574CE9">
        <w:rPr>
          <w:rFonts w:asciiTheme="minorHAnsi" w:hAnsiTheme="minorHAnsi"/>
          <w:szCs w:val="24"/>
        </w:rPr>
        <w:t xml:space="preserve">found a lower risk of second cancer associated with </w:t>
      </w:r>
      <w:r w:rsidR="00C35AA5">
        <w:rPr>
          <w:rFonts w:asciiTheme="minorHAnsi" w:hAnsiTheme="minorHAnsi"/>
          <w:szCs w:val="24"/>
        </w:rPr>
        <w:t>PBT</w:t>
      </w:r>
      <w:r w:rsidR="002C4A8E" w:rsidRPr="00574CE9">
        <w:rPr>
          <w:rFonts w:asciiTheme="minorHAnsi" w:hAnsiTheme="minorHAnsi"/>
          <w:szCs w:val="24"/>
        </w:rPr>
        <w:t>, especially for patients treated for head and neck, breast, and prostate cancers.</w:t>
      </w:r>
      <w:r w:rsidR="001E30EB">
        <w:rPr>
          <w:rStyle w:val="EndnoteReference"/>
          <w:rFonts w:asciiTheme="minorHAnsi" w:hAnsiTheme="minorHAnsi"/>
          <w:szCs w:val="24"/>
        </w:rPr>
        <w:endnoteReference w:id="89"/>
      </w:r>
      <w:r w:rsidR="002C4A8E" w:rsidRPr="00574CE9">
        <w:rPr>
          <w:rFonts w:asciiTheme="minorHAnsi" w:hAnsiTheme="minorHAnsi"/>
          <w:szCs w:val="24"/>
        </w:rPr>
        <w:t xml:space="preserve"> </w:t>
      </w:r>
      <w:r w:rsidR="00F02627">
        <w:rPr>
          <w:rFonts w:asciiTheme="minorHAnsi" w:hAnsiTheme="minorHAnsi"/>
          <w:szCs w:val="24"/>
        </w:rPr>
        <w:t>Staff note that despite</w:t>
      </w:r>
      <w:r w:rsidR="000D7FAC">
        <w:rPr>
          <w:rFonts w:asciiTheme="minorHAnsi" w:hAnsiTheme="minorHAnsi"/>
          <w:szCs w:val="24"/>
        </w:rPr>
        <w:t xml:space="preserve"> </w:t>
      </w:r>
      <w:r w:rsidR="000D7FAC" w:rsidRPr="000D7FAC">
        <w:rPr>
          <w:rFonts w:asciiTheme="minorHAnsi" w:hAnsiTheme="minorHAnsi"/>
          <w:szCs w:val="24"/>
        </w:rPr>
        <w:t>these data, prostate and breast cancer are not considered Group 1 indications for PBT</w:t>
      </w:r>
      <w:r w:rsidR="004A53C8">
        <w:rPr>
          <w:rFonts w:asciiTheme="minorHAnsi" w:hAnsiTheme="minorHAnsi"/>
          <w:szCs w:val="24"/>
        </w:rPr>
        <w:t xml:space="preserve"> based on CMS’ LCD. </w:t>
      </w:r>
    </w:p>
    <w:p w14:paraId="1F775EC8" w14:textId="77777777" w:rsidR="005B060C" w:rsidRDefault="005B060C" w:rsidP="00167F30">
      <w:pPr>
        <w:pStyle w:val="BodyText"/>
      </w:pPr>
    </w:p>
    <w:p w14:paraId="0F04041A" w14:textId="21553951" w:rsidR="00E00FF6" w:rsidRPr="003F4630" w:rsidRDefault="006E7A0F" w:rsidP="00167F30">
      <w:pPr>
        <w:pStyle w:val="BodyText"/>
      </w:pPr>
      <w:r w:rsidRPr="00167F30">
        <w:t>PBT offers significant advantages for pediatric patients by reducing risks of long-term RIAE and preserving quality of life due to their longer life expectancy. Studies show that PBT minimizes radiation exposure to vital organs and healthy tissues compared to traditional photon</w:t>
      </w:r>
      <w:r w:rsidR="00AF4926">
        <w:t xml:space="preserve">-based </w:t>
      </w:r>
      <w:r w:rsidRPr="00167F30">
        <w:t xml:space="preserve"> </w:t>
      </w:r>
      <w:r w:rsidR="00AF4926">
        <w:t>RT</w:t>
      </w:r>
      <w:r w:rsidRPr="00167F30">
        <w:t>, reducing the risk of long-term damage and secondary malignancies.</w:t>
      </w:r>
      <w:r w:rsidRPr="00167F30">
        <w:rPr>
          <w:vertAlign w:val="superscript"/>
        </w:rPr>
        <w:endnoteReference w:id="90"/>
      </w:r>
      <w:r w:rsidRPr="00167F30">
        <w:rPr>
          <w:vertAlign w:val="superscript"/>
        </w:rPr>
        <w:t xml:space="preserve"> </w:t>
      </w:r>
      <w:r w:rsidRPr="00167F30">
        <w:t>Specifically, PBT significantly lowers radiation exposure to critical organs such as the bowels, stomach, liver, kidneys, and spleen, potentially reducing damage to these vital areas.</w:t>
      </w:r>
      <w:r w:rsidRPr="00167F30">
        <w:rPr>
          <w:vertAlign w:val="superscript"/>
        </w:rPr>
        <w:endnoteReference w:id="91"/>
      </w:r>
      <w:r w:rsidR="003F4630" w:rsidRPr="00167F30">
        <w:t xml:space="preserve"> </w:t>
      </w:r>
      <w:r w:rsidR="002C4A8E" w:rsidRPr="00167F30">
        <w:rPr>
          <w:rFonts w:asciiTheme="minorHAnsi" w:hAnsiTheme="minorHAnsi"/>
        </w:rPr>
        <w:t>A</w:t>
      </w:r>
      <w:r w:rsidR="002C4A8E" w:rsidRPr="00574CE9">
        <w:rPr>
          <w:rFonts w:asciiTheme="minorHAnsi" w:hAnsiTheme="minorHAnsi"/>
        </w:rPr>
        <w:t xml:space="preserve"> comparative study on</w:t>
      </w:r>
      <w:r w:rsidR="000E7952">
        <w:rPr>
          <w:rFonts w:asciiTheme="minorHAnsi" w:hAnsiTheme="minorHAnsi"/>
        </w:rPr>
        <w:t xml:space="preserve"> the</w:t>
      </w:r>
      <w:r w:rsidR="002C4A8E" w:rsidRPr="00574CE9">
        <w:rPr>
          <w:rFonts w:asciiTheme="minorHAnsi" w:hAnsiTheme="minorHAnsi"/>
        </w:rPr>
        <w:t xml:space="preserve"> risks of second cancer and cardiac mortality in pediatric patients with medulloblastoma </w:t>
      </w:r>
      <w:r w:rsidR="00AA7B90">
        <w:rPr>
          <w:rFonts w:asciiTheme="minorHAnsi" w:hAnsiTheme="minorHAnsi"/>
        </w:rPr>
        <w:t xml:space="preserve">found </w:t>
      </w:r>
      <w:r w:rsidR="002C4A8E" w:rsidRPr="00574CE9">
        <w:rPr>
          <w:rFonts w:asciiTheme="minorHAnsi" w:hAnsiTheme="minorHAnsi"/>
        </w:rPr>
        <w:t xml:space="preserve">that </w:t>
      </w:r>
      <w:r w:rsidR="00AA7B90" w:rsidRPr="00AA7B90">
        <w:rPr>
          <w:rFonts w:asciiTheme="minorHAnsi" w:hAnsiTheme="minorHAnsi"/>
        </w:rPr>
        <w:t>proton craniospinal irradiation</w:t>
      </w:r>
      <w:r w:rsidR="00AA7B90" w:rsidRPr="00AA7B90">
        <w:rPr>
          <w:rFonts w:asciiTheme="minorHAnsi" w:hAnsiTheme="minorHAnsi"/>
          <w:vertAlign w:val="superscript"/>
        </w:rPr>
        <w:footnoteReference w:id="61"/>
      </w:r>
      <w:r w:rsidR="00AA7B90">
        <w:rPr>
          <w:rFonts w:asciiTheme="minorHAnsi" w:hAnsiTheme="minorHAnsi"/>
        </w:rPr>
        <w:t xml:space="preserve"> </w:t>
      </w:r>
      <w:r w:rsidR="002C4A8E" w:rsidRPr="00574CE9">
        <w:rPr>
          <w:rFonts w:asciiTheme="minorHAnsi" w:hAnsiTheme="minorHAnsi"/>
        </w:rPr>
        <w:t xml:space="preserve">reduced </w:t>
      </w:r>
      <w:r w:rsidR="008F0DF9">
        <w:rPr>
          <w:rFonts w:asciiTheme="minorHAnsi" w:hAnsiTheme="minorHAnsi"/>
        </w:rPr>
        <w:t>the incidence of</w:t>
      </w:r>
      <w:r w:rsidR="002C4A8E" w:rsidRPr="00574CE9">
        <w:rPr>
          <w:rFonts w:asciiTheme="minorHAnsi" w:hAnsiTheme="minorHAnsi"/>
        </w:rPr>
        <w:t xml:space="preserve"> second cancer</w:t>
      </w:r>
      <w:r w:rsidR="00BF7DCF">
        <w:rPr>
          <w:rFonts w:asciiTheme="minorHAnsi" w:hAnsiTheme="minorHAnsi"/>
        </w:rPr>
        <w:t>s</w:t>
      </w:r>
      <w:r w:rsidR="002C4A8E" w:rsidRPr="00574CE9">
        <w:rPr>
          <w:rFonts w:asciiTheme="minorHAnsi" w:hAnsiTheme="minorHAnsi"/>
        </w:rPr>
        <w:t xml:space="preserve"> and cardiac mortality compared to photon </w:t>
      </w:r>
      <w:r w:rsidR="005A7324">
        <w:rPr>
          <w:rFonts w:asciiTheme="minorHAnsi" w:hAnsiTheme="minorHAnsi"/>
        </w:rPr>
        <w:t xml:space="preserve">craniospinal irradiation </w:t>
      </w:r>
      <w:r w:rsidR="002C4A8E" w:rsidRPr="00574CE9">
        <w:rPr>
          <w:rFonts w:asciiTheme="minorHAnsi" w:hAnsiTheme="minorHAnsi"/>
        </w:rPr>
        <w:t xml:space="preserve">as a result of </w:t>
      </w:r>
      <w:r w:rsidR="005A7E0C">
        <w:rPr>
          <w:rFonts w:asciiTheme="minorHAnsi" w:hAnsiTheme="minorHAnsi"/>
        </w:rPr>
        <w:t>protons</w:t>
      </w:r>
      <w:r w:rsidR="002C4A8E" w:rsidRPr="00574CE9">
        <w:rPr>
          <w:rFonts w:asciiTheme="minorHAnsi" w:hAnsiTheme="minorHAnsi"/>
        </w:rPr>
        <w:t xml:space="preserve"> lower dose to</w:t>
      </w:r>
      <w:r w:rsidR="00D45981">
        <w:rPr>
          <w:rFonts w:asciiTheme="minorHAnsi" w:hAnsiTheme="minorHAnsi"/>
        </w:rPr>
        <w:t xml:space="preserve"> surrounding</w:t>
      </w:r>
      <w:r w:rsidR="002C4A8E" w:rsidRPr="00574CE9">
        <w:rPr>
          <w:rFonts w:asciiTheme="minorHAnsi" w:hAnsiTheme="minorHAnsi"/>
        </w:rPr>
        <w:t xml:space="preserve"> organs.</w:t>
      </w:r>
      <w:r w:rsidR="002C4A8E" w:rsidRPr="002C4A8E">
        <w:rPr>
          <w:vertAlign w:val="superscript"/>
        </w:rPr>
        <w:endnoteReference w:id="92"/>
      </w:r>
      <w:r w:rsidR="00E00FF6">
        <w:rPr>
          <w:rFonts w:asciiTheme="minorHAnsi" w:hAnsiTheme="minorHAnsi"/>
        </w:rPr>
        <w:t xml:space="preserve"> </w:t>
      </w:r>
    </w:p>
    <w:p w14:paraId="19B673D1" w14:textId="77777777" w:rsidR="00D94C09" w:rsidRPr="00E164D4" w:rsidRDefault="00D94C09" w:rsidP="00E00FF6">
      <w:pPr>
        <w:rPr>
          <w:rFonts w:asciiTheme="minorHAnsi" w:hAnsiTheme="minorHAnsi"/>
          <w:szCs w:val="24"/>
        </w:rPr>
      </w:pPr>
    </w:p>
    <w:p w14:paraId="1AD68EAD" w14:textId="27C6456C" w:rsidR="003F15C9" w:rsidRPr="00574CE9" w:rsidRDefault="00DB707A" w:rsidP="00932E5D">
      <w:pPr>
        <w:rPr>
          <w:rFonts w:asciiTheme="minorHAnsi" w:hAnsiTheme="minorHAnsi"/>
          <w:b/>
          <w:bCs/>
          <w:szCs w:val="24"/>
        </w:rPr>
      </w:pPr>
      <w:r>
        <w:rPr>
          <w:rFonts w:asciiTheme="minorHAnsi" w:hAnsiTheme="minorHAnsi"/>
          <w:b/>
          <w:bCs/>
          <w:szCs w:val="24"/>
        </w:rPr>
        <w:t xml:space="preserve">PBT and </w:t>
      </w:r>
      <w:r w:rsidR="000F6CB6" w:rsidRPr="00574CE9">
        <w:rPr>
          <w:rFonts w:asciiTheme="minorHAnsi" w:hAnsiTheme="minorHAnsi"/>
          <w:b/>
          <w:bCs/>
          <w:szCs w:val="24"/>
        </w:rPr>
        <w:t xml:space="preserve">Decreased Acute and Late Toxicities </w:t>
      </w:r>
    </w:p>
    <w:p w14:paraId="4B1D4518" w14:textId="0C26C506" w:rsidR="00AB5B11" w:rsidRPr="00574CE9" w:rsidRDefault="00E209AC" w:rsidP="4F491792">
      <w:pPr>
        <w:shd w:val="clear" w:color="auto" w:fill="FFFFFF" w:themeFill="background1"/>
        <w:rPr>
          <w:rFonts w:asciiTheme="minorHAnsi" w:hAnsiTheme="minorHAnsi"/>
        </w:rPr>
      </w:pPr>
      <w:r w:rsidRPr="00167F30">
        <w:rPr>
          <w:rFonts w:asciiTheme="minorHAnsi" w:hAnsiTheme="minorHAnsi"/>
        </w:rPr>
        <w:t>Because the precise targeting of PBT minimizes radiation exposure to healthy tissues, patients experience a reduction in short- and long-term side effects such as fatigue, nausea, skin reactions, and organ damage.</w:t>
      </w:r>
      <w:r w:rsidRPr="00167F30">
        <w:rPr>
          <w:vertAlign w:val="superscript"/>
        </w:rPr>
        <w:endnoteReference w:id="93"/>
      </w:r>
      <w:r w:rsidRPr="00167F30">
        <w:rPr>
          <w:rFonts w:asciiTheme="minorHAnsi" w:hAnsiTheme="minorHAnsi"/>
        </w:rPr>
        <w:t xml:space="preserve"> </w:t>
      </w:r>
      <w:r w:rsidR="00AB5B11" w:rsidRPr="00167F30">
        <w:rPr>
          <w:rFonts w:asciiTheme="minorHAnsi" w:hAnsiTheme="minorHAnsi"/>
        </w:rPr>
        <w:t>A study</w:t>
      </w:r>
      <w:r w:rsidR="00AB5B11" w:rsidRPr="4F491792">
        <w:rPr>
          <w:rFonts w:asciiTheme="minorHAnsi" w:hAnsiTheme="minorHAnsi"/>
        </w:rPr>
        <w:t xml:space="preserve"> </w:t>
      </w:r>
      <w:r w:rsidR="00976530" w:rsidRPr="4F491792">
        <w:rPr>
          <w:rFonts w:asciiTheme="minorHAnsi" w:hAnsiTheme="minorHAnsi"/>
        </w:rPr>
        <w:t xml:space="preserve">of </w:t>
      </w:r>
      <w:r w:rsidR="00AB5B11" w:rsidRPr="4F491792">
        <w:rPr>
          <w:rFonts w:asciiTheme="minorHAnsi" w:hAnsiTheme="minorHAnsi"/>
        </w:rPr>
        <w:t xml:space="preserve">48 pediatric patients with malignant brain tumors  found </w:t>
      </w:r>
      <w:r w:rsidR="00530846">
        <w:rPr>
          <w:rFonts w:asciiTheme="minorHAnsi" w:hAnsiTheme="minorHAnsi"/>
        </w:rPr>
        <w:t xml:space="preserve">patient </w:t>
      </w:r>
      <w:r w:rsidR="00530846">
        <w:rPr>
          <w:rFonts w:asciiTheme="minorHAnsi" w:hAnsiTheme="minorHAnsi"/>
        </w:rPr>
        <w:lastRenderedPageBreak/>
        <w:t xml:space="preserve">experience of </w:t>
      </w:r>
      <w:r w:rsidR="00AB5B11" w:rsidRPr="4F491792">
        <w:rPr>
          <w:rFonts w:asciiTheme="minorHAnsi" w:hAnsiTheme="minorHAnsi"/>
        </w:rPr>
        <w:t>acute toxicity</w:t>
      </w:r>
      <w:r w:rsidR="005125B4" w:rsidRPr="4F491792">
        <w:rPr>
          <w:rFonts w:asciiTheme="minorHAnsi" w:hAnsiTheme="minorHAnsi"/>
        </w:rPr>
        <w:t xml:space="preserve"> (fatigue, headache, insomnia, anorexia, nausea, vomiting, alopecia, and dermatitis)</w:t>
      </w:r>
      <w:r w:rsidR="00591378" w:rsidRPr="4F491792">
        <w:rPr>
          <w:rFonts w:asciiTheme="minorHAnsi" w:hAnsiTheme="minorHAnsi"/>
        </w:rPr>
        <w:t xml:space="preserve">, </w:t>
      </w:r>
      <w:r w:rsidR="00AB5B11" w:rsidRPr="4F491792">
        <w:rPr>
          <w:rFonts w:asciiTheme="minorHAnsi" w:hAnsiTheme="minorHAnsi"/>
        </w:rPr>
        <w:t>which can affect morbidity and quality of life, to be low-grade and manageable</w:t>
      </w:r>
      <w:r w:rsidR="00591378" w:rsidRPr="4F491792">
        <w:rPr>
          <w:rFonts w:asciiTheme="minorHAnsi" w:hAnsiTheme="minorHAnsi"/>
        </w:rPr>
        <w:t xml:space="preserve"> with PBT</w:t>
      </w:r>
      <w:r w:rsidR="00AB5B11" w:rsidRPr="4F491792">
        <w:rPr>
          <w:rFonts w:asciiTheme="minorHAnsi" w:hAnsiTheme="minorHAnsi"/>
        </w:rPr>
        <w:t>.</w:t>
      </w:r>
      <w:r w:rsidR="00AB5B11" w:rsidRPr="00AB5B11">
        <w:rPr>
          <w:vertAlign w:val="superscript"/>
        </w:rPr>
        <w:endnoteReference w:id="94"/>
      </w:r>
      <w:r w:rsidR="00AB5B11" w:rsidRPr="4F491792">
        <w:rPr>
          <w:rFonts w:asciiTheme="minorHAnsi" w:hAnsiTheme="minorHAnsi"/>
        </w:rPr>
        <w:t xml:space="preserve"> </w:t>
      </w:r>
    </w:p>
    <w:p w14:paraId="48E81381" w14:textId="77777777" w:rsidR="00580F43" w:rsidRDefault="00580F43" w:rsidP="00391358">
      <w:pPr>
        <w:rPr>
          <w:b/>
          <w:bCs/>
        </w:rPr>
      </w:pPr>
    </w:p>
    <w:p w14:paraId="407B95EC" w14:textId="42B58625" w:rsidR="00391358" w:rsidRPr="00574CE9" w:rsidRDefault="00391358" w:rsidP="00391358">
      <w:pPr>
        <w:rPr>
          <w:b/>
          <w:bCs/>
        </w:rPr>
      </w:pPr>
      <w:r w:rsidRPr="00574CE9">
        <w:rPr>
          <w:b/>
          <w:bCs/>
        </w:rPr>
        <w:t>PBT for Patient</w:t>
      </w:r>
      <w:r w:rsidR="002C4A68" w:rsidRPr="00574CE9">
        <w:rPr>
          <w:b/>
          <w:bCs/>
        </w:rPr>
        <w:t>s</w:t>
      </w:r>
      <w:r w:rsidRPr="00574CE9">
        <w:rPr>
          <w:b/>
          <w:bCs/>
        </w:rPr>
        <w:t xml:space="preserve"> Requiring Irradiation</w:t>
      </w:r>
    </w:p>
    <w:p w14:paraId="2738CDCD" w14:textId="1B5D942C" w:rsidR="00391358" w:rsidRDefault="00391358" w:rsidP="00466260">
      <w:pPr>
        <w:rPr>
          <w:vertAlign w:val="superscript"/>
        </w:rPr>
      </w:pPr>
      <w:r>
        <w:t xml:space="preserve">PBT is also beneficial for oncology patients requiring re-irradiation, which entails </w:t>
      </w:r>
      <w:r w:rsidRPr="00DF3BFD">
        <w:t>retreating a site with radiation</w:t>
      </w:r>
      <w:r>
        <w:t xml:space="preserve">. </w:t>
      </w:r>
      <w:r w:rsidR="006930CC">
        <w:t>O</w:t>
      </w:r>
      <w:r>
        <w:t xml:space="preserve">rgans can only tolerate a certain amount of radiation exposure over time, and radiation levels beyond this threshold can damage healthy tissues and result in organ dysfunction. </w:t>
      </w:r>
      <w:r w:rsidR="00466260" w:rsidRPr="00466260">
        <w:t>The likelihood of developing RT-associated toxicity is dependent on the dose of radiation used, younger age at exposure, and volume of tissue irradiated.</w:t>
      </w:r>
      <w:r w:rsidR="00466260" w:rsidRPr="00466260">
        <w:rPr>
          <w:vertAlign w:val="superscript"/>
        </w:rPr>
        <w:endnoteReference w:id="95"/>
      </w:r>
      <w:r w:rsidR="00466260" w:rsidRPr="00466260">
        <w:t xml:space="preserve"> </w:t>
      </w:r>
      <w:r w:rsidR="00E320D1">
        <w:t>PBT</w:t>
      </w:r>
      <w:r>
        <w:t xml:space="preserve"> can be beneficial for patients </w:t>
      </w:r>
      <w:r w:rsidRPr="006D0B76">
        <w:t xml:space="preserve">who develop local or regional recurrences or new primary malignancies within the field of a previous </w:t>
      </w:r>
      <w:r w:rsidR="00DC7896">
        <w:t>RT</w:t>
      </w:r>
      <w:r w:rsidRPr="006D0B76">
        <w:t xml:space="preserve"> treatment course </w:t>
      </w:r>
      <w:r>
        <w:t>because of its ability to control disease, and reduce toxicity compared to</w:t>
      </w:r>
      <w:r w:rsidR="00BA2513">
        <w:t xml:space="preserve"> photon-based RT</w:t>
      </w:r>
      <w:r>
        <w:t>, and because of its ability to offer a safer and more effective course of reirradiation.</w:t>
      </w:r>
      <w:r>
        <w:rPr>
          <w:rStyle w:val="EndnoteReference"/>
        </w:rPr>
        <w:endnoteReference w:id="96"/>
      </w:r>
      <w:r>
        <w:t xml:space="preserve"> Studies state that reirradiation is a well-established treatment option in the multidisciplinary management of head and neck cancers, w</w:t>
      </w:r>
      <w:r w:rsidR="006B1EB7">
        <w:t>here</w:t>
      </w:r>
      <w:r>
        <w:t xml:space="preserve"> an estimated </w:t>
      </w:r>
      <w:r w:rsidRPr="00896102">
        <w:t>40% of patients develop a second cancer or locoregional recurrence</w:t>
      </w:r>
      <w:r w:rsidRPr="00FF63C8">
        <w:t>.</w:t>
      </w:r>
      <w:r>
        <w:rPr>
          <w:rStyle w:val="EndnoteReference"/>
        </w:rPr>
        <w:endnoteReference w:id="97"/>
      </w:r>
      <w:r w:rsidRPr="00466260">
        <w:rPr>
          <w:vertAlign w:val="superscript"/>
        </w:rPr>
        <w:t>,</w:t>
      </w:r>
      <w:r>
        <w:rPr>
          <w:rStyle w:val="EndnoteReference"/>
        </w:rPr>
        <w:endnoteReference w:id="98"/>
      </w:r>
    </w:p>
    <w:p w14:paraId="69C1EC31" w14:textId="77777777" w:rsidR="00976530" w:rsidRDefault="00976530" w:rsidP="00466260">
      <w:pPr>
        <w:rPr>
          <w:vertAlign w:val="superscript"/>
        </w:rPr>
      </w:pPr>
    </w:p>
    <w:p w14:paraId="7445598E" w14:textId="77777777" w:rsidR="00D02DFA" w:rsidRDefault="00D02DFA" w:rsidP="00466260">
      <w:pPr>
        <w:rPr>
          <w:vertAlign w:val="superscript"/>
        </w:rPr>
      </w:pPr>
    </w:p>
    <w:p w14:paraId="35A7072D" w14:textId="2A06D7DA" w:rsidR="00DB468C" w:rsidRPr="00574CE9" w:rsidRDefault="00DC0A1D" w:rsidP="00DB468C">
      <w:pPr>
        <w:rPr>
          <w:rFonts w:asciiTheme="minorHAnsi" w:hAnsiTheme="minorHAnsi"/>
          <w:b/>
          <w:bCs/>
          <w:szCs w:val="24"/>
        </w:rPr>
      </w:pPr>
      <w:r w:rsidRPr="00574CE9">
        <w:rPr>
          <w:rFonts w:asciiTheme="minorHAnsi" w:hAnsiTheme="minorHAnsi"/>
          <w:b/>
          <w:bCs/>
          <w:szCs w:val="24"/>
        </w:rPr>
        <w:t xml:space="preserve">PBT and </w:t>
      </w:r>
      <w:r w:rsidR="00DB468C" w:rsidRPr="00574CE9">
        <w:rPr>
          <w:rFonts w:asciiTheme="minorHAnsi" w:hAnsiTheme="minorHAnsi"/>
          <w:b/>
          <w:bCs/>
          <w:szCs w:val="24"/>
        </w:rPr>
        <w:t>Improved Quality of Life</w:t>
      </w:r>
    </w:p>
    <w:p w14:paraId="464E0B8A" w14:textId="168099CC" w:rsidR="00DB468C" w:rsidRPr="00574CE9" w:rsidRDefault="00977BDD" w:rsidP="003F4630">
      <w:pPr>
        <w:pStyle w:val="BodyText"/>
        <w:rPr>
          <w:rFonts w:asciiTheme="minorHAnsi" w:hAnsiTheme="minorHAnsi"/>
        </w:rPr>
      </w:pPr>
      <w:r w:rsidRPr="00977BDD">
        <w:t>RT increases risk for chronic conditions like heart disease, pulmonary fibrosis, and cognitive impairments.</w:t>
      </w:r>
      <w:r w:rsidR="003F4630">
        <w:t xml:space="preserve"> </w:t>
      </w:r>
      <w:r w:rsidR="00DB468C" w:rsidRPr="00167F30">
        <w:rPr>
          <w:rFonts w:asciiTheme="minorHAnsi" w:hAnsiTheme="minorHAnsi"/>
        </w:rPr>
        <w:t xml:space="preserve">By reducing side effects and complications, PBT allows patients to maintain their daily activities and overall well-being throughout the course of </w:t>
      </w:r>
      <w:r w:rsidR="00361BB9" w:rsidRPr="00167F30">
        <w:rPr>
          <w:rFonts w:asciiTheme="minorHAnsi" w:hAnsiTheme="minorHAnsi"/>
        </w:rPr>
        <w:t>treatment,</w:t>
      </w:r>
      <w:r w:rsidR="00DB468C" w:rsidRPr="00167F30">
        <w:rPr>
          <w:rFonts w:asciiTheme="minorHAnsi" w:hAnsiTheme="minorHAnsi"/>
        </w:rPr>
        <w:t xml:space="preserve"> which can lead to faster recovery times and a quicker return to normal life.</w:t>
      </w:r>
      <w:r w:rsidR="00DB468C" w:rsidRPr="00167F30">
        <w:rPr>
          <w:rFonts w:asciiTheme="minorHAnsi" w:hAnsiTheme="minorHAnsi"/>
          <w:vertAlign w:val="superscript"/>
        </w:rPr>
        <w:endnoteReference w:id="99"/>
      </w:r>
      <w:r w:rsidR="003F4630" w:rsidRPr="00167F30">
        <w:rPr>
          <w:rFonts w:asciiTheme="minorHAnsi" w:hAnsiTheme="minorHAnsi"/>
        </w:rPr>
        <w:t xml:space="preserve"> </w:t>
      </w:r>
      <w:r w:rsidR="00EC351E" w:rsidRPr="00167F30">
        <w:rPr>
          <w:rFonts w:asciiTheme="minorHAnsi" w:hAnsiTheme="minorHAnsi"/>
        </w:rPr>
        <w:t>Patient</w:t>
      </w:r>
      <w:r w:rsidR="00CD1BBC" w:rsidRPr="00167F30">
        <w:rPr>
          <w:rFonts w:asciiTheme="minorHAnsi" w:hAnsiTheme="minorHAnsi"/>
        </w:rPr>
        <w:t>s</w:t>
      </w:r>
      <w:r w:rsidR="00EC351E">
        <w:rPr>
          <w:rFonts w:asciiTheme="minorHAnsi" w:hAnsiTheme="minorHAnsi"/>
        </w:rPr>
        <w:t xml:space="preserve"> treated for </w:t>
      </w:r>
      <w:r w:rsidR="00EC351E" w:rsidRPr="00EC351E">
        <w:rPr>
          <w:rFonts w:asciiTheme="minorHAnsi" w:hAnsiTheme="minorHAnsi"/>
        </w:rPr>
        <w:t>oropharyngeal cancer</w:t>
      </w:r>
      <w:r w:rsidR="00EC351E">
        <w:rPr>
          <w:rFonts w:asciiTheme="minorHAnsi" w:hAnsiTheme="minorHAnsi"/>
        </w:rPr>
        <w:t xml:space="preserve"> often experience</w:t>
      </w:r>
      <w:r w:rsidR="006C37D2">
        <w:rPr>
          <w:rFonts w:asciiTheme="minorHAnsi" w:hAnsiTheme="minorHAnsi"/>
        </w:rPr>
        <w:t xml:space="preserve"> work disability and impairment during and after </w:t>
      </w:r>
      <w:r w:rsidR="00DC2AA9">
        <w:rPr>
          <w:rFonts w:asciiTheme="minorHAnsi" w:hAnsiTheme="minorHAnsi"/>
        </w:rPr>
        <w:t xml:space="preserve">RT </w:t>
      </w:r>
      <w:r w:rsidR="006C37D2">
        <w:rPr>
          <w:rFonts w:asciiTheme="minorHAnsi" w:hAnsiTheme="minorHAnsi"/>
        </w:rPr>
        <w:t xml:space="preserve">treatment. </w:t>
      </w:r>
      <w:r w:rsidR="00250F16">
        <w:rPr>
          <w:rFonts w:asciiTheme="minorHAnsi" w:hAnsiTheme="minorHAnsi"/>
        </w:rPr>
        <w:t xml:space="preserve">Staff point to </w:t>
      </w:r>
      <w:r w:rsidR="00BB01F3">
        <w:rPr>
          <w:rFonts w:asciiTheme="minorHAnsi" w:hAnsiTheme="minorHAnsi"/>
        </w:rPr>
        <w:t>a</w:t>
      </w:r>
      <w:r w:rsidR="006C37D2">
        <w:rPr>
          <w:rFonts w:asciiTheme="minorHAnsi" w:hAnsiTheme="minorHAnsi"/>
        </w:rPr>
        <w:t xml:space="preserve"> study of</w:t>
      </w:r>
      <w:r w:rsidR="00EC351E" w:rsidRPr="00EC351E">
        <w:rPr>
          <w:rFonts w:asciiTheme="minorHAnsi" w:hAnsiTheme="minorHAnsi"/>
        </w:rPr>
        <w:t xml:space="preserve"> </w:t>
      </w:r>
      <w:r w:rsidR="006C37D2">
        <w:rPr>
          <w:rFonts w:asciiTheme="minorHAnsi" w:hAnsiTheme="minorHAnsi"/>
        </w:rPr>
        <w:t>p</w:t>
      </w:r>
      <w:r w:rsidR="00BA02C9">
        <w:rPr>
          <w:rFonts w:asciiTheme="minorHAnsi" w:hAnsiTheme="minorHAnsi"/>
        </w:rPr>
        <w:t>atient</w:t>
      </w:r>
      <w:r w:rsidR="001A77DA">
        <w:rPr>
          <w:rFonts w:asciiTheme="minorHAnsi" w:hAnsiTheme="minorHAnsi"/>
        </w:rPr>
        <w:t>s</w:t>
      </w:r>
      <w:r w:rsidR="00BA02C9">
        <w:rPr>
          <w:rFonts w:asciiTheme="minorHAnsi" w:hAnsiTheme="minorHAnsi"/>
        </w:rPr>
        <w:t xml:space="preserve"> with </w:t>
      </w:r>
      <w:r w:rsidR="00BA02C9" w:rsidRPr="00BA02C9">
        <w:rPr>
          <w:rFonts w:asciiTheme="minorHAnsi" w:hAnsiTheme="minorHAnsi"/>
        </w:rPr>
        <w:t xml:space="preserve">oropharyngeal cancer </w:t>
      </w:r>
      <w:r w:rsidR="00BA02C9">
        <w:rPr>
          <w:rFonts w:asciiTheme="minorHAnsi" w:hAnsiTheme="minorHAnsi"/>
        </w:rPr>
        <w:t>treated with</w:t>
      </w:r>
      <w:r w:rsidR="00ED6FA4">
        <w:rPr>
          <w:rFonts w:asciiTheme="minorHAnsi" w:hAnsiTheme="minorHAnsi"/>
        </w:rPr>
        <w:t xml:space="preserve"> either</w:t>
      </w:r>
      <w:r w:rsidR="00BA02C9">
        <w:rPr>
          <w:rFonts w:asciiTheme="minorHAnsi" w:hAnsiTheme="minorHAnsi"/>
        </w:rPr>
        <w:t xml:space="preserve"> </w:t>
      </w:r>
      <w:r w:rsidR="00ED6FA4" w:rsidRPr="00ED6FA4">
        <w:rPr>
          <w:rFonts w:asciiTheme="minorHAnsi" w:hAnsiTheme="minorHAnsi"/>
        </w:rPr>
        <w:t>proton therapy</w:t>
      </w:r>
      <w:r w:rsidR="00CD1BBC">
        <w:rPr>
          <w:rFonts w:asciiTheme="minorHAnsi" w:hAnsiTheme="minorHAnsi"/>
        </w:rPr>
        <w:t xml:space="preserve"> (IMPT)</w:t>
      </w:r>
      <w:r w:rsidR="00A6465E">
        <w:rPr>
          <w:rStyle w:val="FootnoteReference"/>
          <w:rFonts w:asciiTheme="minorHAnsi" w:hAnsiTheme="minorHAnsi"/>
        </w:rPr>
        <w:footnoteReference w:id="62"/>
      </w:r>
      <w:r w:rsidR="00ED6FA4">
        <w:rPr>
          <w:rFonts w:asciiTheme="minorHAnsi" w:hAnsiTheme="minorHAnsi"/>
        </w:rPr>
        <w:t xml:space="preserve"> or </w:t>
      </w:r>
      <w:r w:rsidR="00196965" w:rsidRPr="00196965">
        <w:rPr>
          <w:rFonts w:asciiTheme="minorHAnsi" w:hAnsiTheme="minorHAnsi"/>
        </w:rPr>
        <w:t>photon therapy</w:t>
      </w:r>
      <w:r w:rsidR="00DC2AA9">
        <w:rPr>
          <w:rFonts w:asciiTheme="minorHAnsi" w:hAnsiTheme="minorHAnsi"/>
        </w:rPr>
        <w:t xml:space="preserve"> (IM</w:t>
      </w:r>
      <w:r w:rsidR="00B85F49">
        <w:rPr>
          <w:rFonts w:asciiTheme="minorHAnsi" w:hAnsiTheme="minorHAnsi"/>
        </w:rPr>
        <w:t>R</w:t>
      </w:r>
      <w:r w:rsidR="00DC2AA9">
        <w:rPr>
          <w:rFonts w:asciiTheme="minorHAnsi" w:hAnsiTheme="minorHAnsi"/>
        </w:rPr>
        <w:t>T)</w:t>
      </w:r>
      <w:r w:rsidR="00A6465E">
        <w:rPr>
          <w:rStyle w:val="FootnoteReference"/>
          <w:rFonts w:asciiTheme="minorHAnsi" w:hAnsiTheme="minorHAnsi"/>
        </w:rPr>
        <w:footnoteReference w:id="63"/>
      </w:r>
      <w:r w:rsidR="00196965">
        <w:rPr>
          <w:rFonts w:asciiTheme="minorHAnsi" w:hAnsiTheme="minorHAnsi"/>
        </w:rPr>
        <w:t>,</w:t>
      </w:r>
      <w:r w:rsidR="00BB01F3">
        <w:rPr>
          <w:rFonts w:asciiTheme="minorHAnsi" w:hAnsiTheme="minorHAnsi"/>
        </w:rPr>
        <w:t xml:space="preserve"> </w:t>
      </w:r>
      <w:r w:rsidR="00765C55">
        <w:rPr>
          <w:rFonts w:asciiTheme="minorHAnsi" w:hAnsiTheme="minorHAnsi"/>
        </w:rPr>
        <w:t xml:space="preserve">where </w:t>
      </w:r>
      <w:r w:rsidR="006C37D2">
        <w:rPr>
          <w:rFonts w:asciiTheme="minorHAnsi" w:hAnsiTheme="minorHAnsi"/>
        </w:rPr>
        <w:t xml:space="preserve">patients treated with </w:t>
      </w:r>
      <w:r w:rsidR="00EB383F">
        <w:rPr>
          <w:rFonts w:asciiTheme="minorHAnsi" w:hAnsiTheme="minorHAnsi"/>
        </w:rPr>
        <w:t>protons</w:t>
      </w:r>
      <w:r w:rsidR="00196965">
        <w:rPr>
          <w:rFonts w:asciiTheme="minorHAnsi" w:hAnsiTheme="minorHAnsi"/>
        </w:rPr>
        <w:t xml:space="preserve"> </w:t>
      </w:r>
      <w:r w:rsidR="00BB01F3">
        <w:rPr>
          <w:rFonts w:asciiTheme="minorHAnsi" w:hAnsiTheme="minorHAnsi"/>
        </w:rPr>
        <w:t xml:space="preserve">showed </w:t>
      </w:r>
      <w:r w:rsidR="001C031F">
        <w:rPr>
          <w:rFonts w:asciiTheme="minorHAnsi" w:hAnsiTheme="minorHAnsi"/>
        </w:rPr>
        <w:t>increased return to work</w:t>
      </w:r>
      <w:r w:rsidR="005626AD">
        <w:rPr>
          <w:rFonts w:asciiTheme="minorHAnsi" w:hAnsiTheme="minorHAnsi"/>
        </w:rPr>
        <w:t xml:space="preserve"> and greater work productivity</w:t>
      </w:r>
      <w:r w:rsidR="00BA02C9">
        <w:rPr>
          <w:rFonts w:asciiTheme="minorHAnsi" w:hAnsiTheme="minorHAnsi"/>
        </w:rPr>
        <w:t xml:space="preserve"> </w:t>
      </w:r>
      <w:r w:rsidR="00CC606C">
        <w:rPr>
          <w:rFonts w:asciiTheme="minorHAnsi" w:hAnsiTheme="minorHAnsi"/>
        </w:rPr>
        <w:t>than</w:t>
      </w:r>
      <w:r w:rsidR="001A77DA">
        <w:rPr>
          <w:rFonts w:asciiTheme="minorHAnsi" w:hAnsiTheme="minorHAnsi"/>
        </w:rPr>
        <w:t xml:space="preserve"> patients</w:t>
      </w:r>
      <w:r w:rsidR="00BA02C9">
        <w:rPr>
          <w:rFonts w:asciiTheme="minorHAnsi" w:hAnsiTheme="minorHAnsi"/>
        </w:rPr>
        <w:t xml:space="preserve"> treated with</w:t>
      </w:r>
      <w:r w:rsidR="00543568">
        <w:rPr>
          <w:rFonts w:asciiTheme="minorHAnsi" w:hAnsiTheme="minorHAnsi"/>
        </w:rPr>
        <w:t xml:space="preserve"> </w:t>
      </w:r>
      <w:r w:rsidR="00EB383F">
        <w:rPr>
          <w:rFonts w:asciiTheme="minorHAnsi" w:hAnsiTheme="minorHAnsi"/>
        </w:rPr>
        <w:t>photons</w:t>
      </w:r>
      <w:r w:rsidR="00BA02C9">
        <w:rPr>
          <w:rFonts w:asciiTheme="minorHAnsi" w:hAnsiTheme="minorHAnsi"/>
        </w:rPr>
        <w:t>.</w:t>
      </w:r>
      <w:r w:rsidR="001F236F">
        <w:rPr>
          <w:rStyle w:val="EndnoteReference"/>
          <w:rFonts w:asciiTheme="minorHAnsi" w:hAnsiTheme="minorHAnsi"/>
        </w:rPr>
        <w:endnoteReference w:id="100"/>
      </w:r>
      <w:r w:rsidR="00BA02C9">
        <w:rPr>
          <w:rFonts w:asciiTheme="minorHAnsi" w:hAnsiTheme="minorHAnsi"/>
        </w:rPr>
        <w:t xml:space="preserve"> </w:t>
      </w:r>
      <w:r w:rsidR="005C4C23">
        <w:rPr>
          <w:rFonts w:asciiTheme="minorHAnsi" w:hAnsiTheme="minorHAnsi"/>
        </w:rPr>
        <w:t xml:space="preserve">Pediatric brain tumor survivors </w:t>
      </w:r>
      <w:r w:rsidR="00E45B73">
        <w:rPr>
          <w:rFonts w:asciiTheme="minorHAnsi" w:hAnsiTheme="minorHAnsi"/>
        </w:rPr>
        <w:t xml:space="preserve">treated with RT </w:t>
      </w:r>
      <w:r w:rsidR="00D578EC">
        <w:rPr>
          <w:rFonts w:asciiTheme="minorHAnsi" w:hAnsiTheme="minorHAnsi"/>
        </w:rPr>
        <w:t>are at risk for</w:t>
      </w:r>
      <w:r w:rsidR="0027189E">
        <w:rPr>
          <w:rFonts w:asciiTheme="minorHAnsi" w:hAnsiTheme="minorHAnsi"/>
        </w:rPr>
        <w:t xml:space="preserve"> decreased</w:t>
      </w:r>
      <w:r w:rsidR="00D578EC">
        <w:rPr>
          <w:rFonts w:asciiTheme="minorHAnsi" w:hAnsiTheme="minorHAnsi"/>
        </w:rPr>
        <w:t xml:space="preserve"> </w:t>
      </w:r>
      <w:r w:rsidR="001F236F" w:rsidRPr="001F236F">
        <w:rPr>
          <w:rFonts w:asciiTheme="minorHAnsi" w:hAnsiTheme="minorHAnsi"/>
        </w:rPr>
        <w:t>Health-Related Quality of Life (HRQoL)</w:t>
      </w:r>
      <w:r w:rsidR="00AD5C91">
        <w:rPr>
          <w:rFonts w:asciiTheme="minorHAnsi" w:hAnsiTheme="minorHAnsi"/>
        </w:rPr>
        <w:t xml:space="preserve"> due to the </w:t>
      </w:r>
      <w:r w:rsidR="00E45B73">
        <w:rPr>
          <w:rFonts w:asciiTheme="minorHAnsi" w:hAnsiTheme="minorHAnsi"/>
        </w:rPr>
        <w:t>late</w:t>
      </w:r>
      <w:r w:rsidR="00AD5C91">
        <w:rPr>
          <w:rFonts w:asciiTheme="minorHAnsi" w:hAnsiTheme="minorHAnsi"/>
        </w:rPr>
        <w:t xml:space="preserve"> effects of </w:t>
      </w:r>
      <w:r w:rsidR="00E45B73">
        <w:rPr>
          <w:rFonts w:asciiTheme="minorHAnsi" w:hAnsiTheme="minorHAnsi"/>
        </w:rPr>
        <w:t xml:space="preserve">RT </w:t>
      </w:r>
      <w:r w:rsidR="00AD5C91">
        <w:rPr>
          <w:rFonts w:asciiTheme="minorHAnsi" w:hAnsiTheme="minorHAnsi"/>
        </w:rPr>
        <w:t>treatment</w:t>
      </w:r>
      <w:r w:rsidR="00E45B73">
        <w:rPr>
          <w:rFonts w:asciiTheme="minorHAnsi" w:hAnsiTheme="minorHAnsi"/>
        </w:rPr>
        <w:t xml:space="preserve">. </w:t>
      </w:r>
      <w:r w:rsidR="007C60F6">
        <w:rPr>
          <w:rFonts w:asciiTheme="minorHAnsi" w:hAnsiTheme="minorHAnsi"/>
        </w:rPr>
        <w:t>Studies</w:t>
      </w:r>
      <w:r w:rsidR="00DB468C" w:rsidRPr="00574CE9">
        <w:rPr>
          <w:rFonts w:asciiTheme="minorHAnsi" w:hAnsiTheme="minorHAnsi"/>
        </w:rPr>
        <w:t xml:space="preserve"> comparing HRQoL outcomes in pediatric brain tumor patients treated with photons and protons found better HRQoL outcomes in </w:t>
      </w:r>
      <w:r w:rsidR="00973B31">
        <w:rPr>
          <w:rFonts w:asciiTheme="minorHAnsi" w:hAnsiTheme="minorHAnsi"/>
        </w:rPr>
        <w:t>pediatric patients</w:t>
      </w:r>
      <w:r w:rsidR="00DB468C" w:rsidRPr="00574CE9">
        <w:rPr>
          <w:rFonts w:asciiTheme="minorHAnsi" w:hAnsiTheme="minorHAnsi"/>
        </w:rPr>
        <w:t xml:space="preserve"> treated with protons</w:t>
      </w:r>
      <w:r w:rsidR="008556FC">
        <w:rPr>
          <w:rFonts w:asciiTheme="minorHAnsi" w:hAnsiTheme="minorHAnsi"/>
        </w:rPr>
        <w:t>.</w:t>
      </w:r>
      <w:r w:rsidR="00DB468C">
        <w:rPr>
          <w:rStyle w:val="EndnoteReference"/>
          <w:rFonts w:asciiTheme="minorHAnsi" w:hAnsiTheme="minorHAnsi"/>
        </w:rPr>
        <w:endnoteReference w:id="101"/>
      </w:r>
      <w:r w:rsidR="00DB468C" w:rsidRPr="00574CE9">
        <w:rPr>
          <w:rFonts w:asciiTheme="minorHAnsi" w:hAnsiTheme="minorHAnsi"/>
        </w:rPr>
        <w:t xml:space="preserve"> </w:t>
      </w:r>
    </w:p>
    <w:p w14:paraId="3B1D766A" w14:textId="77777777" w:rsidR="00DB468C" w:rsidRDefault="00DB468C" w:rsidP="00DB468C">
      <w:pPr>
        <w:rPr>
          <w:rFonts w:asciiTheme="minorHAnsi" w:hAnsiTheme="minorHAnsi"/>
          <w:szCs w:val="24"/>
        </w:rPr>
      </w:pPr>
    </w:p>
    <w:p w14:paraId="018064C8" w14:textId="5D84A30E" w:rsidR="00DB468C" w:rsidRDefault="00A960A3" w:rsidP="00932E5D">
      <w:pPr>
        <w:rPr>
          <w:rFonts w:asciiTheme="minorHAnsi" w:hAnsiTheme="minorHAnsi"/>
        </w:rPr>
      </w:pPr>
      <w:r w:rsidRPr="3E5D847A">
        <w:rPr>
          <w:rFonts w:asciiTheme="minorHAnsi" w:hAnsiTheme="minorHAnsi"/>
        </w:rPr>
        <w:t xml:space="preserve">Paris Prinsen, a two-time cancer survivor and current patient at </w:t>
      </w:r>
      <w:r w:rsidR="007900F9" w:rsidRPr="3E5D847A">
        <w:rPr>
          <w:rFonts w:asciiTheme="minorHAnsi" w:hAnsiTheme="minorHAnsi"/>
        </w:rPr>
        <w:t>DFCI</w:t>
      </w:r>
      <w:r w:rsidRPr="3E5D847A">
        <w:rPr>
          <w:rFonts w:asciiTheme="minorHAnsi" w:hAnsiTheme="minorHAnsi"/>
        </w:rPr>
        <w:t xml:space="preserve">, provided written comment that addressed the quality of life issues that </w:t>
      </w:r>
      <w:r w:rsidR="007936C5" w:rsidRPr="3E5D847A">
        <w:rPr>
          <w:rFonts w:asciiTheme="minorHAnsi" w:hAnsiTheme="minorHAnsi"/>
        </w:rPr>
        <w:t xml:space="preserve">can </w:t>
      </w:r>
      <w:r w:rsidRPr="3E5D847A">
        <w:rPr>
          <w:rFonts w:asciiTheme="minorHAnsi" w:hAnsiTheme="minorHAnsi"/>
        </w:rPr>
        <w:t>arise wit</w:t>
      </w:r>
      <w:r w:rsidR="007936C5" w:rsidRPr="3E5D847A">
        <w:rPr>
          <w:rFonts w:asciiTheme="minorHAnsi" w:hAnsiTheme="minorHAnsi"/>
        </w:rPr>
        <w:t xml:space="preserve">h </w:t>
      </w:r>
      <w:r w:rsidR="00311849" w:rsidRPr="3E5D847A">
        <w:rPr>
          <w:rFonts w:asciiTheme="minorHAnsi" w:hAnsiTheme="minorHAnsi"/>
        </w:rPr>
        <w:t xml:space="preserve">traditional </w:t>
      </w:r>
      <w:r w:rsidR="007936C5" w:rsidRPr="3E5D847A">
        <w:rPr>
          <w:rFonts w:asciiTheme="minorHAnsi" w:hAnsiTheme="minorHAnsi"/>
        </w:rPr>
        <w:t>RT:</w:t>
      </w:r>
      <w:r w:rsidRPr="3E5D847A">
        <w:rPr>
          <w:rFonts w:asciiTheme="minorHAnsi" w:hAnsiTheme="minorHAnsi"/>
        </w:rPr>
        <w:t xml:space="preserve"> “</w:t>
      </w:r>
      <w:r w:rsidRPr="3E5D847A">
        <w:rPr>
          <w:rFonts w:asciiTheme="minorHAnsi" w:hAnsiTheme="minorHAnsi"/>
          <w:i/>
        </w:rPr>
        <w:t>While my treatment saved my life, I continue to live with significant long-term health effects related to radiation exposure. These include pituitary dysfunction, secondary benign growths, and damage to other organs. These late effects require ongoing medical care and have a lasting impact on my quality of life</w:t>
      </w:r>
      <w:r w:rsidR="0065144B" w:rsidRPr="3E5D847A">
        <w:rPr>
          <w:rFonts w:asciiTheme="minorHAnsi" w:hAnsiTheme="minorHAnsi"/>
          <w:i/>
        </w:rPr>
        <w:t>…Access to this technology [</w:t>
      </w:r>
      <w:r w:rsidR="00AF2578" w:rsidRPr="3E5D847A">
        <w:rPr>
          <w:rFonts w:asciiTheme="minorHAnsi" w:hAnsiTheme="minorHAnsi"/>
          <w:i/>
        </w:rPr>
        <w:t>PBT</w:t>
      </w:r>
      <w:r w:rsidR="0065144B" w:rsidRPr="3E5D847A">
        <w:rPr>
          <w:rFonts w:asciiTheme="minorHAnsi" w:hAnsiTheme="minorHAnsi"/>
          <w:i/>
        </w:rPr>
        <w:t>] could help future patients avoid or lessen many of the long-term complications that survivors li</w:t>
      </w:r>
      <w:r w:rsidR="00291BE3">
        <w:rPr>
          <w:rFonts w:asciiTheme="minorHAnsi" w:hAnsiTheme="minorHAnsi"/>
          <w:i/>
        </w:rPr>
        <w:t>k</w:t>
      </w:r>
      <w:r w:rsidR="0065144B" w:rsidRPr="3E5D847A">
        <w:rPr>
          <w:rFonts w:asciiTheme="minorHAnsi" w:hAnsiTheme="minorHAnsi"/>
          <w:i/>
        </w:rPr>
        <w:t>e myself now face, particularly pediatric and you</w:t>
      </w:r>
      <w:r w:rsidR="00291BE3">
        <w:rPr>
          <w:rFonts w:asciiTheme="minorHAnsi" w:hAnsiTheme="minorHAnsi"/>
          <w:i/>
        </w:rPr>
        <w:t>ng</w:t>
      </w:r>
      <w:r w:rsidR="0065144B" w:rsidRPr="3E5D847A">
        <w:rPr>
          <w:rFonts w:asciiTheme="minorHAnsi" w:hAnsiTheme="minorHAnsi"/>
          <w:i/>
        </w:rPr>
        <w:t xml:space="preserve"> adult patients who have decades of life ahead of them.</w:t>
      </w:r>
      <w:r w:rsidRPr="3E5D847A">
        <w:rPr>
          <w:rFonts w:asciiTheme="minorHAnsi" w:hAnsiTheme="minorHAnsi"/>
        </w:rPr>
        <w:t>”</w:t>
      </w:r>
    </w:p>
    <w:p w14:paraId="52CB58AE" w14:textId="77777777" w:rsidR="002740FB" w:rsidRDefault="002740FB" w:rsidP="00932E5D">
      <w:pPr>
        <w:rPr>
          <w:rFonts w:asciiTheme="minorHAnsi" w:hAnsiTheme="minorHAnsi"/>
          <w:b/>
          <w:bCs/>
          <w:i/>
          <w:iCs/>
          <w:szCs w:val="24"/>
        </w:rPr>
      </w:pPr>
    </w:p>
    <w:p w14:paraId="0560DC44" w14:textId="648FD5A0" w:rsidR="00466260" w:rsidRPr="00082FDB" w:rsidRDefault="00466260" w:rsidP="00932E5D">
      <w:pPr>
        <w:rPr>
          <w:rFonts w:asciiTheme="minorHAnsi" w:hAnsiTheme="minorHAnsi"/>
          <w:i/>
          <w:iCs/>
          <w:szCs w:val="24"/>
        </w:rPr>
      </w:pPr>
      <w:r w:rsidRPr="00082FDB">
        <w:rPr>
          <w:rFonts w:asciiTheme="minorHAnsi" w:hAnsiTheme="minorHAnsi"/>
          <w:i/>
          <w:iCs/>
          <w:szCs w:val="24"/>
        </w:rPr>
        <w:t>Measures for Reporting</w:t>
      </w:r>
    </w:p>
    <w:p w14:paraId="0C3CD027" w14:textId="36863E3A" w:rsidR="002740FB" w:rsidRPr="003679E7" w:rsidRDefault="00CD1C92" w:rsidP="00932E5D">
      <w:pPr>
        <w:rPr>
          <w:rFonts w:asciiTheme="minorHAnsi" w:hAnsiTheme="minorHAnsi"/>
        </w:rPr>
      </w:pPr>
      <w:r w:rsidRPr="3E5D847A">
        <w:rPr>
          <w:rFonts w:asciiTheme="minorHAnsi" w:hAnsiTheme="minorHAnsi"/>
        </w:rPr>
        <w:t>T</w:t>
      </w:r>
      <w:r w:rsidR="00E85F32" w:rsidRPr="3E5D847A">
        <w:rPr>
          <w:rFonts w:asciiTheme="minorHAnsi" w:hAnsiTheme="minorHAnsi"/>
        </w:rPr>
        <w:t xml:space="preserve">he Applicant proposed </w:t>
      </w:r>
      <w:r w:rsidR="000454DB" w:rsidRPr="3E5D847A">
        <w:rPr>
          <w:rFonts w:asciiTheme="minorHAnsi" w:hAnsiTheme="minorHAnsi"/>
        </w:rPr>
        <w:t xml:space="preserve">measures to </w:t>
      </w:r>
      <w:r w:rsidR="0044681A" w:rsidRPr="3E5D847A">
        <w:rPr>
          <w:rFonts w:asciiTheme="minorHAnsi" w:hAnsiTheme="minorHAnsi"/>
        </w:rPr>
        <w:t xml:space="preserve">assess </w:t>
      </w:r>
      <w:r w:rsidR="000454DB" w:rsidRPr="3E5D847A">
        <w:rPr>
          <w:rFonts w:asciiTheme="minorHAnsi" w:hAnsiTheme="minorHAnsi"/>
        </w:rPr>
        <w:t xml:space="preserve">the </w:t>
      </w:r>
      <w:r w:rsidR="00851495" w:rsidRPr="3E5D847A">
        <w:rPr>
          <w:rFonts w:asciiTheme="minorHAnsi" w:hAnsiTheme="minorHAnsi"/>
        </w:rPr>
        <w:t>Applicant’s proposed therapy services</w:t>
      </w:r>
      <w:r w:rsidR="00774E7A" w:rsidRPr="3E5D847A">
        <w:rPr>
          <w:rFonts w:asciiTheme="minorHAnsi" w:hAnsiTheme="minorHAnsi"/>
        </w:rPr>
        <w:t xml:space="preserve">. </w:t>
      </w:r>
      <w:r w:rsidR="00E85F32" w:rsidRPr="3E5D847A">
        <w:rPr>
          <w:rFonts w:asciiTheme="minorHAnsi" w:hAnsiTheme="minorHAnsi"/>
        </w:rPr>
        <w:t xml:space="preserve">The measures are presented in Appendix I </w:t>
      </w:r>
      <w:r w:rsidR="006004BE" w:rsidRPr="3E5D847A">
        <w:rPr>
          <w:rFonts w:asciiTheme="minorHAnsi" w:hAnsiTheme="minorHAnsi"/>
        </w:rPr>
        <w:t>and</w:t>
      </w:r>
      <w:r w:rsidR="003C1028" w:rsidRPr="3E5D847A">
        <w:rPr>
          <w:rFonts w:asciiTheme="minorHAnsi" w:hAnsiTheme="minorHAnsi"/>
        </w:rPr>
        <w:t>,</w:t>
      </w:r>
      <w:r w:rsidR="006004BE" w:rsidRPr="3E5D847A">
        <w:rPr>
          <w:rFonts w:asciiTheme="minorHAnsi" w:hAnsiTheme="minorHAnsi"/>
        </w:rPr>
        <w:t xml:space="preserve"> </w:t>
      </w:r>
      <w:r w:rsidR="00403558" w:rsidRPr="3E5D847A">
        <w:rPr>
          <w:rFonts w:asciiTheme="minorHAnsi" w:hAnsiTheme="minorHAnsi"/>
        </w:rPr>
        <w:t xml:space="preserve">with the additional measures suggested by staff, </w:t>
      </w:r>
      <w:r w:rsidR="00E85F32" w:rsidRPr="3E5D847A">
        <w:rPr>
          <w:rFonts w:asciiTheme="minorHAnsi" w:hAnsiTheme="minorHAnsi"/>
        </w:rPr>
        <w:t xml:space="preserve">will be reported to DPH on an annual basis following implementation of the Proposed Project. </w:t>
      </w:r>
      <w:r w:rsidR="003679E7" w:rsidRPr="3E5D847A">
        <w:rPr>
          <w:rFonts w:asciiTheme="minorHAnsi" w:hAnsiTheme="minorHAnsi"/>
        </w:rPr>
        <w:t xml:space="preserve">The Applicant states that it will </w:t>
      </w:r>
      <w:r w:rsidR="00B950F8" w:rsidRPr="3E5D847A">
        <w:rPr>
          <w:rFonts w:asciiTheme="minorHAnsi" w:hAnsiTheme="minorHAnsi"/>
        </w:rPr>
        <w:t xml:space="preserve">also </w:t>
      </w:r>
      <w:r w:rsidR="003679E7" w:rsidRPr="3E5D847A">
        <w:rPr>
          <w:rFonts w:asciiTheme="minorHAnsi" w:hAnsiTheme="minorHAnsi"/>
        </w:rPr>
        <w:t xml:space="preserve">monitor clinical outcomes unique to PBT that </w:t>
      </w:r>
      <w:r w:rsidR="0067710A" w:rsidRPr="3E5D847A">
        <w:rPr>
          <w:rFonts w:asciiTheme="minorHAnsi" w:hAnsiTheme="minorHAnsi"/>
        </w:rPr>
        <w:t>include</w:t>
      </w:r>
      <w:r w:rsidR="003679E7" w:rsidRPr="3E5D847A">
        <w:rPr>
          <w:rFonts w:asciiTheme="minorHAnsi" w:hAnsiTheme="minorHAnsi"/>
        </w:rPr>
        <w:t xml:space="preserve"> local control, disease-free and overall survival, acute and late toxicities, treatment-interruptions, and dose-volume metrics related to organs at risk. Additionally, pediatric patients will be followed for neurocognitive and developmental outcomes. </w:t>
      </w:r>
      <w:r w:rsidR="003071D3" w:rsidRPr="3E5D847A">
        <w:rPr>
          <w:rFonts w:asciiTheme="minorHAnsi" w:hAnsiTheme="minorHAnsi"/>
        </w:rPr>
        <w:t xml:space="preserve">The Applicant </w:t>
      </w:r>
      <w:r w:rsidR="005E28F3" w:rsidRPr="3E5D847A">
        <w:rPr>
          <w:rFonts w:asciiTheme="minorHAnsi" w:hAnsiTheme="minorHAnsi"/>
        </w:rPr>
        <w:t xml:space="preserve">states that it </w:t>
      </w:r>
      <w:r w:rsidR="003071D3" w:rsidRPr="3E5D847A">
        <w:rPr>
          <w:rFonts w:asciiTheme="minorHAnsi" w:hAnsiTheme="minorHAnsi"/>
        </w:rPr>
        <w:t xml:space="preserve">will collect patient-reported quality-of-life measures and </w:t>
      </w:r>
      <w:r w:rsidR="009B71B4" w:rsidRPr="3E5D847A">
        <w:rPr>
          <w:rFonts w:asciiTheme="minorHAnsi" w:hAnsiTheme="minorHAnsi"/>
        </w:rPr>
        <w:t xml:space="preserve">will review </w:t>
      </w:r>
      <w:r w:rsidR="003071D3" w:rsidRPr="3E5D847A">
        <w:rPr>
          <w:rFonts w:asciiTheme="minorHAnsi" w:hAnsiTheme="minorHAnsi"/>
        </w:rPr>
        <w:t xml:space="preserve">these measures regularly to ensure alignment with national benchmarks and evolving evidence. </w:t>
      </w:r>
    </w:p>
    <w:p w14:paraId="6EDF8DF1" w14:textId="77777777" w:rsidR="003679E7" w:rsidRPr="009F3FDD" w:rsidRDefault="003679E7" w:rsidP="00932E5D">
      <w:pPr>
        <w:rPr>
          <w:rFonts w:asciiTheme="minorHAnsi" w:hAnsiTheme="minorHAnsi"/>
          <w:i/>
          <w:iCs/>
          <w:szCs w:val="24"/>
        </w:rPr>
      </w:pPr>
    </w:p>
    <w:p w14:paraId="7E97B2EA" w14:textId="792A22FF" w:rsidR="00E04133" w:rsidRPr="00B517EA" w:rsidRDefault="00303C0E" w:rsidP="00932E5D">
      <w:pPr>
        <w:rPr>
          <w:rFonts w:asciiTheme="minorHAnsi" w:hAnsiTheme="minorHAnsi"/>
          <w:b/>
          <w:bCs/>
          <w:i/>
          <w:iCs/>
          <w:szCs w:val="24"/>
        </w:rPr>
      </w:pPr>
      <w:r w:rsidRPr="00B517EA">
        <w:rPr>
          <w:rFonts w:asciiTheme="minorHAnsi" w:hAnsiTheme="minorHAnsi"/>
          <w:b/>
          <w:bCs/>
          <w:i/>
          <w:iCs/>
          <w:szCs w:val="24"/>
        </w:rPr>
        <w:t xml:space="preserve">Public Health </w:t>
      </w:r>
      <w:r w:rsidR="00F80934" w:rsidRPr="00B517EA">
        <w:rPr>
          <w:rFonts w:asciiTheme="minorHAnsi" w:hAnsiTheme="minorHAnsi"/>
          <w:b/>
          <w:bCs/>
          <w:i/>
          <w:iCs/>
          <w:szCs w:val="24"/>
        </w:rPr>
        <w:t>Value: Health</w:t>
      </w:r>
      <w:r w:rsidR="00E04133" w:rsidRPr="00B517EA">
        <w:rPr>
          <w:rFonts w:asciiTheme="minorHAnsi" w:hAnsiTheme="minorHAnsi"/>
          <w:b/>
          <w:bCs/>
          <w:i/>
          <w:iCs/>
          <w:szCs w:val="24"/>
        </w:rPr>
        <w:t xml:space="preserve"> Equity</w:t>
      </w:r>
    </w:p>
    <w:p w14:paraId="0F8F5975" w14:textId="527F5188" w:rsidR="00884C2C" w:rsidRDefault="00884C2C" w:rsidP="004A469B">
      <w:pPr>
        <w:rPr>
          <w:rFonts w:cs="Calibri"/>
        </w:rPr>
      </w:pPr>
      <w:r w:rsidRPr="3E5D847A">
        <w:rPr>
          <w:rFonts w:cs="Calibri"/>
        </w:rPr>
        <w:t xml:space="preserve">The Applicant states that the Proposed Project will improve accessibility of the Applicant’s services for poor, medically indigent, and/or Medicaid eligible individuals whose access to </w:t>
      </w:r>
      <w:r w:rsidR="00F21733" w:rsidRPr="3E5D847A">
        <w:rPr>
          <w:rFonts w:cs="Calibri"/>
        </w:rPr>
        <w:t>PBT</w:t>
      </w:r>
      <w:r w:rsidRPr="3E5D847A">
        <w:rPr>
          <w:rFonts w:cs="Calibri"/>
        </w:rPr>
        <w:t xml:space="preserve"> is limited by the financial barriers associated with traveling out-of-state to access treatment.</w:t>
      </w:r>
    </w:p>
    <w:p w14:paraId="0D1D5889" w14:textId="77777777" w:rsidR="00884C2C" w:rsidRDefault="00884C2C" w:rsidP="004A469B">
      <w:pPr>
        <w:rPr>
          <w:rFonts w:cs="Calibri"/>
          <w:szCs w:val="24"/>
        </w:rPr>
      </w:pPr>
    </w:p>
    <w:p w14:paraId="54DE3151" w14:textId="27692CBD" w:rsidR="000B6772" w:rsidRDefault="00884C2C" w:rsidP="00884C2C">
      <w:pPr>
        <w:rPr>
          <w:rFonts w:cs="Calibri"/>
        </w:rPr>
      </w:pPr>
      <w:r w:rsidRPr="0158494A">
        <w:rPr>
          <w:rFonts w:cs="Calibri"/>
          <w:b/>
        </w:rPr>
        <w:t>Interpreter Services</w:t>
      </w:r>
      <w:r w:rsidRPr="0158494A">
        <w:rPr>
          <w:rFonts w:cs="Calibri"/>
        </w:rPr>
        <w:t>: The Applicant ha</w:t>
      </w:r>
      <w:r w:rsidR="00B820F8" w:rsidRPr="0158494A">
        <w:rPr>
          <w:rFonts w:cs="Calibri"/>
        </w:rPr>
        <w:t>s</w:t>
      </w:r>
      <w:r w:rsidRPr="0158494A">
        <w:rPr>
          <w:rFonts w:cs="Calibri"/>
        </w:rPr>
        <w:t xml:space="preserve"> adopted the Communication and Language standard under the national Culturally and Linguistically Appropriate Services (CLAS) standards. To support patient access to high-quality oncology services, the Applicant provides medical interpreters at no charge to patients and families who speak a language other than English. </w:t>
      </w:r>
      <w:r w:rsidR="00505506" w:rsidRPr="0158494A">
        <w:rPr>
          <w:rFonts w:cs="Calibri"/>
        </w:rPr>
        <w:t xml:space="preserve"> </w:t>
      </w:r>
      <w:r w:rsidR="00157B82" w:rsidRPr="0158494A">
        <w:rPr>
          <w:rFonts w:cs="Calibri"/>
        </w:rPr>
        <w:t>The Applicant provides interpreter services in three modalities: in-person, video remote interpreting, and over-the-phone interpreting</w:t>
      </w:r>
      <w:r w:rsidR="70A91054" w:rsidRPr="2BBAE2D3">
        <w:rPr>
          <w:rFonts w:cs="Calibri"/>
        </w:rPr>
        <w:t xml:space="preserve"> and</w:t>
      </w:r>
      <w:r w:rsidR="003E5C0C">
        <w:rPr>
          <w:rFonts w:cs="Calibri"/>
        </w:rPr>
        <w:t xml:space="preserve"> </w:t>
      </w:r>
      <w:r w:rsidR="00DA7839" w:rsidRPr="0158494A">
        <w:rPr>
          <w:rFonts w:cs="Calibri"/>
        </w:rPr>
        <w:t>prioritizes providing patients with in-person interpreters</w:t>
      </w:r>
      <w:r w:rsidR="5B0A86A8" w:rsidRPr="2BBAE2D3">
        <w:rPr>
          <w:rFonts w:cs="Calibri"/>
        </w:rPr>
        <w:t xml:space="preserve"> whenever possible</w:t>
      </w:r>
      <w:r w:rsidR="00DA7839" w:rsidRPr="0158494A">
        <w:rPr>
          <w:rFonts w:cs="Calibri"/>
        </w:rPr>
        <w:t xml:space="preserve">. </w:t>
      </w:r>
      <w:r w:rsidR="00157B82" w:rsidRPr="0158494A">
        <w:rPr>
          <w:rFonts w:cs="Calibri"/>
        </w:rPr>
        <w:t xml:space="preserve">Through an automated workflow in Epic, patients identified as preferring a language other than English are presented to interpreter service staff so that an interpreter can be assigned prior to </w:t>
      </w:r>
      <w:r w:rsidR="00FD324A" w:rsidRPr="0158494A">
        <w:rPr>
          <w:rFonts w:cs="Calibri"/>
        </w:rPr>
        <w:t>an</w:t>
      </w:r>
      <w:r w:rsidR="00157B82" w:rsidRPr="0158494A">
        <w:rPr>
          <w:rFonts w:cs="Calibri"/>
        </w:rPr>
        <w:t xml:space="preserve"> initial appointment. </w:t>
      </w:r>
      <w:r w:rsidR="00505506" w:rsidRPr="0158494A">
        <w:rPr>
          <w:rFonts w:cs="Calibri"/>
        </w:rPr>
        <w:t>The Applicant</w:t>
      </w:r>
      <w:r w:rsidR="0045406E" w:rsidRPr="0158494A">
        <w:rPr>
          <w:rFonts w:cs="Calibri"/>
        </w:rPr>
        <w:t xml:space="preserve">’s </w:t>
      </w:r>
      <w:r w:rsidR="00505506" w:rsidRPr="0158494A">
        <w:rPr>
          <w:rFonts w:cs="Calibri"/>
        </w:rPr>
        <w:t>interpreter services program</w:t>
      </w:r>
      <w:r w:rsidR="0045406E" w:rsidRPr="0158494A">
        <w:rPr>
          <w:rFonts w:cs="Calibri"/>
        </w:rPr>
        <w:t xml:space="preserve"> </w:t>
      </w:r>
      <w:r w:rsidR="00505506" w:rsidRPr="0158494A">
        <w:rPr>
          <w:rFonts w:cs="Calibri"/>
        </w:rPr>
        <w:t>covers over 200 languages</w:t>
      </w:r>
      <w:r w:rsidR="0045406E" w:rsidRPr="0158494A">
        <w:rPr>
          <w:rFonts w:cs="Calibri"/>
        </w:rPr>
        <w:t xml:space="preserve"> and</w:t>
      </w:r>
      <w:r w:rsidR="00505506" w:rsidRPr="0158494A">
        <w:rPr>
          <w:rFonts w:cs="Calibri"/>
        </w:rPr>
        <w:t xml:space="preserve"> completed 95,490 interpretations and 727 translations in FY25. The </w:t>
      </w:r>
      <w:r w:rsidR="0045406E" w:rsidRPr="0158494A">
        <w:rPr>
          <w:rFonts w:cs="Calibri"/>
        </w:rPr>
        <w:t>list of languages offered</w:t>
      </w:r>
      <w:r w:rsidR="00AC23DE" w:rsidRPr="0158494A">
        <w:rPr>
          <w:rFonts w:cs="Calibri"/>
        </w:rPr>
        <w:t xml:space="preserve"> can be found online in Responses to DoN Questions #1. </w:t>
      </w:r>
      <w:r w:rsidR="003D3C55" w:rsidRPr="0158494A">
        <w:rPr>
          <w:rFonts w:cs="Calibri"/>
        </w:rPr>
        <w:t xml:space="preserve">The Applicant anticipates that its interpreter services department will partner with its radiology oncology department to prepare the team for PBT-related assignments. </w:t>
      </w:r>
    </w:p>
    <w:p w14:paraId="643D69D9" w14:textId="77777777" w:rsidR="00884C2C" w:rsidRDefault="00884C2C" w:rsidP="004A469B">
      <w:pPr>
        <w:rPr>
          <w:rFonts w:cs="Calibri"/>
          <w:szCs w:val="24"/>
        </w:rPr>
      </w:pPr>
    </w:p>
    <w:p w14:paraId="466D5230" w14:textId="0A9DE54A" w:rsidR="00B672E5" w:rsidRDefault="00884C2C" w:rsidP="00EA35BB">
      <w:pPr>
        <w:rPr>
          <w:rFonts w:cs="Calibri"/>
          <w:szCs w:val="24"/>
        </w:rPr>
      </w:pPr>
      <w:r w:rsidRPr="00884C2C">
        <w:rPr>
          <w:rFonts w:cs="Calibri"/>
          <w:b/>
          <w:bCs/>
          <w:szCs w:val="24"/>
        </w:rPr>
        <w:t>Accessibility:</w:t>
      </w:r>
      <w:r>
        <w:rPr>
          <w:rFonts w:cs="Calibri"/>
          <w:szCs w:val="24"/>
        </w:rPr>
        <w:t xml:space="preserve"> </w:t>
      </w:r>
      <w:r w:rsidR="00B672E5">
        <w:rPr>
          <w:rFonts w:cs="Calibri"/>
          <w:szCs w:val="24"/>
        </w:rPr>
        <w:t xml:space="preserve">The Applicant states that it uses </w:t>
      </w:r>
      <w:r w:rsidR="000F18E5">
        <w:rPr>
          <w:rFonts w:cs="Calibri"/>
          <w:szCs w:val="24"/>
        </w:rPr>
        <w:t>an</w:t>
      </w:r>
      <w:r w:rsidR="00B672E5">
        <w:rPr>
          <w:rFonts w:cs="Calibri"/>
          <w:szCs w:val="24"/>
        </w:rPr>
        <w:t xml:space="preserve"> integrated, institute-wide accommodation model to ensure that patients with physical and cognitive disabilities receive timely, individualized support. </w:t>
      </w:r>
      <w:r w:rsidR="00D3176D">
        <w:rPr>
          <w:rFonts w:cs="Calibri"/>
          <w:szCs w:val="24"/>
        </w:rPr>
        <w:t>W</w:t>
      </w:r>
      <w:r w:rsidR="00D3176D" w:rsidRPr="00D3176D">
        <w:rPr>
          <w:rFonts w:cs="Calibri"/>
          <w:szCs w:val="24"/>
        </w:rPr>
        <w:t>ith a focus on effective communication, accessible care environments, patient dignity and shared understanding</w:t>
      </w:r>
      <w:r w:rsidR="00D3176D">
        <w:rPr>
          <w:rFonts w:cs="Calibri"/>
          <w:szCs w:val="24"/>
        </w:rPr>
        <w:t>, t</w:t>
      </w:r>
      <w:r w:rsidR="003A621B">
        <w:rPr>
          <w:rFonts w:cs="Calibri"/>
          <w:szCs w:val="24"/>
        </w:rPr>
        <w:t xml:space="preserve">he model </w:t>
      </w:r>
      <w:r w:rsidR="00D3176D">
        <w:rPr>
          <w:rFonts w:cs="Calibri"/>
          <w:szCs w:val="24"/>
        </w:rPr>
        <w:t>links</w:t>
      </w:r>
      <w:r w:rsidR="00B672E5">
        <w:rPr>
          <w:rFonts w:cs="Calibri"/>
          <w:szCs w:val="24"/>
        </w:rPr>
        <w:t xml:space="preserve"> ADA leadership with Medical Interpreter Services, Facilities &amp; Real Estate, clinical teams, and specialized support systems so that accommodation needs are identified early, document</w:t>
      </w:r>
      <w:r w:rsidR="00612593">
        <w:rPr>
          <w:rFonts w:cs="Calibri"/>
          <w:szCs w:val="24"/>
        </w:rPr>
        <w:t>ed</w:t>
      </w:r>
      <w:r w:rsidR="00B672E5">
        <w:rPr>
          <w:rFonts w:cs="Calibri"/>
          <w:szCs w:val="24"/>
        </w:rPr>
        <w:t xml:space="preserve"> in Epic, and addressed consistently across </w:t>
      </w:r>
      <w:r w:rsidR="00E83E26">
        <w:rPr>
          <w:rFonts w:cs="Calibri"/>
          <w:szCs w:val="24"/>
        </w:rPr>
        <w:t xml:space="preserve">care </w:t>
      </w:r>
      <w:r w:rsidR="00B672E5">
        <w:rPr>
          <w:rFonts w:cs="Calibri"/>
          <w:szCs w:val="24"/>
        </w:rPr>
        <w:t>settings</w:t>
      </w:r>
      <w:r w:rsidR="00E83E26">
        <w:rPr>
          <w:rFonts w:cs="Calibri"/>
          <w:szCs w:val="24"/>
        </w:rPr>
        <w:t>.</w:t>
      </w:r>
      <w:r w:rsidR="009252F6">
        <w:rPr>
          <w:rStyle w:val="FootnoteReference"/>
          <w:rFonts w:cs="Calibri"/>
          <w:szCs w:val="24"/>
        </w:rPr>
        <w:footnoteReference w:id="64"/>
      </w:r>
    </w:p>
    <w:p w14:paraId="66EEA5CB" w14:textId="77777777" w:rsidR="00B672E5" w:rsidRDefault="00B672E5" w:rsidP="00EA35BB">
      <w:pPr>
        <w:rPr>
          <w:rFonts w:cs="Calibri"/>
          <w:szCs w:val="24"/>
        </w:rPr>
      </w:pPr>
    </w:p>
    <w:p w14:paraId="57B00770" w14:textId="6A6CB1D2" w:rsidR="003D2FDD" w:rsidRDefault="000658AC" w:rsidP="00EA35BB">
      <w:pPr>
        <w:rPr>
          <w:rFonts w:cs="Calibri"/>
          <w:szCs w:val="24"/>
        </w:rPr>
      </w:pPr>
      <w:r>
        <w:rPr>
          <w:rFonts w:cs="Calibri"/>
          <w:szCs w:val="24"/>
        </w:rPr>
        <w:lastRenderedPageBreak/>
        <w:t xml:space="preserve">The Applicant states that the </w:t>
      </w:r>
      <w:r w:rsidR="002E4779">
        <w:rPr>
          <w:rFonts w:cs="Calibri"/>
          <w:szCs w:val="24"/>
        </w:rPr>
        <w:t>Center’s design supports patients with disabilities, mobility impairments, and children</w:t>
      </w:r>
      <w:r w:rsidR="00207980">
        <w:rPr>
          <w:rFonts w:cs="Calibri"/>
          <w:szCs w:val="24"/>
        </w:rPr>
        <w:t xml:space="preserve">, and the layout </w:t>
      </w:r>
      <w:r w:rsidR="00685FFD">
        <w:rPr>
          <w:rFonts w:cs="Calibri"/>
          <w:szCs w:val="24"/>
        </w:rPr>
        <w:t>will foster an inclusive environment for patients of all gender identities and sexual orientations.</w:t>
      </w:r>
      <w:r w:rsidR="002E4779">
        <w:rPr>
          <w:rFonts w:cs="Calibri"/>
          <w:szCs w:val="24"/>
        </w:rPr>
        <w:t xml:space="preserve"> </w:t>
      </w:r>
      <w:r w:rsidR="0045406E">
        <w:rPr>
          <w:rFonts w:cs="Calibri"/>
          <w:szCs w:val="24"/>
        </w:rPr>
        <w:t>T</w:t>
      </w:r>
      <w:r w:rsidR="008B4573">
        <w:rPr>
          <w:rFonts w:cs="Calibri"/>
          <w:szCs w:val="24"/>
        </w:rPr>
        <w:t>he proposed location for the Center incorporates universal-design principles</w:t>
      </w:r>
      <w:r w:rsidR="002803B8">
        <w:rPr>
          <w:rFonts w:cs="Calibri"/>
          <w:szCs w:val="24"/>
        </w:rPr>
        <w:t xml:space="preserve">. The hallways, treatment, and exam rooms, seating and restrooms meet or exceed American with Disabilities Act (ADA) </w:t>
      </w:r>
      <w:r w:rsidR="000558D7">
        <w:rPr>
          <w:rFonts w:cs="Calibri"/>
          <w:szCs w:val="24"/>
        </w:rPr>
        <w:t>requirements</w:t>
      </w:r>
      <w:r w:rsidR="002803B8">
        <w:rPr>
          <w:rFonts w:cs="Calibri"/>
          <w:szCs w:val="24"/>
        </w:rPr>
        <w:t xml:space="preserve">. Treatment and exam rooms include adjustable-height furniture and layouts to accommodate mobility devices and caregivers. Pediatric spaces incorporate calming visual elements and child-appropriate design. </w:t>
      </w:r>
      <w:r w:rsidR="003D2FDD">
        <w:rPr>
          <w:rFonts w:cs="Calibri"/>
          <w:szCs w:val="24"/>
        </w:rPr>
        <w:t>The Applicant states that p</w:t>
      </w:r>
      <w:r w:rsidR="002803B8">
        <w:rPr>
          <w:rFonts w:cs="Calibri"/>
          <w:szCs w:val="24"/>
        </w:rPr>
        <w:t xml:space="preserve">rivate, gender-neutral changing spaces and clear, universal graphic wayfinding signage will allow for all patients, regardless of physical ability, age, or gender identity, to experience an environment that is respectful, inclusive, and easy to navigate. </w:t>
      </w:r>
    </w:p>
    <w:p w14:paraId="65A43F6F" w14:textId="77777777" w:rsidR="003D2FDD" w:rsidRDefault="003D2FDD" w:rsidP="00EA35BB">
      <w:pPr>
        <w:rPr>
          <w:rFonts w:cs="Calibri"/>
          <w:szCs w:val="24"/>
        </w:rPr>
      </w:pPr>
    </w:p>
    <w:p w14:paraId="73E2F010" w14:textId="780A43FE" w:rsidR="00EA35BB" w:rsidRDefault="003D2FDD" w:rsidP="00D10962">
      <w:pPr>
        <w:rPr>
          <w:rFonts w:cs="Calibri"/>
        </w:rPr>
      </w:pPr>
      <w:r w:rsidRPr="6A0A8C4A">
        <w:rPr>
          <w:rFonts w:cs="Calibri"/>
        </w:rPr>
        <w:t>T</w:t>
      </w:r>
      <w:r w:rsidR="002E4779" w:rsidRPr="6A0A8C4A">
        <w:rPr>
          <w:rFonts w:cs="Calibri"/>
        </w:rPr>
        <w:t>he Center is proximate to BCH which</w:t>
      </w:r>
      <w:r w:rsidR="00CA6969" w:rsidRPr="6A0A8C4A">
        <w:rPr>
          <w:rFonts w:cs="Calibri"/>
        </w:rPr>
        <w:t xml:space="preserve"> enhances access for the Applicant’s pediatric patients requiring specialized </w:t>
      </w:r>
      <w:r w:rsidR="002E7AC8" w:rsidRPr="6A0A8C4A">
        <w:rPr>
          <w:rFonts w:cs="Calibri"/>
        </w:rPr>
        <w:t xml:space="preserve">care. The Center’s location in the Longwood Medical Area </w:t>
      </w:r>
      <w:r w:rsidR="0045406E" w:rsidRPr="6A0A8C4A">
        <w:rPr>
          <w:rFonts w:cs="Calibri"/>
        </w:rPr>
        <w:t xml:space="preserve">of Boston </w:t>
      </w:r>
      <w:r w:rsidR="002E7AC8" w:rsidRPr="6A0A8C4A">
        <w:rPr>
          <w:rFonts w:cs="Calibri"/>
        </w:rPr>
        <w:t xml:space="preserve">allows for close coordination with patients’ current oncology practices and supports multidisciplinary care. </w:t>
      </w:r>
      <w:r w:rsidR="00EA35BB" w:rsidRPr="6A0A8C4A">
        <w:rPr>
          <w:rFonts w:cs="Calibri"/>
        </w:rPr>
        <w:t>The Center is accessible by public transportation reducing travel-related barriers to accessing care that can disproportionately impact socioeconomically disadvantaged and racially minoritized populations</w:t>
      </w:r>
      <w:r w:rsidR="6A90D34C" w:rsidRPr="6A0A8C4A">
        <w:rPr>
          <w:rFonts w:cs="Calibri"/>
        </w:rPr>
        <w:t>.</w:t>
      </w:r>
      <w:r w:rsidR="00EA35BB" w:rsidRPr="6A0A8C4A">
        <w:rPr>
          <w:rFonts w:cs="Calibri"/>
          <w:vertAlign w:val="superscript"/>
        </w:rPr>
        <w:endnoteReference w:id="102"/>
      </w:r>
      <w:r w:rsidR="00E417F6">
        <w:rPr>
          <w:rFonts w:cs="Calibri"/>
        </w:rPr>
        <w:t xml:space="preserve"> </w:t>
      </w:r>
      <w:r w:rsidR="7B57B430" w:rsidRPr="6A0A8C4A">
        <w:rPr>
          <w:rFonts w:cs="Calibri"/>
        </w:rPr>
        <w:t>P</w:t>
      </w:r>
      <w:r w:rsidR="33F9641D" w:rsidRPr="6A0A8C4A">
        <w:rPr>
          <w:rFonts w:cs="Calibri"/>
        </w:rPr>
        <w:t>atients</w:t>
      </w:r>
      <w:r w:rsidR="00EA35BB" w:rsidRPr="6A0A8C4A">
        <w:rPr>
          <w:rFonts w:cs="Calibri"/>
        </w:rPr>
        <w:t xml:space="preserve"> and caregivers will </w:t>
      </w:r>
      <w:r w:rsidR="0E279047" w:rsidRPr="1ED97437">
        <w:rPr>
          <w:rFonts w:cs="Calibri"/>
        </w:rPr>
        <w:t xml:space="preserve">also </w:t>
      </w:r>
      <w:r w:rsidR="00EA35BB" w:rsidRPr="6A0A8C4A">
        <w:rPr>
          <w:rFonts w:cs="Calibri"/>
        </w:rPr>
        <w:t xml:space="preserve">have access to existing free radiotherapy parking. </w:t>
      </w:r>
    </w:p>
    <w:p w14:paraId="2E851FEB" w14:textId="77777777" w:rsidR="00092D22" w:rsidRDefault="00092D22" w:rsidP="00EA35BB">
      <w:pPr>
        <w:rPr>
          <w:rFonts w:cs="Calibri"/>
          <w:szCs w:val="24"/>
        </w:rPr>
      </w:pPr>
    </w:p>
    <w:p w14:paraId="3BE852F1" w14:textId="77777777" w:rsidR="00661765" w:rsidRDefault="00092D22" w:rsidP="00EA35BB">
      <w:pPr>
        <w:rPr>
          <w:rFonts w:cs="Calibri"/>
          <w:szCs w:val="24"/>
        </w:rPr>
      </w:pPr>
      <w:r>
        <w:rPr>
          <w:rFonts w:cs="Calibri"/>
          <w:szCs w:val="24"/>
        </w:rPr>
        <w:t>The Applicant states that it will track data on barriers to access to PBT, including barriers to access for MassHealth beneficiaries, and intends to design and implement evidence-based interventions to address such barriers, including through the Applicant’s existing initiatives and new partnerships with community health centers, community-based organizations, and government entities.</w:t>
      </w:r>
    </w:p>
    <w:p w14:paraId="08E781EE" w14:textId="6D7EFE22" w:rsidR="00092D22" w:rsidRPr="00EA35BB" w:rsidRDefault="00092D22" w:rsidP="00EA35BB">
      <w:pPr>
        <w:rPr>
          <w:rFonts w:cs="Calibri"/>
          <w:szCs w:val="24"/>
        </w:rPr>
      </w:pPr>
      <w:r>
        <w:rPr>
          <w:rFonts w:cs="Calibri"/>
          <w:szCs w:val="24"/>
        </w:rPr>
        <w:t xml:space="preserve"> </w:t>
      </w:r>
    </w:p>
    <w:p w14:paraId="77AAAB2B" w14:textId="4A73A91D" w:rsidR="00B7768B" w:rsidRDefault="00884C2C" w:rsidP="004A469B">
      <w:pPr>
        <w:rPr>
          <w:rFonts w:cs="Calibri"/>
          <w:szCs w:val="24"/>
        </w:rPr>
      </w:pPr>
      <w:r w:rsidRPr="00884C2C">
        <w:rPr>
          <w:rFonts w:cs="Calibri"/>
          <w:b/>
          <w:bCs/>
          <w:szCs w:val="24"/>
        </w:rPr>
        <w:t>Community Initiatives:</w:t>
      </w:r>
      <w:r>
        <w:rPr>
          <w:rFonts w:cs="Calibri"/>
          <w:szCs w:val="24"/>
        </w:rPr>
        <w:t xml:space="preserve"> </w:t>
      </w:r>
      <w:r w:rsidR="0045406E" w:rsidRPr="0045406E">
        <w:rPr>
          <w:rFonts w:cs="Calibri"/>
          <w:szCs w:val="24"/>
        </w:rPr>
        <w:t xml:space="preserve">The Applicant states that it partners with community-based organizations that share in its goal of reducing cancer-related disparities, to strengthen its initiatives and embed them within the fabric of the communities it serves. </w:t>
      </w:r>
      <w:r w:rsidR="00616BB3">
        <w:rPr>
          <w:rFonts w:cs="Calibri"/>
          <w:szCs w:val="24"/>
        </w:rPr>
        <w:t>The Applicant mentions initiativ</w:t>
      </w:r>
      <w:r w:rsidR="00490093">
        <w:rPr>
          <w:rFonts w:cs="Calibri"/>
          <w:szCs w:val="24"/>
        </w:rPr>
        <w:t xml:space="preserve">es that further its work in the community and extend its work beyond treating patients </w:t>
      </w:r>
      <w:r w:rsidR="00226AF8">
        <w:rPr>
          <w:rFonts w:cs="Calibri"/>
          <w:szCs w:val="24"/>
        </w:rPr>
        <w:t>t</w:t>
      </w:r>
      <w:r w:rsidR="00B70992">
        <w:rPr>
          <w:rFonts w:cs="Calibri"/>
          <w:szCs w:val="24"/>
        </w:rPr>
        <w:t>o include</w:t>
      </w:r>
      <w:r w:rsidR="00490093">
        <w:rPr>
          <w:rFonts w:cs="Calibri"/>
          <w:szCs w:val="24"/>
        </w:rPr>
        <w:t xml:space="preserve"> educating them about their diagnoses,</w:t>
      </w:r>
      <w:r w:rsidR="00EA35BB">
        <w:rPr>
          <w:rFonts w:cs="Calibri"/>
          <w:szCs w:val="24"/>
        </w:rPr>
        <w:t xml:space="preserve"> through</w:t>
      </w:r>
      <w:r w:rsidR="00490093">
        <w:rPr>
          <w:rFonts w:cs="Calibri"/>
          <w:szCs w:val="24"/>
        </w:rPr>
        <w:t xml:space="preserve"> </w:t>
      </w:r>
      <w:r w:rsidR="006B11D6">
        <w:rPr>
          <w:rFonts w:cs="Calibri"/>
          <w:szCs w:val="24"/>
        </w:rPr>
        <w:t>public awareness efforts about cancer risk, screening programs for early detection of certain cancers, and projects to increase access to cancer care and clinical research to people in Boston and the region.</w:t>
      </w:r>
      <w:r w:rsidR="0045406E">
        <w:rPr>
          <w:rFonts w:cs="Calibri"/>
          <w:szCs w:val="24"/>
        </w:rPr>
        <w:t xml:space="preserve"> </w:t>
      </w:r>
      <w:r w:rsidR="00B7768B">
        <w:rPr>
          <w:rFonts w:cs="Calibri"/>
          <w:szCs w:val="24"/>
        </w:rPr>
        <w:t>The Applicant states that it</w:t>
      </w:r>
      <w:r w:rsidR="00B23A14">
        <w:rPr>
          <w:rFonts w:cs="Calibri"/>
          <w:szCs w:val="24"/>
        </w:rPr>
        <w:t xml:space="preserve">s </w:t>
      </w:r>
      <w:r w:rsidR="00B7768B">
        <w:rPr>
          <w:rFonts w:cs="Calibri"/>
          <w:szCs w:val="24"/>
        </w:rPr>
        <w:t>Cancer Care Equity Program</w:t>
      </w:r>
      <w:r w:rsidR="0045406E">
        <w:rPr>
          <w:rFonts w:cs="Calibri"/>
          <w:szCs w:val="24"/>
        </w:rPr>
        <w:t xml:space="preserve"> -</w:t>
      </w:r>
      <w:r w:rsidR="00B7768B">
        <w:rPr>
          <w:rFonts w:cs="Calibri"/>
          <w:szCs w:val="24"/>
        </w:rPr>
        <w:t xml:space="preserve"> a community-based partnership </w:t>
      </w:r>
      <w:r w:rsidR="00830E01">
        <w:rPr>
          <w:rFonts w:cs="Calibri"/>
          <w:szCs w:val="24"/>
        </w:rPr>
        <w:t>that includes primary and specialty care practices, patients navigation programs that assist vulnerable populations, and institutional diversity, equity, and inclusion initiatives, focused on reducing structural barriers to cancer care</w:t>
      </w:r>
      <w:r w:rsidR="0045406E">
        <w:rPr>
          <w:rFonts w:cs="Calibri"/>
          <w:szCs w:val="24"/>
        </w:rPr>
        <w:t xml:space="preserve"> - </w:t>
      </w:r>
      <w:r w:rsidR="00B23A14">
        <w:rPr>
          <w:rFonts w:cs="Calibri"/>
          <w:szCs w:val="24"/>
        </w:rPr>
        <w:t xml:space="preserve">will support equitable access to the Center by reducing logistical, financial, and cultural barriers to cancer treatment. </w:t>
      </w:r>
    </w:p>
    <w:p w14:paraId="795EE5EF" w14:textId="77777777" w:rsidR="00727749" w:rsidRDefault="00727749" w:rsidP="004A469B">
      <w:pPr>
        <w:rPr>
          <w:rFonts w:cs="Calibri"/>
          <w:szCs w:val="24"/>
        </w:rPr>
      </w:pPr>
    </w:p>
    <w:p w14:paraId="785FD8CE" w14:textId="37DA7524" w:rsidR="00EA35BB" w:rsidRPr="00DB1C6F" w:rsidRDefault="00727749" w:rsidP="00DB1C6F">
      <w:pPr>
        <w:rPr>
          <w:rFonts w:cs="Calibri"/>
          <w:szCs w:val="24"/>
        </w:rPr>
      </w:pPr>
      <w:r w:rsidRPr="00727749">
        <w:rPr>
          <w:rFonts w:cs="Calibri"/>
          <w:b/>
          <w:bCs/>
          <w:szCs w:val="24"/>
        </w:rPr>
        <w:t xml:space="preserve">Patient Experience: </w:t>
      </w:r>
      <w:r w:rsidR="004B2A33">
        <w:rPr>
          <w:rFonts w:cs="Calibri"/>
          <w:szCs w:val="24"/>
        </w:rPr>
        <w:t>The Applicant</w:t>
      </w:r>
      <w:r w:rsidR="0045406E">
        <w:rPr>
          <w:rFonts w:cs="Calibri"/>
          <w:szCs w:val="24"/>
        </w:rPr>
        <w:t xml:space="preserve"> states that its </w:t>
      </w:r>
      <w:r w:rsidR="004B2A33">
        <w:rPr>
          <w:rFonts w:cs="Calibri"/>
          <w:szCs w:val="24"/>
        </w:rPr>
        <w:t>patient-experience strategy is grounded in equity and cultural responsiveness. Activities include interpreter and multilingual engagement services, navigation teams, and all staff training in cultural humility and implicit bias</w:t>
      </w:r>
      <w:r w:rsidR="00E410B7">
        <w:rPr>
          <w:rFonts w:cs="Calibri"/>
          <w:szCs w:val="24"/>
        </w:rPr>
        <w:t xml:space="preserve">. The Applicant states that all staff working at the proposed Center will have the opportunity to participate in the </w:t>
      </w:r>
      <w:r w:rsidR="002A0808">
        <w:rPr>
          <w:rFonts w:cs="Calibri"/>
          <w:szCs w:val="24"/>
        </w:rPr>
        <w:t>A</w:t>
      </w:r>
      <w:r w:rsidR="00E410B7">
        <w:rPr>
          <w:rFonts w:cs="Calibri"/>
          <w:szCs w:val="24"/>
        </w:rPr>
        <w:t>pplicant’s Inclusive and Engagement educational framework. The Framework includes</w:t>
      </w:r>
      <w:r w:rsidR="00DB1C6F">
        <w:rPr>
          <w:rFonts w:cs="Calibri"/>
          <w:szCs w:val="24"/>
        </w:rPr>
        <w:t xml:space="preserve"> </w:t>
      </w:r>
      <w:r w:rsidR="00360598" w:rsidRPr="00DB1C6F">
        <w:rPr>
          <w:rFonts w:cs="Calibri"/>
          <w:szCs w:val="24"/>
        </w:rPr>
        <w:t>biennial nursing cultural competence education and ongoing workforce development</w:t>
      </w:r>
      <w:r w:rsidR="002C2BF3" w:rsidRPr="00DB1C6F">
        <w:rPr>
          <w:rFonts w:cs="Calibri"/>
          <w:szCs w:val="24"/>
        </w:rPr>
        <w:t xml:space="preserve"> that the Applicant states is grounded</w:t>
      </w:r>
      <w:r w:rsidR="00360598" w:rsidRPr="00DB1C6F">
        <w:rPr>
          <w:rFonts w:cs="Calibri"/>
          <w:szCs w:val="24"/>
        </w:rPr>
        <w:t xml:space="preserve"> in </w:t>
      </w:r>
      <w:r w:rsidR="00360598" w:rsidRPr="00DB1C6F">
        <w:rPr>
          <w:rFonts w:cs="Calibri"/>
          <w:szCs w:val="24"/>
        </w:rPr>
        <w:lastRenderedPageBreak/>
        <w:t xml:space="preserve">evidence-based inclusive care; Disability Competent Care Training, </w:t>
      </w:r>
      <w:r w:rsidR="002C2BF3" w:rsidRPr="00DB1C6F">
        <w:rPr>
          <w:rFonts w:cs="Calibri"/>
          <w:szCs w:val="24"/>
        </w:rPr>
        <w:t xml:space="preserve">that was </w:t>
      </w:r>
      <w:r w:rsidR="00360598" w:rsidRPr="00DB1C6F">
        <w:rPr>
          <w:rFonts w:cs="Calibri"/>
          <w:szCs w:val="24"/>
        </w:rPr>
        <w:t xml:space="preserve">launched in alignment with MA Hospital Quality and Equity Incentives Program requirements and </w:t>
      </w:r>
      <w:r w:rsidR="00F93E5E" w:rsidRPr="00DB1C6F">
        <w:rPr>
          <w:rFonts w:cs="Calibri"/>
          <w:szCs w:val="24"/>
        </w:rPr>
        <w:t xml:space="preserve">that was </w:t>
      </w:r>
      <w:r w:rsidR="00360598" w:rsidRPr="00DB1C6F">
        <w:rPr>
          <w:rFonts w:cs="Calibri"/>
          <w:szCs w:val="24"/>
        </w:rPr>
        <w:t xml:space="preserve">made available to all workforce members beginning in 2024; </w:t>
      </w:r>
      <w:r w:rsidR="002C2BF3" w:rsidRPr="00DB1C6F">
        <w:rPr>
          <w:rFonts w:cs="Calibri"/>
          <w:szCs w:val="24"/>
        </w:rPr>
        <w:t xml:space="preserve">and </w:t>
      </w:r>
      <w:r w:rsidR="00360598" w:rsidRPr="00DB1C6F">
        <w:rPr>
          <w:rFonts w:cs="Calibri"/>
          <w:szCs w:val="24"/>
        </w:rPr>
        <w:t>Healthcare Equality Index (HEI)-aligned LGBTQ+ inclusive care practices, including communication norms, patient intake considerations, and affirming clinical interactions.</w:t>
      </w:r>
      <w:r w:rsidR="00F54FFB">
        <w:rPr>
          <w:rStyle w:val="FootnoteReference"/>
          <w:rFonts w:cs="Calibri"/>
          <w:szCs w:val="24"/>
        </w:rPr>
        <w:footnoteReference w:id="65"/>
      </w:r>
    </w:p>
    <w:p w14:paraId="3149C084" w14:textId="77777777" w:rsidR="004066CD" w:rsidRDefault="004066CD" w:rsidP="00B517EA">
      <w:pPr>
        <w:rPr>
          <w:rFonts w:asciiTheme="minorHAnsi" w:hAnsiTheme="minorHAnsi"/>
          <w:b/>
          <w:bCs/>
          <w:i/>
          <w:iCs/>
          <w:szCs w:val="24"/>
        </w:rPr>
      </w:pPr>
    </w:p>
    <w:p w14:paraId="4444310F" w14:textId="453C8C17" w:rsidR="00B02FE5" w:rsidRPr="00DB1C6F" w:rsidRDefault="00985554" w:rsidP="00DB1C6F">
      <w:pPr>
        <w:rPr>
          <w:rFonts w:asciiTheme="minorHAnsi" w:hAnsiTheme="minorHAnsi"/>
          <w:szCs w:val="24"/>
        </w:rPr>
      </w:pPr>
      <w:r>
        <w:rPr>
          <w:rFonts w:asciiTheme="minorHAnsi" w:hAnsiTheme="minorHAnsi"/>
          <w:szCs w:val="24"/>
        </w:rPr>
        <w:t xml:space="preserve">The Applicant </w:t>
      </w:r>
      <w:r w:rsidR="001F596B">
        <w:rPr>
          <w:rFonts w:asciiTheme="minorHAnsi" w:hAnsiTheme="minorHAnsi"/>
          <w:szCs w:val="24"/>
        </w:rPr>
        <w:t>states that it e</w:t>
      </w:r>
      <w:r w:rsidR="00D84F71">
        <w:rPr>
          <w:rFonts w:asciiTheme="minorHAnsi" w:hAnsiTheme="minorHAnsi"/>
          <w:szCs w:val="24"/>
        </w:rPr>
        <w:t>mbed</w:t>
      </w:r>
      <w:r w:rsidR="001F596B">
        <w:rPr>
          <w:rFonts w:asciiTheme="minorHAnsi" w:hAnsiTheme="minorHAnsi"/>
          <w:szCs w:val="24"/>
        </w:rPr>
        <w:t xml:space="preserve">s </w:t>
      </w:r>
      <w:r w:rsidR="00D84F71">
        <w:rPr>
          <w:rFonts w:asciiTheme="minorHAnsi" w:hAnsiTheme="minorHAnsi"/>
          <w:szCs w:val="24"/>
        </w:rPr>
        <w:t>inclusion in operational practices, such as respect for name, pronoun, and family information documentation</w:t>
      </w:r>
      <w:r w:rsidR="00C00FDD">
        <w:rPr>
          <w:rFonts w:asciiTheme="minorHAnsi" w:hAnsiTheme="minorHAnsi"/>
          <w:szCs w:val="24"/>
        </w:rPr>
        <w:t xml:space="preserve">. The Applicant </w:t>
      </w:r>
      <w:r w:rsidR="00EE7518">
        <w:rPr>
          <w:rFonts w:asciiTheme="minorHAnsi" w:hAnsiTheme="minorHAnsi"/>
          <w:szCs w:val="24"/>
        </w:rPr>
        <w:t>e</w:t>
      </w:r>
      <w:r w:rsidR="00D84F71">
        <w:rPr>
          <w:rFonts w:asciiTheme="minorHAnsi" w:hAnsiTheme="minorHAnsi"/>
          <w:szCs w:val="24"/>
        </w:rPr>
        <w:t>valuat</w:t>
      </w:r>
      <w:r w:rsidR="00EE7518">
        <w:rPr>
          <w:rFonts w:asciiTheme="minorHAnsi" w:hAnsiTheme="minorHAnsi"/>
          <w:szCs w:val="24"/>
        </w:rPr>
        <w:t>es</w:t>
      </w:r>
      <w:r w:rsidR="00D84F71">
        <w:rPr>
          <w:rFonts w:asciiTheme="minorHAnsi" w:hAnsiTheme="minorHAnsi"/>
          <w:szCs w:val="24"/>
        </w:rPr>
        <w:t xml:space="preserve"> patient experience </w:t>
      </w:r>
      <w:r w:rsidR="00EE7518">
        <w:rPr>
          <w:rFonts w:asciiTheme="minorHAnsi" w:hAnsiTheme="minorHAnsi"/>
          <w:szCs w:val="24"/>
        </w:rPr>
        <w:t xml:space="preserve">through </w:t>
      </w:r>
      <w:r w:rsidR="00D84F71">
        <w:rPr>
          <w:rFonts w:asciiTheme="minorHAnsi" w:hAnsiTheme="minorHAnsi"/>
          <w:szCs w:val="24"/>
        </w:rPr>
        <w:t>multiple lenses including Press Ganey surveys stratified by race, ethnicity, language and insurance type; patient-reported experience metrics</w:t>
      </w:r>
      <w:r w:rsidR="00EE7518">
        <w:rPr>
          <w:rFonts w:asciiTheme="minorHAnsi" w:hAnsiTheme="minorHAnsi"/>
          <w:szCs w:val="24"/>
        </w:rPr>
        <w:t xml:space="preserve">; </w:t>
      </w:r>
      <w:r w:rsidR="00D84F71">
        <w:rPr>
          <w:rFonts w:asciiTheme="minorHAnsi" w:hAnsiTheme="minorHAnsi"/>
          <w:szCs w:val="24"/>
        </w:rPr>
        <w:t xml:space="preserve">adherence and appointment-completion data; </w:t>
      </w:r>
      <w:r w:rsidR="00EE7518">
        <w:rPr>
          <w:rFonts w:asciiTheme="minorHAnsi" w:hAnsiTheme="minorHAnsi"/>
          <w:szCs w:val="24"/>
        </w:rPr>
        <w:t xml:space="preserve">and </w:t>
      </w:r>
      <w:r w:rsidR="00D84F71">
        <w:rPr>
          <w:rFonts w:asciiTheme="minorHAnsi" w:hAnsiTheme="minorHAnsi"/>
          <w:szCs w:val="24"/>
        </w:rPr>
        <w:t>direct feedback from the Applicant’s Adult and Pediatric Patient and Family Advisory Councils</w:t>
      </w:r>
      <w:r w:rsidR="004D0C1E">
        <w:rPr>
          <w:rFonts w:asciiTheme="minorHAnsi" w:hAnsiTheme="minorHAnsi"/>
          <w:szCs w:val="24"/>
        </w:rPr>
        <w:t xml:space="preserve"> (PFAC</w:t>
      </w:r>
      <w:r w:rsidR="0045406E">
        <w:rPr>
          <w:rFonts w:asciiTheme="minorHAnsi" w:hAnsiTheme="minorHAnsi"/>
          <w:szCs w:val="24"/>
        </w:rPr>
        <w:t>s</w:t>
      </w:r>
      <w:r w:rsidR="004D0C1E">
        <w:rPr>
          <w:rFonts w:asciiTheme="minorHAnsi" w:hAnsiTheme="minorHAnsi"/>
          <w:szCs w:val="24"/>
        </w:rPr>
        <w:t>)</w:t>
      </w:r>
      <w:r w:rsidR="00FC26A2">
        <w:rPr>
          <w:rFonts w:asciiTheme="minorHAnsi" w:hAnsiTheme="minorHAnsi"/>
          <w:szCs w:val="24"/>
        </w:rPr>
        <w:t xml:space="preserve"> all of which allow the Applicant to </w:t>
      </w:r>
      <w:r w:rsidR="000B099A">
        <w:rPr>
          <w:rFonts w:asciiTheme="minorHAnsi" w:hAnsiTheme="minorHAnsi"/>
          <w:szCs w:val="24"/>
        </w:rPr>
        <w:t xml:space="preserve">identify disparities, implement targeted improvements, and refine care delivery on a continuous basis. </w:t>
      </w:r>
      <w:r w:rsidR="00B02FE5" w:rsidRPr="00DB1C6F">
        <w:rPr>
          <w:rFonts w:asciiTheme="minorHAnsi" w:hAnsiTheme="minorHAnsi"/>
          <w:szCs w:val="24"/>
        </w:rPr>
        <w:t xml:space="preserve">The Applicant notes its receipt of the </w:t>
      </w:r>
      <w:r w:rsidR="000B099A" w:rsidRPr="00DB1C6F">
        <w:rPr>
          <w:rFonts w:asciiTheme="minorHAnsi" w:hAnsiTheme="minorHAnsi"/>
          <w:szCs w:val="24"/>
        </w:rPr>
        <w:t>Excellent</w:t>
      </w:r>
      <w:r w:rsidR="00B02FE5" w:rsidRPr="00DB1C6F">
        <w:rPr>
          <w:rFonts w:asciiTheme="minorHAnsi" w:hAnsiTheme="minorHAnsi"/>
          <w:szCs w:val="24"/>
        </w:rPr>
        <w:t xml:space="preserve"> Health Outcomes for All Certification, for meeting Joint Commission criteria advancing health equity, accessibility, and inclusive care. </w:t>
      </w:r>
    </w:p>
    <w:p w14:paraId="4724DE57" w14:textId="77777777" w:rsidR="00985554" w:rsidRDefault="00985554" w:rsidP="00B517EA">
      <w:pPr>
        <w:rPr>
          <w:rFonts w:asciiTheme="minorHAnsi" w:hAnsiTheme="minorHAnsi"/>
          <w:szCs w:val="24"/>
        </w:rPr>
      </w:pPr>
    </w:p>
    <w:p w14:paraId="4FAE34C0" w14:textId="756B5A4C" w:rsidR="00DC1DA7" w:rsidRDefault="00E04133" w:rsidP="00B517EA">
      <w:pPr>
        <w:rPr>
          <w:rFonts w:asciiTheme="minorHAnsi" w:hAnsiTheme="minorHAnsi"/>
          <w:b/>
          <w:bCs/>
          <w:i/>
          <w:iCs/>
          <w:szCs w:val="24"/>
        </w:rPr>
      </w:pPr>
      <w:r w:rsidRPr="00B517EA">
        <w:rPr>
          <w:rFonts w:asciiTheme="minorHAnsi" w:hAnsiTheme="minorHAnsi"/>
          <w:b/>
          <w:bCs/>
          <w:i/>
          <w:iCs/>
          <w:szCs w:val="24"/>
        </w:rPr>
        <w:t>Analysis</w:t>
      </w:r>
    </w:p>
    <w:p w14:paraId="66AA38D8" w14:textId="1175A4F3" w:rsidR="000D774D" w:rsidRDefault="00AE18CD" w:rsidP="005363CD">
      <w:pPr>
        <w:rPr>
          <w:rFonts w:asciiTheme="minorHAnsi" w:hAnsiTheme="minorHAnsi"/>
        </w:rPr>
      </w:pPr>
      <w:r w:rsidRPr="14FAFF44">
        <w:rPr>
          <w:rFonts w:asciiTheme="minorHAnsi" w:hAnsiTheme="minorHAnsi"/>
        </w:rPr>
        <w:t xml:space="preserve">Staff finds the Proposed Project will add public health value in terms of improved health outcomes, quality of life, and equity for the Applicant’s Patient Panel. </w:t>
      </w:r>
      <w:r w:rsidR="005363CD" w:rsidRPr="005363CD">
        <w:rPr>
          <w:rFonts w:asciiTheme="minorHAnsi" w:hAnsiTheme="minorHAnsi"/>
        </w:rPr>
        <w:t xml:space="preserve">The </w:t>
      </w:r>
      <w:r w:rsidR="00A249C5">
        <w:rPr>
          <w:rFonts w:asciiTheme="minorHAnsi" w:hAnsiTheme="minorHAnsi"/>
        </w:rPr>
        <w:t>side effects from RT</w:t>
      </w:r>
      <w:r w:rsidR="005363CD" w:rsidRPr="005363CD">
        <w:rPr>
          <w:rFonts w:asciiTheme="minorHAnsi" w:hAnsiTheme="minorHAnsi"/>
        </w:rPr>
        <w:t xml:space="preserve"> can negatively impact individual quality of life and the ability to care for oneself. Staff point to a cross-sectional study examining the prevalence of disabilities among adult cancer survivors in the </w:t>
      </w:r>
      <w:r w:rsidR="007C4821">
        <w:rPr>
          <w:rFonts w:asciiTheme="minorHAnsi" w:hAnsiTheme="minorHAnsi"/>
        </w:rPr>
        <w:t>US</w:t>
      </w:r>
      <w:r w:rsidR="005363CD" w:rsidRPr="005363CD">
        <w:rPr>
          <w:rFonts w:asciiTheme="minorHAnsi" w:hAnsiTheme="minorHAnsi"/>
        </w:rPr>
        <w:t xml:space="preserve"> </w:t>
      </w:r>
      <w:r w:rsidR="00D06091">
        <w:rPr>
          <w:rFonts w:asciiTheme="minorHAnsi" w:hAnsiTheme="minorHAnsi"/>
        </w:rPr>
        <w:t xml:space="preserve">which </w:t>
      </w:r>
      <w:r w:rsidR="005363CD" w:rsidRPr="005363CD">
        <w:rPr>
          <w:rFonts w:asciiTheme="minorHAnsi" w:hAnsiTheme="minorHAnsi"/>
        </w:rPr>
        <w:t xml:space="preserve">found that more than a quarter of </w:t>
      </w:r>
      <w:r w:rsidR="007C4821">
        <w:rPr>
          <w:rFonts w:asciiTheme="minorHAnsi" w:hAnsiTheme="minorHAnsi"/>
        </w:rPr>
        <w:t>US</w:t>
      </w:r>
      <w:r w:rsidR="005363CD" w:rsidRPr="005363CD">
        <w:rPr>
          <w:rFonts w:asciiTheme="minorHAnsi" w:hAnsiTheme="minorHAnsi"/>
        </w:rPr>
        <w:t xml:space="preserve"> cancer survivors surveyed reported mobility disability</w:t>
      </w:r>
      <w:r w:rsidR="00D8074D">
        <w:rPr>
          <w:rFonts w:asciiTheme="minorHAnsi" w:hAnsiTheme="minorHAnsi"/>
        </w:rPr>
        <w:t xml:space="preserve"> and more than 7% reported self-care disability, which were both higher than the noncancer population</w:t>
      </w:r>
      <w:r w:rsidR="005363CD" w:rsidRPr="005363CD">
        <w:rPr>
          <w:rFonts w:asciiTheme="minorHAnsi" w:hAnsiTheme="minorHAnsi"/>
        </w:rPr>
        <w:t>.</w:t>
      </w:r>
      <w:r w:rsidR="005363CD" w:rsidRPr="005363CD">
        <w:rPr>
          <w:rFonts w:asciiTheme="minorHAnsi" w:hAnsiTheme="minorHAnsi"/>
          <w:vertAlign w:val="superscript"/>
        </w:rPr>
        <w:endnoteReference w:id="103"/>
      </w:r>
      <w:r w:rsidR="005363CD" w:rsidRPr="005363CD">
        <w:rPr>
          <w:rFonts w:asciiTheme="minorHAnsi" w:hAnsiTheme="minorHAnsi"/>
        </w:rPr>
        <w:t xml:space="preserve"> Racial/ethnic minorities, underserved groups and individuals with comorbidities, were associated with a higher prevalence of </w:t>
      </w:r>
      <w:r w:rsidR="15A9C458" w:rsidRPr="14FAFF44">
        <w:rPr>
          <w:rFonts w:asciiTheme="minorHAnsi" w:hAnsiTheme="minorHAnsi"/>
        </w:rPr>
        <w:t>mobility and</w:t>
      </w:r>
      <w:r w:rsidR="00D8074D">
        <w:rPr>
          <w:rFonts w:asciiTheme="minorHAnsi" w:hAnsiTheme="minorHAnsi"/>
        </w:rPr>
        <w:t xml:space="preserve"> self-care </w:t>
      </w:r>
      <w:r w:rsidR="005363CD" w:rsidRPr="005363CD">
        <w:rPr>
          <w:rFonts w:asciiTheme="minorHAnsi" w:hAnsiTheme="minorHAnsi"/>
        </w:rPr>
        <w:t>disability in cancer survivors.</w:t>
      </w:r>
      <w:r w:rsidR="005363CD" w:rsidRPr="005363CD">
        <w:rPr>
          <w:rFonts w:asciiTheme="minorHAnsi" w:hAnsiTheme="minorHAnsi"/>
          <w:vertAlign w:val="superscript"/>
        </w:rPr>
        <w:endnoteReference w:id="104"/>
      </w:r>
      <w:r w:rsidR="00D06091">
        <w:rPr>
          <w:rFonts w:asciiTheme="minorHAnsi" w:hAnsiTheme="minorHAnsi"/>
        </w:rPr>
        <w:t xml:space="preserve"> </w:t>
      </w:r>
    </w:p>
    <w:p w14:paraId="4437E5CE" w14:textId="77777777" w:rsidR="000D774D" w:rsidRDefault="000D774D" w:rsidP="005363CD">
      <w:pPr>
        <w:rPr>
          <w:rFonts w:asciiTheme="minorHAnsi" w:hAnsiTheme="minorHAnsi"/>
        </w:rPr>
      </w:pPr>
    </w:p>
    <w:p w14:paraId="36C34CC1" w14:textId="10A680A4" w:rsidR="00AE18CD" w:rsidRPr="00A93E1B" w:rsidRDefault="0045406E" w:rsidP="00AE18CD">
      <w:pPr>
        <w:rPr>
          <w:rFonts w:asciiTheme="minorHAnsi" w:hAnsiTheme="minorHAnsi"/>
        </w:rPr>
      </w:pPr>
      <w:r>
        <w:rPr>
          <w:rFonts w:asciiTheme="minorHAnsi" w:hAnsiTheme="minorHAnsi"/>
        </w:rPr>
        <w:t xml:space="preserve">The Proposed Project will increase local access to PBT for the Applicant’s Patient Panel, helping to reduce </w:t>
      </w:r>
      <w:r w:rsidR="000D774D">
        <w:rPr>
          <w:rFonts w:asciiTheme="minorHAnsi" w:hAnsiTheme="minorHAnsi"/>
        </w:rPr>
        <w:t xml:space="preserve">barriers associated with accessing PBT, and </w:t>
      </w:r>
      <w:r w:rsidR="00A93E1B">
        <w:rPr>
          <w:rFonts w:asciiTheme="minorHAnsi" w:hAnsiTheme="minorHAnsi"/>
        </w:rPr>
        <w:t xml:space="preserve">to </w:t>
      </w:r>
      <w:r w:rsidR="000D774D">
        <w:rPr>
          <w:rFonts w:asciiTheme="minorHAnsi" w:hAnsiTheme="minorHAnsi"/>
        </w:rPr>
        <w:t xml:space="preserve">support coordinated and integrated care cancer treatment. </w:t>
      </w:r>
      <w:r w:rsidR="00EB3B92" w:rsidRPr="72C4DDD8">
        <w:rPr>
          <w:rFonts w:asciiTheme="minorHAnsi" w:hAnsiTheme="minorHAnsi"/>
        </w:rPr>
        <w:t xml:space="preserve">The Applicant states </w:t>
      </w:r>
      <w:r w:rsidR="05644A36" w:rsidRPr="22479D55">
        <w:rPr>
          <w:rFonts w:asciiTheme="minorHAnsi" w:hAnsiTheme="minorHAnsi"/>
        </w:rPr>
        <w:t xml:space="preserve">the proposed upright single-gantry photon therapy system </w:t>
      </w:r>
      <w:r w:rsidR="0081685A">
        <w:rPr>
          <w:rFonts w:asciiTheme="minorHAnsi" w:hAnsiTheme="minorHAnsi"/>
        </w:rPr>
        <w:t>may</w:t>
      </w:r>
      <w:r w:rsidR="0081685A" w:rsidRPr="22479D55">
        <w:rPr>
          <w:rFonts w:asciiTheme="minorHAnsi" w:hAnsiTheme="minorHAnsi"/>
        </w:rPr>
        <w:t xml:space="preserve"> </w:t>
      </w:r>
      <w:r w:rsidR="00EB3B92" w:rsidRPr="72C4DDD8">
        <w:rPr>
          <w:rFonts w:asciiTheme="minorHAnsi" w:hAnsiTheme="minorHAnsi"/>
        </w:rPr>
        <w:t xml:space="preserve">decrease the need for daily sedation through distraction techniques and reduce time requirements for treatment. </w:t>
      </w:r>
      <w:r w:rsidR="004E4F8F" w:rsidRPr="72C4DDD8">
        <w:rPr>
          <w:rFonts w:asciiTheme="minorHAnsi" w:hAnsiTheme="minorHAnsi"/>
        </w:rPr>
        <w:t xml:space="preserve">Written </w:t>
      </w:r>
      <w:r w:rsidR="0000472C">
        <w:rPr>
          <w:rFonts w:asciiTheme="minorHAnsi" w:hAnsiTheme="minorHAnsi"/>
        </w:rPr>
        <w:t>letters of support</w:t>
      </w:r>
      <w:r w:rsidR="004E4F8F" w:rsidRPr="72C4DDD8">
        <w:rPr>
          <w:rFonts w:asciiTheme="minorHAnsi" w:hAnsiTheme="minorHAnsi"/>
        </w:rPr>
        <w:t xml:space="preserve"> note that th</w:t>
      </w:r>
      <w:r w:rsidR="000D774D" w:rsidRPr="72C4DDD8">
        <w:rPr>
          <w:rFonts w:asciiTheme="minorHAnsi" w:hAnsiTheme="minorHAnsi"/>
        </w:rPr>
        <w:t>e upright system</w:t>
      </w:r>
      <w:r w:rsidR="004E4F8F" w:rsidRPr="72C4DDD8">
        <w:rPr>
          <w:rFonts w:asciiTheme="minorHAnsi" w:hAnsiTheme="minorHAnsi"/>
        </w:rPr>
        <w:t xml:space="preserve"> will benefit patients who may not tolerate traditional treatment setups. </w:t>
      </w:r>
      <w:r w:rsidR="00AE18CD" w:rsidRPr="72C4DDD8">
        <w:rPr>
          <w:rFonts w:asciiTheme="minorHAnsi" w:hAnsiTheme="minorHAnsi"/>
        </w:rPr>
        <w:t xml:space="preserve">Staff find that with the “Other Conditions” outlined below </w:t>
      </w:r>
      <w:r w:rsidR="006168F6">
        <w:rPr>
          <w:rFonts w:asciiTheme="minorHAnsi" w:hAnsiTheme="minorHAnsi"/>
        </w:rPr>
        <w:t>that include reporting on</w:t>
      </w:r>
      <w:r w:rsidR="00263901">
        <w:rPr>
          <w:rFonts w:asciiTheme="minorHAnsi" w:hAnsiTheme="minorHAnsi"/>
        </w:rPr>
        <w:t xml:space="preserve"> PBT</w:t>
      </w:r>
      <w:r w:rsidR="006168F6">
        <w:rPr>
          <w:rFonts w:asciiTheme="minorHAnsi" w:hAnsiTheme="minorHAnsi"/>
        </w:rPr>
        <w:t xml:space="preserve"> patient payer mix, race and ethnicity, and language, </w:t>
      </w:r>
      <w:r w:rsidR="00AE18CD" w:rsidRPr="72C4DDD8">
        <w:rPr>
          <w:rFonts w:asciiTheme="minorHAnsi" w:hAnsiTheme="minorHAnsi"/>
        </w:rPr>
        <w:t>and the annual reporting measures outlined in Appendix 1, the requirements of Factor 1(b) have been met.</w:t>
      </w:r>
    </w:p>
    <w:p w14:paraId="6763B99A" w14:textId="77777777" w:rsidR="008D69D1" w:rsidRPr="00A645A6" w:rsidRDefault="008D69D1" w:rsidP="00B517EA">
      <w:pPr>
        <w:rPr>
          <w:rFonts w:asciiTheme="minorHAnsi" w:hAnsiTheme="minorHAnsi"/>
          <w:szCs w:val="24"/>
        </w:rPr>
      </w:pPr>
    </w:p>
    <w:p w14:paraId="7897ED02" w14:textId="041AE456" w:rsidR="00B447F3" w:rsidRDefault="00A4110F" w:rsidP="00C15F61">
      <w:pPr>
        <w:pStyle w:val="Heading1"/>
        <w:spacing w:before="174"/>
        <w:ind w:left="0"/>
        <w:rPr>
          <w:rFonts w:asciiTheme="minorHAnsi" w:hAnsiTheme="minorHAnsi"/>
          <w:color w:val="42558C"/>
        </w:rPr>
      </w:pPr>
      <w:bookmarkStart w:id="8" w:name="Factor_1:_c)_Efficiency,_Continuity_of_C"/>
      <w:bookmarkStart w:id="9" w:name="_Toc223962992"/>
      <w:bookmarkEnd w:id="8"/>
      <w:r w:rsidRPr="003436F0">
        <w:rPr>
          <w:rFonts w:asciiTheme="minorHAnsi" w:hAnsiTheme="minorHAnsi"/>
          <w:color w:val="42558C"/>
        </w:rPr>
        <w:t>Factor 1: c) Efficiency, Continuity of Care, Coordination of Care</w:t>
      </w:r>
      <w:bookmarkEnd w:id="9"/>
    </w:p>
    <w:p w14:paraId="5AAF1A8E" w14:textId="47A5C39C" w:rsidR="00B701BD" w:rsidRDefault="00210333" w:rsidP="00F05627">
      <w:r>
        <w:t xml:space="preserve">  </w:t>
      </w:r>
    </w:p>
    <w:p w14:paraId="1F148AD5" w14:textId="4E98BBFC" w:rsidR="00B71623" w:rsidRDefault="002F0AF1" w:rsidP="00D438F2">
      <w:r>
        <w:rPr>
          <w:b/>
          <w:bCs/>
        </w:rPr>
        <w:t>Continuity and Coordination</w:t>
      </w:r>
      <w:r w:rsidR="00AF6263">
        <w:rPr>
          <w:b/>
          <w:bCs/>
        </w:rPr>
        <w:t xml:space="preserve"> of Care</w:t>
      </w:r>
      <w:r w:rsidR="00684891" w:rsidRPr="00684891">
        <w:t>:</w:t>
      </w:r>
      <w:r w:rsidR="00684891">
        <w:t xml:space="preserve"> </w:t>
      </w:r>
      <w:r w:rsidR="00F83242" w:rsidRPr="006E206E">
        <w:t xml:space="preserve">The </w:t>
      </w:r>
      <w:r w:rsidR="00753964">
        <w:t xml:space="preserve">Applicant states that the </w:t>
      </w:r>
      <w:r w:rsidR="00F83242" w:rsidRPr="006E206E">
        <w:t xml:space="preserve">proposed Center will have physical connectivity to DFCI’s Jimmy Fund Clinic, BCH, the Yawkey Center for Cancer Care, and the </w:t>
      </w:r>
      <w:r w:rsidR="00F83242" w:rsidRPr="006E206E">
        <w:lastRenderedPageBreak/>
        <w:t>Applicant’s FCH</w:t>
      </w:r>
      <w:r w:rsidR="00F83242">
        <w:t xml:space="preserve"> currently in construction, supporting coordination and continuity of care among the Center’s adult and pediatric patients</w:t>
      </w:r>
      <w:r w:rsidR="00F83242" w:rsidRPr="006E206E">
        <w:t>.</w:t>
      </w:r>
      <w:r w:rsidR="00F83242">
        <w:t xml:space="preserve"> </w:t>
      </w:r>
    </w:p>
    <w:p w14:paraId="4017B3E0" w14:textId="77777777" w:rsidR="00B71623" w:rsidRDefault="00B71623" w:rsidP="00D438F2"/>
    <w:p w14:paraId="6FFC604D" w14:textId="6CC32D78" w:rsidR="00316359" w:rsidRDefault="32C44C9A" w:rsidP="00D438F2">
      <w:r>
        <w:t xml:space="preserve">The Applicant </w:t>
      </w:r>
      <w:r w:rsidR="67615AC1">
        <w:t>asserts</w:t>
      </w:r>
      <w:r>
        <w:t xml:space="preserve"> that the Center will provide a level of coordinated pediatric oncology care that is currently not available in the Commonwealth, including continuous on-site access to pediatric emergency services, pediatric anesthesia, and complex pediatric subspecialty teams offered by the Center that cannot be replicated in a community setting. The Applicant states that BCH cares for the majority of children in Boston with pediatric cancer,</w:t>
      </w:r>
      <w:r w:rsidR="00DB51AD">
        <w:t xml:space="preserve"> </w:t>
      </w:r>
      <w:r>
        <w:t xml:space="preserve">and </w:t>
      </w:r>
      <w:r w:rsidR="00DB51AD">
        <w:t xml:space="preserve">while </w:t>
      </w:r>
      <w:r w:rsidR="00DB51AD" w:rsidRPr="00DB51AD">
        <w:t>some pediatric patients may receive certain radiology services at BCH satellite locations outside of Boston, all other pediatric services including oncology and stem cell care are provided at BCH’s Boston location.</w:t>
      </w:r>
      <w:r w:rsidR="00DB51AD">
        <w:t xml:space="preserve"> </w:t>
      </w:r>
      <w:r>
        <w:t>DFCI’s leading experts collaborate with multidisciplinary teams at BCH with expertise in surgical and supportive care disciplines. This level of coordinated care reduces risk for medically complex, immunocompromised, and high-acuity patients. T</w:t>
      </w:r>
      <w:r w:rsidR="7DF0199F">
        <w:t xml:space="preserve">he Center’s location will be easily accessible for pediatric patients receiving concurrent chemotherapy at the Applicant’s Jimmy Fund clinic and at BCH as the Center will be able to be accessed through physical connectors between the hospitals, reducing patient travel to multiple locations for care; and because BCH’s specialized anesthesia staff will be easily accessible for children with additional special needs. </w:t>
      </w:r>
    </w:p>
    <w:p w14:paraId="1B9C8F9E" w14:textId="77777777" w:rsidR="007A72B0" w:rsidRDefault="007A72B0" w:rsidP="00D438F2"/>
    <w:p w14:paraId="3322D25F" w14:textId="31F6FB4A" w:rsidR="00D438F2" w:rsidRDefault="00D438F2" w:rsidP="00D438F2">
      <w:r w:rsidRPr="00D438F2">
        <w:t>BCH patients will be able to access the Center without going outside, which the Applicant states will minimize fragmentation, reduce patient burden, and ensure consistent oversight by the same care teams coordinating chemotherapy and radiation. The Center’s co-location with BCH and the Jimmy Fund Clinic will support coordinated care for both inpatient and outpatient pediatric oncology patients, as the Applicant’s clinicians estimate that at least one in ten inpatient pediatric oncology patients are eligible for PBT.</w:t>
      </w:r>
      <w:r w:rsidR="009E2B5F">
        <w:t xml:space="preserve"> </w:t>
      </w:r>
      <w:r w:rsidRPr="00D438F2">
        <w:t xml:space="preserve">With this integrated continuum of care, patients will not require ambulance transfers from an off-site facility to Dana-Farber or BCH should complications arise, reducing the avoidable clinical risk inherent in such transfers, and eliminating delays associated with patient transport and handoffs which can exacerbate emergency conditions, and compromise airway safety, and particularly so for patients who are sedated, and for patients with central lines or cardiopulmonary vulnerabilities. </w:t>
      </w:r>
    </w:p>
    <w:p w14:paraId="593F7C37" w14:textId="77777777" w:rsidR="00D94333" w:rsidRDefault="00D94333" w:rsidP="00D438F2"/>
    <w:p w14:paraId="074A5010" w14:textId="77777777" w:rsidR="00D94333" w:rsidRDefault="00D94333" w:rsidP="00D94333">
      <w:r>
        <w:t>A letter of support from Dr, Eric Dickson, UMass Memorial Health’s President and CEO states: “</w:t>
      </w:r>
      <w:r w:rsidRPr="002F4329">
        <w:rPr>
          <w:i/>
          <w:iCs/>
        </w:rPr>
        <w:t>Given Dana-Farber Cancer Institute’s Jimmy Fund Clinic and proximity to Boston Children’s Hospital, we believe this proton therapy service will prove particularly beneficial to pediatric cancer patients and their loved ones, making access to this lifesaving technology convenient and enabling close clinical coordination with pediatric patients’ primary care teams and other sites of care.</w:t>
      </w:r>
      <w:r>
        <w:t xml:space="preserve">” The Applicant anticipates that UMass will continue referring pediatric patients needing PBT to DFCI and BCH, who the Applicant states already serve most pediatric patients needing PBT. </w:t>
      </w:r>
    </w:p>
    <w:p w14:paraId="71C59C50" w14:textId="77777777" w:rsidR="003B17C8" w:rsidRDefault="003B17C8" w:rsidP="00D94333"/>
    <w:p w14:paraId="3026AC1C" w14:textId="77777777" w:rsidR="003B17C8" w:rsidRDefault="003B17C8" w:rsidP="003B17C8">
      <w:r>
        <w:t xml:space="preserve">The Applicant’s combined pediatric program with BCH will assume responsibility for the oncology care of patients referred for PBT and that will require subspecialty care. </w:t>
      </w:r>
      <w:r w:rsidRPr="00D8074D">
        <w:t>Dr. Ryan Nagy, BCH’s President and System COO states, “</w:t>
      </w:r>
      <w:r w:rsidRPr="00D8074D">
        <w:rPr>
          <w:i/>
          <w:iCs/>
        </w:rPr>
        <w:t xml:space="preserve">Our integrated model with Dana-Farber provides a comprehensive approach to pediatric oncology, combining the unique strengths of both institutions. </w:t>
      </w:r>
      <w:r w:rsidRPr="00D8074D">
        <w:rPr>
          <w:i/>
          <w:iCs/>
        </w:rPr>
        <w:lastRenderedPageBreak/>
        <w:t>This collaborative effort enhances the continuum of care from high-complexity surgeries to outpatient ancillary services</w:t>
      </w:r>
      <w:r w:rsidRPr="00D8074D">
        <w:t>.”</w:t>
      </w:r>
    </w:p>
    <w:p w14:paraId="29761788" w14:textId="77777777" w:rsidR="00D438F2" w:rsidRDefault="00D438F2" w:rsidP="00525E10"/>
    <w:p w14:paraId="082D3834" w14:textId="35E870F2" w:rsidR="00525E10" w:rsidRPr="00525E10" w:rsidRDefault="00525E10" w:rsidP="00525E10">
      <w:r w:rsidRPr="00525E10">
        <w:t>The Applicant states that the Center’s close proximity to the Applicant’s Yawkey Center for Cancer Care and the Applicant’s FCH will ensure the same level of coordination for the Applicant’s adult patients. The Applicant states care fragmentation will be minimized and patient outcomes will be optimized among DFCI’s adult</w:t>
      </w:r>
      <w:r w:rsidR="00BF1450">
        <w:t xml:space="preserve"> and pediatric</w:t>
      </w:r>
      <w:r w:rsidRPr="00525E10">
        <w:t xml:space="preserve"> patients as a result of DFCI’s multidisciplinary care teams and nurse navigators that will facilitate provider communication and treatment planning for the Center’s patients, and social workers and resource specialists that will support care coordination and address logistical and financial barriers to care.</w:t>
      </w:r>
    </w:p>
    <w:p w14:paraId="5CAFE62D" w14:textId="77777777" w:rsidR="00F83242" w:rsidRDefault="00F83242" w:rsidP="00F83242"/>
    <w:p w14:paraId="631E44AE" w14:textId="7539AB50" w:rsidR="00F83242" w:rsidRDefault="00FF606C" w:rsidP="00F83242">
      <w:r w:rsidRPr="00FF606C">
        <w:t xml:space="preserve">The Applicant </w:t>
      </w:r>
      <w:r w:rsidR="00BE4CF2">
        <w:t>asserts</w:t>
      </w:r>
      <w:r w:rsidRPr="00FF606C">
        <w:t xml:space="preserve"> that inclusion of PBT at Dana-Farber facilities “minimizes fragmented scheduling, reduces cumulative travel and care burden, improves adherence to complex regimens, and supports consistent oversight by the same oncology and supportive care teams coordinating chemotherapy, surgery, and radiation.” </w:t>
      </w:r>
      <w:r w:rsidR="0007263F" w:rsidRPr="0007263F">
        <w:t>The Applicant states that in many cases, the Center’s pediatric and adult patients will already be visiting DFCI for other components of their outpatient care, including chemotherapy infusion.</w:t>
      </w:r>
      <w:r w:rsidR="0007263F">
        <w:t xml:space="preserve"> </w:t>
      </w:r>
      <w:r w:rsidR="00F83242">
        <w:t xml:space="preserve">RT is commonly added to other treatments such as surgery and chemotherapy, to enhance treatment efficacy, improve outcomes and reduce recurrence. </w:t>
      </w:r>
      <w:r w:rsidR="00F83242" w:rsidRPr="00320F64">
        <w:t xml:space="preserve">PBT </w:t>
      </w:r>
      <w:r w:rsidR="00F83242">
        <w:t>may be</w:t>
      </w:r>
      <w:r w:rsidR="00F83242" w:rsidRPr="00320F64">
        <w:t xml:space="preserve"> delivered concurrently with chemotherapy, and often mid-treatment</w:t>
      </w:r>
      <w:r w:rsidR="00F83242">
        <w:t xml:space="preserve"> for both pediatric and adult patients. The current PBT referral process requires patients to transfer care, including oncology care, ancillary care, and psychosocial care, mid-treatment because PBT is unavailable locally, and this can result in delays in resumption of chemotherapy and initiation of control radiotherapy. Additionally, when a patient is referred to another provider for their PBT, the patient and family need to navigate introductions to a new oncology team, a new hospital, and are subject to different care algorithms, treatment philosophies, and incongruent management of therapy, toxicity, and related supportive care. </w:t>
      </w:r>
    </w:p>
    <w:p w14:paraId="1B3DBC7A" w14:textId="77777777" w:rsidR="00F83242" w:rsidRDefault="00F83242" w:rsidP="00F83242"/>
    <w:p w14:paraId="08BCD8CD" w14:textId="196FE582" w:rsidR="004668C6" w:rsidRPr="004668C6" w:rsidRDefault="004829A2" w:rsidP="004668C6">
      <w:r w:rsidRPr="004829A2">
        <w:t xml:space="preserve">The Applicant states that the Proposed Project will improve continuity of care, because it will support continued access to the Applicant’s oncologists and oncology nurses. </w:t>
      </w:r>
      <w:r w:rsidR="00F6169A">
        <w:t>The Applicant</w:t>
      </w:r>
      <w:r>
        <w:t xml:space="preserve">’s </w:t>
      </w:r>
      <w:r w:rsidR="00F6169A">
        <w:t xml:space="preserve">staff will continue existing formal processes for linking patients with cancer with referring physicians, which are often PCPs, and other specialists, for follow-up care. </w:t>
      </w:r>
      <w:r w:rsidR="004668C6" w:rsidRPr="004668C6">
        <w:t xml:space="preserve">The Applicant notes that it maintains strong collaborations with referral centers through its bone marrow transplant and surgical programs. </w:t>
      </w:r>
    </w:p>
    <w:p w14:paraId="2B94FBC8" w14:textId="77777777" w:rsidR="00B55A94" w:rsidRDefault="00B55A94" w:rsidP="00D8074D"/>
    <w:p w14:paraId="5D58CC34" w14:textId="164C2B55" w:rsidR="00CD10E4" w:rsidRPr="001769C6" w:rsidRDefault="6914362A" w:rsidP="3DE251F5">
      <w:pPr>
        <w:rPr>
          <w:rFonts w:asciiTheme="minorHAnsi" w:hAnsiTheme="minorHAnsi"/>
        </w:rPr>
      </w:pPr>
      <w:r w:rsidRPr="3DE251F5">
        <w:rPr>
          <w:b/>
          <w:bCs/>
        </w:rPr>
        <w:t xml:space="preserve">Electronic Health </w:t>
      </w:r>
      <w:r w:rsidR="3A01A97F" w:rsidRPr="3DE251F5">
        <w:rPr>
          <w:b/>
          <w:bCs/>
        </w:rPr>
        <w:t>Record</w:t>
      </w:r>
      <w:r w:rsidR="762D146E" w:rsidRPr="3DE251F5">
        <w:rPr>
          <w:b/>
          <w:bCs/>
        </w:rPr>
        <w:t xml:space="preserve"> (EHR)</w:t>
      </w:r>
      <w:r w:rsidR="3A01A97F">
        <w:t xml:space="preserve">: </w:t>
      </w:r>
      <w:r w:rsidR="65338643">
        <w:t xml:space="preserve">The Applicant states that it has a fully interoperable EMR system and that its care teams routinely communicate with outside providers. </w:t>
      </w:r>
      <w:r w:rsidR="3A01A97F">
        <w:t xml:space="preserve">The Applicant’s </w:t>
      </w:r>
      <w:r w:rsidR="0A58E123">
        <w:t>EHR</w:t>
      </w:r>
      <w:r w:rsidR="3A01A97F">
        <w:t xml:space="preserve"> system, EPIC, is used across all of its facilities to coordinate care</w:t>
      </w:r>
      <w:r w:rsidR="0C34CDD4">
        <w:t>. T</w:t>
      </w:r>
      <w:r w:rsidR="78E1BD45">
        <w:t>he Center’s</w:t>
      </w:r>
      <w:r w:rsidR="156C5696">
        <w:t xml:space="preserve"> patients </w:t>
      </w:r>
      <w:r w:rsidR="00851AF3">
        <w:t>will</w:t>
      </w:r>
      <w:r w:rsidR="2EEA291C">
        <w:t xml:space="preserve"> be</w:t>
      </w:r>
      <w:r w:rsidR="00116BAD">
        <w:t xml:space="preserve"> tracked and </w:t>
      </w:r>
      <w:r w:rsidR="00800F28">
        <w:t xml:space="preserve">managed </w:t>
      </w:r>
      <w:r w:rsidR="00116BAD">
        <w:t>in</w:t>
      </w:r>
      <w:r w:rsidR="156C5696">
        <w:t xml:space="preserve"> DFCI’s existing EMR system</w:t>
      </w:r>
      <w:r w:rsidR="78E1BD45">
        <w:t>, to facilitate continuity and coordination of care</w:t>
      </w:r>
      <w:r w:rsidR="2E3DFD4A">
        <w:t xml:space="preserve"> for the Center’s adult and pediatric patients</w:t>
      </w:r>
      <w:r w:rsidR="78E1BD45">
        <w:t>.</w:t>
      </w:r>
      <w:r w:rsidR="3A01A97F">
        <w:t xml:space="preserve"> </w:t>
      </w:r>
      <w:r w:rsidR="0AA2A1FF">
        <w:t xml:space="preserve">DFCI uses Epic for its EMR system for both its adult and pediatric </w:t>
      </w:r>
      <w:r w:rsidR="4CEE9314">
        <w:t>practices</w:t>
      </w:r>
      <w:r w:rsidR="0AA2A1FF">
        <w:t xml:space="preserve"> to coordinate care, share clinical notes, and track patient progress, which enables integrated workflows, patient safety for pediatric and adult oncology patients, and supports multidisciplinary care and communication across specialties. </w:t>
      </w:r>
      <w:r w:rsidR="617180B4">
        <w:t xml:space="preserve">The Applicant states that its service </w:t>
      </w:r>
      <w:r w:rsidR="617180B4">
        <w:lastRenderedPageBreak/>
        <w:t xml:space="preserve">lines are fully integrated through </w:t>
      </w:r>
      <w:r w:rsidR="3E979A4A">
        <w:t>EPIC</w:t>
      </w:r>
      <w:r w:rsidR="617180B4">
        <w:t xml:space="preserve">, </w:t>
      </w:r>
      <w:r w:rsidR="3E979A4A">
        <w:t>which</w:t>
      </w:r>
      <w:r w:rsidR="617180B4">
        <w:t xml:space="preserve"> connect</w:t>
      </w:r>
      <w:r w:rsidR="3E979A4A">
        <w:t>s</w:t>
      </w:r>
      <w:r w:rsidR="617180B4">
        <w:t xml:space="preserve"> medical oncology, surgical oncology, radiation oncology, pediatric, imaging, and supportive service. </w:t>
      </w:r>
      <w:r w:rsidR="3A01A97F">
        <w:t xml:space="preserve">EPIC’s shared note functionality allows DFCI’s clinical staff to provide necessary information to patients’ referring physicians. Depending on the type of cancer, some physicians also follow-up thorough email and phone to connect to referring providers and local care providers. </w:t>
      </w:r>
      <w:r w:rsidR="617180B4" w:rsidRPr="3DE251F5">
        <w:rPr>
          <w:rFonts w:asciiTheme="minorHAnsi" w:hAnsiTheme="minorHAnsi"/>
        </w:rPr>
        <w:t xml:space="preserve">The Applicant states that multidisciplinary disease-center clinics and tumor boards allow clinicians to jointly plan treatment, align sequencing, and coordinate follow-up. Additionally, nurse navigators manage communication across teams, monitor treatment milestones, facilitate specialty referrals, and ensure seamless and timely movement of patients between chemotherapy, surgery, and radiation services. </w:t>
      </w:r>
      <w:r w:rsidR="23ED8E57" w:rsidRPr="3DE251F5">
        <w:rPr>
          <w:rFonts w:asciiTheme="minorHAnsi" w:hAnsiTheme="minorHAnsi"/>
        </w:rPr>
        <w:t>The Applican</w:t>
      </w:r>
      <w:r w:rsidR="2E07B0D5" w:rsidRPr="3DE251F5">
        <w:rPr>
          <w:rFonts w:asciiTheme="minorHAnsi" w:hAnsiTheme="minorHAnsi"/>
        </w:rPr>
        <w:t>t states that its</w:t>
      </w:r>
      <w:r w:rsidR="23ED8E57" w:rsidRPr="3DE251F5">
        <w:rPr>
          <w:rFonts w:asciiTheme="minorHAnsi" w:hAnsiTheme="minorHAnsi"/>
        </w:rPr>
        <w:t xml:space="preserve"> pediatric oncology program has longstanding, collaborative relationships with </w:t>
      </w:r>
      <w:r w:rsidR="2E07B0D5" w:rsidRPr="3DE251F5">
        <w:rPr>
          <w:rFonts w:asciiTheme="minorHAnsi" w:hAnsiTheme="minorHAnsi"/>
        </w:rPr>
        <w:t xml:space="preserve">all regional referral centers in Upstate New York, Maine, New Hampshire, Vermont, Rhode Island, Connecticut and Massachusetts. </w:t>
      </w:r>
    </w:p>
    <w:p w14:paraId="71B2D367" w14:textId="77777777" w:rsidR="00DB38BA" w:rsidRDefault="00DB38BA" w:rsidP="00BA2054"/>
    <w:p w14:paraId="550AD8B9" w14:textId="77777777" w:rsidR="00B447F3" w:rsidRPr="00F06B37" w:rsidRDefault="00A4110F" w:rsidP="00BA2054">
      <w:pPr>
        <w:rPr>
          <w:rFonts w:asciiTheme="minorHAnsi" w:hAnsiTheme="minorHAnsi"/>
          <w:b/>
          <w:bCs/>
          <w:i/>
          <w:iCs/>
          <w:szCs w:val="24"/>
        </w:rPr>
      </w:pPr>
      <w:r w:rsidRPr="00F06B37">
        <w:rPr>
          <w:rFonts w:asciiTheme="minorHAnsi" w:hAnsiTheme="minorHAnsi"/>
          <w:b/>
          <w:bCs/>
          <w:i/>
          <w:iCs/>
          <w:szCs w:val="24"/>
        </w:rPr>
        <w:t>Analysis</w:t>
      </w:r>
    </w:p>
    <w:p w14:paraId="71F7862B" w14:textId="63968BF6" w:rsidR="0087426C" w:rsidRDefault="00E82639" w:rsidP="00BA2054">
      <w:pPr>
        <w:rPr>
          <w:rFonts w:asciiTheme="minorHAnsi" w:hAnsiTheme="minorHAnsi"/>
          <w:szCs w:val="24"/>
        </w:rPr>
      </w:pPr>
      <w:r w:rsidRPr="00E82639">
        <w:rPr>
          <w:rFonts w:asciiTheme="minorHAnsi" w:hAnsiTheme="minorHAnsi"/>
          <w:szCs w:val="24"/>
        </w:rPr>
        <w:t>Staff finds that the</w:t>
      </w:r>
      <w:r w:rsidR="00FE45C6">
        <w:rPr>
          <w:rFonts w:asciiTheme="minorHAnsi" w:hAnsiTheme="minorHAnsi"/>
          <w:szCs w:val="24"/>
        </w:rPr>
        <w:t xml:space="preserve"> Applicant has demonstrated how the Proposed Project will support coordination and continuity of care for the Applicant’s Patient Panel</w:t>
      </w:r>
      <w:r w:rsidR="00BE234E">
        <w:rPr>
          <w:rFonts w:asciiTheme="minorHAnsi" w:hAnsiTheme="minorHAnsi"/>
          <w:szCs w:val="24"/>
        </w:rPr>
        <w:t>.</w:t>
      </w:r>
      <w:r w:rsidR="00BE234E">
        <w:rPr>
          <w:rFonts w:asciiTheme="minorHAnsi" w:hAnsiTheme="minorHAnsi"/>
          <w:sz w:val="18"/>
        </w:rPr>
        <w:t xml:space="preserve"> </w:t>
      </w:r>
      <w:r w:rsidR="00FE45C6">
        <w:rPr>
          <w:rFonts w:asciiTheme="minorHAnsi" w:hAnsiTheme="minorHAnsi"/>
          <w:szCs w:val="24"/>
        </w:rPr>
        <w:t xml:space="preserve">The Applicant has cited a number of </w:t>
      </w:r>
      <w:r w:rsidR="00C0261F">
        <w:rPr>
          <w:rFonts w:asciiTheme="minorHAnsi" w:hAnsiTheme="minorHAnsi"/>
          <w:szCs w:val="24"/>
        </w:rPr>
        <w:t>existing</w:t>
      </w:r>
      <w:r w:rsidR="00415665">
        <w:rPr>
          <w:rFonts w:asciiTheme="minorHAnsi" w:hAnsiTheme="minorHAnsi"/>
          <w:szCs w:val="24"/>
        </w:rPr>
        <w:t xml:space="preserve"> </w:t>
      </w:r>
      <w:r w:rsidR="00FE45C6">
        <w:rPr>
          <w:rFonts w:asciiTheme="minorHAnsi" w:hAnsiTheme="minorHAnsi"/>
          <w:szCs w:val="24"/>
        </w:rPr>
        <w:t>processes and resources in place t</w:t>
      </w:r>
      <w:r w:rsidR="00415665">
        <w:rPr>
          <w:rFonts w:asciiTheme="minorHAnsi" w:hAnsiTheme="minorHAnsi"/>
          <w:szCs w:val="24"/>
        </w:rPr>
        <w:t>hat</w:t>
      </w:r>
      <w:r w:rsidR="00FE45C6">
        <w:rPr>
          <w:rFonts w:asciiTheme="minorHAnsi" w:hAnsiTheme="minorHAnsi"/>
          <w:szCs w:val="24"/>
        </w:rPr>
        <w:t xml:space="preserve"> support patients through their cancer care journey. Additionally, the Applicant explained how the Proposed Project’s location will support improved continuity of care for pediatric patients accessing the Center. </w:t>
      </w:r>
      <w:r w:rsidR="00455AF0" w:rsidRPr="00455AF0">
        <w:rPr>
          <w:rFonts w:asciiTheme="minorHAnsi" w:hAnsiTheme="minorHAnsi"/>
          <w:szCs w:val="24"/>
        </w:rPr>
        <w:t>As a result, Staff finds that the Proposed Project meets the requirements of Factor 1c.</w:t>
      </w:r>
    </w:p>
    <w:p w14:paraId="6FF273A9" w14:textId="77777777" w:rsidR="00B754CA" w:rsidRPr="00455AF0" w:rsidRDefault="00B754CA" w:rsidP="00BA2054">
      <w:pPr>
        <w:rPr>
          <w:rFonts w:asciiTheme="minorHAnsi" w:hAnsiTheme="minorHAnsi"/>
          <w:szCs w:val="24"/>
        </w:rPr>
      </w:pPr>
    </w:p>
    <w:p w14:paraId="1C366B98" w14:textId="23676C2A" w:rsidR="00B447F3" w:rsidRPr="003436F0" w:rsidRDefault="00A4110F" w:rsidP="00BA2054">
      <w:pPr>
        <w:pStyle w:val="Heading1"/>
        <w:ind w:left="0"/>
        <w:jc w:val="both"/>
        <w:rPr>
          <w:rFonts w:asciiTheme="minorHAnsi" w:hAnsiTheme="minorHAnsi"/>
        </w:rPr>
      </w:pPr>
      <w:bookmarkStart w:id="10" w:name="Factor_1:_d)_Consultation"/>
      <w:bookmarkStart w:id="11" w:name="_Toc223962993"/>
      <w:bookmarkEnd w:id="10"/>
      <w:r w:rsidRPr="003436F0">
        <w:rPr>
          <w:rFonts w:asciiTheme="minorHAnsi" w:hAnsiTheme="minorHAnsi"/>
          <w:color w:val="42558C"/>
        </w:rPr>
        <w:t>Factor 1: d) Consultation</w:t>
      </w:r>
      <w:bookmarkEnd w:id="11"/>
    </w:p>
    <w:p w14:paraId="6ECA67A1" w14:textId="77777777" w:rsidR="00B447F3" w:rsidRDefault="00A4110F" w:rsidP="00BA2054">
      <w:pPr>
        <w:pStyle w:val="BodyText"/>
        <w:ind w:right="484"/>
        <w:jc w:val="both"/>
        <w:rPr>
          <w:rFonts w:asciiTheme="minorHAnsi" w:hAnsiTheme="minorHAnsi"/>
        </w:rPr>
      </w:pPr>
      <w:r w:rsidRPr="003436F0">
        <w:rPr>
          <w:rFonts w:asciiTheme="minorHAnsi" w:hAnsiTheme="minorHAnsi"/>
        </w:rPr>
        <w:t>The Applicant has provided evidence of consultation, both prior to and after the Filing Date, with all government agencies that have licensure, certification, or other regulatory oversight, which has been done and will not be addressed further in this report.</w:t>
      </w:r>
    </w:p>
    <w:p w14:paraId="034F89C3" w14:textId="77777777" w:rsidR="00F46EE8" w:rsidRDefault="00F46EE8" w:rsidP="00BA2054">
      <w:pPr>
        <w:pStyle w:val="BodyText"/>
        <w:ind w:right="484"/>
        <w:jc w:val="both"/>
        <w:rPr>
          <w:rFonts w:asciiTheme="minorHAnsi" w:hAnsiTheme="minorHAnsi"/>
        </w:rPr>
      </w:pPr>
    </w:p>
    <w:p w14:paraId="3BE4534C" w14:textId="5A0C1FC5" w:rsidR="00B447F3" w:rsidRPr="003436F0" w:rsidRDefault="00A4110F" w:rsidP="00BA2054">
      <w:pPr>
        <w:pStyle w:val="Heading1"/>
        <w:ind w:left="0" w:right="496"/>
        <w:rPr>
          <w:rFonts w:asciiTheme="minorHAnsi" w:hAnsiTheme="minorHAnsi"/>
        </w:rPr>
      </w:pPr>
      <w:bookmarkStart w:id="12" w:name="Factor_1:_e)_Evidence_of_Sound_Community"/>
      <w:bookmarkStart w:id="13" w:name="_Toc223962994"/>
      <w:bookmarkEnd w:id="12"/>
      <w:r w:rsidRPr="003436F0">
        <w:rPr>
          <w:rFonts w:asciiTheme="minorHAnsi" w:hAnsiTheme="minorHAnsi"/>
          <w:color w:val="42558C"/>
        </w:rPr>
        <w:t xml:space="preserve">Factor 1: e) Evidence of Sound Community Engagement </w:t>
      </w:r>
      <w:r w:rsidR="003168BC">
        <w:rPr>
          <w:rFonts w:asciiTheme="minorHAnsi" w:hAnsiTheme="minorHAnsi"/>
          <w:color w:val="42558C"/>
        </w:rPr>
        <w:t>Through the Patient Panel</w:t>
      </w:r>
      <w:bookmarkEnd w:id="13"/>
    </w:p>
    <w:p w14:paraId="415C51CB" w14:textId="779FD403" w:rsidR="00B447F3" w:rsidRDefault="00A4110F" w:rsidP="00BA2054">
      <w:pPr>
        <w:pStyle w:val="BodyText"/>
        <w:ind w:right="263"/>
        <w:rPr>
          <w:rFonts w:asciiTheme="minorHAnsi" w:hAnsiTheme="minorHAnsi"/>
        </w:rPr>
      </w:pPr>
      <w:r w:rsidRPr="00651967">
        <w:rPr>
          <w:rFonts w:asciiTheme="minorHAnsi" w:hAnsiTheme="minorHAnsi"/>
        </w:rPr>
        <w:t>The Department’s Guideline</w:t>
      </w:r>
      <w:r w:rsidRPr="00651967">
        <w:rPr>
          <w:rFonts w:asciiTheme="minorHAnsi" w:hAnsiTheme="minorHAnsi"/>
          <w:position w:val="10"/>
          <w:sz w:val="14"/>
        </w:rPr>
        <w:t xml:space="preserve"> </w:t>
      </w:r>
      <w:r w:rsidRPr="00651967">
        <w:rPr>
          <w:rFonts w:asciiTheme="minorHAnsi" w:hAnsiTheme="minorHAnsi"/>
        </w:rPr>
        <w:t>for community engagement defines “community” as the Patient Panel,</w:t>
      </w:r>
      <w:r w:rsidRPr="00651967">
        <w:rPr>
          <w:rFonts w:asciiTheme="minorHAnsi" w:hAnsiTheme="minorHAnsi"/>
          <w:spacing w:val="-3"/>
        </w:rPr>
        <w:t xml:space="preserve"> </w:t>
      </w:r>
      <w:r w:rsidRPr="00651967">
        <w:rPr>
          <w:rFonts w:asciiTheme="minorHAnsi" w:hAnsiTheme="minorHAnsi"/>
        </w:rPr>
        <w:t>and</w:t>
      </w:r>
      <w:r w:rsidRPr="00651967">
        <w:rPr>
          <w:rFonts w:asciiTheme="minorHAnsi" w:hAnsiTheme="minorHAnsi"/>
          <w:spacing w:val="-4"/>
        </w:rPr>
        <w:t xml:space="preserve"> </w:t>
      </w:r>
      <w:r w:rsidRPr="00651967">
        <w:rPr>
          <w:rFonts w:asciiTheme="minorHAnsi" w:hAnsiTheme="minorHAnsi"/>
        </w:rPr>
        <w:t>requires</w:t>
      </w:r>
      <w:r w:rsidRPr="00651967">
        <w:rPr>
          <w:rFonts w:asciiTheme="minorHAnsi" w:hAnsiTheme="minorHAnsi"/>
          <w:spacing w:val="-4"/>
        </w:rPr>
        <w:t xml:space="preserve"> </w:t>
      </w:r>
      <w:r w:rsidRPr="00651967">
        <w:rPr>
          <w:rFonts w:asciiTheme="minorHAnsi" w:hAnsiTheme="minorHAnsi"/>
        </w:rPr>
        <w:t>that</w:t>
      </w:r>
      <w:r w:rsidRPr="00651967">
        <w:rPr>
          <w:rFonts w:asciiTheme="minorHAnsi" w:hAnsiTheme="minorHAnsi"/>
          <w:spacing w:val="-4"/>
        </w:rPr>
        <w:t xml:space="preserve"> </w:t>
      </w:r>
      <w:r w:rsidRPr="00651967">
        <w:rPr>
          <w:rFonts w:asciiTheme="minorHAnsi" w:hAnsiTheme="minorHAnsi"/>
        </w:rPr>
        <w:t>at</w:t>
      </w:r>
      <w:r w:rsidRPr="00651967">
        <w:rPr>
          <w:rFonts w:asciiTheme="minorHAnsi" w:hAnsiTheme="minorHAnsi"/>
          <w:spacing w:val="-5"/>
        </w:rPr>
        <w:t xml:space="preserve"> </w:t>
      </w:r>
      <w:r w:rsidRPr="00651967">
        <w:rPr>
          <w:rFonts w:asciiTheme="minorHAnsi" w:hAnsiTheme="minorHAnsi"/>
        </w:rPr>
        <w:t>minimum,</w:t>
      </w:r>
      <w:r w:rsidRPr="00651967">
        <w:rPr>
          <w:rFonts w:asciiTheme="minorHAnsi" w:hAnsiTheme="minorHAnsi"/>
          <w:spacing w:val="-3"/>
        </w:rPr>
        <w:t xml:space="preserve"> </w:t>
      </w:r>
      <w:r w:rsidRPr="00651967">
        <w:rPr>
          <w:rFonts w:asciiTheme="minorHAnsi" w:hAnsiTheme="minorHAnsi"/>
        </w:rPr>
        <w:t>the</w:t>
      </w:r>
      <w:r w:rsidRPr="00651967">
        <w:rPr>
          <w:rFonts w:asciiTheme="minorHAnsi" w:hAnsiTheme="minorHAnsi"/>
          <w:spacing w:val="-3"/>
        </w:rPr>
        <w:t xml:space="preserve"> </w:t>
      </w:r>
      <w:r w:rsidRPr="00651967">
        <w:rPr>
          <w:rFonts w:asciiTheme="minorHAnsi" w:hAnsiTheme="minorHAnsi"/>
        </w:rPr>
        <w:t>Applicant</w:t>
      </w:r>
      <w:r w:rsidRPr="00651967">
        <w:rPr>
          <w:rFonts w:asciiTheme="minorHAnsi" w:hAnsiTheme="minorHAnsi"/>
          <w:spacing w:val="-5"/>
        </w:rPr>
        <w:t xml:space="preserve"> </w:t>
      </w:r>
      <w:r w:rsidRPr="00651967">
        <w:rPr>
          <w:rFonts w:asciiTheme="minorHAnsi" w:hAnsiTheme="minorHAnsi"/>
        </w:rPr>
        <w:t>must</w:t>
      </w:r>
      <w:r w:rsidRPr="00651967">
        <w:rPr>
          <w:rFonts w:asciiTheme="minorHAnsi" w:hAnsiTheme="minorHAnsi"/>
          <w:spacing w:val="-4"/>
        </w:rPr>
        <w:t xml:space="preserve"> </w:t>
      </w:r>
      <w:r w:rsidRPr="00651967">
        <w:rPr>
          <w:rFonts w:asciiTheme="minorHAnsi" w:hAnsiTheme="minorHAnsi"/>
        </w:rPr>
        <w:t>“consult”</w:t>
      </w:r>
      <w:r w:rsidRPr="00651967">
        <w:rPr>
          <w:rFonts w:asciiTheme="minorHAnsi" w:hAnsiTheme="minorHAnsi"/>
          <w:spacing w:val="-3"/>
        </w:rPr>
        <w:t xml:space="preserve"> </w:t>
      </w:r>
      <w:r w:rsidRPr="00651967">
        <w:rPr>
          <w:rFonts w:asciiTheme="minorHAnsi" w:hAnsiTheme="minorHAnsi"/>
        </w:rPr>
        <w:t>with</w:t>
      </w:r>
      <w:r w:rsidRPr="00651967">
        <w:rPr>
          <w:rFonts w:asciiTheme="minorHAnsi" w:hAnsiTheme="minorHAnsi"/>
          <w:spacing w:val="-3"/>
        </w:rPr>
        <w:t xml:space="preserve"> </w:t>
      </w:r>
      <w:r w:rsidRPr="00651967">
        <w:rPr>
          <w:rFonts w:asciiTheme="minorHAnsi" w:hAnsiTheme="minorHAnsi"/>
        </w:rPr>
        <w:t>groups</w:t>
      </w:r>
      <w:r w:rsidRPr="00651967">
        <w:rPr>
          <w:rFonts w:asciiTheme="minorHAnsi" w:hAnsiTheme="minorHAnsi"/>
          <w:spacing w:val="-5"/>
        </w:rPr>
        <w:t xml:space="preserve"> </w:t>
      </w:r>
      <w:r w:rsidRPr="00651967">
        <w:rPr>
          <w:rFonts w:asciiTheme="minorHAnsi" w:hAnsiTheme="minorHAnsi"/>
        </w:rPr>
        <w:t>representative</w:t>
      </w:r>
      <w:r w:rsidRPr="00651967">
        <w:rPr>
          <w:rFonts w:asciiTheme="minorHAnsi" w:hAnsiTheme="minorHAnsi"/>
          <w:spacing w:val="-2"/>
        </w:rPr>
        <w:t xml:space="preserve"> </w:t>
      </w:r>
      <w:r w:rsidRPr="00651967">
        <w:rPr>
          <w:rFonts w:asciiTheme="minorHAnsi" w:hAnsiTheme="minorHAnsi"/>
        </w:rPr>
        <w:t>of</w:t>
      </w:r>
      <w:r w:rsidRPr="00651967">
        <w:rPr>
          <w:rFonts w:asciiTheme="minorHAnsi" w:hAnsiTheme="minorHAnsi"/>
          <w:spacing w:val="-4"/>
        </w:rPr>
        <w:t xml:space="preserve"> </w:t>
      </w:r>
      <w:r w:rsidRPr="00651967">
        <w:rPr>
          <w:rFonts w:asciiTheme="minorHAnsi" w:hAnsiTheme="minorHAnsi"/>
        </w:rPr>
        <w:t>the Applicant's Patient Panel.</w:t>
      </w:r>
      <w:r w:rsidRPr="00FF54C7">
        <w:rPr>
          <w:rFonts w:asciiTheme="minorHAnsi" w:hAnsiTheme="minorHAnsi"/>
          <w:szCs w:val="20"/>
          <w:vertAlign w:val="superscript"/>
        </w:rPr>
        <w:t xml:space="preserve"> </w:t>
      </w:r>
      <w:r w:rsidR="00FF54C7" w:rsidRPr="00FF54C7">
        <w:rPr>
          <w:rFonts w:asciiTheme="minorHAnsi" w:hAnsiTheme="minorHAnsi"/>
          <w:vertAlign w:val="superscript"/>
        </w:rPr>
        <w:endnoteReference w:id="105"/>
      </w:r>
      <w:r w:rsidRPr="00651967">
        <w:rPr>
          <w:rFonts w:asciiTheme="minorHAnsi" w:hAnsiTheme="minorHAnsi"/>
        </w:rPr>
        <w:t xml:space="preserve"> Regulations state that efforts in such consultation should consist of engaging “community coalitions statistically representative of the Patient</w:t>
      </w:r>
      <w:r w:rsidRPr="00651967">
        <w:rPr>
          <w:rFonts w:asciiTheme="minorHAnsi" w:hAnsiTheme="minorHAnsi"/>
          <w:spacing w:val="-14"/>
        </w:rPr>
        <w:t xml:space="preserve"> </w:t>
      </w:r>
      <w:r w:rsidRPr="00651967">
        <w:rPr>
          <w:rFonts w:asciiTheme="minorHAnsi" w:hAnsiTheme="minorHAnsi"/>
        </w:rPr>
        <w:t>Panel.”</w:t>
      </w:r>
      <w:r w:rsidR="00FF54C7">
        <w:rPr>
          <w:rStyle w:val="EndnoteReference"/>
          <w:rFonts w:asciiTheme="minorHAnsi" w:hAnsiTheme="minorHAnsi"/>
        </w:rPr>
        <w:endnoteReference w:id="106"/>
      </w:r>
    </w:p>
    <w:p w14:paraId="49A37B16" w14:textId="77777777" w:rsidR="00810FAD" w:rsidRDefault="00810FAD" w:rsidP="00BA2054">
      <w:pPr>
        <w:pStyle w:val="BodyText"/>
        <w:ind w:right="263"/>
        <w:rPr>
          <w:rFonts w:asciiTheme="minorHAnsi" w:hAnsiTheme="minorHAnsi"/>
        </w:rPr>
      </w:pPr>
    </w:p>
    <w:p w14:paraId="5CFCA6B8" w14:textId="77777777" w:rsidR="000D774D" w:rsidRDefault="008D21EB" w:rsidP="00DB179A">
      <w:pPr>
        <w:pStyle w:val="BodyText"/>
        <w:ind w:right="263"/>
        <w:rPr>
          <w:rFonts w:asciiTheme="minorHAnsi" w:hAnsiTheme="minorHAnsi"/>
        </w:rPr>
      </w:pPr>
      <w:r>
        <w:rPr>
          <w:rFonts w:asciiTheme="minorHAnsi" w:hAnsiTheme="minorHAnsi"/>
        </w:rPr>
        <w:t>To reduce burden on the community, the Department advised the Applicant to leverage the community engagement plan related to the Applicant’s FCH</w:t>
      </w:r>
      <w:r w:rsidR="005E2C48">
        <w:rPr>
          <w:rFonts w:asciiTheme="minorHAnsi" w:hAnsiTheme="minorHAnsi"/>
        </w:rPr>
        <w:t xml:space="preserve"> DoN</w:t>
      </w:r>
      <w:r>
        <w:rPr>
          <w:rFonts w:asciiTheme="minorHAnsi" w:hAnsiTheme="minorHAnsi"/>
        </w:rPr>
        <w:t xml:space="preserve">. The Applicant met with its External/DoN Advisory Committee, </w:t>
      </w:r>
      <w:r w:rsidR="00F44ED3">
        <w:rPr>
          <w:rFonts w:asciiTheme="minorHAnsi" w:hAnsiTheme="minorHAnsi"/>
        </w:rPr>
        <w:t>which includes leaders from key organizations in the Applicant’s priority neighborhoods</w:t>
      </w:r>
      <w:r w:rsidR="003D67CE" w:rsidRPr="003D67CE">
        <w:rPr>
          <w:rFonts w:asciiTheme="minorHAnsi" w:hAnsiTheme="minorHAnsi"/>
          <w:vertAlign w:val="superscript"/>
        </w:rPr>
        <w:footnoteReference w:id="66"/>
      </w:r>
      <w:r w:rsidR="00F44ED3">
        <w:rPr>
          <w:rFonts w:asciiTheme="minorHAnsi" w:hAnsiTheme="minorHAnsi"/>
        </w:rPr>
        <w:t xml:space="preserve">, </w:t>
      </w:r>
      <w:r>
        <w:rPr>
          <w:rFonts w:asciiTheme="minorHAnsi" w:hAnsiTheme="minorHAnsi"/>
        </w:rPr>
        <w:t>who voted to adopt the Proposed Project’s plan into the FC</w:t>
      </w:r>
      <w:r w:rsidR="00DB179A">
        <w:rPr>
          <w:rFonts w:asciiTheme="minorHAnsi" w:hAnsiTheme="minorHAnsi"/>
        </w:rPr>
        <w:t>H</w:t>
      </w:r>
      <w:r>
        <w:rPr>
          <w:rFonts w:asciiTheme="minorHAnsi" w:hAnsiTheme="minorHAnsi"/>
        </w:rPr>
        <w:t xml:space="preserve"> plan. </w:t>
      </w:r>
    </w:p>
    <w:p w14:paraId="5CA2338C" w14:textId="77777777" w:rsidR="000D774D" w:rsidRDefault="000D774D" w:rsidP="00DB179A">
      <w:pPr>
        <w:pStyle w:val="BodyText"/>
        <w:ind w:right="263"/>
        <w:rPr>
          <w:rFonts w:asciiTheme="minorHAnsi" w:hAnsiTheme="minorHAnsi"/>
        </w:rPr>
      </w:pPr>
    </w:p>
    <w:p w14:paraId="1E876EE3" w14:textId="22546E26" w:rsidR="00810FAD" w:rsidRDefault="00810FAD" w:rsidP="00DB179A">
      <w:pPr>
        <w:pStyle w:val="BodyText"/>
        <w:ind w:right="263"/>
        <w:rPr>
          <w:rFonts w:asciiTheme="minorHAnsi" w:hAnsiTheme="minorHAnsi"/>
        </w:rPr>
      </w:pPr>
      <w:r>
        <w:rPr>
          <w:rFonts w:asciiTheme="minorHAnsi" w:hAnsiTheme="minorHAnsi"/>
        </w:rPr>
        <w:t xml:space="preserve">The Applicant states that it engaged in ongoing discussions with key community stakeholders that include Community Benefits/DoN External Advisory Committee, BCH, physicians, and key thought leaders. During these discussions, the Applicant solicited feedback on the development of the Proposed Project, sought feedback on the Public Health Value of the Proposed Project, and addressed concerns as appropriate. The Applicant states that it considered the feedback received during its community engagement activities in identifying its Patient Panel need for the Proposed Project and to ensure the Proposed Project </w:t>
      </w:r>
      <w:r w:rsidR="000D774D">
        <w:rPr>
          <w:rFonts w:asciiTheme="minorHAnsi" w:hAnsiTheme="minorHAnsi"/>
        </w:rPr>
        <w:t xml:space="preserve">will </w:t>
      </w:r>
      <w:r>
        <w:rPr>
          <w:rFonts w:asciiTheme="minorHAnsi" w:hAnsiTheme="minorHAnsi"/>
        </w:rPr>
        <w:t>have a positive impact on the Public Health Value on the community.</w:t>
      </w:r>
      <w:r w:rsidR="00540CA0">
        <w:rPr>
          <w:rStyle w:val="FootnoteReference"/>
          <w:rFonts w:asciiTheme="minorHAnsi" w:hAnsiTheme="minorHAnsi"/>
        </w:rPr>
        <w:footnoteReference w:id="67"/>
      </w:r>
      <w:r>
        <w:rPr>
          <w:rFonts w:asciiTheme="minorHAnsi" w:hAnsiTheme="minorHAnsi"/>
        </w:rPr>
        <w:t xml:space="preserve"> </w:t>
      </w:r>
      <w:r w:rsidR="003C31F6">
        <w:rPr>
          <w:rFonts w:asciiTheme="minorHAnsi" w:hAnsiTheme="minorHAnsi"/>
        </w:rPr>
        <w:t>T</w:t>
      </w:r>
      <w:r w:rsidR="00EA3E3C">
        <w:rPr>
          <w:rFonts w:asciiTheme="minorHAnsi" w:hAnsiTheme="minorHAnsi"/>
        </w:rPr>
        <w:t xml:space="preserve">he Longwood Medical </w:t>
      </w:r>
      <w:r w:rsidR="000D774D">
        <w:rPr>
          <w:rFonts w:asciiTheme="minorHAnsi" w:hAnsiTheme="minorHAnsi"/>
        </w:rPr>
        <w:t>A</w:t>
      </w:r>
      <w:r w:rsidR="00EA3E3C">
        <w:rPr>
          <w:rFonts w:asciiTheme="minorHAnsi" w:hAnsiTheme="minorHAnsi"/>
        </w:rPr>
        <w:t xml:space="preserve">rea </w:t>
      </w:r>
      <w:r w:rsidR="000D774D">
        <w:rPr>
          <w:rFonts w:asciiTheme="minorHAnsi" w:hAnsiTheme="minorHAnsi"/>
        </w:rPr>
        <w:t xml:space="preserve">in Boston </w:t>
      </w:r>
      <w:r w:rsidR="00EA3E3C">
        <w:rPr>
          <w:rFonts w:asciiTheme="minorHAnsi" w:hAnsiTheme="minorHAnsi"/>
        </w:rPr>
        <w:t xml:space="preserve">was identified as the best location for the Center during </w:t>
      </w:r>
      <w:r w:rsidR="000D774D">
        <w:rPr>
          <w:rFonts w:asciiTheme="minorHAnsi" w:hAnsiTheme="minorHAnsi"/>
        </w:rPr>
        <w:t xml:space="preserve">the Applicant’s </w:t>
      </w:r>
      <w:r w:rsidR="00EA3E3C">
        <w:rPr>
          <w:rFonts w:asciiTheme="minorHAnsi" w:hAnsiTheme="minorHAnsi"/>
        </w:rPr>
        <w:t>community engagement activities</w:t>
      </w:r>
      <w:r w:rsidR="00F00727">
        <w:rPr>
          <w:rFonts w:asciiTheme="minorHAnsi" w:hAnsiTheme="minorHAnsi"/>
        </w:rPr>
        <w:t xml:space="preserve"> because it provided an integrated, accessible location</w:t>
      </w:r>
      <w:r w:rsidR="00EA3E3C">
        <w:rPr>
          <w:rFonts w:asciiTheme="minorHAnsi" w:hAnsiTheme="minorHAnsi"/>
        </w:rPr>
        <w:t xml:space="preserve">. </w:t>
      </w:r>
      <w:r w:rsidR="00A36E4B">
        <w:rPr>
          <w:rFonts w:asciiTheme="minorHAnsi" w:hAnsiTheme="minorHAnsi"/>
        </w:rPr>
        <w:t>The Applicant states that Committee members expressed enthusiasm and support for the Proposed Project, and Committee member questions focused</w:t>
      </w:r>
      <w:r w:rsidR="00707B2E">
        <w:rPr>
          <w:rFonts w:asciiTheme="minorHAnsi" w:hAnsiTheme="minorHAnsi"/>
        </w:rPr>
        <w:t xml:space="preserve"> on</w:t>
      </w:r>
      <w:r w:rsidR="00A36E4B">
        <w:rPr>
          <w:rFonts w:asciiTheme="minorHAnsi" w:hAnsiTheme="minorHAnsi"/>
        </w:rPr>
        <w:t xml:space="preserve"> patient eligibility, </w:t>
      </w:r>
      <w:r w:rsidR="002A4E99">
        <w:rPr>
          <w:rFonts w:asciiTheme="minorHAnsi" w:hAnsiTheme="minorHAnsi"/>
        </w:rPr>
        <w:t xml:space="preserve">the </w:t>
      </w:r>
      <w:r w:rsidR="00A36E4B">
        <w:rPr>
          <w:rFonts w:asciiTheme="minorHAnsi" w:hAnsiTheme="minorHAnsi"/>
        </w:rPr>
        <w:t xml:space="preserve">financial impact on patients, and </w:t>
      </w:r>
      <w:r w:rsidR="002A4E99">
        <w:rPr>
          <w:rFonts w:asciiTheme="minorHAnsi" w:hAnsiTheme="minorHAnsi"/>
        </w:rPr>
        <w:t xml:space="preserve">PBT </w:t>
      </w:r>
      <w:r w:rsidR="00A36E4B">
        <w:rPr>
          <w:rFonts w:asciiTheme="minorHAnsi" w:hAnsiTheme="minorHAnsi"/>
        </w:rPr>
        <w:t xml:space="preserve">capacity. </w:t>
      </w:r>
    </w:p>
    <w:p w14:paraId="4CB5C146" w14:textId="77777777" w:rsidR="00810FAD" w:rsidRDefault="00810FAD" w:rsidP="00810FAD">
      <w:pPr>
        <w:pStyle w:val="BodyText"/>
        <w:rPr>
          <w:rFonts w:asciiTheme="minorHAnsi" w:hAnsiTheme="minorHAnsi"/>
        </w:rPr>
      </w:pPr>
    </w:p>
    <w:p w14:paraId="73C466DB" w14:textId="2D25A582" w:rsidR="00810FAD" w:rsidRPr="00F04B44" w:rsidRDefault="00810FAD" w:rsidP="00810FAD">
      <w:pPr>
        <w:pStyle w:val="BodyText"/>
        <w:rPr>
          <w:rFonts w:asciiTheme="minorHAnsi" w:hAnsiTheme="minorHAnsi"/>
        </w:rPr>
      </w:pPr>
      <w:r>
        <w:rPr>
          <w:rFonts w:asciiTheme="minorHAnsi" w:hAnsiTheme="minorHAnsi"/>
        </w:rPr>
        <w:t xml:space="preserve">The Applicant’s community engagement framework included regular process reviews, stakeholder input sessions, </w:t>
      </w:r>
      <w:r w:rsidR="00DB444A">
        <w:rPr>
          <w:rFonts w:asciiTheme="minorHAnsi" w:hAnsiTheme="minorHAnsi"/>
        </w:rPr>
        <w:t xml:space="preserve">and </w:t>
      </w:r>
      <w:r>
        <w:rPr>
          <w:rFonts w:asciiTheme="minorHAnsi" w:hAnsiTheme="minorHAnsi"/>
        </w:rPr>
        <w:t>early engagement with regulatory authorities</w:t>
      </w:r>
      <w:r w:rsidR="005A1F3B">
        <w:rPr>
          <w:rFonts w:asciiTheme="minorHAnsi" w:hAnsiTheme="minorHAnsi"/>
        </w:rPr>
        <w:t xml:space="preserve">. The Applicant is continuing its community engagement efforts in the next edition of its Community Newsletter, which includes an email feedback mechanism, and which will be distributed to residents in the Applicant’s priority neighborhoods, local Main Street organizations, and City of Boston community liaisons. </w:t>
      </w:r>
      <w:r>
        <w:rPr>
          <w:rFonts w:asciiTheme="minorHAnsi" w:hAnsiTheme="minorHAnsi"/>
        </w:rPr>
        <w:t xml:space="preserve"> </w:t>
      </w:r>
    </w:p>
    <w:p w14:paraId="5215AF41" w14:textId="77777777" w:rsidR="0045414C" w:rsidRDefault="0045414C" w:rsidP="00BA2054">
      <w:pPr>
        <w:pStyle w:val="BodyText"/>
        <w:ind w:right="263"/>
        <w:rPr>
          <w:rFonts w:asciiTheme="minorHAnsi" w:hAnsiTheme="minorHAnsi"/>
          <w:position w:val="10"/>
          <w:sz w:val="14"/>
        </w:rPr>
      </w:pPr>
    </w:p>
    <w:p w14:paraId="4221E86B" w14:textId="291577BD" w:rsidR="00F04B44" w:rsidRDefault="00C45B0C" w:rsidP="00367389">
      <w:pPr>
        <w:pStyle w:val="BodyText"/>
        <w:rPr>
          <w:rFonts w:asciiTheme="minorHAnsi" w:hAnsiTheme="minorHAnsi"/>
        </w:rPr>
      </w:pPr>
      <w:r w:rsidRPr="00C45B0C">
        <w:rPr>
          <w:rFonts w:asciiTheme="minorHAnsi" w:hAnsiTheme="minorHAnsi"/>
          <w:b/>
          <w:bCs/>
        </w:rPr>
        <w:t>Adult and Pediatric Patient and Family Advisory Councils (PFACs)</w:t>
      </w:r>
      <w:r>
        <w:rPr>
          <w:rFonts w:asciiTheme="minorHAnsi" w:hAnsiTheme="minorHAnsi"/>
          <w:b/>
          <w:bCs/>
        </w:rPr>
        <w:t>:</w:t>
      </w:r>
      <w:r w:rsidRPr="00C45B0C">
        <w:rPr>
          <w:rFonts w:asciiTheme="minorHAnsi" w:hAnsiTheme="minorHAnsi"/>
        </w:rPr>
        <w:t xml:space="preserve"> </w:t>
      </w:r>
      <w:r w:rsidR="00FA2E15" w:rsidRPr="00F04B44">
        <w:rPr>
          <w:rFonts w:asciiTheme="minorHAnsi" w:hAnsiTheme="minorHAnsi"/>
        </w:rPr>
        <w:t>The Applicant engaged it</w:t>
      </w:r>
      <w:r>
        <w:rPr>
          <w:rFonts w:asciiTheme="minorHAnsi" w:hAnsiTheme="minorHAnsi"/>
        </w:rPr>
        <w:t>s</w:t>
      </w:r>
      <w:r w:rsidR="00FA2E15" w:rsidRPr="00F04B44">
        <w:rPr>
          <w:rFonts w:asciiTheme="minorHAnsi" w:hAnsiTheme="minorHAnsi"/>
        </w:rPr>
        <w:t xml:space="preserve"> Adult and Pediatric PFAC</w:t>
      </w:r>
      <w:r>
        <w:rPr>
          <w:rFonts w:asciiTheme="minorHAnsi" w:hAnsiTheme="minorHAnsi"/>
        </w:rPr>
        <w:t>s</w:t>
      </w:r>
      <w:r w:rsidR="00FA2E15" w:rsidRPr="00F04B44">
        <w:rPr>
          <w:rFonts w:asciiTheme="minorHAnsi" w:hAnsiTheme="minorHAnsi"/>
        </w:rPr>
        <w:t xml:space="preserve"> as part of the community engagement process for the Proposed Project. The </w:t>
      </w:r>
      <w:r w:rsidR="00937D0C" w:rsidRPr="00F04B44">
        <w:rPr>
          <w:rFonts w:asciiTheme="minorHAnsi" w:hAnsiTheme="minorHAnsi"/>
        </w:rPr>
        <w:t xml:space="preserve">Applicant states that the PFACs </w:t>
      </w:r>
      <w:r w:rsidR="00051CD3" w:rsidRPr="00F04B44">
        <w:rPr>
          <w:rFonts w:asciiTheme="minorHAnsi" w:hAnsiTheme="minorHAnsi"/>
        </w:rPr>
        <w:t xml:space="preserve">are comprised of patients, family, and staff members, and that </w:t>
      </w:r>
      <w:r w:rsidR="00F04B44" w:rsidRPr="00F04B44">
        <w:rPr>
          <w:rFonts w:asciiTheme="minorHAnsi" w:hAnsiTheme="minorHAnsi"/>
        </w:rPr>
        <w:t>Adult and Pediatric PFACs share an ongoing mission to 1) help disseminate information and implement services that affect patients and their families</w:t>
      </w:r>
      <w:r w:rsidR="003F0273">
        <w:rPr>
          <w:rFonts w:asciiTheme="minorHAnsi" w:hAnsiTheme="minorHAnsi"/>
        </w:rPr>
        <w:t>,</w:t>
      </w:r>
      <w:r w:rsidR="00F04B44" w:rsidRPr="00F04B44">
        <w:rPr>
          <w:rFonts w:asciiTheme="minorHAnsi" w:hAnsiTheme="minorHAnsi"/>
        </w:rPr>
        <w:t xml:space="preserve"> 2) support patients and their families becoming informed advocates for their own care</w:t>
      </w:r>
      <w:r w:rsidR="00B41892">
        <w:rPr>
          <w:rFonts w:asciiTheme="minorHAnsi" w:hAnsiTheme="minorHAnsi"/>
        </w:rPr>
        <w:t>,</w:t>
      </w:r>
      <w:r w:rsidR="00F04B44" w:rsidRPr="00F04B44">
        <w:rPr>
          <w:rFonts w:asciiTheme="minorHAnsi" w:hAnsiTheme="minorHAnsi"/>
        </w:rPr>
        <w:t xml:space="preserve"> 3) offer a patient and family voice,</w:t>
      </w:r>
      <w:r w:rsidR="00367389">
        <w:rPr>
          <w:rFonts w:asciiTheme="minorHAnsi" w:hAnsiTheme="minorHAnsi"/>
        </w:rPr>
        <w:t xml:space="preserve"> </w:t>
      </w:r>
      <w:r w:rsidR="00F04B44" w:rsidRPr="00F04B44">
        <w:rPr>
          <w:rFonts w:asciiTheme="minorHAnsi" w:hAnsiTheme="minorHAnsi"/>
        </w:rPr>
        <w:t>4) initiate ideas for policies, programs, projects, and services within the patient care environment, and</w:t>
      </w:r>
      <w:r w:rsidR="00367389">
        <w:rPr>
          <w:rFonts w:asciiTheme="minorHAnsi" w:hAnsiTheme="minorHAnsi"/>
        </w:rPr>
        <w:t xml:space="preserve"> </w:t>
      </w:r>
      <w:r w:rsidR="00F04B44" w:rsidRPr="00F04B44">
        <w:rPr>
          <w:rFonts w:asciiTheme="minorHAnsi" w:hAnsiTheme="minorHAnsi"/>
        </w:rPr>
        <w:t xml:space="preserve">5) provide ongoing opportunities to hear the voices, experiences, and perspectives of patients and their families. </w:t>
      </w:r>
    </w:p>
    <w:p w14:paraId="5B7F8B1E" w14:textId="1D6B6B05" w:rsidR="00D676B2" w:rsidRPr="00C45B0C" w:rsidRDefault="00897BF8">
      <w:pPr>
        <w:pStyle w:val="BodyText"/>
        <w:numPr>
          <w:ilvl w:val="0"/>
          <w:numId w:val="10"/>
        </w:numPr>
        <w:rPr>
          <w:rFonts w:asciiTheme="minorHAnsi" w:hAnsiTheme="minorHAnsi"/>
        </w:rPr>
      </w:pPr>
      <w:r>
        <w:rPr>
          <w:rFonts w:asciiTheme="minorHAnsi" w:hAnsiTheme="minorHAnsi"/>
          <w:b/>
          <w:bCs/>
        </w:rPr>
        <w:t xml:space="preserve">Adult PFAC: </w:t>
      </w:r>
      <w:r w:rsidR="004608A9" w:rsidRPr="00897BF8">
        <w:rPr>
          <w:rFonts w:asciiTheme="minorHAnsi" w:hAnsiTheme="minorHAnsi"/>
        </w:rPr>
        <w:t>September 9, 2024</w:t>
      </w:r>
      <w:r>
        <w:rPr>
          <w:rFonts w:asciiTheme="minorHAnsi" w:hAnsiTheme="minorHAnsi"/>
        </w:rPr>
        <w:t xml:space="preserve"> </w:t>
      </w:r>
      <w:r w:rsidR="002929A3">
        <w:rPr>
          <w:rFonts w:asciiTheme="minorHAnsi" w:hAnsiTheme="minorHAnsi"/>
        </w:rPr>
        <w:t>DFCI</w:t>
      </w:r>
      <w:r>
        <w:rPr>
          <w:rFonts w:asciiTheme="minorHAnsi" w:hAnsiTheme="minorHAnsi"/>
        </w:rPr>
        <w:t>’s</w:t>
      </w:r>
      <w:r w:rsidR="002929A3">
        <w:rPr>
          <w:rFonts w:asciiTheme="minorHAnsi" w:hAnsiTheme="minorHAnsi"/>
        </w:rPr>
        <w:t xml:space="preserve"> </w:t>
      </w:r>
      <w:r w:rsidR="00C12F55">
        <w:rPr>
          <w:rFonts w:asciiTheme="minorHAnsi" w:hAnsiTheme="minorHAnsi"/>
        </w:rPr>
        <w:t xml:space="preserve">Chair, </w:t>
      </w:r>
      <w:r w:rsidR="002929A3">
        <w:rPr>
          <w:rFonts w:asciiTheme="minorHAnsi" w:hAnsiTheme="minorHAnsi"/>
        </w:rPr>
        <w:t xml:space="preserve">Radiation Oncology and DFCI’s Chief Medical Office met with </w:t>
      </w:r>
      <w:r w:rsidR="00B41892">
        <w:rPr>
          <w:rFonts w:asciiTheme="minorHAnsi" w:hAnsiTheme="minorHAnsi"/>
        </w:rPr>
        <w:t>DFCI’s</w:t>
      </w:r>
      <w:r w:rsidR="002929A3">
        <w:rPr>
          <w:rFonts w:asciiTheme="minorHAnsi" w:hAnsiTheme="minorHAnsi"/>
        </w:rPr>
        <w:t xml:space="preserve"> Adult PFAC to inform them of the Proposed Project</w:t>
      </w:r>
      <w:r w:rsidR="00B41892">
        <w:rPr>
          <w:rFonts w:asciiTheme="minorHAnsi" w:hAnsiTheme="minorHAnsi"/>
        </w:rPr>
        <w:t>. T</w:t>
      </w:r>
      <w:r w:rsidR="00B828B8">
        <w:rPr>
          <w:rFonts w:asciiTheme="minorHAnsi" w:hAnsiTheme="minorHAnsi"/>
        </w:rPr>
        <w:t>he PFAC members</w:t>
      </w:r>
      <w:r w:rsidR="009E3F24">
        <w:rPr>
          <w:rFonts w:asciiTheme="minorHAnsi" w:hAnsiTheme="minorHAnsi"/>
        </w:rPr>
        <w:t xml:space="preserve"> offered their views on the need for the Proposed Project, </w:t>
      </w:r>
      <w:r w:rsidR="00D676B2">
        <w:rPr>
          <w:rFonts w:asciiTheme="minorHAnsi" w:hAnsiTheme="minorHAnsi"/>
        </w:rPr>
        <w:t xml:space="preserve">including increased access to care, and enhanced patient experience and satisfaction. </w:t>
      </w:r>
      <w:r w:rsidR="00785EF1">
        <w:rPr>
          <w:rFonts w:asciiTheme="minorHAnsi" w:hAnsiTheme="minorHAnsi"/>
        </w:rPr>
        <w:t xml:space="preserve">There were 15 attendees at the Adult PFAC meeting. </w:t>
      </w:r>
    </w:p>
    <w:p w14:paraId="3D796F18" w14:textId="7DD8417B" w:rsidR="00D676B2" w:rsidRDefault="00897BF8">
      <w:pPr>
        <w:pStyle w:val="BodyText"/>
        <w:numPr>
          <w:ilvl w:val="0"/>
          <w:numId w:val="10"/>
        </w:numPr>
        <w:rPr>
          <w:rFonts w:asciiTheme="minorHAnsi" w:hAnsiTheme="minorHAnsi"/>
        </w:rPr>
      </w:pPr>
      <w:r>
        <w:rPr>
          <w:rFonts w:asciiTheme="minorHAnsi" w:hAnsiTheme="minorHAnsi"/>
          <w:b/>
          <w:bCs/>
        </w:rPr>
        <w:t xml:space="preserve">Pediatric PFAC: </w:t>
      </w:r>
      <w:r w:rsidR="00D676B2" w:rsidRPr="00897BF8">
        <w:rPr>
          <w:rFonts w:asciiTheme="minorHAnsi" w:hAnsiTheme="minorHAnsi"/>
        </w:rPr>
        <w:t>September 23, 2024</w:t>
      </w:r>
      <w:r w:rsidR="00D676B2">
        <w:rPr>
          <w:rFonts w:asciiTheme="minorHAnsi" w:hAnsiTheme="minorHAnsi"/>
        </w:rPr>
        <w:t xml:space="preserve"> DFCI’s Vice-President and </w:t>
      </w:r>
      <w:r w:rsidR="00374A4B">
        <w:rPr>
          <w:rFonts w:asciiTheme="minorHAnsi" w:hAnsiTheme="minorHAnsi"/>
        </w:rPr>
        <w:t xml:space="preserve">Pediatric Chief Medical Officer, in collaboration with PFAC Co-Chairs, presented the Proposed Project at </w:t>
      </w:r>
      <w:r w:rsidR="00E1486A">
        <w:rPr>
          <w:rFonts w:asciiTheme="minorHAnsi" w:hAnsiTheme="minorHAnsi"/>
        </w:rPr>
        <w:t xml:space="preserve">DFCI’s </w:t>
      </w:r>
      <w:r w:rsidR="00374A4B">
        <w:rPr>
          <w:rFonts w:asciiTheme="minorHAnsi" w:hAnsiTheme="minorHAnsi"/>
        </w:rPr>
        <w:lastRenderedPageBreak/>
        <w:t xml:space="preserve">Pediatric PFAC meeting. </w:t>
      </w:r>
      <w:r w:rsidR="009115D6">
        <w:rPr>
          <w:rFonts w:asciiTheme="minorHAnsi" w:hAnsiTheme="minorHAnsi"/>
        </w:rPr>
        <w:t xml:space="preserve">The Applicant’s representatives provided PFAC members with background information on the Proposed Project, and provided an opportunity for PFAC members to ask questions. The Applicant states that those in attendance </w:t>
      </w:r>
      <w:r w:rsidR="00F7638C">
        <w:rPr>
          <w:rFonts w:asciiTheme="minorHAnsi" w:hAnsiTheme="minorHAnsi"/>
        </w:rPr>
        <w:t>engaged in a discussion about the impact of the Proposed Project, as it pertains to patient care and overall patient experience</w:t>
      </w:r>
      <w:r w:rsidR="00A20570">
        <w:rPr>
          <w:rFonts w:asciiTheme="minorHAnsi" w:hAnsiTheme="minorHAnsi"/>
        </w:rPr>
        <w:t xml:space="preserve"> during the next two years. </w:t>
      </w:r>
      <w:r w:rsidR="00785EF1">
        <w:rPr>
          <w:rFonts w:asciiTheme="minorHAnsi" w:hAnsiTheme="minorHAnsi"/>
        </w:rPr>
        <w:t xml:space="preserve">There were 19 attendees at the Pediatric PFAC meeting. </w:t>
      </w:r>
    </w:p>
    <w:p w14:paraId="70F19A7B" w14:textId="77777777" w:rsidR="00A20570" w:rsidRDefault="00A20570" w:rsidP="00F04B44">
      <w:pPr>
        <w:pStyle w:val="BodyText"/>
        <w:rPr>
          <w:rFonts w:asciiTheme="minorHAnsi" w:hAnsiTheme="minorHAnsi"/>
        </w:rPr>
      </w:pPr>
    </w:p>
    <w:p w14:paraId="1220D87D" w14:textId="1CDB0583" w:rsidR="00A20570" w:rsidRDefault="00A20570" w:rsidP="00A20570">
      <w:pPr>
        <w:pStyle w:val="BodyText"/>
        <w:rPr>
          <w:rFonts w:asciiTheme="minorHAnsi" w:hAnsiTheme="minorHAnsi"/>
        </w:rPr>
      </w:pPr>
      <w:r w:rsidRPr="00A20570">
        <w:rPr>
          <w:rFonts w:asciiTheme="minorHAnsi" w:hAnsiTheme="minorHAnsi"/>
        </w:rPr>
        <w:t>The Applicant submitted the presentation materials from the PFAC meetings</w:t>
      </w:r>
      <w:r>
        <w:rPr>
          <w:rFonts w:asciiTheme="minorHAnsi" w:hAnsiTheme="minorHAnsi"/>
        </w:rPr>
        <w:t>.</w:t>
      </w:r>
    </w:p>
    <w:p w14:paraId="59DD3749" w14:textId="77777777" w:rsidR="00A20570" w:rsidRDefault="00A20570" w:rsidP="00A20570">
      <w:pPr>
        <w:pStyle w:val="BodyText"/>
        <w:rPr>
          <w:rFonts w:asciiTheme="minorHAnsi" w:hAnsiTheme="minorHAnsi"/>
        </w:rPr>
      </w:pPr>
    </w:p>
    <w:p w14:paraId="637F122C" w14:textId="14A9CE42" w:rsidR="00A20570" w:rsidRDefault="00EB2A58" w:rsidP="00A20570">
      <w:pPr>
        <w:pStyle w:val="BodyText"/>
        <w:rPr>
          <w:rFonts w:asciiTheme="minorHAnsi" w:hAnsiTheme="minorHAnsi"/>
        </w:rPr>
      </w:pPr>
      <w:r w:rsidRPr="00EB2A58">
        <w:rPr>
          <w:rFonts w:asciiTheme="minorHAnsi" w:hAnsiTheme="minorHAnsi"/>
          <w:b/>
          <w:bCs/>
        </w:rPr>
        <w:t>Government Stakeholders</w:t>
      </w:r>
      <w:r>
        <w:rPr>
          <w:rFonts w:asciiTheme="minorHAnsi" w:hAnsiTheme="minorHAnsi"/>
        </w:rPr>
        <w:t xml:space="preserve">: </w:t>
      </w:r>
      <w:r w:rsidR="00A20570">
        <w:rPr>
          <w:rFonts w:asciiTheme="minorHAnsi" w:hAnsiTheme="minorHAnsi"/>
        </w:rPr>
        <w:t xml:space="preserve">As part of its community engagement efforts, the Applicant also met with </w:t>
      </w:r>
      <w:r>
        <w:rPr>
          <w:rFonts w:asciiTheme="minorHAnsi" w:hAnsiTheme="minorHAnsi"/>
        </w:rPr>
        <w:t xml:space="preserve">individuals representing the </w:t>
      </w:r>
      <w:r w:rsidR="00A20570">
        <w:rPr>
          <w:rFonts w:asciiTheme="minorHAnsi" w:hAnsiTheme="minorHAnsi"/>
        </w:rPr>
        <w:t xml:space="preserve">following </w:t>
      </w:r>
      <w:r w:rsidR="00897BF8">
        <w:rPr>
          <w:rFonts w:asciiTheme="minorHAnsi" w:hAnsiTheme="minorHAnsi"/>
        </w:rPr>
        <w:t xml:space="preserve">government entities </w:t>
      </w:r>
      <w:r w:rsidR="00A20570">
        <w:rPr>
          <w:rFonts w:asciiTheme="minorHAnsi" w:hAnsiTheme="minorHAnsi"/>
        </w:rPr>
        <w:t xml:space="preserve">prior to the submission of this DoN application: </w:t>
      </w:r>
      <w:r w:rsidR="00FC1208" w:rsidRPr="00FC1208">
        <w:rPr>
          <w:rFonts w:asciiTheme="minorHAnsi" w:hAnsiTheme="minorHAnsi"/>
        </w:rPr>
        <w:t xml:space="preserve">the Governor’s Office, Lieutenant Governor’s Office, Attorney General’s Office, Executive Office of Health and Human Services, Department of Public Health, Health Policy Commission, and elected individuals representing the City of Boston and the Commonwealth, as well as individuals at the Department of Health and Human Services, </w:t>
      </w:r>
      <w:r w:rsidR="00550FD4">
        <w:rPr>
          <w:rFonts w:asciiTheme="minorHAnsi" w:hAnsiTheme="minorHAnsi"/>
        </w:rPr>
        <w:t xml:space="preserve">and the </w:t>
      </w:r>
      <w:r w:rsidR="00FC1208" w:rsidRPr="00FC1208">
        <w:rPr>
          <w:rFonts w:asciiTheme="minorHAnsi" w:hAnsiTheme="minorHAnsi"/>
        </w:rPr>
        <w:t>Centers for Medicare and Medicaid Services.</w:t>
      </w:r>
    </w:p>
    <w:p w14:paraId="045217EA" w14:textId="77777777" w:rsidR="00415665" w:rsidRDefault="00415665" w:rsidP="00A20570">
      <w:pPr>
        <w:pStyle w:val="BodyText"/>
        <w:rPr>
          <w:rFonts w:asciiTheme="minorHAnsi" w:hAnsiTheme="minorHAnsi"/>
        </w:rPr>
      </w:pPr>
    </w:p>
    <w:p w14:paraId="66FB01D5" w14:textId="77777777" w:rsidR="00375E7C" w:rsidRDefault="00375E7C" w:rsidP="00A20570">
      <w:pPr>
        <w:pStyle w:val="BodyText"/>
        <w:rPr>
          <w:rFonts w:asciiTheme="minorHAnsi" w:hAnsiTheme="minorHAnsi"/>
        </w:rPr>
      </w:pPr>
    </w:p>
    <w:p w14:paraId="1B7CB00F" w14:textId="0E446AC9" w:rsidR="003A7B86" w:rsidRDefault="00A4110F" w:rsidP="00BA2054">
      <w:pPr>
        <w:rPr>
          <w:rFonts w:asciiTheme="minorHAnsi" w:hAnsiTheme="minorHAnsi"/>
          <w:b/>
          <w:bCs/>
          <w:i/>
          <w:iCs/>
          <w:szCs w:val="24"/>
        </w:rPr>
      </w:pPr>
      <w:r w:rsidRPr="004D5540">
        <w:rPr>
          <w:rFonts w:asciiTheme="minorHAnsi" w:hAnsiTheme="minorHAnsi"/>
          <w:b/>
          <w:bCs/>
          <w:i/>
          <w:iCs/>
          <w:szCs w:val="24"/>
        </w:rPr>
        <w:t>Analysis</w:t>
      </w:r>
    </w:p>
    <w:p w14:paraId="0999036E" w14:textId="3C0EB684" w:rsidR="003346BB" w:rsidRPr="003A7B86" w:rsidRDefault="003346BB" w:rsidP="00BA2054">
      <w:pPr>
        <w:rPr>
          <w:rFonts w:asciiTheme="minorHAnsi" w:hAnsiTheme="minorHAnsi"/>
          <w:b/>
          <w:bCs/>
          <w:i/>
          <w:iCs/>
          <w:szCs w:val="24"/>
        </w:rPr>
      </w:pPr>
      <w:r w:rsidRPr="004D5540">
        <w:rPr>
          <w:rFonts w:asciiTheme="minorHAnsi" w:hAnsiTheme="minorHAnsi"/>
          <w:szCs w:val="24"/>
        </w:rPr>
        <w:t xml:space="preserve">Staff reviewed the information on the Applicant’s community engagement and finds that </w:t>
      </w:r>
    </w:p>
    <w:p w14:paraId="3C066104" w14:textId="395FC6AB" w:rsidR="00B447F3" w:rsidRDefault="003346BB" w:rsidP="00BA2054">
      <w:pPr>
        <w:rPr>
          <w:rFonts w:asciiTheme="minorHAnsi" w:hAnsiTheme="minorHAnsi"/>
          <w:szCs w:val="24"/>
        </w:rPr>
      </w:pPr>
      <w:r w:rsidRPr="004D5540">
        <w:rPr>
          <w:rFonts w:asciiTheme="minorHAnsi" w:hAnsiTheme="minorHAnsi"/>
          <w:szCs w:val="24"/>
        </w:rPr>
        <w:t>the Applicant has met the required community engagement standard of Consult</w:t>
      </w:r>
      <w:r w:rsidR="003A7B86">
        <w:rPr>
          <w:rFonts w:asciiTheme="minorHAnsi" w:hAnsiTheme="minorHAnsi"/>
          <w:szCs w:val="24"/>
        </w:rPr>
        <w:t xml:space="preserve"> </w:t>
      </w:r>
      <w:r w:rsidRPr="004D5540">
        <w:rPr>
          <w:rFonts w:asciiTheme="minorHAnsi" w:hAnsiTheme="minorHAnsi"/>
          <w:szCs w:val="24"/>
        </w:rPr>
        <w:t>in the planning phase of the Proposed Project.</w:t>
      </w:r>
      <w:r w:rsidR="00455AF0">
        <w:rPr>
          <w:rFonts w:asciiTheme="minorHAnsi" w:hAnsiTheme="minorHAnsi"/>
          <w:szCs w:val="24"/>
        </w:rPr>
        <w:t xml:space="preserve"> </w:t>
      </w:r>
      <w:r w:rsidR="008D2FEF" w:rsidRPr="008D2FEF">
        <w:rPr>
          <w:rFonts w:asciiTheme="minorHAnsi" w:hAnsiTheme="minorHAnsi"/>
          <w:szCs w:val="24"/>
        </w:rPr>
        <w:t>As a result, Staff finds that the Proposed Project meets the requirements of Factor 1e.</w:t>
      </w:r>
    </w:p>
    <w:p w14:paraId="651F3546" w14:textId="77777777" w:rsidR="00375E7C" w:rsidRDefault="00375E7C" w:rsidP="00BA2054">
      <w:pPr>
        <w:rPr>
          <w:rFonts w:asciiTheme="minorHAnsi" w:hAnsiTheme="minorHAnsi"/>
          <w:szCs w:val="24"/>
        </w:rPr>
      </w:pPr>
    </w:p>
    <w:p w14:paraId="1AC2E3C5" w14:textId="2E6636D7" w:rsidR="00B447F3" w:rsidRPr="00771386" w:rsidRDefault="00A4110F" w:rsidP="00771386">
      <w:pPr>
        <w:pStyle w:val="Heading1"/>
        <w:ind w:left="0"/>
        <w:rPr>
          <w:color w:val="1F497D" w:themeColor="text2"/>
        </w:rPr>
      </w:pPr>
      <w:bookmarkStart w:id="14" w:name="Factor_1:_f)_Competition_on_price,_total"/>
      <w:bookmarkStart w:id="15" w:name="_Toc223962995"/>
      <w:bookmarkEnd w:id="14"/>
      <w:r w:rsidRPr="00771386">
        <w:rPr>
          <w:color w:val="1F497D" w:themeColor="text2"/>
        </w:rPr>
        <w:t>Factor 1: f) Competition on price, total medical expenses (TME), costs and other measures of health care spending</w:t>
      </w:r>
      <w:bookmarkEnd w:id="15"/>
    </w:p>
    <w:p w14:paraId="1266BEFA" w14:textId="77777777" w:rsidR="00FC525E" w:rsidRDefault="00FC525E" w:rsidP="009A0C61">
      <w:pPr>
        <w:rPr>
          <w:rFonts w:asciiTheme="minorHAnsi" w:hAnsiTheme="minorHAnsi"/>
          <w:szCs w:val="24"/>
        </w:rPr>
      </w:pPr>
    </w:p>
    <w:p w14:paraId="48565736" w14:textId="30A2097C" w:rsidR="008853C4" w:rsidRPr="00F64C90" w:rsidRDefault="70013C0D" w:rsidP="00DD530D">
      <w:pPr>
        <w:rPr>
          <w:rFonts w:asciiTheme="minorHAnsi" w:hAnsiTheme="minorHAnsi"/>
        </w:rPr>
      </w:pPr>
      <w:r w:rsidRPr="3DE251F5">
        <w:rPr>
          <w:rFonts w:asciiTheme="minorHAnsi" w:hAnsiTheme="minorHAnsi"/>
          <w:b/>
          <w:bCs/>
        </w:rPr>
        <w:t>Current Market</w:t>
      </w:r>
      <w:r w:rsidR="058D09DC" w:rsidRPr="3DE251F5">
        <w:rPr>
          <w:rFonts w:asciiTheme="minorHAnsi" w:hAnsiTheme="minorHAnsi"/>
          <w:b/>
          <w:bCs/>
        </w:rPr>
        <w:t xml:space="preserve"> and Competition</w:t>
      </w:r>
      <w:r w:rsidRPr="3DE251F5">
        <w:rPr>
          <w:rFonts w:asciiTheme="minorHAnsi" w:hAnsiTheme="minorHAnsi"/>
        </w:rPr>
        <w:t xml:space="preserve">: </w:t>
      </w:r>
      <w:r w:rsidR="670C1891" w:rsidRPr="3DE251F5">
        <w:rPr>
          <w:rFonts w:asciiTheme="minorHAnsi" w:hAnsiTheme="minorHAnsi"/>
        </w:rPr>
        <w:t>The</w:t>
      </w:r>
      <w:r w:rsidR="77CB06B9" w:rsidRPr="3DE251F5">
        <w:rPr>
          <w:rFonts w:asciiTheme="minorHAnsi" w:hAnsiTheme="minorHAnsi"/>
        </w:rPr>
        <w:t xml:space="preserve"> Applicant states that the</w:t>
      </w:r>
      <w:r w:rsidR="670C1891" w:rsidRPr="3DE251F5">
        <w:rPr>
          <w:rFonts w:asciiTheme="minorHAnsi" w:hAnsiTheme="minorHAnsi"/>
        </w:rPr>
        <w:t xml:space="preserve"> Proposed Project will promote competition in the Massachusetts market </w:t>
      </w:r>
      <w:r w:rsidR="330034B5" w:rsidRPr="3DE251F5">
        <w:rPr>
          <w:rFonts w:asciiTheme="minorHAnsi" w:hAnsiTheme="minorHAnsi"/>
        </w:rPr>
        <w:t>because</w:t>
      </w:r>
      <w:r w:rsidR="7061FEA5" w:rsidRPr="3DE251F5">
        <w:rPr>
          <w:rFonts w:asciiTheme="minorHAnsi" w:hAnsiTheme="minorHAnsi"/>
        </w:rPr>
        <w:t xml:space="preserve"> </w:t>
      </w:r>
      <w:r w:rsidR="330034B5" w:rsidRPr="3DE251F5">
        <w:rPr>
          <w:rFonts w:asciiTheme="minorHAnsi" w:hAnsiTheme="minorHAnsi"/>
        </w:rPr>
        <w:t>there is</w:t>
      </w:r>
      <w:r w:rsidR="65C1C282" w:rsidRPr="3DE251F5">
        <w:rPr>
          <w:rFonts w:asciiTheme="minorHAnsi" w:hAnsiTheme="minorHAnsi"/>
        </w:rPr>
        <w:t xml:space="preserve"> currently</w:t>
      </w:r>
      <w:r w:rsidR="330034B5" w:rsidRPr="3DE251F5">
        <w:rPr>
          <w:rFonts w:asciiTheme="minorHAnsi" w:hAnsiTheme="minorHAnsi"/>
        </w:rPr>
        <w:t xml:space="preserve"> only one</w:t>
      </w:r>
      <w:r w:rsidR="7061FEA5" w:rsidRPr="3DE251F5">
        <w:rPr>
          <w:rFonts w:asciiTheme="minorHAnsi" w:hAnsiTheme="minorHAnsi"/>
        </w:rPr>
        <w:t xml:space="preserve"> </w:t>
      </w:r>
      <w:r w:rsidR="34575A60" w:rsidRPr="3DE251F5">
        <w:rPr>
          <w:rFonts w:asciiTheme="minorHAnsi" w:hAnsiTheme="minorHAnsi"/>
        </w:rPr>
        <w:t>PBT</w:t>
      </w:r>
      <w:r w:rsidR="7061FEA5" w:rsidRPr="3DE251F5">
        <w:rPr>
          <w:rFonts w:asciiTheme="minorHAnsi" w:hAnsiTheme="minorHAnsi"/>
        </w:rPr>
        <w:t xml:space="preserve"> provider</w:t>
      </w:r>
      <w:r w:rsidR="34575A60" w:rsidRPr="3DE251F5">
        <w:rPr>
          <w:rFonts w:asciiTheme="minorHAnsi" w:hAnsiTheme="minorHAnsi"/>
        </w:rPr>
        <w:t xml:space="preserve"> in Massachusetts</w:t>
      </w:r>
      <w:r w:rsidR="330034B5" w:rsidRPr="3DE251F5">
        <w:rPr>
          <w:rFonts w:asciiTheme="minorHAnsi" w:hAnsiTheme="minorHAnsi"/>
        </w:rPr>
        <w:t xml:space="preserve">, which </w:t>
      </w:r>
      <w:r w:rsidR="7061FEA5" w:rsidRPr="3DE251F5">
        <w:rPr>
          <w:rFonts w:asciiTheme="minorHAnsi" w:hAnsiTheme="minorHAnsi"/>
        </w:rPr>
        <w:t xml:space="preserve">limits patient </w:t>
      </w:r>
      <w:r w:rsidR="2F7097F6" w:rsidRPr="3DE251F5">
        <w:rPr>
          <w:rFonts w:asciiTheme="minorHAnsi" w:hAnsiTheme="minorHAnsi"/>
        </w:rPr>
        <w:t>access</w:t>
      </w:r>
      <w:r w:rsidR="6D1C675D" w:rsidRPr="3DE251F5">
        <w:rPr>
          <w:rFonts w:asciiTheme="minorHAnsi" w:hAnsiTheme="minorHAnsi"/>
        </w:rPr>
        <w:t xml:space="preserve">, patient </w:t>
      </w:r>
      <w:r w:rsidR="2F7097F6" w:rsidRPr="3DE251F5">
        <w:rPr>
          <w:rFonts w:asciiTheme="minorHAnsi" w:hAnsiTheme="minorHAnsi"/>
        </w:rPr>
        <w:t>choice</w:t>
      </w:r>
      <w:r w:rsidR="69AF8C52" w:rsidRPr="3DE251F5">
        <w:rPr>
          <w:rFonts w:asciiTheme="minorHAnsi" w:hAnsiTheme="minorHAnsi"/>
        </w:rPr>
        <w:t xml:space="preserve"> and competition</w:t>
      </w:r>
      <w:r w:rsidR="1A59362E" w:rsidRPr="3DE251F5">
        <w:rPr>
          <w:rFonts w:asciiTheme="minorHAnsi" w:hAnsiTheme="minorHAnsi"/>
        </w:rPr>
        <w:t xml:space="preserve">. The Applicant maintains that the </w:t>
      </w:r>
      <w:r w:rsidR="330034B5" w:rsidRPr="3DE251F5">
        <w:rPr>
          <w:rFonts w:asciiTheme="minorHAnsi" w:hAnsiTheme="minorHAnsi"/>
        </w:rPr>
        <w:t>increased competition</w:t>
      </w:r>
      <w:r w:rsidR="5A1F0C0F" w:rsidRPr="3DE251F5">
        <w:rPr>
          <w:rFonts w:asciiTheme="minorHAnsi" w:hAnsiTheme="minorHAnsi"/>
        </w:rPr>
        <w:t xml:space="preserve"> </w:t>
      </w:r>
      <w:r w:rsidR="1A59362E" w:rsidRPr="3DE251F5">
        <w:rPr>
          <w:rFonts w:asciiTheme="minorHAnsi" w:hAnsiTheme="minorHAnsi"/>
        </w:rPr>
        <w:t xml:space="preserve">that the Proposed Project </w:t>
      </w:r>
      <w:r w:rsidR="5ACCE82E" w:rsidRPr="3DE251F5">
        <w:rPr>
          <w:rFonts w:asciiTheme="minorHAnsi" w:hAnsiTheme="minorHAnsi"/>
        </w:rPr>
        <w:t xml:space="preserve">would provide, </w:t>
      </w:r>
      <w:r w:rsidR="1A59362E" w:rsidRPr="3DE251F5">
        <w:rPr>
          <w:rFonts w:asciiTheme="minorHAnsi" w:hAnsiTheme="minorHAnsi"/>
        </w:rPr>
        <w:t>w</w:t>
      </w:r>
      <w:r w:rsidR="5ACCE82E" w:rsidRPr="3DE251F5">
        <w:rPr>
          <w:rFonts w:asciiTheme="minorHAnsi" w:hAnsiTheme="minorHAnsi"/>
        </w:rPr>
        <w:t>ill</w:t>
      </w:r>
      <w:r w:rsidR="1A59362E" w:rsidRPr="3DE251F5">
        <w:rPr>
          <w:rFonts w:asciiTheme="minorHAnsi" w:hAnsiTheme="minorHAnsi"/>
        </w:rPr>
        <w:t xml:space="preserve"> </w:t>
      </w:r>
      <w:r w:rsidR="69AF8C52" w:rsidRPr="3DE251F5">
        <w:rPr>
          <w:rFonts w:asciiTheme="minorHAnsi" w:hAnsiTheme="minorHAnsi"/>
        </w:rPr>
        <w:t>serve to drive</w:t>
      </w:r>
      <w:r w:rsidR="5DB90459" w:rsidRPr="3DE251F5">
        <w:rPr>
          <w:rFonts w:asciiTheme="minorHAnsi" w:hAnsiTheme="minorHAnsi"/>
        </w:rPr>
        <w:t xml:space="preserve"> down costs, improve access, </w:t>
      </w:r>
      <w:r w:rsidR="730BFB44" w:rsidRPr="3DE251F5">
        <w:rPr>
          <w:rFonts w:asciiTheme="minorHAnsi" w:hAnsiTheme="minorHAnsi"/>
        </w:rPr>
        <w:t xml:space="preserve">and </w:t>
      </w:r>
      <w:r w:rsidR="5DB90459" w:rsidRPr="3DE251F5">
        <w:rPr>
          <w:rFonts w:asciiTheme="minorHAnsi" w:hAnsiTheme="minorHAnsi"/>
        </w:rPr>
        <w:t>foster market-driven innovation</w:t>
      </w:r>
      <w:r w:rsidR="63A9A946" w:rsidRPr="3DE251F5">
        <w:rPr>
          <w:rFonts w:asciiTheme="minorHAnsi" w:hAnsiTheme="minorHAnsi"/>
        </w:rPr>
        <w:t xml:space="preserve">. </w:t>
      </w:r>
      <w:r w:rsidR="00DD530D">
        <w:rPr>
          <w:rFonts w:asciiTheme="minorHAnsi" w:hAnsiTheme="minorHAnsi"/>
        </w:rPr>
        <w:t xml:space="preserve">The Applicant states that the </w:t>
      </w:r>
      <w:r w:rsidR="00DD530D" w:rsidRPr="00DD530D">
        <w:rPr>
          <w:rFonts w:asciiTheme="minorHAnsi" w:hAnsiTheme="minorHAnsi"/>
        </w:rPr>
        <w:t>majority of patients in Dana-Farber’s</w:t>
      </w:r>
      <w:r w:rsidR="00E60DA0">
        <w:rPr>
          <w:rFonts w:asciiTheme="minorHAnsi" w:hAnsiTheme="minorHAnsi"/>
        </w:rPr>
        <w:t xml:space="preserve"> </w:t>
      </w:r>
      <w:r w:rsidR="00DD530D" w:rsidRPr="00DD530D">
        <w:rPr>
          <w:rFonts w:asciiTheme="minorHAnsi" w:hAnsiTheme="minorHAnsi"/>
        </w:rPr>
        <w:t xml:space="preserve">Patient Panel are </w:t>
      </w:r>
      <w:r w:rsidR="00DD530D">
        <w:rPr>
          <w:rFonts w:asciiTheme="minorHAnsi" w:hAnsiTheme="minorHAnsi"/>
        </w:rPr>
        <w:t xml:space="preserve">insured through public payers. </w:t>
      </w:r>
      <w:r w:rsidR="00BA13F9" w:rsidRPr="00BA13F9">
        <w:rPr>
          <w:rFonts w:asciiTheme="minorHAnsi" w:hAnsiTheme="minorHAnsi"/>
        </w:rPr>
        <w:t>The Applicant states further that the availability of multiple PBT providers will serve to encourage commercial price competition</w:t>
      </w:r>
      <w:r w:rsidR="00E60DA0">
        <w:rPr>
          <w:rFonts w:asciiTheme="minorHAnsi" w:hAnsiTheme="minorHAnsi"/>
        </w:rPr>
        <w:t xml:space="preserve">, and </w:t>
      </w:r>
      <w:r w:rsidR="63A9A946" w:rsidRPr="3DE251F5">
        <w:rPr>
          <w:rFonts w:asciiTheme="minorHAnsi" w:hAnsiTheme="minorHAnsi"/>
        </w:rPr>
        <w:t xml:space="preserve">that </w:t>
      </w:r>
      <w:r w:rsidR="4912EF33" w:rsidRPr="3DE251F5">
        <w:rPr>
          <w:rFonts w:asciiTheme="minorHAnsi" w:hAnsiTheme="minorHAnsi"/>
        </w:rPr>
        <w:t xml:space="preserve">for commercially insured patients, </w:t>
      </w:r>
      <w:r w:rsidR="4D36834A" w:rsidRPr="3DE251F5">
        <w:rPr>
          <w:rFonts w:asciiTheme="minorHAnsi" w:hAnsiTheme="minorHAnsi"/>
        </w:rPr>
        <w:t>payers will seek to leverage the competition</w:t>
      </w:r>
      <w:r w:rsidR="42C8EBA4" w:rsidRPr="3DE251F5">
        <w:rPr>
          <w:rFonts w:asciiTheme="minorHAnsi" w:hAnsiTheme="minorHAnsi"/>
        </w:rPr>
        <w:t xml:space="preserve"> among providers</w:t>
      </w:r>
      <w:r w:rsidR="4D36834A" w:rsidRPr="3DE251F5">
        <w:rPr>
          <w:rFonts w:asciiTheme="minorHAnsi" w:hAnsiTheme="minorHAnsi"/>
        </w:rPr>
        <w:t xml:space="preserve"> to negotiate more favorable rates</w:t>
      </w:r>
      <w:r w:rsidR="42C8EBA4" w:rsidRPr="3DE251F5">
        <w:rPr>
          <w:rFonts w:asciiTheme="minorHAnsi" w:hAnsiTheme="minorHAnsi"/>
        </w:rPr>
        <w:t xml:space="preserve"> for PBT</w:t>
      </w:r>
      <w:r w:rsidR="501E72D5" w:rsidRPr="3DE251F5">
        <w:rPr>
          <w:rFonts w:asciiTheme="minorHAnsi" w:hAnsiTheme="minorHAnsi"/>
        </w:rPr>
        <w:t xml:space="preserve"> which may exert downward pressure on prices</w:t>
      </w:r>
      <w:r w:rsidR="4D36834A" w:rsidRPr="3DE251F5">
        <w:rPr>
          <w:rFonts w:asciiTheme="minorHAnsi" w:hAnsiTheme="minorHAnsi"/>
        </w:rPr>
        <w:t xml:space="preserve">. </w:t>
      </w:r>
      <w:r w:rsidR="38D13F30" w:rsidRPr="3DE251F5">
        <w:rPr>
          <w:rFonts w:asciiTheme="minorHAnsi" w:hAnsiTheme="minorHAnsi"/>
        </w:rPr>
        <w:t xml:space="preserve">The Applicant expects this to be the case even with its Prospective Payment System (PPS) – </w:t>
      </w:r>
      <w:r w:rsidR="3015F73B" w:rsidRPr="3DE251F5">
        <w:rPr>
          <w:rFonts w:asciiTheme="minorHAnsi" w:hAnsiTheme="minorHAnsi"/>
        </w:rPr>
        <w:t>E</w:t>
      </w:r>
      <w:r w:rsidR="38D13F30" w:rsidRPr="3DE251F5">
        <w:rPr>
          <w:rFonts w:asciiTheme="minorHAnsi" w:hAnsiTheme="minorHAnsi"/>
        </w:rPr>
        <w:t xml:space="preserve">xempt </w:t>
      </w:r>
      <w:r w:rsidR="33EDF42F" w:rsidRPr="3DE251F5">
        <w:rPr>
          <w:rFonts w:asciiTheme="minorHAnsi" w:hAnsiTheme="minorHAnsi"/>
        </w:rPr>
        <w:t>designation</w:t>
      </w:r>
      <w:r w:rsidR="38D13F30" w:rsidRPr="3DE251F5">
        <w:rPr>
          <w:rFonts w:asciiTheme="minorHAnsi" w:hAnsiTheme="minorHAnsi"/>
        </w:rPr>
        <w:t xml:space="preserve"> whereby DFCI </w:t>
      </w:r>
      <w:r w:rsidR="79A8EC0D" w:rsidRPr="001769C6">
        <w:rPr>
          <w:rFonts w:asciiTheme="minorHAnsi" w:hAnsiTheme="minorHAnsi"/>
        </w:rPr>
        <w:t>will be reimbursed on a cost-basis for purposes of Medicare fee-for-service reimbursement</w:t>
      </w:r>
      <w:r w:rsidR="024CDC00" w:rsidRPr="001769C6">
        <w:rPr>
          <w:rFonts w:asciiTheme="minorHAnsi" w:hAnsiTheme="minorHAnsi"/>
        </w:rPr>
        <w:t>.</w:t>
      </w:r>
      <w:r w:rsidR="00234C35">
        <w:rPr>
          <w:rStyle w:val="FootnoteReference"/>
          <w:rFonts w:asciiTheme="minorHAnsi" w:hAnsiTheme="minorHAnsi"/>
        </w:rPr>
        <w:footnoteReference w:id="68"/>
      </w:r>
      <w:r w:rsidR="00CB75C8">
        <w:rPr>
          <w:rFonts w:asciiTheme="minorHAnsi" w:hAnsiTheme="minorHAnsi"/>
          <w:b/>
          <w:bCs/>
        </w:rPr>
        <w:t xml:space="preserve"> </w:t>
      </w:r>
    </w:p>
    <w:p w14:paraId="7DAA5733" w14:textId="77777777" w:rsidR="008853C4" w:rsidRDefault="008853C4" w:rsidP="00A21F0C">
      <w:pPr>
        <w:rPr>
          <w:rFonts w:asciiTheme="minorHAnsi" w:hAnsiTheme="minorHAnsi"/>
        </w:rPr>
      </w:pPr>
    </w:p>
    <w:p w14:paraId="0BBF8376" w14:textId="4CA6B18E" w:rsidR="0026606E" w:rsidRPr="0026606E" w:rsidRDefault="0064365F" w:rsidP="290519A8">
      <w:pPr>
        <w:rPr>
          <w:rFonts w:asciiTheme="minorHAnsi" w:hAnsiTheme="minorHAnsi"/>
        </w:rPr>
      </w:pPr>
      <w:r w:rsidRPr="290519A8">
        <w:rPr>
          <w:rFonts w:asciiTheme="minorHAnsi" w:hAnsiTheme="minorHAnsi"/>
        </w:rPr>
        <w:t>The Health Policy Commission has noted DFCI’s higher commercial outpatient prices relative to other Massachusetts hospitals.</w:t>
      </w:r>
      <w:r w:rsidRPr="0064365F">
        <w:rPr>
          <w:rFonts w:asciiTheme="minorHAnsi" w:hAnsiTheme="minorHAnsi"/>
          <w:vertAlign w:val="superscript"/>
        </w:rPr>
        <w:endnoteReference w:id="107"/>
      </w:r>
      <w:r w:rsidRPr="290519A8">
        <w:rPr>
          <w:rFonts w:asciiTheme="minorHAnsi" w:hAnsiTheme="minorHAnsi"/>
        </w:rPr>
        <w:t xml:space="preserve"> </w:t>
      </w:r>
      <w:r w:rsidR="00FC4D71" w:rsidRPr="290519A8">
        <w:rPr>
          <w:rFonts w:asciiTheme="minorHAnsi" w:hAnsiTheme="minorHAnsi"/>
        </w:rPr>
        <w:t xml:space="preserve">In response to staff inquiry about the Applicant’s </w:t>
      </w:r>
      <w:r w:rsidR="00812816" w:rsidRPr="290519A8">
        <w:rPr>
          <w:rFonts w:asciiTheme="minorHAnsi" w:hAnsiTheme="minorHAnsi"/>
        </w:rPr>
        <w:t>higher relative prices for some commercial payers</w:t>
      </w:r>
      <w:r w:rsidR="00FC4D71" w:rsidRPr="290519A8">
        <w:rPr>
          <w:rFonts w:asciiTheme="minorHAnsi" w:hAnsiTheme="minorHAnsi"/>
        </w:rPr>
        <w:t xml:space="preserve"> compared to MGH and UMass, the Applicant </w:t>
      </w:r>
      <w:r w:rsidR="007A669C" w:rsidRPr="290519A8">
        <w:rPr>
          <w:rFonts w:asciiTheme="minorHAnsi" w:hAnsiTheme="minorHAnsi"/>
        </w:rPr>
        <w:t>asserts that DFCI’s pricing reflects the res</w:t>
      </w:r>
      <w:r w:rsidR="00FB370E" w:rsidRPr="290519A8">
        <w:rPr>
          <w:rFonts w:asciiTheme="minorHAnsi" w:hAnsiTheme="minorHAnsi"/>
        </w:rPr>
        <w:t>ource intensive care provided to its patients</w:t>
      </w:r>
      <w:r w:rsidR="00D570C9" w:rsidRPr="290519A8">
        <w:rPr>
          <w:rFonts w:asciiTheme="minorHAnsi" w:hAnsiTheme="minorHAnsi"/>
        </w:rPr>
        <w:t xml:space="preserve">, which is not comparable to </w:t>
      </w:r>
      <w:r w:rsidR="0047797A" w:rsidRPr="290519A8">
        <w:rPr>
          <w:rFonts w:asciiTheme="minorHAnsi" w:hAnsiTheme="minorHAnsi"/>
        </w:rPr>
        <w:t>general acute care hospitals</w:t>
      </w:r>
      <w:r w:rsidR="00FB370E" w:rsidRPr="290519A8">
        <w:rPr>
          <w:rFonts w:asciiTheme="minorHAnsi" w:hAnsiTheme="minorHAnsi"/>
        </w:rPr>
        <w:t xml:space="preserve">. The Applicant states </w:t>
      </w:r>
      <w:r w:rsidR="00FC4D71" w:rsidRPr="290519A8">
        <w:rPr>
          <w:rFonts w:asciiTheme="minorHAnsi" w:hAnsiTheme="minorHAnsi"/>
        </w:rPr>
        <w:t>that</w:t>
      </w:r>
      <w:r w:rsidR="00812816" w:rsidRPr="290519A8">
        <w:rPr>
          <w:rFonts w:asciiTheme="minorHAnsi" w:hAnsiTheme="minorHAnsi"/>
        </w:rPr>
        <w:t xml:space="preserve"> </w:t>
      </w:r>
      <w:r w:rsidR="00CE38AE" w:rsidRPr="290519A8">
        <w:rPr>
          <w:rFonts w:asciiTheme="minorHAnsi" w:hAnsiTheme="minorHAnsi"/>
        </w:rPr>
        <w:t xml:space="preserve">as a specialty hospital, </w:t>
      </w:r>
      <w:r w:rsidR="002A4E99" w:rsidRPr="290519A8">
        <w:rPr>
          <w:rFonts w:asciiTheme="minorHAnsi" w:hAnsiTheme="minorHAnsi"/>
        </w:rPr>
        <w:t xml:space="preserve">it </w:t>
      </w:r>
      <w:r w:rsidR="00FC4D71" w:rsidRPr="290519A8">
        <w:rPr>
          <w:rFonts w:asciiTheme="minorHAnsi" w:hAnsiTheme="minorHAnsi"/>
        </w:rPr>
        <w:t xml:space="preserve">treats the highest proportion of metastatic site disease patients compared to other </w:t>
      </w:r>
      <w:r w:rsidR="007C4821" w:rsidRPr="290519A8">
        <w:rPr>
          <w:rFonts w:asciiTheme="minorHAnsi" w:hAnsiTheme="minorHAnsi"/>
        </w:rPr>
        <w:t>US</w:t>
      </w:r>
      <w:r w:rsidR="00FC4D71" w:rsidRPr="290519A8">
        <w:rPr>
          <w:rFonts w:asciiTheme="minorHAnsi" w:hAnsiTheme="minorHAnsi"/>
        </w:rPr>
        <w:t xml:space="preserve"> cancer hospitals, including Academic medical centers (AMCs), and NCI-designated comprehensive cancer centers, and </w:t>
      </w:r>
      <w:r w:rsidR="00D8074D" w:rsidRPr="290519A8">
        <w:rPr>
          <w:rFonts w:asciiTheme="minorHAnsi" w:hAnsiTheme="minorHAnsi"/>
        </w:rPr>
        <w:t xml:space="preserve">that it </w:t>
      </w:r>
      <w:r w:rsidR="00FC4D71" w:rsidRPr="290519A8">
        <w:rPr>
          <w:rFonts w:asciiTheme="minorHAnsi" w:hAnsiTheme="minorHAnsi"/>
        </w:rPr>
        <w:t>provides cancer care to a Patient Panel that is more acute and mo</w:t>
      </w:r>
      <w:r w:rsidR="00732B8D" w:rsidRPr="290519A8">
        <w:rPr>
          <w:rFonts w:asciiTheme="minorHAnsi" w:hAnsiTheme="minorHAnsi"/>
        </w:rPr>
        <w:t>re</w:t>
      </w:r>
      <w:r w:rsidR="00FC4D71" w:rsidRPr="290519A8">
        <w:rPr>
          <w:rFonts w:asciiTheme="minorHAnsi" w:hAnsiTheme="minorHAnsi"/>
        </w:rPr>
        <w:t xml:space="preserve"> costly to care for than other </w:t>
      </w:r>
      <w:r w:rsidR="0047797A" w:rsidRPr="290519A8">
        <w:rPr>
          <w:rFonts w:asciiTheme="minorHAnsi" w:hAnsiTheme="minorHAnsi"/>
        </w:rPr>
        <w:t>providers</w:t>
      </w:r>
      <w:r w:rsidR="0032230D" w:rsidRPr="290519A8">
        <w:rPr>
          <w:rFonts w:asciiTheme="minorHAnsi" w:hAnsiTheme="minorHAnsi"/>
        </w:rPr>
        <w:t xml:space="preserve">. </w:t>
      </w:r>
      <w:r w:rsidR="00607684" w:rsidRPr="290519A8">
        <w:rPr>
          <w:rFonts w:asciiTheme="minorHAnsi" w:hAnsiTheme="minorHAnsi"/>
        </w:rPr>
        <w:t>W</w:t>
      </w:r>
      <w:r w:rsidR="00EC541C" w:rsidRPr="290519A8">
        <w:rPr>
          <w:rFonts w:asciiTheme="minorHAnsi" w:hAnsiTheme="minorHAnsi"/>
        </w:rPr>
        <w:t xml:space="preserve">hile the Applicant’s relative prices only account for oncology care, for other </w:t>
      </w:r>
      <w:r w:rsidR="00606409" w:rsidRPr="290519A8">
        <w:rPr>
          <w:rFonts w:asciiTheme="minorHAnsi" w:hAnsiTheme="minorHAnsi"/>
        </w:rPr>
        <w:t xml:space="preserve">general </w:t>
      </w:r>
      <w:r w:rsidR="00EC541C" w:rsidRPr="290519A8">
        <w:rPr>
          <w:rFonts w:asciiTheme="minorHAnsi" w:hAnsiTheme="minorHAnsi"/>
        </w:rPr>
        <w:t xml:space="preserve">acute care providers like MGH and UMass, relative prices include other, less costly care. </w:t>
      </w:r>
      <w:r w:rsidR="00293A34" w:rsidRPr="290519A8">
        <w:rPr>
          <w:rFonts w:asciiTheme="minorHAnsi" w:hAnsiTheme="minorHAnsi"/>
        </w:rPr>
        <w:t>The Applicant maintains that CHIA’s relative price metric is limited in its ability to estimate and compare reimbursement between specialty cancer hospitals and general acute care hospitals</w:t>
      </w:r>
      <w:r w:rsidR="00E109D0" w:rsidRPr="290519A8">
        <w:rPr>
          <w:rFonts w:asciiTheme="minorHAnsi" w:hAnsiTheme="minorHAnsi"/>
        </w:rPr>
        <w:t xml:space="preserve"> because </w:t>
      </w:r>
      <w:r w:rsidR="006551F0" w:rsidRPr="290519A8">
        <w:rPr>
          <w:rFonts w:asciiTheme="minorHAnsi" w:hAnsiTheme="minorHAnsi"/>
        </w:rPr>
        <w:t>CHIA focuses only on service mix, and does not adjust for differences in patient acuity or service intensity,</w:t>
      </w:r>
      <w:r w:rsidR="00AD28E6" w:rsidRPr="290519A8">
        <w:rPr>
          <w:rFonts w:asciiTheme="minorHAnsi" w:hAnsiTheme="minorHAnsi"/>
        </w:rPr>
        <w:t xml:space="preserve"> </w:t>
      </w:r>
      <w:r w:rsidR="00C147FF" w:rsidRPr="290519A8">
        <w:rPr>
          <w:rFonts w:asciiTheme="minorHAnsi" w:hAnsiTheme="minorHAnsi"/>
        </w:rPr>
        <w:t>and</w:t>
      </w:r>
      <w:r w:rsidR="004B4EA8" w:rsidRPr="290519A8">
        <w:rPr>
          <w:rFonts w:asciiTheme="minorHAnsi" w:hAnsiTheme="minorHAnsi"/>
        </w:rPr>
        <w:t xml:space="preserve"> </w:t>
      </w:r>
      <w:r w:rsidR="00916551" w:rsidRPr="290519A8">
        <w:rPr>
          <w:rFonts w:asciiTheme="minorHAnsi" w:hAnsiTheme="minorHAnsi"/>
        </w:rPr>
        <w:t xml:space="preserve">because </w:t>
      </w:r>
      <w:r w:rsidR="004B4EA8" w:rsidRPr="290519A8">
        <w:rPr>
          <w:rFonts w:asciiTheme="minorHAnsi" w:hAnsiTheme="minorHAnsi"/>
        </w:rPr>
        <w:t>relative price has inherent limitations due to</w:t>
      </w:r>
      <w:r w:rsidR="003706B3" w:rsidRPr="290519A8">
        <w:rPr>
          <w:rFonts w:asciiTheme="minorHAnsi" w:hAnsiTheme="minorHAnsi"/>
        </w:rPr>
        <w:t xml:space="preserve"> variations in data and different </w:t>
      </w:r>
      <w:r w:rsidR="005F1581" w:rsidRPr="290519A8">
        <w:rPr>
          <w:rFonts w:asciiTheme="minorHAnsi" w:hAnsiTheme="minorHAnsi"/>
        </w:rPr>
        <w:t xml:space="preserve">reimbursement </w:t>
      </w:r>
      <w:r w:rsidR="003706B3" w:rsidRPr="290519A8">
        <w:rPr>
          <w:rFonts w:asciiTheme="minorHAnsi" w:hAnsiTheme="minorHAnsi"/>
        </w:rPr>
        <w:t>methodologies us</w:t>
      </w:r>
      <w:r w:rsidR="002332D5" w:rsidRPr="290519A8">
        <w:rPr>
          <w:rFonts w:asciiTheme="minorHAnsi" w:hAnsiTheme="minorHAnsi"/>
        </w:rPr>
        <w:t>ed</w:t>
      </w:r>
      <w:r w:rsidR="003706B3" w:rsidRPr="290519A8">
        <w:rPr>
          <w:rFonts w:asciiTheme="minorHAnsi" w:hAnsiTheme="minorHAnsi"/>
        </w:rPr>
        <w:t xml:space="preserve"> by payers</w:t>
      </w:r>
      <w:r w:rsidR="002332D5" w:rsidRPr="290519A8">
        <w:rPr>
          <w:rFonts w:asciiTheme="minorHAnsi" w:hAnsiTheme="minorHAnsi"/>
        </w:rPr>
        <w:t xml:space="preserve">. </w:t>
      </w:r>
    </w:p>
    <w:p w14:paraId="286B23B9" w14:textId="77777777" w:rsidR="00696B84" w:rsidRDefault="00696B84" w:rsidP="009A0C61">
      <w:pPr>
        <w:rPr>
          <w:rFonts w:asciiTheme="minorHAnsi" w:hAnsiTheme="minorHAnsi"/>
          <w:szCs w:val="24"/>
        </w:rPr>
      </w:pPr>
    </w:p>
    <w:p w14:paraId="5A2F76C8" w14:textId="5F06956E" w:rsidR="00197967" w:rsidRPr="00197967" w:rsidRDefault="00480CD7" w:rsidP="4E0E7674">
      <w:pPr>
        <w:rPr>
          <w:rFonts w:asciiTheme="minorHAnsi" w:hAnsiTheme="minorHAnsi"/>
        </w:rPr>
      </w:pPr>
      <w:r w:rsidRPr="4E0E7674">
        <w:rPr>
          <w:rFonts w:asciiTheme="minorHAnsi" w:hAnsiTheme="minorHAnsi"/>
          <w:b/>
          <w:bCs/>
        </w:rPr>
        <w:t xml:space="preserve">Cost </w:t>
      </w:r>
      <w:r w:rsidR="00984B11" w:rsidRPr="4E0E7674">
        <w:rPr>
          <w:rFonts w:asciiTheme="minorHAnsi" w:hAnsiTheme="minorHAnsi"/>
          <w:b/>
          <w:bCs/>
        </w:rPr>
        <w:t>Effectiveness</w:t>
      </w:r>
      <w:r w:rsidRPr="4E0E7674">
        <w:rPr>
          <w:rFonts w:asciiTheme="minorHAnsi" w:hAnsiTheme="minorHAnsi"/>
        </w:rPr>
        <w:t xml:space="preserve">: </w:t>
      </w:r>
      <w:r w:rsidR="002A4E99" w:rsidRPr="4E0E7674">
        <w:rPr>
          <w:rFonts w:asciiTheme="minorHAnsi" w:hAnsiTheme="minorHAnsi"/>
        </w:rPr>
        <w:t>The Applicant states that PBT</w:t>
      </w:r>
      <w:r w:rsidR="007B5B4E" w:rsidRPr="4E0E7674">
        <w:rPr>
          <w:rFonts w:asciiTheme="minorHAnsi" w:hAnsiTheme="minorHAnsi"/>
        </w:rPr>
        <w:t xml:space="preserve"> can offer cost savings through reducing </w:t>
      </w:r>
      <w:r w:rsidR="007F386A" w:rsidRPr="4E0E7674">
        <w:rPr>
          <w:rFonts w:asciiTheme="minorHAnsi" w:hAnsiTheme="minorHAnsi"/>
        </w:rPr>
        <w:t>long-term medical expenses associated with side effects, radiation-induced cancers, and diminished quality of life.</w:t>
      </w:r>
      <w:r w:rsidR="00B7159D" w:rsidRPr="4E0E7674">
        <w:rPr>
          <w:rFonts w:asciiTheme="minorHAnsi" w:hAnsiTheme="minorHAnsi"/>
        </w:rPr>
        <w:t xml:space="preserve"> </w:t>
      </w:r>
      <w:r w:rsidR="00396F75" w:rsidRPr="4E0E7674">
        <w:rPr>
          <w:rFonts w:asciiTheme="minorHAnsi" w:hAnsiTheme="minorHAnsi"/>
        </w:rPr>
        <w:t>As noted in Factors 1a and 1b, PBT provides long-term health benefits for eligible pediatric patients, including a reduction in adverse effects of treatment, which can reduce need for long-term supportive care, and reduce spending.</w:t>
      </w:r>
      <w:r w:rsidR="00396F75" w:rsidRPr="00396F75">
        <w:rPr>
          <w:rFonts w:asciiTheme="minorHAnsi" w:hAnsiTheme="minorHAnsi"/>
          <w:szCs w:val="24"/>
          <w:vertAlign w:val="superscript"/>
        </w:rPr>
        <w:endnoteReference w:id="108"/>
      </w:r>
      <w:r w:rsidR="00396F75" w:rsidRPr="4E0E7674">
        <w:rPr>
          <w:rFonts w:asciiTheme="minorHAnsi" w:hAnsiTheme="minorHAnsi"/>
        </w:rPr>
        <w:t xml:space="preserve"> </w:t>
      </w:r>
      <w:r w:rsidR="007B4080" w:rsidRPr="4E0E7674">
        <w:rPr>
          <w:rFonts w:asciiTheme="minorHAnsi" w:hAnsiTheme="minorHAnsi"/>
        </w:rPr>
        <w:t xml:space="preserve">The Applicant cited </w:t>
      </w:r>
      <w:r w:rsidR="00B52502" w:rsidRPr="4E0E7674">
        <w:rPr>
          <w:rFonts w:asciiTheme="minorHAnsi" w:hAnsiTheme="minorHAnsi"/>
        </w:rPr>
        <w:t>a</w:t>
      </w:r>
      <w:r w:rsidR="004E11EC" w:rsidRPr="4E0E7674">
        <w:rPr>
          <w:rFonts w:asciiTheme="minorHAnsi" w:hAnsiTheme="minorHAnsi"/>
        </w:rPr>
        <w:t xml:space="preserve"> </w:t>
      </w:r>
      <w:r w:rsidR="00B1071C" w:rsidRPr="4E0E7674">
        <w:rPr>
          <w:rFonts w:asciiTheme="minorHAnsi" w:hAnsiTheme="minorHAnsi"/>
        </w:rPr>
        <w:t xml:space="preserve">study evaluating the cost effectiveness of </w:t>
      </w:r>
      <w:r w:rsidR="002A4E99" w:rsidRPr="4E0E7674">
        <w:rPr>
          <w:rFonts w:asciiTheme="minorHAnsi" w:hAnsiTheme="minorHAnsi"/>
        </w:rPr>
        <w:t>PBT</w:t>
      </w:r>
      <w:r w:rsidR="00B1071C" w:rsidRPr="4E0E7674">
        <w:rPr>
          <w:rFonts w:asciiTheme="minorHAnsi" w:hAnsiTheme="minorHAnsi"/>
        </w:rPr>
        <w:t xml:space="preserve"> compared</w:t>
      </w:r>
      <w:r w:rsidR="004E11EC" w:rsidRPr="4E0E7674">
        <w:rPr>
          <w:rFonts w:asciiTheme="minorHAnsi" w:hAnsiTheme="minorHAnsi"/>
        </w:rPr>
        <w:t xml:space="preserve"> </w:t>
      </w:r>
      <w:r w:rsidR="00B1071C" w:rsidRPr="4E0E7674">
        <w:rPr>
          <w:rFonts w:asciiTheme="minorHAnsi" w:hAnsiTheme="minorHAnsi"/>
        </w:rPr>
        <w:t>with photon therapy in treating pediatric medulloblastoma</w:t>
      </w:r>
      <w:r w:rsidR="00DD6BE9" w:rsidRPr="4E0E7674">
        <w:rPr>
          <w:rStyle w:val="FootnoteReference"/>
          <w:rFonts w:asciiTheme="minorHAnsi" w:hAnsiTheme="minorHAnsi"/>
        </w:rPr>
        <w:footnoteReference w:id="69"/>
      </w:r>
      <w:r w:rsidR="00B1071C" w:rsidRPr="4E0E7674">
        <w:rPr>
          <w:rFonts w:asciiTheme="minorHAnsi" w:hAnsiTheme="minorHAnsi"/>
        </w:rPr>
        <w:t>,</w:t>
      </w:r>
      <w:r w:rsidR="00772B9D" w:rsidRPr="4E0E7674">
        <w:rPr>
          <w:rFonts w:asciiTheme="minorHAnsi" w:hAnsiTheme="minorHAnsi"/>
        </w:rPr>
        <w:t xml:space="preserve"> </w:t>
      </w:r>
      <w:r w:rsidR="00A97777" w:rsidRPr="4E0E7674">
        <w:rPr>
          <w:rFonts w:asciiTheme="minorHAnsi" w:hAnsiTheme="minorHAnsi"/>
        </w:rPr>
        <w:t xml:space="preserve">which </w:t>
      </w:r>
      <w:r w:rsidR="00772B9D" w:rsidRPr="4E0E7674">
        <w:rPr>
          <w:rFonts w:asciiTheme="minorHAnsi" w:hAnsiTheme="minorHAnsi"/>
        </w:rPr>
        <w:t xml:space="preserve">found that </w:t>
      </w:r>
      <w:r w:rsidR="00E63409" w:rsidRPr="4E0E7674">
        <w:rPr>
          <w:rFonts w:asciiTheme="minorHAnsi" w:hAnsiTheme="minorHAnsi"/>
        </w:rPr>
        <w:t>“Despite the increased upfront cost of proton therapy, we observed that protons were cost saving compared with photons over the lifespan of a population of patients because of decreased costs associated</w:t>
      </w:r>
      <w:r w:rsidR="00D92CF6" w:rsidRPr="4E0E7674">
        <w:rPr>
          <w:rFonts w:asciiTheme="minorHAnsi" w:hAnsiTheme="minorHAnsi"/>
        </w:rPr>
        <w:t xml:space="preserve"> </w:t>
      </w:r>
      <w:r w:rsidR="00E63409" w:rsidRPr="4E0E7674">
        <w:rPr>
          <w:rFonts w:asciiTheme="minorHAnsi" w:hAnsiTheme="minorHAnsi"/>
        </w:rPr>
        <w:t>with radiation-induced medical problems</w:t>
      </w:r>
      <w:r w:rsidR="00CA60AA" w:rsidRPr="4E0E7674">
        <w:rPr>
          <w:rFonts w:asciiTheme="minorHAnsi" w:hAnsiTheme="minorHAnsi"/>
        </w:rPr>
        <w:t>.</w:t>
      </w:r>
      <w:r w:rsidR="00794BDC" w:rsidRPr="4E0E7674">
        <w:rPr>
          <w:rFonts w:asciiTheme="minorHAnsi" w:hAnsiTheme="minorHAnsi"/>
        </w:rPr>
        <w:t>”</w:t>
      </w:r>
      <w:r w:rsidR="00E63409" w:rsidRPr="4E0E7674">
        <w:rPr>
          <w:rStyle w:val="EndnoteReference"/>
          <w:rFonts w:asciiTheme="minorHAnsi" w:hAnsiTheme="minorHAnsi"/>
        </w:rPr>
        <w:endnoteReference w:id="109"/>
      </w:r>
      <w:r w:rsidR="00B620A9" w:rsidRPr="4E0E7674">
        <w:rPr>
          <w:rFonts w:asciiTheme="minorHAnsi" w:hAnsiTheme="minorHAnsi"/>
        </w:rPr>
        <w:t xml:space="preserve"> The authors did note</w:t>
      </w:r>
      <w:r w:rsidR="00B10A68" w:rsidRPr="4E0E7674">
        <w:rPr>
          <w:rFonts w:asciiTheme="minorHAnsi" w:hAnsiTheme="minorHAnsi"/>
        </w:rPr>
        <w:t xml:space="preserve"> the limitations of </w:t>
      </w:r>
      <w:r w:rsidR="00330F2C" w:rsidRPr="4E0E7674">
        <w:rPr>
          <w:rFonts w:asciiTheme="minorHAnsi" w:hAnsiTheme="minorHAnsi"/>
        </w:rPr>
        <w:t>translating</w:t>
      </w:r>
      <w:r w:rsidR="00B10A68" w:rsidRPr="4E0E7674">
        <w:rPr>
          <w:rFonts w:asciiTheme="minorHAnsi" w:hAnsiTheme="minorHAnsi"/>
        </w:rPr>
        <w:t xml:space="preserve"> the results </w:t>
      </w:r>
      <w:r w:rsidR="00330F2C" w:rsidRPr="4E0E7674">
        <w:rPr>
          <w:rFonts w:asciiTheme="minorHAnsi" w:hAnsiTheme="minorHAnsi"/>
        </w:rPr>
        <w:t xml:space="preserve">of the study </w:t>
      </w:r>
      <w:r w:rsidR="00B10A68" w:rsidRPr="4E0E7674">
        <w:rPr>
          <w:rFonts w:asciiTheme="minorHAnsi" w:hAnsiTheme="minorHAnsi"/>
        </w:rPr>
        <w:t>to other types of cancers</w:t>
      </w:r>
      <w:r w:rsidR="00B620A9" w:rsidRPr="4E0E7674">
        <w:rPr>
          <w:rFonts w:asciiTheme="minorHAnsi" w:hAnsiTheme="minorHAnsi"/>
        </w:rPr>
        <w:t>: “</w:t>
      </w:r>
      <w:r w:rsidR="00B10A68" w:rsidRPr="4E0E7674">
        <w:rPr>
          <w:rFonts w:asciiTheme="minorHAnsi" w:hAnsiTheme="minorHAnsi"/>
        </w:rPr>
        <w:t>Although proton therapy may dominate photon therapy in pediatric medulloblastoma, the prevalence of the disease is low and may not provide sufficient patient volume for the cost-effective use of many facilities.”</w:t>
      </w:r>
      <w:r w:rsidR="00B10A68" w:rsidRPr="00B10A68">
        <w:rPr>
          <w:vertAlign w:val="superscript"/>
        </w:rPr>
        <w:endnoteReference w:id="110"/>
      </w:r>
      <w:r w:rsidR="00EF69FD" w:rsidRPr="4E0E7674">
        <w:rPr>
          <w:rFonts w:asciiTheme="minorHAnsi" w:hAnsiTheme="minorHAnsi"/>
        </w:rPr>
        <w:t xml:space="preserve"> A </w:t>
      </w:r>
      <w:r w:rsidR="003D284C" w:rsidRPr="4E0E7674">
        <w:rPr>
          <w:rFonts w:asciiTheme="minorHAnsi" w:hAnsiTheme="minorHAnsi"/>
        </w:rPr>
        <w:t xml:space="preserve">study detailing the collaboration between </w:t>
      </w:r>
      <w:r w:rsidR="00621D5F" w:rsidRPr="4E0E7674">
        <w:rPr>
          <w:rFonts w:asciiTheme="minorHAnsi" w:hAnsiTheme="minorHAnsi"/>
        </w:rPr>
        <w:t>a large academic cancer center</w:t>
      </w:r>
      <w:r w:rsidR="003D284C" w:rsidRPr="4E0E7674">
        <w:rPr>
          <w:rFonts w:asciiTheme="minorHAnsi" w:hAnsiTheme="minorHAnsi"/>
        </w:rPr>
        <w:t xml:space="preserve"> </w:t>
      </w:r>
      <w:r w:rsidR="00621D5F" w:rsidRPr="4E0E7674">
        <w:rPr>
          <w:rFonts w:asciiTheme="minorHAnsi" w:hAnsiTheme="minorHAnsi"/>
        </w:rPr>
        <w:t>with a statewide self-funded employer on a</w:t>
      </w:r>
      <w:r w:rsidR="003D284C" w:rsidRPr="4E0E7674">
        <w:rPr>
          <w:rFonts w:asciiTheme="minorHAnsi" w:hAnsiTheme="minorHAnsi"/>
        </w:rPr>
        <w:t>n</w:t>
      </w:r>
      <w:r w:rsidR="00621D5F" w:rsidRPr="4E0E7674">
        <w:rPr>
          <w:rFonts w:asciiTheme="minorHAnsi" w:hAnsiTheme="minorHAnsi"/>
        </w:rPr>
        <w:t xml:space="preserve"> insurance coverage pilot</w:t>
      </w:r>
      <w:r w:rsidR="003D284C" w:rsidRPr="4E0E7674">
        <w:rPr>
          <w:rFonts w:asciiTheme="minorHAnsi" w:hAnsiTheme="minorHAnsi"/>
        </w:rPr>
        <w:t xml:space="preserve"> </w:t>
      </w:r>
      <w:r w:rsidR="00EF69FD" w:rsidRPr="4E0E7674">
        <w:rPr>
          <w:rFonts w:asciiTheme="minorHAnsi" w:hAnsiTheme="minorHAnsi"/>
        </w:rPr>
        <w:t xml:space="preserve">demonstrated that </w:t>
      </w:r>
      <w:r w:rsidR="00DA087A" w:rsidRPr="4E0E7674">
        <w:rPr>
          <w:rFonts w:asciiTheme="minorHAnsi" w:hAnsiTheme="minorHAnsi"/>
        </w:rPr>
        <w:t xml:space="preserve">total medical costs for patients </w:t>
      </w:r>
      <w:r w:rsidR="001E3B27" w:rsidRPr="4E0E7674">
        <w:rPr>
          <w:rFonts w:asciiTheme="minorHAnsi" w:hAnsiTheme="minorHAnsi"/>
        </w:rPr>
        <w:t>treated with</w:t>
      </w:r>
      <w:r w:rsidR="00BB5EE2" w:rsidRPr="4E0E7674">
        <w:rPr>
          <w:rFonts w:asciiTheme="minorHAnsi" w:hAnsiTheme="minorHAnsi"/>
        </w:rPr>
        <w:t xml:space="preserve"> PBT </w:t>
      </w:r>
      <w:r w:rsidR="009E40F7" w:rsidRPr="4E0E7674">
        <w:rPr>
          <w:rFonts w:asciiTheme="minorHAnsi" w:hAnsiTheme="minorHAnsi"/>
        </w:rPr>
        <w:t>were much lower when</w:t>
      </w:r>
      <w:r w:rsidR="00EF69FD" w:rsidRPr="4E0E7674">
        <w:rPr>
          <w:rFonts w:asciiTheme="minorHAnsi" w:hAnsiTheme="minorHAnsi"/>
        </w:rPr>
        <w:t xml:space="preserve"> compared </w:t>
      </w:r>
      <w:r w:rsidR="009E40F7" w:rsidRPr="4E0E7674">
        <w:rPr>
          <w:rFonts w:asciiTheme="minorHAnsi" w:hAnsiTheme="minorHAnsi"/>
        </w:rPr>
        <w:t>with patients treated</w:t>
      </w:r>
      <w:r w:rsidR="64AA25FB" w:rsidRPr="4E0E7674">
        <w:rPr>
          <w:rFonts w:asciiTheme="minorHAnsi" w:hAnsiTheme="minorHAnsi"/>
        </w:rPr>
        <w:t xml:space="preserve"> with</w:t>
      </w:r>
      <w:r w:rsidR="009E40F7" w:rsidRPr="4E0E7674">
        <w:rPr>
          <w:rFonts w:asciiTheme="minorHAnsi" w:hAnsiTheme="minorHAnsi"/>
        </w:rPr>
        <w:t xml:space="preserve"> </w:t>
      </w:r>
      <w:r w:rsidR="00EF69FD" w:rsidRPr="4E0E7674">
        <w:rPr>
          <w:rFonts w:asciiTheme="minorHAnsi" w:hAnsiTheme="minorHAnsi"/>
        </w:rPr>
        <w:t xml:space="preserve">traditional </w:t>
      </w:r>
      <w:r w:rsidR="009E60DC" w:rsidRPr="4E0E7674">
        <w:rPr>
          <w:rFonts w:asciiTheme="minorHAnsi" w:hAnsiTheme="minorHAnsi"/>
        </w:rPr>
        <w:t>R</w:t>
      </w:r>
      <w:r w:rsidR="00EF69FD" w:rsidRPr="4E0E7674">
        <w:rPr>
          <w:rFonts w:asciiTheme="minorHAnsi" w:hAnsiTheme="minorHAnsi"/>
        </w:rPr>
        <w:t>​</w:t>
      </w:r>
      <w:r w:rsidR="009E60DC" w:rsidRPr="4E0E7674">
        <w:rPr>
          <w:rFonts w:asciiTheme="minorHAnsi" w:hAnsiTheme="minorHAnsi"/>
        </w:rPr>
        <w:t>T.</w:t>
      </w:r>
      <w:r w:rsidR="009E60DC">
        <w:rPr>
          <w:rStyle w:val="EndnoteReference"/>
          <w:rFonts w:asciiTheme="minorHAnsi" w:hAnsiTheme="minorHAnsi"/>
          <w:szCs w:val="24"/>
        </w:rPr>
        <w:endnoteReference w:id="111"/>
      </w:r>
      <w:r w:rsidR="00752086" w:rsidRPr="4E0E7674">
        <w:rPr>
          <w:rFonts w:asciiTheme="minorHAnsi" w:hAnsiTheme="minorHAnsi"/>
        </w:rPr>
        <w:t xml:space="preserve"> </w:t>
      </w:r>
      <w:r w:rsidR="00DA1FFE" w:rsidRPr="4E0E7674">
        <w:rPr>
          <w:rFonts w:asciiTheme="minorHAnsi" w:hAnsiTheme="minorHAnsi"/>
        </w:rPr>
        <w:t xml:space="preserve">One limitation of the study was the </w:t>
      </w:r>
      <w:r w:rsidR="00225BD2" w:rsidRPr="4E0E7674">
        <w:rPr>
          <w:rFonts w:asciiTheme="minorHAnsi" w:hAnsiTheme="minorHAnsi"/>
        </w:rPr>
        <w:t>modest sample size (</w:t>
      </w:r>
      <w:r w:rsidR="00525DD3" w:rsidRPr="4E0E7674">
        <w:rPr>
          <w:rFonts w:asciiTheme="minorHAnsi" w:hAnsiTheme="minorHAnsi"/>
        </w:rPr>
        <w:t xml:space="preserve">22 treated with PBT and 25 </w:t>
      </w:r>
      <w:r w:rsidR="00DC51D3" w:rsidRPr="4E0E7674">
        <w:rPr>
          <w:rFonts w:asciiTheme="minorHAnsi" w:hAnsiTheme="minorHAnsi"/>
        </w:rPr>
        <w:t>treated with photons</w:t>
      </w:r>
      <w:r w:rsidR="00225BD2" w:rsidRPr="4E0E7674">
        <w:rPr>
          <w:rFonts w:asciiTheme="minorHAnsi" w:hAnsiTheme="minorHAnsi"/>
        </w:rPr>
        <w:t>)</w:t>
      </w:r>
      <w:r w:rsidR="00FE558E" w:rsidRPr="4E0E7674">
        <w:rPr>
          <w:rFonts w:asciiTheme="minorHAnsi" w:hAnsiTheme="minorHAnsi"/>
        </w:rPr>
        <w:t xml:space="preserve">. </w:t>
      </w:r>
    </w:p>
    <w:p w14:paraId="44AAD243" w14:textId="77777777" w:rsidR="00FA5DBC" w:rsidRDefault="00FA5DBC" w:rsidP="0031448E">
      <w:pPr>
        <w:rPr>
          <w:rFonts w:asciiTheme="minorHAnsi" w:hAnsiTheme="minorHAnsi"/>
          <w:szCs w:val="24"/>
        </w:rPr>
      </w:pPr>
    </w:p>
    <w:p w14:paraId="1ABB6B04" w14:textId="5DC76BEA" w:rsidR="00356802" w:rsidRDefault="0069706B" w:rsidP="00D30850">
      <w:pPr>
        <w:rPr>
          <w:rFonts w:asciiTheme="minorHAnsi" w:hAnsiTheme="minorHAnsi"/>
          <w:szCs w:val="24"/>
        </w:rPr>
      </w:pPr>
      <w:r w:rsidRPr="0069706B">
        <w:rPr>
          <w:rFonts w:asciiTheme="minorHAnsi" w:hAnsiTheme="minorHAnsi"/>
          <w:b/>
          <w:bCs/>
          <w:szCs w:val="24"/>
        </w:rPr>
        <w:t>Lower Treatment Costs</w:t>
      </w:r>
      <w:r>
        <w:rPr>
          <w:rFonts w:asciiTheme="minorHAnsi" w:hAnsiTheme="minorHAnsi"/>
          <w:b/>
          <w:bCs/>
          <w:szCs w:val="24"/>
        </w:rPr>
        <w:t xml:space="preserve">: </w:t>
      </w:r>
      <w:r w:rsidR="00F4368B">
        <w:rPr>
          <w:rFonts w:asciiTheme="minorHAnsi" w:hAnsiTheme="minorHAnsi"/>
          <w:szCs w:val="24"/>
        </w:rPr>
        <w:t xml:space="preserve">The Applicant states that the proposed </w:t>
      </w:r>
      <w:r w:rsidR="00972AA6">
        <w:rPr>
          <w:rFonts w:asciiTheme="minorHAnsi" w:hAnsiTheme="minorHAnsi"/>
          <w:szCs w:val="24"/>
        </w:rPr>
        <w:t>PBT system</w:t>
      </w:r>
      <w:r w:rsidR="00F4368B">
        <w:rPr>
          <w:rFonts w:asciiTheme="minorHAnsi" w:hAnsiTheme="minorHAnsi"/>
          <w:szCs w:val="24"/>
        </w:rPr>
        <w:t xml:space="preserve"> is competitive because it </w:t>
      </w:r>
      <w:r w:rsidR="005952C9">
        <w:rPr>
          <w:rFonts w:asciiTheme="minorHAnsi" w:hAnsiTheme="minorHAnsi"/>
          <w:szCs w:val="24"/>
        </w:rPr>
        <w:t xml:space="preserve">will offer </w:t>
      </w:r>
      <w:r w:rsidR="00972AA6">
        <w:rPr>
          <w:rFonts w:asciiTheme="minorHAnsi" w:hAnsiTheme="minorHAnsi"/>
          <w:szCs w:val="24"/>
        </w:rPr>
        <w:t>PBT</w:t>
      </w:r>
      <w:r w:rsidR="005952C9">
        <w:rPr>
          <w:rFonts w:asciiTheme="minorHAnsi" w:hAnsiTheme="minorHAnsi"/>
          <w:szCs w:val="24"/>
        </w:rPr>
        <w:t xml:space="preserve"> at a lower cost than traditional proton beam centers</w:t>
      </w:r>
      <w:r w:rsidR="005C01DE">
        <w:rPr>
          <w:rFonts w:asciiTheme="minorHAnsi" w:hAnsiTheme="minorHAnsi"/>
          <w:szCs w:val="24"/>
        </w:rPr>
        <w:t>. A</w:t>
      </w:r>
      <w:r w:rsidR="008E6CBB">
        <w:rPr>
          <w:rFonts w:asciiTheme="minorHAnsi" w:hAnsiTheme="minorHAnsi"/>
          <w:szCs w:val="24"/>
        </w:rPr>
        <w:t xml:space="preserve">dvanced technology, </w:t>
      </w:r>
      <w:r w:rsidR="005C01DE">
        <w:rPr>
          <w:rFonts w:asciiTheme="minorHAnsi" w:hAnsiTheme="minorHAnsi"/>
          <w:szCs w:val="24"/>
        </w:rPr>
        <w:t xml:space="preserve">and </w:t>
      </w:r>
      <w:r w:rsidR="008E6CBB">
        <w:rPr>
          <w:rFonts w:asciiTheme="minorHAnsi" w:hAnsiTheme="minorHAnsi"/>
          <w:szCs w:val="24"/>
        </w:rPr>
        <w:lastRenderedPageBreak/>
        <w:t>optimized workflows such as compact proton accelerators</w:t>
      </w:r>
      <w:r w:rsidR="005C01DE">
        <w:rPr>
          <w:rFonts w:asciiTheme="minorHAnsi" w:hAnsiTheme="minorHAnsi"/>
          <w:szCs w:val="24"/>
        </w:rPr>
        <w:t xml:space="preserve"> </w:t>
      </w:r>
      <w:r w:rsidR="008E6CBB">
        <w:rPr>
          <w:rFonts w:asciiTheme="minorHAnsi" w:hAnsiTheme="minorHAnsi"/>
          <w:szCs w:val="24"/>
        </w:rPr>
        <w:t>reduce treatment delivery costs by 15% to 20% compared to traditional proton systems. The Applicant anticipates a reduction in per-tre</w:t>
      </w:r>
      <w:r w:rsidR="00865630">
        <w:rPr>
          <w:rFonts w:asciiTheme="minorHAnsi" w:hAnsiTheme="minorHAnsi"/>
          <w:szCs w:val="24"/>
        </w:rPr>
        <w:t>at</w:t>
      </w:r>
      <w:r w:rsidR="008E6CBB">
        <w:rPr>
          <w:rFonts w:asciiTheme="minorHAnsi" w:hAnsiTheme="minorHAnsi"/>
          <w:szCs w:val="24"/>
        </w:rPr>
        <w:t xml:space="preserve">ment costs which </w:t>
      </w:r>
      <w:r w:rsidR="00865630">
        <w:rPr>
          <w:rFonts w:asciiTheme="minorHAnsi" w:hAnsiTheme="minorHAnsi"/>
          <w:szCs w:val="24"/>
        </w:rPr>
        <w:t xml:space="preserve">could lead to lower TME for patients and payers. </w:t>
      </w:r>
      <w:r w:rsidR="007C62E3">
        <w:rPr>
          <w:rFonts w:asciiTheme="minorHAnsi" w:hAnsiTheme="minorHAnsi"/>
          <w:szCs w:val="24"/>
        </w:rPr>
        <w:t>To address concerns about high upfront costs, t</w:t>
      </w:r>
      <w:r w:rsidR="004A61FD">
        <w:rPr>
          <w:rFonts w:asciiTheme="minorHAnsi" w:hAnsiTheme="minorHAnsi"/>
          <w:szCs w:val="24"/>
        </w:rPr>
        <w:t xml:space="preserve">he </w:t>
      </w:r>
      <w:r w:rsidR="00D8074D">
        <w:rPr>
          <w:rFonts w:asciiTheme="minorHAnsi" w:hAnsiTheme="minorHAnsi"/>
          <w:szCs w:val="24"/>
        </w:rPr>
        <w:t xml:space="preserve">Applicant </w:t>
      </w:r>
      <w:r w:rsidR="004A61FD">
        <w:rPr>
          <w:rFonts w:asciiTheme="minorHAnsi" w:hAnsiTheme="minorHAnsi"/>
          <w:szCs w:val="24"/>
        </w:rPr>
        <w:t xml:space="preserve">will implement a sliding-scale payment model for uninsured patients and </w:t>
      </w:r>
      <w:r w:rsidR="00882931">
        <w:rPr>
          <w:rFonts w:asciiTheme="minorHAnsi" w:hAnsiTheme="minorHAnsi"/>
          <w:szCs w:val="24"/>
        </w:rPr>
        <w:t xml:space="preserve">will </w:t>
      </w:r>
      <w:r w:rsidR="00216063">
        <w:rPr>
          <w:rFonts w:asciiTheme="minorHAnsi" w:hAnsiTheme="minorHAnsi"/>
          <w:szCs w:val="24"/>
        </w:rPr>
        <w:t>leverage the resources of its existing</w:t>
      </w:r>
      <w:r w:rsidR="000937C3">
        <w:rPr>
          <w:rFonts w:asciiTheme="minorHAnsi" w:hAnsiTheme="minorHAnsi"/>
          <w:szCs w:val="24"/>
        </w:rPr>
        <w:t xml:space="preserve">, long-standing clinical affiliation </w:t>
      </w:r>
      <w:r w:rsidR="004A61FD">
        <w:rPr>
          <w:rFonts w:asciiTheme="minorHAnsi" w:hAnsiTheme="minorHAnsi"/>
          <w:szCs w:val="24"/>
        </w:rPr>
        <w:t xml:space="preserve">with </w:t>
      </w:r>
      <w:r w:rsidR="00CE0778">
        <w:rPr>
          <w:rFonts w:asciiTheme="minorHAnsi" w:hAnsiTheme="minorHAnsi"/>
          <w:szCs w:val="24"/>
        </w:rPr>
        <w:t>BCH</w:t>
      </w:r>
      <w:r w:rsidR="00C24F31">
        <w:rPr>
          <w:rFonts w:asciiTheme="minorHAnsi" w:hAnsiTheme="minorHAnsi"/>
          <w:szCs w:val="24"/>
        </w:rPr>
        <w:t xml:space="preserve">, including </w:t>
      </w:r>
      <w:r w:rsidR="00C24F31" w:rsidRPr="00C24F31">
        <w:rPr>
          <w:rFonts w:asciiTheme="minorHAnsi" w:hAnsiTheme="minorHAnsi"/>
          <w:szCs w:val="24"/>
        </w:rPr>
        <w:t>access to pediatric anesthesia, transport, emergency services, floor communication, and child life specialists</w:t>
      </w:r>
      <w:r w:rsidR="00F773DE">
        <w:rPr>
          <w:rFonts w:asciiTheme="minorHAnsi" w:hAnsiTheme="minorHAnsi"/>
          <w:szCs w:val="24"/>
        </w:rPr>
        <w:t>,</w:t>
      </w:r>
      <w:r w:rsidR="00956A4C">
        <w:rPr>
          <w:rFonts w:asciiTheme="minorHAnsi" w:hAnsiTheme="minorHAnsi"/>
          <w:szCs w:val="24"/>
        </w:rPr>
        <w:t xml:space="preserve"> </w:t>
      </w:r>
      <w:r w:rsidR="004A61FD">
        <w:rPr>
          <w:rFonts w:asciiTheme="minorHAnsi" w:hAnsiTheme="minorHAnsi"/>
          <w:szCs w:val="24"/>
        </w:rPr>
        <w:t>to share infrastructure costs</w:t>
      </w:r>
      <w:r w:rsidR="007A43ED">
        <w:rPr>
          <w:rFonts w:asciiTheme="minorHAnsi" w:hAnsiTheme="minorHAnsi"/>
          <w:szCs w:val="24"/>
        </w:rPr>
        <w:t xml:space="preserve">. </w:t>
      </w:r>
      <w:r w:rsidR="00D30850" w:rsidRPr="00D30850">
        <w:rPr>
          <w:rFonts w:asciiTheme="minorHAnsi" w:hAnsiTheme="minorHAnsi"/>
          <w:szCs w:val="24"/>
        </w:rPr>
        <w:t>The Applicant does not have an estimate of how projected treatment costs of PBT will compare to current costs for photon</w:t>
      </w:r>
      <w:r w:rsidR="00612F2E">
        <w:rPr>
          <w:rFonts w:asciiTheme="minorHAnsi" w:hAnsiTheme="minorHAnsi"/>
          <w:szCs w:val="24"/>
        </w:rPr>
        <w:t xml:space="preserve"> beam</w:t>
      </w:r>
      <w:r w:rsidR="00831716">
        <w:rPr>
          <w:rFonts w:asciiTheme="minorHAnsi" w:hAnsiTheme="minorHAnsi"/>
          <w:szCs w:val="24"/>
        </w:rPr>
        <w:t xml:space="preserve"> </w:t>
      </w:r>
      <w:r w:rsidR="00D30850" w:rsidRPr="00D30850">
        <w:rPr>
          <w:rFonts w:asciiTheme="minorHAnsi" w:hAnsiTheme="minorHAnsi"/>
          <w:szCs w:val="24"/>
        </w:rPr>
        <w:t xml:space="preserve">RT. </w:t>
      </w:r>
    </w:p>
    <w:p w14:paraId="415CFFDF" w14:textId="77777777" w:rsidR="00FB2E49" w:rsidRPr="00D30850" w:rsidRDefault="00FB2E49" w:rsidP="00D30850">
      <w:pPr>
        <w:rPr>
          <w:rFonts w:asciiTheme="minorHAnsi" w:hAnsiTheme="minorHAnsi"/>
          <w:szCs w:val="24"/>
        </w:rPr>
      </w:pPr>
    </w:p>
    <w:p w14:paraId="69AD67C2" w14:textId="7A688A53" w:rsidR="001307BE" w:rsidRDefault="00912507" w:rsidP="009A0C61">
      <w:pPr>
        <w:rPr>
          <w:rFonts w:asciiTheme="minorHAnsi" w:hAnsiTheme="minorHAnsi"/>
          <w:szCs w:val="24"/>
        </w:rPr>
      </w:pPr>
      <w:r w:rsidRPr="00912507">
        <w:rPr>
          <w:rFonts w:asciiTheme="minorHAnsi" w:hAnsiTheme="minorHAnsi"/>
          <w:b/>
          <w:bCs/>
          <w:szCs w:val="24"/>
        </w:rPr>
        <w:t>Lower Capital Investment</w:t>
      </w:r>
      <w:r>
        <w:rPr>
          <w:rFonts w:asciiTheme="minorHAnsi" w:hAnsiTheme="minorHAnsi"/>
          <w:szCs w:val="24"/>
        </w:rPr>
        <w:t xml:space="preserve">: The upfront capital investment in </w:t>
      </w:r>
      <w:r w:rsidR="00FD0ABE">
        <w:rPr>
          <w:rFonts w:asciiTheme="minorHAnsi" w:hAnsiTheme="minorHAnsi"/>
          <w:szCs w:val="24"/>
        </w:rPr>
        <w:t>PBT</w:t>
      </w:r>
      <w:r>
        <w:rPr>
          <w:rFonts w:asciiTheme="minorHAnsi" w:hAnsiTheme="minorHAnsi"/>
          <w:szCs w:val="24"/>
        </w:rPr>
        <w:t xml:space="preserve"> today is significantly lower than it was when the first </w:t>
      </w:r>
      <w:r w:rsidR="00FD0ABE">
        <w:rPr>
          <w:rFonts w:asciiTheme="minorHAnsi" w:hAnsiTheme="minorHAnsi"/>
          <w:szCs w:val="24"/>
        </w:rPr>
        <w:t>PBT</w:t>
      </w:r>
      <w:r>
        <w:rPr>
          <w:rFonts w:asciiTheme="minorHAnsi" w:hAnsiTheme="minorHAnsi"/>
          <w:szCs w:val="24"/>
        </w:rPr>
        <w:t xml:space="preserve"> centers were constructed in the 1990’s. </w:t>
      </w:r>
      <w:r w:rsidR="00175C8F">
        <w:rPr>
          <w:rFonts w:asciiTheme="minorHAnsi" w:hAnsiTheme="minorHAnsi"/>
          <w:szCs w:val="24"/>
        </w:rPr>
        <w:t>Capital investment</w:t>
      </w:r>
      <w:r w:rsidR="005F160C">
        <w:rPr>
          <w:rFonts w:asciiTheme="minorHAnsi" w:hAnsiTheme="minorHAnsi"/>
          <w:szCs w:val="24"/>
        </w:rPr>
        <w:t xml:space="preserve"> </w:t>
      </w:r>
      <w:r w:rsidR="00FB2DF8">
        <w:rPr>
          <w:rFonts w:asciiTheme="minorHAnsi" w:hAnsiTheme="minorHAnsi"/>
          <w:szCs w:val="24"/>
        </w:rPr>
        <w:t>ha</w:t>
      </w:r>
      <w:r w:rsidR="00195FFD">
        <w:rPr>
          <w:rFonts w:asciiTheme="minorHAnsi" w:hAnsiTheme="minorHAnsi"/>
          <w:szCs w:val="24"/>
        </w:rPr>
        <w:t>s</w:t>
      </w:r>
      <w:r w:rsidR="00FB2DF8">
        <w:rPr>
          <w:rFonts w:asciiTheme="minorHAnsi" w:hAnsiTheme="minorHAnsi"/>
          <w:szCs w:val="24"/>
        </w:rPr>
        <w:t xml:space="preserve"> been cited as a major </w:t>
      </w:r>
      <w:r w:rsidR="00195FFD">
        <w:rPr>
          <w:rFonts w:asciiTheme="minorHAnsi" w:hAnsiTheme="minorHAnsi"/>
          <w:szCs w:val="24"/>
        </w:rPr>
        <w:t>obstacle</w:t>
      </w:r>
      <w:r w:rsidR="00FB2DF8">
        <w:rPr>
          <w:rFonts w:asciiTheme="minorHAnsi" w:hAnsiTheme="minorHAnsi"/>
          <w:szCs w:val="24"/>
        </w:rPr>
        <w:t xml:space="preserve"> to the </w:t>
      </w:r>
      <w:r w:rsidR="000E62FC">
        <w:rPr>
          <w:rFonts w:asciiTheme="minorHAnsi" w:hAnsiTheme="minorHAnsi"/>
          <w:szCs w:val="24"/>
        </w:rPr>
        <w:t xml:space="preserve">broader </w:t>
      </w:r>
      <w:r w:rsidR="00FB2DF8">
        <w:rPr>
          <w:rFonts w:asciiTheme="minorHAnsi" w:hAnsiTheme="minorHAnsi"/>
          <w:szCs w:val="24"/>
        </w:rPr>
        <w:t xml:space="preserve">adoption of </w:t>
      </w:r>
      <w:r w:rsidR="001E3434">
        <w:rPr>
          <w:rFonts w:asciiTheme="minorHAnsi" w:hAnsiTheme="minorHAnsi"/>
          <w:szCs w:val="24"/>
        </w:rPr>
        <w:t>PBT</w:t>
      </w:r>
      <w:r w:rsidR="005F160C" w:rsidRPr="005F160C">
        <w:rPr>
          <w:rFonts w:asciiTheme="minorHAnsi" w:hAnsiTheme="minorHAnsi"/>
          <w:szCs w:val="24"/>
        </w:rPr>
        <w:t xml:space="preserve">, </w:t>
      </w:r>
      <w:r w:rsidR="005F160C">
        <w:rPr>
          <w:rFonts w:asciiTheme="minorHAnsi" w:hAnsiTheme="minorHAnsi"/>
          <w:szCs w:val="24"/>
        </w:rPr>
        <w:t>with</w:t>
      </w:r>
      <w:r w:rsidR="005F160C" w:rsidRPr="005F160C">
        <w:rPr>
          <w:rFonts w:asciiTheme="minorHAnsi" w:hAnsiTheme="minorHAnsi"/>
          <w:szCs w:val="24"/>
        </w:rPr>
        <w:t xml:space="preserve"> capital investment needed for the equipment and the building </w:t>
      </w:r>
      <w:r w:rsidR="00F012E0">
        <w:rPr>
          <w:rFonts w:asciiTheme="minorHAnsi" w:hAnsiTheme="minorHAnsi"/>
          <w:szCs w:val="24"/>
        </w:rPr>
        <w:t>contributing to a majority of the costs</w:t>
      </w:r>
      <w:r w:rsidR="00FB2DF8">
        <w:rPr>
          <w:rFonts w:asciiTheme="minorHAnsi" w:hAnsiTheme="minorHAnsi"/>
          <w:szCs w:val="24"/>
        </w:rPr>
        <w:t>.</w:t>
      </w:r>
      <w:r w:rsidR="00195FFD">
        <w:rPr>
          <w:rStyle w:val="EndnoteReference"/>
          <w:rFonts w:asciiTheme="minorHAnsi" w:hAnsiTheme="minorHAnsi"/>
          <w:szCs w:val="24"/>
        </w:rPr>
        <w:endnoteReference w:id="112"/>
      </w:r>
      <w:r w:rsidR="00D12D9A">
        <w:rPr>
          <w:rFonts w:asciiTheme="minorHAnsi" w:hAnsiTheme="minorHAnsi"/>
          <w:szCs w:val="24"/>
        </w:rPr>
        <w:t xml:space="preserve"> </w:t>
      </w:r>
      <w:r w:rsidR="00B05D85" w:rsidRPr="00B05D85">
        <w:rPr>
          <w:rFonts w:asciiTheme="minorHAnsi" w:hAnsiTheme="minorHAnsi"/>
          <w:szCs w:val="24"/>
        </w:rPr>
        <w:t>The costs of setting up a proton therapy 20 years ago has been estimated at $150 million, while today costs have bee</w:t>
      </w:r>
      <w:r w:rsidR="00B05D85">
        <w:rPr>
          <w:rFonts w:asciiTheme="minorHAnsi" w:hAnsiTheme="minorHAnsi"/>
          <w:szCs w:val="24"/>
        </w:rPr>
        <w:t>n</w:t>
      </w:r>
      <w:r w:rsidR="00B05D85" w:rsidRPr="00B05D85">
        <w:rPr>
          <w:rFonts w:asciiTheme="minorHAnsi" w:hAnsiTheme="minorHAnsi"/>
          <w:szCs w:val="24"/>
        </w:rPr>
        <w:t xml:space="preserve"> reduced to $40 to $50 million, with one reason being the shift from more expensive, multiroom systems, to newer single-room </w:t>
      </w:r>
      <w:r w:rsidR="00916BB7">
        <w:rPr>
          <w:rFonts w:asciiTheme="minorHAnsi" w:hAnsiTheme="minorHAnsi"/>
          <w:szCs w:val="24"/>
        </w:rPr>
        <w:t>systems</w:t>
      </w:r>
      <w:r w:rsidR="00B05D85" w:rsidRPr="00B05D85">
        <w:rPr>
          <w:rFonts w:asciiTheme="minorHAnsi" w:hAnsiTheme="minorHAnsi"/>
          <w:szCs w:val="24"/>
        </w:rPr>
        <w:t>.</w:t>
      </w:r>
      <w:r w:rsidR="00B05D85">
        <w:rPr>
          <w:rStyle w:val="EndnoteReference"/>
          <w:rFonts w:asciiTheme="minorHAnsi" w:hAnsiTheme="minorHAnsi"/>
          <w:szCs w:val="24"/>
        </w:rPr>
        <w:endnoteReference w:id="113"/>
      </w:r>
      <w:r w:rsidR="00B05D85">
        <w:rPr>
          <w:rFonts w:asciiTheme="minorHAnsi" w:hAnsiTheme="minorHAnsi"/>
          <w:szCs w:val="24"/>
        </w:rPr>
        <w:t xml:space="preserve"> </w:t>
      </w:r>
      <w:r w:rsidR="002556C3">
        <w:rPr>
          <w:rFonts w:asciiTheme="minorHAnsi" w:hAnsiTheme="minorHAnsi"/>
          <w:szCs w:val="24"/>
        </w:rPr>
        <w:t xml:space="preserve">The Applicant states that </w:t>
      </w:r>
      <w:r w:rsidR="00B1403A">
        <w:rPr>
          <w:rFonts w:asciiTheme="minorHAnsi" w:hAnsiTheme="minorHAnsi"/>
          <w:szCs w:val="24"/>
        </w:rPr>
        <w:t xml:space="preserve">it is undertaking a cost-conscious approach to the </w:t>
      </w:r>
      <w:r w:rsidR="002556C3">
        <w:rPr>
          <w:rFonts w:asciiTheme="minorHAnsi" w:hAnsiTheme="minorHAnsi"/>
          <w:szCs w:val="24"/>
        </w:rPr>
        <w:t xml:space="preserve">Proposed Project </w:t>
      </w:r>
      <w:r w:rsidR="00B1403A">
        <w:rPr>
          <w:rFonts w:asciiTheme="minorHAnsi" w:hAnsiTheme="minorHAnsi"/>
          <w:szCs w:val="24"/>
        </w:rPr>
        <w:t xml:space="preserve">that </w:t>
      </w:r>
      <w:r w:rsidR="002556C3">
        <w:rPr>
          <w:rFonts w:asciiTheme="minorHAnsi" w:hAnsiTheme="minorHAnsi"/>
          <w:szCs w:val="24"/>
        </w:rPr>
        <w:t xml:space="preserve">will require the least upfront costs. </w:t>
      </w:r>
      <w:r w:rsidR="00217B11">
        <w:rPr>
          <w:rFonts w:asciiTheme="minorHAnsi" w:hAnsiTheme="minorHAnsi"/>
          <w:szCs w:val="24"/>
        </w:rPr>
        <w:t xml:space="preserve">The Center’s small footprint and innovative design require less capital investment than is typically required for traditional gantry style </w:t>
      </w:r>
      <w:r w:rsidR="00B318F9">
        <w:rPr>
          <w:rFonts w:asciiTheme="minorHAnsi" w:hAnsiTheme="minorHAnsi"/>
          <w:szCs w:val="24"/>
        </w:rPr>
        <w:t>PBT</w:t>
      </w:r>
      <w:r w:rsidR="0067146A">
        <w:rPr>
          <w:rFonts w:asciiTheme="minorHAnsi" w:hAnsiTheme="minorHAnsi"/>
          <w:szCs w:val="24"/>
        </w:rPr>
        <w:t xml:space="preserve">, and without costly and time-consuming renovations to the existing space. </w:t>
      </w:r>
    </w:p>
    <w:p w14:paraId="3590780B" w14:textId="77777777" w:rsidR="00912507" w:rsidRPr="003B2CD4" w:rsidRDefault="00912507" w:rsidP="009A0C61">
      <w:pPr>
        <w:rPr>
          <w:rFonts w:asciiTheme="minorHAnsi" w:hAnsiTheme="minorHAnsi"/>
          <w:szCs w:val="24"/>
        </w:rPr>
      </w:pPr>
    </w:p>
    <w:p w14:paraId="6AF82A6F" w14:textId="31DD22B7" w:rsidR="00B447F3" w:rsidRPr="009A0C61" w:rsidRDefault="00A4110F" w:rsidP="009A0C61">
      <w:pPr>
        <w:rPr>
          <w:rFonts w:asciiTheme="minorHAnsi" w:hAnsiTheme="minorHAnsi"/>
          <w:b/>
          <w:bCs/>
          <w:i/>
          <w:iCs/>
          <w:szCs w:val="24"/>
        </w:rPr>
      </w:pPr>
      <w:r w:rsidRPr="009A0C61">
        <w:rPr>
          <w:rFonts w:asciiTheme="minorHAnsi" w:hAnsiTheme="minorHAnsi"/>
          <w:b/>
          <w:bCs/>
          <w:i/>
          <w:iCs/>
          <w:szCs w:val="24"/>
        </w:rPr>
        <w:t>Analysis</w:t>
      </w:r>
    </w:p>
    <w:p w14:paraId="5A4C38F1" w14:textId="77777777" w:rsidR="002978CA" w:rsidRDefault="000D54F1" w:rsidP="00A17BCC">
      <w:pPr>
        <w:rPr>
          <w:rFonts w:asciiTheme="minorHAnsi" w:hAnsiTheme="minorHAnsi"/>
          <w:szCs w:val="24"/>
        </w:rPr>
      </w:pPr>
      <w:r w:rsidRPr="00167F30">
        <w:t>Although the utilization of PBT in the Commonwealth has been limited, partly due to the cost of acquisition, the advancements in proton technology, allow this service to be brought to patients at a lower capital cost than was previously available</w:t>
      </w:r>
      <w:r w:rsidR="00473C5E" w:rsidRPr="00167F30">
        <w:t xml:space="preserve">. </w:t>
      </w:r>
      <w:r w:rsidR="00F54945" w:rsidRPr="00167F30">
        <w:t>Staff concur that PBT’s ability to reduce adverse side effects of radiation treatment, as compared to photon</w:t>
      </w:r>
      <w:r w:rsidR="00741032" w:rsidRPr="00167F30">
        <w:t>-based RT</w:t>
      </w:r>
      <w:r w:rsidR="00F54945" w:rsidRPr="00167F30">
        <w:t xml:space="preserve">, can lead to </w:t>
      </w:r>
      <w:r w:rsidR="00EF4D6D" w:rsidRPr="00167F30">
        <w:t xml:space="preserve">reduced costs of treatment for complications, </w:t>
      </w:r>
      <w:r w:rsidR="00F54945" w:rsidRPr="00167F30">
        <w:t xml:space="preserve">particularly for pediatric cancer survivors. </w:t>
      </w:r>
      <w:r w:rsidR="00EF4D6D" w:rsidRPr="00167F30">
        <w:t>However, the</w:t>
      </w:r>
      <w:r w:rsidR="00A91E79" w:rsidRPr="00167F30">
        <w:t xml:space="preserve">re </w:t>
      </w:r>
      <w:r w:rsidR="00F13469" w:rsidRPr="00167F30">
        <w:t xml:space="preserve">is </w:t>
      </w:r>
      <w:r w:rsidR="007C4304" w:rsidRPr="00167F30">
        <w:t xml:space="preserve">limited data </w:t>
      </w:r>
      <w:r w:rsidR="001A1B99" w:rsidRPr="00167F30">
        <w:t>on</w:t>
      </w:r>
      <w:r w:rsidR="002B56D5">
        <w:t xml:space="preserve"> </w:t>
      </w:r>
      <w:r w:rsidR="007C4304" w:rsidRPr="00167F30">
        <w:t xml:space="preserve">cost effectiveness </w:t>
      </w:r>
      <w:r w:rsidR="00FE5261" w:rsidRPr="00167F30">
        <w:t xml:space="preserve">for PBT across all </w:t>
      </w:r>
      <w:r w:rsidR="00A51CCA" w:rsidRPr="00167F30">
        <w:t xml:space="preserve">cancer types, and </w:t>
      </w:r>
      <w:r w:rsidR="00A51CCA" w:rsidRPr="00167F30">
        <w:rPr>
          <w:rFonts w:asciiTheme="minorHAnsi" w:hAnsiTheme="minorHAnsi"/>
          <w:szCs w:val="24"/>
        </w:rPr>
        <w:t>s</w:t>
      </w:r>
      <w:r w:rsidR="00BF7130" w:rsidRPr="00167F30">
        <w:rPr>
          <w:rFonts w:asciiTheme="minorHAnsi" w:hAnsiTheme="minorHAnsi"/>
          <w:szCs w:val="24"/>
        </w:rPr>
        <w:t xml:space="preserve">taff maintains there remains the potential for costs to increase. </w:t>
      </w:r>
      <w:r w:rsidR="003127ED" w:rsidRPr="00167F30">
        <w:rPr>
          <w:rFonts w:asciiTheme="minorHAnsi" w:hAnsiTheme="minorHAnsi"/>
          <w:szCs w:val="24"/>
        </w:rPr>
        <w:t>A</w:t>
      </w:r>
      <w:r w:rsidR="00956B70" w:rsidRPr="00167F30">
        <w:rPr>
          <w:rFonts w:asciiTheme="minorHAnsi" w:hAnsiTheme="minorHAnsi"/>
          <w:szCs w:val="24"/>
        </w:rPr>
        <w:t xml:space="preserve"> 2016</w:t>
      </w:r>
      <w:r w:rsidR="00FB1E54" w:rsidRPr="00167F30">
        <w:rPr>
          <w:rFonts w:asciiTheme="minorHAnsi" w:hAnsiTheme="minorHAnsi"/>
          <w:szCs w:val="24"/>
        </w:rPr>
        <w:t xml:space="preserve"> </w:t>
      </w:r>
      <w:r w:rsidR="00B040AE" w:rsidRPr="00167F30">
        <w:rPr>
          <w:rFonts w:asciiTheme="minorHAnsi" w:hAnsiTheme="minorHAnsi"/>
          <w:szCs w:val="24"/>
        </w:rPr>
        <w:t>review of PBT’s cost-effectiveness</w:t>
      </w:r>
      <w:r w:rsidR="00FB1E54" w:rsidRPr="00167F30">
        <w:rPr>
          <w:rFonts w:asciiTheme="minorHAnsi" w:hAnsiTheme="minorHAnsi"/>
          <w:szCs w:val="24"/>
        </w:rPr>
        <w:t xml:space="preserve"> has noted “it is highly unlikely that PBT will be the most economic option</w:t>
      </w:r>
      <w:r w:rsidR="00FB1E54" w:rsidRPr="00FB1E54">
        <w:rPr>
          <w:rFonts w:asciiTheme="minorHAnsi" w:hAnsiTheme="minorHAnsi"/>
          <w:szCs w:val="24"/>
        </w:rPr>
        <w:t xml:space="preserve"> for all cancers or even for all patients with a given type of cancer. Rather, the major goal for ongoing and future research will be to identify the subpopulation(s) of each cancer type for whom PBT is most cost effective</w:t>
      </w:r>
      <w:r w:rsidR="00F447C0">
        <w:rPr>
          <w:rFonts w:asciiTheme="minorHAnsi" w:hAnsiTheme="minorHAnsi"/>
          <w:szCs w:val="24"/>
        </w:rPr>
        <w:t>,</w:t>
      </w:r>
      <w:r w:rsidR="00FB1E54">
        <w:rPr>
          <w:rFonts w:asciiTheme="minorHAnsi" w:hAnsiTheme="minorHAnsi"/>
          <w:szCs w:val="24"/>
        </w:rPr>
        <w:t>”</w:t>
      </w:r>
      <w:r w:rsidR="00F447C0">
        <w:rPr>
          <w:rFonts w:asciiTheme="minorHAnsi" w:hAnsiTheme="minorHAnsi"/>
          <w:szCs w:val="24"/>
        </w:rPr>
        <w:t xml:space="preserve"> </w:t>
      </w:r>
      <w:r w:rsidR="001E00FF">
        <w:rPr>
          <w:rFonts w:asciiTheme="minorHAnsi" w:hAnsiTheme="minorHAnsi"/>
          <w:szCs w:val="24"/>
        </w:rPr>
        <w:t xml:space="preserve">finding PBT most cost-effective for </w:t>
      </w:r>
      <w:r w:rsidR="00F90AC5">
        <w:rPr>
          <w:rFonts w:asciiTheme="minorHAnsi" w:hAnsiTheme="minorHAnsi"/>
          <w:szCs w:val="24"/>
        </w:rPr>
        <w:t xml:space="preserve">several pediatric brain tumors and </w:t>
      </w:r>
      <w:r w:rsidR="009312C2">
        <w:rPr>
          <w:rFonts w:asciiTheme="minorHAnsi" w:hAnsiTheme="minorHAnsi"/>
          <w:szCs w:val="24"/>
        </w:rPr>
        <w:t>select high-risk head and neck cancers.</w:t>
      </w:r>
      <w:r w:rsidR="00FB1E54">
        <w:rPr>
          <w:rStyle w:val="EndnoteReference"/>
          <w:rFonts w:asciiTheme="minorHAnsi" w:hAnsiTheme="minorHAnsi"/>
          <w:szCs w:val="24"/>
        </w:rPr>
        <w:endnoteReference w:id="114"/>
      </w:r>
      <w:r w:rsidR="00FB1E54">
        <w:rPr>
          <w:rFonts w:asciiTheme="minorHAnsi" w:hAnsiTheme="minorHAnsi"/>
          <w:szCs w:val="24"/>
        </w:rPr>
        <w:t xml:space="preserve"> </w:t>
      </w:r>
    </w:p>
    <w:p w14:paraId="0539C4E8" w14:textId="77777777" w:rsidR="002978CA" w:rsidRDefault="002978CA" w:rsidP="00A17BCC">
      <w:pPr>
        <w:rPr>
          <w:rFonts w:asciiTheme="minorHAnsi" w:hAnsiTheme="minorHAnsi"/>
          <w:szCs w:val="24"/>
        </w:rPr>
      </w:pPr>
    </w:p>
    <w:p w14:paraId="3908CCEC" w14:textId="326AA011" w:rsidR="002978CA" w:rsidRDefault="00BF7130" w:rsidP="00A17BCC">
      <w:r w:rsidRPr="4E0E7674">
        <w:rPr>
          <w:rFonts w:asciiTheme="minorHAnsi" w:hAnsiTheme="minorHAnsi"/>
        </w:rPr>
        <w:t xml:space="preserve">The Applicant has </w:t>
      </w:r>
      <w:r w:rsidR="00741032" w:rsidRPr="4E0E7674">
        <w:rPr>
          <w:rFonts w:asciiTheme="minorHAnsi" w:hAnsiTheme="minorHAnsi"/>
        </w:rPr>
        <w:t>stated</w:t>
      </w:r>
      <w:r w:rsidRPr="4E0E7674">
        <w:rPr>
          <w:rFonts w:asciiTheme="minorHAnsi" w:hAnsiTheme="minorHAnsi"/>
        </w:rPr>
        <w:t xml:space="preserve"> </w:t>
      </w:r>
      <w:r w:rsidR="0094718A" w:rsidRPr="4E0E7674">
        <w:rPr>
          <w:rFonts w:asciiTheme="minorHAnsi" w:hAnsiTheme="minorHAnsi"/>
        </w:rPr>
        <w:t>that</w:t>
      </w:r>
      <w:r w:rsidRPr="4E0E7674">
        <w:rPr>
          <w:rFonts w:asciiTheme="minorHAnsi" w:hAnsiTheme="minorHAnsi"/>
        </w:rPr>
        <w:t xml:space="preserve"> </w:t>
      </w:r>
      <w:r w:rsidR="0094718A" w:rsidRPr="4E0E7674">
        <w:rPr>
          <w:rFonts w:asciiTheme="minorHAnsi" w:hAnsiTheme="minorHAnsi"/>
        </w:rPr>
        <w:t xml:space="preserve">with </w:t>
      </w:r>
      <w:r w:rsidR="007B7DAA" w:rsidRPr="4E0E7674">
        <w:rPr>
          <w:rFonts w:asciiTheme="minorHAnsi" w:hAnsiTheme="minorHAnsi"/>
        </w:rPr>
        <w:t>the addition of</w:t>
      </w:r>
      <w:r w:rsidRPr="4E0E7674">
        <w:rPr>
          <w:rFonts w:asciiTheme="minorHAnsi" w:hAnsiTheme="minorHAnsi"/>
        </w:rPr>
        <w:t xml:space="preserve"> </w:t>
      </w:r>
      <w:r w:rsidR="007B7DAA" w:rsidRPr="4E0E7674">
        <w:rPr>
          <w:rFonts w:asciiTheme="minorHAnsi" w:hAnsiTheme="minorHAnsi"/>
        </w:rPr>
        <w:t>another</w:t>
      </w:r>
      <w:r w:rsidRPr="4E0E7674">
        <w:rPr>
          <w:rFonts w:asciiTheme="minorHAnsi" w:hAnsiTheme="minorHAnsi"/>
        </w:rPr>
        <w:t xml:space="preserve"> provider of PBT</w:t>
      </w:r>
      <w:r w:rsidR="007B7DAA" w:rsidRPr="4E0E7674">
        <w:rPr>
          <w:rFonts w:asciiTheme="minorHAnsi" w:hAnsiTheme="minorHAnsi"/>
        </w:rPr>
        <w:t xml:space="preserve"> in Massachusetts</w:t>
      </w:r>
      <w:r w:rsidRPr="4E0E7674">
        <w:rPr>
          <w:rFonts w:asciiTheme="minorHAnsi" w:hAnsiTheme="minorHAnsi"/>
        </w:rPr>
        <w:t xml:space="preserve">, the Proposed Project will offer expanded patient access and alternative choices to both patients and insurance payers which </w:t>
      </w:r>
      <w:r w:rsidR="00A17BCC" w:rsidRPr="4E0E7674">
        <w:rPr>
          <w:rFonts w:asciiTheme="minorHAnsi" w:hAnsiTheme="minorHAnsi"/>
        </w:rPr>
        <w:t>can</w:t>
      </w:r>
      <w:r w:rsidRPr="4E0E7674">
        <w:rPr>
          <w:rFonts w:asciiTheme="minorHAnsi" w:hAnsiTheme="minorHAnsi"/>
        </w:rPr>
        <w:t xml:space="preserve"> foster competition</w:t>
      </w:r>
      <w:r w:rsidR="00EE3D0A" w:rsidRPr="4E0E7674">
        <w:rPr>
          <w:rFonts w:asciiTheme="minorHAnsi" w:hAnsiTheme="minorHAnsi"/>
        </w:rPr>
        <w:t xml:space="preserve"> that can lead to reductions in costs</w:t>
      </w:r>
      <w:r w:rsidRPr="4E0E7674">
        <w:rPr>
          <w:rFonts w:asciiTheme="minorHAnsi" w:hAnsiTheme="minorHAnsi"/>
        </w:rPr>
        <w:t>.</w:t>
      </w:r>
      <w:r w:rsidR="00151946">
        <w:t xml:space="preserve"> </w:t>
      </w:r>
      <w:r w:rsidR="001B1FF1">
        <w:t xml:space="preserve">A 2026 study examining </w:t>
      </w:r>
      <w:r w:rsidR="004E1DC7">
        <w:t xml:space="preserve">hospital </w:t>
      </w:r>
      <w:r w:rsidR="00CC7054">
        <w:t>compliance with CMS’ price transparency requirements</w:t>
      </w:r>
      <w:r w:rsidR="00FD3AE1">
        <w:t xml:space="preserve"> regarding PBT, </w:t>
      </w:r>
      <w:r w:rsidR="00CA207C">
        <w:t xml:space="preserve">and charge variability, found that </w:t>
      </w:r>
      <w:r w:rsidR="0047436A">
        <w:t xml:space="preserve">PPS-exempt centers had similar compliance rates to non-exempt hospitals, and </w:t>
      </w:r>
      <w:r w:rsidR="002E3797">
        <w:t>found variation in charges among all hospitals.</w:t>
      </w:r>
      <w:r w:rsidR="002E3797">
        <w:rPr>
          <w:rStyle w:val="EndnoteReference"/>
        </w:rPr>
        <w:endnoteReference w:id="115"/>
      </w:r>
      <w:r w:rsidR="00B20157">
        <w:t xml:space="preserve"> The study </w:t>
      </w:r>
      <w:r w:rsidR="00A251FE">
        <w:t xml:space="preserve">also stated that </w:t>
      </w:r>
      <w:r w:rsidR="009E6C8F">
        <w:t xml:space="preserve">due to the specialized nature of PBT, and limited regional access, </w:t>
      </w:r>
      <w:r w:rsidR="00472303">
        <w:t>transparency around pricing may not create direct competition, however, “</w:t>
      </w:r>
      <w:r w:rsidR="00A02E92">
        <w:t>At centers offering both modalities (PBT and photon based alternative</w:t>
      </w:r>
      <w:r w:rsidR="007732CD">
        <w:t>s</w:t>
      </w:r>
      <w:r w:rsidR="004B2719">
        <w:t xml:space="preserve"> with potentially comparable clinical benefit</w:t>
      </w:r>
      <w:r w:rsidR="00A02E92">
        <w:t xml:space="preserve">), transparency may place downward </w:t>
      </w:r>
      <w:r w:rsidR="00A02E92">
        <w:lastRenderedPageBreak/>
        <w:t>pressure on proton therapy prices by revealing cross-modality differences, requiring hospitals to justify large price gaps and encouraging benchmarking against photon-based treatments. This visibility can also strengthen insurer leverage during negotiations and promote more consistent pricing practices.</w:t>
      </w:r>
      <w:r w:rsidR="00531DA2">
        <w:t>”</w:t>
      </w:r>
      <w:r w:rsidR="00A02E92" w:rsidRPr="00A02E92">
        <w:rPr>
          <w:vertAlign w:val="superscript"/>
        </w:rPr>
        <w:endnoteReference w:id="116"/>
      </w:r>
      <w:r w:rsidR="00A02E92">
        <w:t xml:space="preserve"> </w:t>
      </w:r>
    </w:p>
    <w:p w14:paraId="25A42AFA" w14:textId="77777777" w:rsidR="002978CA" w:rsidRDefault="002978CA" w:rsidP="00A17BCC"/>
    <w:p w14:paraId="130E876A" w14:textId="524DACAE" w:rsidR="009D2A6B" w:rsidRDefault="001E74D4" w:rsidP="00A17BCC">
      <w:r w:rsidRPr="0078430F">
        <w:t xml:space="preserve">Staff finds that, </w:t>
      </w:r>
      <w:r w:rsidR="004D645C">
        <w:t>with the “Other Conditions”</w:t>
      </w:r>
      <w:r w:rsidR="00B87594">
        <w:t xml:space="preserve"> described below</w:t>
      </w:r>
      <w:r w:rsidR="00941E6E" w:rsidRPr="00941E6E">
        <w:t xml:space="preserve">, requiring the Applicant to establish baseline commercial reimbursement rates for the Center’s PBT services </w:t>
      </w:r>
      <w:r w:rsidR="00E70D92">
        <w:t xml:space="preserve">that </w:t>
      </w:r>
      <w:r w:rsidR="00E70D92" w:rsidRPr="00E70D92">
        <w:t>do not exceed the then-highest commercial reimbursement rates in the Commonwealth</w:t>
      </w:r>
      <w:r w:rsidR="00941E6E" w:rsidRPr="00941E6E">
        <w:t xml:space="preserve">, and ensure that year-over-year percentage increases in the Center’s </w:t>
      </w:r>
      <w:r w:rsidR="006E1641">
        <w:t xml:space="preserve">weighted average </w:t>
      </w:r>
      <w:r w:rsidR="00941E6E" w:rsidRPr="00941E6E">
        <w:t>commercial reimbursement rates for PBT services do not exceed</w:t>
      </w:r>
      <w:r w:rsidR="000E4563">
        <w:t xml:space="preserve"> 2.599%</w:t>
      </w:r>
      <w:r w:rsidR="000E4563">
        <w:rPr>
          <w:rStyle w:val="FootnoteReference"/>
        </w:rPr>
        <w:footnoteReference w:id="70"/>
      </w:r>
      <w:r w:rsidR="004D645C">
        <w:t xml:space="preserve">, </w:t>
      </w:r>
      <w:r w:rsidRPr="0078430F">
        <w:t>the requirement that the Proposed Project will likely compete on the basis of price, TME provider costs, and other measures of health care spending and therefore, the requirements of Factor 1f have been met.</w:t>
      </w:r>
    </w:p>
    <w:p w14:paraId="5F7D4FE8" w14:textId="77777777" w:rsidR="004D645C" w:rsidRDefault="004D645C" w:rsidP="00A17BCC">
      <w:pPr>
        <w:rPr>
          <w:shd w:val="clear" w:color="auto" w:fill="FDE9D9" w:themeFill="accent6" w:themeFillTint="33"/>
        </w:rPr>
      </w:pPr>
    </w:p>
    <w:p w14:paraId="25627D9E" w14:textId="77777777" w:rsidR="007B7DAA" w:rsidRDefault="007B7DAA" w:rsidP="007965AC"/>
    <w:p w14:paraId="5D8B5D46" w14:textId="77777777" w:rsidR="00E42027" w:rsidRDefault="00E42027" w:rsidP="007965AC"/>
    <w:p w14:paraId="7A94A1AC" w14:textId="5438EE25" w:rsidR="00B447F3" w:rsidRPr="00970336" w:rsidRDefault="00082235" w:rsidP="00771386">
      <w:pPr>
        <w:pStyle w:val="Heading1"/>
        <w:ind w:left="0"/>
        <w:rPr>
          <w:i/>
          <w:iCs/>
          <w:color w:val="1F497D" w:themeColor="text2"/>
        </w:rPr>
      </w:pPr>
      <w:bookmarkStart w:id="16" w:name="_Toc223962996"/>
      <w:r w:rsidRPr="00970336">
        <w:rPr>
          <w:i/>
          <w:iCs/>
          <w:color w:val="1F497D" w:themeColor="text2"/>
        </w:rPr>
        <w:t>Summary</w:t>
      </w:r>
      <w:r w:rsidR="00970336" w:rsidRPr="00970336">
        <w:rPr>
          <w:i/>
          <w:iCs/>
          <w:color w:val="1F497D" w:themeColor="text2"/>
        </w:rPr>
        <w:t>, Factor 1</w:t>
      </w:r>
      <w:bookmarkEnd w:id="16"/>
      <w:r w:rsidR="00970336" w:rsidRPr="00970336">
        <w:rPr>
          <w:i/>
          <w:iCs/>
          <w:color w:val="1F497D" w:themeColor="text2"/>
        </w:rPr>
        <w:t xml:space="preserve"> </w:t>
      </w:r>
    </w:p>
    <w:p w14:paraId="362449F2" w14:textId="132A0BA4" w:rsidR="0060024E" w:rsidRDefault="00530ECC" w:rsidP="00BA2054">
      <w:pPr>
        <w:rPr>
          <w:rFonts w:asciiTheme="minorHAnsi" w:hAnsiTheme="minorHAnsi"/>
          <w:szCs w:val="24"/>
        </w:rPr>
      </w:pPr>
      <w:r>
        <w:rPr>
          <w:rFonts w:asciiTheme="minorHAnsi" w:hAnsiTheme="minorHAnsi"/>
          <w:szCs w:val="24"/>
        </w:rPr>
        <w:t>The Applicant has described the challenges and barriers</w:t>
      </w:r>
      <w:r w:rsidR="0078430F">
        <w:rPr>
          <w:rFonts w:asciiTheme="minorHAnsi" w:hAnsiTheme="minorHAnsi"/>
          <w:szCs w:val="24"/>
        </w:rPr>
        <w:t xml:space="preserve"> that its patients experience in </w:t>
      </w:r>
      <w:r>
        <w:rPr>
          <w:rFonts w:asciiTheme="minorHAnsi" w:hAnsiTheme="minorHAnsi"/>
          <w:szCs w:val="24"/>
        </w:rPr>
        <w:t>accessing PBT in Massachusetts, as well as how the Proposed Project will address those barriers for clinically appropriate patients within its Patient Panel</w:t>
      </w:r>
      <w:r w:rsidR="00333C55">
        <w:rPr>
          <w:rFonts w:asciiTheme="minorHAnsi" w:hAnsiTheme="minorHAnsi"/>
          <w:szCs w:val="24"/>
        </w:rPr>
        <w:t xml:space="preserve">, </w:t>
      </w:r>
      <w:r w:rsidR="0078430F">
        <w:rPr>
          <w:rFonts w:asciiTheme="minorHAnsi" w:hAnsiTheme="minorHAnsi"/>
          <w:szCs w:val="24"/>
        </w:rPr>
        <w:t xml:space="preserve">including </w:t>
      </w:r>
      <w:r w:rsidR="00333C55">
        <w:rPr>
          <w:rFonts w:asciiTheme="minorHAnsi" w:hAnsiTheme="minorHAnsi"/>
          <w:szCs w:val="24"/>
        </w:rPr>
        <w:t xml:space="preserve">for the Applicant’s pediatric patients, for whom PBT is </w:t>
      </w:r>
      <w:r w:rsidR="00EE40F7">
        <w:rPr>
          <w:rFonts w:asciiTheme="minorHAnsi" w:hAnsiTheme="minorHAnsi"/>
          <w:szCs w:val="24"/>
        </w:rPr>
        <w:t>particularly effective.</w:t>
      </w:r>
      <w:r>
        <w:rPr>
          <w:rFonts w:asciiTheme="minorHAnsi" w:hAnsiTheme="minorHAnsi"/>
          <w:szCs w:val="24"/>
        </w:rPr>
        <w:t xml:space="preserve"> The Applicant has used a method for </w:t>
      </w:r>
      <w:r w:rsidR="00B22C06">
        <w:rPr>
          <w:rFonts w:asciiTheme="minorHAnsi" w:hAnsiTheme="minorHAnsi"/>
          <w:szCs w:val="24"/>
        </w:rPr>
        <w:t>estimating</w:t>
      </w:r>
      <w:r>
        <w:rPr>
          <w:rFonts w:asciiTheme="minorHAnsi" w:hAnsiTheme="minorHAnsi"/>
          <w:szCs w:val="24"/>
        </w:rPr>
        <w:t xml:space="preserve"> eligibility for PBT </w:t>
      </w:r>
      <w:r w:rsidR="00B22C06">
        <w:rPr>
          <w:rFonts w:asciiTheme="minorHAnsi" w:hAnsiTheme="minorHAnsi"/>
          <w:szCs w:val="24"/>
        </w:rPr>
        <w:t>within its Patient Panel that aligns with CMS’ LCD criteria.</w:t>
      </w:r>
      <w:r>
        <w:rPr>
          <w:rFonts w:asciiTheme="minorHAnsi" w:hAnsiTheme="minorHAnsi"/>
          <w:szCs w:val="24"/>
        </w:rPr>
        <w:t xml:space="preserve"> </w:t>
      </w:r>
      <w:r w:rsidR="0060024E" w:rsidRPr="0060024E">
        <w:rPr>
          <w:rFonts w:asciiTheme="minorHAnsi" w:hAnsiTheme="minorHAnsi"/>
          <w:szCs w:val="24"/>
        </w:rPr>
        <w:t>As a result of information provided by the Applicant and additional analysis, staff finds that with the</w:t>
      </w:r>
      <w:r w:rsidR="00365026">
        <w:rPr>
          <w:rFonts w:asciiTheme="minorHAnsi" w:hAnsiTheme="minorHAnsi"/>
          <w:szCs w:val="24"/>
        </w:rPr>
        <w:t xml:space="preserve"> “Other Conditions” </w:t>
      </w:r>
      <w:r w:rsidR="0061361A">
        <w:rPr>
          <w:rFonts w:asciiTheme="minorHAnsi" w:hAnsiTheme="minorHAnsi"/>
          <w:szCs w:val="24"/>
        </w:rPr>
        <w:t>described</w:t>
      </w:r>
      <w:r w:rsidR="00365026">
        <w:rPr>
          <w:rFonts w:asciiTheme="minorHAnsi" w:hAnsiTheme="minorHAnsi"/>
          <w:szCs w:val="24"/>
        </w:rPr>
        <w:t xml:space="preserve"> below</w:t>
      </w:r>
      <w:r w:rsidR="0061361A">
        <w:rPr>
          <w:rFonts w:asciiTheme="minorHAnsi" w:hAnsiTheme="minorHAnsi"/>
          <w:szCs w:val="24"/>
        </w:rPr>
        <w:t xml:space="preserve">, </w:t>
      </w:r>
      <w:r w:rsidR="00E5582E">
        <w:rPr>
          <w:rFonts w:asciiTheme="minorHAnsi" w:hAnsiTheme="minorHAnsi"/>
          <w:szCs w:val="24"/>
        </w:rPr>
        <w:t>regarding</w:t>
      </w:r>
      <w:r w:rsidR="0061361A" w:rsidRPr="0061361A">
        <w:rPr>
          <w:rFonts w:asciiTheme="minorHAnsi" w:hAnsiTheme="minorHAnsi"/>
          <w:szCs w:val="24"/>
        </w:rPr>
        <w:t xml:space="preserve"> the</w:t>
      </w:r>
      <w:r w:rsidR="00617D17">
        <w:rPr>
          <w:rFonts w:asciiTheme="minorHAnsi" w:hAnsiTheme="minorHAnsi"/>
          <w:szCs w:val="24"/>
        </w:rPr>
        <w:t xml:space="preserve"> Applicant’s</w:t>
      </w:r>
      <w:r w:rsidR="0061361A" w:rsidRPr="0061361A">
        <w:rPr>
          <w:rFonts w:asciiTheme="minorHAnsi" w:hAnsiTheme="minorHAnsi"/>
          <w:szCs w:val="24"/>
        </w:rPr>
        <w:t xml:space="preserve"> commercial reimbursement rates for the Center’s PBT</w:t>
      </w:r>
      <w:r w:rsidR="004D15F9">
        <w:rPr>
          <w:rFonts w:asciiTheme="minorHAnsi" w:hAnsiTheme="minorHAnsi"/>
          <w:szCs w:val="24"/>
        </w:rPr>
        <w:t xml:space="preserve"> services</w:t>
      </w:r>
      <w:r w:rsidR="0060024E" w:rsidRPr="0060024E">
        <w:rPr>
          <w:rFonts w:asciiTheme="minorHAnsi" w:hAnsiTheme="minorHAnsi"/>
          <w:szCs w:val="24"/>
        </w:rPr>
        <w:t>,</w:t>
      </w:r>
      <w:r w:rsidR="00E5582E">
        <w:rPr>
          <w:rFonts w:asciiTheme="minorHAnsi" w:hAnsiTheme="minorHAnsi"/>
          <w:szCs w:val="24"/>
        </w:rPr>
        <w:t xml:space="preserve"> </w:t>
      </w:r>
      <w:r w:rsidR="00B86FD1">
        <w:rPr>
          <w:rFonts w:asciiTheme="minorHAnsi" w:hAnsiTheme="minorHAnsi"/>
          <w:szCs w:val="24"/>
        </w:rPr>
        <w:t xml:space="preserve">and </w:t>
      </w:r>
      <w:r w:rsidR="00E5582E">
        <w:rPr>
          <w:rFonts w:asciiTheme="minorHAnsi" w:hAnsiTheme="minorHAnsi"/>
          <w:szCs w:val="24"/>
        </w:rPr>
        <w:t>demographic information, medical necessity criteria and ICD-10 codes</w:t>
      </w:r>
      <w:r w:rsidR="00B86FD1">
        <w:rPr>
          <w:rFonts w:asciiTheme="minorHAnsi" w:hAnsiTheme="minorHAnsi"/>
          <w:szCs w:val="24"/>
        </w:rPr>
        <w:t xml:space="preserve"> for PBT patients</w:t>
      </w:r>
      <w:r w:rsidR="00E5582E">
        <w:rPr>
          <w:rFonts w:asciiTheme="minorHAnsi" w:hAnsiTheme="minorHAnsi"/>
          <w:szCs w:val="24"/>
        </w:rPr>
        <w:t>,</w:t>
      </w:r>
      <w:r w:rsidR="0060024E" w:rsidRPr="0060024E">
        <w:rPr>
          <w:rFonts w:asciiTheme="minorHAnsi" w:hAnsiTheme="minorHAnsi"/>
          <w:szCs w:val="24"/>
        </w:rPr>
        <w:t xml:space="preserve"> the Applicant has demonstrated that the Proposed Project has met Factor 1(a-f). </w:t>
      </w:r>
    </w:p>
    <w:p w14:paraId="49607B05" w14:textId="77777777" w:rsidR="00456D44" w:rsidRDefault="00456D44" w:rsidP="00BA2054">
      <w:pPr>
        <w:rPr>
          <w:rFonts w:asciiTheme="minorHAnsi" w:hAnsiTheme="minorHAnsi"/>
          <w:szCs w:val="24"/>
        </w:rPr>
      </w:pPr>
    </w:p>
    <w:p w14:paraId="48C2065F" w14:textId="58B8C935" w:rsidR="00B447F3" w:rsidRPr="003436F0" w:rsidRDefault="00A4110F" w:rsidP="008917DC">
      <w:pPr>
        <w:pStyle w:val="Heading1"/>
        <w:spacing w:before="87"/>
        <w:ind w:left="0" w:right="467"/>
        <w:rPr>
          <w:rFonts w:asciiTheme="minorHAnsi" w:hAnsiTheme="minorHAnsi"/>
        </w:rPr>
      </w:pPr>
      <w:bookmarkStart w:id="17" w:name="Factor_2:_Cost_containment,_Improved_Pub"/>
      <w:bookmarkStart w:id="18" w:name="_Toc223962997"/>
      <w:bookmarkEnd w:id="17"/>
      <w:r w:rsidRPr="003436F0">
        <w:rPr>
          <w:rFonts w:asciiTheme="minorHAnsi" w:hAnsiTheme="minorHAnsi"/>
          <w:color w:val="42558C"/>
        </w:rPr>
        <w:t>Factor 2: Cost containment, Improved Public Health Outcomes and Delivery System Transformation</w:t>
      </w:r>
      <w:bookmarkEnd w:id="18"/>
    </w:p>
    <w:p w14:paraId="11B23BC2" w14:textId="77777777" w:rsidR="00203742" w:rsidRDefault="00203742" w:rsidP="00BA2054"/>
    <w:p w14:paraId="68601445" w14:textId="38C5A75C" w:rsidR="00F53ACD" w:rsidRDefault="00F53ACD" w:rsidP="00BA2054">
      <w:r>
        <w:t>For Factor 2 the Applicant must demonstrate that the Proposed Project will meaningfully contribute to the Commonwealth’s goals for cost containment, improved public health outcomes, and delivery</w:t>
      </w:r>
    </w:p>
    <w:p w14:paraId="259022BC" w14:textId="19DCD04F" w:rsidR="00F23CE0" w:rsidRDefault="00F53ACD" w:rsidP="00BA2054">
      <w:r>
        <w:t>system transformation beyond the Patient Panel.</w:t>
      </w:r>
    </w:p>
    <w:p w14:paraId="56811413" w14:textId="77777777" w:rsidR="00F53ACD" w:rsidRDefault="00F53ACD" w:rsidP="009A0C61"/>
    <w:p w14:paraId="62A46935" w14:textId="77777777" w:rsidR="007C49AB" w:rsidRDefault="007C49AB" w:rsidP="007C49AB">
      <w:pPr>
        <w:rPr>
          <w:b/>
          <w:bCs/>
        </w:rPr>
      </w:pPr>
      <w:r w:rsidRPr="007C49AB">
        <w:rPr>
          <w:b/>
          <w:bCs/>
        </w:rPr>
        <w:t>Cost Containment</w:t>
      </w:r>
    </w:p>
    <w:p w14:paraId="3630999C" w14:textId="36BA3D24" w:rsidR="00A548E3" w:rsidRDefault="00E27C12" w:rsidP="007C49AB">
      <w:r>
        <w:t xml:space="preserve">The </w:t>
      </w:r>
      <w:r w:rsidR="00B92DB4">
        <w:t>A</w:t>
      </w:r>
      <w:r>
        <w:t xml:space="preserve">pplicant states that the Proposed Project will increase access to </w:t>
      </w:r>
      <w:r w:rsidR="009576B7">
        <w:t>PBT</w:t>
      </w:r>
      <w:r>
        <w:t xml:space="preserve"> for Massachusetts residents </w:t>
      </w:r>
      <w:r w:rsidR="00235FB6" w:rsidRPr="00235FB6">
        <w:t xml:space="preserve">for whom </w:t>
      </w:r>
      <w:r w:rsidR="009A19E2">
        <w:t>PBT</w:t>
      </w:r>
      <w:r w:rsidR="00235FB6" w:rsidRPr="00235FB6">
        <w:t xml:space="preserve"> is the most clinically appropriate course of treatment</w:t>
      </w:r>
      <w:r w:rsidR="009576B7">
        <w:t xml:space="preserve">. </w:t>
      </w:r>
      <w:r w:rsidR="004C2081" w:rsidRPr="004C2081">
        <w:t xml:space="preserve">PBT is associated with less exposure and damage to normal, healthy tissue than photon-based RT, which can reduce costs of medical care to manage treatment-related side effects. </w:t>
      </w:r>
      <w:r w:rsidR="009576B7">
        <w:t>The Applicant states further that increased access to PBT</w:t>
      </w:r>
      <w:r>
        <w:t xml:space="preserve"> </w:t>
      </w:r>
      <w:r w:rsidR="009576B7">
        <w:t xml:space="preserve">will </w:t>
      </w:r>
      <w:r>
        <w:t>reduc</w:t>
      </w:r>
      <w:r w:rsidR="009576B7">
        <w:t>e</w:t>
      </w:r>
      <w:r>
        <w:t xml:space="preserve"> the incidental costs associated with treatment and </w:t>
      </w:r>
      <w:r w:rsidR="00CC70E5">
        <w:t xml:space="preserve">reduce </w:t>
      </w:r>
      <w:r w:rsidR="00CC70E5">
        <w:lastRenderedPageBreak/>
        <w:t>reliance on less effective photon</w:t>
      </w:r>
      <w:r w:rsidR="00C95334">
        <w:t>-based</w:t>
      </w:r>
      <w:r w:rsidR="00CC70E5">
        <w:t xml:space="preserve"> </w:t>
      </w:r>
      <w:r w:rsidR="00CB1891">
        <w:t>RT</w:t>
      </w:r>
      <w:r w:rsidR="00235FB6">
        <w:t xml:space="preserve">. The Applicant </w:t>
      </w:r>
      <w:r w:rsidR="00D97CA3">
        <w:t>maintains</w:t>
      </w:r>
      <w:r w:rsidR="00235FB6">
        <w:t xml:space="preserve"> that patients receiving </w:t>
      </w:r>
      <w:r w:rsidR="009A19E2">
        <w:t>PBT</w:t>
      </w:r>
      <w:r w:rsidR="00235FB6">
        <w:t xml:space="preserve"> rather than </w:t>
      </w:r>
      <w:r w:rsidR="007E71B7">
        <w:t xml:space="preserve">comparatively </w:t>
      </w:r>
      <w:r w:rsidR="00235FB6">
        <w:t xml:space="preserve">less effective </w:t>
      </w:r>
      <w:r w:rsidR="007E71B7">
        <w:t>photon</w:t>
      </w:r>
      <w:r w:rsidR="00B1039E">
        <w:t>-based</w:t>
      </w:r>
      <w:r w:rsidR="007E71B7">
        <w:t xml:space="preserve"> </w:t>
      </w:r>
      <w:r w:rsidR="00CB1891">
        <w:t>RT</w:t>
      </w:r>
      <w:r w:rsidR="007E71B7">
        <w:t xml:space="preserve"> may see costs of care reduced as a result of </w:t>
      </w:r>
      <w:r w:rsidR="00452E72">
        <w:t>PBT’s</w:t>
      </w:r>
      <w:r w:rsidR="007E71B7">
        <w:t xml:space="preserve"> association with fewer side effects, less damage to critical and developing tissues and organs, and </w:t>
      </w:r>
      <w:r w:rsidR="00732ECD">
        <w:t>a reduction in the possibility of secondary cancer diagnoses compared to photon</w:t>
      </w:r>
      <w:r w:rsidR="00C95334">
        <w:t>-based</w:t>
      </w:r>
      <w:r w:rsidR="00732ECD">
        <w:t xml:space="preserve"> </w:t>
      </w:r>
      <w:r w:rsidR="00710770">
        <w:t>RT</w:t>
      </w:r>
      <w:r w:rsidR="00732ECD">
        <w:t xml:space="preserve">. </w:t>
      </w:r>
      <w:r w:rsidR="00871688">
        <w:t xml:space="preserve">The Applicant cites a </w:t>
      </w:r>
      <w:r w:rsidR="004844F7">
        <w:t>systemic review</w:t>
      </w:r>
      <w:r w:rsidR="00871688">
        <w:t xml:space="preserve"> on </w:t>
      </w:r>
      <w:r w:rsidR="00D05E67">
        <w:t xml:space="preserve">the cost effectiveness of </w:t>
      </w:r>
      <w:r w:rsidR="00C46F3B">
        <w:t xml:space="preserve">PBT </w:t>
      </w:r>
      <w:r w:rsidR="00D05E67">
        <w:t>for</w:t>
      </w:r>
      <w:r w:rsidR="00C46F3B">
        <w:t xml:space="preserve"> head and neck cancer</w:t>
      </w:r>
      <w:r w:rsidR="00ED1FF4">
        <w:t xml:space="preserve"> treatment</w:t>
      </w:r>
      <w:r w:rsidR="00C46F3B">
        <w:t xml:space="preserve">, which </w:t>
      </w:r>
      <w:r w:rsidR="00D05E67">
        <w:t>reported that</w:t>
      </w:r>
      <w:r w:rsidR="005E3A3F">
        <w:t xml:space="preserve"> </w:t>
      </w:r>
      <w:r w:rsidR="000918EA">
        <w:t xml:space="preserve">PBT </w:t>
      </w:r>
      <w:r w:rsidR="003F6E0D">
        <w:t>has the potential to be</w:t>
      </w:r>
      <w:r w:rsidR="005E3A3F">
        <w:t xml:space="preserve"> cost effective</w:t>
      </w:r>
      <w:r w:rsidR="000918EA">
        <w:t xml:space="preserve"> when </w:t>
      </w:r>
      <w:r w:rsidR="00752F12">
        <w:t xml:space="preserve">patients are chosen appropriately, such as for </w:t>
      </w:r>
      <w:r w:rsidR="006E18D6">
        <w:t>younger patients</w:t>
      </w:r>
      <w:r w:rsidR="00345550">
        <w:t xml:space="preserve"> in which PBT reduces adverse effects and the need for long-term supportive treatment</w:t>
      </w:r>
      <w:r w:rsidR="00C9195E">
        <w:t>.</w:t>
      </w:r>
      <w:r w:rsidR="00C9195E">
        <w:rPr>
          <w:rStyle w:val="EndnoteReference"/>
        </w:rPr>
        <w:endnoteReference w:id="117"/>
      </w:r>
      <w:r w:rsidR="00C46F3B">
        <w:t xml:space="preserve"> </w:t>
      </w:r>
      <w:r w:rsidR="00BD02F0">
        <w:t>One of the studies examined in the review stated that</w:t>
      </w:r>
      <w:r w:rsidR="008C3874">
        <w:t xml:space="preserve"> </w:t>
      </w:r>
      <w:r w:rsidR="0010356A">
        <w:t xml:space="preserve">managing appropriate access to PBT helped to </w:t>
      </w:r>
      <w:r w:rsidR="00740D49">
        <w:t>control medical costs and that</w:t>
      </w:r>
      <w:r w:rsidR="008C3874">
        <w:t xml:space="preserve"> </w:t>
      </w:r>
      <w:r w:rsidR="00457EB3">
        <w:t>the direct costs of PBT are higher up front,</w:t>
      </w:r>
      <w:r w:rsidR="009158A6">
        <w:t xml:space="preserve"> but </w:t>
      </w:r>
      <w:r w:rsidR="00797351">
        <w:t xml:space="preserve">patients </w:t>
      </w:r>
      <w:r w:rsidR="001048D6">
        <w:t>can benefit from fewer medical expenses over their lifetime</w:t>
      </w:r>
      <w:r w:rsidR="00C918DC">
        <w:t>.</w:t>
      </w:r>
      <w:r w:rsidR="00C918DC">
        <w:rPr>
          <w:rStyle w:val="EndnoteReference"/>
        </w:rPr>
        <w:endnoteReference w:id="118"/>
      </w:r>
      <w:r w:rsidR="008C3874">
        <w:t xml:space="preserve"> </w:t>
      </w:r>
      <w:r w:rsidR="00EF696D">
        <w:t xml:space="preserve">Staff note that </w:t>
      </w:r>
      <w:r w:rsidR="00B3028C">
        <w:t xml:space="preserve">due </w:t>
      </w:r>
      <w:r w:rsidR="007D5992">
        <w:t xml:space="preserve">to </w:t>
      </w:r>
      <w:r w:rsidR="00B3028C">
        <w:t>limitations of the study</w:t>
      </w:r>
      <w:r w:rsidR="00013D90">
        <w:t xml:space="preserve"> surrounding the </w:t>
      </w:r>
      <w:r w:rsidR="007C2678">
        <w:t xml:space="preserve">estimation and measurement </w:t>
      </w:r>
      <w:r w:rsidR="00013D90">
        <w:t>of</w:t>
      </w:r>
      <w:r w:rsidR="00B3028C">
        <w:t xml:space="preserve"> </w:t>
      </w:r>
      <w:r w:rsidR="00F0587F">
        <w:t>costs</w:t>
      </w:r>
      <w:r w:rsidR="00013D90">
        <w:t xml:space="preserve">, </w:t>
      </w:r>
      <w:r w:rsidR="00B3028C">
        <w:t xml:space="preserve">some </w:t>
      </w:r>
      <w:r w:rsidR="00EF696D">
        <w:t>caution</w:t>
      </w:r>
      <w:r w:rsidR="00F0587F">
        <w:t xml:space="preserve"> is </w:t>
      </w:r>
      <w:r w:rsidR="0036350F">
        <w:t>warranted</w:t>
      </w:r>
      <w:r w:rsidR="00EF696D">
        <w:t xml:space="preserve"> in </w:t>
      </w:r>
      <w:r w:rsidR="004A3841">
        <w:t xml:space="preserve">the </w:t>
      </w:r>
      <w:r w:rsidR="00B3028C">
        <w:t>interpret</w:t>
      </w:r>
      <w:r w:rsidR="007C2678">
        <w:t>ation of</w:t>
      </w:r>
      <w:r w:rsidR="00B3028C">
        <w:t xml:space="preserve"> </w:t>
      </w:r>
      <w:r w:rsidR="00EF696D">
        <w:t>the findings.</w:t>
      </w:r>
      <w:r w:rsidR="00EF696D" w:rsidRPr="00EF696D">
        <w:rPr>
          <w:vertAlign w:val="superscript"/>
        </w:rPr>
        <w:endnoteReference w:id="119"/>
      </w:r>
      <w:r w:rsidR="00EF696D">
        <w:t xml:space="preserve"> </w:t>
      </w:r>
    </w:p>
    <w:p w14:paraId="048C65E1" w14:textId="77777777" w:rsidR="000109CF" w:rsidRDefault="000109CF" w:rsidP="007C49AB"/>
    <w:p w14:paraId="093193A8" w14:textId="513A9F40" w:rsidR="00B02402" w:rsidRPr="008E64AB" w:rsidRDefault="00090AC3" w:rsidP="007C49AB">
      <w:r>
        <w:t xml:space="preserve">The Applicant understands that the Proposed Project will not address its entire Patient Panel need for PBT, but states that the Center is the best option for increasing access from a cost and space perspective and is most consistent with the Commonwealth’s cost containment goals.  </w:t>
      </w:r>
    </w:p>
    <w:p w14:paraId="29E2738C" w14:textId="77777777" w:rsidR="00BB4A60" w:rsidRDefault="00BB4A60" w:rsidP="007C49AB">
      <w:pPr>
        <w:rPr>
          <w:b/>
          <w:bCs/>
        </w:rPr>
      </w:pPr>
    </w:p>
    <w:p w14:paraId="6A62C45A" w14:textId="31C45500" w:rsidR="00BB4A60" w:rsidRPr="00BB4A60" w:rsidRDefault="00BB4A60" w:rsidP="007C49AB">
      <w:pPr>
        <w:rPr>
          <w:b/>
          <w:bCs/>
          <w:i/>
          <w:iCs/>
        </w:rPr>
      </w:pPr>
      <w:r w:rsidRPr="00BB4A60">
        <w:rPr>
          <w:b/>
          <w:bCs/>
          <w:i/>
          <w:iCs/>
        </w:rPr>
        <w:t xml:space="preserve">Analysis: Cost Containment </w:t>
      </w:r>
    </w:p>
    <w:p w14:paraId="04A8E9C2" w14:textId="7E387608" w:rsidR="00A46B01" w:rsidRDefault="00C73004" w:rsidP="0078770C">
      <w:pPr>
        <w:pStyle w:val="BodyText"/>
        <w:spacing w:before="10"/>
        <w:rPr>
          <w:rFonts w:asciiTheme="minorHAnsi" w:hAnsiTheme="minorHAnsi"/>
        </w:rPr>
      </w:pPr>
      <w:r>
        <w:rPr>
          <w:rFonts w:asciiTheme="minorHAnsi" w:hAnsiTheme="minorHAnsi"/>
        </w:rPr>
        <w:t xml:space="preserve">Staff concur that increasing access to PBT for clinically appropriate </w:t>
      </w:r>
      <w:r w:rsidR="00452147">
        <w:rPr>
          <w:rFonts w:asciiTheme="minorHAnsi" w:hAnsiTheme="minorHAnsi"/>
        </w:rPr>
        <w:t>patients</w:t>
      </w:r>
      <w:r>
        <w:rPr>
          <w:rFonts w:asciiTheme="minorHAnsi" w:hAnsiTheme="minorHAnsi"/>
        </w:rPr>
        <w:t xml:space="preserve"> can reduce </w:t>
      </w:r>
      <w:r w:rsidR="00D119A8">
        <w:rPr>
          <w:rFonts w:asciiTheme="minorHAnsi" w:hAnsiTheme="minorHAnsi"/>
        </w:rPr>
        <w:t xml:space="preserve">the </w:t>
      </w:r>
      <w:r>
        <w:rPr>
          <w:rFonts w:asciiTheme="minorHAnsi" w:hAnsiTheme="minorHAnsi"/>
        </w:rPr>
        <w:t xml:space="preserve">costs associated with </w:t>
      </w:r>
      <w:r w:rsidR="00A6759B">
        <w:rPr>
          <w:rFonts w:asciiTheme="minorHAnsi" w:hAnsiTheme="minorHAnsi"/>
        </w:rPr>
        <w:t>RT</w:t>
      </w:r>
      <w:r w:rsidR="005A2FD9">
        <w:rPr>
          <w:rFonts w:asciiTheme="minorHAnsi" w:hAnsiTheme="minorHAnsi"/>
        </w:rPr>
        <w:t>-associated</w:t>
      </w:r>
      <w:r>
        <w:rPr>
          <w:rFonts w:asciiTheme="minorHAnsi" w:hAnsiTheme="minorHAnsi"/>
        </w:rPr>
        <w:t xml:space="preserve"> side effects, </w:t>
      </w:r>
      <w:r w:rsidR="00D119A8">
        <w:rPr>
          <w:rFonts w:asciiTheme="minorHAnsi" w:hAnsiTheme="minorHAnsi"/>
        </w:rPr>
        <w:t xml:space="preserve">the </w:t>
      </w:r>
      <w:r>
        <w:rPr>
          <w:rFonts w:asciiTheme="minorHAnsi" w:hAnsiTheme="minorHAnsi"/>
        </w:rPr>
        <w:t>costs assumed by patients and families traveling</w:t>
      </w:r>
      <w:r w:rsidR="00C5235D">
        <w:rPr>
          <w:rFonts w:asciiTheme="minorHAnsi" w:hAnsiTheme="minorHAnsi"/>
        </w:rPr>
        <w:t xml:space="preserve"> out of state</w:t>
      </w:r>
      <w:r>
        <w:rPr>
          <w:rFonts w:asciiTheme="minorHAnsi" w:hAnsiTheme="minorHAnsi"/>
        </w:rPr>
        <w:t xml:space="preserve"> to receive such </w:t>
      </w:r>
      <w:r w:rsidRPr="677FFF64">
        <w:rPr>
          <w:rFonts w:asciiTheme="minorHAnsi" w:hAnsiTheme="minorHAnsi"/>
        </w:rPr>
        <w:t>ca</w:t>
      </w:r>
      <w:r w:rsidR="5E1BC0E6" w:rsidRPr="677FFF64">
        <w:rPr>
          <w:rFonts w:asciiTheme="minorHAnsi" w:hAnsiTheme="minorHAnsi"/>
        </w:rPr>
        <w:t>r</w:t>
      </w:r>
      <w:r w:rsidRPr="677FFF64">
        <w:rPr>
          <w:rFonts w:asciiTheme="minorHAnsi" w:hAnsiTheme="minorHAnsi"/>
        </w:rPr>
        <w:t>e</w:t>
      </w:r>
      <w:r>
        <w:rPr>
          <w:rFonts w:asciiTheme="minorHAnsi" w:hAnsiTheme="minorHAnsi"/>
        </w:rPr>
        <w:t xml:space="preserve">, and </w:t>
      </w:r>
      <w:r w:rsidR="00343874">
        <w:rPr>
          <w:rFonts w:asciiTheme="minorHAnsi" w:hAnsiTheme="minorHAnsi"/>
        </w:rPr>
        <w:t xml:space="preserve">can </w:t>
      </w:r>
      <w:r w:rsidR="00D119A8">
        <w:rPr>
          <w:rFonts w:asciiTheme="minorHAnsi" w:hAnsiTheme="minorHAnsi"/>
        </w:rPr>
        <w:t>reduce</w:t>
      </w:r>
      <w:r w:rsidR="00ED53FF">
        <w:rPr>
          <w:rFonts w:asciiTheme="minorHAnsi" w:hAnsiTheme="minorHAnsi"/>
        </w:rPr>
        <w:t xml:space="preserve"> costs through improved outcomes that result from timely access to PBT treatment. </w:t>
      </w:r>
      <w:r w:rsidR="00CC3433">
        <w:rPr>
          <w:rFonts w:asciiTheme="minorHAnsi" w:hAnsiTheme="minorHAnsi"/>
        </w:rPr>
        <w:t xml:space="preserve">Staff also note </w:t>
      </w:r>
      <w:r w:rsidR="00D119A8">
        <w:rPr>
          <w:rFonts w:asciiTheme="minorHAnsi" w:hAnsiTheme="minorHAnsi"/>
        </w:rPr>
        <w:t xml:space="preserve">the </w:t>
      </w:r>
      <w:r w:rsidR="00CC3433">
        <w:rPr>
          <w:rFonts w:asciiTheme="minorHAnsi" w:hAnsiTheme="minorHAnsi"/>
        </w:rPr>
        <w:t>lower capital investment required to implement the Proposed Project</w:t>
      </w:r>
      <w:r w:rsidR="009F08AE">
        <w:rPr>
          <w:rFonts w:asciiTheme="minorHAnsi" w:hAnsiTheme="minorHAnsi"/>
        </w:rPr>
        <w:t xml:space="preserve"> compared to </w:t>
      </w:r>
      <w:r w:rsidR="00F023F5">
        <w:rPr>
          <w:rFonts w:asciiTheme="minorHAnsi" w:hAnsiTheme="minorHAnsi"/>
        </w:rPr>
        <w:t xml:space="preserve">traditional </w:t>
      </w:r>
      <w:r w:rsidR="001309AC">
        <w:rPr>
          <w:rFonts w:asciiTheme="minorHAnsi" w:hAnsiTheme="minorHAnsi"/>
        </w:rPr>
        <w:t>gantry style proton therapy</w:t>
      </w:r>
      <w:r w:rsidR="00CC3433">
        <w:rPr>
          <w:rFonts w:asciiTheme="minorHAnsi" w:hAnsiTheme="minorHAnsi"/>
        </w:rPr>
        <w:t xml:space="preserve">. </w:t>
      </w:r>
      <w:r w:rsidR="002F0C34">
        <w:rPr>
          <w:rFonts w:asciiTheme="minorHAnsi" w:hAnsiTheme="minorHAnsi"/>
        </w:rPr>
        <w:t xml:space="preserve">Staff </w:t>
      </w:r>
      <w:r w:rsidR="00860DD3">
        <w:rPr>
          <w:rFonts w:asciiTheme="minorHAnsi" w:hAnsiTheme="minorHAnsi"/>
        </w:rPr>
        <w:t>find</w:t>
      </w:r>
      <w:r w:rsidR="002F0C34">
        <w:rPr>
          <w:rFonts w:asciiTheme="minorHAnsi" w:hAnsiTheme="minorHAnsi"/>
        </w:rPr>
        <w:t xml:space="preserve"> that additional </w:t>
      </w:r>
      <w:r w:rsidR="002513A3">
        <w:rPr>
          <w:rFonts w:asciiTheme="minorHAnsi" w:hAnsiTheme="minorHAnsi"/>
        </w:rPr>
        <w:t xml:space="preserve">data </w:t>
      </w:r>
      <w:r w:rsidR="00492BD8">
        <w:rPr>
          <w:rFonts w:asciiTheme="minorHAnsi" w:hAnsiTheme="minorHAnsi"/>
        </w:rPr>
        <w:t>is</w:t>
      </w:r>
      <w:r w:rsidR="002F0C34">
        <w:rPr>
          <w:rFonts w:asciiTheme="minorHAnsi" w:hAnsiTheme="minorHAnsi"/>
        </w:rPr>
        <w:t xml:space="preserve"> needed to further quantify the cost savings that can be achieved through the use of PBT compared to traditional RT. </w:t>
      </w:r>
      <w:r w:rsidR="00A548E3">
        <w:rPr>
          <w:rFonts w:asciiTheme="minorHAnsi" w:hAnsiTheme="minorHAnsi"/>
        </w:rPr>
        <w:t xml:space="preserve">Staff maintain that CMS’ </w:t>
      </w:r>
      <w:r w:rsidR="00772875">
        <w:rPr>
          <w:rFonts w:asciiTheme="minorHAnsi" w:hAnsiTheme="minorHAnsi"/>
        </w:rPr>
        <w:t>LCD</w:t>
      </w:r>
      <w:r w:rsidR="00A548E3">
        <w:rPr>
          <w:rFonts w:asciiTheme="minorHAnsi" w:hAnsiTheme="minorHAnsi"/>
        </w:rPr>
        <w:t xml:space="preserve"> for Group </w:t>
      </w:r>
      <w:r w:rsidR="0045502B">
        <w:rPr>
          <w:rFonts w:asciiTheme="minorHAnsi" w:hAnsiTheme="minorHAnsi"/>
        </w:rPr>
        <w:t>1</w:t>
      </w:r>
      <w:r w:rsidR="00A548E3">
        <w:rPr>
          <w:rFonts w:asciiTheme="minorHAnsi" w:hAnsiTheme="minorHAnsi"/>
        </w:rPr>
        <w:t xml:space="preserve"> support</w:t>
      </w:r>
      <w:r w:rsidR="00F31FD1">
        <w:rPr>
          <w:rFonts w:asciiTheme="minorHAnsi" w:hAnsiTheme="minorHAnsi"/>
        </w:rPr>
        <w:t>s</w:t>
      </w:r>
      <w:r w:rsidR="00A548E3">
        <w:rPr>
          <w:rFonts w:asciiTheme="minorHAnsi" w:hAnsiTheme="minorHAnsi"/>
        </w:rPr>
        <w:t xml:space="preserve"> appropriate use of PBT, that can help to reduce overuse, and associated costs. </w:t>
      </w:r>
      <w:r w:rsidR="00F6714F">
        <w:rPr>
          <w:rFonts w:asciiTheme="minorHAnsi" w:hAnsiTheme="minorHAnsi"/>
        </w:rPr>
        <w:t xml:space="preserve">As the Applicant has noted above, currently there is </w:t>
      </w:r>
      <w:r w:rsidR="00E37C0B">
        <w:rPr>
          <w:rFonts w:asciiTheme="minorHAnsi" w:hAnsiTheme="minorHAnsi"/>
        </w:rPr>
        <w:t>only one</w:t>
      </w:r>
      <w:r w:rsidR="00F6714F">
        <w:rPr>
          <w:rFonts w:asciiTheme="minorHAnsi" w:hAnsiTheme="minorHAnsi"/>
        </w:rPr>
        <w:t xml:space="preserve"> PBT </w:t>
      </w:r>
      <w:r w:rsidR="00E37C0B">
        <w:rPr>
          <w:rFonts w:asciiTheme="minorHAnsi" w:hAnsiTheme="minorHAnsi"/>
        </w:rPr>
        <w:t xml:space="preserve">provider </w:t>
      </w:r>
      <w:r w:rsidR="00F6714F">
        <w:rPr>
          <w:rFonts w:asciiTheme="minorHAnsi" w:hAnsiTheme="minorHAnsi"/>
        </w:rPr>
        <w:t xml:space="preserve">in Massachusetts. </w:t>
      </w:r>
      <w:r w:rsidR="007935FA">
        <w:rPr>
          <w:rFonts w:asciiTheme="minorHAnsi" w:hAnsiTheme="minorHAnsi"/>
        </w:rPr>
        <w:t xml:space="preserve">Staff maintain that increasing </w:t>
      </w:r>
      <w:r w:rsidR="009317AF">
        <w:rPr>
          <w:rFonts w:asciiTheme="minorHAnsi" w:hAnsiTheme="minorHAnsi"/>
        </w:rPr>
        <w:t xml:space="preserve">appropriate PBT </w:t>
      </w:r>
      <w:r w:rsidR="0045502B">
        <w:rPr>
          <w:rFonts w:asciiTheme="minorHAnsi" w:hAnsiTheme="minorHAnsi"/>
        </w:rPr>
        <w:t>capacity</w:t>
      </w:r>
      <w:r w:rsidR="009317AF">
        <w:rPr>
          <w:rFonts w:asciiTheme="minorHAnsi" w:hAnsiTheme="minorHAnsi"/>
        </w:rPr>
        <w:t xml:space="preserve"> can </w:t>
      </w:r>
      <w:r w:rsidR="007E7551">
        <w:rPr>
          <w:rFonts w:asciiTheme="minorHAnsi" w:hAnsiTheme="minorHAnsi"/>
        </w:rPr>
        <w:t>promote</w:t>
      </w:r>
      <w:r w:rsidR="009317AF">
        <w:rPr>
          <w:rFonts w:asciiTheme="minorHAnsi" w:hAnsiTheme="minorHAnsi"/>
        </w:rPr>
        <w:t xml:space="preserve"> competition on price for a necessary service, </w:t>
      </w:r>
      <w:r w:rsidR="00B62FF1">
        <w:rPr>
          <w:rFonts w:asciiTheme="minorHAnsi" w:hAnsiTheme="minorHAnsi"/>
        </w:rPr>
        <w:t>which can support a reduction in PBT medical costs.</w:t>
      </w:r>
      <w:r w:rsidR="009317AF">
        <w:rPr>
          <w:rFonts w:asciiTheme="minorHAnsi" w:hAnsiTheme="minorHAnsi"/>
        </w:rPr>
        <w:t xml:space="preserve"> </w:t>
      </w:r>
      <w:r w:rsidR="004C2FF2">
        <w:rPr>
          <w:rFonts w:asciiTheme="minorHAnsi" w:hAnsiTheme="minorHAnsi"/>
        </w:rPr>
        <w:t>S</w:t>
      </w:r>
      <w:r w:rsidR="00313894">
        <w:rPr>
          <w:rFonts w:asciiTheme="minorHAnsi" w:hAnsiTheme="minorHAnsi"/>
        </w:rPr>
        <w:t>t</w:t>
      </w:r>
      <w:r w:rsidR="004C2FF2">
        <w:rPr>
          <w:rFonts w:asciiTheme="minorHAnsi" w:hAnsiTheme="minorHAnsi"/>
        </w:rPr>
        <w:t xml:space="preserve">aff finds that with the “Other Conditions” </w:t>
      </w:r>
      <w:r w:rsidR="002A461C">
        <w:rPr>
          <w:rFonts w:asciiTheme="minorHAnsi" w:hAnsiTheme="minorHAnsi"/>
        </w:rPr>
        <w:t>outlined below,</w:t>
      </w:r>
      <w:r w:rsidR="00BC5ABD">
        <w:t xml:space="preserve"> </w:t>
      </w:r>
      <w:r w:rsidR="00617D17">
        <w:rPr>
          <w:rFonts w:asciiTheme="minorHAnsi" w:hAnsiTheme="minorHAnsi"/>
        </w:rPr>
        <w:t>regarding the Applicant’s</w:t>
      </w:r>
      <w:r w:rsidR="00BC5ABD" w:rsidRPr="00BC5ABD">
        <w:rPr>
          <w:rFonts w:asciiTheme="minorHAnsi" w:hAnsiTheme="minorHAnsi"/>
        </w:rPr>
        <w:t xml:space="preserve"> commercial reimbursement rates for the Center’s PBT</w:t>
      </w:r>
      <w:r w:rsidR="00F47F72">
        <w:rPr>
          <w:rFonts w:asciiTheme="minorHAnsi" w:hAnsiTheme="minorHAnsi"/>
        </w:rPr>
        <w:t xml:space="preserve"> services</w:t>
      </w:r>
      <w:r w:rsidR="00BC5ABD">
        <w:rPr>
          <w:rFonts w:asciiTheme="minorHAnsi" w:hAnsiTheme="minorHAnsi"/>
        </w:rPr>
        <w:t>,</w:t>
      </w:r>
      <w:r w:rsidR="00D91F54" w:rsidRPr="00D91F54">
        <w:rPr>
          <w:rFonts w:asciiTheme="minorHAnsi" w:hAnsiTheme="minorHAnsi"/>
        </w:rPr>
        <w:t xml:space="preserve"> DoN Staff conclude that the Proposed Project will likely meet the cost containment component of Factor 2.</w:t>
      </w:r>
    </w:p>
    <w:p w14:paraId="3FC0D18E" w14:textId="77777777" w:rsidR="00D91F54" w:rsidRDefault="00D91F54" w:rsidP="0078770C">
      <w:pPr>
        <w:pStyle w:val="BodyText"/>
        <w:spacing w:before="10"/>
        <w:rPr>
          <w:rFonts w:asciiTheme="minorHAnsi" w:hAnsiTheme="minorHAnsi"/>
        </w:rPr>
      </w:pPr>
    </w:p>
    <w:p w14:paraId="5F707963" w14:textId="5E25E0A8" w:rsidR="00D91F54" w:rsidRPr="006D4A91" w:rsidRDefault="006D4A91" w:rsidP="0078770C">
      <w:pPr>
        <w:pStyle w:val="BodyText"/>
        <w:spacing w:before="10"/>
        <w:rPr>
          <w:rFonts w:asciiTheme="minorHAnsi" w:hAnsiTheme="minorHAnsi"/>
          <w:b/>
          <w:bCs/>
          <w:i/>
          <w:iCs/>
        </w:rPr>
      </w:pPr>
      <w:r w:rsidRPr="00B35C16">
        <w:rPr>
          <w:rFonts w:asciiTheme="minorHAnsi" w:hAnsiTheme="minorHAnsi"/>
          <w:b/>
          <w:bCs/>
          <w:i/>
          <w:iCs/>
        </w:rPr>
        <w:t>Improved Public Health Outcomes</w:t>
      </w:r>
    </w:p>
    <w:p w14:paraId="0CAE9AC1" w14:textId="178E7022" w:rsidR="00F128A7" w:rsidRPr="006D4A91" w:rsidRDefault="005212A1" w:rsidP="00A70C1E">
      <w:pPr>
        <w:pStyle w:val="BodyText"/>
        <w:spacing w:before="10"/>
        <w:rPr>
          <w:rFonts w:asciiTheme="minorHAnsi" w:hAnsiTheme="minorHAnsi"/>
        </w:rPr>
      </w:pPr>
      <w:r>
        <w:rPr>
          <w:rFonts w:asciiTheme="minorHAnsi" w:hAnsiTheme="minorHAnsi"/>
        </w:rPr>
        <w:t>As described above in Factor 1b: Public Health Value,</w:t>
      </w:r>
      <w:r w:rsidR="006176CB">
        <w:rPr>
          <w:rFonts w:asciiTheme="minorHAnsi" w:hAnsiTheme="minorHAnsi"/>
        </w:rPr>
        <w:t xml:space="preserve"> </w:t>
      </w:r>
      <w:r w:rsidR="00EE1C38">
        <w:rPr>
          <w:rFonts w:asciiTheme="minorHAnsi" w:hAnsiTheme="minorHAnsi"/>
        </w:rPr>
        <w:t xml:space="preserve">the benefits of </w:t>
      </w:r>
      <w:r w:rsidR="000608A3">
        <w:rPr>
          <w:rFonts w:asciiTheme="minorHAnsi" w:hAnsiTheme="minorHAnsi"/>
        </w:rPr>
        <w:t>PBT</w:t>
      </w:r>
      <w:r w:rsidR="00EE1C38">
        <w:rPr>
          <w:rFonts w:asciiTheme="minorHAnsi" w:hAnsiTheme="minorHAnsi"/>
        </w:rPr>
        <w:t xml:space="preserve"> when compared to tradition</w:t>
      </w:r>
      <w:r w:rsidR="00343874">
        <w:rPr>
          <w:rFonts w:asciiTheme="minorHAnsi" w:hAnsiTheme="minorHAnsi"/>
        </w:rPr>
        <w:t>al</w:t>
      </w:r>
      <w:r w:rsidR="00EE1C38">
        <w:rPr>
          <w:rFonts w:asciiTheme="minorHAnsi" w:hAnsiTheme="minorHAnsi"/>
        </w:rPr>
        <w:t xml:space="preserve"> </w:t>
      </w:r>
      <w:r w:rsidR="00A6759B">
        <w:rPr>
          <w:rFonts w:asciiTheme="minorHAnsi" w:hAnsiTheme="minorHAnsi"/>
        </w:rPr>
        <w:t>RT</w:t>
      </w:r>
      <w:r w:rsidR="00EE1C38">
        <w:rPr>
          <w:rFonts w:asciiTheme="minorHAnsi" w:hAnsiTheme="minorHAnsi"/>
        </w:rPr>
        <w:t xml:space="preserve"> or photon</w:t>
      </w:r>
      <w:r w:rsidR="00A6759B">
        <w:rPr>
          <w:rFonts w:asciiTheme="minorHAnsi" w:hAnsiTheme="minorHAnsi"/>
        </w:rPr>
        <w:t>-based</w:t>
      </w:r>
      <w:r w:rsidR="00EE1C38">
        <w:rPr>
          <w:rFonts w:asciiTheme="minorHAnsi" w:hAnsiTheme="minorHAnsi"/>
        </w:rPr>
        <w:t xml:space="preserve"> </w:t>
      </w:r>
      <w:r w:rsidR="00A6759B">
        <w:rPr>
          <w:rFonts w:asciiTheme="minorHAnsi" w:hAnsiTheme="minorHAnsi"/>
        </w:rPr>
        <w:t>RT</w:t>
      </w:r>
      <w:r w:rsidR="00EE1C38">
        <w:rPr>
          <w:rFonts w:asciiTheme="minorHAnsi" w:hAnsiTheme="minorHAnsi"/>
        </w:rPr>
        <w:t xml:space="preserve"> include </w:t>
      </w:r>
      <w:r w:rsidR="00BD6142">
        <w:rPr>
          <w:rFonts w:asciiTheme="minorHAnsi" w:hAnsiTheme="minorHAnsi"/>
        </w:rPr>
        <w:t xml:space="preserve">more </w:t>
      </w:r>
      <w:r w:rsidR="00D56033">
        <w:rPr>
          <w:rFonts w:asciiTheme="minorHAnsi" w:hAnsiTheme="minorHAnsi"/>
        </w:rPr>
        <w:t>precise, targeted dose of radiation to the tumor while reduc</w:t>
      </w:r>
      <w:r w:rsidR="6114E6EC" w:rsidRPr="7317E7DB">
        <w:rPr>
          <w:rFonts w:asciiTheme="minorHAnsi" w:hAnsiTheme="minorHAnsi"/>
        </w:rPr>
        <w:t>ing</w:t>
      </w:r>
      <w:r w:rsidR="00D56033">
        <w:rPr>
          <w:rFonts w:asciiTheme="minorHAnsi" w:hAnsiTheme="minorHAnsi"/>
        </w:rPr>
        <w:t xml:space="preserve"> </w:t>
      </w:r>
      <w:r w:rsidR="00980C4C">
        <w:rPr>
          <w:rFonts w:asciiTheme="minorHAnsi" w:hAnsiTheme="minorHAnsi"/>
        </w:rPr>
        <w:t xml:space="preserve">radiation doses to normal, healthy tissues, resulting in fewer side effects and complications and improved quality of life. </w:t>
      </w:r>
      <w:r w:rsidR="0010696C">
        <w:rPr>
          <w:rFonts w:asciiTheme="minorHAnsi" w:hAnsiTheme="minorHAnsi"/>
        </w:rPr>
        <w:t>PBT</w:t>
      </w:r>
      <w:r w:rsidR="00980C4C">
        <w:rPr>
          <w:rFonts w:asciiTheme="minorHAnsi" w:hAnsiTheme="minorHAnsi"/>
        </w:rPr>
        <w:t xml:space="preserve"> is especially beneficial for pediatric patients </w:t>
      </w:r>
      <w:r w:rsidR="001667DB">
        <w:rPr>
          <w:rFonts w:asciiTheme="minorHAnsi" w:hAnsiTheme="minorHAnsi"/>
        </w:rPr>
        <w:t>“</w:t>
      </w:r>
      <w:r w:rsidR="00A70C1E">
        <w:rPr>
          <w:rFonts w:asciiTheme="minorHAnsi" w:hAnsiTheme="minorHAnsi"/>
        </w:rPr>
        <w:t xml:space="preserve">due </w:t>
      </w:r>
      <w:r w:rsidR="00A70C1E" w:rsidRPr="00A70C1E">
        <w:rPr>
          <w:rFonts w:asciiTheme="minorHAnsi" w:hAnsiTheme="minorHAnsi"/>
        </w:rPr>
        <w:t>to the high radiosensitivity of developing tissues and the long</w:t>
      </w:r>
      <w:r w:rsidR="00A70C1E">
        <w:rPr>
          <w:rFonts w:asciiTheme="minorHAnsi" w:hAnsiTheme="minorHAnsi"/>
        </w:rPr>
        <w:t xml:space="preserve"> </w:t>
      </w:r>
      <w:r w:rsidR="00A70C1E" w:rsidRPr="00A70C1E">
        <w:rPr>
          <w:rFonts w:asciiTheme="minorHAnsi" w:hAnsiTheme="minorHAnsi"/>
        </w:rPr>
        <w:t>life-expectancy of childhood cancer survivors</w:t>
      </w:r>
      <w:r w:rsidR="00A70C1E">
        <w:rPr>
          <w:rFonts w:asciiTheme="minorHAnsi" w:hAnsiTheme="minorHAnsi"/>
        </w:rPr>
        <w:t>.</w:t>
      </w:r>
      <w:r w:rsidR="001667DB">
        <w:rPr>
          <w:rFonts w:asciiTheme="minorHAnsi" w:hAnsiTheme="minorHAnsi"/>
        </w:rPr>
        <w:t>”</w:t>
      </w:r>
      <w:r w:rsidR="00A70C1E">
        <w:rPr>
          <w:rStyle w:val="EndnoteReference"/>
          <w:rFonts w:asciiTheme="minorHAnsi" w:hAnsiTheme="minorHAnsi"/>
        </w:rPr>
        <w:endnoteReference w:id="120"/>
      </w:r>
      <w:r w:rsidR="001667DB">
        <w:rPr>
          <w:rFonts w:asciiTheme="minorHAnsi" w:hAnsiTheme="minorHAnsi"/>
        </w:rPr>
        <w:t xml:space="preserve"> </w:t>
      </w:r>
      <w:r w:rsidR="00F128A7">
        <w:rPr>
          <w:rFonts w:asciiTheme="minorHAnsi" w:hAnsiTheme="minorHAnsi"/>
        </w:rPr>
        <w:t xml:space="preserve">The Applicant also argues that the Proposed Project will, </w:t>
      </w:r>
      <w:r w:rsidR="0035767F">
        <w:rPr>
          <w:rFonts w:asciiTheme="minorHAnsi" w:hAnsiTheme="minorHAnsi"/>
        </w:rPr>
        <w:t xml:space="preserve">support increased access to PBT by reducing </w:t>
      </w:r>
      <w:r w:rsidR="00F128A7">
        <w:rPr>
          <w:rFonts w:asciiTheme="minorHAnsi" w:hAnsiTheme="minorHAnsi"/>
        </w:rPr>
        <w:t>t</w:t>
      </w:r>
      <w:r w:rsidR="00E45CBB">
        <w:rPr>
          <w:rFonts w:asciiTheme="minorHAnsi" w:hAnsiTheme="minorHAnsi"/>
        </w:rPr>
        <w:t>he time</w:t>
      </w:r>
      <w:r w:rsidR="00F128A7">
        <w:rPr>
          <w:rFonts w:asciiTheme="minorHAnsi" w:hAnsiTheme="minorHAnsi"/>
        </w:rPr>
        <w:t xml:space="preserve"> burden and costs associated with traveling elsewhere to receive </w:t>
      </w:r>
      <w:r w:rsidR="00291909">
        <w:rPr>
          <w:rFonts w:asciiTheme="minorHAnsi" w:hAnsiTheme="minorHAnsi"/>
        </w:rPr>
        <w:t>PBT</w:t>
      </w:r>
      <w:r w:rsidR="00F128A7">
        <w:rPr>
          <w:rFonts w:asciiTheme="minorHAnsi" w:hAnsiTheme="minorHAnsi"/>
        </w:rPr>
        <w:t xml:space="preserve"> given the insufficient </w:t>
      </w:r>
      <w:r w:rsidR="00D64CAA">
        <w:rPr>
          <w:rFonts w:asciiTheme="minorHAnsi" w:hAnsiTheme="minorHAnsi"/>
        </w:rPr>
        <w:t>PBT</w:t>
      </w:r>
      <w:r w:rsidR="00F128A7">
        <w:rPr>
          <w:rFonts w:asciiTheme="minorHAnsi" w:hAnsiTheme="minorHAnsi"/>
        </w:rPr>
        <w:t xml:space="preserve"> capacity in Massachusetts. I</w:t>
      </w:r>
      <w:r w:rsidR="00E45CBB">
        <w:rPr>
          <w:rFonts w:asciiTheme="minorHAnsi" w:hAnsiTheme="minorHAnsi"/>
        </w:rPr>
        <w:t>n</w:t>
      </w:r>
      <w:r w:rsidR="00F128A7">
        <w:rPr>
          <w:rFonts w:asciiTheme="minorHAnsi" w:hAnsiTheme="minorHAnsi"/>
        </w:rPr>
        <w:t xml:space="preserve"> addition,</w:t>
      </w:r>
      <w:r w:rsidR="00E45CBB">
        <w:rPr>
          <w:rFonts w:asciiTheme="minorHAnsi" w:hAnsiTheme="minorHAnsi"/>
        </w:rPr>
        <w:t xml:space="preserve"> </w:t>
      </w:r>
      <w:r w:rsidR="00F128A7">
        <w:rPr>
          <w:rFonts w:asciiTheme="minorHAnsi" w:hAnsiTheme="minorHAnsi"/>
        </w:rPr>
        <w:t xml:space="preserve">patient experience will be improved </w:t>
      </w:r>
      <w:r w:rsidR="00E45CBB">
        <w:rPr>
          <w:rFonts w:asciiTheme="minorHAnsi" w:hAnsiTheme="minorHAnsi"/>
        </w:rPr>
        <w:t xml:space="preserve">because receiving local access to </w:t>
      </w:r>
      <w:r w:rsidR="00D64CAA">
        <w:rPr>
          <w:rFonts w:asciiTheme="minorHAnsi" w:hAnsiTheme="minorHAnsi"/>
        </w:rPr>
        <w:t>PBT</w:t>
      </w:r>
      <w:r w:rsidR="00E45CBB">
        <w:rPr>
          <w:rFonts w:asciiTheme="minorHAnsi" w:hAnsiTheme="minorHAnsi"/>
        </w:rPr>
        <w:t xml:space="preserve"> will allow </w:t>
      </w:r>
      <w:r w:rsidR="00F128A7">
        <w:rPr>
          <w:rFonts w:asciiTheme="minorHAnsi" w:hAnsiTheme="minorHAnsi"/>
        </w:rPr>
        <w:t xml:space="preserve">patients to receive treatment closer to home, </w:t>
      </w:r>
      <w:r w:rsidR="00865390">
        <w:rPr>
          <w:rFonts w:asciiTheme="minorHAnsi" w:hAnsiTheme="minorHAnsi"/>
        </w:rPr>
        <w:t xml:space="preserve">and to </w:t>
      </w:r>
      <w:r w:rsidR="00865390">
        <w:rPr>
          <w:rFonts w:asciiTheme="minorHAnsi" w:hAnsiTheme="minorHAnsi"/>
        </w:rPr>
        <w:lastRenderedPageBreak/>
        <w:t>their</w:t>
      </w:r>
      <w:r w:rsidR="00F128A7">
        <w:rPr>
          <w:rFonts w:asciiTheme="minorHAnsi" w:hAnsiTheme="minorHAnsi"/>
        </w:rPr>
        <w:t xml:space="preserve"> support systems, with less time taken away from employment and school. </w:t>
      </w:r>
      <w:r w:rsidR="00865390">
        <w:rPr>
          <w:rFonts w:asciiTheme="minorHAnsi" w:hAnsiTheme="minorHAnsi"/>
        </w:rPr>
        <w:t xml:space="preserve">The location of the Center will facilitate an easy to navigate location that will improve the patient experience for pediatric patients, who are cared for jointly by the Applicant and BCH. </w:t>
      </w:r>
    </w:p>
    <w:p w14:paraId="2DD153F9" w14:textId="77777777" w:rsidR="00252A2B" w:rsidRPr="006D4A91" w:rsidRDefault="00252A2B" w:rsidP="0078770C">
      <w:pPr>
        <w:pStyle w:val="BodyText"/>
        <w:spacing w:before="10"/>
        <w:rPr>
          <w:rFonts w:asciiTheme="minorHAnsi" w:hAnsiTheme="minorHAnsi"/>
          <w:b/>
          <w:bCs/>
        </w:rPr>
      </w:pPr>
    </w:p>
    <w:p w14:paraId="259E9A4D" w14:textId="1B37272B" w:rsidR="00B447F3" w:rsidRPr="009A0C61" w:rsidRDefault="00A4110F" w:rsidP="008917DC">
      <w:pPr>
        <w:rPr>
          <w:rFonts w:asciiTheme="minorHAnsi" w:hAnsiTheme="minorHAnsi"/>
          <w:b/>
          <w:bCs/>
          <w:i/>
          <w:iCs/>
          <w:szCs w:val="24"/>
        </w:rPr>
      </w:pPr>
      <w:r w:rsidRPr="009A0C61">
        <w:rPr>
          <w:rFonts w:asciiTheme="minorHAnsi" w:hAnsiTheme="minorHAnsi"/>
          <w:b/>
          <w:bCs/>
          <w:i/>
          <w:iCs/>
          <w:szCs w:val="24"/>
        </w:rPr>
        <w:t>Analysis: Public Health Outcomes</w:t>
      </w:r>
    </w:p>
    <w:p w14:paraId="5F30FBF4" w14:textId="3EE2140D" w:rsidR="00281E68" w:rsidRDefault="00574D67">
      <w:pPr>
        <w:pStyle w:val="BodyText"/>
        <w:spacing w:before="5"/>
        <w:rPr>
          <w:rFonts w:asciiTheme="minorHAnsi" w:hAnsiTheme="minorHAnsi"/>
        </w:rPr>
      </w:pPr>
      <w:r>
        <w:rPr>
          <w:rFonts w:asciiTheme="minorHAnsi" w:hAnsiTheme="minorHAnsi"/>
        </w:rPr>
        <w:t xml:space="preserve">Staff find that the Applicant has demonstrated </w:t>
      </w:r>
      <w:r w:rsidR="00EF41D3">
        <w:rPr>
          <w:rFonts w:asciiTheme="minorHAnsi" w:hAnsiTheme="minorHAnsi"/>
        </w:rPr>
        <w:t>that the Proposed Project</w:t>
      </w:r>
      <w:r w:rsidR="00070F48">
        <w:rPr>
          <w:rFonts w:asciiTheme="minorHAnsi" w:hAnsiTheme="minorHAnsi"/>
        </w:rPr>
        <w:t xml:space="preserve"> </w:t>
      </w:r>
      <w:r w:rsidR="00EF41D3">
        <w:rPr>
          <w:rFonts w:asciiTheme="minorHAnsi" w:hAnsiTheme="minorHAnsi"/>
        </w:rPr>
        <w:t xml:space="preserve">can improve health outcomes </w:t>
      </w:r>
      <w:r w:rsidR="008A56D9">
        <w:rPr>
          <w:rFonts w:asciiTheme="minorHAnsi" w:hAnsiTheme="minorHAnsi"/>
        </w:rPr>
        <w:t xml:space="preserve">and quality of life for its Patient Panel </w:t>
      </w:r>
      <w:r w:rsidR="00C90B3F">
        <w:rPr>
          <w:rFonts w:asciiTheme="minorHAnsi" w:hAnsiTheme="minorHAnsi"/>
        </w:rPr>
        <w:t>by</w:t>
      </w:r>
      <w:r w:rsidR="00EF41D3">
        <w:rPr>
          <w:rFonts w:asciiTheme="minorHAnsi" w:hAnsiTheme="minorHAnsi"/>
        </w:rPr>
        <w:t xml:space="preserve"> increasing </w:t>
      </w:r>
      <w:r w:rsidR="00AB2A10">
        <w:rPr>
          <w:rFonts w:asciiTheme="minorHAnsi" w:hAnsiTheme="minorHAnsi"/>
        </w:rPr>
        <w:t xml:space="preserve">timely </w:t>
      </w:r>
      <w:r w:rsidR="00EF41D3">
        <w:rPr>
          <w:rFonts w:asciiTheme="minorHAnsi" w:hAnsiTheme="minorHAnsi"/>
        </w:rPr>
        <w:t xml:space="preserve">access </w:t>
      </w:r>
      <w:r w:rsidR="0060077F">
        <w:rPr>
          <w:rFonts w:asciiTheme="minorHAnsi" w:hAnsiTheme="minorHAnsi"/>
        </w:rPr>
        <w:t>to</w:t>
      </w:r>
      <w:r w:rsidR="00EF41D3">
        <w:rPr>
          <w:rFonts w:asciiTheme="minorHAnsi" w:hAnsiTheme="minorHAnsi"/>
        </w:rPr>
        <w:t xml:space="preserve"> </w:t>
      </w:r>
      <w:r w:rsidR="00FA2B8E">
        <w:rPr>
          <w:rFonts w:asciiTheme="minorHAnsi" w:hAnsiTheme="minorHAnsi"/>
        </w:rPr>
        <w:t>PBT locally</w:t>
      </w:r>
      <w:r w:rsidR="000C1F74" w:rsidRPr="000C1F74">
        <w:rPr>
          <w:rFonts w:asciiTheme="minorHAnsi" w:hAnsiTheme="minorHAnsi"/>
          <w:szCs w:val="20"/>
        </w:rPr>
        <w:t xml:space="preserve"> </w:t>
      </w:r>
      <w:r w:rsidR="000C1F74" w:rsidRPr="000C1F74">
        <w:rPr>
          <w:rFonts w:asciiTheme="minorHAnsi" w:hAnsiTheme="minorHAnsi"/>
        </w:rPr>
        <w:t>for clinically appropriate patients</w:t>
      </w:r>
      <w:r w:rsidR="00FA2B8E">
        <w:rPr>
          <w:rFonts w:asciiTheme="minorHAnsi" w:hAnsiTheme="minorHAnsi"/>
        </w:rPr>
        <w:t xml:space="preserve">, </w:t>
      </w:r>
      <w:r w:rsidR="000C1F74">
        <w:rPr>
          <w:rFonts w:asciiTheme="minorHAnsi" w:hAnsiTheme="minorHAnsi"/>
        </w:rPr>
        <w:t>thereby</w:t>
      </w:r>
      <w:r w:rsidR="008A56D9">
        <w:rPr>
          <w:rFonts w:asciiTheme="minorHAnsi" w:hAnsiTheme="minorHAnsi"/>
        </w:rPr>
        <w:t xml:space="preserve"> </w:t>
      </w:r>
      <w:r w:rsidR="00FA2B8E">
        <w:rPr>
          <w:rFonts w:asciiTheme="minorHAnsi" w:hAnsiTheme="minorHAnsi"/>
        </w:rPr>
        <w:t>reduc</w:t>
      </w:r>
      <w:r w:rsidR="008A56D9">
        <w:rPr>
          <w:rFonts w:asciiTheme="minorHAnsi" w:hAnsiTheme="minorHAnsi"/>
        </w:rPr>
        <w:t>ing</w:t>
      </w:r>
      <w:r w:rsidR="00F62155">
        <w:rPr>
          <w:rFonts w:asciiTheme="minorHAnsi" w:hAnsiTheme="minorHAnsi"/>
        </w:rPr>
        <w:t xml:space="preserve"> the</w:t>
      </w:r>
      <w:r w:rsidR="00FA2B8E">
        <w:rPr>
          <w:rFonts w:asciiTheme="minorHAnsi" w:hAnsiTheme="minorHAnsi"/>
        </w:rPr>
        <w:t xml:space="preserve"> challenges and barriers to timely access to such care</w:t>
      </w:r>
      <w:r w:rsidR="0048447A">
        <w:rPr>
          <w:rFonts w:asciiTheme="minorHAnsi" w:hAnsiTheme="minorHAnsi"/>
        </w:rPr>
        <w:t xml:space="preserve"> identified in Factor 1a</w:t>
      </w:r>
      <w:r w:rsidR="00EF41D3">
        <w:rPr>
          <w:rFonts w:asciiTheme="minorHAnsi" w:hAnsiTheme="minorHAnsi"/>
        </w:rPr>
        <w:t xml:space="preserve">. </w:t>
      </w:r>
      <w:r w:rsidR="00F2439C" w:rsidRPr="00F2439C">
        <w:rPr>
          <w:rFonts w:asciiTheme="minorHAnsi" w:hAnsiTheme="minorHAnsi"/>
        </w:rPr>
        <w:t>Therefore, DoN Staff can conclude that the Proposed Project will likely meet the Public Health Outcomes component of Factor 2.</w:t>
      </w:r>
    </w:p>
    <w:p w14:paraId="21C6A749" w14:textId="77777777" w:rsidR="00E74800" w:rsidRDefault="00E74800">
      <w:pPr>
        <w:pStyle w:val="BodyText"/>
        <w:spacing w:before="5"/>
        <w:rPr>
          <w:rFonts w:asciiTheme="minorHAnsi" w:hAnsiTheme="minorHAnsi"/>
        </w:rPr>
      </w:pPr>
    </w:p>
    <w:p w14:paraId="5A5B5207" w14:textId="15BDBFAC" w:rsidR="00B447F3" w:rsidRPr="009A0C61" w:rsidRDefault="00A4110F" w:rsidP="00BA2054">
      <w:pPr>
        <w:rPr>
          <w:rFonts w:asciiTheme="minorHAnsi" w:hAnsiTheme="minorHAnsi"/>
          <w:b/>
          <w:bCs/>
          <w:i/>
          <w:iCs/>
          <w:szCs w:val="24"/>
        </w:rPr>
      </w:pPr>
      <w:r w:rsidRPr="009A0C61">
        <w:rPr>
          <w:rFonts w:asciiTheme="minorHAnsi" w:hAnsiTheme="minorHAnsi"/>
          <w:b/>
          <w:bCs/>
          <w:i/>
          <w:iCs/>
          <w:szCs w:val="24"/>
        </w:rPr>
        <w:t>Delivery System Transformation</w:t>
      </w:r>
    </w:p>
    <w:p w14:paraId="0D102F1F" w14:textId="7CB56692" w:rsidR="008927B4" w:rsidRDefault="00243EF6" w:rsidP="008927B4">
      <w:pPr>
        <w:pStyle w:val="BodyText"/>
        <w:rPr>
          <w:rFonts w:asciiTheme="minorHAnsi" w:hAnsiTheme="minorHAnsi"/>
        </w:rPr>
      </w:pPr>
      <w:r w:rsidRPr="00243EF6">
        <w:rPr>
          <w:rFonts w:asciiTheme="minorHAnsi" w:hAnsiTheme="minorHAnsi"/>
        </w:rPr>
        <w:t>The Applicant affirmed its commitment to promoting equitable access to cancer care and to reducing barriers to accessing high-quality cancer care for medically underserved patients. The Applicant states that its community outreach mission, formally adopted by the Applicant’s board in 1995 and revised in 2022, seeks t</w:t>
      </w:r>
      <w:r w:rsidR="00036B91">
        <w:rPr>
          <w:rFonts w:asciiTheme="minorHAnsi" w:hAnsiTheme="minorHAnsi"/>
        </w:rPr>
        <w:t xml:space="preserve">o </w:t>
      </w:r>
      <w:r w:rsidRPr="00243EF6">
        <w:rPr>
          <w:rFonts w:asciiTheme="minorHAnsi" w:hAnsiTheme="minorHAnsi"/>
        </w:rPr>
        <w:t>(1) expand access to the Applicant’s programs in early detection, screening, and cancer prevention and education to reach at-risk, historically marginalized, and diverse populations</w:t>
      </w:r>
      <w:r w:rsidR="00AF0A5E">
        <w:rPr>
          <w:rFonts w:asciiTheme="minorHAnsi" w:hAnsiTheme="minorHAnsi"/>
        </w:rPr>
        <w:t xml:space="preserve">; </w:t>
      </w:r>
      <w:r w:rsidRPr="00243EF6">
        <w:rPr>
          <w:rFonts w:asciiTheme="minorHAnsi" w:hAnsiTheme="minorHAnsi"/>
        </w:rPr>
        <w:t>and (2) partner with community health centers, community-based organizations, and government entities to assess, enhance, and improve the overall health and well-being of the members of the Applicant’s communities.</w:t>
      </w:r>
      <w:r w:rsidR="00036B91">
        <w:rPr>
          <w:rFonts w:asciiTheme="minorHAnsi" w:hAnsiTheme="minorHAnsi"/>
        </w:rPr>
        <w:t xml:space="preserve"> </w:t>
      </w:r>
      <w:r w:rsidR="008927B4" w:rsidRPr="008927B4">
        <w:rPr>
          <w:rFonts w:asciiTheme="minorHAnsi" w:hAnsiTheme="minorHAnsi"/>
        </w:rPr>
        <w:t>The Applicant provided examples of its partnerships with social services and community-based organizations that link its Patient Panel to resources that help to address health disparities.</w:t>
      </w:r>
      <w:r w:rsidR="008927B4" w:rsidRPr="008927B4">
        <w:rPr>
          <w:rFonts w:asciiTheme="minorHAnsi" w:hAnsiTheme="minorHAnsi"/>
          <w:vertAlign w:val="superscript"/>
        </w:rPr>
        <w:footnoteReference w:id="71"/>
      </w:r>
      <w:r w:rsidR="008927B4" w:rsidRPr="008927B4">
        <w:rPr>
          <w:rFonts w:asciiTheme="minorHAnsi" w:hAnsiTheme="minorHAnsi"/>
        </w:rPr>
        <w:t xml:space="preserve"> </w:t>
      </w:r>
    </w:p>
    <w:p w14:paraId="2F8B90E3" w14:textId="77777777" w:rsidR="00D27D9E" w:rsidRDefault="00D27D9E" w:rsidP="008927B4">
      <w:pPr>
        <w:pStyle w:val="BodyText"/>
        <w:rPr>
          <w:rFonts w:asciiTheme="minorHAnsi" w:hAnsiTheme="minorHAnsi"/>
        </w:rPr>
      </w:pPr>
    </w:p>
    <w:p w14:paraId="3BFD4EC5" w14:textId="28F1188F" w:rsidR="00D27D9E" w:rsidRDefault="00FD6FF2" w:rsidP="008927B4">
      <w:pPr>
        <w:pStyle w:val="BodyText"/>
        <w:rPr>
          <w:rFonts w:asciiTheme="minorHAnsi" w:hAnsiTheme="minorHAnsi"/>
        </w:rPr>
      </w:pPr>
      <w:r>
        <w:rPr>
          <w:rFonts w:asciiTheme="minorHAnsi" w:hAnsiTheme="minorHAnsi"/>
        </w:rPr>
        <w:t xml:space="preserve">The Applicant states that it screens adult patients for the social determinants of health (SDoH) in both the ambulatory setting and the inpatient setting. Table </w:t>
      </w:r>
      <w:r w:rsidR="00617F96">
        <w:rPr>
          <w:rFonts w:asciiTheme="minorHAnsi" w:hAnsiTheme="minorHAnsi"/>
        </w:rPr>
        <w:t>2</w:t>
      </w:r>
      <w:r w:rsidR="00993A37">
        <w:rPr>
          <w:rFonts w:asciiTheme="minorHAnsi" w:hAnsiTheme="minorHAnsi"/>
        </w:rPr>
        <w:t>5</w:t>
      </w:r>
      <w:r>
        <w:rPr>
          <w:rFonts w:asciiTheme="minorHAnsi" w:hAnsiTheme="minorHAnsi"/>
        </w:rPr>
        <w:t xml:space="preserve"> provides an overview of the Applicant’s SDoH screening. </w:t>
      </w:r>
    </w:p>
    <w:p w14:paraId="2755EECF" w14:textId="77777777" w:rsidR="00167F30" w:rsidRDefault="00167F30" w:rsidP="008927B4">
      <w:pPr>
        <w:pStyle w:val="BodyText"/>
        <w:rPr>
          <w:rFonts w:asciiTheme="minorHAnsi" w:hAnsiTheme="minorHAnsi"/>
        </w:rPr>
      </w:pPr>
    </w:p>
    <w:p w14:paraId="01F30488" w14:textId="4447F2D3" w:rsidR="00FD6FF2" w:rsidRPr="00FD6FF2" w:rsidRDefault="00FD6FF2" w:rsidP="008927B4">
      <w:pPr>
        <w:pStyle w:val="BodyText"/>
        <w:rPr>
          <w:rFonts w:asciiTheme="minorHAnsi" w:hAnsiTheme="minorHAnsi"/>
          <w:b/>
          <w:bCs/>
        </w:rPr>
      </w:pPr>
      <w:r w:rsidRPr="00FD6FF2">
        <w:rPr>
          <w:rFonts w:asciiTheme="minorHAnsi" w:hAnsiTheme="minorHAnsi"/>
          <w:b/>
          <w:bCs/>
          <w:u w:val="single"/>
        </w:rPr>
        <w:t xml:space="preserve">Table </w:t>
      </w:r>
      <w:r w:rsidR="00617F96">
        <w:rPr>
          <w:rFonts w:asciiTheme="minorHAnsi" w:hAnsiTheme="minorHAnsi"/>
          <w:b/>
          <w:bCs/>
          <w:u w:val="single"/>
        </w:rPr>
        <w:t>2</w:t>
      </w:r>
      <w:r w:rsidR="00993A37">
        <w:rPr>
          <w:rFonts w:asciiTheme="minorHAnsi" w:hAnsiTheme="minorHAnsi"/>
          <w:b/>
          <w:bCs/>
          <w:u w:val="single"/>
        </w:rPr>
        <w:t>5</w:t>
      </w:r>
      <w:r w:rsidRPr="00FD6FF2">
        <w:rPr>
          <w:rFonts w:asciiTheme="minorHAnsi" w:hAnsiTheme="minorHAnsi"/>
          <w:b/>
          <w:bCs/>
        </w:rPr>
        <w:t xml:space="preserve">: DFCI </w:t>
      </w:r>
      <w:r w:rsidR="009B776E">
        <w:rPr>
          <w:rFonts w:asciiTheme="minorHAnsi" w:hAnsiTheme="minorHAnsi"/>
          <w:b/>
          <w:bCs/>
        </w:rPr>
        <w:t xml:space="preserve">Adult </w:t>
      </w:r>
      <w:r w:rsidRPr="00FD6FF2">
        <w:rPr>
          <w:rFonts w:asciiTheme="minorHAnsi" w:hAnsiTheme="minorHAnsi"/>
          <w:b/>
          <w:bCs/>
        </w:rPr>
        <w:t>SDoH Screening</w:t>
      </w:r>
    </w:p>
    <w:tbl>
      <w:tblPr>
        <w:tblStyle w:val="TableGrid"/>
        <w:tblW w:w="0" w:type="auto"/>
        <w:tblLook w:val="04A0" w:firstRow="1" w:lastRow="0" w:firstColumn="1" w:lastColumn="0" w:noHBand="0" w:noVBand="1"/>
      </w:tblPr>
      <w:tblGrid>
        <w:gridCol w:w="2965"/>
        <w:gridCol w:w="3104"/>
        <w:gridCol w:w="3742"/>
      </w:tblGrid>
      <w:tr w:rsidR="00FD6FF2" w:rsidRPr="007C6FD8" w14:paraId="422AAFDA" w14:textId="77777777" w:rsidTr="007F338D">
        <w:trPr>
          <w:cantSplit/>
          <w:tblHeader/>
        </w:trPr>
        <w:tc>
          <w:tcPr>
            <w:tcW w:w="2965" w:type="dxa"/>
            <w:shd w:val="clear" w:color="auto" w:fill="DBE5F1" w:themeFill="accent1" w:themeFillTint="33"/>
          </w:tcPr>
          <w:p w14:paraId="0B371741" w14:textId="69AEE4A2" w:rsidR="00FD6FF2" w:rsidRPr="007C6FD8" w:rsidRDefault="00FD6FF2" w:rsidP="008927B4">
            <w:pPr>
              <w:pStyle w:val="BodyText"/>
              <w:rPr>
                <w:rFonts w:asciiTheme="minorHAnsi" w:hAnsiTheme="minorHAnsi"/>
                <w:sz w:val="22"/>
                <w:szCs w:val="22"/>
              </w:rPr>
            </w:pPr>
          </w:p>
        </w:tc>
        <w:tc>
          <w:tcPr>
            <w:tcW w:w="3104" w:type="dxa"/>
            <w:shd w:val="clear" w:color="auto" w:fill="DBE5F1" w:themeFill="accent1" w:themeFillTint="33"/>
          </w:tcPr>
          <w:p w14:paraId="5B83C3EC" w14:textId="61B37832" w:rsidR="00FD6FF2" w:rsidRPr="007C6FD8" w:rsidRDefault="003C2186" w:rsidP="00CA7788">
            <w:pPr>
              <w:pStyle w:val="BodyText"/>
              <w:jc w:val="center"/>
              <w:rPr>
                <w:rFonts w:asciiTheme="minorHAnsi" w:hAnsiTheme="minorHAnsi"/>
                <w:b/>
                <w:bCs/>
                <w:sz w:val="22"/>
                <w:szCs w:val="22"/>
              </w:rPr>
            </w:pPr>
            <w:r w:rsidRPr="007C6FD8">
              <w:rPr>
                <w:rFonts w:asciiTheme="minorHAnsi" w:hAnsiTheme="minorHAnsi"/>
                <w:b/>
                <w:bCs/>
                <w:sz w:val="22"/>
                <w:szCs w:val="22"/>
              </w:rPr>
              <w:t>Ambulatory Setting</w:t>
            </w:r>
          </w:p>
        </w:tc>
        <w:tc>
          <w:tcPr>
            <w:tcW w:w="0" w:type="auto"/>
            <w:shd w:val="clear" w:color="auto" w:fill="DBE5F1" w:themeFill="accent1" w:themeFillTint="33"/>
          </w:tcPr>
          <w:p w14:paraId="69000E1F" w14:textId="38299A56" w:rsidR="00FD6FF2" w:rsidRPr="007C6FD8" w:rsidRDefault="003C2186" w:rsidP="00CA7788">
            <w:pPr>
              <w:pStyle w:val="BodyText"/>
              <w:jc w:val="center"/>
              <w:rPr>
                <w:rFonts w:asciiTheme="minorHAnsi" w:hAnsiTheme="minorHAnsi"/>
                <w:b/>
                <w:bCs/>
                <w:sz w:val="22"/>
                <w:szCs w:val="22"/>
              </w:rPr>
            </w:pPr>
            <w:r w:rsidRPr="007C6FD8">
              <w:rPr>
                <w:rFonts w:asciiTheme="minorHAnsi" w:hAnsiTheme="minorHAnsi"/>
                <w:b/>
                <w:bCs/>
                <w:sz w:val="22"/>
                <w:szCs w:val="22"/>
              </w:rPr>
              <w:t>Inpatient Setting</w:t>
            </w:r>
          </w:p>
        </w:tc>
      </w:tr>
      <w:tr w:rsidR="00FD6FF2" w:rsidRPr="007C6FD8" w14:paraId="25A79566" w14:textId="77777777" w:rsidTr="007F338D">
        <w:trPr>
          <w:cantSplit/>
        </w:trPr>
        <w:tc>
          <w:tcPr>
            <w:tcW w:w="2965" w:type="dxa"/>
          </w:tcPr>
          <w:p w14:paraId="7AA909F2" w14:textId="3A3AE8E3" w:rsidR="00FD6FF2" w:rsidRPr="007C6FD8" w:rsidRDefault="003C2186" w:rsidP="008927B4">
            <w:pPr>
              <w:pStyle w:val="BodyText"/>
              <w:rPr>
                <w:rFonts w:asciiTheme="minorHAnsi" w:hAnsiTheme="minorHAnsi"/>
                <w:sz w:val="22"/>
                <w:szCs w:val="22"/>
              </w:rPr>
            </w:pPr>
            <w:r w:rsidRPr="007C6FD8">
              <w:rPr>
                <w:rFonts w:asciiTheme="minorHAnsi" w:hAnsiTheme="minorHAnsi"/>
                <w:sz w:val="22"/>
                <w:szCs w:val="22"/>
              </w:rPr>
              <w:t xml:space="preserve">Date started </w:t>
            </w:r>
          </w:p>
        </w:tc>
        <w:tc>
          <w:tcPr>
            <w:tcW w:w="3104" w:type="dxa"/>
          </w:tcPr>
          <w:p w14:paraId="41EF7B41" w14:textId="5ADCA2CD" w:rsidR="00FD6FF2" w:rsidRPr="007C6FD8" w:rsidRDefault="003C2186" w:rsidP="00C230D0">
            <w:pPr>
              <w:pStyle w:val="BodyText"/>
              <w:jc w:val="center"/>
              <w:rPr>
                <w:rFonts w:asciiTheme="minorHAnsi" w:hAnsiTheme="minorHAnsi"/>
                <w:sz w:val="22"/>
                <w:szCs w:val="22"/>
              </w:rPr>
            </w:pPr>
            <w:r w:rsidRPr="007C6FD8">
              <w:rPr>
                <w:rFonts w:asciiTheme="minorHAnsi" w:hAnsiTheme="minorHAnsi"/>
                <w:sz w:val="22"/>
                <w:szCs w:val="22"/>
              </w:rPr>
              <w:t>April 2023</w:t>
            </w:r>
          </w:p>
        </w:tc>
        <w:tc>
          <w:tcPr>
            <w:tcW w:w="0" w:type="auto"/>
          </w:tcPr>
          <w:p w14:paraId="1B584DA6" w14:textId="06A2705D" w:rsidR="00FD6FF2" w:rsidRPr="007C6FD8" w:rsidRDefault="003C2186" w:rsidP="00C230D0">
            <w:pPr>
              <w:pStyle w:val="BodyText"/>
              <w:jc w:val="center"/>
              <w:rPr>
                <w:rFonts w:asciiTheme="minorHAnsi" w:hAnsiTheme="minorHAnsi"/>
                <w:sz w:val="22"/>
                <w:szCs w:val="22"/>
              </w:rPr>
            </w:pPr>
            <w:r w:rsidRPr="007C6FD8">
              <w:rPr>
                <w:rFonts w:asciiTheme="minorHAnsi" w:hAnsiTheme="minorHAnsi"/>
                <w:sz w:val="22"/>
                <w:szCs w:val="22"/>
              </w:rPr>
              <w:t>January 2024</w:t>
            </w:r>
          </w:p>
        </w:tc>
      </w:tr>
      <w:tr w:rsidR="00FD6FF2" w:rsidRPr="007C6FD8" w14:paraId="7F037569" w14:textId="77777777" w:rsidTr="007F338D">
        <w:trPr>
          <w:cantSplit/>
        </w:trPr>
        <w:tc>
          <w:tcPr>
            <w:tcW w:w="2965" w:type="dxa"/>
          </w:tcPr>
          <w:p w14:paraId="291B3775" w14:textId="08C59DAB" w:rsidR="00FD6FF2" w:rsidRPr="007C6FD8" w:rsidRDefault="003C2186" w:rsidP="008927B4">
            <w:pPr>
              <w:pStyle w:val="BodyText"/>
              <w:rPr>
                <w:rFonts w:asciiTheme="minorHAnsi" w:hAnsiTheme="minorHAnsi"/>
                <w:sz w:val="22"/>
                <w:szCs w:val="22"/>
              </w:rPr>
            </w:pPr>
            <w:r w:rsidRPr="007C6FD8">
              <w:rPr>
                <w:rFonts w:asciiTheme="minorHAnsi" w:hAnsiTheme="minorHAnsi"/>
                <w:sz w:val="22"/>
                <w:szCs w:val="22"/>
              </w:rPr>
              <w:t xml:space="preserve">Domains Screened </w:t>
            </w:r>
          </w:p>
        </w:tc>
        <w:tc>
          <w:tcPr>
            <w:tcW w:w="3104" w:type="dxa"/>
          </w:tcPr>
          <w:p w14:paraId="142B4F56" w14:textId="20B0B09B" w:rsidR="00FD6FF2" w:rsidRPr="007C6FD8" w:rsidRDefault="003C2186" w:rsidP="00C230D0">
            <w:pPr>
              <w:pStyle w:val="BodyText"/>
              <w:rPr>
                <w:rFonts w:asciiTheme="minorHAnsi" w:hAnsiTheme="minorHAnsi"/>
                <w:sz w:val="22"/>
                <w:szCs w:val="22"/>
              </w:rPr>
            </w:pPr>
            <w:r w:rsidRPr="007C6FD8">
              <w:rPr>
                <w:rFonts w:asciiTheme="minorHAnsi" w:hAnsiTheme="minorHAnsi"/>
                <w:sz w:val="22"/>
                <w:szCs w:val="22"/>
              </w:rPr>
              <w:t>Food security, utilities, housing security, paying bills, medication cost,</w:t>
            </w:r>
            <w:r w:rsidR="007C6FD8">
              <w:rPr>
                <w:rFonts w:asciiTheme="minorHAnsi" w:hAnsiTheme="minorHAnsi"/>
                <w:sz w:val="22"/>
                <w:szCs w:val="22"/>
              </w:rPr>
              <w:t xml:space="preserve"> </w:t>
            </w:r>
            <w:r w:rsidRPr="007C6FD8">
              <w:rPr>
                <w:rFonts w:asciiTheme="minorHAnsi" w:hAnsiTheme="minorHAnsi"/>
                <w:sz w:val="22"/>
                <w:szCs w:val="22"/>
              </w:rPr>
              <w:t>transportation needs, employment, family and childcare, and education</w:t>
            </w:r>
          </w:p>
        </w:tc>
        <w:tc>
          <w:tcPr>
            <w:tcW w:w="0" w:type="auto"/>
          </w:tcPr>
          <w:p w14:paraId="5C8F42D3" w14:textId="4888E3C6" w:rsidR="00FD6FF2" w:rsidRPr="007C6FD8" w:rsidRDefault="003C2186" w:rsidP="00C230D0">
            <w:pPr>
              <w:pStyle w:val="BodyText"/>
              <w:rPr>
                <w:rFonts w:asciiTheme="minorHAnsi" w:hAnsiTheme="minorHAnsi"/>
                <w:sz w:val="22"/>
                <w:szCs w:val="22"/>
              </w:rPr>
            </w:pPr>
            <w:r w:rsidRPr="007C6FD8">
              <w:rPr>
                <w:rFonts w:asciiTheme="minorHAnsi" w:hAnsiTheme="minorHAnsi"/>
                <w:sz w:val="22"/>
                <w:szCs w:val="22"/>
              </w:rPr>
              <w:t>Digital access, utilities, food security, transportation needs, housing security, medication cost, education, and employment</w:t>
            </w:r>
          </w:p>
        </w:tc>
      </w:tr>
      <w:tr w:rsidR="00FD6FF2" w:rsidRPr="007C6FD8" w14:paraId="04BCB2DA" w14:textId="77777777" w:rsidTr="007F338D">
        <w:trPr>
          <w:cantSplit/>
          <w:trHeight w:val="371"/>
        </w:trPr>
        <w:tc>
          <w:tcPr>
            <w:tcW w:w="2965" w:type="dxa"/>
          </w:tcPr>
          <w:p w14:paraId="243F73E4" w14:textId="77777777" w:rsidR="007C6FD8" w:rsidRDefault="00EF044B" w:rsidP="008927B4">
            <w:pPr>
              <w:pStyle w:val="BodyText"/>
              <w:rPr>
                <w:rFonts w:asciiTheme="minorHAnsi" w:hAnsiTheme="minorHAnsi"/>
                <w:sz w:val="22"/>
                <w:szCs w:val="22"/>
              </w:rPr>
            </w:pPr>
            <w:r w:rsidRPr="007C6FD8">
              <w:rPr>
                <w:rFonts w:asciiTheme="minorHAnsi" w:hAnsiTheme="minorHAnsi"/>
                <w:sz w:val="22"/>
                <w:szCs w:val="22"/>
              </w:rPr>
              <w:t xml:space="preserve">Patients Screened </w:t>
            </w:r>
          </w:p>
          <w:p w14:paraId="42BC3867" w14:textId="1086F3B0" w:rsidR="00FD6FF2" w:rsidRPr="007C6FD8" w:rsidRDefault="00EF044B" w:rsidP="008927B4">
            <w:pPr>
              <w:pStyle w:val="BodyText"/>
              <w:rPr>
                <w:rFonts w:asciiTheme="minorHAnsi" w:hAnsiTheme="minorHAnsi"/>
                <w:sz w:val="22"/>
                <w:szCs w:val="22"/>
              </w:rPr>
            </w:pPr>
            <w:r w:rsidRPr="007C6FD8">
              <w:rPr>
                <w:rFonts w:asciiTheme="minorHAnsi" w:hAnsiTheme="minorHAnsi"/>
                <w:sz w:val="22"/>
                <w:szCs w:val="22"/>
              </w:rPr>
              <w:t>(Dec 2024 to December 2025)</w:t>
            </w:r>
          </w:p>
        </w:tc>
        <w:tc>
          <w:tcPr>
            <w:tcW w:w="3104" w:type="dxa"/>
          </w:tcPr>
          <w:p w14:paraId="49CC999D" w14:textId="335887A4" w:rsidR="00FD6FF2" w:rsidRPr="007C6FD8" w:rsidRDefault="00EF044B" w:rsidP="00C230D0">
            <w:pPr>
              <w:pStyle w:val="BodyText"/>
              <w:jc w:val="center"/>
              <w:rPr>
                <w:rFonts w:asciiTheme="minorHAnsi" w:hAnsiTheme="minorHAnsi"/>
                <w:sz w:val="22"/>
                <w:szCs w:val="22"/>
              </w:rPr>
            </w:pPr>
            <w:r w:rsidRPr="007C6FD8">
              <w:rPr>
                <w:rFonts w:asciiTheme="minorHAnsi" w:hAnsiTheme="minorHAnsi"/>
                <w:sz w:val="22"/>
                <w:szCs w:val="22"/>
              </w:rPr>
              <w:t>28,767</w:t>
            </w:r>
          </w:p>
        </w:tc>
        <w:tc>
          <w:tcPr>
            <w:tcW w:w="0" w:type="auto"/>
          </w:tcPr>
          <w:p w14:paraId="492DFFD7" w14:textId="39F38DA6" w:rsidR="00FD6FF2" w:rsidRPr="007C6FD8" w:rsidRDefault="00EF044B" w:rsidP="00C230D0">
            <w:pPr>
              <w:pStyle w:val="BodyText"/>
              <w:jc w:val="center"/>
              <w:rPr>
                <w:rFonts w:asciiTheme="minorHAnsi" w:hAnsiTheme="minorHAnsi"/>
                <w:sz w:val="22"/>
                <w:szCs w:val="22"/>
              </w:rPr>
            </w:pPr>
            <w:r w:rsidRPr="007C6FD8">
              <w:rPr>
                <w:rFonts w:asciiTheme="minorHAnsi" w:hAnsiTheme="minorHAnsi"/>
                <w:sz w:val="22"/>
                <w:szCs w:val="22"/>
              </w:rPr>
              <w:t>1,247</w:t>
            </w:r>
          </w:p>
        </w:tc>
      </w:tr>
      <w:tr w:rsidR="00FD6FF2" w:rsidRPr="007C6FD8" w14:paraId="78D9D7EF" w14:textId="77777777" w:rsidTr="007F338D">
        <w:trPr>
          <w:cantSplit/>
          <w:trHeight w:val="362"/>
        </w:trPr>
        <w:tc>
          <w:tcPr>
            <w:tcW w:w="2965" w:type="dxa"/>
          </w:tcPr>
          <w:p w14:paraId="25846D8B" w14:textId="77777777" w:rsidR="007C6FD8" w:rsidRDefault="0030582A" w:rsidP="008927B4">
            <w:pPr>
              <w:pStyle w:val="BodyText"/>
              <w:rPr>
                <w:rFonts w:asciiTheme="minorHAnsi" w:hAnsiTheme="minorHAnsi"/>
                <w:sz w:val="22"/>
                <w:szCs w:val="22"/>
              </w:rPr>
            </w:pPr>
            <w:r w:rsidRPr="007C6FD8">
              <w:rPr>
                <w:rFonts w:asciiTheme="minorHAnsi" w:hAnsiTheme="minorHAnsi"/>
                <w:sz w:val="22"/>
                <w:szCs w:val="22"/>
              </w:rPr>
              <w:lastRenderedPageBreak/>
              <w:t xml:space="preserve">Patients </w:t>
            </w:r>
            <w:r w:rsidR="00EF044B" w:rsidRPr="007C6FD8">
              <w:rPr>
                <w:rFonts w:asciiTheme="minorHAnsi" w:hAnsiTheme="minorHAnsi"/>
                <w:sz w:val="22"/>
                <w:szCs w:val="22"/>
              </w:rPr>
              <w:t xml:space="preserve">reporting </w:t>
            </w:r>
          </w:p>
          <w:p w14:paraId="5625FD35" w14:textId="40AC1A94" w:rsidR="00FD6FF2" w:rsidRPr="007C6FD8" w:rsidRDefault="00EF044B" w:rsidP="008927B4">
            <w:pPr>
              <w:pStyle w:val="BodyText"/>
              <w:rPr>
                <w:rFonts w:asciiTheme="minorHAnsi" w:hAnsiTheme="minorHAnsi"/>
                <w:sz w:val="22"/>
                <w:szCs w:val="22"/>
              </w:rPr>
            </w:pPr>
            <w:r w:rsidRPr="007C6FD8">
              <w:rPr>
                <w:rFonts w:asciiTheme="minorHAnsi" w:hAnsiTheme="minorHAnsi"/>
                <w:sz w:val="22"/>
                <w:szCs w:val="22"/>
              </w:rPr>
              <w:t>one o</w:t>
            </w:r>
            <w:r w:rsidR="007C6FD8">
              <w:rPr>
                <w:rFonts w:asciiTheme="minorHAnsi" w:hAnsiTheme="minorHAnsi"/>
                <w:sz w:val="22"/>
                <w:szCs w:val="22"/>
              </w:rPr>
              <w:t>r</w:t>
            </w:r>
            <w:r w:rsidRPr="007C6FD8">
              <w:rPr>
                <w:rFonts w:asciiTheme="minorHAnsi" w:hAnsiTheme="minorHAnsi"/>
                <w:sz w:val="22"/>
                <w:szCs w:val="22"/>
              </w:rPr>
              <w:t xml:space="preserve"> more SDoH </w:t>
            </w:r>
            <w:r w:rsidR="0030582A" w:rsidRPr="007C6FD8">
              <w:rPr>
                <w:rFonts w:asciiTheme="minorHAnsi" w:hAnsiTheme="minorHAnsi"/>
                <w:sz w:val="22"/>
                <w:szCs w:val="22"/>
              </w:rPr>
              <w:t>needs</w:t>
            </w:r>
          </w:p>
        </w:tc>
        <w:tc>
          <w:tcPr>
            <w:tcW w:w="3104" w:type="dxa"/>
          </w:tcPr>
          <w:p w14:paraId="5FA9E00E" w14:textId="77777777" w:rsidR="007C6FD8" w:rsidRDefault="007C6FD8" w:rsidP="00C230D0">
            <w:pPr>
              <w:pStyle w:val="BodyText"/>
              <w:jc w:val="center"/>
              <w:rPr>
                <w:rFonts w:asciiTheme="minorHAnsi" w:hAnsiTheme="minorHAnsi"/>
                <w:sz w:val="22"/>
                <w:szCs w:val="22"/>
              </w:rPr>
            </w:pPr>
          </w:p>
          <w:p w14:paraId="5092A584" w14:textId="24E499C3" w:rsidR="00FD6FF2" w:rsidRDefault="0030582A" w:rsidP="00C230D0">
            <w:pPr>
              <w:pStyle w:val="BodyText"/>
              <w:jc w:val="center"/>
              <w:rPr>
                <w:rFonts w:asciiTheme="minorHAnsi" w:hAnsiTheme="minorHAnsi"/>
                <w:sz w:val="22"/>
                <w:szCs w:val="22"/>
              </w:rPr>
            </w:pPr>
            <w:r w:rsidRPr="007C6FD8">
              <w:rPr>
                <w:rFonts w:asciiTheme="minorHAnsi" w:hAnsiTheme="minorHAnsi"/>
                <w:sz w:val="22"/>
                <w:szCs w:val="22"/>
              </w:rPr>
              <w:t>16%</w:t>
            </w:r>
          </w:p>
          <w:p w14:paraId="0A6FB3F2" w14:textId="5F1910E4" w:rsidR="007C6FD8" w:rsidRPr="007C6FD8" w:rsidRDefault="007C6FD8" w:rsidP="00C230D0">
            <w:pPr>
              <w:pStyle w:val="BodyText"/>
              <w:jc w:val="center"/>
              <w:rPr>
                <w:rFonts w:asciiTheme="minorHAnsi" w:hAnsiTheme="minorHAnsi"/>
                <w:sz w:val="22"/>
                <w:szCs w:val="22"/>
              </w:rPr>
            </w:pPr>
          </w:p>
        </w:tc>
        <w:tc>
          <w:tcPr>
            <w:tcW w:w="0" w:type="auto"/>
          </w:tcPr>
          <w:p w14:paraId="24705DA6" w14:textId="77777777" w:rsidR="007C6FD8" w:rsidRDefault="007C6FD8" w:rsidP="00C230D0">
            <w:pPr>
              <w:pStyle w:val="BodyText"/>
              <w:jc w:val="center"/>
              <w:rPr>
                <w:rFonts w:asciiTheme="minorHAnsi" w:hAnsiTheme="minorHAnsi"/>
                <w:sz w:val="22"/>
                <w:szCs w:val="22"/>
              </w:rPr>
            </w:pPr>
          </w:p>
          <w:p w14:paraId="7A570EA5" w14:textId="05C55F1B" w:rsidR="00FD6FF2" w:rsidRPr="007C6FD8" w:rsidRDefault="0030582A" w:rsidP="00C230D0">
            <w:pPr>
              <w:pStyle w:val="BodyText"/>
              <w:jc w:val="center"/>
              <w:rPr>
                <w:rFonts w:asciiTheme="minorHAnsi" w:hAnsiTheme="minorHAnsi"/>
                <w:sz w:val="22"/>
                <w:szCs w:val="22"/>
              </w:rPr>
            </w:pPr>
            <w:r w:rsidRPr="007C6FD8">
              <w:rPr>
                <w:rFonts w:asciiTheme="minorHAnsi" w:hAnsiTheme="minorHAnsi"/>
                <w:sz w:val="22"/>
                <w:szCs w:val="22"/>
              </w:rPr>
              <w:t>13%</w:t>
            </w:r>
          </w:p>
        </w:tc>
      </w:tr>
      <w:tr w:rsidR="00FD6FF2" w:rsidRPr="007C6FD8" w14:paraId="1EF05860" w14:textId="77777777" w:rsidTr="007F338D">
        <w:trPr>
          <w:cantSplit/>
        </w:trPr>
        <w:tc>
          <w:tcPr>
            <w:tcW w:w="2965" w:type="dxa"/>
          </w:tcPr>
          <w:p w14:paraId="583DDFBD" w14:textId="7C8742FB" w:rsidR="00FD6FF2" w:rsidRPr="007C6FD8" w:rsidRDefault="0030582A" w:rsidP="008927B4">
            <w:pPr>
              <w:pStyle w:val="BodyText"/>
              <w:rPr>
                <w:rFonts w:asciiTheme="minorHAnsi" w:hAnsiTheme="minorHAnsi"/>
                <w:sz w:val="22"/>
                <w:szCs w:val="22"/>
              </w:rPr>
            </w:pPr>
            <w:r w:rsidRPr="007C6FD8">
              <w:rPr>
                <w:rFonts w:asciiTheme="minorHAnsi" w:hAnsiTheme="minorHAnsi"/>
                <w:sz w:val="22"/>
                <w:szCs w:val="22"/>
              </w:rPr>
              <w:t xml:space="preserve">Most frequent SDoH need reported </w:t>
            </w:r>
          </w:p>
        </w:tc>
        <w:tc>
          <w:tcPr>
            <w:tcW w:w="3104" w:type="dxa"/>
          </w:tcPr>
          <w:p w14:paraId="442DB36F" w14:textId="023AB1F1" w:rsidR="00FD6FF2" w:rsidRPr="007C6FD8" w:rsidRDefault="0030582A" w:rsidP="00C230D0">
            <w:pPr>
              <w:pStyle w:val="BodyText"/>
              <w:rPr>
                <w:rFonts w:asciiTheme="minorHAnsi" w:hAnsiTheme="minorHAnsi"/>
                <w:sz w:val="22"/>
                <w:szCs w:val="22"/>
              </w:rPr>
            </w:pPr>
            <w:r w:rsidRPr="007C6FD8">
              <w:rPr>
                <w:rFonts w:asciiTheme="minorHAnsi" w:hAnsiTheme="minorHAnsi"/>
                <w:sz w:val="22"/>
                <w:szCs w:val="22"/>
              </w:rPr>
              <w:t>Food insecurity: 5%</w:t>
            </w:r>
          </w:p>
          <w:p w14:paraId="0C0C1722" w14:textId="280B8338" w:rsidR="0030582A" w:rsidRPr="007C6FD8" w:rsidRDefault="0030582A" w:rsidP="00C230D0">
            <w:pPr>
              <w:pStyle w:val="BodyText"/>
              <w:rPr>
                <w:rFonts w:asciiTheme="minorHAnsi" w:hAnsiTheme="minorHAnsi"/>
                <w:sz w:val="22"/>
                <w:szCs w:val="22"/>
              </w:rPr>
            </w:pPr>
            <w:r w:rsidRPr="007C6FD8">
              <w:rPr>
                <w:rFonts w:asciiTheme="minorHAnsi" w:hAnsiTheme="minorHAnsi"/>
                <w:sz w:val="22"/>
                <w:szCs w:val="22"/>
              </w:rPr>
              <w:t>Utility Costs:</w:t>
            </w:r>
            <w:r w:rsidR="007C6FD8">
              <w:rPr>
                <w:rFonts w:asciiTheme="minorHAnsi" w:hAnsiTheme="minorHAnsi"/>
                <w:sz w:val="22"/>
                <w:szCs w:val="22"/>
              </w:rPr>
              <w:t xml:space="preserve"> </w:t>
            </w:r>
            <w:r w:rsidRPr="007C6FD8">
              <w:rPr>
                <w:rFonts w:asciiTheme="minorHAnsi" w:hAnsiTheme="minorHAnsi"/>
                <w:sz w:val="22"/>
                <w:szCs w:val="22"/>
              </w:rPr>
              <w:t>5%</w:t>
            </w:r>
          </w:p>
          <w:p w14:paraId="58BD2F7F" w14:textId="491C1B4E" w:rsidR="0030582A" w:rsidRPr="007C6FD8" w:rsidRDefault="0030582A" w:rsidP="00C230D0">
            <w:pPr>
              <w:pStyle w:val="BodyText"/>
              <w:rPr>
                <w:rFonts w:asciiTheme="minorHAnsi" w:hAnsiTheme="minorHAnsi"/>
                <w:sz w:val="22"/>
                <w:szCs w:val="22"/>
              </w:rPr>
            </w:pPr>
            <w:r w:rsidRPr="007C6FD8">
              <w:rPr>
                <w:rFonts w:asciiTheme="minorHAnsi" w:hAnsiTheme="minorHAnsi"/>
                <w:sz w:val="22"/>
                <w:szCs w:val="22"/>
              </w:rPr>
              <w:t>Housing Security: 4%</w:t>
            </w:r>
          </w:p>
        </w:tc>
        <w:tc>
          <w:tcPr>
            <w:tcW w:w="0" w:type="auto"/>
          </w:tcPr>
          <w:p w14:paraId="2C228713" w14:textId="502BB94E" w:rsidR="00FD6FF2" w:rsidRPr="007C6FD8" w:rsidRDefault="00A67028" w:rsidP="00C230D0">
            <w:pPr>
              <w:pStyle w:val="BodyText"/>
              <w:rPr>
                <w:rFonts w:asciiTheme="minorHAnsi" w:hAnsiTheme="minorHAnsi"/>
                <w:sz w:val="22"/>
                <w:szCs w:val="22"/>
              </w:rPr>
            </w:pPr>
            <w:r w:rsidRPr="007C6FD8">
              <w:rPr>
                <w:rFonts w:asciiTheme="minorHAnsi" w:hAnsiTheme="minorHAnsi"/>
                <w:sz w:val="22"/>
                <w:szCs w:val="22"/>
              </w:rPr>
              <w:t>Digital Access: 5%</w:t>
            </w:r>
          </w:p>
          <w:p w14:paraId="74C93A97" w14:textId="05C7D829" w:rsidR="00A67028" w:rsidRPr="007C6FD8" w:rsidRDefault="00A67028" w:rsidP="00C230D0">
            <w:pPr>
              <w:pStyle w:val="BodyText"/>
              <w:rPr>
                <w:rFonts w:asciiTheme="minorHAnsi" w:hAnsiTheme="minorHAnsi"/>
                <w:sz w:val="22"/>
                <w:szCs w:val="22"/>
              </w:rPr>
            </w:pPr>
            <w:r w:rsidRPr="007C6FD8">
              <w:rPr>
                <w:rFonts w:asciiTheme="minorHAnsi" w:hAnsiTheme="minorHAnsi"/>
                <w:sz w:val="22"/>
                <w:szCs w:val="22"/>
              </w:rPr>
              <w:t xml:space="preserve">Utilities: </w:t>
            </w:r>
            <w:r w:rsidR="00545525" w:rsidRPr="007C6FD8">
              <w:rPr>
                <w:rFonts w:asciiTheme="minorHAnsi" w:hAnsiTheme="minorHAnsi"/>
                <w:sz w:val="22"/>
                <w:szCs w:val="22"/>
              </w:rPr>
              <w:t>3%</w:t>
            </w:r>
          </w:p>
          <w:p w14:paraId="6CD4132B" w14:textId="0106D69C" w:rsidR="00545525" w:rsidRPr="007C6FD8" w:rsidRDefault="00545525" w:rsidP="00C230D0">
            <w:pPr>
              <w:pStyle w:val="BodyText"/>
              <w:rPr>
                <w:rFonts w:asciiTheme="minorHAnsi" w:hAnsiTheme="minorHAnsi"/>
                <w:sz w:val="22"/>
                <w:szCs w:val="22"/>
              </w:rPr>
            </w:pPr>
            <w:r w:rsidRPr="007C6FD8">
              <w:rPr>
                <w:rFonts w:asciiTheme="minorHAnsi" w:hAnsiTheme="minorHAnsi"/>
                <w:sz w:val="22"/>
                <w:szCs w:val="22"/>
              </w:rPr>
              <w:t>Food Insecurity: 3%</w:t>
            </w:r>
          </w:p>
        </w:tc>
      </w:tr>
    </w:tbl>
    <w:p w14:paraId="1B9943EA" w14:textId="77777777" w:rsidR="00D97F2C" w:rsidRDefault="00D97F2C" w:rsidP="008927B4">
      <w:pPr>
        <w:pStyle w:val="BodyText"/>
        <w:rPr>
          <w:rFonts w:asciiTheme="minorHAnsi" w:hAnsiTheme="minorHAnsi"/>
        </w:rPr>
      </w:pPr>
    </w:p>
    <w:p w14:paraId="6A7A0F08" w14:textId="5E54F564" w:rsidR="00C7159B" w:rsidRDefault="002B1C6B" w:rsidP="008927B4">
      <w:pPr>
        <w:pStyle w:val="BodyText"/>
        <w:rPr>
          <w:rFonts w:asciiTheme="minorHAnsi" w:hAnsiTheme="minorHAnsi"/>
        </w:rPr>
      </w:pPr>
      <w:r w:rsidRPr="002B1C6B">
        <w:rPr>
          <w:rFonts w:asciiTheme="minorHAnsi" w:hAnsiTheme="minorHAnsi"/>
        </w:rPr>
        <w:t>The Applicant states that patients reporting SDoH needs in the ambulatory setting are referred to the Applicant’s Adult Resource Office, where staff provide tailored support to patients, connecting them with internal and external community-based resources.</w:t>
      </w:r>
      <w:r>
        <w:rPr>
          <w:rFonts w:asciiTheme="minorHAnsi" w:hAnsiTheme="minorHAnsi"/>
        </w:rPr>
        <w:t xml:space="preserve"> </w:t>
      </w:r>
      <w:r w:rsidR="003447A6">
        <w:rPr>
          <w:rFonts w:asciiTheme="minorHAnsi" w:hAnsiTheme="minorHAnsi"/>
        </w:rPr>
        <w:t xml:space="preserve">In the inpatient setting, patients reporting SDoH needs prior to discharge are provided support by inpatient nursing teams, care coordination staff, and/or social work. </w:t>
      </w:r>
    </w:p>
    <w:p w14:paraId="75C849CD" w14:textId="77777777" w:rsidR="00C7159B" w:rsidRDefault="00C7159B" w:rsidP="008927B4">
      <w:pPr>
        <w:pStyle w:val="BodyText"/>
        <w:rPr>
          <w:rFonts w:asciiTheme="minorHAnsi" w:hAnsiTheme="minorHAnsi"/>
        </w:rPr>
      </w:pPr>
    </w:p>
    <w:p w14:paraId="5987B57E" w14:textId="257109E3" w:rsidR="00C7159B" w:rsidRDefault="00C7159B" w:rsidP="008927B4">
      <w:pPr>
        <w:pStyle w:val="BodyText"/>
        <w:rPr>
          <w:rFonts w:asciiTheme="minorHAnsi" w:hAnsiTheme="minorHAnsi"/>
        </w:rPr>
      </w:pPr>
      <w:r w:rsidRPr="00C7159B">
        <w:rPr>
          <w:rFonts w:asciiTheme="minorHAnsi" w:hAnsiTheme="minorHAnsi"/>
        </w:rPr>
        <w:t>The Applicant</w:t>
      </w:r>
      <w:r>
        <w:rPr>
          <w:rFonts w:asciiTheme="minorHAnsi" w:hAnsiTheme="minorHAnsi"/>
        </w:rPr>
        <w:t xml:space="preserve"> is engaging in ongoing work to implement SDoH screening for its pediatric patients in both the ambulatory and the inpatient setting. The Applicant anticipates having a SDoH screening program in place for the ambulatory setting by Fall of 2026 to screen pediatric patients and families for SDoH in the Applicant’s Jimmy Fund Clinic. BCH has implemented a SDoH screening process for the inpatient setting</w:t>
      </w:r>
      <w:r w:rsidR="001F036A">
        <w:rPr>
          <w:rFonts w:asciiTheme="minorHAnsi" w:hAnsiTheme="minorHAnsi"/>
        </w:rPr>
        <w:t xml:space="preserve">, which the Applicant </w:t>
      </w:r>
      <w:r>
        <w:rPr>
          <w:rFonts w:asciiTheme="minorHAnsi" w:hAnsiTheme="minorHAnsi"/>
        </w:rPr>
        <w:t>is working to ensure align</w:t>
      </w:r>
      <w:r w:rsidR="004C057B">
        <w:rPr>
          <w:rFonts w:asciiTheme="minorHAnsi" w:hAnsiTheme="minorHAnsi"/>
        </w:rPr>
        <w:t>s with</w:t>
      </w:r>
      <w:r>
        <w:rPr>
          <w:rFonts w:asciiTheme="minorHAnsi" w:hAnsiTheme="minorHAnsi"/>
        </w:rPr>
        <w:t xml:space="preserve"> its ambulatory workflows</w:t>
      </w:r>
      <w:r w:rsidR="00CE25D1">
        <w:rPr>
          <w:rFonts w:asciiTheme="minorHAnsi" w:hAnsiTheme="minorHAnsi"/>
        </w:rPr>
        <w:t>.</w:t>
      </w:r>
      <w:r>
        <w:rPr>
          <w:rFonts w:asciiTheme="minorHAnsi" w:hAnsiTheme="minorHAnsi"/>
        </w:rPr>
        <w:t xml:space="preserve"> </w:t>
      </w:r>
      <w:r w:rsidR="00CE25D1">
        <w:rPr>
          <w:rFonts w:asciiTheme="minorHAnsi" w:hAnsiTheme="minorHAnsi"/>
        </w:rPr>
        <w:t>S</w:t>
      </w:r>
      <w:r>
        <w:rPr>
          <w:rFonts w:asciiTheme="minorHAnsi" w:hAnsiTheme="minorHAnsi"/>
        </w:rPr>
        <w:t xml:space="preserve">DoH screening in both the ambulatory and inpatient setting will include the following domains: housing, utilities, transportation, food, education, and medication costs. </w:t>
      </w:r>
    </w:p>
    <w:p w14:paraId="4F9F56C9" w14:textId="77777777" w:rsidR="00C7159B" w:rsidRDefault="00C7159B" w:rsidP="008927B4">
      <w:pPr>
        <w:pStyle w:val="BodyText"/>
        <w:rPr>
          <w:rFonts w:asciiTheme="minorHAnsi" w:hAnsiTheme="minorHAnsi"/>
        </w:rPr>
      </w:pPr>
    </w:p>
    <w:p w14:paraId="40796B0C" w14:textId="123067D9" w:rsidR="003447A6" w:rsidRDefault="003447A6" w:rsidP="008927B4">
      <w:pPr>
        <w:pStyle w:val="BodyText"/>
        <w:rPr>
          <w:rFonts w:asciiTheme="minorHAnsi" w:hAnsiTheme="minorHAnsi"/>
        </w:rPr>
      </w:pPr>
      <w:r>
        <w:rPr>
          <w:rFonts w:asciiTheme="minorHAnsi" w:hAnsiTheme="minorHAnsi"/>
        </w:rPr>
        <w:t xml:space="preserve">The Applicant states that </w:t>
      </w:r>
      <w:r w:rsidR="00C7159B">
        <w:rPr>
          <w:rFonts w:asciiTheme="minorHAnsi" w:hAnsiTheme="minorHAnsi"/>
        </w:rPr>
        <w:t>both adult and pediatric patients</w:t>
      </w:r>
      <w:r>
        <w:rPr>
          <w:rFonts w:asciiTheme="minorHAnsi" w:hAnsiTheme="minorHAnsi"/>
        </w:rPr>
        <w:t xml:space="preserve"> of the proposed Center will be screened for SDoH using the Applicant’s existing</w:t>
      </w:r>
      <w:r w:rsidR="007759CF">
        <w:rPr>
          <w:rFonts w:asciiTheme="minorHAnsi" w:hAnsiTheme="minorHAnsi"/>
        </w:rPr>
        <w:t xml:space="preserve"> (adult) </w:t>
      </w:r>
      <w:r>
        <w:rPr>
          <w:rFonts w:asciiTheme="minorHAnsi" w:hAnsiTheme="minorHAnsi"/>
        </w:rPr>
        <w:t>or planned</w:t>
      </w:r>
      <w:r w:rsidR="007759CF">
        <w:rPr>
          <w:rFonts w:asciiTheme="minorHAnsi" w:hAnsiTheme="minorHAnsi"/>
        </w:rPr>
        <w:t xml:space="preserve"> (pediatric)</w:t>
      </w:r>
      <w:r>
        <w:rPr>
          <w:rFonts w:asciiTheme="minorHAnsi" w:hAnsiTheme="minorHAnsi"/>
        </w:rPr>
        <w:t xml:space="preserve"> processes. Patients will be provided with resources using existing referral pathways. </w:t>
      </w:r>
      <w:r w:rsidR="00DF413B">
        <w:rPr>
          <w:rFonts w:asciiTheme="minorHAnsi" w:hAnsiTheme="minorHAnsi"/>
        </w:rPr>
        <w:t>The Applicant</w:t>
      </w:r>
      <w:r w:rsidR="007759CF">
        <w:rPr>
          <w:rFonts w:asciiTheme="minorHAnsi" w:hAnsiTheme="minorHAnsi"/>
        </w:rPr>
        <w:t xml:space="preserve"> plans to</w:t>
      </w:r>
      <w:r w:rsidR="00DF413B">
        <w:rPr>
          <w:rFonts w:asciiTheme="minorHAnsi" w:hAnsiTheme="minorHAnsi"/>
        </w:rPr>
        <w:t xml:space="preserve"> evaluate gaps in SDoH for patients of the Center and will expand screening accordingly to ensure </w:t>
      </w:r>
      <w:r w:rsidR="00F6323B">
        <w:rPr>
          <w:rFonts w:asciiTheme="minorHAnsi" w:hAnsiTheme="minorHAnsi"/>
        </w:rPr>
        <w:t xml:space="preserve">that the Center’s patients are receiving the same level of support as patients in the Applicant’s other ambulatory settings. </w:t>
      </w:r>
    </w:p>
    <w:p w14:paraId="7286BD51" w14:textId="77777777" w:rsidR="00682D04" w:rsidRDefault="00682D04" w:rsidP="008927B4">
      <w:pPr>
        <w:pStyle w:val="BodyText"/>
        <w:rPr>
          <w:rFonts w:asciiTheme="minorHAnsi" w:hAnsiTheme="minorHAnsi"/>
        </w:rPr>
      </w:pPr>
    </w:p>
    <w:p w14:paraId="6E55425C" w14:textId="77777777" w:rsidR="00682D04" w:rsidRDefault="00682D04" w:rsidP="00682D04">
      <w:r>
        <w:t xml:space="preserve">The Applicant offers its patients a comprehensive array of supportive resources and services that support care coordination that includes patient navigators, resource specialists, social workers, clinical nurse navigators, and others, who often work together to help address patient barriers to high-quality care including cultural, linguistic, and transportation barriers. </w:t>
      </w:r>
    </w:p>
    <w:p w14:paraId="57DFBB88" w14:textId="77777777" w:rsidR="00682D04" w:rsidRDefault="00682D04" w:rsidP="00682D04">
      <w:pPr>
        <w:pStyle w:val="ListParagraph"/>
        <w:numPr>
          <w:ilvl w:val="0"/>
          <w:numId w:val="10"/>
        </w:numPr>
      </w:pPr>
      <w:r w:rsidRPr="00FC667A">
        <w:rPr>
          <w:i/>
          <w:iCs/>
        </w:rPr>
        <w:t>Patient navigation</w:t>
      </w:r>
      <w:r w:rsidRPr="000A15F7">
        <w:t xml:space="preserve"> provides a wide range of support to help people with cance</w:t>
      </w:r>
      <w:r>
        <w:t>r</w:t>
      </w:r>
      <w:r w:rsidRPr="000A15F7">
        <w:t xml:space="preserve"> overcome barriers to obtain optimal and timely cancer services and effectively use available care resources</w:t>
      </w:r>
      <w:r>
        <w:t xml:space="preserve"> to improve their cancer outcomes</w:t>
      </w:r>
      <w:r w:rsidRPr="000A15F7">
        <w:t>.</w:t>
      </w:r>
      <w:r w:rsidRPr="000A15F7">
        <w:rPr>
          <w:vertAlign w:val="superscript"/>
        </w:rPr>
        <w:endnoteReference w:id="121"/>
      </w:r>
      <w:r w:rsidRPr="00BE29DF">
        <w:rPr>
          <w:vertAlign w:val="superscript"/>
        </w:rPr>
        <w:t>,</w:t>
      </w:r>
      <w:r>
        <w:rPr>
          <w:rStyle w:val="EndnoteReference"/>
        </w:rPr>
        <w:endnoteReference w:id="122"/>
      </w:r>
      <w:r>
        <w:t xml:space="preserve"> Patient navigators can work with patients with different types of cancer on one or more phases of the cancer continuum – the phases through which a person moves to prevent and control cancer- </w:t>
      </w:r>
      <w:r w:rsidRPr="003168DE">
        <w:t>from prevention to treatment to survivorship</w:t>
      </w:r>
      <w:r>
        <w:t>.</w:t>
      </w:r>
      <w:r w:rsidRPr="009B4B7A">
        <w:rPr>
          <w:vertAlign w:val="superscript"/>
        </w:rPr>
        <w:endnoteReference w:id="123"/>
      </w:r>
      <w:r w:rsidRPr="009B4B7A">
        <w:t xml:space="preserve"> </w:t>
      </w:r>
      <w:r>
        <w:t xml:space="preserve">Patients facing barriers to accessing cancer care may delay or forgo receiving cancer screening and treatment which can lead to adverse outcomes, including one study reporting an association between a four-week treatment delay in </w:t>
      </w:r>
      <w:r>
        <w:lastRenderedPageBreak/>
        <w:t>radiotherapy and increased mortality.</w:t>
      </w:r>
      <w:r>
        <w:rPr>
          <w:rStyle w:val="EndnoteReference"/>
        </w:rPr>
        <w:endnoteReference w:id="124"/>
      </w:r>
      <w:r w:rsidRPr="00D54ACF">
        <w:rPr>
          <w:vertAlign w:val="superscript"/>
        </w:rPr>
        <w:t>,</w:t>
      </w:r>
      <w:r>
        <w:rPr>
          <w:rStyle w:val="FootnoteReference"/>
        </w:rPr>
        <w:footnoteReference w:id="72"/>
      </w:r>
      <w:r>
        <w:t xml:space="preserve"> Patient navigators have been shown to be effective in helping patients to access and receive timely care and follow-up and treatment.</w:t>
      </w:r>
      <w:r w:rsidRPr="00BC4387">
        <w:rPr>
          <w:vertAlign w:val="superscript"/>
        </w:rPr>
        <w:endnoteReference w:id="125"/>
      </w:r>
      <w:r w:rsidRPr="003C4E5C">
        <w:rPr>
          <w:vertAlign w:val="superscript"/>
        </w:rPr>
        <w:t>,</w:t>
      </w:r>
      <w:r>
        <w:rPr>
          <w:rStyle w:val="EndnoteReference"/>
        </w:rPr>
        <w:endnoteReference w:id="126"/>
      </w:r>
      <w:r w:rsidRPr="003C4E5C">
        <w:t xml:space="preserve"> </w:t>
      </w:r>
    </w:p>
    <w:p w14:paraId="3D2A30D7" w14:textId="77777777" w:rsidR="00682D04" w:rsidRDefault="00682D04" w:rsidP="00682D04">
      <w:pPr>
        <w:pStyle w:val="ListParagraph"/>
        <w:numPr>
          <w:ilvl w:val="0"/>
          <w:numId w:val="10"/>
        </w:numPr>
      </w:pPr>
      <w:r>
        <w:rPr>
          <w:i/>
          <w:iCs/>
        </w:rPr>
        <w:t xml:space="preserve">Social workers </w:t>
      </w:r>
      <w:r>
        <w:t xml:space="preserve">provide support on a number of issues, including behavioral health concerns, coping with advanced cancer, and identifying supportive local resources. </w:t>
      </w:r>
    </w:p>
    <w:p w14:paraId="16A0792E" w14:textId="77777777" w:rsidR="00682D04" w:rsidRDefault="00682D04" w:rsidP="00682D04">
      <w:pPr>
        <w:pStyle w:val="ListParagraph"/>
        <w:numPr>
          <w:ilvl w:val="0"/>
          <w:numId w:val="10"/>
        </w:numPr>
      </w:pPr>
      <w:r>
        <w:rPr>
          <w:i/>
          <w:iCs/>
        </w:rPr>
        <w:t xml:space="preserve">Resource specialists </w:t>
      </w:r>
      <w:r>
        <w:t xml:space="preserve">assist patients in obtaining access to resources to address a special need such as transportation, food, and fuel. </w:t>
      </w:r>
    </w:p>
    <w:p w14:paraId="2555A1B8" w14:textId="77777777" w:rsidR="00682D04" w:rsidRDefault="00682D04" w:rsidP="00682D04">
      <w:pPr>
        <w:pStyle w:val="ListParagraph"/>
        <w:numPr>
          <w:ilvl w:val="0"/>
          <w:numId w:val="10"/>
        </w:numPr>
      </w:pPr>
      <w:r>
        <w:rPr>
          <w:i/>
          <w:iCs/>
        </w:rPr>
        <w:t xml:space="preserve">Financial counselors </w:t>
      </w:r>
      <w:r>
        <w:t>assist patients with understanding insurance coverage, costs and accessing MassHealth benefits, and the Applicant’s Patient Financial Assistance Program.</w:t>
      </w:r>
      <w:r>
        <w:rPr>
          <w:rStyle w:val="FootnoteReference"/>
        </w:rPr>
        <w:footnoteReference w:id="73"/>
      </w:r>
      <w:r>
        <w:t xml:space="preserve"> </w:t>
      </w:r>
    </w:p>
    <w:p w14:paraId="420EC815" w14:textId="310B8602" w:rsidR="00D27073" w:rsidRDefault="00D27073" w:rsidP="00682D04">
      <w:pPr>
        <w:pStyle w:val="ListParagraph"/>
        <w:numPr>
          <w:ilvl w:val="0"/>
          <w:numId w:val="10"/>
        </w:numPr>
      </w:pPr>
      <w:r w:rsidRPr="00D27073">
        <w:rPr>
          <w:i/>
          <w:iCs/>
        </w:rPr>
        <w:t xml:space="preserve">Pharmacy Resource Specialists </w:t>
      </w:r>
      <w:r w:rsidRPr="001769C6">
        <w:t>assist with high co-payments for cancer-related medications</w:t>
      </w:r>
      <w:r>
        <w:t>.</w:t>
      </w:r>
    </w:p>
    <w:p w14:paraId="17A853AB" w14:textId="77777777" w:rsidR="00682D04" w:rsidRDefault="00682D04" w:rsidP="008927B4">
      <w:pPr>
        <w:pStyle w:val="BodyText"/>
        <w:rPr>
          <w:rFonts w:asciiTheme="minorHAnsi" w:hAnsiTheme="minorHAnsi"/>
        </w:rPr>
      </w:pPr>
    </w:p>
    <w:p w14:paraId="35245EDB" w14:textId="6EEA2C6A" w:rsidR="00ED45E4" w:rsidRDefault="008A55B1" w:rsidP="008927B4">
      <w:pPr>
        <w:pStyle w:val="BodyText"/>
        <w:rPr>
          <w:rFonts w:asciiTheme="minorHAnsi" w:hAnsiTheme="minorHAnsi"/>
        </w:rPr>
      </w:pPr>
      <w:r w:rsidRPr="008A55B1">
        <w:rPr>
          <w:rFonts w:asciiTheme="minorHAnsi" w:hAnsiTheme="minorHAnsi"/>
        </w:rPr>
        <w:t xml:space="preserve">The Applicant states that the programs are available to any patient that requires them, and patients may self-refer to the Applicant’s resources. </w:t>
      </w:r>
      <w:r w:rsidR="0043712E">
        <w:rPr>
          <w:rFonts w:asciiTheme="minorHAnsi" w:hAnsiTheme="minorHAnsi"/>
        </w:rPr>
        <w:t>The Applicant states</w:t>
      </w:r>
      <w:r>
        <w:rPr>
          <w:rFonts w:asciiTheme="minorHAnsi" w:hAnsiTheme="minorHAnsi"/>
        </w:rPr>
        <w:t xml:space="preserve"> further</w:t>
      </w:r>
      <w:r w:rsidR="0043712E">
        <w:rPr>
          <w:rFonts w:asciiTheme="minorHAnsi" w:hAnsiTheme="minorHAnsi"/>
        </w:rPr>
        <w:t xml:space="preserve"> that it has created a patient navigation database for tracking patient data to support a team approach to patient care and to connect patients with the resources they need.</w:t>
      </w:r>
      <w:r w:rsidR="00CC42CF">
        <w:rPr>
          <w:rFonts w:asciiTheme="minorHAnsi" w:hAnsiTheme="minorHAnsi"/>
        </w:rPr>
        <w:t xml:space="preserve"> </w:t>
      </w:r>
    </w:p>
    <w:p w14:paraId="070B40EB" w14:textId="26B745C1" w:rsidR="00B447F3" w:rsidRPr="009A0C61" w:rsidRDefault="00A4110F" w:rsidP="008917DC">
      <w:pPr>
        <w:rPr>
          <w:rFonts w:asciiTheme="minorHAnsi" w:hAnsiTheme="minorHAnsi"/>
          <w:b/>
          <w:bCs/>
          <w:i/>
          <w:iCs/>
          <w:szCs w:val="24"/>
        </w:rPr>
      </w:pPr>
      <w:r w:rsidRPr="009A0C61">
        <w:rPr>
          <w:rFonts w:asciiTheme="minorHAnsi" w:hAnsiTheme="minorHAnsi"/>
          <w:b/>
          <w:bCs/>
          <w:i/>
          <w:iCs/>
          <w:szCs w:val="24"/>
        </w:rPr>
        <w:t>Analysis: Delivery System Transformation</w:t>
      </w:r>
    </w:p>
    <w:p w14:paraId="43317E62" w14:textId="11A18A89" w:rsidR="008D7A1C" w:rsidRDefault="00E2248C" w:rsidP="007048DB">
      <w:pPr>
        <w:rPr>
          <w:rFonts w:asciiTheme="minorHAnsi" w:hAnsiTheme="minorHAnsi"/>
        </w:rPr>
      </w:pPr>
      <w:r w:rsidRPr="2D8E93AB">
        <w:rPr>
          <w:rFonts w:asciiTheme="minorHAnsi" w:hAnsiTheme="minorHAnsi"/>
        </w:rPr>
        <w:t xml:space="preserve">Central to the goal of delivery system transformation is the integration of social services and community-based expertise. </w:t>
      </w:r>
      <w:r w:rsidR="00F44E6F" w:rsidRPr="2D8E93AB">
        <w:rPr>
          <w:rFonts w:asciiTheme="minorHAnsi" w:hAnsiTheme="minorHAnsi"/>
        </w:rPr>
        <w:t>A study on disparities in childhood cancer survival</w:t>
      </w:r>
      <w:r w:rsidR="00E63016" w:rsidRPr="2D8E93AB">
        <w:rPr>
          <w:rFonts w:asciiTheme="minorHAnsi" w:hAnsiTheme="minorHAnsi"/>
        </w:rPr>
        <w:t xml:space="preserve"> </w:t>
      </w:r>
      <w:r w:rsidR="002A6E79" w:rsidRPr="2D8E93AB">
        <w:rPr>
          <w:rFonts w:asciiTheme="minorHAnsi" w:hAnsiTheme="minorHAnsi"/>
        </w:rPr>
        <w:t xml:space="preserve">pointed to </w:t>
      </w:r>
      <w:r w:rsidR="007048DB" w:rsidRPr="2D8E93AB">
        <w:rPr>
          <w:rFonts w:asciiTheme="minorHAnsi" w:hAnsiTheme="minorHAnsi"/>
        </w:rPr>
        <w:t>“routine screening and standardized measurement of social determinants of health and household material hardship</w:t>
      </w:r>
      <w:r w:rsidR="005A5358" w:rsidRPr="2D8E93AB">
        <w:rPr>
          <w:rFonts w:asciiTheme="minorHAnsi" w:hAnsiTheme="minorHAnsi"/>
        </w:rPr>
        <w:t>”</w:t>
      </w:r>
      <w:r w:rsidR="000A7AA9" w:rsidRPr="2D8E93AB">
        <w:rPr>
          <w:rFonts w:asciiTheme="minorHAnsi" w:hAnsiTheme="minorHAnsi"/>
        </w:rPr>
        <w:t xml:space="preserve"> as </w:t>
      </w:r>
      <w:r w:rsidR="0078430F" w:rsidRPr="2D8E93AB">
        <w:rPr>
          <w:rFonts w:asciiTheme="minorHAnsi" w:hAnsiTheme="minorHAnsi"/>
        </w:rPr>
        <w:t xml:space="preserve">one of a number of </w:t>
      </w:r>
      <w:r w:rsidR="000A7AA9" w:rsidRPr="2D8E93AB">
        <w:rPr>
          <w:rFonts w:asciiTheme="minorHAnsi" w:hAnsiTheme="minorHAnsi"/>
        </w:rPr>
        <w:t>actions that can be taken to</w:t>
      </w:r>
      <w:r w:rsidR="00DB5B14" w:rsidRPr="2D8E93AB">
        <w:rPr>
          <w:rFonts w:asciiTheme="minorHAnsi" w:hAnsiTheme="minorHAnsi"/>
        </w:rPr>
        <w:t xml:space="preserve"> </w:t>
      </w:r>
      <w:r w:rsidR="003729B7" w:rsidRPr="2D8E93AB">
        <w:rPr>
          <w:rFonts w:asciiTheme="minorHAnsi" w:hAnsiTheme="minorHAnsi"/>
        </w:rPr>
        <w:t xml:space="preserve">help </w:t>
      </w:r>
      <w:r w:rsidR="005766B6" w:rsidRPr="2D8E93AB">
        <w:rPr>
          <w:rFonts w:asciiTheme="minorHAnsi" w:hAnsiTheme="minorHAnsi"/>
        </w:rPr>
        <w:t>address</w:t>
      </w:r>
      <w:r w:rsidR="003729B7" w:rsidRPr="2D8E93AB">
        <w:rPr>
          <w:rFonts w:asciiTheme="minorHAnsi" w:hAnsiTheme="minorHAnsi"/>
        </w:rPr>
        <w:t xml:space="preserve"> the gap in childhood cancer survival</w:t>
      </w:r>
      <w:r w:rsidR="00DB5B14" w:rsidRPr="2D8E93AB">
        <w:rPr>
          <w:rFonts w:asciiTheme="minorHAnsi" w:hAnsiTheme="minorHAnsi"/>
        </w:rPr>
        <w:t>.</w:t>
      </w:r>
      <w:r w:rsidR="00DB5B14" w:rsidRPr="2D8E93AB">
        <w:rPr>
          <w:rStyle w:val="EndnoteReference"/>
          <w:rFonts w:asciiTheme="minorHAnsi" w:hAnsiTheme="minorHAnsi"/>
        </w:rPr>
        <w:endnoteReference w:id="127"/>
      </w:r>
      <w:r w:rsidR="000A7AA9" w:rsidRPr="2D8E93AB">
        <w:rPr>
          <w:rFonts w:asciiTheme="minorHAnsi" w:hAnsiTheme="minorHAnsi"/>
        </w:rPr>
        <w:t xml:space="preserve"> </w:t>
      </w:r>
      <w:r w:rsidR="0035486B" w:rsidRPr="2D8E93AB">
        <w:rPr>
          <w:rFonts w:asciiTheme="minorHAnsi" w:hAnsiTheme="minorHAnsi"/>
        </w:rPr>
        <w:t xml:space="preserve">The Applicant has explained how </w:t>
      </w:r>
      <w:r w:rsidR="006C102D">
        <w:rPr>
          <w:rFonts w:asciiTheme="minorHAnsi" w:hAnsiTheme="minorHAnsi"/>
        </w:rPr>
        <w:t xml:space="preserve">adult </w:t>
      </w:r>
      <w:r w:rsidR="0035486B" w:rsidRPr="2D8E93AB">
        <w:rPr>
          <w:rFonts w:asciiTheme="minorHAnsi" w:hAnsiTheme="minorHAnsi"/>
        </w:rPr>
        <w:t>patients are screened for SDoH needs, and referred to resources to address those needs</w:t>
      </w:r>
      <w:r w:rsidR="006C102D">
        <w:rPr>
          <w:rFonts w:asciiTheme="minorHAnsi" w:hAnsiTheme="minorHAnsi"/>
        </w:rPr>
        <w:t xml:space="preserve">, and the Applicant described its </w:t>
      </w:r>
      <w:r w:rsidR="000714F5">
        <w:rPr>
          <w:rFonts w:asciiTheme="minorHAnsi" w:hAnsiTheme="minorHAnsi"/>
        </w:rPr>
        <w:t>plans for implementing</w:t>
      </w:r>
      <w:r w:rsidR="006C102D">
        <w:rPr>
          <w:rFonts w:asciiTheme="minorHAnsi" w:hAnsiTheme="minorHAnsi"/>
        </w:rPr>
        <w:t xml:space="preserve"> SDoH screening for its pediatric patients.</w:t>
      </w:r>
      <w:r w:rsidR="0035486B" w:rsidRPr="2D8E93AB">
        <w:rPr>
          <w:rFonts w:asciiTheme="minorHAnsi" w:hAnsiTheme="minorHAnsi"/>
        </w:rPr>
        <w:t xml:space="preserve"> The Applicant </w:t>
      </w:r>
      <w:r w:rsidR="00FD0ABE" w:rsidRPr="2D8E93AB">
        <w:rPr>
          <w:rFonts w:asciiTheme="minorHAnsi" w:hAnsiTheme="minorHAnsi"/>
        </w:rPr>
        <w:t xml:space="preserve">has </w:t>
      </w:r>
      <w:r w:rsidR="00A121A0" w:rsidRPr="2D8E93AB">
        <w:rPr>
          <w:rFonts w:asciiTheme="minorHAnsi" w:hAnsiTheme="minorHAnsi"/>
        </w:rPr>
        <w:t>a number of resources</w:t>
      </w:r>
      <w:r w:rsidR="0035486B" w:rsidRPr="2D8E93AB">
        <w:rPr>
          <w:rFonts w:asciiTheme="minorHAnsi" w:hAnsiTheme="minorHAnsi"/>
        </w:rPr>
        <w:t xml:space="preserve"> in place </w:t>
      </w:r>
      <w:r w:rsidR="009336F4" w:rsidRPr="2D8E93AB">
        <w:rPr>
          <w:rFonts w:asciiTheme="minorHAnsi" w:hAnsiTheme="minorHAnsi"/>
        </w:rPr>
        <w:t xml:space="preserve">and community partnerships </w:t>
      </w:r>
      <w:r w:rsidR="0035486B" w:rsidRPr="2D8E93AB">
        <w:rPr>
          <w:rFonts w:asciiTheme="minorHAnsi" w:hAnsiTheme="minorHAnsi"/>
        </w:rPr>
        <w:t>t</w:t>
      </w:r>
      <w:r w:rsidR="00A121A0" w:rsidRPr="2D8E93AB">
        <w:rPr>
          <w:rFonts w:asciiTheme="minorHAnsi" w:hAnsiTheme="minorHAnsi"/>
        </w:rPr>
        <w:t>hat</w:t>
      </w:r>
      <w:r w:rsidR="0035486B" w:rsidRPr="2D8E93AB">
        <w:rPr>
          <w:rFonts w:asciiTheme="minorHAnsi" w:hAnsiTheme="minorHAnsi"/>
        </w:rPr>
        <w:t xml:space="preserve"> </w:t>
      </w:r>
      <w:r w:rsidR="006E7923" w:rsidRPr="2D8E93AB">
        <w:rPr>
          <w:rFonts w:asciiTheme="minorHAnsi" w:hAnsiTheme="minorHAnsi"/>
        </w:rPr>
        <w:t xml:space="preserve">help patients manage a </w:t>
      </w:r>
      <w:r w:rsidR="0035486B" w:rsidRPr="2D8E93AB">
        <w:rPr>
          <w:rFonts w:asciiTheme="minorHAnsi" w:hAnsiTheme="minorHAnsi"/>
        </w:rPr>
        <w:t xml:space="preserve">variety of </w:t>
      </w:r>
      <w:r w:rsidR="00A121A0" w:rsidRPr="2D8E93AB">
        <w:rPr>
          <w:rFonts w:asciiTheme="minorHAnsi" w:hAnsiTheme="minorHAnsi"/>
        </w:rPr>
        <w:t>issues</w:t>
      </w:r>
      <w:r w:rsidR="0035486B" w:rsidRPr="2D8E93AB">
        <w:rPr>
          <w:rFonts w:asciiTheme="minorHAnsi" w:hAnsiTheme="minorHAnsi"/>
        </w:rPr>
        <w:t xml:space="preserve"> that can pose barriers to accessing </w:t>
      </w:r>
      <w:r w:rsidR="00A121A0" w:rsidRPr="2D8E93AB">
        <w:rPr>
          <w:rFonts w:asciiTheme="minorHAnsi" w:hAnsiTheme="minorHAnsi"/>
        </w:rPr>
        <w:t xml:space="preserve">the Applicant’s </w:t>
      </w:r>
      <w:r w:rsidR="00FD0ABE" w:rsidRPr="2D8E93AB">
        <w:rPr>
          <w:rFonts w:asciiTheme="minorHAnsi" w:hAnsiTheme="minorHAnsi"/>
        </w:rPr>
        <w:t>services</w:t>
      </w:r>
      <w:r w:rsidR="00A121A0" w:rsidRPr="2D8E93AB">
        <w:rPr>
          <w:rFonts w:asciiTheme="minorHAnsi" w:hAnsiTheme="minorHAnsi"/>
        </w:rPr>
        <w:t>.</w:t>
      </w:r>
      <w:r w:rsidR="0035486B" w:rsidRPr="2D8E93AB">
        <w:rPr>
          <w:rFonts w:asciiTheme="minorHAnsi" w:hAnsiTheme="minorHAnsi"/>
        </w:rPr>
        <w:t xml:space="preserve"> </w:t>
      </w:r>
      <w:r w:rsidR="00BF0412" w:rsidRPr="2D8E93AB">
        <w:rPr>
          <w:rFonts w:asciiTheme="minorHAnsi" w:hAnsiTheme="minorHAnsi"/>
        </w:rPr>
        <w:t>DoN Staff can conclude that the Proposed Project will likely meet the Delivery System Transformation component of Factor 2.</w:t>
      </w:r>
    </w:p>
    <w:p w14:paraId="083C9AF2" w14:textId="77777777" w:rsidR="00892DEC" w:rsidRDefault="00892DEC" w:rsidP="007048DB">
      <w:pPr>
        <w:rPr>
          <w:rFonts w:asciiTheme="minorHAnsi" w:hAnsiTheme="minorHAnsi"/>
        </w:rPr>
      </w:pPr>
    </w:p>
    <w:p w14:paraId="62929AAA" w14:textId="4D43EC2A" w:rsidR="00B447F3" w:rsidRPr="00970336" w:rsidRDefault="00082235" w:rsidP="008917DC">
      <w:pPr>
        <w:pStyle w:val="Heading1"/>
        <w:spacing w:before="179"/>
        <w:ind w:left="0"/>
        <w:rPr>
          <w:rFonts w:asciiTheme="minorHAnsi" w:hAnsiTheme="minorHAnsi"/>
          <w:i/>
          <w:iCs/>
          <w:color w:val="42558C"/>
        </w:rPr>
      </w:pPr>
      <w:bookmarkStart w:id="19" w:name="_Toc223962998"/>
      <w:r w:rsidRPr="00970336">
        <w:rPr>
          <w:rFonts w:asciiTheme="minorHAnsi" w:hAnsiTheme="minorHAnsi"/>
          <w:i/>
          <w:iCs/>
          <w:color w:val="42558C"/>
        </w:rPr>
        <w:t>Summary</w:t>
      </w:r>
      <w:r w:rsidR="00970336" w:rsidRPr="00970336">
        <w:rPr>
          <w:rFonts w:asciiTheme="minorHAnsi" w:hAnsiTheme="minorHAnsi"/>
          <w:i/>
          <w:iCs/>
          <w:color w:val="42558C"/>
        </w:rPr>
        <w:t>, Factor 2</w:t>
      </w:r>
      <w:bookmarkEnd w:id="19"/>
    </w:p>
    <w:p w14:paraId="285765B0" w14:textId="37124527" w:rsidR="0037406F" w:rsidRDefault="001F6349" w:rsidP="00BA2054">
      <w:pPr>
        <w:rPr>
          <w:rFonts w:asciiTheme="minorHAnsi" w:hAnsiTheme="minorHAnsi"/>
        </w:rPr>
      </w:pPr>
      <w:r w:rsidRPr="40A7E6F8">
        <w:rPr>
          <w:rFonts w:asciiTheme="minorHAnsi" w:hAnsiTheme="minorHAnsi"/>
        </w:rPr>
        <w:t xml:space="preserve">The Applicant has demonstrated that the Proposed Project </w:t>
      </w:r>
      <w:r w:rsidR="006166F5" w:rsidRPr="40A7E6F8">
        <w:rPr>
          <w:rFonts w:asciiTheme="minorHAnsi" w:hAnsiTheme="minorHAnsi"/>
        </w:rPr>
        <w:t xml:space="preserve">can increase </w:t>
      </w:r>
      <w:r w:rsidR="004228F9" w:rsidRPr="40A7E6F8">
        <w:rPr>
          <w:rFonts w:asciiTheme="minorHAnsi" w:hAnsiTheme="minorHAnsi"/>
        </w:rPr>
        <w:t>access</w:t>
      </w:r>
      <w:r w:rsidR="002F74A0" w:rsidRPr="40A7E6F8">
        <w:rPr>
          <w:rFonts w:asciiTheme="minorHAnsi" w:hAnsiTheme="minorHAnsi"/>
        </w:rPr>
        <w:t xml:space="preserve"> </w:t>
      </w:r>
      <w:r w:rsidR="004228F9" w:rsidRPr="40A7E6F8">
        <w:rPr>
          <w:rFonts w:asciiTheme="minorHAnsi" w:hAnsiTheme="minorHAnsi"/>
        </w:rPr>
        <w:t>to</w:t>
      </w:r>
      <w:r w:rsidR="002F74A0" w:rsidRPr="40A7E6F8">
        <w:rPr>
          <w:rFonts w:asciiTheme="minorHAnsi" w:hAnsiTheme="minorHAnsi"/>
        </w:rPr>
        <w:t xml:space="preserve"> PBT services in Massachusetts </w:t>
      </w:r>
      <w:r w:rsidR="00E90561" w:rsidRPr="40A7E6F8">
        <w:rPr>
          <w:rFonts w:asciiTheme="minorHAnsi" w:hAnsiTheme="minorHAnsi"/>
        </w:rPr>
        <w:t>where there is currently only one PBT provider</w:t>
      </w:r>
      <w:r w:rsidR="002F74A0" w:rsidRPr="40A7E6F8">
        <w:rPr>
          <w:rFonts w:asciiTheme="minorHAnsi" w:hAnsiTheme="minorHAnsi"/>
        </w:rPr>
        <w:t xml:space="preserve">, and, in doing so, increase competition </w:t>
      </w:r>
      <w:r w:rsidR="008F1645" w:rsidRPr="40A7E6F8">
        <w:rPr>
          <w:rFonts w:asciiTheme="minorHAnsi" w:hAnsiTheme="minorHAnsi"/>
        </w:rPr>
        <w:t xml:space="preserve">among </w:t>
      </w:r>
      <w:r w:rsidR="00015AB8" w:rsidRPr="40A7E6F8">
        <w:rPr>
          <w:rFonts w:asciiTheme="minorHAnsi" w:hAnsiTheme="minorHAnsi"/>
        </w:rPr>
        <w:t>PBT</w:t>
      </w:r>
      <w:r w:rsidR="006B1208" w:rsidRPr="40A7E6F8">
        <w:rPr>
          <w:rFonts w:asciiTheme="minorHAnsi" w:hAnsiTheme="minorHAnsi"/>
        </w:rPr>
        <w:t xml:space="preserve"> </w:t>
      </w:r>
      <w:r w:rsidR="008F1645" w:rsidRPr="40A7E6F8">
        <w:rPr>
          <w:rFonts w:asciiTheme="minorHAnsi" w:hAnsiTheme="minorHAnsi"/>
        </w:rPr>
        <w:t xml:space="preserve">providers </w:t>
      </w:r>
      <w:r w:rsidR="002205A3" w:rsidRPr="40A7E6F8">
        <w:rPr>
          <w:rFonts w:asciiTheme="minorHAnsi" w:hAnsiTheme="minorHAnsi"/>
        </w:rPr>
        <w:t>which can</w:t>
      </w:r>
      <w:r w:rsidR="00BC0AFD" w:rsidRPr="40A7E6F8">
        <w:rPr>
          <w:rFonts w:asciiTheme="minorHAnsi" w:hAnsiTheme="minorHAnsi"/>
        </w:rPr>
        <w:t xml:space="preserve"> </w:t>
      </w:r>
      <w:r w:rsidR="00DB2F31" w:rsidRPr="40A7E6F8">
        <w:rPr>
          <w:rFonts w:asciiTheme="minorHAnsi" w:hAnsiTheme="minorHAnsi"/>
        </w:rPr>
        <w:t>influence how payers negotiate rates for PBT</w:t>
      </w:r>
      <w:r w:rsidR="00C31E42" w:rsidRPr="40A7E6F8">
        <w:rPr>
          <w:rFonts w:asciiTheme="minorHAnsi" w:hAnsiTheme="minorHAnsi"/>
        </w:rPr>
        <w:t xml:space="preserve">. </w:t>
      </w:r>
      <w:r w:rsidR="00F00BA6" w:rsidRPr="40A7E6F8">
        <w:rPr>
          <w:rFonts w:asciiTheme="minorHAnsi" w:hAnsiTheme="minorHAnsi"/>
        </w:rPr>
        <w:t xml:space="preserve">The Applicant is proposing a lower-cost </w:t>
      </w:r>
      <w:r w:rsidR="00F93CCB" w:rsidRPr="40A7E6F8">
        <w:rPr>
          <w:rFonts w:asciiTheme="minorHAnsi" w:hAnsiTheme="minorHAnsi"/>
        </w:rPr>
        <w:t xml:space="preserve">proton therapy system </w:t>
      </w:r>
      <w:r w:rsidR="00F023F5" w:rsidRPr="40A7E6F8">
        <w:rPr>
          <w:rFonts w:asciiTheme="minorHAnsi" w:hAnsiTheme="minorHAnsi"/>
        </w:rPr>
        <w:t xml:space="preserve">compared to traditional </w:t>
      </w:r>
      <w:r w:rsidR="001309AC" w:rsidRPr="40A7E6F8">
        <w:rPr>
          <w:rFonts w:asciiTheme="minorHAnsi" w:hAnsiTheme="minorHAnsi"/>
        </w:rPr>
        <w:t xml:space="preserve">gantry style proton therapy </w:t>
      </w:r>
      <w:r w:rsidR="00A6199C" w:rsidRPr="40A7E6F8">
        <w:rPr>
          <w:rFonts w:asciiTheme="minorHAnsi" w:hAnsiTheme="minorHAnsi"/>
        </w:rPr>
        <w:t>which will reduce treatment delivery costs, and provide superior clinical effectiveness compared to traditional RT</w:t>
      </w:r>
      <w:r w:rsidR="009E5196" w:rsidRPr="40A7E6F8">
        <w:rPr>
          <w:rFonts w:asciiTheme="minorHAnsi" w:hAnsiTheme="minorHAnsi"/>
        </w:rPr>
        <w:t xml:space="preserve">, </w:t>
      </w:r>
      <w:r w:rsidR="00153860" w:rsidRPr="40A7E6F8">
        <w:rPr>
          <w:rFonts w:asciiTheme="minorHAnsi" w:hAnsiTheme="minorHAnsi"/>
        </w:rPr>
        <w:t>improv</w:t>
      </w:r>
      <w:r w:rsidR="00F507FB" w:rsidRPr="40A7E6F8">
        <w:rPr>
          <w:rFonts w:asciiTheme="minorHAnsi" w:hAnsiTheme="minorHAnsi"/>
        </w:rPr>
        <w:t>ing the</w:t>
      </w:r>
      <w:r w:rsidR="00153860" w:rsidRPr="40A7E6F8">
        <w:rPr>
          <w:rFonts w:asciiTheme="minorHAnsi" w:hAnsiTheme="minorHAnsi"/>
        </w:rPr>
        <w:t xml:space="preserve"> </w:t>
      </w:r>
      <w:r w:rsidR="009E5196" w:rsidRPr="40A7E6F8">
        <w:rPr>
          <w:rFonts w:asciiTheme="minorHAnsi" w:hAnsiTheme="minorHAnsi"/>
        </w:rPr>
        <w:t xml:space="preserve">value offered by the proposed Center. </w:t>
      </w:r>
      <w:r w:rsidRPr="40A7E6F8">
        <w:rPr>
          <w:rFonts w:asciiTheme="minorHAnsi" w:hAnsiTheme="minorHAnsi"/>
        </w:rPr>
        <w:t xml:space="preserve">The Applicant has demonstrated PBT’s effectiveness for pediatric patients, and </w:t>
      </w:r>
      <w:r w:rsidR="00D9253B" w:rsidRPr="40A7E6F8">
        <w:rPr>
          <w:rFonts w:asciiTheme="minorHAnsi" w:hAnsiTheme="minorHAnsi"/>
        </w:rPr>
        <w:t>for certain adult patients</w:t>
      </w:r>
      <w:r w:rsidR="00B42546" w:rsidRPr="40A7E6F8">
        <w:rPr>
          <w:rFonts w:asciiTheme="minorHAnsi" w:hAnsiTheme="minorHAnsi"/>
        </w:rPr>
        <w:t xml:space="preserve">, </w:t>
      </w:r>
      <w:r w:rsidR="0078430F" w:rsidRPr="40A7E6F8">
        <w:rPr>
          <w:rFonts w:asciiTheme="minorHAnsi" w:hAnsiTheme="minorHAnsi"/>
        </w:rPr>
        <w:t>confirming the benefits of</w:t>
      </w:r>
      <w:r w:rsidR="00B42546" w:rsidRPr="40A7E6F8">
        <w:rPr>
          <w:rFonts w:asciiTheme="minorHAnsi" w:hAnsiTheme="minorHAnsi"/>
        </w:rPr>
        <w:t xml:space="preserve"> increasing local access </w:t>
      </w:r>
      <w:r w:rsidR="0078430F" w:rsidRPr="40A7E6F8">
        <w:rPr>
          <w:rFonts w:asciiTheme="minorHAnsi" w:hAnsiTheme="minorHAnsi"/>
        </w:rPr>
        <w:t>to PBT to address an unmet need within</w:t>
      </w:r>
      <w:r w:rsidR="00B42546" w:rsidRPr="40A7E6F8">
        <w:rPr>
          <w:rFonts w:asciiTheme="minorHAnsi" w:hAnsiTheme="minorHAnsi"/>
        </w:rPr>
        <w:t xml:space="preserve"> </w:t>
      </w:r>
      <w:r w:rsidR="0078430F" w:rsidRPr="40A7E6F8">
        <w:rPr>
          <w:rFonts w:asciiTheme="minorHAnsi" w:hAnsiTheme="minorHAnsi"/>
        </w:rPr>
        <w:t>its</w:t>
      </w:r>
      <w:r w:rsidR="00B42546" w:rsidRPr="40A7E6F8">
        <w:rPr>
          <w:rFonts w:asciiTheme="minorHAnsi" w:hAnsiTheme="minorHAnsi"/>
        </w:rPr>
        <w:t xml:space="preserve"> Patient Panel. The Applicant has several processes and resources in place to support patients experienc</w:t>
      </w:r>
      <w:r w:rsidR="0078430F" w:rsidRPr="40A7E6F8">
        <w:rPr>
          <w:rFonts w:asciiTheme="minorHAnsi" w:hAnsiTheme="minorHAnsi"/>
        </w:rPr>
        <w:t>ing</w:t>
      </w:r>
      <w:r w:rsidR="00B42546" w:rsidRPr="40A7E6F8">
        <w:rPr>
          <w:rFonts w:asciiTheme="minorHAnsi" w:hAnsiTheme="minorHAnsi"/>
        </w:rPr>
        <w:t xml:space="preserve"> </w:t>
      </w:r>
      <w:r w:rsidR="00B42546" w:rsidRPr="40A7E6F8">
        <w:rPr>
          <w:rFonts w:asciiTheme="minorHAnsi" w:hAnsiTheme="minorHAnsi"/>
        </w:rPr>
        <w:lastRenderedPageBreak/>
        <w:t xml:space="preserve">barriers to accessing its services, and which can support the Applicant’s goal of </w:t>
      </w:r>
      <w:r w:rsidR="008800B7" w:rsidRPr="40A7E6F8">
        <w:rPr>
          <w:rFonts w:asciiTheme="minorHAnsi" w:hAnsiTheme="minorHAnsi"/>
        </w:rPr>
        <w:t xml:space="preserve">increasing </w:t>
      </w:r>
      <w:r w:rsidR="00B42546" w:rsidRPr="40A7E6F8">
        <w:rPr>
          <w:rFonts w:asciiTheme="minorHAnsi" w:hAnsiTheme="minorHAnsi"/>
        </w:rPr>
        <w:t xml:space="preserve">access to </w:t>
      </w:r>
      <w:r w:rsidR="00424074" w:rsidRPr="40A7E6F8">
        <w:rPr>
          <w:rFonts w:asciiTheme="minorHAnsi" w:hAnsiTheme="minorHAnsi"/>
        </w:rPr>
        <w:t>PBT</w:t>
      </w:r>
      <w:r w:rsidR="008800B7" w:rsidRPr="40A7E6F8">
        <w:rPr>
          <w:rFonts w:asciiTheme="minorHAnsi" w:hAnsiTheme="minorHAnsi"/>
        </w:rPr>
        <w:t xml:space="preserve"> for clinically appropriate patients</w:t>
      </w:r>
      <w:r w:rsidR="00104198" w:rsidRPr="40A7E6F8">
        <w:rPr>
          <w:rFonts w:asciiTheme="minorHAnsi" w:hAnsiTheme="minorHAnsi"/>
        </w:rPr>
        <w:t>, particularly pediatric patients who are</w:t>
      </w:r>
      <w:r w:rsidR="00B82A30" w:rsidRPr="40A7E6F8">
        <w:rPr>
          <w:rFonts w:asciiTheme="minorHAnsi" w:hAnsiTheme="minorHAnsi"/>
        </w:rPr>
        <w:t xml:space="preserve"> also patients </w:t>
      </w:r>
      <w:r w:rsidR="00104198" w:rsidRPr="40A7E6F8">
        <w:rPr>
          <w:rFonts w:asciiTheme="minorHAnsi" w:hAnsiTheme="minorHAnsi"/>
        </w:rPr>
        <w:t>at BCH</w:t>
      </w:r>
      <w:r w:rsidR="00B42546" w:rsidRPr="40A7E6F8">
        <w:rPr>
          <w:rFonts w:asciiTheme="minorHAnsi" w:hAnsiTheme="minorHAnsi"/>
        </w:rPr>
        <w:t xml:space="preserve">. </w:t>
      </w:r>
      <w:r w:rsidR="0037406F" w:rsidRPr="40A7E6F8">
        <w:rPr>
          <w:rFonts w:asciiTheme="minorHAnsi" w:hAnsiTheme="minorHAnsi"/>
        </w:rPr>
        <w:t>As a result of</w:t>
      </w:r>
      <w:r w:rsidR="0067171C" w:rsidRPr="40A7E6F8">
        <w:rPr>
          <w:rFonts w:asciiTheme="minorHAnsi" w:hAnsiTheme="minorHAnsi"/>
        </w:rPr>
        <w:t xml:space="preserve"> the</w:t>
      </w:r>
      <w:r w:rsidR="0037406F" w:rsidRPr="40A7E6F8">
        <w:rPr>
          <w:rFonts w:asciiTheme="minorHAnsi" w:hAnsiTheme="minorHAnsi"/>
        </w:rPr>
        <w:t xml:space="preserve"> information provided by the Applicant and additional analysis, </w:t>
      </w:r>
      <w:r w:rsidR="0061361A" w:rsidRPr="40A7E6F8">
        <w:rPr>
          <w:rFonts w:asciiTheme="minorHAnsi" w:hAnsiTheme="minorHAnsi"/>
        </w:rPr>
        <w:t xml:space="preserve">Staff finds that with the “Other Conditions” outlined below, </w:t>
      </w:r>
      <w:r w:rsidR="00DD5F9B" w:rsidRPr="40A7E6F8">
        <w:rPr>
          <w:rFonts w:asciiTheme="minorHAnsi" w:hAnsiTheme="minorHAnsi"/>
        </w:rPr>
        <w:t>regarding</w:t>
      </w:r>
      <w:r w:rsidR="0061361A" w:rsidRPr="40A7E6F8">
        <w:rPr>
          <w:rFonts w:asciiTheme="minorHAnsi" w:hAnsiTheme="minorHAnsi"/>
        </w:rPr>
        <w:t xml:space="preserve"> </w:t>
      </w:r>
      <w:r w:rsidR="00DD5F9B" w:rsidRPr="40A7E6F8">
        <w:rPr>
          <w:rFonts w:asciiTheme="minorHAnsi" w:hAnsiTheme="minorHAnsi"/>
        </w:rPr>
        <w:t xml:space="preserve">the </w:t>
      </w:r>
      <w:r w:rsidR="0061361A" w:rsidRPr="40A7E6F8">
        <w:rPr>
          <w:rFonts w:asciiTheme="minorHAnsi" w:hAnsiTheme="minorHAnsi"/>
        </w:rPr>
        <w:t>Applicant</w:t>
      </w:r>
      <w:r w:rsidR="00DD5F9B" w:rsidRPr="40A7E6F8">
        <w:rPr>
          <w:rFonts w:asciiTheme="minorHAnsi" w:hAnsiTheme="minorHAnsi"/>
        </w:rPr>
        <w:t>’s</w:t>
      </w:r>
      <w:r w:rsidR="0061361A" w:rsidRPr="40A7E6F8">
        <w:rPr>
          <w:rFonts w:asciiTheme="minorHAnsi" w:hAnsiTheme="minorHAnsi"/>
        </w:rPr>
        <w:t xml:space="preserve"> commercial reimbursement rates for the Center’s PBT services</w:t>
      </w:r>
      <w:r w:rsidR="007037A6" w:rsidRPr="40A7E6F8">
        <w:rPr>
          <w:rFonts w:asciiTheme="minorHAnsi" w:hAnsiTheme="minorHAnsi"/>
        </w:rPr>
        <w:t>, the</w:t>
      </w:r>
      <w:r w:rsidR="0037406F" w:rsidRPr="40A7E6F8">
        <w:rPr>
          <w:rFonts w:asciiTheme="minorHAnsi" w:hAnsiTheme="minorHAnsi"/>
        </w:rPr>
        <w:t xml:space="preserve"> Applicant has demonstrated that the Proposed Project</w:t>
      </w:r>
      <w:r w:rsidR="00BA2054" w:rsidRPr="40A7E6F8">
        <w:rPr>
          <w:rFonts w:asciiTheme="minorHAnsi" w:hAnsiTheme="minorHAnsi"/>
        </w:rPr>
        <w:t xml:space="preserve"> </w:t>
      </w:r>
      <w:r w:rsidR="0037406F" w:rsidRPr="40A7E6F8">
        <w:rPr>
          <w:rFonts w:asciiTheme="minorHAnsi" w:hAnsiTheme="minorHAnsi"/>
        </w:rPr>
        <w:t>has met Factor 2.</w:t>
      </w:r>
    </w:p>
    <w:p w14:paraId="63B2C7B7" w14:textId="77777777" w:rsidR="00280A9C" w:rsidRDefault="00280A9C" w:rsidP="00BA2054">
      <w:pPr>
        <w:rPr>
          <w:rFonts w:asciiTheme="minorHAnsi" w:hAnsiTheme="minorHAnsi"/>
          <w:szCs w:val="24"/>
        </w:rPr>
      </w:pPr>
    </w:p>
    <w:p w14:paraId="1A827478" w14:textId="19BAF16B" w:rsidR="00D451AE" w:rsidRDefault="00D451AE" w:rsidP="00203868">
      <w:pPr>
        <w:rPr>
          <w:rFonts w:asciiTheme="minorHAnsi" w:hAnsiTheme="minorHAnsi"/>
          <w:szCs w:val="24"/>
        </w:rPr>
      </w:pPr>
    </w:p>
    <w:p w14:paraId="0BE36815" w14:textId="77777777" w:rsidR="00B447F3" w:rsidRPr="003436F0" w:rsidRDefault="00A4110F" w:rsidP="008917DC">
      <w:pPr>
        <w:pStyle w:val="Heading1"/>
        <w:ind w:left="0"/>
        <w:rPr>
          <w:rFonts w:asciiTheme="minorHAnsi" w:hAnsiTheme="minorHAnsi"/>
        </w:rPr>
      </w:pPr>
      <w:bookmarkStart w:id="20" w:name="Factor_3:_Relevant_Licensure/Oversight_C"/>
      <w:bookmarkStart w:id="21" w:name="_Toc223962999"/>
      <w:bookmarkEnd w:id="20"/>
      <w:r w:rsidRPr="003436F0">
        <w:rPr>
          <w:rFonts w:asciiTheme="minorHAnsi" w:hAnsiTheme="minorHAnsi"/>
          <w:color w:val="42558C"/>
        </w:rPr>
        <w:t>Factor 3: Relevant Licensure/Oversight Compliance</w:t>
      </w:r>
      <w:bookmarkEnd w:id="21"/>
    </w:p>
    <w:p w14:paraId="01533F5A" w14:textId="5AD834D4" w:rsidR="00B447F3" w:rsidRDefault="00A4110F" w:rsidP="00BA2054">
      <w:pPr>
        <w:pStyle w:val="BodyText"/>
        <w:ind w:right="317"/>
        <w:rPr>
          <w:rFonts w:asciiTheme="minorHAnsi" w:hAnsiTheme="minorHAnsi"/>
        </w:rPr>
      </w:pPr>
      <w:r w:rsidRPr="003436F0">
        <w:rPr>
          <w:rFonts w:asciiTheme="minorHAnsi" w:hAnsiTheme="minorHAnsi"/>
        </w:rPr>
        <w:t xml:space="preserve">The Applicant has provided evidence of compliance and good standing with federal, state, and local laws and regulations and </w:t>
      </w:r>
      <w:r w:rsidR="12D2362A" w:rsidRPr="788A88D6">
        <w:rPr>
          <w:rFonts w:asciiTheme="minorHAnsi" w:hAnsiTheme="minorHAnsi"/>
        </w:rPr>
        <w:t xml:space="preserve">this </w:t>
      </w:r>
      <w:r w:rsidRPr="003436F0">
        <w:rPr>
          <w:rFonts w:asciiTheme="minorHAnsi" w:hAnsiTheme="minorHAnsi"/>
        </w:rPr>
        <w:t>will not be addressed further in this report. As a result of information provided by the Applicant, staff finds the Applicant has reasonably met the standards of Factor 3.</w:t>
      </w:r>
    </w:p>
    <w:p w14:paraId="0DF7D993" w14:textId="77777777" w:rsidR="00236BD4" w:rsidRDefault="00236BD4" w:rsidP="008917DC">
      <w:pPr>
        <w:pStyle w:val="BodyText"/>
        <w:ind w:right="321"/>
        <w:rPr>
          <w:rFonts w:asciiTheme="minorHAnsi" w:hAnsiTheme="minorHAnsi"/>
        </w:rPr>
      </w:pPr>
    </w:p>
    <w:p w14:paraId="3DDFCA58" w14:textId="4A44C1AB" w:rsidR="00B447F3" w:rsidRPr="00A27368" w:rsidRDefault="00A4110F" w:rsidP="00474C96">
      <w:pPr>
        <w:pStyle w:val="Heading1"/>
        <w:spacing w:before="87"/>
        <w:ind w:left="0" w:right="441"/>
        <w:rPr>
          <w:rFonts w:asciiTheme="minorHAnsi" w:hAnsiTheme="minorHAnsi"/>
          <w:color w:val="42558C"/>
        </w:rPr>
      </w:pPr>
      <w:bookmarkStart w:id="22" w:name="Factor_4:_Demonstration_of_Sufficient_Fu"/>
      <w:bookmarkStart w:id="23" w:name="_Toc223963000"/>
      <w:bookmarkEnd w:id="22"/>
      <w:r w:rsidRPr="003436F0">
        <w:rPr>
          <w:rFonts w:asciiTheme="minorHAnsi" w:hAnsiTheme="minorHAnsi"/>
          <w:color w:val="42558C"/>
        </w:rPr>
        <w:t>Factor 4:</w:t>
      </w:r>
      <w:r w:rsidR="00A27368">
        <w:rPr>
          <w:rFonts w:asciiTheme="minorHAnsi" w:hAnsiTheme="minorHAnsi"/>
          <w:color w:val="42558C"/>
        </w:rPr>
        <w:t xml:space="preserve"> </w:t>
      </w:r>
      <w:r w:rsidR="00474C96" w:rsidRPr="00474C96">
        <w:rPr>
          <w:rFonts w:asciiTheme="minorHAnsi" w:hAnsiTheme="minorHAnsi"/>
          <w:color w:val="42558C"/>
        </w:rPr>
        <w:t>Demonstration of Sufficient Funds as Supported by an Independent</w:t>
      </w:r>
      <w:r w:rsidR="00A27368">
        <w:rPr>
          <w:rFonts w:asciiTheme="minorHAnsi" w:hAnsiTheme="minorHAnsi"/>
          <w:color w:val="42558C"/>
        </w:rPr>
        <w:t xml:space="preserve"> </w:t>
      </w:r>
      <w:r w:rsidR="00474C96" w:rsidRPr="00474C96">
        <w:rPr>
          <w:rFonts w:asciiTheme="minorHAnsi" w:hAnsiTheme="minorHAnsi"/>
          <w:color w:val="42558C"/>
        </w:rPr>
        <w:t>CPA Analysis</w:t>
      </w:r>
      <w:bookmarkEnd w:id="23"/>
    </w:p>
    <w:p w14:paraId="4D625B2C" w14:textId="47A3FB9C" w:rsidR="00B447F3" w:rsidRPr="003436F0" w:rsidRDefault="00A4110F" w:rsidP="00BA2054">
      <w:pPr>
        <w:pStyle w:val="BodyText"/>
        <w:ind w:right="306"/>
        <w:rPr>
          <w:rFonts w:asciiTheme="minorHAnsi" w:hAnsiTheme="minorHAnsi"/>
        </w:rPr>
      </w:pPr>
      <w:r w:rsidRPr="003436F0">
        <w:rPr>
          <w:rFonts w:asciiTheme="minorHAnsi" w:hAnsiTheme="minorHAnsi"/>
        </w:rPr>
        <w:t>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conducted by an independent CPA. The Applicant submitted a report performed by</w:t>
      </w:r>
      <w:r w:rsidR="00F33F8E">
        <w:rPr>
          <w:rFonts w:asciiTheme="minorHAnsi" w:hAnsiTheme="minorHAnsi"/>
        </w:rPr>
        <w:t xml:space="preserve"> BDO </w:t>
      </w:r>
      <w:r w:rsidRPr="003436F0">
        <w:rPr>
          <w:rFonts w:asciiTheme="minorHAnsi" w:hAnsiTheme="minorHAnsi"/>
        </w:rPr>
        <w:t>(CPA Report).</w:t>
      </w:r>
    </w:p>
    <w:p w14:paraId="28424149" w14:textId="77777777" w:rsidR="00F0319B" w:rsidRDefault="00F0319B" w:rsidP="00BA2054">
      <w:pPr>
        <w:pStyle w:val="BodyText"/>
        <w:rPr>
          <w:rFonts w:asciiTheme="minorHAnsi" w:hAnsiTheme="minorHAnsi"/>
        </w:rPr>
      </w:pPr>
    </w:p>
    <w:p w14:paraId="79591148" w14:textId="2E145D73" w:rsidR="002D2424" w:rsidRDefault="00F0319B" w:rsidP="00BA2054">
      <w:pPr>
        <w:pStyle w:val="BodyText"/>
        <w:rPr>
          <w:rFonts w:asciiTheme="minorHAnsi" w:hAnsiTheme="minorHAnsi"/>
        </w:rPr>
      </w:pPr>
      <w:r w:rsidRPr="00F0319B">
        <w:rPr>
          <w:rFonts w:asciiTheme="minorHAnsi" w:hAnsiTheme="minorHAnsi"/>
        </w:rPr>
        <w:t xml:space="preserve">The scope of the CPA Report, performed by BDO, is limited to an analysis of the </w:t>
      </w:r>
      <w:r w:rsidR="003C6E64">
        <w:rPr>
          <w:rFonts w:asciiTheme="minorHAnsi" w:hAnsiTheme="minorHAnsi"/>
        </w:rPr>
        <w:t>thirteen</w:t>
      </w:r>
      <w:r w:rsidRPr="00F0319B">
        <w:rPr>
          <w:rFonts w:asciiTheme="minorHAnsi" w:hAnsiTheme="minorHAnsi"/>
        </w:rPr>
        <w:t xml:space="preserve">-year </w:t>
      </w:r>
      <w:r w:rsidR="003C6E64">
        <w:rPr>
          <w:rFonts w:asciiTheme="minorHAnsi" w:hAnsiTheme="minorHAnsi"/>
        </w:rPr>
        <w:t xml:space="preserve">financial </w:t>
      </w:r>
      <w:r w:rsidR="00A54F8E">
        <w:rPr>
          <w:rFonts w:asciiTheme="minorHAnsi" w:hAnsiTheme="minorHAnsi"/>
        </w:rPr>
        <w:t>p</w:t>
      </w:r>
      <w:r w:rsidRPr="00F0319B">
        <w:rPr>
          <w:rFonts w:asciiTheme="minorHAnsi" w:hAnsiTheme="minorHAnsi"/>
        </w:rPr>
        <w:t xml:space="preserve">rojections for </w:t>
      </w:r>
      <w:r w:rsidR="00A54F8E">
        <w:rPr>
          <w:rFonts w:asciiTheme="minorHAnsi" w:hAnsiTheme="minorHAnsi"/>
        </w:rPr>
        <w:t xml:space="preserve">the Applicant for </w:t>
      </w:r>
      <w:r w:rsidRPr="00F0319B">
        <w:rPr>
          <w:rFonts w:asciiTheme="minorHAnsi" w:hAnsiTheme="minorHAnsi"/>
        </w:rPr>
        <w:t xml:space="preserve">the fiscal years ending </w:t>
      </w:r>
      <w:r w:rsidR="006D2394">
        <w:rPr>
          <w:rFonts w:asciiTheme="minorHAnsi" w:hAnsiTheme="minorHAnsi"/>
        </w:rPr>
        <w:t>September 30</w:t>
      </w:r>
      <w:r w:rsidR="00BF6BB9">
        <w:rPr>
          <w:rFonts w:asciiTheme="minorHAnsi" w:hAnsiTheme="minorHAnsi"/>
        </w:rPr>
        <w:t xml:space="preserve">, </w:t>
      </w:r>
      <w:r w:rsidR="006D2394">
        <w:rPr>
          <w:rFonts w:asciiTheme="minorHAnsi" w:hAnsiTheme="minorHAnsi"/>
        </w:rPr>
        <w:t>202</w:t>
      </w:r>
      <w:r w:rsidR="00FC1CA7">
        <w:rPr>
          <w:rFonts w:asciiTheme="minorHAnsi" w:hAnsiTheme="minorHAnsi"/>
        </w:rPr>
        <w:t>5</w:t>
      </w:r>
      <w:r w:rsidR="006D2394">
        <w:rPr>
          <w:rFonts w:asciiTheme="minorHAnsi" w:hAnsiTheme="minorHAnsi"/>
        </w:rPr>
        <w:t xml:space="preserve"> through</w:t>
      </w:r>
      <w:r w:rsidR="00FC1CA7">
        <w:rPr>
          <w:rFonts w:asciiTheme="minorHAnsi" w:hAnsiTheme="minorHAnsi"/>
        </w:rPr>
        <w:t xml:space="preserve"> September 30,</w:t>
      </w:r>
      <w:r w:rsidR="006D2394">
        <w:rPr>
          <w:rFonts w:asciiTheme="minorHAnsi" w:hAnsiTheme="minorHAnsi"/>
        </w:rPr>
        <w:t xml:space="preserve"> 203</w:t>
      </w:r>
      <w:r w:rsidR="00FC1CA7">
        <w:rPr>
          <w:rFonts w:asciiTheme="minorHAnsi" w:hAnsiTheme="minorHAnsi"/>
        </w:rPr>
        <w:t>7</w:t>
      </w:r>
      <w:r w:rsidR="00AD27C6">
        <w:rPr>
          <w:rFonts w:asciiTheme="minorHAnsi" w:hAnsiTheme="minorHAnsi"/>
        </w:rPr>
        <w:t xml:space="preserve"> (Projection</w:t>
      </w:r>
      <w:r w:rsidR="00D24FD4">
        <w:rPr>
          <w:rFonts w:asciiTheme="minorHAnsi" w:hAnsiTheme="minorHAnsi"/>
        </w:rPr>
        <w:t xml:space="preserve"> Period</w:t>
      </w:r>
      <w:r w:rsidR="00AD27C6">
        <w:rPr>
          <w:rFonts w:asciiTheme="minorHAnsi" w:hAnsiTheme="minorHAnsi"/>
        </w:rPr>
        <w:t>)</w:t>
      </w:r>
      <w:r w:rsidRPr="00F0319B">
        <w:rPr>
          <w:rFonts w:asciiTheme="minorHAnsi" w:hAnsiTheme="minorHAnsi"/>
        </w:rPr>
        <w:t xml:space="preserve">, prepared by </w:t>
      </w:r>
      <w:r w:rsidR="008B4EEA">
        <w:rPr>
          <w:rFonts w:asciiTheme="minorHAnsi" w:hAnsiTheme="minorHAnsi"/>
        </w:rPr>
        <w:t xml:space="preserve">the </w:t>
      </w:r>
      <w:r w:rsidRPr="00F0319B">
        <w:rPr>
          <w:rFonts w:asciiTheme="minorHAnsi" w:hAnsiTheme="minorHAnsi"/>
        </w:rPr>
        <w:t>Management</w:t>
      </w:r>
      <w:r w:rsidR="008B4EEA">
        <w:rPr>
          <w:rFonts w:asciiTheme="minorHAnsi" w:hAnsiTheme="minorHAnsi"/>
        </w:rPr>
        <w:t xml:space="preserve"> of </w:t>
      </w:r>
      <w:r w:rsidR="00D37A05">
        <w:rPr>
          <w:rFonts w:asciiTheme="minorHAnsi" w:hAnsiTheme="minorHAnsi"/>
        </w:rPr>
        <w:t>Dana-Farber Cancer Institute</w:t>
      </w:r>
      <w:r w:rsidR="00245073">
        <w:rPr>
          <w:rFonts w:asciiTheme="minorHAnsi" w:hAnsiTheme="minorHAnsi"/>
        </w:rPr>
        <w:t xml:space="preserve"> (Management)</w:t>
      </w:r>
      <w:r w:rsidRPr="00F0319B">
        <w:rPr>
          <w:rFonts w:asciiTheme="minorHAnsi" w:hAnsiTheme="minorHAnsi"/>
        </w:rPr>
        <w:t>, and the supporting documentation</w:t>
      </w:r>
      <w:r w:rsidR="00BF6BB9">
        <w:rPr>
          <w:rFonts w:asciiTheme="minorHAnsi" w:hAnsiTheme="minorHAnsi"/>
        </w:rPr>
        <w:t xml:space="preserve"> to render an opinion as to the reasonableness of the assumptions used in the preparation and feasibility of the Projections.</w:t>
      </w:r>
      <w:r w:rsidRPr="00F0319B">
        <w:rPr>
          <w:rFonts w:asciiTheme="minorHAnsi" w:hAnsiTheme="minorHAnsi"/>
        </w:rPr>
        <w:t xml:space="preserve"> </w:t>
      </w:r>
    </w:p>
    <w:p w14:paraId="548D9FDC" w14:textId="77777777" w:rsidR="002D2424" w:rsidRDefault="000C02AC" w:rsidP="00BA2054">
      <w:pPr>
        <w:pStyle w:val="BodyText"/>
        <w:rPr>
          <w:rFonts w:asciiTheme="minorHAnsi" w:hAnsiTheme="minorHAnsi"/>
        </w:rPr>
      </w:pPr>
      <w:r w:rsidRPr="000C02AC">
        <w:rPr>
          <w:rFonts w:asciiTheme="minorHAnsi" w:hAnsiTheme="minorHAnsi"/>
        </w:rPr>
        <w:t>Reasonableness is defined within the context of this report as supportable and proper, given the underlying information. Feasibility is defined as</w:t>
      </w:r>
      <w:r w:rsidR="52AA23F9" w:rsidRPr="3E594735">
        <w:rPr>
          <w:rFonts w:asciiTheme="minorHAnsi" w:hAnsiTheme="minorHAnsi"/>
        </w:rPr>
        <w:t>,</w:t>
      </w:r>
      <w:r w:rsidRPr="000C02AC">
        <w:rPr>
          <w:rFonts w:asciiTheme="minorHAnsi" w:hAnsiTheme="minorHAnsi"/>
        </w:rPr>
        <w:t xml:space="preserve"> based on the assumptions used, the Proposed Project is not likely to result in a liquidation of the underlying assets or the need for reorganization.</w:t>
      </w:r>
      <w:r>
        <w:rPr>
          <w:rFonts w:asciiTheme="minorHAnsi" w:hAnsiTheme="minorHAnsi"/>
        </w:rPr>
        <w:t xml:space="preserve"> </w:t>
      </w:r>
    </w:p>
    <w:p w14:paraId="5CB15442" w14:textId="77777777" w:rsidR="002D2424" w:rsidRDefault="002D2424" w:rsidP="00BA2054">
      <w:pPr>
        <w:pStyle w:val="BodyText"/>
        <w:rPr>
          <w:rFonts w:asciiTheme="minorHAnsi" w:hAnsiTheme="minorHAnsi"/>
        </w:rPr>
      </w:pPr>
    </w:p>
    <w:p w14:paraId="59446BA3" w14:textId="583AA3F8" w:rsidR="00F33F8E" w:rsidRDefault="00F0319B" w:rsidP="00BA2054">
      <w:pPr>
        <w:pStyle w:val="BodyText"/>
        <w:rPr>
          <w:rFonts w:asciiTheme="minorHAnsi" w:hAnsiTheme="minorHAnsi"/>
        </w:rPr>
      </w:pPr>
      <w:r w:rsidRPr="00F0319B">
        <w:rPr>
          <w:rFonts w:asciiTheme="minorHAnsi" w:hAnsiTheme="minorHAnsi"/>
        </w:rPr>
        <w:t>The CPA reviewed documents produced by Management as well as third party industry data sources</w:t>
      </w:r>
      <w:r w:rsidR="00BD331B">
        <w:rPr>
          <w:rFonts w:asciiTheme="minorHAnsi" w:hAnsiTheme="minorHAnsi"/>
        </w:rPr>
        <w:t>, and historical results</w:t>
      </w:r>
      <w:r w:rsidRPr="00F0319B">
        <w:rPr>
          <w:rFonts w:asciiTheme="minorHAnsi" w:hAnsiTheme="minorHAnsi"/>
        </w:rPr>
        <w:t xml:space="preserve"> to formulate its conclusions; these documents included:</w:t>
      </w:r>
    </w:p>
    <w:p w14:paraId="7CFAF3F7" w14:textId="77777777" w:rsidR="00075319" w:rsidRDefault="00075319" w:rsidP="00BA2054">
      <w:pPr>
        <w:pStyle w:val="BodyText"/>
        <w:rPr>
          <w:rFonts w:asciiTheme="minorHAnsi" w:hAnsiTheme="minorHAnsi"/>
        </w:rPr>
      </w:pPr>
    </w:p>
    <w:p w14:paraId="441FC5E9" w14:textId="77777777" w:rsidR="000F4122" w:rsidRPr="000F4122" w:rsidRDefault="000F4122">
      <w:pPr>
        <w:pStyle w:val="BodyText"/>
        <w:numPr>
          <w:ilvl w:val="0"/>
          <w:numId w:val="11"/>
        </w:numPr>
        <w:rPr>
          <w:rFonts w:asciiTheme="minorHAnsi" w:hAnsiTheme="minorHAnsi"/>
        </w:rPr>
      </w:pPr>
      <w:r w:rsidRPr="000F4122">
        <w:rPr>
          <w:rFonts w:asciiTheme="minorHAnsi" w:hAnsiTheme="minorHAnsi"/>
        </w:rPr>
        <w:t>Financial model for DFCI on consolidated basis, including the operation of Proton Therapy Service for the periods ending September 30, 2025 through September 30, 2037;</w:t>
      </w:r>
    </w:p>
    <w:p w14:paraId="11F845D4" w14:textId="4DD2DE14" w:rsidR="000F4122" w:rsidRPr="000F4122" w:rsidRDefault="000F4122">
      <w:pPr>
        <w:pStyle w:val="BodyText"/>
        <w:numPr>
          <w:ilvl w:val="0"/>
          <w:numId w:val="11"/>
        </w:numPr>
        <w:rPr>
          <w:rFonts w:asciiTheme="minorHAnsi" w:hAnsiTheme="minorHAnsi"/>
        </w:rPr>
      </w:pPr>
      <w:r w:rsidRPr="000F4122">
        <w:rPr>
          <w:rFonts w:asciiTheme="minorHAnsi" w:hAnsiTheme="minorHAnsi"/>
        </w:rPr>
        <w:t>Financial model for DFCI proton on stand-alone basis for the periods ending September 30, 2025 through September 30, 20</w:t>
      </w:r>
      <w:r w:rsidR="00C1287F">
        <w:rPr>
          <w:rFonts w:asciiTheme="minorHAnsi" w:hAnsiTheme="minorHAnsi"/>
        </w:rPr>
        <w:t>68</w:t>
      </w:r>
      <w:r w:rsidRPr="000F4122">
        <w:rPr>
          <w:rFonts w:asciiTheme="minorHAnsi" w:hAnsiTheme="minorHAnsi"/>
        </w:rPr>
        <w:t>;</w:t>
      </w:r>
    </w:p>
    <w:p w14:paraId="7C9B82BF" w14:textId="77777777" w:rsidR="000F4122" w:rsidRPr="000F4122" w:rsidRDefault="000F4122">
      <w:pPr>
        <w:pStyle w:val="BodyText"/>
        <w:numPr>
          <w:ilvl w:val="0"/>
          <w:numId w:val="11"/>
        </w:numPr>
        <w:rPr>
          <w:rFonts w:asciiTheme="minorHAnsi" w:hAnsiTheme="minorHAnsi"/>
        </w:rPr>
      </w:pPr>
      <w:r w:rsidRPr="000F4122">
        <w:rPr>
          <w:rFonts w:asciiTheme="minorHAnsi" w:hAnsiTheme="minorHAnsi"/>
        </w:rPr>
        <w:t>Multi-Year financial plan presented to DFCI dated as of April 7, 2025;</w:t>
      </w:r>
    </w:p>
    <w:p w14:paraId="74F3C415" w14:textId="77777777" w:rsidR="000F4122" w:rsidRPr="000F4122" w:rsidRDefault="000F4122">
      <w:pPr>
        <w:pStyle w:val="BodyText"/>
        <w:numPr>
          <w:ilvl w:val="0"/>
          <w:numId w:val="11"/>
        </w:numPr>
        <w:rPr>
          <w:rFonts w:asciiTheme="minorHAnsi" w:hAnsiTheme="minorHAnsi"/>
        </w:rPr>
      </w:pPr>
      <w:r w:rsidRPr="000F4122">
        <w:rPr>
          <w:rFonts w:asciiTheme="minorHAnsi" w:hAnsiTheme="minorHAnsi"/>
        </w:rPr>
        <w:t>DFCI revenue analysis by payor for the period ending September 30, 2023 through September 30, 2032;</w:t>
      </w:r>
    </w:p>
    <w:p w14:paraId="46B64CA5" w14:textId="77777777" w:rsidR="000F4122" w:rsidRPr="000F4122" w:rsidRDefault="000F4122">
      <w:pPr>
        <w:pStyle w:val="BodyText"/>
        <w:numPr>
          <w:ilvl w:val="0"/>
          <w:numId w:val="11"/>
        </w:numPr>
        <w:rPr>
          <w:rFonts w:asciiTheme="minorHAnsi" w:hAnsiTheme="minorHAnsi"/>
        </w:rPr>
      </w:pPr>
      <w:r w:rsidRPr="000F4122">
        <w:rPr>
          <w:rFonts w:asciiTheme="minorHAnsi" w:hAnsiTheme="minorHAnsi"/>
        </w:rPr>
        <w:lastRenderedPageBreak/>
        <w:t>Draft DON narrative report as of May 20, 2025;</w:t>
      </w:r>
    </w:p>
    <w:p w14:paraId="5AA728E3" w14:textId="77777777" w:rsidR="000F4122" w:rsidRPr="000F4122" w:rsidRDefault="000F4122">
      <w:pPr>
        <w:pStyle w:val="BodyText"/>
        <w:numPr>
          <w:ilvl w:val="0"/>
          <w:numId w:val="11"/>
        </w:numPr>
        <w:rPr>
          <w:rFonts w:asciiTheme="minorHAnsi" w:hAnsiTheme="minorHAnsi"/>
        </w:rPr>
      </w:pPr>
      <w:r w:rsidRPr="000F4122">
        <w:rPr>
          <w:rFonts w:asciiTheme="minorHAnsi" w:hAnsiTheme="minorHAnsi"/>
        </w:rPr>
        <w:t>Proton lease financing proposal dated as of March 5, 2025;</w:t>
      </w:r>
    </w:p>
    <w:p w14:paraId="59D8693A" w14:textId="77777777" w:rsidR="000F4122" w:rsidRPr="000F4122" w:rsidRDefault="000F4122">
      <w:pPr>
        <w:pStyle w:val="BodyText"/>
        <w:numPr>
          <w:ilvl w:val="0"/>
          <w:numId w:val="11"/>
        </w:numPr>
        <w:rPr>
          <w:rFonts w:asciiTheme="minorHAnsi" w:hAnsiTheme="minorHAnsi"/>
        </w:rPr>
      </w:pPr>
      <w:r w:rsidRPr="000F4122">
        <w:rPr>
          <w:rFonts w:asciiTheme="minorHAnsi" w:hAnsiTheme="minorHAnsi"/>
        </w:rPr>
        <w:t>Factor 4 capacity staffing for Proposed Project;</w:t>
      </w:r>
    </w:p>
    <w:p w14:paraId="5E49AAF6" w14:textId="77777777" w:rsidR="000F4122" w:rsidRPr="000F4122" w:rsidRDefault="000F4122">
      <w:pPr>
        <w:pStyle w:val="BodyText"/>
        <w:numPr>
          <w:ilvl w:val="0"/>
          <w:numId w:val="11"/>
        </w:numPr>
        <w:rPr>
          <w:rFonts w:asciiTheme="minorHAnsi" w:hAnsiTheme="minorHAnsi"/>
        </w:rPr>
      </w:pPr>
      <w:r w:rsidRPr="000F4122">
        <w:rPr>
          <w:rFonts w:asciiTheme="minorHAnsi" w:hAnsiTheme="minorHAnsi"/>
        </w:rPr>
        <w:t xml:space="preserve">Future Cancer Hospital Debt Bridge; </w:t>
      </w:r>
    </w:p>
    <w:p w14:paraId="4B3097DA" w14:textId="77777777" w:rsidR="000F4122" w:rsidRPr="000F4122" w:rsidRDefault="000F4122">
      <w:pPr>
        <w:pStyle w:val="BodyText"/>
        <w:numPr>
          <w:ilvl w:val="0"/>
          <w:numId w:val="11"/>
        </w:numPr>
        <w:rPr>
          <w:rFonts w:asciiTheme="minorHAnsi" w:hAnsiTheme="minorHAnsi"/>
        </w:rPr>
      </w:pPr>
      <w:r w:rsidRPr="000F4122">
        <w:rPr>
          <w:rFonts w:asciiTheme="minorHAnsi" w:hAnsiTheme="minorHAnsi"/>
        </w:rPr>
        <w:t>Term Sheet between Mevion Medical Systems and DFCI dated as of February 11, 2025 for Mevion Proton System;</w:t>
      </w:r>
    </w:p>
    <w:p w14:paraId="223E6309" w14:textId="77777777" w:rsidR="000F4122" w:rsidRPr="000F4122" w:rsidRDefault="000F4122">
      <w:pPr>
        <w:pStyle w:val="BodyText"/>
        <w:numPr>
          <w:ilvl w:val="0"/>
          <w:numId w:val="11"/>
        </w:numPr>
        <w:rPr>
          <w:rFonts w:asciiTheme="minorHAnsi" w:hAnsiTheme="minorHAnsi"/>
        </w:rPr>
      </w:pPr>
      <w:r w:rsidRPr="000F4122">
        <w:rPr>
          <w:rFonts w:asciiTheme="minorHAnsi" w:hAnsiTheme="minorHAnsi"/>
        </w:rPr>
        <w:t>Proton Budget Development Summary Construction Costs as of May 29, 2025;</w:t>
      </w:r>
    </w:p>
    <w:p w14:paraId="4E6A05C5" w14:textId="77777777" w:rsidR="000F4122" w:rsidRPr="000F4122" w:rsidRDefault="000F4122">
      <w:pPr>
        <w:pStyle w:val="BodyText"/>
        <w:numPr>
          <w:ilvl w:val="0"/>
          <w:numId w:val="11"/>
        </w:numPr>
        <w:rPr>
          <w:rFonts w:asciiTheme="minorHAnsi" w:hAnsiTheme="minorHAnsi"/>
        </w:rPr>
      </w:pPr>
      <w:r w:rsidRPr="000F4122">
        <w:rPr>
          <w:rFonts w:asciiTheme="minorHAnsi" w:hAnsiTheme="minorHAnsi"/>
        </w:rPr>
        <w:t xml:space="preserve">Audited Financial Statements for </w:t>
      </w:r>
      <w:bookmarkStart w:id="24" w:name="_Hlk57821392"/>
      <w:r w:rsidRPr="000F4122">
        <w:rPr>
          <w:rFonts w:asciiTheme="minorHAnsi" w:hAnsiTheme="minorHAnsi"/>
        </w:rPr>
        <w:t xml:space="preserve">Dana-Farber Cancer Institute, Inc. </w:t>
      </w:r>
      <w:bookmarkEnd w:id="24"/>
      <w:r w:rsidRPr="000F4122">
        <w:rPr>
          <w:rFonts w:asciiTheme="minorHAnsi" w:hAnsiTheme="minorHAnsi"/>
        </w:rPr>
        <w:t>and its subsidiaries for Fiscal Years Ended September 30, 2023 and 2024;</w:t>
      </w:r>
    </w:p>
    <w:p w14:paraId="546C2491" w14:textId="3DC6034D" w:rsidR="000F4122" w:rsidRPr="000F4122" w:rsidRDefault="000F4122">
      <w:pPr>
        <w:pStyle w:val="BodyText"/>
        <w:numPr>
          <w:ilvl w:val="0"/>
          <w:numId w:val="11"/>
        </w:numPr>
        <w:rPr>
          <w:rFonts w:asciiTheme="minorHAnsi" w:hAnsiTheme="minorHAnsi"/>
        </w:rPr>
      </w:pPr>
      <w:r w:rsidRPr="000F4122">
        <w:rPr>
          <w:rFonts w:asciiTheme="minorHAnsi" w:hAnsiTheme="minorHAnsi"/>
        </w:rPr>
        <w:t>Management discussion and analysis quarterly statement for the quarter ended December 31, 2024;</w:t>
      </w:r>
    </w:p>
    <w:p w14:paraId="53C3ABE3" w14:textId="77777777" w:rsidR="000F4122" w:rsidRPr="000F4122" w:rsidRDefault="000F4122">
      <w:pPr>
        <w:pStyle w:val="BodyText"/>
        <w:numPr>
          <w:ilvl w:val="0"/>
          <w:numId w:val="11"/>
        </w:numPr>
        <w:rPr>
          <w:rFonts w:asciiTheme="minorHAnsi" w:hAnsiTheme="minorHAnsi"/>
        </w:rPr>
      </w:pPr>
      <w:r w:rsidRPr="000F4122">
        <w:rPr>
          <w:rFonts w:asciiTheme="minorHAnsi" w:hAnsiTheme="minorHAnsi"/>
        </w:rPr>
        <w:t>Philanthropy Projection as of February 27, 2025;</w:t>
      </w:r>
    </w:p>
    <w:p w14:paraId="14A5FBCF" w14:textId="77777777" w:rsidR="000F4122" w:rsidRPr="000F4122" w:rsidRDefault="000F4122">
      <w:pPr>
        <w:pStyle w:val="BodyText"/>
        <w:numPr>
          <w:ilvl w:val="0"/>
          <w:numId w:val="11"/>
        </w:numPr>
        <w:rPr>
          <w:rFonts w:asciiTheme="minorHAnsi" w:hAnsiTheme="minorHAnsi"/>
        </w:rPr>
      </w:pPr>
      <w:r w:rsidRPr="000F4122">
        <w:rPr>
          <w:rFonts w:asciiTheme="minorHAnsi" w:hAnsiTheme="minorHAnsi"/>
        </w:rPr>
        <w:t xml:space="preserve">Definitive Healthcare data as of January 2024; </w:t>
      </w:r>
    </w:p>
    <w:p w14:paraId="3EB9ED98" w14:textId="77777777" w:rsidR="000F4122" w:rsidRPr="000F4122" w:rsidRDefault="000F4122">
      <w:pPr>
        <w:pStyle w:val="BodyText"/>
        <w:numPr>
          <w:ilvl w:val="0"/>
          <w:numId w:val="11"/>
        </w:numPr>
        <w:rPr>
          <w:rFonts w:asciiTheme="minorHAnsi" w:hAnsiTheme="minorHAnsi"/>
        </w:rPr>
      </w:pPr>
      <w:r w:rsidRPr="000F4122">
        <w:rPr>
          <w:rFonts w:asciiTheme="minorHAnsi" w:hAnsiTheme="minorHAnsi"/>
        </w:rPr>
        <w:t xml:space="preserve">Data obtained from Integra Information, A Division of Microbilt Corporation as of February 5, 2025; and, </w:t>
      </w:r>
    </w:p>
    <w:p w14:paraId="7DDCBF4D" w14:textId="77777777" w:rsidR="000F4122" w:rsidRPr="000F4122" w:rsidRDefault="000F4122">
      <w:pPr>
        <w:pStyle w:val="BodyText"/>
        <w:numPr>
          <w:ilvl w:val="0"/>
          <w:numId w:val="11"/>
        </w:numPr>
        <w:rPr>
          <w:rFonts w:asciiTheme="minorHAnsi" w:hAnsiTheme="minorHAnsi"/>
        </w:rPr>
      </w:pPr>
      <w:r w:rsidRPr="000F4122">
        <w:rPr>
          <w:rFonts w:asciiTheme="minorHAnsi" w:hAnsiTheme="minorHAnsi"/>
        </w:rPr>
        <w:t>IBISWorld Industry Report, Hospitals in the US, dated March 2025.</w:t>
      </w:r>
    </w:p>
    <w:p w14:paraId="6D178AC9" w14:textId="77777777" w:rsidR="00B553E5" w:rsidRDefault="00B553E5" w:rsidP="00BA2054">
      <w:pPr>
        <w:pStyle w:val="BodyText"/>
        <w:rPr>
          <w:rFonts w:asciiTheme="minorHAnsi" w:hAnsiTheme="minorHAnsi"/>
        </w:rPr>
      </w:pPr>
    </w:p>
    <w:p w14:paraId="62F6635A" w14:textId="77777777" w:rsidR="00D97F2C" w:rsidRDefault="00002C5C" w:rsidP="00BA2054">
      <w:pPr>
        <w:pStyle w:val="BodyText"/>
        <w:rPr>
          <w:rFonts w:asciiTheme="minorHAnsi" w:hAnsiTheme="minorHAnsi"/>
        </w:rPr>
      </w:pPr>
      <w:r>
        <w:rPr>
          <w:rFonts w:asciiTheme="minorHAnsi" w:hAnsiTheme="minorHAnsi"/>
        </w:rPr>
        <w:t xml:space="preserve">To assess the reasonableness of the Projections, the CPA </w:t>
      </w:r>
      <w:r w:rsidR="00DF086F">
        <w:rPr>
          <w:rFonts w:asciiTheme="minorHAnsi" w:hAnsiTheme="minorHAnsi"/>
        </w:rPr>
        <w:t>calculated</w:t>
      </w:r>
      <w:r>
        <w:rPr>
          <w:rFonts w:asciiTheme="minorHAnsi" w:hAnsiTheme="minorHAnsi"/>
        </w:rPr>
        <w:t xml:space="preserve"> key metrics which compared the operating results of the Projections to market information from Integra Reports, IBISWorld, and Definitive Healthcare, as well as the Applicant’s historical performance. </w:t>
      </w:r>
      <w:r w:rsidR="00052964">
        <w:rPr>
          <w:rFonts w:asciiTheme="minorHAnsi" w:hAnsiTheme="minorHAnsi"/>
        </w:rPr>
        <w:t>The k</w:t>
      </w:r>
      <w:r w:rsidR="003A72EF">
        <w:rPr>
          <w:rFonts w:asciiTheme="minorHAnsi" w:hAnsiTheme="minorHAnsi"/>
        </w:rPr>
        <w:t>ey metrics fall into three categories</w:t>
      </w:r>
      <w:r w:rsidR="003A72EF" w:rsidRPr="003A72EF">
        <w:rPr>
          <w:rFonts w:asciiTheme="minorHAnsi" w:hAnsiTheme="minorHAnsi"/>
        </w:rPr>
        <w:t xml:space="preserve">: </w:t>
      </w:r>
      <w:r w:rsidR="00052964">
        <w:rPr>
          <w:rFonts w:asciiTheme="minorHAnsi" w:hAnsiTheme="minorHAnsi"/>
        </w:rPr>
        <w:t>profitability</w:t>
      </w:r>
      <w:r w:rsidR="003A72EF" w:rsidRPr="003A72EF">
        <w:rPr>
          <w:rFonts w:asciiTheme="minorHAnsi" w:hAnsiTheme="minorHAnsi"/>
        </w:rPr>
        <w:t>, liquidity, and solvency.</w:t>
      </w:r>
      <w:r w:rsidR="00052964">
        <w:rPr>
          <w:rStyle w:val="FootnoteReference"/>
          <w:rFonts w:asciiTheme="minorHAnsi" w:hAnsiTheme="minorHAnsi"/>
        </w:rPr>
        <w:footnoteReference w:id="74"/>
      </w:r>
    </w:p>
    <w:p w14:paraId="7CDAE634" w14:textId="77777777" w:rsidR="0092177C" w:rsidRDefault="0092177C" w:rsidP="00BA2054">
      <w:pPr>
        <w:pStyle w:val="BodyText"/>
        <w:rPr>
          <w:rFonts w:asciiTheme="minorHAnsi" w:hAnsiTheme="minorHAnsi"/>
        </w:rPr>
      </w:pPr>
    </w:p>
    <w:p w14:paraId="499A7C35" w14:textId="1B66F168" w:rsidR="00002C5C" w:rsidRPr="00487707" w:rsidRDefault="00487707" w:rsidP="00BA2054">
      <w:pPr>
        <w:pStyle w:val="BodyText"/>
        <w:rPr>
          <w:rFonts w:asciiTheme="minorHAnsi" w:hAnsiTheme="minorHAnsi"/>
          <w:b/>
          <w:bCs/>
        </w:rPr>
      </w:pPr>
      <w:r w:rsidRPr="00487707">
        <w:rPr>
          <w:rFonts w:asciiTheme="minorHAnsi" w:hAnsiTheme="minorHAnsi"/>
          <w:b/>
          <w:bCs/>
        </w:rPr>
        <w:t>Revenue</w:t>
      </w:r>
    </w:p>
    <w:p w14:paraId="7CFBAF81" w14:textId="77777777" w:rsidR="00820A5F" w:rsidRDefault="00E4487B" w:rsidP="00B553E5">
      <w:pPr>
        <w:pStyle w:val="BodyText"/>
        <w:rPr>
          <w:rFonts w:asciiTheme="minorHAnsi" w:hAnsiTheme="minorHAnsi"/>
        </w:rPr>
      </w:pPr>
      <w:r w:rsidRPr="00E4487B">
        <w:rPr>
          <w:rFonts w:asciiTheme="minorHAnsi" w:hAnsiTheme="minorHAnsi"/>
        </w:rPr>
        <w:t xml:space="preserve">The CPA analyzed the revenue forecast within the Projections. </w:t>
      </w:r>
      <w:r w:rsidR="00730ABD">
        <w:rPr>
          <w:rFonts w:asciiTheme="minorHAnsi" w:hAnsiTheme="minorHAnsi"/>
        </w:rPr>
        <w:t xml:space="preserve">Revenue streams include </w:t>
      </w:r>
      <w:r w:rsidR="00D37ED5">
        <w:rPr>
          <w:rFonts w:asciiTheme="minorHAnsi" w:hAnsiTheme="minorHAnsi"/>
        </w:rPr>
        <w:t xml:space="preserve">patient service revenue, direct grants and contracts revenue, </w:t>
      </w:r>
      <w:r w:rsidR="0042264C">
        <w:rPr>
          <w:rFonts w:asciiTheme="minorHAnsi" w:hAnsiTheme="minorHAnsi"/>
        </w:rPr>
        <w:t xml:space="preserve">gift related research revenue, indirect grants and contracts, unrestricted gifts and other operating revenue. </w:t>
      </w:r>
    </w:p>
    <w:p w14:paraId="528A6044" w14:textId="6F4D28C1" w:rsidR="001546D1" w:rsidRDefault="00214920">
      <w:pPr>
        <w:pStyle w:val="BodyText"/>
        <w:numPr>
          <w:ilvl w:val="0"/>
          <w:numId w:val="9"/>
        </w:numPr>
        <w:rPr>
          <w:rFonts w:asciiTheme="minorHAnsi" w:hAnsiTheme="minorHAnsi"/>
        </w:rPr>
      </w:pPr>
      <w:r>
        <w:rPr>
          <w:rFonts w:asciiTheme="minorHAnsi" w:hAnsiTheme="minorHAnsi"/>
        </w:rPr>
        <w:t>The cumulative patient service revenue comprises approximately 84.7% of the Applicant’s cumulative total operating revenue from FY25 through FY</w:t>
      </w:r>
      <w:r w:rsidR="00DD07AA">
        <w:rPr>
          <w:rFonts w:asciiTheme="minorHAnsi" w:hAnsiTheme="minorHAnsi"/>
        </w:rPr>
        <w:t>3</w:t>
      </w:r>
      <w:r>
        <w:rPr>
          <w:rFonts w:asciiTheme="minorHAnsi" w:hAnsiTheme="minorHAnsi"/>
        </w:rPr>
        <w:t xml:space="preserve">7. </w:t>
      </w:r>
    </w:p>
    <w:p w14:paraId="2C5BD08E" w14:textId="0DDD2A2B" w:rsidR="00D91C37" w:rsidRDefault="00D91C37">
      <w:pPr>
        <w:pStyle w:val="BodyText"/>
        <w:numPr>
          <w:ilvl w:val="0"/>
          <w:numId w:val="9"/>
        </w:numPr>
        <w:rPr>
          <w:rFonts w:asciiTheme="minorHAnsi" w:hAnsiTheme="minorHAnsi"/>
        </w:rPr>
      </w:pPr>
      <w:r>
        <w:rPr>
          <w:rFonts w:asciiTheme="minorHAnsi" w:hAnsiTheme="minorHAnsi"/>
        </w:rPr>
        <w:t xml:space="preserve">Projected patient service revenue is projected to increase by 11.2% in FY25 as compared to FY24. </w:t>
      </w:r>
    </w:p>
    <w:p w14:paraId="5F672EFB" w14:textId="11D807BF" w:rsidR="00892F63" w:rsidRDefault="00892F63">
      <w:pPr>
        <w:pStyle w:val="BodyText"/>
        <w:numPr>
          <w:ilvl w:val="0"/>
          <w:numId w:val="9"/>
        </w:numPr>
        <w:rPr>
          <w:rFonts w:asciiTheme="minorHAnsi" w:hAnsiTheme="minorHAnsi"/>
        </w:rPr>
      </w:pPr>
      <w:r>
        <w:rPr>
          <w:rFonts w:asciiTheme="minorHAnsi" w:hAnsiTheme="minorHAnsi"/>
        </w:rPr>
        <w:t>Patient service revenue is projected to increase for each fiscal year from FY26 to FY37, with increases ranging from 7.9% to 17.7%.</w:t>
      </w:r>
    </w:p>
    <w:p w14:paraId="08A345CD" w14:textId="0F98F882" w:rsidR="00177883" w:rsidRDefault="00177883">
      <w:pPr>
        <w:pStyle w:val="BodyText"/>
        <w:numPr>
          <w:ilvl w:val="0"/>
          <w:numId w:val="9"/>
        </w:numPr>
        <w:rPr>
          <w:rFonts w:asciiTheme="minorHAnsi" w:hAnsiTheme="minorHAnsi"/>
        </w:rPr>
      </w:pPr>
      <w:r>
        <w:rPr>
          <w:rFonts w:asciiTheme="minorHAnsi" w:hAnsiTheme="minorHAnsi"/>
        </w:rPr>
        <w:t>The Applicant’s revenue growth strategy is to achieve steady increases over the coming years</w:t>
      </w:r>
      <w:r w:rsidR="0003157D">
        <w:rPr>
          <w:rFonts w:asciiTheme="minorHAnsi" w:hAnsiTheme="minorHAnsi"/>
        </w:rPr>
        <w:t>.</w:t>
      </w:r>
    </w:p>
    <w:p w14:paraId="71B72661" w14:textId="77777777" w:rsidR="0003157D" w:rsidRDefault="0003157D" w:rsidP="0003157D">
      <w:pPr>
        <w:pStyle w:val="BodyText"/>
        <w:rPr>
          <w:rFonts w:asciiTheme="minorHAnsi" w:hAnsiTheme="minorHAnsi"/>
        </w:rPr>
      </w:pPr>
    </w:p>
    <w:p w14:paraId="280837FB" w14:textId="40BE99D7" w:rsidR="00E55F04" w:rsidRPr="0003157D" w:rsidRDefault="00E55F04" w:rsidP="0003157D">
      <w:pPr>
        <w:pStyle w:val="BodyText"/>
        <w:rPr>
          <w:rFonts w:asciiTheme="minorHAnsi" w:hAnsiTheme="minorHAnsi"/>
        </w:rPr>
      </w:pPr>
      <w:r>
        <w:rPr>
          <w:rFonts w:asciiTheme="minorHAnsi" w:hAnsiTheme="minorHAnsi"/>
        </w:rPr>
        <w:t xml:space="preserve">Management relied on historical operating results, specific market assumptions, and expected demographic trends within DFCI’s service area for the projected revenue. </w:t>
      </w:r>
      <w:r w:rsidR="00543D3E">
        <w:rPr>
          <w:rFonts w:asciiTheme="minorHAnsi" w:hAnsiTheme="minorHAnsi"/>
        </w:rPr>
        <w:t>The anticipated consolidated total operating revenue growth for DFCI for FY25 (11.3%) is below the three-year</w:t>
      </w:r>
      <w:r w:rsidR="0043321E">
        <w:rPr>
          <w:rFonts w:asciiTheme="minorHAnsi" w:hAnsiTheme="minorHAnsi"/>
        </w:rPr>
        <w:t xml:space="preserve"> </w:t>
      </w:r>
      <w:r w:rsidR="0043321E">
        <w:rPr>
          <w:rFonts w:asciiTheme="minorHAnsi" w:hAnsiTheme="minorHAnsi"/>
        </w:rPr>
        <w:lastRenderedPageBreak/>
        <w:t>(202</w:t>
      </w:r>
      <w:r w:rsidR="00F50C73">
        <w:rPr>
          <w:rFonts w:asciiTheme="minorHAnsi" w:hAnsiTheme="minorHAnsi"/>
        </w:rPr>
        <w:t>1</w:t>
      </w:r>
      <w:r w:rsidR="0043321E">
        <w:rPr>
          <w:rFonts w:asciiTheme="minorHAnsi" w:hAnsiTheme="minorHAnsi"/>
        </w:rPr>
        <w:t>-2024)</w:t>
      </w:r>
      <w:r w:rsidR="00543D3E">
        <w:rPr>
          <w:rFonts w:asciiTheme="minorHAnsi" w:hAnsiTheme="minorHAnsi"/>
        </w:rPr>
        <w:t xml:space="preserve"> compounded annual growth rate (CAGR)(</w:t>
      </w:r>
      <w:r w:rsidR="0043321E">
        <w:rPr>
          <w:rFonts w:asciiTheme="minorHAnsi" w:hAnsiTheme="minorHAnsi"/>
        </w:rPr>
        <w:t xml:space="preserve">14.9%), </w:t>
      </w:r>
      <w:r w:rsidR="00646040">
        <w:rPr>
          <w:rFonts w:asciiTheme="minorHAnsi" w:hAnsiTheme="minorHAnsi"/>
        </w:rPr>
        <w:t>and</w:t>
      </w:r>
      <w:r w:rsidR="0043321E">
        <w:rPr>
          <w:rFonts w:asciiTheme="minorHAnsi" w:hAnsiTheme="minorHAnsi"/>
        </w:rPr>
        <w:t xml:space="preserve"> is within the range of the annual</w:t>
      </w:r>
      <w:r w:rsidR="001D38A3">
        <w:rPr>
          <w:rFonts w:asciiTheme="minorHAnsi" w:hAnsiTheme="minorHAnsi"/>
        </w:rPr>
        <w:t xml:space="preserve"> growth rates (11.0%-18.7%)</w:t>
      </w:r>
      <w:r w:rsidR="00CA61E2">
        <w:rPr>
          <w:rFonts w:asciiTheme="minorHAnsi" w:hAnsiTheme="minorHAnsi"/>
        </w:rPr>
        <w:t xml:space="preserve"> observed between FY22 and FY24. The anticipated </w:t>
      </w:r>
      <w:r w:rsidR="00002030">
        <w:rPr>
          <w:rFonts w:asciiTheme="minorHAnsi" w:hAnsiTheme="minorHAnsi"/>
        </w:rPr>
        <w:t>revenue growth for DFCI for FY26 to FY37 (</w:t>
      </w:r>
      <w:r w:rsidR="00D51497">
        <w:rPr>
          <w:rFonts w:asciiTheme="minorHAnsi" w:hAnsiTheme="minorHAnsi"/>
        </w:rPr>
        <w:t>7.4%-15.7%)</w:t>
      </w:r>
      <w:r w:rsidR="00002030">
        <w:rPr>
          <w:rFonts w:asciiTheme="minorHAnsi" w:hAnsiTheme="minorHAnsi"/>
        </w:rPr>
        <w:t xml:space="preserve"> of the Projection Period</w:t>
      </w:r>
      <w:r w:rsidR="00D51497">
        <w:rPr>
          <w:rFonts w:asciiTheme="minorHAnsi" w:hAnsiTheme="minorHAnsi"/>
        </w:rPr>
        <w:t xml:space="preserve"> is expected to be more moderate compared to the higher growth rates experienced during the historical period from </w:t>
      </w:r>
      <w:r w:rsidR="00047A0C">
        <w:rPr>
          <w:rFonts w:asciiTheme="minorHAnsi" w:hAnsiTheme="minorHAnsi"/>
        </w:rPr>
        <w:t xml:space="preserve">2022 to 2024. </w:t>
      </w:r>
    </w:p>
    <w:p w14:paraId="3440D60D" w14:textId="77777777" w:rsidR="00B553E5" w:rsidRDefault="00B553E5" w:rsidP="00B553E5">
      <w:pPr>
        <w:pStyle w:val="BodyText"/>
        <w:rPr>
          <w:rFonts w:asciiTheme="minorHAnsi" w:hAnsiTheme="minorHAnsi"/>
        </w:rPr>
      </w:pPr>
    </w:p>
    <w:p w14:paraId="7622A0EC" w14:textId="5E8123B7" w:rsidR="001546D1" w:rsidRDefault="001546D1" w:rsidP="00BA2054">
      <w:pPr>
        <w:pStyle w:val="BodyText"/>
        <w:rPr>
          <w:rFonts w:asciiTheme="minorHAnsi" w:hAnsiTheme="minorHAnsi"/>
        </w:rPr>
      </w:pPr>
      <w:r>
        <w:rPr>
          <w:rFonts w:asciiTheme="minorHAnsi" w:hAnsiTheme="minorHAnsi"/>
        </w:rPr>
        <w:t>The CPA concluded that the revenue growth projected by Management is based on reasonable assumptions and is feasible for the combined operations of DFCI</w:t>
      </w:r>
      <w:r w:rsidR="00A761DC">
        <w:rPr>
          <w:rFonts w:asciiTheme="minorHAnsi" w:hAnsiTheme="minorHAnsi"/>
        </w:rPr>
        <w:t>.</w:t>
      </w:r>
    </w:p>
    <w:p w14:paraId="1DE09BDB" w14:textId="77777777" w:rsidR="00A761DC" w:rsidRDefault="00A761DC" w:rsidP="00BA2054">
      <w:pPr>
        <w:pStyle w:val="BodyText"/>
        <w:rPr>
          <w:rFonts w:asciiTheme="minorHAnsi" w:hAnsiTheme="minorHAnsi"/>
        </w:rPr>
      </w:pPr>
    </w:p>
    <w:p w14:paraId="6FB58818" w14:textId="2F2F01A9" w:rsidR="001546D1" w:rsidRPr="001546D1" w:rsidRDefault="001546D1" w:rsidP="00BA2054">
      <w:pPr>
        <w:pStyle w:val="BodyText"/>
        <w:rPr>
          <w:rFonts w:asciiTheme="minorHAnsi" w:hAnsiTheme="minorHAnsi"/>
          <w:b/>
          <w:bCs/>
        </w:rPr>
      </w:pPr>
      <w:r w:rsidRPr="001546D1">
        <w:rPr>
          <w:rFonts w:asciiTheme="minorHAnsi" w:hAnsiTheme="minorHAnsi"/>
          <w:b/>
          <w:bCs/>
        </w:rPr>
        <w:t>Operating Expenses</w:t>
      </w:r>
    </w:p>
    <w:p w14:paraId="047402C7" w14:textId="77777777" w:rsidR="00F73115" w:rsidRDefault="0073607C" w:rsidP="00B553E5">
      <w:pPr>
        <w:pStyle w:val="BodyText"/>
        <w:rPr>
          <w:rFonts w:asciiTheme="minorHAnsi" w:hAnsiTheme="minorHAnsi"/>
        </w:rPr>
      </w:pPr>
      <w:r>
        <w:rPr>
          <w:rFonts w:asciiTheme="minorHAnsi" w:hAnsiTheme="minorHAnsi"/>
        </w:rPr>
        <w:t xml:space="preserve">The CPA </w:t>
      </w:r>
      <w:r w:rsidRPr="0073607C">
        <w:rPr>
          <w:rFonts w:asciiTheme="minorHAnsi" w:hAnsiTheme="minorHAnsi"/>
        </w:rPr>
        <w:t>analyzed each of the categorized operating expenses for reasonableness and feasibility related to the Projections.</w:t>
      </w:r>
      <w:r>
        <w:rPr>
          <w:rFonts w:asciiTheme="minorHAnsi" w:hAnsiTheme="minorHAnsi"/>
        </w:rPr>
        <w:t xml:space="preserve"> </w:t>
      </w:r>
      <w:r w:rsidR="00070DB9">
        <w:rPr>
          <w:rFonts w:asciiTheme="minorHAnsi" w:hAnsiTheme="minorHAnsi"/>
        </w:rPr>
        <w:t xml:space="preserve">Operating expenses </w:t>
      </w:r>
      <w:r w:rsidR="00BB500B">
        <w:rPr>
          <w:rFonts w:asciiTheme="minorHAnsi" w:hAnsiTheme="minorHAnsi"/>
        </w:rPr>
        <w:t>include direct patient care expenses, direct research/restricted gifts, institute supported research (including fringe), general, administrative and plant, depreciatio</w:t>
      </w:r>
      <w:r w:rsidR="00F73115">
        <w:rPr>
          <w:rFonts w:asciiTheme="minorHAnsi" w:hAnsiTheme="minorHAnsi"/>
        </w:rPr>
        <w:t xml:space="preserve">n and amortization, and interest expenses. </w:t>
      </w:r>
    </w:p>
    <w:p w14:paraId="18C5B132" w14:textId="78D32160" w:rsidR="00DF5755" w:rsidRDefault="00F73115">
      <w:pPr>
        <w:pStyle w:val="BodyText"/>
        <w:numPr>
          <w:ilvl w:val="0"/>
          <w:numId w:val="12"/>
        </w:numPr>
        <w:rPr>
          <w:rFonts w:asciiTheme="minorHAnsi" w:hAnsiTheme="minorHAnsi"/>
        </w:rPr>
      </w:pPr>
      <w:r>
        <w:rPr>
          <w:rFonts w:asciiTheme="minorHAnsi" w:hAnsiTheme="minorHAnsi"/>
        </w:rPr>
        <w:t xml:space="preserve">Operating expenses are </w:t>
      </w:r>
      <w:r w:rsidR="00527A63">
        <w:rPr>
          <w:rFonts w:asciiTheme="minorHAnsi" w:hAnsiTheme="minorHAnsi"/>
        </w:rPr>
        <w:t>expected</w:t>
      </w:r>
      <w:r>
        <w:rPr>
          <w:rFonts w:asciiTheme="minorHAnsi" w:hAnsiTheme="minorHAnsi"/>
        </w:rPr>
        <w:t xml:space="preserve"> to increase within a range of 6.2% to 14.8% during the Projection Period, which the CPA states aligns with the expected revenue growth. </w:t>
      </w:r>
    </w:p>
    <w:p w14:paraId="388BBD27" w14:textId="20DED9BA" w:rsidR="00F73115" w:rsidRDefault="00F73115">
      <w:pPr>
        <w:pStyle w:val="BodyText"/>
        <w:numPr>
          <w:ilvl w:val="0"/>
          <w:numId w:val="12"/>
        </w:numPr>
        <w:rPr>
          <w:rFonts w:asciiTheme="minorHAnsi" w:hAnsiTheme="minorHAnsi"/>
        </w:rPr>
      </w:pPr>
      <w:r>
        <w:rPr>
          <w:rFonts w:asciiTheme="minorHAnsi" w:hAnsiTheme="minorHAnsi"/>
        </w:rPr>
        <w:t xml:space="preserve">Primary drivers of change in operating expenses during the initial years of the projections </w:t>
      </w:r>
      <w:r w:rsidR="00322E33">
        <w:rPr>
          <w:rFonts w:asciiTheme="minorHAnsi" w:hAnsiTheme="minorHAnsi"/>
        </w:rPr>
        <w:t>include</w:t>
      </w:r>
      <w:r>
        <w:rPr>
          <w:rFonts w:asciiTheme="minorHAnsi" w:hAnsiTheme="minorHAnsi"/>
        </w:rPr>
        <w:t xml:space="preserve"> growth in staffing, increased operational costs, investments in technology, and additional expenses related to </w:t>
      </w:r>
      <w:r w:rsidR="00322E33">
        <w:rPr>
          <w:rFonts w:asciiTheme="minorHAnsi" w:hAnsiTheme="minorHAnsi"/>
        </w:rPr>
        <w:t>patient</w:t>
      </w:r>
      <w:r>
        <w:rPr>
          <w:rFonts w:asciiTheme="minorHAnsi" w:hAnsiTheme="minorHAnsi"/>
        </w:rPr>
        <w:t xml:space="preserve"> care and </w:t>
      </w:r>
      <w:r w:rsidR="00322E33">
        <w:rPr>
          <w:rFonts w:asciiTheme="minorHAnsi" w:hAnsiTheme="minorHAnsi"/>
        </w:rPr>
        <w:t xml:space="preserve">general administration. </w:t>
      </w:r>
    </w:p>
    <w:p w14:paraId="0845313A" w14:textId="77777777" w:rsidR="0065648F" w:rsidRDefault="0065648F" w:rsidP="0065648F">
      <w:pPr>
        <w:pStyle w:val="BodyText"/>
        <w:ind w:left="770"/>
        <w:rPr>
          <w:rFonts w:asciiTheme="minorHAnsi" w:hAnsiTheme="minorHAnsi"/>
        </w:rPr>
      </w:pPr>
    </w:p>
    <w:p w14:paraId="3BD57C4F" w14:textId="62E18C02" w:rsidR="004E4058" w:rsidRDefault="004E4058" w:rsidP="00B553E5">
      <w:pPr>
        <w:pStyle w:val="BodyText"/>
        <w:rPr>
          <w:rFonts w:asciiTheme="minorHAnsi" w:hAnsiTheme="minorHAnsi"/>
        </w:rPr>
      </w:pPr>
      <w:r>
        <w:rPr>
          <w:rFonts w:asciiTheme="minorHAnsi" w:hAnsiTheme="minorHAnsi"/>
        </w:rPr>
        <w:t xml:space="preserve">The growth in expenses in FY25 (10.1%) is below </w:t>
      </w:r>
      <w:r w:rsidR="007E015B">
        <w:rPr>
          <w:rFonts w:asciiTheme="minorHAnsi" w:hAnsiTheme="minorHAnsi"/>
        </w:rPr>
        <w:t xml:space="preserve">the 2021-2024 CAGR </w:t>
      </w:r>
      <w:r w:rsidR="00F979BC" w:rsidRPr="00F979BC">
        <w:rPr>
          <w:rFonts w:asciiTheme="minorHAnsi" w:hAnsiTheme="minorHAnsi"/>
        </w:rPr>
        <w:t>(</w:t>
      </w:r>
      <w:r w:rsidR="00BC04F8">
        <w:rPr>
          <w:rFonts w:asciiTheme="minorHAnsi" w:hAnsiTheme="minorHAnsi"/>
        </w:rPr>
        <w:t xml:space="preserve">14.7%) </w:t>
      </w:r>
      <w:r>
        <w:rPr>
          <w:rFonts w:asciiTheme="minorHAnsi" w:hAnsiTheme="minorHAnsi"/>
        </w:rPr>
        <w:t>and within the range of the annual expense growth rate between FY22 and FY24 (12.1%-17.5%). The CPA notes that the projected total operating expenses for DFCI, expressed as a percentage of total operating revenue</w:t>
      </w:r>
      <w:r w:rsidR="001E7246">
        <w:rPr>
          <w:rFonts w:asciiTheme="minorHAnsi" w:hAnsiTheme="minorHAnsi"/>
        </w:rPr>
        <w:t xml:space="preserve">, are expected to range from 96.5% to 99.0% between FY25 and FY37, which aligns with DFCI’s historical operating expenses, which ranged from 96.5% to 98.0% of total operating revenue from FY21 to FY24. </w:t>
      </w:r>
    </w:p>
    <w:p w14:paraId="78F88494" w14:textId="77777777" w:rsidR="004E4058" w:rsidRDefault="004E4058" w:rsidP="00B553E5">
      <w:pPr>
        <w:pStyle w:val="BodyText"/>
        <w:rPr>
          <w:rFonts w:asciiTheme="minorHAnsi" w:hAnsiTheme="minorHAnsi"/>
        </w:rPr>
      </w:pPr>
    </w:p>
    <w:p w14:paraId="73DDC7E1" w14:textId="04ECB6B0" w:rsidR="00DF5755" w:rsidRDefault="00DF5755" w:rsidP="00CC5842">
      <w:pPr>
        <w:pStyle w:val="BodyText"/>
        <w:rPr>
          <w:rFonts w:asciiTheme="minorHAnsi" w:hAnsiTheme="minorHAnsi"/>
        </w:rPr>
      </w:pPr>
      <w:r w:rsidRPr="00DF5755">
        <w:rPr>
          <w:rFonts w:asciiTheme="minorHAnsi" w:hAnsiTheme="minorHAnsi"/>
        </w:rPr>
        <w:t xml:space="preserve">The CPA concluded that the </w:t>
      </w:r>
      <w:r w:rsidR="00CC5842" w:rsidRPr="00CC5842">
        <w:rPr>
          <w:rFonts w:asciiTheme="minorHAnsi" w:hAnsiTheme="minorHAnsi"/>
        </w:rPr>
        <w:t>operating expenses within the Projections reflect reasonable</w:t>
      </w:r>
      <w:r w:rsidR="009F611C">
        <w:rPr>
          <w:rFonts w:asciiTheme="minorHAnsi" w:hAnsiTheme="minorHAnsi"/>
        </w:rPr>
        <w:t xml:space="preserve"> </w:t>
      </w:r>
      <w:r w:rsidR="00CC5842" w:rsidRPr="00CC5842">
        <w:rPr>
          <w:rFonts w:asciiTheme="minorHAnsi" w:hAnsiTheme="minorHAnsi"/>
        </w:rPr>
        <w:t>estimation of future expenses of the Applicant</w:t>
      </w:r>
      <w:r w:rsidRPr="00DF5755">
        <w:rPr>
          <w:rFonts w:asciiTheme="minorHAnsi" w:hAnsiTheme="minorHAnsi"/>
        </w:rPr>
        <w:t>.</w:t>
      </w:r>
    </w:p>
    <w:p w14:paraId="28F2F986" w14:textId="77777777" w:rsidR="00DF5755" w:rsidRDefault="00DF5755" w:rsidP="00BA2054">
      <w:pPr>
        <w:pStyle w:val="BodyText"/>
        <w:rPr>
          <w:rFonts w:asciiTheme="minorHAnsi" w:hAnsiTheme="minorHAnsi"/>
        </w:rPr>
      </w:pPr>
    </w:p>
    <w:p w14:paraId="7E6FD57E" w14:textId="440851CD" w:rsidR="00FE1906" w:rsidRPr="00FE1906" w:rsidRDefault="00FE1906" w:rsidP="00BA2054">
      <w:pPr>
        <w:pStyle w:val="BodyText"/>
        <w:rPr>
          <w:rFonts w:asciiTheme="minorHAnsi" w:hAnsiTheme="minorHAnsi"/>
          <w:b/>
          <w:bCs/>
        </w:rPr>
      </w:pPr>
      <w:r w:rsidRPr="00FE1906">
        <w:rPr>
          <w:rFonts w:asciiTheme="minorHAnsi" w:hAnsiTheme="minorHAnsi"/>
          <w:b/>
          <w:bCs/>
        </w:rPr>
        <w:t xml:space="preserve">Capital Expenditures and Proposed Project Financing </w:t>
      </w:r>
    </w:p>
    <w:p w14:paraId="3945ADF3" w14:textId="5DE0C1B0" w:rsidR="00F60E4C" w:rsidRDefault="00F60E4C" w:rsidP="00B553E5">
      <w:pPr>
        <w:pStyle w:val="BodyText"/>
        <w:rPr>
          <w:rFonts w:asciiTheme="minorHAnsi" w:hAnsiTheme="minorHAnsi"/>
        </w:rPr>
      </w:pPr>
      <w:r>
        <w:rPr>
          <w:rFonts w:asciiTheme="minorHAnsi" w:hAnsiTheme="minorHAnsi"/>
        </w:rPr>
        <w:t>The CPA reviewed the project costs related to the Proposed Project</w:t>
      </w:r>
      <w:r w:rsidR="008423DE">
        <w:rPr>
          <w:rFonts w:asciiTheme="minorHAnsi" w:hAnsiTheme="minorHAnsi"/>
        </w:rPr>
        <w:t xml:space="preserve"> and discussed the anticipated financing of the Proposed Project with Management. </w:t>
      </w:r>
      <w:r w:rsidR="007F7FBC">
        <w:rPr>
          <w:rFonts w:asciiTheme="minorHAnsi" w:hAnsiTheme="minorHAnsi"/>
        </w:rPr>
        <w:t xml:space="preserve">The cost of the </w:t>
      </w:r>
      <w:r w:rsidR="00314F82">
        <w:rPr>
          <w:rFonts w:asciiTheme="minorHAnsi" w:hAnsiTheme="minorHAnsi"/>
        </w:rPr>
        <w:t>p</w:t>
      </w:r>
      <w:r w:rsidR="007F7FBC">
        <w:rPr>
          <w:rFonts w:asciiTheme="minorHAnsi" w:hAnsiTheme="minorHAnsi"/>
        </w:rPr>
        <w:t xml:space="preserve">roton </w:t>
      </w:r>
      <w:r w:rsidR="00314F82">
        <w:rPr>
          <w:rFonts w:asciiTheme="minorHAnsi" w:hAnsiTheme="minorHAnsi"/>
        </w:rPr>
        <w:t>e</w:t>
      </w:r>
      <w:r w:rsidR="007F7FBC">
        <w:rPr>
          <w:rFonts w:asciiTheme="minorHAnsi" w:hAnsiTheme="minorHAnsi"/>
        </w:rPr>
        <w:t xml:space="preserve">quipment will be funded through a financing lease arrangement, and the remaining expenses for the Proposed Project will be funded through DFCI’s operating cash flows. </w:t>
      </w:r>
      <w:r w:rsidR="00A35CC2">
        <w:rPr>
          <w:rFonts w:asciiTheme="minorHAnsi" w:hAnsiTheme="minorHAnsi"/>
        </w:rPr>
        <w:t xml:space="preserve">The CPA states that these costs are incorporated into the Applicant’s consolidated financial projections. </w:t>
      </w:r>
    </w:p>
    <w:p w14:paraId="3BEDE3E3" w14:textId="77777777" w:rsidR="00A35CC2" w:rsidRDefault="00A35CC2" w:rsidP="00B553E5">
      <w:pPr>
        <w:pStyle w:val="BodyText"/>
        <w:rPr>
          <w:rFonts w:asciiTheme="minorHAnsi" w:hAnsiTheme="minorHAnsi"/>
        </w:rPr>
      </w:pPr>
    </w:p>
    <w:p w14:paraId="7A54CFCF" w14:textId="16F2BBF9" w:rsidR="00A35CC2" w:rsidRDefault="005A2C81" w:rsidP="00B553E5">
      <w:pPr>
        <w:pStyle w:val="BodyText"/>
        <w:rPr>
          <w:rFonts w:asciiTheme="minorHAnsi" w:hAnsiTheme="minorHAnsi"/>
        </w:rPr>
      </w:pPr>
      <w:r>
        <w:rPr>
          <w:rFonts w:asciiTheme="minorHAnsi" w:hAnsiTheme="minorHAnsi"/>
        </w:rPr>
        <w:t xml:space="preserve">The CPA states that the Proposed Project represents a small percentage of the total projected capital expenditures for a </w:t>
      </w:r>
      <w:r w:rsidRPr="00D24FD4">
        <w:rPr>
          <w:rFonts w:asciiTheme="minorHAnsi" w:hAnsiTheme="minorHAnsi"/>
        </w:rPr>
        <w:t>multi-year period</w:t>
      </w:r>
      <w:r>
        <w:rPr>
          <w:rFonts w:asciiTheme="minorHAnsi" w:hAnsiTheme="minorHAnsi"/>
        </w:rPr>
        <w:t xml:space="preserve">. As of the FY24 balance sheet, the Applicant held $81.1 million in cash, and the Applicant’s financial model projects the average cash balance to be approximately $202.6 million over the </w:t>
      </w:r>
      <w:r w:rsidR="5B45241A" w:rsidRPr="0D0BE07E">
        <w:rPr>
          <w:rFonts w:asciiTheme="minorHAnsi" w:hAnsiTheme="minorHAnsi"/>
        </w:rPr>
        <w:t>thirteen-</w:t>
      </w:r>
      <w:r>
        <w:rPr>
          <w:rFonts w:asciiTheme="minorHAnsi" w:hAnsiTheme="minorHAnsi"/>
        </w:rPr>
        <w:t xml:space="preserve">year projection period, excluding the </w:t>
      </w:r>
      <w:r w:rsidR="00887147">
        <w:rPr>
          <w:rFonts w:asciiTheme="minorHAnsi" w:hAnsiTheme="minorHAnsi"/>
        </w:rPr>
        <w:t>Applicant’s</w:t>
      </w:r>
      <w:r>
        <w:rPr>
          <w:rFonts w:asciiTheme="minorHAnsi" w:hAnsiTheme="minorHAnsi"/>
        </w:rPr>
        <w:t xml:space="preserve"> various assets available to </w:t>
      </w:r>
      <w:r w:rsidR="00887147">
        <w:rPr>
          <w:rFonts w:asciiTheme="minorHAnsi" w:hAnsiTheme="minorHAnsi"/>
        </w:rPr>
        <w:t>f</w:t>
      </w:r>
      <w:r>
        <w:rPr>
          <w:rFonts w:asciiTheme="minorHAnsi" w:hAnsiTheme="minorHAnsi"/>
        </w:rPr>
        <w:t>un</w:t>
      </w:r>
      <w:r w:rsidR="00887147">
        <w:rPr>
          <w:rFonts w:asciiTheme="minorHAnsi" w:hAnsiTheme="minorHAnsi"/>
        </w:rPr>
        <w:t>d</w:t>
      </w:r>
      <w:r>
        <w:rPr>
          <w:rFonts w:asciiTheme="minorHAnsi" w:hAnsiTheme="minorHAnsi"/>
        </w:rPr>
        <w:t xml:space="preserve"> the Proposed Project. </w:t>
      </w:r>
    </w:p>
    <w:p w14:paraId="289C3576" w14:textId="77777777" w:rsidR="005A4F4B" w:rsidRDefault="005A4F4B" w:rsidP="00B553E5">
      <w:pPr>
        <w:pStyle w:val="BodyText"/>
        <w:rPr>
          <w:rFonts w:asciiTheme="minorHAnsi" w:hAnsiTheme="minorHAnsi"/>
        </w:rPr>
      </w:pPr>
    </w:p>
    <w:p w14:paraId="553F46F9" w14:textId="614A93D1" w:rsidR="00FE1906" w:rsidRPr="00823223" w:rsidRDefault="00823223" w:rsidP="00BA2054">
      <w:pPr>
        <w:pStyle w:val="BodyText"/>
        <w:rPr>
          <w:rFonts w:asciiTheme="minorHAnsi" w:hAnsiTheme="minorHAnsi"/>
          <w:b/>
          <w:bCs/>
        </w:rPr>
      </w:pPr>
      <w:r w:rsidRPr="00823223">
        <w:rPr>
          <w:rFonts w:asciiTheme="minorHAnsi" w:hAnsiTheme="minorHAnsi"/>
          <w:b/>
          <w:bCs/>
        </w:rPr>
        <w:lastRenderedPageBreak/>
        <w:t>Feasibility</w:t>
      </w:r>
    </w:p>
    <w:p w14:paraId="701F3C36" w14:textId="44F1D70E" w:rsidR="008D413E" w:rsidRDefault="00FE1906" w:rsidP="00BA2054">
      <w:pPr>
        <w:pStyle w:val="BodyText"/>
        <w:rPr>
          <w:rFonts w:asciiTheme="minorHAnsi" w:hAnsiTheme="minorHAnsi"/>
          <w:i/>
          <w:iCs/>
        </w:rPr>
      </w:pPr>
      <w:r>
        <w:rPr>
          <w:rFonts w:asciiTheme="minorHAnsi" w:hAnsiTheme="minorHAnsi"/>
        </w:rPr>
        <w:t>The CPA conclud</w:t>
      </w:r>
      <w:r w:rsidR="00823223">
        <w:rPr>
          <w:rFonts w:asciiTheme="minorHAnsi" w:hAnsiTheme="minorHAnsi"/>
        </w:rPr>
        <w:t xml:space="preserve">ed, </w:t>
      </w:r>
      <w:r w:rsidR="00B553E5">
        <w:rPr>
          <w:rFonts w:asciiTheme="minorHAnsi" w:hAnsiTheme="minorHAnsi"/>
          <w:i/>
          <w:iCs/>
        </w:rPr>
        <w:t>“</w:t>
      </w:r>
      <w:r w:rsidR="006F3F64" w:rsidRPr="006F3F64">
        <w:rPr>
          <w:rFonts w:asciiTheme="minorHAnsi" w:hAnsiTheme="minorHAnsi"/>
          <w:i/>
          <w:iCs/>
        </w:rPr>
        <w:t>Within the projected financial information, the Projections exhibit a cumulative operating EBIDA surplus of approximately 5.2 percent of cumulative projected operating revenue for the thirteen years from FY 2025 through FY 2037. Based upon our review of the relevant documents and analysis of the Projections, we determined the anticipated EBIDA surplus is a reasonable expectation and based upon feasible financial assumptions. Accordingly, we determined that the Projections are reasonable and feasible, and not likely to have a negative impact on the patient panel or result in a liquidation of major assets of DFCI.</w:t>
      </w:r>
      <w:r w:rsidR="008D413E" w:rsidRPr="008D413E">
        <w:rPr>
          <w:rFonts w:asciiTheme="minorHAnsi" w:hAnsiTheme="minorHAnsi"/>
          <w:i/>
          <w:iCs/>
        </w:rPr>
        <w:t>”</w:t>
      </w:r>
    </w:p>
    <w:p w14:paraId="46F4DA15" w14:textId="77777777" w:rsidR="00C343C4" w:rsidRDefault="00C343C4" w:rsidP="00BA2054">
      <w:pPr>
        <w:pStyle w:val="BodyText"/>
        <w:rPr>
          <w:rFonts w:asciiTheme="minorHAnsi" w:hAnsiTheme="minorHAnsi"/>
          <w:i/>
          <w:iCs/>
        </w:rPr>
      </w:pPr>
    </w:p>
    <w:p w14:paraId="6E2B6999" w14:textId="2701A07A" w:rsidR="00330CD5" w:rsidRPr="00281311" w:rsidRDefault="00330CD5" w:rsidP="00330CD5">
      <w:pPr>
        <w:pStyle w:val="BodyText"/>
        <w:rPr>
          <w:rFonts w:asciiTheme="minorHAnsi" w:hAnsiTheme="minorHAnsi"/>
          <w:b/>
          <w:bCs/>
          <w:i/>
          <w:iCs/>
        </w:rPr>
      </w:pPr>
      <w:r w:rsidRPr="00281311">
        <w:rPr>
          <w:rFonts w:asciiTheme="minorHAnsi" w:hAnsiTheme="minorHAnsi"/>
          <w:b/>
          <w:bCs/>
          <w:i/>
          <w:iCs/>
        </w:rPr>
        <w:t xml:space="preserve">Analysis </w:t>
      </w:r>
    </w:p>
    <w:p w14:paraId="0FA954EB" w14:textId="3E7E5F65" w:rsidR="00330CD5" w:rsidRDefault="00281311" w:rsidP="00B21948">
      <w:pPr>
        <w:pStyle w:val="BodyText"/>
        <w:rPr>
          <w:rFonts w:asciiTheme="minorHAnsi" w:hAnsiTheme="minorHAnsi"/>
        </w:rPr>
      </w:pPr>
      <w:r w:rsidRPr="00281311">
        <w:rPr>
          <w:rFonts w:asciiTheme="minorHAnsi" w:hAnsiTheme="minorHAnsi"/>
        </w:rPr>
        <w:t>Staff is satisfied with the CPA’s analysis of the Applicant’s decision to proceed with the Proposed Project. As a result, staff finds the CPA analysis to be acceptable and that the Applicant has met the requirements of Factor 4.</w:t>
      </w:r>
    </w:p>
    <w:p w14:paraId="566C5B97" w14:textId="77777777" w:rsidR="00D94A49" w:rsidRDefault="00D94A49" w:rsidP="00B553E5">
      <w:pPr>
        <w:pStyle w:val="BodyText"/>
        <w:rPr>
          <w:rFonts w:asciiTheme="minorHAnsi" w:hAnsiTheme="minorHAnsi"/>
        </w:rPr>
      </w:pPr>
    </w:p>
    <w:p w14:paraId="39D90124" w14:textId="51480EE6" w:rsidR="00B447F3" w:rsidRPr="003436F0" w:rsidRDefault="00A4110F" w:rsidP="008917DC">
      <w:pPr>
        <w:pStyle w:val="Heading1"/>
        <w:spacing w:before="1"/>
        <w:ind w:left="0"/>
        <w:rPr>
          <w:rFonts w:asciiTheme="minorHAnsi" w:hAnsiTheme="minorHAnsi"/>
        </w:rPr>
      </w:pPr>
      <w:bookmarkStart w:id="25" w:name="Factor_5:_Assessment_of_the_Proposed_Pro"/>
      <w:bookmarkStart w:id="26" w:name="_Toc223963001"/>
      <w:bookmarkEnd w:id="25"/>
      <w:r w:rsidRPr="003436F0">
        <w:rPr>
          <w:rFonts w:asciiTheme="minorHAnsi" w:hAnsiTheme="minorHAnsi"/>
          <w:color w:val="42558C"/>
        </w:rPr>
        <w:t>Factor 5: Assessment of the Proposed Project’s Relative Merit</w:t>
      </w:r>
      <w:bookmarkEnd w:id="26"/>
    </w:p>
    <w:p w14:paraId="4FC717A7" w14:textId="19A1B310" w:rsidR="00B447F3" w:rsidRDefault="72D05E68" w:rsidP="7A7DE3ED">
      <w:pPr>
        <w:pStyle w:val="BodyText"/>
        <w:rPr>
          <w:rFonts w:asciiTheme="minorHAnsi" w:hAnsiTheme="minorHAnsi"/>
        </w:rPr>
      </w:pPr>
      <w:r w:rsidRPr="7A7DE3ED">
        <w:rPr>
          <w:rFonts w:asciiTheme="minorHAnsi" w:hAnsiTheme="minorHAnsi"/>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w:t>
      </w:r>
      <w:bookmarkStart w:id="27" w:name="_Int_BedYxzXG"/>
      <w:r w:rsidRPr="7A7DE3ED">
        <w:rPr>
          <w:rFonts w:asciiTheme="minorHAnsi" w:hAnsiTheme="minorHAnsi"/>
        </w:rPr>
        <w:t>take into account</w:t>
      </w:r>
      <w:bookmarkEnd w:id="27"/>
      <w:r w:rsidRPr="7A7DE3ED">
        <w:rPr>
          <w:rFonts w:asciiTheme="minorHAnsi" w:hAnsiTheme="minorHAnsi"/>
        </w:rPr>
        <w:t>, at a minimum, the quality, efficiency, and capital and operating costs of the Proposed Project relative to potential alternatives or substitutes, including alternative evidence-based strategies and public health interventions.</w:t>
      </w:r>
    </w:p>
    <w:p w14:paraId="7C446C8B" w14:textId="77777777" w:rsidR="00D9348B" w:rsidRDefault="00D9348B" w:rsidP="00BA2054">
      <w:pPr>
        <w:pStyle w:val="BodyText"/>
        <w:rPr>
          <w:rFonts w:asciiTheme="minorHAnsi" w:hAnsiTheme="minorHAnsi"/>
        </w:rPr>
      </w:pPr>
    </w:p>
    <w:p w14:paraId="68A11796" w14:textId="7FBAAEF8" w:rsidR="00C20BDF" w:rsidRDefault="00C20BDF" w:rsidP="00991F05">
      <w:pPr>
        <w:pStyle w:val="BodyText"/>
        <w:rPr>
          <w:rFonts w:asciiTheme="minorHAnsi" w:hAnsiTheme="minorHAnsi"/>
        </w:rPr>
      </w:pPr>
      <w:r w:rsidRPr="00C20BDF">
        <w:rPr>
          <w:rFonts w:asciiTheme="minorHAnsi" w:hAnsiTheme="minorHAnsi"/>
        </w:rPr>
        <w:t>The Applicant states that it has been exploring opportunities to provide PBT</w:t>
      </w:r>
      <w:r w:rsidR="00B10857">
        <w:rPr>
          <w:rFonts w:asciiTheme="minorHAnsi" w:hAnsiTheme="minorHAnsi"/>
        </w:rPr>
        <w:t xml:space="preserve"> treatment</w:t>
      </w:r>
      <w:r w:rsidRPr="00C20BDF">
        <w:rPr>
          <w:rFonts w:asciiTheme="minorHAnsi" w:hAnsiTheme="minorHAnsi"/>
        </w:rPr>
        <w:t xml:space="preserve"> for years, </w:t>
      </w:r>
      <w:r w:rsidR="00B10857">
        <w:rPr>
          <w:rFonts w:asciiTheme="minorHAnsi" w:hAnsiTheme="minorHAnsi"/>
        </w:rPr>
        <w:t xml:space="preserve">given the overwhelming need, </w:t>
      </w:r>
      <w:r w:rsidRPr="00C20BDF">
        <w:rPr>
          <w:rFonts w:asciiTheme="minorHAnsi" w:hAnsiTheme="minorHAnsi"/>
        </w:rPr>
        <w:t>and during this exploratory process PBT technology has evolved, along with the Applicant’s planning, from a PBT center with cyclotron, requiring a significant capital expenditure</w:t>
      </w:r>
      <w:r w:rsidR="00A31BB4">
        <w:rPr>
          <w:rFonts w:asciiTheme="minorHAnsi" w:hAnsiTheme="minorHAnsi"/>
        </w:rPr>
        <w:t xml:space="preserve"> and </w:t>
      </w:r>
      <w:r w:rsidR="00613D48">
        <w:rPr>
          <w:rFonts w:asciiTheme="minorHAnsi" w:hAnsiTheme="minorHAnsi"/>
        </w:rPr>
        <w:t>often multiple rooms</w:t>
      </w:r>
      <w:r w:rsidRPr="00C20BDF">
        <w:rPr>
          <w:rFonts w:asciiTheme="minorHAnsi" w:hAnsiTheme="minorHAnsi"/>
        </w:rPr>
        <w:t xml:space="preserve">, to a single-room PBT system with gantry-mounted proton accelerator. The Applicant maintains that the evolution of technology made </w:t>
      </w:r>
      <w:r w:rsidR="00117989">
        <w:rPr>
          <w:rFonts w:asciiTheme="minorHAnsi" w:hAnsiTheme="minorHAnsi"/>
        </w:rPr>
        <w:t xml:space="preserve">the Proposed Project featuring upright PBT feasible. </w:t>
      </w:r>
      <w:r w:rsidR="00B96933">
        <w:rPr>
          <w:rFonts w:asciiTheme="minorHAnsi" w:hAnsiTheme="minorHAnsi"/>
        </w:rPr>
        <w:t>Upright PBT</w:t>
      </w:r>
      <w:r w:rsidR="00117989">
        <w:rPr>
          <w:rFonts w:asciiTheme="minorHAnsi" w:hAnsiTheme="minorHAnsi"/>
        </w:rPr>
        <w:t xml:space="preserve"> </w:t>
      </w:r>
      <w:r w:rsidRPr="00C20BDF">
        <w:rPr>
          <w:rFonts w:asciiTheme="minorHAnsi" w:hAnsiTheme="minorHAnsi"/>
        </w:rPr>
        <w:t xml:space="preserve">has a smaller facility footprint, </w:t>
      </w:r>
      <w:r w:rsidR="00AE354E">
        <w:rPr>
          <w:rFonts w:asciiTheme="minorHAnsi" w:hAnsiTheme="minorHAnsi"/>
        </w:rPr>
        <w:t xml:space="preserve">and </w:t>
      </w:r>
      <w:r w:rsidRPr="00C20BDF">
        <w:rPr>
          <w:rFonts w:asciiTheme="minorHAnsi" w:hAnsiTheme="minorHAnsi"/>
        </w:rPr>
        <w:t xml:space="preserve">lower costs, allowing the Applicant to site the Center in a location that integrates PBT into DFCI’s existing campus </w:t>
      </w:r>
      <w:r w:rsidR="00C73655">
        <w:rPr>
          <w:rFonts w:asciiTheme="minorHAnsi" w:hAnsiTheme="minorHAnsi"/>
        </w:rPr>
        <w:t>amidst the Applicant’s Jimmy Fund Clinic and BCH</w:t>
      </w:r>
      <w:r w:rsidR="00E12A97">
        <w:rPr>
          <w:rFonts w:asciiTheme="minorHAnsi" w:hAnsiTheme="minorHAnsi"/>
        </w:rPr>
        <w:t xml:space="preserve">, which supports continuity of care. </w:t>
      </w:r>
      <w:r w:rsidRPr="00C20BDF">
        <w:rPr>
          <w:rFonts w:asciiTheme="minorHAnsi" w:hAnsiTheme="minorHAnsi"/>
        </w:rPr>
        <w:t xml:space="preserve"> </w:t>
      </w:r>
    </w:p>
    <w:p w14:paraId="5A593B04" w14:textId="77777777" w:rsidR="00C20BDF" w:rsidRDefault="00C20BDF" w:rsidP="00991F05">
      <w:pPr>
        <w:pStyle w:val="BodyText"/>
        <w:rPr>
          <w:rFonts w:asciiTheme="minorHAnsi" w:hAnsiTheme="minorHAnsi"/>
        </w:rPr>
      </w:pPr>
    </w:p>
    <w:p w14:paraId="134B4A76" w14:textId="3A88DEB3" w:rsidR="000400A3" w:rsidRDefault="00991F05" w:rsidP="00991F05">
      <w:pPr>
        <w:pStyle w:val="BodyText"/>
        <w:rPr>
          <w:rFonts w:asciiTheme="minorHAnsi" w:hAnsiTheme="minorHAnsi"/>
        </w:rPr>
      </w:pPr>
      <w:r w:rsidRPr="00991F05">
        <w:rPr>
          <w:rFonts w:asciiTheme="minorHAnsi" w:hAnsiTheme="minorHAnsi"/>
        </w:rPr>
        <w:t>The Applicant</w:t>
      </w:r>
      <w:r w:rsidR="000946B6">
        <w:rPr>
          <w:rFonts w:asciiTheme="minorHAnsi" w:hAnsiTheme="minorHAnsi"/>
        </w:rPr>
        <w:t>’s</w:t>
      </w:r>
      <w:r w:rsidRPr="00991F05">
        <w:rPr>
          <w:rFonts w:asciiTheme="minorHAnsi" w:hAnsiTheme="minorHAnsi"/>
        </w:rPr>
        <w:t xml:space="preserve"> </w:t>
      </w:r>
      <w:r w:rsidR="009E0B9D">
        <w:rPr>
          <w:rFonts w:asciiTheme="minorHAnsi" w:hAnsiTheme="minorHAnsi"/>
        </w:rPr>
        <w:t xml:space="preserve">explanation of the alternatives considered to the Proposed </w:t>
      </w:r>
      <w:r w:rsidR="00307039">
        <w:rPr>
          <w:rFonts w:asciiTheme="minorHAnsi" w:hAnsiTheme="minorHAnsi"/>
        </w:rPr>
        <w:t>P</w:t>
      </w:r>
      <w:r w:rsidR="009E0B9D">
        <w:rPr>
          <w:rFonts w:asciiTheme="minorHAnsi" w:hAnsiTheme="minorHAnsi"/>
        </w:rPr>
        <w:t>roject consolidates several alternatives considered along two dimensions: location (Boston vs. outside Boston), and technology (upright, single-room unit vs. three-room</w:t>
      </w:r>
      <w:r w:rsidR="001079D5">
        <w:rPr>
          <w:rFonts w:asciiTheme="minorHAnsi" w:hAnsiTheme="minorHAnsi"/>
        </w:rPr>
        <w:t xml:space="preserve"> supine PBT Center). </w:t>
      </w:r>
      <w:r w:rsidR="009E0B9D">
        <w:rPr>
          <w:rFonts w:asciiTheme="minorHAnsi" w:hAnsiTheme="minorHAnsi"/>
        </w:rPr>
        <w:t xml:space="preserve"> </w:t>
      </w:r>
    </w:p>
    <w:p w14:paraId="05124910" w14:textId="77777777" w:rsidR="006B049F" w:rsidRDefault="006B049F" w:rsidP="00991F05">
      <w:pPr>
        <w:pStyle w:val="BodyText"/>
        <w:rPr>
          <w:rFonts w:asciiTheme="minorHAnsi" w:hAnsiTheme="minorHAnsi"/>
        </w:rPr>
      </w:pPr>
    </w:p>
    <w:p w14:paraId="2FE034FF" w14:textId="0F799EDF" w:rsidR="000400A3" w:rsidRDefault="000400A3" w:rsidP="00991F05">
      <w:pPr>
        <w:pStyle w:val="BodyText"/>
        <w:rPr>
          <w:rFonts w:asciiTheme="minorHAnsi" w:hAnsiTheme="minorHAnsi"/>
          <w:b/>
          <w:bCs/>
        </w:rPr>
      </w:pPr>
      <w:r w:rsidRPr="007359D0">
        <w:rPr>
          <w:rFonts w:asciiTheme="minorHAnsi" w:hAnsiTheme="minorHAnsi"/>
          <w:b/>
          <w:bCs/>
        </w:rPr>
        <w:t>The Proposed Project</w:t>
      </w:r>
      <w:r w:rsidR="00CC6FC8">
        <w:rPr>
          <w:rFonts w:asciiTheme="minorHAnsi" w:hAnsiTheme="minorHAnsi"/>
          <w:b/>
          <w:bCs/>
        </w:rPr>
        <w:t xml:space="preserve">: </w:t>
      </w:r>
      <w:r w:rsidR="00CC6FC8" w:rsidRPr="00CC6FC8">
        <w:rPr>
          <w:rFonts w:asciiTheme="minorHAnsi" w:hAnsiTheme="minorHAnsi"/>
          <w:b/>
          <w:bCs/>
        </w:rPr>
        <w:t>An upright single-gantry proton therapy system</w:t>
      </w:r>
    </w:p>
    <w:p w14:paraId="4ABAC5F3" w14:textId="7004E870" w:rsidR="000400A3" w:rsidRPr="00B7111C" w:rsidRDefault="000400A3" w:rsidP="001769C6">
      <w:pPr>
        <w:pStyle w:val="BodyText"/>
        <w:ind w:left="720"/>
        <w:rPr>
          <w:rFonts w:asciiTheme="minorHAnsi" w:hAnsiTheme="minorHAnsi"/>
        </w:rPr>
      </w:pPr>
      <w:r w:rsidRPr="00A37C97">
        <w:rPr>
          <w:rFonts w:asciiTheme="minorHAnsi" w:hAnsiTheme="minorHAnsi"/>
          <w:b/>
          <w:bCs/>
        </w:rPr>
        <w:t>Quality:</w:t>
      </w:r>
      <w:r w:rsidRPr="007359D0">
        <w:rPr>
          <w:rFonts w:asciiTheme="minorHAnsi" w:hAnsiTheme="minorHAnsi"/>
        </w:rPr>
        <w:t xml:space="preserve"> </w:t>
      </w:r>
      <w:r w:rsidR="00B7111C" w:rsidRPr="00B7111C">
        <w:rPr>
          <w:rFonts w:asciiTheme="minorHAnsi" w:hAnsiTheme="minorHAnsi"/>
        </w:rPr>
        <w:t>The Applicant states that the Proposed Project will provide s</w:t>
      </w:r>
      <w:r w:rsidR="006C1277" w:rsidRPr="00B7111C">
        <w:rPr>
          <w:rFonts w:asciiTheme="minorHAnsi" w:hAnsiTheme="minorHAnsi"/>
        </w:rPr>
        <w:t xml:space="preserve">imilar quality of cutting edge treatment and care </w:t>
      </w:r>
      <w:r w:rsidR="00162420" w:rsidRPr="00B7111C">
        <w:rPr>
          <w:rFonts w:asciiTheme="minorHAnsi" w:hAnsiTheme="minorHAnsi"/>
        </w:rPr>
        <w:t>as</w:t>
      </w:r>
      <w:r w:rsidR="006C1277" w:rsidRPr="00B7111C">
        <w:rPr>
          <w:rFonts w:asciiTheme="minorHAnsi" w:hAnsiTheme="minorHAnsi"/>
        </w:rPr>
        <w:t xml:space="preserve"> </w:t>
      </w:r>
      <w:r w:rsidR="00B7111C" w:rsidRPr="00B7111C">
        <w:rPr>
          <w:rFonts w:asciiTheme="minorHAnsi" w:hAnsiTheme="minorHAnsi"/>
        </w:rPr>
        <w:t>Alternative #</w:t>
      </w:r>
      <w:r w:rsidR="00E3459F">
        <w:rPr>
          <w:rFonts w:asciiTheme="minorHAnsi" w:hAnsiTheme="minorHAnsi"/>
        </w:rPr>
        <w:t>1</w:t>
      </w:r>
      <w:r w:rsidR="00B7111C" w:rsidRPr="00B7111C">
        <w:rPr>
          <w:rFonts w:asciiTheme="minorHAnsi" w:hAnsiTheme="minorHAnsi"/>
        </w:rPr>
        <w:t xml:space="preserve">. </w:t>
      </w:r>
    </w:p>
    <w:p w14:paraId="256AEBAD" w14:textId="07560534" w:rsidR="006C1277" w:rsidRPr="00B7111C" w:rsidRDefault="006C1277" w:rsidP="001769C6">
      <w:pPr>
        <w:pStyle w:val="BodyText"/>
        <w:ind w:left="720"/>
        <w:rPr>
          <w:rFonts w:asciiTheme="minorHAnsi" w:hAnsiTheme="minorHAnsi"/>
        </w:rPr>
      </w:pPr>
      <w:r w:rsidRPr="00A37C97">
        <w:rPr>
          <w:rFonts w:asciiTheme="minorHAnsi" w:hAnsiTheme="minorHAnsi"/>
          <w:b/>
          <w:bCs/>
        </w:rPr>
        <w:t>Efficiency:</w:t>
      </w:r>
      <w:r w:rsidRPr="00B7111C">
        <w:rPr>
          <w:rFonts w:asciiTheme="minorHAnsi" w:hAnsiTheme="minorHAnsi"/>
        </w:rPr>
        <w:t xml:space="preserve"> </w:t>
      </w:r>
      <w:r w:rsidR="00B7111C" w:rsidRPr="00B7111C">
        <w:rPr>
          <w:rFonts w:asciiTheme="minorHAnsi" w:hAnsiTheme="minorHAnsi"/>
        </w:rPr>
        <w:t>The Applicant states that the Proposed Project offers s</w:t>
      </w:r>
      <w:r w:rsidRPr="00B7111C">
        <w:rPr>
          <w:rFonts w:asciiTheme="minorHAnsi" w:hAnsiTheme="minorHAnsi"/>
        </w:rPr>
        <w:t xml:space="preserve">imilar efficiency, patient treatment times, and throughput </w:t>
      </w:r>
      <w:r w:rsidR="00162420" w:rsidRPr="00B7111C">
        <w:rPr>
          <w:rFonts w:asciiTheme="minorHAnsi" w:hAnsiTheme="minorHAnsi"/>
        </w:rPr>
        <w:t>as Alternative #</w:t>
      </w:r>
      <w:r w:rsidR="00E3459F">
        <w:rPr>
          <w:rFonts w:asciiTheme="minorHAnsi" w:hAnsiTheme="minorHAnsi"/>
        </w:rPr>
        <w:t>1</w:t>
      </w:r>
      <w:r w:rsidR="00B7111C" w:rsidRPr="00B7111C">
        <w:rPr>
          <w:rFonts w:asciiTheme="minorHAnsi" w:hAnsiTheme="minorHAnsi"/>
        </w:rPr>
        <w:t>.</w:t>
      </w:r>
    </w:p>
    <w:p w14:paraId="75BC7787" w14:textId="0E0F6B8E" w:rsidR="006C1277" w:rsidRPr="00B7111C" w:rsidRDefault="006C1277" w:rsidP="001769C6">
      <w:pPr>
        <w:pStyle w:val="BodyText"/>
        <w:ind w:left="720"/>
        <w:rPr>
          <w:rFonts w:asciiTheme="minorHAnsi" w:hAnsiTheme="minorHAnsi"/>
        </w:rPr>
      </w:pPr>
      <w:r w:rsidRPr="00A37C97">
        <w:rPr>
          <w:rFonts w:asciiTheme="minorHAnsi" w:hAnsiTheme="minorHAnsi"/>
          <w:b/>
          <w:bCs/>
        </w:rPr>
        <w:t>Capital Expense:</w:t>
      </w:r>
      <w:r w:rsidR="00B7111C" w:rsidRPr="00B7111C">
        <w:rPr>
          <w:rFonts w:asciiTheme="minorHAnsi" w:hAnsiTheme="minorHAnsi"/>
        </w:rPr>
        <w:t xml:space="preserve"> The estimated capital expense for the Proposed Project is</w:t>
      </w:r>
      <w:r w:rsidRPr="00B7111C">
        <w:rPr>
          <w:rFonts w:asciiTheme="minorHAnsi" w:hAnsiTheme="minorHAnsi"/>
        </w:rPr>
        <w:t xml:space="preserve"> $50.5 million</w:t>
      </w:r>
      <w:r w:rsidR="00B7111C" w:rsidRPr="00B7111C">
        <w:rPr>
          <w:rFonts w:asciiTheme="minorHAnsi" w:hAnsiTheme="minorHAnsi"/>
        </w:rPr>
        <w:t>.</w:t>
      </w:r>
    </w:p>
    <w:p w14:paraId="41009BF7" w14:textId="0A1260C1" w:rsidR="006C1277" w:rsidRPr="00B7111C" w:rsidRDefault="006C1277" w:rsidP="001769C6">
      <w:pPr>
        <w:pStyle w:val="BodyText"/>
        <w:ind w:left="720"/>
        <w:rPr>
          <w:rFonts w:asciiTheme="minorHAnsi" w:hAnsiTheme="minorHAnsi"/>
        </w:rPr>
      </w:pPr>
      <w:r w:rsidRPr="00A37C97">
        <w:rPr>
          <w:rFonts w:asciiTheme="minorHAnsi" w:hAnsiTheme="minorHAnsi"/>
          <w:b/>
          <w:bCs/>
        </w:rPr>
        <w:t>Operating Costs:</w:t>
      </w:r>
      <w:r w:rsidRPr="00B7111C">
        <w:rPr>
          <w:rFonts w:asciiTheme="minorHAnsi" w:hAnsiTheme="minorHAnsi"/>
        </w:rPr>
        <w:t xml:space="preserve"> </w:t>
      </w:r>
      <w:r w:rsidR="00B7111C" w:rsidRPr="00B7111C">
        <w:rPr>
          <w:rFonts w:asciiTheme="minorHAnsi" w:hAnsiTheme="minorHAnsi"/>
        </w:rPr>
        <w:t xml:space="preserve">The Applicant states that the operating costs of the Proposed Project are </w:t>
      </w:r>
      <w:r w:rsidR="00B7111C" w:rsidRPr="00B7111C">
        <w:rPr>
          <w:rFonts w:asciiTheme="minorHAnsi" w:hAnsiTheme="minorHAnsi"/>
        </w:rPr>
        <w:lastRenderedPageBreak/>
        <w:t>s</w:t>
      </w:r>
      <w:r w:rsidRPr="00B7111C">
        <w:rPr>
          <w:rFonts w:asciiTheme="minorHAnsi" w:hAnsiTheme="minorHAnsi"/>
        </w:rPr>
        <w:t xml:space="preserve">imilar </w:t>
      </w:r>
      <w:r w:rsidR="00B7111C" w:rsidRPr="00B7111C">
        <w:rPr>
          <w:rFonts w:asciiTheme="minorHAnsi" w:hAnsiTheme="minorHAnsi"/>
        </w:rPr>
        <w:t xml:space="preserve">to the </w:t>
      </w:r>
      <w:r w:rsidRPr="00B7111C">
        <w:rPr>
          <w:rFonts w:asciiTheme="minorHAnsi" w:hAnsiTheme="minorHAnsi"/>
        </w:rPr>
        <w:t xml:space="preserve">operating costs </w:t>
      </w:r>
      <w:r w:rsidR="00B7111C" w:rsidRPr="00B7111C">
        <w:rPr>
          <w:rFonts w:asciiTheme="minorHAnsi" w:hAnsiTheme="minorHAnsi"/>
        </w:rPr>
        <w:t>of Alternative #</w:t>
      </w:r>
      <w:r w:rsidR="00E3459F">
        <w:rPr>
          <w:rFonts w:asciiTheme="minorHAnsi" w:hAnsiTheme="minorHAnsi"/>
        </w:rPr>
        <w:t>1</w:t>
      </w:r>
      <w:r w:rsidR="00B7111C" w:rsidRPr="00B7111C">
        <w:rPr>
          <w:rFonts w:asciiTheme="minorHAnsi" w:hAnsiTheme="minorHAnsi"/>
        </w:rPr>
        <w:t xml:space="preserve">. </w:t>
      </w:r>
    </w:p>
    <w:p w14:paraId="0FAB5685" w14:textId="3428CE07" w:rsidR="006C1277" w:rsidRPr="00B7111C" w:rsidRDefault="006C1277" w:rsidP="001769C6">
      <w:pPr>
        <w:pStyle w:val="BodyText"/>
        <w:ind w:left="720"/>
        <w:rPr>
          <w:rFonts w:asciiTheme="minorHAnsi" w:hAnsiTheme="minorHAnsi"/>
        </w:rPr>
      </w:pPr>
      <w:r w:rsidRPr="00482B4C">
        <w:rPr>
          <w:rFonts w:asciiTheme="minorHAnsi" w:hAnsiTheme="minorHAnsi"/>
          <w:b/>
        </w:rPr>
        <w:t>Timeline to Completion</w:t>
      </w:r>
      <w:r w:rsidRPr="00B7111C">
        <w:rPr>
          <w:rFonts w:asciiTheme="minorHAnsi" w:hAnsiTheme="minorHAnsi"/>
        </w:rPr>
        <w:t xml:space="preserve">: </w:t>
      </w:r>
      <w:r w:rsidR="00B7111C" w:rsidRPr="00B7111C">
        <w:rPr>
          <w:rFonts w:asciiTheme="minorHAnsi" w:hAnsiTheme="minorHAnsi"/>
        </w:rPr>
        <w:t>The Proposed Project’s e</w:t>
      </w:r>
      <w:r w:rsidRPr="00B7111C">
        <w:rPr>
          <w:rFonts w:asciiTheme="minorHAnsi" w:hAnsiTheme="minorHAnsi"/>
        </w:rPr>
        <w:t xml:space="preserve">stimated </w:t>
      </w:r>
      <w:r w:rsidR="00B7111C" w:rsidRPr="00B7111C">
        <w:rPr>
          <w:rFonts w:asciiTheme="minorHAnsi" w:hAnsiTheme="minorHAnsi"/>
        </w:rPr>
        <w:t xml:space="preserve">time to completion/implementation is </w:t>
      </w:r>
      <w:r w:rsidRPr="00B7111C">
        <w:rPr>
          <w:rFonts w:asciiTheme="minorHAnsi" w:hAnsiTheme="minorHAnsi"/>
        </w:rPr>
        <w:t>20 months</w:t>
      </w:r>
      <w:r w:rsidR="00B7111C" w:rsidRPr="00B7111C">
        <w:rPr>
          <w:rFonts w:asciiTheme="minorHAnsi" w:hAnsiTheme="minorHAnsi"/>
        </w:rPr>
        <w:t>.</w:t>
      </w:r>
    </w:p>
    <w:p w14:paraId="6842C259" w14:textId="6D92FFB3" w:rsidR="006C1277" w:rsidRDefault="006C1277" w:rsidP="001769C6">
      <w:pPr>
        <w:pStyle w:val="BodyText"/>
        <w:ind w:left="720"/>
        <w:rPr>
          <w:rFonts w:asciiTheme="minorHAnsi" w:hAnsiTheme="minorHAnsi"/>
        </w:rPr>
      </w:pPr>
      <w:r w:rsidRPr="00A37C97">
        <w:rPr>
          <w:rFonts w:asciiTheme="minorHAnsi" w:hAnsiTheme="minorHAnsi"/>
          <w:b/>
          <w:bCs/>
        </w:rPr>
        <w:t>Projected Number of Patients:</w:t>
      </w:r>
      <w:r w:rsidRPr="00B7111C">
        <w:rPr>
          <w:rFonts w:asciiTheme="minorHAnsi" w:hAnsiTheme="minorHAnsi"/>
        </w:rPr>
        <w:t xml:space="preserve"> The Proposed Project will provide access to PBT services for approximately 216 patients per year.</w:t>
      </w:r>
      <w:r w:rsidR="004C2B1F" w:rsidRPr="00B7111C">
        <w:rPr>
          <w:rFonts w:asciiTheme="minorHAnsi" w:hAnsiTheme="minorHAnsi"/>
        </w:rPr>
        <w:t xml:space="preserve"> </w:t>
      </w:r>
      <w:r w:rsidRPr="00B7111C">
        <w:rPr>
          <w:rFonts w:asciiTheme="minorHAnsi" w:hAnsiTheme="minorHAnsi"/>
        </w:rPr>
        <w:t xml:space="preserve">The </w:t>
      </w:r>
      <w:r w:rsidR="00B7111C" w:rsidRPr="00B7111C">
        <w:rPr>
          <w:rFonts w:asciiTheme="minorHAnsi" w:hAnsiTheme="minorHAnsi"/>
        </w:rPr>
        <w:t xml:space="preserve">Applicant states that the </w:t>
      </w:r>
      <w:r w:rsidRPr="00B7111C">
        <w:rPr>
          <w:rFonts w:asciiTheme="minorHAnsi" w:hAnsiTheme="minorHAnsi"/>
        </w:rPr>
        <w:t>more limited capacity of the Center will be disproportionately impacted by more complex, longer treatment cases.</w:t>
      </w:r>
    </w:p>
    <w:p w14:paraId="4AFABC94" w14:textId="77777777" w:rsidR="00002AB2" w:rsidRDefault="00002AB2" w:rsidP="00002AB2">
      <w:pPr>
        <w:pStyle w:val="BodyText"/>
        <w:rPr>
          <w:rFonts w:asciiTheme="minorHAnsi" w:hAnsiTheme="minorHAnsi"/>
        </w:rPr>
      </w:pPr>
    </w:p>
    <w:p w14:paraId="3F5EAB2D" w14:textId="7D6F8336" w:rsidR="00162420" w:rsidRDefault="00162420" w:rsidP="006C1277">
      <w:pPr>
        <w:pStyle w:val="BodyText"/>
        <w:rPr>
          <w:rFonts w:asciiTheme="minorHAnsi" w:hAnsiTheme="minorHAnsi"/>
          <w:b/>
          <w:bCs/>
        </w:rPr>
      </w:pPr>
      <w:r w:rsidRPr="007359D0">
        <w:rPr>
          <w:rFonts w:asciiTheme="minorHAnsi" w:hAnsiTheme="minorHAnsi"/>
          <w:b/>
          <w:bCs/>
        </w:rPr>
        <w:t>Alternative #</w:t>
      </w:r>
      <w:r w:rsidR="00314EF3">
        <w:rPr>
          <w:rFonts w:asciiTheme="minorHAnsi" w:hAnsiTheme="minorHAnsi"/>
          <w:b/>
          <w:bCs/>
        </w:rPr>
        <w:t>1</w:t>
      </w:r>
      <w:r w:rsidRPr="007359D0">
        <w:rPr>
          <w:rFonts w:asciiTheme="minorHAnsi" w:hAnsiTheme="minorHAnsi"/>
          <w:b/>
          <w:bCs/>
        </w:rPr>
        <w:t>: Establish a three-treatment-room PBT center located outside of Boston.</w:t>
      </w:r>
    </w:p>
    <w:p w14:paraId="088105A8" w14:textId="3DB4C38E" w:rsidR="00162420" w:rsidRPr="007359D0" w:rsidRDefault="00162420" w:rsidP="001769C6">
      <w:pPr>
        <w:pStyle w:val="BodyText"/>
        <w:ind w:left="720"/>
        <w:rPr>
          <w:rFonts w:asciiTheme="minorHAnsi" w:hAnsiTheme="minorHAnsi"/>
        </w:rPr>
      </w:pPr>
      <w:r w:rsidRPr="00A37C97">
        <w:rPr>
          <w:rFonts w:asciiTheme="minorHAnsi" w:hAnsiTheme="minorHAnsi"/>
          <w:b/>
          <w:bCs/>
        </w:rPr>
        <w:t>Quality:</w:t>
      </w:r>
      <w:r w:rsidRPr="007359D0">
        <w:rPr>
          <w:rFonts w:asciiTheme="minorHAnsi" w:hAnsiTheme="minorHAnsi"/>
        </w:rPr>
        <w:t xml:space="preserve"> </w:t>
      </w:r>
      <w:r w:rsidR="00B7111C">
        <w:rPr>
          <w:rFonts w:asciiTheme="minorHAnsi" w:hAnsiTheme="minorHAnsi"/>
        </w:rPr>
        <w:t>The Applicant states that Alternative #1 would provide s</w:t>
      </w:r>
      <w:r w:rsidRPr="00B7111C">
        <w:rPr>
          <w:rFonts w:asciiTheme="minorHAnsi" w:hAnsiTheme="minorHAnsi"/>
        </w:rPr>
        <w:t>imilar quality of cutting edge treatment and care as the Proposed Project</w:t>
      </w:r>
      <w:r w:rsidR="00B7111C">
        <w:rPr>
          <w:rFonts w:asciiTheme="minorHAnsi" w:hAnsiTheme="minorHAnsi"/>
        </w:rPr>
        <w:t>.</w:t>
      </w:r>
      <w:r w:rsidRPr="00B7111C">
        <w:rPr>
          <w:rFonts w:asciiTheme="minorHAnsi" w:hAnsiTheme="minorHAnsi"/>
        </w:rPr>
        <w:t xml:space="preserve"> </w:t>
      </w:r>
    </w:p>
    <w:p w14:paraId="58C2C01E" w14:textId="75BD45FA" w:rsidR="00162420" w:rsidRPr="007359D0" w:rsidRDefault="00162420" w:rsidP="001769C6">
      <w:pPr>
        <w:pStyle w:val="BodyText"/>
        <w:ind w:left="720"/>
        <w:rPr>
          <w:rFonts w:asciiTheme="minorHAnsi" w:hAnsiTheme="minorHAnsi"/>
        </w:rPr>
      </w:pPr>
      <w:r w:rsidRPr="00A37C97">
        <w:rPr>
          <w:rFonts w:asciiTheme="minorHAnsi" w:hAnsiTheme="minorHAnsi"/>
          <w:b/>
          <w:bCs/>
        </w:rPr>
        <w:t>Efficiency:</w:t>
      </w:r>
      <w:r w:rsidRPr="007359D0">
        <w:rPr>
          <w:rFonts w:asciiTheme="minorHAnsi" w:hAnsiTheme="minorHAnsi"/>
        </w:rPr>
        <w:t xml:space="preserve"> </w:t>
      </w:r>
      <w:r w:rsidR="00B7111C">
        <w:rPr>
          <w:rFonts w:asciiTheme="minorHAnsi" w:hAnsiTheme="minorHAnsi"/>
        </w:rPr>
        <w:t>The Applicant states that Alternative #1 has s</w:t>
      </w:r>
      <w:r w:rsidRPr="00B7111C">
        <w:rPr>
          <w:rFonts w:asciiTheme="minorHAnsi" w:hAnsiTheme="minorHAnsi"/>
        </w:rPr>
        <w:t>imilar efficiency, patient treatment times, and throughput as the Proposed Project</w:t>
      </w:r>
      <w:r w:rsidR="00B7111C">
        <w:rPr>
          <w:rFonts w:asciiTheme="minorHAnsi" w:hAnsiTheme="minorHAnsi"/>
        </w:rPr>
        <w:t>.</w:t>
      </w:r>
    </w:p>
    <w:p w14:paraId="425120AE" w14:textId="2C561813" w:rsidR="00162420" w:rsidRPr="007359D0" w:rsidRDefault="00162420" w:rsidP="001769C6">
      <w:pPr>
        <w:pStyle w:val="BodyText"/>
        <w:ind w:left="720"/>
        <w:rPr>
          <w:rFonts w:asciiTheme="minorHAnsi" w:hAnsiTheme="minorHAnsi"/>
        </w:rPr>
      </w:pPr>
      <w:r w:rsidRPr="00A37C97">
        <w:rPr>
          <w:rFonts w:asciiTheme="minorHAnsi" w:hAnsiTheme="minorHAnsi"/>
          <w:b/>
          <w:bCs/>
        </w:rPr>
        <w:t>Capital Expense:</w:t>
      </w:r>
      <w:r w:rsidRPr="007359D0">
        <w:rPr>
          <w:rFonts w:asciiTheme="minorHAnsi" w:hAnsiTheme="minorHAnsi"/>
        </w:rPr>
        <w:t xml:space="preserve"> </w:t>
      </w:r>
      <w:r w:rsidR="00B7111C">
        <w:rPr>
          <w:rFonts w:asciiTheme="minorHAnsi" w:hAnsiTheme="minorHAnsi"/>
        </w:rPr>
        <w:t xml:space="preserve">The estimated capital expense of Alternative #1 is </w:t>
      </w:r>
      <w:r w:rsidRPr="00B7111C">
        <w:rPr>
          <w:rFonts w:asciiTheme="minorHAnsi" w:hAnsiTheme="minorHAnsi"/>
        </w:rPr>
        <w:t>$300 million</w:t>
      </w:r>
      <w:r w:rsidR="00B7111C">
        <w:rPr>
          <w:rFonts w:asciiTheme="minorHAnsi" w:hAnsiTheme="minorHAnsi"/>
        </w:rPr>
        <w:t>.</w:t>
      </w:r>
    </w:p>
    <w:p w14:paraId="3D5F8EA0" w14:textId="4DC3861A" w:rsidR="00162420" w:rsidRPr="007359D0" w:rsidRDefault="00162420" w:rsidP="001769C6">
      <w:pPr>
        <w:pStyle w:val="BodyText"/>
        <w:ind w:left="720"/>
        <w:rPr>
          <w:rFonts w:asciiTheme="minorHAnsi" w:hAnsiTheme="minorHAnsi"/>
        </w:rPr>
      </w:pPr>
      <w:r w:rsidRPr="00A37C97">
        <w:rPr>
          <w:rFonts w:asciiTheme="minorHAnsi" w:hAnsiTheme="minorHAnsi"/>
          <w:b/>
          <w:bCs/>
        </w:rPr>
        <w:t>Operating Costs:</w:t>
      </w:r>
      <w:r w:rsidRPr="007359D0">
        <w:rPr>
          <w:rFonts w:asciiTheme="minorHAnsi" w:hAnsiTheme="minorHAnsi"/>
        </w:rPr>
        <w:t xml:space="preserve"> </w:t>
      </w:r>
      <w:r w:rsidR="00B7111C">
        <w:rPr>
          <w:rFonts w:asciiTheme="minorHAnsi" w:hAnsiTheme="minorHAnsi"/>
        </w:rPr>
        <w:t>The Applicant states that the operating costs of Alternative #1 are s</w:t>
      </w:r>
      <w:r w:rsidRPr="00B7111C">
        <w:rPr>
          <w:rFonts w:asciiTheme="minorHAnsi" w:hAnsiTheme="minorHAnsi"/>
        </w:rPr>
        <w:t xml:space="preserve">imilar </w:t>
      </w:r>
      <w:r w:rsidR="00B7111C">
        <w:rPr>
          <w:rFonts w:asciiTheme="minorHAnsi" w:hAnsiTheme="minorHAnsi"/>
        </w:rPr>
        <w:t xml:space="preserve">to </w:t>
      </w:r>
      <w:r w:rsidRPr="00B7111C">
        <w:rPr>
          <w:rFonts w:asciiTheme="minorHAnsi" w:hAnsiTheme="minorHAnsi"/>
        </w:rPr>
        <w:t>the Proposed Project</w:t>
      </w:r>
      <w:r w:rsidR="00B7111C">
        <w:rPr>
          <w:rFonts w:asciiTheme="minorHAnsi" w:hAnsiTheme="minorHAnsi"/>
        </w:rPr>
        <w:t>.</w:t>
      </w:r>
    </w:p>
    <w:p w14:paraId="115B04C6" w14:textId="53EB6471" w:rsidR="005D30F3" w:rsidRPr="007359D0" w:rsidRDefault="00162420" w:rsidP="001769C6">
      <w:pPr>
        <w:pStyle w:val="BodyText"/>
        <w:ind w:left="720"/>
        <w:rPr>
          <w:rFonts w:asciiTheme="minorHAnsi" w:hAnsiTheme="minorHAnsi"/>
        </w:rPr>
      </w:pPr>
      <w:r w:rsidRPr="00482B4C">
        <w:rPr>
          <w:rFonts w:asciiTheme="minorHAnsi" w:hAnsiTheme="minorHAnsi"/>
          <w:b/>
        </w:rPr>
        <w:t>Timeline to Completion</w:t>
      </w:r>
      <w:r w:rsidRPr="007359D0">
        <w:rPr>
          <w:rFonts w:asciiTheme="minorHAnsi" w:hAnsiTheme="minorHAnsi"/>
        </w:rPr>
        <w:t xml:space="preserve">: </w:t>
      </w:r>
      <w:r w:rsidR="00B7111C">
        <w:rPr>
          <w:rFonts w:asciiTheme="minorHAnsi" w:hAnsiTheme="minorHAnsi"/>
        </w:rPr>
        <w:t>Alternative #1’s</w:t>
      </w:r>
      <w:r w:rsidR="00B7111C" w:rsidRPr="00B7111C">
        <w:rPr>
          <w:rFonts w:asciiTheme="minorHAnsi" w:hAnsiTheme="minorHAnsi"/>
        </w:rPr>
        <w:t xml:space="preserve"> estimated time to completion/implementation </w:t>
      </w:r>
      <w:r w:rsidR="00B7111C">
        <w:rPr>
          <w:rFonts w:asciiTheme="minorHAnsi" w:hAnsiTheme="minorHAnsi"/>
        </w:rPr>
        <w:t xml:space="preserve">is </w:t>
      </w:r>
      <w:r w:rsidRPr="00B7111C">
        <w:rPr>
          <w:rFonts w:asciiTheme="minorHAnsi" w:hAnsiTheme="minorHAnsi"/>
        </w:rPr>
        <w:t>44 months</w:t>
      </w:r>
      <w:r w:rsidR="00B7111C">
        <w:rPr>
          <w:rFonts w:asciiTheme="minorHAnsi" w:hAnsiTheme="minorHAnsi"/>
        </w:rPr>
        <w:t>.</w:t>
      </w:r>
    </w:p>
    <w:p w14:paraId="11578FF0" w14:textId="0AB275A1" w:rsidR="00162420" w:rsidRDefault="00162420" w:rsidP="001769C6">
      <w:pPr>
        <w:pStyle w:val="BodyText"/>
        <w:ind w:left="720"/>
        <w:rPr>
          <w:rFonts w:asciiTheme="minorHAnsi" w:hAnsiTheme="minorHAnsi"/>
        </w:rPr>
      </w:pPr>
      <w:r w:rsidRPr="00A37C97">
        <w:rPr>
          <w:rFonts w:asciiTheme="minorHAnsi" w:hAnsiTheme="minorHAnsi"/>
          <w:b/>
          <w:bCs/>
        </w:rPr>
        <w:t>Projected Number of Patients:</w:t>
      </w:r>
      <w:r w:rsidRPr="007359D0">
        <w:rPr>
          <w:rFonts w:asciiTheme="minorHAnsi" w:hAnsiTheme="minorHAnsi"/>
        </w:rPr>
        <w:t xml:space="preserve"> </w:t>
      </w:r>
      <w:r w:rsidR="00B7111C">
        <w:rPr>
          <w:rFonts w:asciiTheme="minorHAnsi" w:hAnsiTheme="minorHAnsi"/>
        </w:rPr>
        <w:t xml:space="preserve">The Applicant estimates that </w:t>
      </w:r>
      <w:r w:rsidRPr="00B7111C">
        <w:rPr>
          <w:rFonts w:asciiTheme="minorHAnsi" w:hAnsiTheme="minorHAnsi"/>
        </w:rPr>
        <w:t>Alternative</w:t>
      </w:r>
      <w:r>
        <w:rPr>
          <w:rFonts w:asciiTheme="minorHAnsi" w:hAnsiTheme="minorHAnsi"/>
        </w:rPr>
        <w:t xml:space="preserve"> #1 would provide access to PBT service to a</w:t>
      </w:r>
      <w:r w:rsidRPr="00162420">
        <w:rPr>
          <w:rFonts w:asciiTheme="minorHAnsi" w:hAnsiTheme="minorHAnsi"/>
        </w:rPr>
        <w:t>pproximately 750</w:t>
      </w:r>
      <w:r>
        <w:rPr>
          <w:rFonts w:asciiTheme="minorHAnsi" w:hAnsiTheme="minorHAnsi"/>
        </w:rPr>
        <w:t xml:space="preserve"> patients</w:t>
      </w:r>
      <w:r w:rsidRPr="00162420">
        <w:rPr>
          <w:rFonts w:asciiTheme="minorHAnsi" w:hAnsiTheme="minorHAnsi"/>
        </w:rPr>
        <w:t xml:space="preserve"> per year</w:t>
      </w:r>
      <w:r w:rsidR="008E688F">
        <w:rPr>
          <w:rFonts w:asciiTheme="minorHAnsi" w:hAnsiTheme="minorHAnsi"/>
        </w:rPr>
        <w:t>, stating t</w:t>
      </w:r>
      <w:r w:rsidRPr="00162420">
        <w:rPr>
          <w:rFonts w:asciiTheme="minorHAnsi" w:hAnsiTheme="minorHAnsi"/>
        </w:rPr>
        <w:t>he multi-gantry capacity of the alternative option would allow the Applicant to load balance complex cases and improve throughput.</w:t>
      </w:r>
    </w:p>
    <w:p w14:paraId="5523B70E" w14:textId="77777777" w:rsidR="00E3459F" w:rsidRDefault="00E3459F" w:rsidP="00E3459F">
      <w:pPr>
        <w:pStyle w:val="BodyText"/>
        <w:rPr>
          <w:rFonts w:asciiTheme="minorHAnsi" w:hAnsiTheme="minorHAnsi"/>
        </w:rPr>
      </w:pPr>
    </w:p>
    <w:p w14:paraId="24D7C474" w14:textId="77777777" w:rsidR="007346AC" w:rsidRPr="007346AC" w:rsidRDefault="007346AC" w:rsidP="007346AC">
      <w:pPr>
        <w:pStyle w:val="BodyText"/>
        <w:rPr>
          <w:rFonts w:asciiTheme="minorHAnsi" w:hAnsiTheme="minorHAnsi"/>
        </w:rPr>
      </w:pPr>
      <w:r w:rsidRPr="007346AC">
        <w:rPr>
          <w:rFonts w:asciiTheme="minorHAnsi" w:hAnsiTheme="minorHAnsi"/>
        </w:rPr>
        <w:t xml:space="preserve">The Applicant considered and ultimately rejected this alternative because of the difficulties identifying appropriately zoned space, permitting difficulties, inability to reach agreement to proceed, and higher capital costs. </w:t>
      </w:r>
    </w:p>
    <w:p w14:paraId="4F162912" w14:textId="77777777" w:rsidR="007346AC" w:rsidRDefault="007346AC" w:rsidP="00E3459F">
      <w:pPr>
        <w:pStyle w:val="BodyText"/>
        <w:rPr>
          <w:rFonts w:asciiTheme="minorHAnsi" w:hAnsiTheme="minorHAnsi"/>
        </w:rPr>
      </w:pPr>
    </w:p>
    <w:p w14:paraId="6580551A" w14:textId="0BDBDA16" w:rsidR="00E3459F" w:rsidRDefault="00E3459F" w:rsidP="00E3459F">
      <w:pPr>
        <w:pStyle w:val="BodyText"/>
        <w:rPr>
          <w:rFonts w:asciiTheme="minorHAnsi" w:hAnsiTheme="minorHAnsi"/>
        </w:rPr>
      </w:pPr>
      <w:r w:rsidRPr="007C0965">
        <w:rPr>
          <w:rFonts w:asciiTheme="minorHAnsi" w:hAnsiTheme="minorHAnsi"/>
          <w:b/>
          <w:bCs/>
        </w:rPr>
        <w:t>Alternative #</w:t>
      </w:r>
      <w:r>
        <w:rPr>
          <w:rFonts w:asciiTheme="minorHAnsi" w:hAnsiTheme="minorHAnsi"/>
          <w:b/>
          <w:bCs/>
        </w:rPr>
        <w:t>2</w:t>
      </w:r>
      <w:r>
        <w:rPr>
          <w:rFonts w:asciiTheme="minorHAnsi" w:hAnsiTheme="minorHAnsi"/>
        </w:rPr>
        <w:t xml:space="preserve">: </w:t>
      </w:r>
      <w:r w:rsidRPr="007C0965">
        <w:rPr>
          <w:rFonts w:asciiTheme="minorHAnsi" w:hAnsiTheme="minorHAnsi"/>
          <w:b/>
          <w:bCs/>
        </w:rPr>
        <w:t xml:space="preserve">Establish a single-room upright PBT </w:t>
      </w:r>
      <w:r w:rsidR="0097051F">
        <w:rPr>
          <w:rFonts w:asciiTheme="minorHAnsi" w:hAnsiTheme="minorHAnsi"/>
          <w:b/>
          <w:bCs/>
        </w:rPr>
        <w:t>unit</w:t>
      </w:r>
      <w:r w:rsidRPr="007C0965">
        <w:rPr>
          <w:rFonts w:asciiTheme="minorHAnsi" w:hAnsiTheme="minorHAnsi"/>
          <w:b/>
          <w:bCs/>
        </w:rPr>
        <w:t xml:space="preserve"> outside of Boston.</w:t>
      </w:r>
      <w:r>
        <w:rPr>
          <w:rFonts w:asciiTheme="minorHAnsi" w:hAnsiTheme="minorHAnsi"/>
        </w:rPr>
        <w:t xml:space="preserve"> </w:t>
      </w:r>
    </w:p>
    <w:p w14:paraId="074DBF9C" w14:textId="18461F19" w:rsidR="00E3459F" w:rsidRPr="00B7111C" w:rsidRDefault="00E3459F" w:rsidP="00E3459F">
      <w:pPr>
        <w:pStyle w:val="BodyText"/>
        <w:rPr>
          <w:rFonts w:asciiTheme="minorHAnsi" w:hAnsiTheme="minorHAnsi"/>
        </w:rPr>
      </w:pPr>
      <w:r>
        <w:rPr>
          <w:rFonts w:asciiTheme="minorHAnsi" w:hAnsiTheme="minorHAnsi"/>
        </w:rPr>
        <w:t xml:space="preserve">The Applicant considered and ultimately rejected this alternative because it would not provide the physical connectivity to BCH and existing DFCI buildings, that would be achieved through the Proposed Project. The Applicant states that a PBT center with physical connectivity to DFCI’s buildings, provides a care model with significant advantages over the Proposed Project. </w:t>
      </w:r>
    </w:p>
    <w:p w14:paraId="55B5A67C" w14:textId="77777777" w:rsidR="00E3459F" w:rsidRDefault="00E3459F" w:rsidP="00E3459F">
      <w:pPr>
        <w:pStyle w:val="BodyText"/>
        <w:rPr>
          <w:rFonts w:asciiTheme="minorHAnsi" w:hAnsiTheme="minorHAnsi"/>
        </w:rPr>
      </w:pPr>
    </w:p>
    <w:p w14:paraId="5855999D" w14:textId="0045286C" w:rsidR="00D061B9" w:rsidRDefault="00D061B9" w:rsidP="00D061B9">
      <w:pPr>
        <w:pStyle w:val="BodyText"/>
        <w:rPr>
          <w:rFonts w:asciiTheme="minorHAnsi" w:hAnsiTheme="minorHAnsi"/>
          <w:b/>
          <w:bCs/>
        </w:rPr>
      </w:pPr>
      <w:r>
        <w:rPr>
          <w:rFonts w:asciiTheme="minorHAnsi" w:hAnsiTheme="minorHAnsi"/>
          <w:b/>
          <w:bCs/>
        </w:rPr>
        <w:t xml:space="preserve">Alternative #3: </w:t>
      </w:r>
      <w:r w:rsidRPr="00004410">
        <w:rPr>
          <w:rFonts w:asciiTheme="minorHAnsi" w:hAnsiTheme="minorHAnsi"/>
          <w:b/>
          <w:bCs/>
        </w:rPr>
        <w:t xml:space="preserve">Establish a three-treatment-room PBT center </w:t>
      </w:r>
      <w:r>
        <w:rPr>
          <w:rFonts w:asciiTheme="minorHAnsi" w:hAnsiTheme="minorHAnsi"/>
          <w:b/>
          <w:bCs/>
        </w:rPr>
        <w:t>within</w:t>
      </w:r>
      <w:r w:rsidRPr="00004410">
        <w:rPr>
          <w:rFonts w:asciiTheme="minorHAnsi" w:hAnsiTheme="minorHAnsi"/>
          <w:b/>
          <w:bCs/>
        </w:rPr>
        <w:t xml:space="preserve"> Boston.</w:t>
      </w:r>
    </w:p>
    <w:p w14:paraId="66F30562" w14:textId="77777777" w:rsidR="00D061B9" w:rsidRPr="007C0965" w:rsidRDefault="00D061B9" w:rsidP="00D061B9">
      <w:pPr>
        <w:pStyle w:val="BodyText"/>
        <w:rPr>
          <w:rFonts w:asciiTheme="minorHAnsi" w:hAnsiTheme="minorHAnsi"/>
        </w:rPr>
      </w:pPr>
      <w:r>
        <w:rPr>
          <w:rFonts w:asciiTheme="minorHAnsi" w:hAnsiTheme="minorHAnsi"/>
        </w:rPr>
        <w:t xml:space="preserve">The Applicant considered and rejected this alternative because of insufficient space on DFCI’s campus to accommodate such a center. </w:t>
      </w:r>
    </w:p>
    <w:p w14:paraId="2F8F8B8D" w14:textId="77777777" w:rsidR="000400A3" w:rsidRPr="007359D0" w:rsidRDefault="000400A3" w:rsidP="00991F05">
      <w:pPr>
        <w:pStyle w:val="BodyText"/>
        <w:rPr>
          <w:rFonts w:asciiTheme="minorHAnsi" w:hAnsiTheme="minorHAnsi"/>
          <w:b/>
          <w:bCs/>
        </w:rPr>
      </w:pPr>
    </w:p>
    <w:p w14:paraId="0D9B8826" w14:textId="0754711C" w:rsidR="00772194" w:rsidRDefault="00BD482F" w:rsidP="00991F05">
      <w:pPr>
        <w:pStyle w:val="BodyText"/>
        <w:rPr>
          <w:rFonts w:asciiTheme="minorHAnsi" w:hAnsiTheme="minorHAnsi"/>
        </w:rPr>
      </w:pPr>
      <w:r>
        <w:rPr>
          <w:rFonts w:asciiTheme="minorHAnsi" w:hAnsiTheme="minorHAnsi"/>
        </w:rPr>
        <w:t xml:space="preserve">The Applicant states that </w:t>
      </w:r>
      <w:r w:rsidR="009744C8">
        <w:rPr>
          <w:rFonts w:asciiTheme="minorHAnsi" w:hAnsiTheme="minorHAnsi"/>
        </w:rPr>
        <w:t>while the</w:t>
      </w:r>
      <w:r>
        <w:rPr>
          <w:rFonts w:asciiTheme="minorHAnsi" w:hAnsiTheme="minorHAnsi"/>
        </w:rPr>
        <w:t xml:space="preserve"> Proposed Project </w:t>
      </w:r>
      <w:r w:rsidR="009744C8">
        <w:rPr>
          <w:rFonts w:asciiTheme="minorHAnsi" w:hAnsiTheme="minorHAnsi"/>
        </w:rPr>
        <w:t xml:space="preserve">will serve a fewer number of patients than </w:t>
      </w:r>
      <w:r w:rsidR="004A72DC">
        <w:rPr>
          <w:rFonts w:asciiTheme="minorHAnsi" w:hAnsiTheme="minorHAnsi"/>
        </w:rPr>
        <w:t>establishing a three-treatment-room PBT center</w:t>
      </w:r>
      <w:r w:rsidR="009744C8">
        <w:rPr>
          <w:rFonts w:asciiTheme="minorHAnsi" w:hAnsiTheme="minorHAnsi"/>
        </w:rPr>
        <w:t xml:space="preserve">, it </w:t>
      </w:r>
      <w:r>
        <w:rPr>
          <w:rFonts w:asciiTheme="minorHAnsi" w:hAnsiTheme="minorHAnsi"/>
        </w:rPr>
        <w:t>will be operation</w:t>
      </w:r>
      <w:r w:rsidR="009744C8">
        <w:rPr>
          <w:rFonts w:asciiTheme="minorHAnsi" w:hAnsiTheme="minorHAnsi"/>
        </w:rPr>
        <w:t>al with</w:t>
      </w:r>
      <w:r>
        <w:rPr>
          <w:rFonts w:asciiTheme="minorHAnsi" w:hAnsiTheme="minorHAnsi"/>
        </w:rPr>
        <w:t xml:space="preserve">in </w:t>
      </w:r>
      <w:r w:rsidR="009744C8">
        <w:rPr>
          <w:rFonts w:asciiTheme="minorHAnsi" w:hAnsiTheme="minorHAnsi"/>
        </w:rPr>
        <w:t xml:space="preserve">two years, compared to the four years required for </w:t>
      </w:r>
      <w:r w:rsidR="0026221F">
        <w:rPr>
          <w:rFonts w:asciiTheme="minorHAnsi" w:hAnsiTheme="minorHAnsi"/>
        </w:rPr>
        <w:t>Alternative #1</w:t>
      </w:r>
      <w:r w:rsidR="009744C8">
        <w:rPr>
          <w:rFonts w:asciiTheme="minorHAnsi" w:hAnsiTheme="minorHAnsi"/>
        </w:rPr>
        <w:t xml:space="preserve">. </w:t>
      </w:r>
      <w:r w:rsidR="00940712">
        <w:rPr>
          <w:rFonts w:asciiTheme="minorHAnsi" w:hAnsiTheme="minorHAnsi"/>
        </w:rPr>
        <w:t xml:space="preserve">The Proposed Project’s projected number of patients </w:t>
      </w:r>
      <w:r w:rsidR="0026221F">
        <w:rPr>
          <w:rFonts w:asciiTheme="minorHAnsi" w:hAnsiTheme="minorHAnsi"/>
        </w:rPr>
        <w:t xml:space="preserve">treated per year </w:t>
      </w:r>
      <w:r w:rsidR="00940712">
        <w:rPr>
          <w:rFonts w:asciiTheme="minorHAnsi" w:hAnsiTheme="minorHAnsi"/>
        </w:rPr>
        <w:t>aligns with the Applicant’s calculation for the proposed therapy system</w:t>
      </w:r>
      <w:r w:rsidR="004048A1">
        <w:rPr>
          <w:rFonts w:asciiTheme="minorHAnsi" w:hAnsiTheme="minorHAnsi"/>
        </w:rPr>
        <w:t>’s throughout capacity</w:t>
      </w:r>
      <w:r w:rsidR="00940712">
        <w:rPr>
          <w:rFonts w:asciiTheme="minorHAnsi" w:hAnsiTheme="minorHAnsi"/>
        </w:rPr>
        <w:t xml:space="preserve">, </w:t>
      </w:r>
      <w:r w:rsidR="00D73206">
        <w:rPr>
          <w:rFonts w:asciiTheme="minorHAnsi" w:hAnsiTheme="minorHAnsi"/>
        </w:rPr>
        <w:t xml:space="preserve">which was </w:t>
      </w:r>
      <w:r w:rsidR="00940712">
        <w:rPr>
          <w:rFonts w:asciiTheme="minorHAnsi" w:hAnsiTheme="minorHAnsi"/>
        </w:rPr>
        <w:t>explained</w:t>
      </w:r>
      <w:r w:rsidR="004048A1">
        <w:rPr>
          <w:rFonts w:asciiTheme="minorHAnsi" w:hAnsiTheme="minorHAnsi"/>
        </w:rPr>
        <w:t xml:space="preserve"> further</w:t>
      </w:r>
      <w:r w:rsidR="00940712">
        <w:rPr>
          <w:rFonts w:asciiTheme="minorHAnsi" w:hAnsiTheme="minorHAnsi"/>
        </w:rPr>
        <w:t xml:space="preserve"> above in Factor 1(a): Patient Panel Need. </w:t>
      </w:r>
      <w:r w:rsidR="00A44429">
        <w:rPr>
          <w:rFonts w:asciiTheme="minorHAnsi" w:hAnsiTheme="minorHAnsi"/>
        </w:rPr>
        <w:t xml:space="preserve">The Applicant notes that the projected number of patients treated per year will not address its entire </w:t>
      </w:r>
      <w:r w:rsidR="00A44429">
        <w:rPr>
          <w:rFonts w:asciiTheme="minorHAnsi" w:hAnsiTheme="minorHAnsi"/>
        </w:rPr>
        <w:lastRenderedPageBreak/>
        <w:t>Patient Panel need for PBT services</w:t>
      </w:r>
      <w:r w:rsidR="00F16114">
        <w:rPr>
          <w:rFonts w:asciiTheme="minorHAnsi" w:hAnsiTheme="minorHAnsi"/>
        </w:rPr>
        <w:t xml:space="preserve">, </w:t>
      </w:r>
      <w:r w:rsidR="00A44429">
        <w:rPr>
          <w:rFonts w:asciiTheme="minorHAnsi" w:hAnsiTheme="minorHAnsi"/>
        </w:rPr>
        <w:t>but</w:t>
      </w:r>
      <w:r w:rsidR="00F23D11">
        <w:rPr>
          <w:rFonts w:asciiTheme="minorHAnsi" w:hAnsiTheme="minorHAnsi"/>
        </w:rPr>
        <w:t xml:space="preserve"> it </w:t>
      </w:r>
      <w:r w:rsidR="0023173E">
        <w:rPr>
          <w:rFonts w:asciiTheme="minorHAnsi" w:hAnsiTheme="minorHAnsi"/>
        </w:rPr>
        <w:t>is the quicker option for increasing local access to PBT services</w:t>
      </w:r>
      <w:r w:rsidR="00F23D11">
        <w:rPr>
          <w:rFonts w:asciiTheme="minorHAnsi" w:hAnsiTheme="minorHAnsi"/>
        </w:rPr>
        <w:t>.</w:t>
      </w:r>
      <w:r w:rsidR="00A44429">
        <w:rPr>
          <w:rFonts w:asciiTheme="minorHAnsi" w:hAnsiTheme="minorHAnsi"/>
        </w:rPr>
        <w:t xml:space="preserve"> </w:t>
      </w:r>
    </w:p>
    <w:p w14:paraId="6095B08D" w14:textId="77777777" w:rsidR="00F36D76" w:rsidRDefault="00F36D76" w:rsidP="3DE251F5">
      <w:pPr>
        <w:pStyle w:val="BodyText"/>
        <w:rPr>
          <w:rFonts w:asciiTheme="minorHAnsi" w:hAnsiTheme="minorHAnsi"/>
        </w:rPr>
      </w:pPr>
    </w:p>
    <w:p w14:paraId="051A41D8" w14:textId="376C13D6" w:rsidR="009A7979" w:rsidRPr="009A7979" w:rsidRDefault="00BD52E4" w:rsidP="3DE251F5">
      <w:pPr>
        <w:pStyle w:val="BodyText"/>
        <w:rPr>
          <w:rFonts w:asciiTheme="minorHAnsi" w:hAnsiTheme="minorHAnsi"/>
        </w:rPr>
      </w:pPr>
      <w:r w:rsidRPr="00BD52E4">
        <w:rPr>
          <w:rFonts w:asciiTheme="minorHAnsi" w:hAnsiTheme="minorHAnsi"/>
        </w:rPr>
        <w:t>The Applicant expects efficiency to be the same across all alternatives, but that each of the alternatives would involve greater capital expense and time to completion.</w:t>
      </w:r>
      <w:r w:rsidR="00B52B49">
        <w:rPr>
          <w:rFonts w:asciiTheme="minorHAnsi" w:hAnsiTheme="minorHAnsi"/>
        </w:rPr>
        <w:t xml:space="preserve"> </w:t>
      </w:r>
      <w:r w:rsidR="29C80EC7" w:rsidRPr="3DE251F5">
        <w:rPr>
          <w:rFonts w:asciiTheme="minorHAnsi" w:hAnsiTheme="minorHAnsi"/>
        </w:rPr>
        <w:t xml:space="preserve">The Proposed Project offers a lower initial capital expense than </w:t>
      </w:r>
      <w:r w:rsidR="00D96CEA">
        <w:rPr>
          <w:rFonts w:asciiTheme="minorHAnsi" w:hAnsiTheme="minorHAnsi"/>
        </w:rPr>
        <w:t>a three-treatment room PBT center</w:t>
      </w:r>
      <w:r w:rsidR="29C80EC7" w:rsidRPr="3DE251F5">
        <w:rPr>
          <w:rFonts w:asciiTheme="minorHAnsi" w:hAnsiTheme="minorHAnsi"/>
        </w:rPr>
        <w:t xml:space="preserve"> due to the Applicant’s choice of a compact proton accelerator, which the Applicant states will reduce treatment costs by 15% to 20% compared to traditional proton systems. </w:t>
      </w:r>
      <w:r w:rsidR="52F49075" w:rsidRPr="3DE251F5">
        <w:rPr>
          <w:rFonts w:asciiTheme="minorHAnsi" w:hAnsiTheme="minorHAnsi"/>
        </w:rPr>
        <w:t>The clinical benefits</w:t>
      </w:r>
      <w:r w:rsidR="3637195C" w:rsidRPr="3DE251F5">
        <w:rPr>
          <w:rFonts w:asciiTheme="minorHAnsi" w:hAnsiTheme="minorHAnsi"/>
        </w:rPr>
        <w:t xml:space="preserve"> of an upright PB</w:t>
      </w:r>
      <w:r w:rsidR="63D0BE6A" w:rsidRPr="3DE251F5">
        <w:rPr>
          <w:rFonts w:asciiTheme="minorHAnsi" w:hAnsiTheme="minorHAnsi"/>
        </w:rPr>
        <w:t>T</w:t>
      </w:r>
      <w:r w:rsidR="3637195C" w:rsidRPr="3DE251F5">
        <w:rPr>
          <w:rFonts w:asciiTheme="minorHAnsi" w:hAnsiTheme="minorHAnsi"/>
        </w:rPr>
        <w:t xml:space="preserve"> system</w:t>
      </w:r>
      <w:r w:rsidR="52F49075" w:rsidRPr="3DE251F5">
        <w:rPr>
          <w:rFonts w:asciiTheme="minorHAnsi" w:hAnsiTheme="minorHAnsi"/>
        </w:rPr>
        <w:t xml:space="preserve"> include reduced need for daily sedation in pediatric patients,</w:t>
      </w:r>
      <w:r w:rsidR="61CB66C3" w:rsidRPr="3DE251F5">
        <w:rPr>
          <w:rFonts w:asciiTheme="minorHAnsi" w:hAnsiTheme="minorHAnsi"/>
        </w:rPr>
        <w:t xml:space="preserve"> </w:t>
      </w:r>
      <w:r w:rsidR="52F49075" w:rsidRPr="3DE251F5">
        <w:rPr>
          <w:rFonts w:asciiTheme="minorHAnsi" w:hAnsiTheme="minorHAnsi"/>
        </w:rPr>
        <w:t>more comfort and less intimidat</w:t>
      </w:r>
      <w:r w:rsidR="7070C493" w:rsidRPr="3DE251F5">
        <w:rPr>
          <w:rFonts w:asciiTheme="minorHAnsi" w:hAnsiTheme="minorHAnsi"/>
        </w:rPr>
        <w:t>ion</w:t>
      </w:r>
      <w:r w:rsidR="63D0BE6A" w:rsidRPr="3DE251F5">
        <w:rPr>
          <w:rFonts w:asciiTheme="minorHAnsi" w:hAnsiTheme="minorHAnsi"/>
        </w:rPr>
        <w:t xml:space="preserve"> for pediatric patients</w:t>
      </w:r>
      <w:r w:rsidR="52F49075" w:rsidRPr="3DE251F5">
        <w:rPr>
          <w:rFonts w:asciiTheme="minorHAnsi" w:hAnsiTheme="minorHAnsi"/>
        </w:rPr>
        <w:t xml:space="preserve">, the </w:t>
      </w:r>
      <w:r w:rsidR="3CFA52D2" w:rsidRPr="3DE251F5">
        <w:rPr>
          <w:rFonts w:asciiTheme="minorHAnsi" w:hAnsiTheme="minorHAnsi"/>
        </w:rPr>
        <w:t xml:space="preserve">ability to </w:t>
      </w:r>
      <w:r w:rsidR="52F49075" w:rsidRPr="3DE251F5">
        <w:rPr>
          <w:rFonts w:asciiTheme="minorHAnsi" w:hAnsiTheme="minorHAnsi"/>
        </w:rPr>
        <w:t xml:space="preserve">use distraction techniques which will improve the pediatric patient experience, and </w:t>
      </w:r>
      <w:r w:rsidR="3CFA52D2" w:rsidRPr="3DE251F5">
        <w:rPr>
          <w:rFonts w:asciiTheme="minorHAnsi" w:hAnsiTheme="minorHAnsi"/>
        </w:rPr>
        <w:t>a reduction in</w:t>
      </w:r>
      <w:r w:rsidR="52F49075" w:rsidRPr="3DE251F5">
        <w:rPr>
          <w:rFonts w:asciiTheme="minorHAnsi" w:hAnsiTheme="minorHAnsi"/>
        </w:rPr>
        <w:t xml:space="preserve"> treatment times. For patients that cannot be treated on the upright PBT system, the Applicant will use existing or new referral sources to outside PBT providers.</w:t>
      </w:r>
    </w:p>
    <w:p w14:paraId="7244F96C" w14:textId="77777777" w:rsidR="00F36D76" w:rsidRDefault="00F36D76" w:rsidP="00F36D76">
      <w:pPr>
        <w:pStyle w:val="BodyText"/>
        <w:rPr>
          <w:rFonts w:asciiTheme="minorHAnsi" w:hAnsiTheme="minorHAnsi"/>
        </w:rPr>
      </w:pPr>
    </w:p>
    <w:p w14:paraId="07AD67F7" w14:textId="52DC66C0" w:rsidR="00404F05" w:rsidRDefault="00433E10" w:rsidP="00C32EE0">
      <w:pPr>
        <w:pStyle w:val="BodyText"/>
        <w:rPr>
          <w:rFonts w:asciiTheme="minorHAnsi" w:hAnsiTheme="minorHAnsi"/>
        </w:rPr>
      </w:pPr>
      <w:r>
        <w:rPr>
          <w:rFonts w:asciiTheme="minorHAnsi" w:hAnsiTheme="minorHAnsi"/>
          <w:b/>
          <w:bCs/>
        </w:rPr>
        <w:t>Additional Considerations</w:t>
      </w:r>
      <w:r w:rsidR="00406E67">
        <w:rPr>
          <w:rFonts w:asciiTheme="minorHAnsi" w:hAnsiTheme="minorHAnsi"/>
        </w:rPr>
        <w:t>:</w:t>
      </w:r>
      <w:r w:rsidR="00FD4167">
        <w:rPr>
          <w:rFonts w:asciiTheme="minorHAnsi" w:hAnsiTheme="minorHAnsi"/>
        </w:rPr>
        <w:t xml:space="preserve"> The Applicant </w:t>
      </w:r>
      <w:r>
        <w:rPr>
          <w:rFonts w:asciiTheme="minorHAnsi" w:hAnsiTheme="minorHAnsi"/>
        </w:rPr>
        <w:t>states that it ultimately dismissed</w:t>
      </w:r>
      <w:r w:rsidR="00B059AD">
        <w:rPr>
          <w:rFonts w:asciiTheme="minorHAnsi" w:hAnsiTheme="minorHAnsi"/>
        </w:rPr>
        <w:t xml:space="preserve"> </w:t>
      </w:r>
      <w:r w:rsidR="000958A4">
        <w:rPr>
          <w:rFonts w:asciiTheme="minorHAnsi" w:hAnsiTheme="minorHAnsi"/>
        </w:rPr>
        <w:t xml:space="preserve">alternatives </w:t>
      </w:r>
      <w:r w:rsidR="0038567E">
        <w:rPr>
          <w:rFonts w:asciiTheme="minorHAnsi" w:hAnsiTheme="minorHAnsi"/>
        </w:rPr>
        <w:t>to establish PBT</w:t>
      </w:r>
      <w:r w:rsidR="000958A4">
        <w:rPr>
          <w:rFonts w:asciiTheme="minorHAnsi" w:hAnsiTheme="minorHAnsi"/>
        </w:rPr>
        <w:t xml:space="preserve"> outside of Boston</w:t>
      </w:r>
      <w:r w:rsidR="00475439">
        <w:rPr>
          <w:rFonts w:asciiTheme="minorHAnsi" w:hAnsiTheme="minorHAnsi"/>
        </w:rPr>
        <w:t xml:space="preserve"> </w:t>
      </w:r>
      <w:r>
        <w:rPr>
          <w:rFonts w:asciiTheme="minorHAnsi" w:hAnsiTheme="minorHAnsi"/>
        </w:rPr>
        <w:t xml:space="preserve">and chose the Proposed Project predominantly because of the proposed Center’s proximity to the Applicant’s </w:t>
      </w:r>
      <w:r w:rsidR="0016225F">
        <w:rPr>
          <w:rFonts w:asciiTheme="minorHAnsi" w:hAnsiTheme="minorHAnsi"/>
        </w:rPr>
        <w:t xml:space="preserve">main cancer hospital, </w:t>
      </w:r>
      <w:r w:rsidR="02121EB5" w:rsidRPr="2BB842D4">
        <w:rPr>
          <w:rFonts w:asciiTheme="minorHAnsi" w:hAnsiTheme="minorHAnsi"/>
        </w:rPr>
        <w:t xml:space="preserve">the </w:t>
      </w:r>
      <w:r>
        <w:rPr>
          <w:rFonts w:asciiTheme="minorHAnsi" w:hAnsiTheme="minorHAnsi"/>
        </w:rPr>
        <w:t>Jimmy Fund pediatric clinic</w:t>
      </w:r>
      <w:r w:rsidR="5336D6DE" w:rsidRPr="2BB842D4">
        <w:rPr>
          <w:rFonts w:asciiTheme="minorHAnsi" w:hAnsiTheme="minorHAnsi"/>
        </w:rPr>
        <w:t>,</w:t>
      </w:r>
      <w:r>
        <w:rPr>
          <w:rFonts w:asciiTheme="minorHAnsi" w:hAnsiTheme="minorHAnsi"/>
        </w:rPr>
        <w:t xml:space="preserve"> and BCH. </w:t>
      </w:r>
      <w:r w:rsidR="004F5895" w:rsidRPr="004F5895">
        <w:rPr>
          <w:rFonts w:asciiTheme="minorHAnsi" w:hAnsiTheme="minorHAnsi"/>
        </w:rPr>
        <w:t xml:space="preserve">The Applicant states that there are high numbers of </w:t>
      </w:r>
      <w:r w:rsidR="00573753">
        <w:rPr>
          <w:rFonts w:asciiTheme="minorHAnsi" w:hAnsiTheme="minorHAnsi"/>
        </w:rPr>
        <w:t xml:space="preserve">its </w:t>
      </w:r>
      <w:r w:rsidR="004F5895" w:rsidRPr="004F5895">
        <w:rPr>
          <w:rFonts w:asciiTheme="minorHAnsi" w:hAnsiTheme="minorHAnsi"/>
        </w:rPr>
        <w:t>patients spread across Norfolk, Middlesex, and Plymouth counties</w:t>
      </w:r>
      <w:r w:rsidR="004F5895">
        <w:rPr>
          <w:rFonts w:asciiTheme="minorHAnsi" w:hAnsiTheme="minorHAnsi"/>
        </w:rPr>
        <w:t xml:space="preserve"> and</w:t>
      </w:r>
      <w:r w:rsidR="004F5895" w:rsidRPr="004F5895">
        <w:rPr>
          <w:rFonts w:asciiTheme="minorHAnsi" w:hAnsiTheme="minorHAnsi"/>
        </w:rPr>
        <w:t xml:space="preserve"> </w:t>
      </w:r>
      <w:r w:rsidR="0016225F">
        <w:rPr>
          <w:rFonts w:asciiTheme="minorHAnsi" w:hAnsiTheme="minorHAnsi"/>
        </w:rPr>
        <w:t>that th</w:t>
      </w:r>
      <w:r w:rsidR="004F5895">
        <w:rPr>
          <w:rFonts w:asciiTheme="minorHAnsi" w:hAnsiTheme="minorHAnsi"/>
        </w:rPr>
        <w:t>e Center’s</w:t>
      </w:r>
      <w:r w:rsidR="0016225F">
        <w:rPr>
          <w:rFonts w:asciiTheme="minorHAnsi" w:hAnsiTheme="minorHAnsi"/>
        </w:rPr>
        <w:t xml:space="preserve"> proximity </w:t>
      </w:r>
      <w:r w:rsidR="6AF28200" w:rsidRPr="03286BA8">
        <w:rPr>
          <w:rFonts w:asciiTheme="minorHAnsi" w:hAnsiTheme="minorHAnsi"/>
        </w:rPr>
        <w:t xml:space="preserve">to the </w:t>
      </w:r>
      <w:r w:rsidR="00573753">
        <w:rPr>
          <w:rFonts w:asciiTheme="minorHAnsi" w:hAnsiTheme="minorHAnsi"/>
        </w:rPr>
        <w:t>Applicant’s existing</w:t>
      </w:r>
      <w:r w:rsidR="6AF28200" w:rsidRPr="03286BA8">
        <w:rPr>
          <w:rFonts w:asciiTheme="minorHAnsi" w:hAnsiTheme="minorHAnsi"/>
        </w:rPr>
        <w:t xml:space="preserve"> facilities </w:t>
      </w:r>
      <w:r w:rsidR="0016225F">
        <w:rPr>
          <w:rFonts w:asciiTheme="minorHAnsi" w:hAnsiTheme="minorHAnsi"/>
        </w:rPr>
        <w:t>will enable uninterrupted multidisciplinary pediatric and adult oncology care, and access to BCH’s specialized pediatric anesthesia services. The Applicant states that locating the proposed Center within the existing academic and clinic hub minimizes care fragmentation, ensure</w:t>
      </w:r>
      <w:r w:rsidR="00421F93">
        <w:rPr>
          <w:rFonts w:asciiTheme="minorHAnsi" w:hAnsiTheme="minorHAnsi"/>
        </w:rPr>
        <w:t>s</w:t>
      </w:r>
      <w:r w:rsidR="0016225F">
        <w:rPr>
          <w:rFonts w:asciiTheme="minorHAnsi" w:hAnsiTheme="minorHAnsi"/>
        </w:rPr>
        <w:t xml:space="preserve"> rapid access to subspecialists, and supports access for medically complex patients who cannot safely travel to distan</w:t>
      </w:r>
      <w:r w:rsidR="3BB6AF34" w:rsidRPr="69702C2F">
        <w:rPr>
          <w:rFonts w:asciiTheme="minorHAnsi" w:hAnsiTheme="minorHAnsi"/>
        </w:rPr>
        <w:t>t</w:t>
      </w:r>
      <w:r w:rsidR="0016225F">
        <w:rPr>
          <w:rFonts w:asciiTheme="minorHAnsi" w:hAnsiTheme="minorHAnsi"/>
        </w:rPr>
        <w:t xml:space="preserve"> facilities. The</w:t>
      </w:r>
      <w:r w:rsidR="0016225F" w:rsidRPr="009C4C0A">
        <w:rPr>
          <w:rFonts w:asciiTheme="minorHAnsi" w:hAnsiTheme="minorHAnsi"/>
        </w:rPr>
        <w:t xml:space="preserve"> Center’s Boston location will also allow access to the Jimmy Fund Clinic, allowing for continuity of care for pediatric patients receiving concurrent chemotherapy and PBT.</w:t>
      </w:r>
      <w:r w:rsidR="0016225F">
        <w:rPr>
          <w:rFonts w:asciiTheme="minorHAnsi" w:hAnsiTheme="minorHAnsi"/>
        </w:rPr>
        <w:t xml:space="preserve"> </w:t>
      </w:r>
      <w:r w:rsidR="00FD4167">
        <w:rPr>
          <w:rFonts w:asciiTheme="minorHAnsi" w:hAnsiTheme="minorHAnsi"/>
        </w:rPr>
        <w:t xml:space="preserve">The Applicant considered the following </w:t>
      </w:r>
      <w:r w:rsidR="0016225F">
        <w:rPr>
          <w:rFonts w:asciiTheme="minorHAnsi" w:hAnsiTheme="minorHAnsi"/>
        </w:rPr>
        <w:t>additional</w:t>
      </w:r>
      <w:r w:rsidR="00FD4167">
        <w:rPr>
          <w:rFonts w:asciiTheme="minorHAnsi" w:hAnsiTheme="minorHAnsi"/>
        </w:rPr>
        <w:t xml:space="preserve"> criteria for selecting the site of the proposed Center: </w:t>
      </w:r>
      <w:r w:rsidR="00EB20AB">
        <w:rPr>
          <w:rFonts w:asciiTheme="minorHAnsi" w:hAnsiTheme="minorHAnsi"/>
        </w:rPr>
        <w:t xml:space="preserve">accessibility for patients and staff, proximity to public transportation, </w:t>
      </w:r>
      <w:r w:rsidR="00C05B44">
        <w:rPr>
          <w:rFonts w:asciiTheme="minorHAnsi" w:hAnsiTheme="minorHAnsi"/>
        </w:rPr>
        <w:t>and other site-specific considerations.</w:t>
      </w:r>
      <w:r w:rsidR="00FB4F6A">
        <w:rPr>
          <w:rFonts w:asciiTheme="minorHAnsi" w:hAnsiTheme="minorHAnsi"/>
        </w:rPr>
        <w:t xml:space="preserve"> </w:t>
      </w:r>
      <w:r w:rsidR="00404F05" w:rsidRPr="00404F05">
        <w:rPr>
          <w:rFonts w:asciiTheme="minorHAnsi" w:hAnsiTheme="minorHAnsi"/>
        </w:rPr>
        <w:t>The Applicant asserts that its referral footprint spans across every region of the Commonwealth through its established network of community practices and partner hospitals, and maintains that transparent eligibly criteria, transportation support, payer-neutral acceptance policies, and proactive community engagement will support access to PBT beyond those living closest to the proposed Center</w:t>
      </w:r>
      <w:r w:rsidR="00404F05">
        <w:rPr>
          <w:rFonts w:asciiTheme="minorHAnsi" w:hAnsiTheme="minorHAnsi"/>
        </w:rPr>
        <w:t>.</w:t>
      </w:r>
    </w:p>
    <w:p w14:paraId="25B70945" w14:textId="77777777" w:rsidR="00404F05" w:rsidRDefault="00404F05" w:rsidP="00C32EE0">
      <w:pPr>
        <w:pStyle w:val="BodyText"/>
        <w:rPr>
          <w:rFonts w:asciiTheme="minorHAnsi" w:hAnsiTheme="minorHAnsi"/>
        </w:rPr>
      </w:pPr>
    </w:p>
    <w:p w14:paraId="46B1C088" w14:textId="4BDE8453" w:rsidR="00D91829" w:rsidRDefault="172A5F55" w:rsidP="3DE251F5">
      <w:pPr>
        <w:pStyle w:val="BodyText"/>
        <w:rPr>
          <w:rFonts w:asciiTheme="minorHAnsi" w:hAnsiTheme="minorHAnsi"/>
        </w:rPr>
      </w:pPr>
      <w:r w:rsidRPr="3DE251F5">
        <w:rPr>
          <w:rFonts w:asciiTheme="minorHAnsi" w:hAnsiTheme="minorHAnsi"/>
        </w:rPr>
        <w:t>The Applicant maintains that it has evaluated many options over the years for developing PBT centers in Boston or in the community, however, none of the options explored were viable, for a number of reasons that include inadequate space, permitting or zoning requirements, inability to reach an agreement to proceed, and prohibitive costs, and</w:t>
      </w:r>
      <w:r w:rsidR="68C4EF2E" w:rsidRPr="3DE251F5">
        <w:rPr>
          <w:rFonts w:asciiTheme="minorHAnsi" w:hAnsiTheme="minorHAnsi"/>
        </w:rPr>
        <w:t>,</w:t>
      </w:r>
      <w:r w:rsidR="7CDC89A3" w:rsidRPr="3DE251F5">
        <w:rPr>
          <w:rFonts w:asciiTheme="minorHAnsi" w:hAnsiTheme="minorHAnsi"/>
        </w:rPr>
        <w:t xml:space="preserve"> as a result,</w:t>
      </w:r>
      <w:r w:rsidRPr="3DE251F5">
        <w:rPr>
          <w:rFonts w:asciiTheme="minorHAnsi" w:hAnsiTheme="minorHAnsi"/>
        </w:rPr>
        <w:t xml:space="preserve"> these possibilities did not progress to the point where they can be detailed as alternatives to the Proposed Project. </w:t>
      </w:r>
    </w:p>
    <w:p w14:paraId="1F96FFE6" w14:textId="77777777" w:rsidR="00BE0277" w:rsidRDefault="00BE0277" w:rsidP="00BB6F7C">
      <w:pPr>
        <w:pStyle w:val="BodyText"/>
        <w:rPr>
          <w:rFonts w:asciiTheme="minorHAnsi" w:hAnsiTheme="minorHAnsi"/>
        </w:rPr>
      </w:pPr>
    </w:p>
    <w:p w14:paraId="4517F930" w14:textId="7534320D" w:rsidR="00A4110F" w:rsidRPr="003436F0" w:rsidRDefault="00A4110F" w:rsidP="00BA2054">
      <w:pPr>
        <w:pStyle w:val="BodyText"/>
        <w:rPr>
          <w:rFonts w:asciiTheme="minorHAnsi" w:hAnsiTheme="minorHAnsi"/>
          <w:b/>
          <w:bCs/>
          <w:i/>
          <w:iCs/>
        </w:rPr>
      </w:pPr>
      <w:r w:rsidRPr="003436F0">
        <w:rPr>
          <w:rFonts w:asciiTheme="minorHAnsi" w:hAnsiTheme="minorHAnsi"/>
          <w:b/>
          <w:bCs/>
          <w:i/>
          <w:iCs/>
        </w:rPr>
        <w:t xml:space="preserve">Analysis </w:t>
      </w:r>
    </w:p>
    <w:p w14:paraId="4610C39B" w14:textId="5910657C" w:rsidR="00A4110F" w:rsidRDefault="6D569119" w:rsidP="3DE251F5">
      <w:pPr>
        <w:pStyle w:val="BodyText"/>
        <w:rPr>
          <w:rFonts w:asciiTheme="minorHAnsi" w:hAnsiTheme="minorHAnsi"/>
        </w:rPr>
      </w:pPr>
      <w:r w:rsidRPr="3DE251F5">
        <w:rPr>
          <w:rFonts w:asciiTheme="minorHAnsi" w:hAnsiTheme="minorHAnsi"/>
        </w:rPr>
        <w:t>Staff finds that the Applicant has appropriately considered the quality, efficiency, and capital</w:t>
      </w:r>
      <w:r w:rsidR="6937BE65" w:rsidRPr="3DE251F5">
        <w:rPr>
          <w:rFonts w:asciiTheme="minorHAnsi" w:hAnsiTheme="minorHAnsi"/>
        </w:rPr>
        <w:t xml:space="preserve"> </w:t>
      </w:r>
      <w:r w:rsidRPr="3DE251F5">
        <w:rPr>
          <w:rFonts w:asciiTheme="minorHAnsi" w:hAnsiTheme="minorHAnsi"/>
        </w:rPr>
        <w:t xml:space="preserve">and operating costs of the Proposed Project relative to </w:t>
      </w:r>
      <w:r w:rsidR="43D767A6" w:rsidRPr="3DE251F5">
        <w:rPr>
          <w:rFonts w:asciiTheme="minorHAnsi" w:hAnsiTheme="minorHAnsi"/>
        </w:rPr>
        <w:t>a</w:t>
      </w:r>
      <w:r w:rsidRPr="3DE251F5">
        <w:rPr>
          <w:rFonts w:asciiTheme="minorHAnsi" w:hAnsiTheme="minorHAnsi"/>
        </w:rPr>
        <w:t xml:space="preserve"> potential alternative. As a result of</w:t>
      </w:r>
      <w:r w:rsidR="6937BE65" w:rsidRPr="3DE251F5">
        <w:rPr>
          <w:rFonts w:asciiTheme="minorHAnsi" w:hAnsiTheme="minorHAnsi"/>
        </w:rPr>
        <w:t xml:space="preserve"> </w:t>
      </w:r>
      <w:r w:rsidRPr="3DE251F5">
        <w:rPr>
          <w:rFonts w:asciiTheme="minorHAnsi" w:hAnsiTheme="minorHAnsi"/>
        </w:rPr>
        <w:t>information provided by the Applicant and additional analysis, staff finds the Applicant has</w:t>
      </w:r>
      <w:r w:rsidR="6937BE65" w:rsidRPr="3DE251F5">
        <w:rPr>
          <w:rFonts w:asciiTheme="minorHAnsi" w:hAnsiTheme="minorHAnsi"/>
        </w:rPr>
        <w:t xml:space="preserve"> </w:t>
      </w:r>
      <w:r w:rsidRPr="3DE251F5">
        <w:rPr>
          <w:rFonts w:asciiTheme="minorHAnsi" w:hAnsiTheme="minorHAnsi"/>
        </w:rPr>
        <w:t xml:space="preserve">reasonably met the </w:t>
      </w:r>
      <w:r w:rsidRPr="3DE251F5">
        <w:rPr>
          <w:rFonts w:asciiTheme="minorHAnsi" w:hAnsiTheme="minorHAnsi"/>
        </w:rPr>
        <w:lastRenderedPageBreak/>
        <w:t>standards of Factor 5.</w:t>
      </w:r>
    </w:p>
    <w:p w14:paraId="3AB2911F" w14:textId="77777777" w:rsidR="00252A2B" w:rsidRDefault="00252A2B" w:rsidP="00BA2054">
      <w:pPr>
        <w:pStyle w:val="BodyText"/>
        <w:rPr>
          <w:rFonts w:asciiTheme="minorHAnsi" w:hAnsiTheme="minorHAnsi"/>
        </w:rPr>
      </w:pPr>
    </w:p>
    <w:p w14:paraId="23E345B3" w14:textId="53AE571A" w:rsidR="00B447F3" w:rsidRDefault="00A4110F" w:rsidP="00143E9A">
      <w:pPr>
        <w:pStyle w:val="Heading1"/>
        <w:ind w:left="0" w:right="424"/>
        <w:rPr>
          <w:rFonts w:asciiTheme="minorHAnsi" w:hAnsiTheme="minorHAnsi"/>
          <w:color w:val="42558C"/>
        </w:rPr>
      </w:pPr>
      <w:bookmarkStart w:id="28" w:name="Factor_6:_Fulfillment_of_DPH_Community-b"/>
      <w:bookmarkStart w:id="29" w:name="_Toc223963002"/>
      <w:bookmarkEnd w:id="28"/>
      <w:r w:rsidRPr="003436F0">
        <w:rPr>
          <w:rFonts w:asciiTheme="minorHAnsi" w:hAnsiTheme="minorHAnsi"/>
          <w:color w:val="42558C"/>
        </w:rPr>
        <w:t>Factor 6: Fulfillment of DPH Community-based Health Initiatives Guideline</w:t>
      </w:r>
      <w:bookmarkEnd w:id="29"/>
    </w:p>
    <w:p w14:paraId="4255597C" w14:textId="77777777" w:rsidR="00F92C18" w:rsidRPr="00FA5D9F" w:rsidRDefault="00F92C18" w:rsidP="00F92C18">
      <w:pPr>
        <w:pStyle w:val="paragraph"/>
        <w:spacing w:before="0" w:beforeAutospacing="0" w:after="0" w:afterAutospacing="0"/>
        <w:ind w:right="540"/>
        <w:textAlignment w:val="baseline"/>
        <w:rPr>
          <w:rStyle w:val="normaltextrun"/>
          <w:rFonts w:asciiTheme="minorHAnsi" w:hAnsiTheme="minorHAnsi" w:cstheme="minorHAnsi"/>
          <w:sz w:val="22"/>
          <w:szCs w:val="22"/>
        </w:rPr>
      </w:pPr>
    </w:p>
    <w:p w14:paraId="6A11FA26" w14:textId="77777777" w:rsidR="00703D98" w:rsidRPr="00FA5D9F" w:rsidRDefault="00703D98" w:rsidP="00703D98">
      <w:pPr>
        <w:pStyle w:val="paragraph"/>
        <w:spacing w:before="0" w:beforeAutospacing="0" w:after="0" w:afterAutospacing="0"/>
        <w:ind w:right="540"/>
        <w:textAlignment w:val="baseline"/>
        <w:rPr>
          <w:rFonts w:asciiTheme="minorHAnsi" w:hAnsiTheme="minorHAnsi" w:cstheme="minorHAnsi"/>
        </w:rPr>
      </w:pPr>
      <w:r w:rsidRPr="00FA5D9F">
        <w:rPr>
          <w:rStyle w:val="normaltextrun"/>
          <w:rFonts w:asciiTheme="minorHAnsi" w:hAnsiTheme="minorHAnsi" w:cstheme="minorHAnsi"/>
          <w:color w:val="000000"/>
        </w:rPr>
        <w:t>The Applicant will pool the local CHI funding with an existing DoN project (</w:t>
      </w:r>
      <w:hyperlink r:id="rId9" w:anchor="decision-letter" w:tgtFrame="_blank" w:history="1">
        <w:r w:rsidRPr="00FA5D9F">
          <w:rPr>
            <w:rStyle w:val="normaltextrun"/>
            <w:rFonts w:asciiTheme="minorHAnsi" w:hAnsiTheme="minorHAnsi" w:cstheme="minorHAnsi"/>
            <w:color w:val="467886"/>
            <w:u w:val="single"/>
          </w:rPr>
          <w:t>#DFCI-23040915-HE</w:t>
        </w:r>
      </w:hyperlink>
      <w:r w:rsidRPr="00FA5D9F">
        <w:rPr>
          <w:rStyle w:val="normaltextrun"/>
          <w:rFonts w:asciiTheme="minorHAnsi" w:hAnsiTheme="minorHAnsi" w:cstheme="minorHAnsi"/>
          <w:color w:val="000000"/>
        </w:rPr>
        <w:t>) approved in March 2025. The Applicant will also contribute to the Statewide Community Health and Healthy Aging Fund. </w:t>
      </w:r>
      <w:r w:rsidRPr="00FA5D9F">
        <w:rPr>
          <w:rStyle w:val="eop"/>
          <w:rFonts w:asciiTheme="minorHAnsi" w:eastAsia="Garamond" w:hAnsiTheme="minorHAnsi" w:cstheme="minorHAnsi"/>
          <w:color w:val="000000"/>
        </w:rPr>
        <w:t> </w:t>
      </w:r>
    </w:p>
    <w:p w14:paraId="4EB66D14" w14:textId="77777777" w:rsidR="00703D98" w:rsidRPr="00FA5D9F" w:rsidRDefault="00703D98" w:rsidP="00703D98">
      <w:pPr>
        <w:pStyle w:val="paragraph"/>
        <w:spacing w:before="0" w:beforeAutospacing="0" w:after="0" w:afterAutospacing="0"/>
        <w:ind w:right="540"/>
        <w:textAlignment w:val="baseline"/>
        <w:rPr>
          <w:rFonts w:asciiTheme="minorHAnsi" w:hAnsiTheme="minorHAnsi" w:cstheme="minorHAnsi"/>
        </w:rPr>
      </w:pPr>
      <w:r w:rsidRPr="00FA5D9F">
        <w:rPr>
          <w:rStyle w:val="eop"/>
          <w:rFonts w:asciiTheme="minorHAnsi" w:eastAsia="Garamond" w:hAnsiTheme="minorHAnsi" w:cstheme="minorHAnsi"/>
          <w:color w:val="000000"/>
        </w:rPr>
        <w:t> </w:t>
      </w:r>
    </w:p>
    <w:p w14:paraId="478379F9" w14:textId="77777777" w:rsidR="00703D98" w:rsidRPr="00FA5D9F" w:rsidRDefault="00703D98" w:rsidP="00703D98">
      <w:pPr>
        <w:pStyle w:val="paragraph"/>
        <w:spacing w:before="0" w:beforeAutospacing="0" w:after="0" w:afterAutospacing="0"/>
        <w:ind w:right="540"/>
        <w:textAlignment w:val="baseline"/>
        <w:rPr>
          <w:rFonts w:asciiTheme="minorHAnsi" w:hAnsiTheme="minorHAnsi" w:cstheme="minorHAnsi"/>
        </w:rPr>
      </w:pPr>
      <w:r w:rsidRPr="00FA5D9F">
        <w:rPr>
          <w:rStyle w:val="normaltextrun"/>
          <w:rFonts w:asciiTheme="minorHAnsi" w:hAnsiTheme="minorHAnsi" w:cstheme="minorHAnsi"/>
          <w:color w:val="000000"/>
        </w:rPr>
        <w:t>Since the local CHI funding will be pooled with an existing CHI project, DPH agreed that the Applicant could utilize the CHI required documents submitted for DoN project </w:t>
      </w:r>
      <w:r w:rsidRPr="00FA5D9F">
        <w:rPr>
          <w:rStyle w:val="normaltextrun"/>
          <w:rFonts w:asciiTheme="minorHAnsi" w:hAnsiTheme="minorHAnsi" w:cstheme="minorHAnsi"/>
        </w:rPr>
        <w:t>#DFCI-23040915-HE</w:t>
      </w:r>
      <w:r w:rsidRPr="00FA5D9F">
        <w:rPr>
          <w:rStyle w:val="normaltextrun"/>
          <w:rFonts w:asciiTheme="minorHAnsi" w:hAnsiTheme="minorHAnsi" w:cstheme="minorHAnsi"/>
          <w:color w:val="000000"/>
        </w:rPr>
        <w:t> to fulfill Factor 6 requirements. Due to timing of the current project, the Applicant shared initial findings from DFCI’s Cancer-Focused 2025 CHNA/CHIP with DPH. DFCI plans to utilize these findings in the ongoing CHI planning and implementation activities.</w:t>
      </w:r>
      <w:r w:rsidRPr="00FA5D9F">
        <w:rPr>
          <w:rStyle w:val="eop"/>
          <w:rFonts w:asciiTheme="minorHAnsi" w:eastAsia="Garamond" w:hAnsiTheme="minorHAnsi" w:cstheme="minorHAnsi"/>
          <w:color w:val="000000"/>
        </w:rPr>
        <w:t> </w:t>
      </w:r>
    </w:p>
    <w:p w14:paraId="19EB19E7" w14:textId="77777777" w:rsidR="00703D98" w:rsidRPr="00FA5D9F" w:rsidRDefault="00703D98" w:rsidP="00703D98">
      <w:pPr>
        <w:pStyle w:val="paragraph"/>
        <w:spacing w:before="0" w:beforeAutospacing="0" w:after="0" w:afterAutospacing="0"/>
        <w:ind w:right="540"/>
        <w:textAlignment w:val="baseline"/>
        <w:rPr>
          <w:rFonts w:asciiTheme="minorHAnsi" w:hAnsiTheme="minorHAnsi" w:cstheme="minorHAnsi"/>
        </w:rPr>
      </w:pPr>
      <w:r w:rsidRPr="00FA5D9F">
        <w:rPr>
          <w:rStyle w:val="eop"/>
          <w:rFonts w:asciiTheme="minorHAnsi" w:eastAsia="Garamond" w:hAnsiTheme="minorHAnsi" w:cstheme="minorHAnsi"/>
        </w:rPr>
        <w:t> </w:t>
      </w:r>
    </w:p>
    <w:p w14:paraId="6B4D8197" w14:textId="77777777" w:rsidR="00703D98" w:rsidRPr="00FA5D9F" w:rsidRDefault="00703D98" w:rsidP="00703D98">
      <w:pPr>
        <w:pStyle w:val="paragraph"/>
        <w:spacing w:before="0" w:beforeAutospacing="0" w:after="0" w:afterAutospacing="0"/>
        <w:ind w:right="540"/>
        <w:textAlignment w:val="baseline"/>
        <w:rPr>
          <w:rFonts w:asciiTheme="minorHAnsi" w:hAnsiTheme="minorHAnsi" w:cstheme="minorHAnsi"/>
        </w:rPr>
      </w:pPr>
      <w:r w:rsidRPr="00FA5D9F">
        <w:rPr>
          <w:rStyle w:val="normaltextrun"/>
          <w:rFonts w:asciiTheme="minorHAnsi" w:hAnsiTheme="minorHAnsi" w:cstheme="minorHAnsi"/>
          <w:color w:val="000000"/>
        </w:rPr>
        <w:t>DFCI will continue working with its DoN Advisory Committee to determine the most appropriate distribution of the CHI funding associated with the Proposed Project. The timeline, processes, and use of evaluation and administrative funds are appropriate and in line with CHI planning guidelines.   </w:t>
      </w:r>
      <w:r w:rsidRPr="00FA5D9F">
        <w:rPr>
          <w:rStyle w:val="eop"/>
          <w:rFonts w:asciiTheme="minorHAnsi" w:eastAsia="Garamond" w:hAnsiTheme="minorHAnsi" w:cstheme="minorHAnsi"/>
          <w:color w:val="000000"/>
        </w:rPr>
        <w:t> </w:t>
      </w:r>
    </w:p>
    <w:p w14:paraId="1771736C" w14:textId="77777777" w:rsidR="00703D98" w:rsidRPr="00FA5D9F" w:rsidRDefault="00703D98" w:rsidP="00703D98">
      <w:pPr>
        <w:pStyle w:val="paragraph"/>
        <w:spacing w:before="0" w:beforeAutospacing="0" w:after="0" w:afterAutospacing="0"/>
        <w:ind w:right="540"/>
        <w:textAlignment w:val="baseline"/>
        <w:rPr>
          <w:rFonts w:asciiTheme="minorHAnsi" w:hAnsiTheme="minorHAnsi" w:cstheme="minorHAnsi"/>
        </w:rPr>
      </w:pPr>
      <w:r w:rsidRPr="00FA5D9F">
        <w:rPr>
          <w:rStyle w:val="eop"/>
          <w:rFonts w:asciiTheme="minorHAnsi" w:eastAsia="Garamond" w:hAnsiTheme="minorHAnsi" w:cstheme="minorHAnsi"/>
          <w:color w:val="000000"/>
        </w:rPr>
        <w:t> </w:t>
      </w:r>
    </w:p>
    <w:p w14:paraId="7665A98F" w14:textId="77777777" w:rsidR="00703D98" w:rsidRDefault="00703D98" w:rsidP="00FA5D9F">
      <w:pPr>
        <w:pStyle w:val="paragraph"/>
        <w:spacing w:before="0" w:beforeAutospacing="0" w:after="0" w:afterAutospacing="0"/>
        <w:textAlignment w:val="baseline"/>
        <w:rPr>
          <w:rStyle w:val="eop"/>
          <w:rFonts w:asciiTheme="minorHAnsi" w:eastAsia="Garamond" w:hAnsiTheme="minorHAnsi" w:cstheme="minorHAnsi"/>
          <w:color w:val="000000"/>
        </w:rPr>
      </w:pPr>
      <w:r w:rsidRPr="00FA5D9F">
        <w:rPr>
          <w:rStyle w:val="normaltextrun"/>
          <w:rFonts w:asciiTheme="minorHAnsi" w:hAnsiTheme="minorHAnsi" w:cstheme="minorHAnsi"/>
          <w:i/>
          <w:iCs/>
          <w:color w:val="000000"/>
        </w:rPr>
        <w:t>Summary Analysis</w:t>
      </w:r>
      <w:r w:rsidRPr="00FA5D9F">
        <w:rPr>
          <w:rStyle w:val="normaltextrun"/>
          <w:rFonts w:asciiTheme="minorHAnsi" w:hAnsiTheme="minorHAnsi" w:cstheme="minorHAnsi"/>
          <w:color w:val="000000"/>
        </w:rPr>
        <w:t>: As a result of information provided by the Applicant and additional analysis, staff finds that with the conditions outlined below, and the ongoing communication outlined above, the Applicant will have demonstrated that the Proposed Project has met Factor 6. </w:t>
      </w:r>
      <w:r w:rsidRPr="00FA5D9F">
        <w:rPr>
          <w:rStyle w:val="eop"/>
          <w:rFonts w:asciiTheme="minorHAnsi" w:eastAsia="Garamond" w:hAnsiTheme="minorHAnsi" w:cstheme="minorHAnsi"/>
          <w:color w:val="000000"/>
        </w:rPr>
        <w:t> </w:t>
      </w:r>
    </w:p>
    <w:p w14:paraId="5C5B2982" w14:textId="2D39A6FB" w:rsidR="007C6FD8" w:rsidRDefault="007C6FD8" w:rsidP="00A37C97">
      <w:pPr>
        <w:pStyle w:val="paragraph"/>
        <w:spacing w:before="0" w:beforeAutospacing="0" w:after="0" w:afterAutospacing="0"/>
        <w:ind w:left="360"/>
        <w:textAlignment w:val="baseline"/>
        <w:rPr>
          <w:rFonts w:asciiTheme="minorHAnsi" w:hAnsiTheme="minorHAnsi"/>
          <w:b/>
          <w:bCs/>
          <w:color w:val="1F497D" w:themeColor="text2"/>
          <w:sz w:val="28"/>
          <w:szCs w:val="28"/>
        </w:rPr>
      </w:pPr>
    </w:p>
    <w:p w14:paraId="6FCE2007" w14:textId="6C2180E8" w:rsidR="00341112" w:rsidRDefault="00341112" w:rsidP="008917DC">
      <w:pPr>
        <w:pStyle w:val="Heading1"/>
        <w:ind w:left="0"/>
        <w:rPr>
          <w:rFonts w:asciiTheme="minorHAnsi" w:hAnsiTheme="minorHAnsi"/>
          <w:color w:val="1F497D" w:themeColor="text2"/>
        </w:rPr>
      </w:pPr>
      <w:bookmarkStart w:id="30" w:name="_Toc223963003"/>
      <w:r>
        <w:rPr>
          <w:rFonts w:asciiTheme="minorHAnsi" w:hAnsiTheme="minorHAnsi"/>
          <w:color w:val="1F497D" w:themeColor="text2"/>
        </w:rPr>
        <w:t>Public Comments on the Application</w:t>
      </w:r>
      <w:bookmarkEnd w:id="30"/>
    </w:p>
    <w:p w14:paraId="7CE21AFE" w14:textId="77777777" w:rsidR="005D7B06" w:rsidRPr="005D7B06" w:rsidRDefault="005D7B06" w:rsidP="005D7B06">
      <w:r w:rsidRPr="005D7B06">
        <w:t xml:space="preserve">Any person, and any Ten Taxpayer group, may provide written or oral comment at any time during the first 30 days following the Filing Date of an Application, or during the first ten days after a public hearing. </w:t>
      </w:r>
    </w:p>
    <w:p w14:paraId="70BAB42E" w14:textId="77777777" w:rsidR="005D7B06" w:rsidRPr="005D7B06" w:rsidRDefault="005D7B06" w:rsidP="005D7B06"/>
    <w:p w14:paraId="739BBEDB" w14:textId="37B54831" w:rsidR="005D7B06" w:rsidRPr="005D7B06" w:rsidRDefault="005D7B06" w:rsidP="00BA2054">
      <w:pPr>
        <w:rPr>
          <w:b/>
          <w:u w:val="single"/>
        </w:rPr>
      </w:pPr>
      <w:r w:rsidRPr="005D7B06">
        <w:rPr>
          <w:b/>
          <w:u w:val="single"/>
        </w:rPr>
        <w:t>Public Hearing</w:t>
      </w:r>
    </w:p>
    <w:p w14:paraId="38F5C69A" w14:textId="006F773A" w:rsidR="005D7B06" w:rsidRPr="005D7B06" w:rsidRDefault="005D7B06" w:rsidP="00BA2054">
      <w:r w:rsidRPr="005D7B06">
        <w:t xml:space="preserve">The Department held a virtual public hearing in connection with the Proposed Project on </w:t>
      </w:r>
      <w:r w:rsidR="00281835">
        <w:t xml:space="preserve">January </w:t>
      </w:r>
      <w:r w:rsidR="00F15FBD">
        <w:t xml:space="preserve">14, </w:t>
      </w:r>
      <w:r w:rsidR="001B55E8">
        <w:t>20</w:t>
      </w:r>
      <w:r w:rsidRPr="005D7B06">
        <w:t>2</w:t>
      </w:r>
      <w:r w:rsidR="001B55E8">
        <w:t>6</w:t>
      </w:r>
      <w:r w:rsidRPr="005D7B06">
        <w:t xml:space="preserve">. A total of </w:t>
      </w:r>
      <w:r w:rsidR="3E1FEE7D">
        <w:t>seven</w:t>
      </w:r>
      <w:r w:rsidRPr="005D7B06">
        <w:t xml:space="preserve"> people provided oral comments at the public hearing. Pursuant to the DoN regulation, the Department determines whether need exists for a Proposed Project, based upon whether the Applicant meets each of the relevant factors set out in those regulations. Oral comments provided at the public hearing for consideration in DoN’s review and analysis would be ones that address the Applicant’s ability to meet the requirements of each of the relevant factors. The transcript of the public hearing is available online on the DoN website. The names of those testifying at the hearing are listed in Appendix </w:t>
      </w:r>
      <w:r w:rsidR="009911E1">
        <w:t>I</w:t>
      </w:r>
      <w:r w:rsidR="00C0261F">
        <w:t>I</w:t>
      </w:r>
      <w:r w:rsidRPr="005D7B06">
        <w:t xml:space="preserve">, and a summary of comments is in Appendix </w:t>
      </w:r>
      <w:r w:rsidR="00C0261F">
        <w:t>I</w:t>
      </w:r>
      <w:r w:rsidRPr="005D7B06">
        <w:t>V.</w:t>
      </w:r>
    </w:p>
    <w:p w14:paraId="5E64E93E" w14:textId="77777777" w:rsidR="008E7D5F" w:rsidRDefault="008E7D5F" w:rsidP="00BA2054">
      <w:pPr>
        <w:rPr>
          <w:b/>
          <w:u w:val="single"/>
        </w:rPr>
      </w:pPr>
    </w:p>
    <w:p w14:paraId="33ABF2C3" w14:textId="476D7B6E" w:rsidR="005D7B06" w:rsidRPr="005D7B06" w:rsidRDefault="005D7B06" w:rsidP="00BA2054">
      <w:pPr>
        <w:rPr>
          <w:b/>
          <w:u w:val="single"/>
        </w:rPr>
      </w:pPr>
      <w:r w:rsidRPr="005D7B06">
        <w:rPr>
          <w:b/>
          <w:u w:val="single"/>
        </w:rPr>
        <w:t>Written Comment</w:t>
      </w:r>
    </w:p>
    <w:p w14:paraId="668CDFC1" w14:textId="3E38969F" w:rsidR="005D7B06" w:rsidRDefault="005D7B06" w:rsidP="00BA2054">
      <w:r w:rsidRPr="005D7B06">
        <w:t xml:space="preserve">The Department received a total of </w:t>
      </w:r>
      <w:r w:rsidR="002661F2">
        <w:t>19</w:t>
      </w:r>
      <w:r w:rsidRPr="005D7B06">
        <w:t xml:space="preserve"> written comments. Pursuant to the DoN regulation, the Department determines whether need exists for a Proposed Project, based upon whether the Applicant meets each of the relevant factors set out in those regulations. Comments for </w:t>
      </w:r>
      <w:r w:rsidRPr="005D7B06">
        <w:lastRenderedPageBreak/>
        <w:t xml:space="preserve">consideration in </w:t>
      </w:r>
      <w:r w:rsidR="00D22277">
        <w:t>DoN’s</w:t>
      </w:r>
      <w:r w:rsidRPr="005D7B06">
        <w:t xml:space="preserve"> review and analysis would be ones that address the Applicant’s ability to meet the requirements of each of the relevant factors. The names of those submitting written comments are listed below in Appendix </w:t>
      </w:r>
      <w:r w:rsidR="00C0261F">
        <w:t>II</w:t>
      </w:r>
      <w:r w:rsidRPr="005D7B06">
        <w:t xml:space="preserve"> and a summary of the written comments is provided below in Appendix </w:t>
      </w:r>
      <w:r w:rsidR="00C0261F">
        <w:t>I</w:t>
      </w:r>
      <w:r w:rsidR="00D13FAA">
        <w:t>V</w:t>
      </w:r>
      <w:r w:rsidRPr="005D7B06">
        <w:t>. The full text of written comments is available online on the DoN website.</w:t>
      </w:r>
    </w:p>
    <w:p w14:paraId="13574260" w14:textId="77777777" w:rsidR="00FA74A9" w:rsidRPr="005D7B06" w:rsidRDefault="00FA74A9" w:rsidP="00BA2054"/>
    <w:p w14:paraId="16B9BDB3" w14:textId="77777777" w:rsidR="005D7B06" w:rsidRPr="005D7B06" w:rsidRDefault="005D7B06" w:rsidP="00BA2054">
      <w:pPr>
        <w:rPr>
          <w:b/>
          <w:u w:val="single"/>
        </w:rPr>
      </w:pPr>
      <w:r w:rsidRPr="005D7B06">
        <w:rPr>
          <w:b/>
          <w:u w:val="single"/>
        </w:rPr>
        <w:t>Ten Taxpayer Groups (TTGs)</w:t>
      </w:r>
    </w:p>
    <w:p w14:paraId="6EAF2CBA" w14:textId="77777777" w:rsidR="005D7B06" w:rsidRPr="005D7B06" w:rsidRDefault="005D7B06" w:rsidP="00BA2054">
      <w:pPr>
        <w:rPr>
          <w:b/>
          <w:u w:val="single"/>
        </w:rPr>
      </w:pPr>
      <w:r w:rsidRPr="005D7B06">
        <w:t xml:space="preserve">Pursuant to the DoN Regulation, any ten Taxpayers, organized as a group, may participate in the review of an Application for Determination of Need or request to amend a previously issued Notice of Determination of Need. Said group must register with the Department at any time during the first 30 days following the Filing Date of an Application, or during the first ten days after a public hearing held pursuant to 105 CMR 100.445. </w:t>
      </w:r>
    </w:p>
    <w:p w14:paraId="5153DE52" w14:textId="77777777" w:rsidR="005D7B06" w:rsidRPr="005D7B06" w:rsidRDefault="005D7B06" w:rsidP="00BA2054">
      <w:pPr>
        <w:rPr>
          <w:b/>
          <w:u w:val="single"/>
        </w:rPr>
      </w:pPr>
    </w:p>
    <w:p w14:paraId="42C90B65" w14:textId="4AEA03E9" w:rsidR="00341112" w:rsidRDefault="00E056D9" w:rsidP="00BA2054">
      <w:r>
        <w:t>T</w:t>
      </w:r>
      <w:r w:rsidR="00281835">
        <w:t>hree</w:t>
      </w:r>
      <w:r w:rsidR="005D7B06" w:rsidRPr="005D7B06">
        <w:t xml:space="preserve"> Ten taxpayer groups (TTGs) registered in connection with the Proposed Project. Registration information for each TTG is available on the DoN website. The names of the TTGs and their participation in the review process can be found in Appendix </w:t>
      </w:r>
      <w:r w:rsidR="00012284">
        <w:t>V</w:t>
      </w:r>
      <w:r w:rsidR="005D7B06" w:rsidRPr="005D7B06">
        <w:t>. Additional information including full text of comments is available on the DoN website.</w:t>
      </w:r>
    </w:p>
    <w:p w14:paraId="668F1E0D" w14:textId="77777777" w:rsidR="00103950" w:rsidRDefault="00103950" w:rsidP="00BA2054"/>
    <w:p w14:paraId="5DD29CEB" w14:textId="473A2445" w:rsidR="00B447F3" w:rsidRPr="008917DC" w:rsidRDefault="00A4110F" w:rsidP="00BA2054">
      <w:pPr>
        <w:pStyle w:val="Heading1"/>
        <w:ind w:left="0"/>
        <w:rPr>
          <w:rFonts w:asciiTheme="minorHAnsi" w:hAnsiTheme="minorHAnsi"/>
          <w:color w:val="1F497D" w:themeColor="text2"/>
        </w:rPr>
      </w:pPr>
      <w:bookmarkStart w:id="31" w:name="_Toc223963004"/>
      <w:r w:rsidRPr="008917DC">
        <w:rPr>
          <w:rFonts w:asciiTheme="minorHAnsi" w:hAnsiTheme="minorHAnsi"/>
          <w:color w:val="1F497D" w:themeColor="text2"/>
        </w:rPr>
        <w:t>Findings and Recommendations</w:t>
      </w:r>
      <w:bookmarkEnd w:id="31"/>
    </w:p>
    <w:p w14:paraId="73DAD46F" w14:textId="2FC809F3" w:rsidR="00B447F3" w:rsidRDefault="00A4110F" w:rsidP="00BA2054">
      <w:pPr>
        <w:pStyle w:val="BodyText"/>
        <w:ind w:right="226"/>
        <w:rPr>
          <w:rFonts w:asciiTheme="minorHAnsi" w:hAnsiTheme="minorHAnsi"/>
        </w:rPr>
      </w:pPr>
      <w:r w:rsidRPr="6ACB936F">
        <w:rPr>
          <w:rFonts w:asciiTheme="minorHAnsi" w:hAnsiTheme="minorHAnsi"/>
        </w:rPr>
        <w:t xml:space="preserve">Based upon a review of the materials submitted, Staff finds that, with the addition of the recommended Conditions detailed below, the Applicant has met each DoN Factor for the Proposed </w:t>
      </w:r>
      <w:r w:rsidR="3A1D917F" w:rsidRPr="6ACB936F">
        <w:rPr>
          <w:rFonts w:asciiTheme="minorHAnsi" w:hAnsiTheme="minorHAnsi"/>
        </w:rPr>
        <w:t>Project and</w:t>
      </w:r>
      <w:r w:rsidRPr="6ACB936F">
        <w:rPr>
          <w:rFonts w:asciiTheme="minorHAnsi" w:hAnsiTheme="minorHAnsi"/>
        </w:rPr>
        <w:t xml:space="preserve"> recommends that the Department approve this Determination of Need, subject to all applicable Standard and Other Conditions.</w:t>
      </w:r>
    </w:p>
    <w:p w14:paraId="0D133BAF" w14:textId="77777777" w:rsidR="002C663B" w:rsidRDefault="002C663B" w:rsidP="00BA2054">
      <w:pPr>
        <w:pStyle w:val="BodyText"/>
        <w:ind w:right="226"/>
        <w:rPr>
          <w:rFonts w:asciiTheme="minorHAnsi" w:hAnsiTheme="minorHAnsi"/>
        </w:rPr>
      </w:pPr>
    </w:p>
    <w:p w14:paraId="0CD23462" w14:textId="4A66A9FB" w:rsidR="00B447F3" w:rsidRPr="003436F0" w:rsidRDefault="00A4110F" w:rsidP="00BA2054">
      <w:pPr>
        <w:pStyle w:val="Heading1"/>
        <w:ind w:left="0"/>
        <w:rPr>
          <w:rFonts w:asciiTheme="minorHAnsi" w:hAnsiTheme="minorHAnsi"/>
        </w:rPr>
      </w:pPr>
      <w:bookmarkStart w:id="32" w:name="Other_Conditions"/>
      <w:bookmarkStart w:id="33" w:name="_Toc223963005"/>
      <w:bookmarkEnd w:id="32"/>
      <w:r w:rsidRPr="003436F0">
        <w:rPr>
          <w:rFonts w:asciiTheme="minorHAnsi" w:hAnsiTheme="minorHAnsi"/>
          <w:color w:val="42558C"/>
        </w:rPr>
        <w:t>Other Conditions</w:t>
      </w:r>
      <w:bookmarkEnd w:id="33"/>
    </w:p>
    <w:p w14:paraId="3F595A95" w14:textId="77777777" w:rsidR="005B03BB" w:rsidRDefault="005B03BB" w:rsidP="005B03BB">
      <w:pPr>
        <w:rPr>
          <w:rFonts w:asciiTheme="minorHAnsi" w:hAnsiTheme="minorHAnsi"/>
        </w:rPr>
      </w:pPr>
    </w:p>
    <w:p w14:paraId="3C9BC788" w14:textId="665AFA80" w:rsidR="00D72047" w:rsidRDefault="009042F9" w:rsidP="005B03BB">
      <w:pPr>
        <w:numPr>
          <w:ilvl w:val="0"/>
          <w:numId w:val="49"/>
        </w:numPr>
        <w:rPr>
          <w:rFonts w:asciiTheme="minorHAnsi" w:hAnsiTheme="minorHAnsi"/>
        </w:rPr>
      </w:pPr>
      <w:r>
        <w:rPr>
          <w:rFonts w:asciiTheme="minorHAnsi" w:hAnsiTheme="minorHAnsi"/>
          <w:b/>
          <w:bCs/>
        </w:rPr>
        <w:t xml:space="preserve">Factor 6: </w:t>
      </w:r>
      <w:r>
        <w:rPr>
          <w:rFonts w:asciiTheme="minorHAnsi" w:hAnsiTheme="minorHAnsi"/>
        </w:rPr>
        <w:t>C</w:t>
      </w:r>
      <w:r w:rsidR="00D72047">
        <w:rPr>
          <w:rFonts w:asciiTheme="minorHAnsi" w:hAnsiTheme="minorHAnsi"/>
        </w:rPr>
        <w:t>HI Contribution</w:t>
      </w:r>
    </w:p>
    <w:p w14:paraId="3332284E" w14:textId="4511B3AD" w:rsidR="005B03BB" w:rsidRPr="00D72047" w:rsidRDefault="00B6269B" w:rsidP="00D72047">
      <w:pPr>
        <w:pStyle w:val="ListParagraph"/>
        <w:numPr>
          <w:ilvl w:val="0"/>
          <w:numId w:val="50"/>
        </w:numPr>
        <w:rPr>
          <w:rFonts w:asciiTheme="minorHAnsi" w:hAnsiTheme="minorHAnsi"/>
        </w:rPr>
      </w:pPr>
      <w:r w:rsidRPr="00D72047">
        <w:rPr>
          <w:rFonts w:asciiTheme="minorHAnsi" w:hAnsiTheme="minorHAnsi"/>
        </w:rPr>
        <w:t>O</w:t>
      </w:r>
      <w:r w:rsidR="005B03BB" w:rsidRPr="00D72047">
        <w:rPr>
          <w:rFonts w:asciiTheme="minorHAnsi" w:hAnsiTheme="minorHAnsi"/>
        </w:rPr>
        <w:t>f the total required CHI contribution of $2,525,031.65 </w:t>
      </w:r>
    </w:p>
    <w:p w14:paraId="78761518" w14:textId="77777777" w:rsidR="00D72047" w:rsidRDefault="005B03BB" w:rsidP="00D72047">
      <w:pPr>
        <w:pStyle w:val="ListParagraph"/>
        <w:numPr>
          <w:ilvl w:val="2"/>
          <w:numId w:val="49"/>
        </w:numPr>
        <w:rPr>
          <w:rFonts w:asciiTheme="minorHAnsi" w:hAnsiTheme="minorHAnsi"/>
        </w:rPr>
      </w:pPr>
      <w:r w:rsidRPr="00D72047">
        <w:rPr>
          <w:rFonts w:asciiTheme="minorHAnsi" w:hAnsiTheme="minorHAnsi"/>
        </w:rPr>
        <w:t>$612,320.17 will be directed to the CHI Statewide Initiative. </w:t>
      </w:r>
    </w:p>
    <w:p w14:paraId="155664D1" w14:textId="77777777" w:rsidR="00D72047" w:rsidRDefault="005B03BB" w:rsidP="00D72047">
      <w:pPr>
        <w:pStyle w:val="ListParagraph"/>
        <w:numPr>
          <w:ilvl w:val="2"/>
          <w:numId w:val="49"/>
        </w:numPr>
        <w:rPr>
          <w:rFonts w:asciiTheme="minorHAnsi" w:hAnsiTheme="minorHAnsi"/>
        </w:rPr>
      </w:pPr>
      <w:r w:rsidRPr="00D72047">
        <w:rPr>
          <w:rFonts w:asciiTheme="minorHAnsi" w:hAnsiTheme="minorHAnsi"/>
        </w:rPr>
        <w:t>$1,836,960.53 will be dedicated to local approaches to the DoN Health Priorities.   </w:t>
      </w:r>
    </w:p>
    <w:p w14:paraId="36D4364F" w14:textId="14BF98D2" w:rsidR="005B03BB" w:rsidRPr="00D72047" w:rsidRDefault="005B03BB" w:rsidP="00D72047">
      <w:pPr>
        <w:pStyle w:val="ListParagraph"/>
        <w:numPr>
          <w:ilvl w:val="2"/>
          <w:numId w:val="49"/>
        </w:numPr>
        <w:rPr>
          <w:rFonts w:asciiTheme="minorHAnsi" w:hAnsiTheme="minorHAnsi"/>
        </w:rPr>
      </w:pPr>
      <w:r w:rsidRPr="00D72047">
        <w:rPr>
          <w:rFonts w:asciiTheme="minorHAnsi" w:hAnsiTheme="minorHAnsi"/>
        </w:rPr>
        <w:t>$75,750.95 will be designated as the administrative fee.  </w:t>
      </w:r>
    </w:p>
    <w:p w14:paraId="06344759" w14:textId="77777777" w:rsidR="005B03BB" w:rsidRPr="005B03BB" w:rsidRDefault="005B03BB" w:rsidP="005B03BB">
      <w:pPr>
        <w:rPr>
          <w:rFonts w:asciiTheme="minorHAnsi" w:hAnsiTheme="minorHAnsi"/>
        </w:rPr>
      </w:pPr>
      <w:r w:rsidRPr="005B03BB">
        <w:rPr>
          <w:rFonts w:asciiTheme="minorHAnsi" w:hAnsiTheme="minorHAnsi"/>
        </w:rPr>
        <w:t> </w:t>
      </w:r>
    </w:p>
    <w:p w14:paraId="5CA5F688" w14:textId="77777777" w:rsidR="00D72047" w:rsidRDefault="005B03BB" w:rsidP="00D72047">
      <w:pPr>
        <w:pStyle w:val="ListParagraph"/>
        <w:numPr>
          <w:ilvl w:val="0"/>
          <w:numId w:val="50"/>
        </w:numPr>
        <w:rPr>
          <w:rFonts w:asciiTheme="minorHAnsi" w:hAnsiTheme="minorHAnsi"/>
        </w:rPr>
      </w:pPr>
      <w:r w:rsidRPr="00D72047">
        <w:rPr>
          <w:rFonts w:asciiTheme="minorHAnsi" w:hAnsiTheme="minorHAnsi"/>
        </w:rPr>
        <w:t>To comply with the Holder’s obligation to contribute to the CHI Statewide Initiative, the Holder must submit a check for $612,320.17 to Health Resources in Action (the fiscal agent for the CHI Statewide Initiative) </w:t>
      </w:r>
      <w:r w:rsidRPr="00D72047">
        <w:rPr>
          <w:rFonts w:asciiTheme="minorHAnsi" w:hAnsiTheme="minorHAnsi"/>
          <w:b/>
          <w:bCs/>
        </w:rPr>
        <w:t>within 30 days</w:t>
      </w:r>
      <w:r w:rsidRPr="00D72047">
        <w:rPr>
          <w:rFonts w:asciiTheme="minorHAnsi" w:hAnsiTheme="minorHAnsi"/>
        </w:rPr>
        <w:t> from the date of the Notice of Approval.   </w:t>
      </w:r>
    </w:p>
    <w:p w14:paraId="437063B9" w14:textId="1ADB019B" w:rsidR="005B03BB" w:rsidRPr="00D72047" w:rsidRDefault="005B03BB" w:rsidP="00D72047">
      <w:pPr>
        <w:pStyle w:val="ListParagraph"/>
        <w:numPr>
          <w:ilvl w:val="1"/>
          <w:numId w:val="46"/>
        </w:numPr>
        <w:ind w:left="2520"/>
        <w:rPr>
          <w:rFonts w:asciiTheme="minorHAnsi" w:hAnsiTheme="minorHAnsi"/>
        </w:rPr>
      </w:pPr>
      <w:r w:rsidRPr="00D72047">
        <w:rPr>
          <w:rFonts w:asciiTheme="minorHAnsi" w:hAnsiTheme="minorHAnsi"/>
        </w:rPr>
        <w:t>Payments should be made out to: </w:t>
      </w:r>
    </w:p>
    <w:p w14:paraId="49AE80D4" w14:textId="77777777" w:rsidR="005B03BB" w:rsidRPr="005B03BB" w:rsidRDefault="005B03BB" w:rsidP="00D72047">
      <w:pPr>
        <w:ind w:left="1800" w:firstLine="720"/>
        <w:rPr>
          <w:rFonts w:asciiTheme="minorHAnsi" w:hAnsiTheme="minorHAnsi"/>
        </w:rPr>
      </w:pPr>
      <w:r w:rsidRPr="005B03BB">
        <w:rPr>
          <w:rFonts w:asciiTheme="minorHAnsi" w:hAnsiTheme="minorHAnsi"/>
        </w:rPr>
        <w:t>Health Resources in Action, Inc. (HRiA)  </w:t>
      </w:r>
    </w:p>
    <w:p w14:paraId="46912FF0" w14:textId="77777777" w:rsidR="005B03BB" w:rsidRPr="005B03BB" w:rsidRDefault="005B03BB" w:rsidP="00D72047">
      <w:pPr>
        <w:ind w:left="1800" w:firstLine="720"/>
        <w:rPr>
          <w:rFonts w:asciiTheme="minorHAnsi" w:hAnsiTheme="minorHAnsi"/>
        </w:rPr>
      </w:pPr>
      <w:r w:rsidRPr="005B03BB">
        <w:rPr>
          <w:rFonts w:asciiTheme="minorHAnsi" w:hAnsiTheme="minorHAnsi"/>
        </w:rPr>
        <w:t>2 Boylston Street, 4th Floor  </w:t>
      </w:r>
    </w:p>
    <w:p w14:paraId="4AE8EBBE" w14:textId="77777777" w:rsidR="005B03BB" w:rsidRPr="005B03BB" w:rsidRDefault="005B03BB" w:rsidP="00D72047">
      <w:pPr>
        <w:ind w:left="1800" w:firstLine="720"/>
        <w:rPr>
          <w:rFonts w:asciiTheme="minorHAnsi" w:hAnsiTheme="minorHAnsi"/>
        </w:rPr>
      </w:pPr>
      <w:r w:rsidRPr="005B03BB">
        <w:rPr>
          <w:rFonts w:asciiTheme="minorHAnsi" w:hAnsiTheme="minorHAnsi"/>
        </w:rPr>
        <w:t>Boston, MA 02116 Attn: MACHHAF c/o Bora Toro  </w:t>
      </w:r>
    </w:p>
    <w:p w14:paraId="407DC3BD" w14:textId="77777777" w:rsidR="00D72047" w:rsidRDefault="005B03BB" w:rsidP="00D72047">
      <w:pPr>
        <w:ind w:left="1800" w:firstLine="720"/>
        <w:rPr>
          <w:rFonts w:asciiTheme="minorHAnsi" w:hAnsiTheme="minorHAnsi"/>
        </w:rPr>
      </w:pPr>
      <w:r w:rsidRPr="005B03BB">
        <w:rPr>
          <w:rFonts w:asciiTheme="minorHAnsi" w:hAnsiTheme="minorHAnsi"/>
        </w:rPr>
        <w:t>DoN project: # DFCI-25090516-RS </w:t>
      </w:r>
    </w:p>
    <w:p w14:paraId="1AC71C02" w14:textId="77777777" w:rsidR="00D72047" w:rsidRDefault="00D72047" w:rsidP="00D72047">
      <w:pPr>
        <w:ind w:left="1800" w:firstLine="720"/>
        <w:rPr>
          <w:rFonts w:asciiTheme="minorHAnsi" w:hAnsiTheme="minorHAnsi"/>
        </w:rPr>
      </w:pPr>
    </w:p>
    <w:p w14:paraId="5CC83AEE" w14:textId="1D0E7784" w:rsidR="00B6269B" w:rsidRPr="00FF20A5" w:rsidRDefault="005B03BB" w:rsidP="007359D0">
      <w:pPr>
        <w:pStyle w:val="ListParagraph"/>
        <w:numPr>
          <w:ilvl w:val="1"/>
          <w:numId w:val="46"/>
        </w:numPr>
        <w:ind w:left="2520"/>
        <w:rPr>
          <w:rFonts w:asciiTheme="minorHAnsi" w:hAnsiTheme="minorHAnsi"/>
        </w:rPr>
      </w:pPr>
      <w:r w:rsidRPr="00D72047">
        <w:rPr>
          <w:rFonts w:asciiTheme="minorHAnsi" w:hAnsiTheme="minorHAnsi"/>
        </w:rPr>
        <w:lastRenderedPageBreak/>
        <w:t>Please send a PDF image of the check or</w:t>
      </w:r>
      <w:r w:rsidRPr="00D72047">
        <w:rPr>
          <w:rFonts w:asciiTheme="minorHAnsi" w:hAnsiTheme="minorHAnsi"/>
          <w:b/>
          <w:bCs/>
        </w:rPr>
        <w:t> confirmation of payment</w:t>
      </w:r>
      <w:r w:rsidRPr="00D72047">
        <w:rPr>
          <w:rFonts w:asciiTheme="minorHAnsi" w:hAnsiTheme="minorHAnsi"/>
        </w:rPr>
        <w:t> to </w:t>
      </w:r>
      <w:hyperlink r:id="rId10" w:tgtFrame="_blank" w:history="1">
        <w:r w:rsidRPr="00D72047">
          <w:rPr>
            <w:rStyle w:val="Hyperlink"/>
            <w:rFonts w:asciiTheme="minorHAnsi" w:hAnsiTheme="minorHAnsi"/>
          </w:rPr>
          <w:t>DONCHI@Mass.gov</w:t>
        </w:r>
      </w:hyperlink>
      <w:r w:rsidRPr="00D72047">
        <w:rPr>
          <w:rFonts w:asciiTheme="minorHAnsi" w:hAnsiTheme="minorHAnsi"/>
        </w:rPr>
        <w:t> and </w:t>
      </w:r>
      <w:hyperlink r:id="rId11" w:tgtFrame="_blank" w:history="1">
        <w:r w:rsidRPr="00D72047">
          <w:rPr>
            <w:rStyle w:val="Hyperlink"/>
            <w:rFonts w:asciiTheme="minorHAnsi" w:hAnsiTheme="minorHAnsi"/>
            <w:lang w:val="fr-FR"/>
          </w:rPr>
          <w:t>dongrants@hria.org.</w:t>
        </w:r>
      </w:hyperlink>
      <w:r w:rsidRPr="00D72047">
        <w:rPr>
          <w:rFonts w:asciiTheme="minorHAnsi" w:hAnsiTheme="minorHAnsi"/>
        </w:rPr>
        <w:t> If you should have any questions or concerns regarding the payment, please contact the CHI team at </w:t>
      </w:r>
      <w:hyperlink r:id="rId12" w:tgtFrame="_blank" w:history="1">
        <w:r w:rsidRPr="00D72047">
          <w:rPr>
            <w:rStyle w:val="Hyperlink"/>
            <w:rFonts w:asciiTheme="minorHAnsi" w:hAnsiTheme="minorHAnsi"/>
          </w:rPr>
          <w:t>DONCHI@Mass.gov</w:t>
        </w:r>
      </w:hyperlink>
      <w:r w:rsidRPr="00D72047">
        <w:rPr>
          <w:rFonts w:asciiTheme="minorHAnsi" w:hAnsiTheme="minorHAnsi"/>
        </w:rPr>
        <w:t>. </w:t>
      </w:r>
    </w:p>
    <w:p w14:paraId="00CA4722" w14:textId="6C5557BF" w:rsidR="003A5512" w:rsidRDefault="003A5512" w:rsidP="003A5512">
      <w:pPr>
        <w:rPr>
          <w:rFonts w:asciiTheme="minorHAnsi" w:hAnsiTheme="minorHAnsi"/>
          <w:b/>
          <w:bCs/>
        </w:rPr>
      </w:pPr>
    </w:p>
    <w:p w14:paraId="3FF55A42" w14:textId="77777777" w:rsidR="00407172" w:rsidRPr="008B1459" w:rsidRDefault="00407172" w:rsidP="00407172">
      <w:pPr>
        <w:pStyle w:val="ListParagraph"/>
        <w:numPr>
          <w:ilvl w:val="0"/>
          <w:numId w:val="49"/>
        </w:numPr>
        <w:rPr>
          <w:rFonts w:cs="Calibri"/>
        </w:rPr>
      </w:pPr>
      <w:r w:rsidRPr="008B1459">
        <w:rPr>
          <w:rFonts w:cs="Calibri"/>
          <w:b/>
          <w:bCs/>
        </w:rPr>
        <w:t>Factor 1</w:t>
      </w:r>
      <w:r w:rsidRPr="008B1459">
        <w:rPr>
          <w:rFonts w:cs="Calibri"/>
          <w:b/>
        </w:rPr>
        <w:t>(a)</w:t>
      </w:r>
      <w:r w:rsidRPr="008B1459">
        <w:rPr>
          <w:rFonts w:cs="Calibri"/>
          <w:b/>
          <w:bCs/>
        </w:rPr>
        <w:t>:</w:t>
      </w:r>
      <w:r w:rsidRPr="008B1459">
        <w:rPr>
          <w:rFonts w:cs="Calibri"/>
        </w:rPr>
        <w:t xml:space="preserve"> The Holder shall track and report the following: </w:t>
      </w:r>
    </w:p>
    <w:p w14:paraId="42946E2B" w14:textId="77777777" w:rsidR="00407172" w:rsidRPr="008B1459" w:rsidRDefault="00407172" w:rsidP="00407172">
      <w:pPr>
        <w:pStyle w:val="ListParagraph"/>
        <w:numPr>
          <w:ilvl w:val="1"/>
          <w:numId w:val="49"/>
        </w:numPr>
        <w:rPr>
          <w:rFonts w:cs="Calibri"/>
        </w:rPr>
      </w:pPr>
      <w:r w:rsidRPr="008B1459">
        <w:rPr>
          <w:rFonts w:cs="Calibri"/>
        </w:rPr>
        <w:t xml:space="preserve">Total number of patients who meet the Medical Necessity Criteria for PBT service pursuant to the CMS Local Coverage Determination Letter L35075 </w:t>
      </w:r>
      <w:r w:rsidRPr="004A215E">
        <w:rPr>
          <w:rFonts w:cs="Calibri"/>
        </w:rPr>
        <w:t xml:space="preserve">and related Billing and Coding Articles </w:t>
      </w:r>
      <w:r w:rsidRPr="008B1459">
        <w:rPr>
          <w:rFonts w:cs="Calibri"/>
        </w:rPr>
        <w:t>or any successor CMS Coverage Guidance; and</w:t>
      </w:r>
    </w:p>
    <w:p w14:paraId="53533971" w14:textId="77777777" w:rsidR="00407172" w:rsidRPr="008B1459" w:rsidRDefault="00407172" w:rsidP="00407172">
      <w:pPr>
        <w:pStyle w:val="ListParagraph"/>
        <w:numPr>
          <w:ilvl w:val="1"/>
          <w:numId w:val="49"/>
        </w:numPr>
        <w:rPr>
          <w:rFonts w:cs="Calibri"/>
        </w:rPr>
      </w:pPr>
      <w:r w:rsidRPr="008B1459">
        <w:rPr>
          <w:rFonts w:cs="Calibri"/>
        </w:rPr>
        <w:t>Treatments by ICD- 10 codes including staging and also, differentiating the patients needing re-irradiation where cumulative critical structure dose exceeds tolerance dose.</w:t>
      </w:r>
    </w:p>
    <w:p w14:paraId="3ACF8B61" w14:textId="77777777" w:rsidR="00407172" w:rsidRPr="008B1459" w:rsidRDefault="00407172" w:rsidP="00407172">
      <w:pPr>
        <w:rPr>
          <w:rFonts w:cs="Calibri"/>
        </w:rPr>
      </w:pPr>
    </w:p>
    <w:p w14:paraId="4722CE39" w14:textId="7C89D5D7" w:rsidR="00407172" w:rsidRPr="008B1459" w:rsidRDefault="00407172" w:rsidP="00407172">
      <w:pPr>
        <w:ind w:left="720"/>
        <w:rPr>
          <w:rFonts w:cs="Calibri"/>
        </w:rPr>
      </w:pPr>
      <w:r w:rsidRPr="00471193">
        <w:rPr>
          <w:rFonts w:cs="Calibri"/>
        </w:rPr>
        <w:t xml:space="preserve">For </w:t>
      </w:r>
      <w:r w:rsidR="00C81EA8">
        <w:rPr>
          <w:rFonts w:cs="Calibri"/>
        </w:rPr>
        <w:t>2</w:t>
      </w:r>
      <w:r w:rsidRPr="00471193">
        <w:rPr>
          <w:rFonts w:cs="Calibri"/>
        </w:rPr>
        <w:t>a-</w:t>
      </w:r>
      <w:r w:rsidR="00C81EA8">
        <w:rPr>
          <w:rFonts w:cs="Calibri"/>
        </w:rPr>
        <w:t>2</w:t>
      </w:r>
      <w:r w:rsidRPr="00471193">
        <w:rPr>
          <w:rFonts w:cs="Calibri"/>
        </w:rPr>
        <w:t>b, the Holder will provide data for all PBT patients, and will provide data for adult and pediatric patients separately.</w:t>
      </w:r>
      <w:r w:rsidRPr="008B1459">
        <w:rPr>
          <w:rFonts w:cs="Calibri"/>
        </w:rPr>
        <w:t xml:space="preserve"> </w:t>
      </w:r>
    </w:p>
    <w:p w14:paraId="1D4E2D36" w14:textId="77777777" w:rsidR="00407172" w:rsidRPr="008B1459" w:rsidRDefault="00407172" w:rsidP="00407172">
      <w:pPr>
        <w:pStyle w:val="ListParagraph"/>
        <w:rPr>
          <w:rFonts w:cs="Calibri"/>
        </w:rPr>
      </w:pPr>
    </w:p>
    <w:p w14:paraId="5B29358D" w14:textId="77777777" w:rsidR="00407172" w:rsidRPr="008B1459" w:rsidRDefault="00407172" w:rsidP="00407172">
      <w:pPr>
        <w:pStyle w:val="ListParagraph"/>
        <w:numPr>
          <w:ilvl w:val="0"/>
          <w:numId w:val="49"/>
        </w:numPr>
        <w:rPr>
          <w:rFonts w:cs="Calibri"/>
        </w:rPr>
      </w:pPr>
      <w:r w:rsidRPr="008B1459">
        <w:rPr>
          <w:rFonts w:cs="Calibri"/>
          <w:b/>
          <w:bCs/>
        </w:rPr>
        <w:t>Factor 1(b):</w:t>
      </w:r>
      <w:r w:rsidRPr="008B1459">
        <w:rPr>
          <w:rFonts w:cs="Calibri"/>
        </w:rPr>
        <w:t xml:space="preserve"> To demonstrate that the Holder is advancing equitable access to PBT services, the Holder will report annually on the following:</w:t>
      </w:r>
    </w:p>
    <w:p w14:paraId="56F84042" w14:textId="77777777" w:rsidR="00407172" w:rsidRPr="008B1459" w:rsidRDefault="00407172" w:rsidP="00407172">
      <w:pPr>
        <w:pStyle w:val="ListParagraph"/>
        <w:numPr>
          <w:ilvl w:val="1"/>
          <w:numId w:val="50"/>
        </w:numPr>
        <w:ind w:left="1440"/>
        <w:rPr>
          <w:rFonts w:cs="Calibri"/>
        </w:rPr>
      </w:pPr>
      <w:r w:rsidRPr="008B1459">
        <w:rPr>
          <w:rFonts w:cs="Calibri"/>
        </w:rPr>
        <w:t>Age (Birth-21, 22-35, 36-55, 56-64, and 65+), Payer-mix, race, ethnicity, Massachusetts county or state of residence if outside of Massachusetts, and preferred language of the Holder’s Patients Panel receiving PBT;</w:t>
      </w:r>
    </w:p>
    <w:p w14:paraId="0CC5FC3F" w14:textId="77777777" w:rsidR="00407172" w:rsidRPr="008B1459" w:rsidRDefault="00407172" w:rsidP="00407172">
      <w:pPr>
        <w:pStyle w:val="ListParagraph"/>
        <w:numPr>
          <w:ilvl w:val="1"/>
          <w:numId w:val="50"/>
        </w:numPr>
        <w:ind w:left="1440"/>
        <w:rPr>
          <w:rFonts w:cs="Calibri"/>
        </w:rPr>
      </w:pPr>
      <w:r w:rsidRPr="008B1459">
        <w:rPr>
          <w:rFonts w:cs="Calibri"/>
        </w:rPr>
        <w:t xml:space="preserve">Age (Birth-21, 22-35, 36-55, 56-64, and 65+), Payer-mix, race, ethnicity, Massachusetts county or state of residence if outside of Massachusetts, and preferred language of the Holder’s entire Patient Panel;  </w:t>
      </w:r>
    </w:p>
    <w:p w14:paraId="226AAF51" w14:textId="77777777" w:rsidR="00407172" w:rsidRPr="008B1459" w:rsidRDefault="00407172" w:rsidP="00407172">
      <w:pPr>
        <w:pStyle w:val="ListParagraph"/>
        <w:numPr>
          <w:ilvl w:val="1"/>
          <w:numId w:val="50"/>
        </w:numPr>
        <w:ind w:left="1440"/>
        <w:rPr>
          <w:rFonts w:cs="Calibri"/>
        </w:rPr>
      </w:pPr>
      <w:r w:rsidRPr="008B1459">
        <w:rPr>
          <w:rFonts w:cs="Calibri"/>
        </w:rPr>
        <w:t xml:space="preserve">Total percentage of PBT patients denied coverage by payer; </w:t>
      </w:r>
    </w:p>
    <w:p w14:paraId="71D47344" w14:textId="77777777" w:rsidR="00407172" w:rsidRPr="008B1459" w:rsidRDefault="00407172" w:rsidP="00407172">
      <w:pPr>
        <w:pStyle w:val="ListParagraph"/>
        <w:numPr>
          <w:ilvl w:val="1"/>
          <w:numId w:val="50"/>
        </w:numPr>
        <w:ind w:left="1440"/>
        <w:rPr>
          <w:rFonts w:cs="Calibri"/>
        </w:rPr>
      </w:pPr>
      <w:r w:rsidRPr="008B1459">
        <w:rPr>
          <w:rFonts w:cs="Calibri"/>
        </w:rPr>
        <w:t xml:space="preserve">Number of the Center’s patients referred for the Applicant’s sliding-scale payment and financial assistance program; and </w:t>
      </w:r>
    </w:p>
    <w:p w14:paraId="7E56E46C" w14:textId="77777777" w:rsidR="00407172" w:rsidRPr="008B1459" w:rsidRDefault="00407172" w:rsidP="00407172">
      <w:pPr>
        <w:pStyle w:val="ListParagraph"/>
        <w:numPr>
          <w:ilvl w:val="1"/>
          <w:numId w:val="50"/>
        </w:numPr>
        <w:ind w:left="1440"/>
        <w:rPr>
          <w:rFonts w:cs="Calibri"/>
        </w:rPr>
      </w:pPr>
      <w:r w:rsidRPr="008B1459">
        <w:rPr>
          <w:rFonts w:cs="Calibri"/>
        </w:rPr>
        <w:t>Identified barriers to accessing the Center as well as any evidence-based interventions the Holder implements to address those barriers.</w:t>
      </w:r>
    </w:p>
    <w:p w14:paraId="6685F2A7" w14:textId="77777777" w:rsidR="00407172" w:rsidRPr="008B1459" w:rsidRDefault="00407172" w:rsidP="00407172">
      <w:pPr>
        <w:ind w:left="720"/>
        <w:rPr>
          <w:rFonts w:cs="Calibri"/>
        </w:rPr>
      </w:pPr>
    </w:p>
    <w:p w14:paraId="3BBACE67" w14:textId="04BFD047" w:rsidR="00407172" w:rsidRPr="008B1459" w:rsidRDefault="00407172" w:rsidP="00407172">
      <w:pPr>
        <w:ind w:left="720"/>
        <w:rPr>
          <w:rFonts w:cs="Calibri"/>
        </w:rPr>
      </w:pPr>
      <w:r w:rsidRPr="00471193">
        <w:rPr>
          <w:rFonts w:cs="Calibri"/>
        </w:rPr>
        <w:t xml:space="preserve">For </w:t>
      </w:r>
      <w:r w:rsidR="00BA1425">
        <w:rPr>
          <w:rFonts w:cs="Calibri"/>
        </w:rPr>
        <w:t>3</w:t>
      </w:r>
      <w:r w:rsidRPr="00471193">
        <w:rPr>
          <w:rFonts w:cs="Calibri"/>
        </w:rPr>
        <w:t>a-</w:t>
      </w:r>
      <w:r w:rsidR="00BA1425">
        <w:rPr>
          <w:rFonts w:cs="Calibri"/>
        </w:rPr>
        <w:t>3</w:t>
      </w:r>
      <w:r w:rsidRPr="00471193">
        <w:rPr>
          <w:rFonts w:cs="Calibri"/>
        </w:rPr>
        <w:t>d, the Holder will provide data for all patients and will provide data for adult and pediatric patients separately</w:t>
      </w:r>
      <w:r w:rsidRPr="008B1459">
        <w:rPr>
          <w:rFonts w:cs="Calibri"/>
        </w:rPr>
        <w:t xml:space="preserve"> </w:t>
      </w:r>
    </w:p>
    <w:p w14:paraId="088D282D" w14:textId="77777777" w:rsidR="00407172" w:rsidRPr="008B1459" w:rsidRDefault="00407172" w:rsidP="00407172">
      <w:pPr>
        <w:ind w:left="720"/>
        <w:rPr>
          <w:rFonts w:cs="Calibri"/>
        </w:rPr>
      </w:pPr>
    </w:p>
    <w:p w14:paraId="2A4B0943" w14:textId="77777777" w:rsidR="00407172" w:rsidRPr="008B1459" w:rsidRDefault="00407172" w:rsidP="00407172">
      <w:pPr>
        <w:ind w:left="720"/>
        <w:rPr>
          <w:rFonts w:cs="Calibri"/>
        </w:rPr>
      </w:pPr>
      <w:r w:rsidRPr="008B1459">
        <w:rPr>
          <w:rFonts w:cs="Calibri"/>
        </w:rPr>
        <w:t>If the Department determines the Holder’s payer-mix for the PBT service is materially different from the overall DFCI payer-mix overall, the Holder shall provide the Department with an explanation of such differences to allow the Department to determine whether the differences are the result of determinations outside the control of the Holder. If the Department determines the payer-mix differences are not due to forces outside the Holder’s control, the Holder shall develop a plan as agreed to with the Department to address such payer-mix disparities.</w:t>
      </w:r>
    </w:p>
    <w:p w14:paraId="0272F10B" w14:textId="03621041" w:rsidR="00E62781" w:rsidRPr="00E62781" w:rsidRDefault="00E62781" w:rsidP="000D2649">
      <w:pPr>
        <w:pStyle w:val="ListParagraph"/>
        <w:ind w:left="1440" w:firstLine="0"/>
        <w:rPr>
          <w:rFonts w:asciiTheme="minorHAnsi" w:hAnsiTheme="minorHAnsi"/>
        </w:rPr>
      </w:pPr>
    </w:p>
    <w:p w14:paraId="3F87093A" w14:textId="00165B65" w:rsidR="006D6C8B" w:rsidRPr="006D6C8B" w:rsidRDefault="6C30C3DC" w:rsidP="006D6C8B">
      <w:pPr>
        <w:pStyle w:val="ListParagraph"/>
        <w:numPr>
          <w:ilvl w:val="0"/>
          <w:numId w:val="49"/>
        </w:numPr>
        <w:rPr>
          <w:b/>
          <w:bCs/>
        </w:rPr>
      </w:pPr>
      <w:r w:rsidRPr="4D795D6D">
        <w:rPr>
          <w:b/>
          <w:bCs/>
        </w:rPr>
        <w:t xml:space="preserve">Factor </w:t>
      </w:r>
      <w:r w:rsidR="00181E17">
        <w:rPr>
          <w:b/>
          <w:bCs/>
        </w:rPr>
        <w:t>1(f)</w:t>
      </w:r>
      <w:r w:rsidR="009F0EA4">
        <w:rPr>
          <w:b/>
          <w:bCs/>
        </w:rPr>
        <w:t xml:space="preserve"> and Factor 2</w:t>
      </w:r>
      <w:r w:rsidR="006747B9">
        <w:rPr>
          <w:b/>
          <w:bCs/>
        </w:rPr>
        <w:t xml:space="preserve">: Cost </w:t>
      </w:r>
      <w:r w:rsidR="00583C71">
        <w:rPr>
          <w:b/>
          <w:bCs/>
        </w:rPr>
        <w:t>Containment</w:t>
      </w:r>
      <w:r w:rsidR="009F0EA4">
        <w:rPr>
          <w:b/>
          <w:bCs/>
        </w:rPr>
        <w:t xml:space="preserve">: </w:t>
      </w:r>
      <w:r w:rsidR="006D6C8B" w:rsidRPr="006D6C8B">
        <w:rPr>
          <w:rFonts w:cs="Calibri"/>
        </w:rPr>
        <w:t xml:space="preserve">To ensure that the Proposed Project competes </w:t>
      </w:r>
      <w:r w:rsidR="006D6C8B" w:rsidRPr="006D6C8B">
        <w:rPr>
          <w:rFonts w:cs="Calibri"/>
        </w:rPr>
        <w:lastRenderedPageBreak/>
        <w:t>on the basis of price, the Department will establish a baseline commercial rate of reimbursement for PBT services (the “Baseline”) pursuant to a methodology selected in consultation with the Holder, with the intent to ensure that the Holder’s commercial reimbursement rates for PBT services do not exceed the then-highest commercial reimbursement rates in the Commonwealth. The Holder shall ensure that its initial weighted average commercial rates of reimbursement rates for PBT services at the Center do not exceed the Baseline. For each subsequent year during the Reporting Period, the Holder shall ensure that its year-over-year percentage increase in weighted average commercial reimbursement for PBT services at the Center will not exceed 2.599%.</w:t>
      </w:r>
      <w:r w:rsidR="006D6C8B">
        <w:rPr>
          <w:rStyle w:val="FootnoteReference"/>
          <w:rFonts w:cs="Calibri"/>
        </w:rPr>
        <w:footnoteReference w:id="75"/>
      </w:r>
      <w:r w:rsidR="006D6C8B" w:rsidRPr="006D6C8B">
        <w:rPr>
          <w:rFonts w:cs="Calibri"/>
        </w:rPr>
        <w:t xml:space="preserve"> </w:t>
      </w:r>
    </w:p>
    <w:p w14:paraId="3A79C69E" w14:textId="77777777" w:rsidR="006D6C8B" w:rsidRDefault="006D6C8B" w:rsidP="006D6C8B">
      <w:pPr>
        <w:rPr>
          <w:rFonts w:cs="Calibri"/>
        </w:rPr>
      </w:pPr>
    </w:p>
    <w:p w14:paraId="6CC57F5A" w14:textId="1192A3A5" w:rsidR="006D6C8B" w:rsidRDefault="006D6C8B" w:rsidP="006D6C8B">
      <w:pPr>
        <w:ind w:left="720"/>
        <w:rPr>
          <w:rFonts w:cs="Calibri"/>
        </w:rPr>
      </w:pPr>
      <w:r>
        <w:rPr>
          <w:rFonts w:cs="Calibri"/>
        </w:rPr>
        <w:t xml:space="preserve">The DoN Program shall review the information received from DFCI in accordance with Condition </w:t>
      </w:r>
      <w:r w:rsidR="00302F74">
        <w:rPr>
          <w:rFonts w:cs="Calibri"/>
        </w:rPr>
        <w:t>4</w:t>
      </w:r>
      <w:r>
        <w:rPr>
          <w:rFonts w:cs="Calibri"/>
        </w:rPr>
        <w:t xml:space="preserve"> to determine whether one or more of the following “Referral Indicators” is present:</w:t>
      </w:r>
    </w:p>
    <w:p w14:paraId="6FB3855F" w14:textId="77777777" w:rsidR="006D6C8B" w:rsidRDefault="006D6C8B" w:rsidP="006D6C8B">
      <w:pPr>
        <w:ind w:left="360"/>
        <w:rPr>
          <w:rFonts w:cs="Calibri"/>
        </w:rPr>
      </w:pPr>
    </w:p>
    <w:p w14:paraId="55107A15" w14:textId="77777777" w:rsidR="006D6C8B" w:rsidRDefault="006D6C8B" w:rsidP="006D6C8B">
      <w:pPr>
        <w:pStyle w:val="ListParagraph"/>
        <w:widowControl/>
        <w:numPr>
          <w:ilvl w:val="0"/>
          <w:numId w:val="69"/>
        </w:numPr>
        <w:autoSpaceDE/>
        <w:autoSpaceDN/>
        <w:contextualSpacing/>
        <w:rPr>
          <w:rFonts w:cs="Calibri"/>
        </w:rPr>
      </w:pPr>
      <w:r>
        <w:rPr>
          <w:rFonts w:cs="Calibri"/>
        </w:rPr>
        <w:t xml:space="preserve">In the initial year PBT is provided, the Holder’s weighted average commercial reimbursement rates for PBT services at the Center exceeded the Baseline; or </w:t>
      </w:r>
    </w:p>
    <w:p w14:paraId="7428591C" w14:textId="77777777" w:rsidR="006D6C8B" w:rsidRDefault="006D6C8B" w:rsidP="006D6C8B">
      <w:pPr>
        <w:pStyle w:val="ListParagraph"/>
        <w:widowControl/>
        <w:numPr>
          <w:ilvl w:val="0"/>
          <w:numId w:val="69"/>
        </w:numPr>
        <w:autoSpaceDE/>
        <w:autoSpaceDN/>
        <w:contextualSpacing/>
        <w:rPr>
          <w:rFonts w:cs="Calibri"/>
        </w:rPr>
      </w:pPr>
      <w:r>
        <w:rPr>
          <w:rFonts w:cs="Calibri"/>
        </w:rPr>
        <w:t xml:space="preserve">In any subsequent year, the Holder’s year-over-year increase in weighted average commercial reimbursement rates exceeded 2.599%. </w:t>
      </w:r>
    </w:p>
    <w:p w14:paraId="4AEF6D13" w14:textId="77777777" w:rsidR="006D6C8B" w:rsidRDefault="006D6C8B" w:rsidP="006D6C8B">
      <w:pPr>
        <w:ind w:left="360"/>
        <w:rPr>
          <w:rFonts w:cs="Calibri"/>
        </w:rPr>
      </w:pPr>
    </w:p>
    <w:p w14:paraId="5E384CF0" w14:textId="77777777" w:rsidR="006D6C8B" w:rsidRDefault="006D6C8B" w:rsidP="006D6C8B">
      <w:pPr>
        <w:ind w:left="360"/>
        <w:rPr>
          <w:rFonts w:cs="Calibri"/>
        </w:rPr>
      </w:pPr>
      <w:r>
        <w:rPr>
          <w:rFonts w:cs="Calibri"/>
        </w:rPr>
        <w:t xml:space="preserve">If the DoN Program finds one or more of the Referral Indicators, the matter shall be referred to the Public Health Council (PHC) for review. Upon referral to the PHC, the Holder shall have an opportunity to show cause why the PHC should not find the Holder out of compliance with this Condition. </w:t>
      </w:r>
    </w:p>
    <w:p w14:paraId="30EC87A1" w14:textId="77777777" w:rsidR="006D6C8B" w:rsidRDefault="006D6C8B" w:rsidP="006D6C8B">
      <w:pPr>
        <w:ind w:left="360"/>
        <w:rPr>
          <w:rFonts w:cs="Calibri"/>
        </w:rPr>
      </w:pPr>
    </w:p>
    <w:p w14:paraId="7D1BE94D" w14:textId="77777777" w:rsidR="006D6C8B" w:rsidRPr="00462533" w:rsidRDefault="006D6C8B" w:rsidP="006D6C8B">
      <w:pPr>
        <w:ind w:left="360"/>
        <w:rPr>
          <w:rFonts w:cs="Calibri"/>
        </w:rPr>
      </w:pPr>
      <w:r>
        <w:rPr>
          <w:rFonts w:cs="Calibri"/>
        </w:rPr>
        <w:t>Pursuant to 100.310(A)(13), if the PHC determines</w:t>
      </w:r>
      <w:r w:rsidRPr="00C6384E">
        <w:rPr>
          <w:rFonts w:cs="Calibri"/>
        </w:rPr>
        <w:t xml:space="preserve"> that the Holder has failed to sufficiently</w:t>
      </w:r>
      <w:r>
        <w:rPr>
          <w:rFonts w:cs="Calibri"/>
        </w:rPr>
        <w:t xml:space="preserve"> </w:t>
      </w:r>
      <w:r w:rsidRPr="00C6384E">
        <w:rPr>
          <w:rFonts w:cs="Calibri"/>
        </w:rPr>
        <w:t xml:space="preserve">demonstrate compliance with </w:t>
      </w:r>
      <w:r>
        <w:rPr>
          <w:rFonts w:cs="Calibri"/>
        </w:rPr>
        <w:t>this</w:t>
      </w:r>
      <w:r w:rsidRPr="00C6384E">
        <w:rPr>
          <w:rFonts w:cs="Calibri"/>
        </w:rPr>
        <w:t xml:space="preserve"> Condition, </w:t>
      </w:r>
      <w:r>
        <w:rPr>
          <w:rFonts w:cs="Calibri"/>
        </w:rPr>
        <w:t xml:space="preserve">the Holder </w:t>
      </w:r>
      <w:r w:rsidRPr="00462533">
        <w:rPr>
          <w:rFonts w:cs="Calibri"/>
        </w:rPr>
        <w:t>shall fund projects which</w:t>
      </w:r>
    </w:p>
    <w:p w14:paraId="32D2298E" w14:textId="77777777" w:rsidR="006D6C8B" w:rsidRPr="00462533" w:rsidRDefault="006D6C8B" w:rsidP="006D6C8B">
      <w:pPr>
        <w:ind w:left="360"/>
        <w:rPr>
          <w:rFonts w:cs="Calibri"/>
        </w:rPr>
      </w:pPr>
      <w:r w:rsidRPr="00462533">
        <w:rPr>
          <w:rFonts w:cs="Calibri"/>
        </w:rPr>
        <w:t>address one or more of the Health Priorities set out in Department Guideline, as approved</w:t>
      </w:r>
    </w:p>
    <w:p w14:paraId="43910CB8" w14:textId="77777777" w:rsidR="006D6C8B" w:rsidRPr="00462533" w:rsidRDefault="006D6C8B" w:rsidP="006D6C8B">
      <w:pPr>
        <w:ind w:left="360"/>
        <w:rPr>
          <w:rFonts w:cs="Calibri"/>
        </w:rPr>
      </w:pPr>
      <w:r w:rsidRPr="00462533">
        <w:rPr>
          <w:rFonts w:cs="Calibri"/>
        </w:rPr>
        <w:t>by the Department, which in total, shall equal up to 2.5% of the total Capital Expenditure of</w:t>
      </w:r>
    </w:p>
    <w:p w14:paraId="2EA1CA68" w14:textId="77777777" w:rsidR="006D6C8B" w:rsidRPr="003C46F5" w:rsidRDefault="006D6C8B" w:rsidP="006D6C8B">
      <w:pPr>
        <w:ind w:left="360"/>
        <w:rPr>
          <w:rFonts w:cs="Calibri"/>
        </w:rPr>
      </w:pPr>
      <w:r w:rsidRPr="00462533">
        <w:rPr>
          <w:rFonts w:cs="Calibri"/>
        </w:rPr>
        <w:t>the approved project.</w:t>
      </w:r>
      <w:r w:rsidRPr="003C46F5">
        <w:t xml:space="preserve"> </w:t>
      </w:r>
      <w:r w:rsidRPr="003C46F5">
        <w:rPr>
          <w:rFonts w:cs="Calibri"/>
        </w:rPr>
        <w:t>Said projects shall address one or more of the Health Priorities set out</w:t>
      </w:r>
      <w:r w:rsidRPr="00AB7FC4">
        <w:rPr>
          <w:rFonts w:cs="Calibri"/>
        </w:rPr>
        <w:t xml:space="preserve"> </w:t>
      </w:r>
      <w:r w:rsidRPr="003C46F5">
        <w:rPr>
          <w:rFonts w:cs="Calibri"/>
        </w:rPr>
        <w:t>in Department Guideline, and shall be in addition to those projects approved by the</w:t>
      </w:r>
    </w:p>
    <w:p w14:paraId="0FDED046" w14:textId="77777777" w:rsidR="006D6C8B" w:rsidRPr="008B1459" w:rsidRDefault="006D6C8B" w:rsidP="006D6C8B">
      <w:pPr>
        <w:ind w:left="360"/>
        <w:rPr>
          <w:rFonts w:cs="Calibri"/>
        </w:rPr>
      </w:pPr>
      <w:r w:rsidRPr="003C46F5">
        <w:rPr>
          <w:rFonts w:cs="Calibri"/>
        </w:rPr>
        <w:t>Department in fulfillment of 105 CMR 100.210(A)(6).</w:t>
      </w:r>
      <w:r>
        <w:rPr>
          <w:rFonts w:cs="Calibri"/>
        </w:rPr>
        <w:t xml:space="preserve"> The Holder may satisfy this funding requirement through an additional contribution to the CHI statewide Initiative. </w:t>
      </w:r>
    </w:p>
    <w:p w14:paraId="529C420D" w14:textId="77777777" w:rsidR="006D6C8B" w:rsidRPr="006D6C8B" w:rsidRDefault="006D6C8B" w:rsidP="006D6C8B">
      <w:pPr>
        <w:pStyle w:val="ListParagraph"/>
        <w:ind w:left="720" w:firstLine="0"/>
      </w:pPr>
    </w:p>
    <w:p w14:paraId="7A82632F" w14:textId="3D874520" w:rsidR="4D795D6D" w:rsidRPr="001769C6" w:rsidRDefault="4D795D6D" w:rsidP="4D795D6D">
      <w:pPr>
        <w:rPr>
          <w:b/>
          <w:bCs/>
        </w:rPr>
      </w:pPr>
    </w:p>
    <w:p w14:paraId="2719F7D3" w14:textId="77777777" w:rsidR="00B93830" w:rsidRDefault="00B93830" w:rsidP="00B93830"/>
    <w:p w14:paraId="4302A168" w14:textId="77777777" w:rsidR="00666B25" w:rsidRDefault="00666B25" w:rsidP="002661F2">
      <w:pPr>
        <w:ind w:left="720"/>
      </w:pPr>
    </w:p>
    <w:p w14:paraId="5BAC4CBD" w14:textId="34E9688D" w:rsidR="007C6FD8" w:rsidRDefault="007C6FD8" w:rsidP="002661F2">
      <w:r>
        <w:br w:type="page"/>
      </w:r>
    </w:p>
    <w:p w14:paraId="69517C1C" w14:textId="2A5B4703" w:rsidR="00A02CF5" w:rsidRPr="00EA08F1" w:rsidRDefault="00A02CF5" w:rsidP="00BA2054">
      <w:pPr>
        <w:pStyle w:val="Heading1"/>
        <w:ind w:left="0"/>
        <w:rPr>
          <w:color w:val="1F497D" w:themeColor="text2"/>
        </w:rPr>
      </w:pPr>
      <w:bookmarkStart w:id="34" w:name="_Toc223963006"/>
      <w:r w:rsidRPr="00EA08F1">
        <w:rPr>
          <w:color w:val="1F497D" w:themeColor="text2"/>
        </w:rPr>
        <w:lastRenderedPageBreak/>
        <w:t>APPENDIX I</w:t>
      </w:r>
      <w:r w:rsidR="002F743B">
        <w:rPr>
          <w:color w:val="1F497D" w:themeColor="text2"/>
        </w:rPr>
        <w:t>:</w:t>
      </w:r>
      <w:r w:rsidRPr="00EA08F1">
        <w:rPr>
          <w:color w:val="1F497D" w:themeColor="text2"/>
        </w:rPr>
        <w:t xml:space="preserve"> </w:t>
      </w:r>
      <w:r w:rsidR="00A5795A">
        <w:rPr>
          <w:color w:val="1F497D" w:themeColor="text2"/>
        </w:rPr>
        <w:t xml:space="preserve">Outcome </w:t>
      </w:r>
      <w:r w:rsidRPr="00EA08F1">
        <w:rPr>
          <w:color w:val="1F497D" w:themeColor="text2"/>
        </w:rPr>
        <w:t>Measures</w:t>
      </w:r>
      <w:bookmarkEnd w:id="34"/>
    </w:p>
    <w:p w14:paraId="411CC226" w14:textId="77777777" w:rsidR="00A02CF5" w:rsidRDefault="00A02CF5" w:rsidP="00BA2054">
      <w:pPr>
        <w:rPr>
          <w:rFonts w:asciiTheme="minorHAnsi" w:hAnsiTheme="minorHAnsi"/>
        </w:rPr>
      </w:pPr>
    </w:p>
    <w:p w14:paraId="49443FC6" w14:textId="3E758B1E" w:rsidR="00A02CF5" w:rsidRDefault="003A30C3" w:rsidP="00BA2054">
      <w:pPr>
        <w:rPr>
          <w:rFonts w:asciiTheme="minorHAnsi" w:hAnsiTheme="minorHAnsi"/>
        </w:rPr>
      </w:pPr>
      <w:r w:rsidRPr="003A30C3">
        <w:rPr>
          <w:rFonts w:asciiTheme="minorHAnsi" w:hAnsiTheme="minorHAnsi"/>
        </w:rPr>
        <w:t>Below is a list of measures to assess the impact of the Proposed Project. The Applicant will report this information to the Department’s DoN Program staff as part of its annual report required by 105 CMR 100.310(A)(12) following implementation of the Proposed Project. For all measures, the Applicant will provide to the program a baseline upon implementation of each project component, along with updated projections, which the program will use for comparison with the annual data submitted. Reporting will include a description of numerators and denominators.</w:t>
      </w:r>
    </w:p>
    <w:p w14:paraId="71383ADB" w14:textId="77777777" w:rsidR="00490A53" w:rsidRDefault="00490A53" w:rsidP="00BA2054">
      <w:pPr>
        <w:rPr>
          <w:rFonts w:asciiTheme="minorHAnsi" w:hAnsiTheme="minorHAnsi"/>
        </w:rPr>
      </w:pPr>
    </w:p>
    <w:p w14:paraId="34B90105" w14:textId="45D9E28D" w:rsidR="00490A53" w:rsidRDefault="11938500" w:rsidP="4FEE32FA">
      <w:pPr>
        <w:rPr>
          <w:rFonts w:asciiTheme="minorHAnsi" w:hAnsiTheme="minorHAnsi"/>
        </w:rPr>
      </w:pPr>
      <w:r w:rsidRPr="4FEE32FA">
        <w:rPr>
          <w:rFonts w:asciiTheme="minorHAnsi" w:hAnsiTheme="minorHAnsi"/>
          <w:lang w:bidi="en-US"/>
        </w:rPr>
        <w:t>The Annual Reports must include, but are not limited to, the following:</w:t>
      </w:r>
    </w:p>
    <w:p w14:paraId="4242ECB2" w14:textId="77777777" w:rsidR="003A30C3" w:rsidRDefault="003A30C3" w:rsidP="00BA2054">
      <w:pPr>
        <w:rPr>
          <w:rFonts w:asciiTheme="minorHAnsi" w:hAnsiTheme="minorHAnsi"/>
        </w:rPr>
      </w:pPr>
    </w:p>
    <w:p w14:paraId="44A1F0DE" w14:textId="41111A21" w:rsidR="003E0BBC" w:rsidRPr="00283F6B" w:rsidRDefault="003E0BBC" w:rsidP="00283F6B">
      <w:pPr>
        <w:pStyle w:val="ListParagraph"/>
        <w:numPr>
          <w:ilvl w:val="3"/>
          <w:numId w:val="46"/>
        </w:numPr>
        <w:ind w:left="360"/>
        <w:rPr>
          <w:rFonts w:asciiTheme="minorHAnsi" w:hAnsiTheme="minorHAnsi"/>
        </w:rPr>
      </w:pPr>
      <w:r w:rsidRPr="00283F6B">
        <w:rPr>
          <w:rFonts w:asciiTheme="minorHAnsi" w:hAnsiTheme="minorHAnsi"/>
          <w:b/>
          <w:bCs/>
        </w:rPr>
        <w:t>Metric:</w:t>
      </w:r>
      <w:r w:rsidRPr="00283F6B">
        <w:rPr>
          <w:rFonts w:asciiTheme="minorHAnsi" w:hAnsiTheme="minorHAnsi"/>
        </w:rPr>
        <w:t xml:space="preserve"> </w:t>
      </w:r>
      <w:r w:rsidRPr="005B3CAE">
        <w:rPr>
          <w:rFonts w:asciiTheme="minorHAnsi" w:hAnsiTheme="minorHAnsi"/>
        </w:rPr>
        <w:t>Access</w:t>
      </w:r>
    </w:p>
    <w:p w14:paraId="6CCA2DDD" w14:textId="520932FD" w:rsidR="007E562F" w:rsidRDefault="00E701E4" w:rsidP="00283F6B">
      <w:pPr>
        <w:ind w:firstLine="360"/>
        <w:rPr>
          <w:b/>
          <w:bCs/>
        </w:rPr>
      </w:pPr>
      <w:r w:rsidRPr="00341CFE">
        <w:rPr>
          <w:b/>
          <w:bCs/>
        </w:rPr>
        <w:t xml:space="preserve">Measure: </w:t>
      </w:r>
      <w:r w:rsidR="00341CFE" w:rsidRPr="00B059AD">
        <w:t xml:space="preserve">Number of </w:t>
      </w:r>
      <w:r w:rsidR="004734AA">
        <w:t>u</w:t>
      </w:r>
      <w:r w:rsidR="00341CFE" w:rsidRPr="00B059AD">
        <w:t xml:space="preserve">nique </w:t>
      </w:r>
      <w:r w:rsidR="004734AA">
        <w:t>p</w:t>
      </w:r>
      <w:r w:rsidR="00341CFE" w:rsidRPr="00B059AD">
        <w:t>atients obtaining PBT at the Center each year</w:t>
      </w:r>
      <w:r w:rsidR="00341CFE">
        <w:rPr>
          <w:b/>
          <w:bCs/>
        </w:rPr>
        <w:t>.</w:t>
      </w:r>
    </w:p>
    <w:p w14:paraId="04DB597A" w14:textId="3B201C89" w:rsidR="008A1421" w:rsidRPr="00341CFE" w:rsidRDefault="008A1421" w:rsidP="00283F6B">
      <w:pPr>
        <w:rPr>
          <w:b/>
          <w:bCs/>
        </w:rPr>
      </w:pPr>
    </w:p>
    <w:p w14:paraId="5161E145" w14:textId="01A9F320" w:rsidR="003E0BBC" w:rsidRPr="00283F6B" w:rsidRDefault="003E0BBC" w:rsidP="00283F6B">
      <w:pPr>
        <w:pStyle w:val="ListParagraph"/>
        <w:numPr>
          <w:ilvl w:val="3"/>
          <w:numId w:val="46"/>
        </w:numPr>
        <w:ind w:left="360"/>
        <w:rPr>
          <w:b/>
          <w:bCs/>
        </w:rPr>
      </w:pPr>
      <w:r w:rsidRPr="00283F6B">
        <w:rPr>
          <w:b/>
          <w:bCs/>
        </w:rPr>
        <w:t xml:space="preserve">Metric: </w:t>
      </w:r>
      <w:r w:rsidRPr="005B3CAE">
        <w:t xml:space="preserve">Access </w:t>
      </w:r>
    </w:p>
    <w:p w14:paraId="39CE6693" w14:textId="75E72B3F" w:rsidR="003E0BBC" w:rsidRDefault="003E0BBC" w:rsidP="00283F6B">
      <w:pPr>
        <w:ind w:left="360"/>
      </w:pPr>
      <w:r>
        <w:rPr>
          <w:b/>
          <w:bCs/>
        </w:rPr>
        <w:t xml:space="preserve">Measure: </w:t>
      </w:r>
      <w:r w:rsidRPr="00283F6B">
        <w:t xml:space="preserve">As it relates to the Applicant’s </w:t>
      </w:r>
      <w:r w:rsidR="00A70D82">
        <w:t>P</w:t>
      </w:r>
      <w:r w:rsidRPr="00283F6B">
        <w:t xml:space="preserve">atient </w:t>
      </w:r>
      <w:r w:rsidR="00A70D82">
        <w:t>P</w:t>
      </w:r>
      <w:r w:rsidRPr="00283F6B">
        <w:t xml:space="preserve">anel seeking </w:t>
      </w:r>
      <w:r w:rsidR="00501D5C">
        <w:t>PBT</w:t>
      </w:r>
      <w:r w:rsidRPr="00283F6B">
        <w:t xml:space="preserve"> services,</w:t>
      </w:r>
      <w:r w:rsidR="00501D5C">
        <w:t xml:space="preserve"> </w:t>
      </w:r>
      <w:r w:rsidRPr="00283F6B">
        <w:t>the number of days between simulation and first treatment; stratified by modality and</w:t>
      </w:r>
      <w:r w:rsidR="00501D5C">
        <w:t xml:space="preserve"> </w:t>
      </w:r>
      <w:r w:rsidRPr="00283F6B">
        <w:t>disease type.</w:t>
      </w:r>
      <w:r w:rsidR="00724417">
        <w:t xml:space="preserve"> The Applicant will report findings as aggregate quarterly statistics using the median number of days from simulation to first treatment. </w:t>
      </w:r>
    </w:p>
    <w:p w14:paraId="1E515E72" w14:textId="77777777" w:rsidR="008A19E2" w:rsidRDefault="008A19E2" w:rsidP="00283F6B">
      <w:pPr>
        <w:ind w:left="360"/>
      </w:pPr>
    </w:p>
    <w:p w14:paraId="63073C4E" w14:textId="14B6B4FE" w:rsidR="008A19E2" w:rsidRPr="008A19E2" w:rsidRDefault="008A19E2" w:rsidP="008A19E2">
      <w:pPr>
        <w:pStyle w:val="ListParagraph"/>
        <w:numPr>
          <w:ilvl w:val="3"/>
          <w:numId w:val="46"/>
        </w:numPr>
        <w:ind w:left="360"/>
        <w:rPr>
          <w:b/>
          <w:bCs/>
        </w:rPr>
      </w:pPr>
      <w:r w:rsidRPr="008A19E2">
        <w:rPr>
          <w:b/>
          <w:bCs/>
        </w:rPr>
        <w:t xml:space="preserve">Metric: </w:t>
      </w:r>
      <w:r w:rsidRPr="005B3CAE">
        <w:t>Hospitalizations</w:t>
      </w:r>
    </w:p>
    <w:p w14:paraId="27A15581" w14:textId="77777777" w:rsidR="008A19E2" w:rsidRDefault="008A19E2" w:rsidP="008A19E2">
      <w:pPr>
        <w:ind w:left="360"/>
      </w:pPr>
      <w:r>
        <w:rPr>
          <w:b/>
          <w:bCs/>
        </w:rPr>
        <w:t xml:space="preserve">Measure: </w:t>
      </w:r>
      <w:r>
        <w:t>N</w:t>
      </w:r>
      <w:r w:rsidRPr="00283F6B">
        <w:t>umber of</w:t>
      </w:r>
      <w:r>
        <w:rPr>
          <w:b/>
          <w:bCs/>
        </w:rPr>
        <w:t xml:space="preserve"> </w:t>
      </w:r>
      <w:r>
        <w:t>hospitalizations required due to sequelae of PBT each year.</w:t>
      </w:r>
      <w:r w:rsidRPr="003A2BCA">
        <w:rPr>
          <w:szCs w:val="24"/>
        </w:rPr>
        <w:t xml:space="preserve"> </w:t>
      </w:r>
      <w:r w:rsidRPr="003A2BCA">
        <w:t>The Holder will provide data for all PBT patients, and will provide data for adult and pediatric patients separately.</w:t>
      </w:r>
    </w:p>
    <w:p w14:paraId="0EA91283" w14:textId="77777777" w:rsidR="00724417" w:rsidRPr="000E5F2A" w:rsidRDefault="00724417" w:rsidP="003E0BBC"/>
    <w:p w14:paraId="2E20DA60" w14:textId="6E2404A0" w:rsidR="00D953B7" w:rsidRDefault="00724417" w:rsidP="00283F6B">
      <w:pPr>
        <w:pStyle w:val="ListParagraph"/>
        <w:numPr>
          <w:ilvl w:val="3"/>
          <w:numId w:val="46"/>
        </w:numPr>
        <w:ind w:left="360"/>
      </w:pPr>
      <w:r w:rsidRPr="00283F6B">
        <w:rPr>
          <w:b/>
          <w:bCs/>
        </w:rPr>
        <w:t>Metric:</w:t>
      </w:r>
      <w:r>
        <w:t xml:space="preserve"> Patient-reported quality-of-life measures (PROMS)</w:t>
      </w:r>
    </w:p>
    <w:p w14:paraId="4281F608" w14:textId="6A9018CF" w:rsidR="00724417" w:rsidRDefault="00724417" w:rsidP="00283F6B">
      <w:pPr>
        <w:ind w:left="360"/>
      </w:pPr>
      <w:r w:rsidRPr="00283F6B">
        <w:rPr>
          <w:b/>
          <w:bCs/>
        </w:rPr>
        <w:t>Measure:</w:t>
      </w:r>
      <w:r>
        <w:t xml:space="preserve"> PROMS will be collected systematically and reviewed regularly to ensure alignment with national benchmarks and evolving evidence. </w:t>
      </w:r>
      <w:r w:rsidR="00973DFD">
        <w:t>The Applicant is currently using PRO-CTCAE and will plan to continue to do so upon the Center’s opening.</w:t>
      </w:r>
      <w:r w:rsidR="00973DFD">
        <w:rPr>
          <w:rStyle w:val="FootnoteReference"/>
        </w:rPr>
        <w:footnoteReference w:id="76"/>
      </w:r>
    </w:p>
    <w:p w14:paraId="461B4B6F" w14:textId="77777777" w:rsidR="00724417" w:rsidRDefault="00724417" w:rsidP="00283F6B"/>
    <w:p w14:paraId="53F65291" w14:textId="5B49E387" w:rsidR="00603FCA" w:rsidRPr="00283F6B" w:rsidRDefault="00603FCA" w:rsidP="00AF4F40">
      <w:pPr>
        <w:pStyle w:val="ListParagraph"/>
        <w:numPr>
          <w:ilvl w:val="3"/>
          <w:numId w:val="46"/>
        </w:numPr>
        <w:ind w:left="360"/>
        <w:rPr>
          <w:sz w:val="28"/>
          <w:szCs w:val="28"/>
        </w:rPr>
      </w:pPr>
      <w:r w:rsidRPr="00283F6B">
        <w:rPr>
          <w:b/>
          <w:bCs/>
        </w:rPr>
        <w:t xml:space="preserve">Metric: </w:t>
      </w:r>
      <w:r w:rsidR="00FC113D" w:rsidRPr="00603FCA">
        <w:rPr>
          <w:szCs w:val="24"/>
        </w:rPr>
        <w:t xml:space="preserve">SDoH Screening for the Center’s patients. </w:t>
      </w:r>
    </w:p>
    <w:p w14:paraId="4640A496" w14:textId="77C2CA83" w:rsidR="00EB21FF" w:rsidRPr="00283F6B" w:rsidRDefault="00603FCA" w:rsidP="00283F6B">
      <w:pPr>
        <w:pStyle w:val="ListParagraph"/>
        <w:ind w:left="360" w:firstLine="0"/>
        <w:rPr>
          <w:b/>
          <w:bCs/>
          <w:sz w:val="28"/>
          <w:szCs w:val="28"/>
        </w:rPr>
      </w:pPr>
      <w:r w:rsidRPr="00283F6B">
        <w:rPr>
          <w:b/>
          <w:bCs/>
          <w:szCs w:val="24"/>
        </w:rPr>
        <w:t>Measure:</w:t>
      </w:r>
      <w:r>
        <w:rPr>
          <w:szCs w:val="24"/>
        </w:rPr>
        <w:t xml:space="preserve"> </w:t>
      </w:r>
      <w:r w:rsidR="009B703B">
        <w:rPr>
          <w:szCs w:val="24"/>
        </w:rPr>
        <w:t>Reporting will include</w:t>
      </w:r>
      <w:r w:rsidR="009B703B" w:rsidRPr="009B703B">
        <w:rPr>
          <w:szCs w:val="24"/>
        </w:rPr>
        <w:t xml:space="preserve"> the number of SDoH screens completed in the last year, the domains screened for, the number of positive screens, and the top domains identified for SDoH needs.</w:t>
      </w:r>
      <w:r w:rsidR="007F1E14" w:rsidRPr="007F1E14">
        <w:t xml:space="preserve"> </w:t>
      </w:r>
      <w:r w:rsidR="007F1E14">
        <w:rPr>
          <w:szCs w:val="24"/>
        </w:rPr>
        <w:t>T</w:t>
      </w:r>
      <w:r w:rsidR="007F1E14" w:rsidRPr="007F1E14">
        <w:rPr>
          <w:szCs w:val="24"/>
        </w:rPr>
        <w:t>he Holder will provide data for all PBT patients, and will provide data for adult and pediatric patients separately.</w:t>
      </w:r>
    </w:p>
    <w:p w14:paraId="51107D59" w14:textId="497C727B" w:rsidR="0053555A" w:rsidRPr="00283F6B" w:rsidRDefault="0053555A" w:rsidP="00283F6B">
      <w:pPr>
        <w:rPr>
          <w:b/>
          <w:sz w:val="28"/>
          <w:szCs w:val="28"/>
        </w:rPr>
      </w:pPr>
      <w:r w:rsidRPr="00283F6B">
        <w:rPr>
          <w:b/>
          <w:sz w:val="28"/>
          <w:szCs w:val="28"/>
        </w:rPr>
        <w:br w:type="page"/>
      </w:r>
    </w:p>
    <w:p w14:paraId="08ACDF15" w14:textId="7FF11680" w:rsidR="00CA62C7" w:rsidRPr="008031A2" w:rsidRDefault="00E81F1F" w:rsidP="008031A2">
      <w:pPr>
        <w:pStyle w:val="Heading1"/>
        <w:ind w:left="0"/>
        <w:rPr>
          <w:color w:val="1F497D" w:themeColor="text2"/>
        </w:rPr>
      </w:pPr>
      <w:bookmarkStart w:id="35" w:name="_Toc223963007"/>
      <w:r w:rsidRPr="008031A2">
        <w:rPr>
          <w:color w:val="1F497D" w:themeColor="text2"/>
        </w:rPr>
        <w:t xml:space="preserve">Appendix </w:t>
      </w:r>
      <w:r w:rsidR="003851C1">
        <w:rPr>
          <w:color w:val="1F497D" w:themeColor="text2"/>
        </w:rPr>
        <w:t>I</w:t>
      </w:r>
      <w:r w:rsidR="00E744A1">
        <w:rPr>
          <w:color w:val="1F497D" w:themeColor="text2"/>
        </w:rPr>
        <w:t>I</w:t>
      </w:r>
      <w:r w:rsidR="00EB7426" w:rsidRPr="008031A2">
        <w:rPr>
          <w:color w:val="1F497D" w:themeColor="text2"/>
        </w:rPr>
        <w:t xml:space="preserve">: Speakers at the </w:t>
      </w:r>
      <w:r w:rsidR="005B1F0E">
        <w:rPr>
          <w:color w:val="1F497D" w:themeColor="text2"/>
        </w:rPr>
        <w:t xml:space="preserve">Public </w:t>
      </w:r>
      <w:r w:rsidR="00EB7426" w:rsidRPr="008031A2">
        <w:rPr>
          <w:color w:val="1F497D" w:themeColor="text2"/>
        </w:rPr>
        <w:t>Hearing</w:t>
      </w:r>
      <w:bookmarkEnd w:id="35"/>
    </w:p>
    <w:p w14:paraId="006890C9" w14:textId="77777777" w:rsidR="00761D5B" w:rsidRDefault="00761D5B">
      <w:pPr>
        <w:rPr>
          <w:rFonts w:asciiTheme="minorHAnsi" w:hAnsiTheme="minorHAnsi"/>
          <w:b/>
          <w:bCs/>
          <w:color w:val="1F497D" w:themeColor="text2"/>
          <w:sz w:val="28"/>
          <w:szCs w:val="28"/>
        </w:rPr>
      </w:pPr>
    </w:p>
    <w:tbl>
      <w:tblPr>
        <w:tblStyle w:val="TableGrid"/>
        <w:tblW w:w="0" w:type="auto"/>
        <w:tblLook w:val="04A0" w:firstRow="1" w:lastRow="0" w:firstColumn="1" w:lastColumn="0" w:noHBand="0" w:noVBand="1"/>
      </w:tblPr>
      <w:tblGrid>
        <w:gridCol w:w="1832"/>
        <w:gridCol w:w="7979"/>
      </w:tblGrid>
      <w:tr w:rsidR="008B13B7" w:rsidRPr="000E67FA" w14:paraId="3DF75275" w14:textId="77777777" w:rsidTr="006C68DF">
        <w:trPr>
          <w:cantSplit/>
          <w:tblHeader/>
        </w:trPr>
        <w:tc>
          <w:tcPr>
            <w:tcW w:w="0" w:type="auto"/>
            <w:shd w:val="clear" w:color="auto" w:fill="DBE5F1" w:themeFill="accent1" w:themeFillTint="33"/>
          </w:tcPr>
          <w:p w14:paraId="4A7D5F2B" w14:textId="77777777" w:rsidR="00761D5B" w:rsidRPr="000E67FA" w:rsidRDefault="00761D5B">
            <w:pPr>
              <w:jc w:val="center"/>
              <w:rPr>
                <w:b/>
                <w:bCs/>
              </w:rPr>
            </w:pPr>
            <w:r w:rsidRPr="000E67FA">
              <w:rPr>
                <w:b/>
                <w:bCs/>
              </w:rPr>
              <w:t>Name</w:t>
            </w:r>
          </w:p>
        </w:tc>
        <w:tc>
          <w:tcPr>
            <w:tcW w:w="0" w:type="auto"/>
            <w:shd w:val="clear" w:color="auto" w:fill="DBE5F1" w:themeFill="accent1" w:themeFillTint="33"/>
          </w:tcPr>
          <w:p w14:paraId="46B8E35D" w14:textId="77777777" w:rsidR="00761D5B" w:rsidRPr="000E67FA" w:rsidRDefault="00761D5B">
            <w:pPr>
              <w:jc w:val="center"/>
              <w:rPr>
                <w:b/>
                <w:bCs/>
              </w:rPr>
            </w:pPr>
            <w:r w:rsidRPr="000E67FA">
              <w:rPr>
                <w:b/>
                <w:bCs/>
              </w:rPr>
              <w:t>Affiliation</w:t>
            </w:r>
          </w:p>
        </w:tc>
      </w:tr>
      <w:tr w:rsidR="00DE01A5" w14:paraId="2250D037" w14:textId="77777777" w:rsidTr="006C68DF">
        <w:trPr>
          <w:cantSplit/>
        </w:trPr>
        <w:tc>
          <w:tcPr>
            <w:tcW w:w="0" w:type="auto"/>
          </w:tcPr>
          <w:p w14:paraId="35EE3B9E" w14:textId="3D572DFF" w:rsidR="00DE01A5" w:rsidRDefault="00477B86">
            <w:r w:rsidRPr="00477B86">
              <w:t>William C. Hahn, MD, PhD</w:t>
            </w:r>
          </w:p>
        </w:tc>
        <w:tc>
          <w:tcPr>
            <w:tcW w:w="0" w:type="auto"/>
          </w:tcPr>
          <w:p w14:paraId="0F71F857" w14:textId="46A3A943" w:rsidR="00DE01A5" w:rsidRPr="009044E4" w:rsidRDefault="00BF48F2">
            <w:r w:rsidRPr="00BF48F2">
              <w:t>Chief Operating and Transformation Officer</w:t>
            </w:r>
            <w:r>
              <w:t xml:space="preserve">, Dana-Farber Cancer Institute </w:t>
            </w:r>
          </w:p>
        </w:tc>
      </w:tr>
      <w:tr w:rsidR="00634C10" w14:paraId="1DE4FCA2" w14:textId="77777777" w:rsidTr="006C68DF">
        <w:trPr>
          <w:cantSplit/>
        </w:trPr>
        <w:tc>
          <w:tcPr>
            <w:tcW w:w="0" w:type="auto"/>
          </w:tcPr>
          <w:p w14:paraId="0B510EFD" w14:textId="6CE10D21" w:rsidR="00634C10" w:rsidRDefault="00634C10" w:rsidP="00634C10">
            <w:r w:rsidRPr="00D37985">
              <w:t>Peter F. Orio III, DO, MS, FABS, FASTRO</w:t>
            </w:r>
          </w:p>
        </w:tc>
        <w:tc>
          <w:tcPr>
            <w:tcW w:w="0" w:type="auto"/>
          </w:tcPr>
          <w:p w14:paraId="2A8A7CDD" w14:textId="6F5E794E" w:rsidR="00634C10" w:rsidRPr="009044E4" w:rsidRDefault="00634C10" w:rsidP="00634C10">
            <w:r w:rsidRPr="00D37985">
              <w:t>Chair of the Department of Radiation Oncology, Dana-Farber Cancer Institute; Clinicians of Dana-Farber Cancer Institute TTG Member</w:t>
            </w:r>
          </w:p>
        </w:tc>
      </w:tr>
      <w:tr w:rsidR="008B13B7" w14:paraId="0B38156B" w14:textId="77777777" w:rsidTr="006C68DF">
        <w:trPr>
          <w:cantSplit/>
        </w:trPr>
        <w:tc>
          <w:tcPr>
            <w:tcW w:w="0" w:type="auto"/>
          </w:tcPr>
          <w:p w14:paraId="736FFC05" w14:textId="4C3F6D55" w:rsidR="00761D5B" w:rsidRDefault="00C60204">
            <w:r>
              <w:t>A</w:t>
            </w:r>
            <w:r w:rsidR="00972A7F">
              <w:t>l</w:t>
            </w:r>
            <w:r>
              <w:t>lison O’Neil</w:t>
            </w:r>
            <w:r w:rsidR="00972A7F">
              <w:t>l</w:t>
            </w:r>
            <w:r w:rsidR="00BC3E33">
              <w:t>, MD</w:t>
            </w:r>
          </w:p>
        </w:tc>
        <w:tc>
          <w:tcPr>
            <w:tcW w:w="0" w:type="auto"/>
          </w:tcPr>
          <w:p w14:paraId="41D1084C" w14:textId="69FC4DE0" w:rsidR="00761D5B" w:rsidRPr="009044E4" w:rsidRDefault="00704372">
            <w:r w:rsidRPr="00704372">
              <w:t>Clinical Director, Solid Tumor Program</w:t>
            </w:r>
            <w:r w:rsidR="00406E4E">
              <w:t>,</w:t>
            </w:r>
            <w:r w:rsidR="001C26A4" w:rsidRPr="001C26A4">
              <w:t xml:space="preserve"> Dana-Farber Cancer Institute</w:t>
            </w:r>
            <w:r w:rsidRPr="00704372">
              <w:t>; Director, Liver Tumor of Excellence</w:t>
            </w:r>
            <w:r w:rsidR="00406E4E">
              <w:t>,</w:t>
            </w:r>
            <w:r w:rsidR="001C26A4">
              <w:t xml:space="preserve"> </w:t>
            </w:r>
            <w:r w:rsidR="001C26A4" w:rsidRPr="001C26A4">
              <w:t>Dana-Farber Cancer Institute</w:t>
            </w:r>
            <w:r w:rsidRPr="00704372">
              <w:t>; Associate Professor and Senior Physician; VP, Clinical Performance Management</w:t>
            </w:r>
            <w:r w:rsidR="00254D37">
              <w:t>,</w:t>
            </w:r>
            <w:r w:rsidRPr="00704372">
              <w:t xml:space="preserve"> Dana-Farber Cancer Institute; Clinicians of Dana-Farber Cancer Institute TTG Member</w:t>
            </w:r>
            <w:r w:rsidR="001C26A4">
              <w:t xml:space="preserve"> </w:t>
            </w:r>
          </w:p>
        </w:tc>
      </w:tr>
      <w:tr w:rsidR="008B13B7" w14:paraId="05A82920" w14:textId="77777777" w:rsidTr="006C68DF">
        <w:trPr>
          <w:cantSplit/>
        </w:trPr>
        <w:tc>
          <w:tcPr>
            <w:tcW w:w="0" w:type="auto"/>
          </w:tcPr>
          <w:p w14:paraId="19805691" w14:textId="44A29ED6" w:rsidR="00761D5B" w:rsidRDefault="008C39D2">
            <w:r>
              <w:t>Alexander Owen</w:t>
            </w:r>
            <w:r w:rsidR="00EE5C15">
              <w:t>-</w:t>
            </w:r>
            <w:r>
              <w:t>Post</w:t>
            </w:r>
          </w:p>
        </w:tc>
        <w:tc>
          <w:tcPr>
            <w:tcW w:w="0" w:type="auto"/>
          </w:tcPr>
          <w:p w14:paraId="6B85C374" w14:textId="354894D2" w:rsidR="00761D5B" w:rsidRPr="008837B7" w:rsidRDefault="00EE5C15">
            <w:r w:rsidRPr="008837B7">
              <w:t>Dana-Farber Cancer Institute</w:t>
            </w:r>
            <w:r w:rsidR="008C39D2" w:rsidRPr="008837B7">
              <w:t xml:space="preserve"> employee</w:t>
            </w:r>
            <w:r w:rsidRPr="008837B7">
              <w:t xml:space="preserve"> and </w:t>
            </w:r>
            <w:r w:rsidR="008C39D2" w:rsidRPr="008837B7">
              <w:t xml:space="preserve">patient, </w:t>
            </w:r>
            <w:r w:rsidR="00C92662" w:rsidRPr="008837B7">
              <w:t xml:space="preserve">and </w:t>
            </w:r>
            <w:r w:rsidR="008C39D2" w:rsidRPr="008837B7">
              <w:t xml:space="preserve">Massachusetts resident </w:t>
            </w:r>
          </w:p>
        </w:tc>
      </w:tr>
      <w:tr w:rsidR="008B13B7" w14:paraId="281D04C3" w14:textId="77777777" w:rsidTr="006C68DF">
        <w:trPr>
          <w:cantSplit/>
        </w:trPr>
        <w:tc>
          <w:tcPr>
            <w:tcW w:w="0" w:type="auto"/>
          </w:tcPr>
          <w:p w14:paraId="5E2AE541" w14:textId="5A97BC50" w:rsidR="00761D5B" w:rsidRDefault="00156F49">
            <w:r>
              <w:t xml:space="preserve">Susan </w:t>
            </w:r>
            <w:r w:rsidR="00704372">
              <w:t xml:space="preserve">N. </w:t>
            </w:r>
            <w:r>
              <w:t>Chi</w:t>
            </w:r>
            <w:r w:rsidR="00BC3E33">
              <w:t>, MD</w:t>
            </w:r>
          </w:p>
        </w:tc>
        <w:tc>
          <w:tcPr>
            <w:tcW w:w="0" w:type="auto"/>
          </w:tcPr>
          <w:p w14:paraId="457B5948" w14:textId="04E2F18D" w:rsidR="00761D5B" w:rsidRPr="009044E4" w:rsidRDefault="00704372">
            <w:r w:rsidRPr="00704372">
              <w:t xml:space="preserve">Clinical Director, Pediatric Neuro-Oncology; </w:t>
            </w:r>
            <w:r w:rsidR="00167996">
              <w:t xml:space="preserve">Dana-Farber Cancer Institute and Boston Children’s Hospital, </w:t>
            </w:r>
            <w:r w:rsidRPr="00704372">
              <w:t>Institute Physician, Dana-Farber Cancer Institute; Associate Professor of Pediatrics, Harvard Medical School; Clinicians of Dana-Farber Cancer Institute TTG Member</w:t>
            </w:r>
          </w:p>
        </w:tc>
      </w:tr>
      <w:tr w:rsidR="008B13B7" w14:paraId="069F9953" w14:textId="77777777" w:rsidTr="006C68DF">
        <w:trPr>
          <w:cantSplit/>
        </w:trPr>
        <w:tc>
          <w:tcPr>
            <w:tcW w:w="0" w:type="auto"/>
          </w:tcPr>
          <w:p w14:paraId="753F8090" w14:textId="7F8BD287" w:rsidR="00761D5B" w:rsidRDefault="00943F4B">
            <w:r>
              <w:t>Andrew Place, MD</w:t>
            </w:r>
          </w:p>
        </w:tc>
        <w:tc>
          <w:tcPr>
            <w:tcW w:w="0" w:type="auto"/>
          </w:tcPr>
          <w:p w14:paraId="2034048F" w14:textId="40EAC38D" w:rsidR="00761D5B" w:rsidRPr="009044E4" w:rsidRDefault="002F011F">
            <w:r w:rsidRPr="002F011F">
              <w:t>Vice President &amp; Pediatric Chief Medical Officer, Dana-Farber/Boston Children’s Cancer and Blood Disorder Center; Clinicians of Dana-Farber Cancer Institute TTG Representative</w:t>
            </w:r>
          </w:p>
        </w:tc>
      </w:tr>
      <w:tr w:rsidR="008B13B7" w14:paraId="22B0EE0D" w14:textId="77777777" w:rsidTr="006C68DF">
        <w:trPr>
          <w:cantSplit/>
        </w:trPr>
        <w:tc>
          <w:tcPr>
            <w:tcW w:w="0" w:type="auto"/>
          </w:tcPr>
          <w:p w14:paraId="5E12DAC5" w14:textId="03780022" w:rsidR="00761D5B" w:rsidRDefault="00CA0D5A">
            <w:r>
              <w:t>Suz</w:t>
            </w:r>
            <w:r w:rsidR="0099468B">
              <w:t>y</w:t>
            </w:r>
            <w:r>
              <w:t xml:space="preserve"> Amor</w:t>
            </w:r>
          </w:p>
        </w:tc>
        <w:tc>
          <w:tcPr>
            <w:tcW w:w="0" w:type="auto"/>
          </w:tcPr>
          <w:p w14:paraId="3287E6E0" w14:textId="3BA9FFC9" w:rsidR="00761D5B" w:rsidRPr="009044E4" w:rsidRDefault="00CA0D5A">
            <w:r w:rsidRPr="009044E4">
              <w:t>Mass</w:t>
            </w:r>
            <w:r w:rsidR="008C39BF">
              <w:t xml:space="preserve">achusetts </w:t>
            </w:r>
            <w:r w:rsidRPr="009044E4">
              <w:t>resident</w:t>
            </w:r>
            <w:r w:rsidR="00D75B3A">
              <w:t>;</w:t>
            </w:r>
            <w:r w:rsidRPr="009044E4">
              <w:t xml:space="preserve"> </w:t>
            </w:r>
            <w:r w:rsidR="006E45B6" w:rsidRPr="009044E4">
              <w:t xml:space="preserve">Patients and Family Advocates of Dana-Farber Cancer Institute </w:t>
            </w:r>
            <w:r w:rsidRPr="009044E4">
              <w:t>TTG</w:t>
            </w:r>
            <w:r w:rsidR="00A4088E" w:rsidRPr="009044E4">
              <w:t xml:space="preserve"> </w:t>
            </w:r>
            <w:r w:rsidRPr="009044E4">
              <w:t xml:space="preserve">member </w:t>
            </w:r>
          </w:p>
        </w:tc>
      </w:tr>
    </w:tbl>
    <w:p w14:paraId="7C0293EB" w14:textId="77777777" w:rsidR="00220364" w:rsidRDefault="00220364" w:rsidP="008031A2">
      <w:pPr>
        <w:pStyle w:val="Heading1"/>
        <w:ind w:left="0"/>
        <w:rPr>
          <w:rFonts w:asciiTheme="minorHAnsi" w:hAnsiTheme="minorHAnsi"/>
          <w:color w:val="1F497D" w:themeColor="text2"/>
        </w:rPr>
      </w:pPr>
    </w:p>
    <w:p w14:paraId="1523D8AB" w14:textId="77777777" w:rsidR="00220364" w:rsidRDefault="00220364">
      <w:pPr>
        <w:rPr>
          <w:rFonts w:asciiTheme="minorHAnsi" w:hAnsiTheme="minorHAnsi"/>
          <w:b/>
          <w:bCs/>
          <w:color w:val="1F497D" w:themeColor="text2"/>
          <w:sz w:val="28"/>
          <w:szCs w:val="28"/>
        </w:rPr>
      </w:pPr>
      <w:r>
        <w:rPr>
          <w:rFonts w:asciiTheme="minorHAnsi" w:hAnsiTheme="minorHAnsi"/>
          <w:color w:val="1F497D" w:themeColor="text2"/>
        </w:rPr>
        <w:br w:type="page"/>
      </w:r>
    </w:p>
    <w:p w14:paraId="715B0490" w14:textId="79D6A40E" w:rsidR="00EB7426" w:rsidRPr="008031A2" w:rsidRDefault="00EB7426" w:rsidP="008031A2">
      <w:pPr>
        <w:pStyle w:val="Heading1"/>
        <w:ind w:left="0"/>
        <w:rPr>
          <w:color w:val="1F497D" w:themeColor="text2"/>
        </w:rPr>
      </w:pPr>
      <w:bookmarkStart w:id="36" w:name="_Toc223963008"/>
      <w:r w:rsidRPr="008031A2">
        <w:rPr>
          <w:color w:val="1F497D" w:themeColor="text2"/>
        </w:rPr>
        <w:t xml:space="preserve">Appendix </w:t>
      </w:r>
      <w:r w:rsidR="00E744A1">
        <w:rPr>
          <w:color w:val="1F497D" w:themeColor="text2"/>
        </w:rPr>
        <w:t>III</w:t>
      </w:r>
      <w:r w:rsidRPr="008031A2">
        <w:rPr>
          <w:color w:val="1F497D" w:themeColor="text2"/>
        </w:rPr>
        <w:t xml:space="preserve">: </w:t>
      </w:r>
      <w:r w:rsidR="003273A1" w:rsidRPr="008031A2">
        <w:rPr>
          <w:color w:val="1F497D" w:themeColor="text2"/>
        </w:rPr>
        <w:t>Written Commenters</w:t>
      </w:r>
      <w:bookmarkEnd w:id="36"/>
    </w:p>
    <w:p w14:paraId="08DCE688" w14:textId="77777777" w:rsidR="00761D5B" w:rsidRDefault="00761D5B">
      <w:pPr>
        <w:rPr>
          <w:rFonts w:asciiTheme="minorHAnsi" w:hAnsiTheme="minorHAnsi"/>
          <w:b/>
          <w:bCs/>
          <w:color w:val="1F497D" w:themeColor="text2"/>
          <w:sz w:val="28"/>
          <w:szCs w:val="28"/>
        </w:rPr>
      </w:pPr>
    </w:p>
    <w:tbl>
      <w:tblPr>
        <w:tblStyle w:val="TableGrid"/>
        <w:tblW w:w="0" w:type="auto"/>
        <w:tblLook w:val="04A0" w:firstRow="1" w:lastRow="0" w:firstColumn="1" w:lastColumn="0" w:noHBand="0" w:noVBand="1"/>
      </w:tblPr>
      <w:tblGrid>
        <w:gridCol w:w="2965"/>
        <w:gridCol w:w="6845"/>
      </w:tblGrid>
      <w:tr w:rsidR="00C85940" w:rsidRPr="000E67FA" w14:paraId="21529C0E" w14:textId="77777777" w:rsidTr="006C68DF">
        <w:trPr>
          <w:cantSplit/>
          <w:tblHeader/>
        </w:trPr>
        <w:tc>
          <w:tcPr>
            <w:tcW w:w="2965" w:type="dxa"/>
            <w:shd w:val="clear" w:color="auto" w:fill="DBE5F1" w:themeFill="accent1" w:themeFillTint="33"/>
          </w:tcPr>
          <w:p w14:paraId="67951C42" w14:textId="77777777" w:rsidR="00761D5B" w:rsidRPr="000E67FA" w:rsidRDefault="00761D5B">
            <w:pPr>
              <w:jc w:val="center"/>
              <w:rPr>
                <w:b/>
                <w:bCs/>
              </w:rPr>
            </w:pPr>
            <w:r w:rsidRPr="000E67FA">
              <w:rPr>
                <w:b/>
                <w:bCs/>
              </w:rPr>
              <w:t>Name</w:t>
            </w:r>
          </w:p>
        </w:tc>
        <w:tc>
          <w:tcPr>
            <w:tcW w:w="6845" w:type="dxa"/>
            <w:shd w:val="clear" w:color="auto" w:fill="DBE5F1" w:themeFill="accent1" w:themeFillTint="33"/>
          </w:tcPr>
          <w:p w14:paraId="5E69F115" w14:textId="77777777" w:rsidR="00761D5B" w:rsidRPr="000E67FA" w:rsidRDefault="00761D5B">
            <w:pPr>
              <w:jc w:val="center"/>
              <w:rPr>
                <w:b/>
                <w:bCs/>
              </w:rPr>
            </w:pPr>
            <w:r w:rsidRPr="000E67FA">
              <w:rPr>
                <w:b/>
                <w:bCs/>
              </w:rPr>
              <w:t>Affiliation</w:t>
            </w:r>
          </w:p>
        </w:tc>
      </w:tr>
      <w:tr w:rsidR="00C85940" w14:paraId="0F70E433" w14:textId="77777777" w:rsidTr="006C68DF">
        <w:trPr>
          <w:cantSplit/>
        </w:trPr>
        <w:tc>
          <w:tcPr>
            <w:tcW w:w="2965" w:type="dxa"/>
          </w:tcPr>
          <w:p w14:paraId="79398E5D" w14:textId="74A64444" w:rsidR="00761D5B" w:rsidRDefault="00DA2931">
            <w:r>
              <w:t xml:space="preserve">Ryan Nagy, MD </w:t>
            </w:r>
          </w:p>
        </w:tc>
        <w:tc>
          <w:tcPr>
            <w:tcW w:w="6845" w:type="dxa"/>
          </w:tcPr>
          <w:p w14:paraId="3017785A" w14:textId="44529233" w:rsidR="00761D5B" w:rsidRDefault="00DA2931">
            <w:r>
              <w:t xml:space="preserve">President and System COO, Boston Children’s Hospital </w:t>
            </w:r>
          </w:p>
        </w:tc>
      </w:tr>
      <w:tr w:rsidR="00216468" w14:paraId="141FAC1F" w14:textId="77777777" w:rsidTr="006C68DF">
        <w:trPr>
          <w:cantSplit/>
        </w:trPr>
        <w:tc>
          <w:tcPr>
            <w:tcW w:w="2965" w:type="dxa"/>
          </w:tcPr>
          <w:p w14:paraId="3D7DA5A0" w14:textId="524359B5" w:rsidR="00761D5B" w:rsidRDefault="00097F5E">
            <w:r>
              <w:t>William N. Brownsberger</w:t>
            </w:r>
          </w:p>
        </w:tc>
        <w:tc>
          <w:tcPr>
            <w:tcW w:w="6845" w:type="dxa"/>
          </w:tcPr>
          <w:p w14:paraId="1847C365" w14:textId="1DE6F49A" w:rsidR="00761D5B" w:rsidRDefault="00097F5E">
            <w:r>
              <w:t xml:space="preserve">State Senator, Suffolk and Middlesex District </w:t>
            </w:r>
          </w:p>
        </w:tc>
      </w:tr>
      <w:tr w:rsidR="00216468" w14:paraId="6A0AFADF" w14:textId="77777777" w:rsidTr="006C68DF">
        <w:trPr>
          <w:cantSplit/>
        </w:trPr>
        <w:tc>
          <w:tcPr>
            <w:tcW w:w="2965" w:type="dxa"/>
          </w:tcPr>
          <w:p w14:paraId="43F6CCC0" w14:textId="60EA27A5" w:rsidR="009D50BE" w:rsidRDefault="00C366D8">
            <w:r>
              <w:t>Lisa Diller</w:t>
            </w:r>
            <w:r w:rsidR="001903D5">
              <w:t>, MD</w:t>
            </w:r>
          </w:p>
        </w:tc>
        <w:tc>
          <w:tcPr>
            <w:tcW w:w="6845" w:type="dxa"/>
          </w:tcPr>
          <w:p w14:paraId="6E19ACE7" w14:textId="6E894347" w:rsidR="008D5406" w:rsidRDefault="006B4B10">
            <w:r w:rsidRPr="006B4B10">
              <w:t>Vice Chair, Department of Pediatric Oncology, Dana-Farber Cancer Institute</w:t>
            </w:r>
            <w:r w:rsidR="004554A1">
              <w:t xml:space="preserve">; </w:t>
            </w:r>
            <w:r w:rsidR="004554A1" w:rsidRPr="004554A1">
              <w:t>Clinicians of Dana-Farber Cancer Institute TTG Member</w:t>
            </w:r>
          </w:p>
        </w:tc>
      </w:tr>
      <w:tr w:rsidR="00216468" w14:paraId="0410AC5A" w14:textId="77777777" w:rsidTr="006C68DF">
        <w:trPr>
          <w:cantSplit/>
        </w:trPr>
        <w:tc>
          <w:tcPr>
            <w:tcW w:w="2965" w:type="dxa"/>
          </w:tcPr>
          <w:p w14:paraId="39AA21D0" w14:textId="7D39AF5D" w:rsidR="009D50BE" w:rsidRDefault="00FF153E">
            <w:r>
              <w:t>Judy Fine-Edelstein</w:t>
            </w:r>
            <w:r w:rsidR="006521D8">
              <w:t>, MD, MS</w:t>
            </w:r>
          </w:p>
        </w:tc>
        <w:tc>
          <w:tcPr>
            <w:tcW w:w="6845" w:type="dxa"/>
          </w:tcPr>
          <w:p w14:paraId="4EE00AF1" w14:textId="01341485" w:rsidR="00A44F03" w:rsidRDefault="007A14A7">
            <w:r w:rsidRPr="007A14A7">
              <w:t>Clinical Assistant Professor</w:t>
            </w:r>
            <w:r>
              <w:t xml:space="preserve"> </w:t>
            </w:r>
            <w:r w:rsidRPr="007A14A7">
              <w:t>Neurology</w:t>
            </w:r>
            <w:r>
              <w:t xml:space="preserve">, Tufts University School of Medicine; </w:t>
            </w:r>
            <w:r w:rsidR="00FF153E">
              <w:t>Resident of Lexington, MA</w:t>
            </w:r>
            <w:r w:rsidR="00FF153E" w:rsidRPr="00FF153E">
              <w:t>; Patient at Dana-Farber Cancer Institute</w:t>
            </w:r>
            <w:r w:rsidR="00A507B4">
              <w:t xml:space="preserve">; </w:t>
            </w:r>
            <w:r w:rsidR="00A507B4" w:rsidRPr="00A507B4">
              <w:t>Patients and Family Advocates of Dana-Farber Cancer Institute</w:t>
            </w:r>
            <w:r w:rsidR="00A507B4">
              <w:t xml:space="preserve"> TTG Member</w:t>
            </w:r>
          </w:p>
        </w:tc>
      </w:tr>
      <w:tr w:rsidR="001A3786" w14:paraId="64867C41" w14:textId="77777777" w:rsidTr="006C68DF">
        <w:trPr>
          <w:cantSplit/>
        </w:trPr>
        <w:tc>
          <w:tcPr>
            <w:tcW w:w="2965" w:type="dxa"/>
          </w:tcPr>
          <w:p w14:paraId="59F57DC4" w14:textId="6065DDEB" w:rsidR="001A3786" w:rsidRDefault="001A3786" w:rsidP="001A3786">
            <w:r w:rsidRPr="006C2850">
              <w:t>Austin Sarat</w:t>
            </w:r>
          </w:p>
        </w:tc>
        <w:tc>
          <w:tcPr>
            <w:tcW w:w="6845" w:type="dxa"/>
          </w:tcPr>
          <w:p w14:paraId="39E6C0FD" w14:textId="6914F111" w:rsidR="001A3786" w:rsidRPr="007A14A7" w:rsidRDefault="001A3786" w:rsidP="001A3786">
            <w:r w:rsidRPr="006C2850">
              <w:t>Resident of Amherst, MA; Patient at Dana-Farber Cancer Institute</w:t>
            </w:r>
            <w:r w:rsidR="004D2506">
              <w:t xml:space="preserve">, </w:t>
            </w:r>
            <w:r w:rsidR="003B4FE8" w:rsidRPr="003B4FE8">
              <w:t>Patients and Family Advocates of Dana-Farber Cancer Institute</w:t>
            </w:r>
            <w:r w:rsidR="003B4FE8">
              <w:t xml:space="preserve"> TTG Member</w:t>
            </w:r>
          </w:p>
        </w:tc>
      </w:tr>
      <w:tr w:rsidR="00216468" w14:paraId="046785EB" w14:textId="77777777" w:rsidTr="006C68DF">
        <w:trPr>
          <w:cantSplit/>
        </w:trPr>
        <w:tc>
          <w:tcPr>
            <w:tcW w:w="2965" w:type="dxa"/>
          </w:tcPr>
          <w:p w14:paraId="422D9DDA" w14:textId="3B082769" w:rsidR="009D50BE" w:rsidRDefault="00E65373">
            <w:r>
              <w:t>Shelly Plumb</w:t>
            </w:r>
          </w:p>
        </w:tc>
        <w:tc>
          <w:tcPr>
            <w:tcW w:w="6845" w:type="dxa"/>
          </w:tcPr>
          <w:p w14:paraId="6B0D9DB1" w14:textId="2CC7BEB5" w:rsidR="005857F3" w:rsidRDefault="00E65373" w:rsidP="00AC152A">
            <w:r>
              <w:t>Resident of Brookline, MA; Patient at Dana-Farber Cancer Institute</w:t>
            </w:r>
          </w:p>
        </w:tc>
      </w:tr>
      <w:tr w:rsidR="00216468" w14:paraId="1CCBEEC7" w14:textId="77777777" w:rsidTr="006C68DF">
        <w:trPr>
          <w:cantSplit/>
        </w:trPr>
        <w:tc>
          <w:tcPr>
            <w:tcW w:w="2965" w:type="dxa"/>
          </w:tcPr>
          <w:p w14:paraId="6FC1210E" w14:textId="15341373" w:rsidR="009D50BE" w:rsidRDefault="007E31B8">
            <w:r>
              <w:t>Wayne C. Gietz</w:t>
            </w:r>
            <w:r w:rsidR="001666C8">
              <w:t>, MA</w:t>
            </w:r>
          </w:p>
        </w:tc>
        <w:tc>
          <w:tcPr>
            <w:tcW w:w="6845" w:type="dxa"/>
          </w:tcPr>
          <w:p w14:paraId="5F1DFEFC" w14:textId="3CE19D69" w:rsidR="009D50BE" w:rsidRDefault="007E31B8">
            <w:r>
              <w:t xml:space="preserve">Executive Vice President and Chief Operating Officer, Study Health </w:t>
            </w:r>
          </w:p>
        </w:tc>
      </w:tr>
      <w:tr w:rsidR="001A61F4" w14:paraId="174DE81D" w14:textId="77777777" w:rsidTr="006C68DF">
        <w:trPr>
          <w:cantSplit/>
        </w:trPr>
        <w:tc>
          <w:tcPr>
            <w:tcW w:w="2965" w:type="dxa"/>
          </w:tcPr>
          <w:p w14:paraId="3B6474DB" w14:textId="73FF34B2" w:rsidR="001A61F4" w:rsidRDefault="001A61F4">
            <w:r>
              <w:t>Andrew E. Place, MD, PhD</w:t>
            </w:r>
          </w:p>
        </w:tc>
        <w:tc>
          <w:tcPr>
            <w:tcW w:w="6845" w:type="dxa"/>
          </w:tcPr>
          <w:p w14:paraId="17E3C01D" w14:textId="2E42CC52" w:rsidR="001A61F4" w:rsidRPr="00543DE4" w:rsidRDefault="007A711D">
            <w:r>
              <w:t>Vice President &amp; Pediatric Chief Medical Officer, Dana-Farber/Boston Children’s Cancer and Blood Disorder Center</w:t>
            </w:r>
            <w:r w:rsidR="002F011F">
              <w:t xml:space="preserve">; </w:t>
            </w:r>
            <w:r w:rsidR="002F011F" w:rsidRPr="002F011F">
              <w:t>Clinicians of Dana-Farber Cancer Institute TTG Representative</w:t>
            </w:r>
          </w:p>
        </w:tc>
      </w:tr>
      <w:tr w:rsidR="00216468" w14:paraId="6E1BE56F" w14:textId="77777777" w:rsidTr="006C68DF">
        <w:trPr>
          <w:cantSplit/>
        </w:trPr>
        <w:tc>
          <w:tcPr>
            <w:tcW w:w="2965" w:type="dxa"/>
          </w:tcPr>
          <w:p w14:paraId="33B6A35B" w14:textId="74E13710" w:rsidR="009D50BE" w:rsidRDefault="00ED1F66">
            <w:r>
              <w:t>Brian Crompton, MD</w:t>
            </w:r>
          </w:p>
        </w:tc>
        <w:tc>
          <w:tcPr>
            <w:tcW w:w="6845" w:type="dxa"/>
          </w:tcPr>
          <w:p w14:paraId="00A5A79D" w14:textId="170B1A74" w:rsidR="009D50BE" w:rsidRDefault="00543DE4">
            <w:r w:rsidRPr="00543DE4">
              <w:t>Pediatric Hematology/Oncology</w:t>
            </w:r>
            <w:r>
              <w:t>, Dana-Farber Cancer Institute</w:t>
            </w:r>
            <w:r w:rsidR="006B51AE">
              <w:t xml:space="preserve">; </w:t>
            </w:r>
            <w:r w:rsidR="006B51AE" w:rsidRPr="006B51AE">
              <w:t xml:space="preserve">Clinicians of Dana-Farber Cancer Institute TTG </w:t>
            </w:r>
            <w:r w:rsidR="006B51AE">
              <w:t>Member</w:t>
            </w:r>
          </w:p>
        </w:tc>
      </w:tr>
      <w:tr w:rsidR="00216468" w14:paraId="4293EFCE" w14:textId="77777777" w:rsidTr="006C68DF">
        <w:trPr>
          <w:cantSplit/>
        </w:trPr>
        <w:tc>
          <w:tcPr>
            <w:tcW w:w="2965" w:type="dxa"/>
          </w:tcPr>
          <w:p w14:paraId="15714AEA" w14:textId="55C2801A" w:rsidR="009D50BE" w:rsidRDefault="006749F3">
            <w:r>
              <w:t>Peter F. Orio III, DO, MS, FABS, FASTRO</w:t>
            </w:r>
          </w:p>
        </w:tc>
        <w:tc>
          <w:tcPr>
            <w:tcW w:w="6845" w:type="dxa"/>
          </w:tcPr>
          <w:p w14:paraId="3653A955" w14:textId="79931B2F" w:rsidR="003B3182" w:rsidRDefault="00FC5F6A" w:rsidP="00C85940">
            <w:r w:rsidRPr="00FC5F6A">
              <w:t>Chair of the Department of Radiation Oncology</w:t>
            </w:r>
            <w:r>
              <w:t xml:space="preserve">, </w:t>
            </w:r>
            <w:r w:rsidRPr="00FC5F6A">
              <w:t>Dana-Farber Cancer Institute</w:t>
            </w:r>
            <w:r w:rsidR="000A2DC7">
              <w:t xml:space="preserve">; </w:t>
            </w:r>
            <w:r w:rsidR="000A2DC7" w:rsidRPr="000A2DC7">
              <w:t xml:space="preserve">Clinicians of Dana-Farber Cancer Institute TTG </w:t>
            </w:r>
            <w:r w:rsidR="000A2DC7">
              <w:t>Member</w:t>
            </w:r>
          </w:p>
        </w:tc>
      </w:tr>
      <w:tr w:rsidR="00216468" w14:paraId="04C3903A" w14:textId="77777777" w:rsidTr="006C68DF">
        <w:trPr>
          <w:cantSplit/>
        </w:trPr>
        <w:tc>
          <w:tcPr>
            <w:tcW w:w="2965" w:type="dxa"/>
          </w:tcPr>
          <w:p w14:paraId="4BFB15F4" w14:textId="1F113B00" w:rsidR="009D50BE" w:rsidRDefault="00FC5F6A">
            <w:r>
              <w:t>Kimberly Stegmaier, MD</w:t>
            </w:r>
          </w:p>
        </w:tc>
        <w:tc>
          <w:tcPr>
            <w:tcW w:w="6845" w:type="dxa"/>
          </w:tcPr>
          <w:p w14:paraId="7A86143E" w14:textId="20EE80CA" w:rsidR="00FC5F6A" w:rsidRDefault="00FC5F6A">
            <w:r>
              <w:t>Chair, Department of Pediatric Oncology, Dana-Farber Cancer Institute; Associate Chief, Division of Hematology/Oncology at Boston Children’s Hospital; David G. Nathan Professor of Pediatrics, Harvard Medical School</w:t>
            </w:r>
            <w:r w:rsidR="005E57CB">
              <w:t>;</w:t>
            </w:r>
            <w:r w:rsidR="005E57CB" w:rsidRPr="005E57CB">
              <w:t xml:space="preserve"> Clinicians of Dana-Farber Cancer Institute TTG Member</w:t>
            </w:r>
            <w:r w:rsidR="005E57CB">
              <w:t xml:space="preserve"> </w:t>
            </w:r>
          </w:p>
        </w:tc>
      </w:tr>
      <w:tr w:rsidR="00216468" w14:paraId="4E41C0B2" w14:textId="77777777" w:rsidTr="006C68DF">
        <w:trPr>
          <w:cantSplit/>
        </w:trPr>
        <w:tc>
          <w:tcPr>
            <w:tcW w:w="2965" w:type="dxa"/>
          </w:tcPr>
          <w:p w14:paraId="410B032E" w14:textId="435F5910" w:rsidR="009D50BE" w:rsidRDefault="005814E4">
            <w:r>
              <w:t>Allison O’Neill, MD</w:t>
            </w:r>
          </w:p>
        </w:tc>
        <w:tc>
          <w:tcPr>
            <w:tcW w:w="6845" w:type="dxa"/>
          </w:tcPr>
          <w:p w14:paraId="5E85CE21" w14:textId="031CAF4B" w:rsidR="00815DCB" w:rsidRDefault="005814E4">
            <w:r>
              <w:t>Clinical Director, Solid Tumor Program</w:t>
            </w:r>
            <w:r w:rsidR="00815DCB">
              <w:t>; Director, Liver Tumor of Excellence; Associate Professor and Senior Physician; VP, Clinical Performance Management; Dana-Farber Cancer Institute</w:t>
            </w:r>
            <w:r w:rsidR="00ED556E">
              <w:t xml:space="preserve">; </w:t>
            </w:r>
            <w:r w:rsidR="00815DCB">
              <w:t xml:space="preserve"> </w:t>
            </w:r>
            <w:r w:rsidR="00ED556E" w:rsidRPr="00ED556E">
              <w:t>Clinicians of Dana-Farber Cancer Institute TTG Member</w:t>
            </w:r>
          </w:p>
        </w:tc>
      </w:tr>
      <w:tr w:rsidR="00216468" w14:paraId="59A223B9" w14:textId="77777777" w:rsidTr="006C68DF">
        <w:trPr>
          <w:cantSplit/>
        </w:trPr>
        <w:tc>
          <w:tcPr>
            <w:tcW w:w="2965" w:type="dxa"/>
          </w:tcPr>
          <w:p w14:paraId="44701848" w14:textId="7ABA47F0" w:rsidR="009D50BE" w:rsidRDefault="00E24751">
            <w:r>
              <w:t>Eric W. Dickson, MD, MHCM, FACEP</w:t>
            </w:r>
          </w:p>
        </w:tc>
        <w:tc>
          <w:tcPr>
            <w:tcW w:w="6845" w:type="dxa"/>
          </w:tcPr>
          <w:p w14:paraId="1B6054CE" w14:textId="1C0FAEB8" w:rsidR="003A2327" w:rsidRDefault="00E24751">
            <w:r>
              <w:t xml:space="preserve">President and CEO, UMass Memorial Health </w:t>
            </w:r>
          </w:p>
        </w:tc>
      </w:tr>
      <w:tr w:rsidR="00216468" w14:paraId="7AAE2551" w14:textId="77777777" w:rsidTr="006C68DF">
        <w:trPr>
          <w:cantSplit/>
        </w:trPr>
        <w:tc>
          <w:tcPr>
            <w:tcW w:w="2965" w:type="dxa"/>
          </w:tcPr>
          <w:p w14:paraId="2A123F76" w14:textId="10983637" w:rsidR="009D50BE" w:rsidRDefault="00E24751">
            <w:r>
              <w:t>Alex Ow</w:t>
            </w:r>
            <w:r w:rsidR="00786B41">
              <w:t>en</w:t>
            </w:r>
            <w:r>
              <w:t>-Post</w:t>
            </w:r>
          </w:p>
        </w:tc>
        <w:tc>
          <w:tcPr>
            <w:tcW w:w="6845" w:type="dxa"/>
          </w:tcPr>
          <w:p w14:paraId="19194D10" w14:textId="315094C4" w:rsidR="00ED31E2" w:rsidRDefault="000C2D38">
            <w:r>
              <w:t xml:space="preserve">Employee of Dana-Farber Cancer Institute, Patient of Dana-Farber Cancer Institute </w:t>
            </w:r>
          </w:p>
        </w:tc>
      </w:tr>
      <w:tr w:rsidR="00216468" w14:paraId="53B39DBF" w14:textId="77777777" w:rsidTr="006C68DF">
        <w:trPr>
          <w:cantSplit/>
        </w:trPr>
        <w:tc>
          <w:tcPr>
            <w:tcW w:w="2965" w:type="dxa"/>
          </w:tcPr>
          <w:p w14:paraId="0A92FA8D" w14:textId="26AEB93F" w:rsidR="009D50BE" w:rsidRDefault="00E71867">
            <w:r>
              <w:t>Susan N. Chi, MD</w:t>
            </w:r>
          </w:p>
        </w:tc>
        <w:tc>
          <w:tcPr>
            <w:tcW w:w="6845" w:type="dxa"/>
          </w:tcPr>
          <w:p w14:paraId="43A2B2D6" w14:textId="6CEFA260" w:rsidR="009D50BE" w:rsidRDefault="00AB686F">
            <w:r w:rsidRPr="00AB686F">
              <w:t>Clinical Director, Pediatric Neuro-Oncology; Dana-Farber Cancer Institute and Boston Children’s Hospital, Institute Physician, Dana-Farber Cancer Institute; Associate Professor of Pediatrics, Harvard Medical School; Clinicians of Dana-Farber Cancer Institute TTG Member</w:t>
            </w:r>
          </w:p>
        </w:tc>
      </w:tr>
      <w:tr w:rsidR="00216468" w14:paraId="104758C0" w14:textId="77777777" w:rsidTr="006C68DF">
        <w:trPr>
          <w:cantSplit/>
        </w:trPr>
        <w:tc>
          <w:tcPr>
            <w:tcW w:w="2965" w:type="dxa"/>
          </w:tcPr>
          <w:p w14:paraId="72D8B59C" w14:textId="78580E60" w:rsidR="009D50BE" w:rsidRDefault="00A20C8B">
            <w:r>
              <w:t xml:space="preserve">Chynah Tyler </w:t>
            </w:r>
          </w:p>
        </w:tc>
        <w:tc>
          <w:tcPr>
            <w:tcW w:w="6845" w:type="dxa"/>
          </w:tcPr>
          <w:p w14:paraId="7EBC138F" w14:textId="49374A2F" w:rsidR="00830CB4" w:rsidRDefault="00A20C8B">
            <w:r>
              <w:t>State Representative, 7</w:t>
            </w:r>
            <w:r w:rsidRPr="00A20C8B">
              <w:rPr>
                <w:vertAlign w:val="superscript"/>
              </w:rPr>
              <w:t>th</w:t>
            </w:r>
            <w:r>
              <w:t xml:space="preserve"> Suffolk </w:t>
            </w:r>
          </w:p>
        </w:tc>
      </w:tr>
      <w:tr w:rsidR="00216468" w14:paraId="333DD0FD" w14:textId="77777777" w:rsidTr="006C68DF">
        <w:trPr>
          <w:cantSplit/>
        </w:trPr>
        <w:tc>
          <w:tcPr>
            <w:tcW w:w="2965" w:type="dxa"/>
          </w:tcPr>
          <w:p w14:paraId="71D2D0FC" w14:textId="547D9691" w:rsidR="009D50BE" w:rsidRDefault="009E2E97">
            <w:r>
              <w:t>Paris Prinsen</w:t>
            </w:r>
          </w:p>
        </w:tc>
        <w:tc>
          <w:tcPr>
            <w:tcW w:w="6845" w:type="dxa"/>
          </w:tcPr>
          <w:p w14:paraId="3FA83674" w14:textId="33507C1E" w:rsidR="009D50BE" w:rsidRDefault="00756EBF">
            <w:r>
              <w:t>Patient at Dana-Farber Cancer Institute</w:t>
            </w:r>
            <w:r w:rsidR="007B063B">
              <w:t xml:space="preserve">; </w:t>
            </w:r>
            <w:r w:rsidR="007B063B" w:rsidRPr="007B063B">
              <w:t>Patients and Family Advocates of Dana-Farber Cancer Institute</w:t>
            </w:r>
            <w:r w:rsidR="007B063B">
              <w:t xml:space="preserve"> TTG Member</w:t>
            </w:r>
          </w:p>
        </w:tc>
      </w:tr>
      <w:tr w:rsidR="00216468" w14:paraId="2D5DB99B" w14:textId="77777777" w:rsidTr="006C68DF">
        <w:trPr>
          <w:cantSplit/>
        </w:trPr>
        <w:tc>
          <w:tcPr>
            <w:tcW w:w="2965" w:type="dxa"/>
          </w:tcPr>
          <w:p w14:paraId="0AC9FD2D" w14:textId="59B44EEA" w:rsidR="009D50BE" w:rsidRDefault="00B50D49">
            <w:r w:rsidRPr="00B50D49">
              <w:t>Mariella G. Filbin, MD PhD</w:t>
            </w:r>
          </w:p>
        </w:tc>
        <w:tc>
          <w:tcPr>
            <w:tcW w:w="6845" w:type="dxa"/>
          </w:tcPr>
          <w:p w14:paraId="02024D57" w14:textId="431C865A" w:rsidR="009D50BE" w:rsidRDefault="00B50D49">
            <w:r>
              <w:t xml:space="preserve">Pediatric </w:t>
            </w:r>
            <w:r w:rsidR="00F43AFD">
              <w:t>Neuro-</w:t>
            </w:r>
            <w:r>
              <w:t xml:space="preserve">Oncologist, Dana-Farber Cancer Institute </w:t>
            </w:r>
            <w:r w:rsidR="00F43AFD">
              <w:t>and Boston Children’s Hospital</w:t>
            </w:r>
            <w:r w:rsidR="00704372">
              <w:t xml:space="preserve">; </w:t>
            </w:r>
            <w:r w:rsidR="00704372" w:rsidRPr="00704372">
              <w:t>Clinicians of Dana-Farber Cancer Institute TTG Member</w:t>
            </w:r>
          </w:p>
        </w:tc>
      </w:tr>
    </w:tbl>
    <w:p w14:paraId="0B23B9E7" w14:textId="2A9419AB" w:rsidR="003273A1" w:rsidRDefault="003273A1" w:rsidP="008031A2">
      <w:pPr>
        <w:pStyle w:val="Heading1"/>
        <w:ind w:left="0"/>
      </w:pPr>
      <w:r>
        <w:br w:type="page"/>
      </w:r>
      <w:bookmarkStart w:id="37" w:name="_Toc223963009"/>
      <w:r w:rsidRPr="008031A2">
        <w:rPr>
          <w:color w:val="1F497D" w:themeColor="text2"/>
        </w:rPr>
        <w:t xml:space="preserve">Appendix </w:t>
      </w:r>
      <w:r w:rsidR="00E744A1">
        <w:rPr>
          <w:color w:val="1F497D" w:themeColor="text2"/>
        </w:rPr>
        <w:t>I</w:t>
      </w:r>
      <w:r w:rsidR="009F7EDC">
        <w:rPr>
          <w:color w:val="1F497D" w:themeColor="text2"/>
        </w:rPr>
        <w:t>V</w:t>
      </w:r>
      <w:r w:rsidRPr="008031A2">
        <w:rPr>
          <w:color w:val="1F497D" w:themeColor="text2"/>
        </w:rPr>
        <w:t xml:space="preserve">: </w:t>
      </w:r>
      <w:r w:rsidR="006344BF" w:rsidRPr="008031A2">
        <w:rPr>
          <w:color w:val="1F497D" w:themeColor="text2"/>
        </w:rPr>
        <w:t>Summary of Comments</w:t>
      </w:r>
      <w:bookmarkEnd w:id="37"/>
      <w:r w:rsidR="006344BF" w:rsidRPr="008031A2">
        <w:rPr>
          <w:color w:val="1F497D" w:themeColor="text2"/>
        </w:rPr>
        <w:t xml:space="preserve"> </w:t>
      </w:r>
    </w:p>
    <w:p w14:paraId="4C154D20" w14:textId="79C043D4" w:rsidR="005916FB" w:rsidRDefault="005916FB" w:rsidP="00BA2054">
      <w:pPr>
        <w:widowControl/>
        <w:autoSpaceDE/>
        <w:autoSpaceDN/>
        <w:rPr>
          <w:rFonts w:eastAsia="Aptos" w:cs="Calibri"/>
          <w:kern w:val="2"/>
          <w:szCs w:val="24"/>
          <w14:ligatures w14:val="standardContextual"/>
        </w:rPr>
      </w:pPr>
      <w:r w:rsidRPr="005916FB">
        <w:rPr>
          <w:rFonts w:eastAsia="Aptos" w:cs="Calibri"/>
          <w:kern w:val="2"/>
          <w:szCs w:val="24"/>
          <w14:ligatures w14:val="standardContextual"/>
        </w:rPr>
        <w:t xml:space="preserve">Commenters include </w:t>
      </w:r>
      <w:r w:rsidR="00640E45">
        <w:rPr>
          <w:rFonts w:eastAsia="Aptos" w:cs="Calibri"/>
          <w:kern w:val="2"/>
          <w:szCs w:val="24"/>
          <w14:ligatures w14:val="standardContextual"/>
        </w:rPr>
        <w:t>elected officials</w:t>
      </w:r>
      <w:r w:rsidR="00CB72D7">
        <w:rPr>
          <w:rFonts w:eastAsia="Aptos" w:cs="Calibri"/>
          <w:kern w:val="2"/>
          <w:szCs w:val="24"/>
          <w14:ligatures w14:val="standardContextual"/>
        </w:rPr>
        <w:t>, patients</w:t>
      </w:r>
      <w:r w:rsidR="009C3054">
        <w:rPr>
          <w:rFonts w:eastAsia="Aptos" w:cs="Calibri"/>
          <w:kern w:val="2"/>
          <w:szCs w:val="24"/>
          <w14:ligatures w14:val="standardContextual"/>
        </w:rPr>
        <w:t xml:space="preserve"> </w:t>
      </w:r>
      <w:r w:rsidR="00CB72D7">
        <w:rPr>
          <w:rFonts w:eastAsia="Aptos" w:cs="Calibri"/>
          <w:kern w:val="2"/>
          <w:szCs w:val="24"/>
          <w14:ligatures w14:val="standardContextual"/>
        </w:rPr>
        <w:t xml:space="preserve">of DFCI, </w:t>
      </w:r>
      <w:r w:rsidR="009C3054">
        <w:rPr>
          <w:rFonts w:eastAsia="Aptos" w:cs="Calibri"/>
          <w:kern w:val="2"/>
          <w:szCs w:val="24"/>
          <w14:ligatures w14:val="standardContextual"/>
        </w:rPr>
        <w:t>employees of DFCI, and representatives f</w:t>
      </w:r>
      <w:r w:rsidR="0084757D">
        <w:rPr>
          <w:rFonts w:eastAsia="Aptos" w:cs="Calibri"/>
          <w:kern w:val="2"/>
          <w:szCs w:val="24"/>
          <w14:ligatures w14:val="standardContextual"/>
        </w:rPr>
        <w:t>rom</w:t>
      </w:r>
      <w:r w:rsidR="009C3054">
        <w:rPr>
          <w:rFonts w:eastAsia="Aptos" w:cs="Calibri"/>
          <w:kern w:val="2"/>
          <w:szCs w:val="24"/>
          <w14:ligatures w14:val="standardContextual"/>
        </w:rPr>
        <w:t xml:space="preserve"> other healthcare providers </w:t>
      </w:r>
      <w:r w:rsidR="00640E45">
        <w:rPr>
          <w:rFonts w:eastAsia="Aptos" w:cs="Calibri"/>
          <w:kern w:val="2"/>
          <w:szCs w:val="24"/>
          <w14:ligatures w14:val="standardContextual"/>
        </w:rPr>
        <w:t xml:space="preserve">in the region </w:t>
      </w:r>
      <w:r w:rsidR="009C3054">
        <w:rPr>
          <w:rFonts w:eastAsia="Aptos" w:cs="Calibri"/>
          <w:kern w:val="2"/>
          <w:szCs w:val="24"/>
          <w14:ligatures w14:val="standardContextual"/>
        </w:rPr>
        <w:t xml:space="preserve">including the </w:t>
      </w:r>
      <w:r w:rsidR="009C3054" w:rsidRPr="009C3054">
        <w:rPr>
          <w:rFonts w:eastAsia="Aptos" w:cs="Calibri"/>
          <w:kern w:val="2"/>
          <w:szCs w:val="24"/>
          <w14:ligatures w14:val="standardContextual"/>
        </w:rPr>
        <w:t>President and System COO</w:t>
      </w:r>
      <w:r w:rsidR="009C3054">
        <w:rPr>
          <w:rFonts w:eastAsia="Aptos" w:cs="Calibri"/>
          <w:kern w:val="2"/>
          <w:szCs w:val="24"/>
          <w14:ligatures w14:val="standardContextual"/>
        </w:rPr>
        <w:t xml:space="preserve"> of Boston Children’s Hospital, </w:t>
      </w:r>
      <w:r w:rsidR="0084757D" w:rsidRPr="0084757D">
        <w:rPr>
          <w:rFonts w:eastAsia="Aptos" w:cs="Calibri"/>
          <w:kern w:val="2"/>
          <w:szCs w:val="24"/>
          <w14:ligatures w14:val="standardContextual"/>
        </w:rPr>
        <w:t>President and CEO</w:t>
      </w:r>
      <w:r w:rsidR="0084757D">
        <w:rPr>
          <w:rFonts w:eastAsia="Aptos" w:cs="Calibri"/>
          <w:kern w:val="2"/>
          <w:szCs w:val="24"/>
          <w14:ligatures w14:val="standardContextual"/>
        </w:rPr>
        <w:t xml:space="preserve"> of</w:t>
      </w:r>
      <w:r w:rsidR="0084757D" w:rsidRPr="0084757D">
        <w:rPr>
          <w:rFonts w:eastAsia="Aptos" w:cs="Calibri"/>
          <w:kern w:val="2"/>
          <w:szCs w:val="24"/>
          <w14:ligatures w14:val="standardContextual"/>
        </w:rPr>
        <w:t xml:space="preserve"> UMass Memorial Health</w:t>
      </w:r>
      <w:r w:rsidR="0084757D">
        <w:rPr>
          <w:rFonts w:eastAsia="Aptos" w:cs="Calibri"/>
          <w:kern w:val="2"/>
          <w:szCs w:val="24"/>
          <w14:ligatures w14:val="standardContextual"/>
        </w:rPr>
        <w:t xml:space="preserve">, and </w:t>
      </w:r>
      <w:r w:rsidR="00640E45" w:rsidRPr="00640E45">
        <w:rPr>
          <w:rFonts w:eastAsia="Aptos" w:cs="Calibri"/>
          <w:kern w:val="2"/>
          <w:szCs w:val="24"/>
          <w14:ligatures w14:val="standardContextual"/>
        </w:rPr>
        <w:t>Executive Vice President and Chief Operating Officer</w:t>
      </w:r>
      <w:r w:rsidR="00D65D5E">
        <w:rPr>
          <w:rFonts w:eastAsia="Aptos" w:cs="Calibri"/>
          <w:kern w:val="2"/>
          <w:szCs w:val="24"/>
          <w14:ligatures w14:val="standardContextual"/>
        </w:rPr>
        <w:t xml:space="preserve"> of </w:t>
      </w:r>
      <w:r w:rsidR="4DA1995D" w:rsidRPr="464F6487">
        <w:rPr>
          <w:rFonts w:eastAsia="Aptos" w:cs="Calibri"/>
          <w:kern w:val="2"/>
          <w14:ligatures w14:val="standardContextual"/>
        </w:rPr>
        <w:t>Stu</w:t>
      </w:r>
      <w:r w:rsidR="3F1080B3" w:rsidRPr="464F6487">
        <w:rPr>
          <w:rFonts w:eastAsia="Aptos" w:cs="Calibri"/>
          <w:kern w:val="2"/>
          <w14:ligatures w14:val="standardContextual"/>
        </w:rPr>
        <w:t>r</w:t>
      </w:r>
      <w:r w:rsidR="4DA1995D" w:rsidRPr="464F6487">
        <w:rPr>
          <w:rFonts w:eastAsia="Aptos" w:cs="Calibri"/>
          <w:kern w:val="2"/>
          <w14:ligatures w14:val="standardContextual"/>
        </w:rPr>
        <w:t>dy</w:t>
      </w:r>
      <w:r w:rsidR="00640E45" w:rsidRPr="00640E45">
        <w:rPr>
          <w:rFonts w:eastAsia="Aptos" w:cs="Calibri"/>
          <w:kern w:val="2"/>
          <w:szCs w:val="24"/>
          <w14:ligatures w14:val="standardContextual"/>
        </w:rPr>
        <w:t xml:space="preserve"> Health</w:t>
      </w:r>
      <w:r w:rsidR="00D65D5E">
        <w:rPr>
          <w:rFonts w:eastAsia="Aptos" w:cs="Calibri"/>
          <w:kern w:val="2"/>
          <w:szCs w:val="24"/>
          <w14:ligatures w14:val="standardContextual"/>
        </w:rPr>
        <w:t>. A</w:t>
      </w:r>
      <w:r w:rsidR="00932949">
        <w:rPr>
          <w:rFonts w:eastAsia="Aptos" w:cs="Calibri"/>
          <w:kern w:val="2"/>
          <w:szCs w:val="24"/>
          <w14:ligatures w14:val="standardContextual"/>
        </w:rPr>
        <w:t xml:space="preserve">ll written comments submitted to the Department are available on the DoN website. </w:t>
      </w:r>
    </w:p>
    <w:p w14:paraId="25177073" w14:textId="77777777" w:rsidR="00814986" w:rsidRPr="005916FB" w:rsidRDefault="00814986" w:rsidP="00BA2054">
      <w:pPr>
        <w:widowControl/>
        <w:autoSpaceDE/>
        <w:autoSpaceDN/>
        <w:rPr>
          <w:rFonts w:eastAsia="Aptos" w:cs="Calibri"/>
          <w:kern w:val="2"/>
          <w:szCs w:val="24"/>
          <w14:ligatures w14:val="standardContextual"/>
        </w:rPr>
      </w:pPr>
    </w:p>
    <w:p w14:paraId="683C9CE3" w14:textId="77777777" w:rsidR="005916FB" w:rsidRPr="005916FB" w:rsidRDefault="005916FB" w:rsidP="00BA2054">
      <w:pPr>
        <w:widowControl/>
        <w:autoSpaceDE/>
        <w:autoSpaceDN/>
        <w:rPr>
          <w:rFonts w:eastAsia="Aptos" w:cs="Calibri"/>
          <w:b/>
          <w:bCs/>
          <w:kern w:val="2"/>
          <w:szCs w:val="24"/>
          <w14:ligatures w14:val="standardContextual"/>
        </w:rPr>
      </w:pPr>
      <w:r w:rsidRPr="005916FB">
        <w:rPr>
          <w:rFonts w:eastAsia="Aptos" w:cs="Calibri"/>
          <w:b/>
          <w:bCs/>
          <w:kern w:val="2"/>
          <w:szCs w:val="24"/>
          <w14:ligatures w14:val="standardContextual"/>
        </w:rPr>
        <w:t>Factor 1: a) Patient Panel Need</w:t>
      </w:r>
    </w:p>
    <w:p w14:paraId="30D4F953" w14:textId="6139EC75" w:rsidR="0018152F" w:rsidRPr="00B42BEB" w:rsidRDefault="0023725C" w:rsidP="00B42BEB">
      <w:pPr>
        <w:widowControl/>
        <w:autoSpaceDE/>
        <w:autoSpaceDN/>
        <w:rPr>
          <w:rFonts w:eastAsia="Aptos" w:cs="Calibri"/>
          <w:kern w:val="2"/>
          <w:szCs w:val="24"/>
          <w14:ligatures w14:val="standardContextual"/>
        </w:rPr>
      </w:pPr>
      <w:r>
        <w:rPr>
          <w:rFonts w:eastAsia="Aptos" w:cs="Calibri"/>
          <w:kern w:val="2"/>
          <w:szCs w:val="24"/>
          <w14:ligatures w14:val="standardContextual"/>
        </w:rPr>
        <w:t xml:space="preserve">Commenters </w:t>
      </w:r>
      <w:r w:rsidR="004056FA">
        <w:rPr>
          <w:rFonts w:eastAsia="Aptos" w:cs="Calibri"/>
          <w:kern w:val="2"/>
          <w:szCs w:val="24"/>
          <w14:ligatures w14:val="standardContextual"/>
        </w:rPr>
        <w:t xml:space="preserve">mentioned an “unmet need” for PBT services in Massachusetts, due to the fact that there is currently only one provider of such services. </w:t>
      </w:r>
      <w:r w:rsidR="00A13606">
        <w:rPr>
          <w:rFonts w:eastAsia="Aptos" w:cs="Calibri"/>
          <w:kern w:val="2"/>
          <w:szCs w:val="24"/>
          <w14:ligatures w14:val="standardContextual"/>
        </w:rPr>
        <w:t>Commenters state that t</w:t>
      </w:r>
      <w:r w:rsidR="004056FA" w:rsidRPr="00B42BEB">
        <w:rPr>
          <w:rFonts w:eastAsia="Aptos" w:cs="Calibri"/>
          <w:kern w:val="2"/>
          <w:szCs w:val="24"/>
          <w14:ligatures w14:val="standardContextual"/>
        </w:rPr>
        <w:t>here is only one operational PBT site in New England</w:t>
      </w:r>
      <w:r w:rsidR="00B42BEB">
        <w:rPr>
          <w:rFonts w:eastAsia="Aptos" w:cs="Calibri"/>
          <w:kern w:val="2"/>
          <w:szCs w:val="24"/>
          <w14:ligatures w14:val="standardContextual"/>
        </w:rPr>
        <w:t>, and e</w:t>
      </w:r>
      <w:r w:rsidR="0018152F" w:rsidRPr="00B42BEB">
        <w:rPr>
          <w:rFonts w:eastAsia="Aptos" w:cs="Calibri"/>
          <w:kern w:val="2"/>
          <w:szCs w:val="24"/>
          <w14:ligatures w14:val="standardContextual"/>
        </w:rPr>
        <w:t xml:space="preserve">ven if </w:t>
      </w:r>
      <w:r w:rsidR="00B42BEB">
        <w:rPr>
          <w:rFonts w:eastAsia="Aptos" w:cs="Calibri"/>
          <w:kern w:val="2"/>
          <w:szCs w:val="24"/>
          <w14:ligatures w14:val="standardContextual"/>
        </w:rPr>
        <w:t xml:space="preserve">the </w:t>
      </w:r>
      <w:r w:rsidR="0018152F" w:rsidRPr="00B42BEB">
        <w:rPr>
          <w:rFonts w:eastAsia="Aptos" w:cs="Calibri"/>
          <w:kern w:val="2"/>
          <w:szCs w:val="24"/>
          <w14:ligatures w14:val="standardContextual"/>
        </w:rPr>
        <w:t xml:space="preserve">non-operational machine was operational, the need for PBT outweighs the existing capacity. </w:t>
      </w:r>
      <w:r w:rsidR="002C412E" w:rsidRPr="00B42BEB">
        <w:rPr>
          <w:rFonts w:eastAsia="Aptos" w:cs="Calibri"/>
          <w:kern w:val="2"/>
          <w:szCs w:val="24"/>
          <w14:ligatures w14:val="standardContextual"/>
        </w:rPr>
        <w:t xml:space="preserve">The Proposed Project will help to meet current demand and growing demand as cancer incidence and survivorship increase, and the number of patients eligible for PBT increases. </w:t>
      </w:r>
    </w:p>
    <w:p w14:paraId="6B848669" w14:textId="77777777" w:rsidR="00690DCD" w:rsidRPr="005916FB" w:rsidRDefault="00690DCD" w:rsidP="00BA2054">
      <w:pPr>
        <w:widowControl/>
        <w:autoSpaceDE/>
        <w:autoSpaceDN/>
        <w:rPr>
          <w:rFonts w:eastAsia="Aptos" w:cs="Calibri"/>
          <w:b/>
          <w:bCs/>
          <w:kern w:val="2"/>
          <w:szCs w:val="24"/>
          <w14:ligatures w14:val="standardContextual"/>
        </w:rPr>
      </w:pPr>
    </w:p>
    <w:p w14:paraId="1AF45D5F" w14:textId="77777777" w:rsidR="005916FB" w:rsidRDefault="005916FB" w:rsidP="00BA2054">
      <w:pPr>
        <w:widowControl/>
        <w:autoSpaceDE/>
        <w:autoSpaceDN/>
        <w:rPr>
          <w:rFonts w:eastAsia="Aptos" w:cs="Calibri"/>
          <w:b/>
          <w:bCs/>
          <w:kern w:val="2"/>
          <w:szCs w:val="24"/>
          <w14:ligatures w14:val="standardContextual"/>
        </w:rPr>
      </w:pPr>
      <w:r w:rsidRPr="005916FB">
        <w:rPr>
          <w:rFonts w:eastAsia="Aptos" w:cs="Calibri"/>
          <w:b/>
          <w:bCs/>
          <w:kern w:val="2"/>
          <w:szCs w:val="24"/>
          <w14:ligatures w14:val="standardContextual"/>
        </w:rPr>
        <w:t>Factor 1: b) Public Health Value, Improved Health Outcomes and Quality of Life; Assurances of Health Equity</w:t>
      </w:r>
    </w:p>
    <w:p w14:paraId="642AA92E" w14:textId="55B3074F" w:rsidR="00FF6A6E" w:rsidRPr="00B42BEB" w:rsidRDefault="003857B4" w:rsidP="00B42BEB">
      <w:pPr>
        <w:widowControl/>
        <w:autoSpaceDE/>
        <w:autoSpaceDN/>
        <w:rPr>
          <w:rFonts w:eastAsia="Aptos" w:cs="Calibri"/>
          <w:kern w:val="2"/>
          <w:szCs w:val="24"/>
          <w14:ligatures w14:val="standardContextual"/>
        </w:rPr>
      </w:pPr>
      <w:r w:rsidRPr="00B42BEB">
        <w:rPr>
          <w:rFonts w:eastAsia="Aptos" w:cs="Calibri"/>
          <w:kern w:val="2"/>
          <w:szCs w:val="24"/>
          <w14:ligatures w14:val="standardContextual"/>
        </w:rPr>
        <w:t>Exiting radiation from photon</w:t>
      </w:r>
      <w:r w:rsidR="00AB00EC" w:rsidRPr="00B42BEB">
        <w:rPr>
          <w:rFonts w:eastAsia="Aptos" w:cs="Calibri"/>
          <w:kern w:val="2"/>
          <w:szCs w:val="24"/>
          <w14:ligatures w14:val="standardContextual"/>
        </w:rPr>
        <w:t>-based</w:t>
      </w:r>
      <w:r w:rsidRPr="00B42BEB">
        <w:rPr>
          <w:rFonts w:eastAsia="Aptos" w:cs="Calibri"/>
          <w:kern w:val="2"/>
          <w:szCs w:val="24"/>
          <w14:ligatures w14:val="standardContextual"/>
        </w:rPr>
        <w:t xml:space="preserve"> </w:t>
      </w:r>
      <w:r w:rsidR="00AB00EC" w:rsidRPr="00B42BEB">
        <w:rPr>
          <w:rFonts w:eastAsia="Aptos" w:cs="Calibri"/>
          <w:kern w:val="2"/>
          <w:szCs w:val="24"/>
          <w14:ligatures w14:val="standardContextual"/>
        </w:rPr>
        <w:t>RT</w:t>
      </w:r>
      <w:r w:rsidRPr="00B42BEB">
        <w:rPr>
          <w:rFonts w:eastAsia="Aptos" w:cs="Calibri"/>
          <w:kern w:val="2"/>
          <w:szCs w:val="24"/>
          <w14:ligatures w14:val="standardContextual"/>
        </w:rPr>
        <w:t xml:space="preserve"> can have adverse side effects, especially for developing bodies. </w:t>
      </w:r>
      <w:r w:rsidR="00FF6A6E" w:rsidRPr="00B42BEB">
        <w:rPr>
          <w:rFonts w:eastAsia="Aptos" w:cs="Calibri"/>
          <w:kern w:val="2"/>
          <w:szCs w:val="24"/>
          <w14:ligatures w14:val="standardContextual"/>
        </w:rPr>
        <w:t xml:space="preserve">PBT offers highly precise, targeted radiation that minimizes damage to surrounding healthy tissue and reduces long-term side effects, which is especially important for pediatric patients and those with tumors near </w:t>
      </w:r>
      <w:r w:rsidR="00C36A8E" w:rsidRPr="00B42BEB">
        <w:rPr>
          <w:rFonts w:eastAsia="Aptos" w:cs="Calibri"/>
          <w:kern w:val="2"/>
          <w:szCs w:val="24"/>
          <w14:ligatures w14:val="standardContextual"/>
        </w:rPr>
        <w:t xml:space="preserve">critical </w:t>
      </w:r>
      <w:r w:rsidR="00FF6A6E" w:rsidRPr="00B42BEB">
        <w:rPr>
          <w:rFonts w:eastAsia="Aptos" w:cs="Calibri"/>
          <w:kern w:val="2"/>
          <w:szCs w:val="24"/>
          <w14:ligatures w14:val="standardContextual"/>
        </w:rPr>
        <w:t>organs</w:t>
      </w:r>
      <w:r w:rsidR="00C36A8E" w:rsidRPr="00B42BEB">
        <w:rPr>
          <w:rFonts w:eastAsia="Aptos" w:cs="Calibri"/>
          <w:kern w:val="2"/>
          <w:szCs w:val="24"/>
          <w14:ligatures w14:val="standardContextual"/>
        </w:rPr>
        <w:t>.</w:t>
      </w:r>
      <w:r w:rsidR="00FF6A6E" w:rsidRPr="00B42BEB">
        <w:rPr>
          <w:rFonts w:eastAsia="Aptos" w:cs="Calibri"/>
          <w:kern w:val="2"/>
          <w:szCs w:val="24"/>
          <w14:ligatures w14:val="standardContextual"/>
        </w:rPr>
        <w:t xml:space="preserve"> </w:t>
      </w:r>
      <w:r w:rsidR="00B42BEB" w:rsidRPr="00B42BEB">
        <w:rPr>
          <w:rFonts w:eastAsia="Aptos" w:cs="Calibri"/>
          <w:kern w:val="2"/>
          <w:szCs w:val="24"/>
          <w14:ligatures w14:val="standardContextual"/>
        </w:rPr>
        <w:t xml:space="preserve">Traveling to access PBT results in barriers and delays in accessing the service, financial burden, and time away from work and school, and can be emotionally and physically overwhelming. More patients will receive PBT closer to home with the increased access to PBT that will be achieved through the Proposed Project. </w:t>
      </w:r>
      <w:r w:rsidR="00F75271" w:rsidRPr="00B42BEB">
        <w:rPr>
          <w:rFonts w:eastAsia="Aptos" w:cs="Calibri"/>
          <w:kern w:val="2"/>
          <w:szCs w:val="24"/>
          <w14:ligatures w14:val="standardContextual"/>
        </w:rPr>
        <w:t xml:space="preserve">The proposed </w:t>
      </w:r>
      <w:r w:rsidR="009D1205">
        <w:rPr>
          <w:rFonts w:eastAsia="Aptos" w:cs="Calibri"/>
          <w:kern w:val="2"/>
          <w:szCs w:val="24"/>
          <w14:ligatures w14:val="standardContextual"/>
        </w:rPr>
        <w:t>PBT</w:t>
      </w:r>
      <w:r w:rsidR="00C36A8E" w:rsidRPr="00B42BEB">
        <w:rPr>
          <w:rFonts w:eastAsia="Aptos" w:cs="Calibri"/>
          <w:kern w:val="2"/>
          <w:szCs w:val="24"/>
          <w14:ligatures w14:val="standardContextual"/>
        </w:rPr>
        <w:t xml:space="preserve"> system</w:t>
      </w:r>
      <w:r w:rsidR="00F75271" w:rsidRPr="00B42BEB">
        <w:rPr>
          <w:rFonts w:eastAsia="Aptos" w:cs="Calibri"/>
          <w:kern w:val="2"/>
          <w:szCs w:val="24"/>
          <w14:ligatures w14:val="standardContextual"/>
        </w:rPr>
        <w:t xml:space="preserve"> will be the first in the region to deliver </w:t>
      </w:r>
      <w:r w:rsidR="00536B06" w:rsidRPr="00B42BEB">
        <w:rPr>
          <w:rFonts w:eastAsia="Aptos" w:cs="Calibri"/>
          <w:kern w:val="2"/>
          <w:szCs w:val="24"/>
          <w14:ligatures w14:val="standardContextual"/>
        </w:rPr>
        <w:t>PBT</w:t>
      </w:r>
      <w:r w:rsidR="00F75271" w:rsidRPr="00B42BEB">
        <w:rPr>
          <w:rFonts w:eastAsia="Aptos" w:cs="Calibri"/>
          <w:kern w:val="2"/>
          <w:szCs w:val="24"/>
          <w14:ligatures w14:val="standardContextual"/>
        </w:rPr>
        <w:t xml:space="preserve"> in a seated or inclined position, which </w:t>
      </w:r>
      <w:r w:rsidR="003A06D2" w:rsidRPr="00B42BEB">
        <w:rPr>
          <w:rFonts w:eastAsia="Aptos" w:cs="Calibri"/>
          <w:kern w:val="2"/>
          <w:szCs w:val="24"/>
          <w14:ligatures w14:val="standardContextual"/>
        </w:rPr>
        <w:t xml:space="preserve">will benefit patients who may not tolerate traditional treatment setups. </w:t>
      </w:r>
    </w:p>
    <w:p w14:paraId="5073BF10" w14:textId="77777777" w:rsidR="00826821" w:rsidRPr="005916FB" w:rsidRDefault="00826821" w:rsidP="00BA2054">
      <w:pPr>
        <w:widowControl/>
        <w:autoSpaceDE/>
        <w:autoSpaceDN/>
        <w:rPr>
          <w:rFonts w:eastAsia="Aptos" w:cs="Calibri"/>
          <w:kern w:val="2"/>
          <w:szCs w:val="24"/>
          <w14:ligatures w14:val="standardContextual"/>
        </w:rPr>
      </w:pPr>
    </w:p>
    <w:p w14:paraId="259CBAA2" w14:textId="77777777" w:rsidR="005916FB" w:rsidRPr="00281311" w:rsidRDefault="005916FB" w:rsidP="00BA2054">
      <w:pPr>
        <w:widowControl/>
        <w:autoSpaceDE/>
        <w:autoSpaceDN/>
        <w:rPr>
          <w:rFonts w:asciiTheme="minorHAnsi" w:eastAsia="Aptos" w:hAnsiTheme="minorHAnsi"/>
          <w:b/>
          <w:bCs/>
          <w:kern w:val="2"/>
          <w:szCs w:val="24"/>
          <w14:ligatures w14:val="standardContextual"/>
        </w:rPr>
      </w:pPr>
      <w:r w:rsidRPr="00281311">
        <w:rPr>
          <w:rFonts w:asciiTheme="minorHAnsi" w:eastAsia="Aptos" w:hAnsiTheme="minorHAnsi"/>
          <w:b/>
          <w:bCs/>
          <w:kern w:val="2"/>
          <w:szCs w:val="24"/>
          <w14:ligatures w14:val="standardContextual"/>
        </w:rPr>
        <w:t>Factor 1: c) Efficiency, Continuity of Care, Coordination of Care</w:t>
      </w:r>
    </w:p>
    <w:p w14:paraId="43AD11FA" w14:textId="3C2DEB73" w:rsidR="002C412E" w:rsidRPr="00B42BEB" w:rsidRDefault="00BA47B2" w:rsidP="00B42BEB">
      <w:pPr>
        <w:rPr>
          <w:rFonts w:eastAsia="Aptos" w:cs="Calibri"/>
          <w:kern w:val="2"/>
          <w:szCs w:val="24"/>
          <w14:ligatures w14:val="standardContextual"/>
        </w:rPr>
      </w:pPr>
      <w:r w:rsidRPr="00B42BEB">
        <w:rPr>
          <w:rFonts w:eastAsia="Aptos" w:cs="Calibri"/>
          <w:kern w:val="2"/>
          <w:szCs w:val="24"/>
          <w14:ligatures w14:val="standardContextual"/>
        </w:rPr>
        <w:t>Patients must leave their established oncology teams and travel to outside institutions, a disruption that complicates care coordination, increases risk, a</w:t>
      </w:r>
      <w:r w:rsidR="00CC154E">
        <w:rPr>
          <w:rFonts w:eastAsia="Aptos" w:cs="Calibri"/>
          <w:kern w:val="2"/>
          <w:szCs w:val="24"/>
          <w14:ligatures w14:val="standardContextual"/>
        </w:rPr>
        <w:t>n</w:t>
      </w:r>
      <w:r w:rsidRPr="00B42BEB">
        <w:rPr>
          <w:rFonts w:eastAsia="Aptos" w:cs="Calibri"/>
          <w:kern w:val="2"/>
          <w:szCs w:val="24"/>
          <w14:ligatures w14:val="standardContextual"/>
        </w:rPr>
        <w:t xml:space="preserve">d places avoidable burdens on patients and families. </w:t>
      </w:r>
      <w:r w:rsidR="003C293D" w:rsidRPr="00B42BEB">
        <w:rPr>
          <w:rFonts w:eastAsia="Aptos" w:cs="Calibri"/>
          <w:kern w:val="2"/>
          <w:szCs w:val="24"/>
          <w14:ligatures w14:val="standardContextual"/>
        </w:rPr>
        <w:t xml:space="preserve">The Center will be located adjacent to other clinical and treatment space at </w:t>
      </w:r>
      <w:r w:rsidR="00947B03">
        <w:rPr>
          <w:rFonts w:eastAsia="Aptos" w:cs="Calibri"/>
          <w:kern w:val="2"/>
          <w:szCs w:val="24"/>
          <w14:ligatures w14:val="standardContextual"/>
        </w:rPr>
        <w:t>DFCI</w:t>
      </w:r>
      <w:r w:rsidR="003C293D" w:rsidRPr="00B42BEB">
        <w:rPr>
          <w:rFonts w:eastAsia="Aptos" w:cs="Calibri"/>
          <w:kern w:val="2"/>
          <w:szCs w:val="24"/>
          <w14:ligatures w14:val="standardContextual"/>
        </w:rPr>
        <w:t xml:space="preserve">, allowing patients to move between appointments and maintain continuity of care with their care teams. </w:t>
      </w:r>
      <w:r w:rsidR="002C412E" w:rsidRPr="00B42BEB">
        <w:rPr>
          <w:rFonts w:eastAsia="Aptos" w:cs="Calibri"/>
          <w:kern w:val="2"/>
          <w:szCs w:val="24"/>
          <w14:ligatures w14:val="standardContextual"/>
        </w:rPr>
        <w:t xml:space="preserve">Patients </w:t>
      </w:r>
      <w:r w:rsidRPr="00B42BEB">
        <w:rPr>
          <w:rFonts w:eastAsia="Aptos" w:cs="Calibri"/>
          <w:kern w:val="2"/>
          <w:szCs w:val="24"/>
          <w14:ligatures w14:val="standardContextual"/>
        </w:rPr>
        <w:t xml:space="preserve">will be able to </w:t>
      </w:r>
      <w:r w:rsidR="002C412E" w:rsidRPr="00B42BEB">
        <w:rPr>
          <w:rFonts w:eastAsia="Aptos" w:cs="Calibri"/>
          <w:kern w:val="2"/>
          <w:szCs w:val="24"/>
          <w14:ligatures w14:val="standardContextual"/>
        </w:rPr>
        <w:t>remain with established, multidisciplinary care teams improving continuity of care</w:t>
      </w:r>
      <w:r w:rsidRPr="00B42BEB">
        <w:rPr>
          <w:rFonts w:eastAsia="Aptos" w:cs="Calibri"/>
          <w:kern w:val="2"/>
          <w:szCs w:val="24"/>
          <w14:ligatures w14:val="standardContextual"/>
        </w:rPr>
        <w:t>.</w:t>
      </w:r>
    </w:p>
    <w:p w14:paraId="55943CE9" w14:textId="77777777" w:rsidR="003C293D" w:rsidRDefault="003C293D" w:rsidP="00BA2054">
      <w:pPr>
        <w:widowControl/>
        <w:autoSpaceDE/>
        <w:autoSpaceDN/>
        <w:rPr>
          <w:rFonts w:eastAsia="Aptos" w:cs="Calibri"/>
          <w:b/>
          <w:bCs/>
          <w:kern w:val="2"/>
          <w:szCs w:val="24"/>
          <w14:ligatures w14:val="standardContextual"/>
        </w:rPr>
      </w:pPr>
    </w:p>
    <w:p w14:paraId="1BFEF6F2" w14:textId="77777777" w:rsidR="0018152F" w:rsidRDefault="005916FB" w:rsidP="0018152F">
      <w:pPr>
        <w:widowControl/>
        <w:autoSpaceDE/>
        <w:autoSpaceDN/>
        <w:rPr>
          <w:rFonts w:eastAsia="Aptos" w:cs="Calibri"/>
          <w:b/>
          <w:bCs/>
          <w:kern w:val="2"/>
          <w:szCs w:val="24"/>
          <w14:ligatures w14:val="standardContextual"/>
        </w:rPr>
      </w:pPr>
      <w:r w:rsidRPr="005916FB">
        <w:rPr>
          <w:rFonts w:eastAsia="Aptos" w:cs="Calibri"/>
          <w:b/>
          <w:bCs/>
          <w:kern w:val="2"/>
          <w:szCs w:val="24"/>
          <w14:ligatures w14:val="standardContextual"/>
        </w:rPr>
        <w:t>Factor 1: f) Competition on price, total medical expenses (TME), costs and other measures of health care spending</w:t>
      </w:r>
    </w:p>
    <w:p w14:paraId="4DCFFCF5" w14:textId="2287C724" w:rsidR="00BA2054" w:rsidRPr="0018152F" w:rsidRDefault="0018152F" w:rsidP="0018152F">
      <w:pPr>
        <w:rPr>
          <w:rFonts w:eastAsia="Aptos" w:cs="Calibri"/>
          <w:kern w:val="2"/>
          <w:szCs w:val="24"/>
          <w14:ligatures w14:val="standardContextual"/>
        </w:rPr>
      </w:pPr>
      <w:r>
        <w:t xml:space="preserve">DFCI’s choice of a compact cyclotron system, lowers costs and reduces </w:t>
      </w:r>
      <w:r w:rsidR="00134EEC">
        <w:t xml:space="preserve">the </w:t>
      </w:r>
      <w:r>
        <w:t xml:space="preserve">footprint of </w:t>
      </w:r>
      <w:r w:rsidR="009D1205">
        <w:t>PBT</w:t>
      </w:r>
      <w:r w:rsidR="00134EEC">
        <w:t xml:space="preserve">, allowing for the Proposed Project to be implemented faster. </w:t>
      </w:r>
      <w:r w:rsidR="00BA2054" w:rsidRPr="0018152F">
        <w:br w:type="page"/>
      </w:r>
    </w:p>
    <w:p w14:paraId="6011C0DC" w14:textId="169F8A6B" w:rsidR="006344BF" w:rsidRPr="008031A2" w:rsidRDefault="006344BF" w:rsidP="008031A2">
      <w:pPr>
        <w:pStyle w:val="Heading1"/>
        <w:ind w:left="0"/>
        <w:rPr>
          <w:color w:val="1F497D" w:themeColor="text2"/>
        </w:rPr>
      </w:pPr>
      <w:bookmarkStart w:id="38" w:name="_Toc223963010"/>
      <w:r w:rsidRPr="008031A2">
        <w:rPr>
          <w:color w:val="1F497D" w:themeColor="text2"/>
        </w:rPr>
        <w:t xml:space="preserve">Appendix </w:t>
      </w:r>
      <w:r w:rsidR="00474061">
        <w:rPr>
          <w:color w:val="1F497D" w:themeColor="text2"/>
        </w:rPr>
        <w:t>V</w:t>
      </w:r>
      <w:r w:rsidRPr="008031A2">
        <w:rPr>
          <w:color w:val="1F497D" w:themeColor="text2"/>
        </w:rPr>
        <w:t>:</w:t>
      </w:r>
      <w:r w:rsidR="002E2E9F" w:rsidRPr="008031A2">
        <w:rPr>
          <w:color w:val="1F497D" w:themeColor="text2"/>
        </w:rPr>
        <w:t xml:space="preserve"> </w:t>
      </w:r>
      <w:r w:rsidR="008F3D8A" w:rsidRPr="008031A2">
        <w:rPr>
          <w:color w:val="1F497D" w:themeColor="text2"/>
        </w:rPr>
        <w:t>TTGs Overview</w:t>
      </w:r>
      <w:bookmarkEnd w:id="38"/>
      <w:r w:rsidR="008F3D8A" w:rsidRPr="008031A2">
        <w:rPr>
          <w:color w:val="1F497D" w:themeColor="text2"/>
        </w:rPr>
        <w:t xml:space="preserve"> </w:t>
      </w:r>
    </w:p>
    <w:p w14:paraId="02A3D24B" w14:textId="77777777" w:rsidR="008F3D8A" w:rsidRDefault="008F3D8A">
      <w:pPr>
        <w:rPr>
          <w:rFonts w:asciiTheme="minorHAnsi" w:hAnsiTheme="minorHAnsi"/>
          <w:b/>
          <w:bCs/>
          <w:color w:val="1F497D" w:themeColor="text2"/>
          <w:sz w:val="28"/>
          <w:szCs w:val="28"/>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2829"/>
        <w:gridCol w:w="1746"/>
        <w:gridCol w:w="1328"/>
        <w:gridCol w:w="2399"/>
        <w:gridCol w:w="1509"/>
      </w:tblGrid>
      <w:tr w:rsidR="00925CC1" w14:paraId="6D6E9B74" w14:textId="77777777" w:rsidTr="006C68DF">
        <w:trPr>
          <w:cantSplit/>
          <w:trHeight w:val="929"/>
          <w:tblHeader/>
        </w:trPr>
        <w:tc>
          <w:tcPr>
            <w:tcW w:w="0" w:type="auto"/>
            <w:shd w:val="clear" w:color="auto" w:fill="DBE5F1" w:themeFill="accent1" w:themeFillTint="33"/>
            <w:tcMar>
              <w:left w:w="58" w:type="dxa"/>
              <w:right w:w="58" w:type="dxa"/>
            </w:tcMar>
          </w:tcPr>
          <w:p w14:paraId="5B6157C2" w14:textId="77777777" w:rsidR="00925CC1" w:rsidRDefault="00925CC1">
            <w:pPr>
              <w:jc w:val="center"/>
              <w:rPr>
                <w:b/>
              </w:rPr>
            </w:pPr>
            <w:r>
              <w:rPr>
                <w:b/>
              </w:rPr>
              <w:t>TTG Name</w:t>
            </w:r>
          </w:p>
        </w:tc>
        <w:tc>
          <w:tcPr>
            <w:tcW w:w="0" w:type="auto"/>
            <w:shd w:val="clear" w:color="auto" w:fill="DBE5F1" w:themeFill="accent1" w:themeFillTint="33"/>
            <w:tcMar>
              <w:left w:w="58" w:type="dxa"/>
              <w:right w:w="58" w:type="dxa"/>
            </w:tcMar>
          </w:tcPr>
          <w:p w14:paraId="6C43A2D8" w14:textId="77777777" w:rsidR="00925CC1" w:rsidRDefault="00925CC1">
            <w:pPr>
              <w:jc w:val="center"/>
              <w:rPr>
                <w:b/>
              </w:rPr>
            </w:pPr>
            <w:r>
              <w:rPr>
                <w:b/>
              </w:rPr>
              <w:t>Requested Public Hearing</w:t>
            </w:r>
          </w:p>
        </w:tc>
        <w:tc>
          <w:tcPr>
            <w:tcW w:w="0" w:type="auto"/>
            <w:shd w:val="clear" w:color="auto" w:fill="DBE5F1" w:themeFill="accent1" w:themeFillTint="33"/>
            <w:tcMar>
              <w:left w:w="58" w:type="dxa"/>
              <w:right w:w="58" w:type="dxa"/>
            </w:tcMar>
          </w:tcPr>
          <w:p w14:paraId="79CB2915" w14:textId="77777777" w:rsidR="00925CC1" w:rsidRDefault="00925CC1">
            <w:pPr>
              <w:jc w:val="center"/>
              <w:rPr>
                <w:b/>
              </w:rPr>
            </w:pPr>
            <w:r>
              <w:rPr>
                <w:b/>
              </w:rPr>
              <w:t>Requested ICA</w:t>
            </w:r>
          </w:p>
        </w:tc>
        <w:tc>
          <w:tcPr>
            <w:tcW w:w="0" w:type="auto"/>
            <w:shd w:val="clear" w:color="auto" w:fill="DBE5F1" w:themeFill="accent1" w:themeFillTint="33"/>
            <w:tcMar>
              <w:left w:w="58" w:type="dxa"/>
              <w:right w:w="58" w:type="dxa"/>
            </w:tcMar>
          </w:tcPr>
          <w:p w14:paraId="01F40B23" w14:textId="77777777" w:rsidR="00925CC1" w:rsidRDefault="00925CC1">
            <w:pPr>
              <w:jc w:val="center"/>
              <w:rPr>
                <w:b/>
                <w:bCs/>
              </w:rPr>
            </w:pPr>
            <w:r w:rsidRPr="2AEAA9ED">
              <w:rPr>
                <w:b/>
                <w:bCs/>
              </w:rPr>
              <w:t>Oral Comments Provided at Public Hearing</w:t>
            </w:r>
          </w:p>
          <w:p w14:paraId="0A5BDE9D" w14:textId="77777777" w:rsidR="00925CC1" w:rsidRDefault="00925CC1">
            <w:pPr>
              <w:jc w:val="center"/>
              <w:rPr>
                <w:b/>
                <w:bCs/>
              </w:rPr>
            </w:pPr>
          </w:p>
        </w:tc>
        <w:tc>
          <w:tcPr>
            <w:tcW w:w="0" w:type="auto"/>
            <w:shd w:val="clear" w:color="auto" w:fill="DBE5F1" w:themeFill="accent1" w:themeFillTint="33"/>
            <w:tcMar>
              <w:left w:w="58" w:type="dxa"/>
              <w:right w:w="58" w:type="dxa"/>
            </w:tcMar>
          </w:tcPr>
          <w:p w14:paraId="65B3C30D" w14:textId="77777777" w:rsidR="00925CC1" w:rsidRDefault="00925CC1">
            <w:pPr>
              <w:jc w:val="center"/>
              <w:rPr>
                <w:b/>
                <w:bCs/>
              </w:rPr>
            </w:pPr>
            <w:r w:rsidRPr="2AEAA9ED">
              <w:rPr>
                <w:b/>
                <w:bCs/>
              </w:rPr>
              <w:t>Written Comments</w:t>
            </w:r>
          </w:p>
          <w:p w14:paraId="0177D68D" w14:textId="090D5C80" w:rsidR="00FB6802" w:rsidRDefault="00FB6802">
            <w:pPr>
              <w:jc w:val="center"/>
              <w:rPr>
                <w:b/>
                <w:bCs/>
              </w:rPr>
            </w:pPr>
            <w:r>
              <w:rPr>
                <w:b/>
                <w:bCs/>
              </w:rPr>
              <w:t>Submitted</w:t>
            </w:r>
          </w:p>
        </w:tc>
      </w:tr>
      <w:tr w:rsidR="00925CC1" w14:paraId="12DEA86E" w14:textId="77777777" w:rsidTr="006C68DF">
        <w:trPr>
          <w:cantSplit/>
          <w:trHeight w:val="1030"/>
        </w:trPr>
        <w:tc>
          <w:tcPr>
            <w:tcW w:w="0" w:type="auto"/>
          </w:tcPr>
          <w:p w14:paraId="794D5A81" w14:textId="77777777" w:rsidR="00301EA3" w:rsidRDefault="00301EA3" w:rsidP="00301EA3">
            <w:r>
              <w:t>Patients and Family Advocates of Dana-Farber Cancer</w:t>
            </w:r>
          </w:p>
          <w:p w14:paraId="474EA396" w14:textId="27960C16" w:rsidR="00925CC1" w:rsidRDefault="00301EA3" w:rsidP="00301EA3">
            <w:r>
              <w:t>Institute</w:t>
            </w:r>
          </w:p>
        </w:tc>
        <w:tc>
          <w:tcPr>
            <w:tcW w:w="0" w:type="auto"/>
          </w:tcPr>
          <w:p w14:paraId="7752EB7B" w14:textId="77777777" w:rsidR="00925CC1" w:rsidRDefault="00925CC1">
            <w:pPr>
              <w:jc w:val="center"/>
            </w:pPr>
          </w:p>
        </w:tc>
        <w:tc>
          <w:tcPr>
            <w:tcW w:w="0" w:type="auto"/>
          </w:tcPr>
          <w:p w14:paraId="4320CDA9" w14:textId="77777777" w:rsidR="00925CC1" w:rsidRDefault="00925CC1">
            <w:pPr>
              <w:jc w:val="center"/>
            </w:pPr>
          </w:p>
        </w:tc>
        <w:tc>
          <w:tcPr>
            <w:tcW w:w="0" w:type="auto"/>
          </w:tcPr>
          <w:p w14:paraId="5C7EAF86" w14:textId="1A5670B1" w:rsidR="00925CC1" w:rsidRDefault="00C87D60">
            <w:pPr>
              <w:jc w:val="center"/>
            </w:pPr>
            <w:r>
              <w:rPr>
                <w:rFonts w:ascii="Wingdings" w:eastAsia="Wingdings" w:hAnsi="Wingdings" w:cs="Wingdings"/>
              </w:rPr>
              <w:t>ü</w:t>
            </w:r>
          </w:p>
        </w:tc>
        <w:tc>
          <w:tcPr>
            <w:tcW w:w="0" w:type="auto"/>
          </w:tcPr>
          <w:p w14:paraId="03208D70" w14:textId="086FFE65" w:rsidR="00925CC1" w:rsidRDefault="00BA47B2">
            <w:pPr>
              <w:jc w:val="center"/>
            </w:pPr>
            <w:r>
              <w:rPr>
                <w:rFonts w:ascii="Wingdings" w:eastAsia="Wingdings" w:hAnsi="Wingdings" w:cs="Wingdings"/>
              </w:rPr>
              <w:t>ü</w:t>
            </w:r>
          </w:p>
        </w:tc>
      </w:tr>
      <w:tr w:rsidR="00925CC1" w14:paraId="2934A40A" w14:textId="77777777" w:rsidTr="006C68DF">
        <w:trPr>
          <w:cantSplit/>
          <w:trHeight w:val="1039"/>
        </w:trPr>
        <w:tc>
          <w:tcPr>
            <w:tcW w:w="0" w:type="auto"/>
          </w:tcPr>
          <w:p w14:paraId="02F033EC" w14:textId="6634BD8F" w:rsidR="00925CC1" w:rsidRPr="00660295" w:rsidRDefault="00E37845">
            <w:r w:rsidRPr="00E37845">
              <w:t>Clinicians of Dana-Farber Cancer Institute</w:t>
            </w:r>
          </w:p>
        </w:tc>
        <w:tc>
          <w:tcPr>
            <w:tcW w:w="0" w:type="auto"/>
          </w:tcPr>
          <w:p w14:paraId="24EC2AB2" w14:textId="09652790" w:rsidR="00925CC1" w:rsidRDefault="00925CC1">
            <w:pPr>
              <w:jc w:val="center"/>
              <w:rPr>
                <w:color w:val="000000" w:themeColor="text1"/>
              </w:rPr>
            </w:pPr>
          </w:p>
        </w:tc>
        <w:tc>
          <w:tcPr>
            <w:tcW w:w="0" w:type="auto"/>
          </w:tcPr>
          <w:p w14:paraId="132EBD58" w14:textId="77777777" w:rsidR="00925CC1" w:rsidRDefault="00925CC1">
            <w:pPr>
              <w:jc w:val="center"/>
            </w:pPr>
          </w:p>
        </w:tc>
        <w:tc>
          <w:tcPr>
            <w:tcW w:w="0" w:type="auto"/>
          </w:tcPr>
          <w:p w14:paraId="032281CF" w14:textId="012E02A8" w:rsidR="00925CC1" w:rsidRDefault="00C87D60">
            <w:pPr>
              <w:jc w:val="center"/>
            </w:pPr>
            <w:r>
              <w:rPr>
                <w:rFonts w:ascii="Wingdings" w:eastAsia="Wingdings" w:hAnsi="Wingdings" w:cs="Wingdings"/>
              </w:rPr>
              <w:t>ü</w:t>
            </w:r>
          </w:p>
        </w:tc>
        <w:tc>
          <w:tcPr>
            <w:tcW w:w="0" w:type="auto"/>
          </w:tcPr>
          <w:p w14:paraId="25A43FE9" w14:textId="4B7F1366" w:rsidR="00925CC1" w:rsidRDefault="00BA47B2">
            <w:pPr>
              <w:jc w:val="center"/>
            </w:pPr>
            <w:r>
              <w:rPr>
                <w:rFonts w:ascii="Wingdings" w:eastAsia="Wingdings" w:hAnsi="Wingdings" w:cs="Wingdings"/>
              </w:rPr>
              <w:t>ü</w:t>
            </w:r>
          </w:p>
        </w:tc>
      </w:tr>
      <w:tr w:rsidR="00925CC1" w14:paraId="7861683E" w14:textId="77777777" w:rsidTr="006C68DF">
        <w:trPr>
          <w:cantSplit/>
          <w:trHeight w:val="1039"/>
        </w:trPr>
        <w:tc>
          <w:tcPr>
            <w:tcW w:w="0" w:type="auto"/>
          </w:tcPr>
          <w:p w14:paraId="6385D7AA" w14:textId="2BA1D3F6" w:rsidR="00925CC1" w:rsidRDefault="00BA47B2">
            <w:r>
              <w:t>Mass General Brigham TTG</w:t>
            </w:r>
          </w:p>
        </w:tc>
        <w:tc>
          <w:tcPr>
            <w:tcW w:w="0" w:type="auto"/>
          </w:tcPr>
          <w:p w14:paraId="7E020D1A" w14:textId="7A4D56F0" w:rsidR="00925CC1" w:rsidRDefault="00BA47B2">
            <w:pPr>
              <w:jc w:val="center"/>
            </w:pPr>
            <w:r>
              <w:rPr>
                <w:rFonts w:ascii="Wingdings" w:eastAsia="Wingdings" w:hAnsi="Wingdings" w:cs="Wingdings"/>
              </w:rPr>
              <w:t>ü</w:t>
            </w:r>
          </w:p>
        </w:tc>
        <w:tc>
          <w:tcPr>
            <w:tcW w:w="0" w:type="auto"/>
          </w:tcPr>
          <w:p w14:paraId="2FBD9C40" w14:textId="040D2C7A" w:rsidR="00925CC1" w:rsidRDefault="00BA47B2">
            <w:pPr>
              <w:jc w:val="center"/>
            </w:pPr>
            <w:r>
              <w:rPr>
                <w:rFonts w:ascii="Wingdings" w:eastAsia="Wingdings" w:hAnsi="Wingdings" w:cs="Wingdings"/>
              </w:rPr>
              <w:t>ü</w:t>
            </w:r>
          </w:p>
        </w:tc>
        <w:tc>
          <w:tcPr>
            <w:tcW w:w="0" w:type="auto"/>
          </w:tcPr>
          <w:p w14:paraId="18201C31" w14:textId="77777777" w:rsidR="00925CC1" w:rsidRDefault="00925CC1">
            <w:pPr>
              <w:jc w:val="center"/>
            </w:pPr>
          </w:p>
        </w:tc>
        <w:tc>
          <w:tcPr>
            <w:tcW w:w="0" w:type="auto"/>
          </w:tcPr>
          <w:p w14:paraId="22E64E95" w14:textId="092C87E0" w:rsidR="00925CC1" w:rsidRDefault="00925CC1">
            <w:pPr>
              <w:jc w:val="center"/>
            </w:pPr>
          </w:p>
        </w:tc>
      </w:tr>
    </w:tbl>
    <w:p w14:paraId="34105247" w14:textId="77777777" w:rsidR="008F3D8A" w:rsidRDefault="008F3D8A">
      <w:pPr>
        <w:rPr>
          <w:rFonts w:asciiTheme="minorHAnsi" w:hAnsiTheme="minorHAnsi"/>
          <w:b/>
          <w:bCs/>
          <w:color w:val="1F497D" w:themeColor="text2"/>
          <w:sz w:val="28"/>
          <w:szCs w:val="28"/>
        </w:rPr>
      </w:pPr>
    </w:p>
    <w:p w14:paraId="16297EDE" w14:textId="77777777" w:rsidR="00E81F1F" w:rsidRDefault="00E81F1F" w:rsidP="00E81F1F"/>
    <w:p w14:paraId="70182FA1" w14:textId="77777777" w:rsidR="00CA62C7" w:rsidRDefault="00CA62C7">
      <w:pPr>
        <w:rPr>
          <w:rFonts w:asciiTheme="minorHAnsi" w:hAnsiTheme="minorHAnsi"/>
          <w:b/>
          <w:bCs/>
          <w:color w:val="1F497D" w:themeColor="text2"/>
          <w:sz w:val="28"/>
          <w:szCs w:val="28"/>
        </w:rPr>
      </w:pPr>
    </w:p>
    <w:p w14:paraId="65DDC408" w14:textId="77777777" w:rsidR="00CA62C7" w:rsidRDefault="00CA62C7">
      <w:pPr>
        <w:rPr>
          <w:rFonts w:asciiTheme="minorHAnsi" w:hAnsiTheme="minorHAnsi"/>
          <w:b/>
          <w:bCs/>
          <w:color w:val="1F497D" w:themeColor="text2"/>
          <w:sz w:val="28"/>
          <w:szCs w:val="28"/>
        </w:rPr>
      </w:pPr>
    </w:p>
    <w:p w14:paraId="7B0335D3" w14:textId="77777777" w:rsidR="00CA62C7" w:rsidRDefault="00CA62C7">
      <w:pPr>
        <w:rPr>
          <w:rFonts w:asciiTheme="minorHAnsi" w:hAnsiTheme="minorHAnsi"/>
          <w:b/>
          <w:bCs/>
          <w:color w:val="1F497D" w:themeColor="text2"/>
          <w:sz w:val="28"/>
          <w:szCs w:val="28"/>
        </w:rPr>
      </w:pPr>
    </w:p>
    <w:p w14:paraId="17463446" w14:textId="77777777" w:rsidR="00CA62C7" w:rsidRDefault="00CA62C7">
      <w:pPr>
        <w:rPr>
          <w:rFonts w:asciiTheme="minorHAnsi" w:hAnsiTheme="minorHAnsi"/>
          <w:b/>
          <w:bCs/>
          <w:color w:val="1F497D" w:themeColor="text2"/>
          <w:sz w:val="28"/>
          <w:szCs w:val="28"/>
        </w:rPr>
      </w:pPr>
    </w:p>
    <w:p w14:paraId="4EAE46DE" w14:textId="77777777" w:rsidR="00CA62C7" w:rsidRDefault="00CA62C7">
      <w:pPr>
        <w:rPr>
          <w:rFonts w:asciiTheme="minorHAnsi" w:hAnsiTheme="minorHAnsi"/>
          <w:b/>
          <w:bCs/>
          <w:color w:val="1F497D" w:themeColor="text2"/>
          <w:sz w:val="28"/>
          <w:szCs w:val="28"/>
        </w:rPr>
      </w:pPr>
    </w:p>
    <w:p w14:paraId="52C6A427" w14:textId="77777777" w:rsidR="006C68DF" w:rsidRDefault="006C68DF">
      <w:pPr>
        <w:rPr>
          <w:rFonts w:asciiTheme="minorHAnsi" w:hAnsiTheme="minorHAnsi"/>
          <w:b/>
          <w:bCs/>
          <w:color w:val="1F497D" w:themeColor="text2"/>
          <w:sz w:val="28"/>
          <w:szCs w:val="28"/>
        </w:rPr>
        <w:sectPr w:rsidR="006C68DF" w:rsidSect="00D32A31">
          <w:headerReference w:type="even" r:id="rId13"/>
          <w:headerReference w:type="default" r:id="rId14"/>
          <w:footerReference w:type="default" r:id="rId15"/>
          <w:headerReference w:type="first" r:id="rId16"/>
          <w:endnotePr>
            <w:numFmt w:val="lowerLetter"/>
          </w:endnotePr>
          <w:pgSz w:w="12240" w:h="15840"/>
          <w:pgMar w:top="1138" w:right="1195" w:bottom="1238" w:left="1224" w:header="0" w:footer="1051" w:gutter="0"/>
          <w:cols w:space="720"/>
        </w:sectPr>
      </w:pPr>
    </w:p>
    <w:p w14:paraId="0306810F" w14:textId="4ED0C98B" w:rsidR="00B447F3" w:rsidRPr="008031A2" w:rsidRDefault="00A4110F" w:rsidP="00014053">
      <w:pPr>
        <w:pStyle w:val="Heading1"/>
        <w:ind w:left="0"/>
        <w:rPr>
          <w:rFonts w:asciiTheme="minorHAnsi" w:hAnsiTheme="minorHAnsi"/>
          <w:color w:val="1F497D" w:themeColor="text2"/>
        </w:rPr>
      </w:pPr>
      <w:bookmarkStart w:id="39" w:name="_Toc223963011"/>
      <w:r w:rsidRPr="008031A2">
        <w:rPr>
          <w:rFonts w:asciiTheme="minorHAnsi" w:hAnsiTheme="minorHAnsi"/>
          <w:color w:val="1F497D" w:themeColor="text2"/>
        </w:rPr>
        <w:t>REFERENCES</w:t>
      </w:r>
      <w:bookmarkEnd w:id="39"/>
    </w:p>
    <w:sectPr w:rsidR="00B447F3" w:rsidRPr="008031A2" w:rsidSect="00D32A31">
      <w:endnotePr>
        <w:numFmt w:val="lowerLetter"/>
      </w:endnotePr>
      <w:pgSz w:w="12240" w:h="15840"/>
      <w:pgMar w:top="1138" w:right="1195" w:bottom="1238" w:left="1224"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3443B" w14:textId="77777777" w:rsidR="00B75B80" w:rsidRDefault="00B75B80">
      <w:r>
        <w:separator/>
      </w:r>
    </w:p>
  </w:endnote>
  <w:endnote w:type="continuationSeparator" w:id="0">
    <w:p w14:paraId="6885B8C9" w14:textId="77777777" w:rsidR="00B75B80" w:rsidRDefault="00B75B80">
      <w:r>
        <w:continuationSeparator/>
      </w:r>
    </w:p>
  </w:endnote>
  <w:endnote w:type="continuationNotice" w:id="1">
    <w:p w14:paraId="71743FC8" w14:textId="77777777" w:rsidR="00B75B80" w:rsidRDefault="00B75B80"/>
  </w:endnote>
  <w:endnote w:id="2">
    <w:p w14:paraId="41A4CC69" w14:textId="77777777" w:rsidR="00C642EF" w:rsidRPr="005B655E" w:rsidRDefault="00C642EF" w:rsidP="00C642EF">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Center for Health Information and Analysis (CHIA). Hospital Profiles. Dana-Farber Cancer Institute 2020 Hospital Profile. </w:t>
      </w:r>
    </w:p>
  </w:endnote>
  <w:endnote w:id="3">
    <w:p w14:paraId="79A5AC43" w14:textId="29C36B43" w:rsidR="00B96F5D" w:rsidRPr="005B655E" w:rsidRDefault="00B96F5D" w:rsidP="00B96F5D">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w:t>
      </w:r>
      <w:hyperlink r:id="rId1" w:history="1">
        <w:r w:rsidRPr="001472F5">
          <w:rPr>
            <w:rStyle w:val="Hyperlink"/>
            <w:rFonts w:asciiTheme="minorHAnsi" w:hAnsiTheme="minorHAnsi"/>
            <w:color w:val="auto"/>
            <w:u w:val="none"/>
          </w:rPr>
          <w:t>National Cancer Institute. NCI-Designated Cancer Centers</w:t>
        </w:r>
      </w:hyperlink>
      <w:r w:rsidRPr="005B655E">
        <w:rPr>
          <w:rFonts w:asciiTheme="minorHAnsi" w:hAnsiTheme="minorHAnsi"/>
        </w:rPr>
        <w:t xml:space="preserve">. </w:t>
      </w:r>
      <w:hyperlink r:id="rId2" w:history="1">
        <w:r w:rsidRPr="00F74C12">
          <w:rPr>
            <w:rStyle w:val="Hyperlink"/>
            <w:rFonts w:asciiTheme="minorHAnsi" w:hAnsiTheme="minorHAnsi"/>
          </w:rPr>
          <w:t>https://www.cancer.gov/research/infrastructure/cancer-centers</w:t>
        </w:r>
      </w:hyperlink>
      <w:r>
        <w:rPr>
          <w:rFonts w:asciiTheme="minorHAnsi" w:hAnsiTheme="minorHAnsi"/>
        </w:rPr>
        <w:t xml:space="preserve"> </w:t>
      </w:r>
    </w:p>
  </w:endnote>
  <w:endnote w:id="4">
    <w:p w14:paraId="63CE88B7" w14:textId="2EE2023B" w:rsidR="00B96F5D" w:rsidRPr="001472F5" w:rsidRDefault="00B96F5D" w:rsidP="00B96F5D">
      <w:pPr>
        <w:pStyle w:val="EndnoteText"/>
      </w:pPr>
      <w:r>
        <w:rPr>
          <w:rStyle w:val="EndnoteReference"/>
        </w:rPr>
        <w:endnoteRef/>
      </w:r>
      <w:r>
        <w:t xml:space="preserve"> </w:t>
      </w:r>
      <w:hyperlink r:id="rId3" w:anchor=":~:text=Today%2C%20more%20than%201%2C100%20DF,realizing%20a%20world%20without%20cancer" w:history="1">
        <w:r w:rsidRPr="001472F5">
          <w:rPr>
            <w:rStyle w:val="Hyperlink"/>
            <w:color w:val="auto"/>
            <w:u w:val="none"/>
          </w:rPr>
          <w:t>Dana-Farber/Harvard Cancer Center. About DF/HCC.</w:t>
        </w:r>
      </w:hyperlink>
    </w:p>
    <w:p w14:paraId="055FB06C" w14:textId="77777777" w:rsidR="00B96F5D" w:rsidRDefault="00B96F5D" w:rsidP="00B96F5D">
      <w:pPr>
        <w:pStyle w:val="EndnoteText"/>
      </w:pPr>
      <w:hyperlink r:id="rId4" w:anchor=":~:text=Today%2C%20more%20than%201%2C100%20DF,realizing%20a%20world%20without%20cancer" w:history="1">
        <w:r w:rsidRPr="008D0D86">
          <w:rPr>
            <w:rStyle w:val="Hyperlink"/>
          </w:rPr>
          <w:t>https://www.dfhcc.harvard.edu/about-dfhcc#:~:text=Today%2C%20more%20than%201%2C100%20DF,realizing%20a%20world%20without%20cancer</w:t>
        </w:r>
      </w:hyperlink>
    </w:p>
  </w:endnote>
  <w:endnote w:id="5">
    <w:p w14:paraId="2158C686" w14:textId="77777777" w:rsidR="006671E8" w:rsidRDefault="006671E8" w:rsidP="006671E8">
      <w:pPr>
        <w:pStyle w:val="EndnoteText"/>
      </w:pPr>
      <w:r>
        <w:rPr>
          <w:rStyle w:val="EndnoteReference"/>
        </w:rPr>
        <w:endnoteRef/>
      </w:r>
      <w:r>
        <w:t xml:space="preserve"> </w:t>
      </w:r>
      <w:r w:rsidRPr="005E65BC">
        <w:t>McCune JS. Rapid Advances in Immunotherapy to Treat Cancer. Clin Pharmacol Ther. 2018 Apr;103(4):540-544. doi: 10.1002/cpt.985. PMID: 29527663.</w:t>
      </w:r>
    </w:p>
  </w:endnote>
  <w:endnote w:id="6">
    <w:p w14:paraId="65C4D134" w14:textId="6734CCC2" w:rsidR="006671E8" w:rsidRDefault="006671E8" w:rsidP="006671E8">
      <w:pPr>
        <w:pStyle w:val="EndnoteText"/>
      </w:pPr>
      <w:r>
        <w:rPr>
          <w:rStyle w:val="EndnoteReference"/>
        </w:rPr>
        <w:endnoteRef/>
      </w:r>
      <w:r>
        <w:t xml:space="preserve"> </w:t>
      </w:r>
      <w:hyperlink r:id="rId5" w:history="1">
        <w:r w:rsidRPr="001472F5">
          <w:rPr>
            <w:rStyle w:val="Hyperlink"/>
            <w:color w:val="auto"/>
            <w:u w:val="none"/>
          </w:rPr>
          <w:t>American Cancer Society. Radiation Therapy.</w:t>
        </w:r>
      </w:hyperlink>
      <w:r w:rsidRPr="001472F5">
        <w:t xml:space="preserve"> </w:t>
      </w:r>
    </w:p>
    <w:p w14:paraId="4A9A9F84" w14:textId="77777777" w:rsidR="006671E8" w:rsidRDefault="006671E8" w:rsidP="006671E8">
      <w:pPr>
        <w:pStyle w:val="EndnoteText"/>
      </w:pPr>
      <w:hyperlink r:id="rId6" w:history="1">
        <w:r w:rsidRPr="00E433AF">
          <w:rPr>
            <w:rStyle w:val="Hyperlink"/>
          </w:rPr>
          <w:t>https://www.cancer.org/cancer/managing-cancer/treatment-types/radiation.html</w:t>
        </w:r>
      </w:hyperlink>
      <w:r>
        <w:t xml:space="preserve"> </w:t>
      </w:r>
    </w:p>
  </w:endnote>
  <w:endnote w:id="7">
    <w:p w14:paraId="28E66CD0" w14:textId="77777777" w:rsidR="006671E8" w:rsidRPr="00EB1C3A" w:rsidRDefault="006671E8" w:rsidP="006671E8">
      <w:pPr>
        <w:pStyle w:val="EndnoteText"/>
      </w:pPr>
      <w:r w:rsidRPr="00EB1C3A">
        <w:rPr>
          <w:rStyle w:val="EndnoteReference"/>
        </w:rPr>
        <w:endnoteRef/>
      </w:r>
      <w:r w:rsidRPr="00EB1C3A">
        <w:t xml:space="preserve"> Delaney G, Jacob S, Featherstone C, Barton M. </w:t>
      </w:r>
      <w:hyperlink r:id="rId7" w:history="1">
        <w:r w:rsidRPr="0040587C">
          <w:rPr>
            <w:rStyle w:val="Hyperlink"/>
            <w:color w:val="000000" w:themeColor="text1"/>
          </w:rPr>
          <w:t>The role of radiotherapy in cancer treatment: estimating optimal utilization from a review of evidence-based clinical guidelines.</w:t>
        </w:r>
      </w:hyperlink>
      <w:r w:rsidRPr="0040587C">
        <w:rPr>
          <w:color w:val="000000" w:themeColor="text1"/>
        </w:rPr>
        <w:t xml:space="preserve"> Cancer</w:t>
      </w:r>
      <w:r w:rsidRPr="00EB1C3A">
        <w:t>. 2005;104:1129–1137. doi: 10.1002/cncr.21324. [</w:t>
      </w:r>
      <w:hyperlink r:id="rId8" w:tgtFrame="_blank" w:history="1">
        <w:r w:rsidRPr="00EB1C3A">
          <w:rPr>
            <w:rStyle w:val="Hyperlink"/>
          </w:rPr>
          <w:t>DOI</w:t>
        </w:r>
      </w:hyperlink>
      <w:r w:rsidRPr="00EB1C3A">
        <w:t>] [</w:t>
      </w:r>
      <w:hyperlink r:id="rId9" w:history="1">
        <w:r w:rsidRPr="00EB1C3A">
          <w:rPr>
            <w:rStyle w:val="Hyperlink"/>
          </w:rPr>
          <w:t>PubMed</w:t>
        </w:r>
      </w:hyperlink>
      <w:r w:rsidRPr="00EB1C3A">
        <w:t>] [</w:t>
      </w:r>
      <w:hyperlink r:id="rId10" w:tgtFrame="_blank" w:history="1">
        <w:r w:rsidRPr="00EB1C3A">
          <w:rPr>
            <w:rStyle w:val="Hyperlink"/>
          </w:rPr>
          <w:t>Google Scholar</w:t>
        </w:r>
      </w:hyperlink>
    </w:p>
  </w:endnote>
  <w:endnote w:id="8">
    <w:p w14:paraId="2AE92395" w14:textId="77777777" w:rsidR="006671E8" w:rsidRPr="00EB1C3A" w:rsidRDefault="006671E8" w:rsidP="006671E8">
      <w:pPr>
        <w:pStyle w:val="EndnoteText"/>
      </w:pPr>
      <w:r w:rsidRPr="00EB1C3A">
        <w:rPr>
          <w:rStyle w:val="EndnoteReference"/>
        </w:rPr>
        <w:endnoteRef/>
      </w:r>
      <w:r w:rsidRPr="00EB1C3A">
        <w:t xml:space="preserve"> Begg AC, Stewart FA, Vens C. </w:t>
      </w:r>
      <w:hyperlink r:id="rId11" w:history="1">
        <w:r w:rsidRPr="0040587C">
          <w:rPr>
            <w:rStyle w:val="Hyperlink"/>
            <w:color w:val="000000" w:themeColor="text1"/>
          </w:rPr>
          <w:t>Strategies to improve radiotherapy with targeted drugs.</w:t>
        </w:r>
      </w:hyperlink>
      <w:r w:rsidRPr="0040587C">
        <w:rPr>
          <w:color w:val="000000" w:themeColor="text1"/>
        </w:rPr>
        <w:t xml:space="preserve"> Nat </w:t>
      </w:r>
      <w:r w:rsidRPr="00EB1C3A">
        <w:t>Rev Cancer. 2011;11:239–253. doi: 10.1038/nrc3007. [</w:t>
      </w:r>
      <w:hyperlink r:id="rId12" w:tgtFrame="_blank" w:history="1">
        <w:r w:rsidRPr="00EB1C3A">
          <w:rPr>
            <w:rStyle w:val="Hyperlink"/>
          </w:rPr>
          <w:t>DOI</w:t>
        </w:r>
      </w:hyperlink>
      <w:r w:rsidRPr="00EB1C3A">
        <w:t>] [</w:t>
      </w:r>
      <w:hyperlink r:id="rId13" w:history="1">
        <w:r w:rsidRPr="00EB1C3A">
          <w:rPr>
            <w:rStyle w:val="Hyperlink"/>
          </w:rPr>
          <w:t>PubMed</w:t>
        </w:r>
      </w:hyperlink>
      <w:r w:rsidRPr="00EB1C3A">
        <w:t>] [</w:t>
      </w:r>
      <w:hyperlink r:id="rId14" w:tgtFrame="_blank" w:history="1">
        <w:r w:rsidRPr="00EB1C3A">
          <w:rPr>
            <w:rStyle w:val="Hyperlink"/>
          </w:rPr>
          <w:t>Google Scholar</w:t>
        </w:r>
      </w:hyperlink>
    </w:p>
  </w:endnote>
  <w:endnote w:id="9">
    <w:p w14:paraId="4D06D190" w14:textId="77777777" w:rsidR="006671E8" w:rsidRDefault="006671E8" w:rsidP="006671E8">
      <w:pPr>
        <w:pStyle w:val="EndnoteText"/>
      </w:pPr>
      <w:r>
        <w:rPr>
          <w:rStyle w:val="EndnoteReference"/>
        </w:rPr>
        <w:endnoteRef/>
      </w:r>
      <w:r>
        <w:t xml:space="preserve"> </w:t>
      </w:r>
      <w:r w:rsidRPr="0003273D">
        <w:t>Gardner SJ, Kim J, Chetty IJ. Modern Radiation Therapy Planning and Delivery. Hematol Oncol Clin North Am. 2019 Dec;33(6):947-962. doi: 10.1016/j.hoc.2019.08.005. Epub 2019 Oct 1. PMID: 31668213.</w:t>
      </w:r>
    </w:p>
  </w:endnote>
  <w:endnote w:id="10">
    <w:p w14:paraId="19A25143" w14:textId="451B4167" w:rsidR="006671E8" w:rsidRDefault="006671E8" w:rsidP="006671E8">
      <w:pPr>
        <w:pStyle w:val="EndnoteText"/>
      </w:pPr>
      <w:r>
        <w:rPr>
          <w:rStyle w:val="EndnoteReference"/>
        </w:rPr>
        <w:endnoteRef/>
      </w:r>
      <w:r>
        <w:t xml:space="preserve"> </w:t>
      </w:r>
      <w:hyperlink r:id="rId15" w:history="1">
        <w:r w:rsidRPr="00027936">
          <w:rPr>
            <w:rStyle w:val="Hyperlink"/>
            <w:color w:val="auto"/>
            <w:u w:val="none"/>
          </w:rPr>
          <w:t>American Cancer Society. Radiation Therapy.</w:t>
        </w:r>
      </w:hyperlink>
      <w:r w:rsidRPr="00027936">
        <w:t xml:space="preserve"> </w:t>
      </w:r>
    </w:p>
    <w:p w14:paraId="031449EA" w14:textId="77777777" w:rsidR="006671E8" w:rsidRDefault="006671E8" w:rsidP="006671E8">
      <w:pPr>
        <w:pStyle w:val="EndnoteText"/>
      </w:pPr>
      <w:hyperlink r:id="rId16" w:history="1">
        <w:r w:rsidRPr="00E433AF">
          <w:rPr>
            <w:rStyle w:val="Hyperlink"/>
          </w:rPr>
          <w:t>https://www.cancer.org/cancer/managing-cancer/treatment-types/radiation.html</w:t>
        </w:r>
      </w:hyperlink>
      <w:r>
        <w:t xml:space="preserve"> </w:t>
      </w:r>
    </w:p>
  </w:endnote>
  <w:endnote w:id="11">
    <w:p w14:paraId="3C644FEE" w14:textId="176937F2" w:rsidR="006671E8" w:rsidRDefault="006671E8" w:rsidP="006671E8">
      <w:pPr>
        <w:pStyle w:val="EndnoteText"/>
      </w:pPr>
      <w:r>
        <w:rPr>
          <w:rStyle w:val="EndnoteReference"/>
        </w:rPr>
        <w:endnoteRef/>
      </w:r>
      <w:r>
        <w:t xml:space="preserve"> </w:t>
      </w:r>
      <w:hyperlink r:id="rId17" w:anchor=":~:text=External%20beam%20therapy%20(EBT)%20is,pain%20caused%20by%20the%20tumor" w:history="1">
        <w:r w:rsidRPr="009D5889">
          <w:rPr>
            <w:rStyle w:val="Hyperlink"/>
            <w:color w:val="auto"/>
            <w:u w:val="none"/>
          </w:rPr>
          <w:t>RadiologyInfo.org. External Beam Therapy (EBT)</w:t>
        </w:r>
      </w:hyperlink>
      <w:r w:rsidRPr="009D5889">
        <w:t xml:space="preserve"> </w:t>
      </w:r>
    </w:p>
    <w:p w14:paraId="6F5B2099" w14:textId="77777777" w:rsidR="006671E8" w:rsidRDefault="006671E8" w:rsidP="006671E8">
      <w:pPr>
        <w:pStyle w:val="EndnoteText"/>
      </w:pPr>
      <w:hyperlink r:id="rId18" w:anchor=":~:text=External%20beam%20therapy%20(EBT)%20is,pain%20caused%20by%20the%20tumor" w:history="1">
        <w:r w:rsidRPr="00E433AF">
          <w:rPr>
            <w:rStyle w:val="Hyperlink"/>
          </w:rPr>
          <w:t>https://www.radiologyinfo.org/en/info/ebt#:~:text=External%20beam%20therapy%20(EBT)%20is,pain%20caused%20by%20the%20tumor</w:t>
        </w:r>
      </w:hyperlink>
      <w:r w:rsidRPr="007479DF">
        <w:t>.</w:t>
      </w:r>
      <w:r>
        <w:t xml:space="preserve"> </w:t>
      </w:r>
    </w:p>
  </w:endnote>
  <w:endnote w:id="12">
    <w:p w14:paraId="15FE74D6" w14:textId="77777777" w:rsidR="006671E8" w:rsidRPr="00EB1C3A" w:rsidRDefault="006671E8" w:rsidP="006671E8">
      <w:pPr>
        <w:pStyle w:val="EndnoteText"/>
      </w:pPr>
      <w:r w:rsidRPr="00EB1C3A">
        <w:rPr>
          <w:rStyle w:val="EndnoteReference"/>
        </w:rPr>
        <w:endnoteRef/>
      </w:r>
      <w:r w:rsidRPr="00EB1C3A">
        <w:t xml:space="preserve"> WP Levin et al., </w:t>
      </w:r>
      <w:hyperlink r:id="rId19" w:history="1">
        <w:r w:rsidRPr="00EB1C3A">
          <w:rPr>
            <w:rStyle w:val="Hyperlink"/>
            <w:i/>
            <w:iCs/>
            <w:color w:val="000000" w:themeColor="text1"/>
          </w:rPr>
          <w:t>Proton Beam Therapy</w:t>
        </w:r>
        <w:r w:rsidRPr="00EB1C3A">
          <w:rPr>
            <w:rStyle w:val="Hyperlink"/>
            <w:color w:val="000000" w:themeColor="text1"/>
          </w:rPr>
          <w:t>,</w:t>
        </w:r>
      </w:hyperlink>
      <w:r w:rsidRPr="00EB1C3A">
        <w:rPr>
          <w:color w:val="000000" w:themeColor="text1"/>
        </w:rPr>
        <w:t xml:space="preserve"> 93 </w:t>
      </w:r>
      <w:r w:rsidRPr="00EB1C3A">
        <w:rPr>
          <w:smallCaps/>
        </w:rPr>
        <w:t>British Journal of Cancer 849, 849-54 (2005),</w:t>
      </w:r>
      <w:r w:rsidRPr="00EB1C3A">
        <w:t xml:space="preserve"> </w:t>
      </w:r>
      <w:hyperlink r:id="rId20" w:history="1">
        <w:r w:rsidRPr="00EB1C3A">
          <w:rPr>
            <w:rStyle w:val="Hyperlink"/>
          </w:rPr>
          <w:t>https://pmc.ncbi.nlm.nih.gov/articles/PMC2361650/</w:t>
        </w:r>
      </w:hyperlink>
      <w:r w:rsidRPr="00EB1C3A">
        <w:t xml:space="preserve">. </w:t>
      </w:r>
    </w:p>
  </w:endnote>
  <w:endnote w:id="13">
    <w:p w14:paraId="5DD4F4E8" w14:textId="77777777" w:rsidR="006671E8" w:rsidRPr="00EB1C3A" w:rsidRDefault="006671E8" w:rsidP="006671E8">
      <w:pPr>
        <w:pStyle w:val="EndnoteText"/>
      </w:pPr>
      <w:r w:rsidRPr="00EB1C3A">
        <w:rPr>
          <w:rStyle w:val="EndnoteReference"/>
        </w:rPr>
        <w:endnoteRef/>
      </w:r>
      <w:r w:rsidRPr="00EB1C3A">
        <w:t xml:space="preserve"> WP Levin et al., </w:t>
      </w:r>
      <w:hyperlink r:id="rId21" w:history="1">
        <w:r w:rsidRPr="00EB1C3A">
          <w:rPr>
            <w:rStyle w:val="Hyperlink"/>
            <w:i/>
            <w:iCs/>
          </w:rPr>
          <w:t>Proton Beam Therapy</w:t>
        </w:r>
        <w:r w:rsidRPr="00EB1C3A">
          <w:rPr>
            <w:rStyle w:val="Hyperlink"/>
          </w:rPr>
          <w:t>,</w:t>
        </w:r>
      </w:hyperlink>
      <w:r w:rsidRPr="00EB1C3A">
        <w:t xml:space="preserve"> 93 British Journal of Cancer 849, 849-54 (2005), </w:t>
      </w:r>
      <w:hyperlink r:id="rId22" w:history="1">
        <w:r w:rsidRPr="00EB1C3A">
          <w:rPr>
            <w:rStyle w:val="Hyperlink"/>
          </w:rPr>
          <w:t>https://pmc.ncbi.nlm.nih.gov/articles/PMC2361650/</w:t>
        </w:r>
      </w:hyperlink>
      <w:r w:rsidRPr="00EB1C3A">
        <w:t>.</w:t>
      </w:r>
    </w:p>
  </w:endnote>
  <w:endnote w:id="14">
    <w:p w14:paraId="4DC446D7" w14:textId="77777777" w:rsidR="006671E8" w:rsidRPr="00EB1C3A" w:rsidRDefault="006671E8" w:rsidP="006671E8">
      <w:pPr>
        <w:pStyle w:val="EndnoteText"/>
        <w:contextualSpacing/>
      </w:pPr>
      <w:r w:rsidRPr="00EB1C3A">
        <w:rPr>
          <w:rStyle w:val="EndnoteReference"/>
        </w:rPr>
        <w:endnoteRef/>
      </w:r>
      <w:r w:rsidRPr="00EB1C3A">
        <w:t xml:space="preserve"> Kyle Wang &amp; Joel E. Tepper, </w:t>
      </w:r>
      <w:hyperlink r:id="rId23" w:history="1">
        <w:r w:rsidRPr="00EB1C3A">
          <w:rPr>
            <w:rStyle w:val="Hyperlink"/>
            <w:i/>
            <w:iCs/>
            <w:color w:val="000000" w:themeColor="text1"/>
          </w:rPr>
          <w:t>Radiation Therapy-Associated Toxicity: Etiology, Management, and Prevention</w:t>
        </w:r>
        <w:r w:rsidRPr="00EB1C3A">
          <w:rPr>
            <w:rStyle w:val="Hyperlink"/>
            <w:color w:val="000000" w:themeColor="text1"/>
          </w:rPr>
          <w:t>,</w:t>
        </w:r>
      </w:hyperlink>
      <w:r w:rsidRPr="00EB1C3A">
        <w:rPr>
          <w:color w:val="000000" w:themeColor="text1"/>
        </w:rPr>
        <w:t xml:space="preserve"> 71 </w:t>
      </w:r>
      <w:r w:rsidRPr="00EB1C3A">
        <w:rPr>
          <w:smallCaps/>
        </w:rPr>
        <w:t>CA Cancer J. Clin.</w:t>
      </w:r>
      <w:r w:rsidRPr="00EB1C3A">
        <w:t xml:space="preserve"> 437, 437-54 (2021), </w:t>
      </w:r>
      <w:hyperlink r:id="rId24" w:history="1">
        <w:r w:rsidRPr="00EB1C3A">
          <w:rPr>
            <w:color w:val="0000FF" w:themeColor="hyperlink"/>
            <w:u w:val="single"/>
          </w:rPr>
          <w:t>https://pubmed.ncbi.nlm.nih.gov/34255347/</w:t>
        </w:r>
      </w:hyperlink>
      <w:r w:rsidRPr="00EB1C3A">
        <w:t>.</w:t>
      </w:r>
    </w:p>
  </w:endnote>
  <w:endnote w:id="15">
    <w:p w14:paraId="7DDE88C8" w14:textId="5D0CE9DA" w:rsidR="006671E8" w:rsidRDefault="006671E8" w:rsidP="006671E8">
      <w:pPr>
        <w:pStyle w:val="EndnoteText"/>
      </w:pPr>
      <w:r w:rsidRPr="00EB1C3A">
        <w:rPr>
          <w:rStyle w:val="EndnoteReference"/>
        </w:rPr>
        <w:endnoteRef/>
      </w:r>
      <w:r w:rsidRPr="00EB1C3A">
        <w:t xml:space="preserve"> </w:t>
      </w:r>
      <w:r w:rsidRPr="003C71B7">
        <w:t xml:space="preserve">Chen YH, Molenaar D, Uyl-de Groot CA, van Vulpen M, Blommestein HM. </w:t>
      </w:r>
      <w:hyperlink r:id="rId25" w:anchor="B4-cancers-14-02444" w:history="1">
        <w:r w:rsidRPr="00BC5C35">
          <w:rPr>
            <w:rStyle w:val="Hyperlink"/>
            <w:color w:val="auto"/>
            <w:u w:val="none"/>
          </w:rPr>
          <w:t>Medical Resource Use and Medical Costs for Radiotherapy-Related Adverse Effects: A Systematic Review.</w:t>
        </w:r>
      </w:hyperlink>
      <w:r w:rsidRPr="00BC5C35">
        <w:t xml:space="preserve"> Cancers </w:t>
      </w:r>
      <w:r w:rsidRPr="003C71B7">
        <w:t>(Basel). 2022 May 16;14(10):2444. doi: 10.3390/cancers14102444. PMID: 35626049; PMCID:</w:t>
      </w:r>
      <w:r>
        <w:t xml:space="preserve"> </w:t>
      </w:r>
      <w:r w:rsidRPr="003C71B7">
        <w:t>PMC9139402.</w:t>
      </w:r>
    </w:p>
    <w:p w14:paraId="5D326953" w14:textId="77777777" w:rsidR="006671E8" w:rsidRPr="00EB1C3A" w:rsidRDefault="006671E8" w:rsidP="006671E8">
      <w:pPr>
        <w:pStyle w:val="EndnoteText"/>
      </w:pPr>
      <w:hyperlink r:id="rId26" w:anchor="B4-cancers-14-02444" w:history="1">
        <w:r w:rsidRPr="00E976FC">
          <w:rPr>
            <w:rStyle w:val="Hyperlink"/>
          </w:rPr>
          <w:t>https://pmc.ncbi.nlm.nih.gov/articles/PMC9139402/#B4-cancers-14-02444</w:t>
        </w:r>
      </w:hyperlink>
      <w:r w:rsidRPr="00DC1CB5">
        <w:rPr>
          <w:color w:val="000000" w:themeColor="text1"/>
        </w:rPr>
        <w:t xml:space="preserve"> </w:t>
      </w:r>
    </w:p>
  </w:endnote>
  <w:endnote w:id="16">
    <w:p w14:paraId="71FF7AFA" w14:textId="77777777" w:rsidR="006671E8" w:rsidRPr="00EB1C3A" w:rsidRDefault="006671E8" w:rsidP="006671E8">
      <w:pPr>
        <w:pStyle w:val="EndnoteText"/>
      </w:pPr>
      <w:r w:rsidRPr="00EB1C3A">
        <w:rPr>
          <w:rStyle w:val="EndnoteReference"/>
        </w:rPr>
        <w:endnoteRef/>
      </w:r>
      <w:r w:rsidRPr="00EB1C3A">
        <w:t xml:space="preserve"> Chen YH, Molenaar D, Uyl-de Groot CA, van Vulpen M, Blommestein HM. Medical Resource Use and Medical Costs for Radiotherapy-Related Adverse Effects: A Systematic Review. Cancers (Basel). 2022 May 16;14(10):2444. doi: 10.3390/cancers14102444. PMID: 35626049; PMCID: PMC9139402.</w:t>
      </w:r>
    </w:p>
  </w:endnote>
  <w:endnote w:id="17">
    <w:p w14:paraId="711DC340" w14:textId="34B8B04E" w:rsidR="006671E8" w:rsidRDefault="006671E8" w:rsidP="006671E8">
      <w:pPr>
        <w:pStyle w:val="EndnoteText"/>
      </w:pPr>
      <w:r w:rsidRPr="00EB1C3A">
        <w:rPr>
          <w:rStyle w:val="EndnoteReference"/>
        </w:rPr>
        <w:endnoteRef/>
      </w:r>
      <w:r w:rsidRPr="00EB1C3A">
        <w:t xml:space="preserve"> </w:t>
      </w:r>
      <w:r>
        <w:t xml:space="preserve">Mayo Clinic. </w:t>
      </w:r>
      <w:hyperlink r:id="rId27" w:anchor=":~:text=Bone%20problems%2C%20such%20as%20joint,late%20effects%20of%20cancer%20treatment" w:history="1">
        <w:r w:rsidRPr="00BC5C35">
          <w:rPr>
            <w:rStyle w:val="Hyperlink"/>
            <w:color w:val="auto"/>
            <w:u w:val="none"/>
          </w:rPr>
          <w:t>Cancer survivors: Late effects of cancer treatment.</w:t>
        </w:r>
      </w:hyperlink>
      <w:r w:rsidRPr="00BC5C35">
        <w:t xml:space="preserve"> </w:t>
      </w:r>
    </w:p>
    <w:p w14:paraId="1DD866F6" w14:textId="77777777" w:rsidR="006671E8" w:rsidRPr="00EB1C3A" w:rsidRDefault="006671E8" w:rsidP="006671E8">
      <w:pPr>
        <w:pStyle w:val="EndnoteText"/>
      </w:pPr>
      <w:hyperlink r:id="rId28" w:anchor=":~:text=Bone%20problems%2C%20such%20as%20joint,late%20effects%20of%20cancer%20treatment" w:history="1">
        <w:r w:rsidRPr="00E976FC">
          <w:rPr>
            <w:rStyle w:val="Hyperlink"/>
          </w:rPr>
          <w:t>https://www.mayoclinic.org/diseases-conditions/cancer/in-depth/cancer-survivor/art-20045524#:~:text=Bone%20problems%2C%20such%20as%20joint,late%20effects%20of%20cancer%20treatment</w:t>
        </w:r>
      </w:hyperlink>
      <w:r w:rsidRPr="00EB1C3A">
        <w:t xml:space="preserve">. </w:t>
      </w:r>
    </w:p>
  </w:endnote>
  <w:endnote w:id="18">
    <w:p w14:paraId="11F2B6D3" w14:textId="77777777" w:rsidR="006671E8" w:rsidRPr="00EB1C3A" w:rsidRDefault="006671E8" w:rsidP="006671E8">
      <w:pPr>
        <w:pStyle w:val="EndnoteText"/>
        <w:contextualSpacing/>
      </w:pPr>
      <w:r w:rsidRPr="00EB1C3A">
        <w:rPr>
          <w:rStyle w:val="EndnoteReference"/>
        </w:rPr>
        <w:endnoteRef/>
      </w:r>
      <w:r w:rsidRPr="00EB1C3A">
        <w:t xml:space="preserve"> Laila König et al., </w:t>
      </w:r>
      <w:hyperlink r:id="rId29" w:history="1">
        <w:r w:rsidRPr="00EB1C3A">
          <w:rPr>
            <w:rStyle w:val="Hyperlink"/>
            <w:i/>
            <w:iCs/>
            <w:color w:val="000000" w:themeColor="text1"/>
          </w:rPr>
          <w:t>Secondary Malignancy Risk Following Proton vs. X-ray Treatment of Mediastinal Malignant Lymphoma: A Comparative Modeling Study of Thoracic Organ-Specific Cancer Risk</w:t>
        </w:r>
      </w:hyperlink>
      <w:r w:rsidRPr="00EB1C3A">
        <w:rPr>
          <w:color w:val="000000" w:themeColor="text1"/>
        </w:rPr>
        <w:t xml:space="preserve">, 10 </w:t>
      </w:r>
      <w:r w:rsidRPr="00EB1C3A">
        <w:rPr>
          <w:rStyle w:val="SubtleReference"/>
        </w:rPr>
        <w:t>Frontiers in Oncology</w:t>
      </w:r>
      <w:r w:rsidRPr="00EB1C3A">
        <w:t xml:space="preserve"> 1, 1-9 (2020) </w:t>
      </w:r>
      <w:hyperlink r:id="rId30" w:history="1">
        <w:r w:rsidRPr="00EB1C3A">
          <w:rPr>
            <w:rStyle w:val="Hyperlink"/>
          </w:rPr>
          <w:t>https://pmc.ncbi.nlm.nih.gov/articles/PMC7358352/</w:t>
        </w:r>
      </w:hyperlink>
      <w:r w:rsidRPr="00EB1C3A">
        <w:t xml:space="preserve">. </w:t>
      </w:r>
    </w:p>
  </w:endnote>
  <w:endnote w:id="19">
    <w:p w14:paraId="275C6CC2" w14:textId="77777777" w:rsidR="006671E8" w:rsidRPr="00EB1C3A" w:rsidRDefault="006671E8" w:rsidP="006671E8">
      <w:pPr>
        <w:pStyle w:val="EndnoteText"/>
      </w:pPr>
      <w:r w:rsidRPr="00EB1C3A">
        <w:rPr>
          <w:rStyle w:val="EndnoteReference"/>
        </w:rPr>
        <w:endnoteRef/>
      </w:r>
      <w:r w:rsidRPr="00EB1C3A">
        <w:t xml:space="preserve"> Chen YH, Molenaar D, Uyl-de Groot CA, van Vulpen M, Blommestein HM. Medical Resource Use and Medical Costs for Radiotherapy-Related Adverse Effects: A Systematic Review. Cancers (Basel). 2022 May 16;14(10):2444. doi: 10.3390/cancers14102444. PMID: 35626049; PMCID: PMC9139402.</w:t>
      </w:r>
    </w:p>
  </w:endnote>
  <w:endnote w:id="20">
    <w:p w14:paraId="1FC5197B" w14:textId="2A1680E6" w:rsidR="006671E8" w:rsidRDefault="006671E8" w:rsidP="006671E8">
      <w:pPr>
        <w:pStyle w:val="EndnoteText"/>
      </w:pPr>
      <w:r>
        <w:rPr>
          <w:rStyle w:val="EndnoteReference"/>
        </w:rPr>
        <w:endnoteRef/>
      </w:r>
      <w:r>
        <w:t xml:space="preserve"> </w:t>
      </w:r>
      <w:hyperlink r:id="rId31" w:history="1">
        <w:r w:rsidRPr="00BC5C35">
          <w:rPr>
            <w:rStyle w:val="Hyperlink"/>
            <w:color w:val="auto"/>
            <w:u w:val="none"/>
          </w:rPr>
          <w:t>American Cancer Society. Proton Therapy.</w:t>
        </w:r>
      </w:hyperlink>
      <w:r w:rsidRPr="00BC5C35">
        <w:t xml:space="preserve"> </w:t>
      </w:r>
    </w:p>
    <w:p w14:paraId="676F56B4" w14:textId="77777777" w:rsidR="006671E8" w:rsidRDefault="006671E8" w:rsidP="006671E8">
      <w:pPr>
        <w:pStyle w:val="EndnoteText"/>
      </w:pPr>
      <w:hyperlink r:id="rId32" w:history="1">
        <w:r w:rsidRPr="00E433AF">
          <w:rPr>
            <w:rStyle w:val="Hyperlink"/>
          </w:rPr>
          <w:t>https://www.cancer.org/cancer/managing-cancer/treatment-types/radiation/proton-therapy.html</w:t>
        </w:r>
      </w:hyperlink>
      <w:r>
        <w:t xml:space="preserve"> </w:t>
      </w:r>
    </w:p>
  </w:endnote>
  <w:endnote w:id="21">
    <w:p w14:paraId="355E1B1F" w14:textId="53006FEC" w:rsidR="006671E8" w:rsidRDefault="006671E8" w:rsidP="006671E8">
      <w:pPr>
        <w:pStyle w:val="EndnoteText"/>
      </w:pPr>
      <w:r>
        <w:rPr>
          <w:rStyle w:val="EndnoteReference"/>
        </w:rPr>
        <w:endnoteRef/>
      </w:r>
      <w:r>
        <w:t xml:space="preserve"> City of Hope. </w:t>
      </w:r>
      <w:hyperlink r:id="rId33" w:history="1">
        <w:r w:rsidRPr="00BC5C35">
          <w:rPr>
            <w:rStyle w:val="Hyperlink"/>
            <w:color w:val="auto"/>
            <w:u w:val="none"/>
          </w:rPr>
          <w:t>What’s the difference? Photon and proton radiation therapy</w:t>
        </w:r>
      </w:hyperlink>
      <w:r w:rsidRPr="00BC5C35">
        <w:t xml:space="preserve">. </w:t>
      </w:r>
      <w:r>
        <w:t xml:space="preserve">December 15, 2021. </w:t>
      </w:r>
    </w:p>
    <w:p w14:paraId="76434508" w14:textId="77777777" w:rsidR="006671E8" w:rsidRDefault="006671E8" w:rsidP="006671E8">
      <w:pPr>
        <w:pStyle w:val="EndnoteText"/>
      </w:pPr>
      <w:hyperlink r:id="rId34" w:history="1">
        <w:r w:rsidRPr="00E433AF">
          <w:rPr>
            <w:rStyle w:val="Hyperlink"/>
          </w:rPr>
          <w:t>https://www.cancercenter.com/community/blog/2021/12/whats-the-difference-proton-photon-therapy</w:t>
        </w:r>
      </w:hyperlink>
      <w:r>
        <w:t xml:space="preserve"> </w:t>
      </w:r>
    </w:p>
  </w:endnote>
  <w:endnote w:id="22">
    <w:p w14:paraId="42E10972" w14:textId="4DBB8B00" w:rsidR="006671E8" w:rsidRPr="00BC5C35" w:rsidRDefault="006671E8" w:rsidP="006671E8">
      <w:pPr>
        <w:pStyle w:val="EndnoteText"/>
      </w:pPr>
      <w:r>
        <w:rPr>
          <w:rStyle w:val="EndnoteReference"/>
        </w:rPr>
        <w:endnoteRef/>
      </w:r>
      <w:hyperlink r:id="rId35" w:history="1">
        <w:r w:rsidRPr="00BC5C35">
          <w:rPr>
            <w:rStyle w:val="Hyperlink"/>
            <w:color w:val="auto"/>
            <w:u w:val="none"/>
          </w:rPr>
          <w:t xml:space="preserve">RadiologyInfo.org. Proton Therapy. </w:t>
        </w:r>
      </w:hyperlink>
      <w:r w:rsidRPr="00BC5C35">
        <w:t xml:space="preserve"> </w:t>
      </w:r>
    </w:p>
    <w:p w14:paraId="4E34262B" w14:textId="77777777" w:rsidR="006671E8" w:rsidRDefault="006671E8" w:rsidP="006671E8">
      <w:pPr>
        <w:pStyle w:val="EndnoteText"/>
      </w:pPr>
      <w:hyperlink r:id="rId36" w:history="1">
        <w:r w:rsidRPr="00E433AF">
          <w:rPr>
            <w:rStyle w:val="Hyperlink"/>
          </w:rPr>
          <w:t>https://www.radiologyinfo.org/en/info/protonthera</w:t>
        </w:r>
      </w:hyperlink>
      <w:r>
        <w:t xml:space="preserve"> </w:t>
      </w:r>
    </w:p>
  </w:endnote>
  <w:endnote w:id="23">
    <w:p w14:paraId="41A90B99" w14:textId="77777777" w:rsidR="006671E8" w:rsidRPr="00C66102" w:rsidRDefault="006671E8" w:rsidP="006671E8">
      <w:pPr>
        <w:pStyle w:val="EndnoteText"/>
        <w:contextualSpacing/>
        <w:rPr>
          <w:rFonts w:asciiTheme="minorHAnsi" w:hAnsiTheme="minorHAnsi"/>
        </w:rPr>
      </w:pPr>
      <w:r w:rsidRPr="00C66102">
        <w:rPr>
          <w:rStyle w:val="EndnoteReference"/>
          <w:rFonts w:asciiTheme="minorHAnsi" w:hAnsiTheme="minorHAnsi"/>
        </w:rPr>
        <w:endnoteRef/>
      </w:r>
      <w:r w:rsidRPr="00C66102">
        <w:rPr>
          <w:rFonts w:asciiTheme="minorHAnsi" w:hAnsiTheme="minorHAnsi"/>
        </w:rPr>
        <w:t xml:space="preserve"> Bree R. Eaton et al., </w:t>
      </w:r>
      <w:r w:rsidRPr="00C66102">
        <w:rPr>
          <w:rFonts w:asciiTheme="minorHAnsi" w:hAnsiTheme="minorHAnsi"/>
          <w:i/>
          <w:iCs/>
        </w:rPr>
        <w:t>Secondary Malignancy Risk Following Proton Radiation Therapy</w:t>
      </w:r>
      <w:r w:rsidRPr="00C66102">
        <w:rPr>
          <w:rFonts w:asciiTheme="minorHAnsi" w:hAnsiTheme="minorHAnsi"/>
        </w:rPr>
        <w:t xml:space="preserve">, 5 </w:t>
      </w:r>
      <w:r w:rsidRPr="00C66102">
        <w:rPr>
          <w:rStyle w:val="SubtleReference"/>
          <w:rFonts w:asciiTheme="minorHAnsi" w:hAnsiTheme="minorHAnsi"/>
        </w:rPr>
        <w:t>Frontiers in Oncology</w:t>
      </w:r>
      <w:r w:rsidRPr="00C66102">
        <w:rPr>
          <w:rFonts w:asciiTheme="minorHAnsi" w:hAnsiTheme="minorHAnsi"/>
        </w:rPr>
        <w:t xml:space="preserve"> 1, 1-6 (2015).</w:t>
      </w:r>
    </w:p>
  </w:endnote>
  <w:endnote w:id="24">
    <w:p w14:paraId="0D2ECD78" w14:textId="77777777" w:rsidR="006671E8" w:rsidRPr="00EB1C3A" w:rsidRDefault="006671E8" w:rsidP="006671E8">
      <w:pPr>
        <w:pStyle w:val="EndnoteText"/>
      </w:pPr>
      <w:r w:rsidRPr="00C66102">
        <w:rPr>
          <w:rStyle w:val="EndnoteReference"/>
          <w:rFonts w:asciiTheme="minorHAnsi" w:hAnsiTheme="minorHAnsi"/>
        </w:rPr>
        <w:endnoteRef/>
      </w:r>
      <w:r w:rsidRPr="00C66102">
        <w:rPr>
          <w:rFonts w:asciiTheme="minorHAnsi" w:hAnsiTheme="minorHAnsi"/>
        </w:rPr>
        <w:t xml:space="preserve"> Levin et al., </w:t>
      </w:r>
      <w:r w:rsidRPr="00C66102">
        <w:rPr>
          <w:rFonts w:asciiTheme="minorHAnsi" w:hAnsiTheme="minorHAnsi"/>
          <w:i/>
          <w:iCs/>
        </w:rPr>
        <w:t>supra</w:t>
      </w:r>
      <w:r w:rsidRPr="00C66102">
        <w:rPr>
          <w:rFonts w:asciiTheme="minorHAnsi" w:hAnsiTheme="minorHAnsi"/>
        </w:rPr>
        <w:t xml:space="preserve"> note e ; Katja Langen &amp; Minesh Mehta, </w:t>
      </w:r>
      <w:hyperlink r:id="rId37" w:history="1">
        <w:r w:rsidRPr="00C66102">
          <w:rPr>
            <w:rStyle w:val="Hyperlink"/>
            <w:rFonts w:asciiTheme="minorHAnsi" w:hAnsiTheme="minorHAnsi"/>
            <w:i/>
            <w:iCs/>
            <w:color w:val="000000" w:themeColor="text1"/>
          </w:rPr>
          <w:t>Proton Beam Therapy Basics</w:t>
        </w:r>
        <w:r w:rsidRPr="00C66102">
          <w:rPr>
            <w:rStyle w:val="Hyperlink"/>
            <w:rFonts w:asciiTheme="minorHAnsi" w:hAnsiTheme="minorHAnsi"/>
            <w:color w:val="000000" w:themeColor="text1"/>
          </w:rPr>
          <w:t>,</w:t>
        </w:r>
      </w:hyperlink>
      <w:r w:rsidRPr="00C66102">
        <w:rPr>
          <w:rFonts w:asciiTheme="minorHAnsi" w:hAnsiTheme="minorHAnsi"/>
          <w:color w:val="000000" w:themeColor="text1"/>
        </w:rPr>
        <w:t xml:space="preserve"> 12 </w:t>
      </w:r>
      <w:r w:rsidRPr="00C66102">
        <w:rPr>
          <w:rFonts w:asciiTheme="minorHAnsi" w:hAnsiTheme="minorHAnsi"/>
          <w:smallCaps/>
          <w:color w:val="000000" w:themeColor="text1"/>
        </w:rPr>
        <w:t xml:space="preserve">J </w:t>
      </w:r>
      <w:r w:rsidRPr="00C66102">
        <w:rPr>
          <w:rFonts w:asciiTheme="minorHAnsi" w:hAnsiTheme="minorHAnsi"/>
          <w:smallCaps/>
        </w:rPr>
        <w:t>of the Am. Coll. Of Radiology</w:t>
      </w:r>
      <w:r w:rsidRPr="00C66102">
        <w:rPr>
          <w:rFonts w:asciiTheme="minorHAnsi" w:hAnsiTheme="minorHAnsi"/>
        </w:rPr>
        <w:t xml:space="preserve"> 1204, 1204-06 (2015), </w:t>
      </w:r>
      <w:hyperlink r:id="rId38" w:history="1">
        <w:r w:rsidRPr="00C66102">
          <w:rPr>
            <w:rStyle w:val="Hyperlink"/>
            <w:rFonts w:asciiTheme="minorHAnsi" w:hAnsiTheme="minorHAnsi"/>
          </w:rPr>
          <w:t>https://www.sciencedirect.com/science/article/abs/pii/S1546144015008066</w:t>
        </w:r>
      </w:hyperlink>
      <w:r w:rsidRPr="00EB1C3A">
        <w:t xml:space="preserve"> </w:t>
      </w:r>
    </w:p>
  </w:endnote>
  <w:endnote w:id="25">
    <w:p w14:paraId="578D22C0" w14:textId="32EB8C71" w:rsidR="006671E8" w:rsidRPr="00EB1C3A" w:rsidRDefault="006671E8" w:rsidP="006671E8">
      <w:pPr>
        <w:rPr>
          <w:color w:val="000000"/>
          <w:sz w:val="20"/>
        </w:rPr>
      </w:pPr>
      <w:r w:rsidRPr="00EB1C3A">
        <w:rPr>
          <w:rStyle w:val="EndnoteReference"/>
          <w:sz w:val="20"/>
        </w:rPr>
        <w:endnoteRef/>
      </w:r>
      <w:r w:rsidRPr="00EB1C3A">
        <w:rPr>
          <w:i/>
          <w:iCs/>
          <w:sz w:val="20"/>
        </w:rPr>
        <w:t xml:space="preserve"> </w:t>
      </w:r>
      <w:hyperlink r:id="rId39" w:history="1">
        <w:r w:rsidRPr="00EB1C3A">
          <w:rPr>
            <w:rStyle w:val="Hyperlink"/>
            <w:i/>
            <w:iCs/>
            <w:color w:val="000000" w:themeColor="text1"/>
            <w:sz w:val="20"/>
          </w:rPr>
          <w:t>NCCN Clinical Practice Guidelines in Oncology (NCCN Guidelines)</w:t>
        </w:r>
        <w:r w:rsidRPr="00EB1C3A">
          <w:rPr>
            <w:rStyle w:val="Hyperlink"/>
            <w:color w:val="000000" w:themeColor="text1"/>
            <w:sz w:val="20"/>
          </w:rPr>
          <w:t>,</w:t>
        </w:r>
      </w:hyperlink>
      <w:r w:rsidRPr="00EB1C3A">
        <w:rPr>
          <w:rStyle w:val="Strong"/>
          <w:color w:val="000000" w:themeColor="text1"/>
          <w:sz w:val="20"/>
        </w:rPr>
        <w:t xml:space="preserve"> </w:t>
      </w:r>
      <w:r w:rsidRPr="00EB1C3A">
        <w:rPr>
          <w:rStyle w:val="SubtleReference"/>
          <w:color w:val="000000" w:themeColor="text1"/>
          <w:sz w:val="20"/>
        </w:rPr>
        <w:t xml:space="preserve">National </w:t>
      </w:r>
      <w:r w:rsidRPr="00EB1C3A">
        <w:rPr>
          <w:rStyle w:val="SubtleReference"/>
          <w:sz w:val="20"/>
        </w:rPr>
        <w:t>Comprehensive Cancer Network</w:t>
      </w:r>
      <w:r w:rsidRPr="00EB1C3A">
        <w:rPr>
          <w:rStyle w:val="Strong"/>
          <w:color w:val="000000"/>
          <w:sz w:val="20"/>
        </w:rPr>
        <w:t xml:space="preserve">, </w:t>
      </w:r>
      <w:hyperlink r:id="rId40" w:tgtFrame="_blank" w:history="1">
        <w:r w:rsidRPr="00EB1C3A">
          <w:rPr>
            <w:rStyle w:val="Hyperlink"/>
            <w:color w:val="96607D"/>
            <w:sz w:val="20"/>
          </w:rPr>
          <w:t>https://www.nccn.org/guidelines</w:t>
        </w:r>
      </w:hyperlink>
      <w:r w:rsidR="00AB7AFD">
        <w:rPr>
          <w:sz w:val="20"/>
        </w:rPr>
        <w:t>.</w:t>
      </w:r>
    </w:p>
  </w:endnote>
  <w:endnote w:id="26">
    <w:p w14:paraId="4B61B394" w14:textId="5B071DE5" w:rsidR="00424B43" w:rsidRDefault="00424B43">
      <w:pPr>
        <w:pStyle w:val="EndnoteText"/>
      </w:pPr>
      <w:r>
        <w:rPr>
          <w:rStyle w:val="EndnoteReference"/>
        </w:rPr>
        <w:endnoteRef/>
      </w:r>
      <w:r>
        <w:t xml:space="preserve"> </w:t>
      </w:r>
      <w:hyperlink r:id="rId41" w:history="1">
        <w:r w:rsidR="00AB061A" w:rsidRPr="00FE363D">
          <w:rPr>
            <w:rStyle w:val="Hyperlink"/>
            <w:color w:val="auto"/>
            <w:u w:val="none"/>
          </w:rPr>
          <w:t>National Comprehensive Cancer Network. Member Institutions</w:t>
        </w:r>
      </w:hyperlink>
      <w:r w:rsidR="00AB061A" w:rsidRPr="00FE363D">
        <w:t xml:space="preserve">. </w:t>
      </w:r>
      <w:hyperlink r:id="rId42" w:history="1">
        <w:r w:rsidR="0068574F" w:rsidRPr="00185C4D">
          <w:rPr>
            <w:rStyle w:val="Hyperlink"/>
          </w:rPr>
          <w:t>https://www.nccn.org/home/member-institutions</w:t>
        </w:r>
      </w:hyperlink>
      <w:r w:rsidR="0068574F">
        <w:t xml:space="preserve"> </w:t>
      </w:r>
    </w:p>
  </w:endnote>
  <w:endnote w:id="27">
    <w:p w14:paraId="1BC9295B" w14:textId="679D4E94" w:rsidR="008D2571" w:rsidRDefault="00913EA1">
      <w:pPr>
        <w:pStyle w:val="EndnoteText"/>
      </w:pPr>
      <w:r>
        <w:rPr>
          <w:rStyle w:val="EndnoteReference"/>
        </w:rPr>
        <w:endnoteRef/>
      </w:r>
      <w:r>
        <w:t xml:space="preserve"> </w:t>
      </w:r>
      <w:hyperlink r:id="rId43" w:history="1">
        <w:r w:rsidR="00764313" w:rsidRPr="00FE363D">
          <w:rPr>
            <w:rStyle w:val="Hyperlink"/>
            <w:color w:val="auto"/>
            <w:u w:val="none"/>
          </w:rPr>
          <w:t>Dana-Farber Cancer Institute. Accreditations and Certifications.</w:t>
        </w:r>
      </w:hyperlink>
      <w:r w:rsidR="00764313" w:rsidRPr="00FE363D">
        <w:t xml:space="preserve"> </w:t>
      </w:r>
    </w:p>
    <w:p w14:paraId="72DE4C7A" w14:textId="79AA77F7" w:rsidR="00913EA1" w:rsidRDefault="00D0673B">
      <w:pPr>
        <w:pStyle w:val="EndnoteText"/>
      </w:pPr>
      <w:hyperlink r:id="rId44" w:history="1">
        <w:r w:rsidRPr="00D0673B">
          <w:rPr>
            <w:rStyle w:val="Hyperlink"/>
          </w:rPr>
          <w:t>https://www.dana-farber.org/about/quality-safety/measure/accreditations-certifications</w:t>
        </w:r>
      </w:hyperlink>
      <w:r w:rsidR="008D2571">
        <w:t xml:space="preserve"> </w:t>
      </w:r>
    </w:p>
  </w:endnote>
  <w:endnote w:id="28">
    <w:p w14:paraId="77974F38" w14:textId="4C80D8BC" w:rsidR="00977494" w:rsidRDefault="00977494" w:rsidP="00977494">
      <w:pPr>
        <w:pStyle w:val="EndnoteText"/>
      </w:pPr>
      <w:r>
        <w:rPr>
          <w:rStyle w:val="EndnoteReference"/>
        </w:rPr>
        <w:endnoteRef/>
      </w:r>
      <w:r>
        <w:t xml:space="preserve"> Mass General Brigham Cancer Institute. </w:t>
      </w:r>
      <w:hyperlink r:id="rId45" w:history="1">
        <w:r w:rsidRPr="00FE363D">
          <w:rPr>
            <w:rStyle w:val="Hyperlink"/>
            <w:color w:val="auto"/>
            <w:u w:val="none"/>
          </w:rPr>
          <w:t>Two Proton Therapy Treatment Centers, One Expert Team.</w:t>
        </w:r>
      </w:hyperlink>
      <w:r w:rsidRPr="00FE363D">
        <w:t xml:space="preserve"> </w:t>
      </w:r>
      <w:hyperlink r:id="rId46" w:history="1">
        <w:r w:rsidRPr="008D4D4A">
          <w:rPr>
            <w:rStyle w:val="Hyperlink"/>
          </w:rPr>
          <w:t>https://www.massgeneral.org/cancer-center/radiation-oncology/treatments-and-services/proton-therapy</w:t>
        </w:r>
      </w:hyperlink>
      <w:r>
        <w:t xml:space="preserve"> </w:t>
      </w:r>
    </w:p>
  </w:endnote>
  <w:endnote w:id="29">
    <w:p w14:paraId="03173B1F" w14:textId="77777777" w:rsidR="00592E56" w:rsidRDefault="00592E56" w:rsidP="00592E56">
      <w:pPr>
        <w:pStyle w:val="EndnoteText"/>
      </w:pPr>
      <w:r>
        <w:rPr>
          <w:rStyle w:val="EndnoteReference"/>
        </w:rPr>
        <w:endnoteRef/>
      </w:r>
      <w:r>
        <w:t xml:space="preserve"> </w:t>
      </w:r>
      <w:r w:rsidRPr="003136E4">
        <w:t>Turcas A, Homorozeanu B, Gheara C, Balan C, Cosnarovici R, Diaconu O, Fekete Z, Mihut E, Olteanu D, Pruteanu P, Tipcu A, Turcas A, Cernea D, Leucuta D, Achimas-Cadariu P. Dynamics and predictors of hematologic toxicity during cranio-spinal irradiation. Rep Pract Oncol Radiother. 2024 Jul 22;29(3):362-372. doi: 10.5603/rpor.101094. PMID: 39144265; PMCID: PMC11321791.</w:t>
      </w:r>
    </w:p>
  </w:endnote>
  <w:endnote w:id="30">
    <w:p w14:paraId="6CED5B0B" w14:textId="20FF00CF" w:rsidR="00C9721F" w:rsidRDefault="00C9721F" w:rsidP="00C9721F">
      <w:pPr>
        <w:pStyle w:val="EndnoteText"/>
      </w:pPr>
      <w:r>
        <w:rPr>
          <w:rStyle w:val="EndnoteReference"/>
        </w:rPr>
        <w:endnoteRef/>
      </w:r>
      <w:r>
        <w:t xml:space="preserve"> World Health Organization. </w:t>
      </w:r>
      <w:hyperlink r:id="rId47" w:history="1">
        <w:r w:rsidRPr="00FE363D">
          <w:rPr>
            <w:rStyle w:val="Hyperlink"/>
            <w:color w:val="auto"/>
            <w:u w:val="none"/>
          </w:rPr>
          <w:t>New WHO/IAEA publication provides guidance on radiotherapy equipment to fight cancer.</w:t>
        </w:r>
      </w:hyperlink>
      <w:r w:rsidRPr="00FE363D">
        <w:t xml:space="preserve"> </w:t>
      </w:r>
      <w:r>
        <w:t xml:space="preserve">March 5, 2021. </w:t>
      </w:r>
    </w:p>
    <w:p w14:paraId="68CAA649" w14:textId="77777777" w:rsidR="00C9721F" w:rsidRDefault="00C9721F" w:rsidP="00C9721F">
      <w:pPr>
        <w:pStyle w:val="EndnoteText"/>
      </w:pPr>
      <w:hyperlink r:id="rId48" w:history="1">
        <w:r w:rsidRPr="000C0773">
          <w:rPr>
            <w:rStyle w:val="Hyperlink"/>
          </w:rPr>
          <w:t>https://www.who.int/news/item/05-03-2021-new-who-iaea-publication-provides-guidance-on-radiotherapy-equipment-to-fight-cancer</w:t>
        </w:r>
      </w:hyperlink>
      <w:r>
        <w:t xml:space="preserve"> </w:t>
      </w:r>
    </w:p>
  </w:endnote>
  <w:endnote w:id="31">
    <w:p w14:paraId="415A30EF" w14:textId="77777777" w:rsidR="00C9721F" w:rsidRDefault="00C9721F" w:rsidP="00C9721F">
      <w:pPr>
        <w:pStyle w:val="EndnoteText"/>
      </w:pPr>
      <w:r>
        <w:rPr>
          <w:rStyle w:val="EndnoteReference"/>
        </w:rPr>
        <w:endnoteRef/>
      </w:r>
      <w:r>
        <w:t xml:space="preserve"> </w:t>
      </w:r>
      <w:r w:rsidRPr="00E004E3">
        <w:t>Glimelius B, Ask A, Bjelkengren G, Björk-Eriksson T, Blomquist E, Johansson B, Karlsson M, Zackrisson B. Number of patients potentially eligible for proton therapy. Acta Oncol. 2005;44(8):836-49. doi: 10.1080/02841860500361049. PMID: 16332591.</w:t>
      </w:r>
    </w:p>
  </w:endnote>
  <w:endnote w:id="32">
    <w:p w14:paraId="46E7F663" w14:textId="77777777" w:rsidR="00DF65A9" w:rsidRDefault="00DF65A9" w:rsidP="00DF65A9">
      <w:pPr>
        <w:pStyle w:val="EndnoteText"/>
      </w:pPr>
      <w:r>
        <w:rPr>
          <w:rStyle w:val="EndnoteReference"/>
        </w:rPr>
        <w:endnoteRef/>
      </w:r>
      <w:r>
        <w:t xml:space="preserve"> </w:t>
      </w:r>
      <w:r w:rsidRPr="006B5CA2">
        <w:t>Burus T, VanHelene AD, Rooney MK, Lang Kuhs KA, Christian WJ, McNair C, Mishra S, Paulino AC, Smith GL, Frank SJ, Warner JL. Travel-Time Disparities in Access to Proton Beam Therapy for Cancer Treatment. JAMA Netw Open. 2024 May 1;7(5):e2410670. doi: 10.1001/jamanetworkopen.2024.10670. PMID: 38758559; PMCID: PMC11102024.</w:t>
      </w:r>
    </w:p>
  </w:endnote>
  <w:endnote w:id="33">
    <w:p w14:paraId="4BE40975" w14:textId="77777777" w:rsidR="00DF65A9" w:rsidRDefault="00DF65A9" w:rsidP="00DF65A9">
      <w:pPr>
        <w:pStyle w:val="EndnoteText"/>
      </w:pPr>
      <w:r>
        <w:rPr>
          <w:rStyle w:val="EndnoteReference"/>
        </w:rPr>
        <w:endnoteRef/>
      </w:r>
      <w:r>
        <w:t xml:space="preserve"> </w:t>
      </w:r>
      <w:r w:rsidRPr="006B5CA2">
        <w:t>Burus T, VanHelene AD, Rooney MK, Lang Kuhs KA, Christian WJ, McNair C, Mishra S, Paulino AC, Smith GL, Frank SJ, Warner JL. Travel-Time Disparities in Access to Proton Beam Therapy for Cancer Treatment. JAMA Netw Open. 2024 May 1;7(5):e2410670. doi: 10.1001/jamanetworkopen.2024.10670. PMID: 38758559; PMCID: PMC11102024.</w:t>
      </w:r>
    </w:p>
  </w:endnote>
  <w:endnote w:id="34">
    <w:p w14:paraId="064BB103" w14:textId="77777777" w:rsidR="00DF65A9" w:rsidRDefault="00DF65A9" w:rsidP="00DF65A9">
      <w:pPr>
        <w:pStyle w:val="EndnoteText"/>
      </w:pPr>
      <w:r>
        <w:rPr>
          <w:rStyle w:val="EndnoteReference"/>
        </w:rPr>
        <w:endnoteRef/>
      </w:r>
      <w:r>
        <w:t xml:space="preserve"> </w:t>
      </w:r>
      <w:r w:rsidRPr="006B5CA2">
        <w:t>Burus T, VanHelene AD, Rooney MK, Lang Kuhs KA, Christian WJ, McNair C, Mishra S, Paulino AC, Smith GL, Frank SJ, Warner JL. Travel-Time Disparities in Access to Proton Beam Therapy for Cancer Treatment. JAMA Netw Open. 2024 May 1;7(5):e2410670. doi: 10.1001/jamanetworkopen.2024.10670. PMID: 38758559; PMCID: PMC11102024.</w:t>
      </w:r>
    </w:p>
  </w:endnote>
  <w:endnote w:id="35">
    <w:p w14:paraId="779CDE06" w14:textId="6DF900AE" w:rsidR="00B02DC3" w:rsidRDefault="00B02DC3">
      <w:pPr>
        <w:pStyle w:val="EndnoteText"/>
      </w:pPr>
      <w:r>
        <w:rPr>
          <w:rStyle w:val="EndnoteReference"/>
        </w:rPr>
        <w:endnoteRef/>
      </w:r>
      <w:r>
        <w:t xml:space="preserve"> </w:t>
      </w:r>
      <w:hyperlink r:id="rId49" w:history="1">
        <w:r w:rsidR="003D714D" w:rsidRPr="00A75F97">
          <w:rPr>
            <w:rStyle w:val="Hyperlink"/>
            <w:color w:val="auto"/>
            <w:u w:val="none"/>
          </w:rPr>
          <w:t>Center’s for Medicare and Medicaid Services (CMS). Local Coverage Determination (LCD)</w:t>
        </w:r>
        <w:r w:rsidR="00F030EC" w:rsidRPr="00A75F97">
          <w:rPr>
            <w:rStyle w:val="Hyperlink"/>
            <w:color w:val="auto"/>
            <w:u w:val="none"/>
          </w:rPr>
          <w:t>.</w:t>
        </w:r>
      </w:hyperlink>
      <w:r w:rsidR="00F030EC" w:rsidRPr="00A75F97">
        <w:t xml:space="preserve"> </w:t>
      </w:r>
      <w:r w:rsidR="003D714D" w:rsidRPr="00A75F97">
        <w:t xml:space="preserve">Proton </w:t>
      </w:r>
      <w:r w:rsidR="003D714D" w:rsidRPr="003D714D">
        <w:t xml:space="preserve">Beam </w:t>
      </w:r>
      <w:r w:rsidR="007A2455">
        <w:t>Therapy.</w:t>
      </w:r>
      <w:r w:rsidR="00F030EC">
        <w:t xml:space="preserve"> </w:t>
      </w:r>
    </w:p>
    <w:p w14:paraId="0408AC90" w14:textId="341EDF0B" w:rsidR="00B02DC3" w:rsidRPr="003D714D" w:rsidRDefault="003A16D4">
      <w:pPr>
        <w:pStyle w:val="EndnoteText"/>
      </w:pPr>
      <w:hyperlink r:id="rId50" w:history="1">
        <w:r w:rsidRPr="0024641F">
          <w:rPr>
            <w:rStyle w:val="Hyperlink"/>
          </w:rPr>
          <w:t>https://www.cms.gov/medicare-coverage-database/view/lcd.aspx?lcdid=35075&amp;ver=34&amp;keywordtype=starts&amp;keyword=proton&amp;bc=0</w:t>
        </w:r>
      </w:hyperlink>
      <w:r>
        <w:t xml:space="preserve"> </w:t>
      </w:r>
    </w:p>
  </w:endnote>
  <w:endnote w:id="36">
    <w:p w14:paraId="719D95CE" w14:textId="48D622FB" w:rsidR="006D4424" w:rsidRDefault="006D4424">
      <w:pPr>
        <w:pStyle w:val="EndnoteText"/>
      </w:pPr>
      <w:r>
        <w:rPr>
          <w:rStyle w:val="EndnoteReference"/>
        </w:rPr>
        <w:endnoteRef/>
      </w:r>
      <w:r>
        <w:t xml:space="preserve"> </w:t>
      </w:r>
      <w:hyperlink r:id="rId51" w:anchor=":~:text=Medicare%20coverage%20is%20limited%20to,Security%20Act%20(the%20Act)" w:history="1">
        <w:r w:rsidR="00287D8D" w:rsidRPr="00A75F97">
          <w:rPr>
            <w:rStyle w:val="Hyperlink"/>
            <w:color w:val="auto"/>
            <w:u w:val="none"/>
          </w:rPr>
          <w:t>Centers for Medicare and Medicaid Services. Medicare Coverage Determination Process.</w:t>
        </w:r>
      </w:hyperlink>
      <w:r w:rsidR="00287D8D" w:rsidRPr="00A75F97">
        <w:t xml:space="preserve"> </w:t>
      </w:r>
      <w:hyperlink r:id="rId52" w:anchor=":~:text=Medicare%20coverage%20is%20limited%20to,Security%20Act%20(the%20Act)" w:history="1">
        <w:r w:rsidR="00287D8D" w:rsidRPr="004E619C">
          <w:rPr>
            <w:rStyle w:val="Hyperlink"/>
          </w:rPr>
          <w:t>https://www.cms.gov/medicare/coverage/determination-process#:~:text=Medicare%20coverage%20is%20limited%20to,Security%20Act%20(the%20Act)</w:t>
        </w:r>
      </w:hyperlink>
      <w:r w:rsidR="00287D8D">
        <w:t xml:space="preserve"> </w:t>
      </w:r>
    </w:p>
  </w:endnote>
  <w:endnote w:id="37">
    <w:p w14:paraId="25B6FD3B" w14:textId="39FF8B71" w:rsidR="00063275" w:rsidRDefault="00063275">
      <w:pPr>
        <w:pStyle w:val="EndnoteText"/>
      </w:pPr>
      <w:r>
        <w:rPr>
          <w:rStyle w:val="EndnoteReference"/>
        </w:rPr>
        <w:endnoteRef/>
      </w:r>
      <w:r>
        <w:t xml:space="preserve"> </w:t>
      </w:r>
      <w:hyperlink r:id="rId53" w:anchor=":~:text=The%20Centers%20for%20Medicare%20&amp;%20Medicaid,an%20illness%20or%20other%20condition." w:history="1">
        <w:r w:rsidRPr="00A75F97">
          <w:rPr>
            <w:rStyle w:val="Hyperlink"/>
            <w:color w:val="auto"/>
            <w:u w:val="none"/>
          </w:rPr>
          <w:t xml:space="preserve">United States Government Accountability Office (GAO). Report to Congressional Requesters. </w:t>
        </w:r>
        <w:r w:rsidR="00BE2E01" w:rsidRPr="00A75F97">
          <w:rPr>
            <w:rStyle w:val="Hyperlink"/>
            <w:color w:val="auto"/>
            <w:u w:val="none"/>
          </w:rPr>
          <w:t>Medicare: National Coverage Determinations Are Generally Timely, but Improvements Are Needed.</w:t>
        </w:r>
      </w:hyperlink>
      <w:r w:rsidR="00BE2E01" w:rsidRPr="00A75F97">
        <w:t xml:space="preserve"> Sep </w:t>
      </w:r>
      <w:r w:rsidR="00BE2E01" w:rsidRPr="00BE2E01">
        <w:t>09, 2025</w:t>
      </w:r>
      <w:r w:rsidR="00BE2E01">
        <w:t xml:space="preserve">. </w:t>
      </w:r>
    </w:p>
    <w:p w14:paraId="2D4F51BB" w14:textId="01A9C8FC" w:rsidR="0050104D" w:rsidRDefault="0050104D">
      <w:pPr>
        <w:pStyle w:val="EndnoteText"/>
      </w:pPr>
      <w:hyperlink r:id="rId54" w:anchor=":~:text=The%20Centers%20for%20Medicare%20&amp;%20Medicaid,an%20illness%20or%20other%20condition" w:history="1">
        <w:r w:rsidRPr="004E619C">
          <w:rPr>
            <w:rStyle w:val="Hyperlink"/>
          </w:rPr>
          <w:t>https://www.gao.gov/products/gao-25-107623#:~:text=The%20Centers%20for%20Medicare%20&amp;%20Medicaid,an%20illness%20or%20other%20condition</w:t>
        </w:r>
      </w:hyperlink>
      <w:r w:rsidRPr="0050104D">
        <w:t>.</w:t>
      </w:r>
      <w:r>
        <w:t xml:space="preserve"> </w:t>
      </w:r>
    </w:p>
  </w:endnote>
  <w:endnote w:id="38">
    <w:p w14:paraId="254AF5B8" w14:textId="6F5A5C96" w:rsidR="00710795" w:rsidRDefault="00710795" w:rsidP="00710795">
      <w:pPr>
        <w:pStyle w:val="EndnoteText"/>
      </w:pPr>
      <w:r>
        <w:rPr>
          <w:rStyle w:val="EndnoteReference"/>
        </w:rPr>
        <w:endnoteRef/>
      </w:r>
      <w:r>
        <w:t xml:space="preserve"> </w:t>
      </w:r>
      <w:hyperlink r:id="rId55" w:anchor=":~:text=The%20Centers%20for%20Medicare%20&amp;%20Medicaid,an%20illness%20or%20other%20condition." w:history="1">
        <w:r w:rsidRPr="00A75F97">
          <w:rPr>
            <w:rStyle w:val="Hyperlink"/>
            <w:color w:val="auto"/>
            <w:u w:val="none"/>
          </w:rPr>
          <w:t>United States Government Accountability Office (GAO). Report to Congressional Requesters. Medicare: National Coverage Determinations Are Generally Timely, but Improvements Are Needed.</w:t>
        </w:r>
      </w:hyperlink>
      <w:r w:rsidRPr="00A75F97">
        <w:t xml:space="preserve"> </w:t>
      </w:r>
      <w:r w:rsidRPr="00BE2E01">
        <w:t>Sep 09, 2025</w:t>
      </w:r>
      <w:r>
        <w:t xml:space="preserve">. </w:t>
      </w:r>
    </w:p>
    <w:p w14:paraId="47C1516F" w14:textId="77777777" w:rsidR="00710795" w:rsidRDefault="00710795" w:rsidP="00710795">
      <w:pPr>
        <w:pStyle w:val="EndnoteText"/>
      </w:pPr>
      <w:hyperlink r:id="rId56" w:anchor=":~:text=The%20Centers%20for%20Medicare%20&amp;%20Medicaid,an%20illness%20or%20other%20condition" w:history="1">
        <w:r w:rsidRPr="004E619C">
          <w:rPr>
            <w:rStyle w:val="Hyperlink"/>
          </w:rPr>
          <w:t>https://www.gao.gov/products/gao-25-107623#:~:text=The%20Centers%20for%20Medicare%20&amp;%20Medicaid,an%20illness%20or%20other%20condition</w:t>
        </w:r>
      </w:hyperlink>
      <w:r w:rsidRPr="0050104D">
        <w:t>.</w:t>
      </w:r>
      <w:r>
        <w:t xml:space="preserve"> </w:t>
      </w:r>
    </w:p>
  </w:endnote>
  <w:endnote w:id="39">
    <w:p w14:paraId="394E8533" w14:textId="111FAF43" w:rsidR="00804F37" w:rsidRPr="0067408E" w:rsidRDefault="00CD45FD" w:rsidP="00804F37">
      <w:pPr>
        <w:pStyle w:val="EndnoteText"/>
        <w:rPr>
          <w:rStyle w:val="Hyperlink"/>
          <w:color w:val="auto"/>
          <w:u w:val="none"/>
        </w:rPr>
      </w:pPr>
      <w:r>
        <w:rPr>
          <w:rStyle w:val="EndnoteReference"/>
        </w:rPr>
        <w:endnoteRef/>
      </w:r>
      <w:r>
        <w:t xml:space="preserve"> </w:t>
      </w:r>
      <w:r w:rsidR="00804F37">
        <w:t>Jarosek S, Elliott S, Virnig B</w:t>
      </w:r>
      <w:r w:rsidR="00804F37" w:rsidRPr="0067408E">
        <w:t xml:space="preserve">. </w:t>
      </w:r>
      <w:r w:rsidR="0067408E" w:rsidRPr="0067408E">
        <w:fldChar w:fldCharType="begin"/>
      </w:r>
      <w:r w:rsidR="0067408E" w:rsidRPr="0067408E">
        <w:instrText>HYPERLINK "https://www.ncbi.nlm.nih.gov/books/NBK97147/"</w:instrText>
      </w:r>
      <w:r w:rsidR="0067408E" w:rsidRPr="0067408E">
        <w:fldChar w:fldCharType="separate"/>
      </w:r>
      <w:r w:rsidR="00804F37" w:rsidRPr="0067408E">
        <w:rPr>
          <w:rStyle w:val="Hyperlink"/>
          <w:color w:val="auto"/>
          <w:u w:val="none"/>
        </w:rPr>
        <w:t>Proton Beam Radiotherapy in the US Medicare Population: Growth in Use Between</w:t>
      </w:r>
    </w:p>
    <w:p w14:paraId="721BB1B0" w14:textId="0A2D692D" w:rsidR="00CD45FD" w:rsidRDefault="00804F37" w:rsidP="00804F37">
      <w:pPr>
        <w:pStyle w:val="EndnoteText"/>
      </w:pPr>
      <w:r w:rsidRPr="0067408E">
        <w:rPr>
          <w:rStyle w:val="Hyperlink"/>
          <w:color w:val="auto"/>
          <w:u w:val="none"/>
        </w:rPr>
        <w:t>2006 and 2009: Data Points # 10</w:t>
      </w:r>
      <w:r w:rsidR="0067408E" w:rsidRPr="0067408E">
        <w:fldChar w:fldCharType="end"/>
      </w:r>
      <w:r w:rsidRPr="0067408E">
        <w:t xml:space="preserve">. Agency </w:t>
      </w:r>
      <w:r>
        <w:t>for Healthcare Research and Quality; 2012.</w:t>
      </w:r>
    </w:p>
    <w:p w14:paraId="13C3BCE7" w14:textId="2CBA32FC" w:rsidR="00804F37" w:rsidRDefault="00804F37" w:rsidP="00804F37">
      <w:pPr>
        <w:pStyle w:val="EndnoteText"/>
      </w:pPr>
      <w:hyperlink r:id="rId57" w:history="1">
        <w:r w:rsidRPr="004E619C">
          <w:rPr>
            <w:rStyle w:val="Hyperlink"/>
          </w:rPr>
          <w:t>https://www.ncbi.nlm.nih.gov/books/NBK97147/</w:t>
        </w:r>
      </w:hyperlink>
      <w:r>
        <w:t xml:space="preserve"> </w:t>
      </w:r>
    </w:p>
  </w:endnote>
  <w:endnote w:id="40">
    <w:p w14:paraId="0261E4A8" w14:textId="73DFEF61" w:rsidR="00DA695D" w:rsidRDefault="00DA695D" w:rsidP="00DA695D">
      <w:pPr>
        <w:pStyle w:val="EndnoteText"/>
      </w:pPr>
      <w:r>
        <w:rPr>
          <w:rStyle w:val="EndnoteReference"/>
        </w:rPr>
        <w:endnoteRef/>
      </w:r>
      <w:r>
        <w:t xml:space="preserve"> Centers for Dise</w:t>
      </w:r>
      <w:r w:rsidRPr="0067408E">
        <w:t xml:space="preserve">ase Control and Prevention (CDC). </w:t>
      </w:r>
      <w:hyperlink r:id="rId58" w:anchor="cdc_data_surveillance_section_3-leading-causes-of-death" w:history="1">
        <w:r w:rsidRPr="0067408E">
          <w:rPr>
            <w:rStyle w:val="Hyperlink"/>
            <w:color w:val="auto"/>
            <w:u w:val="none"/>
          </w:rPr>
          <w:t>National Center for Health Statistics. Stats of the States. Massachusetts.</w:t>
        </w:r>
      </w:hyperlink>
      <w:r w:rsidRPr="0067408E">
        <w:t xml:space="preserve"> </w:t>
      </w:r>
    </w:p>
    <w:p w14:paraId="008DA839" w14:textId="77777777" w:rsidR="00DA695D" w:rsidRDefault="00DA695D" w:rsidP="00DA695D">
      <w:pPr>
        <w:pStyle w:val="EndnoteText"/>
      </w:pPr>
      <w:hyperlink r:id="rId59" w:anchor="cdc_data_surveillance_section_3-leading-causes-of-death" w:history="1">
        <w:r w:rsidRPr="008D4D4A">
          <w:rPr>
            <w:rStyle w:val="Hyperlink"/>
          </w:rPr>
          <w:t>https://www.cdc.gov/nchs/state-stats/states/ma.html#cdc_data_surveillance_section_3-leading-causes-of-death</w:t>
        </w:r>
      </w:hyperlink>
      <w:r>
        <w:t xml:space="preserve"> </w:t>
      </w:r>
    </w:p>
  </w:endnote>
  <w:endnote w:id="41">
    <w:p w14:paraId="557B461C" w14:textId="19A16D5A" w:rsidR="00DA695D" w:rsidRDefault="00DA695D" w:rsidP="00DA695D">
      <w:pPr>
        <w:pStyle w:val="EndnoteText"/>
      </w:pPr>
      <w:r>
        <w:rPr>
          <w:rStyle w:val="EndnoteReference"/>
        </w:rPr>
        <w:endnoteRef/>
      </w:r>
      <w:r>
        <w:t xml:space="preserve"> Massachus</w:t>
      </w:r>
      <w:r w:rsidRPr="0067408E">
        <w:t xml:space="preserve">etts Department of Public Health. </w:t>
      </w:r>
      <w:hyperlink r:id="rId60" w:history="1">
        <w:r w:rsidRPr="0067408E">
          <w:rPr>
            <w:rStyle w:val="Hyperlink"/>
            <w:color w:val="auto"/>
            <w:u w:val="none"/>
          </w:rPr>
          <w:t>Cancer Incidence and Mortality in Massachusetts 2016-2020 Statewide Report.</w:t>
        </w:r>
      </w:hyperlink>
    </w:p>
    <w:p w14:paraId="753D81DF" w14:textId="77777777" w:rsidR="00DA695D" w:rsidRDefault="00DA695D" w:rsidP="00DA695D">
      <w:pPr>
        <w:pStyle w:val="EndnoteText"/>
      </w:pPr>
      <w:hyperlink r:id="rId61" w:history="1">
        <w:r w:rsidRPr="008D4D4A">
          <w:rPr>
            <w:rStyle w:val="Hyperlink"/>
          </w:rPr>
          <w:t>https://www.mass.gov/doc/cancer-incidence-and-mortality-in-massachusetts-2016-2020-statewide-report/download</w:t>
        </w:r>
      </w:hyperlink>
      <w:r>
        <w:t xml:space="preserve"> </w:t>
      </w:r>
    </w:p>
  </w:endnote>
  <w:endnote w:id="42">
    <w:p w14:paraId="53AC2FB6" w14:textId="77777777" w:rsidR="00DA695D" w:rsidRDefault="00DA695D" w:rsidP="00DA695D">
      <w:pPr>
        <w:pStyle w:val="EndnoteText"/>
      </w:pPr>
      <w:r>
        <w:rPr>
          <w:rStyle w:val="EndnoteReference"/>
        </w:rPr>
        <w:endnoteRef/>
      </w:r>
      <w:r>
        <w:t xml:space="preserve"> </w:t>
      </w:r>
      <w:r w:rsidRPr="004D20B3">
        <w:t>Siegel RL, Giaquinto AN, Jemal A. Cancer statistics, 2024. CA Cancer J Clin. 2024 Jan-Feb;74(1):12-49. doi: 10.3322/caac.21820. Epub 2024 Jan 17. Erratum in: CA Cancer J Clin. 2024 Mar-Apr;74(2):203. doi: 10.3322/caac.21830. PMID: 38230766.</w:t>
      </w:r>
    </w:p>
  </w:endnote>
  <w:endnote w:id="43">
    <w:p w14:paraId="0FAF41F2" w14:textId="77777777" w:rsidR="00DA695D" w:rsidRDefault="00DA695D" w:rsidP="00DA695D">
      <w:pPr>
        <w:pStyle w:val="EndnoteText"/>
      </w:pPr>
      <w:r>
        <w:rPr>
          <w:rStyle w:val="EndnoteReference"/>
        </w:rPr>
        <w:endnoteRef/>
      </w:r>
      <w:r>
        <w:t xml:space="preserve"> </w:t>
      </w:r>
      <w:r w:rsidRPr="00E402B6">
        <w:t>Siegel DA, King JB, Lupo PJ, Durbin EB, Tai E, Mills K, Van Dyne E, Buchanan Lunsford N, Henley SJ, Wilson RJ. Counts, incidence rates, and trends of pediatric cancer in the United States, 2003-2019. J Natl Cancer Inst. 2023 Nov 8;115(11):1337-1354. doi: 10.1093/jnci/djad115. PMID: 37433078; PMCID: PMC11018256.</w:t>
      </w:r>
    </w:p>
  </w:endnote>
  <w:endnote w:id="44">
    <w:p w14:paraId="518198CF" w14:textId="77777777" w:rsidR="00DA695D" w:rsidRDefault="00DA695D" w:rsidP="00DA695D">
      <w:pPr>
        <w:pStyle w:val="EndnoteText"/>
      </w:pPr>
      <w:r>
        <w:rPr>
          <w:rStyle w:val="EndnoteReference"/>
        </w:rPr>
        <w:endnoteRef/>
      </w:r>
      <w:r>
        <w:t xml:space="preserve"> </w:t>
      </w:r>
      <w:r w:rsidRPr="002B7BDD">
        <w:t>Rees JR, Weiss JE, Gunn CM, Carlos HA, Dragnev NC, Supattapone EY, Tosteson ANA, Kraft SA, Vahdat LT, Peacock JL. Cancer Epidemiology in the Northeastern United States (2013-2017). Cancer Res Commun. 2023 Aug 14;3(8):1538-1550. doi: 10.1158/2767-9764.CRC-23-0152. PMID: 37583435; PMCID: PMC10424700.</w:t>
      </w:r>
    </w:p>
  </w:endnote>
  <w:endnote w:id="45">
    <w:p w14:paraId="73D02A5E" w14:textId="3F194A78" w:rsidR="00DA695D" w:rsidRDefault="00DA695D" w:rsidP="00DA695D">
      <w:pPr>
        <w:pStyle w:val="EndnoteText"/>
      </w:pPr>
      <w:r>
        <w:rPr>
          <w:rStyle w:val="EndnoteReference"/>
        </w:rPr>
        <w:endnoteRef/>
      </w:r>
      <w:r>
        <w:t xml:space="preserve"> </w:t>
      </w:r>
      <w:hyperlink r:id="rId62" w:anchor=":~:text=Key%20Statistics,and%20Diagnosing%20Cancer%20in%20Children" w:history="1">
        <w:r w:rsidRPr="0067408E">
          <w:rPr>
            <w:rStyle w:val="Hyperlink"/>
            <w:color w:val="auto"/>
            <w:u w:val="none"/>
          </w:rPr>
          <w:t>American Cancer Society. Childhood Cancer.</w:t>
        </w:r>
      </w:hyperlink>
      <w:r w:rsidRPr="0067408E">
        <w:t xml:space="preserve"> </w:t>
      </w:r>
    </w:p>
    <w:p w14:paraId="13F64AF1" w14:textId="77777777" w:rsidR="00DA695D" w:rsidRDefault="00DA695D" w:rsidP="00DA695D">
      <w:pPr>
        <w:pStyle w:val="EndnoteText"/>
      </w:pPr>
      <w:hyperlink r:id="rId63" w:anchor=":~:text=Key%20Statistics,and%20Diagnosing%20Cancer%20in%20Children" w:history="1">
        <w:r w:rsidRPr="008D4D4A">
          <w:rPr>
            <w:rStyle w:val="Hyperlink"/>
          </w:rPr>
          <w:t>https://www.cancer.org/cancer/childhood-cancer.html#:~:text=Key%20Statistics,and%20Diagnosing%20Cancer%20in%20Children</w:t>
        </w:r>
      </w:hyperlink>
      <w:r>
        <w:t xml:space="preserve"> </w:t>
      </w:r>
    </w:p>
  </w:endnote>
  <w:endnote w:id="46">
    <w:p w14:paraId="6AA5BD84" w14:textId="20EB44F1" w:rsidR="00DA695D" w:rsidRDefault="00DA695D" w:rsidP="00DA695D">
      <w:pPr>
        <w:pStyle w:val="EndnoteText"/>
      </w:pPr>
      <w:r>
        <w:rPr>
          <w:rStyle w:val="EndnoteReference"/>
        </w:rPr>
        <w:endnoteRef/>
      </w:r>
      <w:r>
        <w:t xml:space="preserve"> National Cancer Institute. </w:t>
      </w:r>
      <w:hyperlink r:id="rId64" w:history="1">
        <w:r w:rsidRPr="0067408E">
          <w:rPr>
            <w:rStyle w:val="Hyperlink"/>
            <w:color w:val="auto"/>
            <w:u w:val="none"/>
          </w:rPr>
          <w:t>Childhood Cancer Survivor Study: An Overview.</w:t>
        </w:r>
      </w:hyperlink>
      <w:r w:rsidRPr="0067408E">
        <w:t xml:space="preserve"> </w:t>
      </w:r>
    </w:p>
    <w:p w14:paraId="7364531B" w14:textId="77777777" w:rsidR="00DA695D" w:rsidRDefault="00DA695D" w:rsidP="00DA695D">
      <w:pPr>
        <w:pStyle w:val="EndnoteText"/>
      </w:pPr>
      <w:hyperlink r:id="rId65" w:history="1">
        <w:r w:rsidRPr="008D4D4A">
          <w:rPr>
            <w:rStyle w:val="Hyperlink"/>
          </w:rPr>
          <w:t>https://www.cancer.gov/types/childhood-cancers/ccss</w:t>
        </w:r>
      </w:hyperlink>
      <w:r>
        <w:t xml:space="preserve"> </w:t>
      </w:r>
    </w:p>
  </w:endnote>
  <w:endnote w:id="47">
    <w:p w14:paraId="24FCFD32" w14:textId="6B0034D1" w:rsidR="007538E0" w:rsidRDefault="007538E0">
      <w:pPr>
        <w:pStyle w:val="EndnoteText"/>
      </w:pPr>
      <w:r>
        <w:rPr>
          <w:rStyle w:val="EndnoteReference"/>
        </w:rPr>
        <w:endnoteRef/>
      </w:r>
      <w:r>
        <w:t xml:space="preserve"> </w:t>
      </w:r>
      <w:r w:rsidR="00D15A8F">
        <w:t xml:space="preserve">Aetna. </w:t>
      </w:r>
      <w:hyperlink r:id="rId66" w:history="1">
        <w:r w:rsidR="00D15A8F" w:rsidRPr="0037286D">
          <w:rPr>
            <w:rStyle w:val="Hyperlink"/>
            <w:color w:val="auto"/>
            <w:u w:val="none"/>
          </w:rPr>
          <w:t>Proton Beam, Neutron Beam, and Carbon Ion Radiotherapy.</w:t>
        </w:r>
      </w:hyperlink>
      <w:r w:rsidR="00D15A8F" w:rsidRPr="0037286D">
        <w:t xml:space="preserve"> </w:t>
      </w:r>
      <w:hyperlink r:id="rId67" w:history="1">
        <w:r w:rsidR="0037286D" w:rsidRPr="00EF2D08">
          <w:rPr>
            <w:rStyle w:val="Hyperlink"/>
          </w:rPr>
          <w:t>https://www.aetna.com/cpb/medical/data/200_299/0270.html</w:t>
        </w:r>
      </w:hyperlink>
      <w:r w:rsidR="0037286D">
        <w:t xml:space="preserve"> </w:t>
      </w:r>
    </w:p>
  </w:endnote>
  <w:endnote w:id="48">
    <w:p w14:paraId="519E7521" w14:textId="1DF6C801" w:rsidR="00FA31A3" w:rsidRDefault="00FA31A3">
      <w:pPr>
        <w:pStyle w:val="EndnoteText"/>
      </w:pPr>
      <w:r>
        <w:rPr>
          <w:rStyle w:val="EndnoteReference"/>
        </w:rPr>
        <w:endnoteRef/>
      </w:r>
      <w:r>
        <w:t xml:space="preserve"> </w:t>
      </w:r>
      <w:r w:rsidRPr="00FA31A3">
        <w:t>Gardner SJ, Kim J, Chetty IJ. Modern Radiation Therapy Planning and Delivery. Hematol Oncol Clin North Am. 2019 Dec;33(6):947-962. doi: 10.1016/j.hoc.2019.08.005. Epub 2019 Oct 1. PMID: 31668213.</w:t>
      </w:r>
    </w:p>
  </w:endnote>
  <w:endnote w:id="49">
    <w:p w14:paraId="11656F52" w14:textId="64659414" w:rsidR="00766DDA" w:rsidRDefault="00766DDA" w:rsidP="00766DDA">
      <w:pPr>
        <w:pStyle w:val="EndnoteText"/>
      </w:pPr>
      <w:r>
        <w:rPr>
          <w:rStyle w:val="EndnoteReference"/>
        </w:rPr>
        <w:endnoteRef/>
      </w:r>
      <w:r>
        <w:t xml:space="preserve"> </w:t>
      </w:r>
      <w:hyperlink r:id="rId68" w:history="1">
        <w:r w:rsidRPr="0037286D">
          <w:rPr>
            <w:rStyle w:val="Hyperlink"/>
            <w:color w:val="auto"/>
            <w:u w:val="none"/>
          </w:rPr>
          <w:t>CHIA Data User Workgroup.</w:t>
        </w:r>
      </w:hyperlink>
      <w:r w:rsidRPr="0037286D">
        <w:t xml:space="preserve"> August </w:t>
      </w:r>
      <w:r>
        <w:t xml:space="preserve">26, 2025. </w:t>
      </w:r>
    </w:p>
    <w:p w14:paraId="7B6C5116" w14:textId="77777777" w:rsidR="00766DDA" w:rsidRDefault="00766DDA" w:rsidP="00766DDA">
      <w:pPr>
        <w:pStyle w:val="EndnoteText"/>
      </w:pPr>
      <w:hyperlink r:id="rId69" w:history="1">
        <w:r w:rsidRPr="00B85AFD">
          <w:rPr>
            <w:rStyle w:val="Hyperlink"/>
          </w:rPr>
          <w:t>https://www.chiamass.gov/assets/Uploads/APCD-User-Workgroup-August-26-2025.pdf</w:t>
        </w:r>
      </w:hyperlink>
      <w:r>
        <w:t xml:space="preserve"> </w:t>
      </w:r>
    </w:p>
  </w:endnote>
  <w:endnote w:id="50">
    <w:p w14:paraId="056FB0F5" w14:textId="75475F17" w:rsidR="00766DDA" w:rsidRDefault="00766DDA" w:rsidP="00766DDA">
      <w:pPr>
        <w:pStyle w:val="EndnoteText"/>
      </w:pPr>
      <w:r>
        <w:rPr>
          <w:rStyle w:val="EndnoteReference"/>
        </w:rPr>
        <w:endnoteRef/>
      </w:r>
      <w:r>
        <w:t xml:space="preserve"> </w:t>
      </w:r>
      <w:hyperlink r:id="rId70" w:history="1">
        <w:r w:rsidRPr="00EC2A77">
          <w:rPr>
            <w:rStyle w:val="Hyperlink"/>
            <w:color w:val="auto"/>
            <w:u w:val="none"/>
          </w:rPr>
          <w:t>CHIA Data User Workgroup.</w:t>
        </w:r>
      </w:hyperlink>
      <w:r w:rsidRPr="00EC2A77">
        <w:t xml:space="preserve"> August </w:t>
      </w:r>
      <w:r>
        <w:t xml:space="preserve">26, 2025. </w:t>
      </w:r>
    </w:p>
    <w:p w14:paraId="28E45323" w14:textId="77777777" w:rsidR="00766DDA" w:rsidRDefault="00766DDA" w:rsidP="00766DDA">
      <w:pPr>
        <w:pStyle w:val="EndnoteText"/>
      </w:pPr>
      <w:hyperlink r:id="rId71" w:history="1">
        <w:r w:rsidRPr="00B85AFD">
          <w:rPr>
            <w:rStyle w:val="Hyperlink"/>
          </w:rPr>
          <w:t>https://www.chiamass.gov/assets/Uploads/APCD-User-Workgroup-August-26-2025.pdf</w:t>
        </w:r>
      </w:hyperlink>
      <w:r>
        <w:t xml:space="preserve"> </w:t>
      </w:r>
    </w:p>
  </w:endnote>
  <w:endnote w:id="51">
    <w:p w14:paraId="4ACA30C8" w14:textId="0DE84BBD" w:rsidR="00236E2A" w:rsidRDefault="00236E2A">
      <w:pPr>
        <w:pStyle w:val="EndnoteText"/>
      </w:pPr>
      <w:r>
        <w:rPr>
          <w:rStyle w:val="EndnoteReference"/>
        </w:rPr>
        <w:endnoteRef/>
      </w:r>
      <w:r>
        <w:t xml:space="preserve"> </w:t>
      </w:r>
      <w:r w:rsidR="001D7144" w:rsidRPr="001D7144">
        <w:t>DeNunzio NJ, Yock TI. Modern Radiotherapy for Pediatric Brain Tumors. Cancers (Basel). 2020 Jun 11;12(6):1533. doi: 10.3390/cancers12061533. PMID: 32545204; PMCID: PMC7352417.</w:t>
      </w:r>
    </w:p>
  </w:endnote>
  <w:endnote w:id="52">
    <w:p w14:paraId="3929F56D" w14:textId="124C1E42" w:rsidR="008552ED" w:rsidRDefault="008552ED">
      <w:pPr>
        <w:pStyle w:val="EndnoteText"/>
      </w:pPr>
      <w:r>
        <w:rPr>
          <w:rStyle w:val="EndnoteReference"/>
        </w:rPr>
        <w:endnoteRef/>
      </w:r>
      <w:r>
        <w:t xml:space="preserve"> </w:t>
      </w:r>
      <w:hyperlink r:id="rId72" w:anchor=":~:text=Redness,that%20looks%20sunburned%20or%20tanned" w:history="1">
        <w:r w:rsidR="00893DEE" w:rsidRPr="00EC2A77">
          <w:rPr>
            <w:rStyle w:val="Hyperlink"/>
            <w:color w:val="auto"/>
            <w:u w:val="none"/>
          </w:rPr>
          <w:t>American Cancer Society. Radiation Therapy Side Effects.</w:t>
        </w:r>
      </w:hyperlink>
      <w:r w:rsidR="00893DEE" w:rsidRPr="00EC2A77">
        <w:t xml:space="preserve"> </w:t>
      </w:r>
    </w:p>
    <w:p w14:paraId="247352D3" w14:textId="7D64B4CD" w:rsidR="00893DEE" w:rsidRDefault="00893DEE">
      <w:pPr>
        <w:pStyle w:val="EndnoteText"/>
      </w:pPr>
      <w:hyperlink r:id="rId73" w:anchor=":~:text=Redness,that%20looks%20sunburned%20or%20tanned" w:history="1">
        <w:r w:rsidRPr="00750C30">
          <w:rPr>
            <w:rStyle w:val="Hyperlink"/>
          </w:rPr>
          <w:t>https://www.cancer.org/cancer/managing-cancer/treatment-types/radiation/effects-on-different-parts-of-body.html#:~:text=Redness,that%20looks%20sunburned%20or%20tanned</w:t>
        </w:r>
      </w:hyperlink>
      <w:r>
        <w:t xml:space="preserve"> </w:t>
      </w:r>
    </w:p>
  </w:endnote>
  <w:endnote w:id="53">
    <w:p w14:paraId="34DB6D65" w14:textId="58B9A207" w:rsidR="00893DEE" w:rsidRDefault="00893DEE">
      <w:pPr>
        <w:pStyle w:val="EndnoteText"/>
      </w:pPr>
      <w:r>
        <w:rPr>
          <w:rStyle w:val="EndnoteReference"/>
        </w:rPr>
        <w:endnoteRef/>
      </w:r>
      <w:r>
        <w:t xml:space="preserve"> </w:t>
      </w:r>
      <w:r w:rsidR="00F67769">
        <w:t xml:space="preserve">National Cancer Institute. </w:t>
      </w:r>
      <w:hyperlink r:id="rId74" w:history="1">
        <w:r w:rsidR="00F67769" w:rsidRPr="00EC2A77">
          <w:rPr>
            <w:rStyle w:val="Hyperlink"/>
            <w:color w:val="auto"/>
            <w:u w:val="none"/>
          </w:rPr>
          <w:t xml:space="preserve">Late Effects of Treatment for Childhood Cancer. </w:t>
        </w:r>
        <w:r w:rsidR="006E57CA" w:rsidRPr="00EC2A77">
          <w:rPr>
            <w:rStyle w:val="Hyperlink"/>
            <w:color w:val="auto"/>
            <w:u w:val="none"/>
          </w:rPr>
          <w:t>Patient Version.</w:t>
        </w:r>
      </w:hyperlink>
      <w:r w:rsidR="006E57CA" w:rsidRPr="00EC2A77">
        <w:t xml:space="preserve"> </w:t>
      </w:r>
    </w:p>
    <w:p w14:paraId="178C3C90" w14:textId="3F6F2D30" w:rsidR="006E57CA" w:rsidRDefault="001F1C72">
      <w:pPr>
        <w:pStyle w:val="EndnoteText"/>
      </w:pPr>
      <w:hyperlink r:id="rId75" w:history="1">
        <w:r w:rsidRPr="00750C30">
          <w:rPr>
            <w:rStyle w:val="Hyperlink"/>
          </w:rPr>
          <w:t>https://www.cancer.gov/types/childhood-cancers/late-effects-pdq</w:t>
        </w:r>
      </w:hyperlink>
      <w:r>
        <w:t xml:space="preserve"> </w:t>
      </w:r>
    </w:p>
  </w:endnote>
  <w:endnote w:id="54">
    <w:p w14:paraId="48D5AB79" w14:textId="77777777" w:rsidR="00307B9B" w:rsidRDefault="00307B9B" w:rsidP="00307B9B">
      <w:pPr>
        <w:pStyle w:val="EndnoteText"/>
      </w:pPr>
      <w:r>
        <w:rPr>
          <w:rStyle w:val="EndnoteReference"/>
        </w:rPr>
        <w:endnoteRef/>
      </w:r>
      <w:r>
        <w:t xml:space="preserve"> </w:t>
      </w:r>
      <w:r w:rsidRPr="00204B5C">
        <w:t>Kuhlthau KA, Pulsifer MB, Yeap BY, Rivera Morales D, Delahaye J, Hill KS, Ebb D, Abrams AN, Macdonald SM, Tarbell NJ, Yock TI. Prospective study of health-related quality of life for children with brain tumors treated with proton radiotherapy. J Clin Oncol. 2012 Jun 10;30(17):2079-86. doi: 10.1200/JCO.2011.37.0577. Epub 2012 May 7. PMID: 22565004; PMCID: PMC3397695.</w:t>
      </w:r>
    </w:p>
  </w:endnote>
  <w:endnote w:id="55">
    <w:p w14:paraId="211AE87E" w14:textId="5FCA3A36" w:rsidR="00CA2C2F" w:rsidRDefault="00551017" w:rsidP="00CA2C2F">
      <w:pPr>
        <w:pStyle w:val="EndnoteText"/>
      </w:pPr>
      <w:r>
        <w:rPr>
          <w:rStyle w:val="EndnoteReference"/>
        </w:rPr>
        <w:endnoteRef/>
      </w:r>
      <w:r>
        <w:t xml:space="preserve"> </w:t>
      </w:r>
      <w:hyperlink r:id="rId76" w:history="1">
        <w:r w:rsidR="00A82CD2" w:rsidRPr="00EC2A77">
          <w:rPr>
            <w:rStyle w:val="Hyperlink"/>
            <w:color w:val="auto"/>
            <w:u w:val="none"/>
          </w:rPr>
          <w:t xml:space="preserve">American Cancer Society. </w:t>
        </w:r>
        <w:r w:rsidR="000C6589" w:rsidRPr="00EC2A77">
          <w:rPr>
            <w:rStyle w:val="Hyperlink"/>
            <w:color w:val="auto"/>
            <w:u w:val="none"/>
          </w:rPr>
          <w:t>Longer Life Expectancy for Childhood Cancer Survivors.</w:t>
        </w:r>
      </w:hyperlink>
      <w:r w:rsidR="000C6589" w:rsidRPr="00EC2A77">
        <w:t xml:space="preserve"> </w:t>
      </w:r>
    </w:p>
    <w:p w14:paraId="2055E019" w14:textId="097A90F2" w:rsidR="00551017" w:rsidRDefault="000C6589" w:rsidP="00551017">
      <w:pPr>
        <w:pStyle w:val="EndnoteText"/>
      </w:pPr>
      <w:hyperlink r:id="rId77" w:history="1">
        <w:r w:rsidRPr="00750C30">
          <w:rPr>
            <w:rStyle w:val="Hyperlink"/>
          </w:rPr>
          <w:t>https://www.cancer.org/research/acs-research-highlights/childhood-cancer-research-highlights/longer-life-expectancy-for-childhood-cancer-survivors.html</w:t>
        </w:r>
      </w:hyperlink>
      <w:r>
        <w:t xml:space="preserve"> </w:t>
      </w:r>
    </w:p>
  </w:endnote>
  <w:endnote w:id="56">
    <w:p w14:paraId="140A11B0" w14:textId="2814E136" w:rsidR="00A0264B" w:rsidRDefault="00A0264B">
      <w:pPr>
        <w:pStyle w:val="EndnoteText"/>
      </w:pPr>
      <w:r>
        <w:rPr>
          <w:rStyle w:val="EndnoteReference"/>
        </w:rPr>
        <w:endnoteRef/>
      </w:r>
      <w:r>
        <w:t xml:space="preserve"> </w:t>
      </w:r>
      <w:hyperlink r:id="rId78" w:anchor=":~:text=As%20of%202022%20(the%20most,of%20their%20cancer%20and%20treatment." w:history="1">
        <w:r w:rsidR="000439EE" w:rsidRPr="00EC2A77">
          <w:rPr>
            <w:rStyle w:val="Hyperlink"/>
            <w:color w:val="auto"/>
            <w:u w:val="none"/>
          </w:rPr>
          <w:t>American Association for Cancer Research. Supporting Survivors of Pediatric Cancer.</w:t>
        </w:r>
      </w:hyperlink>
      <w:r w:rsidR="000439EE" w:rsidRPr="00EC2A77">
        <w:t xml:space="preserve"> </w:t>
      </w:r>
      <w:hyperlink r:id="rId79" w:anchor=":~:text=As%20of%202022%20(the%20most,of%20their%20cancer%20and%20treatment" w:history="1">
        <w:r w:rsidR="000439EE" w:rsidRPr="003D01A2">
          <w:rPr>
            <w:rStyle w:val="Hyperlink"/>
          </w:rPr>
          <w:t>https://cancerprogressreport.aacr.org/pediatric/pcpr25-contents/pcpr25-supporting-survivors-of-pediatric-cancers/#:~:text=As%20of%202022%20(the%20most,of%20their%20cancer%20and%20treatment</w:t>
        </w:r>
      </w:hyperlink>
      <w:r w:rsidR="000439EE" w:rsidRPr="000439EE">
        <w:t>.</w:t>
      </w:r>
      <w:r w:rsidR="000439EE">
        <w:t xml:space="preserve"> </w:t>
      </w:r>
    </w:p>
  </w:endnote>
  <w:endnote w:id="57">
    <w:p w14:paraId="1FF05480" w14:textId="7CF5BCAE" w:rsidR="00663B90" w:rsidRDefault="00663B90">
      <w:pPr>
        <w:pStyle w:val="EndnoteText"/>
      </w:pPr>
      <w:r>
        <w:rPr>
          <w:rStyle w:val="EndnoteReference"/>
        </w:rPr>
        <w:endnoteRef/>
      </w:r>
      <w:r>
        <w:t xml:space="preserve"> </w:t>
      </w:r>
      <w:r w:rsidR="00AC5FF5" w:rsidRPr="00AC5FF5">
        <w:t>Armstrong GT, Stovall M, Robison LL. Long-term effects of radiation exposure among adult survivors of childhood cancer: results from the childhood cancer survivor study. Radiat Res. 2010 Dec;174(6):840-50. doi: 10.1667/RR1903.1. Epub 2010 Sep 17. PMID: 21128808; PMCID: PMC3080029.</w:t>
      </w:r>
    </w:p>
  </w:endnote>
  <w:endnote w:id="58">
    <w:p w14:paraId="18F88E08" w14:textId="77777777" w:rsidR="00286EDD" w:rsidRDefault="00286EDD" w:rsidP="00286EDD">
      <w:pPr>
        <w:pStyle w:val="EndnoteText"/>
      </w:pPr>
      <w:r>
        <w:rPr>
          <w:rStyle w:val="EndnoteReference"/>
        </w:rPr>
        <w:endnoteRef/>
      </w:r>
      <w:r>
        <w:t xml:space="preserve"> </w:t>
      </w:r>
      <w:r w:rsidRPr="00316156">
        <w:t>Journy N, Indelicato DJ, Withrow DR, Akimoto T, Alapetite C, Araya M, Chang A, Chang JH, Chon B, Confer ME, Demizu Y, Dendale R, Doyen J, Ermoian R, Gurtner K, Hill-Kayser C, Iwata H, Kim JY, Kwok Y, Laack NN, Lee C, Lim DH, Loredo L, Mangona VS, Mansur DB, Murakami M, Murayama S, Ogino T, Ondrová B, Parikh RR, Paulino AC, Perkins S, Ramakrishna NR, Richter R, Rombi B, Shibata S, Shimizu S, Timmermann B, Vern-Gross T, Wang CJ, Weber DC, Wilkinson JB, Witt Nyström P, Yock TI, Kleinerman RA, Berrington de Gonzalez A. Patterns of proton therapy use in pediatric cancer management in 2016: An international survey. Radiother Oncol. 2019 Mar;132:155-161. doi: 10.1016/j.radonc.2018.10.022. Epub 2018 Nov 7. PMID: 30414759.</w:t>
      </w:r>
    </w:p>
  </w:endnote>
  <w:endnote w:id="59">
    <w:p w14:paraId="278CE837" w14:textId="5A09370D" w:rsidR="00E46B3D" w:rsidRDefault="00E46B3D">
      <w:pPr>
        <w:pStyle w:val="EndnoteText"/>
      </w:pPr>
      <w:r>
        <w:rPr>
          <w:rStyle w:val="EndnoteReference"/>
        </w:rPr>
        <w:endnoteRef/>
      </w:r>
      <w:r>
        <w:t xml:space="preserve"> </w:t>
      </w:r>
      <w:r w:rsidR="008B4DF4" w:rsidRPr="008B4DF4">
        <w:t>Siegel RL, Kratzer TB, Giaquinto AN, Sung H, Jemal A. Cancer statistics, 2025. CA Cancer J Clin. 2025 Jan-Feb;75(1):10-45. doi: 10.3322/caac.21871. Epub 2025 Jan 16. PMID: 39817679; PMCID: PMC11745215.</w:t>
      </w:r>
    </w:p>
  </w:endnote>
  <w:endnote w:id="60">
    <w:p w14:paraId="731EFE2E" w14:textId="77777777" w:rsidR="00BC3309" w:rsidRDefault="00BC3309" w:rsidP="00BC3309">
      <w:pPr>
        <w:pStyle w:val="EndnoteText"/>
      </w:pPr>
      <w:r>
        <w:rPr>
          <w:rStyle w:val="EndnoteReference"/>
        </w:rPr>
        <w:endnoteRef/>
      </w:r>
      <w:r>
        <w:t xml:space="preserve"> </w:t>
      </w:r>
      <w:r w:rsidRPr="008B4DF4">
        <w:t>Siegel RL, Kratzer TB, Giaquinto AN, Sung H, Jemal A. Cancer statistics, 2025. CA Cancer J Clin. 2025 Jan-Feb;75(1):10-45. doi: 10.3322/caac.21871. Epub 2025 Jan 16. PMID: 39817679; PMCID: PMC11745215.</w:t>
      </w:r>
    </w:p>
  </w:endnote>
  <w:endnote w:id="61">
    <w:p w14:paraId="74B16F79" w14:textId="77777777" w:rsidR="00885DF3" w:rsidRDefault="00885DF3" w:rsidP="00885DF3">
      <w:pPr>
        <w:pStyle w:val="EndnoteText"/>
      </w:pPr>
      <w:r>
        <w:rPr>
          <w:rStyle w:val="EndnoteReference"/>
        </w:rPr>
        <w:endnoteRef/>
      </w:r>
      <w:r>
        <w:t xml:space="preserve"> </w:t>
      </w:r>
      <w:r w:rsidRPr="000F74FA">
        <w:t>Greenberger BA, Yock TI. The role of proton therapy in pediatric malignancies: Recent advances and future directions. Semin Oncol. 2020 Feb;47(1):8-22. doi: 10.1053/j.seminoncol.2020.02.002. Epub 2020 Feb 21. PMID: 32139101.</w:t>
      </w:r>
    </w:p>
  </w:endnote>
  <w:endnote w:id="62">
    <w:p w14:paraId="560E5FE1" w14:textId="77777777" w:rsidR="00885DF3" w:rsidRDefault="00885DF3" w:rsidP="00885DF3">
      <w:pPr>
        <w:pStyle w:val="EndnoteText"/>
      </w:pPr>
      <w:r>
        <w:rPr>
          <w:rStyle w:val="EndnoteReference"/>
        </w:rPr>
        <w:endnoteRef/>
      </w:r>
      <w:r>
        <w:t xml:space="preserve"> </w:t>
      </w:r>
      <w:r w:rsidRPr="00DE3F0D">
        <w:t>Greco C, Wolden S. Current status of radiotherapy with proton and light ion beams. Cancer. 2007 Apr 1;109(7):1227-38. doi: 10.1002/cncr.22542. PMID: 17326046.</w:t>
      </w:r>
    </w:p>
  </w:endnote>
  <w:endnote w:id="63">
    <w:p w14:paraId="7BE41507" w14:textId="77777777" w:rsidR="00AF5228" w:rsidRDefault="00AF5228" w:rsidP="00AF5228">
      <w:pPr>
        <w:pStyle w:val="EndnoteText"/>
      </w:pPr>
      <w:r>
        <w:rPr>
          <w:rStyle w:val="EndnoteReference"/>
        </w:rPr>
        <w:endnoteRef/>
      </w:r>
      <w:r>
        <w:t xml:space="preserve"> </w:t>
      </w:r>
      <w:r w:rsidRPr="00B129A6">
        <w:t>Nogueira LM, Jemal A, Yabroff KR, Efstathiou JA. Assessment of Proton Beam Therapy Use Among Patients With Newly Diagnosed Cancer in the US, 2004-2018. JAMA Netw Open. 2022 Apr 1;5(4):e229025. doi: 10.1001/jamanetworkopen.2022.9025. PMID: 35476066; PMCID: PMC9047654.</w:t>
      </w:r>
    </w:p>
  </w:endnote>
  <w:endnote w:id="64">
    <w:p w14:paraId="7807B89B" w14:textId="77777777" w:rsidR="00AF5228" w:rsidRDefault="00AF5228" w:rsidP="00AF5228">
      <w:pPr>
        <w:pStyle w:val="EndnoteText"/>
      </w:pPr>
      <w:r>
        <w:rPr>
          <w:rStyle w:val="EndnoteReference"/>
        </w:rPr>
        <w:endnoteRef/>
      </w:r>
      <w:r>
        <w:t xml:space="preserve"> </w:t>
      </w:r>
      <w:r w:rsidRPr="00146550">
        <w:t>Mitin T, Zietman AL. Promise and pitfalls of heavy-particle therapy. J Clin Oncol. 2014 Sep 10;32(26):2855-63. doi: 10.1200/JCO.2014.55.1945. Epub 2014 Aug 11. PMID: 25113772; PMCID: PMC4152713.</w:t>
      </w:r>
    </w:p>
  </w:endnote>
  <w:endnote w:id="65">
    <w:p w14:paraId="5B42174E" w14:textId="77777777" w:rsidR="00AF5228" w:rsidRDefault="00AF5228" w:rsidP="00AF5228">
      <w:pPr>
        <w:pStyle w:val="EndnoteText"/>
      </w:pPr>
      <w:r>
        <w:rPr>
          <w:rStyle w:val="EndnoteReference"/>
        </w:rPr>
        <w:endnoteRef/>
      </w:r>
      <w:r>
        <w:t xml:space="preserve"> </w:t>
      </w:r>
      <w:r w:rsidRPr="00316156">
        <w:t>Journy N, Indelicato DJ, Withrow DR, Akimoto T, Alapetite C, Araya M, Chang A, Chang JH, Chon B, Confer ME, Demizu Y, Dendale R, Doyen J, Ermoian R, Gurtner K, Hill-Kayser C, Iwata H, Kim JY, Kwok Y, Laack NN, Lee C, Lim DH, Loredo L, Mangona VS, Mansur DB, Murakami M, Murayama S, Ogino T, Ondrová B, Parikh RR, Paulino AC, Perkins S, Ramakrishna NR, Richter R, Rombi B, Shibata S, Shimizu S, Timmermann B, Vern-Gross T, Wang CJ, Weber DC, Wilkinson JB, Witt Nyström P, Yock TI, Kleinerman RA, Berrington de Gonzalez A. Patterns of proton therapy use in pediatric cancer management in 2016: An international survey. Radiother Oncol. 2019 Mar;132:155-161. doi: 10.1016/j.radonc.2018.10.022. Epub 2018 Nov 7. PMID: 30414759.</w:t>
      </w:r>
    </w:p>
  </w:endnote>
  <w:endnote w:id="66">
    <w:p w14:paraId="14DE260E" w14:textId="77777777" w:rsidR="00E73CC6" w:rsidRDefault="00E73CC6" w:rsidP="00E73CC6">
      <w:pPr>
        <w:pStyle w:val="EndnoteText"/>
      </w:pPr>
      <w:r>
        <w:rPr>
          <w:rStyle w:val="EndnoteReference"/>
        </w:rPr>
        <w:endnoteRef/>
      </w:r>
      <w:r>
        <w:t xml:space="preserve"> </w:t>
      </w:r>
      <w:r w:rsidRPr="008B4DF4">
        <w:t>Siegel RL, Kratzer TB, Giaquinto AN, Sung H, Jemal A. Cancer statistics, 2025. CA Cancer J Clin. 2025 Jan-Feb;75(1):10-45. doi: 10.3322/caac.21871. Epub 2025 Jan 16. PMID: 39817679; PMCID: PMC11745215.</w:t>
      </w:r>
    </w:p>
  </w:endnote>
  <w:endnote w:id="67">
    <w:p w14:paraId="29669C70" w14:textId="77777777" w:rsidR="00E73CC6" w:rsidRDefault="00E73CC6" w:rsidP="00E73CC6">
      <w:pPr>
        <w:pStyle w:val="EndnoteText"/>
      </w:pPr>
      <w:r>
        <w:rPr>
          <w:rStyle w:val="EndnoteReference"/>
        </w:rPr>
        <w:endnoteRef/>
      </w:r>
      <w:r>
        <w:t xml:space="preserve"> </w:t>
      </w:r>
      <w:r w:rsidRPr="00154E27">
        <w:t>DeNunzio NJ, Yock TI. Modern Radiotherapy for Pediatric Brain Tumors. Cancers (Basel). 2020 Jun 11;12(6):1533. doi: 10.3390/cancers12061533. PMID: 32545204; PMCID: PMC7352417.</w:t>
      </w:r>
    </w:p>
  </w:endnote>
  <w:endnote w:id="68">
    <w:p w14:paraId="608C34C0" w14:textId="77777777" w:rsidR="00E73CC6" w:rsidRDefault="00E73CC6" w:rsidP="00E73CC6">
      <w:pPr>
        <w:pStyle w:val="EndnoteText"/>
      </w:pPr>
      <w:r>
        <w:rPr>
          <w:rStyle w:val="EndnoteReference"/>
        </w:rPr>
        <w:endnoteRef/>
      </w:r>
      <w:r>
        <w:t xml:space="preserve"> </w:t>
      </w:r>
      <w:r w:rsidRPr="0030266B">
        <w:t>Kumar R, Rekha Narra L, Sherwani Z, R Parikh R. Neurological sequalae in pediatric patients with CNS tumors after radiation treatment: A comprehensive review. Semin Pediatr Neurol. 2025 Apr;53:101181. doi: 10.1016/j.spen.2025.101181. Epub 2025 Mar 8. PMID: 40216485.</w:t>
      </w:r>
    </w:p>
  </w:endnote>
  <w:endnote w:id="69">
    <w:p w14:paraId="7DD08F33" w14:textId="77777777" w:rsidR="00E73CC6" w:rsidRDefault="00E73CC6" w:rsidP="00E73CC6">
      <w:pPr>
        <w:pStyle w:val="EndnoteText"/>
      </w:pPr>
      <w:r>
        <w:rPr>
          <w:rStyle w:val="EndnoteReference"/>
        </w:rPr>
        <w:endnoteRef/>
      </w:r>
      <w:r>
        <w:t xml:space="preserve"> </w:t>
      </w:r>
      <w:r w:rsidRPr="00E639EA">
        <w:t>Oyefiade A, Paltin I, De Luca CR, Hardy KK, Grosshans DR, Chintagumpala M, Mabbott DJ, Kahalley LS. Cognitive Risk in Survivors of Pediatric Brain Tumors. J Clin Oncol. 2021 Jun 1;39(16):1718-1726. doi: 10.1200/JCO.20.02338. Epub 2021 Apr 22. PMID: 33886348; PMCID: PMC8260914.</w:t>
      </w:r>
    </w:p>
  </w:endnote>
  <w:endnote w:id="70">
    <w:p w14:paraId="4549BCB4" w14:textId="77777777" w:rsidR="00022504" w:rsidRDefault="00022504" w:rsidP="00022504">
      <w:pPr>
        <w:pStyle w:val="EndnoteText"/>
      </w:pPr>
      <w:r>
        <w:rPr>
          <w:rStyle w:val="EndnoteReference"/>
        </w:rPr>
        <w:endnoteRef/>
      </w:r>
      <w:r>
        <w:t xml:space="preserve"> </w:t>
      </w:r>
      <w:r w:rsidRPr="0030266B">
        <w:t>Kumar R, Rekha Narra L, Sherwani Z, R Parikh R. Neurological sequalae in pediatric patients with CNS tumors after radiation treatment: A comprehensive review. Semin Pediatr Neurol. 2025 Apr;53:101181. doi: 10.1016/j.spen.2025.101181. Epub 2025 Mar 8. PMID: 40216485.</w:t>
      </w:r>
    </w:p>
  </w:endnote>
  <w:endnote w:id="71">
    <w:p w14:paraId="4512957B" w14:textId="1CC3C80D" w:rsidR="00E73CC6" w:rsidRDefault="00E73CC6" w:rsidP="00E73CC6">
      <w:pPr>
        <w:pStyle w:val="EndnoteText"/>
      </w:pPr>
      <w:r>
        <w:rPr>
          <w:rStyle w:val="EndnoteReference"/>
        </w:rPr>
        <w:endnoteRef/>
      </w:r>
      <w:r>
        <w:t xml:space="preserve"> </w:t>
      </w:r>
      <w:r w:rsidR="00CF11E9" w:rsidRPr="00CF11E9">
        <w:t>Li Y, Mizumoto M, Oshiro Y, Maruo K, Inaba M, Saito T, Hosaka S, Iizumi T, Fukushima H, Suzuki R, Nitta H, Shimizu S, Nakai K, Sakurai H. Systematic Review and Meta-Analysis of Proton Beam Therapy Versus Photon Radiotherapy for Medulloblastoma: TRP-Medulloblastoma 2025. Cancers (Basel). 2025 Jun 29;17(13):2191. doi: 10.3390/cancers17132191. PMID: 40647489; PMCID: PMC12249310.</w:t>
      </w:r>
    </w:p>
  </w:endnote>
  <w:endnote w:id="72">
    <w:p w14:paraId="74FD768F" w14:textId="77777777" w:rsidR="00E73CC6" w:rsidRDefault="00E73CC6" w:rsidP="00E73CC6">
      <w:pPr>
        <w:pStyle w:val="EndnoteText"/>
      </w:pPr>
      <w:r>
        <w:rPr>
          <w:rStyle w:val="EndnoteReference"/>
        </w:rPr>
        <w:endnoteRef/>
      </w:r>
      <w:r>
        <w:t xml:space="preserve"> </w:t>
      </w:r>
      <w:r w:rsidRPr="008F1B98">
        <w:t>Greenberger BA, Yock TI. The role of proton therapy in pediatric malignancies: Recent advances and future directions. Semin Oncol. 2020 Feb;47(1):8-22. doi: 10.1053/j.seminoncol.2020.02.002. Epub 2020 Feb 21. PMID: 32139101.</w:t>
      </w:r>
    </w:p>
  </w:endnote>
  <w:endnote w:id="73">
    <w:p w14:paraId="6A568333" w14:textId="78C6E34C" w:rsidR="0009243A" w:rsidRDefault="0009243A">
      <w:pPr>
        <w:pStyle w:val="EndnoteText"/>
      </w:pPr>
      <w:r>
        <w:rPr>
          <w:rStyle w:val="EndnoteReference"/>
        </w:rPr>
        <w:endnoteRef/>
      </w:r>
      <w:r>
        <w:t xml:space="preserve"> </w:t>
      </w:r>
      <w:r w:rsidR="00B909DC" w:rsidRPr="00B909DC">
        <w:t>Ladra MM, Edgington SK, Mahajan A, Grosshans D, Szymonifka J, Khan F, Moteabbed M, Friedmann AM, MacDonald SM, Tarbell NJ, Yock TI. A dosimetric comparison of proton and intensity modulated radiation therapy in pediatric rhabdomyosarcoma patients enrolled on a prospective phase II proton study. Radiother Oncol. 2014 Oct;113(1):77-83. doi: 10.1016/j.radonc.2014.08.033. Epub 2014 Oct 16. PMID: 25443861; PMCID: PMC4298831.</w:t>
      </w:r>
    </w:p>
  </w:endnote>
  <w:endnote w:id="74">
    <w:p w14:paraId="38BE7194" w14:textId="77777777" w:rsidR="00592C10" w:rsidRPr="0058435B" w:rsidRDefault="00592C10" w:rsidP="00592C10">
      <w:pPr>
        <w:pStyle w:val="EndnoteText"/>
        <w:rPr>
          <w:rFonts w:asciiTheme="minorHAnsi" w:hAnsiTheme="minorHAnsi"/>
        </w:rPr>
      </w:pPr>
      <w:r w:rsidRPr="0058435B">
        <w:rPr>
          <w:rStyle w:val="EndnoteReference"/>
          <w:rFonts w:asciiTheme="minorHAnsi" w:hAnsiTheme="minorHAnsi"/>
        </w:rPr>
        <w:endnoteRef/>
      </w:r>
      <w:r w:rsidRPr="0058435B">
        <w:rPr>
          <w:rFonts w:asciiTheme="minorHAnsi" w:hAnsiTheme="minorHAnsi"/>
        </w:rPr>
        <w:t xml:space="preserve"> </w:t>
      </w:r>
      <w:r w:rsidRPr="0058435B">
        <w:rPr>
          <w:rFonts w:asciiTheme="minorHAnsi" w:hAnsiTheme="minorHAnsi"/>
          <w:color w:val="212121"/>
          <w:shd w:val="clear" w:color="auto" w:fill="FFFFFF"/>
        </w:rPr>
        <w:t>Sardaro A, Carbonara R, Petruzzelli MF, Turi B, Moschetta M, Scardapane A, Stabile Ianora AA. Proton therapy in the most common pediatric non-central nervous system malignancies: an overview of clinical and dosimetric outcomes. Ital J Pediatr. 2019 Dec 27;45(1):170. doi: 10.1186/s13052-019-0763-2. PMID: 31881905; PMCID: PMC6935184.</w:t>
      </w:r>
    </w:p>
  </w:endnote>
  <w:endnote w:id="75">
    <w:p w14:paraId="5A564B57" w14:textId="77777777" w:rsidR="00FB6BE0" w:rsidRDefault="00FB6BE0" w:rsidP="00FB6BE0">
      <w:pPr>
        <w:pStyle w:val="EndnoteText"/>
      </w:pPr>
      <w:r>
        <w:rPr>
          <w:rStyle w:val="EndnoteReference"/>
        </w:rPr>
        <w:endnoteRef/>
      </w:r>
      <w:r>
        <w:t xml:space="preserve"> </w:t>
      </w:r>
      <w:r w:rsidRPr="00524690">
        <w:t>Ladra MM, Edgington SK, Mahajan A, Grosshans D, Szymonifka J, Khan F, Moteabbed M, Friedmann AM, MacDonald SM, Tarbell NJ, Yock TI. A dosimetric comparison of proton and intensity modulated radiation therapy in pediatric rhabdomyosarcoma patients enrolled on a prospective phase II proton study. Radiother Oncol. 2014 Oct;113(1):77-83. doi: 10.1016/j.radonc.2014.08.033. Epub 2014 Oct 16. PMID: 25443861; PMCID: PMC4298831.</w:t>
      </w:r>
    </w:p>
  </w:endnote>
  <w:endnote w:id="76">
    <w:p w14:paraId="3ACE7247" w14:textId="1274AC43" w:rsidR="00313B91" w:rsidRDefault="00313B91" w:rsidP="00313B91">
      <w:pPr>
        <w:pStyle w:val="EndnoteText"/>
      </w:pPr>
      <w:r>
        <w:rPr>
          <w:rStyle w:val="EndnoteReference"/>
        </w:rPr>
        <w:endnoteRef/>
      </w:r>
      <w:r>
        <w:t xml:space="preserve"> </w:t>
      </w:r>
      <w:r w:rsidR="005A635B" w:rsidRPr="005A635B">
        <w:t>Yuan TZ, Zhan ZJ, Qian CN. New frontiers in proton therapy: applications in cancers. Cancer Commun (Lond). 2019 Oct 22;39(1):61. doi: 10.1186/s40880-019-0407-3. PMID: 31640788; PMCID: PMC6805548.</w:t>
      </w:r>
    </w:p>
  </w:endnote>
  <w:endnote w:id="77">
    <w:p w14:paraId="24A67F59" w14:textId="45798863" w:rsidR="00E25D9A" w:rsidRDefault="00E25D9A">
      <w:pPr>
        <w:pStyle w:val="EndnoteText"/>
      </w:pPr>
      <w:r>
        <w:rPr>
          <w:rStyle w:val="EndnoteReference"/>
        </w:rPr>
        <w:endnoteRef/>
      </w:r>
      <w:r>
        <w:t xml:space="preserve"> </w:t>
      </w:r>
      <w:hyperlink r:id="rId80" w:history="1">
        <w:r w:rsidRPr="00DD4C33">
          <w:rPr>
            <w:rStyle w:val="Hyperlink"/>
            <w:color w:val="auto"/>
            <w:u w:val="none"/>
          </w:rPr>
          <w:t>Cleveland Clinic. Sarcoma.</w:t>
        </w:r>
      </w:hyperlink>
      <w:r w:rsidRPr="00E25D9A">
        <w:t xml:space="preserve"> </w:t>
      </w:r>
      <w:hyperlink r:id="rId81" w:history="1">
        <w:r w:rsidRPr="00BA18B7">
          <w:rPr>
            <w:rStyle w:val="Hyperlink"/>
          </w:rPr>
          <w:t>https://my.clevelandclinic.org/health/diseases/17934-sarcoma</w:t>
        </w:r>
      </w:hyperlink>
      <w:r>
        <w:t xml:space="preserve"> </w:t>
      </w:r>
    </w:p>
  </w:endnote>
  <w:endnote w:id="78">
    <w:p w14:paraId="6EFADD04" w14:textId="49972EFF" w:rsidR="007C604E" w:rsidRDefault="007C604E" w:rsidP="007C604E">
      <w:pPr>
        <w:pStyle w:val="EndnoteText"/>
      </w:pPr>
      <w:r>
        <w:rPr>
          <w:rStyle w:val="EndnoteReference"/>
        </w:rPr>
        <w:endnoteRef/>
      </w:r>
      <w:r>
        <w:t xml:space="preserve"> </w:t>
      </w:r>
      <w:hyperlink r:id="rId82" w:history="1">
        <w:r w:rsidRPr="00DD4C33">
          <w:rPr>
            <w:rStyle w:val="Hyperlink"/>
            <w:color w:val="auto"/>
            <w:u w:val="none"/>
          </w:rPr>
          <w:t>Cleveland Clinic. Sarcoma.</w:t>
        </w:r>
      </w:hyperlink>
      <w:r w:rsidRPr="00E25D9A">
        <w:t xml:space="preserve"> </w:t>
      </w:r>
      <w:hyperlink r:id="rId83" w:history="1">
        <w:r w:rsidRPr="00BA18B7">
          <w:rPr>
            <w:rStyle w:val="Hyperlink"/>
          </w:rPr>
          <w:t>https://my.clevelandclinic.org/health/diseases/17934-sarcoma</w:t>
        </w:r>
      </w:hyperlink>
      <w:r>
        <w:t xml:space="preserve"> </w:t>
      </w:r>
    </w:p>
  </w:endnote>
  <w:endnote w:id="79">
    <w:p w14:paraId="4B239DF9" w14:textId="1759340A" w:rsidR="005354A5" w:rsidRDefault="0047475E">
      <w:pPr>
        <w:pStyle w:val="EndnoteText"/>
      </w:pPr>
      <w:r>
        <w:rPr>
          <w:rStyle w:val="EndnoteReference"/>
        </w:rPr>
        <w:endnoteRef/>
      </w:r>
      <w:r>
        <w:t xml:space="preserve"> </w:t>
      </w:r>
      <w:hyperlink r:id="rId84" w:history="1">
        <w:r w:rsidR="005354A5" w:rsidRPr="00DD4C33">
          <w:rPr>
            <w:rStyle w:val="Hyperlink"/>
            <w:color w:val="auto"/>
            <w:u w:val="none"/>
          </w:rPr>
          <w:t>UFHealth Proton Therapy Institute. Proton Therapy for Sarcoma Treatment.</w:t>
        </w:r>
      </w:hyperlink>
      <w:r w:rsidR="005354A5" w:rsidRPr="00DD4C33">
        <w:t xml:space="preserve"> </w:t>
      </w:r>
    </w:p>
    <w:p w14:paraId="10BB2420" w14:textId="208AB98C" w:rsidR="0047475E" w:rsidRDefault="008C60BC">
      <w:pPr>
        <w:pStyle w:val="EndnoteText"/>
      </w:pPr>
      <w:hyperlink r:id="rId85" w:history="1">
        <w:r w:rsidRPr="00BA18B7">
          <w:rPr>
            <w:rStyle w:val="Hyperlink"/>
          </w:rPr>
          <w:t>https://www.floridaproton.org/cancers-treated/sarcoma</w:t>
        </w:r>
      </w:hyperlink>
      <w:r w:rsidR="005354A5">
        <w:t xml:space="preserve"> </w:t>
      </w:r>
    </w:p>
  </w:endnote>
  <w:endnote w:id="80">
    <w:p w14:paraId="6855B996" w14:textId="77777777" w:rsidR="007E3ECA" w:rsidRDefault="007E3ECA" w:rsidP="007E3ECA">
      <w:pPr>
        <w:pStyle w:val="EndnoteText"/>
      </w:pPr>
      <w:r>
        <w:rPr>
          <w:rStyle w:val="EndnoteReference"/>
        </w:rPr>
        <w:endnoteRef/>
      </w:r>
      <w:r>
        <w:t xml:space="preserve"> </w:t>
      </w:r>
      <w:r w:rsidRPr="00703080">
        <w:t>Amin SA, Mateen ZA, Amin P, Lin C. Proton beam radiation therapy vs. photon radiation therapy and the overall survival of adult and pediatric patients diagnosed with sarcoma. Front Oncol. 2025 Sep 18;15:1644829. doi: 10.3389/fonc.2025.1644829. PMID: 41049837; PMCID: PMC12488416.</w:t>
      </w:r>
    </w:p>
  </w:endnote>
  <w:endnote w:id="81">
    <w:p w14:paraId="2B56D20D" w14:textId="4CA13F49" w:rsidR="000D1606" w:rsidRDefault="000D1606">
      <w:pPr>
        <w:pStyle w:val="EndnoteText"/>
      </w:pPr>
      <w:r>
        <w:rPr>
          <w:rStyle w:val="EndnoteReference"/>
        </w:rPr>
        <w:endnoteRef/>
      </w:r>
      <w:r>
        <w:t xml:space="preserve"> </w:t>
      </w:r>
      <w:r w:rsidR="00703080" w:rsidRPr="00703080">
        <w:t>Amin SA, Mateen ZA, Amin P, Lin C. Proton beam radiation therapy vs. photon radiation therapy and the overall survival of adult and pediatric patients diagnosed with sarcoma. Front Oncol. 2025 Sep 18;15:1644829. doi: 10.3389/fonc.2025.1644829. PMID: 41049837; PMCID: PMC12488416.</w:t>
      </w:r>
    </w:p>
  </w:endnote>
  <w:endnote w:id="82">
    <w:p w14:paraId="5B815F83" w14:textId="03D2E7B5" w:rsidR="0031185B" w:rsidRDefault="0031185B">
      <w:pPr>
        <w:pStyle w:val="EndnoteText"/>
      </w:pPr>
      <w:r>
        <w:rPr>
          <w:rStyle w:val="EndnoteReference"/>
        </w:rPr>
        <w:endnoteRef/>
      </w:r>
      <w:r>
        <w:t xml:space="preserve"> </w:t>
      </w:r>
      <w:r w:rsidRPr="0031185B">
        <w:t>Palm RF, Oliver DE, Yang GQ, Abuodeh Y, Naghavi AO, Johnstone PAS. The role of dose escalation and proton therapy in perioperative or definitive treatment of chondrosarcoma and chordoma: An analysis of the National Cancer Data Base. Cancer. 2019 Feb 15;125(4):642-651. doi: 10.1002/cncr.31958. Epub 2019 Jan 14. PMID: 30644538.</w:t>
      </w:r>
    </w:p>
  </w:endnote>
  <w:endnote w:id="83">
    <w:p w14:paraId="781F8282" w14:textId="77777777" w:rsidR="00215B40" w:rsidRDefault="00215B40" w:rsidP="00215B40">
      <w:pPr>
        <w:pStyle w:val="EndnoteText"/>
      </w:pPr>
      <w:r>
        <w:rPr>
          <w:rStyle w:val="EndnoteReference"/>
        </w:rPr>
        <w:endnoteRef/>
      </w:r>
      <w:r>
        <w:t xml:space="preserve"> </w:t>
      </w:r>
      <w:r w:rsidRPr="00607569">
        <w:t>Dastgheyb SS, Dreyfuss AD, LaRiviere MJ, Mohiuddin JJ, Baumann BC, Shabason J, Lustig RA, Dorsey JF, Lin A, Grady SM, O'Malley BW, Lee JYK, Newman JG, Schuster JM, Alonso-Basanta M. A Prospective Phase I/II Clinical Trial of High-Dose Proton Therapy for Chordomas and Chondrosarcomas. Adv Radiat Oncol. 2024 Feb 8;9(5):101456. doi: 10.1016/j.adro.2024.101456. PMID: 38550376; PMCID: PMC10972808.</w:t>
      </w:r>
    </w:p>
  </w:endnote>
  <w:endnote w:id="84">
    <w:p w14:paraId="6E4E188D" w14:textId="4DBB8C28" w:rsidR="00CA0FFF" w:rsidRPr="00EB1C3A" w:rsidRDefault="00CA0FFF" w:rsidP="00CA0FFF">
      <w:pPr>
        <w:pStyle w:val="EndnoteText"/>
      </w:pPr>
      <w:r w:rsidRPr="00EB1C3A">
        <w:rPr>
          <w:rStyle w:val="EndnoteReference"/>
        </w:rPr>
        <w:endnoteRef/>
      </w:r>
      <w:r w:rsidRPr="00EB1C3A">
        <w:t xml:space="preserve"> P</w:t>
      </w:r>
      <w:r w:rsidRPr="00EB1C3A">
        <w:rPr>
          <w:rFonts w:eastAsia="Times New Roman"/>
        </w:rPr>
        <w:t xml:space="preserve">aul B. Romesser et al., </w:t>
      </w:r>
      <w:r w:rsidRPr="00EB1C3A">
        <w:rPr>
          <w:rFonts w:eastAsia="Times New Roman"/>
          <w:i/>
          <w:iCs/>
        </w:rPr>
        <w:t>Proton Beam Radiation Therapy Results in Significantly Reduced Toxicity Compared with Intensity-Modulated Radiation Therapy for Head and Neck Tumors that Require Ipsilateral Radiation</w:t>
      </w:r>
      <w:r w:rsidRPr="00EB1C3A">
        <w:rPr>
          <w:rFonts w:eastAsia="Times New Roman"/>
        </w:rPr>
        <w:t xml:space="preserve">, 118 </w:t>
      </w:r>
      <w:r w:rsidRPr="00EB1C3A">
        <w:rPr>
          <w:rStyle w:val="SubtleReference"/>
          <w:rFonts w:eastAsia="Times New Roman"/>
        </w:rPr>
        <w:t>Radiotherapy &amp; Oncology</w:t>
      </w:r>
      <w:r w:rsidRPr="00EB1C3A">
        <w:rPr>
          <w:rFonts w:eastAsia="Times New Roman"/>
        </w:rPr>
        <w:t xml:space="preserve"> 286, 286-92 (2016)</w:t>
      </w:r>
      <w:r w:rsidR="0053346C">
        <w:rPr>
          <w:rFonts w:eastAsia="Times New Roman"/>
        </w:rPr>
        <w:t xml:space="preserve">. </w:t>
      </w:r>
    </w:p>
  </w:endnote>
  <w:endnote w:id="85">
    <w:p w14:paraId="086DADB2" w14:textId="78D750C4" w:rsidR="00A97A93" w:rsidRDefault="00A97A93">
      <w:pPr>
        <w:pStyle w:val="EndnoteText"/>
      </w:pPr>
      <w:r>
        <w:rPr>
          <w:rStyle w:val="EndnoteReference"/>
        </w:rPr>
        <w:endnoteRef/>
      </w:r>
      <w:r>
        <w:t xml:space="preserve"> </w:t>
      </w:r>
      <w:r w:rsidRPr="00A97A93">
        <w:t>Frank SJ, Busse PM, Lee JJ, Rosenthal DI, Hernandez M, Swanson DM, Garden AS, Gunn GB, Patel SH, Snider JW, Ma DJ, Molitoris JK, Lee NY, Parvathaneni U, McDonald MW, Kalman NS, Lin A, Mohammed N, Henson C, Hyde C, Bajaj GK, Katz SR, Dagan R, Morrison WH, Reddy JP, Fuller CD, Shah SJ, Phan J, Chronowski GM, Mayo L, Sturgis EM, Ferrarotto R, Zhu XR, Zhang X, Wang L, Hutcheson KA, El-Naggar AK, Moreno AC, Lee A, Spiotto MT, Gross ND, Lai SY, Liao JJ, Paly J, Liao Z, Foote RL; University of Texas MD Anderson Cancer Center Clinical Trial Consortium. Proton versus photon radiotherapy for patients with oropharyngeal cancer in the USA: a multicentre, randomised, open-label, non-inferiority phase 3 trial. Lancet. 2025 Dec 11:S0140-6736(25)01962-2. doi: 10.1016/S0140-6736(25)01962-2. Epub ahead of print. PMID: 41391462.</w:t>
      </w:r>
    </w:p>
  </w:endnote>
  <w:endnote w:id="86">
    <w:p w14:paraId="1616E494" w14:textId="62CD7A52" w:rsidR="00452147" w:rsidRDefault="0037649B">
      <w:pPr>
        <w:pStyle w:val="EndnoteText"/>
      </w:pPr>
      <w:r>
        <w:rPr>
          <w:rStyle w:val="EndnoteReference"/>
        </w:rPr>
        <w:endnoteRef/>
      </w:r>
      <w:r>
        <w:t xml:space="preserve"> </w:t>
      </w:r>
      <w:r w:rsidR="00532D01">
        <w:t xml:space="preserve">Saenz, J. </w:t>
      </w:r>
      <w:hyperlink r:id="rId86" w:history="1">
        <w:r w:rsidR="00532D01" w:rsidRPr="00DD4C33">
          <w:rPr>
            <w:rStyle w:val="Hyperlink"/>
            <w:color w:val="auto"/>
            <w:u w:val="none"/>
          </w:rPr>
          <w:t>Joint study finds proton beam therapy helps patients with throat cancer live longer with fewer side effects.</w:t>
        </w:r>
      </w:hyperlink>
      <w:r w:rsidR="00532D01" w:rsidRPr="00DD4C33">
        <w:t xml:space="preserve"> </w:t>
      </w:r>
      <w:r w:rsidR="00532D01">
        <w:t xml:space="preserve">Mayo Clinic. December 11, 2025. </w:t>
      </w:r>
    </w:p>
    <w:p w14:paraId="6F51DA43" w14:textId="4A9D6AEC" w:rsidR="0037649B" w:rsidRDefault="00452147">
      <w:pPr>
        <w:pStyle w:val="EndnoteText"/>
      </w:pPr>
      <w:hyperlink r:id="rId87" w:history="1">
        <w:r w:rsidRPr="000E7406">
          <w:rPr>
            <w:rStyle w:val="Hyperlink"/>
          </w:rPr>
          <w:t>https://newsnetwork.mayoclinic.org/discussion/joint-study-finds-proton-beam-therapy-helps-patients-with-throat-cancer-live-longer-with-fewer-side-effects/</w:t>
        </w:r>
      </w:hyperlink>
      <w:r>
        <w:t xml:space="preserve"> </w:t>
      </w:r>
    </w:p>
  </w:endnote>
  <w:endnote w:id="87">
    <w:p w14:paraId="473CAAB6" w14:textId="22A424B7" w:rsidR="002768F3" w:rsidRDefault="002768F3">
      <w:pPr>
        <w:pStyle w:val="EndnoteText"/>
      </w:pPr>
      <w:r>
        <w:rPr>
          <w:rStyle w:val="EndnoteReference"/>
        </w:rPr>
        <w:endnoteRef/>
      </w:r>
      <w:r>
        <w:t xml:space="preserve"> </w:t>
      </w:r>
      <w:r w:rsidRPr="002768F3">
        <w:t>Xiang M, Chang DT, Pollom EL. Second cancer risk after primary cancer treatment with three-dimensional conformal, intensity-modulated, or proton beam radiation therapy. Cancer. 2020 Aug 1;126(15):3560-3568. doi: 10.1002/cncr.32938. Epub 2020 May 19. PMID: 32426866.</w:t>
      </w:r>
    </w:p>
  </w:endnote>
  <w:endnote w:id="88">
    <w:p w14:paraId="0A4A93CF" w14:textId="79819832" w:rsidR="00873B54" w:rsidRDefault="00873B54">
      <w:pPr>
        <w:pStyle w:val="EndnoteText"/>
      </w:pPr>
      <w:r>
        <w:rPr>
          <w:rStyle w:val="EndnoteReference"/>
        </w:rPr>
        <w:endnoteRef/>
      </w:r>
      <w:r>
        <w:t xml:space="preserve"> </w:t>
      </w:r>
      <w:r w:rsidRPr="00873B54">
        <w:t>Fontenot JD, Lee AK, Newhauser WD. Risk of secondary malignant neoplasms from proton therapy and intensity-modulated x-ray therapy for early-stage prostate cancer. Int J Radiat Oncol Biol Phys. 2009 Jun 1;74(2):616-22. doi: 10.1016/j.ijrobp.2009.01.001. PMID: 19427561; PMCID: PMC4120808.</w:t>
      </w:r>
    </w:p>
  </w:endnote>
  <w:endnote w:id="89">
    <w:p w14:paraId="7D71C628" w14:textId="69E051A6" w:rsidR="001E30EB" w:rsidRDefault="001E30EB">
      <w:pPr>
        <w:pStyle w:val="EndnoteText"/>
      </w:pPr>
      <w:r>
        <w:rPr>
          <w:rStyle w:val="EndnoteReference"/>
        </w:rPr>
        <w:endnoteRef/>
      </w:r>
      <w:r>
        <w:t xml:space="preserve"> </w:t>
      </w:r>
      <w:r w:rsidR="00F42350" w:rsidRPr="00F42350">
        <w:t>Xiang M, Chang DT, Pollom EL. Second cancer risk after primary cancer treatment with three-dimensional conformal, intensity-modulated, or proton beam radiation therapy. Cancer. 2020 Aug 1;126(15):3560-3568. doi: 10.1002/cncr.32938. Epub 2020 May 19. PMID: 32426866.</w:t>
      </w:r>
    </w:p>
  </w:endnote>
  <w:endnote w:id="90">
    <w:p w14:paraId="06942B03" w14:textId="77777777" w:rsidR="006E7A0F" w:rsidRPr="00EB1C3A" w:rsidRDefault="006E7A0F" w:rsidP="006E7A0F">
      <w:pPr>
        <w:pStyle w:val="EndnoteText"/>
      </w:pPr>
      <w:r w:rsidRPr="00EB1C3A">
        <w:rPr>
          <w:rStyle w:val="EndnoteReference"/>
        </w:rPr>
        <w:endnoteRef/>
      </w:r>
      <w:r w:rsidRPr="00EB1C3A">
        <w:t xml:space="preserve"> Jiang et al, </w:t>
      </w:r>
      <w:r w:rsidRPr="00EB1C3A">
        <w:rPr>
          <w:i/>
          <w:iCs/>
        </w:rPr>
        <w:t xml:space="preserve">Outcomes of </w:t>
      </w:r>
      <w:r>
        <w:rPr>
          <w:i/>
          <w:iCs/>
        </w:rPr>
        <w:t>PBT</w:t>
      </w:r>
      <w:r w:rsidRPr="00EB1C3A">
        <w:rPr>
          <w:i/>
          <w:iCs/>
        </w:rPr>
        <w:t xml:space="preserve"> to Infradiaphragmatic Sites in Pediatric Patients with Hodgkin Lymphoma</w:t>
      </w:r>
      <w:r w:rsidRPr="00EB1C3A">
        <w:t xml:space="preserve">, 71 </w:t>
      </w:r>
      <w:r w:rsidRPr="00EB1C3A">
        <w:rPr>
          <w:smallCaps/>
        </w:rPr>
        <w:t>Pediatric Blood &amp; Cancer</w:t>
      </w:r>
      <w:r w:rsidRPr="00EB1C3A">
        <w:t xml:space="preserve"> 1, 1-10 (2024);</w:t>
      </w:r>
      <w:r w:rsidRPr="00EB1C3A">
        <w:rPr>
          <w:i/>
          <w:iCs/>
        </w:rPr>
        <w:t xml:space="preserve"> see</w:t>
      </w:r>
      <w:r w:rsidRPr="00EB1C3A">
        <w:t xml:space="preserve"> </w:t>
      </w:r>
      <w:r w:rsidRPr="00EB1C3A">
        <w:rPr>
          <w:i/>
          <w:iCs/>
        </w:rPr>
        <w:t>also</w:t>
      </w:r>
      <w:r w:rsidRPr="00EB1C3A">
        <w:t xml:space="preserve"> Christine S. Chung et al., </w:t>
      </w:r>
      <w:r w:rsidRPr="00EB1C3A">
        <w:rPr>
          <w:i/>
          <w:iCs/>
        </w:rPr>
        <w:t>Incidence of Second Malignancies Among Patients Treated with Proton Versus Photon Radiation</w:t>
      </w:r>
      <w:r w:rsidRPr="00EB1C3A">
        <w:t xml:space="preserve">, 87 </w:t>
      </w:r>
      <w:r w:rsidRPr="00EB1C3A">
        <w:rPr>
          <w:smallCaps/>
        </w:rPr>
        <w:t>Int’l J. of Radiation, Oncology, Bioethics, Physics 46, 46-54 (2013)</w:t>
      </w:r>
      <w:r w:rsidRPr="00EB1C3A">
        <w:t>.</w:t>
      </w:r>
    </w:p>
  </w:endnote>
  <w:endnote w:id="91">
    <w:p w14:paraId="7D42D4B3" w14:textId="0066C8E8" w:rsidR="006E7A0F" w:rsidRPr="00EB1C3A" w:rsidRDefault="006E7A0F" w:rsidP="006E7A0F">
      <w:pPr>
        <w:pStyle w:val="EndnoteText"/>
      </w:pPr>
      <w:r w:rsidRPr="00EB1C3A">
        <w:rPr>
          <w:rStyle w:val="EndnoteReference"/>
        </w:rPr>
        <w:endnoteRef/>
      </w:r>
      <w:r w:rsidRPr="00EB1C3A">
        <w:t xml:space="preserve"> For a more comprehensive, tumor-specific bibliography of the clinical applications of Proton Beam Therapy, refer to the extensive review conducted by the National Association of </w:t>
      </w:r>
      <w:r>
        <w:t>PBT</w:t>
      </w:r>
      <w:r w:rsidRPr="00EB1C3A">
        <w:t xml:space="preserve">. </w:t>
      </w:r>
      <w:r w:rsidRPr="00EB1C3A">
        <w:rPr>
          <w:i/>
          <w:iCs/>
        </w:rPr>
        <w:t>See</w:t>
      </w:r>
      <w:r w:rsidRPr="00EB1C3A">
        <w:t xml:space="preserve"> </w:t>
      </w:r>
      <w:hyperlink r:id="rId88" w:history="1">
        <w:r w:rsidRPr="00EB1C3A">
          <w:rPr>
            <w:rStyle w:val="Hyperlink"/>
            <w:i/>
            <w:iCs/>
            <w:color w:val="000000" w:themeColor="text1"/>
          </w:rPr>
          <w:t>Clinical Research</w:t>
        </w:r>
      </w:hyperlink>
      <w:r w:rsidRPr="00EB1C3A">
        <w:rPr>
          <w:color w:val="000000" w:themeColor="text1"/>
        </w:rPr>
        <w:t xml:space="preserve">, </w:t>
      </w:r>
      <w:r w:rsidRPr="00EB1C3A">
        <w:rPr>
          <w:smallCaps/>
          <w:color w:val="000000" w:themeColor="text1"/>
        </w:rPr>
        <w:t xml:space="preserve">The </w:t>
      </w:r>
      <w:r w:rsidRPr="00EB1C3A">
        <w:rPr>
          <w:smallCaps/>
        </w:rPr>
        <w:t xml:space="preserve">Nat’l Ass’n for </w:t>
      </w:r>
      <w:r>
        <w:rPr>
          <w:smallCaps/>
        </w:rPr>
        <w:t>PBT</w:t>
      </w:r>
      <w:r w:rsidRPr="00EB1C3A">
        <w:t xml:space="preserve">, </w:t>
      </w:r>
      <w:hyperlink r:id="rId89" w:history="1">
        <w:r w:rsidRPr="00EB1C3A">
          <w:rPr>
            <w:color w:val="0000FF" w:themeColor="hyperlink"/>
            <w:u w:val="single"/>
          </w:rPr>
          <w:t>https://proton-therapy.org/clinical-research/</w:t>
        </w:r>
      </w:hyperlink>
      <w:r w:rsidRPr="00EB1C3A">
        <w:t xml:space="preserve"> (last visited Feb 26, 2025).</w:t>
      </w:r>
    </w:p>
    <w:p w14:paraId="3ADC46A3" w14:textId="78DA7C80" w:rsidR="006E7A0F" w:rsidRPr="00EB1C3A" w:rsidRDefault="006E7A0F" w:rsidP="006E7A0F">
      <w:pPr>
        <w:pStyle w:val="EndnoteText"/>
      </w:pPr>
      <w:r w:rsidRPr="00EB1C3A">
        <w:rPr>
          <w:rStyle w:val="EndnoteReference"/>
        </w:rPr>
        <w:endnoteRef/>
      </w:r>
      <w:r w:rsidRPr="00EB1C3A">
        <w:t xml:space="preserve"> Jiang et al, </w:t>
      </w:r>
      <w:r w:rsidRPr="00EB1C3A">
        <w:rPr>
          <w:i/>
          <w:iCs/>
        </w:rPr>
        <w:t xml:space="preserve">Outcomes of </w:t>
      </w:r>
      <w:r>
        <w:rPr>
          <w:i/>
          <w:iCs/>
        </w:rPr>
        <w:t>PBT</w:t>
      </w:r>
      <w:r w:rsidRPr="00EB1C3A">
        <w:rPr>
          <w:i/>
          <w:iCs/>
        </w:rPr>
        <w:t xml:space="preserve"> to Infradiaphragmatic Sites in Pediatric Patients with Hodgkin Lymphoma</w:t>
      </w:r>
      <w:r w:rsidRPr="00EB1C3A">
        <w:t xml:space="preserve">, 71 </w:t>
      </w:r>
      <w:r w:rsidRPr="00EB1C3A">
        <w:rPr>
          <w:smallCaps/>
        </w:rPr>
        <w:t>Pediatric Blood &amp; Cancer</w:t>
      </w:r>
      <w:r w:rsidRPr="00EB1C3A">
        <w:t xml:space="preserve"> 1, 1-10 (2024);</w:t>
      </w:r>
      <w:r w:rsidRPr="00EB1C3A">
        <w:rPr>
          <w:i/>
          <w:iCs/>
        </w:rPr>
        <w:t xml:space="preserve"> see</w:t>
      </w:r>
      <w:r w:rsidRPr="00EB1C3A">
        <w:t xml:space="preserve"> </w:t>
      </w:r>
      <w:r w:rsidRPr="00EB1C3A">
        <w:rPr>
          <w:i/>
          <w:iCs/>
        </w:rPr>
        <w:t>also</w:t>
      </w:r>
      <w:r w:rsidRPr="00EB1C3A">
        <w:t xml:space="preserve"> Christine S. Chung et al., </w:t>
      </w:r>
      <w:r w:rsidRPr="00EB1C3A">
        <w:rPr>
          <w:i/>
          <w:iCs/>
        </w:rPr>
        <w:t>Incidence of Second Malignancies Among Patients Treated with Proton Versus Photon Radiation</w:t>
      </w:r>
      <w:r w:rsidRPr="00EB1C3A">
        <w:t xml:space="preserve">, 87 </w:t>
      </w:r>
      <w:r w:rsidRPr="00EB1C3A">
        <w:rPr>
          <w:smallCaps/>
        </w:rPr>
        <w:t>Int’l J. of Radiation, Oncology, Bioethics, Physics 46, 46-54 (2013)</w:t>
      </w:r>
      <w:r w:rsidRPr="00EB1C3A">
        <w:t>.</w:t>
      </w:r>
    </w:p>
  </w:endnote>
  <w:endnote w:id="92">
    <w:p w14:paraId="0930AB47" w14:textId="77777777" w:rsidR="002C4A8E" w:rsidRDefault="002C4A8E" w:rsidP="002C4A8E">
      <w:pPr>
        <w:pStyle w:val="EndnoteText"/>
      </w:pPr>
      <w:r>
        <w:rPr>
          <w:rStyle w:val="EndnoteReference"/>
        </w:rPr>
        <w:endnoteRef/>
      </w:r>
      <w:r>
        <w:t xml:space="preserve"> </w:t>
      </w:r>
      <w:r w:rsidRPr="00F5037B">
        <w:t>Zhang R, Howell RM, Taddei PJ, Giebeler A, Mahajan A, Newhauser WD. A comparative study on the risks of radiogenic second cancers and cardiac mortality in a set of pediatric medulloblastoma patients treated with photon or proton craniospinal irradiation. Radiother Oncol. 2014 Oct;113(1):84-8. doi: 10.1016/j.radonc.2014.07.003. Epub 2014 Aug 12. PMID: 25128084; PMCID: PMC4256116.</w:t>
      </w:r>
    </w:p>
  </w:endnote>
  <w:endnote w:id="93">
    <w:p w14:paraId="316BFE86" w14:textId="77777777" w:rsidR="00E209AC" w:rsidRPr="00E67E9B" w:rsidRDefault="00E209AC" w:rsidP="00E209AC">
      <w:pPr>
        <w:pStyle w:val="EndnoteText"/>
        <w:contextualSpacing/>
        <w:rPr>
          <w:rFonts w:cs="Calibri"/>
        </w:rPr>
      </w:pPr>
      <w:r w:rsidRPr="00E67E9B">
        <w:rPr>
          <w:rStyle w:val="EndnoteReference"/>
          <w:rFonts w:cs="Calibri"/>
        </w:rPr>
        <w:endnoteRef/>
      </w:r>
      <w:r w:rsidRPr="00E67E9B">
        <w:rPr>
          <w:rFonts w:cs="Calibri"/>
          <w:shd w:val="clear" w:color="auto" w:fill="FFFFFF"/>
        </w:rPr>
        <w:t xml:space="preserve"> </w:t>
      </w:r>
      <w:r w:rsidRPr="00E67E9B">
        <w:rPr>
          <w:rFonts w:cs="Calibri"/>
        </w:rPr>
        <w:t xml:space="preserve">Brian C. Baumann, et al. </w:t>
      </w:r>
      <w:hyperlink r:id="rId90" w:history="1">
        <w:r w:rsidRPr="002E4FF0">
          <w:rPr>
            <w:rStyle w:val="Hyperlink"/>
            <w:rFonts w:cs="Calibri"/>
            <w:i/>
            <w:iCs/>
            <w:color w:val="000000" w:themeColor="text1"/>
          </w:rPr>
          <w:t>Comparative Effectiveness of Proton vs Photon Therapy as Part of Concurrent Chemoradiotherapy for Locally Advanced Cancer</w:t>
        </w:r>
      </w:hyperlink>
      <w:r w:rsidRPr="002E4FF0">
        <w:rPr>
          <w:rFonts w:cs="Calibri"/>
          <w:color w:val="000000" w:themeColor="text1"/>
        </w:rPr>
        <w:t xml:space="preserve">, </w:t>
      </w:r>
      <w:r w:rsidRPr="00E67E9B">
        <w:rPr>
          <w:rStyle w:val="SubtleReference"/>
          <w:rFonts w:cs="Calibri"/>
        </w:rPr>
        <w:t>6 JAMA Oncology 237</w:t>
      </w:r>
      <w:r w:rsidRPr="00E67E9B">
        <w:rPr>
          <w:rFonts w:cs="Calibri"/>
          <w:i/>
          <w:iCs/>
        </w:rPr>
        <w:t>,</w:t>
      </w:r>
      <w:r w:rsidRPr="00E67E9B">
        <w:rPr>
          <w:rFonts w:cs="Calibri"/>
        </w:rPr>
        <w:t xml:space="preserve"> 237–246 (2019), </w:t>
      </w:r>
      <w:hyperlink r:id="rId91" w:history="1">
        <w:r w:rsidRPr="00E67E9B">
          <w:rPr>
            <w:rStyle w:val="Hyperlink"/>
            <w:rFonts w:cs="Calibri"/>
          </w:rPr>
          <w:t>https://pubmed.ncbi.nlm.nih.gov/31876914/</w:t>
        </w:r>
      </w:hyperlink>
      <w:r w:rsidRPr="00E67E9B">
        <w:rPr>
          <w:rFonts w:cs="Calibri"/>
        </w:rPr>
        <w:t xml:space="preserve">. </w:t>
      </w:r>
    </w:p>
  </w:endnote>
  <w:endnote w:id="94">
    <w:p w14:paraId="3CF081C3" w14:textId="77777777" w:rsidR="00AB5B11" w:rsidRDefault="00AB5B11" w:rsidP="00AB5B11">
      <w:pPr>
        <w:pStyle w:val="EndnoteText"/>
      </w:pPr>
      <w:r>
        <w:rPr>
          <w:rStyle w:val="EndnoteReference"/>
        </w:rPr>
        <w:endnoteRef/>
      </w:r>
      <w:r>
        <w:t xml:space="preserve"> </w:t>
      </w:r>
      <w:r w:rsidRPr="00A04576">
        <w:t>Suneja G, Poorvu PD, Hill-Kayser C, Lustig RA. Acute toxicity of proton beam radiation for pediatric central nervous system malignancies. Pediatr Blood Cancer. 2013 Sep;60(9):1431-6. doi: 10.1002/pbc.24554. Epub 2013 Apr 22. PMID: 23610011.</w:t>
      </w:r>
    </w:p>
  </w:endnote>
  <w:endnote w:id="95">
    <w:p w14:paraId="42AFC094" w14:textId="77777777" w:rsidR="00466260" w:rsidRDefault="00466260" w:rsidP="00466260">
      <w:pPr>
        <w:pStyle w:val="EndnoteText"/>
      </w:pPr>
      <w:r>
        <w:rPr>
          <w:rStyle w:val="EndnoteReference"/>
        </w:rPr>
        <w:endnoteRef/>
      </w:r>
      <w:r>
        <w:t xml:space="preserve"> </w:t>
      </w:r>
      <w:r w:rsidRPr="00552CC2">
        <w:t>DeNunzio NJ, Yock TI. Modern Radiotherapy for Pediatric Brain Tumors. Cancers (Basel). 2020 Jun 11;12(6):1533. doi: 10.3390/cancers12061533. PMID: 32545204; PMCID: PMC7352417.</w:t>
      </w:r>
    </w:p>
  </w:endnote>
  <w:endnote w:id="96">
    <w:p w14:paraId="493BEEEA" w14:textId="77777777" w:rsidR="00391358" w:rsidRDefault="00391358" w:rsidP="00391358">
      <w:pPr>
        <w:pStyle w:val="EndnoteText"/>
      </w:pPr>
      <w:r>
        <w:rPr>
          <w:rStyle w:val="EndnoteReference"/>
        </w:rPr>
        <w:endnoteRef/>
      </w:r>
      <w:r>
        <w:t xml:space="preserve"> </w:t>
      </w:r>
      <w:r w:rsidRPr="00C41E51">
        <w:t>Simone CB 2nd, Plastaras JP, Jabbour SK, Lee A, Lee NY, Choi JI, Frank SJ, Chang JY, Bradley J. Proton Reirradiation: Expert Recommendations for Reducing Toxicities and Offering New Chances of Cure in Patients With Challenging Recurrence Malignancies. Semin Radiat Oncol. 2020 Jul;30(3):253-261. doi: 10.1016/j.semradonc.2020.02.007. PMID: 32503791; PMCID: PMC10870390.</w:t>
      </w:r>
    </w:p>
  </w:endnote>
  <w:endnote w:id="97">
    <w:p w14:paraId="5E253750" w14:textId="77777777" w:rsidR="00391358" w:rsidRDefault="00391358" w:rsidP="00391358">
      <w:pPr>
        <w:pStyle w:val="EndnoteText"/>
      </w:pPr>
      <w:r>
        <w:rPr>
          <w:rStyle w:val="EndnoteReference"/>
        </w:rPr>
        <w:endnoteRef/>
      </w:r>
      <w:r>
        <w:t xml:space="preserve"> </w:t>
      </w:r>
      <w:r w:rsidRPr="00282E9D">
        <w:t>McDonald MW, Zolali-Meybodi O, Lehnert SJ, Estabrook NC, Liu Y, Cohen-Gadol AA, Moore MG. Reirradiation of Recurrent and Second Primary Head and Neck Cancer With Proton Therapy. Int J Radiat Oncol Biol Phys. 2016 Nov 15;96(4):808-819. doi: 10.1016/j.ijrobp.2016.07.037. Epub 2016 Aug 3. PMID: 27788954.</w:t>
      </w:r>
    </w:p>
  </w:endnote>
  <w:endnote w:id="98">
    <w:p w14:paraId="54C7E229" w14:textId="77777777" w:rsidR="00391358" w:rsidRDefault="00391358" w:rsidP="00391358">
      <w:pPr>
        <w:pStyle w:val="EndnoteText"/>
      </w:pPr>
      <w:r>
        <w:rPr>
          <w:rStyle w:val="EndnoteReference"/>
        </w:rPr>
        <w:endnoteRef/>
      </w:r>
      <w:r>
        <w:t xml:space="preserve"> </w:t>
      </w:r>
      <w:r w:rsidRPr="009116A1">
        <w:t>Lee A, Woods R, Mahfouz A, Kitpanit S, Cartano O, Mohamed N, Youssef I, Marqueen K, Sine K, Mah D, Neal B, Zakeri K, Kang JJ, Riaz N, Yu Y, McBride SM, Chen LD, Tsai CJ, Gelblum DY, Press RH, Michel LS, Sherman EJ, Pfister D, Dunn LA, Ho AL, Fetten J, Wong RJ, Boyle JO, Singh B, Cracchiolo JR, Ganly I, Cohen MA, Lee NY. Evaluation of Proton Therapy Reirradiation for Patients With Recurrent Head and Neck Squamous Cell Carcinoma. JAMA Netw Open. 2023 Jan 3;6(1):e2250607. doi: 10.1001/jamanetworkopen.2022.50607. PMID: 36689229; PMCID: PMC9871797.</w:t>
      </w:r>
    </w:p>
  </w:endnote>
  <w:endnote w:id="99">
    <w:p w14:paraId="1DF2933F" w14:textId="77777777" w:rsidR="00DB468C" w:rsidRPr="00E67E9B" w:rsidRDefault="00DB468C" w:rsidP="00DB468C">
      <w:pPr>
        <w:pStyle w:val="EndnoteText"/>
        <w:contextualSpacing/>
        <w:rPr>
          <w:rFonts w:cs="Calibri"/>
        </w:rPr>
      </w:pPr>
      <w:r w:rsidRPr="00E67E9B">
        <w:rPr>
          <w:rStyle w:val="EndnoteReference"/>
          <w:rFonts w:cs="Calibri"/>
        </w:rPr>
        <w:endnoteRef/>
      </w:r>
      <w:r w:rsidRPr="00E67E9B">
        <w:rPr>
          <w:rFonts w:cs="Calibri"/>
        </w:rPr>
        <w:t xml:space="preserve"> Vivek Verma et al., </w:t>
      </w:r>
      <w:hyperlink r:id="rId92" w:history="1">
        <w:r w:rsidRPr="00E67E9B">
          <w:rPr>
            <w:rStyle w:val="Hyperlink"/>
            <w:rFonts w:cs="Calibri"/>
            <w:i/>
            <w:iCs/>
          </w:rPr>
          <w:t>Quality of Life and Patient-Reported Outcomes Following Proton Radiation Therapy: A Systematic Review</w:t>
        </w:r>
      </w:hyperlink>
      <w:r w:rsidRPr="00E67E9B">
        <w:rPr>
          <w:rFonts w:cs="Calibri"/>
        </w:rPr>
        <w:t xml:space="preserve">, 110 J. OF THE NAT’L CANCER INST. 341, 341-53 (2018), </w:t>
      </w:r>
      <w:hyperlink r:id="rId93" w:history="1">
        <w:r w:rsidRPr="00E67E9B">
          <w:rPr>
            <w:rStyle w:val="Hyperlink"/>
            <w:rFonts w:cs="Calibri"/>
          </w:rPr>
          <w:t>https://pubmed.ncbi.nlm.nih.gov/29028221/</w:t>
        </w:r>
      </w:hyperlink>
      <w:r w:rsidRPr="00E67E9B">
        <w:rPr>
          <w:rFonts w:cs="Calibri"/>
        </w:rPr>
        <w:t>.</w:t>
      </w:r>
    </w:p>
  </w:endnote>
  <w:endnote w:id="100">
    <w:p w14:paraId="2C893EB5" w14:textId="1921BAD8" w:rsidR="001F236F" w:rsidRDefault="001F236F">
      <w:pPr>
        <w:pStyle w:val="EndnoteText"/>
      </w:pPr>
      <w:r>
        <w:rPr>
          <w:rStyle w:val="EndnoteReference"/>
        </w:rPr>
        <w:endnoteRef/>
      </w:r>
      <w:r>
        <w:t xml:space="preserve"> </w:t>
      </w:r>
      <w:r w:rsidR="00283D26" w:rsidRPr="00283D26">
        <w:t>Smith GL, Fu S, Ning MS, Nguyen DK, Busse PM, Foote RL, Garden AS, Gunn GB, Fuller CD, Morrison WH, Chronowski GM, Shah SJ, Mayo LL, Phan J, Reddy JP, Snider JW 3rd, Patel SH, Katz SR, Lin A, Mohammed N, Dagan R, Lee NY, Rosenthal DI, Frank SJ. Work Outcomes after Intensity-Modulated Proton Therapy (IMPT) versus Intensity-Modulated Photon Therapy (IMRT) for Oropharyngeal Cancer. Int J Part Ther. 2021 Jun 25;8(1):319-327. doi: 10.14338/IJPT-20-00067.1. PMID: 34285958; PMCID: PMC8270077.</w:t>
      </w:r>
    </w:p>
  </w:endnote>
  <w:endnote w:id="101">
    <w:p w14:paraId="7E079ACB" w14:textId="77777777" w:rsidR="00DB468C" w:rsidRDefault="00DB468C" w:rsidP="00DB468C">
      <w:pPr>
        <w:pStyle w:val="EndnoteText"/>
      </w:pPr>
      <w:r>
        <w:rPr>
          <w:rStyle w:val="EndnoteReference"/>
        </w:rPr>
        <w:endnoteRef/>
      </w:r>
      <w:r>
        <w:t xml:space="preserve"> </w:t>
      </w:r>
      <w:r w:rsidRPr="00ED0DF7">
        <w:t>Yock TI, Bhat S, Szymonifka J, Yeap BY, Delahaye J, Donaldson SS, MacDonald SM, Pulsifer MB, Hill KS, DeLaney TF, Ebb D, Huang M, Tarbell NJ, Fisher PG, Kuhlthau KA. Quality of life outcomes in proton and photon treated pediatric brain tumor survivors. Radiother Oncol. 2014 Oct;113(1):89-94. doi: 10.1016/j.radonc.2014.08.017. Epub 2014 Oct 7. PMID: 25304720; PMCID: PMC4288853.</w:t>
      </w:r>
    </w:p>
  </w:endnote>
  <w:endnote w:id="102">
    <w:p w14:paraId="4F957B4E" w14:textId="77777777" w:rsidR="00EA35BB" w:rsidRDefault="00EA35BB" w:rsidP="00EA35BB">
      <w:pPr>
        <w:pStyle w:val="EndnoteText"/>
      </w:pPr>
      <w:r>
        <w:rPr>
          <w:rStyle w:val="EndnoteReference"/>
        </w:rPr>
        <w:endnoteRef/>
      </w:r>
      <w:r>
        <w:t xml:space="preserve"> </w:t>
      </w:r>
      <w:r w:rsidRPr="00937256">
        <w:t>Labban M, Chen C, Frego N, et al. Disparities in Travel-Related Barriers to Accessing Health Care From the 2017 National Household Travel Survey. JAMA Netw Open. 2023;6(7):e2325291. doi:10.1001/jamanetworkopen.2023.25291</w:t>
      </w:r>
    </w:p>
  </w:endnote>
  <w:endnote w:id="103">
    <w:p w14:paraId="5C30D887" w14:textId="77777777" w:rsidR="005363CD" w:rsidRDefault="005363CD" w:rsidP="005363CD">
      <w:pPr>
        <w:pStyle w:val="EndnoteText"/>
      </w:pPr>
      <w:r>
        <w:rPr>
          <w:rStyle w:val="EndnoteReference"/>
        </w:rPr>
        <w:endnoteRef/>
      </w:r>
      <w:r>
        <w:t xml:space="preserve"> </w:t>
      </w:r>
      <w:r w:rsidRPr="00786F36">
        <w:t>Cao C, Yang L, Schmitz KH, Ligibel JA. Prevalence and Cancer-Specific Patterns of Functional Disability Among US Cancer Survivors, 2017-2022. J Clin Oncol. 2024 Jul 1;42(19):2257-2270. doi: 10.1200/JCO.23.02536. Epub 2024 Apr 4. PMID: 38574313; PMCID: PMC11470834.</w:t>
      </w:r>
    </w:p>
  </w:endnote>
  <w:endnote w:id="104">
    <w:p w14:paraId="58EFA2FC" w14:textId="77777777" w:rsidR="005363CD" w:rsidRDefault="005363CD" w:rsidP="005363CD">
      <w:pPr>
        <w:pStyle w:val="EndnoteText"/>
      </w:pPr>
      <w:r>
        <w:rPr>
          <w:rStyle w:val="EndnoteReference"/>
        </w:rPr>
        <w:endnoteRef/>
      </w:r>
      <w:r>
        <w:t xml:space="preserve"> </w:t>
      </w:r>
      <w:r w:rsidRPr="00786F36">
        <w:t>Cao C, Yang L, Schmitz KH, Ligibel JA. Prevalence and Cancer-Specific Patterns of Functional Disability Among US Cancer Survivors, 2017-2022. J Clin Oncol. 2024 Jul 1;42(19):2257-2270. doi: 10.1200/JCO.23.02536. Epub 2024 Apr 4. PMID: 38574313; PMCID: PMC11470834.</w:t>
      </w:r>
    </w:p>
  </w:endnote>
  <w:endnote w:id="105">
    <w:p w14:paraId="65A19ECC" w14:textId="56C3B95A" w:rsidR="00FF54C7" w:rsidRDefault="00FF54C7" w:rsidP="00FF54C7">
      <w:pPr>
        <w:pStyle w:val="EndnoteText"/>
      </w:pPr>
      <w:r>
        <w:rPr>
          <w:rStyle w:val="EndnoteReference"/>
        </w:rPr>
        <w:endnoteRef/>
      </w:r>
      <w:r>
        <w:t xml:space="preserve"> </w:t>
      </w:r>
      <w:hyperlink r:id="rId94" w:history="1">
        <w:r w:rsidRPr="009D755D">
          <w:rPr>
            <w:rStyle w:val="Hyperlink"/>
            <w:color w:val="auto"/>
            <w:u w:val="none"/>
          </w:rPr>
          <w:t>Community Engagement Standards for Community Health Planning Guideline.</w:t>
        </w:r>
      </w:hyperlink>
      <w:r w:rsidRPr="009D755D">
        <w:t xml:space="preserve"> </w:t>
      </w:r>
      <w:hyperlink r:id="rId95" w:history="1">
        <w:r w:rsidRPr="0030685A">
          <w:rPr>
            <w:rStyle w:val="Hyperlink"/>
          </w:rPr>
          <w:t>https://www.mass.gov/doc/communityengagement-guidelines-for-community-health-planning-pdf/download</w:t>
        </w:r>
      </w:hyperlink>
      <w:r>
        <w:t xml:space="preserve"> </w:t>
      </w:r>
    </w:p>
  </w:endnote>
  <w:endnote w:id="106">
    <w:p w14:paraId="49956562" w14:textId="2D0A46A6" w:rsidR="00FF54C7" w:rsidRDefault="00FF54C7">
      <w:pPr>
        <w:pStyle w:val="EndnoteText"/>
      </w:pPr>
      <w:r>
        <w:rPr>
          <w:rStyle w:val="EndnoteReference"/>
        </w:rPr>
        <w:endnoteRef/>
      </w:r>
      <w:r>
        <w:t xml:space="preserve"> </w:t>
      </w:r>
      <w:hyperlink r:id="rId96" w:history="1">
        <w:r w:rsidR="00E96501" w:rsidRPr="009D755D">
          <w:rPr>
            <w:rStyle w:val="Hyperlink"/>
            <w:color w:val="auto"/>
            <w:u w:val="none"/>
          </w:rPr>
          <w:t>DoN Regulation 100.210 (A)(1)(e).</w:t>
        </w:r>
      </w:hyperlink>
      <w:r w:rsidR="00E96501" w:rsidRPr="009D755D">
        <w:t xml:space="preserve"> </w:t>
      </w:r>
      <w:r w:rsidR="00E96501" w:rsidRPr="00E96501">
        <w:t xml:space="preserve">at </w:t>
      </w:r>
      <w:hyperlink r:id="rId97" w:history="1">
        <w:r w:rsidR="00E96501" w:rsidRPr="0030685A">
          <w:rPr>
            <w:rStyle w:val="Hyperlink"/>
          </w:rPr>
          <w:t>https://www.mass.gov/files/documents/2018/12/31/jud-lib-105cmr100.pdf</w:t>
        </w:r>
      </w:hyperlink>
      <w:r w:rsidR="00E96501">
        <w:t xml:space="preserve"> </w:t>
      </w:r>
    </w:p>
  </w:endnote>
  <w:endnote w:id="107">
    <w:p w14:paraId="3094264F" w14:textId="77777777" w:rsidR="0064365F" w:rsidRDefault="0064365F" w:rsidP="0064365F">
      <w:pPr>
        <w:pStyle w:val="EndnoteText"/>
      </w:pPr>
      <w:r>
        <w:rPr>
          <w:rStyle w:val="EndnoteReference"/>
        </w:rPr>
        <w:endnoteRef/>
      </w:r>
      <w:r>
        <w:t xml:space="preserve"> Massachusetts Health Policy Commission. </w:t>
      </w:r>
      <w:r w:rsidRPr="00DD73FE">
        <w:t>CMIR Report - Dana-Farber Cancer Institute, Beth Israel Deaconess Medical Center, and Harvard Medical Faculty Physicians (HPC-CMIR-2024-1)</w:t>
      </w:r>
      <w:r>
        <w:t xml:space="preserve">. </w:t>
      </w:r>
      <w:r w:rsidRPr="00274919">
        <w:t>https://masshpc.gov/publications/market-oversight-report/cmir-report-dana-farber-cancer-institute-beth</w:t>
      </w:r>
    </w:p>
  </w:endnote>
  <w:endnote w:id="108">
    <w:p w14:paraId="19469CAB" w14:textId="77777777" w:rsidR="00396F75" w:rsidRDefault="00396F75" w:rsidP="00396F75">
      <w:pPr>
        <w:pStyle w:val="EndnoteText"/>
      </w:pPr>
      <w:r>
        <w:rPr>
          <w:rStyle w:val="EndnoteReference"/>
        </w:rPr>
        <w:endnoteRef/>
      </w:r>
      <w:r>
        <w:t xml:space="preserve"> </w:t>
      </w:r>
      <w:r w:rsidRPr="00BE2A8E">
        <w:t>Bharathi R P, Ms A, Kamath A. A Systematic Review of the Economic Burden of Proton Therapy in Head and Neck Cancer. Asian Pac J Cancer Prev. 2023 Nov 1;24(11):3643-3653. doi: 10.31557/APJCP.2023.24.11.3643. PMID: 38019221; PMCID: PMC10772765.</w:t>
      </w:r>
    </w:p>
  </w:endnote>
  <w:endnote w:id="109">
    <w:p w14:paraId="10737243" w14:textId="221B4972" w:rsidR="00E63409" w:rsidRDefault="00E63409">
      <w:pPr>
        <w:pStyle w:val="EndnoteText"/>
      </w:pPr>
      <w:r>
        <w:rPr>
          <w:rStyle w:val="EndnoteReference"/>
        </w:rPr>
        <w:endnoteRef/>
      </w:r>
      <w:r>
        <w:t xml:space="preserve"> </w:t>
      </w:r>
      <w:r w:rsidR="00B620A9" w:rsidRPr="00B620A9">
        <w:t>Mailhot Vega RB, Kim J, Bussière M, Hattangadi J, Hollander A, Michalski J, Tarbell NJ, Yock T, MacDonald SM. Cost effectiveness of proton therapy compared with photon therapy in the management of pediatric medulloblastoma. Cancer. 2013 Dec 15;119(24):4299-307. doi: 10.1002/cncr.28322. Epub 2013 Sep 16. PMID: 24105630.</w:t>
      </w:r>
    </w:p>
  </w:endnote>
  <w:endnote w:id="110">
    <w:p w14:paraId="04EBDDAE" w14:textId="77777777" w:rsidR="00B10A68" w:rsidRDefault="00B10A68" w:rsidP="00B10A68">
      <w:pPr>
        <w:pStyle w:val="EndnoteText"/>
      </w:pPr>
      <w:r>
        <w:rPr>
          <w:rStyle w:val="EndnoteReference"/>
        </w:rPr>
        <w:endnoteRef/>
      </w:r>
      <w:r>
        <w:t xml:space="preserve"> </w:t>
      </w:r>
      <w:r w:rsidRPr="00B620A9">
        <w:t>Mailhot Vega RB, Kim J, Bussière M, Hattangadi J, Hollander A, Michalski J, Tarbell NJ, Yock T, MacDonald SM. Cost effectiveness of proton therapy compared with photon therapy in the management of pediatric medulloblastoma. Cancer. 2013 Dec 15;119(24):4299-307. doi: 10.1002/cncr.28322. Epub 2013 Sep 16. PMID: 24105630.</w:t>
      </w:r>
    </w:p>
  </w:endnote>
  <w:endnote w:id="111">
    <w:p w14:paraId="237460BA" w14:textId="572227FF" w:rsidR="009E60DC" w:rsidRDefault="009E60DC">
      <w:pPr>
        <w:pStyle w:val="EndnoteText"/>
      </w:pPr>
      <w:r>
        <w:rPr>
          <w:rStyle w:val="EndnoteReference"/>
        </w:rPr>
        <w:endnoteRef/>
      </w:r>
      <w:r>
        <w:t xml:space="preserve"> </w:t>
      </w:r>
      <w:r w:rsidR="00FE5868" w:rsidRPr="00FE5868">
        <w:t>Ning MS, Palmer MB, Shah AK, Chambers LC, Garlock LB, Melson BB, Frank SJ. Three-Year Results of a Prospective Statewide Insurance Coverage Pilot for Proton Therapy: Stakeholder Collaboration Improves Patient Access to Care. JCO Oncol Pract. 2020 Sep;16(9):e966-e976. doi: 10.1200/JOP.19.00437. Epub 2020 Apr 17. PMID: 32302271; PMCID: PMC8462618.</w:t>
      </w:r>
    </w:p>
  </w:endnote>
  <w:endnote w:id="112">
    <w:p w14:paraId="6C15E2CA" w14:textId="29512C91" w:rsidR="00195FFD" w:rsidRDefault="00195FFD">
      <w:pPr>
        <w:pStyle w:val="EndnoteText"/>
      </w:pPr>
      <w:r>
        <w:rPr>
          <w:rStyle w:val="EndnoteReference"/>
        </w:rPr>
        <w:endnoteRef/>
      </w:r>
      <w:r>
        <w:t xml:space="preserve"> </w:t>
      </w:r>
      <w:r w:rsidR="00D12D9A" w:rsidRPr="00D12D9A">
        <w:t>Schippers JM, Lomax A, Garonna A, Parodi K. Can Technological Improvements Reduce the Cost of Proton Radiation Therapy? Semin Radiat Oncol. 2018 Apr;28(2):150-159. doi: 10.1016/j.semradonc.2017.11.007. PMID: 29735191.</w:t>
      </w:r>
    </w:p>
  </w:endnote>
  <w:endnote w:id="113">
    <w:p w14:paraId="577261ED" w14:textId="2C9F258F" w:rsidR="00B05D85" w:rsidRPr="003A6DED" w:rsidRDefault="00B05D85">
      <w:pPr>
        <w:pStyle w:val="EndnoteText"/>
      </w:pPr>
      <w:r w:rsidRPr="003A6DED">
        <w:rPr>
          <w:rStyle w:val="EndnoteReference"/>
        </w:rPr>
        <w:endnoteRef/>
      </w:r>
      <w:r w:rsidRPr="003A6DED">
        <w:t xml:space="preserve"> </w:t>
      </w:r>
      <w:r w:rsidR="00015118" w:rsidRPr="003A6DED">
        <w:t xml:space="preserve">HealthCareBusiness. </w:t>
      </w:r>
      <w:r w:rsidR="0008295D" w:rsidRPr="003A6DED">
        <w:t xml:space="preserve">Fischer, John R. </w:t>
      </w:r>
      <w:hyperlink r:id="rId98" w:history="1">
        <w:r w:rsidR="0008295D" w:rsidRPr="00A20041">
          <w:rPr>
            <w:rStyle w:val="Hyperlink"/>
            <w:i/>
            <w:iCs/>
            <w:color w:val="auto"/>
            <w:u w:val="none"/>
          </w:rPr>
          <w:t>Pursuing lower costs and greater access to proton therapy</w:t>
        </w:r>
      </w:hyperlink>
      <w:r w:rsidR="0008295D" w:rsidRPr="00A20041">
        <w:t xml:space="preserve">. October </w:t>
      </w:r>
      <w:r w:rsidR="0008295D" w:rsidRPr="003A6DED">
        <w:t xml:space="preserve">3, 2022. </w:t>
      </w:r>
    </w:p>
    <w:p w14:paraId="544054F1" w14:textId="7795AF54" w:rsidR="0008295D" w:rsidRDefault="008B7D67">
      <w:pPr>
        <w:pStyle w:val="EndnoteText"/>
      </w:pPr>
      <w:hyperlink r:id="rId99" w:history="1">
        <w:r w:rsidRPr="003A6DED">
          <w:rPr>
            <w:rStyle w:val="Hyperlink"/>
          </w:rPr>
          <w:t>https://www.dotmed.com/news/story/58829</w:t>
        </w:r>
      </w:hyperlink>
      <w:r>
        <w:t xml:space="preserve"> </w:t>
      </w:r>
    </w:p>
  </w:endnote>
  <w:endnote w:id="114">
    <w:p w14:paraId="31D9ECA0" w14:textId="4987122B" w:rsidR="00FB1E54" w:rsidRDefault="00FB1E54">
      <w:pPr>
        <w:pStyle w:val="EndnoteText"/>
      </w:pPr>
      <w:r>
        <w:rPr>
          <w:rStyle w:val="EndnoteReference"/>
        </w:rPr>
        <w:endnoteRef/>
      </w:r>
      <w:r>
        <w:t xml:space="preserve"> </w:t>
      </w:r>
      <w:r w:rsidR="00956B70" w:rsidRPr="00956B70">
        <w:t>Verma V, Mishra MV, Mehta MP. A systematic review of the cost and cost-effectiveness studies of proton radiotherapy. Cancer. 2016 May 15;122(10):1483-501. doi: 10.1002/cncr.29882. Epub 2016 Feb 1. PMID: 26828647.</w:t>
      </w:r>
    </w:p>
  </w:endnote>
  <w:endnote w:id="115">
    <w:p w14:paraId="29DC69C7" w14:textId="38256982" w:rsidR="002E3797" w:rsidRDefault="002E3797">
      <w:pPr>
        <w:pStyle w:val="EndnoteText"/>
      </w:pPr>
      <w:r>
        <w:rPr>
          <w:rStyle w:val="EndnoteReference"/>
        </w:rPr>
        <w:endnoteRef/>
      </w:r>
      <w:r>
        <w:t xml:space="preserve"> </w:t>
      </w:r>
      <w:r w:rsidR="00B20157" w:rsidRPr="00B20157">
        <w:t>Cargill KR, Feder NM, Wilhite T, Gellad WF, Skinner HD, Mowery YM, Wilke CT. Price transparency compliance and variation for proton therapy in the United States. Cancer Lett. 2026 Mar 1;640:218260. doi: 10.1016/j.canlet.2026.218260. Epub 2026 Jan 16. PMID: 41548863.</w:t>
      </w:r>
    </w:p>
  </w:endnote>
  <w:endnote w:id="116">
    <w:p w14:paraId="7025E517" w14:textId="77777777" w:rsidR="00A02E92" w:rsidRDefault="00A02E92" w:rsidP="00A02E92">
      <w:pPr>
        <w:pStyle w:val="EndnoteText"/>
      </w:pPr>
      <w:r>
        <w:rPr>
          <w:rStyle w:val="EndnoteReference"/>
        </w:rPr>
        <w:endnoteRef/>
      </w:r>
      <w:r>
        <w:t xml:space="preserve"> </w:t>
      </w:r>
      <w:r w:rsidRPr="00B20157">
        <w:t>Cargill KR, Feder NM, Wilhite T, Gellad WF, Skinner HD, Mowery YM, Wilke CT. Price transparency compliance and variation for proton therapy in the United States. Cancer Lett. 2026 Mar 1;640:218260. doi: 10.1016/j.canlet.2026.218260. Epub 2026 Jan 16. PMID: 41548863.</w:t>
      </w:r>
    </w:p>
  </w:endnote>
  <w:endnote w:id="117">
    <w:p w14:paraId="3DC630DD" w14:textId="05B09DF0" w:rsidR="00C9195E" w:rsidRDefault="00C9195E">
      <w:pPr>
        <w:pStyle w:val="EndnoteText"/>
      </w:pPr>
      <w:r>
        <w:rPr>
          <w:rStyle w:val="EndnoteReference"/>
        </w:rPr>
        <w:endnoteRef/>
      </w:r>
      <w:r>
        <w:t xml:space="preserve"> </w:t>
      </w:r>
      <w:r w:rsidR="0084037C" w:rsidRPr="0084037C">
        <w:t>Bharathi R P, Ms A, Kamath A. A Systematic Review of the Economic Burden of Proton Therapy in Head and Neck Cancer. Asian Pac J Cancer Prev. 2023 Nov 1;24(11):3643-3653. doi: 10.31557/APJCP.2023.24.11.3643. PMID: 38019221; PMCID: PMC10772765.</w:t>
      </w:r>
    </w:p>
  </w:endnote>
  <w:endnote w:id="118">
    <w:p w14:paraId="49416D44" w14:textId="77777777" w:rsidR="002C18A7" w:rsidRDefault="00C918DC" w:rsidP="00C918DC">
      <w:pPr>
        <w:pStyle w:val="EndnoteText"/>
      </w:pPr>
      <w:r>
        <w:rPr>
          <w:rStyle w:val="EndnoteReference"/>
        </w:rPr>
        <w:endnoteRef/>
      </w:r>
    </w:p>
    <w:p w14:paraId="298522C6" w14:textId="06986CCF" w:rsidR="00C918DC" w:rsidRDefault="00C918DC">
      <w:pPr>
        <w:pStyle w:val="EndnoteText"/>
      </w:pPr>
      <w:r>
        <w:t xml:space="preserve"> </w:t>
      </w:r>
      <w:r w:rsidR="000A5ED2" w:rsidRPr="000A5ED2">
        <w:t>Ning MS, Palmer MB, Shah AK, Chambers LC, Garlock LB, Melson BB, Frank SJ. Three-Year Results of a Prospective Statewide Insurance Coverage Pilot for Proton Therapy: Stakeholder Collaboration Improves Patient Access to Care. JCO Oncol Pract. 2020 Sep;16(9):e966-e976. doi: 10.1200/JOP.19.00437. Epub 2020 Apr 17. PMID: 32302271; PMCID: PMC8462618.</w:t>
      </w:r>
    </w:p>
  </w:endnote>
  <w:endnote w:id="119">
    <w:p w14:paraId="0EA4ACA7" w14:textId="7393C278" w:rsidR="002C18A7" w:rsidRDefault="00EF696D">
      <w:pPr>
        <w:pStyle w:val="EndnoteText"/>
      </w:pPr>
      <w:r>
        <w:rPr>
          <w:rStyle w:val="EndnoteReference"/>
        </w:rPr>
        <w:endnoteRef/>
      </w:r>
    </w:p>
    <w:p w14:paraId="4A9B80F9" w14:textId="603C78B6" w:rsidR="00EF696D" w:rsidRDefault="00EF696D" w:rsidP="00EF696D">
      <w:pPr>
        <w:pStyle w:val="EndnoteText"/>
      </w:pPr>
      <w:r>
        <w:t xml:space="preserve"> </w:t>
      </w:r>
      <w:r w:rsidRPr="0084037C">
        <w:t>Bharathi R P, Ms A, Kamath A. A Systematic Review of the Economic Burden of Proton Therapy in Head and Neck Cancer. Asian Pac J Cancer Prev. 2023 Nov 1;24(11):3643-3653. doi: 10.31557/APJCP.2023.24.11.3643. PMID: 38019221; PMCID: PMC10772765.</w:t>
      </w:r>
    </w:p>
  </w:endnote>
  <w:endnote w:id="120">
    <w:p w14:paraId="64AFBF1B" w14:textId="7BC29C01" w:rsidR="00A70C1E" w:rsidRDefault="00A70C1E">
      <w:pPr>
        <w:pStyle w:val="EndnoteText"/>
      </w:pPr>
      <w:r>
        <w:rPr>
          <w:rStyle w:val="EndnoteReference"/>
        </w:rPr>
        <w:endnoteRef/>
      </w:r>
      <w:r>
        <w:t xml:space="preserve"> </w:t>
      </w:r>
      <w:r w:rsidR="001667DB" w:rsidRPr="001667DB">
        <w:t>Chen Z, Dominello MM, Joiner MC, Burmeister JW. Proton versus photon radiation therapy: A clinical review. Front Oncol. 2023 Mar 29;13:1133909. doi: 10.3389/fonc.2023.1133909. PMID: 37064131; PMCID: PMC10091462.</w:t>
      </w:r>
    </w:p>
  </w:endnote>
  <w:endnote w:id="121">
    <w:p w14:paraId="0D645519" w14:textId="77777777" w:rsidR="00682D04" w:rsidRDefault="00682D04" w:rsidP="00682D04">
      <w:pPr>
        <w:pStyle w:val="EndnoteText"/>
      </w:pPr>
      <w:r>
        <w:rPr>
          <w:rStyle w:val="EndnoteReference"/>
        </w:rPr>
        <w:endnoteRef/>
      </w:r>
      <w:r>
        <w:t xml:space="preserve"> </w:t>
      </w:r>
      <w:r w:rsidRPr="00EF1A4D">
        <w:t>Chan RJ, Milch VE, Crawford-Williams F, Agbejule OA, Joseph R, Johal J, Dick N, Wallen MP, Ratcliffe J, Agarwal A, Nekhlyudov L, Tieu M, Al-Momani M, Turnbull S, Sathiaraj R, Keefe D, Hart NH. Patient navigation across the cancer care continuum: An overview of systematic reviews and emerging literature. CA Cancer J Clin. 2023 Nov-Dec;73(6):565-589. doi: 10.3322/caac.21788. Epub 2023 Jun 26. PMID: 37358040.</w:t>
      </w:r>
    </w:p>
  </w:endnote>
  <w:endnote w:id="122">
    <w:p w14:paraId="5D2165FD" w14:textId="77777777" w:rsidR="00682D04" w:rsidRDefault="00682D04" w:rsidP="00682D04">
      <w:pPr>
        <w:pStyle w:val="EndnoteText"/>
      </w:pPr>
      <w:r>
        <w:rPr>
          <w:rStyle w:val="EndnoteReference"/>
        </w:rPr>
        <w:endnoteRef/>
      </w:r>
      <w:r>
        <w:t xml:space="preserve"> </w:t>
      </w:r>
      <w:r w:rsidRPr="00BE29DF">
        <w:t>Braun KL, Kagawa-Singer M, Holden AE, Burhansstipanov L, Tran JH, Seals BF, Corbie-Smith G, Tsark JU, Harjo L, Foo MA, Ramirez AG. Cancer patient navigator tasks across the cancer care continuum. J Health Care Poor Underserved. 2012 Feb;23(1):398-413. doi: 10.1353/hpu.2012.0029. PMID: 22423178; PMCID: PMC3302357.</w:t>
      </w:r>
    </w:p>
  </w:endnote>
  <w:endnote w:id="123">
    <w:p w14:paraId="655286CE" w14:textId="77777777" w:rsidR="00682D04" w:rsidRDefault="00682D04" w:rsidP="00682D04">
      <w:pPr>
        <w:pStyle w:val="EndnoteText"/>
      </w:pPr>
      <w:r>
        <w:rPr>
          <w:rStyle w:val="EndnoteReference"/>
        </w:rPr>
        <w:endnoteRef/>
      </w:r>
      <w:r>
        <w:t xml:space="preserve"> </w:t>
      </w:r>
      <w:r w:rsidRPr="00BE29DF">
        <w:t>Braun KL, Kagawa-Singer M, Holden AE, Burhansstipanov L, Tran JH, Seals BF, Corbie-Smith G, Tsark JU, Harjo L, Foo MA, Ramirez AG. Cancer patient navigator tasks across the cancer care continuum. J Health Care Poor Underserved. 2012 Feb;23(1):398-413. doi: 10.1353/hpu.2012.0029. PMID: 22423178; PMCID: PMC3302357.</w:t>
      </w:r>
    </w:p>
  </w:endnote>
  <w:endnote w:id="124">
    <w:p w14:paraId="2A0A7C42" w14:textId="77777777" w:rsidR="00682D04" w:rsidRDefault="00682D04" w:rsidP="00682D04">
      <w:pPr>
        <w:pStyle w:val="EndnoteText"/>
      </w:pPr>
      <w:r>
        <w:rPr>
          <w:rStyle w:val="EndnoteReference"/>
        </w:rPr>
        <w:endnoteRef/>
      </w:r>
      <w:r>
        <w:t xml:space="preserve"> </w:t>
      </w:r>
      <w:r w:rsidRPr="00A3110C">
        <w:t>Hanna TP, King WD, Thibodeau S, Jalink M, Paulin GA, Harvey-Jones E, O'Sullivan DE, Booth CM, Sullivan R, Aggarwal A. Mortality due to cancer treatment delay: systematic review and meta-analysis. BMJ. 2020 Nov 4;371:m4087. doi: 10.1136/bmj.m4087. PMID: 33148535; PMCID: PMC7610021.</w:t>
      </w:r>
    </w:p>
  </w:endnote>
  <w:endnote w:id="125">
    <w:p w14:paraId="6F4DA745" w14:textId="77777777" w:rsidR="00682D04" w:rsidRDefault="00682D04" w:rsidP="00682D04">
      <w:pPr>
        <w:pStyle w:val="EndnoteText"/>
      </w:pPr>
      <w:r>
        <w:rPr>
          <w:rStyle w:val="EndnoteReference"/>
        </w:rPr>
        <w:endnoteRef/>
      </w:r>
      <w:r>
        <w:t xml:space="preserve"> </w:t>
      </w:r>
      <w:r w:rsidRPr="00BE29DF">
        <w:t>Braun KL, Kagawa-Singer M, Holden AE, Burhansstipanov L, Tran JH, Seals BF, Corbie-Smith G, Tsark JU, Harjo L, Foo MA, Ramirez AG. Cancer patient navigator tasks across the cancer care continuum. J Health Care Poor Underserved. 2012 Feb;23(1):398-413. doi: 10.1353/hpu.2012.0029. PMID: 22423178; PMCID: PMC3302357.</w:t>
      </w:r>
    </w:p>
  </w:endnote>
  <w:endnote w:id="126">
    <w:p w14:paraId="11170438" w14:textId="3CF47F7F" w:rsidR="00682D04" w:rsidRDefault="00682D04" w:rsidP="00682D04">
      <w:pPr>
        <w:pStyle w:val="EndnoteText"/>
      </w:pPr>
      <w:r>
        <w:rPr>
          <w:rStyle w:val="EndnoteReference"/>
        </w:rPr>
        <w:endnoteRef/>
      </w:r>
      <w:r>
        <w:t xml:space="preserve"> </w:t>
      </w:r>
      <w:r w:rsidRPr="00D63759">
        <w:t>Budde H, Williams GA, Scarpetti</w:t>
      </w:r>
      <w:r w:rsidRPr="00A20041">
        <w:t xml:space="preserve"> G, et al. </w:t>
      </w:r>
      <w:hyperlink r:id="rId100" w:history="1">
        <w:r w:rsidRPr="00A20041">
          <w:rPr>
            <w:rStyle w:val="Hyperlink"/>
            <w:color w:val="auto"/>
            <w:u w:val="none"/>
          </w:rPr>
          <w:t>What are patient navigators and how can they improve integration of care?</w:t>
        </w:r>
      </w:hyperlink>
      <w:r w:rsidRPr="00A20041">
        <w:t xml:space="preserve"> [Internet] Copenhagen </w:t>
      </w:r>
      <w:r w:rsidRPr="00D63759">
        <w:t xml:space="preserve">(Denmark): European Observatory on Health Systems and Policies; 2022. (Policy Brief, No. 44.) POLICY BRIEF. Available from: </w:t>
      </w:r>
      <w:hyperlink r:id="rId101" w:history="1">
        <w:r w:rsidRPr="00ED2183">
          <w:rPr>
            <w:rStyle w:val="Hyperlink"/>
          </w:rPr>
          <w:t>https://www.ncbi.nlm.nih.gov/books/NBK577643/</w:t>
        </w:r>
      </w:hyperlink>
      <w:r>
        <w:t xml:space="preserve"> </w:t>
      </w:r>
    </w:p>
  </w:endnote>
  <w:endnote w:id="127">
    <w:p w14:paraId="35E932DA" w14:textId="2905318D" w:rsidR="00DB5B14" w:rsidRDefault="00DB5B14">
      <w:pPr>
        <w:pStyle w:val="EndnoteText"/>
      </w:pPr>
      <w:r>
        <w:rPr>
          <w:rStyle w:val="EndnoteReference"/>
        </w:rPr>
        <w:endnoteRef/>
      </w:r>
      <w:r>
        <w:t xml:space="preserve"> </w:t>
      </w:r>
      <w:r w:rsidR="00F8679E" w:rsidRPr="00F8679E">
        <w:t>Ji X, Sohn H, Sil S, Castellino SM. Moving Beyond Patient-Level Drivers of Racial/Ethnic Disparities in Childhood Cancer. Cancer Epidemiol Biomarkers Prev. 2022 Jun 1;31(6):1154-1158. doi: 10.1158/1055-9965.EPI-21-1068. PMID: 35642393; PMCID: PMC9203027.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17E1" w14:textId="77777777" w:rsidR="003F6082" w:rsidRDefault="003F6082" w:rsidP="003F6082">
    <w:pPr>
      <w:spacing w:line="245" w:lineRule="exact"/>
      <w:ind w:left="60"/>
      <w:jc w:val="center"/>
    </w:pPr>
    <w:r>
      <w:fldChar w:fldCharType="begin"/>
    </w:r>
    <w:r>
      <w:instrText xml:space="preserve"> PAGE </w:instrText>
    </w:r>
    <w:r>
      <w:fldChar w:fldCharType="separate"/>
    </w:r>
    <w:r>
      <w:t>1</w:t>
    </w:r>
    <w:r>
      <w:fldChar w:fldCharType="end"/>
    </w:r>
  </w:p>
  <w:p w14:paraId="62E3A007" w14:textId="5D2FF3CE" w:rsidR="00E54588" w:rsidRDefault="00E5458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573723"/>
      <w:docPartObj>
        <w:docPartGallery w:val="Page Numbers (Bottom of Page)"/>
        <w:docPartUnique/>
      </w:docPartObj>
    </w:sdtPr>
    <w:sdtEndPr>
      <w:rPr>
        <w:noProof/>
      </w:rPr>
    </w:sdtEndPr>
    <w:sdtContent>
      <w:p w14:paraId="16AC19D4" w14:textId="17302680" w:rsidR="00E54588" w:rsidRDefault="00E54588">
        <w:pPr>
          <w:pStyle w:val="Footer"/>
          <w:jc w:val="center"/>
        </w:pPr>
        <w:r w:rsidRPr="00542854">
          <w:rPr>
            <w:rFonts w:asciiTheme="minorHAnsi" w:hAnsiTheme="minorHAnsi"/>
          </w:rPr>
          <w:fldChar w:fldCharType="begin"/>
        </w:r>
        <w:r w:rsidRPr="00542854">
          <w:rPr>
            <w:rFonts w:asciiTheme="minorHAnsi" w:hAnsiTheme="minorHAnsi"/>
          </w:rPr>
          <w:instrText xml:space="preserve"> PAGE   \* MERGEFORMAT </w:instrText>
        </w:r>
        <w:r w:rsidRPr="00542854">
          <w:rPr>
            <w:rFonts w:asciiTheme="minorHAnsi" w:hAnsiTheme="minorHAnsi"/>
          </w:rPr>
          <w:fldChar w:fldCharType="separate"/>
        </w:r>
        <w:r w:rsidRPr="00542854">
          <w:rPr>
            <w:rFonts w:asciiTheme="minorHAnsi" w:hAnsiTheme="minorHAnsi"/>
            <w:noProof/>
          </w:rPr>
          <w:t>2</w:t>
        </w:r>
        <w:r w:rsidRPr="00542854">
          <w:rPr>
            <w:rFonts w:asciiTheme="minorHAnsi" w:hAnsiTheme="minorHAnsi"/>
            <w:noProof/>
          </w:rPr>
          <w:fldChar w:fldCharType="end"/>
        </w:r>
      </w:p>
    </w:sdtContent>
  </w:sdt>
  <w:p w14:paraId="525B5754" w14:textId="78558AD7" w:rsidR="00E54588" w:rsidRPr="00542854" w:rsidRDefault="00E54588" w:rsidP="00542854">
    <w:pPr>
      <w:pStyle w:val="Footer"/>
    </w:pPr>
  </w:p>
  <w:p w14:paraId="21C06BD5" w14:textId="77777777" w:rsidR="00BC6CAD" w:rsidRDefault="00BC6CAD"/>
  <w:p w14:paraId="68458964" w14:textId="77777777" w:rsidR="00BC6CAD" w:rsidRDefault="00BC6C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A43E8" w14:textId="77777777" w:rsidR="00B75B80" w:rsidRDefault="00B75B80">
      <w:r>
        <w:separator/>
      </w:r>
    </w:p>
  </w:footnote>
  <w:footnote w:type="continuationSeparator" w:id="0">
    <w:p w14:paraId="4F8A4D67" w14:textId="77777777" w:rsidR="00B75B80" w:rsidRDefault="00B75B80">
      <w:r>
        <w:continuationSeparator/>
      </w:r>
    </w:p>
  </w:footnote>
  <w:footnote w:type="continuationNotice" w:id="1">
    <w:p w14:paraId="279A3B8C" w14:textId="77777777" w:rsidR="00B75B80" w:rsidRDefault="00B75B80"/>
  </w:footnote>
  <w:footnote w:id="2">
    <w:p w14:paraId="0A5AE4B9" w14:textId="35490EF3" w:rsidR="00BA7775" w:rsidRPr="00FC5574" w:rsidRDefault="00BA7775" w:rsidP="00BA7775">
      <w:pPr>
        <w:pStyle w:val="FootnoteText"/>
      </w:pPr>
      <w:r w:rsidRPr="00023DB2">
        <w:rPr>
          <w:rStyle w:val="FootnoteReference"/>
        </w:rPr>
        <w:footnoteRef/>
      </w:r>
      <w:r w:rsidRPr="00023DB2">
        <w:t xml:space="preserve"> This includes Dana-Farber Cancer Institute-Chestnut Hill, Dana-Farber Cancer Institute</w:t>
      </w:r>
      <w:r w:rsidR="0027718B">
        <w:t>-</w:t>
      </w:r>
      <w:r w:rsidRPr="00023DB2">
        <w:t xml:space="preserve">Foxborough, Dana-Farber Cancer Institute at Milford Regional Medical Center, Dana-Farber Cancer Institute at South Shore </w:t>
      </w:r>
      <w:r w:rsidR="00D5762C">
        <w:t>Health</w:t>
      </w:r>
      <w:r w:rsidR="00E775AD">
        <w:t xml:space="preserve">, </w:t>
      </w:r>
      <w:r w:rsidRPr="00023DB2">
        <w:t xml:space="preserve">Dana-Farber Cancer Institute - Merrimack Valley, Dana-Farber Cancer Institute at </w:t>
      </w:r>
      <w:r w:rsidR="006E0A97">
        <w:t xml:space="preserve">Boston </w:t>
      </w:r>
      <w:r w:rsidRPr="00023DB2">
        <w:t>Medical Center, Dana-Farber Cancer Institute at Whittier Street Health Center, and DFCI</w:t>
      </w:r>
      <w:r w:rsidR="00292F65">
        <w:t>-</w:t>
      </w:r>
      <w:r w:rsidRPr="00023DB2">
        <w:t>Mobile Mammography Service.</w:t>
      </w:r>
    </w:p>
  </w:footnote>
  <w:footnote w:id="3">
    <w:p w14:paraId="33525C24" w14:textId="77777777" w:rsidR="00B96F5D" w:rsidRPr="00023DB2" w:rsidRDefault="00B96F5D" w:rsidP="00B96F5D">
      <w:pPr>
        <w:pStyle w:val="FootnoteText"/>
      </w:pPr>
      <w:r w:rsidRPr="00023DB2">
        <w:rPr>
          <w:rStyle w:val="FootnoteReference"/>
        </w:rPr>
        <w:footnoteRef/>
      </w:r>
      <w:r w:rsidRPr="00023DB2">
        <w:t xml:space="preserve"> </w:t>
      </w:r>
      <w:r w:rsidRPr="00F97557">
        <w:t>There are 7</w:t>
      </w:r>
      <w:r>
        <w:t>3</w:t>
      </w:r>
      <w:r w:rsidRPr="00F97557">
        <w:t xml:space="preserve"> NCI-Designated Cancer Centers,</w:t>
      </w:r>
      <w:r>
        <w:t xml:space="preserve"> </w:t>
      </w:r>
      <w:r w:rsidRPr="00F52FDE">
        <w:t>57 are Comprehensive Cancer Centers</w:t>
      </w:r>
      <w:r>
        <w:t xml:space="preserve">. </w:t>
      </w:r>
      <w:r w:rsidRPr="00023DB2">
        <w:t>Comprehensive Cancer Centers demonstrate reasonable depth and breadth of research activities in each of three major areas: basic laboratory; clinical; and prevention, control and population-based research.</w:t>
      </w:r>
      <w:r w:rsidRPr="00023DB2" w:rsidDel="00F52FDE">
        <w:t xml:space="preserve"> </w:t>
      </w:r>
    </w:p>
  </w:footnote>
  <w:footnote w:id="4">
    <w:p w14:paraId="38DBC652" w14:textId="05CAFF66" w:rsidR="00E84B81" w:rsidRDefault="00E84B81">
      <w:pPr>
        <w:pStyle w:val="FootnoteText"/>
      </w:pPr>
      <w:r>
        <w:rPr>
          <w:rStyle w:val="FootnoteReference"/>
        </w:rPr>
        <w:footnoteRef/>
      </w:r>
      <w:r>
        <w:t xml:space="preserve"> The Applicant states that the Proposed Project will include interior demolition as needed, construction of radiation-shielded treatment and clinical support rooms</w:t>
      </w:r>
      <w:r w:rsidR="00FA13A4">
        <w:t>, and that a</w:t>
      </w:r>
      <w:r w:rsidR="00D16009">
        <w:t>dditional spaces for clinical staff, patient intake, anesthesia support, and administrative operations will be integrated into the</w:t>
      </w:r>
      <w:r w:rsidR="00AB3B00">
        <w:t xml:space="preserve"> Center’s</w:t>
      </w:r>
      <w:r w:rsidR="00D16009">
        <w:t xml:space="preserve"> design. </w:t>
      </w:r>
    </w:p>
  </w:footnote>
  <w:footnote w:id="5">
    <w:p w14:paraId="55D1D321" w14:textId="7CBE736B" w:rsidR="001B0722" w:rsidRDefault="001B0722">
      <w:pPr>
        <w:pStyle w:val="FootnoteText"/>
      </w:pPr>
      <w:r>
        <w:rPr>
          <w:rStyle w:val="FootnoteReference"/>
        </w:rPr>
        <w:footnoteRef/>
      </w:r>
      <w:r w:rsidR="00866DB2">
        <w:t xml:space="preserve"> Patients must remain still during treatment, and </w:t>
      </w:r>
      <w:r w:rsidR="001A0D62">
        <w:t xml:space="preserve">distraction techniques </w:t>
      </w:r>
      <w:r w:rsidR="001B0D76">
        <w:t xml:space="preserve">are used </w:t>
      </w:r>
      <w:r w:rsidR="00CD0F31">
        <w:t xml:space="preserve">to reduce or eliminate the need for daily sedation. </w:t>
      </w:r>
    </w:p>
  </w:footnote>
  <w:footnote w:id="6">
    <w:p w14:paraId="78FB08E8" w14:textId="6F4FE6DB" w:rsidR="006671E8" w:rsidRPr="00B930B3" w:rsidRDefault="006671E8" w:rsidP="006671E8">
      <w:pPr>
        <w:pStyle w:val="FootnoteText"/>
        <w:rPr>
          <w:rFonts w:cs="Calibri"/>
        </w:rPr>
      </w:pPr>
      <w:r w:rsidRPr="00B930B3">
        <w:rPr>
          <w:rStyle w:val="FootnoteReference"/>
          <w:rFonts w:cs="Calibri"/>
        </w:rPr>
        <w:footnoteRef/>
      </w:r>
      <w:r w:rsidRPr="00B930B3">
        <w:rPr>
          <w:rFonts w:cs="Calibri"/>
        </w:rPr>
        <w:t xml:space="preserve"> </w:t>
      </w:r>
      <w:r w:rsidR="007B01D6">
        <w:rPr>
          <w:rFonts w:cs="Calibri"/>
        </w:rPr>
        <w:t>M</w:t>
      </w:r>
      <w:r w:rsidRPr="00B930B3">
        <w:rPr>
          <w:rFonts w:cs="Calibri"/>
        </w:rPr>
        <w:t>ost commonly, LINAC treatments</w:t>
      </w:r>
      <w:r w:rsidR="00D42AB1">
        <w:rPr>
          <w:rFonts w:cs="Calibri"/>
        </w:rPr>
        <w:t>.</w:t>
      </w:r>
    </w:p>
  </w:footnote>
  <w:footnote w:id="7">
    <w:p w14:paraId="5191AFB4" w14:textId="76A51F79" w:rsidR="006671E8" w:rsidRPr="00B930B3" w:rsidRDefault="006671E8" w:rsidP="006671E8">
      <w:pPr>
        <w:pStyle w:val="FootnoteText"/>
        <w:contextualSpacing/>
        <w:rPr>
          <w:rFonts w:cs="Calibri"/>
        </w:rPr>
      </w:pPr>
      <w:r w:rsidRPr="00B930B3">
        <w:rPr>
          <w:rStyle w:val="FootnoteReference"/>
          <w:rFonts w:cs="Calibri"/>
        </w:rPr>
        <w:footnoteRef/>
      </w:r>
      <w:r w:rsidRPr="00B930B3">
        <w:rPr>
          <w:rFonts w:cs="Calibri"/>
        </w:rPr>
        <w:t xml:space="preserve"> </w:t>
      </w:r>
      <w:r w:rsidR="0036699B" w:rsidRPr="0036699B">
        <w:rPr>
          <w:rFonts w:cs="Calibri"/>
        </w:rPr>
        <w:t>Langen K, Mehta M. Proton Beam Therapy Basics. J Am Coll Radiol. 2015 Nov;12(11):1204-6. doi: 10.1016/j.jacr.2015.08.002. Epub 2015 Sep 26. PMID: 26419311.</w:t>
      </w:r>
    </w:p>
  </w:footnote>
  <w:footnote w:id="8">
    <w:p w14:paraId="4B287BB0" w14:textId="44DB8D0E" w:rsidR="00700F1B" w:rsidRDefault="006671E8" w:rsidP="006671E8">
      <w:pPr>
        <w:pStyle w:val="FootnoteText"/>
        <w:rPr>
          <w:rFonts w:cs="Calibri"/>
        </w:rPr>
      </w:pPr>
      <w:r w:rsidRPr="00B930B3">
        <w:rPr>
          <w:rStyle w:val="FootnoteReference"/>
          <w:rFonts w:cs="Calibri"/>
        </w:rPr>
        <w:footnoteRef/>
      </w:r>
      <w:r w:rsidRPr="00B930B3">
        <w:rPr>
          <w:rFonts w:cs="Calibri"/>
        </w:rPr>
        <w:t xml:space="preserve"> </w:t>
      </w:r>
      <w:hyperlink r:id="rId1" w:history="1">
        <w:r w:rsidR="00700F1B" w:rsidRPr="00694316">
          <w:rPr>
            <w:rStyle w:val="Hyperlink"/>
            <w:rFonts w:cs="Calibri"/>
            <w:color w:val="auto"/>
            <w:u w:val="none"/>
          </w:rPr>
          <w:t>Johns Hopkins Medicine. Proton Therapy.</w:t>
        </w:r>
      </w:hyperlink>
      <w:r w:rsidR="00700F1B" w:rsidRPr="00694316">
        <w:rPr>
          <w:rFonts w:cs="Calibri"/>
        </w:rPr>
        <w:t xml:space="preserve"> </w:t>
      </w:r>
    </w:p>
    <w:p w14:paraId="5D0E7D4E" w14:textId="53B83603" w:rsidR="006671E8" w:rsidRPr="00B930B3" w:rsidRDefault="00700F1B" w:rsidP="006671E8">
      <w:pPr>
        <w:pStyle w:val="FootnoteText"/>
        <w:rPr>
          <w:rFonts w:cs="Calibri"/>
        </w:rPr>
      </w:pPr>
      <w:hyperlink r:id="rId2" w:history="1">
        <w:r w:rsidRPr="00967B2F">
          <w:rPr>
            <w:rStyle w:val="Hyperlink"/>
            <w:rFonts w:cs="Calibri"/>
          </w:rPr>
          <w:t>https://www.hopkinsmedicine.org/health/treatment-tests-and-therapies/proton-therapy</w:t>
        </w:r>
      </w:hyperlink>
      <w:r>
        <w:rPr>
          <w:rFonts w:cs="Calibri"/>
        </w:rPr>
        <w:t xml:space="preserve"> </w:t>
      </w:r>
    </w:p>
  </w:footnote>
  <w:footnote w:id="9">
    <w:p w14:paraId="7134D076" w14:textId="281D4613" w:rsidR="003B75EF" w:rsidRPr="00DB6CEE" w:rsidRDefault="006671E8" w:rsidP="006671E8">
      <w:pPr>
        <w:pStyle w:val="FootnoteText"/>
        <w:rPr>
          <w:rFonts w:cs="Calibri"/>
        </w:rPr>
      </w:pPr>
      <w:r w:rsidRPr="00B930B3">
        <w:rPr>
          <w:rStyle w:val="FootnoteReference"/>
          <w:rFonts w:cs="Calibri"/>
        </w:rPr>
        <w:footnoteRef/>
      </w:r>
      <w:r w:rsidRPr="00B930B3">
        <w:rPr>
          <w:rFonts w:cs="Calibri"/>
        </w:rPr>
        <w:t xml:space="preserve"> </w:t>
      </w:r>
      <w:hyperlink r:id="rId3" w:history="1">
        <w:r w:rsidR="003B75EF" w:rsidRPr="00694316">
          <w:rPr>
            <w:rStyle w:val="Hyperlink"/>
            <w:i/>
            <w:iCs/>
            <w:color w:val="auto"/>
            <w:u w:val="none"/>
          </w:rPr>
          <w:t>What is Proton Therapy.</w:t>
        </w:r>
      </w:hyperlink>
      <w:r w:rsidR="003B75EF" w:rsidRPr="00694316">
        <w:rPr>
          <w:i/>
          <w:iCs/>
        </w:rPr>
        <w:t xml:space="preserve"> </w:t>
      </w:r>
      <w:r w:rsidR="00DB6CEE" w:rsidRPr="00694316">
        <w:rPr>
          <w:rFonts w:cs="Calibri"/>
        </w:rPr>
        <w:t xml:space="preserve">National </w:t>
      </w:r>
      <w:r w:rsidR="00DB6CEE">
        <w:rPr>
          <w:rFonts w:cs="Calibri"/>
        </w:rPr>
        <w:t>Association for Proton Therapy.</w:t>
      </w:r>
    </w:p>
    <w:p w14:paraId="3B4A48E4" w14:textId="77777777" w:rsidR="003B75EF" w:rsidRDefault="003B75EF" w:rsidP="006671E8">
      <w:pPr>
        <w:pStyle w:val="FootnoteText"/>
        <w:rPr>
          <w:rFonts w:cs="Calibri"/>
        </w:rPr>
      </w:pPr>
      <w:hyperlink r:id="rId4" w:history="1">
        <w:r w:rsidRPr="00D53867">
          <w:rPr>
            <w:rStyle w:val="Hyperlink"/>
            <w:rFonts w:cs="Calibri"/>
          </w:rPr>
          <w:t>https://proton-therapy.org/wp-content/uploads/2023/08/Screenshot-2023-08-16-at-9.04.49-AM.png</w:t>
        </w:r>
      </w:hyperlink>
      <w:r w:rsidR="006671E8" w:rsidRPr="00B930B3">
        <w:rPr>
          <w:rFonts w:cs="Calibri"/>
        </w:rPr>
        <w:t xml:space="preserve"> </w:t>
      </w:r>
    </w:p>
    <w:p w14:paraId="0FEA0F47" w14:textId="10B2BAC3" w:rsidR="006671E8" w:rsidRPr="00B930B3" w:rsidRDefault="006671E8" w:rsidP="006671E8">
      <w:pPr>
        <w:pStyle w:val="FootnoteText"/>
        <w:rPr>
          <w:rFonts w:cs="Calibri"/>
        </w:rPr>
      </w:pPr>
      <w:r w:rsidRPr="00B930B3">
        <w:rPr>
          <w:rFonts w:cs="Calibri"/>
        </w:rPr>
        <w:t>(</w:t>
      </w:r>
      <w:r w:rsidR="00DB6CEE">
        <w:rPr>
          <w:rFonts w:cs="Calibri"/>
        </w:rPr>
        <w:t>V</w:t>
      </w:r>
      <w:r w:rsidRPr="00B930B3">
        <w:rPr>
          <w:rFonts w:cs="Calibri"/>
        </w:rPr>
        <w:t>isual representation of exit dose and its impact on surrounding tissues).</w:t>
      </w:r>
    </w:p>
  </w:footnote>
  <w:footnote w:id="10">
    <w:p w14:paraId="43F1E1DC" w14:textId="3551CF88" w:rsidR="00E54588" w:rsidRPr="003F3F2B" w:rsidRDefault="00E54588">
      <w:pPr>
        <w:pStyle w:val="FootnoteText"/>
        <w:rPr>
          <w:rFonts w:asciiTheme="minorHAnsi" w:hAnsiTheme="minorHAnsi"/>
        </w:rPr>
      </w:pPr>
      <w:r w:rsidRPr="003F3F2B">
        <w:rPr>
          <w:rStyle w:val="FootnoteReference"/>
          <w:rFonts w:asciiTheme="minorHAnsi" w:hAnsiTheme="minorHAnsi"/>
        </w:rPr>
        <w:footnoteRef/>
      </w:r>
      <w:r w:rsidRPr="003F3F2B">
        <w:rPr>
          <w:rFonts w:asciiTheme="minorHAnsi" w:hAnsiTheme="minorHAnsi"/>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 </w:t>
      </w:r>
    </w:p>
  </w:footnote>
  <w:footnote w:id="11">
    <w:p w14:paraId="39240147" w14:textId="00C1851B" w:rsidR="00DB16AB" w:rsidRDefault="00DB16AB">
      <w:pPr>
        <w:pStyle w:val="FootnoteText"/>
      </w:pPr>
      <w:r>
        <w:rPr>
          <w:rStyle w:val="FootnoteReference"/>
        </w:rPr>
        <w:footnoteRef/>
      </w:r>
      <w:r>
        <w:t xml:space="preserve"> </w:t>
      </w:r>
      <w:r w:rsidRPr="00DB16AB">
        <w:t xml:space="preserve">The Applicant notes that the demographics for the </w:t>
      </w:r>
      <w:r>
        <w:t xml:space="preserve">overall </w:t>
      </w:r>
      <w:r w:rsidRPr="00DB16AB">
        <w:t>Patient Panel and the Massachusetts Patient Panel differ from the patient demographics provided in responses submitted for the DoN filed for the Applicant’s future cancer hospital (FCH) DoN because the Patient Panels (</w:t>
      </w:r>
      <w:r w:rsidR="00500151">
        <w:t>Total</w:t>
      </w:r>
      <w:r w:rsidRPr="00DB16AB">
        <w:t xml:space="preserve"> and Massachusetts) for this Application include pediatric patients scheduled in pediatric departments, while the FCH DoN Patient Panel included pediatric patients only if they were scheduled in adult departments. Like the Patient Panel of the FCH DoN, this Application also includes patient encounters from the Applicant’s Longwood Medical Area location, Chestnut Hill, and other satellite locations.  </w:t>
      </w:r>
    </w:p>
  </w:footnote>
  <w:footnote w:id="12">
    <w:p w14:paraId="363EFB93" w14:textId="33FCE9AE" w:rsidR="00694316" w:rsidRDefault="00694316">
      <w:pPr>
        <w:pStyle w:val="FootnoteText"/>
      </w:pPr>
      <w:r>
        <w:rPr>
          <w:rStyle w:val="FootnoteReference"/>
        </w:rPr>
        <w:footnoteRef/>
      </w:r>
      <w:r>
        <w:t xml:space="preserve"> </w:t>
      </w:r>
      <w:r w:rsidRPr="00B522AA">
        <w:t>For HIPAA compliance, numbers below 11 are not included.</w:t>
      </w:r>
    </w:p>
  </w:footnote>
  <w:footnote w:id="13">
    <w:p w14:paraId="1FA29247" w14:textId="70601D52" w:rsidR="00694316" w:rsidRDefault="00694316">
      <w:pPr>
        <w:pStyle w:val="FootnoteText"/>
      </w:pPr>
      <w:r>
        <w:rPr>
          <w:rStyle w:val="FootnoteReference"/>
        </w:rPr>
        <w:footnoteRef/>
      </w:r>
      <w:r>
        <w:t xml:space="preserve"> </w:t>
      </w:r>
      <w:r w:rsidRPr="00B522AA">
        <w:t>For HIPAA compliance, numbers below 11 are not included.</w:t>
      </w:r>
    </w:p>
  </w:footnote>
  <w:footnote w:id="14">
    <w:p w14:paraId="523BF26D" w14:textId="6942DEEA" w:rsidR="00694316" w:rsidRDefault="00694316">
      <w:pPr>
        <w:pStyle w:val="FootnoteText"/>
      </w:pPr>
      <w:r>
        <w:rPr>
          <w:rStyle w:val="FootnoteReference"/>
        </w:rPr>
        <w:footnoteRef/>
      </w:r>
      <w:r>
        <w:t xml:space="preserve"> </w:t>
      </w:r>
      <w:r w:rsidRPr="007E1EFA">
        <w:t>Patients with encounters in the same year before and after attaining age 65 will appear in both age categories.</w:t>
      </w:r>
    </w:p>
  </w:footnote>
  <w:footnote w:id="15">
    <w:p w14:paraId="4066A798" w14:textId="5F3864E6" w:rsidR="00694316" w:rsidRDefault="00694316">
      <w:pPr>
        <w:pStyle w:val="FootnoteText"/>
      </w:pPr>
      <w:r>
        <w:rPr>
          <w:rStyle w:val="FootnoteReference"/>
        </w:rPr>
        <w:footnoteRef/>
      </w:r>
      <w:r>
        <w:t xml:space="preserve"> </w:t>
      </w:r>
      <w:r w:rsidRPr="007E1EFA">
        <w:t>Patients with encounters in the same year before and after attaining age 65 will appear in both age categories.</w:t>
      </w:r>
    </w:p>
  </w:footnote>
  <w:footnote w:id="16">
    <w:p w14:paraId="0353356D" w14:textId="67A29D28" w:rsidR="00694316" w:rsidRDefault="00694316" w:rsidP="00AB5C3C">
      <w:pPr>
        <w:pStyle w:val="FootnoteText"/>
      </w:pPr>
      <w:r>
        <w:rPr>
          <w:rStyle w:val="FootnoteReference"/>
        </w:rPr>
        <w:footnoteRef/>
      </w:r>
      <w:r>
        <w:t xml:space="preserve"> </w:t>
      </w:r>
      <w:r w:rsidRPr="00D83E03">
        <w:t>Race/Ethnicity/Other includes NULL, Unknown, Multiracial, Non-Hispanic</w:t>
      </w:r>
      <w:r>
        <w:t>.</w:t>
      </w:r>
    </w:p>
  </w:footnote>
  <w:footnote w:id="17">
    <w:p w14:paraId="4CB48CC8" w14:textId="0A7845B2" w:rsidR="00694316" w:rsidRDefault="00694316" w:rsidP="00AB5C3C">
      <w:pPr>
        <w:pStyle w:val="FootnoteText"/>
      </w:pPr>
      <w:r>
        <w:rPr>
          <w:rStyle w:val="FootnoteReference"/>
        </w:rPr>
        <w:footnoteRef/>
      </w:r>
      <w:r>
        <w:t xml:space="preserve"> </w:t>
      </w:r>
      <w:r w:rsidRPr="000F6AE8">
        <w:t>Race/Ethnicity/Other includes NULL, Unknown, Multiracial, Non-Hispanic.</w:t>
      </w:r>
    </w:p>
  </w:footnote>
  <w:footnote w:id="18">
    <w:p w14:paraId="783F36D0" w14:textId="0931687E" w:rsidR="00694316" w:rsidRDefault="00694316">
      <w:pPr>
        <w:pStyle w:val="FootnoteText"/>
      </w:pPr>
      <w:r>
        <w:rPr>
          <w:rStyle w:val="FootnoteReference"/>
        </w:rPr>
        <w:footnoteRef/>
      </w:r>
      <w:r>
        <w:t xml:space="preserve"> </w:t>
      </w:r>
      <w:r w:rsidRPr="008262EB">
        <w:t>Represents only certain states, and therefore will not add to 100%.</w:t>
      </w:r>
    </w:p>
  </w:footnote>
  <w:footnote w:id="19">
    <w:p w14:paraId="69AC4EA9" w14:textId="143F7B9A" w:rsidR="00694316" w:rsidRDefault="00694316">
      <w:pPr>
        <w:pStyle w:val="FootnoteText"/>
      </w:pPr>
      <w:r>
        <w:rPr>
          <w:rStyle w:val="FootnoteReference"/>
        </w:rPr>
        <w:footnoteRef/>
      </w:r>
      <w:r>
        <w:t xml:space="preserve"> Top 10 locations (Massachusetts county or state if located outside of Massachusetts) of patient origin. </w:t>
      </w:r>
    </w:p>
  </w:footnote>
  <w:footnote w:id="20">
    <w:p w14:paraId="3BD5356B" w14:textId="522C0D28" w:rsidR="00D462D4" w:rsidRDefault="00D462D4">
      <w:pPr>
        <w:pStyle w:val="FootnoteText"/>
      </w:pPr>
      <w:r>
        <w:rPr>
          <w:rStyle w:val="FootnoteReference"/>
        </w:rPr>
        <w:footnoteRef/>
      </w:r>
      <w:r>
        <w:t xml:space="preserve"> </w:t>
      </w:r>
      <w:r w:rsidR="00676E0A">
        <w:t xml:space="preserve">For adult patients (age 22 and older), including all of the Applicant’s </w:t>
      </w:r>
      <w:r w:rsidR="00E05F38">
        <w:t xml:space="preserve">sites, derived based on hospital billing excluding clinical trials and retail pharmacy. </w:t>
      </w:r>
    </w:p>
  </w:footnote>
  <w:footnote w:id="21">
    <w:p w14:paraId="48639C5A" w14:textId="3FA55381" w:rsidR="000D2C14" w:rsidRDefault="000D2C14" w:rsidP="000D2C14">
      <w:pPr>
        <w:pStyle w:val="FootnoteText"/>
      </w:pPr>
      <w:r>
        <w:rPr>
          <w:rStyle w:val="FootnoteReference"/>
        </w:rPr>
        <w:footnoteRef/>
      </w:r>
      <w:r>
        <w:t xml:space="preserve"> </w:t>
      </w:r>
      <w:r w:rsidRPr="007D1D87">
        <w:t>“Other” for adult patients includes Self-Pay, Commonwealth of Massachusetts, National Donor Program, United VA Community Care Network, Health Safety Net (full and partial), CHAMPVA, Tricare (East Region Prime, East Region Select, West Region), Nashua Street Jail, Essex County Jail, Generic County Jail, Generic Other Government, MA State MCI Correctional Center, Veterans Choice, Veterans Administration Special Billing, Martins Point USFHP, COVID-19 HRSA Uninsured Testing and Treatment Fund, Works Compensation, U.S. Department of Labor (FECA Federal and DEEOIC Energy), and City of Boston Fire Department.</w:t>
      </w:r>
    </w:p>
  </w:footnote>
  <w:footnote w:id="22">
    <w:p w14:paraId="76350828" w14:textId="7DCD6DE4" w:rsidR="000A1853" w:rsidRDefault="000A1853">
      <w:pPr>
        <w:pStyle w:val="FootnoteText"/>
      </w:pPr>
      <w:r>
        <w:rPr>
          <w:rStyle w:val="FootnoteReference"/>
        </w:rPr>
        <w:footnoteRef/>
      </w:r>
      <w:r>
        <w:t xml:space="preserve"> </w:t>
      </w:r>
      <w:r w:rsidR="00D462D4">
        <w:t xml:space="preserve">For pediatric patients 21 and younger, including all of the Applicant’s sites, derived based on hospital billing excluding clinical trials and retail pharmacy. </w:t>
      </w:r>
    </w:p>
  </w:footnote>
  <w:footnote w:id="23">
    <w:p w14:paraId="29142084" w14:textId="1D3FE85E" w:rsidR="00AB0D28" w:rsidRDefault="00AB0D28">
      <w:pPr>
        <w:pStyle w:val="FootnoteText"/>
      </w:pPr>
      <w:r>
        <w:rPr>
          <w:rStyle w:val="FootnoteReference"/>
        </w:rPr>
        <w:footnoteRef/>
      </w:r>
      <w:r>
        <w:t xml:space="preserve"> </w:t>
      </w:r>
      <w:r w:rsidRPr="00AB0D28">
        <w:t xml:space="preserve">“Other” includes Self-Pay, National Marrow Donor Program, Health Safety Net (partial and full), CHAMPVA, Tricare  (East Region Prime, East Region Select, West Region), Martins Point USFHP. </w:t>
      </w:r>
    </w:p>
  </w:footnote>
  <w:footnote w:id="24">
    <w:p w14:paraId="0D0DBFF5" w14:textId="7A806416" w:rsidR="00462E82" w:rsidRDefault="00462E82">
      <w:pPr>
        <w:pStyle w:val="FootnoteText"/>
      </w:pPr>
      <w:r>
        <w:rPr>
          <w:rStyle w:val="FootnoteReference"/>
        </w:rPr>
        <w:footnoteRef/>
      </w:r>
      <w:r>
        <w:t xml:space="preserve"> </w:t>
      </w:r>
      <w:r w:rsidRPr="00462E82">
        <w:t>Based on the Applicant’s contractual payments, including Medicaid ACOs/MCOs &amp; the Applicant’s commercial APM contracts (i.e., BCBSMA &amp; Point32Health).</w:t>
      </w:r>
    </w:p>
  </w:footnote>
  <w:footnote w:id="25">
    <w:p w14:paraId="1ADE5400" w14:textId="6F752EB9" w:rsidR="002E5B66" w:rsidRDefault="002E5B66">
      <w:pPr>
        <w:pStyle w:val="FootnoteText"/>
      </w:pPr>
      <w:r>
        <w:rPr>
          <w:rStyle w:val="FootnoteReference"/>
        </w:rPr>
        <w:footnoteRef/>
      </w:r>
      <w:r>
        <w:t xml:space="preserve"> </w:t>
      </w:r>
      <w:r w:rsidR="004111F1" w:rsidRPr="004111F1">
        <w:t>The Connecticut Proton Therapy Center, a collaboration between Yale New Haven Health and Hartford HealthCare, is under construction in Wallingford, C</w:t>
      </w:r>
      <w:r w:rsidR="00DE4096">
        <w:t>T</w:t>
      </w:r>
      <w:r w:rsidR="00503B81">
        <w:t xml:space="preserve"> and is expected to be open by the end of 2026</w:t>
      </w:r>
      <w:r w:rsidR="00DE4096">
        <w:t xml:space="preserve">. </w:t>
      </w:r>
      <w:r w:rsidR="003C548D" w:rsidRPr="003C548D">
        <w:t>Danbury Proton</w:t>
      </w:r>
      <w:r w:rsidR="003C548D">
        <w:t xml:space="preserve"> will begin construction </w:t>
      </w:r>
      <w:r w:rsidR="00852C78">
        <w:t xml:space="preserve">of </w:t>
      </w:r>
      <w:r w:rsidR="00744B49">
        <w:t xml:space="preserve">a PBT in Danbury </w:t>
      </w:r>
      <w:r w:rsidR="003C548D">
        <w:t xml:space="preserve">in 2026. </w:t>
      </w:r>
      <w:r w:rsidR="00657F11">
        <w:t>American Shared Hospital Services</w:t>
      </w:r>
      <w:r w:rsidR="00800D1E">
        <w:t xml:space="preserve"> </w:t>
      </w:r>
      <w:r w:rsidR="002450BE">
        <w:t xml:space="preserve">is </w:t>
      </w:r>
      <w:r w:rsidR="00B51C3B">
        <w:t xml:space="preserve">constructing a </w:t>
      </w:r>
      <w:r w:rsidR="00800D1E">
        <w:t>PBT center</w:t>
      </w:r>
      <w:r w:rsidR="00B51C3B">
        <w:t xml:space="preserve"> in Johnston RI that</w:t>
      </w:r>
      <w:r w:rsidR="00800D1E">
        <w:t xml:space="preserve"> is expected to be operational in </w:t>
      </w:r>
      <w:r w:rsidR="00861E03">
        <w:t xml:space="preserve">2027 or early 2028. </w:t>
      </w:r>
    </w:p>
  </w:footnote>
  <w:footnote w:id="26">
    <w:p w14:paraId="1015CB63" w14:textId="7CD9F3D7" w:rsidR="00257628" w:rsidRDefault="00257628">
      <w:pPr>
        <w:pStyle w:val="FootnoteText"/>
      </w:pPr>
      <w:r>
        <w:rPr>
          <w:rStyle w:val="FootnoteReference"/>
        </w:rPr>
        <w:footnoteRef/>
      </w:r>
      <w:r>
        <w:t xml:space="preserve"> The Applicant states that if a patient had most of their encounters in a fiscal year in an excluded “department”, they are omitted from this analysis. (i.e., Other, Inpatient Service, Imaging, etc.) </w:t>
      </w:r>
    </w:p>
  </w:footnote>
  <w:footnote w:id="27">
    <w:p w14:paraId="104CE99C" w14:textId="20188AE5" w:rsidR="0075004F" w:rsidRDefault="0075004F">
      <w:pPr>
        <w:pStyle w:val="FootnoteText"/>
      </w:pPr>
      <w:r>
        <w:rPr>
          <w:rStyle w:val="FootnoteReference"/>
        </w:rPr>
        <w:footnoteRef/>
      </w:r>
      <w:r>
        <w:t xml:space="preserve"> </w:t>
      </w:r>
      <w:r w:rsidR="003C0DC2">
        <w:t xml:space="preserve">Volume includes the Applicant’s sites at Boston Medical Center – Brighton, Milford Regional Medical Center, South Shore Health, Merrimack Valley, Foxborough, and Londonderry, NH. </w:t>
      </w:r>
      <w:r w:rsidR="008E056B">
        <w:t xml:space="preserve">The Applicant states that if the majority of the patient’s encounters occurred at a satellite location, such satellite will be designed as the patient’s derived disease center for purposes of new consult volume determinations. </w:t>
      </w:r>
    </w:p>
  </w:footnote>
  <w:footnote w:id="28">
    <w:p w14:paraId="6AF851E3" w14:textId="469E55DF" w:rsidR="00540D1F" w:rsidRPr="00540D1F" w:rsidRDefault="00540D1F" w:rsidP="00540D1F">
      <w:pPr>
        <w:pStyle w:val="FootnoteText"/>
      </w:pPr>
      <w:r>
        <w:rPr>
          <w:rStyle w:val="FootnoteReference"/>
        </w:rPr>
        <w:footnoteRef/>
      </w:r>
      <w:r>
        <w:t xml:space="preserve"> </w:t>
      </w:r>
      <w:r w:rsidRPr="00540D1F">
        <w:rPr>
          <w:b/>
          <w:bCs/>
        </w:rPr>
        <w:t>Indications For Coverage</w:t>
      </w:r>
      <w:r w:rsidRPr="00540D1F">
        <w:br/>
        <w:t>PBT is considered reasonable in instances where sparing the surrounding normal tissue cannot be adequately achieved with photon-based radiotherapy and is of added clinical benefit to the patient. Examples of such an advantage might be:</w:t>
      </w:r>
    </w:p>
    <w:p w14:paraId="536A51F9" w14:textId="77777777" w:rsidR="00540D1F" w:rsidRPr="00540D1F" w:rsidRDefault="00540D1F" w:rsidP="00540D1F">
      <w:pPr>
        <w:pStyle w:val="FootnoteText"/>
        <w:numPr>
          <w:ilvl w:val="0"/>
          <w:numId w:val="48"/>
        </w:numPr>
      </w:pPr>
      <w:r w:rsidRPr="00540D1F">
        <w:t>The target volume is in close proximity to one or more critical structures and a steep dose gradient outside the target must be achieved to avoid exceeding the tolerance dose to the critical structure(s).</w:t>
      </w:r>
    </w:p>
    <w:p w14:paraId="30D79580" w14:textId="77777777" w:rsidR="00540D1F" w:rsidRPr="00540D1F" w:rsidRDefault="00540D1F" w:rsidP="00540D1F">
      <w:pPr>
        <w:pStyle w:val="FootnoteText"/>
        <w:numPr>
          <w:ilvl w:val="0"/>
          <w:numId w:val="48"/>
        </w:numPr>
      </w:pPr>
      <w:r w:rsidRPr="00540D1F">
        <w:t>A decrease in the amount of dose inhomogeneity in a large treatment volume is required to avoid an excessive dose "hotspot" within the treated volume to lessen the risk of excessive early or late normal tissue toxicity.</w:t>
      </w:r>
    </w:p>
    <w:p w14:paraId="598F1362" w14:textId="77777777" w:rsidR="00540D1F" w:rsidRPr="00540D1F" w:rsidRDefault="00540D1F" w:rsidP="00540D1F">
      <w:pPr>
        <w:pStyle w:val="FootnoteText"/>
        <w:numPr>
          <w:ilvl w:val="0"/>
          <w:numId w:val="48"/>
        </w:numPr>
      </w:pPr>
      <w:r w:rsidRPr="00540D1F">
        <w:t>A photon-based technique would increase the probability of clinically meaningful normal tissue toxicity by exceeding an integral dose-based metric associated with toxicity.</w:t>
      </w:r>
    </w:p>
    <w:p w14:paraId="60E7862B" w14:textId="29C7426F" w:rsidR="00540D1F" w:rsidRPr="00540D1F" w:rsidRDefault="00540D1F" w:rsidP="00540D1F">
      <w:pPr>
        <w:pStyle w:val="FootnoteText"/>
        <w:numPr>
          <w:ilvl w:val="0"/>
          <w:numId w:val="48"/>
        </w:numPr>
      </w:pPr>
      <w:r w:rsidRPr="00540D1F">
        <w:t>The same or an immediately adjacent area has been previously irradiated, and the dose distribution within the patient must be sculpted to avoid exceeding the cumulative tolerance dose of nearby normal tissu</w:t>
      </w:r>
      <w:r w:rsidR="00152C72">
        <w:t>e.</w:t>
      </w:r>
    </w:p>
    <w:p w14:paraId="23C28EB0" w14:textId="2D130B38" w:rsidR="00540D1F" w:rsidRDefault="00540D1F">
      <w:pPr>
        <w:pStyle w:val="FootnoteText"/>
      </w:pPr>
    </w:p>
  </w:footnote>
  <w:footnote w:id="29">
    <w:p w14:paraId="43074851" w14:textId="334CF3D9" w:rsidR="00A80EA7" w:rsidRDefault="00A80EA7" w:rsidP="00A80EA7">
      <w:pPr>
        <w:pStyle w:val="FootnoteText"/>
      </w:pPr>
      <w:r>
        <w:rPr>
          <w:rStyle w:val="FootnoteReference"/>
        </w:rPr>
        <w:footnoteRef/>
      </w:r>
      <w:r>
        <w:t xml:space="preserve"> A local coverage determination is a decision made by a MAC to cover a particular item or service on a MAC-wide basis, in accordance with the Social Security Act (i.e., a determination as to whether the item or service is reasonable and necessary). MACs are to publish local coverage determinations to provide guidance to the public and</w:t>
      </w:r>
    </w:p>
    <w:p w14:paraId="7EEE3320" w14:textId="292D3450" w:rsidR="00A80EA7" w:rsidRDefault="00A80EA7" w:rsidP="00A80EA7">
      <w:pPr>
        <w:pStyle w:val="FootnoteText"/>
      </w:pPr>
      <w:r>
        <w:t>medical community within their jurisdictions.</w:t>
      </w:r>
      <w:r w:rsidR="001108AF" w:rsidRPr="001108AF">
        <w:t xml:space="preserve"> </w:t>
      </w:r>
      <w:hyperlink r:id="rId5" w:history="1">
        <w:r w:rsidR="001108AF" w:rsidRPr="004E619C">
          <w:rPr>
            <w:rStyle w:val="Hyperlink"/>
          </w:rPr>
          <w:t>https://www.gao.gov/assets/gao-15-372.pdf</w:t>
        </w:r>
      </w:hyperlink>
      <w:r w:rsidR="001108AF">
        <w:t xml:space="preserve"> </w:t>
      </w:r>
    </w:p>
  </w:footnote>
  <w:footnote w:id="30">
    <w:p w14:paraId="71937D74" w14:textId="7329BE7D" w:rsidR="000B3FDD" w:rsidRDefault="000B3FDD">
      <w:pPr>
        <w:pStyle w:val="FootnoteText"/>
      </w:pPr>
      <w:r>
        <w:rPr>
          <w:rStyle w:val="FootnoteReference"/>
        </w:rPr>
        <w:footnoteRef/>
      </w:r>
      <w:r>
        <w:t xml:space="preserve"> Staff note that based on recent PBT approvals in RI and CT,</w:t>
      </w:r>
      <w:r w:rsidR="00946B54">
        <w:t xml:space="preserve"> and the UMass approval,</w:t>
      </w:r>
      <w:r>
        <w:t xml:space="preserve"> </w:t>
      </w:r>
      <w:r w:rsidR="00BF5627">
        <w:t xml:space="preserve">four </w:t>
      </w:r>
      <w:r w:rsidR="003D31B7">
        <w:t xml:space="preserve">additional PBT </w:t>
      </w:r>
      <w:r w:rsidR="00CF7291">
        <w:t xml:space="preserve">treatment </w:t>
      </w:r>
      <w:r w:rsidR="003D31B7">
        <w:t xml:space="preserve">rooms will be available in New England in the next few years. </w:t>
      </w:r>
    </w:p>
  </w:footnote>
  <w:footnote w:id="31">
    <w:p w14:paraId="0564576D" w14:textId="77777777" w:rsidR="00BD6DDA" w:rsidRDefault="00BD6DDA" w:rsidP="004031F5">
      <w:pPr>
        <w:pStyle w:val="FootnoteText"/>
      </w:pPr>
      <w:r>
        <w:rPr>
          <w:rStyle w:val="FootnoteReference"/>
        </w:rPr>
        <w:footnoteRef/>
      </w:r>
      <w:r>
        <w:t xml:space="preserve"> Patients may be counted more than once if they have an encounter before and after their date of birth in the same fiscal year. </w:t>
      </w:r>
    </w:p>
  </w:footnote>
  <w:footnote w:id="32">
    <w:p w14:paraId="2D83512D" w14:textId="77777777" w:rsidR="00BD6DDA" w:rsidRDefault="00BD6DDA" w:rsidP="004031F5">
      <w:pPr>
        <w:pStyle w:val="FootnoteText"/>
      </w:pPr>
      <w:r>
        <w:rPr>
          <w:rStyle w:val="FootnoteReference"/>
        </w:rPr>
        <w:footnoteRef/>
      </w:r>
      <w:r>
        <w:t xml:space="preserve"> Patients may be counted more than once if they have an encounter before and after their date of birth in the same fiscal year. </w:t>
      </w:r>
    </w:p>
  </w:footnote>
  <w:footnote w:id="33">
    <w:p w14:paraId="52FC021C" w14:textId="77777777" w:rsidR="00BD6DDA" w:rsidRDefault="00BD6DDA" w:rsidP="000F1CDE">
      <w:pPr>
        <w:pStyle w:val="FootnoteText"/>
      </w:pPr>
      <w:r>
        <w:rPr>
          <w:rStyle w:val="FootnoteReference"/>
        </w:rPr>
        <w:footnoteRef/>
      </w:r>
      <w:r>
        <w:t xml:space="preserve"> </w:t>
      </w:r>
      <w:r w:rsidRPr="00CB112F">
        <w:t>Includes only patients 18 or younger seen in adult clinical departments. Excludes patients seen in pediatrics departments.</w:t>
      </w:r>
    </w:p>
  </w:footnote>
  <w:footnote w:id="34">
    <w:p w14:paraId="351D2521" w14:textId="77777777" w:rsidR="00BD6DDA" w:rsidRDefault="00BD6DDA" w:rsidP="000F1CDE">
      <w:pPr>
        <w:pStyle w:val="FootnoteText"/>
      </w:pPr>
      <w:r>
        <w:rPr>
          <w:rStyle w:val="FootnoteReference"/>
        </w:rPr>
        <w:footnoteRef/>
      </w:r>
      <w:r>
        <w:t xml:space="preserve"> </w:t>
      </w:r>
      <w:r w:rsidRPr="00CB112F">
        <w:t>Includes only patients 18 or younger seen in adult clinical departments. Excludes patients seen in pediatrics departments.</w:t>
      </w:r>
    </w:p>
  </w:footnote>
  <w:footnote w:id="35">
    <w:p w14:paraId="5409C4A7" w14:textId="77777777" w:rsidR="00BD6DDA" w:rsidRDefault="00BD6DDA" w:rsidP="000F1CDE">
      <w:pPr>
        <w:pStyle w:val="FootnoteText"/>
      </w:pPr>
      <w:r>
        <w:rPr>
          <w:rStyle w:val="FootnoteReference"/>
        </w:rPr>
        <w:footnoteRef/>
      </w:r>
      <w:r>
        <w:t xml:space="preserve"> Includes patient responses not in list as well as NULL entries. </w:t>
      </w:r>
    </w:p>
  </w:footnote>
  <w:footnote w:id="36">
    <w:p w14:paraId="0831C3D0" w14:textId="77777777" w:rsidR="00BD6DDA" w:rsidRDefault="00BD6DDA" w:rsidP="000F1CDE">
      <w:pPr>
        <w:pStyle w:val="FootnoteText"/>
      </w:pPr>
      <w:r>
        <w:rPr>
          <w:rStyle w:val="FootnoteReference"/>
        </w:rPr>
        <w:footnoteRef/>
      </w:r>
      <w:r>
        <w:t xml:space="preserve"> Includes patient responses not in list as well as NULL entries. </w:t>
      </w:r>
    </w:p>
  </w:footnote>
  <w:footnote w:id="37">
    <w:p w14:paraId="71BBE602" w14:textId="77777777" w:rsidR="00BD6DDA" w:rsidRDefault="00BD6DDA" w:rsidP="000F1CDE">
      <w:pPr>
        <w:pStyle w:val="FootnoteText"/>
      </w:pPr>
      <w:r>
        <w:rPr>
          <w:rStyle w:val="FootnoteReference"/>
        </w:rPr>
        <w:footnoteRef/>
      </w:r>
      <w:r>
        <w:t xml:space="preserve"> By Massachusetts County or state of residence if outside of Massachusetts </w:t>
      </w:r>
    </w:p>
  </w:footnote>
  <w:footnote w:id="38">
    <w:p w14:paraId="3DBD7960" w14:textId="77777777" w:rsidR="00BD6DDA" w:rsidRDefault="00BD6DDA" w:rsidP="000F1CDE">
      <w:pPr>
        <w:pStyle w:val="FootnoteText"/>
      </w:pPr>
      <w:r>
        <w:rPr>
          <w:rStyle w:val="FootnoteReference"/>
        </w:rPr>
        <w:footnoteRef/>
      </w:r>
      <w:r>
        <w:t xml:space="preserve"> By Massachusetts County or state of residence if outside of Massachusetts </w:t>
      </w:r>
    </w:p>
  </w:footnote>
  <w:footnote w:id="39">
    <w:p w14:paraId="4E7527FC" w14:textId="77777777" w:rsidR="00A907AE" w:rsidRDefault="00A907AE" w:rsidP="00B9320A">
      <w:pPr>
        <w:pStyle w:val="FootnoteText"/>
      </w:pPr>
      <w:r>
        <w:rPr>
          <w:rStyle w:val="FootnoteReference"/>
        </w:rPr>
        <w:footnoteRef/>
      </w:r>
      <w:r>
        <w:t xml:space="preserve"> </w:t>
      </w:r>
      <w:r w:rsidRPr="00EE4C53">
        <w:t>“Other” for adult patients includes Self-Pay, Commonwealth of Massachusetts, National Donor Program, United VA Community Care Network, Health Safety Net (full and partial), CHAMPVA, Tricare (East Region Prime, East Region Select, West Region), Nashua Street Jail, Essex County Jail, Generic County Jail, Generic Other Government, MA State MCI Correctional Center, Veterans Choice, Veterans Administration Special Billing, Martins Point USFHP, COVID-19 HRSA Uninsured Testing and Treatment Fund, Works Compensation, U.S. Department of Labor (FECA Federal and DEEOIC Energy), and City of Boston Fire Department.</w:t>
      </w:r>
    </w:p>
  </w:footnote>
  <w:footnote w:id="40">
    <w:p w14:paraId="7F8BD1C0" w14:textId="77777777" w:rsidR="00A907AE" w:rsidRDefault="00A907AE" w:rsidP="00B9320A">
      <w:pPr>
        <w:pStyle w:val="FootnoteText"/>
      </w:pPr>
      <w:r>
        <w:rPr>
          <w:rStyle w:val="FootnoteReference"/>
        </w:rPr>
        <w:footnoteRef/>
      </w:r>
      <w:r>
        <w:t xml:space="preserve"> </w:t>
      </w:r>
      <w:r w:rsidRPr="00EE4C53">
        <w:t>“Other” for adult patients includes Self-Pay, Commonwealth of Massachusetts, National Donor Program, United VA Community Care Network, Health Safety Net (full and partial), CHAMPVA, Tricare (East Region Prime, East Region Select, West Region), Nashua Street Jail, Essex County Jail, Generic County Jail, Generic Other Government, MA State MCI Correctional Center, Veterans Choice, Veterans Administration Special Billing, Martins Point USFHP, COVID-19 HRSA Uninsured Testing and Treatment Fund, Works Compensation, U.S. Department of Labor (FECA Federal and DEEOIC Energy), and City of Boston Fire Department.</w:t>
      </w:r>
    </w:p>
  </w:footnote>
  <w:footnote w:id="41">
    <w:p w14:paraId="7CF25446" w14:textId="77777777" w:rsidR="00A907AE" w:rsidRDefault="00A907AE" w:rsidP="008D1402">
      <w:pPr>
        <w:pStyle w:val="FootnoteText"/>
      </w:pPr>
      <w:r>
        <w:rPr>
          <w:rStyle w:val="FootnoteReference"/>
        </w:rPr>
        <w:footnoteRef/>
      </w:r>
      <w:r>
        <w:t xml:space="preserve"> Masked for HIPAA compliance purposes when the number of patients is fewer than 11. </w:t>
      </w:r>
    </w:p>
  </w:footnote>
  <w:footnote w:id="42">
    <w:p w14:paraId="7CCD51FF" w14:textId="77777777" w:rsidR="00A907AE" w:rsidRDefault="00A907AE" w:rsidP="008D1402">
      <w:pPr>
        <w:pStyle w:val="FootnoteText"/>
      </w:pPr>
      <w:r>
        <w:rPr>
          <w:rStyle w:val="FootnoteReference"/>
        </w:rPr>
        <w:footnoteRef/>
      </w:r>
      <w:r>
        <w:t xml:space="preserve"> Masked for HIPAA compliance purposes when the number of patients is fewer than 11. </w:t>
      </w:r>
    </w:p>
  </w:footnote>
  <w:footnote w:id="43">
    <w:p w14:paraId="58D0C9C7" w14:textId="77777777" w:rsidR="00A907AE" w:rsidRDefault="00A907AE" w:rsidP="008D1402">
      <w:pPr>
        <w:pStyle w:val="FootnoteText"/>
      </w:pPr>
      <w:r>
        <w:rPr>
          <w:rStyle w:val="FootnoteReference"/>
        </w:rPr>
        <w:footnoteRef/>
      </w:r>
      <w:r>
        <w:t xml:space="preserve"> Other includes patient responses not in list as well as NULL entries. </w:t>
      </w:r>
    </w:p>
  </w:footnote>
  <w:footnote w:id="44">
    <w:p w14:paraId="0836D835" w14:textId="77777777" w:rsidR="00A907AE" w:rsidRDefault="00A907AE" w:rsidP="008D1402">
      <w:pPr>
        <w:pStyle w:val="FootnoteText"/>
      </w:pPr>
      <w:r>
        <w:rPr>
          <w:rStyle w:val="FootnoteReference"/>
        </w:rPr>
        <w:footnoteRef/>
      </w:r>
      <w:r>
        <w:t xml:space="preserve"> Other includes patient responses not in list as well as NULL entries. </w:t>
      </w:r>
    </w:p>
  </w:footnote>
  <w:footnote w:id="45">
    <w:p w14:paraId="5C84D8EB" w14:textId="77777777" w:rsidR="00A907AE" w:rsidRDefault="00A907AE" w:rsidP="002E5300">
      <w:pPr>
        <w:pStyle w:val="FootnoteText"/>
      </w:pPr>
      <w:r>
        <w:rPr>
          <w:rStyle w:val="FootnoteReference"/>
        </w:rPr>
        <w:footnoteRef/>
      </w:r>
      <w:r>
        <w:t xml:space="preserve"> </w:t>
      </w:r>
      <w:r w:rsidRPr="004B145F">
        <w:t xml:space="preserve">Other includes states with 11 or fewer patients, and have been combined for HIPAA compliance purposes. These states include Rhode Island, Florida, Vermont, New Jersey, South Carolina, Maryland, Kentucky, Washington, Texas, Pennsylvania, Ohio, Minnesota, Louisiana, Iowa, Delaware, California, and Unknown. </w:t>
      </w:r>
      <w:r>
        <w:t xml:space="preserve">The category </w:t>
      </w:r>
      <w:r w:rsidRPr="004B145F">
        <w:t xml:space="preserve">“Unknown” </w:t>
      </w:r>
      <w:r>
        <w:t xml:space="preserve">was combined </w:t>
      </w:r>
      <w:r w:rsidRPr="004B145F">
        <w:t>because the total number of patients is under 11.</w:t>
      </w:r>
    </w:p>
  </w:footnote>
  <w:footnote w:id="46">
    <w:p w14:paraId="15AB99DE" w14:textId="77777777" w:rsidR="00A907AE" w:rsidRDefault="00A907AE" w:rsidP="002E5300">
      <w:pPr>
        <w:pStyle w:val="FootnoteText"/>
      </w:pPr>
      <w:r>
        <w:rPr>
          <w:rStyle w:val="FootnoteReference"/>
        </w:rPr>
        <w:footnoteRef/>
      </w:r>
      <w:r>
        <w:t xml:space="preserve"> </w:t>
      </w:r>
      <w:r w:rsidRPr="00B22624">
        <w:t xml:space="preserve">Other MA counties include counties with 11 or fewer patients, and have been combined for HIPAA compliance purposes. These counties include Essex, Worcester, Plymouth, Norfolk, Hampden, Hampshire, Dukes, Berkshire, Barnstable, and Unknown. </w:t>
      </w:r>
      <w:r>
        <w:t>The category “</w:t>
      </w:r>
      <w:r w:rsidRPr="00B22624">
        <w:t>Unknown</w:t>
      </w:r>
      <w:r>
        <w:t>”</w:t>
      </w:r>
      <w:r w:rsidRPr="00B22624">
        <w:t xml:space="preserve"> </w:t>
      </w:r>
      <w:r>
        <w:t xml:space="preserve">was combined </w:t>
      </w:r>
      <w:r w:rsidRPr="00B22624">
        <w:t>because the total number of patients is under 11.</w:t>
      </w:r>
    </w:p>
  </w:footnote>
  <w:footnote w:id="47">
    <w:p w14:paraId="0323F258" w14:textId="77777777" w:rsidR="00A907AE" w:rsidRDefault="00A907AE" w:rsidP="002E5300">
      <w:pPr>
        <w:pStyle w:val="FootnoteText"/>
      </w:pPr>
      <w:r>
        <w:rPr>
          <w:rStyle w:val="FootnoteReference"/>
        </w:rPr>
        <w:footnoteRef/>
      </w:r>
      <w:r>
        <w:t xml:space="preserve"> </w:t>
      </w:r>
      <w:r w:rsidRPr="00626245">
        <w:t xml:space="preserve">Other includes states with 11 or fewer patients, and have been combined for HIPAA compliance purposes. These states include New York, Connecticut, Rhode Island, Maine, Virginia, Vermont, North Carolina, Illinois, Florida, and Unknown. </w:t>
      </w:r>
      <w:r>
        <w:t>The category “</w:t>
      </w:r>
      <w:r w:rsidRPr="00626245">
        <w:t>Unknown</w:t>
      </w:r>
      <w:r>
        <w:t>” was combined</w:t>
      </w:r>
      <w:r w:rsidRPr="00626245">
        <w:t xml:space="preserve"> because the total number of patients is under 11.</w:t>
      </w:r>
    </w:p>
  </w:footnote>
  <w:footnote w:id="48">
    <w:p w14:paraId="47BBE410" w14:textId="77777777" w:rsidR="00A907AE" w:rsidRDefault="00A907AE" w:rsidP="002E5300">
      <w:pPr>
        <w:pStyle w:val="FootnoteText"/>
      </w:pPr>
      <w:r>
        <w:rPr>
          <w:rStyle w:val="FootnoteReference"/>
        </w:rPr>
        <w:footnoteRef/>
      </w:r>
      <w:r>
        <w:t xml:space="preserve"> </w:t>
      </w:r>
      <w:r w:rsidRPr="00FB0288">
        <w:t>Other include counties with 11 or fewer patients, and have been combined for HIPAA compliance purposes. These counties include Barnstable, Hampshire, Hampden, Berkshire, Franklin.</w:t>
      </w:r>
    </w:p>
  </w:footnote>
  <w:footnote w:id="49">
    <w:p w14:paraId="06A411A1" w14:textId="77777777" w:rsidR="00617F96" w:rsidRDefault="00617F96" w:rsidP="00B9320A">
      <w:pPr>
        <w:pStyle w:val="FootnoteText"/>
      </w:pPr>
      <w:r>
        <w:rPr>
          <w:rStyle w:val="FootnoteReference"/>
        </w:rPr>
        <w:footnoteRef/>
      </w:r>
      <w:r>
        <w:t xml:space="preserve"> </w:t>
      </w:r>
      <w:r w:rsidRPr="003F7062">
        <w:t>“Other” for pediatric patients includes Self-Pay, National Marrow Donor Program, Health Safety Net (partial and full), CHAMPVA, Tricare  (East Region Prime, East Region Select, West Region), Martins Point USFHP.</w:t>
      </w:r>
    </w:p>
  </w:footnote>
  <w:footnote w:id="50">
    <w:p w14:paraId="5F45078E" w14:textId="77777777" w:rsidR="00617F96" w:rsidRDefault="00617F96" w:rsidP="00B9320A">
      <w:pPr>
        <w:pStyle w:val="FootnoteText"/>
      </w:pPr>
      <w:r>
        <w:rPr>
          <w:rStyle w:val="FootnoteReference"/>
        </w:rPr>
        <w:footnoteRef/>
      </w:r>
      <w:r>
        <w:t xml:space="preserve"> </w:t>
      </w:r>
      <w:r w:rsidRPr="003F7062">
        <w:t>“Other” for pediatric patients includes Self-Pay, National Marrow Donor Program, Health Safety Net (partial and full), CHAMPVA, Tricare  (East Region Prime, East Region Select, West Region), Martins Point USFHP.</w:t>
      </w:r>
    </w:p>
  </w:footnote>
  <w:footnote w:id="51">
    <w:p w14:paraId="104C7246" w14:textId="2FB602DF" w:rsidR="001733FE" w:rsidRDefault="001733FE">
      <w:pPr>
        <w:pStyle w:val="FootnoteText"/>
      </w:pPr>
      <w:r>
        <w:rPr>
          <w:rStyle w:val="FootnoteReference"/>
        </w:rPr>
        <w:footnoteRef/>
      </w:r>
      <w:r>
        <w:t xml:space="preserve"> </w:t>
      </w:r>
      <w:r w:rsidR="00C102A9">
        <w:t xml:space="preserve">Reflects the total minutes in a 12-hour day divided by the treatment length in minutes. </w:t>
      </w:r>
    </w:p>
  </w:footnote>
  <w:footnote w:id="52">
    <w:p w14:paraId="29BB424C" w14:textId="2C969EF4" w:rsidR="00C102A9" w:rsidRDefault="00C102A9">
      <w:pPr>
        <w:pStyle w:val="FootnoteText"/>
      </w:pPr>
      <w:r>
        <w:rPr>
          <w:rStyle w:val="FootnoteReference"/>
        </w:rPr>
        <w:footnoteRef/>
      </w:r>
      <w:r>
        <w:t xml:space="preserve"> Assumes the Center is operational 243 days per year. </w:t>
      </w:r>
    </w:p>
  </w:footnote>
  <w:footnote w:id="53">
    <w:p w14:paraId="245195E3" w14:textId="0AD99535" w:rsidR="00C102A9" w:rsidRDefault="00C102A9">
      <w:pPr>
        <w:pStyle w:val="FootnoteText"/>
      </w:pPr>
      <w:r>
        <w:rPr>
          <w:rStyle w:val="FootnoteReference"/>
        </w:rPr>
        <w:footnoteRef/>
      </w:r>
      <w:r>
        <w:t xml:space="preserve"> Reflects the treatments per year divided by the total number of treatments per patient. </w:t>
      </w:r>
    </w:p>
  </w:footnote>
  <w:footnote w:id="54">
    <w:p w14:paraId="0417F187" w14:textId="0AC8C44C" w:rsidR="0078619A" w:rsidRDefault="0078619A">
      <w:pPr>
        <w:pStyle w:val="FootnoteText"/>
      </w:pPr>
      <w:r>
        <w:rPr>
          <w:rStyle w:val="FootnoteReference"/>
        </w:rPr>
        <w:footnoteRef/>
      </w:r>
      <w:r>
        <w:t xml:space="preserve"> Rounded to the nearest 10</w:t>
      </w:r>
      <w:r w:rsidRPr="0078619A">
        <w:rPr>
          <w:vertAlign w:val="superscript"/>
        </w:rPr>
        <w:t>th</w:t>
      </w:r>
      <w:r>
        <w:t xml:space="preserve">. </w:t>
      </w:r>
    </w:p>
  </w:footnote>
  <w:footnote w:id="55">
    <w:p w14:paraId="01956719" w14:textId="56579C89" w:rsidR="005F7E43" w:rsidRDefault="005F7E43" w:rsidP="00C704EB">
      <w:pPr>
        <w:pStyle w:val="FootnoteText"/>
      </w:pPr>
      <w:r>
        <w:rPr>
          <w:rStyle w:val="FootnoteReference"/>
        </w:rPr>
        <w:footnoteRef/>
      </w:r>
      <w:r>
        <w:t xml:space="preserve"> </w:t>
      </w:r>
      <w:r w:rsidR="007D519F">
        <w:t xml:space="preserve">PBT is medically necessary for the following conditions: </w:t>
      </w:r>
      <w:r w:rsidR="00C704EB">
        <w:t>Primary CNS tumors; or</w:t>
      </w:r>
      <w:r w:rsidR="007D519F">
        <w:t xml:space="preserve"> </w:t>
      </w:r>
      <w:r w:rsidR="00C704EB">
        <w:t>Head and neck tumors (T4 or unresectable, excluding T1-T2N0M0 laryngeal cancer); or</w:t>
      </w:r>
      <w:r w:rsidR="007D519F">
        <w:t xml:space="preserve"> </w:t>
      </w:r>
      <w:r w:rsidR="00C704EB">
        <w:t>Paranasal sinus, other accessory sinus, or nasopharyngeal tumors; o</w:t>
      </w:r>
      <w:r w:rsidR="007D519F">
        <w:t xml:space="preserve">r </w:t>
      </w:r>
      <w:r w:rsidR="00C704EB">
        <w:t>Skull-based tumors (e.g., chordomas or chondrosarcomas); o</w:t>
      </w:r>
      <w:r w:rsidR="007D519F">
        <w:t xml:space="preserve">r </w:t>
      </w:r>
      <w:r w:rsidR="00C704EB">
        <w:t>Malignancies in children (21 years of age and younger); or</w:t>
      </w:r>
      <w:r w:rsidR="007D519F">
        <w:t xml:space="preserve"> </w:t>
      </w:r>
      <w:r w:rsidR="00C704EB">
        <w:t>Esophageal cancer; or</w:t>
      </w:r>
      <w:r w:rsidR="007D519F">
        <w:t xml:space="preserve"> </w:t>
      </w:r>
      <w:r w:rsidR="00C704EB">
        <w:t>Malignancies requiring craniospinal irradiation (CSI) in persons with no active malignancy outside of the craniospinal axis; or</w:t>
      </w:r>
      <w:r w:rsidR="007D519F">
        <w:t xml:space="preserve"> </w:t>
      </w:r>
      <w:r w:rsidR="00C704EB">
        <w:t>Mediastinal lymphomas; or</w:t>
      </w:r>
      <w:r w:rsidR="007D519F">
        <w:t xml:space="preserve"> </w:t>
      </w:r>
      <w:r w:rsidR="00C704EB">
        <w:t>Thymomas and thymic carcinoma; or</w:t>
      </w:r>
      <w:r w:rsidR="007D519F">
        <w:t xml:space="preserve"> </w:t>
      </w:r>
      <w:r w:rsidR="00C704EB">
        <w:t>Thoracic sarcomas; or</w:t>
      </w:r>
      <w:r w:rsidR="007D519F">
        <w:t xml:space="preserve"> </w:t>
      </w:r>
      <w:r w:rsidR="00C704EB">
        <w:t>Nonmetastatic retroperitoneal sarcomas; or</w:t>
      </w:r>
      <w:r w:rsidR="007D519F">
        <w:t xml:space="preserve"> </w:t>
      </w:r>
      <w:r w:rsidR="00C704EB">
        <w:t>Ocular tumors, including intraocular/uveal melanoma (includes the iris, ciliary body and choroid); or</w:t>
      </w:r>
      <w:r w:rsidR="007D519F">
        <w:t xml:space="preserve"> </w:t>
      </w:r>
      <w:r w:rsidR="00C704EB">
        <w:t>Primary or metastatic tumors of the spine where the spinal cord tolerance would be exceeded with photon radiotherapy approaches; or</w:t>
      </w:r>
      <w:r w:rsidR="007D519F">
        <w:t xml:space="preserve"> </w:t>
      </w:r>
      <w:r w:rsidR="00C704EB">
        <w:t>Primary malignant or benign bone tumors; or</w:t>
      </w:r>
      <w:r w:rsidR="007D519F">
        <w:t xml:space="preserve"> </w:t>
      </w:r>
      <w:r w:rsidR="00C704EB">
        <w:t>Reirradiation of an in-field or marginal recurrence being treated with curative intent, where other radiotherapy approaches would exceed acceptable constraints; or</w:t>
      </w:r>
      <w:r w:rsidR="007D519F">
        <w:t xml:space="preserve"> </w:t>
      </w:r>
      <w:r w:rsidR="00C704EB">
        <w:t>Localized unresectable hepatocellular carcinoma (HCC) or intrahepatic cholangiocarcinoma in the curative setting when documentation is provided that sparing of the surrounding normal tissue cannot be achieved with standard radiation therapy techniques, including intensity-modulated radiation therapy (IMRT), stereotactic body radiation therapy (SBRT), selective internal radiation spheres, and transarterial therapy (for example, chemoembolization); or</w:t>
      </w:r>
      <w:r w:rsidR="007D519F">
        <w:t xml:space="preserve"> </w:t>
      </w:r>
      <w:r w:rsidR="00C704EB">
        <w:t xml:space="preserve">Non-metastatic pelvic tumors that are advanced and unresectable, with significant pelvic or periaortic non-metastatic bulky nodes, where other radiotherapy approaches would exceed acceptable constraints; or </w:t>
      </w:r>
      <w:r w:rsidR="007D519F">
        <w:t xml:space="preserve"> </w:t>
      </w:r>
      <w:r w:rsidR="00C704EB">
        <w:t>Persons with a single kidney or transplanted pelvic kidney with treatment of an adjacent target volume and in whom maximal avoidance of the organ is critical; or</w:t>
      </w:r>
      <w:r w:rsidR="007D519F">
        <w:t xml:space="preserve"> </w:t>
      </w:r>
      <w:r w:rsidR="00C704EB">
        <w:t>Persons with genetic syndromes making total volume of radiation minimization crucial, such as, but not limited to NF-1 patients, BRCA1/2, deleterious ATM mutations, Li-Fraumeni, Lynch syndrome, and retinoblastoma; or</w:t>
      </w:r>
      <w:r w:rsidR="007D519F">
        <w:t xml:space="preserve"> </w:t>
      </w:r>
      <w:r w:rsidR="00C704EB">
        <w:t>Pituitary neoplasms.</w:t>
      </w:r>
    </w:p>
  </w:footnote>
  <w:footnote w:id="56">
    <w:p w14:paraId="2DFBBF5F" w14:textId="688F9AA8" w:rsidR="006E49BC" w:rsidRDefault="006E49BC">
      <w:pPr>
        <w:pStyle w:val="FootnoteText"/>
      </w:pPr>
      <w:r>
        <w:rPr>
          <w:rStyle w:val="FootnoteReference"/>
        </w:rPr>
        <w:footnoteRef/>
      </w:r>
      <w:r>
        <w:t xml:space="preserve"> </w:t>
      </w:r>
      <w:r w:rsidR="004B6339">
        <w:t xml:space="preserve">Suffolk County includes </w:t>
      </w:r>
      <w:r w:rsidR="004B6339" w:rsidRPr="004B6339">
        <w:t>Boston</w:t>
      </w:r>
      <w:r w:rsidR="004B6339">
        <w:t xml:space="preserve">, </w:t>
      </w:r>
      <w:r w:rsidR="004B6339" w:rsidRPr="004B6339">
        <w:t>Chelsea</w:t>
      </w:r>
      <w:r w:rsidR="004B6339">
        <w:t xml:space="preserve">, </w:t>
      </w:r>
      <w:r w:rsidR="004B6339" w:rsidRPr="004B6339">
        <w:t>Revere</w:t>
      </w:r>
      <w:r w:rsidR="004B6339">
        <w:t xml:space="preserve">, and </w:t>
      </w:r>
      <w:r w:rsidR="004B6339" w:rsidRPr="004B6339">
        <w:t>Winthrop</w:t>
      </w:r>
      <w:r w:rsidR="004B6339">
        <w:t>.</w:t>
      </w:r>
    </w:p>
  </w:footnote>
  <w:footnote w:id="57">
    <w:p w14:paraId="0F733289" w14:textId="57E24095" w:rsidR="004B6339" w:rsidRDefault="004B6339" w:rsidP="00C860EE">
      <w:pPr>
        <w:pStyle w:val="FootnoteText"/>
      </w:pPr>
      <w:r>
        <w:rPr>
          <w:rStyle w:val="FootnoteReference"/>
        </w:rPr>
        <w:footnoteRef/>
      </w:r>
      <w:r>
        <w:t xml:space="preserve"> Middlesex County includes </w:t>
      </w:r>
      <w:r w:rsidR="00C860EE">
        <w:t>Acton, Arlington, Ashby, Ashland, Ayer, Bedford, Belmont, Billerica, Boxborough, Burlington, Cambridge, Carlisle, Chelmsford, Concord, Dracut, Dunstable, Everett, Framingham, Groton, Holliston, Hopkinton, Hudson, Lexington, Lincoln, Littleton, Lowell, Malden, Marlborough, Maynard, Medford, Melrose, Natick, Newton, North Reading, Pepperell, Reading, Sherborn, Shirley, Somerville, Stoneham, Stow, Sudbury, Tewksbury, Townsend, Tyngsborough, Wakefield, Waltham, Watertown, Wayland, Westford, Weston, Wilmington, Winchester, and Woburn.</w:t>
      </w:r>
    </w:p>
  </w:footnote>
  <w:footnote w:id="58">
    <w:p w14:paraId="36A86081" w14:textId="3677F978" w:rsidR="00E923F4" w:rsidRDefault="00E923F4" w:rsidP="00E923F4">
      <w:pPr>
        <w:pStyle w:val="FootnoteText"/>
      </w:pPr>
      <w:r>
        <w:rPr>
          <w:rStyle w:val="FootnoteReference"/>
        </w:rPr>
        <w:footnoteRef/>
      </w:r>
      <w:r>
        <w:t xml:space="preserve"> Norfolk County includes Avon, Bellingham, Braintree, Brookline, Canton, Cohasset, Dedham, Dover, Foxborough, Franklin, Holbrook, Medfield, Medway, Millis, Milton, Needham, Norfolk, Norwood, Plainville, Quincy, Randolph, Sharon, Stoughton, Walpole, Wellesley, Westwood, Weymouth, and Wrentham.</w:t>
      </w:r>
    </w:p>
  </w:footnote>
  <w:footnote w:id="59">
    <w:p w14:paraId="5F42EE14" w14:textId="77777777" w:rsidR="00766DDA" w:rsidRDefault="00766DDA" w:rsidP="00766DDA">
      <w:pPr>
        <w:pStyle w:val="FootnoteText"/>
      </w:pPr>
      <w:r>
        <w:rPr>
          <w:rStyle w:val="FootnoteReference"/>
        </w:rPr>
        <w:footnoteRef/>
      </w:r>
      <w:r>
        <w:t xml:space="preserve"> Most recent full year of data.</w:t>
      </w:r>
    </w:p>
  </w:footnote>
  <w:footnote w:id="60">
    <w:p w14:paraId="3A263EDC" w14:textId="7C8F262C" w:rsidR="003F338A" w:rsidRDefault="003F338A">
      <w:pPr>
        <w:pStyle w:val="FootnoteText"/>
      </w:pPr>
      <w:r>
        <w:rPr>
          <w:rStyle w:val="FootnoteReference"/>
        </w:rPr>
        <w:footnoteRef/>
      </w:r>
      <w:r>
        <w:t xml:space="preserve"> </w:t>
      </w:r>
      <w:r w:rsidR="00106A6F" w:rsidRPr="00106A6F">
        <w:t>3D Conformal Radiation Therapy</w:t>
      </w:r>
    </w:p>
  </w:footnote>
  <w:footnote w:id="61">
    <w:p w14:paraId="1809E7B7" w14:textId="77777777" w:rsidR="00AA7B90" w:rsidRDefault="00AA7B90" w:rsidP="00AA7B90">
      <w:pPr>
        <w:pStyle w:val="FootnoteText"/>
      </w:pPr>
      <w:r>
        <w:rPr>
          <w:rStyle w:val="FootnoteReference"/>
        </w:rPr>
        <w:footnoteRef/>
      </w:r>
      <w:r>
        <w:t xml:space="preserve"> A</w:t>
      </w:r>
      <w:r w:rsidRPr="000E7952">
        <w:t xml:space="preserve"> specialized radiation technique used for patients with central nervous system malignancies</w:t>
      </w:r>
      <w:r>
        <w:t>.</w:t>
      </w:r>
    </w:p>
  </w:footnote>
  <w:footnote w:id="62">
    <w:p w14:paraId="5FC5FC2D" w14:textId="014D8758" w:rsidR="00A6465E" w:rsidRDefault="00A6465E">
      <w:pPr>
        <w:pStyle w:val="FootnoteText"/>
      </w:pPr>
      <w:r>
        <w:rPr>
          <w:rStyle w:val="FootnoteReference"/>
        </w:rPr>
        <w:footnoteRef/>
      </w:r>
      <w:r>
        <w:t xml:space="preserve"> I</w:t>
      </w:r>
      <w:r w:rsidRPr="00A6465E">
        <w:t>ntensity-modulated proton therapy</w:t>
      </w:r>
      <w:r>
        <w:t>.</w:t>
      </w:r>
    </w:p>
  </w:footnote>
  <w:footnote w:id="63">
    <w:p w14:paraId="334AD2C2" w14:textId="26A6040E" w:rsidR="00A6465E" w:rsidRDefault="00A6465E">
      <w:pPr>
        <w:pStyle w:val="FootnoteText"/>
      </w:pPr>
      <w:r>
        <w:rPr>
          <w:rStyle w:val="FootnoteReference"/>
        </w:rPr>
        <w:footnoteRef/>
      </w:r>
      <w:r>
        <w:t xml:space="preserve"> I</w:t>
      </w:r>
      <w:r w:rsidRPr="00A6465E">
        <w:t>ntensity-modulated photon therapy</w:t>
      </w:r>
      <w:r>
        <w:t>.</w:t>
      </w:r>
    </w:p>
  </w:footnote>
  <w:footnote w:id="64">
    <w:p w14:paraId="13B05F1E" w14:textId="5D046C3E" w:rsidR="009252F6" w:rsidRDefault="009252F6">
      <w:pPr>
        <w:pStyle w:val="FootnoteText"/>
      </w:pPr>
      <w:r>
        <w:rPr>
          <w:rStyle w:val="FootnoteReference"/>
        </w:rPr>
        <w:footnoteRef/>
      </w:r>
      <w:r>
        <w:t xml:space="preserve"> </w:t>
      </w:r>
      <w:r w:rsidR="0057696D" w:rsidRPr="0057696D">
        <w:t xml:space="preserve">Key elements include proactive screening of patients and documentation in </w:t>
      </w:r>
      <w:r w:rsidR="0057696D">
        <w:t>Epic</w:t>
      </w:r>
      <w:r w:rsidR="0057696D" w:rsidRPr="0057696D">
        <w:t>; maintaining physically accessible spaces; providing neuro-inclusive supports when requested, and cross-team collaboration among the ADA Coordinator, Interpreter Services, Social Work, the Neuro-Inclusive Program, Facilities, and clinical staff to meet accommodation needs to the greatest extent possible.</w:t>
      </w:r>
    </w:p>
  </w:footnote>
  <w:footnote w:id="65">
    <w:p w14:paraId="52CCC576" w14:textId="0D2698B4" w:rsidR="00F54FFB" w:rsidRDefault="00F54FFB">
      <w:pPr>
        <w:pStyle w:val="FootnoteText"/>
      </w:pPr>
      <w:r>
        <w:rPr>
          <w:rStyle w:val="FootnoteReference"/>
        </w:rPr>
        <w:footnoteRef/>
      </w:r>
      <w:r>
        <w:t xml:space="preserve"> </w:t>
      </w:r>
      <w:hyperlink r:id="rId6" w:history="1">
        <w:r w:rsidRPr="00464B08">
          <w:rPr>
            <w:rStyle w:val="Hyperlink"/>
            <w:color w:val="auto"/>
            <w:u w:val="none"/>
          </w:rPr>
          <w:t>Healthcare Equality Index 2024</w:t>
        </w:r>
      </w:hyperlink>
      <w:r w:rsidRPr="00464B08">
        <w:t xml:space="preserve">. </w:t>
      </w:r>
      <w:hyperlink r:id="rId7" w:history="1">
        <w:r w:rsidR="0019469C" w:rsidRPr="00D778D2">
          <w:rPr>
            <w:rStyle w:val="Hyperlink"/>
          </w:rPr>
          <w:t>https://www.hrc.org/resources/healthcare-equality-index</w:t>
        </w:r>
      </w:hyperlink>
      <w:r w:rsidR="0019469C">
        <w:t xml:space="preserve"> </w:t>
      </w:r>
    </w:p>
  </w:footnote>
  <w:footnote w:id="66">
    <w:p w14:paraId="5EDE23E4" w14:textId="77777777" w:rsidR="003D67CE" w:rsidRDefault="003D67CE" w:rsidP="003D67CE">
      <w:pPr>
        <w:pStyle w:val="FootnoteText"/>
      </w:pPr>
      <w:r>
        <w:rPr>
          <w:rStyle w:val="FootnoteReference"/>
        </w:rPr>
        <w:footnoteRef/>
      </w:r>
      <w:r>
        <w:t xml:space="preserve"> </w:t>
      </w:r>
      <w:r w:rsidRPr="003D67CE">
        <w:t>Allston Brighton Health Collaborative, Boston Public Health Commission, Charles River Community Health, Enhance Asian Community on Health, Madison Park Development Corporation, Roxbury Tenants of Harvard, and Sociedad Latina and the Applicant’s Community Programs Board of Trustees Committee.</w:t>
      </w:r>
    </w:p>
  </w:footnote>
  <w:footnote w:id="67">
    <w:p w14:paraId="590E8741" w14:textId="3960D3DA" w:rsidR="00540CA0" w:rsidRDefault="00540CA0">
      <w:pPr>
        <w:pStyle w:val="FootnoteText"/>
      </w:pPr>
      <w:r>
        <w:rPr>
          <w:rStyle w:val="FootnoteReference"/>
        </w:rPr>
        <w:footnoteRef/>
      </w:r>
      <w:r>
        <w:t xml:space="preserve"> </w:t>
      </w:r>
      <w:r w:rsidRPr="005426D2">
        <w:t>The Applicant states that this DoN Application has been filed only four (4) months after final approval of the Applicant’s FCH DoN (DFCI-230409915)</w:t>
      </w:r>
      <w:r w:rsidR="007914BA" w:rsidRPr="005426D2">
        <w:t>, and g</w:t>
      </w:r>
      <w:r w:rsidRPr="005426D2">
        <w:t xml:space="preserve">iven the size and scope of that project, the Applicant engaged in extensive community engagement efforts. Therefore, in order to prevent overburdening the community with this process, and in consultation with the Department of Public Health, Community Health unit, it was agreed and approved by the Applicant’s DoN External Advisory Committee that the Community Engagement Plan used for the </w:t>
      </w:r>
      <w:r w:rsidR="00942EC1" w:rsidRPr="005426D2">
        <w:t>Future Cancer Hospital (</w:t>
      </w:r>
      <w:r w:rsidRPr="005426D2">
        <w:t>FCH</w:t>
      </w:r>
      <w:r w:rsidR="00942EC1" w:rsidRPr="005426D2">
        <w:t>)</w:t>
      </w:r>
      <w:r w:rsidRPr="005426D2">
        <w:t xml:space="preserve"> DoN also should be used for this Application.</w:t>
      </w:r>
    </w:p>
  </w:footnote>
  <w:footnote w:id="68">
    <w:p w14:paraId="35B2A382" w14:textId="07413E56" w:rsidR="00234C35" w:rsidRDefault="00234C35">
      <w:pPr>
        <w:pStyle w:val="FootnoteText"/>
      </w:pPr>
      <w:r>
        <w:rPr>
          <w:rStyle w:val="FootnoteReference"/>
        </w:rPr>
        <w:footnoteRef/>
      </w:r>
      <w:r>
        <w:t xml:space="preserve"> </w:t>
      </w:r>
      <w:r w:rsidR="000F3DAC">
        <w:t xml:space="preserve">There are 11 specialized cancer centers designated as </w:t>
      </w:r>
      <w:r w:rsidRPr="00234C35">
        <w:t>PPS-exempt hospitals (PCHs),</w:t>
      </w:r>
      <w:r w:rsidR="000F3DAC">
        <w:t xml:space="preserve"> meaning they are </w:t>
      </w:r>
      <w:r w:rsidRPr="00234C35">
        <w:t>e</w:t>
      </w:r>
      <w:r w:rsidR="00A910BE">
        <w:t>xempt</w:t>
      </w:r>
      <w:r w:rsidR="006471CE">
        <w:t>ed</w:t>
      </w:r>
      <w:r w:rsidRPr="00234C35">
        <w:t xml:space="preserve"> from Medicare’s Acute Inpatient Prospective Payment System (IPPS) and receive specialized reimbursement based on</w:t>
      </w:r>
      <w:r w:rsidR="00482A91">
        <w:t xml:space="preserve"> their</w:t>
      </w:r>
      <w:r w:rsidRPr="00234C35">
        <w:t xml:space="preserve"> reasonable costs rather than fixed </w:t>
      </w:r>
      <w:r w:rsidR="000F2436">
        <w:t>Diagnosis-Related Group (DRG)</w:t>
      </w:r>
      <w:r w:rsidRPr="00234C35">
        <w:t xml:space="preserve"> rates. These facilities also </w:t>
      </w:r>
      <w:r w:rsidR="00F62C2D">
        <w:t xml:space="preserve">receive payment adjustments </w:t>
      </w:r>
      <w:r w:rsidR="008945C3">
        <w:t>under the outpatient PPS.</w:t>
      </w:r>
    </w:p>
  </w:footnote>
  <w:footnote w:id="69">
    <w:p w14:paraId="22EFC947" w14:textId="1B1C03A0" w:rsidR="00DD6BE9" w:rsidRDefault="00DD6BE9">
      <w:pPr>
        <w:pStyle w:val="FootnoteText"/>
      </w:pPr>
      <w:r>
        <w:rPr>
          <w:rStyle w:val="FootnoteReference"/>
        </w:rPr>
        <w:footnoteRef/>
      </w:r>
      <w:r>
        <w:t xml:space="preserve"> The article states that </w:t>
      </w:r>
      <w:r w:rsidR="007E496F">
        <w:t>m</w:t>
      </w:r>
      <w:r w:rsidRPr="00DD6BE9">
        <w:t>edulloblastoma is the most common malignant cancer of the central nervous system in children, and RT is considered the standard of care for any child aged &gt;3 years</w:t>
      </w:r>
    </w:p>
  </w:footnote>
  <w:footnote w:id="70">
    <w:p w14:paraId="78C1BBB5" w14:textId="61E6505D" w:rsidR="000E4563" w:rsidRDefault="000E4563">
      <w:pPr>
        <w:pStyle w:val="FootnoteText"/>
      </w:pPr>
      <w:r>
        <w:rPr>
          <w:rStyle w:val="FootnoteReference"/>
        </w:rPr>
        <w:footnoteRef/>
      </w:r>
      <w:r>
        <w:t xml:space="preserve"> </w:t>
      </w:r>
      <w:r w:rsidRPr="000E4563">
        <w:t>This percentage reflects MassHealth’s Inflation Factor for Operating Costs price changes between RY23 and RY24 in the most recent Rate Year where an Inflation Factor is established.</w:t>
      </w:r>
    </w:p>
  </w:footnote>
  <w:footnote w:id="71">
    <w:p w14:paraId="40EC740E" w14:textId="77777777" w:rsidR="008927B4" w:rsidRDefault="008927B4" w:rsidP="008927B4">
      <w:pPr>
        <w:pStyle w:val="FootnoteText"/>
      </w:pPr>
      <w:r>
        <w:rPr>
          <w:rStyle w:val="FootnoteReference"/>
        </w:rPr>
        <w:footnoteRef/>
      </w:r>
      <w:r>
        <w:t xml:space="preserve"> </w:t>
      </w:r>
      <w:r w:rsidRPr="00145295">
        <w:t>These partnerships include:</w:t>
      </w:r>
      <w:r>
        <w:t xml:space="preserve"> </w:t>
      </w:r>
      <w:r w:rsidRPr="00145295">
        <w:t>Boston Breast Cancer Equity Coalition, Boston CHNA/CHIP Collaborative, the Boston Public Health Commission, CHNA partners, Dana-Farber/Harvard Cancer Center for Cancer Equity &amp; Engagement (DF/HCC CCEE), Dana-Farber’s Center for Community-Based Research (CCBR), Massachusetts Coalition for HPV, ongoing partnerships with the Massachusetts Department of Public Health (Department), the Prostate Cancer Foundation (PCF) and VA Boston Healthcare System, the Prostate Health Education Network (PHEN), the Tobacco Free Mass Coalition, Union Capital Boston (UCB), and, the Rian Immigrant Center (Ria</w:t>
      </w:r>
      <w:r>
        <w:t>n</w:t>
      </w:r>
      <w:r w:rsidRPr="00145295">
        <w:t xml:space="preserve">) and Health Law Advocates (HLA). </w:t>
      </w:r>
    </w:p>
  </w:footnote>
  <w:footnote w:id="72">
    <w:p w14:paraId="6129D8AC" w14:textId="77777777" w:rsidR="00682D04" w:rsidRDefault="00682D04" w:rsidP="00682D04">
      <w:pPr>
        <w:pStyle w:val="FootnoteText"/>
      </w:pPr>
      <w:r>
        <w:rPr>
          <w:rStyle w:val="FootnoteReference"/>
        </w:rPr>
        <w:footnoteRef/>
      </w:r>
      <w:r>
        <w:t xml:space="preserve"> The systematic review considered seven major cancer types (bladder, breast, colon, rectum, lung, cervix, and head and neck) and three treatment modalities (surgery, systemic treatment, and radiotherapy). </w:t>
      </w:r>
    </w:p>
  </w:footnote>
  <w:footnote w:id="73">
    <w:p w14:paraId="1D6A2D9B" w14:textId="67E8B43E" w:rsidR="00682D04" w:rsidRDefault="00682D04" w:rsidP="00682D04">
      <w:pPr>
        <w:pStyle w:val="FootnoteText"/>
      </w:pPr>
      <w:r w:rsidRPr="007B34F1">
        <w:rPr>
          <w:rStyle w:val="FootnoteReference"/>
        </w:rPr>
        <w:footnoteRef/>
      </w:r>
      <w:r w:rsidRPr="007B34F1">
        <w:t xml:space="preserve"> Notice to Dana-Farber Cancer Institute Patients: </w:t>
      </w:r>
      <w:hyperlink r:id="rId8" w:history="1">
        <w:r w:rsidRPr="0021705D">
          <w:rPr>
            <w:rStyle w:val="Hyperlink"/>
            <w:color w:val="auto"/>
            <w:u w:val="none"/>
          </w:rPr>
          <w:t>Availability of Financial Counseling, Payment Plans, and Financial Assistance</w:t>
        </w:r>
      </w:hyperlink>
      <w:r w:rsidRPr="0021705D">
        <w:t xml:space="preserve">: </w:t>
      </w:r>
      <w:hyperlink r:id="rId9" w:history="1">
        <w:r w:rsidRPr="007B34F1">
          <w:rPr>
            <w:rStyle w:val="Hyperlink"/>
          </w:rPr>
          <w:t>https://dfci.widen.net/s/8hhnhdjfk2/financial-assistance-summary-2025.pdf</w:t>
        </w:r>
      </w:hyperlink>
      <w:r>
        <w:t xml:space="preserve"> </w:t>
      </w:r>
    </w:p>
  </w:footnote>
  <w:footnote w:id="74">
    <w:p w14:paraId="108DCA25" w14:textId="341D71A0" w:rsidR="00052964" w:rsidRDefault="00052964">
      <w:pPr>
        <w:pStyle w:val="FootnoteText"/>
      </w:pPr>
      <w:r>
        <w:rPr>
          <w:rStyle w:val="FootnoteReference"/>
        </w:rPr>
        <w:footnoteRef/>
      </w:r>
      <w:r>
        <w:t xml:space="preserve"> </w:t>
      </w:r>
      <w:r w:rsidR="00B90F14" w:rsidRPr="00B90F14">
        <w:t>Profitability metrics are used to assist in the evaluation of management performance in how efficiently resources are utilized. Liquidity metrics, including common ratios such as “days of available cash and investments on hand”, measure the quality and adequacy of assets to meet current obligations as they come due. Solvency metrics measure the company’s ability to take on and service debt obligations.</w:t>
      </w:r>
    </w:p>
  </w:footnote>
  <w:footnote w:id="75">
    <w:p w14:paraId="71E8D4C2" w14:textId="77777777" w:rsidR="006D6C8B" w:rsidRDefault="006D6C8B" w:rsidP="006D6C8B">
      <w:pPr>
        <w:pStyle w:val="FootnoteText"/>
      </w:pPr>
      <w:r>
        <w:rPr>
          <w:rStyle w:val="FootnoteReference"/>
        </w:rPr>
        <w:footnoteRef/>
      </w:r>
      <w:r>
        <w:t xml:space="preserve"> </w:t>
      </w:r>
      <w:r w:rsidRPr="0016282E">
        <w:t>This percentage reflects MassHealth’s Inflation Factor for Operating Costs price changes between RY23 and RY24 in the most recent Rate Year where an Inflation Factor is established</w:t>
      </w:r>
      <w:r>
        <w:t>.</w:t>
      </w:r>
    </w:p>
  </w:footnote>
  <w:footnote w:id="76">
    <w:p w14:paraId="3514B2B0" w14:textId="7A14F5D5" w:rsidR="00973DFD" w:rsidRDefault="00973DFD">
      <w:pPr>
        <w:pStyle w:val="FootnoteText"/>
      </w:pPr>
      <w:r>
        <w:rPr>
          <w:rStyle w:val="FootnoteReference"/>
        </w:rPr>
        <w:footnoteRef/>
      </w:r>
      <w:r>
        <w:t xml:space="preserve"> </w:t>
      </w:r>
      <w:r w:rsidR="006267A3">
        <w:t xml:space="preserve">National Cancer Institute. </w:t>
      </w:r>
      <w:hyperlink r:id="rId10" w:history="1">
        <w:r w:rsidR="006267A3" w:rsidRPr="006C68DF">
          <w:rPr>
            <w:rStyle w:val="Hyperlink"/>
            <w:color w:val="auto"/>
            <w:u w:val="none"/>
          </w:rPr>
          <w:t>Patient-Reported Outcomes version of the Common Terminology Criteria for Adverse Events (</w:t>
        </w:r>
      </w:hyperlink>
      <w:r w:rsidR="006267A3" w:rsidRPr="006C68DF">
        <w:t>PRO</w:t>
      </w:r>
      <w:r w:rsidR="006267A3" w:rsidRPr="006267A3">
        <w:t>-CTCAE®)</w:t>
      </w:r>
      <w:r w:rsidR="006267A3">
        <w:t xml:space="preserve">. </w:t>
      </w:r>
      <w:hyperlink r:id="rId11" w:history="1">
        <w:r w:rsidR="004734AA" w:rsidRPr="005E398A">
          <w:rPr>
            <w:rStyle w:val="Hyperlink"/>
          </w:rPr>
          <w:t>https://healthcaredelivery.cancer.gov/pro-ctcae/</w:t>
        </w:r>
      </w:hyperlink>
      <w:r w:rsidR="004734A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913E" w14:textId="5852FF17" w:rsidR="00E54588" w:rsidRDefault="00E54588">
    <w:pPr>
      <w:pStyle w:val="Header"/>
    </w:pPr>
  </w:p>
  <w:p w14:paraId="6B71EBF2" w14:textId="77777777" w:rsidR="00BC6CAD" w:rsidRDefault="00BC6CAD"/>
  <w:p w14:paraId="7EC6D08A" w14:textId="77777777" w:rsidR="00BC6CAD" w:rsidRDefault="00BC6C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7A5E" w14:textId="03110BAC" w:rsidR="00E54588" w:rsidRDefault="00E54588">
    <w:pPr>
      <w:pStyle w:val="Header"/>
    </w:pPr>
  </w:p>
  <w:p w14:paraId="68E032D2" w14:textId="77777777" w:rsidR="00BC6CAD" w:rsidRDefault="00BC6CAD"/>
  <w:p w14:paraId="68A29FCB" w14:textId="77777777" w:rsidR="00BC6CAD" w:rsidRDefault="00BC6C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6555" w14:textId="5AA71EBC" w:rsidR="00E54588" w:rsidRDefault="00E54588">
    <w:pPr>
      <w:pStyle w:val="Header"/>
    </w:pPr>
  </w:p>
</w:hdr>
</file>

<file path=word/intelligence2.xml><?xml version="1.0" encoding="utf-8"?>
<int2:intelligence xmlns:int2="http://schemas.microsoft.com/office/intelligence/2020/intelligence" xmlns:oel="http://schemas.microsoft.com/office/2019/extlst">
  <int2:observations>
    <int2:textHash int2:hashCode="FXOcqJK+9PPsZh" int2:id="WI5LvmmN">
      <int2:state int2:value="Rejected" int2:type="LegacyProofing"/>
    </int2:textHash>
    <int2:textHash int2:hashCode="BzvN8B/rJ5tKx/" int2:id="axrM9OZY">
      <int2:state int2:value="Rejected" int2:type="LegacyProofing"/>
    </int2:textHash>
    <int2:textHash int2:hashCode="MrGydln25631a1" int2:id="cTAHSydM">
      <int2:state int2:value="Rejected" int2:type="LegacyProofing"/>
    </int2:textHash>
    <int2:textHash int2:hashCode="Hx5n5f2yXS5c0Y" int2:id="g8x8b5mZ">
      <int2:state int2:value="Rejected" int2:type="LegacyProofing"/>
    </int2:textHash>
    <int2:textHash int2:hashCode="H0RIRLHKYWAJwr" int2:id="ye4AxkzS">
      <int2:state int2:value="Rejected" int2:type="LegacyProofing"/>
    </int2:textHash>
    <int2:bookmark int2:bookmarkName="_Int_BedYxzXG" int2:invalidationBookmarkName="" int2:hashCode="6bVNq+N7VCJ8bt" int2:id="YBCJAkw8">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8A2"/>
    <w:multiLevelType w:val="hybridMultilevel"/>
    <w:tmpl w:val="FAE817CE"/>
    <w:lvl w:ilvl="0" w:tplc="B992C996">
      <w:start w:val="1"/>
      <w:numFmt w:val="decimal"/>
      <w:lvlText w:val="%1."/>
      <w:lvlJc w:val="left"/>
      <w:pPr>
        <w:ind w:left="1440" w:hanging="360"/>
      </w:pPr>
    </w:lvl>
    <w:lvl w:ilvl="1" w:tplc="04FEFF06">
      <w:start w:val="1"/>
      <w:numFmt w:val="decimal"/>
      <w:lvlText w:val="%2."/>
      <w:lvlJc w:val="left"/>
      <w:pPr>
        <w:ind w:left="1440" w:hanging="360"/>
      </w:pPr>
    </w:lvl>
    <w:lvl w:ilvl="2" w:tplc="2156268C">
      <w:start w:val="1"/>
      <w:numFmt w:val="decimal"/>
      <w:lvlText w:val="%3."/>
      <w:lvlJc w:val="left"/>
      <w:pPr>
        <w:ind w:left="1440" w:hanging="360"/>
      </w:pPr>
    </w:lvl>
    <w:lvl w:ilvl="3" w:tplc="2E9A191E">
      <w:start w:val="1"/>
      <w:numFmt w:val="decimal"/>
      <w:lvlText w:val="%4."/>
      <w:lvlJc w:val="left"/>
      <w:pPr>
        <w:ind w:left="1440" w:hanging="360"/>
      </w:pPr>
    </w:lvl>
    <w:lvl w:ilvl="4" w:tplc="1AE4EBCC">
      <w:start w:val="1"/>
      <w:numFmt w:val="decimal"/>
      <w:lvlText w:val="%5."/>
      <w:lvlJc w:val="left"/>
      <w:pPr>
        <w:ind w:left="1440" w:hanging="360"/>
      </w:pPr>
    </w:lvl>
    <w:lvl w:ilvl="5" w:tplc="71D8F53E">
      <w:start w:val="1"/>
      <w:numFmt w:val="decimal"/>
      <w:lvlText w:val="%6."/>
      <w:lvlJc w:val="left"/>
      <w:pPr>
        <w:ind w:left="1440" w:hanging="360"/>
      </w:pPr>
    </w:lvl>
    <w:lvl w:ilvl="6" w:tplc="152459AE">
      <w:start w:val="1"/>
      <w:numFmt w:val="decimal"/>
      <w:lvlText w:val="%7."/>
      <w:lvlJc w:val="left"/>
      <w:pPr>
        <w:ind w:left="1440" w:hanging="360"/>
      </w:pPr>
    </w:lvl>
    <w:lvl w:ilvl="7" w:tplc="DE121A48">
      <w:start w:val="1"/>
      <w:numFmt w:val="decimal"/>
      <w:lvlText w:val="%8."/>
      <w:lvlJc w:val="left"/>
      <w:pPr>
        <w:ind w:left="1440" w:hanging="360"/>
      </w:pPr>
    </w:lvl>
    <w:lvl w:ilvl="8" w:tplc="8556DCEC">
      <w:start w:val="1"/>
      <w:numFmt w:val="decimal"/>
      <w:lvlText w:val="%9."/>
      <w:lvlJc w:val="left"/>
      <w:pPr>
        <w:ind w:left="1440" w:hanging="360"/>
      </w:pPr>
    </w:lvl>
  </w:abstractNum>
  <w:abstractNum w:abstractNumId="1" w15:restartNumberingAfterBreak="0">
    <w:nsid w:val="018F7589"/>
    <w:multiLevelType w:val="hybridMultilevel"/>
    <w:tmpl w:val="9E408A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2040050"/>
    <w:multiLevelType w:val="multilevel"/>
    <w:tmpl w:val="3836C224"/>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 w15:restartNumberingAfterBreak="0">
    <w:nsid w:val="02AF1610"/>
    <w:multiLevelType w:val="hybridMultilevel"/>
    <w:tmpl w:val="5476B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C04215"/>
    <w:multiLevelType w:val="multilevel"/>
    <w:tmpl w:val="B41AF2D6"/>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 w15:restartNumberingAfterBreak="0">
    <w:nsid w:val="06226CBB"/>
    <w:multiLevelType w:val="multilevel"/>
    <w:tmpl w:val="0688128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 w15:restartNumberingAfterBreak="0">
    <w:nsid w:val="071D080F"/>
    <w:multiLevelType w:val="hybridMultilevel"/>
    <w:tmpl w:val="573C0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CE7677"/>
    <w:multiLevelType w:val="hybridMultilevel"/>
    <w:tmpl w:val="0F16414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09E84351"/>
    <w:multiLevelType w:val="hybridMultilevel"/>
    <w:tmpl w:val="15640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A56E5F"/>
    <w:multiLevelType w:val="multilevel"/>
    <w:tmpl w:val="9E2ECF0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b/>
        <w:bCs/>
        <w:sz w:val="24"/>
        <w:szCs w:val="24"/>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9D5BEA"/>
    <w:multiLevelType w:val="hybridMultilevel"/>
    <w:tmpl w:val="49F23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1D5D7F"/>
    <w:multiLevelType w:val="hybridMultilevel"/>
    <w:tmpl w:val="8552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422D1F"/>
    <w:multiLevelType w:val="hybridMultilevel"/>
    <w:tmpl w:val="440E3314"/>
    <w:lvl w:ilvl="0" w:tplc="BADE6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37E3D"/>
    <w:multiLevelType w:val="hybridMultilevel"/>
    <w:tmpl w:val="614C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04042C"/>
    <w:multiLevelType w:val="multilevel"/>
    <w:tmpl w:val="9C96C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8328CE"/>
    <w:multiLevelType w:val="multilevel"/>
    <w:tmpl w:val="61C07BA2"/>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6" w15:restartNumberingAfterBreak="0">
    <w:nsid w:val="234C598C"/>
    <w:multiLevelType w:val="hybridMultilevel"/>
    <w:tmpl w:val="1EB2EF76"/>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7" w15:restartNumberingAfterBreak="0">
    <w:nsid w:val="25F67EEF"/>
    <w:multiLevelType w:val="hybridMultilevel"/>
    <w:tmpl w:val="E4D8CC6A"/>
    <w:lvl w:ilvl="0" w:tplc="A9406D5A">
      <w:start w:val="1"/>
      <w:numFmt w:val="lowerLetter"/>
      <w:lvlText w:val="%1."/>
      <w:lvlJc w:val="left"/>
      <w:pPr>
        <w:ind w:left="2160" w:hanging="360"/>
      </w:pPr>
    </w:lvl>
    <w:lvl w:ilvl="1" w:tplc="7F9E4820">
      <w:start w:val="1"/>
      <w:numFmt w:val="lowerLetter"/>
      <w:lvlText w:val="%2."/>
      <w:lvlJc w:val="left"/>
      <w:pPr>
        <w:ind w:left="2160" w:hanging="360"/>
      </w:pPr>
    </w:lvl>
    <w:lvl w:ilvl="2" w:tplc="6BAC0CF8">
      <w:start w:val="1"/>
      <w:numFmt w:val="lowerLetter"/>
      <w:lvlText w:val="%3."/>
      <w:lvlJc w:val="left"/>
      <w:pPr>
        <w:ind w:left="2160" w:hanging="360"/>
      </w:pPr>
    </w:lvl>
    <w:lvl w:ilvl="3" w:tplc="D8FE3718">
      <w:start w:val="1"/>
      <w:numFmt w:val="lowerLetter"/>
      <w:lvlText w:val="%4."/>
      <w:lvlJc w:val="left"/>
      <w:pPr>
        <w:ind w:left="2160" w:hanging="360"/>
      </w:pPr>
    </w:lvl>
    <w:lvl w:ilvl="4" w:tplc="FA067A32">
      <w:start w:val="1"/>
      <w:numFmt w:val="lowerLetter"/>
      <w:lvlText w:val="%5."/>
      <w:lvlJc w:val="left"/>
      <w:pPr>
        <w:ind w:left="2160" w:hanging="360"/>
      </w:pPr>
    </w:lvl>
    <w:lvl w:ilvl="5" w:tplc="3252EEB8">
      <w:start w:val="1"/>
      <w:numFmt w:val="lowerLetter"/>
      <w:lvlText w:val="%6."/>
      <w:lvlJc w:val="left"/>
      <w:pPr>
        <w:ind w:left="2160" w:hanging="360"/>
      </w:pPr>
    </w:lvl>
    <w:lvl w:ilvl="6" w:tplc="993AD750">
      <w:start w:val="1"/>
      <w:numFmt w:val="lowerLetter"/>
      <w:lvlText w:val="%7."/>
      <w:lvlJc w:val="left"/>
      <w:pPr>
        <w:ind w:left="2160" w:hanging="360"/>
      </w:pPr>
    </w:lvl>
    <w:lvl w:ilvl="7" w:tplc="D16A74C2">
      <w:start w:val="1"/>
      <w:numFmt w:val="lowerLetter"/>
      <w:lvlText w:val="%8."/>
      <w:lvlJc w:val="left"/>
      <w:pPr>
        <w:ind w:left="2160" w:hanging="360"/>
      </w:pPr>
    </w:lvl>
    <w:lvl w:ilvl="8" w:tplc="CDB42A56">
      <w:start w:val="1"/>
      <w:numFmt w:val="lowerLetter"/>
      <w:lvlText w:val="%9."/>
      <w:lvlJc w:val="left"/>
      <w:pPr>
        <w:ind w:left="2160" w:hanging="360"/>
      </w:pPr>
    </w:lvl>
  </w:abstractNum>
  <w:abstractNum w:abstractNumId="18" w15:restartNumberingAfterBreak="0">
    <w:nsid w:val="27297719"/>
    <w:multiLevelType w:val="hybridMultilevel"/>
    <w:tmpl w:val="A336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FB0AA0"/>
    <w:multiLevelType w:val="multilevel"/>
    <w:tmpl w:val="97066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FA2513"/>
    <w:multiLevelType w:val="hybridMultilevel"/>
    <w:tmpl w:val="0562D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0F24F4"/>
    <w:multiLevelType w:val="hybridMultilevel"/>
    <w:tmpl w:val="A7C241AE"/>
    <w:lvl w:ilvl="0" w:tplc="191A82A4">
      <w:start w:val="1"/>
      <w:numFmt w:val="decimal"/>
      <w:lvlText w:val="%1."/>
      <w:lvlJc w:val="left"/>
      <w:pPr>
        <w:ind w:left="1440" w:hanging="360"/>
      </w:pPr>
    </w:lvl>
    <w:lvl w:ilvl="1" w:tplc="2F72AACE">
      <w:start w:val="1"/>
      <w:numFmt w:val="decimal"/>
      <w:lvlText w:val="%2."/>
      <w:lvlJc w:val="left"/>
      <w:pPr>
        <w:ind w:left="1440" w:hanging="360"/>
      </w:pPr>
    </w:lvl>
    <w:lvl w:ilvl="2" w:tplc="2CEEEC9A">
      <w:start w:val="1"/>
      <w:numFmt w:val="decimal"/>
      <w:lvlText w:val="%3."/>
      <w:lvlJc w:val="left"/>
      <w:pPr>
        <w:ind w:left="1440" w:hanging="360"/>
      </w:pPr>
    </w:lvl>
    <w:lvl w:ilvl="3" w:tplc="63C27250">
      <w:start w:val="1"/>
      <w:numFmt w:val="decimal"/>
      <w:lvlText w:val="%4."/>
      <w:lvlJc w:val="left"/>
      <w:pPr>
        <w:ind w:left="1440" w:hanging="360"/>
      </w:pPr>
    </w:lvl>
    <w:lvl w:ilvl="4" w:tplc="E2D0FCBA">
      <w:start w:val="1"/>
      <w:numFmt w:val="decimal"/>
      <w:lvlText w:val="%5."/>
      <w:lvlJc w:val="left"/>
      <w:pPr>
        <w:ind w:left="1440" w:hanging="360"/>
      </w:pPr>
    </w:lvl>
    <w:lvl w:ilvl="5" w:tplc="082E4522">
      <w:start w:val="1"/>
      <w:numFmt w:val="decimal"/>
      <w:lvlText w:val="%6."/>
      <w:lvlJc w:val="left"/>
      <w:pPr>
        <w:ind w:left="1440" w:hanging="360"/>
      </w:pPr>
    </w:lvl>
    <w:lvl w:ilvl="6" w:tplc="9FA29B9C">
      <w:start w:val="1"/>
      <w:numFmt w:val="decimal"/>
      <w:lvlText w:val="%7."/>
      <w:lvlJc w:val="left"/>
      <w:pPr>
        <w:ind w:left="1440" w:hanging="360"/>
      </w:pPr>
    </w:lvl>
    <w:lvl w:ilvl="7" w:tplc="3C088532">
      <w:start w:val="1"/>
      <w:numFmt w:val="decimal"/>
      <w:lvlText w:val="%8."/>
      <w:lvlJc w:val="left"/>
      <w:pPr>
        <w:ind w:left="1440" w:hanging="360"/>
      </w:pPr>
    </w:lvl>
    <w:lvl w:ilvl="8" w:tplc="7602AA86">
      <w:start w:val="1"/>
      <w:numFmt w:val="decimal"/>
      <w:lvlText w:val="%9."/>
      <w:lvlJc w:val="left"/>
      <w:pPr>
        <w:ind w:left="1440" w:hanging="360"/>
      </w:pPr>
    </w:lvl>
  </w:abstractNum>
  <w:abstractNum w:abstractNumId="22" w15:restartNumberingAfterBreak="0">
    <w:nsid w:val="2EDA2E26"/>
    <w:multiLevelType w:val="hybridMultilevel"/>
    <w:tmpl w:val="F9F8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B072D2"/>
    <w:multiLevelType w:val="multilevel"/>
    <w:tmpl w:val="8728AC1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1D25F0"/>
    <w:multiLevelType w:val="hybridMultilevel"/>
    <w:tmpl w:val="E54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B5C7D"/>
    <w:multiLevelType w:val="hybridMultilevel"/>
    <w:tmpl w:val="C7CEBAD8"/>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522CEB14">
      <w:start w:val="3"/>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7322BE9"/>
    <w:multiLevelType w:val="hybridMultilevel"/>
    <w:tmpl w:val="5448EA28"/>
    <w:lvl w:ilvl="0" w:tplc="A11C3BB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7F448C"/>
    <w:multiLevelType w:val="hybridMultilevel"/>
    <w:tmpl w:val="EB361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F63565"/>
    <w:multiLevelType w:val="hybridMultilevel"/>
    <w:tmpl w:val="60F8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DB464F"/>
    <w:multiLevelType w:val="multilevel"/>
    <w:tmpl w:val="059691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2039C0"/>
    <w:multiLevelType w:val="hybridMultilevel"/>
    <w:tmpl w:val="2618C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7704C2"/>
    <w:multiLevelType w:val="multilevel"/>
    <w:tmpl w:val="52B0B3A6"/>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2" w15:restartNumberingAfterBreak="0">
    <w:nsid w:val="47AE1204"/>
    <w:multiLevelType w:val="hybridMultilevel"/>
    <w:tmpl w:val="9EEA0A88"/>
    <w:lvl w:ilvl="0" w:tplc="51CC512A">
      <w:start w:val="1"/>
      <w:numFmt w:val="lowerLetter"/>
      <w:lvlText w:val="%1."/>
      <w:lvlJc w:val="left"/>
      <w:pPr>
        <w:ind w:left="2160" w:hanging="360"/>
      </w:pPr>
    </w:lvl>
    <w:lvl w:ilvl="1" w:tplc="4D74AD0A">
      <w:start w:val="1"/>
      <w:numFmt w:val="lowerLetter"/>
      <w:lvlText w:val="%2."/>
      <w:lvlJc w:val="left"/>
      <w:pPr>
        <w:ind w:left="2160" w:hanging="360"/>
      </w:pPr>
    </w:lvl>
    <w:lvl w:ilvl="2" w:tplc="F244C65C">
      <w:start w:val="1"/>
      <w:numFmt w:val="lowerLetter"/>
      <w:lvlText w:val="%3."/>
      <w:lvlJc w:val="left"/>
      <w:pPr>
        <w:ind w:left="2160" w:hanging="360"/>
      </w:pPr>
    </w:lvl>
    <w:lvl w:ilvl="3" w:tplc="6D1AE99A">
      <w:start w:val="1"/>
      <w:numFmt w:val="lowerLetter"/>
      <w:lvlText w:val="%4."/>
      <w:lvlJc w:val="left"/>
      <w:pPr>
        <w:ind w:left="2160" w:hanging="360"/>
      </w:pPr>
    </w:lvl>
    <w:lvl w:ilvl="4" w:tplc="5BA8C37A">
      <w:start w:val="1"/>
      <w:numFmt w:val="lowerLetter"/>
      <w:lvlText w:val="%5."/>
      <w:lvlJc w:val="left"/>
      <w:pPr>
        <w:ind w:left="2160" w:hanging="360"/>
      </w:pPr>
    </w:lvl>
    <w:lvl w:ilvl="5" w:tplc="B5088222">
      <w:start w:val="1"/>
      <w:numFmt w:val="lowerLetter"/>
      <w:lvlText w:val="%6."/>
      <w:lvlJc w:val="left"/>
      <w:pPr>
        <w:ind w:left="2160" w:hanging="360"/>
      </w:pPr>
    </w:lvl>
    <w:lvl w:ilvl="6" w:tplc="EA3CB73C">
      <w:start w:val="1"/>
      <w:numFmt w:val="lowerLetter"/>
      <w:lvlText w:val="%7."/>
      <w:lvlJc w:val="left"/>
      <w:pPr>
        <w:ind w:left="2160" w:hanging="360"/>
      </w:pPr>
    </w:lvl>
    <w:lvl w:ilvl="7" w:tplc="10668DDA">
      <w:start w:val="1"/>
      <w:numFmt w:val="lowerLetter"/>
      <w:lvlText w:val="%8."/>
      <w:lvlJc w:val="left"/>
      <w:pPr>
        <w:ind w:left="2160" w:hanging="360"/>
      </w:pPr>
    </w:lvl>
    <w:lvl w:ilvl="8" w:tplc="8FBCB408">
      <w:start w:val="1"/>
      <w:numFmt w:val="lowerLetter"/>
      <w:lvlText w:val="%9."/>
      <w:lvlJc w:val="left"/>
      <w:pPr>
        <w:ind w:left="2160" w:hanging="360"/>
      </w:pPr>
    </w:lvl>
  </w:abstractNum>
  <w:abstractNum w:abstractNumId="33" w15:restartNumberingAfterBreak="0">
    <w:nsid w:val="484F3D93"/>
    <w:multiLevelType w:val="hybridMultilevel"/>
    <w:tmpl w:val="650E2F14"/>
    <w:lvl w:ilvl="0" w:tplc="9AF0989C">
      <w:start w:val="1"/>
      <w:numFmt w:val="decimal"/>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F64B62"/>
    <w:multiLevelType w:val="hybridMultilevel"/>
    <w:tmpl w:val="70CA7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A17088"/>
    <w:multiLevelType w:val="hybridMultilevel"/>
    <w:tmpl w:val="A414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EA62A3"/>
    <w:multiLevelType w:val="hybridMultilevel"/>
    <w:tmpl w:val="E6BEC9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E3E566F"/>
    <w:multiLevelType w:val="hybridMultilevel"/>
    <w:tmpl w:val="5194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B2489C"/>
    <w:multiLevelType w:val="hybridMultilevel"/>
    <w:tmpl w:val="99BA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291A6F"/>
    <w:multiLevelType w:val="multilevel"/>
    <w:tmpl w:val="8E5858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10F696C"/>
    <w:multiLevelType w:val="multilevel"/>
    <w:tmpl w:val="348AF9A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131EC9"/>
    <w:multiLevelType w:val="hybridMultilevel"/>
    <w:tmpl w:val="74CEA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5304C61"/>
    <w:multiLevelType w:val="hybridMultilevel"/>
    <w:tmpl w:val="E020C4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1E0204"/>
    <w:multiLevelType w:val="hybridMultilevel"/>
    <w:tmpl w:val="8EB8B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14533D"/>
    <w:multiLevelType w:val="hybridMultilevel"/>
    <w:tmpl w:val="48B2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6BF031"/>
    <w:multiLevelType w:val="hybridMultilevel"/>
    <w:tmpl w:val="FFFFFFFF"/>
    <w:lvl w:ilvl="0" w:tplc="B738560C">
      <w:start w:val="1"/>
      <w:numFmt w:val="decimal"/>
      <w:lvlText w:val="%1."/>
      <w:lvlJc w:val="left"/>
      <w:pPr>
        <w:ind w:left="720" w:hanging="360"/>
      </w:pPr>
    </w:lvl>
    <w:lvl w:ilvl="1" w:tplc="906E5CDC">
      <w:start w:val="1"/>
      <w:numFmt w:val="lowerLetter"/>
      <w:lvlText w:val="%2."/>
      <w:lvlJc w:val="left"/>
      <w:pPr>
        <w:ind w:left="1440" w:hanging="360"/>
      </w:pPr>
    </w:lvl>
    <w:lvl w:ilvl="2" w:tplc="E9342792">
      <w:start w:val="1"/>
      <w:numFmt w:val="lowerRoman"/>
      <w:lvlText w:val="%3."/>
      <w:lvlJc w:val="right"/>
      <w:pPr>
        <w:ind w:left="2160" w:hanging="180"/>
      </w:pPr>
    </w:lvl>
    <w:lvl w:ilvl="3" w:tplc="543282FA">
      <w:start w:val="1"/>
      <w:numFmt w:val="decimal"/>
      <w:lvlText w:val="%4."/>
      <w:lvlJc w:val="left"/>
      <w:pPr>
        <w:ind w:left="2880" w:hanging="360"/>
      </w:pPr>
    </w:lvl>
    <w:lvl w:ilvl="4" w:tplc="3FAE565A">
      <w:start w:val="1"/>
      <w:numFmt w:val="lowerLetter"/>
      <w:lvlText w:val="%5."/>
      <w:lvlJc w:val="left"/>
      <w:pPr>
        <w:ind w:left="3600" w:hanging="360"/>
      </w:pPr>
    </w:lvl>
    <w:lvl w:ilvl="5" w:tplc="0E484F50">
      <w:start w:val="1"/>
      <w:numFmt w:val="lowerRoman"/>
      <w:lvlText w:val="%6."/>
      <w:lvlJc w:val="right"/>
      <w:pPr>
        <w:ind w:left="4320" w:hanging="180"/>
      </w:pPr>
    </w:lvl>
    <w:lvl w:ilvl="6" w:tplc="2CFAB858">
      <w:start w:val="1"/>
      <w:numFmt w:val="decimal"/>
      <w:lvlText w:val="%7."/>
      <w:lvlJc w:val="left"/>
      <w:pPr>
        <w:ind w:left="5040" w:hanging="360"/>
      </w:pPr>
    </w:lvl>
    <w:lvl w:ilvl="7" w:tplc="92044B72">
      <w:start w:val="1"/>
      <w:numFmt w:val="lowerLetter"/>
      <w:lvlText w:val="%8."/>
      <w:lvlJc w:val="left"/>
      <w:pPr>
        <w:ind w:left="5760" w:hanging="360"/>
      </w:pPr>
    </w:lvl>
    <w:lvl w:ilvl="8" w:tplc="E8F485EE">
      <w:start w:val="1"/>
      <w:numFmt w:val="lowerRoman"/>
      <w:lvlText w:val="%9."/>
      <w:lvlJc w:val="right"/>
      <w:pPr>
        <w:ind w:left="6480" w:hanging="180"/>
      </w:pPr>
    </w:lvl>
  </w:abstractNum>
  <w:abstractNum w:abstractNumId="46" w15:restartNumberingAfterBreak="0">
    <w:nsid w:val="5785439D"/>
    <w:multiLevelType w:val="hybridMultilevel"/>
    <w:tmpl w:val="C7687BF0"/>
    <w:lvl w:ilvl="0" w:tplc="4968836A">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A24644"/>
    <w:multiLevelType w:val="hybridMultilevel"/>
    <w:tmpl w:val="2BF8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C5770B"/>
    <w:multiLevelType w:val="multilevel"/>
    <w:tmpl w:val="71961B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AF23FB0"/>
    <w:multiLevelType w:val="multilevel"/>
    <w:tmpl w:val="B622EAE8"/>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rPr>
        <w:rFonts w:asciiTheme="minorHAnsi" w:eastAsiaTheme="minorHAnsi" w:hAnsiTheme="minorHAnsi" w:cstheme="minorHAnsi"/>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D112190"/>
    <w:multiLevelType w:val="hybridMultilevel"/>
    <w:tmpl w:val="04940D36"/>
    <w:lvl w:ilvl="0" w:tplc="1C2C29F6">
      <w:start w:val="1"/>
      <w:numFmt w:val="decimal"/>
      <w:lvlText w:val="%1."/>
      <w:lvlJc w:val="left"/>
      <w:pPr>
        <w:ind w:left="1020" w:hanging="360"/>
      </w:pPr>
    </w:lvl>
    <w:lvl w:ilvl="1" w:tplc="2098C1C0">
      <w:start w:val="1"/>
      <w:numFmt w:val="decimal"/>
      <w:lvlText w:val="%2."/>
      <w:lvlJc w:val="left"/>
      <w:pPr>
        <w:ind w:left="1020" w:hanging="360"/>
      </w:pPr>
    </w:lvl>
    <w:lvl w:ilvl="2" w:tplc="96F4AFF2">
      <w:start w:val="1"/>
      <w:numFmt w:val="decimal"/>
      <w:lvlText w:val="%3."/>
      <w:lvlJc w:val="left"/>
      <w:pPr>
        <w:ind w:left="1020" w:hanging="360"/>
      </w:pPr>
    </w:lvl>
    <w:lvl w:ilvl="3" w:tplc="4484F5AE">
      <w:start w:val="1"/>
      <w:numFmt w:val="decimal"/>
      <w:lvlText w:val="%4."/>
      <w:lvlJc w:val="left"/>
      <w:pPr>
        <w:ind w:left="1020" w:hanging="360"/>
      </w:pPr>
    </w:lvl>
    <w:lvl w:ilvl="4" w:tplc="B378A49E">
      <w:start w:val="1"/>
      <w:numFmt w:val="decimal"/>
      <w:lvlText w:val="%5."/>
      <w:lvlJc w:val="left"/>
      <w:pPr>
        <w:ind w:left="1020" w:hanging="360"/>
      </w:pPr>
    </w:lvl>
    <w:lvl w:ilvl="5" w:tplc="B3FA1BB8">
      <w:start w:val="1"/>
      <w:numFmt w:val="decimal"/>
      <w:lvlText w:val="%6."/>
      <w:lvlJc w:val="left"/>
      <w:pPr>
        <w:ind w:left="1020" w:hanging="360"/>
      </w:pPr>
    </w:lvl>
    <w:lvl w:ilvl="6" w:tplc="E2986C74">
      <w:start w:val="1"/>
      <w:numFmt w:val="decimal"/>
      <w:lvlText w:val="%7."/>
      <w:lvlJc w:val="left"/>
      <w:pPr>
        <w:ind w:left="1020" w:hanging="360"/>
      </w:pPr>
    </w:lvl>
    <w:lvl w:ilvl="7" w:tplc="2F5670D8">
      <w:start w:val="1"/>
      <w:numFmt w:val="decimal"/>
      <w:lvlText w:val="%8."/>
      <w:lvlJc w:val="left"/>
      <w:pPr>
        <w:ind w:left="1020" w:hanging="360"/>
      </w:pPr>
    </w:lvl>
    <w:lvl w:ilvl="8" w:tplc="8EB6623C">
      <w:start w:val="1"/>
      <w:numFmt w:val="decimal"/>
      <w:lvlText w:val="%9."/>
      <w:lvlJc w:val="left"/>
      <w:pPr>
        <w:ind w:left="1020" w:hanging="360"/>
      </w:pPr>
    </w:lvl>
  </w:abstractNum>
  <w:abstractNum w:abstractNumId="51" w15:restartNumberingAfterBreak="0">
    <w:nsid w:val="5D3C1159"/>
    <w:multiLevelType w:val="hybridMultilevel"/>
    <w:tmpl w:val="682E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BC3E18"/>
    <w:multiLevelType w:val="hybridMultilevel"/>
    <w:tmpl w:val="74FE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780A5B"/>
    <w:multiLevelType w:val="hybridMultilevel"/>
    <w:tmpl w:val="01A20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473383"/>
    <w:multiLevelType w:val="hybridMultilevel"/>
    <w:tmpl w:val="7AA693AE"/>
    <w:lvl w:ilvl="0" w:tplc="220A2DC4">
      <w:start w:val="1"/>
      <w:numFmt w:val="decimal"/>
      <w:lvlText w:val="%1."/>
      <w:lvlJc w:val="left"/>
      <w:pPr>
        <w:ind w:left="648" w:hanging="360"/>
      </w:pPr>
      <w:rPr>
        <w:rFonts w:ascii="Calibri" w:eastAsiaTheme="minorHAnsi" w:hAnsi="Calibri" w:cstheme="minorHAnsi"/>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5" w15:restartNumberingAfterBreak="0">
    <w:nsid w:val="65523B67"/>
    <w:multiLevelType w:val="hybridMultilevel"/>
    <w:tmpl w:val="3CE0D8CA"/>
    <w:lvl w:ilvl="0" w:tplc="655275AC">
      <w:start w:val="1"/>
      <w:numFmt w:val="lowerLetter"/>
      <w:lvlText w:val="%1."/>
      <w:lvlJc w:val="left"/>
      <w:pPr>
        <w:ind w:left="2160" w:hanging="360"/>
      </w:pPr>
    </w:lvl>
    <w:lvl w:ilvl="1" w:tplc="AAB212E0">
      <w:start w:val="1"/>
      <w:numFmt w:val="lowerLetter"/>
      <w:lvlText w:val="%2."/>
      <w:lvlJc w:val="left"/>
      <w:pPr>
        <w:ind w:left="2160" w:hanging="360"/>
      </w:pPr>
    </w:lvl>
    <w:lvl w:ilvl="2" w:tplc="6D641C82">
      <w:start w:val="1"/>
      <w:numFmt w:val="lowerLetter"/>
      <w:lvlText w:val="%3."/>
      <w:lvlJc w:val="left"/>
      <w:pPr>
        <w:ind w:left="2160" w:hanging="360"/>
      </w:pPr>
    </w:lvl>
    <w:lvl w:ilvl="3" w:tplc="11B260BA">
      <w:start w:val="1"/>
      <w:numFmt w:val="lowerLetter"/>
      <w:lvlText w:val="%4."/>
      <w:lvlJc w:val="left"/>
      <w:pPr>
        <w:ind w:left="2160" w:hanging="360"/>
      </w:pPr>
    </w:lvl>
    <w:lvl w:ilvl="4" w:tplc="47C015A2">
      <w:start w:val="1"/>
      <w:numFmt w:val="lowerLetter"/>
      <w:lvlText w:val="%5."/>
      <w:lvlJc w:val="left"/>
      <w:pPr>
        <w:ind w:left="2160" w:hanging="360"/>
      </w:pPr>
    </w:lvl>
    <w:lvl w:ilvl="5" w:tplc="63AC2234">
      <w:start w:val="1"/>
      <w:numFmt w:val="lowerLetter"/>
      <w:lvlText w:val="%6."/>
      <w:lvlJc w:val="left"/>
      <w:pPr>
        <w:ind w:left="2160" w:hanging="360"/>
      </w:pPr>
    </w:lvl>
    <w:lvl w:ilvl="6" w:tplc="A0904CE4">
      <w:start w:val="1"/>
      <w:numFmt w:val="lowerLetter"/>
      <w:lvlText w:val="%7."/>
      <w:lvlJc w:val="left"/>
      <w:pPr>
        <w:ind w:left="2160" w:hanging="360"/>
      </w:pPr>
    </w:lvl>
    <w:lvl w:ilvl="7" w:tplc="5F722C8C">
      <w:start w:val="1"/>
      <w:numFmt w:val="lowerLetter"/>
      <w:lvlText w:val="%8."/>
      <w:lvlJc w:val="left"/>
      <w:pPr>
        <w:ind w:left="2160" w:hanging="360"/>
      </w:pPr>
    </w:lvl>
    <w:lvl w:ilvl="8" w:tplc="45A2C5D0">
      <w:start w:val="1"/>
      <w:numFmt w:val="lowerLetter"/>
      <w:lvlText w:val="%9."/>
      <w:lvlJc w:val="left"/>
      <w:pPr>
        <w:ind w:left="2160" w:hanging="360"/>
      </w:pPr>
    </w:lvl>
  </w:abstractNum>
  <w:abstractNum w:abstractNumId="56" w15:restartNumberingAfterBreak="0">
    <w:nsid w:val="697E4F74"/>
    <w:multiLevelType w:val="hybridMultilevel"/>
    <w:tmpl w:val="EAD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8E25E3"/>
    <w:multiLevelType w:val="hybridMultilevel"/>
    <w:tmpl w:val="76FA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00544C"/>
    <w:multiLevelType w:val="hybridMultilevel"/>
    <w:tmpl w:val="6868F3BA"/>
    <w:lvl w:ilvl="0" w:tplc="DBE098E4">
      <w:start w:val="1"/>
      <w:numFmt w:val="decimal"/>
      <w:lvlText w:val="%1."/>
      <w:lvlJc w:val="left"/>
      <w:pPr>
        <w:ind w:left="1440" w:hanging="360"/>
      </w:pPr>
    </w:lvl>
    <w:lvl w:ilvl="1" w:tplc="F60233EA">
      <w:start w:val="1"/>
      <w:numFmt w:val="decimal"/>
      <w:lvlText w:val="%2."/>
      <w:lvlJc w:val="left"/>
      <w:pPr>
        <w:ind w:left="1440" w:hanging="360"/>
      </w:pPr>
    </w:lvl>
    <w:lvl w:ilvl="2" w:tplc="19B8F702">
      <w:start w:val="1"/>
      <w:numFmt w:val="decimal"/>
      <w:lvlText w:val="%3."/>
      <w:lvlJc w:val="left"/>
      <w:pPr>
        <w:ind w:left="1440" w:hanging="360"/>
      </w:pPr>
    </w:lvl>
    <w:lvl w:ilvl="3" w:tplc="A6A48216">
      <w:start w:val="1"/>
      <w:numFmt w:val="decimal"/>
      <w:lvlText w:val="%4."/>
      <w:lvlJc w:val="left"/>
      <w:pPr>
        <w:ind w:left="1440" w:hanging="360"/>
      </w:pPr>
    </w:lvl>
    <w:lvl w:ilvl="4" w:tplc="E3B2C65E">
      <w:start w:val="1"/>
      <w:numFmt w:val="decimal"/>
      <w:lvlText w:val="%5."/>
      <w:lvlJc w:val="left"/>
      <w:pPr>
        <w:ind w:left="1440" w:hanging="360"/>
      </w:pPr>
    </w:lvl>
    <w:lvl w:ilvl="5" w:tplc="AB5C9230">
      <w:start w:val="1"/>
      <w:numFmt w:val="decimal"/>
      <w:lvlText w:val="%6."/>
      <w:lvlJc w:val="left"/>
      <w:pPr>
        <w:ind w:left="1440" w:hanging="360"/>
      </w:pPr>
    </w:lvl>
    <w:lvl w:ilvl="6" w:tplc="C22466CE">
      <w:start w:val="1"/>
      <w:numFmt w:val="decimal"/>
      <w:lvlText w:val="%7."/>
      <w:lvlJc w:val="left"/>
      <w:pPr>
        <w:ind w:left="1440" w:hanging="360"/>
      </w:pPr>
    </w:lvl>
    <w:lvl w:ilvl="7" w:tplc="4426EBD0">
      <w:start w:val="1"/>
      <w:numFmt w:val="decimal"/>
      <w:lvlText w:val="%8."/>
      <w:lvlJc w:val="left"/>
      <w:pPr>
        <w:ind w:left="1440" w:hanging="360"/>
      </w:pPr>
    </w:lvl>
    <w:lvl w:ilvl="8" w:tplc="15C203EE">
      <w:start w:val="1"/>
      <w:numFmt w:val="decimal"/>
      <w:lvlText w:val="%9."/>
      <w:lvlJc w:val="left"/>
      <w:pPr>
        <w:ind w:left="1440" w:hanging="360"/>
      </w:pPr>
    </w:lvl>
  </w:abstractNum>
  <w:abstractNum w:abstractNumId="59" w15:restartNumberingAfterBreak="0">
    <w:nsid w:val="701C3CBC"/>
    <w:multiLevelType w:val="hybridMultilevel"/>
    <w:tmpl w:val="93C6A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057837"/>
    <w:multiLevelType w:val="hybridMultilevel"/>
    <w:tmpl w:val="63181C4E"/>
    <w:lvl w:ilvl="0" w:tplc="42B0CA48">
      <w:start w:val="1"/>
      <w:numFmt w:val="lowerLetter"/>
      <w:lvlText w:val="%1."/>
      <w:lvlJc w:val="left"/>
      <w:pPr>
        <w:ind w:left="2160" w:hanging="360"/>
      </w:pPr>
    </w:lvl>
    <w:lvl w:ilvl="1" w:tplc="BCD24972">
      <w:start w:val="1"/>
      <w:numFmt w:val="lowerLetter"/>
      <w:lvlText w:val="%2."/>
      <w:lvlJc w:val="left"/>
      <w:pPr>
        <w:ind w:left="2160" w:hanging="360"/>
      </w:pPr>
    </w:lvl>
    <w:lvl w:ilvl="2" w:tplc="F4B21C8A">
      <w:start w:val="1"/>
      <w:numFmt w:val="lowerLetter"/>
      <w:lvlText w:val="%3."/>
      <w:lvlJc w:val="left"/>
      <w:pPr>
        <w:ind w:left="2160" w:hanging="360"/>
      </w:pPr>
    </w:lvl>
    <w:lvl w:ilvl="3" w:tplc="260CE8B6">
      <w:start w:val="1"/>
      <w:numFmt w:val="lowerLetter"/>
      <w:lvlText w:val="%4."/>
      <w:lvlJc w:val="left"/>
      <w:pPr>
        <w:ind w:left="2160" w:hanging="360"/>
      </w:pPr>
    </w:lvl>
    <w:lvl w:ilvl="4" w:tplc="51405358">
      <w:start w:val="1"/>
      <w:numFmt w:val="lowerLetter"/>
      <w:lvlText w:val="%5."/>
      <w:lvlJc w:val="left"/>
      <w:pPr>
        <w:ind w:left="2160" w:hanging="360"/>
      </w:pPr>
    </w:lvl>
    <w:lvl w:ilvl="5" w:tplc="D0D654D6">
      <w:start w:val="1"/>
      <w:numFmt w:val="lowerLetter"/>
      <w:lvlText w:val="%6."/>
      <w:lvlJc w:val="left"/>
      <w:pPr>
        <w:ind w:left="2160" w:hanging="360"/>
      </w:pPr>
    </w:lvl>
    <w:lvl w:ilvl="6" w:tplc="23827708">
      <w:start w:val="1"/>
      <w:numFmt w:val="lowerLetter"/>
      <w:lvlText w:val="%7."/>
      <w:lvlJc w:val="left"/>
      <w:pPr>
        <w:ind w:left="2160" w:hanging="360"/>
      </w:pPr>
    </w:lvl>
    <w:lvl w:ilvl="7" w:tplc="04F21CBC">
      <w:start w:val="1"/>
      <w:numFmt w:val="lowerLetter"/>
      <w:lvlText w:val="%8."/>
      <w:lvlJc w:val="left"/>
      <w:pPr>
        <w:ind w:left="2160" w:hanging="360"/>
      </w:pPr>
    </w:lvl>
    <w:lvl w:ilvl="8" w:tplc="B7969D74">
      <w:start w:val="1"/>
      <w:numFmt w:val="lowerLetter"/>
      <w:lvlText w:val="%9."/>
      <w:lvlJc w:val="left"/>
      <w:pPr>
        <w:ind w:left="2160" w:hanging="360"/>
      </w:pPr>
    </w:lvl>
  </w:abstractNum>
  <w:abstractNum w:abstractNumId="61" w15:restartNumberingAfterBreak="0">
    <w:nsid w:val="72190C61"/>
    <w:multiLevelType w:val="hybridMultilevel"/>
    <w:tmpl w:val="3B36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AA38F6"/>
    <w:multiLevelType w:val="hybridMultilevel"/>
    <w:tmpl w:val="EA94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B8334F"/>
    <w:multiLevelType w:val="multilevel"/>
    <w:tmpl w:val="1EAE83C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6851691"/>
    <w:multiLevelType w:val="hybridMultilevel"/>
    <w:tmpl w:val="28D86544"/>
    <w:lvl w:ilvl="0" w:tplc="9E1884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1A7606"/>
    <w:multiLevelType w:val="hybridMultilevel"/>
    <w:tmpl w:val="40E05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B246879"/>
    <w:multiLevelType w:val="hybridMultilevel"/>
    <w:tmpl w:val="6C2E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DAB58C3"/>
    <w:multiLevelType w:val="hybridMultilevel"/>
    <w:tmpl w:val="14D8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F5F2727"/>
    <w:multiLevelType w:val="hybridMultilevel"/>
    <w:tmpl w:val="7C34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785346">
    <w:abstractNumId w:val="45"/>
  </w:num>
  <w:num w:numId="2" w16cid:durableId="767232549">
    <w:abstractNumId w:val="35"/>
  </w:num>
  <w:num w:numId="3" w16cid:durableId="218248069">
    <w:abstractNumId w:val="16"/>
  </w:num>
  <w:num w:numId="4" w16cid:durableId="2142772381">
    <w:abstractNumId w:val="51"/>
  </w:num>
  <w:num w:numId="5" w16cid:durableId="413014958">
    <w:abstractNumId w:val="40"/>
  </w:num>
  <w:num w:numId="6" w16cid:durableId="553275067">
    <w:abstractNumId w:val="54"/>
  </w:num>
  <w:num w:numId="7" w16cid:durableId="383674725">
    <w:abstractNumId w:val="63"/>
  </w:num>
  <w:num w:numId="8" w16cid:durableId="423766411">
    <w:abstractNumId w:val="65"/>
  </w:num>
  <w:num w:numId="9" w16cid:durableId="731005066">
    <w:abstractNumId w:val="22"/>
  </w:num>
  <w:num w:numId="10" w16cid:durableId="1288707178">
    <w:abstractNumId w:val="24"/>
  </w:num>
  <w:num w:numId="11" w16cid:durableId="1283924397">
    <w:abstractNumId w:val="25"/>
  </w:num>
  <w:num w:numId="12" w16cid:durableId="254872732">
    <w:abstractNumId w:val="1"/>
  </w:num>
  <w:num w:numId="13" w16cid:durableId="55906587">
    <w:abstractNumId w:val="52"/>
  </w:num>
  <w:num w:numId="14" w16cid:durableId="1758361655">
    <w:abstractNumId w:val="11"/>
  </w:num>
  <w:num w:numId="15" w16cid:durableId="1041637581">
    <w:abstractNumId w:val="13"/>
  </w:num>
  <w:num w:numId="16" w16cid:durableId="209001271">
    <w:abstractNumId w:val="28"/>
  </w:num>
  <w:num w:numId="17" w16cid:durableId="912856253">
    <w:abstractNumId w:val="33"/>
  </w:num>
  <w:num w:numId="18" w16cid:durableId="698894136">
    <w:abstractNumId w:val="57"/>
  </w:num>
  <w:num w:numId="19" w16cid:durableId="569272789">
    <w:abstractNumId w:val="44"/>
  </w:num>
  <w:num w:numId="20" w16cid:durableId="922646171">
    <w:abstractNumId w:val="56"/>
  </w:num>
  <w:num w:numId="21" w16cid:durableId="727070329">
    <w:abstractNumId w:val="7"/>
  </w:num>
  <w:num w:numId="22" w16cid:durableId="1613779068">
    <w:abstractNumId w:val="59"/>
  </w:num>
  <w:num w:numId="23" w16cid:durableId="1799571181">
    <w:abstractNumId w:val="46"/>
  </w:num>
  <w:num w:numId="24" w16cid:durableId="175583353">
    <w:abstractNumId w:val="41"/>
  </w:num>
  <w:num w:numId="25" w16cid:durableId="785076356">
    <w:abstractNumId w:val="18"/>
  </w:num>
  <w:num w:numId="26" w16cid:durableId="1061904609">
    <w:abstractNumId w:val="53"/>
  </w:num>
  <w:num w:numId="27" w16cid:durableId="1175419196">
    <w:abstractNumId w:val="42"/>
  </w:num>
  <w:num w:numId="28" w16cid:durableId="552349230">
    <w:abstractNumId w:val="12"/>
  </w:num>
  <w:num w:numId="29" w16cid:durableId="1412777786">
    <w:abstractNumId w:val="38"/>
  </w:num>
  <w:num w:numId="30" w16cid:durableId="950167343">
    <w:abstractNumId w:val="34"/>
  </w:num>
  <w:num w:numId="31" w16cid:durableId="1869567461">
    <w:abstractNumId w:val="62"/>
  </w:num>
  <w:num w:numId="32" w16cid:durableId="143860075">
    <w:abstractNumId w:val="64"/>
  </w:num>
  <w:num w:numId="33" w16cid:durableId="2057073702">
    <w:abstractNumId w:val="20"/>
  </w:num>
  <w:num w:numId="34" w16cid:durableId="721905994">
    <w:abstractNumId w:val="3"/>
  </w:num>
  <w:num w:numId="35" w16cid:durableId="1429041910">
    <w:abstractNumId w:val="10"/>
  </w:num>
  <w:num w:numId="36" w16cid:durableId="1110709874">
    <w:abstractNumId w:val="47"/>
  </w:num>
  <w:num w:numId="37" w16cid:durableId="283272458">
    <w:abstractNumId w:val="8"/>
  </w:num>
  <w:num w:numId="38" w16cid:durableId="912394950">
    <w:abstractNumId w:val="61"/>
  </w:num>
  <w:num w:numId="39" w16cid:durableId="372773306">
    <w:abstractNumId w:val="30"/>
  </w:num>
  <w:num w:numId="40" w16cid:durableId="1102458367">
    <w:abstractNumId w:val="27"/>
  </w:num>
  <w:num w:numId="41" w16cid:durableId="1356928624">
    <w:abstractNumId w:val="67"/>
  </w:num>
  <w:num w:numId="42" w16cid:durableId="169806701">
    <w:abstractNumId w:val="66"/>
  </w:num>
  <w:num w:numId="43" w16cid:durableId="310640713">
    <w:abstractNumId w:val="6"/>
  </w:num>
  <w:num w:numId="44" w16cid:durableId="427039563">
    <w:abstractNumId w:val="43"/>
  </w:num>
  <w:num w:numId="45" w16cid:durableId="1080056572">
    <w:abstractNumId w:val="19"/>
  </w:num>
  <w:num w:numId="46" w16cid:durableId="1531139229">
    <w:abstractNumId w:val="9"/>
  </w:num>
  <w:num w:numId="47" w16cid:durableId="1079861053">
    <w:abstractNumId w:val="39"/>
  </w:num>
  <w:num w:numId="48" w16cid:durableId="1549761361">
    <w:abstractNumId w:val="14"/>
  </w:num>
  <w:num w:numId="49" w16cid:durableId="1683623616">
    <w:abstractNumId w:val="49"/>
  </w:num>
  <w:num w:numId="50" w16cid:durableId="1124346562">
    <w:abstractNumId w:val="2"/>
  </w:num>
  <w:num w:numId="51" w16cid:durableId="1335759863">
    <w:abstractNumId w:val="4"/>
  </w:num>
  <w:num w:numId="52" w16cid:durableId="1004435685">
    <w:abstractNumId w:val="15"/>
  </w:num>
  <w:num w:numId="53" w16cid:durableId="524447147">
    <w:abstractNumId w:val="23"/>
  </w:num>
  <w:num w:numId="54" w16cid:durableId="1086534930">
    <w:abstractNumId w:val="5"/>
  </w:num>
  <w:num w:numId="55" w16cid:durableId="739213147">
    <w:abstractNumId w:val="31"/>
  </w:num>
  <w:num w:numId="56" w16cid:durableId="137847174">
    <w:abstractNumId w:val="50"/>
  </w:num>
  <w:num w:numId="57" w16cid:durableId="2131121454">
    <w:abstractNumId w:val="29"/>
  </w:num>
  <w:num w:numId="58" w16cid:durableId="1138450770">
    <w:abstractNumId w:val="48"/>
  </w:num>
  <w:num w:numId="59" w16cid:durableId="906191382">
    <w:abstractNumId w:val="21"/>
  </w:num>
  <w:num w:numId="60" w16cid:durableId="1244488504">
    <w:abstractNumId w:val="17"/>
  </w:num>
  <w:num w:numId="61" w16cid:durableId="1976331305">
    <w:abstractNumId w:val="0"/>
  </w:num>
  <w:num w:numId="62" w16cid:durableId="101533877">
    <w:abstractNumId w:val="32"/>
  </w:num>
  <w:num w:numId="63" w16cid:durableId="398595296">
    <w:abstractNumId w:val="58"/>
  </w:num>
  <w:num w:numId="64" w16cid:durableId="214857580">
    <w:abstractNumId w:val="60"/>
  </w:num>
  <w:num w:numId="65" w16cid:durableId="556161870">
    <w:abstractNumId w:val="55"/>
  </w:num>
  <w:num w:numId="66" w16cid:durableId="483552114">
    <w:abstractNumId w:val="37"/>
  </w:num>
  <w:num w:numId="67" w16cid:durableId="1791587141">
    <w:abstractNumId w:val="68"/>
  </w:num>
  <w:num w:numId="68" w16cid:durableId="1298099392">
    <w:abstractNumId w:val="26"/>
  </w:num>
  <w:num w:numId="69" w16cid:durableId="459111344">
    <w:abstractNumId w:val="3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F3"/>
    <w:rsid w:val="00000033"/>
    <w:rsid w:val="00000142"/>
    <w:rsid w:val="00000809"/>
    <w:rsid w:val="000008EA"/>
    <w:rsid w:val="000009AA"/>
    <w:rsid w:val="000009F5"/>
    <w:rsid w:val="00000A29"/>
    <w:rsid w:val="00000BEF"/>
    <w:rsid w:val="00000F8C"/>
    <w:rsid w:val="00001044"/>
    <w:rsid w:val="0000135F"/>
    <w:rsid w:val="00001483"/>
    <w:rsid w:val="00001564"/>
    <w:rsid w:val="000015BE"/>
    <w:rsid w:val="00001815"/>
    <w:rsid w:val="00001A1F"/>
    <w:rsid w:val="00001C7B"/>
    <w:rsid w:val="00001F5F"/>
    <w:rsid w:val="00002030"/>
    <w:rsid w:val="000021B6"/>
    <w:rsid w:val="0000240B"/>
    <w:rsid w:val="00002876"/>
    <w:rsid w:val="0000298C"/>
    <w:rsid w:val="000029E0"/>
    <w:rsid w:val="000029E5"/>
    <w:rsid w:val="00002AB2"/>
    <w:rsid w:val="00002B61"/>
    <w:rsid w:val="00002C5C"/>
    <w:rsid w:val="00002FD3"/>
    <w:rsid w:val="000031BC"/>
    <w:rsid w:val="00003305"/>
    <w:rsid w:val="00003423"/>
    <w:rsid w:val="0000393E"/>
    <w:rsid w:val="00003AB9"/>
    <w:rsid w:val="00003BD7"/>
    <w:rsid w:val="00003D8C"/>
    <w:rsid w:val="00003F3B"/>
    <w:rsid w:val="00003FC2"/>
    <w:rsid w:val="000041C8"/>
    <w:rsid w:val="00004317"/>
    <w:rsid w:val="00004359"/>
    <w:rsid w:val="00004410"/>
    <w:rsid w:val="00004439"/>
    <w:rsid w:val="0000472C"/>
    <w:rsid w:val="000048EB"/>
    <w:rsid w:val="00004937"/>
    <w:rsid w:val="00004AE2"/>
    <w:rsid w:val="00004F9D"/>
    <w:rsid w:val="0000527E"/>
    <w:rsid w:val="000057E6"/>
    <w:rsid w:val="000057F9"/>
    <w:rsid w:val="000058E0"/>
    <w:rsid w:val="00005BC0"/>
    <w:rsid w:val="00005E26"/>
    <w:rsid w:val="000061F3"/>
    <w:rsid w:val="0000635C"/>
    <w:rsid w:val="00006516"/>
    <w:rsid w:val="0000663A"/>
    <w:rsid w:val="00006715"/>
    <w:rsid w:val="00006763"/>
    <w:rsid w:val="0000682F"/>
    <w:rsid w:val="0000684F"/>
    <w:rsid w:val="00006B68"/>
    <w:rsid w:val="00006C0E"/>
    <w:rsid w:val="00006E26"/>
    <w:rsid w:val="00007108"/>
    <w:rsid w:val="0000716C"/>
    <w:rsid w:val="00007383"/>
    <w:rsid w:val="00007606"/>
    <w:rsid w:val="0000780E"/>
    <w:rsid w:val="0001000E"/>
    <w:rsid w:val="000102D7"/>
    <w:rsid w:val="00010308"/>
    <w:rsid w:val="00010348"/>
    <w:rsid w:val="00010430"/>
    <w:rsid w:val="0001079F"/>
    <w:rsid w:val="00010817"/>
    <w:rsid w:val="000109CF"/>
    <w:rsid w:val="00010D59"/>
    <w:rsid w:val="00011149"/>
    <w:rsid w:val="00011437"/>
    <w:rsid w:val="00011640"/>
    <w:rsid w:val="0001174D"/>
    <w:rsid w:val="00011827"/>
    <w:rsid w:val="00011A99"/>
    <w:rsid w:val="00011D93"/>
    <w:rsid w:val="00011F25"/>
    <w:rsid w:val="00011FCE"/>
    <w:rsid w:val="000120F2"/>
    <w:rsid w:val="00012280"/>
    <w:rsid w:val="00012284"/>
    <w:rsid w:val="0001233F"/>
    <w:rsid w:val="0001242B"/>
    <w:rsid w:val="00012B2A"/>
    <w:rsid w:val="00012C5C"/>
    <w:rsid w:val="00012E41"/>
    <w:rsid w:val="00013184"/>
    <w:rsid w:val="0001360E"/>
    <w:rsid w:val="00013774"/>
    <w:rsid w:val="000137FC"/>
    <w:rsid w:val="0001381B"/>
    <w:rsid w:val="00013828"/>
    <w:rsid w:val="00013906"/>
    <w:rsid w:val="00013A58"/>
    <w:rsid w:val="00013A61"/>
    <w:rsid w:val="00013B11"/>
    <w:rsid w:val="00013C92"/>
    <w:rsid w:val="00013D90"/>
    <w:rsid w:val="00014053"/>
    <w:rsid w:val="00014157"/>
    <w:rsid w:val="000143D6"/>
    <w:rsid w:val="000148AA"/>
    <w:rsid w:val="00014B18"/>
    <w:rsid w:val="00015118"/>
    <w:rsid w:val="00015272"/>
    <w:rsid w:val="000155A8"/>
    <w:rsid w:val="00015A5D"/>
    <w:rsid w:val="00015A69"/>
    <w:rsid w:val="00015AB8"/>
    <w:rsid w:val="00015AD7"/>
    <w:rsid w:val="00015D0E"/>
    <w:rsid w:val="00015EFD"/>
    <w:rsid w:val="000167BB"/>
    <w:rsid w:val="00016CC3"/>
    <w:rsid w:val="00016CE0"/>
    <w:rsid w:val="00017010"/>
    <w:rsid w:val="000170AF"/>
    <w:rsid w:val="000170CD"/>
    <w:rsid w:val="0001716C"/>
    <w:rsid w:val="0001734A"/>
    <w:rsid w:val="000173E4"/>
    <w:rsid w:val="00017697"/>
    <w:rsid w:val="000176C7"/>
    <w:rsid w:val="0001791C"/>
    <w:rsid w:val="00017CE2"/>
    <w:rsid w:val="00020072"/>
    <w:rsid w:val="00020143"/>
    <w:rsid w:val="000201AF"/>
    <w:rsid w:val="000201B2"/>
    <w:rsid w:val="00020462"/>
    <w:rsid w:val="00020474"/>
    <w:rsid w:val="000205F5"/>
    <w:rsid w:val="00020688"/>
    <w:rsid w:val="00020A16"/>
    <w:rsid w:val="00020A9C"/>
    <w:rsid w:val="00020C00"/>
    <w:rsid w:val="00020D91"/>
    <w:rsid w:val="00020E57"/>
    <w:rsid w:val="00020EC7"/>
    <w:rsid w:val="00020EE5"/>
    <w:rsid w:val="0002102F"/>
    <w:rsid w:val="000211D3"/>
    <w:rsid w:val="000213EF"/>
    <w:rsid w:val="000216C2"/>
    <w:rsid w:val="000218EA"/>
    <w:rsid w:val="00021A3E"/>
    <w:rsid w:val="00021AEA"/>
    <w:rsid w:val="000222D6"/>
    <w:rsid w:val="00022504"/>
    <w:rsid w:val="00022554"/>
    <w:rsid w:val="0002256B"/>
    <w:rsid w:val="0002269C"/>
    <w:rsid w:val="00022779"/>
    <w:rsid w:val="00022D59"/>
    <w:rsid w:val="00022E37"/>
    <w:rsid w:val="00022E58"/>
    <w:rsid w:val="000231F0"/>
    <w:rsid w:val="000233D2"/>
    <w:rsid w:val="000234E4"/>
    <w:rsid w:val="000236CD"/>
    <w:rsid w:val="0002394B"/>
    <w:rsid w:val="00023ACF"/>
    <w:rsid w:val="00023BA9"/>
    <w:rsid w:val="00023DB2"/>
    <w:rsid w:val="00023E7C"/>
    <w:rsid w:val="00023EE3"/>
    <w:rsid w:val="00024217"/>
    <w:rsid w:val="000244B9"/>
    <w:rsid w:val="00024791"/>
    <w:rsid w:val="000249A8"/>
    <w:rsid w:val="00024AD0"/>
    <w:rsid w:val="00024B39"/>
    <w:rsid w:val="00024B87"/>
    <w:rsid w:val="00024C76"/>
    <w:rsid w:val="00024D45"/>
    <w:rsid w:val="00024F43"/>
    <w:rsid w:val="000250B7"/>
    <w:rsid w:val="000253E9"/>
    <w:rsid w:val="000257EE"/>
    <w:rsid w:val="000259A1"/>
    <w:rsid w:val="00025A4B"/>
    <w:rsid w:val="00025A81"/>
    <w:rsid w:val="00025B56"/>
    <w:rsid w:val="00025B8D"/>
    <w:rsid w:val="00025BA2"/>
    <w:rsid w:val="00025E62"/>
    <w:rsid w:val="00025EBC"/>
    <w:rsid w:val="000263C3"/>
    <w:rsid w:val="0002643F"/>
    <w:rsid w:val="00026725"/>
    <w:rsid w:val="0002691E"/>
    <w:rsid w:val="00026983"/>
    <w:rsid w:val="00026C49"/>
    <w:rsid w:val="00026C84"/>
    <w:rsid w:val="00026CA9"/>
    <w:rsid w:val="00026EEE"/>
    <w:rsid w:val="0002727E"/>
    <w:rsid w:val="000275B6"/>
    <w:rsid w:val="00027624"/>
    <w:rsid w:val="00027936"/>
    <w:rsid w:val="00027942"/>
    <w:rsid w:val="00027981"/>
    <w:rsid w:val="00027A7A"/>
    <w:rsid w:val="00030085"/>
    <w:rsid w:val="00030223"/>
    <w:rsid w:val="00030302"/>
    <w:rsid w:val="00030766"/>
    <w:rsid w:val="00030A10"/>
    <w:rsid w:val="00030B66"/>
    <w:rsid w:val="00030D60"/>
    <w:rsid w:val="00030E83"/>
    <w:rsid w:val="00030FA4"/>
    <w:rsid w:val="000310E4"/>
    <w:rsid w:val="00031190"/>
    <w:rsid w:val="000311A0"/>
    <w:rsid w:val="000311CE"/>
    <w:rsid w:val="000313E5"/>
    <w:rsid w:val="000313EF"/>
    <w:rsid w:val="0003157D"/>
    <w:rsid w:val="000318C0"/>
    <w:rsid w:val="0003194B"/>
    <w:rsid w:val="00031D41"/>
    <w:rsid w:val="00032103"/>
    <w:rsid w:val="00032279"/>
    <w:rsid w:val="0003231C"/>
    <w:rsid w:val="0003269A"/>
    <w:rsid w:val="00032707"/>
    <w:rsid w:val="0003273D"/>
    <w:rsid w:val="00033102"/>
    <w:rsid w:val="00033243"/>
    <w:rsid w:val="00033435"/>
    <w:rsid w:val="000334A6"/>
    <w:rsid w:val="0003357F"/>
    <w:rsid w:val="00033686"/>
    <w:rsid w:val="00033777"/>
    <w:rsid w:val="000341E2"/>
    <w:rsid w:val="0003469C"/>
    <w:rsid w:val="000347A0"/>
    <w:rsid w:val="00034808"/>
    <w:rsid w:val="000349EA"/>
    <w:rsid w:val="00034C3D"/>
    <w:rsid w:val="00035015"/>
    <w:rsid w:val="00035060"/>
    <w:rsid w:val="0003537C"/>
    <w:rsid w:val="000357D0"/>
    <w:rsid w:val="0003596C"/>
    <w:rsid w:val="00035ADE"/>
    <w:rsid w:val="00035C23"/>
    <w:rsid w:val="00035DEE"/>
    <w:rsid w:val="000361A1"/>
    <w:rsid w:val="000361B1"/>
    <w:rsid w:val="000361F4"/>
    <w:rsid w:val="0003627E"/>
    <w:rsid w:val="00036284"/>
    <w:rsid w:val="00036416"/>
    <w:rsid w:val="00036525"/>
    <w:rsid w:val="000368F6"/>
    <w:rsid w:val="00036A41"/>
    <w:rsid w:val="00036A53"/>
    <w:rsid w:val="00036B91"/>
    <w:rsid w:val="00036FD0"/>
    <w:rsid w:val="00037193"/>
    <w:rsid w:val="000371E1"/>
    <w:rsid w:val="000376C0"/>
    <w:rsid w:val="0004009A"/>
    <w:rsid w:val="000400A3"/>
    <w:rsid w:val="000400EE"/>
    <w:rsid w:val="000401DC"/>
    <w:rsid w:val="00040284"/>
    <w:rsid w:val="0004047C"/>
    <w:rsid w:val="000405BB"/>
    <w:rsid w:val="000405EB"/>
    <w:rsid w:val="0004069E"/>
    <w:rsid w:val="00040787"/>
    <w:rsid w:val="000408CA"/>
    <w:rsid w:val="000409E1"/>
    <w:rsid w:val="00040AA0"/>
    <w:rsid w:val="00040B15"/>
    <w:rsid w:val="00040BA1"/>
    <w:rsid w:val="00040C6C"/>
    <w:rsid w:val="00040E3D"/>
    <w:rsid w:val="00041009"/>
    <w:rsid w:val="00041317"/>
    <w:rsid w:val="00041368"/>
    <w:rsid w:val="000413D2"/>
    <w:rsid w:val="0004152A"/>
    <w:rsid w:val="00041661"/>
    <w:rsid w:val="00041693"/>
    <w:rsid w:val="000419FE"/>
    <w:rsid w:val="00041A6F"/>
    <w:rsid w:val="00041B60"/>
    <w:rsid w:val="00041DEA"/>
    <w:rsid w:val="00041F5E"/>
    <w:rsid w:val="00042286"/>
    <w:rsid w:val="000425A1"/>
    <w:rsid w:val="000426B4"/>
    <w:rsid w:val="000427F6"/>
    <w:rsid w:val="00042C4C"/>
    <w:rsid w:val="00042F29"/>
    <w:rsid w:val="00042F96"/>
    <w:rsid w:val="00043093"/>
    <w:rsid w:val="000432E3"/>
    <w:rsid w:val="00043340"/>
    <w:rsid w:val="00043381"/>
    <w:rsid w:val="000433F0"/>
    <w:rsid w:val="00043664"/>
    <w:rsid w:val="000439EE"/>
    <w:rsid w:val="00043D74"/>
    <w:rsid w:val="00043DAA"/>
    <w:rsid w:val="00043F1A"/>
    <w:rsid w:val="00043FB6"/>
    <w:rsid w:val="0004404F"/>
    <w:rsid w:val="000441C2"/>
    <w:rsid w:val="00044272"/>
    <w:rsid w:val="000442ED"/>
    <w:rsid w:val="00044453"/>
    <w:rsid w:val="000444EC"/>
    <w:rsid w:val="000448F1"/>
    <w:rsid w:val="00044A14"/>
    <w:rsid w:val="00044C9A"/>
    <w:rsid w:val="00044D39"/>
    <w:rsid w:val="00044D96"/>
    <w:rsid w:val="00044EA9"/>
    <w:rsid w:val="00045165"/>
    <w:rsid w:val="00045232"/>
    <w:rsid w:val="00045366"/>
    <w:rsid w:val="00045487"/>
    <w:rsid w:val="000454DB"/>
    <w:rsid w:val="000456AB"/>
    <w:rsid w:val="00045823"/>
    <w:rsid w:val="00045D2D"/>
    <w:rsid w:val="0004611E"/>
    <w:rsid w:val="000461AA"/>
    <w:rsid w:val="000462DE"/>
    <w:rsid w:val="00046595"/>
    <w:rsid w:val="000465D9"/>
    <w:rsid w:val="0004679C"/>
    <w:rsid w:val="00046B06"/>
    <w:rsid w:val="00046C8A"/>
    <w:rsid w:val="00046C8D"/>
    <w:rsid w:val="00046EF9"/>
    <w:rsid w:val="00047231"/>
    <w:rsid w:val="0004724B"/>
    <w:rsid w:val="000476DE"/>
    <w:rsid w:val="00047A0C"/>
    <w:rsid w:val="00047D98"/>
    <w:rsid w:val="00047DC4"/>
    <w:rsid w:val="00047F09"/>
    <w:rsid w:val="00047F4D"/>
    <w:rsid w:val="0005007A"/>
    <w:rsid w:val="000500B3"/>
    <w:rsid w:val="000500D6"/>
    <w:rsid w:val="00050533"/>
    <w:rsid w:val="0005056E"/>
    <w:rsid w:val="0005057C"/>
    <w:rsid w:val="0005060E"/>
    <w:rsid w:val="00050B27"/>
    <w:rsid w:val="00050BE2"/>
    <w:rsid w:val="00050D8C"/>
    <w:rsid w:val="00050F90"/>
    <w:rsid w:val="0005115D"/>
    <w:rsid w:val="000511E3"/>
    <w:rsid w:val="0005140E"/>
    <w:rsid w:val="0005195E"/>
    <w:rsid w:val="00051B55"/>
    <w:rsid w:val="00051CD3"/>
    <w:rsid w:val="00051E88"/>
    <w:rsid w:val="0005201A"/>
    <w:rsid w:val="00052166"/>
    <w:rsid w:val="0005222E"/>
    <w:rsid w:val="00052444"/>
    <w:rsid w:val="000525E6"/>
    <w:rsid w:val="0005278C"/>
    <w:rsid w:val="000527EB"/>
    <w:rsid w:val="0005286A"/>
    <w:rsid w:val="00052964"/>
    <w:rsid w:val="00052DF8"/>
    <w:rsid w:val="00053015"/>
    <w:rsid w:val="00053229"/>
    <w:rsid w:val="0005326D"/>
    <w:rsid w:val="00053668"/>
    <w:rsid w:val="0005376E"/>
    <w:rsid w:val="000537DF"/>
    <w:rsid w:val="000539AA"/>
    <w:rsid w:val="00053AE7"/>
    <w:rsid w:val="00053B7B"/>
    <w:rsid w:val="000540CD"/>
    <w:rsid w:val="0005417E"/>
    <w:rsid w:val="000541A3"/>
    <w:rsid w:val="000541E1"/>
    <w:rsid w:val="00054321"/>
    <w:rsid w:val="0005460D"/>
    <w:rsid w:val="0005478E"/>
    <w:rsid w:val="00054D69"/>
    <w:rsid w:val="00054EC9"/>
    <w:rsid w:val="00055158"/>
    <w:rsid w:val="00055393"/>
    <w:rsid w:val="00055461"/>
    <w:rsid w:val="000555A7"/>
    <w:rsid w:val="000558D7"/>
    <w:rsid w:val="00055A6C"/>
    <w:rsid w:val="00055ACD"/>
    <w:rsid w:val="00055AD4"/>
    <w:rsid w:val="00055B8E"/>
    <w:rsid w:val="00055D70"/>
    <w:rsid w:val="00056189"/>
    <w:rsid w:val="000561F6"/>
    <w:rsid w:val="0005652F"/>
    <w:rsid w:val="0005680D"/>
    <w:rsid w:val="00056976"/>
    <w:rsid w:val="00056C94"/>
    <w:rsid w:val="00056E53"/>
    <w:rsid w:val="00056FAD"/>
    <w:rsid w:val="00057085"/>
    <w:rsid w:val="00057298"/>
    <w:rsid w:val="0005731B"/>
    <w:rsid w:val="00057557"/>
    <w:rsid w:val="0005766D"/>
    <w:rsid w:val="00057E07"/>
    <w:rsid w:val="00060234"/>
    <w:rsid w:val="0006026C"/>
    <w:rsid w:val="00060383"/>
    <w:rsid w:val="00060441"/>
    <w:rsid w:val="0006050C"/>
    <w:rsid w:val="00060841"/>
    <w:rsid w:val="000608A3"/>
    <w:rsid w:val="00060C7E"/>
    <w:rsid w:val="00060C94"/>
    <w:rsid w:val="00060D97"/>
    <w:rsid w:val="00060E6E"/>
    <w:rsid w:val="00060F5E"/>
    <w:rsid w:val="00060F89"/>
    <w:rsid w:val="0006109C"/>
    <w:rsid w:val="000611AF"/>
    <w:rsid w:val="000614A9"/>
    <w:rsid w:val="000615D0"/>
    <w:rsid w:val="000618F8"/>
    <w:rsid w:val="0006197E"/>
    <w:rsid w:val="00061A0D"/>
    <w:rsid w:val="00061BF0"/>
    <w:rsid w:val="00061C0E"/>
    <w:rsid w:val="00061E8E"/>
    <w:rsid w:val="00061FA5"/>
    <w:rsid w:val="000622FE"/>
    <w:rsid w:val="00062553"/>
    <w:rsid w:val="00062581"/>
    <w:rsid w:val="000625B0"/>
    <w:rsid w:val="00062993"/>
    <w:rsid w:val="00062A14"/>
    <w:rsid w:val="00062AD5"/>
    <w:rsid w:val="00062BB1"/>
    <w:rsid w:val="00062C9D"/>
    <w:rsid w:val="00062D5B"/>
    <w:rsid w:val="00063275"/>
    <w:rsid w:val="000633A1"/>
    <w:rsid w:val="000634A6"/>
    <w:rsid w:val="0006368F"/>
    <w:rsid w:val="0006380A"/>
    <w:rsid w:val="000638DD"/>
    <w:rsid w:val="00063926"/>
    <w:rsid w:val="00063C33"/>
    <w:rsid w:val="00063CDE"/>
    <w:rsid w:val="00063D9B"/>
    <w:rsid w:val="00063F0A"/>
    <w:rsid w:val="00063F92"/>
    <w:rsid w:val="00063FC3"/>
    <w:rsid w:val="000643F3"/>
    <w:rsid w:val="00064744"/>
    <w:rsid w:val="000647F1"/>
    <w:rsid w:val="000648F2"/>
    <w:rsid w:val="00064D6A"/>
    <w:rsid w:val="00064FF4"/>
    <w:rsid w:val="00065233"/>
    <w:rsid w:val="00065369"/>
    <w:rsid w:val="000653D5"/>
    <w:rsid w:val="0006559C"/>
    <w:rsid w:val="000658AC"/>
    <w:rsid w:val="00065AAD"/>
    <w:rsid w:val="00065BE7"/>
    <w:rsid w:val="00065D0E"/>
    <w:rsid w:val="00065F60"/>
    <w:rsid w:val="00066620"/>
    <w:rsid w:val="00066A91"/>
    <w:rsid w:val="00066D93"/>
    <w:rsid w:val="00066E6D"/>
    <w:rsid w:val="00066FF6"/>
    <w:rsid w:val="000670DE"/>
    <w:rsid w:val="000675C5"/>
    <w:rsid w:val="000676D2"/>
    <w:rsid w:val="000677E1"/>
    <w:rsid w:val="00067813"/>
    <w:rsid w:val="00067865"/>
    <w:rsid w:val="00067B1E"/>
    <w:rsid w:val="00067ED9"/>
    <w:rsid w:val="00067F5B"/>
    <w:rsid w:val="00070596"/>
    <w:rsid w:val="0007063B"/>
    <w:rsid w:val="000708A0"/>
    <w:rsid w:val="000708D4"/>
    <w:rsid w:val="00070B2A"/>
    <w:rsid w:val="00070B30"/>
    <w:rsid w:val="00070B6A"/>
    <w:rsid w:val="00070D5C"/>
    <w:rsid w:val="00070D66"/>
    <w:rsid w:val="00070DB9"/>
    <w:rsid w:val="00070EE5"/>
    <w:rsid w:val="00070F48"/>
    <w:rsid w:val="00071063"/>
    <w:rsid w:val="00071294"/>
    <w:rsid w:val="000714F5"/>
    <w:rsid w:val="000718D3"/>
    <w:rsid w:val="00071A78"/>
    <w:rsid w:val="00071DBA"/>
    <w:rsid w:val="00071E79"/>
    <w:rsid w:val="00071FB6"/>
    <w:rsid w:val="0007244D"/>
    <w:rsid w:val="0007246B"/>
    <w:rsid w:val="00072536"/>
    <w:rsid w:val="0007254A"/>
    <w:rsid w:val="00072550"/>
    <w:rsid w:val="0007263F"/>
    <w:rsid w:val="000727E6"/>
    <w:rsid w:val="000729D6"/>
    <w:rsid w:val="00072A38"/>
    <w:rsid w:val="00072C2B"/>
    <w:rsid w:val="00072D9E"/>
    <w:rsid w:val="00072ECF"/>
    <w:rsid w:val="00072EFC"/>
    <w:rsid w:val="00072F00"/>
    <w:rsid w:val="00072F59"/>
    <w:rsid w:val="00072FBC"/>
    <w:rsid w:val="000731F2"/>
    <w:rsid w:val="00073327"/>
    <w:rsid w:val="0007337B"/>
    <w:rsid w:val="00073425"/>
    <w:rsid w:val="00073506"/>
    <w:rsid w:val="000735F5"/>
    <w:rsid w:val="0007367C"/>
    <w:rsid w:val="0007399C"/>
    <w:rsid w:val="000739A9"/>
    <w:rsid w:val="00073B16"/>
    <w:rsid w:val="00073B8E"/>
    <w:rsid w:val="00073BDC"/>
    <w:rsid w:val="00073C76"/>
    <w:rsid w:val="00073E70"/>
    <w:rsid w:val="000749BB"/>
    <w:rsid w:val="00074EDB"/>
    <w:rsid w:val="00074FE7"/>
    <w:rsid w:val="0007501A"/>
    <w:rsid w:val="00075048"/>
    <w:rsid w:val="000752B0"/>
    <w:rsid w:val="000752E8"/>
    <w:rsid w:val="00075319"/>
    <w:rsid w:val="00075376"/>
    <w:rsid w:val="0007558A"/>
    <w:rsid w:val="000758EE"/>
    <w:rsid w:val="00075A06"/>
    <w:rsid w:val="00075BD5"/>
    <w:rsid w:val="00075C14"/>
    <w:rsid w:val="00075D7A"/>
    <w:rsid w:val="00076017"/>
    <w:rsid w:val="000763D1"/>
    <w:rsid w:val="0007648B"/>
    <w:rsid w:val="000765B1"/>
    <w:rsid w:val="000767BC"/>
    <w:rsid w:val="00076ADA"/>
    <w:rsid w:val="00076D5E"/>
    <w:rsid w:val="00076E9A"/>
    <w:rsid w:val="00076F24"/>
    <w:rsid w:val="0007703F"/>
    <w:rsid w:val="0007729C"/>
    <w:rsid w:val="0007739B"/>
    <w:rsid w:val="000774AF"/>
    <w:rsid w:val="000774D1"/>
    <w:rsid w:val="00077935"/>
    <w:rsid w:val="00077942"/>
    <w:rsid w:val="000779AA"/>
    <w:rsid w:val="000779B2"/>
    <w:rsid w:val="00077DD8"/>
    <w:rsid w:val="00077EE9"/>
    <w:rsid w:val="00077FCF"/>
    <w:rsid w:val="0008015B"/>
    <w:rsid w:val="0008057E"/>
    <w:rsid w:val="0008074E"/>
    <w:rsid w:val="00080B1A"/>
    <w:rsid w:val="00080F3C"/>
    <w:rsid w:val="00081199"/>
    <w:rsid w:val="000813C6"/>
    <w:rsid w:val="0008182E"/>
    <w:rsid w:val="00081AD2"/>
    <w:rsid w:val="000820DB"/>
    <w:rsid w:val="00082235"/>
    <w:rsid w:val="00082285"/>
    <w:rsid w:val="00082425"/>
    <w:rsid w:val="00082591"/>
    <w:rsid w:val="0008295D"/>
    <w:rsid w:val="00082A6E"/>
    <w:rsid w:val="00082DDC"/>
    <w:rsid w:val="00082FDB"/>
    <w:rsid w:val="00083207"/>
    <w:rsid w:val="0008327D"/>
    <w:rsid w:val="000832C7"/>
    <w:rsid w:val="000832D7"/>
    <w:rsid w:val="000834C4"/>
    <w:rsid w:val="000835A7"/>
    <w:rsid w:val="00083685"/>
    <w:rsid w:val="0008401F"/>
    <w:rsid w:val="00084667"/>
    <w:rsid w:val="00084686"/>
    <w:rsid w:val="000846E0"/>
    <w:rsid w:val="000846F2"/>
    <w:rsid w:val="000847DF"/>
    <w:rsid w:val="00084942"/>
    <w:rsid w:val="000849DE"/>
    <w:rsid w:val="00084E94"/>
    <w:rsid w:val="0008502C"/>
    <w:rsid w:val="00085144"/>
    <w:rsid w:val="00085355"/>
    <w:rsid w:val="0008550F"/>
    <w:rsid w:val="0008551F"/>
    <w:rsid w:val="00085559"/>
    <w:rsid w:val="000855B7"/>
    <w:rsid w:val="000856EB"/>
    <w:rsid w:val="00085A07"/>
    <w:rsid w:val="00085CDA"/>
    <w:rsid w:val="00085D8D"/>
    <w:rsid w:val="00085E6A"/>
    <w:rsid w:val="00085FD8"/>
    <w:rsid w:val="000860FE"/>
    <w:rsid w:val="00086109"/>
    <w:rsid w:val="00086137"/>
    <w:rsid w:val="000864E1"/>
    <w:rsid w:val="0008674A"/>
    <w:rsid w:val="000868FE"/>
    <w:rsid w:val="00086B15"/>
    <w:rsid w:val="00086BB9"/>
    <w:rsid w:val="0008718D"/>
    <w:rsid w:val="0008733C"/>
    <w:rsid w:val="000873F3"/>
    <w:rsid w:val="00087526"/>
    <w:rsid w:val="000877E6"/>
    <w:rsid w:val="000878A5"/>
    <w:rsid w:val="000879A4"/>
    <w:rsid w:val="000879ED"/>
    <w:rsid w:val="00087A90"/>
    <w:rsid w:val="00087B55"/>
    <w:rsid w:val="00087B71"/>
    <w:rsid w:val="00087C87"/>
    <w:rsid w:val="000902F4"/>
    <w:rsid w:val="00090332"/>
    <w:rsid w:val="0009034F"/>
    <w:rsid w:val="0009053F"/>
    <w:rsid w:val="00090847"/>
    <w:rsid w:val="00090AC3"/>
    <w:rsid w:val="00090BFA"/>
    <w:rsid w:val="00090E26"/>
    <w:rsid w:val="00090F44"/>
    <w:rsid w:val="00090F55"/>
    <w:rsid w:val="00090F5B"/>
    <w:rsid w:val="00091004"/>
    <w:rsid w:val="000911AE"/>
    <w:rsid w:val="0009121C"/>
    <w:rsid w:val="00091384"/>
    <w:rsid w:val="00091628"/>
    <w:rsid w:val="00091830"/>
    <w:rsid w:val="0009184C"/>
    <w:rsid w:val="000918EA"/>
    <w:rsid w:val="00091911"/>
    <w:rsid w:val="00091BBC"/>
    <w:rsid w:val="00092013"/>
    <w:rsid w:val="000920FD"/>
    <w:rsid w:val="0009223C"/>
    <w:rsid w:val="000922A8"/>
    <w:rsid w:val="0009238B"/>
    <w:rsid w:val="0009243A"/>
    <w:rsid w:val="00092AF2"/>
    <w:rsid w:val="00092C3D"/>
    <w:rsid w:val="00092D22"/>
    <w:rsid w:val="00093006"/>
    <w:rsid w:val="000933AA"/>
    <w:rsid w:val="00093469"/>
    <w:rsid w:val="000934A2"/>
    <w:rsid w:val="000934EF"/>
    <w:rsid w:val="000935AD"/>
    <w:rsid w:val="0009366B"/>
    <w:rsid w:val="000937C3"/>
    <w:rsid w:val="00093840"/>
    <w:rsid w:val="00093845"/>
    <w:rsid w:val="0009396F"/>
    <w:rsid w:val="00093DC8"/>
    <w:rsid w:val="0009409A"/>
    <w:rsid w:val="00094325"/>
    <w:rsid w:val="00094595"/>
    <w:rsid w:val="000946B6"/>
    <w:rsid w:val="00094847"/>
    <w:rsid w:val="000948F7"/>
    <w:rsid w:val="00094D0F"/>
    <w:rsid w:val="00094DB4"/>
    <w:rsid w:val="00094DBE"/>
    <w:rsid w:val="00095004"/>
    <w:rsid w:val="00095137"/>
    <w:rsid w:val="0009520D"/>
    <w:rsid w:val="000952C4"/>
    <w:rsid w:val="00095307"/>
    <w:rsid w:val="000953CD"/>
    <w:rsid w:val="000954E5"/>
    <w:rsid w:val="00095571"/>
    <w:rsid w:val="00095688"/>
    <w:rsid w:val="000958A4"/>
    <w:rsid w:val="00095920"/>
    <w:rsid w:val="0009593C"/>
    <w:rsid w:val="00095B19"/>
    <w:rsid w:val="0009613F"/>
    <w:rsid w:val="00096174"/>
    <w:rsid w:val="000961C0"/>
    <w:rsid w:val="0009629F"/>
    <w:rsid w:val="00096483"/>
    <w:rsid w:val="0009667A"/>
    <w:rsid w:val="00096814"/>
    <w:rsid w:val="00096966"/>
    <w:rsid w:val="00096D2F"/>
    <w:rsid w:val="000970F4"/>
    <w:rsid w:val="000971D6"/>
    <w:rsid w:val="00097551"/>
    <w:rsid w:val="0009758F"/>
    <w:rsid w:val="000975AA"/>
    <w:rsid w:val="000978FA"/>
    <w:rsid w:val="00097A58"/>
    <w:rsid w:val="00097A7A"/>
    <w:rsid w:val="00097AAE"/>
    <w:rsid w:val="00097F5E"/>
    <w:rsid w:val="000A061F"/>
    <w:rsid w:val="000A078C"/>
    <w:rsid w:val="000A0851"/>
    <w:rsid w:val="000A0BBD"/>
    <w:rsid w:val="000A0C9E"/>
    <w:rsid w:val="000A0CB1"/>
    <w:rsid w:val="000A0DF5"/>
    <w:rsid w:val="000A0F97"/>
    <w:rsid w:val="000A1267"/>
    <w:rsid w:val="000A1392"/>
    <w:rsid w:val="000A1594"/>
    <w:rsid w:val="000A15F7"/>
    <w:rsid w:val="000A17B1"/>
    <w:rsid w:val="000A1853"/>
    <w:rsid w:val="000A1A29"/>
    <w:rsid w:val="000A1D10"/>
    <w:rsid w:val="000A1DAC"/>
    <w:rsid w:val="000A1F6E"/>
    <w:rsid w:val="000A2040"/>
    <w:rsid w:val="000A218A"/>
    <w:rsid w:val="000A2458"/>
    <w:rsid w:val="000A26EF"/>
    <w:rsid w:val="000A2A21"/>
    <w:rsid w:val="000A2A2A"/>
    <w:rsid w:val="000A2A39"/>
    <w:rsid w:val="000A2DC7"/>
    <w:rsid w:val="000A2E47"/>
    <w:rsid w:val="000A3081"/>
    <w:rsid w:val="000A3507"/>
    <w:rsid w:val="000A3797"/>
    <w:rsid w:val="000A3F7D"/>
    <w:rsid w:val="000A4030"/>
    <w:rsid w:val="000A4194"/>
    <w:rsid w:val="000A4358"/>
    <w:rsid w:val="000A45D6"/>
    <w:rsid w:val="000A46D0"/>
    <w:rsid w:val="000A47BC"/>
    <w:rsid w:val="000A481A"/>
    <w:rsid w:val="000A4BAC"/>
    <w:rsid w:val="000A4BBA"/>
    <w:rsid w:val="000A53AD"/>
    <w:rsid w:val="000A5474"/>
    <w:rsid w:val="000A54DE"/>
    <w:rsid w:val="000A56CE"/>
    <w:rsid w:val="000A56F0"/>
    <w:rsid w:val="000A5700"/>
    <w:rsid w:val="000A57B6"/>
    <w:rsid w:val="000A5CE4"/>
    <w:rsid w:val="000A5ED2"/>
    <w:rsid w:val="000A6606"/>
    <w:rsid w:val="000A6687"/>
    <w:rsid w:val="000A66DC"/>
    <w:rsid w:val="000A6811"/>
    <w:rsid w:val="000A6927"/>
    <w:rsid w:val="000A69D7"/>
    <w:rsid w:val="000A69F1"/>
    <w:rsid w:val="000A6C6C"/>
    <w:rsid w:val="000A6D02"/>
    <w:rsid w:val="000A6D20"/>
    <w:rsid w:val="000A6DCC"/>
    <w:rsid w:val="000A70AC"/>
    <w:rsid w:val="000A7398"/>
    <w:rsid w:val="000A74E6"/>
    <w:rsid w:val="000A7715"/>
    <w:rsid w:val="000A77A1"/>
    <w:rsid w:val="000A7829"/>
    <w:rsid w:val="000A7A9D"/>
    <w:rsid w:val="000A7AA9"/>
    <w:rsid w:val="000A7BB8"/>
    <w:rsid w:val="000A7CD1"/>
    <w:rsid w:val="000A7DBD"/>
    <w:rsid w:val="000B01C5"/>
    <w:rsid w:val="000B0257"/>
    <w:rsid w:val="000B02A6"/>
    <w:rsid w:val="000B05ED"/>
    <w:rsid w:val="000B08FE"/>
    <w:rsid w:val="000B099A"/>
    <w:rsid w:val="000B09A9"/>
    <w:rsid w:val="000B0DEE"/>
    <w:rsid w:val="000B11D9"/>
    <w:rsid w:val="000B1419"/>
    <w:rsid w:val="000B15ED"/>
    <w:rsid w:val="000B1822"/>
    <w:rsid w:val="000B1926"/>
    <w:rsid w:val="000B1963"/>
    <w:rsid w:val="000B1A66"/>
    <w:rsid w:val="000B1A69"/>
    <w:rsid w:val="000B1ACE"/>
    <w:rsid w:val="000B1BEF"/>
    <w:rsid w:val="000B1D63"/>
    <w:rsid w:val="000B1DEE"/>
    <w:rsid w:val="000B209D"/>
    <w:rsid w:val="000B2424"/>
    <w:rsid w:val="000B2512"/>
    <w:rsid w:val="000B2515"/>
    <w:rsid w:val="000B29F1"/>
    <w:rsid w:val="000B2AAE"/>
    <w:rsid w:val="000B2B0D"/>
    <w:rsid w:val="000B2BDC"/>
    <w:rsid w:val="000B2BEB"/>
    <w:rsid w:val="000B2F02"/>
    <w:rsid w:val="000B2F28"/>
    <w:rsid w:val="000B2F6F"/>
    <w:rsid w:val="000B2FB7"/>
    <w:rsid w:val="000B3197"/>
    <w:rsid w:val="000B31AA"/>
    <w:rsid w:val="000B336F"/>
    <w:rsid w:val="000B3D80"/>
    <w:rsid w:val="000B3DCD"/>
    <w:rsid w:val="000B3FDD"/>
    <w:rsid w:val="000B4744"/>
    <w:rsid w:val="000B495A"/>
    <w:rsid w:val="000B49BD"/>
    <w:rsid w:val="000B4A0E"/>
    <w:rsid w:val="000B4BC8"/>
    <w:rsid w:val="000B4ED1"/>
    <w:rsid w:val="000B52DF"/>
    <w:rsid w:val="000B5465"/>
    <w:rsid w:val="000B5AA9"/>
    <w:rsid w:val="000B5AC1"/>
    <w:rsid w:val="000B5C98"/>
    <w:rsid w:val="000B6065"/>
    <w:rsid w:val="000B6772"/>
    <w:rsid w:val="000B6B0E"/>
    <w:rsid w:val="000B6EFE"/>
    <w:rsid w:val="000B7836"/>
    <w:rsid w:val="000B7D86"/>
    <w:rsid w:val="000B7E5E"/>
    <w:rsid w:val="000C0092"/>
    <w:rsid w:val="000C00FC"/>
    <w:rsid w:val="000C018D"/>
    <w:rsid w:val="000C02AC"/>
    <w:rsid w:val="000C0631"/>
    <w:rsid w:val="000C06AF"/>
    <w:rsid w:val="000C0989"/>
    <w:rsid w:val="000C0AD8"/>
    <w:rsid w:val="000C0CF9"/>
    <w:rsid w:val="000C0D47"/>
    <w:rsid w:val="000C0EE8"/>
    <w:rsid w:val="000C1090"/>
    <w:rsid w:val="000C12E2"/>
    <w:rsid w:val="000C1917"/>
    <w:rsid w:val="000C1A2E"/>
    <w:rsid w:val="000C1A8B"/>
    <w:rsid w:val="000C1AD9"/>
    <w:rsid w:val="000C1F74"/>
    <w:rsid w:val="000C1FA4"/>
    <w:rsid w:val="000C2044"/>
    <w:rsid w:val="000C234A"/>
    <w:rsid w:val="000C240F"/>
    <w:rsid w:val="000C2A1B"/>
    <w:rsid w:val="000C2A98"/>
    <w:rsid w:val="000C2ACF"/>
    <w:rsid w:val="000C2BE8"/>
    <w:rsid w:val="000C2C1E"/>
    <w:rsid w:val="000C2CA3"/>
    <w:rsid w:val="000C2D38"/>
    <w:rsid w:val="000C2DB1"/>
    <w:rsid w:val="000C2F0F"/>
    <w:rsid w:val="000C310A"/>
    <w:rsid w:val="000C337F"/>
    <w:rsid w:val="000C351D"/>
    <w:rsid w:val="000C35EB"/>
    <w:rsid w:val="000C381E"/>
    <w:rsid w:val="000C3AAA"/>
    <w:rsid w:val="000C3CEB"/>
    <w:rsid w:val="000C3E94"/>
    <w:rsid w:val="000C3F52"/>
    <w:rsid w:val="000C4064"/>
    <w:rsid w:val="000C4389"/>
    <w:rsid w:val="000C4893"/>
    <w:rsid w:val="000C4917"/>
    <w:rsid w:val="000C4CFB"/>
    <w:rsid w:val="000C50AE"/>
    <w:rsid w:val="000C524D"/>
    <w:rsid w:val="000C537F"/>
    <w:rsid w:val="000C552D"/>
    <w:rsid w:val="000C5778"/>
    <w:rsid w:val="000C5A07"/>
    <w:rsid w:val="000C5E8C"/>
    <w:rsid w:val="000C6337"/>
    <w:rsid w:val="000C6498"/>
    <w:rsid w:val="000C6589"/>
    <w:rsid w:val="000C6A44"/>
    <w:rsid w:val="000C6E88"/>
    <w:rsid w:val="000C6EA8"/>
    <w:rsid w:val="000C73FD"/>
    <w:rsid w:val="000C7741"/>
    <w:rsid w:val="000C795B"/>
    <w:rsid w:val="000C7B19"/>
    <w:rsid w:val="000C7CFC"/>
    <w:rsid w:val="000C7EC8"/>
    <w:rsid w:val="000D028A"/>
    <w:rsid w:val="000D0295"/>
    <w:rsid w:val="000D02EE"/>
    <w:rsid w:val="000D037F"/>
    <w:rsid w:val="000D042F"/>
    <w:rsid w:val="000D067F"/>
    <w:rsid w:val="000D07AB"/>
    <w:rsid w:val="000D0B21"/>
    <w:rsid w:val="000D0B4D"/>
    <w:rsid w:val="000D0BBD"/>
    <w:rsid w:val="000D0D62"/>
    <w:rsid w:val="000D0FE6"/>
    <w:rsid w:val="000D1304"/>
    <w:rsid w:val="000D13CF"/>
    <w:rsid w:val="000D1478"/>
    <w:rsid w:val="000D14E6"/>
    <w:rsid w:val="000D1606"/>
    <w:rsid w:val="000D1AC8"/>
    <w:rsid w:val="000D1B5D"/>
    <w:rsid w:val="000D1CAD"/>
    <w:rsid w:val="000D1D7F"/>
    <w:rsid w:val="000D1F3C"/>
    <w:rsid w:val="000D2649"/>
    <w:rsid w:val="000D2B34"/>
    <w:rsid w:val="000D2B63"/>
    <w:rsid w:val="000D2C0D"/>
    <w:rsid w:val="000D2C14"/>
    <w:rsid w:val="000D2EB8"/>
    <w:rsid w:val="000D30EF"/>
    <w:rsid w:val="000D347B"/>
    <w:rsid w:val="000D3776"/>
    <w:rsid w:val="000D3C7C"/>
    <w:rsid w:val="000D3DE8"/>
    <w:rsid w:val="000D3E43"/>
    <w:rsid w:val="000D3F29"/>
    <w:rsid w:val="000D405B"/>
    <w:rsid w:val="000D416D"/>
    <w:rsid w:val="000D41C9"/>
    <w:rsid w:val="000D4244"/>
    <w:rsid w:val="000D425A"/>
    <w:rsid w:val="000D46F8"/>
    <w:rsid w:val="000D48CB"/>
    <w:rsid w:val="000D4907"/>
    <w:rsid w:val="000D49ED"/>
    <w:rsid w:val="000D4B0D"/>
    <w:rsid w:val="000D4BCB"/>
    <w:rsid w:val="000D4CDD"/>
    <w:rsid w:val="000D4EF0"/>
    <w:rsid w:val="000D4FB1"/>
    <w:rsid w:val="000D5025"/>
    <w:rsid w:val="000D54F1"/>
    <w:rsid w:val="000D578B"/>
    <w:rsid w:val="000D5AF1"/>
    <w:rsid w:val="000D5C97"/>
    <w:rsid w:val="000D5DA1"/>
    <w:rsid w:val="000D5E2F"/>
    <w:rsid w:val="000D5FBE"/>
    <w:rsid w:val="000D6052"/>
    <w:rsid w:val="000D60F0"/>
    <w:rsid w:val="000D64E6"/>
    <w:rsid w:val="000D6566"/>
    <w:rsid w:val="000D6EA6"/>
    <w:rsid w:val="000D71A9"/>
    <w:rsid w:val="000D71AA"/>
    <w:rsid w:val="000D73EF"/>
    <w:rsid w:val="000D74D9"/>
    <w:rsid w:val="000D7597"/>
    <w:rsid w:val="000D768B"/>
    <w:rsid w:val="000D76F5"/>
    <w:rsid w:val="000D774D"/>
    <w:rsid w:val="000D7A3E"/>
    <w:rsid w:val="000D7BD9"/>
    <w:rsid w:val="000D7BF1"/>
    <w:rsid w:val="000D7E1C"/>
    <w:rsid w:val="000D7EF7"/>
    <w:rsid w:val="000D7FAC"/>
    <w:rsid w:val="000E0217"/>
    <w:rsid w:val="000E02D2"/>
    <w:rsid w:val="000E03B4"/>
    <w:rsid w:val="000E057F"/>
    <w:rsid w:val="000E06C4"/>
    <w:rsid w:val="000E08BC"/>
    <w:rsid w:val="000E0DE0"/>
    <w:rsid w:val="000E10F4"/>
    <w:rsid w:val="000E1A42"/>
    <w:rsid w:val="000E1ACF"/>
    <w:rsid w:val="000E1BC9"/>
    <w:rsid w:val="000E1C18"/>
    <w:rsid w:val="000E1EF1"/>
    <w:rsid w:val="000E2032"/>
    <w:rsid w:val="000E205D"/>
    <w:rsid w:val="000E2138"/>
    <w:rsid w:val="000E254D"/>
    <w:rsid w:val="000E276A"/>
    <w:rsid w:val="000E2894"/>
    <w:rsid w:val="000E2CEE"/>
    <w:rsid w:val="000E2E59"/>
    <w:rsid w:val="000E2EEF"/>
    <w:rsid w:val="000E2F0A"/>
    <w:rsid w:val="000E321E"/>
    <w:rsid w:val="000E32F1"/>
    <w:rsid w:val="000E357D"/>
    <w:rsid w:val="000E37FA"/>
    <w:rsid w:val="000E395C"/>
    <w:rsid w:val="000E395F"/>
    <w:rsid w:val="000E3CBE"/>
    <w:rsid w:val="000E3E53"/>
    <w:rsid w:val="000E3FA8"/>
    <w:rsid w:val="000E4005"/>
    <w:rsid w:val="000E41E6"/>
    <w:rsid w:val="000E4200"/>
    <w:rsid w:val="000E4563"/>
    <w:rsid w:val="000E4579"/>
    <w:rsid w:val="000E472F"/>
    <w:rsid w:val="000E4746"/>
    <w:rsid w:val="000E49A2"/>
    <w:rsid w:val="000E4C17"/>
    <w:rsid w:val="000E4D5C"/>
    <w:rsid w:val="000E4FC0"/>
    <w:rsid w:val="000E5328"/>
    <w:rsid w:val="000E545D"/>
    <w:rsid w:val="000E54F1"/>
    <w:rsid w:val="000E59C1"/>
    <w:rsid w:val="000E5CF4"/>
    <w:rsid w:val="000E5ED2"/>
    <w:rsid w:val="000E5EE1"/>
    <w:rsid w:val="000E5F2A"/>
    <w:rsid w:val="000E60A9"/>
    <w:rsid w:val="000E6152"/>
    <w:rsid w:val="000E62FC"/>
    <w:rsid w:val="000E6487"/>
    <w:rsid w:val="000E6A36"/>
    <w:rsid w:val="000E6B0C"/>
    <w:rsid w:val="000E6CE1"/>
    <w:rsid w:val="000E6E22"/>
    <w:rsid w:val="000E7023"/>
    <w:rsid w:val="000E704C"/>
    <w:rsid w:val="000E7498"/>
    <w:rsid w:val="000E7952"/>
    <w:rsid w:val="000E798D"/>
    <w:rsid w:val="000E79E2"/>
    <w:rsid w:val="000E7E18"/>
    <w:rsid w:val="000E7F4B"/>
    <w:rsid w:val="000E7FE8"/>
    <w:rsid w:val="000F017B"/>
    <w:rsid w:val="000F0438"/>
    <w:rsid w:val="000F06C3"/>
    <w:rsid w:val="000F09B2"/>
    <w:rsid w:val="000F0AB8"/>
    <w:rsid w:val="000F0AC6"/>
    <w:rsid w:val="000F0E49"/>
    <w:rsid w:val="000F0EA2"/>
    <w:rsid w:val="000F1046"/>
    <w:rsid w:val="000F137E"/>
    <w:rsid w:val="000F1587"/>
    <w:rsid w:val="000F1616"/>
    <w:rsid w:val="000F1635"/>
    <w:rsid w:val="000F16D3"/>
    <w:rsid w:val="000F1855"/>
    <w:rsid w:val="000F18AE"/>
    <w:rsid w:val="000F18E5"/>
    <w:rsid w:val="000F1C96"/>
    <w:rsid w:val="000F1CDE"/>
    <w:rsid w:val="000F1FA3"/>
    <w:rsid w:val="000F2436"/>
    <w:rsid w:val="000F2464"/>
    <w:rsid w:val="000F2774"/>
    <w:rsid w:val="000F28A1"/>
    <w:rsid w:val="000F2903"/>
    <w:rsid w:val="000F2FB6"/>
    <w:rsid w:val="000F3142"/>
    <w:rsid w:val="000F321C"/>
    <w:rsid w:val="000F3288"/>
    <w:rsid w:val="000F346C"/>
    <w:rsid w:val="000F3DAC"/>
    <w:rsid w:val="000F4122"/>
    <w:rsid w:val="000F428E"/>
    <w:rsid w:val="000F4456"/>
    <w:rsid w:val="000F446F"/>
    <w:rsid w:val="000F45A1"/>
    <w:rsid w:val="000F4841"/>
    <w:rsid w:val="000F497B"/>
    <w:rsid w:val="000F4B8E"/>
    <w:rsid w:val="000F516A"/>
    <w:rsid w:val="000F5367"/>
    <w:rsid w:val="000F575D"/>
    <w:rsid w:val="000F5857"/>
    <w:rsid w:val="000F5985"/>
    <w:rsid w:val="000F5A6E"/>
    <w:rsid w:val="000F5BD7"/>
    <w:rsid w:val="000F60C3"/>
    <w:rsid w:val="000F64D9"/>
    <w:rsid w:val="000F6573"/>
    <w:rsid w:val="000F6764"/>
    <w:rsid w:val="000F6944"/>
    <w:rsid w:val="000F6AE8"/>
    <w:rsid w:val="000F6CB6"/>
    <w:rsid w:val="000F7112"/>
    <w:rsid w:val="000F7344"/>
    <w:rsid w:val="000F7425"/>
    <w:rsid w:val="000F74FA"/>
    <w:rsid w:val="000F7601"/>
    <w:rsid w:val="000F78B8"/>
    <w:rsid w:val="000F7B8C"/>
    <w:rsid w:val="000F7BFE"/>
    <w:rsid w:val="000F7D3D"/>
    <w:rsid w:val="00100023"/>
    <w:rsid w:val="00100324"/>
    <w:rsid w:val="001004EB"/>
    <w:rsid w:val="00100E27"/>
    <w:rsid w:val="00100FD3"/>
    <w:rsid w:val="00101020"/>
    <w:rsid w:val="0010124A"/>
    <w:rsid w:val="0010160C"/>
    <w:rsid w:val="001017AF"/>
    <w:rsid w:val="00101AFA"/>
    <w:rsid w:val="00101B2D"/>
    <w:rsid w:val="00101C34"/>
    <w:rsid w:val="00101EEC"/>
    <w:rsid w:val="00101F2A"/>
    <w:rsid w:val="00101F89"/>
    <w:rsid w:val="00102755"/>
    <w:rsid w:val="0010334C"/>
    <w:rsid w:val="0010334E"/>
    <w:rsid w:val="0010356A"/>
    <w:rsid w:val="0010362E"/>
    <w:rsid w:val="001036A3"/>
    <w:rsid w:val="0010390C"/>
    <w:rsid w:val="00103950"/>
    <w:rsid w:val="00103999"/>
    <w:rsid w:val="001039C3"/>
    <w:rsid w:val="001039F3"/>
    <w:rsid w:val="00103E6E"/>
    <w:rsid w:val="00103F98"/>
    <w:rsid w:val="00104118"/>
    <w:rsid w:val="0010416E"/>
    <w:rsid w:val="00104198"/>
    <w:rsid w:val="001041DA"/>
    <w:rsid w:val="0010433E"/>
    <w:rsid w:val="00104522"/>
    <w:rsid w:val="001046C9"/>
    <w:rsid w:val="00104712"/>
    <w:rsid w:val="001048D6"/>
    <w:rsid w:val="001049A7"/>
    <w:rsid w:val="00104A98"/>
    <w:rsid w:val="00104B97"/>
    <w:rsid w:val="00104BEA"/>
    <w:rsid w:val="00104CA3"/>
    <w:rsid w:val="00104E8A"/>
    <w:rsid w:val="0010503C"/>
    <w:rsid w:val="001052F4"/>
    <w:rsid w:val="001054AB"/>
    <w:rsid w:val="001059DE"/>
    <w:rsid w:val="00105A6F"/>
    <w:rsid w:val="00105AC3"/>
    <w:rsid w:val="00105B70"/>
    <w:rsid w:val="00105B98"/>
    <w:rsid w:val="00105BC4"/>
    <w:rsid w:val="00105DC3"/>
    <w:rsid w:val="00105DE6"/>
    <w:rsid w:val="00106218"/>
    <w:rsid w:val="00106420"/>
    <w:rsid w:val="0010649F"/>
    <w:rsid w:val="0010653E"/>
    <w:rsid w:val="0010696C"/>
    <w:rsid w:val="00106A6F"/>
    <w:rsid w:val="00106AA2"/>
    <w:rsid w:val="00106ABE"/>
    <w:rsid w:val="00106BE6"/>
    <w:rsid w:val="00106C4D"/>
    <w:rsid w:val="00106D3B"/>
    <w:rsid w:val="00107098"/>
    <w:rsid w:val="001072CC"/>
    <w:rsid w:val="001073B1"/>
    <w:rsid w:val="0010771E"/>
    <w:rsid w:val="001079A7"/>
    <w:rsid w:val="001079D5"/>
    <w:rsid w:val="00107A89"/>
    <w:rsid w:val="00107BAB"/>
    <w:rsid w:val="00107C0D"/>
    <w:rsid w:val="00107CF0"/>
    <w:rsid w:val="00107D2E"/>
    <w:rsid w:val="00107DC0"/>
    <w:rsid w:val="00107EE4"/>
    <w:rsid w:val="00107F14"/>
    <w:rsid w:val="00107F76"/>
    <w:rsid w:val="00107FC6"/>
    <w:rsid w:val="00110125"/>
    <w:rsid w:val="0011068F"/>
    <w:rsid w:val="0011087A"/>
    <w:rsid w:val="001108AF"/>
    <w:rsid w:val="00110C53"/>
    <w:rsid w:val="00110D88"/>
    <w:rsid w:val="00110E76"/>
    <w:rsid w:val="00111521"/>
    <w:rsid w:val="001115A6"/>
    <w:rsid w:val="00111934"/>
    <w:rsid w:val="001119C5"/>
    <w:rsid w:val="00111F24"/>
    <w:rsid w:val="0011224D"/>
    <w:rsid w:val="001122A3"/>
    <w:rsid w:val="00112352"/>
    <w:rsid w:val="0011243F"/>
    <w:rsid w:val="0011245D"/>
    <w:rsid w:val="001128FA"/>
    <w:rsid w:val="00112C69"/>
    <w:rsid w:val="00112D8F"/>
    <w:rsid w:val="00112EE5"/>
    <w:rsid w:val="00112F65"/>
    <w:rsid w:val="001130F9"/>
    <w:rsid w:val="001131C0"/>
    <w:rsid w:val="001131F6"/>
    <w:rsid w:val="00113291"/>
    <w:rsid w:val="001132C7"/>
    <w:rsid w:val="001134BE"/>
    <w:rsid w:val="00113D1F"/>
    <w:rsid w:val="00113D5D"/>
    <w:rsid w:val="00113E8D"/>
    <w:rsid w:val="00114295"/>
    <w:rsid w:val="00114C29"/>
    <w:rsid w:val="00114DFB"/>
    <w:rsid w:val="00114EA7"/>
    <w:rsid w:val="00114F3F"/>
    <w:rsid w:val="001153D4"/>
    <w:rsid w:val="001154EE"/>
    <w:rsid w:val="001157C0"/>
    <w:rsid w:val="00115AAC"/>
    <w:rsid w:val="00115EDD"/>
    <w:rsid w:val="00115FBB"/>
    <w:rsid w:val="001166D0"/>
    <w:rsid w:val="001168DD"/>
    <w:rsid w:val="001169EF"/>
    <w:rsid w:val="00116BAD"/>
    <w:rsid w:val="00116BC3"/>
    <w:rsid w:val="00116C0C"/>
    <w:rsid w:val="00116FAB"/>
    <w:rsid w:val="00116FC8"/>
    <w:rsid w:val="0011706E"/>
    <w:rsid w:val="00117415"/>
    <w:rsid w:val="001174DA"/>
    <w:rsid w:val="00117606"/>
    <w:rsid w:val="001177D3"/>
    <w:rsid w:val="00117908"/>
    <w:rsid w:val="00117989"/>
    <w:rsid w:val="00117B62"/>
    <w:rsid w:val="00117CDB"/>
    <w:rsid w:val="00117E42"/>
    <w:rsid w:val="0012044D"/>
    <w:rsid w:val="001205EC"/>
    <w:rsid w:val="001206F3"/>
    <w:rsid w:val="00120865"/>
    <w:rsid w:val="00120A46"/>
    <w:rsid w:val="00120B6E"/>
    <w:rsid w:val="00120B7F"/>
    <w:rsid w:val="00120B99"/>
    <w:rsid w:val="00120E9C"/>
    <w:rsid w:val="001210DF"/>
    <w:rsid w:val="00121514"/>
    <w:rsid w:val="00121C9A"/>
    <w:rsid w:val="00121CFA"/>
    <w:rsid w:val="00121D5D"/>
    <w:rsid w:val="00122381"/>
    <w:rsid w:val="0012245E"/>
    <w:rsid w:val="0012250C"/>
    <w:rsid w:val="00122566"/>
    <w:rsid w:val="001226EE"/>
    <w:rsid w:val="0012273C"/>
    <w:rsid w:val="00122759"/>
    <w:rsid w:val="00122892"/>
    <w:rsid w:val="001228E5"/>
    <w:rsid w:val="00122BB4"/>
    <w:rsid w:val="00122C00"/>
    <w:rsid w:val="00122C87"/>
    <w:rsid w:val="00122D6A"/>
    <w:rsid w:val="00122F67"/>
    <w:rsid w:val="001230F4"/>
    <w:rsid w:val="0012343F"/>
    <w:rsid w:val="001234E0"/>
    <w:rsid w:val="00123A8D"/>
    <w:rsid w:val="00123AC9"/>
    <w:rsid w:val="00123CD3"/>
    <w:rsid w:val="00123DC6"/>
    <w:rsid w:val="00123DFB"/>
    <w:rsid w:val="001240CA"/>
    <w:rsid w:val="001241E0"/>
    <w:rsid w:val="00124331"/>
    <w:rsid w:val="001243D8"/>
    <w:rsid w:val="00124F2B"/>
    <w:rsid w:val="00125269"/>
    <w:rsid w:val="00125627"/>
    <w:rsid w:val="00125646"/>
    <w:rsid w:val="00125681"/>
    <w:rsid w:val="001256E0"/>
    <w:rsid w:val="001257E0"/>
    <w:rsid w:val="00125830"/>
    <w:rsid w:val="0012600B"/>
    <w:rsid w:val="00126462"/>
    <w:rsid w:val="00126710"/>
    <w:rsid w:val="001267A0"/>
    <w:rsid w:val="0012684F"/>
    <w:rsid w:val="00126B88"/>
    <w:rsid w:val="00126BB7"/>
    <w:rsid w:val="00126DAB"/>
    <w:rsid w:val="0012706C"/>
    <w:rsid w:val="00127271"/>
    <w:rsid w:val="00127518"/>
    <w:rsid w:val="001275D9"/>
    <w:rsid w:val="00127611"/>
    <w:rsid w:val="00127859"/>
    <w:rsid w:val="00127889"/>
    <w:rsid w:val="00127C16"/>
    <w:rsid w:val="0013018D"/>
    <w:rsid w:val="00130221"/>
    <w:rsid w:val="001305B5"/>
    <w:rsid w:val="00130706"/>
    <w:rsid w:val="001307BE"/>
    <w:rsid w:val="00130886"/>
    <w:rsid w:val="001309AC"/>
    <w:rsid w:val="00130AE2"/>
    <w:rsid w:val="00130E96"/>
    <w:rsid w:val="00130F46"/>
    <w:rsid w:val="00130F76"/>
    <w:rsid w:val="00130FDA"/>
    <w:rsid w:val="0013101A"/>
    <w:rsid w:val="001315C2"/>
    <w:rsid w:val="001315F3"/>
    <w:rsid w:val="001316C0"/>
    <w:rsid w:val="00131EEE"/>
    <w:rsid w:val="00131FA8"/>
    <w:rsid w:val="00132291"/>
    <w:rsid w:val="00132390"/>
    <w:rsid w:val="001323F6"/>
    <w:rsid w:val="00132495"/>
    <w:rsid w:val="00132583"/>
    <w:rsid w:val="001329C3"/>
    <w:rsid w:val="001331DA"/>
    <w:rsid w:val="00133407"/>
    <w:rsid w:val="00133470"/>
    <w:rsid w:val="0013378C"/>
    <w:rsid w:val="0013384B"/>
    <w:rsid w:val="0013386A"/>
    <w:rsid w:val="00133899"/>
    <w:rsid w:val="001338FC"/>
    <w:rsid w:val="00133BD7"/>
    <w:rsid w:val="00133C5F"/>
    <w:rsid w:val="00133D12"/>
    <w:rsid w:val="00134161"/>
    <w:rsid w:val="0013438E"/>
    <w:rsid w:val="0013445D"/>
    <w:rsid w:val="001349F8"/>
    <w:rsid w:val="00134E15"/>
    <w:rsid w:val="00134EEC"/>
    <w:rsid w:val="00135083"/>
    <w:rsid w:val="001354DA"/>
    <w:rsid w:val="0013558B"/>
    <w:rsid w:val="001355B1"/>
    <w:rsid w:val="0013649E"/>
    <w:rsid w:val="00136929"/>
    <w:rsid w:val="00136938"/>
    <w:rsid w:val="00136CA4"/>
    <w:rsid w:val="00136D06"/>
    <w:rsid w:val="00136D8A"/>
    <w:rsid w:val="00136EC6"/>
    <w:rsid w:val="00136EE3"/>
    <w:rsid w:val="00136EF6"/>
    <w:rsid w:val="00137115"/>
    <w:rsid w:val="001372E7"/>
    <w:rsid w:val="001373A5"/>
    <w:rsid w:val="001374AF"/>
    <w:rsid w:val="00137508"/>
    <w:rsid w:val="001375B5"/>
    <w:rsid w:val="00137E8B"/>
    <w:rsid w:val="0014007D"/>
    <w:rsid w:val="00140345"/>
    <w:rsid w:val="0014046D"/>
    <w:rsid w:val="001409A1"/>
    <w:rsid w:val="00140AB9"/>
    <w:rsid w:val="00140B68"/>
    <w:rsid w:val="00140D42"/>
    <w:rsid w:val="0014125D"/>
    <w:rsid w:val="00141333"/>
    <w:rsid w:val="001413D7"/>
    <w:rsid w:val="001415EA"/>
    <w:rsid w:val="001415F7"/>
    <w:rsid w:val="00141825"/>
    <w:rsid w:val="00141881"/>
    <w:rsid w:val="00141B52"/>
    <w:rsid w:val="00142902"/>
    <w:rsid w:val="00142ABD"/>
    <w:rsid w:val="00142AEA"/>
    <w:rsid w:val="00142AEC"/>
    <w:rsid w:val="00142B35"/>
    <w:rsid w:val="00142C07"/>
    <w:rsid w:val="00142E27"/>
    <w:rsid w:val="00142EE4"/>
    <w:rsid w:val="00142FA3"/>
    <w:rsid w:val="00142FA4"/>
    <w:rsid w:val="00143097"/>
    <w:rsid w:val="00143642"/>
    <w:rsid w:val="00143647"/>
    <w:rsid w:val="0014381E"/>
    <w:rsid w:val="00143906"/>
    <w:rsid w:val="00143E13"/>
    <w:rsid w:val="00143E56"/>
    <w:rsid w:val="00143E93"/>
    <w:rsid w:val="00143E9A"/>
    <w:rsid w:val="0014406C"/>
    <w:rsid w:val="001442A4"/>
    <w:rsid w:val="00144377"/>
    <w:rsid w:val="001444D7"/>
    <w:rsid w:val="00144701"/>
    <w:rsid w:val="001447E7"/>
    <w:rsid w:val="0014481F"/>
    <w:rsid w:val="00144882"/>
    <w:rsid w:val="001448A0"/>
    <w:rsid w:val="00144933"/>
    <w:rsid w:val="00144A6F"/>
    <w:rsid w:val="00144AAE"/>
    <w:rsid w:val="00144D23"/>
    <w:rsid w:val="00144D85"/>
    <w:rsid w:val="00144EF9"/>
    <w:rsid w:val="00144FE1"/>
    <w:rsid w:val="001450CD"/>
    <w:rsid w:val="001450E1"/>
    <w:rsid w:val="00145295"/>
    <w:rsid w:val="001453CB"/>
    <w:rsid w:val="0014548B"/>
    <w:rsid w:val="00145502"/>
    <w:rsid w:val="00145548"/>
    <w:rsid w:val="001455E6"/>
    <w:rsid w:val="00145810"/>
    <w:rsid w:val="00145C4B"/>
    <w:rsid w:val="00145CD9"/>
    <w:rsid w:val="00145D96"/>
    <w:rsid w:val="00146207"/>
    <w:rsid w:val="00146385"/>
    <w:rsid w:val="00146550"/>
    <w:rsid w:val="00146589"/>
    <w:rsid w:val="001465D4"/>
    <w:rsid w:val="00146C85"/>
    <w:rsid w:val="00146C89"/>
    <w:rsid w:val="00146E95"/>
    <w:rsid w:val="00146ED2"/>
    <w:rsid w:val="00146F17"/>
    <w:rsid w:val="001470EF"/>
    <w:rsid w:val="001471A6"/>
    <w:rsid w:val="001472B1"/>
    <w:rsid w:val="001472F5"/>
    <w:rsid w:val="00147C8D"/>
    <w:rsid w:val="00147DC9"/>
    <w:rsid w:val="0015044C"/>
    <w:rsid w:val="0015077E"/>
    <w:rsid w:val="00150C65"/>
    <w:rsid w:val="00150DF1"/>
    <w:rsid w:val="00150E56"/>
    <w:rsid w:val="0015143B"/>
    <w:rsid w:val="00151946"/>
    <w:rsid w:val="00151DB2"/>
    <w:rsid w:val="0015209B"/>
    <w:rsid w:val="00152126"/>
    <w:rsid w:val="00152349"/>
    <w:rsid w:val="0015250A"/>
    <w:rsid w:val="001525BB"/>
    <w:rsid w:val="00152741"/>
    <w:rsid w:val="0015298F"/>
    <w:rsid w:val="00152C72"/>
    <w:rsid w:val="00152CF7"/>
    <w:rsid w:val="00152D68"/>
    <w:rsid w:val="00152F33"/>
    <w:rsid w:val="001533C1"/>
    <w:rsid w:val="00153860"/>
    <w:rsid w:val="00153A20"/>
    <w:rsid w:val="00153B51"/>
    <w:rsid w:val="00153CEE"/>
    <w:rsid w:val="00153D34"/>
    <w:rsid w:val="00154066"/>
    <w:rsid w:val="0015409D"/>
    <w:rsid w:val="001541F7"/>
    <w:rsid w:val="001546D1"/>
    <w:rsid w:val="00154729"/>
    <w:rsid w:val="00154953"/>
    <w:rsid w:val="00154A4F"/>
    <w:rsid w:val="00154C58"/>
    <w:rsid w:val="00154CE3"/>
    <w:rsid w:val="00154DC1"/>
    <w:rsid w:val="00154E27"/>
    <w:rsid w:val="00154F5C"/>
    <w:rsid w:val="0015505D"/>
    <w:rsid w:val="0015515B"/>
    <w:rsid w:val="00155279"/>
    <w:rsid w:val="00155855"/>
    <w:rsid w:val="001559E8"/>
    <w:rsid w:val="00155BD5"/>
    <w:rsid w:val="00155F0F"/>
    <w:rsid w:val="00155F7F"/>
    <w:rsid w:val="00155FE9"/>
    <w:rsid w:val="001564F2"/>
    <w:rsid w:val="0015660F"/>
    <w:rsid w:val="00156713"/>
    <w:rsid w:val="00156825"/>
    <w:rsid w:val="0015692A"/>
    <w:rsid w:val="001569F9"/>
    <w:rsid w:val="00156B98"/>
    <w:rsid w:val="00156C6B"/>
    <w:rsid w:val="00156DC7"/>
    <w:rsid w:val="00156F49"/>
    <w:rsid w:val="00157006"/>
    <w:rsid w:val="001572E1"/>
    <w:rsid w:val="00157399"/>
    <w:rsid w:val="0015756F"/>
    <w:rsid w:val="001575E3"/>
    <w:rsid w:val="001575E6"/>
    <w:rsid w:val="0015762D"/>
    <w:rsid w:val="00157630"/>
    <w:rsid w:val="00157677"/>
    <w:rsid w:val="0015796E"/>
    <w:rsid w:val="00157B4B"/>
    <w:rsid w:val="00157B82"/>
    <w:rsid w:val="00157BD6"/>
    <w:rsid w:val="00157C45"/>
    <w:rsid w:val="001600EC"/>
    <w:rsid w:val="001603C1"/>
    <w:rsid w:val="001604EF"/>
    <w:rsid w:val="00160739"/>
    <w:rsid w:val="001608FB"/>
    <w:rsid w:val="00160920"/>
    <w:rsid w:val="00160BAC"/>
    <w:rsid w:val="00160D55"/>
    <w:rsid w:val="00161148"/>
    <w:rsid w:val="00161187"/>
    <w:rsid w:val="001613A5"/>
    <w:rsid w:val="0016140F"/>
    <w:rsid w:val="0016150E"/>
    <w:rsid w:val="00161893"/>
    <w:rsid w:val="00161B37"/>
    <w:rsid w:val="00161C21"/>
    <w:rsid w:val="001621D2"/>
    <w:rsid w:val="0016225F"/>
    <w:rsid w:val="001623CD"/>
    <w:rsid w:val="00162420"/>
    <w:rsid w:val="00162B32"/>
    <w:rsid w:val="00162F13"/>
    <w:rsid w:val="00162F4C"/>
    <w:rsid w:val="001631F9"/>
    <w:rsid w:val="001634AE"/>
    <w:rsid w:val="001634C9"/>
    <w:rsid w:val="00163617"/>
    <w:rsid w:val="001636E4"/>
    <w:rsid w:val="00163727"/>
    <w:rsid w:val="00163759"/>
    <w:rsid w:val="001637A8"/>
    <w:rsid w:val="00163925"/>
    <w:rsid w:val="00164197"/>
    <w:rsid w:val="0016419B"/>
    <w:rsid w:val="001641D0"/>
    <w:rsid w:val="00164482"/>
    <w:rsid w:val="00164495"/>
    <w:rsid w:val="00164592"/>
    <w:rsid w:val="0016495A"/>
    <w:rsid w:val="00164B53"/>
    <w:rsid w:val="00164C08"/>
    <w:rsid w:val="00164C35"/>
    <w:rsid w:val="00164C40"/>
    <w:rsid w:val="00164CFF"/>
    <w:rsid w:val="00164D8B"/>
    <w:rsid w:val="00164E9B"/>
    <w:rsid w:val="00164F2B"/>
    <w:rsid w:val="00165010"/>
    <w:rsid w:val="00165623"/>
    <w:rsid w:val="001658A1"/>
    <w:rsid w:val="00165A2D"/>
    <w:rsid w:val="00165A9E"/>
    <w:rsid w:val="00165B16"/>
    <w:rsid w:val="00165F50"/>
    <w:rsid w:val="0016607F"/>
    <w:rsid w:val="001662A8"/>
    <w:rsid w:val="0016646D"/>
    <w:rsid w:val="001665C4"/>
    <w:rsid w:val="0016663A"/>
    <w:rsid w:val="001666C8"/>
    <w:rsid w:val="00166745"/>
    <w:rsid w:val="0016676D"/>
    <w:rsid w:val="001667DB"/>
    <w:rsid w:val="0016683D"/>
    <w:rsid w:val="001668BA"/>
    <w:rsid w:val="00166A6E"/>
    <w:rsid w:val="00166BA3"/>
    <w:rsid w:val="00166C63"/>
    <w:rsid w:val="00166F42"/>
    <w:rsid w:val="00166FC6"/>
    <w:rsid w:val="00167065"/>
    <w:rsid w:val="00167760"/>
    <w:rsid w:val="00167770"/>
    <w:rsid w:val="0016781E"/>
    <w:rsid w:val="0016793D"/>
    <w:rsid w:val="00167940"/>
    <w:rsid w:val="00167996"/>
    <w:rsid w:val="00167AC1"/>
    <w:rsid w:val="00167F30"/>
    <w:rsid w:val="00167FAA"/>
    <w:rsid w:val="00170233"/>
    <w:rsid w:val="001702B0"/>
    <w:rsid w:val="00170314"/>
    <w:rsid w:val="0017032D"/>
    <w:rsid w:val="00170636"/>
    <w:rsid w:val="001707E1"/>
    <w:rsid w:val="00170BF4"/>
    <w:rsid w:val="00170D8B"/>
    <w:rsid w:val="00170EFB"/>
    <w:rsid w:val="00170F12"/>
    <w:rsid w:val="00171032"/>
    <w:rsid w:val="00171169"/>
    <w:rsid w:val="00171171"/>
    <w:rsid w:val="00171222"/>
    <w:rsid w:val="00171502"/>
    <w:rsid w:val="00171E0C"/>
    <w:rsid w:val="0017203B"/>
    <w:rsid w:val="00172239"/>
    <w:rsid w:val="001722FD"/>
    <w:rsid w:val="001723F4"/>
    <w:rsid w:val="00172552"/>
    <w:rsid w:val="0017259C"/>
    <w:rsid w:val="001727BD"/>
    <w:rsid w:val="001728C5"/>
    <w:rsid w:val="001728D3"/>
    <w:rsid w:val="00172906"/>
    <w:rsid w:val="00172B27"/>
    <w:rsid w:val="00172B98"/>
    <w:rsid w:val="001732A2"/>
    <w:rsid w:val="001733FE"/>
    <w:rsid w:val="001734BC"/>
    <w:rsid w:val="00173693"/>
    <w:rsid w:val="001737EC"/>
    <w:rsid w:val="001738DA"/>
    <w:rsid w:val="00173990"/>
    <w:rsid w:val="00173B50"/>
    <w:rsid w:val="00173BEB"/>
    <w:rsid w:val="00173C13"/>
    <w:rsid w:val="00173C3A"/>
    <w:rsid w:val="00173D5B"/>
    <w:rsid w:val="00173E46"/>
    <w:rsid w:val="00174163"/>
    <w:rsid w:val="001741DB"/>
    <w:rsid w:val="0017451F"/>
    <w:rsid w:val="001745F0"/>
    <w:rsid w:val="001747F7"/>
    <w:rsid w:val="00174AFE"/>
    <w:rsid w:val="00174B9E"/>
    <w:rsid w:val="00174C5A"/>
    <w:rsid w:val="00174F6A"/>
    <w:rsid w:val="00174FA5"/>
    <w:rsid w:val="001751D8"/>
    <w:rsid w:val="001752CC"/>
    <w:rsid w:val="00175803"/>
    <w:rsid w:val="0017581C"/>
    <w:rsid w:val="00175A71"/>
    <w:rsid w:val="00175A8E"/>
    <w:rsid w:val="00175C8F"/>
    <w:rsid w:val="00175EA9"/>
    <w:rsid w:val="00175F45"/>
    <w:rsid w:val="00175FE4"/>
    <w:rsid w:val="001762EE"/>
    <w:rsid w:val="00176461"/>
    <w:rsid w:val="001764E2"/>
    <w:rsid w:val="001766CC"/>
    <w:rsid w:val="001767A3"/>
    <w:rsid w:val="001768B9"/>
    <w:rsid w:val="00176964"/>
    <w:rsid w:val="00176994"/>
    <w:rsid w:val="001769C6"/>
    <w:rsid w:val="00176B75"/>
    <w:rsid w:val="00176D59"/>
    <w:rsid w:val="00176E0F"/>
    <w:rsid w:val="0017729C"/>
    <w:rsid w:val="00177883"/>
    <w:rsid w:val="001778A3"/>
    <w:rsid w:val="00177974"/>
    <w:rsid w:val="00177A31"/>
    <w:rsid w:val="00177B23"/>
    <w:rsid w:val="00177C71"/>
    <w:rsid w:val="00177E40"/>
    <w:rsid w:val="00180004"/>
    <w:rsid w:val="0018011F"/>
    <w:rsid w:val="00180178"/>
    <w:rsid w:val="0018018F"/>
    <w:rsid w:val="00180816"/>
    <w:rsid w:val="00180825"/>
    <w:rsid w:val="001808BC"/>
    <w:rsid w:val="00180CFA"/>
    <w:rsid w:val="00180D70"/>
    <w:rsid w:val="0018117F"/>
    <w:rsid w:val="00181388"/>
    <w:rsid w:val="00181453"/>
    <w:rsid w:val="0018147E"/>
    <w:rsid w:val="0018152F"/>
    <w:rsid w:val="0018168B"/>
    <w:rsid w:val="001818E8"/>
    <w:rsid w:val="001818F1"/>
    <w:rsid w:val="001819CB"/>
    <w:rsid w:val="00181CFA"/>
    <w:rsid w:val="00181E17"/>
    <w:rsid w:val="00181E3D"/>
    <w:rsid w:val="00181F3E"/>
    <w:rsid w:val="00181FB6"/>
    <w:rsid w:val="00182722"/>
    <w:rsid w:val="001828AA"/>
    <w:rsid w:val="0018318A"/>
    <w:rsid w:val="001831DE"/>
    <w:rsid w:val="00183207"/>
    <w:rsid w:val="00183544"/>
    <w:rsid w:val="0018377B"/>
    <w:rsid w:val="00183D16"/>
    <w:rsid w:val="00183EC3"/>
    <w:rsid w:val="00184048"/>
    <w:rsid w:val="00184142"/>
    <w:rsid w:val="00184232"/>
    <w:rsid w:val="00184236"/>
    <w:rsid w:val="00184331"/>
    <w:rsid w:val="00184734"/>
    <w:rsid w:val="001847A2"/>
    <w:rsid w:val="001847C5"/>
    <w:rsid w:val="00184842"/>
    <w:rsid w:val="001848DA"/>
    <w:rsid w:val="001849D3"/>
    <w:rsid w:val="00184F38"/>
    <w:rsid w:val="0018502D"/>
    <w:rsid w:val="0018503C"/>
    <w:rsid w:val="0018504C"/>
    <w:rsid w:val="00185247"/>
    <w:rsid w:val="0018536B"/>
    <w:rsid w:val="001856B8"/>
    <w:rsid w:val="00185B90"/>
    <w:rsid w:val="001860C6"/>
    <w:rsid w:val="00186244"/>
    <w:rsid w:val="00186458"/>
    <w:rsid w:val="0018657D"/>
    <w:rsid w:val="001865A5"/>
    <w:rsid w:val="00186732"/>
    <w:rsid w:val="00186831"/>
    <w:rsid w:val="001868B9"/>
    <w:rsid w:val="00186BFE"/>
    <w:rsid w:val="00186C4A"/>
    <w:rsid w:val="00186D15"/>
    <w:rsid w:val="00186E4E"/>
    <w:rsid w:val="00186EF1"/>
    <w:rsid w:val="00186FA1"/>
    <w:rsid w:val="00187079"/>
    <w:rsid w:val="00187485"/>
    <w:rsid w:val="001874F2"/>
    <w:rsid w:val="001879DF"/>
    <w:rsid w:val="00187A17"/>
    <w:rsid w:val="00187C43"/>
    <w:rsid w:val="00187C61"/>
    <w:rsid w:val="00187CCF"/>
    <w:rsid w:val="00187CF5"/>
    <w:rsid w:val="00187E17"/>
    <w:rsid w:val="00190112"/>
    <w:rsid w:val="0019014D"/>
    <w:rsid w:val="00190196"/>
    <w:rsid w:val="001902E9"/>
    <w:rsid w:val="00190308"/>
    <w:rsid w:val="0019034B"/>
    <w:rsid w:val="00190383"/>
    <w:rsid w:val="001903CF"/>
    <w:rsid w:val="001903D5"/>
    <w:rsid w:val="0019087C"/>
    <w:rsid w:val="00190AC0"/>
    <w:rsid w:val="00190CE9"/>
    <w:rsid w:val="00190F49"/>
    <w:rsid w:val="00190F95"/>
    <w:rsid w:val="0019173F"/>
    <w:rsid w:val="0019178A"/>
    <w:rsid w:val="00191886"/>
    <w:rsid w:val="00191A33"/>
    <w:rsid w:val="00191BE3"/>
    <w:rsid w:val="00191E72"/>
    <w:rsid w:val="001922F2"/>
    <w:rsid w:val="001923DD"/>
    <w:rsid w:val="00192622"/>
    <w:rsid w:val="00192B13"/>
    <w:rsid w:val="00192B15"/>
    <w:rsid w:val="00192BB8"/>
    <w:rsid w:val="00192CDA"/>
    <w:rsid w:val="00192F89"/>
    <w:rsid w:val="0019311A"/>
    <w:rsid w:val="0019333A"/>
    <w:rsid w:val="001933EE"/>
    <w:rsid w:val="001935D6"/>
    <w:rsid w:val="00193640"/>
    <w:rsid w:val="00193931"/>
    <w:rsid w:val="00193AF9"/>
    <w:rsid w:val="00193BB5"/>
    <w:rsid w:val="00193C27"/>
    <w:rsid w:val="00193DCA"/>
    <w:rsid w:val="00193E68"/>
    <w:rsid w:val="00194010"/>
    <w:rsid w:val="001940B6"/>
    <w:rsid w:val="001941BE"/>
    <w:rsid w:val="0019436F"/>
    <w:rsid w:val="0019469C"/>
    <w:rsid w:val="001949A3"/>
    <w:rsid w:val="00194E3D"/>
    <w:rsid w:val="0019547D"/>
    <w:rsid w:val="00195677"/>
    <w:rsid w:val="00195802"/>
    <w:rsid w:val="001958B5"/>
    <w:rsid w:val="00195A7E"/>
    <w:rsid w:val="00195AD1"/>
    <w:rsid w:val="00195AE7"/>
    <w:rsid w:val="00195B03"/>
    <w:rsid w:val="00195C24"/>
    <w:rsid w:val="00195D02"/>
    <w:rsid w:val="00195FFD"/>
    <w:rsid w:val="001961CE"/>
    <w:rsid w:val="0019628E"/>
    <w:rsid w:val="00196411"/>
    <w:rsid w:val="00196965"/>
    <w:rsid w:val="00196D90"/>
    <w:rsid w:val="00197239"/>
    <w:rsid w:val="00197967"/>
    <w:rsid w:val="00197971"/>
    <w:rsid w:val="00197B30"/>
    <w:rsid w:val="00197C07"/>
    <w:rsid w:val="00197CEC"/>
    <w:rsid w:val="00197D67"/>
    <w:rsid w:val="001A00BE"/>
    <w:rsid w:val="001A0313"/>
    <w:rsid w:val="001A0490"/>
    <w:rsid w:val="001A05C7"/>
    <w:rsid w:val="001A05F5"/>
    <w:rsid w:val="001A0674"/>
    <w:rsid w:val="001A070F"/>
    <w:rsid w:val="001A07A0"/>
    <w:rsid w:val="001A0AD0"/>
    <w:rsid w:val="001A0CE4"/>
    <w:rsid w:val="001A0D62"/>
    <w:rsid w:val="001A165B"/>
    <w:rsid w:val="001A16A1"/>
    <w:rsid w:val="001A1902"/>
    <w:rsid w:val="001A1B99"/>
    <w:rsid w:val="001A1E74"/>
    <w:rsid w:val="001A1EEE"/>
    <w:rsid w:val="001A2047"/>
    <w:rsid w:val="001A26A4"/>
    <w:rsid w:val="001A276A"/>
    <w:rsid w:val="001A27B1"/>
    <w:rsid w:val="001A27BB"/>
    <w:rsid w:val="001A29F7"/>
    <w:rsid w:val="001A2AFF"/>
    <w:rsid w:val="001A2DE6"/>
    <w:rsid w:val="001A2FCD"/>
    <w:rsid w:val="001A30F2"/>
    <w:rsid w:val="001A3434"/>
    <w:rsid w:val="001A3494"/>
    <w:rsid w:val="001A3534"/>
    <w:rsid w:val="001A3734"/>
    <w:rsid w:val="001A3786"/>
    <w:rsid w:val="001A3C98"/>
    <w:rsid w:val="001A3DE0"/>
    <w:rsid w:val="001A419A"/>
    <w:rsid w:val="001A444C"/>
    <w:rsid w:val="001A452E"/>
    <w:rsid w:val="001A4C1E"/>
    <w:rsid w:val="001A5025"/>
    <w:rsid w:val="001A5080"/>
    <w:rsid w:val="001A51D4"/>
    <w:rsid w:val="001A5292"/>
    <w:rsid w:val="001A53E9"/>
    <w:rsid w:val="001A54D3"/>
    <w:rsid w:val="001A5541"/>
    <w:rsid w:val="001A56D0"/>
    <w:rsid w:val="001A597F"/>
    <w:rsid w:val="001A61F4"/>
    <w:rsid w:val="001A64F2"/>
    <w:rsid w:val="001A6A15"/>
    <w:rsid w:val="001A6AF3"/>
    <w:rsid w:val="001A719D"/>
    <w:rsid w:val="001A73E5"/>
    <w:rsid w:val="001A75B1"/>
    <w:rsid w:val="001A7670"/>
    <w:rsid w:val="001A76CB"/>
    <w:rsid w:val="001A77B7"/>
    <w:rsid w:val="001A77DA"/>
    <w:rsid w:val="001A7C8D"/>
    <w:rsid w:val="001A7E27"/>
    <w:rsid w:val="001A7E5E"/>
    <w:rsid w:val="001B027A"/>
    <w:rsid w:val="001B02BF"/>
    <w:rsid w:val="001B02C2"/>
    <w:rsid w:val="001B06E2"/>
    <w:rsid w:val="001B0708"/>
    <w:rsid w:val="001B0722"/>
    <w:rsid w:val="001B074A"/>
    <w:rsid w:val="001B08AF"/>
    <w:rsid w:val="001B0A8C"/>
    <w:rsid w:val="001B0AB8"/>
    <w:rsid w:val="001B0D76"/>
    <w:rsid w:val="001B0DE3"/>
    <w:rsid w:val="001B10EE"/>
    <w:rsid w:val="001B111F"/>
    <w:rsid w:val="001B1349"/>
    <w:rsid w:val="001B13D0"/>
    <w:rsid w:val="001B155B"/>
    <w:rsid w:val="001B16DF"/>
    <w:rsid w:val="001B16FB"/>
    <w:rsid w:val="001B1929"/>
    <w:rsid w:val="001B1AEB"/>
    <w:rsid w:val="001B1EF2"/>
    <w:rsid w:val="001B1FF1"/>
    <w:rsid w:val="001B2008"/>
    <w:rsid w:val="001B248F"/>
    <w:rsid w:val="001B26D9"/>
    <w:rsid w:val="001B2856"/>
    <w:rsid w:val="001B2879"/>
    <w:rsid w:val="001B2AA1"/>
    <w:rsid w:val="001B2BDA"/>
    <w:rsid w:val="001B2EAC"/>
    <w:rsid w:val="001B3313"/>
    <w:rsid w:val="001B3340"/>
    <w:rsid w:val="001B33E8"/>
    <w:rsid w:val="001B340A"/>
    <w:rsid w:val="001B3433"/>
    <w:rsid w:val="001B344C"/>
    <w:rsid w:val="001B3B97"/>
    <w:rsid w:val="001B3BFE"/>
    <w:rsid w:val="001B3C90"/>
    <w:rsid w:val="001B3FF0"/>
    <w:rsid w:val="001B40C1"/>
    <w:rsid w:val="001B439C"/>
    <w:rsid w:val="001B4430"/>
    <w:rsid w:val="001B467F"/>
    <w:rsid w:val="001B496D"/>
    <w:rsid w:val="001B4D1F"/>
    <w:rsid w:val="001B55CD"/>
    <w:rsid w:val="001B55E8"/>
    <w:rsid w:val="001B571C"/>
    <w:rsid w:val="001B5798"/>
    <w:rsid w:val="001B590A"/>
    <w:rsid w:val="001B5B3B"/>
    <w:rsid w:val="001B610F"/>
    <w:rsid w:val="001B611E"/>
    <w:rsid w:val="001B63DA"/>
    <w:rsid w:val="001B66FE"/>
    <w:rsid w:val="001B68AD"/>
    <w:rsid w:val="001B6C35"/>
    <w:rsid w:val="001B6F23"/>
    <w:rsid w:val="001B6FD5"/>
    <w:rsid w:val="001B714C"/>
    <w:rsid w:val="001B71B5"/>
    <w:rsid w:val="001B72C7"/>
    <w:rsid w:val="001B745E"/>
    <w:rsid w:val="001B7F93"/>
    <w:rsid w:val="001C0022"/>
    <w:rsid w:val="001C004C"/>
    <w:rsid w:val="001C00F3"/>
    <w:rsid w:val="001C01BB"/>
    <w:rsid w:val="001C031F"/>
    <w:rsid w:val="001C0B5C"/>
    <w:rsid w:val="001C0B90"/>
    <w:rsid w:val="001C0F51"/>
    <w:rsid w:val="001C103A"/>
    <w:rsid w:val="001C1073"/>
    <w:rsid w:val="001C1433"/>
    <w:rsid w:val="001C15DB"/>
    <w:rsid w:val="001C1C8C"/>
    <w:rsid w:val="001C1D2C"/>
    <w:rsid w:val="001C1D6D"/>
    <w:rsid w:val="001C20E2"/>
    <w:rsid w:val="001C24A8"/>
    <w:rsid w:val="001C26A4"/>
    <w:rsid w:val="001C28C2"/>
    <w:rsid w:val="001C2A5B"/>
    <w:rsid w:val="001C2A61"/>
    <w:rsid w:val="001C2AB5"/>
    <w:rsid w:val="001C2AE1"/>
    <w:rsid w:val="001C2C97"/>
    <w:rsid w:val="001C2DCB"/>
    <w:rsid w:val="001C315C"/>
    <w:rsid w:val="001C35A9"/>
    <w:rsid w:val="001C3637"/>
    <w:rsid w:val="001C3E30"/>
    <w:rsid w:val="001C3E73"/>
    <w:rsid w:val="001C4049"/>
    <w:rsid w:val="001C41FE"/>
    <w:rsid w:val="001C42A5"/>
    <w:rsid w:val="001C42E0"/>
    <w:rsid w:val="001C46B9"/>
    <w:rsid w:val="001C4A3F"/>
    <w:rsid w:val="001C4EE0"/>
    <w:rsid w:val="001C4F4E"/>
    <w:rsid w:val="001C5891"/>
    <w:rsid w:val="001C5985"/>
    <w:rsid w:val="001C59C3"/>
    <w:rsid w:val="001C5D0E"/>
    <w:rsid w:val="001C6084"/>
    <w:rsid w:val="001C60F6"/>
    <w:rsid w:val="001C63CD"/>
    <w:rsid w:val="001C64AE"/>
    <w:rsid w:val="001C65DC"/>
    <w:rsid w:val="001C6989"/>
    <w:rsid w:val="001C6C1A"/>
    <w:rsid w:val="001C6C8B"/>
    <w:rsid w:val="001C6E14"/>
    <w:rsid w:val="001C70C8"/>
    <w:rsid w:val="001C70CA"/>
    <w:rsid w:val="001C73A7"/>
    <w:rsid w:val="001C78A5"/>
    <w:rsid w:val="001C7A5E"/>
    <w:rsid w:val="001C7B0C"/>
    <w:rsid w:val="001C7D23"/>
    <w:rsid w:val="001C7D9F"/>
    <w:rsid w:val="001C7FB6"/>
    <w:rsid w:val="001D0067"/>
    <w:rsid w:val="001D0099"/>
    <w:rsid w:val="001D045A"/>
    <w:rsid w:val="001D0540"/>
    <w:rsid w:val="001D0762"/>
    <w:rsid w:val="001D0815"/>
    <w:rsid w:val="001D0841"/>
    <w:rsid w:val="001D0BAB"/>
    <w:rsid w:val="001D1209"/>
    <w:rsid w:val="001D1429"/>
    <w:rsid w:val="001D144F"/>
    <w:rsid w:val="001D155F"/>
    <w:rsid w:val="001D1716"/>
    <w:rsid w:val="001D175D"/>
    <w:rsid w:val="001D1994"/>
    <w:rsid w:val="001D1ABB"/>
    <w:rsid w:val="001D1D6A"/>
    <w:rsid w:val="001D1E8E"/>
    <w:rsid w:val="001D1F59"/>
    <w:rsid w:val="001D2118"/>
    <w:rsid w:val="001D26BE"/>
    <w:rsid w:val="001D26CC"/>
    <w:rsid w:val="001D2ADA"/>
    <w:rsid w:val="001D31C6"/>
    <w:rsid w:val="001D322A"/>
    <w:rsid w:val="001D32EC"/>
    <w:rsid w:val="001D3374"/>
    <w:rsid w:val="001D349E"/>
    <w:rsid w:val="001D35A6"/>
    <w:rsid w:val="001D38A3"/>
    <w:rsid w:val="001D391D"/>
    <w:rsid w:val="001D3A23"/>
    <w:rsid w:val="001D3A6F"/>
    <w:rsid w:val="001D3F3E"/>
    <w:rsid w:val="001D4376"/>
    <w:rsid w:val="001D44BE"/>
    <w:rsid w:val="001D44D0"/>
    <w:rsid w:val="001D4AC9"/>
    <w:rsid w:val="001D4BC5"/>
    <w:rsid w:val="001D4CE4"/>
    <w:rsid w:val="001D4D66"/>
    <w:rsid w:val="001D4FA3"/>
    <w:rsid w:val="001D5021"/>
    <w:rsid w:val="001D5297"/>
    <w:rsid w:val="001D52C3"/>
    <w:rsid w:val="001D531B"/>
    <w:rsid w:val="001D5343"/>
    <w:rsid w:val="001D5363"/>
    <w:rsid w:val="001D53F8"/>
    <w:rsid w:val="001D5430"/>
    <w:rsid w:val="001D5617"/>
    <w:rsid w:val="001D570B"/>
    <w:rsid w:val="001D581A"/>
    <w:rsid w:val="001D581D"/>
    <w:rsid w:val="001D5A59"/>
    <w:rsid w:val="001D5C22"/>
    <w:rsid w:val="001D5C7C"/>
    <w:rsid w:val="001D6005"/>
    <w:rsid w:val="001D610B"/>
    <w:rsid w:val="001D62EC"/>
    <w:rsid w:val="001D6316"/>
    <w:rsid w:val="001D631E"/>
    <w:rsid w:val="001D659B"/>
    <w:rsid w:val="001D66FD"/>
    <w:rsid w:val="001D68F9"/>
    <w:rsid w:val="001D6CC0"/>
    <w:rsid w:val="001D6D09"/>
    <w:rsid w:val="001D6D32"/>
    <w:rsid w:val="001D6FF5"/>
    <w:rsid w:val="001D7105"/>
    <w:rsid w:val="001D710E"/>
    <w:rsid w:val="001D7144"/>
    <w:rsid w:val="001D7995"/>
    <w:rsid w:val="001D79BA"/>
    <w:rsid w:val="001E00FF"/>
    <w:rsid w:val="001E03B7"/>
    <w:rsid w:val="001E042B"/>
    <w:rsid w:val="001E0638"/>
    <w:rsid w:val="001E075C"/>
    <w:rsid w:val="001E0822"/>
    <w:rsid w:val="001E0A5E"/>
    <w:rsid w:val="001E0B7F"/>
    <w:rsid w:val="001E0BBC"/>
    <w:rsid w:val="001E0E1E"/>
    <w:rsid w:val="001E1222"/>
    <w:rsid w:val="001E13A7"/>
    <w:rsid w:val="001E16F3"/>
    <w:rsid w:val="001E19C9"/>
    <w:rsid w:val="001E2295"/>
    <w:rsid w:val="001E27D4"/>
    <w:rsid w:val="001E291A"/>
    <w:rsid w:val="001E2928"/>
    <w:rsid w:val="001E2A2C"/>
    <w:rsid w:val="001E2D32"/>
    <w:rsid w:val="001E2D51"/>
    <w:rsid w:val="001E30EB"/>
    <w:rsid w:val="001E32FA"/>
    <w:rsid w:val="001E3434"/>
    <w:rsid w:val="001E34AE"/>
    <w:rsid w:val="001E3B27"/>
    <w:rsid w:val="001E40C1"/>
    <w:rsid w:val="001E42DE"/>
    <w:rsid w:val="001E44E3"/>
    <w:rsid w:val="001E4555"/>
    <w:rsid w:val="001E4C71"/>
    <w:rsid w:val="001E4DC3"/>
    <w:rsid w:val="001E4E74"/>
    <w:rsid w:val="001E504C"/>
    <w:rsid w:val="001E5169"/>
    <w:rsid w:val="001E5244"/>
    <w:rsid w:val="001E5638"/>
    <w:rsid w:val="001E568B"/>
    <w:rsid w:val="001E58FA"/>
    <w:rsid w:val="001E5C30"/>
    <w:rsid w:val="001E5E1F"/>
    <w:rsid w:val="001E607E"/>
    <w:rsid w:val="001E61F7"/>
    <w:rsid w:val="001E62F3"/>
    <w:rsid w:val="001E64DF"/>
    <w:rsid w:val="001E6684"/>
    <w:rsid w:val="001E675F"/>
    <w:rsid w:val="001E69B5"/>
    <w:rsid w:val="001E6B5C"/>
    <w:rsid w:val="001E7246"/>
    <w:rsid w:val="001E72E6"/>
    <w:rsid w:val="001E74D4"/>
    <w:rsid w:val="001E7548"/>
    <w:rsid w:val="001E7899"/>
    <w:rsid w:val="001E7B09"/>
    <w:rsid w:val="001E7B8B"/>
    <w:rsid w:val="001E7BA4"/>
    <w:rsid w:val="001E7D13"/>
    <w:rsid w:val="001E7E5D"/>
    <w:rsid w:val="001F0004"/>
    <w:rsid w:val="001F013D"/>
    <w:rsid w:val="001F019A"/>
    <w:rsid w:val="001F036A"/>
    <w:rsid w:val="001F038A"/>
    <w:rsid w:val="001F050C"/>
    <w:rsid w:val="001F05BF"/>
    <w:rsid w:val="001F05ED"/>
    <w:rsid w:val="001F0669"/>
    <w:rsid w:val="001F06F8"/>
    <w:rsid w:val="001F0E18"/>
    <w:rsid w:val="001F0F69"/>
    <w:rsid w:val="001F1247"/>
    <w:rsid w:val="001F12F9"/>
    <w:rsid w:val="001F13CB"/>
    <w:rsid w:val="001F1420"/>
    <w:rsid w:val="001F16D1"/>
    <w:rsid w:val="001F19D3"/>
    <w:rsid w:val="001F1BB5"/>
    <w:rsid w:val="001F1C72"/>
    <w:rsid w:val="001F21BF"/>
    <w:rsid w:val="001F222C"/>
    <w:rsid w:val="001F236F"/>
    <w:rsid w:val="001F26C5"/>
    <w:rsid w:val="001F2971"/>
    <w:rsid w:val="001F353C"/>
    <w:rsid w:val="001F35EB"/>
    <w:rsid w:val="001F3687"/>
    <w:rsid w:val="001F36E2"/>
    <w:rsid w:val="001F3967"/>
    <w:rsid w:val="001F3B7C"/>
    <w:rsid w:val="001F3B86"/>
    <w:rsid w:val="001F3BF2"/>
    <w:rsid w:val="001F3D16"/>
    <w:rsid w:val="001F3F20"/>
    <w:rsid w:val="001F4139"/>
    <w:rsid w:val="001F4146"/>
    <w:rsid w:val="001F42B3"/>
    <w:rsid w:val="001F475F"/>
    <w:rsid w:val="001F48FD"/>
    <w:rsid w:val="001F4B95"/>
    <w:rsid w:val="001F4CFD"/>
    <w:rsid w:val="001F4EB1"/>
    <w:rsid w:val="001F5098"/>
    <w:rsid w:val="001F5159"/>
    <w:rsid w:val="001F56B1"/>
    <w:rsid w:val="001F596B"/>
    <w:rsid w:val="001F598B"/>
    <w:rsid w:val="001F5C02"/>
    <w:rsid w:val="001F5CB8"/>
    <w:rsid w:val="001F5DC4"/>
    <w:rsid w:val="001F5EFE"/>
    <w:rsid w:val="001F61EB"/>
    <w:rsid w:val="001F6307"/>
    <w:rsid w:val="001F6349"/>
    <w:rsid w:val="001F671A"/>
    <w:rsid w:val="001F6D41"/>
    <w:rsid w:val="001F7185"/>
    <w:rsid w:val="001F721B"/>
    <w:rsid w:val="001F72F5"/>
    <w:rsid w:val="001F7513"/>
    <w:rsid w:val="001F77CC"/>
    <w:rsid w:val="001F780F"/>
    <w:rsid w:val="001F7D0E"/>
    <w:rsid w:val="001F7F09"/>
    <w:rsid w:val="001F7FE1"/>
    <w:rsid w:val="0020014B"/>
    <w:rsid w:val="002003D0"/>
    <w:rsid w:val="002004B7"/>
    <w:rsid w:val="002007D8"/>
    <w:rsid w:val="002009A3"/>
    <w:rsid w:val="00200BF9"/>
    <w:rsid w:val="00201185"/>
    <w:rsid w:val="00201647"/>
    <w:rsid w:val="0020240F"/>
    <w:rsid w:val="0020299A"/>
    <w:rsid w:val="00202AE3"/>
    <w:rsid w:val="00202BA8"/>
    <w:rsid w:val="00202C35"/>
    <w:rsid w:val="00202EAF"/>
    <w:rsid w:val="00202ED6"/>
    <w:rsid w:val="00203167"/>
    <w:rsid w:val="0020328F"/>
    <w:rsid w:val="00203430"/>
    <w:rsid w:val="00203742"/>
    <w:rsid w:val="00203868"/>
    <w:rsid w:val="00203986"/>
    <w:rsid w:val="002041C7"/>
    <w:rsid w:val="00204268"/>
    <w:rsid w:val="002047EF"/>
    <w:rsid w:val="00204B09"/>
    <w:rsid w:val="00204B5C"/>
    <w:rsid w:val="00204E18"/>
    <w:rsid w:val="00204E5A"/>
    <w:rsid w:val="00204F5F"/>
    <w:rsid w:val="00205379"/>
    <w:rsid w:val="0020540A"/>
    <w:rsid w:val="00205728"/>
    <w:rsid w:val="00205775"/>
    <w:rsid w:val="00205D4C"/>
    <w:rsid w:val="00205F07"/>
    <w:rsid w:val="00205F0F"/>
    <w:rsid w:val="00206013"/>
    <w:rsid w:val="00206050"/>
    <w:rsid w:val="00206297"/>
    <w:rsid w:val="002065C3"/>
    <w:rsid w:val="0020681E"/>
    <w:rsid w:val="00206A98"/>
    <w:rsid w:val="00206BA9"/>
    <w:rsid w:val="00206C59"/>
    <w:rsid w:val="00206D91"/>
    <w:rsid w:val="00206F14"/>
    <w:rsid w:val="00206F96"/>
    <w:rsid w:val="0020728F"/>
    <w:rsid w:val="002073AC"/>
    <w:rsid w:val="00207498"/>
    <w:rsid w:val="002074C0"/>
    <w:rsid w:val="00207980"/>
    <w:rsid w:val="00207C5B"/>
    <w:rsid w:val="00207C8C"/>
    <w:rsid w:val="00207E49"/>
    <w:rsid w:val="00210333"/>
    <w:rsid w:val="00210473"/>
    <w:rsid w:val="002105E5"/>
    <w:rsid w:val="002106A2"/>
    <w:rsid w:val="002107BB"/>
    <w:rsid w:val="002107C7"/>
    <w:rsid w:val="00210803"/>
    <w:rsid w:val="0021084E"/>
    <w:rsid w:val="00210AC3"/>
    <w:rsid w:val="00210CD4"/>
    <w:rsid w:val="00210DFC"/>
    <w:rsid w:val="00211240"/>
    <w:rsid w:val="0021154F"/>
    <w:rsid w:val="002118CA"/>
    <w:rsid w:val="00211A5F"/>
    <w:rsid w:val="00211A7B"/>
    <w:rsid w:val="00211B48"/>
    <w:rsid w:val="00211C59"/>
    <w:rsid w:val="00211CEA"/>
    <w:rsid w:val="00211DAD"/>
    <w:rsid w:val="00211F6F"/>
    <w:rsid w:val="00211FE3"/>
    <w:rsid w:val="00212178"/>
    <w:rsid w:val="00212353"/>
    <w:rsid w:val="002128E9"/>
    <w:rsid w:val="00212C47"/>
    <w:rsid w:val="00212CC4"/>
    <w:rsid w:val="00212E62"/>
    <w:rsid w:val="0021306C"/>
    <w:rsid w:val="00213933"/>
    <w:rsid w:val="0021399D"/>
    <w:rsid w:val="00213B69"/>
    <w:rsid w:val="00213D29"/>
    <w:rsid w:val="00213FCC"/>
    <w:rsid w:val="0021400A"/>
    <w:rsid w:val="002142A4"/>
    <w:rsid w:val="002147A4"/>
    <w:rsid w:val="00214920"/>
    <w:rsid w:val="002149B0"/>
    <w:rsid w:val="00214C74"/>
    <w:rsid w:val="00214CAA"/>
    <w:rsid w:val="00214EEF"/>
    <w:rsid w:val="00214F1E"/>
    <w:rsid w:val="00214FD0"/>
    <w:rsid w:val="002152CE"/>
    <w:rsid w:val="002153F3"/>
    <w:rsid w:val="0021544F"/>
    <w:rsid w:val="0021547E"/>
    <w:rsid w:val="0021563E"/>
    <w:rsid w:val="002156ED"/>
    <w:rsid w:val="00215B40"/>
    <w:rsid w:val="00215B99"/>
    <w:rsid w:val="00215E16"/>
    <w:rsid w:val="00216063"/>
    <w:rsid w:val="002161F7"/>
    <w:rsid w:val="00216305"/>
    <w:rsid w:val="0021636E"/>
    <w:rsid w:val="00216468"/>
    <w:rsid w:val="002164B7"/>
    <w:rsid w:val="0021652E"/>
    <w:rsid w:val="0021653B"/>
    <w:rsid w:val="002165BD"/>
    <w:rsid w:val="002167AF"/>
    <w:rsid w:val="00216B36"/>
    <w:rsid w:val="00216CDE"/>
    <w:rsid w:val="00216D41"/>
    <w:rsid w:val="00216DAC"/>
    <w:rsid w:val="00216F17"/>
    <w:rsid w:val="00216F56"/>
    <w:rsid w:val="0021705D"/>
    <w:rsid w:val="002179D0"/>
    <w:rsid w:val="00217AFC"/>
    <w:rsid w:val="00217B11"/>
    <w:rsid w:val="00217BF2"/>
    <w:rsid w:val="00217D12"/>
    <w:rsid w:val="00220061"/>
    <w:rsid w:val="002201E0"/>
    <w:rsid w:val="00220335"/>
    <w:rsid w:val="00220351"/>
    <w:rsid w:val="00220364"/>
    <w:rsid w:val="002205A3"/>
    <w:rsid w:val="002208C0"/>
    <w:rsid w:val="00220927"/>
    <w:rsid w:val="00220A2B"/>
    <w:rsid w:val="00220B9F"/>
    <w:rsid w:val="00220DC5"/>
    <w:rsid w:val="00220E8B"/>
    <w:rsid w:val="00220F4E"/>
    <w:rsid w:val="0022132E"/>
    <w:rsid w:val="00221331"/>
    <w:rsid w:val="00221338"/>
    <w:rsid w:val="00221592"/>
    <w:rsid w:val="00221C42"/>
    <w:rsid w:val="00221CF2"/>
    <w:rsid w:val="0022218F"/>
    <w:rsid w:val="002228B2"/>
    <w:rsid w:val="002229A8"/>
    <w:rsid w:val="00222AD5"/>
    <w:rsid w:val="00222C53"/>
    <w:rsid w:val="00222D37"/>
    <w:rsid w:val="00222FC6"/>
    <w:rsid w:val="002230C7"/>
    <w:rsid w:val="002233A3"/>
    <w:rsid w:val="002235B3"/>
    <w:rsid w:val="00223639"/>
    <w:rsid w:val="002238DD"/>
    <w:rsid w:val="0022420C"/>
    <w:rsid w:val="002242B0"/>
    <w:rsid w:val="00224539"/>
    <w:rsid w:val="00224800"/>
    <w:rsid w:val="002248C2"/>
    <w:rsid w:val="00224A94"/>
    <w:rsid w:val="00224B23"/>
    <w:rsid w:val="002251B1"/>
    <w:rsid w:val="0022529C"/>
    <w:rsid w:val="002252F7"/>
    <w:rsid w:val="002253CD"/>
    <w:rsid w:val="0022548C"/>
    <w:rsid w:val="002258A4"/>
    <w:rsid w:val="00225BD2"/>
    <w:rsid w:val="00225DDD"/>
    <w:rsid w:val="00226269"/>
    <w:rsid w:val="0022679E"/>
    <w:rsid w:val="00226952"/>
    <w:rsid w:val="00226ACA"/>
    <w:rsid w:val="00226AF8"/>
    <w:rsid w:val="00226D67"/>
    <w:rsid w:val="00226FF3"/>
    <w:rsid w:val="002270ED"/>
    <w:rsid w:val="00227402"/>
    <w:rsid w:val="002274D9"/>
    <w:rsid w:val="00227535"/>
    <w:rsid w:val="00227540"/>
    <w:rsid w:val="00227640"/>
    <w:rsid w:val="0022768A"/>
    <w:rsid w:val="002277B2"/>
    <w:rsid w:val="00227936"/>
    <w:rsid w:val="0022796B"/>
    <w:rsid w:val="00227AF7"/>
    <w:rsid w:val="00227B85"/>
    <w:rsid w:val="00227D74"/>
    <w:rsid w:val="00230B0E"/>
    <w:rsid w:val="00230D97"/>
    <w:rsid w:val="00230E0C"/>
    <w:rsid w:val="00230E7C"/>
    <w:rsid w:val="002315AA"/>
    <w:rsid w:val="00231721"/>
    <w:rsid w:val="0023173E"/>
    <w:rsid w:val="00231D84"/>
    <w:rsid w:val="00232073"/>
    <w:rsid w:val="00232269"/>
    <w:rsid w:val="00232754"/>
    <w:rsid w:val="002329EB"/>
    <w:rsid w:val="00232C1A"/>
    <w:rsid w:val="00232C5D"/>
    <w:rsid w:val="00232E89"/>
    <w:rsid w:val="00233106"/>
    <w:rsid w:val="00233125"/>
    <w:rsid w:val="00233183"/>
    <w:rsid w:val="00233209"/>
    <w:rsid w:val="002332D5"/>
    <w:rsid w:val="00233492"/>
    <w:rsid w:val="002336FD"/>
    <w:rsid w:val="00233DF9"/>
    <w:rsid w:val="002343F1"/>
    <w:rsid w:val="00234583"/>
    <w:rsid w:val="002346F0"/>
    <w:rsid w:val="00234749"/>
    <w:rsid w:val="00234800"/>
    <w:rsid w:val="00234841"/>
    <w:rsid w:val="0023491C"/>
    <w:rsid w:val="00234C35"/>
    <w:rsid w:val="00235196"/>
    <w:rsid w:val="00235619"/>
    <w:rsid w:val="0023575F"/>
    <w:rsid w:val="00235903"/>
    <w:rsid w:val="00235C03"/>
    <w:rsid w:val="00235DBE"/>
    <w:rsid w:val="00235E0E"/>
    <w:rsid w:val="00235F76"/>
    <w:rsid w:val="00235F91"/>
    <w:rsid w:val="00235F94"/>
    <w:rsid w:val="00235FB6"/>
    <w:rsid w:val="00235FF4"/>
    <w:rsid w:val="00236081"/>
    <w:rsid w:val="0023644A"/>
    <w:rsid w:val="00236503"/>
    <w:rsid w:val="0023654B"/>
    <w:rsid w:val="00236690"/>
    <w:rsid w:val="002366CE"/>
    <w:rsid w:val="002369AB"/>
    <w:rsid w:val="00236B81"/>
    <w:rsid w:val="00236BD4"/>
    <w:rsid w:val="00236C42"/>
    <w:rsid w:val="00236E2A"/>
    <w:rsid w:val="00237051"/>
    <w:rsid w:val="0023725C"/>
    <w:rsid w:val="00237294"/>
    <w:rsid w:val="00237372"/>
    <w:rsid w:val="00237415"/>
    <w:rsid w:val="00237577"/>
    <w:rsid w:val="00237706"/>
    <w:rsid w:val="0023783F"/>
    <w:rsid w:val="002379C1"/>
    <w:rsid w:val="00237B9D"/>
    <w:rsid w:val="00237BE9"/>
    <w:rsid w:val="00237DA4"/>
    <w:rsid w:val="00237F65"/>
    <w:rsid w:val="0024008A"/>
    <w:rsid w:val="002401A0"/>
    <w:rsid w:val="0024031F"/>
    <w:rsid w:val="00240596"/>
    <w:rsid w:val="00240738"/>
    <w:rsid w:val="002407E4"/>
    <w:rsid w:val="00240A3F"/>
    <w:rsid w:val="002412A5"/>
    <w:rsid w:val="00241454"/>
    <w:rsid w:val="0024180F"/>
    <w:rsid w:val="00241C21"/>
    <w:rsid w:val="00241CE4"/>
    <w:rsid w:val="00241D1A"/>
    <w:rsid w:val="00241F1E"/>
    <w:rsid w:val="00241F22"/>
    <w:rsid w:val="00242213"/>
    <w:rsid w:val="00242705"/>
    <w:rsid w:val="00242904"/>
    <w:rsid w:val="00242999"/>
    <w:rsid w:val="00242EE8"/>
    <w:rsid w:val="002431B1"/>
    <w:rsid w:val="002434EA"/>
    <w:rsid w:val="00243A62"/>
    <w:rsid w:val="00243D14"/>
    <w:rsid w:val="00243EF6"/>
    <w:rsid w:val="002443DA"/>
    <w:rsid w:val="0024476E"/>
    <w:rsid w:val="00244841"/>
    <w:rsid w:val="002449C0"/>
    <w:rsid w:val="002449DA"/>
    <w:rsid w:val="00244A04"/>
    <w:rsid w:val="00244D1F"/>
    <w:rsid w:val="00244E46"/>
    <w:rsid w:val="00244EDA"/>
    <w:rsid w:val="0024505B"/>
    <w:rsid w:val="00245073"/>
    <w:rsid w:val="002450BE"/>
    <w:rsid w:val="002451B3"/>
    <w:rsid w:val="00245348"/>
    <w:rsid w:val="002453CA"/>
    <w:rsid w:val="00245497"/>
    <w:rsid w:val="002454B8"/>
    <w:rsid w:val="00245565"/>
    <w:rsid w:val="00245910"/>
    <w:rsid w:val="00245C78"/>
    <w:rsid w:val="00246153"/>
    <w:rsid w:val="002463F8"/>
    <w:rsid w:val="00246A97"/>
    <w:rsid w:val="00246E64"/>
    <w:rsid w:val="00246F61"/>
    <w:rsid w:val="00246FD3"/>
    <w:rsid w:val="00247970"/>
    <w:rsid w:val="00247C55"/>
    <w:rsid w:val="00250075"/>
    <w:rsid w:val="0025043F"/>
    <w:rsid w:val="00250517"/>
    <w:rsid w:val="002507F0"/>
    <w:rsid w:val="00250D64"/>
    <w:rsid w:val="00250F16"/>
    <w:rsid w:val="00250F7F"/>
    <w:rsid w:val="002510B3"/>
    <w:rsid w:val="00251276"/>
    <w:rsid w:val="002513A3"/>
    <w:rsid w:val="0025164F"/>
    <w:rsid w:val="00251666"/>
    <w:rsid w:val="002516C2"/>
    <w:rsid w:val="00251982"/>
    <w:rsid w:val="00251FB9"/>
    <w:rsid w:val="002522C7"/>
    <w:rsid w:val="002524EC"/>
    <w:rsid w:val="002524F2"/>
    <w:rsid w:val="002525AA"/>
    <w:rsid w:val="00252670"/>
    <w:rsid w:val="00252932"/>
    <w:rsid w:val="00252A2B"/>
    <w:rsid w:val="00252CB9"/>
    <w:rsid w:val="00252E92"/>
    <w:rsid w:val="002531C4"/>
    <w:rsid w:val="002533DE"/>
    <w:rsid w:val="0025342C"/>
    <w:rsid w:val="0025349E"/>
    <w:rsid w:val="002536BC"/>
    <w:rsid w:val="002538EB"/>
    <w:rsid w:val="00253B4E"/>
    <w:rsid w:val="00253BAA"/>
    <w:rsid w:val="00253C8B"/>
    <w:rsid w:val="00253E3C"/>
    <w:rsid w:val="00253E3D"/>
    <w:rsid w:val="002542A0"/>
    <w:rsid w:val="002546BF"/>
    <w:rsid w:val="00254847"/>
    <w:rsid w:val="00254878"/>
    <w:rsid w:val="00254A40"/>
    <w:rsid w:val="00254BA7"/>
    <w:rsid w:val="00254BC8"/>
    <w:rsid w:val="00254D37"/>
    <w:rsid w:val="00254D69"/>
    <w:rsid w:val="00254E17"/>
    <w:rsid w:val="00254E99"/>
    <w:rsid w:val="00255461"/>
    <w:rsid w:val="00255531"/>
    <w:rsid w:val="002555BB"/>
    <w:rsid w:val="00255693"/>
    <w:rsid w:val="002556C3"/>
    <w:rsid w:val="0025575E"/>
    <w:rsid w:val="002559B2"/>
    <w:rsid w:val="00255BCA"/>
    <w:rsid w:val="00256247"/>
    <w:rsid w:val="002563C8"/>
    <w:rsid w:val="0025640A"/>
    <w:rsid w:val="00256582"/>
    <w:rsid w:val="00256AFA"/>
    <w:rsid w:val="00256B55"/>
    <w:rsid w:val="00256D49"/>
    <w:rsid w:val="00256EF9"/>
    <w:rsid w:val="002572EE"/>
    <w:rsid w:val="00257391"/>
    <w:rsid w:val="002574DC"/>
    <w:rsid w:val="0025759E"/>
    <w:rsid w:val="00257628"/>
    <w:rsid w:val="002577E7"/>
    <w:rsid w:val="00257AF6"/>
    <w:rsid w:val="00257BBD"/>
    <w:rsid w:val="00257D80"/>
    <w:rsid w:val="00257F4C"/>
    <w:rsid w:val="002600B4"/>
    <w:rsid w:val="002601D8"/>
    <w:rsid w:val="002603A6"/>
    <w:rsid w:val="002607DD"/>
    <w:rsid w:val="00260815"/>
    <w:rsid w:val="00260908"/>
    <w:rsid w:val="00260A57"/>
    <w:rsid w:val="00260C14"/>
    <w:rsid w:val="0026114D"/>
    <w:rsid w:val="002614B0"/>
    <w:rsid w:val="002617B4"/>
    <w:rsid w:val="002617D2"/>
    <w:rsid w:val="00261DEB"/>
    <w:rsid w:val="00261EDD"/>
    <w:rsid w:val="0026221F"/>
    <w:rsid w:val="00262294"/>
    <w:rsid w:val="00262473"/>
    <w:rsid w:val="002625C4"/>
    <w:rsid w:val="00262891"/>
    <w:rsid w:val="00262CF3"/>
    <w:rsid w:val="002630DB"/>
    <w:rsid w:val="00263120"/>
    <w:rsid w:val="002631E6"/>
    <w:rsid w:val="00263216"/>
    <w:rsid w:val="00263331"/>
    <w:rsid w:val="00263386"/>
    <w:rsid w:val="0026374B"/>
    <w:rsid w:val="00263901"/>
    <w:rsid w:val="00263968"/>
    <w:rsid w:val="00263A7A"/>
    <w:rsid w:val="00263B56"/>
    <w:rsid w:val="00263B93"/>
    <w:rsid w:val="00263BD1"/>
    <w:rsid w:val="00263EAB"/>
    <w:rsid w:val="00264304"/>
    <w:rsid w:val="00264494"/>
    <w:rsid w:val="002646E7"/>
    <w:rsid w:val="00264AF1"/>
    <w:rsid w:val="00265047"/>
    <w:rsid w:val="002650C4"/>
    <w:rsid w:val="0026519F"/>
    <w:rsid w:val="002652AE"/>
    <w:rsid w:val="0026538B"/>
    <w:rsid w:val="00265B76"/>
    <w:rsid w:val="00265BEB"/>
    <w:rsid w:val="00265BF5"/>
    <w:rsid w:val="00265D54"/>
    <w:rsid w:val="00265E0A"/>
    <w:rsid w:val="00266030"/>
    <w:rsid w:val="0026606E"/>
    <w:rsid w:val="002660DE"/>
    <w:rsid w:val="002660FD"/>
    <w:rsid w:val="002661F2"/>
    <w:rsid w:val="00266243"/>
    <w:rsid w:val="002665CD"/>
    <w:rsid w:val="002667B3"/>
    <w:rsid w:val="00266881"/>
    <w:rsid w:val="00266944"/>
    <w:rsid w:val="00266A34"/>
    <w:rsid w:val="00266B1E"/>
    <w:rsid w:val="00266B2A"/>
    <w:rsid w:val="0026709C"/>
    <w:rsid w:val="0026728B"/>
    <w:rsid w:val="002676F3"/>
    <w:rsid w:val="00267C2A"/>
    <w:rsid w:val="00267D77"/>
    <w:rsid w:val="00267E7C"/>
    <w:rsid w:val="00267F9A"/>
    <w:rsid w:val="00270465"/>
    <w:rsid w:val="00270512"/>
    <w:rsid w:val="002707D3"/>
    <w:rsid w:val="00270883"/>
    <w:rsid w:val="0027095E"/>
    <w:rsid w:val="0027097A"/>
    <w:rsid w:val="00270CC0"/>
    <w:rsid w:val="00270E29"/>
    <w:rsid w:val="0027105F"/>
    <w:rsid w:val="00271578"/>
    <w:rsid w:val="002715C6"/>
    <w:rsid w:val="00271820"/>
    <w:rsid w:val="0027189E"/>
    <w:rsid w:val="00271D97"/>
    <w:rsid w:val="00272095"/>
    <w:rsid w:val="002720CB"/>
    <w:rsid w:val="002721FC"/>
    <w:rsid w:val="00272688"/>
    <w:rsid w:val="00272929"/>
    <w:rsid w:val="00272C15"/>
    <w:rsid w:val="00272D3B"/>
    <w:rsid w:val="00272DA9"/>
    <w:rsid w:val="00272E82"/>
    <w:rsid w:val="00273170"/>
    <w:rsid w:val="0027320E"/>
    <w:rsid w:val="0027330A"/>
    <w:rsid w:val="00273545"/>
    <w:rsid w:val="00273744"/>
    <w:rsid w:val="00273CBA"/>
    <w:rsid w:val="00273D2C"/>
    <w:rsid w:val="00273D48"/>
    <w:rsid w:val="00273F77"/>
    <w:rsid w:val="00273F97"/>
    <w:rsid w:val="00274025"/>
    <w:rsid w:val="002740FB"/>
    <w:rsid w:val="002744BF"/>
    <w:rsid w:val="002748BC"/>
    <w:rsid w:val="00274919"/>
    <w:rsid w:val="00274BB2"/>
    <w:rsid w:val="00274BCF"/>
    <w:rsid w:val="00274DDE"/>
    <w:rsid w:val="00274F7C"/>
    <w:rsid w:val="00275286"/>
    <w:rsid w:val="00275467"/>
    <w:rsid w:val="00275515"/>
    <w:rsid w:val="00275933"/>
    <w:rsid w:val="002759FA"/>
    <w:rsid w:val="00275BAD"/>
    <w:rsid w:val="00275FE0"/>
    <w:rsid w:val="00276307"/>
    <w:rsid w:val="00276365"/>
    <w:rsid w:val="00276395"/>
    <w:rsid w:val="00276459"/>
    <w:rsid w:val="0027671E"/>
    <w:rsid w:val="00276769"/>
    <w:rsid w:val="00276866"/>
    <w:rsid w:val="00276874"/>
    <w:rsid w:val="002768F3"/>
    <w:rsid w:val="002769C2"/>
    <w:rsid w:val="0027718B"/>
    <w:rsid w:val="002771F3"/>
    <w:rsid w:val="002775FA"/>
    <w:rsid w:val="00277BF5"/>
    <w:rsid w:val="00277E1C"/>
    <w:rsid w:val="00277E6B"/>
    <w:rsid w:val="00280069"/>
    <w:rsid w:val="002801B3"/>
    <w:rsid w:val="002801E9"/>
    <w:rsid w:val="0028028E"/>
    <w:rsid w:val="0028032C"/>
    <w:rsid w:val="002803B8"/>
    <w:rsid w:val="00280A43"/>
    <w:rsid w:val="00280A9C"/>
    <w:rsid w:val="00280B76"/>
    <w:rsid w:val="00281019"/>
    <w:rsid w:val="0028104A"/>
    <w:rsid w:val="002811B7"/>
    <w:rsid w:val="00281311"/>
    <w:rsid w:val="00281373"/>
    <w:rsid w:val="0028157F"/>
    <w:rsid w:val="002816E0"/>
    <w:rsid w:val="00281700"/>
    <w:rsid w:val="00281760"/>
    <w:rsid w:val="00281835"/>
    <w:rsid w:val="00281881"/>
    <w:rsid w:val="00281AC2"/>
    <w:rsid w:val="00281D0E"/>
    <w:rsid w:val="00281E68"/>
    <w:rsid w:val="00281F43"/>
    <w:rsid w:val="00282130"/>
    <w:rsid w:val="0028244D"/>
    <w:rsid w:val="0028252F"/>
    <w:rsid w:val="0028255D"/>
    <w:rsid w:val="002825FE"/>
    <w:rsid w:val="002826CD"/>
    <w:rsid w:val="00282720"/>
    <w:rsid w:val="0028282F"/>
    <w:rsid w:val="0028289A"/>
    <w:rsid w:val="00282A21"/>
    <w:rsid w:val="00282A43"/>
    <w:rsid w:val="00282E9D"/>
    <w:rsid w:val="00283020"/>
    <w:rsid w:val="00283227"/>
    <w:rsid w:val="002833B1"/>
    <w:rsid w:val="0028344C"/>
    <w:rsid w:val="002835D8"/>
    <w:rsid w:val="002836C5"/>
    <w:rsid w:val="00283907"/>
    <w:rsid w:val="002839D3"/>
    <w:rsid w:val="00283A1C"/>
    <w:rsid w:val="00283AF1"/>
    <w:rsid w:val="00283D26"/>
    <w:rsid w:val="00283D50"/>
    <w:rsid w:val="00283D7B"/>
    <w:rsid w:val="00283F6B"/>
    <w:rsid w:val="00284312"/>
    <w:rsid w:val="00284469"/>
    <w:rsid w:val="002844EE"/>
    <w:rsid w:val="00284523"/>
    <w:rsid w:val="00284677"/>
    <w:rsid w:val="00284B48"/>
    <w:rsid w:val="00284D2B"/>
    <w:rsid w:val="00284E90"/>
    <w:rsid w:val="00284F0F"/>
    <w:rsid w:val="002850EA"/>
    <w:rsid w:val="0028513C"/>
    <w:rsid w:val="002855D4"/>
    <w:rsid w:val="00285700"/>
    <w:rsid w:val="002857F6"/>
    <w:rsid w:val="002859F8"/>
    <w:rsid w:val="00285FEA"/>
    <w:rsid w:val="0028635F"/>
    <w:rsid w:val="002864C9"/>
    <w:rsid w:val="002864FC"/>
    <w:rsid w:val="00286524"/>
    <w:rsid w:val="00286599"/>
    <w:rsid w:val="00286A98"/>
    <w:rsid w:val="00286C74"/>
    <w:rsid w:val="00286DEF"/>
    <w:rsid w:val="00286E3C"/>
    <w:rsid w:val="00286EDD"/>
    <w:rsid w:val="0028718E"/>
    <w:rsid w:val="002874F4"/>
    <w:rsid w:val="002875B7"/>
    <w:rsid w:val="002877D5"/>
    <w:rsid w:val="0028781C"/>
    <w:rsid w:val="00287946"/>
    <w:rsid w:val="00287B09"/>
    <w:rsid w:val="00287C9F"/>
    <w:rsid w:val="00287CF8"/>
    <w:rsid w:val="00287D8D"/>
    <w:rsid w:val="00287DD8"/>
    <w:rsid w:val="00287FF7"/>
    <w:rsid w:val="0029006D"/>
    <w:rsid w:val="002906CB"/>
    <w:rsid w:val="002906F6"/>
    <w:rsid w:val="0029089C"/>
    <w:rsid w:val="00290E8D"/>
    <w:rsid w:val="00290ECA"/>
    <w:rsid w:val="00291048"/>
    <w:rsid w:val="0029167C"/>
    <w:rsid w:val="002917A8"/>
    <w:rsid w:val="00291909"/>
    <w:rsid w:val="00291A3D"/>
    <w:rsid w:val="00291B66"/>
    <w:rsid w:val="00291BE3"/>
    <w:rsid w:val="00291DAA"/>
    <w:rsid w:val="00292037"/>
    <w:rsid w:val="002920D0"/>
    <w:rsid w:val="0029238B"/>
    <w:rsid w:val="00292513"/>
    <w:rsid w:val="00292666"/>
    <w:rsid w:val="002926AB"/>
    <w:rsid w:val="002928D6"/>
    <w:rsid w:val="00292965"/>
    <w:rsid w:val="002929A3"/>
    <w:rsid w:val="00292BD7"/>
    <w:rsid w:val="00292BE8"/>
    <w:rsid w:val="00292E80"/>
    <w:rsid w:val="00292F65"/>
    <w:rsid w:val="00293068"/>
    <w:rsid w:val="00293134"/>
    <w:rsid w:val="00293233"/>
    <w:rsid w:val="002932D1"/>
    <w:rsid w:val="00293387"/>
    <w:rsid w:val="00293457"/>
    <w:rsid w:val="00293709"/>
    <w:rsid w:val="00293753"/>
    <w:rsid w:val="002937D0"/>
    <w:rsid w:val="00293A19"/>
    <w:rsid w:val="00293A34"/>
    <w:rsid w:val="00294329"/>
    <w:rsid w:val="002946D3"/>
    <w:rsid w:val="00294871"/>
    <w:rsid w:val="00294A33"/>
    <w:rsid w:val="00294EEF"/>
    <w:rsid w:val="002950DF"/>
    <w:rsid w:val="0029513F"/>
    <w:rsid w:val="00295A26"/>
    <w:rsid w:val="00295BCE"/>
    <w:rsid w:val="00295EA0"/>
    <w:rsid w:val="0029607D"/>
    <w:rsid w:val="00296235"/>
    <w:rsid w:val="002963A8"/>
    <w:rsid w:val="002965B1"/>
    <w:rsid w:val="00296CBB"/>
    <w:rsid w:val="00296D38"/>
    <w:rsid w:val="00296F1D"/>
    <w:rsid w:val="00297160"/>
    <w:rsid w:val="002978CA"/>
    <w:rsid w:val="00297C53"/>
    <w:rsid w:val="00297C7E"/>
    <w:rsid w:val="00297F32"/>
    <w:rsid w:val="002A03E2"/>
    <w:rsid w:val="002A0631"/>
    <w:rsid w:val="002A0808"/>
    <w:rsid w:val="002A0A6B"/>
    <w:rsid w:val="002A0CE2"/>
    <w:rsid w:val="002A0D35"/>
    <w:rsid w:val="002A1252"/>
    <w:rsid w:val="002A12B5"/>
    <w:rsid w:val="002A15CE"/>
    <w:rsid w:val="002A181D"/>
    <w:rsid w:val="002A1896"/>
    <w:rsid w:val="002A1C1D"/>
    <w:rsid w:val="002A1CA8"/>
    <w:rsid w:val="002A2137"/>
    <w:rsid w:val="002A213A"/>
    <w:rsid w:val="002A2190"/>
    <w:rsid w:val="002A2336"/>
    <w:rsid w:val="002A25D5"/>
    <w:rsid w:val="002A2672"/>
    <w:rsid w:val="002A2AA4"/>
    <w:rsid w:val="002A2B2F"/>
    <w:rsid w:val="002A2B75"/>
    <w:rsid w:val="002A2B84"/>
    <w:rsid w:val="002A307C"/>
    <w:rsid w:val="002A311D"/>
    <w:rsid w:val="002A34C4"/>
    <w:rsid w:val="002A395B"/>
    <w:rsid w:val="002A3E54"/>
    <w:rsid w:val="002A4025"/>
    <w:rsid w:val="002A408E"/>
    <w:rsid w:val="002A438F"/>
    <w:rsid w:val="002A453D"/>
    <w:rsid w:val="002A4553"/>
    <w:rsid w:val="002A461C"/>
    <w:rsid w:val="002A4713"/>
    <w:rsid w:val="002A4794"/>
    <w:rsid w:val="002A4978"/>
    <w:rsid w:val="002A499B"/>
    <w:rsid w:val="002A4A55"/>
    <w:rsid w:val="002A4C7B"/>
    <w:rsid w:val="002A4CB3"/>
    <w:rsid w:val="002A4E99"/>
    <w:rsid w:val="002A4EA9"/>
    <w:rsid w:val="002A50F1"/>
    <w:rsid w:val="002A51FF"/>
    <w:rsid w:val="002A587A"/>
    <w:rsid w:val="002A5917"/>
    <w:rsid w:val="002A5C4E"/>
    <w:rsid w:val="002A5CFD"/>
    <w:rsid w:val="002A5F08"/>
    <w:rsid w:val="002A602D"/>
    <w:rsid w:val="002A6221"/>
    <w:rsid w:val="002A62BF"/>
    <w:rsid w:val="002A64B1"/>
    <w:rsid w:val="002A65A2"/>
    <w:rsid w:val="002A669E"/>
    <w:rsid w:val="002A679E"/>
    <w:rsid w:val="002A68EB"/>
    <w:rsid w:val="002A69F8"/>
    <w:rsid w:val="002A6E79"/>
    <w:rsid w:val="002A6FA4"/>
    <w:rsid w:val="002A714F"/>
    <w:rsid w:val="002A75B5"/>
    <w:rsid w:val="002A7795"/>
    <w:rsid w:val="002A790D"/>
    <w:rsid w:val="002A7C61"/>
    <w:rsid w:val="002A7CD0"/>
    <w:rsid w:val="002A7D9F"/>
    <w:rsid w:val="002B01D1"/>
    <w:rsid w:val="002B0257"/>
    <w:rsid w:val="002B0294"/>
    <w:rsid w:val="002B047D"/>
    <w:rsid w:val="002B062C"/>
    <w:rsid w:val="002B0651"/>
    <w:rsid w:val="002B0986"/>
    <w:rsid w:val="002B09B3"/>
    <w:rsid w:val="002B0CA6"/>
    <w:rsid w:val="002B0CBF"/>
    <w:rsid w:val="002B0E85"/>
    <w:rsid w:val="002B1140"/>
    <w:rsid w:val="002B18B9"/>
    <w:rsid w:val="002B1A40"/>
    <w:rsid w:val="002B1C3A"/>
    <w:rsid w:val="002B1C6B"/>
    <w:rsid w:val="002B1CDF"/>
    <w:rsid w:val="002B1E23"/>
    <w:rsid w:val="002B2024"/>
    <w:rsid w:val="002B21C1"/>
    <w:rsid w:val="002B22CD"/>
    <w:rsid w:val="002B2310"/>
    <w:rsid w:val="002B24F1"/>
    <w:rsid w:val="002B2503"/>
    <w:rsid w:val="002B2A5C"/>
    <w:rsid w:val="002B2C4D"/>
    <w:rsid w:val="002B2F1C"/>
    <w:rsid w:val="002B2F72"/>
    <w:rsid w:val="002B320E"/>
    <w:rsid w:val="002B324C"/>
    <w:rsid w:val="002B345E"/>
    <w:rsid w:val="002B3667"/>
    <w:rsid w:val="002B3676"/>
    <w:rsid w:val="002B38AC"/>
    <w:rsid w:val="002B3B8F"/>
    <w:rsid w:val="002B3CCE"/>
    <w:rsid w:val="002B42FA"/>
    <w:rsid w:val="002B4655"/>
    <w:rsid w:val="002B4938"/>
    <w:rsid w:val="002B493C"/>
    <w:rsid w:val="002B495C"/>
    <w:rsid w:val="002B4AB3"/>
    <w:rsid w:val="002B4B5B"/>
    <w:rsid w:val="002B4C7A"/>
    <w:rsid w:val="002B4D3C"/>
    <w:rsid w:val="002B4D90"/>
    <w:rsid w:val="002B4DE1"/>
    <w:rsid w:val="002B4E12"/>
    <w:rsid w:val="002B52F6"/>
    <w:rsid w:val="002B5374"/>
    <w:rsid w:val="002B53DC"/>
    <w:rsid w:val="002B5403"/>
    <w:rsid w:val="002B542D"/>
    <w:rsid w:val="002B55AC"/>
    <w:rsid w:val="002B5641"/>
    <w:rsid w:val="002B56D5"/>
    <w:rsid w:val="002B5974"/>
    <w:rsid w:val="002B599C"/>
    <w:rsid w:val="002B5A9D"/>
    <w:rsid w:val="002B5F75"/>
    <w:rsid w:val="002B6185"/>
    <w:rsid w:val="002B620C"/>
    <w:rsid w:val="002B6457"/>
    <w:rsid w:val="002B65B5"/>
    <w:rsid w:val="002B6BC4"/>
    <w:rsid w:val="002B6F36"/>
    <w:rsid w:val="002B7008"/>
    <w:rsid w:val="002B7032"/>
    <w:rsid w:val="002B71B7"/>
    <w:rsid w:val="002B727C"/>
    <w:rsid w:val="002B736E"/>
    <w:rsid w:val="002B73DB"/>
    <w:rsid w:val="002B7612"/>
    <w:rsid w:val="002B7654"/>
    <w:rsid w:val="002B76DA"/>
    <w:rsid w:val="002B7BDD"/>
    <w:rsid w:val="002B7C12"/>
    <w:rsid w:val="002B7CA3"/>
    <w:rsid w:val="002B7DA1"/>
    <w:rsid w:val="002B7F57"/>
    <w:rsid w:val="002C01D2"/>
    <w:rsid w:val="002C0446"/>
    <w:rsid w:val="002C07F7"/>
    <w:rsid w:val="002C0BAB"/>
    <w:rsid w:val="002C0DBD"/>
    <w:rsid w:val="002C0E40"/>
    <w:rsid w:val="002C0E82"/>
    <w:rsid w:val="002C11D0"/>
    <w:rsid w:val="002C1268"/>
    <w:rsid w:val="002C1312"/>
    <w:rsid w:val="002C163D"/>
    <w:rsid w:val="002C1763"/>
    <w:rsid w:val="002C17EE"/>
    <w:rsid w:val="002C18A7"/>
    <w:rsid w:val="002C1914"/>
    <w:rsid w:val="002C1B5B"/>
    <w:rsid w:val="002C1DCC"/>
    <w:rsid w:val="002C2186"/>
    <w:rsid w:val="002C2328"/>
    <w:rsid w:val="002C234A"/>
    <w:rsid w:val="002C26A2"/>
    <w:rsid w:val="002C2BF3"/>
    <w:rsid w:val="002C2E24"/>
    <w:rsid w:val="002C2FDC"/>
    <w:rsid w:val="002C3114"/>
    <w:rsid w:val="002C31EF"/>
    <w:rsid w:val="002C3403"/>
    <w:rsid w:val="002C373E"/>
    <w:rsid w:val="002C3756"/>
    <w:rsid w:val="002C37A2"/>
    <w:rsid w:val="002C3816"/>
    <w:rsid w:val="002C38DC"/>
    <w:rsid w:val="002C39F8"/>
    <w:rsid w:val="002C3BB8"/>
    <w:rsid w:val="002C3D4F"/>
    <w:rsid w:val="002C3D8E"/>
    <w:rsid w:val="002C3E97"/>
    <w:rsid w:val="002C3F06"/>
    <w:rsid w:val="002C3FBA"/>
    <w:rsid w:val="002C412E"/>
    <w:rsid w:val="002C441C"/>
    <w:rsid w:val="002C4921"/>
    <w:rsid w:val="002C4A68"/>
    <w:rsid w:val="002C4A8E"/>
    <w:rsid w:val="002C4C3F"/>
    <w:rsid w:val="002C4CB7"/>
    <w:rsid w:val="002C5076"/>
    <w:rsid w:val="002C512E"/>
    <w:rsid w:val="002C5174"/>
    <w:rsid w:val="002C52D4"/>
    <w:rsid w:val="002C5340"/>
    <w:rsid w:val="002C564F"/>
    <w:rsid w:val="002C56A8"/>
    <w:rsid w:val="002C5857"/>
    <w:rsid w:val="002C5B62"/>
    <w:rsid w:val="002C5C1A"/>
    <w:rsid w:val="002C5E78"/>
    <w:rsid w:val="002C6534"/>
    <w:rsid w:val="002C663B"/>
    <w:rsid w:val="002C6BB6"/>
    <w:rsid w:val="002C6BDF"/>
    <w:rsid w:val="002C6BF7"/>
    <w:rsid w:val="002C6F51"/>
    <w:rsid w:val="002C7086"/>
    <w:rsid w:val="002C715A"/>
    <w:rsid w:val="002C769A"/>
    <w:rsid w:val="002C7AC1"/>
    <w:rsid w:val="002C7D41"/>
    <w:rsid w:val="002C7DB4"/>
    <w:rsid w:val="002C7E51"/>
    <w:rsid w:val="002D011C"/>
    <w:rsid w:val="002D054D"/>
    <w:rsid w:val="002D070E"/>
    <w:rsid w:val="002D0895"/>
    <w:rsid w:val="002D0923"/>
    <w:rsid w:val="002D0F48"/>
    <w:rsid w:val="002D1450"/>
    <w:rsid w:val="002D14DD"/>
    <w:rsid w:val="002D18FF"/>
    <w:rsid w:val="002D1958"/>
    <w:rsid w:val="002D1C56"/>
    <w:rsid w:val="002D1E1C"/>
    <w:rsid w:val="002D1F68"/>
    <w:rsid w:val="002D22AF"/>
    <w:rsid w:val="002D2390"/>
    <w:rsid w:val="002D2424"/>
    <w:rsid w:val="002D257A"/>
    <w:rsid w:val="002D2637"/>
    <w:rsid w:val="002D280E"/>
    <w:rsid w:val="002D2A0A"/>
    <w:rsid w:val="002D2D13"/>
    <w:rsid w:val="002D2D27"/>
    <w:rsid w:val="002D3531"/>
    <w:rsid w:val="002D3644"/>
    <w:rsid w:val="002D372C"/>
    <w:rsid w:val="002D3A26"/>
    <w:rsid w:val="002D3B0C"/>
    <w:rsid w:val="002D3B85"/>
    <w:rsid w:val="002D3F3F"/>
    <w:rsid w:val="002D4463"/>
    <w:rsid w:val="002D44C2"/>
    <w:rsid w:val="002D4546"/>
    <w:rsid w:val="002D457A"/>
    <w:rsid w:val="002D47F5"/>
    <w:rsid w:val="002D49BA"/>
    <w:rsid w:val="002D4C93"/>
    <w:rsid w:val="002D5212"/>
    <w:rsid w:val="002D5360"/>
    <w:rsid w:val="002D5381"/>
    <w:rsid w:val="002D545E"/>
    <w:rsid w:val="002D546E"/>
    <w:rsid w:val="002D59BD"/>
    <w:rsid w:val="002D5BB8"/>
    <w:rsid w:val="002D5C02"/>
    <w:rsid w:val="002D5C2A"/>
    <w:rsid w:val="002D64EE"/>
    <w:rsid w:val="002D65A6"/>
    <w:rsid w:val="002D662A"/>
    <w:rsid w:val="002D681D"/>
    <w:rsid w:val="002D683E"/>
    <w:rsid w:val="002D6944"/>
    <w:rsid w:val="002D6969"/>
    <w:rsid w:val="002D697F"/>
    <w:rsid w:val="002D6C4A"/>
    <w:rsid w:val="002D6CA2"/>
    <w:rsid w:val="002D6CF2"/>
    <w:rsid w:val="002D7127"/>
    <w:rsid w:val="002D7556"/>
    <w:rsid w:val="002D75B2"/>
    <w:rsid w:val="002D77F5"/>
    <w:rsid w:val="002D7860"/>
    <w:rsid w:val="002D7B74"/>
    <w:rsid w:val="002D7BC2"/>
    <w:rsid w:val="002D7F8A"/>
    <w:rsid w:val="002E0489"/>
    <w:rsid w:val="002E05AC"/>
    <w:rsid w:val="002E07F1"/>
    <w:rsid w:val="002E0BEA"/>
    <w:rsid w:val="002E0C4A"/>
    <w:rsid w:val="002E0D91"/>
    <w:rsid w:val="002E114F"/>
    <w:rsid w:val="002E11FD"/>
    <w:rsid w:val="002E18B5"/>
    <w:rsid w:val="002E1C5B"/>
    <w:rsid w:val="002E1DD6"/>
    <w:rsid w:val="002E228A"/>
    <w:rsid w:val="002E22AD"/>
    <w:rsid w:val="002E2364"/>
    <w:rsid w:val="002E2399"/>
    <w:rsid w:val="002E23A0"/>
    <w:rsid w:val="002E2423"/>
    <w:rsid w:val="002E2499"/>
    <w:rsid w:val="002E2521"/>
    <w:rsid w:val="002E255E"/>
    <w:rsid w:val="002E276E"/>
    <w:rsid w:val="002E280A"/>
    <w:rsid w:val="002E2B52"/>
    <w:rsid w:val="002E2B60"/>
    <w:rsid w:val="002E2B6E"/>
    <w:rsid w:val="002E2B87"/>
    <w:rsid w:val="002E2E9F"/>
    <w:rsid w:val="002E311D"/>
    <w:rsid w:val="002E33C9"/>
    <w:rsid w:val="002E33CB"/>
    <w:rsid w:val="002E36B9"/>
    <w:rsid w:val="002E3730"/>
    <w:rsid w:val="002E3797"/>
    <w:rsid w:val="002E38AA"/>
    <w:rsid w:val="002E3926"/>
    <w:rsid w:val="002E39DE"/>
    <w:rsid w:val="002E3F7E"/>
    <w:rsid w:val="002E3F9F"/>
    <w:rsid w:val="002E42A2"/>
    <w:rsid w:val="002E43B9"/>
    <w:rsid w:val="002E4486"/>
    <w:rsid w:val="002E457F"/>
    <w:rsid w:val="002E4620"/>
    <w:rsid w:val="002E4623"/>
    <w:rsid w:val="002E4779"/>
    <w:rsid w:val="002E4C0E"/>
    <w:rsid w:val="002E4DB7"/>
    <w:rsid w:val="002E4DDC"/>
    <w:rsid w:val="002E4EAC"/>
    <w:rsid w:val="002E5300"/>
    <w:rsid w:val="002E5469"/>
    <w:rsid w:val="002E568C"/>
    <w:rsid w:val="002E58B2"/>
    <w:rsid w:val="002E5B66"/>
    <w:rsid w:val="002E5D5A"/>
    <w:rsid w:val="002E6087"/>
    <w:rsid w:val="002E6419"/>
    <w:rsid w:val="002E66E2"/>
    <w:rsid w:val="002E67B3"/>
    <w:rsid w:val="002E6860"/>
    <w:rsid w:val="002E68FB"/>
    <w:rsid w:val="002E693A"/>
    <w:rsid w:val="002E69BC"/>
    <w:rsid w:val="002E6C5F"/>
    <w:rsid w:val="002E6C9E"/>
    <w:rsid w:val="002E6CB9"/>
    <w:rsid w:val="002E6EEE"/>
    <w:rsid w:val="002E6F58"/>
    <w:rsid w:val="002E7297"/>
    <w:rsid w:val="002E76B1"/>
    <w:rsid w:val="002E77E1"/>
    <w:rsid w:val="002E7AB2"/>
    <w:rsid w:val="002E7AC8"/>
    <w:rsid w:val="002F011F"/>
    <w:rsid w:val="002F042B"/>
    <w:rsid w:val="002F087D"/>
    <w:rsid w:val="002F08EB"/>
    <w:rsid w:val="002F0A1F"/>
    <w:rsid w:val="002F0AF1"/>
    <w:rsid w:val="002F0C04"/>
    <w:rsid w:val="002F0C34"/>
    <w:rsid w:val="002F0C9C"/>
    <w:rsid w:val="002F16A5"/>
    <w:rsid w:val="002F16D4"/>
    <w:rsid w:val="002F1741"/>
    <w:rsid w:val="002F183A"/>
    <w:rsid w:val="002F1C9B"/>
    <w:rsid w:val="002F1E18"/>
    <w:rsid w:val="002F1EAF"/>
    <w:rsid w:val="002F1F68"/>
    <w:rsid w:val="002F21D4"/>
    <w:rsid w:val="002F26E2"/>
    <w:rsid w:val="002F277D"/>
    <w:rsid w:val="002F2969"/>
    <w:rsid w:val="002F29E8"/>
    <w:rsid w:val="002F2AA2"/>
    <w:rsid w:val="002F30A2"/>
    <w:rsid w:val="002F38E6"/>
    <w:rsid w:val="002F3AA8"/>
    <w:rsid w:val="002F3E92"/>
    <w:rsid w:val="002F3F05"/>
    <w:rsid w:val="002F3FD2"/>
    <w:rsid w:val="002F3FDF"/>
    <w:rsid w:val="002F43FB"/>
    <w:rsid w:val="002F461B"/>
    <w:rsid w:val="002F4840"/>
    <w:rsid w:val="002F4AE7"/>
    <w:rsid w:val="002F4B66"/>
    <w:rsid w:val="002F527A"/>
    <w:rsid w:val="002F53B1"/>
    <w:rsid w:val="002F5554"/>
    <w:rsid w:val="002F5AF0"/>
    <w:rsid w:val="002F5CAB"/>
    <w:rsid w:val="002F65E6"/>
    <w:rsid w:val="002F66E0"/>
    <w:rsid w:val="002F68D7"/>
    <w:rsid w:val="002F6912"/>
    <w:rsid w:val="002F6940"/>
    <w:rsid w:val="002F6E7C"/>
    <w:rsid w:val="002F7071"/>
    <w:rsid w:val="002F717D"/>
    <w:rsid w:val="002F7410"/>
    <w:rsid w:val="002F743B"/>
    <w:rsid w:val="002F7443"/>
    <w:rsid w:val="002F74A0"/>
    <w:rsid w:val="002F781A"/>
    <w:rsid w:val="002F7A78"/>
    <w:rsid w:val="002F7E83"/>
    <w:rsid w:val="002F7ED8"/>
    <w:rsid w:val="003001B6"/>
    <w:rsid w:val="003001F8"/>
    <w:rsid w:val="003001FA"/>
    <w:rsid w:val="00300324"/>
    <w:rsid w:val="003004AD"/>
    <w:rsid w:val="0030056E"/>
    <w:rsid w:val="00300787"/>
    <w:rsid w:val="0030083B"/>
    <w:rsid w:val="0030085F"/>
    <w:rsid w:val="003008A7"/>
    <w:rsid w:val="003008FF"/>
    <w:rsid w:val="0030095E"/>
    <w:rsid w:val="00300C35"/>
    <w:rsid w:val="00300C6C"/>
    <w:rsid w:val="00300EF0"/>
    <w:rsid w:val="00301327"/>
    <w:rsid w:val="00301659"/>
    <w:rsid w:val="0030170E"/>
    <w:rsid w:val="003018C7"/>
    <w:rsid w:val="00301EA3"/>
    <w:rsid w:val="0030207B"/>
    <w:rsid w:val="0030248A"/>
    <w:rsid w:val="00302633"/>
    <w:rsid w:val="0030266B"/>
    <w:rsid w:val="00302A45"/>
    <w:rsid w:val="00302F74"/>
    <w:rsid w:val="003031CB"/>
    <w:rsid w:val="00303259"/>
    <w:rsid w:val="00303626"/>
    <w:rsid w:val="00303645"/>
    <w:rsid w:val="00303B12"/>
    <w:rsid w:val="00303B3B"/>
    <w:rsid w:val="00303B53"/>
    <w:rsid w:val="00303B8F"/>
    <w:rsid w:val="00303C0E"/>
    <w:rsid w:val="00303C3C"/>
    <w:rsid w:val="00303CBA"/>
    <w:rsid w:val="00303D17"/>
    <w:rsid w:val="00303E53"/>
    <w:rsid w:val="00303E9A"/>
    <w:rsid w:val="00304059"/>
    <w:rsid w:val="003040BF"/>
    <w:rsid w:val="003045A0"/>
    <w:rsid w:val="0030494D"/>
    <w:rsid w:val="003049F7"/>
    <w:rsid w:val="00304CF3"/>
    <w:rsid w:val="00304D6F"/>
    <w:rsid w:val="00304DA0"/>
    <w:rsid w:val="003052A9"/>
    <w:rsid w:val="003053BA"/>
    <w:rsid w:val="0030582A"/>
    <w:rsid w:val="00305889"/>
    <w:rsid w:val="00305B2E"/>
    <w:rsid w:val="00305CA8"/>
    <w:rsid w:val="00306280"/>
    <w:rsid w:val="00306420"/>
    <w:rsid w:val="003065B4"/>
    <w:rsid w:val="003069EA"/>
    <w:rsid w:val="00306AC4"/>
    <w:rsid w:val="00306C64"/>
    <w:rsid w:val="00306DE2"/>
    <w:rsid w:val="00306F94"/>
    <w:rsid w:val="00307039"/>
    <w:rsid w:val="003070E2"/>
    <w:rsid w:val="003071D3"/>
    <w:rsid w:val="003072F0"/>
    <w:rsid w:val="0030797D"/>
    <w:rsid w:val="00307B9B"/>
    <w:rsid w:val="00310194"/>
    <w:rsid w:val="003102AF"/>
    <w:rsid w:val="003103B4"/>
    <w:rsid w:val="00310501"/>
    <w:rsid w:val="00310671"/>
    <w:rsid w:val="003107C1"/>
    <w:rsid w:val="003108C3"/>
    <w:rsid w:val="00310AE1"/>
    <w:rsid w:val="00310AF7"/>
    <w:rsid w:val="00310C86"/>
    <w:rsid w:val="00310D70"/>
    <w:rsid w:val="0031124F"/>
    <w:rsid w:val="003115E2"/>
    <w:rsid w:val="003117F2"/>
    <w:rsid w:val="00311849"/>
    <w:rsid w:val="0031185B"/>
    <w:rsid w:val="00311AD0"/>
    <w:rsid w:val="00311CF1"/>
    <w:rsid w:val="00311E79"/>
    <w:rsid w:val="00311F39"/>
    <w:rsid w:val="00312084"/>
    <w:rsid w:val="0031253F"/>
    <w:rsid w:val="0031260E"/>
    <w:rsid w:val="003127ED"/>
    <w:rsid w:val="003128EC"/>
    <w:rsid w:val="00312B2D"/>
    <w:rsid w:val="00312B48"/>
    <w:rsid w:val="003134A2"/>
    <w:rsid w:val="00313894"/>
    <w:rsid w:val="003139B8"/>
    <w:rsid w:val="00313A9E"/>
    <w:rsid w:val="00313B91"/>
    <w:rsid w:val="00313BF4"/>
    <w:rsid w:val="00313E31"/>
    <w:rsid w:val="0031433C"/>
    <w:rsid w:val="0031448E"/>
    <w:rsid w:val="003144AB"/>
    <w:rsid w:val="00314865"/>
    <w:rsid w:val="00314C36"/>
    <w:rsid w:val="00314CCE"/>
    <w:rsid w:val="00314D68"/>
    <w:rsid w:val="00314D74"/>
    <w:rsid w:val="00314EF3"/>
    <w:rsid w:val="00314F82"/>
    <w:rsid w:val="0031506E"/>
    <w:rsid w:val="0031518D"/>
    <w:rsid w:val="00315348"/>
    <w:rsid w:val="00315695"/>
    <w:rsid w:val="00315893"/>
    <w:rsid w:val="0031596B"/>
    <w:rsid w:val="00315996"/>
    <w:rsid w:val="0031599D"/>
    <w:rsid w:val="00315A26"/>
    <w:rsid w:val="00315A9A"/>
    <w:rsid w:val="00315AB3"/>
    <w:rsid w:val="00315AE6"/>
    <w:rsid w:val="00315BCF"/>
    <w:rsid w:val="00315C1F"/>
    <w:rsid w:val="00315C7E"/>
    <w:rsid w:val="00315CAA"/>
    <w:rsid w:val="00316156"/>
    <w:rsid w:val="003161DF"/>
    <w:rsid w:val="00316275"/>
    <w:rsid w:val="00316359"/>
    <w:rsid w:val="00316479"/>
    <w:rsid w:val="003164B2"/>
    <w:rsid w:val="00316624"/>
    <w:rsid w:val="003168BC"/>
    <w:rsid w:val="003168DE"/>
    <w:rsid w:val="00316913"/>
    <w:rsid w:val="00316D92"/>
    <w:rsid w:val="00316E99"/>
    <w:rsid w:val="0031705A"/>
    <w:rsid w:val="00317553"/>
    <w:rsid w:val="003175B6"/>
    <w:rsid w:val="003175EA"/>
    <w:rsid w:val="003178F4"/>
    <w:rsid w:val="00317A20"/>
    <w:rsid w:val="00317A7E"/>
    <w:rsid w:val="00317DFA"/>
    <w:rsid w:val="00317FAC"/>
    <w:rsid w:val="00320058"/>
    <w:rsid w:val="003201AC"/>
    <w:rsid w:val="003207C7"/>
    <w:rsid w:val="003207FD"/>
    <w:rsid w:val="00320876"/>
    <w:rsid w:val="0032096D"/>
    <w:rsid w:val="0032098E"/>
    <w:rsid w:val="00320C1C"/>
    <w:rsid w:val="00320C43"/>
    <w:rsid w:val="00320C4E"/>
    <w:rsid w:val="00320F64"/>
    <w:rsid w:val="00320F6A"/>
    <w:rsid w:val="00321681"/>
    <w:rsid w:val="00321A36"/>
    <w:rsid w:val="00321BC6"/>
    <w:rsid w:val="00321ED2"/>
    <w:rsid w:val="00322031"/>
    <w:rsid w:val="003220DA"/>
    <w:rsid w:val="0032230D"/>
    <w:rsid w:val="003224EF"/>
    <w:rsid w:val="003225E1"/>
    <w:rsid w:val="003226D6"/>
    <w:rsid w:val="0032274C"/>
    <w:rsid w:val="0032295A"/>
    <w:rsid w:val="00322ADD"/>
    <w:rsid w:val="00322E33"/>
    <w:rsid w:val="003235E8"/>
    <w:rsid w:val="0032394C"/>
    <w:rsid w:val="0032395E"/>
    <w:rsid w:val="00323AAE"/>
    <w:rsid w:val="00323AC7"/>
    <w:rsid w:val="00323CE5"/>
    <w:rsid w:val="00323D01"/>
    <w:rsid w:val="00323D28"/>
    <w:rsid w:val="003242FE"/>
    <w:rsid w:val="0032449C"/>
    <w:rsid w:val="0032451F"/>
    <w:rsid w:val="003245CD"/>
    <w:rsid w:val="00324759"/>
    <w:rsid w:val="00324AE4"/>
    <w:rsid w:val="00324BC6"/>
    <w:rsid w:val="00325465"/>
    <w:rsid w:val="0032556A"/>
    <w:rsid w:val="00325919"/>
    <w:rsid w:val="00325B51"/>
    <w:rsid w:val="00325E58"/>
    <w:rsid w:val="003262C2"/>
    <w:rsid w:val="00326312"/>
    <w:rsid w:val="0032644D"/>
    <w:rsid w:val="003266D8"/>
    <w:rsid w:val="003266EF"/>
    <w:rsid w:val="00326895"/>
    <w:rsid w:val="00326BD9"/>
    <w:rsid w:val="00326D08"/>
    <w:rsid w:val="00326ED2"/>
    <w:rsid w:val="003273A1"/>
    <w:rsid w:val="00327544"/>
    <w:rsid w:val="0032794A"/>
    <w:rsid w:val="0033017C"/>
    <w:rsid w:val="003301AC"/>
    <w:rsid w:val="003303A9"/>
    <w:rsid w:val="00330528"/>
    <w:rsid w:val="003305A9"/>
    <w:rsid w:val="003306EC"/>
    <w:rsid w:val="00330854"/>
    <w:rsid w:val="0033086A"/>
    <w:rsid w:val="0033097E"/>
    <w:rsid w:val="00330BC2"/>
    <w:rsid w:val="00330CD5"/>
    <w:rsid w:val="00330E6E"/>
    <w:rsid w:val="00330F10"/>
    <w:rsid w:val="00330F2C"/>
    <w:rsid w:val="003310EC"/>
    <w:rsid w:val="003312D5"/>
    <w:rsid w:val="003312EE"/>
    <w:rsid w:val="003314C1"/>
    <w:rsid w:val="003314ED"/>
    <w:rsid w:val="0033162A"/>
    <w:rsid w:val="0033171B"/>
    <w:rsid w:val="00331836"/>
    <w:rsid w:val="003319DA"/>
    <w:rsid w:val="00331A0E"/>
    <w:rsid w:val="00331AB8"/>
    <w:rsid w:val="00331E3E"/>
    <w:rsid w:val="00331EA5"/>
    <w:rsid w:val="003321DB"/>
    <w:rsid w:val="003324EB"/>
    <w:rsid w:val="003326DE"/>
    <w:rsid w:val="00332B6A"/>
    <w:rsid w:val="00332BA6"/>
    <w:rsid w:val="00332E38"/>
    <w:rsid w:val="00332FF5"/>
    <w:rsid w:val="003330AE"/>
    <w:rsid w:val="003332EA"/>
    <w:rsid w:val="003333D1"/>
    <w:rsid w:val="00333677"/>
    <w:rsid w:val="00333C55"/>
    <w:rsid w:val="00333CF4"/>
    <w:rsid w:val="003346B8"/>
    <w:rsid w:val="003346BB"/>
    <w:rsid w:val="00334A00"/>
    <w:rsid w:val="00334A8A"/>
    <w:rsid w:val="00334B6E"/>
    <w:rsid w:val="00334BB3"/>
    <w:rsid w:val="00334D26"/>
    <w:rsid w:val="00334D39"/>
    <w:rsid w:val="003352DA"/>
    <w:rsid w:val="0033530A"/>
    <w:rsid w:val="003354F1"/>
    <w:rsid w:val="00335605"/>
    <w:rsid w:val="0033585F"/>
    <w:rsid w:val="00335F2B"/>
    <w:rsid w:val="00336441"/>
    <w:rsid w:val="003366FF"/>
    <w:rsid w:val="00336813"/>
    <w:rsid w:val="0033684D"/>
    <w:rsid w:val="00336852"/>
    <w:rsid w:val="00336ECA"/>
    <w:rsid w:val="00337015"/>
    <w:rsid w:val="00337071"/>
    <w:rsid w:val="003371B3"/>
    <w:rsid w:val="003371FE"/>
    <w:rsid w:val="00337494"/>
    <w:rsid w:val="003376BC"/>
    <w:rsid w:val="00337A7E"/>
    <w:rsid w:val="00337FA3"/>
    <w:rsid w:val="0034010A"/>
    <w:rsid w:val="0034024D"/>
    <w:rsid w:val="003402A2"/>
    <w:rsid w:val="00340419"/>
    <w:rsid w:val="003404D5"/>
    <w:rsid w:val="00340584"/>
    <w:rsid w:val="00340816"/>
    <w:rsid w:val="00340C35"/>
    <w:rsid w:val="00341112"/>
    <w:rsid w:val="003414FA"/>
    <w:rsid w:val="003417C0"/>
    <w:rsid w:val="003418BB"/>
    <w:rsid w:val="003418D3"/>
    <w:rsid w:val="003419A3"/>
    <w:rsid w:val="00341BC7"/>
    <w:rsid w:val="00341C3A"/>
    <w:rsid w:val="00341CFE"/>
    <w:rsid w:val="00341FA0"/>
    <w:rsid w:val="0034219E"/>
    <w:rsid w:val="003422E2"/>
    <w:rsid w:val="00342418"/>
    <w:rsid w:val="003424E9"/>
    <w:rsid w:val="0034261C"/>
    <w:rsid w:val="0034267E"/>
    <w:rsid w:val="003427BE"/>
    <w:rsid w:val="00342910"/>
    <w:rsid w:val="00342979"/>
    <w:rsid w:val="00342BDB"/>
    <w:rsid w:val="00343448"/>
    <w:rsid w:val="003435A4"/>
    <w:rsid w:val="003436F0"/>
    <w:rsid w:val="00343874"/>
    <w:rsid w:val="003439D2"/>
    <w:rsid w:val="00343AEA"/>
    <w:rsid w:val="00343DB2"/>
    <w:rsid w:val="00344257"/>
    <w:rsid w:val="0034428B"/>
    <w:rsid w:val="003445EB"/>
    <w:rsid w:val="003447A6"/>
    <w:rsid w:val="003448F0"/>
    <w:rsid w:val="003451D4"/>
    <w:rsid w:val="003454BB"/>
    <w:rsid w:val="00345550"/>
    <w:rsid w:val="00345564"/>
    <w:rsid w:val="003455DB"/>
    <w:rsid w:val="00345921"/>
    <w:rsid w:val="00346113"/>
    <w:rsid w:val="003461CE"/>
    <w:rsid w:val="00346589"/>
    <w:rsid w:val="003469BC"/>
    <w:rsid w:val="00346A31"/>
    <w:rsid w:val="00346AEE"/>
    <w:rsid w:val="00346E12"/>
    <w:rsid w:val="00347516"/>
    <w:rsid w:val="0034752F"/>
    <w:rsid w:val="00347593"/>
    <w:rsid w:val="0034790A"/>
    <w:rsid w:val="0034795A"/>
    <w:rsid w:val="00347A0B"/>
    <w:rsid w:val="00347A60"/>
    <w:rsid w:val="00347B3A"/>
    <w:rsid w:val="00347E8B"/>
    <w:rsid w:val="003504F5"/>
    <w:rsid w:val="00350588"/>
    <w:rsid w:val="00350733"/>
    <w:rsid w:val="00350AE4"/>
    <w:rsid w:val="00350BE4"/>
    <w:rsid w:val="00351572"/>
    <w:rsid w:val="00351AD9"/>
    <w:rsid w:val="00351B0A"/>
    <w:rsid w:val="00351D12"/>
    <w:rsid w:val="00351FDC"/>
    <w:rsid w:val="003524E1"/>
    <w:rsid w:val="00352A93"/>
    <w:rsid w:val="00352AE8"/>
    <w:rsid w:val="00352D13"/>
    <w:rsid w:val="00352D15"/>
    <w:rsid w:val="00352D17"/>
    <w:rsid w:val="00352EF4"/>
    <w:rsid w:val="00353485"/>
    <w:rsid w:val="00353954"/>
    <w:rsid w:val="00353B2B"/>
    <w:rsid w:val="00353BB3"/>
    <w:rsid w:val="00353C62"/>
    <w:rsid w:val="00353F3B"/>
    <w:rsid w:val="00353F63"/>
    <w:rsid w:val="00353FF9"/>
    <w:rsid w:val="00354609"/>
    <w:rsid w:val="0035486B"/>
    <w:rsid w:val="00354A52"/>
    <w:rsid w:val="00354A8F"/>
    <w:rsid w:val="00354B81"/>
    <w:rsid w:val="00354CD8"/>
    <w:rsid w:val="00354D23"/>
    <w:rsid w:val="00354DB4"/>
    <w:rsid w:val="0035539A"/>
    <w:rsid w:val="0035599B"/>
    <w:rsid w:val="00355E9E"/>
    <w:rsid w:val="00355FED"/>
    <w:rsid w:val="00356491"/>
    <w:rsid w:val="003564DE"/>
    <w:rsid w:val="003565B4"/>
    <w:rsid w:val="003565F0"/>
    <w:rsid w:val="00356647"/>
    <w:rsid w:val="003566BD"/>
    <w:rsid w:val="003566F2"/>
    <w:rsid w:val="00356802"/>
    <w:rsid w:val="00356CC5"/>
    <w:rsid w:val="00356DC1"/>
    <w:rsid w:val="00356E0A"/>
    <w:rsid w:val="00356ED0"/>
    <w:rsid w:val="0035712A"/>
    <w:rsid w:val="003575F9"/>
    <w:rsid w:val="0035767F"/>
    <w:rsid w:val="003578E2"/>
    <w:rsid w:val="00357A8D"/>
    <w:rsid w:val="00357AD3"/>
    <w:rsid w:val="00357DD1"/>
    <w:rsid w:val="003600EA"/>
    <w:rsid w:val="00360179"/>
    <w:rsid w:val="003601BF"/>
    <w:rsid w:val="0036033C"/>
    <w:rsid w:val="003603A9"/>
    <w:rsid w:val="003604DC"/>
    <w:rsid w:val="00360598"/>
    <w:rsid w:val="003606AF"/>
    <w:rsid w:val="0036070C"/>
    <w:rsid w:val="00360729"/>
    <w:rsid w:val="00360B34"/>
    <w:rsid w:val="00360C8A"/>
    <w:rsid w:val="00360F61"/>
    <w:rsid w:val="00361134"/>
    <w:rsid w:val="00361145"/>
    <w:rsid w:val="003612D6"/>
    <w:rsid w:val="00361315"/>
    <w:rsid w:val="003614FF"/>
    <w:rsid w:val="0036158B"/>
    <w:rsid w:val="00361601"/>
    <w:rsid w:val="00361750"/>
    <w:rsid w:val="00361797"/>
    <w:rsid w:val="003617DF"/>
    <w:rsid w:val="003617E6"/>
    <w:rsid w:val="0036193E"/>
    <w:rsid w:val="00361BB9"/>
    <w:rsid w:val="00361C12"/>
    <w:rsid w:val="00361DBD"/>
    <w:rsid w:val="00362126"/>
    <w:rsid w:val="003622FC"/>
    <w:rsid w:val="00362474"/>
    <w:rsid w:val="003624AD"/>
    <w:rsid w:val="0036260B"/>
    <w:rsid w:val="00362748"/>
    <w:rsid w:val="003627CF"/>
    <w:rsid w:val="00362A05"/>
    <w:rsid w:val="00362AED"/>
    <w:rsid w:val="00362DBF"/>
    <w:rsid w:val="00362FA0"/>
    <w:rsid w:val="00363006"/>
    <w:rsid w:val="003630F7"/>
    <w:rsid w:val="00363482"/>
    <w:rsid w:val="0036350F"/>
    <w:rsid w:val="00363543"/>
    <w:rsid w:val="00363545"/>
    <w:rsid w:val="00363579"/>
    <w:rsid w:val="00363590"/>
    <w:rsid w:val="003638CF"/>
    <w:rsid w:val="003639B7"/>
    <w:rsid w:val="00363BA1"/>
    <w:rsid w:val="00363FD9"/>
    <w:rsid w:val="00364219"/>
    <w:rsid w:val="0036433A"/>
    <w:rsid w:val="003643C0"/>
    <w:rsid w:val="00364665"/>
    <w:rsid w:val="00364806"/>
    <w:rsid w:val="0036480A"/>
    <w:rsid w:val="00364856"/>
    <w:rsid w:val="00364CF1"/>
    <w:rsid w:val="00364F1D"/>
    <w:rsid w:val="00365026"/>
    <w:rsid w:val="0036529C"/>
    <w:rsid w:val="003654CB"/>
    <w:rsid w:val="0036570E"/>
    <w:rsid w:val="00365B98"/>
    <w:rsid w:val="00365C7F"/>
    <w:rsid w:val="00365CE2"/>
    <w:rsid w:val="00365F03"/>
    <w:rsid w:val="00365F2C"/>
    <w:rsid w:val="00365F9C"/>
    <w:rsid w:val="00366205"/>
    <w:rsid w:val="003664C2"/>
    <w:rsid w:val="003664D2"/>
    <w:rsid w:val="003665C4"/>
    <w:rsid w:val="003666FB"/>
    <w:rsid w:val="0036670D"/>
    <w:rsid w:val="0036699B"/>
    <w:rsid w:val="00366B3D"/>
    <w:rsid w:val="00367389"/>
    <w:rsid w:val="003673B5"/>
    <w:rsid w:val="0036753C"/>
    <w:rsid w:val="003675EB"/>
    <w:rsid w:val="0036765E"/>
    <w:rsid w:val="003679E7"/>
    <w:rsid w:val="00367B6C"/>
    <w:rsid w:val="00367BC2"/>
    <w:rsid w:val="00367E6B"/>
    <w:rsid w:val="003700DA"/>
    <w:rsid w:val="00370179"/>
    <w:rsid w:val="0037038C"/>
    <w:rsid w:val="003704AD"/>
    <w:rsid w:val="0037052B"/>
    <w:rsid w:val="00370559"/>
    <w:rsid w:val="003706B3"/>
    <w:rsid w:val="003708EE"/>
    <w:rsid w:val="003708FC"/>
    <w:rsid w:val="00370B28"/>
    <w:rsid w:val="00370F9E"/>
    <w:rsid w:val="00371136"/>
    <w:rsid w:val="00371468"/>
    <w:rsid w:val="003718B6"/>
    <w:rsid w:val="00371918"/>
    <w:rsid w:val="00371C13"/>
    <w:rsid w:val="00371D22"/>
    <w:rsid w:val="00371EFE"/>
    <w:rsid w:val="00371F93"/>
    <w:rsid w:val="00372086"/>
    <w:rsid w:val="00372099"/>
    <w:rsid w:val="0037209E"/>
    <w:rsid w:val="003723C6"/>
    <w:rsid w:val="00372462"/>
    <w:rsid w:val="0037261E"/>
    <w:rsid w:val="0037286D"/>
    <w:rsid w:val="0037292F"/>
    <w:rsid w:val="00372997"/>
    <w:rsid w:val="003729B7"/>
    <w:rsid w:val="00372A99"/>
    <w:rsid w:val="00372AA7"/>
    <w:rsid w:val="00372CC1"/>
    <w:rsid w:val="00372D4E"/>
    <w:rsid w:val="00372DAF"/>
    <w:rsid w:val="003730FD"/>
    <w:rsid w:val="00373144"/>
    <w:rsid w:val="00373553"/>
    <w:rsid w:val="003735D4"/>
    <w:rsid w:val="0037367E"/>
    <w:rsid w:val="0037397A"/>
    <w:rsid w:val="00373AC7"/>
    <w:rsid w:val="00373D76"/>
    <w:rsid w:val="00373DDE"/>
    <w:rsid w:val="00373FA5"/>
    <w:rsid w:val="0037406F"/>
    <w:rsid w:val="003742C3"/>
    <w:rsid w:val="00374762"/>
    <w:rsid w:val="0037484F"/>
    <w:rsid w:val="00374871"/>
    <w:rsid w:val="00374A4B"/>
    <w:rsid w:val="00374BA6"/>
    <w:rsid w:val="00374DEC"/>
    <w:rsid w:val="00374DF8"/>
    <w:rsid w:val="0037506A"/>
    <w:rsid w:val="00375292"/>
    <w:rsid w:val="003755B1"/>
    <w:rsid w:val="003755E4"/>
    <w:rsid w:val="00375675"/>
    <w:rsid w:val="00375990"/>
    <w:rsid w:val="00375CEA"/>
    <w:rsid w:val="00375D0C"/>
    <w:rsid w:val="00375E7C"/>
    <w:rsid w:val="00375F3A"/>
    <w:rsid w:val="00375FA4"/>
    <w:rsid w:val="003760FA"/>
    <w:rsid w:val="00376134"/>
    <w:rsid w:val="0037619F"/>
    <w:rsid w:val="0037632F"/>
    <w:rsid w:val="0037649B"/>
    <w:rsid w:val="00376947"/>
    <w:rsid w:val="0037694F"/>
    <w:rsid w:val="00376EAC"/>
    <w:rsid w:val="00377243"/>
    <w:rsid w:val="003772F4"/>
    <w:rsid w:val="003773F1"/>
    <w:rsid w:val="003777CE"/>
    <w:rsid w:val="0037780E"/>
    <w:rsid w:val="003778E4"/>
    <w:rsid w:val="003802C5"/>
    <w:rsid w:val="00380514"/>
    <w:rsid w:val="0038085F"/>
    <w:rsid w:val="00380B78"/>
    <w:rsid w:val="00380BC0"/>
    <w:rsid w:val="00380FC9"/>
    <w:rsid w:val="0038138F"/>
    <w:rsid w:val="003814B5"/>
    <w:rsid w:val="003817BA"/>
    <w:rsid w:val="003817F8"/>
    <w:rsid w:val="003819A3"/>
    <w:rsid w:val="00381ADC"/>
    <w:rsid w:val="00381AF7"/>
    <w:rsid w:val="00381B6A"/>
    <w:rsid w:val="00381F3A"/>
    <w:rsid w:val="00382195"/>
    <w:rsid w:val="003821DE"/>
    <w:rsid w:val="003822D5"/>
    <w:rsid w:val="003823FD"/>
    <w:rsid w:val="003825DB"/>
    <w:rsid w:val="00382717"/>
    <w:rsid w:val="0038299E"/>
    <w:rsid w:val="00382D6C"/>
    <w:rsid w:val="00383138"/>
    <w:rsid w:val="0038320B"/>
    <w:rsid w:val="00383249"/>
    <w:rsid w:val="003835A1"/>
    <w:rsid w:val="00383928"/>
    <w:rsid w:val="00383996"/>
    <w:rsid w:val="003839F1"/>
    <w:rsid w:val="00383C1B"/>
    <w:rsid w:val="0038421A"/>
    <w:rsid w:val="00384266"/>
    <w:rsid w:val="0038430F"/>
    <w:rsid w:val="003844D9"/>
    <w:rsid w:val="00384659"/>
    <w:rsid w:val="00384DF1"/>
    <w:rsid w:val="0038501A"/>
    <w:rsid w:val="0038516F"/>
    <w:rsid w:val="003851C1"/>
    <w:rsid w:val="0038528B"/>
    <w:rsid w:val="003852B8"/>
    <w:rsid w:val="003853E8"/>
    <w:rsid w:val="0038567E"/>
    <w:rsid w:val="003857B4"/>
    <w:rsid w:val="00385A80"/>
    <w:rsid w:val="00385C4A"/>
    <w:rsid w:val="00385F4F"/>
    <w:rsid w:val="0038609D"/>
    <w:rsid w:val="00386198"/>
    <w:rsid w:val="00386485"/>
    <w:rsid w:val="003866BD"/>
    <w:rsid w:val="003867F1"/>
    <w:rsid w:val="00386976"/>
    <w:rsid w:val="00386C7B"/>
    <w:rsid w:val="003872F6"/>
    <w:rsid w:val="003874BC"/>
    <w:rsid w:val="003877A3"/>
    <w:rsid w:val="003878FB"/>
    <w:rsid w:val="00387943"/>
    <w:rsid w:val="00387B62"/>
    <w:rsid w:val="00387B79"/>
    <w:rsid w:val="00387CC0"/>
    <w:rsid w:val="00387D29"/>
    <w:rsid w:val="0039025F"/>
    <w:rsid w:val="003903BD"/>
    <w:rsid w:val="00390756"/>
    <w:rsid w:val="003909BF"/>
    <w:rsid w:val="00390B4C"/>
    <w:rsid w:val="00391131"/>
    <w:rsid w:val="00391265"/>
    <w:rsid w:val="00391326"/>
    <w:rsid w:val="00391358"/>
    <w:rsid w:val="003913EE"/>
    <w:rsid w:val="003917D4"/>
    <w:rsid w:val="003918DA"/>
    <w:rsid w:val="003919E7"/>
    <w:rsid w:val="00391A85"/>
    <w:rsid w:val="00391DB5"/>
    <w:rsid w:val="00391F1B"/>
    <w:rsid w:val="00392297"/>
    <w:rsid w:val="003925DD"/>
    <w:rsid w:val="00392638"/>
    <w:rsid w:val="0039277C"/>
    <w:rsid w:val="003927EC"/>
    <w:rsid w:val="003929C3"/>
    <w:rsid w:val="00392B2D"/>
    <w:rsid w:val="00392B75"/>
    <w:rsid w:val="00392EC8"/>
    <w:rsid w:val="0039308F"/>
    <w:rsid w:val="003930B7"/>
    <w:rsid w:val="00393F04"/>
    <w:rsid w:val="00393F0A"/>
    <w:rsid w:val="003940C7"/>
    <w:rsid w:val="0039441B"/>
    <w:rsid w:val="003944F8"/>
    <w:rsid w:val="003945FE"/>
    <w:rsid w:val="00394A0F"/>
    <w:rsid w:val="00394E0D"/>
    <w:rsid w:val="00394E86"/>
    <w:rsid w:val="003951B2"/>
    <w:rsid w:val="00395294"/>
    <w:rsid w:val="0039564F"/>
    <w:rsid w:val="003957B4"/>
    <w:rsid w:val="0039587D"/>
    <w:rsid w:val="00395996"/>
    <w:rsid w:val="00395A64"/>
    <w:rsid w:val="00395C28"/>
    <w:rsid w:val="00395CB8"/>
    <w:rsid w:val="00395EB4"/>
    <w:rsid w:val="00395FE9"/>
    <w:rsid w:val="00395FF5"/>
    <w:rsid w:val="003963F5"/>
    <w:rsid w:val="00396511"/>
    <w:rsid w:val="00396686"/>
    <w:rsid w:val="003969D8"/>
    <w:rsid w:val="00396AB7"/>
    <w:rsid w:val="00396B15"/>
    <w:rsid w:val="00396CFA"/>
    <w:rsid w:val="00396F75"/>
    <w:rsid w:val="003970E0"/>
    <w:rsid w:val="00397218"/>
    <w:rsid w:val="00397343"/>
    <w:rsid w:val="0039757C"/>
    <w:rsid w:val="0039762C"/>
    <w:rsid w:val="0039774D"/>
    <w:rsid w:val="00397769"/>
    <w:rsid w:val="00397E86"/>
    <w:rsid w:val="003A04A6"/>
    <w:rsid w:val="003A05A8"/>
    <w:rsid w:val="003A06D2"/>
    <w:rsid w:val="003A07A6"/>
    <w:rsid w:val="003A08D4"/>
    <w:rsid w:val="003A0943"/>
    <w:rsid w:val="003A0B9F"/>
    <w:rsid w:val="003A0C52"/>
    <w:rsid w:val="003A0E73"/>
    <w:rsid w:val="003A0E83"/>
    <w:rsid w:val="003A1008"/>
    <w:rsid w:val="003A115F"/>
    <w:rsid w:val="003A1218"/>
    <w:rsid w:val="003A13D2"/>
    <w:rsid w:val="003A16D4"/>
    <w:rsid w:val="003A1A34"/>
    <w:rsid w:val="003A1A95"/>
    <w:rsid w:val="003A1B34"/>
    <w:rsid w:val="003A1E9F"/>
    <w:rsid w:val="003A1EE4"/>
    <w:rsid w:val="003A1F74"/>
    <w:rsid w:val="003A2204"/>
    <w:rsid w:val="003A2309"/>
    <w:rsid w:val="003A2327"/>
    <w:rsid w:val="003A2675"/>
    <w:rsid w:val="003A26C9"/>
    <w:rsid w:val="003A26F1"/>
    <w:rsid w:val="003A2A37"/>
    <w:rsid w:val="003A2B24"/>
    <w:rsid w:val="003A2BCA"/>
    <w:rsid w:val="003A2D62"/>
    <w:rsid w:val="003A30C3"/>
    <w:rsid w:val="003A32C1"/>
    <w:rsid w:val="003A3317"/>
    <w:rsid w:val="003A33E2"/>
    <w:rsid w:val="003A34AC"/>
    <w:rsid w:val="003A35D2"/>
    <w:rsid w:val="003A35E2"/>
    <w:rsid w:val="003A384A"/>
    <w:rsid w:val="003A3CE1"/>
    <w:rsid w:val="003A3DA1"/>
    <w:rsid w:val="003A4169"/>
    <w:rsid w:val="003A41F2"/>
    <w:rsid w:val="003A41F9"/>
    <w:rsid w:val="003A43F8"/>
    <w:rsid w:val="003A445E"/>
    <w:rsid w:val="003A4467"/>
    <w:rsid w:val="003A4544"/>
    <w:rsid w:val="003A4F09"/>
    <w:rsid w:val="003A4FEE"/>
    <w:rsid w:val="003A5512"/>
    <w:rsid w:val="003A58DA"/>
    <w:rsid w:val="003A5961"/>
    <w:rsid w:val="003A596D"/>
    <w:rsid w:val="003A5CE5"/>
    <w:rsid w:val="003A5F98"/>
    <w:rsid w:val="003A61AE"/>
    <w:rsid w:val="003A621B"/>
    <w:rsid w:val="003A6403"/>
    <w:rsid w:val="003A6487"/>
    <w:rsid w:val="003A6702"/>
    <w:rsid w:val="003A6B74"/>
    <w:rsid w:val="003A6BBB"/>
    <w:rsid w:val="003A6DED"/>
    <w:rsid w:val="003A6F50"/>
    <w:rsid w:val="003A7084"/>
    <w:rsid w:val="003A71B2"/>
    <w:rsid w:val="003A72EE"/>
    <w:rsid w:val="003A72EF"/>
    <w:rsid w:val="003A7517"/>
    <w:rsid w:val="003A7659"/>
    <w:rsid w:val="003A774B"/>
    <w:rsid w:val="003A79C6"/>
    <w:rsid w:val="003A79EA"/>
    <w:rsid w:val="003A7A0B"/>
    <w:rsid w:val="003A7B86"/>
    <w:rsid w:val="003A7FE7"/>
    <w:rsid w:val="003B0566"/>
    <w:rsid w:val="003B0678"/>
    <w:rsid w:val="003B0884"/>
    <w:rsid w:val="003B097A"/>
    <w:rsid w:val="003B0AC1"/>
    <w:rsid w:val="003B0C13"/>
    <w:rsid w:val="003B0C98"/>
    <w:rsid w:val="003B0EEC"/>
    <w:rsid w:val="003B1240"/>
    <w:rsid w:val="003B1563"/>
    <w:rsid w:val="003B169F"/>
    <w:rsid w:val="003B171E"/>
    <w:rsid w:val="003B1723"/>
    <w:rsid w:val="003B17C8"/>
    <w:rsid w:val="003B1A7D"/>
    <w:rsid w:val="003B1F09"/>
    <w:rsid w:val="003B1FCD"/>
    <w:rsid w:val="003B2058"/>
    <w:rsid w:val="003B2080"/>
    <w:rsid w:val="003B2549"/>
    <w:rsid w:val="003B271B"/>
    <w:rsid w:val="003B2734"/>
    <w:rsid w:val="003B2CD1"/>
    <w:rsid w:val="003B2CD4"/>
    <w:rsid w:val="003B2D03"/>
    <w:rsid w:val="003B2F18"/>
    <w:rsid w:val="003B3011"/>
    <w:rsid w:val="003B3016"/>
    <w:rsid w:val="003B3182"/>
    <w:rsid w:val="003B3460"/>
    <w:rsid w:val="003B38C6"/>
    <w:rsid w:val="003B3AAD"/>
    <w:rsid w:val="003B3AD7"/>
    <w:rsid w:val="003B3E29"/>
    <w:rsid w:val="003B3EFF"/>
    <w:rsid w:val="003B4266"/>
    <w:rsid w:val="003B4463"/>
    <w:rsid w:val="003B450D"/>
    <w:rsid w:val="003B4677"/>
    <w:rsid w:val="003B486D"/>
    <w:rsid w:val="003B4A03"/>
    <w:rsid w:val="003B4ACE"/>
    <w:rsid w:val="003B4CFD"/>
    <w:rsid w:val="003B4F7C"/>
    <w:rsid w:val="003B4FAD"/>
    <w:rsid w:val="003B4FE8"/>
    <w:rsid w:val="003B5074"/>
    <w:rsid w:val="003B53BD"/>
    <w:rsid w:val="003B5505"/>
    <w:rsid w:val="003B56E9"/>
    <w:rsid w:val="003B56F0"/>
    <w:rsid w:val="003B5915"/>
    <w:rsid w:val="003B5A2F"/>
    <w:rsid w:val="003B5A75"/>
    <w:rsid w:val="003B5DD3"/>
    <w:rsid w:val="003B5E1B"/>
    <w:rsid w:val="003B5F13"/>
    <w:rsid w:val="003B6126"/>
    <w:rsid w:val="003B63C7"/>
    <w:rsid w:val="003B65B6"/>
    <w:rsid w:val="003B6A8A"/>
    <w:rsid w:val="003B6B5A"/>
    <w:rsid w:val="003B70E8"/>
    <w:rsid w:val="003B7213"/>
    <w:rsid w:val="003B7305"/>
    <w:rsid w:val="003B7494"/>
    <w:rsid w:val="003B74CE"/>
    <w:rsid w:val="003B75EF"/>
    <w:rsid w:val="003B7907"/>
    <w:rsid w:val="003B7979"/>
    <w:rsid w:val="003B7AA8"/>
    <w:rsid w:val="003B7C53"/>
    <w:rsid w:val="003B7E89"/>
    <w:rsid w:val="003B7FF8"/>
    <w:rsid w:val="003C0069"/>
    <w:rsid w:val="003C0589"/>
    <w:rsid w:val="003C05D5"/>
    <w:rsid w:val="003C06B6"/>
    <w:rsid w:val="003C0737"/>
    <w:rsid w:val="003C07C7"/>
    <w:rsid w:val="003C0950"/>
    <w:rsid w:val="003C09B8"/>
    <w:rsid w:val="003C0B2D"/>
    <w:rsid w:val="003C0DC2"/>
    <w:rsid w:val="003C1028"/>
    <w:rsid w:val="003C1062"/>
    <w:rsid w:val="003C1182"/>
    <w:rsid w:val="003C1262"/>
    <w:rsid w:val="003C137F"/>
    <w:rsid w:val="003C1671"/>
    <w:rsid w:val="003C16C1"/>
    <w:rsid w:val="003C1702"/>
    <w:rsid w:val="003C1733"/>
    <w:rsid w:val="003C1A18"/>
    <w:rsid w:val="003C1D10"/>
    <w:rsid w:val="003C2007"/>
    <w:rsid w:val="003C200B"/>
    <w:rsid w:val="003C2037"/>
    <w:rsid w:val="003C2186"/>
    <w:rsid w:val="003C2356"/>
    <w:rsid w:val="003C25FB"/>
    <w:rsid w:val="003C2706"/>
    <w:rsid w:val="003C293D"/>
    <w:rsid w:val="003C2954"/>
    <w:rsid w:val="003C2979"/>
    <w:rsid w:val="003C29F0"/>
    <w:rsid w:val="003C2B17"/>
    <w:rsid w:val="003C2E29"/>
    <w:rsid w:val="003C3039"/>
    <w:rsid w:val="003C314A"/>
    <w:rsid w:val="003C31F6"/>
    <w:rsid w:val="003C3258"/>
    <w:rsid w:val="003C33D0"/>
    <w:rsid w:val="003C361D"/>
    <w:rsid w:val="003C3721"/>
    <w:rsid w:val="003C37E6"/>
    <w:rsid w:val="003C3B09"/>
    <w:rsid w:val="003C428D"/>
    <w:rsid w:val="003C42CC"/>
    <w:rsid w:val="003C43FC"/>
    <w:rsid w:val="003C47A9"/>
    <w:rsid w:val="003C48AA"/>
    <w:rsid w:val="003C48CA"/>
    <w:rsid w:val="003C4DE8"/>
    <w:rsid w:val="003C4E5C"/>
    <w:rsid w:val="003C50FD"/>
    <w:rsid w:val="003C51BD"/>
    <w:rsid w:val="003C51E9"/>
    <w:rsid w:val="003C531D"/>
    <w:rsid w:val="003C5488"/>
    <w:rsid w:val="003C548D"/>
    <w:rsid w:val="003C5840"/>
    <w:rsid w:val="003C5ADE"/>
    <w:rsid w:val="003C6055"/>
    <w:rsid w:val="003C644B"/>
    <w:rsid w:val="003C65A4"/>
    <w:rsid w:val="003C667D"/>
    <w:rsid w:val="003C688C"/>
    <w:rsid w:val="003C6E64"/>
    <w:rsid w:val="003C6F98"/>
    <w:rsid w:val="003C7106"/>
    <w:rsid w:val="003C71B7"/>
    <w:rsid w:val="003C738D"/>
    <w:rsid w:val="003C7546"/>
    <w:rsid w:val="003C76AD"/>
    <w:rsid w:val="003C7700"/>
    <w:rsid w:val="003C771C"/>
    <w:rsid w:val="003C7A84"/>
    <w:rsid w:val="003C7B1B"/>
    <w:rsid w:val="003C7C27"/>
    <w:rsid w:val="003C7CC3"/>
    <w:rsid w:val="003C7EC6"/>
    <w:rsid w:val="003C7EF7"/>
    <w:rsid w:val="003D0045"/>
    <w:rsid w:val="003D03F8"/>
    <w:rsid w:val="003D0910"/>
    <w:rsid w:val="003D0C9A"/>
    <w:rsid w:val="003D0D10"/>
    <w:rsid w:val="003D1076"/>
    <w:rsid w:val="003D10FE"/>
    <w:rsid w:val="003D119B"/>
    <w:rsid w:val="003D1351"/>
    <w:rsid w:val="003D1539"/>
    <w:rsid w:val="003D1753"/>
    <w:rsid w:val="003D17BC"/>
    <w:rsid w:val="003D1B00"/>
    <w:rsid w:val="003D1BC1"/>
    <w:rsid w:val="003D1CDB"/>
    <w:rsid w:val="003D1D7B"/>
    <w:rsid w:val="003D1DF8"/>
    <w:rsid w:val="003D1F59"/>
    <w:rsid w:val="003D2215"/>
    <w:rsid w:val="003D250F"/>
    <w:rsid w:val="003D2587"/>
    <w:rsid w:val="003D25BE"/>
    <w:rsid w:val="003D284C"/>
    <w:rsid w:val="003D2AED"/>
    <w:rsid w:val="003D2FDD"/>
    <w:rsid w:val="003D31B7"/>
    <w:rsid w:val="003D34A8"/>
    <w:rsid w:val="003D3882"/>
    <w:rsid w:val="003D3A29"/>
    <w:rsid w:val="003D3A47"/>
    <w:rsid w:val="003D3B9F"/>
    <w:rsid w:val="003D3C55"/>
    <w:rsid w:val="003D3CB9"/>
    <w:rsid w:val="003D3D9B"/>
    <w:rsid w:val="003D4118"/>
    <w:rsid w:val="003D42A5"/>
    <w:rsid w:val="003D4320"/>
    <w:rsid w:val="003D4327"/>
    <w:rsid w:val="003D43AA"/>
    <w:rsid w:val="003D4701"/>
    <w:rsid w:val="003D4A41"/>
    <w:rsid w:val="003D4B28"/>
    <w:rsid w:val="003D4D6C"/>
    <w:rsid w:val="003D4DE7"/>
    <w:rsid w:val="003D53A3"/>
    <w:rsid w:val="003D5545"/>
    <w:rsid w:val="003D5569"/>
    <w:rsid w:val="003D5C02"/>
    <w:rsid w:val="003D6209"/>
    <w:rsid w:val="003D64DD"/>
    <w:rsid w:val="003D67CE"/>
    <w:rsid w:val="003D6AD2"/>
    <w:rsid w:val="003D6AF5"/>
    <w:rsid w:val="003D6C97"/>
    <w:rsid w:val="003D70A1"/>
    <w:rsid w:val="003D714D"/>
    <w:rsid w:val="003D71DD"/>
    <w:rsid w:val="003D73E3"/>
    <w:rsid w:val="003D7462"/>
    <w:rsid w:val="003D74ED"/>
    <w:rsid w:val="003D76AE"/>
    <w:rsid w:val="003D790E"/>
    <w:rsid w:val="003D7FF8"/>
    <w:rsid w:val="003E0059"/>
    <w:rsid w:val="003E0187"/>
    <w:rsid w:val="003E026B"/>
    <w:rsid w:val="003E044B"/>
    <w:rsid w:val="003E0640"/>
    <w:rsid w:val="003E08A5"/>
    <w:rsid w:val="003E0BBC"/>
    <w:rsid w:val="003E0BED"/>
    <w:rsid w:val="003E0E46"/>
    <w:rsid w:val="003E1355"/>
    <w:rsid w:val="003E1693"/>
    <w:rsid w:val="003E183A"/>
    <w:rsid w:val="003E19C4"/>
    <w:rsid w:val="003E1A35"/>
    <w:rsid w:val="003E1B45"/>
    <w:rsid w:val="003E1C4C"/>
    <w:rsid w:val="003E1C53"/>
    <w:rsid w:val="003E1F59"/>
    <w:rsid w:val="003E1F6B"/>
    <w:rsid w:val="003E1FEF"/>
    <w:rsid w:val="003E240F"/>
    <w:rsid w:val="003E2789"/>
    <w:rsid w:val="003E29E8"/>
    <w:rsid w:val="003E2D0A"/>
    <w:rsid w:val="003E2EAC"/>
    <w:rsid w:val="003E2F6E"/>
    <w:rsid w:val="003E322E"/>
    <w:rsid w:val="003E332A"/>
    <w:rsid w:val="003E343B"/>
    <w:rsid w:val="003E37DC"/>
    <w:rsid w:val="003E3883"/>
    <w:rsid w:val="003E389E"/>
    <w:rsid w:val="003E3935"/>
    <w:rsid w:val="003E39FB"/>
    <w:rsid w:val="003E3A62"/>
    <w:rsid w:val="003E3A86"/>
    <w:rsid w:val="003E3BBE"/>
    <w:rsid w:val="003E3C23"/>
    <w:rsid w:val="003E3CB6"/>
    <w:rsid w:val="003E3CBD"/>
    <w:rsid w:val="003E4340"/>
    <w:rsid w:val="003E446B"/>
    <w:rsid w:val="003E45CE"/>
    <w:rsid w:val="003E4644"/>
    <w:rsid w:val="003E4691"/>
    <w:rsid w:val="003E4769"/>
    <w:rsid w:val="003E477E"/>
    <w:rsid w:val="003E49C5"/>
    <w:rsid w:val="003E4B40"/>
    <w:rsid w:val="003E4D08"/>
    <w:rsid w:val="003E4EEE"/>
    <w:rsid w:val="003E536D"/>
    <w:rsid w:val="003E542A"/>
    <w:rsid w:val="003E54AA"/>
    <w:rsid w:val="003E555B"/>
    <w:rsid w:val="003E5704"/>
    <w:rsid w:val="003E5BDD"/>
    <w:rsid w:val="003E5C0C"/>
    <w:rsid w:val="003E5D99"/>
    <w:rsid w:val="003E657B"/>
    <w:rsid w:val="003E6B08"/>
    <w:rsid w:val="003E6B0F"/>
    <w:rsid w:val="003E6B71"/>
    <w:rsid w:val="003E6DA1"/>
    <w:rsid w:val="003E70B8"/>
    <w:rsid w:val="003E70DC"/>
    <w:rsid w:val="003E7106"/>
    <w:rsid w:val="003E72CD"/>
    <w:rsid w:val="003E7521"/>
    <w:rsid w:val="003E7C1B"/>
    <w:rsid w:val="003E7E18"/>
    <w:rsid w:val="003E7E64"/>
    <w:rsid w:val="003E7EF3"/>
    <w:rsid w:val="003F003A"/>
    <w:rsid w:val="003F0273"/>
    <w:rsid w:val="003F046D"/>
    <w:rsid w:val="003F06D2"/>
    <w:rsid w:val="003F08F0"/>
    <w:rsid w:val="003F08FF"/>
    <w:rsid w:val="003F0B0F"/>
    <w:rsid w:val="003F0CF0"/>
    <w:rsid w:val="003F0E5D"/>
    <w:rsid w:val="003F1005"/>
    <w:rsid w:val="003F1547"/>
    <w:rsid w:val="003F158F"/>
    <w:rsid w:val="003F15C9"/>
    <w:rsid w:val="003F15FF"/>
    <w:rsid w:val="003F1624"/>
    <w:rsid w:val="003F174B"/>
    <w:rsid w:val="003F1B08"/>
    <w:rsid w:val="003F1F5B"/>
    <w:rsid w:val="003F23CE"/>
    <w:rsid w:val="003F24D7"/>
    <w:rsid w:val="003F256F"/>
    <w:rsid w:val="003F26CB"/>
    <w:rsid w:val="003F26F9"/>
    <w:rsid w:val="003F2BF0"/>
    <w:rsid w:val="003F2DAC"/>
    <w:rsid w:val="003F2E0C"/>
    <w:rsid w:val="003F3000"/>
    <w:rsid w:val="003F3054"/>
    <w:rsid w:val="003F3136"/>
    <w:rsid w:val="003F3358"/>
    <w:rsid w:val="003F338A"/>
    <w:rsid w:val="003F338F"/>
    <w:rsid w:val="003F33C2"/>
    <w:rsid w:val="003F33C8"/>
    <w:rsid w:val="003F340D"/>
    <w:rsid w:val="003F3498"/>
    <w:rsid w:val="003F3600"/>
    <w:rsid w:val="003F362E"/>
    <w:rsid w:val="003F36E5"/>
    <w:rsid w:val="003F391F"/>
    <w:rsid w:val="003F3D2D"/>
    <w:rsid w:val="003F3E35"/>
    <w:rsid w:val="003F3F2B"/>
    <w:rsid w:val="003F4200"/>
    <w:rsid w:val="003F4241"/>
    <w:rsid w:val="003F4548"/>
    <w:rsid w:val="003F4630"/>
    <w:rsid w:val="003F46A2"/>
    <w:rsid w:val="003F47E2"/>
    <w:rsid w:val="003F49F2"/>
    <w:rsid w:val="003F4C84"/>
    <w:rsid w:val="003F4DD1"/>
    <w:rsid w:val="003F4E54"/>
    <w:rsid w:val="003F4EAE"/>
    <w:rsid w:val="003F54DA"/>
    <w:rsid w:val="003F57DB"/>
    <w:rsid w:val="003F584E"/>
    <w:rsid w:val="003F5909"/>
    <w:rsid w:val="003F5A1E"/>
    <w:rsid w:val="003F5AE0"/>
    <w:rsid w:val="003F5E1F"/>
    <w:rsid w:val="003F6072"/>
    <w:rsid w:val="003F6082"/>
    <w:rsid w:val="003F61D8"/>
    <w:rsid w:val="003F62C6"/>
    <w:rsid w:val="003F646F"/>
    <w:rsid w:val="003F66EB"/>
    <w:rsid w:val="003F67DD"/>
    <w:rsid w:val="003F695B"/>
    <w:rsid w:val="003F6E0D"/>
    <w:rsid w:val="003F6E97"/>
    <w:rsid w:val="003F6F1D"/>
    <w:rsid w:val="003F7062"/>
    <w:rsid w:val="003F71F1"/>
    <w:rsid w:val="003F7222"/>
    <w:rsid w:val="003F75CF"/>
    <w:rsid w:val="003F773D"/>
    <w:rsid w:val="003F7829"/>
    <w:rsid w:val="003F7860"/>
    <w:rsid w:val="003F7897"/>
    <w:rsid w:val="003F78F7"/>
    <w:rsid w:val="003F798F"/>
    <w:rsid w:val="003F7B8F"/>
    <w:rsid w:val="0040007C"/>
    <w:rsid w:val="0040043A"/>
    <w:rsid w:val="00400493"/>
    <w:rsid w:val="0040092C"/>
    <w:rsid w:val="00400D5E"/>
    <w:rsid w:val="00400E03"/>
    <w:rsid w:val="00400FF4"/>
    <w:rsid w:val="00401019"/>
    <w:rsid w:val="0040112D"/>
    <w:rsid w:val="00401150"/>
    <w:rsid w:val="00401468"/>
    <w:rsid w:val="004014FE"/>
    <w:rsid w:val="00401C4E"/>
    <w:rsid w:val="00401CED"/>
    <w:rsid w:val="00401D20"/>
    <w:rsid w:val="00402563"/>
    <w:rsid w:val="0040259C"/>
    <w:rsid w:val="004026DD"/>
    <w:rsid w:val="00402727"/>
    <w:rsid w:val="00402ABA"/>
    <w:rsid w:val="004031D7"/>
    <w:rsid w:val="004031EB"/>
    <w:rsid w:val="004031F5"/>
    <w:rsid w:val="00403202"/>
    <w:rsid w:val="00403248"/>
    <w:rsid w:val="00403558"/>
    <w:rsid w:val="004036E5"/>
    <w:rsid w:val="00403A45"/>
    <w:rsid w:val="00403AC5"/>
    <w:rsid w:val="00403CC5"/>
    <w:rsid w:val="00403DC2"/>
    <w:rsid w:val="00403E6A"/>
    <w:rsid w:val="004042D9"/>
    <w:rsid w:val="00404579"/>
    <w:rsid w:val="00404733"/>
    <w:rsid w:val="0040476E"/>
    <w:rsid w:val="004048A1"/>
    <w:rsid w:val="00404BF3"/>
    <w:rsid w:val="00404F05"/>
    <w:rsid w:val="00405229"/>
    <w:rsid w:val="004053DF"/>
    <w:rsid w:val="00405475"/>
    <w:rsid w:val="004056FA"/>
    <w:rsid w:val="0040595C"/>
    <w:rsid w:val="00405AC6"/>
    <w:rsid w:val="00405BBD"/>
    <w:rsid w:val="00405BF4"/>
    <w:rsid w:val="00406130"/>
    <w:rsid w:val="00406375"/>
    <w:rsid w:val="00406430"/>
    <w:rsid w:val="00406642"/>
    <w:rsid w:val="004066AC"/>
    <w:rsid w:val="004066CD"/>
    <w:rsid w:val="004066F6"/>
    <w:rsid w:val="00406702"/>
    <w:rsid w:val="00406B02"/>
    <w:rsid w:val="00406E4E"/>
    <w:rsid w:val="00406E67"/>
    <w:rsid w:val="00406E6C"/>
    <w:rsid w:val="00407059"/>
    <w:rsid w:val="00407172"/>
    <w:rsid w:val="00407348"/>
    <w:rsid w:val="004073C2"/>
    <w:rsid w:val="0040792D"/>
    <w:rsid w:val="00407A26"/>
    <w:rsid w:val="00407E15"/>
    <w:rsid w:val="00407EB4"/>
    <w:rsid w:val="004100BA"/>
    <w:rsid w:val="00410253"/>
    <w:rsid w:val="00410703"/>
    <w:rsid w:val="0041070F"/>
    <w:rsid w:val="00410733"/>
    <w:rsid w:val="004109A9"/>
    <w:rsid w:val="004109B8"/>
    <w:rsid w:val="00410D17"/>
    <w:rsid w:val="00410DF1"/>
    <w:rsid w:val="004111F1"/>
    <w:rsid w:val="004113F1"/>
    <w:rsid w:val="004114EE"/>
    <w:rsid w:val="00411CA5"/>
    <w:rsid w:val="00411D2C"/>
    <w:rsid w:val="004122C6"/>
    <w:rsid w:val="004126F3"/>
    <w:rsid w:val="004128E4"/>
    <w:rsid w:val="00412E12"/>
    <w:rsid w:val="00412F8E"/>
    <w:rsid w:val="004131DA"/>
    <w:rsid w:val="0041355E"/>
    <w:rsid w:val="00413A76"/>
    <w:rsid w:val="00414103"/>
    <w:rsid w:val="0041424C"/>
    <w:rsid w:val="004142CB"/>
    <w:rsid w:val="00414320"/>
    <w:rsid w:val="0041433C"/>
    <w:rsid w:val="004144BB"/>
    <w:rsid w:val="00414596"/>
    <w:rsid w:val="00414810"/>
    <w:rsid w:val="0041484E"/>
    <w:rsid w:val="004149B3"/>
    <w:rsid w:val="00414AF1"/>
    <w:rsid w:val="00414E58"/>
    <w:rsid w:val="00414F24"/>
    <w:rsid w:val="00415268"/>
    <w:rsid w:val="0041529E"/>
    <w:rsid w:val="00415665"/>
    <w:rsid w:val="0041566A"/>
    <w:rsid w:val="0041566D"/>
    <w:rsid w:val="0041569F"/>
    <w:rsid w:val="004156FD"/>
    <w:rsid w:val="004159BD"/>
    <w:rsid w:val="00415B91"/>
    <w:rsid w:val="00415D56"/>
    <w:rsid w:val="00415F4F"/>
    <w:rsid w:val="00415FD0"/>
    <w:rsid w:val="004160DD"/>
    <w:rsid w:val="004162C3"/>
    <w:rsid w:val="00416323"/>
    <w:rsid w:val="004163D2"/>
    <w:rsid w:val="0041689F"/>
    <w:rsid w:val="00416AA1"/>
    <w:rsid w:val="00416D7A"/>
    <w:rsid w:val="00417645"/>
    <w:rsid w:val="004178BA"/>
    <w:rsid w:val="0041792C"/>
    <w:rsid w:val="00417A9C"/>
    <w:rsid w:val="00417AFC"/>
    <w:rsid w:val="00417CBF"/>
    <w:rsid w:val="00417E43"/>
    <w:rsid w:val="00417FB7"/>
    <w:rsid w:val="00417FE7"/>
    <w:rsid w:val="004200CF"/>
    <w:rsid w:val="004200FA"/>
    <w:rsid w:val="004202F3"/>
    <w:rsid w:val="00420593"/>
    <w:rsid w:val="00420745"/>
    <w:rsid w:val="00420A6A"/>
    <w:rsid w:val="00420AE9"/>
    <w:rsid w:val="00420E8E"/>
    <w:rsid w:val="00421274"/>
    <w:rsid w:val="00421473"/>
    <w:rsid w:val="004218C2"/>
    <w:rsid w:val="00421CB2"/>
    <w:rsid w:val="00421F93"/>
    <w:rsid w:val="0042222B"/>
    <w:rsid w:val="00422582"/>
    <w:rsid w:val="0042264C"/>
    <w:rsid w:val="004228F9"/>
    <w:rsid w:val="004229FB"/>
    <w:rsid w:val="00422BDB"/>
    <w:rsid w:val="00422D19"/>
    <w:rsid w:val="00422DD2"/>
    <w:rsid w:val="00422F0F"/>
    <w:rsid w:val="00422FA6"/>
    <w:rsid w:val="0042320E"/>
    <w:rsid w:val="00423597"/>
    <w:rsid w:val="004236AF"/>
    <w:rsid w:val="00423863"/>
    <w:rsid w:val="00423B1C"/>
    <w:rsid w:val="00423BD7"/>
    <w:rsid w:val="00423C53"/>
    <w:rsid w:val="00423D63"/>
    <w:rsid w:val="00423DD4"/>
    <w:rsid w:val="00424074"/>
    <w:rsid w:val="004240D4"/>
    <w:rsid w:val="00424278"/>
    <w:rsid w:val="00424339"/>
    <w:rsid w:val="004244EE"/>
    <w:rsid w:val="00424500"/>
    <w:rsid w:val="004245A5"/>
    <w:rsid w:val="00424865"/>
    <w:rsid w:val="00424B43"/>
    <w:rsid w:val="00424B66"/>
    <w:rsid w:val="00424C09"/>
    <w:rsid w:val="00424CE3"/>
    <w:rsid w:val="00424E8B"/>
    <w:rsid w:val="00425030"/>
    <w:rsid w:val="0042540C"/>
    <w:rsid w:val="0042557C"/>
    <w:rsid w:val="00425A08"/>
    <w:rsid w:val="00425A0C"/>
    <w:rsid w:val="00425E4F"/>
    <w:rsid w:val="00425FC4"/>
    <w:rsid w:val="00426141"/>
    <w:rsid w:val="004262E8"/>
    <w:rsid w:val="004262FD"/>
    <w:rsid w:val="00426A84"/>
    <w:rsid w:val="00426BC5"/>
    <w:rsid w:val="00426DAC"/>
    <w:rsid w:val="00426E38"/>
    <w:rsid w:val="00426FE2"/>
    <w:rsid w:val="00427114"/>
    <w:rsid w:val="004277D1"/>
    <w:rsid w:val="004278F5"/>
    <w:rsid w:val="00427CAE"/>
    <w:rsid w:val="00427EAC"/>
    <w:rsid w:val="00427FE9"/>
    <w:rsid w:val="004301CE"/>
    <w:rsid w:val="004303E2"/>
    <w:rsid w:val="00430514"/>
    <w:rsid w:val="00430573"/>
    <w:rsid w:val="0043063E"/>
    <w:rsid w:val="004306BA"/>
    <w:rsid w:val="00430712"/>
    <w:rsid w:val="004309BF"/>
    <w:rsid w:val="00430C95"/>
    <w:rsid w:val="00430E56"/>
    <w:rsid w:val="00430E86"/>
    <w:rsid w:val="00431053"/>
    <w:rsid w:val="00431213"/>
    <w:rsid w:val="00431353"/>
    <w:rsid w:val="004318B5"/>
    <w:rsid w:val="00431C36"/>
    <w:rsid w:val="00431D55"/>
    <w:rsid w:val="00431E84"/>
    <w:rsid w:val="00431FBE"/>
    <w:rsid w:val="00431FF8"/>
    <w:rsid w:val="004320DB"/>
    <w:rsid w:val="004322D6"/>
    <w:rsid w:val="00432310"/>
    <w:rsid w:val="004324FB"/>
    <w:rsid w:val="00432741"/>
    <w:rsid w:val="00432760"/>
    <w:rsid w:val="004328F0"/>
    <w:rsid w:val="00432AC9"/>
    <w:rsid w:val="00432CA2"/>
    <w:rsid w:val="00432D45"/>
    <w:rsid w:val="00432ED1"/>
    <w:rsid w:val="0043321E"/>
    <w:rsid w:val="004334BB"/>
    <w:rsid w:val="0043368E"/>
    <w:rsid w:val="0043380F"/>
    <w:rsid w:val="00433850"/>
    <w:rsid w:val="00433954"/>
    <w:rsid w:val="00433A7B"/>
    <w:rsid w:val="00433E10"/>
    <w:rsid w:val="00433EBD"/>
    <w:rsid w:val="00433FF8"/>
    <w:rsid w:val="00434347"/>
    <w:rsid w:val="00434917"/>
    <w:rsid w:val="00434A02"/>
    <w:rsid w:val="00434A61"/>
    <w:rsid w:val="004351EE"/>
    <w:rsid w:val="004354C9"/>
    <w:rsid w:val="00435653"/>
    <w:rsid w:val="004356A6"/>
    <w:rsid w:val="004358E8"/>
    <w:rsid w:val="00435B05"/>
    <w:rsid w:val="00435B83"/>
    <w:rsid w:val="00435E10"/>
    <w:rsid w:val="00435F37"/>
    <w:rsid w:val="004364B5"/>
    <w:rsid w:val="00436745"/>
    <w:rsid w:val="00436A02"/>
    <w:rsid w:val="00436D97"/>
    <w:rsid w:val="00436FFA"/>
    <w:rsid w:val="0043712E"/>
    <w:rsid w:val="004371C9"/>
    <w:rsid w:val="004372F1"/>
    <w:rsid w:val="004373E7"/>
    <w:rsid w:val="00437745"/>
    <w:rsid w:val="004377E8"/>
    <w:rsid w:val="004379A3"/>
    <w:rsid w:val="00437E08"/>
    <w:rsid w:val="00437F14"/>
    <w:rsid w:val="00437FD2"/>
    <w:rsid w:val="00440040"/>
    <w:rsid w:val="00440080"/>
    <w:rsid w:val="0044015F"/>
    <w:rsid w:val="0044028E"/>
    <w:rsid w:val="00440565"/>
    <w:rsid w:val="004406DA"/>
    <w:rsid w:val="004407F7"/>
    <w:rsid w:val="0044085F"/>
    <w:rsid w:val="00440A9C"/>
    <w:rsid w:val="00440D08"/>
    <w:rsid w:val="00440EA7"/>
    <w:rsid w:val="00441042"/>
    <w:rsid w:val="0044110E"/>
    <w:rsid w:val="0044134D"/>
    <w:rsid w:val="004417E1"/>
    <w:rsid w:val="00441805"/>
    <w:rsid w:val="00441888"/>
    <w:rsid w:val="00441AEE"/>
    <w:rsid w:val="00441B66"/>
    <w:rsid w:val="00441CF3"/>
    <w:rsid w:val="00441D8D"/>
    <w:rsid w:val="00441EE0"/>
    <w:rsid w:val="00442159"/>
    <w:rsid w:val="00442539"/>
    <w:rsid w:val="004425B2"/>
    <w:rsid w:val="00442918"/>
    <w:rsid w:val="0044293E"/>
    <w:rsid w:val="00442A1A"/>
    <w:rsid w:val="00442B9B"/>
    <w:rsid w:val="00442BBD"/>
    <w:rsid w:val="00442C6A"/>
    <w:rsid w:val="00443426"/>
    <w:rsid w:val="00443939"/>
    <w:rsid w:val="00443977"/>
    <w:rsid w:val="004439A4"/>
    <w:rsid w:val="00443BBB"/>
    <w:rsid w:val="00443F08"/>
    <w:rsid w:val="0044432B"/>
    <w:rsid w:val="00444693"/>
    <w:rsid w:val="004446D8"/>
    <w:rsid w:val="0044499B"/>
    <w:rsid w:val="00444B6E"/>
    <w:rsid w:val="00444CEC"/>
    <w:rsid w:val="00444E24"/>
    <w:rsid w:val="00444F9D"/>
    <w:rsid w:val="00444FA3"/>
    <w:rsid w:val="004450F5"/>
    <w:rsid w:val="00445242"/>
    <w:rsid w:val="0044583C"/>
    <w:rsid w:val="00445A52"/>
    <w:rsid w:val="00445A85"/>
    <w:rsid w:val="00445F32"/>
    <w:rsid w:val="004460CC"/>
    <w:rsid w:val="00446579"/>
    <w:rsid w:val="00446719"/>
    <w:rsid w:val="0044679E"/>
    <w:rsid w:val="0044681A"/>
    <w:rsid w:val="0044696D"/>
    <w:rsid w:val="00446A06"/>
    <w:rsid w:val="00446AF5"/>
    <w:rsid w:val="00446B14"/>
    <w:rsid w:val="004474A3"/>
    <w:rsid w:val="004474BD"/>
    <w:rsid w:val="004476DC"/>
    <w:rsid w:val="0044777F"/>
    <w:rsid w:val="004477EF"/>
    <w:rsid w:val="0044786D"/>
    <w:rsid w:val="00447922"/>
    <w:rsid w:val="00447E00"/>
    <w:rsid w:val="00447EF0"/>
    <w:rsid w:val="00450002"/>
    <w:rsid w:val="0045016A"/>
    <w:rsid w:val="004502BF"/>
    <w:rsid w:val="00450585"/>
    <w:rsid w:val="004508BC"/>
    <w:rsid w:val="00450975"/>
    <w:rsid w:val="004509E2"/>
    <w:rsid w:val="00450CB6"/>
    <w:rsid w:val="00450D83"/>
    <w:rsid w:val="00450FAC"/>
    <w:rsid w:val="00451043"/>
    <w:rsid w:val="004511D6"/>
    <w:rsid w:val="004511FE"/>
    <w:rsid w:val="004512BE"/>
    <w:rsid w:val="0045156C"/>
    <w:rsid w:val="00451772"/>
    <w:rsid w:val="0045197E"/>
    <w:rsid w:val="00451A37"/>
    <w:rsid w:val="00451BC4"/>
    <w:rsid w:val="00451BF3"/>
    <w:rsid w:val="00451FA0"/>
    <w:rsid w:val="00452147"/>
    <w:rsid w:val="0045243F"/>
    <w:rsid w:val="00452638"/>
    <w:rsid w:val="004528A8"/>
    <w:rsid w:val="004528CB"/>
    <w:rsid w:val="004528EC"/>
    <w:rsid w:val="004529A1"/>
    <w:rsid w:val="00452C0A"/>
    <w:rsid w:val="00452C63"/>
    <w:rsid w:val="00452DBC"/>
    <w:rsid w:val="00452E72"/>
    <w:rsid w:val="004530C5"/>
    <w:rsid w:val="004530CD"/>
    <w:rsid w:val="00453270"/>
    <w:rsid w:val="00453402"/>
    <w:rsid w:val="00453926"/>
    <w:rsid w:val="004539EF"/>
    <w:rsid w:val="00453A45"/>
    <w:rsid w:val="00453B61"/>
    <w:rsid w:val="00453E28"/>
    <w:rsid w:val="00453F1D"/>
    <w:rsid w:val="00453FBF"/>
    <w:rsid w:val="00453FF0"/>
    <w:rsid w:val="00454029"/>
    <w:rsid w:val="0045406E"/>
    <w:rsid w:val="0045414C"/>
    <w:rsid w:val="00454199"/>
    <w:rsid w:val="00454247"/>
    <w:rsid w:val="0045483C"/>
    <w:rsid w:val="00454ADF"/>
    <w:rsid w:val="00454C70"/>
    <w:rsid w:val="00454C95"/>
    <w:rsid w:val="00454E4B"/>
    <w:rsid w:val="00454E72"/>
    <w:rsid w:val="00454EA4"/>
    <w:rsid w:val="0045502B"/>
    <w:rsid w:val="00455160"/>
    <w:rsid w:val="004551B9"/>
    <w:rsid w:val="00455233"/>
    <w:rsid w:val="004552F9"/>
    <w:rsid w:val="004554A1"/>
    <w:rsid w:val="004554AC"/>
    <w:rsid w:val="004554F4"/>
    <w:rsid w:val="0045555C"/>
    <w:rsid w:val="00455608"/>
    <w:rsid w:val="00455641"/>
    <w:rsid w:val="00455AF0"/>
    <w:rsid w:val="00455B7F"/>
    <w:rsid w:val="00455CCA"/>
    <w:rsid w:val="00455FD9"/>
    <w:rsid w:val="00456066"/>
    <w:rsid w:val="004566C5"/>
    <w:rsid w:val="004569A2"/>
    <w:rsid w:val="00456B97"/>
    <w:rsid w:val="00456CEA"/>
    <w:rsid w:val="00456D44"/>
    <w:rsid w:val="00457011"/>
    <w:rsid w:val="00457240"/>
    <w:rsid w:val="004574BC"/>
    <w:rsid w:val="004574E2"/>
    <w:rsid w:val="00457543"/>
    <w:rsid w:val="00457681"/>
    <w:rsid w:val="004577C9"/>
    <w:rsid w:val="00457919"/>
    <w:rsid w:val="00457EB3"/>
    <w:rsid w:val="00457F19"/>
    <w:rsid w:val="00460140"/>
    <w:rsid w:val="004602AE"/>
    <w:rsid w:val="0046062F"/>
    <w:rsid w:val="00460710"/>
    <w:rsid w:val="004607BB"/>
    <w:rsid w:val="00460825"/>
    <w:rsid w:val="004608A9"/>
    <w:rsid w:val="00460973"/>
    <w:rsid w:val="004609A6"/>
    <w:rsid w:val="004609EF"/>
    <w:rsid w:val="00460A6A"/>
    <w:rsid w:val="00460B8B"/>
    <w:rsid w:val="00460C4F"/>
    <w:rsid w:val="00460ECB"/>
    <w:rsid w:val="00461042"/>
    <w:rsid w:val="0046119F"/>
    <w:rsid w:val="00461208"/>
    <w:rsid w:val="0046146E"/>
    <w:rsid w:val="004614A0"/>
    <w:rsid w:val="00461607"/>
    <w:rsid w:val="004617E4"/>
    <w:rsid w:val="00461B08"/>
    <w:rsid w:val="00461DB4"/>
    <w:rsid w:val="00461FAB"/>
    <w:rsid w:val="00462049"/>
    <w:rsid w:val="00462187"/>
    <w:rsid w:val="00462605"/>
    <w:rsid w:val="00462CCD"/>
    <w:rsid w:val="00462E82"/>
    <w:rsid w:val="004631F8"/>
    <w:rsid w:val="00463213"/>
    <w:rsid w:val="004636EF"/>
    <w:rsid w:val="00463C66"/>
    <w:rsid w:val="00463D26"/>
    <w:rsid w:val="00463E0F"/>
    <w:rsid w:val="00463E8F"/>
    <w:rsid w:val="00463FC0"/>
    <w:rsid w:val="00464083"/>
    <w:rsid w:val="00464948"/>
    <w:rsid w:val="00464B08"/>
    <w:rsid w:val="00464B63"/>
    <w:rsid w:val="00464E57"/>
    <w:rsid w:val="00465047"/>
    <w:rsid w:val="00465522"/>
    <w:rsid w:val="00465818"/>
    <w:rsid w:val="004658D3"/>
    <w:rsid w:val="00465D95"/>
    <w:rsid w:val="00465D98"/>
    <w:rsid w:val="00465F07"/>
    <w:rsid w:val="00466022"/>
    <w:rsid w:val="0046604C"/>
    <w:rsid w:val="00466260"/>
    <w:rsid w:val="004663AF"/>
    <w:rsid w:val="004668C6"/>
    <w:rsid w:val="00466971"/>
    <w:rsid w:val="004669E0"/>
    <w:rsid w:val="00466A10"/>
    <w:rsid w:val="00466C0D"/>
    <w:rsid w:val="00466C8C"/>
    <w:rsid w:val="00466F5B"/>
    <w:rsid w:val="00467231"/>
    <w:rsid w:val="00467447"/>
    <w:rsid w:val="0046753A"/>
    <w:rsid w:val="00467757"/>
    <w:rsid w:val="00467AA4"/>
    <w:rsid w:val="00467B55"/>
    <w:rsid w:val="00467B8C"/>
    <w:rsid w:val="00467BD6"/>
    <w:rsid w:val="00467D17"/>
    <w:rsid w:val="00467EB9"/>
    <w:rsid w:val="00470016"/>
    <w:rsid w:val="0047033B"/>
    <w:rsid w:val="0047051F"/>
    <w:rsid w:val="004707DD"/>
    <w:rsid w:val="004709E5"/>
    <w:rsid w:val="00470AE7"/>
    <w:rsid w:val="00470BCD"/>
    <w:rsid w:val="00470BFE"/>
    <w:rsid w:val="00470D03"/>
    <w:rsid w:val="00470F78"/>
    <w:rsid w:val="00471123"/>
    <w:rsid w:val="004711B2"/>
    <w:rsid w:val="004714A0"/>
    <w:rsid w:val="004714CE"/>
    <w:rsid w:val="004714F2"/>
    <w:rsid w:val="00471613"/>
    <w:rsid w:val="00471995"/>
    <w:rsid w:val="004719B8"/>
    <w:rsid w:val="00471A04"/>
    <w:rsid w:val="00471A27"/>
    <w:rsid w:val="00471DEE"/>
    <w:rsid w:val="0047203C"/>
    <w:rsid w:val="0047212C"/>
    <w:rsid w:val="00472214"/>
    <w:rsid w:val="00472303"/>
    <w:rsid w:val="004723F8"/>
    <w:rsid w:val="004726E7"/>
    <w:rsid w:val="0047272D"/>
    <w:rsid w:val="00472A44"/>
    <w:rsid w:val="00472B2F"/>
    <w:rsid w:val="00472E24"/>
    <w:rsid w:val="00472FA6"/>
    <w:rsid w:val="00473264"/>
    <w:rsid w:val="00473267"/>
    <w:rsid w:val="004734AA"/>
    <w:rsid w:val="0047356B"/>
    <w:rsid w:val="0047358D"/>
    <w:rsid w:val="004737F5"/>
    <w:rsid w:val="00473AE0"/>
    <w:rsid w:val="00473C5E"/>
    <w:rsid w:val="00473C79"/>
    <w:rsid w:val="00473D4D"/>
    <w:rsid w:val="00473F0D"/>
    <w:rsid w:val="00474061"/>
    <w:rsid w:val="00474160"/>
    <w:rsid w:val="004742C0"/>
    <w:rsid w:val="004742D0"/>
    <w:rsid w:val="00474367"/>
    <w:rsid w:val="0047436A"/>
    <w:rsid w:val="00474502"/>
    <w:rsid w:val="0047475E"/>
    <w:rsid w:val="00474A76"/>
    <w:rsid w:val="00474B0A"/>
    <w:rsid w:val="00474B9D"/>
    <w:rsid w:val="00474C96"/>
    <w:rsid w:val="00474F72"/>
    <w:rsid w:val="004751BD"/>
    <w:rsid w:val="00475205"/>
    <w:rsid w:val="0047531B"/>
    <w:rsid w:val="00475439"/>
    <w:rsid w:val="00475635"/>
    <w:rsid w:val="00475A78"/>
    <w:rsid w:val="00475B72"/>
    <w:rsid w:val="00475D7D"/>
    <w:rsid w:val="00475DDF"/>
    <w:rsid w:val="004761A7"/>
    <w:rsid w:val="00476238"/>
    <w:rsid w:val="004762C5"/>
    <w:rsid w:val="004762CA"/>
    <w:rsid w:val="00476337"/>
    <w:rsid w:val="0047640A"/>
    <w:rsid w:val="00476415"/>
    <w:rsid w:val="004768A3"/>
    <w:rsid w:val="00476B50"/>
    <w:rsid w:val="00477219"/>
    <w:rsid w:val="00477522"/>
    <w:rsid w:val="0047754F"/>
    <w:rsid w:val="004776C2"/>
    <w:rsid w:val="0047797A"/>
    <w:rsid w:val="0047798E"/>
    <w:rsid w:val="00477B86"/>
    <w:rsid w:val="00477C9B"/>
    <w:rsid w:val="00477CCB"/>
    <w:rsid w:val="00480073"/>
    <w:rsid w:val="00480449"/>
    <w:rsid w:val="004804B7"/>
    <w:rsid w:val="004804CB"/>
    <w:rsid w:val="00480655"/>
    <w:rsid w:val="00480667"/>
    <w:rsid w:val="00480CD7"/>
    <w:rsid w:val="004812C6"/>
    <w:rsid w:val="00481402"/>
    <w:rsid w:val="00481547"/>
    <w:rsid w:val="0048186F"/>
    <w:rsid w:val="00481B65"/>
    <w:rsid w:val="00481B92"/>
    <w:rsid w:val="00481D01"/>
    <w:rsid w:val="00482003"/>
    <w:rsid w:val="00482052"/>
    <w:rsid w:val="004820B7"/>
    <w:rsid w:val="00482399"/>
    <w:rsid w:val="0048253F"/>
    <w:rsid w:val="0048255D"/>
    <w:rsid w:val="00482679"/>
    <w:rsid w:val="00482690"/>
    <w:rsid w:val="00482725"/>
    <w:rsid w:val="004828F4"/>
    <w:rsid w:val="004829A2"/>
    <w:rsid w:val="00482A91"/>
    <w:rsid w:val="00482AFC"/>
    <w:rsid w:val="00482B4C"/>
    <w:rsid w:val="00482C8E"/>
    <w:rsid w:val="00482F53"/>
    <w:rsid w:val="00483184"/>
    <w:rsid w:val="004832F4"/>
    <w:rsid w:val="00483315"/>
    <w:rsid w:val="0048340A"/>
    <w:rsid w:val="00483561"/>
    <w:rsid w:val="00483719"/>
    <w:rsid w:val="0048374E"/>
    <w:rsid w:val="00483783"/>
    <w:rsid w:val="00483865"/>
    <w:rsid w:val="00483A68"/>
    <w:rsid w:val="00483CD4"/>
    <w:rsid w:val="0048422F"/>
    <w:rsid w:val="00484356"/>
    <w:rsid w:val="004843CF"/>
    <w:rsid w:val="0048447A"/>
    <w:rsid w:val="004844D2"/>
    <w:rsid w:val="004844F7"/>
    <w:rsid w:val="0048489E"/>
    <w:rsid w:val="00484ADB"/>
    <w:rsid w:val="00484C69"/>
    <w:rsid w:val="00484D21"/>
    <w:rsid w:val="0048513F"/>
    <w:rsid w:val="00485515"/>
    <w:rsid w:val="004855EB"/>
    <w:rsid w:val="0048569F"/>
    <w:rsid w:val="0048584E"/>
    <w:rsid w:val="00485D1B"/>
    <w:rsid w:val="00485FCF"/>
    <w:rsid w:val="004866E6"/>
    <w:rsid w:val="00486D39"/>
    <w:rsid w:val="004870A5"/>
    <w:rsid w:val="00487366"/>
    <w:rsid w:val="004875F7"/>
    <w:rsid w:val="0048766E"/>
    <w:rsid w:val="00487707"/>
    <w:rsid w:val="004878C6"/>
    <w:rsid w:val="00487A0C"/>
    <w:rsid w:val="00487D33"/>
    <w:rsid w:val="00490010"/>
    <w:rsid w:val="00490093"/>
    <w:rsid w:val="00490440"/>
    <w:rsid w:val="0049045A"/>
    <w:rsid w:val="004905AB"/>
    <w:rsid w:val="00490725"/>
    <w:rsid w:val="00490A53"/>
    <w:rsid w:val="00490A61"/>
    <w:rsid w:val="00490B21"/>
    <w:rsid w:val="004911C7"/>
    <w:rsid w:val="004911E0"/>
    <w:rsid w:val="0049154A"/>
    <w:rsid w:val="004916F6"/>
    <w:rsid w:val="004917CB"/>
    <w:rsid w:val="004919AF"/>
    <w:rsid w:val="00491A09"/>
    <w:rsid w:val="00491BA7"/>
    <w:rsid w:val="00491EEF"/>
    <w:rsid w:val="00492268"/>
    <w:rsid w:val="00492981"/>
    <w:rsid w:val="00492BD8"/>
    <w:rsid w:val="00493008"/>
    <w:rsid w:val="00493137"/>
    <w:rsid w:val="0049313E"/>
    <w:rsid w:val="0049325A"/>
    <w:rsid w:val="00493767"/>
    <w:rsid w:val="00493802"/>
    <w:rsid w:val="00493920"/>
    <w:rsid w:val="00493A02"/>
    <w:rsid w:val="00493BDD"/>
    <w:rsid w:val="00493C8C"/>
    <w:rsid w:val="00493DB1"/>
    <w:rsid w:val="00493EBA"/>
    <w:rsid w:val="004945AB"/>
    <w:rsid w:val="004946DA"/>
    <w:rsid w:val="00494923"/>
    <w:rsid w:val="004949C2"/>
    <w:rsid w:val="00494CB4"/>
    <w:rsid w:val="00494E33"/>
    <w:rsid w:val="00495150"/>
    <w:rsid w:val="004959B3"/>
    <w:rsid w:val="00495B8D"/>
    <w:rsid w:val="00495CD6"/>
    <w:rsid w:val="00495CEF"/>
    <w:rsid w:val="00496083"/>
    <w:rsid w:val="004965B8"/>
    <w:rsid w:val="00496614"/>
    <w:rsid w:val="00496837"/>
    <w:rsid w:val="00496B0A"/>
    <w:rsid w:val="00496B11"/>
    <w:rsid w:val="00496B9F"/>
    <w:rsid w:val="00496C5C"/>
    <w:rsid w:val="00496C80"/>
    <w:rsid w:val="00497169"/>
    <w:rsid w:val="004971A6"/>
    <w:rsid w:val="00497544"/>
    <w:rsid w:val="0049774A"/>
    <w:rsid w:val="00497973"/>
    <w:rsid w:val="00497A46"/>
    <w:rsid w:val="00497E97"/>
    <w:rsid w:val="004A0133"/>
    <w:rsid w:val="004A0246"/>
    <w:rsid w:val="004A02F5"/>
    <w:rsid w:val="004A0497"/>
    <w:rsid w:val="004A04EE"/>
    <w:rsid w:val="004A05DD"/>
    <w:rsid w:val="004A0D3C"/>
    <w:rsid w:val="004A0E35"/>
    <w:rsid w:val="004A120C"/>
    <w:rsid w:val="004A1321"/>
    <w:rsid w:val="004A13E0"/>
    <w:rsid w:val="004A15E1"/>
    <w:rsid w:val="004A1C6B"/>
    <w:rsid w:val="004A1C96"/>
    <w:rsid w:val="004A1F46"/>
    <w:rsid w:val="004A205C"/>
    <w:rsid w:val="004A22F2"/>
    <w:rsid w:val="004A23D0"/>
    <w:rsid w:val="004A24BE"/>
    <w:rsid w:val="004A2583"/>
    <w:rsid w:val="004A291E"/>
    <w:rsid w:val="004A295A"/>
    <w:rsid w:val="004A2A2C"/>
    <w:rsid w:val="004A2BFD"/>
    <w:rsid w:val="004A3315"/>
    <w:rsid w:val="004A3338"/>
    <w:rsid w:val="004A3531"/>
    <w:rsid w:val="004A36A7"/>
    <w:rsid w:val="004A3841"/>
    <w:rsid w:val="004A3A0B"/>
    <w:rsid w:val="004A3B28"/>
    <w:rsid w:val="004A3C28"/>
    <w:rsid w:val="004A3E8B"/>
    <w:rsid w:val="004A3F39"/>
    <w:rsid w:val="004A3F6D"/>
    <w:rsid w:val="004A440B"/>
    <w:rsid w:val="004A442A"/>
    <w:rsid w:val="004A44E4"/>
    <w:rsid w:val="004A4661"/>
    <w:rsid w:val="004A469B"/>
    <w:rsid w:val="004A47CB"/>
    <w:rsid w:val="004A4918"/>
    <w:rsid w:val="004A49D1"/>
    <w:rsid w:val="004A4B4D"/>
    <w:rsid w:val="004A4CA9"/>
    <w:rsid w:val="004A4E02"/>
    <w:rsid w:val="004A5018"/>
    <w:rsid w:val="004A513E"/>
    <w:rsid w:val="004A53B3"/>
    <w:rsid w:val="004A53C8"/>
    <w:rsid w:val="004A551E"/>
    <w:rsid w:val="004A59DB"/>
    <w:rsid w:val="004A5C16"/>
    <w:rsid w:val="004A5E14"/>
    <w:rsid w:val="004A5F27"/>
    <w:rsid w:val="004A61F4"/>
    <w:rsid w:val="004A61FD"/>
    <w:rsid w:val="004A6322"/>
    <w:rsid w:val="004A666B"/>
    <w:rsid w:val="004A67EB"/>
    <w:rsid w:val="004A683C"/>
    <w:rsid w:val="004A6916"/>
    <w:rsid w:val="004A6A85"/>
    <w:rsid w:val="004A6D37"/>
    <w:rsid w:val="004A6DDB"/>
    <w:rsid w:val="004A6E0D"/>
    <w:rsid w:val="004A7025"/>
    <w:rsid w:val="004A72CB"/>
    <w:rsid w:val="004A72DC"/>
    <w:rsid w:val="004A77A2"/>
    <w:rsid w:val="004A7AB6"/>
    <w:rsid w:val="004A7D3A"/>
    <w:rsid w:val="004A7D44"/>
    <w:rsid w:val="004B0068"/>
    <w:rsid w:val="004B03DD"/>
    <w:rsid w:val="004B0876"/>
    <w:rsid w:val="004B1083"/>
    <w:rsid w:val="004B10C3"/>
    <w:rsid w:val="004B1182"/>
    <w:rsid w:val="004B13F0"/>
    <w:rsid w:val="004B145F"/>
    <w:rsid w:val="004B14FE"/>
    <w:rsid w:val="004B1AA8"/>
    <w:rsid w:val="004B1ACE"/>
    <w:rsid w:val="004B1DB1"/>
    <w:rsid w:val="004B1EBD"/>
    <w:rsid w:val="004B2197"/>
    <w:rsid w:val="004B256E"/>
    <w:rsid w:val="004B25D6"/>
    <w:rsid w:val="004B25F9"/>
    <w:rsid w:val="004B2719"/>
    <w:rsid w:val="004B2724"/>
    <w:rsid w:val="004B2A33"/>
    <w:rsid w:val="004B2C21"/>
    <w:rsid w:val="004B2F02"/>
    <w:rsid w:val="004B2F47"/>
    <w:rsid w:val="004B3265"/>
    <w:rsid w:val="004B3454"/>
    <w:rsid w:val="004B3566"/>
    <w:rsid w:val="004B37C7"/>
    <w:rsid w:val="004B380E"/>
    <w:rsid w:val="004B3930"/>
    <w:rsid w:val="004B3AAD"/>
    <w:rsid w:val="004B3B05"/>
    <w:rsid w:val="004B3BEB"/>
    <w:rsid w:val="004B3D1A"/>
    <w:rsid w:val="004B3E29"/>
    <w:rsid w:val="004B3EAB"/>
    <w:rsid w:val="004B414F"/>
    <w:rsid w:val="004B42FA"/>
    <w:rsid w:val="004B461D"/>
    <w:rsid w:val="004B4674"/>
    <w:rsid w:val="004B4678"/>
    <w:rsid w:val="004B4817"/>
    <w:rsid w:val="004B49D9"/>
    <w:rsid w:val="004B4A31"/>
    <w:rsid w:val="004B4BF5"/>
    <w:rsid w:val="004B4E25"/>
    <w:rsid w:val="004B4EA0"/>
    <w:rsid w:val="004B4EA8"/>
    <w:rsid w:val="004B50FE"/>
    <w:rsid w:val="004B5147"/>
    <w:rsid w:val="004B51C5"/>
    <w:rsid w:val="004B5274"/>
    <w:rsid w:val="004B555F"/>
    <w:rsid w:val="004B55E8"/>
    <w:rsid w:val="004B56B2"/>
    <w:rsid w:val="004B5770"/>
    <w:rsid w:val="004B59EB"/>
    <w:rsid w:val="004B5A17"/>
    <w:rsid w:val="004B5DB3"/>
    <w:rsid w:val="004B5E14"/>
    <w:rsid w:val="004B5F2A"/>
    <w:rsid w:val="004B6339"/>
    <w:rsid w:val="004B67CF"/>
    <w:rsid w:val="004B6A21"/>
    <w:rsid w:val="004B6B47"/>
    <w:rsid w:val="004B6F57"/>
    <w:rsid w:val="004B6FF7"/>
    <w:rsid w:val="004B72C2"/>
    <w:rsid w:val="004B72D7"/>
    <w:rsid w:val="004B732B"/>
    <w:rsid w:val="004B7943"/>
    <w:rsid w:val="004B79C1"/>
    <w:rsid w:val="004B7CCD"/>
    <w:rsid w:val="004B7EDD"/>
    <w:rsid w:val="004C0170"/>
    <w:rsid w:val="004C01DC"/>
    <w:rsid w:val="004C0442"/>
    <w:rsid w:val="004C057B"/>
    <w:rsid w:val="004C07B6"/>
    <w:rsid w:val="004C07F7"/>
    <w:rsid w:val="004C0AD1"/>
    <w:rsid w:val="004C0B80"/>
    <w:rsid w:val="004C0CCD"/>
    <w:rsid w:val="004C0E51"/>
    <w:rsid w:val="004C0F78"/>
    <w:rsid w:val="004C105C"/>
    <w:rsid w:val="004C1094"/>
    <w:rsid w:val="004C1479"/>
    <w:rsid w:val="004C149A"/>
    <w:rsid w:val="004C16B8"/>
    <w:rsid w:val="004C17BF"/>
    <w:rsid w:val="004C1ED9"/>
    <w:rsid w:val="004C1F01"/>
    <w:rsid w:val="004C1F9B"/>
    <w:rsid w:val="004C1FCE"/>
    <w:rsid w:val="004C2081"/>
    <w:rsid w:val="004C2258"/>
    <w:rsid w:val="004C2356"/>
    <w:rsid w:val="004C254F"/>
    <w:rsid w:val="004C25BD"/>
    <w:rsid w:val="004C2747"/>
    <w:rsid w:val="004C28F9"/>
    <w:rsid w:val="004C2B1F"/>
    <w:rsid w:val="004C2BDB"/>
    <w:rsid w:val="004C2CE6"/>
    <w:rsid w:val="004C2D70"/>
    <w:rsid w:val="004C2FAF"/>
    <w:rsid w:val="004C2FF2"/>
    <w:rsid w:val="004C32B1"/>
    <w:rsid w:val="004C3311"/>
    <w:rsid w:val="004C3399"/>
    <w:rsid w:val="004C3445"/>
    <w:rsid w:val="004C3874"/>
    <w:rsid w:val="004C38B5"/>
    <w:rsid w:val="004C3C6A"/>
    <w:rsid w:val="004C40D0"/>
    <w:rsid w:val="004C4228"/>
    <w:rsid w:val="004C442A"/>
    <w:rsid w:val="004C44E4"/>
    <w:rsid w:val="004C45F6"/>
    <w:rsid w:val="004C480C"/>
    <w:rsid w:val="004C5436"/>
    <w:rsid w:val="004C5445"/>
    <w:rsid w:val="004C567A"/>
    <w:rsid w:val="004C56F2"/>
    <w:rsid w:val="004C597F"/>
    <w:rsid w:val="004C5E91"/>
    <w:rsid w:val="004C60C5"/>
    <w:rsid w:val="004C6442"/>
    <w:rsid w:val="004C669A"/>
    <w:rsid w:val="004C6785"/>
    <w:rsid w:val="004C6B6F"/>
    <w:rsid w:val="004C6CE0"/>
    <w:rsid w:val="004C73A6"/>
    <w:rsid w:val="004C73D8"/>
    <w:rsid w:val="004C75EC"/>
    <w:rsid w:val="004C76C8"/>
    <w:rsid w:val="004C79DF"/>
    <w:rsid w:val="004C79EA"/>
    <w:rsid w:val="004D01AE"/>
    <w:rsid w:val="004D01DA"/>
    <w:rsid w:val="004D02E5"/>
    <w:rsid w:val="004D04B3"/>
    <w:rsid w:val="004D0AF2"/>
    <w:rsid w:val="004D0C1E"/>
    <w:rsid w:val="004D0EB2"/>
    <w:rsid w:val="004D0FFE"/>
    <w:rsid w:val="004D14B8"/>
    <w:rsid w:val="004D14CA"/>
    <w:rsid w:val="004D15F9"/>
    <w:rsid w:val="004D1978"/>
    <w:rsid w:val="004D1989"/>
    <w:rsid w:val="004D1A67"/>
    <w:rsid w:val="004D1AE1"/>
    <w:rsid w:val="004D1C99"/>
    <w:rsid w:val="004D1D8F"/>
    <w:rsid w:val="004D1DC4"/>
    <w:rsid w:val="004D1DCB"/>
    <w:rsid w:val="004D20B3"/>
    <w:rsid w:val="004D20EE"/>
    <w:rsid w:val="004D247A"/>
    <w:rsid w:val="004D2506"/>
    <w:rsid w:val="004D2821"/>
    <w:rsid w:val="004D29BB"/>
    <w:rsid w:val="004D2DC2"/>
    <w:rsid w:val="004D2F46"/>
    <w:rsid w:val="004D3756"/>
    <w:rsid w:val="004D3909"/>
    <w:rsid w:val="004D390A"/>
    <w:rsid w:val="004D396B"/>
    <w:rsid w:val="004D3ACF"/>
    <w:rsid w:val="004D3B59"/>
    <w:rsid w:val="004D3BC9"/>
    <w:rsid w:val="004D3C90"/>
    <w:rsid w:val="004D3E68"/>
    <w:rsid w:val="004D400B"/>
    <w:rsid w:val="004D404E"/>
    <w:rsid w:val="004D4456"/>
    <w:rsid w:val="004D46B2"/>
    <w:rsid w:val="004D47C1"/>
    <w:rsid w:val="004D4928"/>
    <w:rsid w:val="004D4BFB"/>
    <w:rsid w:val="004D4F54"/>
    <w:rsid w:val="004D50BF"/>
    <w:rsid w:val="004D5540"/>
    <w:rsid w:val="004D56AA"/>
    <w:rsid w:val="004D56D8"/>
    <w:rsid w:val="004D5A4F"/>
    <w:rsid w:val="004D5AEC"/>
    <w:rsid w:val="004D5EA5"/>
    <w:rsid w:val="004D5ECA"/>
    <w:rsid w:val="004D5FA0"/>
    <w:rsid w:val="004D6231"/>
    <w:rsid w:val="004D645C"/>
    <w:rsid w:val="004D64C5"/>
    <w:rsid w:val="004D64ED"/>
    <w:rsid w:val="004D686C"/>
    <w:rsid w:val="004D6A79"/>
    <w:rsid w:val="004D6C86"/>
    <w:rsid w:val="004D6D60"/>
    <w:rsid w:val="004D6DD7"/>
    <w:rsid w:val="004D6F4A"/>
    <w:rsid w:val="004D702B"/>
    <w:rsid w:val="004D72CB"/>
    <w:rsid w:val="004D7331"/>
    <w:rsid w:val="004D7487"/>
    <w:rsid w:val="004D7517"/>
    <w:rsid w:val="004D7627"/>
    <w:rsid w:val="004D78FE"/>
    <w:rsid w:val="004D7A33"/>
    <w:rsid w:val="004D7AEF"/>
    <w:rsid w:val="004D7B6F"/>
    <w:rsid w:val="004D7CE9"/>
    <w:rsid w:val="004E015A"/>
    <w:rsid w:val="004E0541"/>
    <w:rsid w:val="004E0B67"/>
    <w:rsid w:val="004E0D27"/>
    <w:rsid w:val="004E0E6C"/>
    <w:rsid w:val="004E10A0"/>
    <w:rsid w:val="004E11EC"/>
    <w:rsid w:val="004E1313"/>
    <w:rsid w:val="004E1547"/>
    <w:rsid w:val="004E155A"/>
    <w:rsid w:val="004E1611"/>
    <w:rsid w:val="004E16D2"/>
    <w:rsid w:val="004E170E"/>
    <w:rsid w:val="004E1956"/>
    <w:rsid w:val="004E1ABA"/>
    <w:rsid w:val="004E1DC7"/>
    <w:rsid w:val="004E1E5E"/>
    <w:rsid w:val="004E1FEF"/>
    <w:rsid w:val="004E2000"/>
    <w:rsid w:val="004E2271"/>
    <w:rsid w:val="004E23C1"/>
    <w:rsid w:val="004E2481"/>
    <w:rsid w:val="004E24AF"/>
    <w:rsid w:val="004E259B"/>
    <w:rsid w:val="004E2680"/>
    <w:rsid w:val="004E273B"/>
    <w:rsid w:val="004E2A52"/>
    <w:rsid w:val="004E2B1F"/>
    <w:rsid w:val="004E2DBD"/>
    <w:rsid w:val="004E2E79"/>
    <w:rsid w:val="004E3153"/>
    <w:rsid w:val="004E33FC"/>
    <w:rsid w:val="004E3565"/>
    <w:rsid w:val="004E3BAB"/>
    <w:rsid w:val="004E3BD4"/>
    <w:rsid w:val="004E3C15"/>
    <w:rsid w:val="004E3CDA"/>
    <w:rsid w:val="004E3D00"/>
    <w:rsid w:val="004E3F1E"/>
    <w:rsid w:val="004E4058"/>
    <w:rsid w:val="004E40D2"/>
    <w:rsid w:val="004E41C2"/>
    <w:rsid w:val="004E4218"/>
    <w:rsid w:val="004E4684"/>
    <w:rsid w:val="004E4BB3"/>
    <w:rsid w:val="004E4BC6"/>
    <w:rsid w:val="004E4F8F"/>
    <w:rsid w:val="004E500C"/>
    <w:rsid w:val="004E50A3"/>
    <w:rsid w:val="004E5423"/>
    <w:rsid w:val="004E561B"/>
    <w:rsid w:val="004E5EDC"/>
    <w:rsid w:val="004E6060"/>
    <w:rsid w:val="004E60A5"/>
    <w:rsid w:val="004E62AC"/>
    <w:rsid w:val="004E6552"/>
    <w:rsid w:val="004E6D3E"/>
    <w:rsid w:val="004E7002"/>
    <w:rsid w:val="004E7055"/>
    <w:rsid w:val="004E7222"/>
    <w:rsid w:val="004E7726"/>
    <w:rsid w:val="004E7949"/>
    <w:rsid w:val="004E799F"/>
    <w:rsid w:val="004E7AFE"/>
    <w:rsid w:val="004E7C10"/>
    <w:rsid w:val="004E7C62"/>
    <w:rsid w:val="004E7FEC"/>
    <w:rsid w:val="004F0088"/>
    <w:rsid w:val="004F011A"/>
    <w:rsid w:val="004F0297"/>
    <w:rsid w:val="004F02F0"/>
    <w:rsid w:val="004F0398"/>
    <w:rsid w:val="004F0500"/>
    <w:rsid w:val="004F056A"/>
    <w:rsid w:val="004F0805"/>
    <w:rsid w:val="004F08AD"/>
    <w:rsid w:val="004F0A5D"/>
    <w:rsid w:val="004F0CFC"/>
    <w:rsid w:val="004F0D15"/>
    <w:rsid w:val="004F0E2E"/>
    <w:rsid w:val="004F0EA5"/>
    <w:rsid w:val="004F0ECD"/>
    <w:rsid w:val="004F0F9D"/>
    <w:rsid w:val="004F115E"/>
    <w:rsid w:val="004F11AC"/>
    <w:rsid w:val="004F1473"/>
    <w:rsid w:val="004F16B1"/>
    <w:rsid w:val="004F1A87"/>
    <w:rsid w:val="004F1AC6"/>
    <w:rsid w:val="004F1DAF"/>
    <w:rsid w:val="004F1F0A"/>
    <w:rsid w:val="004F209E"/>
    <w:rsid w:val="004F2701"/>
    <w:rsid w:val="004F273B"/>
    <w:rsid w:val="004F28AB"/>
    <w:rsid w:val="004F28C3"/>
    <w:rsid w:val="004F2EFB"/>
    <w:rsid w:val="004F31F1"/>
    <w:rsid w:val="004F3428"/>
    <w:rsid w:val="004F3435"/>
    <w:rsid w:val="004F3455"/>
    <w:rsid w:val="004F35DF"/>
    <w:rsid w:val="004F3791"/>
    <w:rsid w:val="004F3800"/>
    <w:rsid w:val="004F3B32"/>
    <w:rsid w:val="004F3BC6"/>
    <w:rsid w:val="004F440A"/>
    <w:rsid w:val="004F44D0"/>
    <w:rsid w:val="004F4ABE"/>
    <w:rsid w:val="004F4B0E"/>
    <w:rsid w:val="004F4C5A"/>
    <w:rsid w:val="004F4D59"/>
    <w:rsid w:val="004F4D77"/>
    <w:rsid w:val="004F5662"/>
    <w:rsid w:val="004F5895"/>
    <w:rsid w:val="004F5BCD"/>
    <w:rsid w:val="004F6076"/>
    <w:rsid w:val="004F6077"/>
    <w:rsid w:val="004F62F6"/>
    <w:rsid w:val="004F64A1"/>
    <w:rsid w:val="004F6A2A"/>
    <w:rsid w:val="004F6A4F"/>
    <w:rsid w:val="004F6AA5"/>
    <w:rsid w:val="004F6E1E"/>
    <w:rsid w:val="004F6E3F"/>
    <w:rsid w:val="004F6ED0"/>
    <w:rsid w:val="004F7E95"/>
    <w:rsid w:val="00500030"/>
    <w:rsid w:val="00500151"/>
    <w:rsid w:val="00500200"/>
    <w:rsid w:val="00500799"/>
    <w:rsid w:val="005008D0"/>
    <w:rsid w:val="00500A52"/>
    <w:rsid w:val="00500B9D"/>
    <w:rsid w:val="00500C89"/>
    <w:rsid w:val="00500F8C"/>
    <w:rsid w:val="00500FDC"/>
    <w:rsid w:val="0050104D"/>
    <w:rsid w:val="00501053"/>
    <w:rsid w:val="0050112E"/>
    <w:rsid w:val="005016A1"/>
    <w:rsid w:val="005016F6"/>
    <w:rsid w:val="005019AB"/>
    <w:rsid w:val="00501AA6"/>
    <w:rsid w:val="00501BDA"/>
    <w:rsid w:val="00501CF3"/>
    <w:rsid w:val="00501D4F"/>
    <w:rsid w:val="00501D5C"/>
    <w:rsid w:val="00501DE5"/>
    <w:rsid w:val="00501DEE"/>
    <w:rsid w:val="005020E4"/>
    <w:rsid w:val="00502130"/>
    <w:rsid w:val="005022A7"/>
    <w:rsid w:val="00502500"/>
    <w:rsid w:val="00502523"/>
    <w:rsid w:val="005025A9"/>
    <w:rsid w:val="0050286F"/>
    <w:rsid w:val="00502F09"/>
    <w:rsid w:val="005034C1"/>
    <w:rsid w:val="0050376F"/>
    <w:rsid w:val="00503806"/>
    <w:rsid w:val="00503825"/>
    <w:rsid w:val="005038C2"/>
    <w:rsid w:val="00503ADB"/>
    <w:rsid w:val="00503ADD"/>
    <w:rsid w:val="00503B81"/>
    <w:rsid w:val="00503C3A"/>
    <w:rsid w:val="00503EF5"/>
    <w:rsid w:val="00503F77"/>
    <w:rsid w:val="00503FE8"/>
    <w:rsid w:val="005041C1"/>
    <w:rsid w:val="005042E9"/>
    <w:rsid w:val="0050433B"/>
    <w:rsid w:val="0050462A"/>
    <w:rsid w:val="00504ACD"/>
    <w:rsid w:val="00504D11"/>
    <w:rsid w:val="00504EAB"/>
    <w:rsid w:val="00505262"/>
    <w:rsid w:val="005052C0"/>
    <w:rsid w:val="00505443"/>
    <w:rsid w:val="00505506"/>
    <w:rsid w:val="00505730"/>
    <w:rsid w:val="00505738"/>
    <w:rsid w:val="00505B9B"/>
    <w:rsid w:val="00505C02"/>
    <w:rsid w:val="00505C9D"/>
    <w:rsid w:val="00505F22"/>
    <w:rsid w:val="00505F2E"/>
    <w:rsid w:val="00505F7E"/>
    <w:rsid w:val="00506105"/>
    <w:rsid w:val="00506338"/>
    <w:rsid w:val="00506666"/>
    <w:rsid w:val="0050676B"/>
    <w:rsid w:val="00506ADC"/>
    <w:rsid w:val="00506C87"/>
    <w:rsid w:val="005070E1"/>
    <w:rsid w:val="005072B5"/>
    <w:rsid w:val="005072E3"/>
    <w:rsid w:val="00507369"/>
    <w:rsid w:val="00507803"/>
    <w:rsid w:val="00507877"/>
    <w:rsid w:val="00507B7F"/>
    <w:rsid w:val="00507C54"/>
    <w:rsid w:val="00510307"/>
    <w:rsid w:val="005106AC"/>
    <w:rsid w:val="005107F7"/>
    <w:rsid w:val="005109ED"/>
    <w:rsid w:val="00510E06"/>
    <w:rsid w:val="00510FDC"/>
    <w:rsid w:val="00511870"/>
    <w:rsid w:val="0051189E"/>
    <w:rsid w:val="00511E9E"/>
    <w:rsid w:val="00511F7C"/>
    <w:rsid w:val="00511FA0"/>
    <w:rsid w:val="005121EB"/>
    <w:rsid w:val="005123C8"/>
    <w:rsid w:val="005125B4"/>
    <w:rsid w:val="00512659"/>
    <w:rsid w:val="00512A68"/>
    <w:rsid w:val="00512AE7"/>
    <w:rsid w:val="00512DA6"/>
    <w:rsid w:val="00513138"/>
    <w:rsid w:val="005135DB"/>
    <w:rsid w:val="0051390E"/>
    <w:rsid w:val="005139DF"/>
    <w:rsid w:val="00513B51"/>
    <w:rsid w:val="00513DD5"/>
    <w:rsid w:val="00513F78"/>
    <w:rsid w:val="005144E6"/>
    <w:rsid w:val="005146CE"/>
    <w:rsid w:val="00514803"/>
    <w:rsid w:val="005148E2"/>
    <w:rsid w:val="005149B1"/>
    <w:rsid w:val="00514BE1"/>
    <w:rsid w:val="00514CCB"/>
    <w:rsid w:val="00514FD0"/>
    <w:rsid w:val="005151F5"/>
    <w:rsid w:val="005156C5"/>
    <w:rsid w:val="005156F0"/>
    <w:rsid w:val="00515928"/>
    <w:rsid w:val="00515D51"/>
    <w:rsid w:val="00515D8D"/>
    <w:rsid w:val="00515FA8"/>
    <w:rsid w:val="0051600D"/>
    <w:rsid w:val="0051619A"/>
    <w:rsid w:val="00516292"/>
    <w:rsid w:val="00516557"/>
    <w:rsid w:val="005168C5"/>
    <w:rsid w:val="00516C81"/>
    <w:rsid w:val="00516E03"/>
    <w:rsid w:val="00516FBE"/>
    <w:rsid w:val="00517212"/>
    <w:rsid w:val="005178CD"/>
    <w:rsid w:val="00517A38"/>
    <w:rsid w:val="00517A78"/>
    <w:rsid w:val="00517A80"/>
    <w:rsid w:val="00517C09"/>
    <w:rsid w:val="00517C50"/>
    <w:rsid w:val="00520AC1"/>
    <w:rsid w:val="00520D5A"/>
    <w:rsid w:val="00520D97"/>
    <w:rsid w:val="00520DBA"/>
    <w:rsid w:val="00520DD5"/>
    <w:rsid w:val="00520F25"/>
    <w:rsid w:val="00520F80"/>
    <w:rsid w:val="005212A1"/>
    <w:rsid w:val="00521822"/>
    <w:rsid w:val="00521C57"/>
    <w:rsid w:val="00521D1C"/>
    <w:rsid w:val="00521D5B"/>
    <w:rsid w:val="00521DE1"/>
    <w:rsid w:val="00521F12"/>
    <w:rsid w:val="005220F2"/>
    <w:rsid w:val="0052224F"/>
    <w:rsid w:val="00522304"/>
    <w:rsid w:val="0052257D"/>
    <w:rsid w:val="00522828"/>
    <w:rsid w:val="00522936"/>
    <w:rsid w:val="00522A1A"/>
    <w:rsid w:val="00522A4E"/>
    <w:rsid w:val="00522BEA"/>
    <w:rsid w:val="00522D5B"/>
    <w:rsid w:val="00522DB4"/>
    <w:rsid w:val="00522F27"/>
    <w:rsid w:val="005230AC"/>
    <w:rsid w:val="00523294"/>
    <w:rsid w:val="0052337F"/>
    <w:rsid w:val="00523394"/>
    <w:rsid w:val="00523714"/>
    <w:rsid w:val="005237F0"/>
    <w:rsid w:val="00523A50"/>
    <w:rsid w:val="00523F14"/>
    <w:rsid w:val="00523FEF"/>
    <w:rsid w:val="00524140"/>
    <w:rsid w:val="0052457B"/>
    <w:rsid w:val="005245E5"/>
    <w:rsid w:val="00524668"/>
    <w:rsid w:val="00524690"/>
    <w:rsid w:val="005248F4"/>
    <w:rsid w:val="00524905"/>
    <w:rsid w:val="00524B34"/>
    <w:rsid w:val="00524BBF"/>
    <w:rsid w:val="00524C8A"/>
    <w:rsid w:val="00525015"/>
    <w:rsid w:val="00525191"/>
    <w:rsid w:val="00525276"/>
    <w:rsid w:val="00525390"/>
    <w:rsid w:val="00525A36"/>
    <w:rsid w:val="00525B0A"/>
    <w:rsid w:val="00525CD6"/>
    <w:rsid w:val="00525DD3"/>
    <w:rsid w:val="00525E10"/>
    <w:rsid w:val="00525F0F"/>
    <w:rsid w:val="00525F7B"/>
    <w:rsid w:val="005261C3"/>
    <w:rsid w:val="00526212"/>
    <w:rsid w:val="00526267"/>
    <w:rsid w:val="005264C7"/>
    <w:rsid w:val="00526656"/>
    <w:rsid w:val="0052690F"/>
    <w:rsid w:val="00526991"/>
    <w:rsid w:val="005269EA"/>
    <w:rsid w:val="0052719A"/>
    <w:rsid w:val="005275EB"/>
    <w:rsid w:val="00527643"/>
    <w:rsid w:val="00527963"/>
    <w:rsid w:val="00527A63"/>
    <w:rsid w:val="00527B38"/>
    <w:rsid w:val="00527BA0"/>
    <w:rsid w:val="00527D23"/>
    <w:rsid w:val="00527D5F"/>
    <w:rsid w:val="00527EED"/>
    <w:rsid w:val="00530134"/>
    <w:rsid w:val="0053027D"/>
    <w:rsid w:val="0053058B"/>
    <w:rsid w:val="00530700"/>
    <w:rsid w:val="00530846"/>
    <w:rsid w:val="005308E4"/>
    <w:rsid w:val="005309B8"/>
    <w:rsid w:val="00530A0A"/>
    <w:rsid w:val="00530A26"/>
    <w:rsid w:val="00530AB5"/>
    <w:rsid w:val="00530D0A"/>
    <w:rsid w:val="00530ECC"/>
    <w:rsid w:val="00531004"/>
    <w:rsid w:val="0053103A"/>
    <w:rsid w:val="00531388"/>
    <w:rsid w:val="005316AC"/>
    <w:rsid w:val="00531A13"/>
    <w:rsid w:val="00531A23"/>
    <w:rsid w:val="00531BEE"/>
    <w:rsid w:val="00531C4F"/>
    <w:rsid w:val="00531DA2"/>
    <w:rsid w:val="00531DFC"/>
    <w:rsid w:val="0053202E"/>
    <w:rsid w:val="005321B3"/>
    <w:rsid w:val="005323FA"/>
    <w:rsid w:val="00532664"/>
    <w:rsid w:val="00532C8A"/>
    <w:rsid w:val="00532D01"/>
    <w:rsid w:val="00532D83"/>
    <w:rsid w:val="0053300D"/>
    <w:rsid w:val="005333A7"/>
    <w:rsid w:val="0053340D"/>
    <w:rsid w:val="0053346C"/>
    <w:rsid w:val="005335F6"/>
    <w:rsid w:val="00533A01"/>
    <w:rsid w:val="00533BA9"/>
    <w:rsid w:val="00533E65"/>
    <w:rsid w:val="005342DE"/>
    <w:rsid w:val="00534304"/>
    <w:rsid w:val="005344E7"/>
    <w:rsid w:val="0053469A"/>
    <w:rsid w:val="00534721"/>
    <w:rsid w:val="00534796"/>
    <w:rsid w:val="0053489E"/>
    <w:rsid w:val="00534A9D"/>
    <w:rsid w:val="00535108"/>
    <w:rsid w:val="00535261"/>
    <w:rsid w:val="00535487"/>
    <w:rsid w:val="005354A5"/>
    <w:rsid w:val="0053555A"/>
    <w:rsid w:val="005356E4"/>
    <w:rsid w:val="00535B5B"/>
    <w:rsid w:val="00535C3B"/>
    <w:rsid w:val="00535F7F"/>
    <w:rsid w:val="00535F8A"/>
    <w:rsid w:val="005362C7"/>
    <w:rsid w:val="005363CD"/>
    <w:rsid w:val="00536637"/>
    <w:rsid w:val="00536641"/>
    <w:rsid w:val="005368F9"/>
    <w:rsid w:val="00536B06"/>
    <w:rsid w:val="00536DF4"/>
    <w:rsid w:val="00536FBB"/>
    <w:rsid w:val="00537022"/>
    <w:rsid w:val="00537031"/>
    <w:rsid w:val="00537116"/>
    <w:rsid w:val="0053744C"/>
    <w:rsid w:val="0053767B"/>
    <w:rsid w:val="0053785F"/>
    <w:rsid w:val="0053798D"/>
    <w:rsid w:val="0054010E"/>
    <w:rsid w:val="00540355"/>
    <w:rsid w:val="005405D2"/>
    <w:rsid w:val="00540970"/>
    <w:rsid w:val="00540CA0"/>
    <w:rsid w:val="00540D1F"/>
    <w:rsid w:val="00540DD6"/>
    <w:rsid w:val="00541059"/>
    <w:rsid w:val="00541220"/>
    <w:rsid w:val="0054139B"/>
    <w:rsid w:val="0054165D"/>
    <w:rsid w:val="0054190F"/>
    <w:rsid w:val="0054199D"/>
    <w:rsid w:val="00541DAE"/>
    <w:rsid w:val="00541F35"/>
    <w:rsid w:val="00541F7F"/>
    <w:rsid w:val="00542252"/>
    <w:rsid w:val="00542299"/>
    <w:rsid w:val="00542499"/>
    <w:rsid w:val="005426D2"/>
    <w:rsid w:val="00542854"/>
    <w:rsid w:val="00542914"/>
    <w:rsid w:val="00542962"/>
    <w:rsid w:val="00542C6D"/>
    <w:rsid w:val="00542C72"/>
    <w:rsid w:val="00542C8C"/>
    <w:rsid w:val="00542CF1"/>
    <w:rsid w:val="00542EF7"/>
    <w:rsid w:val="00543568"/>
    <w:rsid w:val="00543620"/>
    <w:rsid w:val="00543D19"/>
    <w:rsid w:val="00543D33"/>
    <w:rsid w:val="00543D3E"/>
    <w:rsid w:val="00543DE4"/>
    <w:rsid w:val="00544005"/>
    <w:rsid w:val="005442C4"/>
    <w:rsid w:val="0054454B"/>
    <w:rsid w:val="00544633"/>
    <w:rsid w:val="005446DA"/>
    <w:rsid w:val="00544728"/>
    <w:rsid w:val="00544995"/>
    <w:rsid w:val="00544AAF"/>
    <w:rsid w:val="00544BF5"/>
    <w:rsid w:val="00544E6A"/>
    <w:rsid w:val="00545103"/>
    <w:rsid w:val="0054516E"/>
    <w:rsid w:val="0054530C"/>
    <w:rsid w:val="00545316"/>
    <w:rsid w:val="0054546E"/>
    <w:rsid w:val="00545479"/>
    <w:rsid w:val="005454F8"/>
    <w:rsid w:val="00545525"/>
    <w:rsid w:val="0054555F"/>
    <w:rsid w:val="00545793"/>
    <w:rsid w:val="00545973"/>
    <w:rsid w:val="00545AB2"/>
    <w:rsid w:val="00545B17"/>
    <w:rsid w:val="00545D71"/>
    <w:rsid w:val="00545EFD"/>
    <w:rsid w:val="005461F8"/>
    <w:rsid w:val="005463DD"/>
    <w:rsid w:val="00546731"/>
    <w:rsid w:val="00546850"/>
    <w:rsid w:val="00546DE4"/>
    <w:rsid w:val="00546EFD"/>
    <w:rsid w:val="005470C6"/>
    <w:rsid w:val="00547341"/>
    <w:rsid w:val="005473EA"/>
    <w:rsid w:val="005474C1"/>
    <w:rsid w:val="0054762D"/>
    <w:rsid w:val="0054774E"/>
    <w:rsid w:val="00547822"/>
    <w:rsid w:val="00547A18"/>
    <w:rsid w:val="00547B37"/>
    <w:rsid w:val="00547B43"/>
    <w:rsid w:val="00547D04"/>
    <w:rsid w:val="00547E31"/>
    <w:rsid w:val="00547EE0"/>
    <w:rsid w:val="00550129"/>
    <w:rsid w:val="00550138"/>
    <w:rsid w:val="005501B9"/>
    <w:rsid w:val="005507AC"/>
    <w:rsid w:val="0055092D"/>
    <w:rsid w:val="00550975"/>
    <w:rsid w:val="00550A4E"/>
    <w:rsid w:val="00550A57"/>
    <w:rsid w:val="00550B6D"/>
    <w:rsid w:val="00550BD3"/>
    <w:rsid w:val="00550E2B"/>
    <w:rsid w:val="00550F71"/>
    <w:rsid w:val="00550FD4"/>
    <w:rsid w:val="00551017"/>
    <w:rsid w:val="005512A1"/>
    <w:rsid w:val="0055138E"/>
    <w:rsid w:val="005514B8"/>
    <w:rsid w:val="00551679"/>
    <w:rsid w:val="00551756"/>
    <w:rsid w:val="00551ACE"/>
    <w:rsid w:val="00551B7F"/>
    <w:rsid w:val="00552012"/>
    <w:rsid w:val="0055237F"/>
    <w:rsid w:val="00552AD0"/>
    <w:rsid w:val="00552C8F"/>
    <w:rsid w:val="00552CB0"/>
    <w:rsid w:val="00552CC2"/>
    <w:rsid w:val="00553018"/>
    <w:rsid w:val="0055305C"/>
    <w:rsid w:val="005530E9"/>
    <w:rsid w:val="005535C9"/>
    <w:rsid w:val="005535E7"/>
    <w:rsid w:val="005536DF"/>
    <w:rsid w:val="00553B2A"/>
    <w:rsid w:val="00553BB2"/>
    <w:rsid w:val="00554001"/>
    <w:rsid w:val="00554121"/>
    <w:rsid w:val="0055436F"/>
    <w:rsid w:val="005546D1"/>
    <w:rsid w:val="005547B3"/>
    <w:rsid w:val="00554936"/>
    <w:rsid w:val="00554BF4"/>
    <w:rsid w:val="00555128"/>
    <w:rsid w:val="005555A7"/>
    <w:rsid w:val="00555624"/>
    <w:rsid w:val="00555700"/>
    <w:rsid w:val="005559A9"/>
    <w:rsid w:val="00555A20"/>
    <w:rsid w:val="00555AE8"/>
    <w:rsid w:val="00555B00"/>
    <w:rsid w:val="00555B59"/>
    <w:rsid w:val="00555F53"/>
    <w:rsid w:val="005562CE"/>
    <w:rsid w:val="0055665A"/>
    <w:rsid w:val="005566A6"/>
    <w:rsid w:val="00556EDA"/>
    <w:rsid w:val="005570DA"/>
    <w:rsid w:val="0055719E"/>
    <w:rsid w:val="0055732C"/>
    <w:rsid w:val="005573C1"/>
    <w:rsid w:val="005576E4"/>
    <w:rsid w:val="00557807"/>
    <w:rsid w:val="00557B45"/>
    <w:rsid w:val="00557CC8"/>
    <w:rsid w:val="00557E09"/>
    <w:rsid w:val="00557FB7"/>
    <w:rsid w:val="00560030"/>
    <w:rsid w:val="00560107"/>
    <w:rsid w:val="0056031A"/>
    <w:rsid w:val="0056036D"/>
    <w:rsid w:val="00560552"/>
    <w:rsid w:val="005606C7"/>
    <w:rsid w:val="00560770"/>
    <w:rsid w:val="00560805"/>
    <w:rsid w:val="0056086D"/>
    <w:rsid w:val="005608DF"/>
    <w:rsid w:val="00560A87"/>
    <w:rsid w:val="00560AC8"/>
    <w:rsid w:val="00560C52"/>
    <w:rsid w:val="00560E65"/>
    <w:rsid w:val="00560F03"/>
    <w:rsid w:val="00561111"/>
    <w:rsid w:val="0056119B"/>
    <w:rsid w:val="00561316"/>
    <w:rsid w:val="0056146C"/>
    <w:rsid w:val="0056196B"/>
    <w:rsid w:val="00561AA1"/>
    <w:rsid w:val="00561C35"/>
    <w:rsid w:val="00561F3D"/>
    <w:rsid w:val="005620CB"/>
    <w:rsid w:val="00562298"/>
    <w:rsid w:val="0056237B"/>
    <w:rsid w:val="00562500"/>
    <w:rsid w:val="0056252B"/>
    <w:rsid w:val="005626AD"/>
    <w:rsid w:val="005626EA"/>
    <w:rsid w:val="0056272B"/>
    <w:rsid w:val="00562766"/>
    <w:rsid w:val="00562779"/>
    <w:rsid w:val="005627EF"/>
    <w:rsid w:val="00562900"/>
    <w:rsid w:val="00562E53"/>
    <w:rsid w:val="0056308C"/>
    <w:rsid w:val="0056313B"/>
    <w:rsid w:val="00563182"/>
    <w:rsid w:val="005632A9"/>
    <w:rsid w:val="00563883"/>
    <w:rsid w:val="00563A0A"/>
    <w:rsid w:val="00563ACD"/>
    <w:rsid w:val="00563B4C"/>
    <w:rsid w:val="00563CF3"/>
    <w:rsid w:val="00564153"/>
    <w:rsid w:val="00564218"/>
    <w:rsid w:val="005644C6"/>
    <w:rsid w:val="005644C9"/>
    <w:rsid w:val="0056470A"/>
    <w:rsid w:val="00564A4C"/>
    <w:rsid w:val="00564EA6"/>
    <w:rsid w:val="0056553D"/>
    <w:rsid w:val="00565581"/>
    <w:rsid w:val="005655C7"/>
    <w:rsid w:val="0056593D"/>
    <w:rsid w:val="00565D74"/>
    <w:rsid w:val="005662CE"/>
    <w:rsid w:val="005662E7"/>
    <w:rsid w:val="00566434"/>
    <w:rsid w:val="00566489"/>
    <w:rsid w:val="00566664"/>
    <w:rsid w:val="00566E3B"/>
    <w:rsid w:val="00566E9F"/>
    <w:rsid w:val="005677CB"/>
    <w:rsid w:val="00567AB5"/>
    <w:rsid w:val="00567E77"/>
    <w:rsid w:val="005701F7"/>
    <w:rsid w:val="0057025E"/>
    <w:rsid w:val="005703C1"/>
    <w:rsid w:val="005708B8"/>
    <w:rsid w:val="005708E9"/>
    <w:rsid w:val="00570929"/>
    <w:rsid w:val="005709B9"/>
    <w:rsid w:val="00570A71"/>
    <w:rsid w:val="00570BBF"/>
    <w:rsid w:val="00570CAC"/>
    <w:rsid w:val="00571B60"/>
    <w:rsid w:val="00571C49"/>
    <w:rsid w:val="00571E8C"/>
    <w:rsid w:val="00571FB4"/>
    <w:rsid w:val="0057212F"/>
    <w:rsid w:val="005721B3"/>
    <w:rsid w:val="00572628"/>
    <w:rsid w:val="00572733"/>
    <w:rsid w:val="005727B0"/>
    <w:rsid w:val="00572D08"/>
    <w:rsid w:val="00572DAD"/>
    <w:rsid w:val="00572DDD"/>
    <w:rsid w:val="00572EA9"/>
    <w:rsid w:val="00572EEF"/>
    <w:rsid w:val="005730E3"/>
    <w:rsid w:val="005731D1"/>
    <w:rsid w:val="00573337"/>
    <w:rsid w:val="00573517"/>
    <w:rsid w:val="00573753"/>
    <w:rsid w:val="005737D9"/>
    <w:rsid w:val="00573ACC"/>
    <w:rsid w:val="00573C97"/>
    <w:rsid w:val="00573CCC"/>
    <w:rsid w:val="00573E41"/>
    <w:rsid w:val="00573F73"/>
    <w:rsid w:val="005741F2"/>
    <w:rsid w:val="005741FC"/>
    <w:rsid w:val="0057434D"/>
    <w:rsid w:val="0057451F"/>
    <w:rsid w:val="005745A1"/>
    <w:rsid w:val="005747BD"/>
    <w:rsid w:val="00574851"/>
    <w:rsid w:val="005749FB"/>
    <w:rsid w:val="00574CE9"/>
    <w:rsid w:val="00574D67"/>
    <w:rsid w:val="00574DC6"/>
    <w:rsid w:val="00574E62"/>
    <w:rsid w:val="00575465"/>
    <w:rsid w:val="005757CB"/>
    <w:rsid w:val="0057591C"/>
    <w:rsid w:val="00575A9C"/>
    <w:rsid w:val="00575CFC"/>
    <w:rsid w:val="00575D0B"/>
    <w:rsid w:val="00575E69"/>
    <w:rsid w:val="00575FCE"/>
    <w:rsid w:val="005763E1"/>
    <w:rsid w:val="005764A4"/>
    <w:rsid w:val="005766B6"/>
    <w:rsid w:val="00576819"/>
    <w:rsid w:val="0057686F"/>
    <w:rsid w:val="0057696D"/>
    <w:rsid w:val="00576A63"/>
    <w:rsid w:val="00576F07"/>
    <w:rsid w:val="00577073"/>
    <w:rsid w:val="00577746"/>
    <w:rsid w:val="00577B23"/>
    <w:rsid w:val="00577B97"/>
    <w:rsid w:val="00577C44"/>
    <w:rsid w:val="00577CC0"/>
    <w:rsid w:val="00577DBA"/>
    <w:rsid w:val="005807E9"/>
    <w:rsid w:val="00580814"/>
    <w:rsid w:val="00580A0D"/>
    <w:rsid w:val="00580A63"/>
    <w:rsid w:val="00580C4F"/>
    <w:rsid w:val="00580F43"/>
    <w:rsid w:val="005810F8"/>
    <w:rsid w:val="005811C7"/>
    <w:rsid w:val="005813E9"/>
    <w:rsid w:val="005814E4"/>
    <w:rsid w:val="0058152A"/>
    <w:rsid w:val="0058187C"/>
    <w:rsid w:val="005818F3"/>
    <w:rsid w:val="00581A8B"/>
    <w:rsid w:val="00581ACB"/>
    <w:rsid w:val="00581B41"/>
    <w:rsid w:val="00581DD5"/>
    <w:rsid w:val="00581F29"/>
    <w:rsid w:val="00581F60"/>
    <w:rsid w:val="0058221F"/>
    <w:rsid w:val="0058225C"/>
    <w:rsid w:val="0058251D"/>
    <w:rsid w:val="0058263F"/>
    <w:rsid w:val="0058291B"/>
    <w:rsid w:val="005829DB"/>
    <w:rsid w:val="00582A13"/>
    <w:rsid w:val="00582AB4"/>
    <w:rsid w:val="00582D71"/>
    <w:rsid w:val="00582DF8"/>
    <w:rsid w:val="0058311C"/>
    <w:rsid w:val="00583176"/>
    <w:rsid w:val="00583A07"/>
    <w:rsid w:val="00583AFB"/>
    <w:rsid w:val="00583C71"/>
    <w:rsid w:val="005841C7"/>
    <w:rsid w:val="0058435B"/>
    <w:rsid w:val="005843A9"/>
    <w:rsid w:val="00584602"/>
    <w:rsid w:val="00584694"/>
    <w:rsid w:val="00584824"/>
    <w:rsid w:val="00584B43"/>
    <w:rsid w:val="00584C90"/>
    <w:rsid w:val="00584D29"/>
    <w:rsid w:val="00584DC7"/>
    <w:rsid w:val="00584DC8"/>
    <w:rsid w:val="0058502E"/>
    <w:rsid w:val="005852CD"/>
    <w:rsid w:val="005853C7"/>
    <w:rsid w:val="00585675"/>
    <w:rsid w:val="005857F3"/>
    <w:rsid w:val="00585BD7"/>
    <w:rsid w:val="00585D03"/>
    <w:rsid w:val="00585E6E"/>
    <w:rsid w:val="0058642F"/>
    <w:rsid w:val="005864ED"/>
    <w:rsid w:val="005865B6"/>
    <w:rsid w:val="0058669D"/>
    <w:rsid w:val="00586980"/>
    <w:rsid w:val="005869D4"/>
    <w:rsid w:val="00586A64"/>
    <w:rsid w:val="00586DC8"/>
    <w:rsid w:val="00586E0A"/>
    <w:rsid w:val="005875BF"/>
    <w:rsid w:val="00587724"/>
    <w:rsid w:val="00587CC0"/>
    <w:rsid w:val="00587DE9"/>
    <w:rsid w:val="00587E2D"/>
    <w:rsid w:val="0058E402"/>
    <w:rsid w:val="00590058"/>
    <w:rsid w:val="005901E4"/>
    <w:rsid w:val="005902FB"/>
    <w:rsid w:val="0059032E"/>
    <w:rsid w:val="005903C0"/>
    <w:rsid w:val="00590595"/>
    <w:rsid w:val="00590A61"/>
    <w:rsid w:val="00590C5C"/>
    <w:rsid w:val="00590E14"/>
    <w:rsid w:val="00590F60"/>
    <w:rsid w:val="00591136"/>
    <w:rsid w:val="00591183"/>
    <w:rsid w:val="00591378"/>
    <w:rsid w:val="005913BB"/>
    <w:rsid w:val="0059162B"/>
    <w:rsid w:val="005916FB"/>
    <w:rsid w:val="005917EB"/>
    <w:rsid w:val="00591922"/>
    <w:rsid w:val="00591E8C"/>
    <w:rsid w:val="0059252D"/>
    <w:rsid w:val="00592678"/>
    <w:rsid w:val="005927D5"/>
    <w:rsid w:val="005929E4"/>
    <w:rsid w:val="00592C10"/>
    <w:rsid w:val="00592E56"/>
    <w:rsid w:val="00592E73"/>
    <w:rsid w:val="00593051"/>
    <w:rsid w:val="00593059"/>
    <w:rsid w:val="00593191"/>
    <w:rsid w:val="00593309"/>
    <w:rsid w:val="00593625"/>
    <w:rsid w:val="00593763"/>
    <w:rsid w:val="00593B4F"/>
    <w:rsid w:val="00593CD0"/>
    <w:rsid w:val="00593DCB"/>
    <w:rsid w:val="00593EAE"/>
    <w:rsid w:val="00594017"/>
    <w:rsid w:val="005941C8"/>
    <w:rsid w:val="00594389"/>
    <w:rsid w:val="005944BE"/>
    <w:rsid w:val="0059478E"/>
    <w:rsid w:val="00594FCC"/>
    <w:rsid w:val="005951E5"/>
    <w:rsid w:val="005952C9"/>
    <w:rsid w:val="0059557E"/>
    <w:rsid w:val="0059565B"/>
    <w:rsid w:val="005956CD"/>
    <w:rsid w:val="00595A01"/>
    <w:rsid w:val="00595B2C"/>
    <w:rsid w:val="00595E8A"/>
    <w:rsid w:val="00595F56"/>
    <w:rsid w:val="00595FBB"/>
    <w:rsid w:val="0059617B"/>
    <w:rsid w:val="005962BF"/>
    <w:rsid w:val="00596B60"/>
    <w:rsid w:val="00596B8F"/>
    <w:rsid w:val="00596BA7"/>
    <w:rsid w:val="00596DDE"/>
    <w:rsid w:val="00596E4F"/>
    <w:rsid w:val="0059717C"/>
    <w:rsid w:val="00597588"/>
    <w:rsid w:val="005977BA"/>
    <w:rsid w:val="005979AA"/>
    <w:rsid w:val="00597B51"/>
    <w:rsid w:val="00597C3C"/>
    <w:rsid w:val="00597DD9"/>
    <w:rsid w:val="00597E86"/>
    <w:rsid w:val="005A02F3"/>
    <w:rsid w:val="005A0357"/>
    <w:rsid w:val="005A0392"/>
    <w:rsid w:val="005A0AB7"/>
    <w:rsid w:val="005A16AE"/>
    <w:rsid w:val="005A17BA"/>
    <w:rsid w:val="005A1976"/>
    <w:rsid w:val="005A1BF9"/>
    <w:rsid w:val="005A1E3B"/>
    <w:rsid w:val="005A1F3B"/>
    <w:rsid w:val="005A2430"/>
    <w:rsid w:val="005A25C0"/>
    <w:rsid w:val="005A26B6"/>
    <w:rsid w:val="005A2774"/>
    <w:rsid w:val="005A27BA"/>
    <w:rsid w:val="005A288D"/>
    <w:rsid w:val="005A2C81"/>
    <w:rsid w:val="005A2CCD"/>
    <w:rsid w:val="005A2D01"/>
    <w:rsid w:val="005A2D5D"/>
    <w:rsid w:val="005A2F11"/>
    <w:rsid w:val="005A2FBC"/>
    <w:rsid w:val="005A2FD9"/>
    <w:rsid w:val="005A322D"/>
    <w:rsid w:val="005A3240"/>
    <w:rsid w:val="005A346D"/>
    <w:rsid w:val="005A3495"/>
    <w:rsid w:val="005A367B"/>
    <w:rsid w:val="005A370A"/>
    <w:rsid w:val="005A3838"/>
    <w:rsid w:val="005A3972"/>
    <w:rsid w:val="005A3C57"/>
    <w:rsid w:val="005A3E4A"/>
    <w:rsid w:val="005A40D5"/>
    <w:rsid w:val="005A44AE"/>
    <w:rsid w:val="005A48FA"/>
    <w:rsid w:val="005A4A2B"/>
    <w:rsid w:val="005A4B2E"/>
    <w:rsid w:val="005A4CCC"/>
    <w:rsid w:val="005A4F4B"/>
    <w:rsid w:val="005A4F84"/>
    <w:rsid w:val="005A4FBD"/>
    <w:rsid w:val="005A5358"/>
    <w:rsid w:val="005A5528"/>
    <w:rsid w:val="005A59A2"/>
    <w:rsid w:val="005A5CE4"/>
    <w:rsid w:val="005A6238"/>
    <w:rsid w:val="005A62B9"/>
    <w:rsid w:val="005A635B"/>
    <w:rsid w:val="005A638B"/>
    <w:rsid w:val="005A6510"/>
    <w:rsid w:val="005A65CA"/>
    <w:rsid w:val="005A66F4"/>
    <w:rsid w:val="005A6AD8"/>
    <w:rsid w:val="005A6B95"/>
    <w:rsid w:val="005A7324"/>
    <w:rsid w:val="005A7519"/>
    <w:rsid w:val="005A767A"/>
    <w:rsid w:val="005A796D"/>
    <w:rsid w:val="005A7E0C"/>
    <w:rsid w:val="005B007A"/>
    <w:rsid w:val="005B00F0"/>
    <w:rsid w:val="005B03BB"/>
    <w:rsid w:val="005B04D2"/>
    <w:rsid w:val="005B060C"/>
    <w:rsid w:val="005B0C25"/>
    <w:rsid w:val="005B0F2B"/>
    <w:rsid w:val="005B1065"/>
    <w:rsid w:val="005B10F2"/>
    <w:rsid w:val="005B118E"/>
    <w:rsid w:val="005B123A"/>
    <w:rsid w:val="005B13C5"/>
    <w:rsid w:val="005B181A"/>
    <w:rsid w:val="005B1A47"/>
    <w:rsid w:val="005B1B2E"/>
    <w:rsid w:val="005B1C6A"/>
    <w:rsid w:val="005B1F0E"/>
    <w:rsid w:val="005B1F0F"/>
    <w:rsid w:val="005B2209"/>
    <w:rsid w:val="005B2431"/>
    <w:rsid w:val="005B2609"/>
    <w:rsid w:val="005B2951"/>
    <w:rsid w:val="005B2A44"/>
    <w:rsid w:val="005B2F78"/>
    <w:rsid w:val="005B30D2"/>
    <w:rsid w:val="005B3585"/>
    <w:rsid w:val="005B35A2"/>
    <w:rsid w:val="005B3798"/>
    <w:rsid w:val="005B3951"/>
    <w:rsid w:val="005B3CAE"/>
    <w:rsid w:val="005B3D16"/>
    <w:rsid w:val="005B3FD7"/>
    <w:rsid w:val="005B4179"/>
    <w:rsid w:val="005B41C4"/>
    <w:rsid w:val="005B43C5"/>
    <w:rsid w:val="005B43D3"/>
    <w:rsid w:val="005B463B"/>
    <w:rsid w:val="005B476B"/>
    <w:rsid w:val="005B491C"/>
    <w:rsid w:val="005B4B47"/>
    <w:rsid w:val="005B5256"/>
    <w:rsid w:val="005B5341"/>
    <w:rsid w:val="005B5504"/>
    <w:rsid w:val="005B5785"/>
    <w:rsid w:val="005B59C4"/>
    <w:rsid w:val="005B5A15"/>
    <w:rsid w:val="005B5A5F"/>
    <w:rsid w:val="005B5BE2"/>
    <w:rsid w:val="005B5C08"/>
    <w:rsid w:val="005B5CA3"/>
    <w:rsid w:val="005B5FF5"/>
    <w:rsid w:val="005B6098"/>
    <w:rsid w:val="005B6501"/>
    <w:rsid w:val="005B655E"/>
    <w:rsid w:val="005B65CC"/>
    <w:rsid w:val="005B6725"/>
    <w:rsid w:val="005B6CEB"/>
    <w:rsid w:val="005B70E2"/>
    <w:rsid w:val="005B7477"/>
    <w:rsid w:val="005B74D6"/>
    <w:rsid w:val="005B77A9"/>
    <w:rsid w:val="005B7C6F"/>
    <w:rsid w:val="005B7CFA"/>
    <w:rsid w:val="005B7D48"/>
    <w:rsid w:val="005C0052"/>
    <w:rsid w:val="005C0198"/>
    <w:rsid w:val="005C01DE"/>
    <w:rsid w:val="005C05C1"/>
    <w:rsid w:val="005C071B"/>
    <w:rsid w:val="005C08F7"/>
    <w:rsid w:val="005C0ABF"/>
    <w:rsid w:val="005C0C24"/>
    <w:rsid w:val="005C1565"/>
    <w:rsid w:val="005C15E5"/>
    <w:rsid w:val="005C16BE"/>
    <w:rsid w:val="005C180D"/>
    <w:rsid w:val="005C1ACC"/>
    <w:rsid w:val="005C1D20"/>
    <w:rsid w:val="005C1E8F"/>
    <w:rsid w:val="005C1F78"/>
    <w:rsid w:val="005C2046"/>
    <w:rsid w:val="005C24C6"/>
    <w:rsid w:val="005C2531"/>
    <w:rsid w:val="005C26EA"/>
    <w:rsid w:val="005C2805"/>
    <w:rsid w:val="005C2981"/>
    <w:rsid w:val="005C2A75"/>
    <w:rsid w:val="005C2B9F"/>
    <w:rsid w:val="005C2EBD"/>
    <w:rsid w:val="005C2F45"/>
    <w:rsid w:val="005C3113"/>
    <w:rsid w:val="005C3593"/>
    <w:rsid w:val="005C3B75"/>
    <w:rsid w:val="005C3B7C"/>
    <w:rsid w:val="005C4182"/>
    <w:rsid w:val="005C4502"/>
    <w:rsid w:val="005C460E"/>
    <w:rsid w:val="005C46D5"/>
    <w:rsid w:val="005C47E9"/>
    <w:rsid w:val="005C4B28"/>
    <w:rsid w:val="005C4C07"/>
    <w:rsid w:val="005C4C23"/>
    <w:rsid w:val="005C4D5A"/>
    <w:rsid w:val="005C5B2D"/>
    <w:rsid w:val="005C5BD9"/>
    <w:rsid w:val="005C5F67"/>
    <w:rsid w:val="005C5FAE"/>
    <w:rsid w:val="005C626F"/>
    <w:rsid w:val="005C6271"/>
    <w:rsid w:val="005C6400"/>
    <w:rsid w:val="005C6434"/>
    <w:rsid w:val="005C663D"/>
    <w:rsid w:val="005C6962"/>
    <w:rsid w:val="005C6B9D"/>
    <w:rsid w:val="005C6CBE"/>
    <w:rsid w:val="005C6FB1"/>
    <w:rsid w:val="005C700F"/>
    <w:rsid w:val="005C7289"/>
    <w:rsid w:val="005C74D8"/>
    <w:rsid w:val="005C7731"/>
    <w:rsid w:val="005C7E05"/>
    <w:rsid w:val="005C7E07"/>
    <w:rsid w:val="005C7F27"/>
    <w:rsid w:val="005D0166"/>
    <w:rsid w:val="005D0691"/>
    <w:rsid w:val="005D08D6"/>
    <w:rsid w:val="005D0906"/>
    <w:rsid w:val="005D096E"/>
    <w:rsid w:val="005D0B4E"/>
    <w:rsid w:val="005D0DA1"/>
    <w:rsid w:val="005D0DC8"/>
    <w:rsid w:val="005D0E05"/>
    <w:rsid w:val="005D0EF8"/>
    <w:rsid w:val="005D10F2"/>
    <w:rsid w:val="005D183C"/>
    <w:rsid w:val="005D1B64"/>
    <w:rsid w:val="005D1D77"/>
    <w:rsid w:val="005D1D7F"/>
    <w:rsid w:val="005D2059"/>
    <w:rsid w:val="005D218F"/>
    <w:rsid w:val="005D238A"/>
    <w:rsid w:val="005D245C"/>
    <w:rsid w:val="005D2509"/>
    <w:rsid w:val="005D2621"/>
    <w:rsid w:val="005D2D8F"/>
    <w:rsid w:val="005D2DED"/>
    <w:rsid w:val="005D2E8C"/>
    <w:rsid w:val="005D30F3"/>
    <w:rsid w:val="005D3537"/>
    <w:rsid w:val="005D368C"/>
    <w:rsid w:val="005D3832"/>
    <w:rsid w:val="005D38CB"/>
    <w:rsid w:val="005D40DE"/>
    <w:rsid w:val="005D4412"/>
    <w:rsid w:val="005D446E"/>
    <w:rsid w:val="005D4581"/>
    <w:rsid w:val="005D45E0"/>
    <w:rsid w:val="005D4621"/>
    <w:rsid w:val="005D49C4"/>
    <w:rsid w:val="005D4A19"/>
    <w:rsid w:val="005D4D0A"/>
    <w:rsid w:val="005D4D26"/>
    <w:rsid w:val="005D4DEE"/>
    <w:rsid w:val="005D4E0C"/>
    <w:rsid w:val="005D5504"/>
    <w:rsid w:val="005D5647"/>
    <w:rsid w:val="005D56CF"/>
    <w:rsid w:val="005D5750"/>
    <w:rsid w:val="005D57C7"/>
    <w:rsid w:val="005D580E"/>
    <w:rsid w:val="005D5819"/>
    <w:rsid w:val="005D58DC"/>
    <w:rsid w:val="005D59F4"/>
    <w:rsid w:val="005D5A6B"/>
    <w:rsid w:val="005D5B88"/>
    <w:rsid w:val="005D5C59"/>
    <w:rsid w:val="005D619F"/>
    <w:rsid w:val="005D657B"/>
    <w:rsid w:val="005D6B28"/>
    <w:rsid w:val="005D6C80"/>
    <w:rsid w:val="005D6D13"/>
    <w:rsid w:val="005D6D85"/>
    <w:rsid w:val="005D6DC3"/>
    <w:rsid w:val="005D6F9C"/>
    <w:rsid w:val="005D6FEA"/>
    <w:rsid w:val="005D734D"/>
    <w:rsid w:val="005D7380"/>
    <w:rsid w:val="005D76FA"/>
    <w:rsid w:val="005D7817"/>
    <w:rsid w:val="005D7857"/>
    <w:rsid w:val="005D7AA9"/>
    <w:rsid w:val="005D7B06"/>
    <w:rsid w:val="005D7CAB"/>
    <w:rsid w:val="005D7D15"/>
    <w:rsid w:val="005D7FCA"/>
    <w:rsid w:val="005D7FE5"/>
    <w:rsid w:val="005E00B1"/>
    <w:rsid w:val="005E0252"/>
    <w:rsid w:val="005E0486"/>
    <w:rsid w:val="005E06D8"/>
    <w:rsid w:val="005E0948"/>
    <w:rsid w:val="005E0963"/>
    <w:rsid w:val="005E0D12"/>
    <w:rsid w:val="005E0DE3"/>
    <w:rsid w:val="005E1267"/>
    <w:rsid w:val="005E1507"/>
    <w:rsid w:val="005E1566"/>
    <w:rsid w:val="005E15A6"/>
    <w:rsid w:val="005E1662"/>
    <w:rsid w:val="005E1786"/>
    <w:rsid w:val="005E181A"/>
    <w:rsid w:val="005E1949"/>
    <w:rsid w:val="005E19A7"/>
    <w:rsid w:val="005E1ACE"/>
    <w:rsid w:val="005E1BC9"/>
    <w:rsid w:val="005E1E8D"/>
    <w:rsid w:val="005E2215"/>
    <w:rsid w:val="005E23CC"/>
    <w:rsid w:val="005E24D8"/>
    <w:rsid w:val="005E279E"/>
    <w:rsid w:val="005E28F3"/>
    <w:rsid w:val="005E2A9D"/>
    <w:rsid w:val="005E2C48"/>
    <w:rsid w:val="005E2DB5"/>
    <w:rsid w:val="005E2DB8"/>
    <w:rsid w:val="005E2F48"/>
    <w:rsid w:val="005E3085"/>
    <w:rsid w:val="005E34BA"/>
    <w:rsid w:val="005E38B7"/>
    <w:rsid w:val="005E3A3F"/>
    <w:rsid w:val="005E3CD5"/>
    <w:rsid w:val="005E3DB5"/>
    <w:rsid w:val="005E3E2A"/>
    <w:rsid w:val="005E3F32"/>
    <w:rsid w:val="005E40D1"/>
    <w:rsid w:val="005E410C"/>
    <w:rsid w:val="005E4DDA"/>
    <w:rsid w:val="005E4EDA"/>
    <w:rsid w:val="005E4FA3"/>
    <w:rsid w:val="005E4FF6"/>
    <w:rsid w:val="005E5119"/>
    <w:rsid w:val="005E57B7"/>
    <w:rsid w:val="005E57CB"/>
    <w:rsid w:val="005E5D0E"/>
    <w:rsid w:val="005E5D26"/>
    <w:rsid w:val="005E607A"/>
    <w:rsid w:val="005E610A"/>
    <w:rsid w:val="005E65BC"/>
    <w:rsid w:val="005E65C4"/>
    <w:rsid w:val="005E6A41"/>
    <w:rsid w:val="005E6ABE"/>
    <w:rsid w:val="005E6B6A"/>
    <w:rsid w:val="005E6CC5"/>
    <w:rsid w:val="005E6ECF"/>
    <w:rsid w:val="005E6EFD"/>
    <w:rsid w:val="005E72CC"/>
    <w:rsid w:val="005E79D0"/>
    <w:rsid w:val="005E7B03"/>
    <w:rsid w:val="005E7C64"/>
    <w:rsid w:val="005E7EFF"/>
    <w:rsid w:val="005E7F9D"/>
    <w:rsid w:val="005F03EF"/>
    <w:rsid w:val="005F07A2"/>
    <w:rsid w:val="005F0A7B"/>
    <w:rsid w:val="005F0C0D"/>
    <w:rsid w:val="005F1581"/>
    <w:rsid w:val="005F160C"/>
    <w:rsid w:val="005F1791"/>
    <w:rsid w:val="005F1987"/>
    <w:rsid w:val="005F1B02"/>
    <w:rsid w:val="005F222A"/>
    <w:rsid w:val="005F2277"/>
    <w:rsid w:val="005F28B3"/>
    <w:rsid w:val="005F29AC"/>
    <w:rsid w:val="005F2C50"/>
    <w:rsid w:val="005F2E71"/>
    <w:rsid w:val="005F301E"/>
    <w:rsid w:val="005F31C5"/>
    <w:rsid w:val="005F3282"/>
    <w:rsid w:val="005F32E2"/>
    <w:rsid w:val="005F3493"/>
    <w:rsid w:val="005F3699"/>
    <w:rsid w:val="005F3800"/>
    <w:rsid w:val="005F3C6E"/>
    <w:rsid w:val="005F3C7E"/>
    <w:rsid w:val="005F3C98"/>
    <w:rsid w:val="005F3E4E"/>
    <w:rsid w:val="005F3E57"/>
    <w:rsid w:val="005F3F4A"/>
    <w:rsid w:val="005F3F81"/>
    <w:rsid w:val="005F4047"/>
    <w:rsid w:val="005F43A6"/>
    <w:rsid w:val="005F4A30"/>
    <w:rsid w:val="005F4D8E"/>
    <w:rsid w:val="005F4EF7"/>
    <w:rsid w:val="005F4F3B"/>
    <w:rsid w:val="005F4FE8"/>
    <w:rsid w:val="005F5082"/>
    <w:rsid w:val="005F52D7"/>
    <w:rsid w:val="005F53C8"/>
    <w:rsid w:val="005F5474"/>
    <w:rsid w:val="005F54D3"/>
    <w:rsid w:val="005F55A0"/>
    <w:rsid w:val="005F56A3"/>
    <w:rsid w:val="005F5861"/>
    <w:rsid w:val="005F589C"/>
    <w:rsid w:val="005F593E"/>
    <w:rsid w:val="005F5A87"/>
    <w:rsid w:val="005F5AED"/>
    <w:rsid w:val="005F5B17"/>
    <w:rsid w:val="005F5F3D"/>
    <w:rsid w:val="005F60BD"/>
    <w:rsid w:val="005F6276"/>
    <w:rsid w:val="005F62D2"/>
    <w:rsid w:val="005F6338"/>
    <w:rsid w:val="005F638F"/>
    <w:rsid w:val="005F65AA"/>
    <w:rsid w:val="005F670B"/>
    <w:rsid w:val="005F67C6"/>
    <w:rsid w:val="005F67FF"/>
    <w:rsid w:val="005F6924"/>
    <w:rsid w:val="005F696B"/>
    <w:rsid w:val="005F6A93"/>
    <w:rsid w:val="005F6D96"/>
    <w:rsid w:val="005F6EAF"/>
    <w:rsid w:val="005F6FEC"/>
    <w:rsid w:val="005F7291"/>
    <w:rsid w:val="005F739E"/>
    <w:rsid w:val="005F744A"/>
    <w:rsid w:val="005F7701"/>
    <w:rsid w:val="005F77C0"/>
    <w:rsid w:val="005F7A0F"/>
    <w:rsid w:val="005F7B8D"/>
    <w:rsid w:val="005F7D38"/>
    <w:rsid w:val="005F7E43"/>
    <w:rsid w:val="005F7F9E"/>
    <w:rsid w:val="00600092"/>
    <w:rsid w:val="0060024E"/>
    <w:rsid w:val="006004BE"/>
    <w:rsid w:val="00600763"/>
    <w:rsid w:val="0060077F"/>
    <w:rsid w:val="0060090D"/>
    <w:rsid w:val="006009C5"/>
    <w:rsid w:val="006009F0"/>
    <w:rsid w:val="006009F2"/>
    <w:rsid w:val="00600CA9"/>
    <w:rsid w:val="006012E3"/>
    <w:rsid w:val="0060167C"/>
    <w:rsid w:val="006016B6"/>
    <w:rsid w:val="00601A87"/>
    <w:rsid w:val="00601AA4"/>
    <w:rsid w:val="00601CC1"/>
    <w:rsid w:val="00601EDA"/>
    <w:rsid w:val="00601F2B"/>
    <w:rsid w:val="00602260"/>
    <w:rsid w:val="006022C5"/>
    <w:rsid w:val="0060233A"/>
    <w:rsid w:val="00602783"/>
    <w:rsid w:val="006028D4"/>
    <w:rsid w:val="00602B1E"/>
    <w:rsid w:val="00602E7D"/>
    <w:rsid w:val="006030A0"/>
    <w:rsid w:val="006035C6"/>
    <w:rsid w:val="00603773"/>
    <w:rsid w:val="006037DE"/>
    <w:rsid w:val="006038D3"/>
    <w:rsid w:val="00603BCC"/>
    <w:rsid w:val="00603D3F"/>
    <w:rsid w:val="00603F75"/>
    <w:rsid w:val="00603FCA"/>
    <w:rsid w:val="0060416A"/>
    <w:rsid w:val="00604288"/>
    <w:rsid w:val="006043B6"/>
    <w:rsid w:val="00604432"/>
    <w:rsid w:val="0060460B"/>
    <w:rsid w:val="00604EAA"/>
    <w:rsid w:val="006053CE"/>
    <w:rsid w:val="006054BF"/>
    <w:rsid w:val="0060568B"/>
    <w:rsid w:val="00605699"/>
    <w:rsid w:val="00605B7C"/>
    <w:rsid w:val="00606077"/>
    <w:rsid w:val="00606169"/>
    <w:rsid w:val="00606190"/>
    <w:rsid w:val="0060633E"/>
    <w:rsid w:val="00606409"/>
    <w:rsid w:val="00606C16"/>
    <w:rsid w:val="006071A6"/>
    <w:rsid w:val="006071AE"/>
    <w:rsid w:val="00607481"/>
    <w:rsid w:val="006074C1"/>
    <w:rsid w:val="00607569"/>
    <w:rsid w:val="0060766D"/>
    <w:rsid w:val="00607684"/>
    <w:rsid w:val="0060769F"/>
    <w:rsid w:val="006076F6"/>
    <w:rsid w:val="006079F5"/>
    <w:rsid w:val="00607AFE"/>
    <w:rsid w:val="00610165"/>
    <w:rsid w:val="006101AA"/>
    <w:rsid w:val="0061024C"/>
    <w:rsid w:val="00610305"/>
    <w:rsid w:val="006103D2"/>
    <w:rsid w:val="00610444"/>
    <w:rsid w:val="0061076F"/>
    <w:rsid w:val="0061095B"/>
    <w:rsid w:val="00610B21"/>
    <w:rsid w:val="00610D00"/>
    <w:rsid w:val="00610E84"/>
    <w:rsid w:val="00611038"/>
    <w:rsid w:val="00611764"/>
    <w:rsid w:val="00611779"/>
    <w:rsid w:val="006117C5"/>
    <w:rsid w:val="00611952"/>
    <w:rsid w:val="00611E42"/>
    <w:rsid w:val="00612195"/>
    <w:rsid w:val="00612283"/>
    <w:rsid w:val="0061246A"/>
    <w:rsid w:val="00612593"/>
    <w:rsid w:val="00612596"/>
    <w:rsid w:val="006125D1"/>
    <w:rsid w:val="006127E1"/>
    <w:rsid w:val="00612950"/>
    <w:rsid w:val="00612AFF"/>
    <w:rsid w:val="00612B72"/>
    <w:rsid w:val="00612C8C"/>
    <w:rsid w:val="00612F2E"/>
    <w:rsid w:val="00613286"/>
    <w:rsid w:val="0061329C"/>
    <w:rsid w:val="006134AC"/>
    <w:rsid w:val="0061361A"/>
    <w:rsid w:val="0061362E"/>
    <w:rsid w:val="00613795"/>
    <w:rsid w:val="00613A18"/>
    <w:rsid w:val="00613AEB"/>
    <w:rsid w:val="00613D48"/>
    <w:rsid w:val="0061417A"/>
    <w:rsid w:val="006142D5"/>
    <w:rsid w:val="006145BD"/>
    <w:rsid w:val="0061471A"/>
    <w:rsid w:val="006148E7"/>
    <w:rsid w:val="00614B2D"/>
    <w:rsid w:val="00614BF7"/>
    <w:rsid w:val="00614DA0"/>
    <w:rsid w:val="00615341"/>
    <w:rsid w:val="0061585B"/>
    <w:rsid w:val="00615885"/>
    <w:rsid w:val="00615D51"/>
    <w:rsid w:val="00615E81"/>
    <w:rsid w:val="00616145"/>
    <w:rsid w:val="006161BE"/>
    <w:rsid w:val="0061623B"/>
    <w:rsid w:val="006166CB"/>
    <w:rsid w:val="006166F5"/>
    <w:rsid w:val="006167AE"/>
    <w:rsid w:val="00616800"/>
    <w:rsid w:val="006168F6"/>
    <w:rsid w:val="00616B8D"/>
    <w:rsid w:val="00616BB3"/>
    <w:rsid w:val="00616EB8"/>
    <w:rsid w:val="0061706C"/>
    <w:rsid w:val="006170C1"/>
    <w:rsid w:val="00617535"/>
    <w:rsid w:val="006176CB"/>
    <w:rsid w:val="00617D17"/>
    <w:rsid w:val="00617E99"/>
    <w:rsid w:val="00617EBC"/>
    <w:rsid w:val="00617F96"/>
    <w:rsid w:val="0062007C"/>
    <w:rsid w:val="006201BA"/>
    <w:rsid w:val="00620320"/>
    <w:rsid w:val="006206AC"/>
    <w:rsid w:val="006207BA"/>
    <w:rsid w:val="006207EC"/>
    <w:rsid w:val="0062089F"/>
    <w:rsid w:val="00620CE3"/>
    <w:rsid w:val="00621408"/>
    <w:rsid w:val="0062174C"/>
    <w:rsid w:val="006219A0"/>
    <w:rsid w:val="00621AEE"/>
    <w:rsid w:val="00621B48"/>
    <w:rsid w:val="00621CD0"/>
    <w:rsid w:val="00621D5F"/>
    <w:rsid w:val="00621E54"/>
    <w:rsid w:val="006220B5"/>
    <w:rsid w:val="00622692"/>
    <w:rsid w:val="00622755"/>
    <w:rsid w:val="00622D9A"/>
    <w:rsid w:val="00622F08"/>
    <w:rsid w:val="006231FB"/>
    <w:rsid w:val="00623396"/>
    <w:rsid w:val="0062356D"/>
    <w:rsid w:val="006238E7"/>
    <w:rsid w:val="00623A76"/>
    <w:rsid w:val="00623DE7"/>
    <w:rsid w:val="00624178"/>
    <w:rsid w:val="0062456D"/>
    <w:rsid w:val="00624598"/>
    <w:rsid w:val="00624648"/>
    <w:rsid w:val="00624909"/>
    <w:rsid w:val="0062492E"/>
    <w:rsid w:val="00624989"/>
    <w:rsid w:val="00624B2D"/>
    <w:rsid w:val="00624BA0"/>
    <w:rsid w:val="00624E80"/>
    <w:rsid w:val="006253A1"/>
    <w:rsid w:val="006253BE"/>
    <w:rsid w:val="00625640"/>
    <w:rsid w:val="006257E8"/>
    <w:rsid w:val="00625A06"/>
    <w:rsid w:val="00625AFF"/>
    <w:rsid w:val="00625DB8"/>
    <w:rsid w:val="00625F45"/>
    <w:rsid w:val="00626245"/>
    <w:rsid w:val="006263FD"/>
    <w:rsid w:val="006267A3"/>
    <w:rsid w:val="0062682E"/>
    <w:rsid w:val="006269DA"/>
    <w:rsid w:val="00626FB6"/>
    <w:rsid w:val="0062744F"/>
    <w:rsid w:val="00627523"/>
    <w:rsid w:val="0062766D"/>
    <w:rsid w:val="006277B5"/>
    <w:rsid w:val="00627AAE"/>
    <w:rsid w:val="00627BAA"/>
    <w:rsid w:val="00627C4E"/>
    <w:rsid w:val="00630079"/>
    <w:rsid w:val="006302EF"/>
    <w:rsid w:val="00630377"/>
    <w:rsid w:val="006303AF"/>
    <w:rsid w:val="00630588"/>
    <w:rsid w:val="00630873"/>
    <w:rsid w:val="00630A3E"/>
    <w:rsid w:val="00630AB2"/>
    <w:rsid w:val="00630BF1"/>
    <w:rsid w:val="00630D76"/>
    <w:rsid w:val="00631262"/>
    <w:rsid w:val="006315F0"/>
    <w:rsid w:val="00631778"/>
    <w:rsid w:val="0063194B"/>
    <w:rsid w:val="00631C0C"/>
    <w:rsid w:val="00631DB1"/>
    <w:rsid w:val="00631DF0"/>
    <w:rsid w:val="00631F81"/>
    <w:rsid w:val="00632019"/>
    <w:rsid w:val="0063210F"/>
    <w:rsid w:val="0063238F"/>
    <w:rsid w:val="006328DC"/>
    <w:rsid w:val="00632927"/>
    <w:rsid w:val="006329EC"/>
    <w:rsid w:val="00632CBE"/>
    <w:rsid w:val="00632D62"/>
    <w:rsid w:val="00632D6E"/>
    <w:rsid w:val="00632FCC"/>
    <w:rsid w:val="006330DE"/>
    <w:rsid w:val="006331C1"/>
    <w:rsid w:val="00633272"/>
    <w:rsid w:val="006339AA"/>
    <w:rsid w:val="00633EFA"/>
    <w:rsid w:val="00633FB4"/>
    <w:rsid w:val="00634426"/>
    <w:rsid w:val="006344BF"/>
    <w:rsid w:val="00634615"/>
    <w:rsid w:val="00634732"/>
    <w:rsid w:val="006349A8"/>
    <w:rsid w:val="006349B0"/>
    <w:rsid w:val="00634BB8"/>
    <w:rsid w:val="00634C10"/>
    <w:rsid w:val="00634C3A"/>
    <w:rsid w:val="006350BB"/>
    <w:rsid w:val="00635157"/>
    <w:rsid w:val="006354BB"/>
    <w:rsid w:val="0063554D"/>
    <w:rsid w:val="006355E2"/>
    <w:rsid w:val="0063577D"/>
    <w:rsid w:val="00635EE5"/>
    <w:rsid w:val="00635F43"/>
    <w:rsid w:val="0063620A"/>
    <w:rsid w:val="00636882"/>
    <w:rsid w:val="00636936"/>
    <w:rsid w:val="00636AC5"/>
    <w:rsid w:val="00636B57"/>
    <w:rsid w:val="00636DEB"/>
    <w:rsid w:val="0063737E"/>
    <w:rsid w:val="006375B9"/>
    <w:rsid w:val="00637979"/>
    <w:rsid w:val="0063798F"/>
    <w:rsid w:val="00637C02"/>
    <w:rsid w:val="00637E49"/>
    <w:rsid w:val="006400FB"/>
    <w:rsid w:val="0064048B"/>
    <w:rsid w:val="006404F0"/>
    <w:rsid w:val="0064085B"/>
    <w:rsid w:val="00640CC2"/>
    <w:rsid w:val="00640E45"/>
    <w:rsid w:val="00640E90"/>
    <w:rsid w:val="006410FE"/>
    <w:rsid w:val="00641105"/>
    <w:rsid w:val="006413E7"/>
    <w:rsid w:val="006414F6"/>
    <w:rsid w:val="00641566"/>
    <w:rsid w:val="0064165C"/>
    <w:rsid w:val="0064182D"/>
    <w:rsid w:val="00641AAE"/>
    <w:rsid w:val="00641E1B"/>
    <w:rsid w:val="00641E5F"/>
    <w:rsid w:val="00641FE5"/>
    <w:rsid w:val="0064206E"/>
    <w:rsid w:val="006422EF"/>
    <w:rsid w:val="006424F1"/>
    <w:rsid w:val="00642628"/>
    <w:rsid w:val="006427F3"/>
    <w:rsid w:val="00642821"/>
    <w:rsid w:val="00642BF2"/>
    <w:rsid w:val="00643185"/>
    <w:rsid w:val="00643505"/>
    <w:rsid w:val="0064365F"/>
    <w:rsid w:val="00643899"/>
    <w:rsid w:val="00643AA2"/>
    <w:rsid w:val="00643B14"/>
    <w:rsid w:val="00643E25"/>
    <w:rsid w:val="00644236"/>
    <w:rsid w:val="00644B8E"/>
    <w:rsid w:val="00644D2D"/>
    <w:rsid w:val="00644E2A"/>
    <w:rsid w:val="00644FA6"/>
    <w:rsid w:val="006453D6"/>
    <w:rsid w:val="00645657"/>
    <w:rsid w:val="006456CF"/>
    <w:rsid w:val="00645706"/>
    <w:rsid w:val="006458BA"/>
    <w:rsid w:val="00646040"/>
    <w:rsid w:val="0064623C"/>
    <w:rsid w:val="0064628A"/>
    <w:rsid w:val="0064661A"/>
    <w:rsid w:val="00646669"/>
    <w:rsid w:val="006466D6"/>
    <w:rsid w:val="00646B15"/>
    <w:rsid w:val="00646B81"/>
    <w:rsid w:val="00646CDF"/>
    <w:rsid w:val="0064703D"/>
    <w:rsid w:val="006471CE"/>
    <w:rsid w:val="00647212"/>
    <w:rsid w:val="0064763C"/>
    <w:rsid w:val="00647AF6"/>
    <w:rsid w:val="00647B9B"/>
    <w:rsid w:val="006500B2"/>
    <w:rsid w:val="0065018C"/>
    <w:rsid w:val="006502EA"/>
    <w:rsid w:val="00650378"/>
    <w:rsid w:val="00650598"/>
    <w:rsid w:val="006507B8"/>
    <w:rsid w:val="006507EA"/>
    <w:rsid w:val="00650923"/>
    <w:rsid w:val="0065108D"/>
    <w:rsid w:val="00651115"/>
    <w:rsid w:val="006511A9"/>
    <w:rsid w:val="0065144B"/>
    <w:rsid w:val="0065158F"/>
    <w:rsid w:val="00651751"/>
    <w:rsid w:val="0065175B"/>
    <w:rsid w:val="00651967"/>
    <w:rsid w:val="00651BEF"/>
    <w:rsid w:val="00651D58"/>
    <w:rsid w:val="00651E90"/>
    <w:rsid w:val="00651F2D"/>
    <w:rsid w:val="006521D8"/>
    <w:rsid w:val="006529EA"/>
    <w:rsid w:val="00652B94"/>
    <w:rsid w:val="00652F39"/>
    <w:rsid w:val="006530D4"/>
    <w:rsid w:val="00653292"/>
    <w:rsid w:val="00653339"/>
    <w:rsid w:val="006535E3"/>
    <w:rsid w:val="006536CF"/>
    <w:rsid w:val="006539E1"/>
    <w:rsid w:val="00653B0B"/>
    <w:rsid w:val="00653B29"/>
    <w:rsid w:val="00653E5A"/>
    <w:rsid w:val="00653F2E"/>
    <w:rsid w:val="00654180"/>
    <w:rsid w:val="00654559"/>
    <w:rsid w:val="00654723"/>
    <w:rsid w:val="00654785"/>
    <w:rsid w:val="006547EB"/>
    <w:rsid w:val="00654858"/>
    <w:rsid w:val="00654A04"/>
    <w:rsid w:val="00654C36"/>
    <w:rsid w:val="00654D78"/>
    <w:rsid w:val="00654EFE"/>
    <w:rsid w:val="00654F72"/>
    <w:rsid w:val="0065506A"/>
    <w:rsid w:val="006550D6"/>
    <w:rsid w:val="006551F0"/>
    <w:rsid w:val="0065536B"/>
    <w:rsid w:val="00655A42"/>
    <w:rsid w:val="00655D17"/>
    <w:rsid w:val="00655ED8"/>
    <w:rsid w:val="0065631A"/>
    <w:rsid w:val="0065648F"/>
    <w:rsid w:val="00656819"/>
    <w:rsid w:val="00656B48"/>
    <w:rsid w:val="00656CDD"/>
    <w:rsid w:val="00656F85"/>
    <w:rsid w:val="00656FCA"/>
    <w:rsid w:val="00657077"/>
    <w:rsid w:val="00657108"/>
    <w:rsid w:val="006572D1"/>
    <w:rsid w:val="0065771B"/>
    <w:rsid w:val="0065783A"/>
    <w:rsid w:val="00657B2E"/>
    <w:rsid w:val="00657F11"/>
    <w:rsid w:val="00657FA6"/>
    <w:rsid w:val="00657FC8"/>
    <w:rsid w:val="00660185"/>
    <w:rsid w:val="006602D9"/>
    <w:rsid w:val="006606CA"/>
    <w:rsid w:val="00660727"/>
    <w:rsid w:val="00660913"/>
    <w:rsid w:val="00660932"/>
    <w:rsid w:val="00660D29"/>
    <w:rsid w:val="00660D2D"/>
    <w:rsid w:val="00660D6C"/>
    <w:rsid w:val="00660DA5"/>
    <w:rsid w:val="00661180"/>
    <w:rsid w:val="00661765"/>
    <w:rsid w:val="00661949"/>
    <w:rsid w:val="00661B6F"/>
    <w:rsid w:val="00661B99"/>
    <w:rsid w:val="00661EB8"/>
    <w:rsid w:val="00661EC5"/>
    <w:rsid w:val="00661F9F"/>
    <w:rsid w:val="0066203B"/>
    <w:rsid w:val="006621FC"/>
    <w:rsid w:val="006623B1"/>
    <w:rsid w:val="0066240C"/>
    <w:rsid w:val="006625A5"/>
    <w:rsid w:val="00662717"/>
    <w:rsid w:val="00662DB0"/>
    <w:rsid w:val="00662FBC"/>
    <w:rsid w:val="006630A6"/>
    <w:rsid w:val="00663295"/>
    <w:rsid w:val="00663634"/>
    <w:rsid w:val="00663791"/>
    <w:rsid w:val="0066388C"/>
    <w:rsid w:val="006638D5"/>
    <w:rsid w:val="0066399A"/>
    <w:rsid w:val="00663B90"/>
    <w:rsid w:val="00663E32"/>
    <w:rsid w:val="00663ECE"/>
    <w:rsid w:val="00664141"/>
    <w:rsid w:val="00664202"/>
    <w:rsid w:val="0066426E"/>
    <w:rsid w:val="00664687"/>
    <w:rsid w:val="006646A5"/>
    <w:rsid w:val="00664709"/>
    <w:rsid w:val="0066486E"/>
    <w:rsid w:val="00664A8F"/>
    <w:rsid w:val="00664AD5"/>
    <w:rsid w:val="00664CD6"/>
    <w:rsid w:val="00665047"/>
    <w:rsid w:val="006650C4"/>
    <w:rsid w:val="00665168"/>
    <w:rsid w:val="0066517E"/>
    <w:rsid w:val="006651EA"/>
    <w:rsid w:val="0066565C"/>
    <w:rsid w:val="00665AB4"/>
    <w:rsid w:val="00665C7B"/>
    <w:rsid w:val="00665CDD"/>
    <w:rsid w:val="00665FA3"/>
    <w:rsid w:val="00665FC7"/>
    <w:rsid w:val="00666171"/>
    <w:rsid w:val="00666187"/>
    <w:rsid w:val="0066645A"/>
    <w:rsid w:val="0066667D"/>
    <w:rsid w:val="0066672F"/>
    <w:rsid w:val="00666982"/>
    <w:rsid w:val="00666B25"/>
    <w:rsid w:val="00666F4F"/>
    <w:rsid w:val="006671E8"/>
    <w:rsid w:val="006676BA"/>
    <w:rsid w:val="0066786D"/>
    <w:rsid w:val="00667A41"/>
    <w:rsid w:val="00667B88"/>
    <w:rsid w:val="00667D78"/>
    <w:rsid w:val="00670046"/>
    <w:rsid w:val="006703BD"/>
    <w:rsid w:val="00670425"/>
    <w:rsid w:val="0067044F"/>
    <w:rsid w:val="00670503"/>
    <w:rsid w:val="006706B7"/>
    <w:rsid w:val="0067089D"/>
    <w:rsid w:val="00670BB8"/>
    <w:rsid w:val="00670DDA"/>
    <w:rsid w:val="00671116"/>
    <w:rsid w:val="00671352"/>
    <w:rsid w:val="00671366"/>
    <w:rsid w:val="0067146A"/>
    <w:rsid w:val="006714DA"/>
    <w:rsid w:val="0067171C"/>
    <w:rsid w:val="006718C2"/>
    <w:rsid w:val="00671A2D"/>
    <w:rsid w:val="00671AE4"/>
    <w:rsid w:val="00671BC5"/>
    <w:rsid w:val="00671C5C"/>
    <w:rsid w:val="00671E23"/>
    <w:rsid w:val="00671EEF"/>
    <w:rsid w:val="006720E7"/>
    <w:rsid w:val="00672117"/>
    <w:rsid w:val="006723AB"/>
    <w:rsid w:val="00672680"/>
    <w:rsid w:val="006728F8"/>
    <w:rsid w:val="00672A41"/>
    <w:rsid w:val="00672E38"/>
    <w:rsid w:val="00672F18"/>
    <w:rsid w:val="00672F8B"/>
    <w:rsid w:val="006733FB"/>
    <w:rsid w:val="00673588"/>
    <w:rsid w:val="006735B2"/>
    <w:rsid w:val="00673889"/>
    <w:rsid w:val="006739F2"/>
    <w:rsid w:val="00673AC5"/>
    <w:rsid w:val="00673AEB"/>
    <w:rsid w:val="00673CE9"/>
    <w:rsid w:val="00673D01"/>
    <w:rsid w:val="0067404C"/>
    <w:rsid w:val="0067408E"/>
    <w:rsid w:val="0067421D"/>
    <w:rsid w:val="006747B9"/>
    <w:rsid w:val="00674874"/>
    <w:rsid w:val="00674941"/>
    <w:rsid w:val="006749BE"/>
    <w:rsid w:val="006749F3"/>
    <w:rsid w:val="00674FDA"/>
    <w:rsid w:val="0067516A"/>
    <w:rsid w:val="00675185"/>
    <w:rsid w:val="006751F5"/>
    <w:rsid w:val="006756AA"/>
    <w:rsid w:val="006758D5"/>
    <w:rsid w:val="00675C8E"/>
    <w:rsid w:val="00675EC9"/>
    <w:rsid w:val="00675F0A"/>
    <w:rsid w:val="00676079"/>
    <w:rsid w:val="006762E8"/>
    <w:rsid w:val="006763E2"/>
    <w:rsid w:val="006764E5"/>
    <w:rsid w:val="00676660"/>
    <w:rsid w:val="00676964"/>
    <w:rsid w:val="006769DC"/>
    <w:rsid w:val="006769DD"/>
    <w:rsid w:val="00676AC5"/>
    <w:rsid w:val="00676AF4"/>
    <w:rsid w:val="00676C0B"/>
    <w:rsid w:val="00676D09"/>
    <w:rsid w:val="00676D1D"/>
    <w:rsid w:val="00676E0A"/>
    <w:rsid w:val="00676E5F"/>
    <w:rsid w:val="0067710A"/>
    <w:rsid w:val="00677241"/>
    <w:rsid w:val="00677289"/>
    <w:rsid w:val="006774F3"/>
    <w:rsid w:val="00677964"/>
    <w:rsid w:val="0068004A"/>
    <w:rsid w:val="0068050D"/>
    <w:rsid w:val="00680958"/>
    <w:rsid w:val="00680F5C"/>
    <w:rsid w:val="0068125A"/>
    <w:rsid w:val="006813D3"/>
    <w:rsid w:val="00681554"/>
    <w:rsid w:val="0068179E"/>
    <w:rsid w:val="00681818"/>
    <w:rsid w:val="006819C1"/>
    <w:rsid w:val="00681D10"/>
    <w:rsid w:val="00681E43"/>
    <w:rsid w:val="0068258E"/>
    <w:rsid w:val="006828DB"/>
    <w:rsid w:val="00682D04"/>
    <w:rsid w:val="00682D6D"/>
    <w:rsid w:val="00682F2A"/>
    <w:rsid w:val="00683110"/>
    <w:rsid w:val="00683363"/>
    <w:rsid w:val="00683550"/>
    <w:rsid w:val="006836BA"/>
    <w:rsid w:val="006836BC"/>
    <w:rsid w:val="006837D2"/>
    <w:rsid w:val="0068385C"/>
    <w:rsid w:val="0068395E"/>
    <w:rsid w:val="00683E9E"/>
    <w:rsid w:val="00683FC1"/>
    <w:rsid w:val="0068414A"/>
    <w:rsid w:val="0068429F"/>
    <w:rsid w:val="0068475E"/>
    <w:rsid w:val="00684891"/>
    <w:rsid w:val="006849B0"/>
    <w:rsid w:val="00684BF6"/>
    <w:rsid w:val="00684D4E"/>
    <w:rsid w:val="00684F21"/>
    <w:rsid w:val="006850DF"/>
    <w:rsid w:val="00685506"/>
    <w:rsid w:val="00685617"/>
    <w:rsid w:val="0068574F"/>
    <w:rsid w:val="00685859"/>
    <w:rsid w:val="006858CF"/>
    <w:rsid w:val="00685BF1"/>
    <w:rsid w:val="00685FE5"/>
    <w:rsid w:val="00685FFD"/>
    <w:rsid w:val="006861F1"/>
    <w:rsid w:val="006863C4"/>
    <w:rsid w:val="006863F1"/>
    <w:rsid w:val="0068646D"/>
    <w:rsid w:val="006866C7"/>
    <w:rsid w:val="00686814"/>
    <w:rsid w:val="00686C70"/>
    <w:rsid w:val="00686E18"/>
    <w:rsid w:val="00686F70"/>
    <w:rsid w:val="006873CD"/>
    <w:rsid w:val="0068754F"/>
    <w:rsid w:val="00687579"/>
    <w:rsid w:val="006875F4"/>
    <w:rsid w:val="006877D8"/>
    <w:rsid w:val="00687B1E"/>
    <w:rsid w:val="006901F9"/>
    <w:rsid w:val="006904CA"/>
    <w:rsid w:val="006904D9"/>
    <w:rsid w:val="006907B1"/>
    <w:rsid w:val="00690C6E"/>
    <w:rsid w:val="00690DCD"/>
    <w:rsid w:val="006915D7"/>
    <w:rsid w:val="0069183D"/>
    <w:rsid w:val="00691C1B"/>
    <w:rsid w:val="00691C2C"/>
    <w:rsid w:val="00692559"/>
    <w:rsid w:val="0069277C"/>
    <w:rsid w:val="00692809"/>
    <w:rsid w:val="006929D6"/>
    <w:rsid w:val="00692B73"/>
    <w:rsid w:val="00692E76"/>
    <w:rsid w:val="006930CC"/>
    <w:rsid w:val="00693358"/>
    <w:rsid w:val="00693780"/>
    <w:rsid w:val="00693A42"/>
    <w:rsid w:val="00693BA5"/>
    <w:rsid w:val="00693C82"/>
    <w:rsid w:val="00693CB6"/>
    <w:rsid w:val="00693FEE"/>
    <w:rsid w:val="006941B1"/>
    <w:rsid w:val="00694316"/>
    <w:rsid w:val="0069437E"/>
    <w:rsid w:val="006943E9"/>
    <w:rsid w:val="0069443F"/>
    <w:rsid w:val="00694675"/>
    <w:rsid w:val="0069495A"/>
    <w:rsid w:val="00694A20"/>
    <w:rsid w:val="00694A94"/>
    <w:rsid w:val="00694D7A"/>
    <w:rsid w:val="0069501D"/>
    <w:rsid w:val="00695037"/>
    <w:rsid w:val="006952C7"/>
    <w:rsid w:val="006954F4"/>
    <w:rsid w:val="00695679"/>
    <w:rsid w:val="006959A2"/>
    <w:rsid w:val="00695A55"/>
    <w:rsid w:val="00695ABB"/>
    <w:rsid w:val="00695F2F"/>
    <w:rsid w:val="00695FBA"/>
    <w:rsid w:val="00696190"/>
    <w:rsid w:val="006964AF"/>
    <w:rsid w:val="00696960"/>
    <w:rsid w:val="00696AE8"/>
    <w:rsid w:val="00696B84"/>
    <w:rsid w:val="00696BBD"/>
    <w:rsid w:val="00696BCF"/>
    <w:rsid w:val="00696CDA"/>
    <w:rsid w:val="00696D6B"/>
    <w:rsid w:val="0069706B"/>
    <w:rsid w:val="00697135"/>
    <w:rsid w:val="006971C3"/>
    <w:rsid w:val="006972AB"/>
    <w:rsid w:val="00697331"/>
    <w:rsid w:val="00697421"/>
    <w:rsid w:val="006974A6"/>
    <w:rsid w:val="00697663"/>
    <w:rsid w:val="00697768"/>
    <w:rsid w:val="006977B5"/>
    <w:rsid w:val="006977CB"/>
    <w:rsid w:val="006978C0"/>
    <w:rsid w:val="006979D2"/>
    <w:rsid w:val="00697AD4"/>
    <w:rsid w:val="00697B04"/>
    <w:rsid w:val="00697ED4"/>
    <w:rsid w:val="006A0305"/>
    <w:rsid w:val="006A039C"/>
    <w:rsid w:val="006A03CF"/>
    <w:rsid w:val="006A0612"/>
    <w:rsid w:val="006A07EB"/>
    <w:rsid w:val="006A083F"/>
    <w:rsid w:val="006A08A4"/>
    <w:rsid w:val="006A0AD7"/>
    <w:rsid w:val="006A0BF3"/>
    <w:rsid w:val="006A0DAA"/>
    <w:rsid w:val="006A0DDE"/>
    <w:rsid w:val="006A0F1F"/>
    <w:rsid w:val="006A1030"/>
    <w:rsid w:val="006A1182"/>
    <w:rsid w:val="006A12E6"/>
    <w:rsid w:val="006A148C"/>
    <w:rsid w:val="006A14F8"/>
    <w:rsid w:val="006A16CB"/>
    <w:rsid w:val="006A1C9F"/>
    <w:rsid w:val="006A1EAC"/>
    <w:rsid w:val="006A1F60"/>
    <w:rsid w:val="006A226E"/>
    <w:rsid w:val="006A2655"/>
    <w:rsid w:val="006A26D2"/>
    <w:rsid w:val="006A2727"/>
    <w:rsid w:val="006A28EA"/>
    <w:rsid w:val="006A2C76"/>
    <w:rsid w:val="006A2C8C"/>
    <w:rsid w:val="006A2D0F"/>
    <w:rsid w:val="006A2D1C"/>
    <w:rsid w:val="006A2FDD"/>
    <w:rsid w:val="006A33AC"/>
    <w:rsid w:val="006A36B4"/>
    <w:rsid w:val="006A37E8"/>
    <w:rsid w:val="006A3982"/>
    <w:rsid w:val="006A3C42"/>
    <w:rsid w:val="006A3CAB"/>
    <w:rsid w:val="006A3FB0"/>
    <w:rsid w:val="006A40E6"/>
    <w:rsid w:val="006A41B6"/>
    <w:rsid w:val="006A41E3"/>
    <w:rsid w:val="006A4268"/>
    <w:rsid w:val="006A4271"/>
    <w:rsid w:val="006A431C"/>
    <w:rsid w:val="006A4518"/>
    <w:rsid w:val="006A4792"/>
    <w:rsid w:val="006A4B5C"/>
    <w:rsid w:val="006A4E08"/>
    <w:rsid w:val="006A4FD9"/>
    <w:rsid w:val="006A504F"/>
    <w:rsid w:val="006A51F4"/>
    <w:rsid w:val="006A52B6"/>
    <w:rsid w:val="006A52D9"/>
    <w:rsid w:val="006A52F1"/>
    <w:rsid w:val="006A56F5"/>
    <w:rsid w:val="006A5A82"/>
    <w:rsid w:val="006A5E03"/>
    <w:rsid w:val="006A5F39"/>
    <w:rsid w:val="006A62A3"/>
    <w:rsid w:val="006A6426"/>
    <w:rsid w:val="006A6663"/>
    <w:rsid w:val="006A6882"/>
    <w:rsid w:val="006A6DC2"/>
    <w:rsid w:val="006A6E7A"/>
    <w:rsid w:val="006A6EE2"/>
    <w:rsid w:val="006A712A"/>
    <w:rsid w:val="006A72B9"/>
    <w:rsid w:val="006A7444"/>
    <w:rsid w:val="006A76B2"/>
    <w:rsid w:val="006A7737"/>
    <w:rsid w:val="006A7894"/>
    <w:rsid w:val="006A7AF7"/>
    <w:rsid w:val="006A7E08"/>
    <w:rsid w:val="006A7E94"/>
    <w:rsid w:val="006A7FC4"/>
    <w:rsid w:val="006B006D"/>
    <w:rsid w:val="006B020B"/>
    <w:rsid w:val="006B02D7"/>
    <w:rsid w:val="006B049F"/>
    <w:rsid w:val="006B04E6"/>
    <w:rsid w:val="006B08EE"/>
    <w:rsid w:val="006B09C6"/>
    <w:rsid w:val="006B0D6F"/>
    <w:rsid w:val="006B0E8F"/>
    <w:rsid w:val="006B0FE7"/>
    <w:rsid w:val="006B11D6"/>
    <w:rsid w:val="006B1208"/>
    <w:rsid w:val="006B134A"/>
    <w:rsid w:val="006B15F1"/>
    <w:rsid w:val="006B1958"/>
    <w:rsid w:val="006B1A17"/>
    <w:rsid w:val="006B1AFB"/>
    <w:rsid w:val="006B1B76"/>
    <w:rsid w:val="006B1CDF"/>
    <w:rsid w:val="006B1EB7"/>
    <w:rsid w:val="006B246C"/>
    <w:rsid w:val="006B2556"/>
    <w:rsid w:val="006B299A"/>
    <w:rsid w:val="006B2B2C"/>
    <w:rsid w:val="006B2D67"/>
    <w:rsid w:val="006B2E0C"/>
    <w:rsid w:val="006B39AD"/>
    <w:rsid w:val="006B3C16"/>
    <w:rsid w:val="006B3E1C"/>
    <w:rsid w:val="006B422B"/>
    <w:rsid w:val="006B460E"/>
    <w:rsid w:val="006B4691"/>
    <w:rsid w:val="006B473F"/>
    <w:rsid w:val="006B478D"/>
    <w:rsid w:val="006B49DA"/>
    <w:rsid w:val="006B4B10"/>
    <w:rsid w:val="006B4DEF"/>
    <w:rsid w:val="006B4FBB"/>
    <w:rsid w:val="006B505F"/>
    <w:rsid w:val="006B50AD"/>
    <w:rsid w:val="006B510D"/>
    <w:rsid w:val="006B51AE"/>
    <w:rsid w:val="006B5457"/>
    <w:rsid w:val="006B545E"/>
    <w:rsid w:val="006B5A52"/>
    <w:rsid w:val="006B5B7E"/>
    <w:rsid w:val="006B5C23"/>
    <w:rsid w:val="006B5C50"/>
    <w:rsid w:val="006B5CA2"/>
    <w:rsid w:val="006B5D8D"/>
    <w:rsid w:val="006B6082"/>
    <w:rsid w:val="006B61F3"/>
    <w:rsid w:val="006B61F7"/>
    <w:rsid w:val="006B6278"/>
    <w:rsid w:val="006B66B0"/>
    <w:rsid w:val="006B6754"/>
    <w:rsid w:val="006B68EB"/>
    <w:rsid w:val="006B6D9A"/>
    <w:rsid w:val="006B6FA5"/>
    <w:rsid w:val="006B709B"/>
    <w:rsid w:val="006B7102"/>
    <w:rsid w:val="006B7163"/>
    <w:rsid w:val="006B7367"/>
    <w:rsid w:val="006B73AB"/>
    <w:rsid w:val="006B748F"/>
    <w:rsid w:val="006B775B"/>
    <w:rsid w:val="006B7859"/>
    <w:rsid w:val="006B7A02"/>
    <w:rsid w:val="006B7AAA"/>
    <w:rsid w:val="006B7C6C"/>
    <w:rsid w:val="006B7FA0"/>
    <w:rsid w:val="006C00C1"/>
    <w:rsid w:val="006C051D"/>
    <w:rsid w:val="006C0848"/>
    <w:rsid w:val="006C0956"/>
    <w:rsid w:val="006C0C93"/>
    <w:rsid w:val="006C0D68"/>
    <w:rsid w:val="006C102D"/>
    <w:rsid w:val="006C115E"/>
    <w:rsid w:val="006C1277"/>
    <w:rsid w:val="006C1304"/>
    <w:rsid w:val="006C1425"/>
    <w:rsid w:val="006C1452"/>
    <w:rsid w:val="006C1729"/>
    <w:rsid w:val="006C1807"/>
    <w:rsid w:val="006C1949"/>
    <w:rsid w:val="006C1E99"/>
    <w:rsid w:val="006C1F1B"/>
    <w:rsid w:val="006C21D7"/>
    <w:rsid w:val="006C24A3"/>
    <w:rsid w:val="006C27F5"/>
    <w:rsid w:val="006C294D"/>
    <w:rsid w:val="006C29B1"/>
    <w:rsid w:val="006C2A5E"/>
    <w:rsid w:val="006C2E1B"/>
    <w:rsid w:val="006C2FFF"/>
    <w:rsid w:val="006C347B"/>
    <w:rsid w:val="006C34AA"/>
    <w:rsid w:val="006C34FF"/>
    <w:rsid w:val="006C3587"/>
    <w:rsid w:val="006C37D2"/>
    <w:rsid w:val="006C3E62"/>
    <w:rsid w:val="006C408B"/>
    <w:rsid w:val="006C40DF"/>
    <w:rsid w:val="006C4202"/>
    <w:rsid w:val="006C4542"/>
    <w:rsid w:val="006C49B8"/>
    <w:rsid w:val="006C4B8B"/>
    <w:rsid w:val="006C4CBA"/>
    <w:rsid w:val="006C4EFC"/>
    <w:rsid w:val="006C56ED"/>
    <w:rsid w:val="006C57DA"/>
    <w:rsid w:val="006C583B"/>
    <w:rsid w:val="006C5932"/>
    <w:rsid w:val="006C5CB4"/>
    <w:rsid w:val="006C5FAC"/>
    <w:rsid w:val="006C5FBB"/>
    <w:rsid w:val="006C61B8"/>
    <w:rsid w:val="006C62B5"/>
    <w:rsid w:val="006C6464"/>
    <w:rsid w:val="006C6644"/>
    <w:rsid w:val="006C68DF"/>
    <w:rsid w:val="006C6C95"/>
    <w:rsid w:val="006C6D75"/>
    <w:rsid w:val="006C705E"/>
    <w:rsid w:val="006C78BE"/>
    <w:rsid w:val="006C7998"/>
    <w:rsid w:val="006C7B0A"/>
    <w:rsid w:val="006C7ED0"/>
    <w:rsid w:val="006C7FE1"/>
    <w:rsid w:val="006D0093"/>
    <w:rsid w:val="006D0819"/>
    <w:rsid w:val="006D0826"/>
    <w:rsid w:val="006D0B76"/>
    <w:rsid w:val="006D0BED"/>
    <w:rsid w:val="006D0CE4"/>
    <w:rsid w:val="006D0CEA"/>
    <w:rsid w:val="006D0DA4"/>
    <w:rsid w:val="006D0DBE"/>
    <w:rsid w:val="006D0DF3"/>
    <w:rsid w:val="006D0FFD"/>
    <w:rsid w:val="006D13EE"/>
    <w:rsid w:val="006D140A"/>
    <w:rsid w:val="006D1520"/>
    <w:rsid w:val="006D1669"/>
    <w:rsid w:val="006D169A"/>
    <w:rsid w:val="006D1A0A"/>
    <w:rsid w:val="006D1B02"/>
    <w:rsid w:val="006D2394"/>
    <w:rsid w:val="006D2606"/>
    <w:rsid w:val="006D2637"/>
    <w:rsid w:val="006D26E4"/>
    <w:rsid w:val="006D275F"/>
    <w:rsid w:val="006D28C7"/>
    <w:rsid w:val="006D2935"/>
    <w:rsid w:val="006D2941"/>
    <w:rsid w:val="006D29CB"/>
    <w:rsid w:val="006D2A99"/>
    <w:rsid w:val="006D2AD7"/>
    <w:rsid w:val="006D2BAB"/>
    <w:rsid w:val="006D2C06"/>
    <w:rsid w:val="006D2E38"/>
    <w:rsid w:val="006D3164"/>
    <w:rsid w:val="006D3386"/>
    <w:rsid w:val="006D34DB"/>
    <w:rsid w:val="006D3720"/>
    <w:rsid w:val="006D38AB"/>
    <w:rsid w:val="006D3AC8"/>
    <w:rsid w:val="006D3BB0"/>
    <w:rsid w:val="006D3BB2"/>
    <w:rsid w:val="006D3C5C"/>
    <w:rsid w:val="006D3C7E"/>
    <w:rsid w:val="006D3CAC"/>
    <w:rsid w:val="006D3D2A"/>
    <w:rsid w:val="006D3D6D"/>
    <w:rsid w:val="006D3D9B"/>
    <w:rsid w:val="006D3DE1"/>
    <w:rsid w:val="006D3E4D"/>
    <w:rsid w:val="006D4157"/>
    <w:rsid w:val="006D4405"/>
    <w:rsid w:val="006D4424"/>
    <w:rsid w:val="006D44ED"/>
    <w:rsid w:val="006D4502"/>
    <w:rsid w:val="006D4A91"/>
    <w:rsid w:val="006D4C53"/>
    <w:rsid w:val="006D53B5"/>
    <w:rsid w:val="006D552C"/>
    <w:rsid w:val="006D5836"/>
    <w:rsid w:val="006D59BE"/>
    <w:rsid w:val="006D5A14"/>
    <w:rsid w:val="006D5A7B"/>
    <w:rsid w:val="006D5BA0"/>
    <w:rsid w:val="006D5E6D"/>
    <w:rsid w:val="006D5EA8"/>
    <w:rsid w:val="006D600F"/>
    <w:rsid w:val="006D62B4"/>
    <w:rsid w:val="006D63F6"/>
    <w:rsid w:val="006D696D"/>
    <w:rsid w:val="006D6C37"/>
    <w:rsid w:val="006D6C8B"/>
    <w:rsid w:val="006D6F0C"/>
    <w:rsid w:val="006D7197"/>
    <w:rsid w:val="006D752E"/>
    <w:rsid w:val="006D768C"/>
    <w:rsid w:val="006D7702"/>
    <w:rsid w:val="006D7A63"/>
    <w:rsid w:val="006D7D58"/>
    <w:rsid w:val="006D7EF4"/>
    <w:rsid w:val="006E00EB"/>
    <w:rsid w:val="006E0401"/>
    <w:rsid w:val="006E054E"/>
    <w:rsid w:val="006E082C"/>
    <w:rsid w:val="006E08DD"/>
    <w:rsid w:val="006E08E1"/>
    <w:rsid w:val="006E0A97"/>
    <w:rsid w:val="006E0ACB"/>
    <w:rsid w:val="006E1078"/>
    <w:rsid w:val="006E10D9"/>
    <w:rsid w:val="006E10ED"/>
    <w:rsid w:val="006E14FA"/>
    <w:rsid w:val="006E1641"/>
    <w:rsid w:val="006E18D6"/>
    <w:rsid w:val="006E1B30"/>
    <w:rsid w:val="006E1BFB"/>
    <w:rsid w:val="006E1C5E"/>
    <w:rsid w:val="006E1C94"/>
    <w:rsid w:val="006E202A"/>
    <w:rsid w:val="006E206E"/>
    <w:rsid w:val="006E2389"/>
    <w:rsid w:val="006E269B"/>
    <w:rsid w:val="006E2713"/>
    <w:rsid w:val="006E2732"/>
    <w:rsid w:val="006E27EE"/>
    <w:rsid w:val="006E2A56"/>
    <w:rsid w:val="006E2C29"/>
    <w:rsid w:val="006E2E45"/>
    <w:rsid w:val="006E3135"/>
    <w:rsid w:val="006E3140"/>
    <w:rsid w:val="006E33C4"/>
    <w:rsid w:val="006E36E8"/>
    <w:rsid w:val="006E3911"/>
    <w:rsid w:val="006E3C39"/>
    <w:rsid w:val="006E3C4B"/>
    <w:rsid w:val="006E3E3E"/>
    <w:rsid w:val="006E3EDC"/>
    <w:rsid w:val="006E408B"/>
    <w:rsid w:val="006E41A0"/>
    <w:rsid w:val="006E434E"/>
    <w:rsid w:val="006E447B"/>
    <w:rsid w:val="006E4498"/>
    <w:rsid w:val="006E45B6"/>
    <w:rsid w:val="006E45D6"/>
    <w:rsid w:val="006E4809"/>
    <w:rsid w:val="006E488B"/>
    <w:rsid w:val="006E48FC"/>
    <w:rsid w:val="006E49BC"/>
    <w:rsid w:val="006E4ACE"/>
    <w:rsid w:val="006E57CA"/>
    <w:rsid w:val="006E5DEA"/>
    <w:rsid w:val="006E5F00"/>
    <w:rsid w:val="006E618D"/>
    <w:rsid w:val="006E653D"/>
    <w:rsid w:val="006E6557"/>
    <w:rsid w:val="006E65BC"/>
    <w:rsid w:val="006E661D"/>
    <w:rsid w:val="006E668A"/>
    <w:rsid w:val="006E66D9"/>
    <w:rsid w:val="006E6706"/>
    <w:rsid w:val="006E6B56"/>
    <w:rsid w:val="006E6F26"/>
    <w:rsid w:val="006E718B"/>
    <w:rsid w:val="006E7192"/>
    <w:rsid w:val="006E7426"/>
    <w:rsid w:val="006E7923"/>
    <w:rsid w:val="006E7A0F"/>
    <w:rsid w:val="006E7B9B"/>
    <w:rsid w:val="006E7CA5"/>
    <w:rsid w:val="006E7D52"/>
    <w:rsid w:val="006E7F05"/>
    <w:rsid w:val="006F0043"/>
    <w:rsid w:val="006F0050"/>
    <w:rsid w:val="006F022D"/>
    <w:rsid w:val="006F03B9"/>
    <w:rsid w:val="006F0708"/>
    <w:rsid w:val="006F071C"/>
    <w:rsid w:val="006F07CF"/>
    <w:rsid w:val="006F0942"/>
    <w:rsid w:val="006F096F"/>
    <w:rsid w:val="006F0AAA"/>
    <w:rsid w:val="006F0B31"/>
    <w:rsid w:val="006F0D0D"/>
    <w:rsid w:val="006F0E98"/>
    <w:rsid w:val="006F0F59"/>
    <w:rsid w:val="006F119C"/>
    <w:rsid w:val="006F130E"/>
    <w:rsid w:val="006F14E3"/>
    <w:rsid w:val="006F197A"/>
    <w:rsid w:val="006F19B6"/>
    <w:rsid w:val="006F1BBF"/>
    <w:rsid w:val="006F2025"/>
    <w:rsid w:val="006F2111"/>
    <w:rsid w:val="006F2BD1"/>
    <w:rsid w:val="006F2CD7"/>
    <w:rsid w:val="006F2D9B"/>
    <w:rsid w:val="006F2E1D"/>
    <w:rsid w:val="006F2E42"/>
    <w:rsid w:val="006F2E9C"/>
    <w:rsid w:val="006F2FF5"/>
    <w:rsid w:val="006F2FF7"/>
    <w:rsid w:val="006F3371"/>
    <w:rsid w:val="006F3593"/>
    <w:rsid w:val="006F3838"/>
    <w:rsid w:val="006F3A1D"/>
    <w:rsid w:val="006F3A9D"/>
    <w:rsid w:val="006F3DE5"/>
    <w:rsid w:val="006F3F64"/>
    <w:rsid w:val="006F4271"/>
    <w:rsid w:val="006F43B9"/>
    <w:rsid w:val="006F456F"/>
    <w:rsid w:val="006F49B4"/>
    <w:rsid w:val="006F49C9"/>
    <w:rsid w:val="006F4CAD"/>
    <w:rsid w:val="006F4F39"/>
    <w:rsid w:val="006F50D7"/>
    <w:rsid w:val="006F50F2"/>
    <w:rsid w:val="006F53E3"/>
    <w:rsid w:val="006F5617"/>
    <w:rsid w:val="006F5CA0"/>
    <w:rsid w:val="006F5DB5"/>
    <w:rsid w:val="006F5EC2"/>
    <w:rsid w:val="006F5F6D"/>
    <w:rsid w:val="006F626A"/>
    <w:rsid w:val="006F650A"/>
    <w:rsid w:val="006F652E"/>
    <w:rsid w:val="006F6679"/>
    <w:rsid w:val="006F6780"/>
    <w:rsid w:val="006F67AB"/>
    <w:rsid w:val="006F6961"/>
    <w:rsid w:val="006F69F7"/>
    <w:rsid w:val="006F6B0D"/>
    <w:rsid w:val="006F6B24"/>
    <w:rsid w:val="006F6CEE"/>
    <w:rsid w:val="006F6E4B"/>
    <w:rsid w:val="006F6E54"/>
    <w:rsid w:val="006F7049"/>
    <w:rsid w:val="006F7464"/>
    <w:rsid w:val="006F7A20"/>
    <w:rsid w:val="006F7D47"/>
    <w:rsid w:val="006F7E2D"/>
    <w:rsid w:val="006F7E4B"/>
    <w:rsid w:val="006F7EA4"/>
    <w:rsid w:val="0070023C"/>
    <w:rsid w:val="00700683"/>
    <w:rsid w:val="00700857"/>
    <w:rsid w:val="00700A31"/>
    <w:rsid w:val="00700AF4"/>
    <w:rsid w:val="00700BC3"/>
    <w:rsid w:val="00700C7A"/>
    <w:rsid w:val="00700D38"/>
    <w:rsid w:val="00700D93"/>
    <w:rsid w:val="00700F1B"/>
    <w:rsid w:val="00700F2C"/>
    <w:rsid w:val="007010CC"/>
    <w:rsid w:val="0070119E"/>
    <w:rsid w:val="007018C4"/>
    <w:rsid w:val="00701A52"/>
    <w:rsid w:val="00701EFA"/>
    <w:rsid w:val="007020B4"/>
    <w:rsid w:val="00702172"/>
    <w:rsid w:val="007025ED"/>
    <w:rsid w:val="00702BB8"/>
    <w:rsid w:val="00702E0D"/>
    <w:rsid w:val="00703080"/>
    <w:rsid w:val="00703158"/>
    <w:rsid w:val="007031D9"/>
    <w:rsid w:val="0070349A"/>
    <w:rsid w:val="007036CC"/>
    <w:rsid w:val="0070379C"/>
    <w:rsid w:val="007037A6"/>
    <w:rsid w:val="00703B95"/>
    <w:rsid w:val="00703C28"/>
    <w:rsid w:val="00703CB1"/>
    <w:rsid w:val="00703D98"/>
    <w:rsid w:val="00704372"/>
    <w:rsid w:val="0070445A"/>
    <w:rsid w:val="007045FE"/>
    <w:rsid w:val="007048DB"/>
    <w:rsid w:val="00704902"/>
    <w:rsid w:val="007049A9"/>
    <w:rsid w:val="00704BCB"/>
    <w:rsid w:val="00704C60"/>
    <w:rsid w:val="00704DD8"/>
    <w:rsid w:val="00704F43"/>
    <w:rsid w:val="00704F70"/>
    <w:rsid w:val="00704FA9"/>
    <w:rsid w:val="00705457"/>
    <w:rsid w:val="00705BB5"/>
    <w:rsid w:val="00705C86"/>
    <w:rsid w:val="00705DEE"/>
    <w:rsid w:val="00705F83"/>
    <w:rsid w:val="007061B3"/>
    <w:rsid w:val="00706207"/>
    <w:rsid w:val="007062E3"/>
    <w:rsid w:val="007065B6"/>
    <w:rsid w:val="0070668D"/>
    <w:rsid w:val="007070D2"/>
    <w:rsid w:val="0070716B"/>
    <w:rsid w:val="00707349"/>
    <w:rsid w:val="007074E3"/>
    <w:rsid w:val="0070763A"/>
    <w:rsid w:val="007077E2"/>
    <w:rsid w:val="00707B2E"/>
    <w:rsid w:val="007103A2"/>
    <w:rsid w:val="0071052D"/>
    <w:rsid w:val="00710611"/>
    <w:rsid w:val="007106F1"/>
    <w:rsid w:val="00710770"/>
    <w:rsid w:val="00710795"/>
    <w:rsid w:val="007107A1"/>
    <w:rsid w:val="007107DF"/>
    <w:rsid w:val="00710A91"/>
    <w:rsid w:val="00710BEB"/>
    <w:rsid w:val="00710D35"/>
    <w:rsid w:val="00710D9B"/>
    <w:rsid w:val="00710DFD"/>
    <w:rsid w:val="00710E40"/>
    <w:rsid w:val="00710E80"/>
    <w:rsid w:val="00710EC2"/>
    <w:rsid w:val="00711040"/>
    <w:rsid w:val="00711101"/>
    <w:rsid w:val="00711231"/>
    <w:rsid w:val="007112A8"/>
    <w:rsid w:val="0071135E"/>
    <w:rsid w:val="00711385"/>
    <w:rsid w:val="0071179E"/>
    <w:rsid w:val="007117D3"/>
    <w:rsid w:val="00711822"/>
    <w:rsid w:val="007119DE"/>
    <w:rsid w:val="00711F8D"/>
    <w:rsid w:val="00712024"/>
    <w:rsid w:val="007121DF"/>
    <w:rsid w:val="00712302"/>
    <w:rsid w:val="007126A3"/>
    <w:rsid w:val="00712999"/>
    <w:rsid w:val="00712DC4"/>
    <w:rsid w:val="00712F0D"/>
    <w:rsid w:val="0071321F"/>
    <w:rsid w:val="007138C7"/>
    <w:rsid w:val="00713CAD"/>
    <w:rsid w:val="00713D8B"/>
    <w:rsid w:val="00713FCD"/>
    <w:rsid w:val="00714070"/>
    <w:rsid w:val="00714917"/>
    <w:rsid w:val="00714D25"/>
    <w:rsid w:val="00715260"/>
    <w:rsid w:val="0071528B"/>
    <w:rsid w:val="007152F3"/>
    <w:rsid w:val="00715394"/>
    <w:rsid w:val="00715526"/>
    <w:rsid w:val="00715795"/>
    <w:rsid w:val="00715A13"/>
    <w:rsid w:val="00716471"/>
    <w:rsid w:val="007164F2"/>
    <w:rsid w:val="007166E0"/>
    <w:rsid w:val="00716AF5"/>
    <w:rsid w:val="007171DF"/>
    <w:rsid w:val="00717655"/>
    <w:rsid w:val="0071765B"/>
    <w:rsid w:val="007176DF"/>
    <w:rsid w:val="00717D0D"/>
    <w:rsid w:val="007200A2"/>
    <w:rsid w:val="0072018C"/>
    <w:rsid w:val="007202C2"/>
    <w:rsid w:val="007204ED"/>
    <w:rsid w:val="00720663"/>
    <w:rsid w:val="00720A91"/>
    <w:rsid w:val="00720AFD"/>
    <w:rsid w:val="00720B01"/>
    <w:rsid w:val="00720B93"/>
    <w:rsid w:val="00720DD0"/>
    <w:rsid w:val="007215C9"/>
    <w:rsid w:val="007217DF"/>
    <w:rsid w:val="00721855"/>
    <w:rsid w:val="00721922"/>
    <w:rsid w:val="0072192C"/>
    <w:rsid w:val="00721E6B"/>
    <w:rsid w:val="00721EB4"/>
    <w:rsid w:val="00721EDE"/>
    <w:rsid w:val="00721F64"/>
    <w:rsid w:val="007222C4"/>
    <w:rsid w:val="007223AE"/>
    <w:rsid w:val="00722406"/>
    <w:rsid w:val="00722684"/>
    <w:rsid w:val="007228AF"/>
    <w:rsid w:val="007229C2"/>
    <w:rsid w:val="00722A31"/>
    <w:rsid w:val="00722A52"/>
    <w:rsid w:val="00722BA8"/>
    <w:rsid w:val="00722C8C"/>
    <w:rsid w:val="00722D37"/>
    <w:rsid w:val="00722FD2"/>
    <w:rsid w:val="00722FE5"/>
    <w:rsid w:val="007233C3"/>
    <w:rsid w:val="00723A70"/>
    <w:rsid w:val="00723DAA"/>
    <w:rsid w:val="00723E3E"/>
    <w:rsid w:val="00723F7D"/>
    <w:rsid w:val="00724032"/>
    <w:rsid w:val="00724134"/>
    <w:rsid w:val="0072422A"/>
    <w:rsid w:val="00724417"/>
    <w:rsid w:val="007245C5"/>
    <w:rsid w:val="0072473C"/>
    <w:rsid w:val="0072474E"/>
    <w:rsid w:val="007247C9"/>
    <w:rsid w:val="00724D8A"/>
    <w:rsid w:val="0072503E"/>
    <w:rsid w:val="00725099"/>
    <w:rsid w:val="007251B3"/>
    <w:rsid w:val="007252A1"/>
    <w:rsid w:val="00725342"/>
    <w:rsid w:val="0072536D"/>
    <w:rsid w:val="00725489"/>
    <w:rsid w:val="0072575B"/>
    <w:rsid w:val="0072599F"/>
    <w:rsid w:val="007259E7"/>
    <w:rsid w:val="00725D22"/>
    <w:rsid w:val="007260A4"/>
    <w:rsid w:val="0072688C"/>
    <w:rsid w:val="00726D60"/>
    <w:rsid w:val="0072761D"/>
    <w:rsid w:val="00727749"/>
    <w:rsid w:val="007278EA"/>
    <w:rsid w:val="00727950"/>
    <w:rsid w:val="00727AF7"/>
    <w:rsid w:val="00727BC1"/>
    <w:rsid w:val="00727F24"/>
    <w:rsid w:val="00730389"/>
    <w:rsid w:val="0073052A"/>
    <w:rsid w:val="00730613"/>
    <w:rsid w:val="00730945"/>
    <w:rsid w:val="00730ABD"/>
    <w:rsid w:val="00730CB6"/>
    <w:rsid w:val="00730EAE"/>
    <w:rsid w:val="007311EF"/>
    <w:rsid w:val="007312BB"/>
    <w:rsid w:val="00731403"/>
    <w:rsid w:val="00731479"/>
    <w:rsid w:val="00731578"/>
    <w:rsid w:val="007318BB"/>
    <w:rsid w:val="00731ACC"/>
    <w:rsid w:val="00731AE0"/>
    <w:rsid w:val="00731B34"/>
    <w:rsid w:val="00731B67"/>
    <w:rsid w:val="00731E1A"/>
    <w:rsid w:val="00731FF9"/>
    <w:rsid w:val="00731FFC"/>
    <w:rsid w:val="00732058"/>
    <w:rsid w:val="00732102"/>
    <w:rsid w:val="007321C4"/>
    <w:rsid w:val="007323C6"/>
    <w:rsid w:val="00732B8D"/>
    <w:rsid w:val="00732C18"/>
    <w:rsid w:val="00732C25"/>
    <w:rsid w:val="00732ECD"/>
    <w:rsid w:val="00732EF8"/>
    <w:rsid w:val="0073302E"/>
    <w:rsid w:val="0073347F"/>
    <w:rsid w:val="00733584"/>
    <w:rsid w:val="0073379E"/>
    <w:rsid w:val="00733AEE"/>
    <w:rsid w:val="00733B59"/>
    <w:rsid w:val="00733F54"/>
    <w:rsid w:val="00733F72"/>
    <w:rsid w:val="0073435F"/>
    <w:rsid w:val="007344E8"/>
    <w:rsid w:val="00734621"/>
    <w:rsid w:val="007346AC"/>
    <w:rsid w:val="007347DF"/>
    <w:rsid w:val="0073480B"/>
    <w:rsid w:val="00734829"/>
    <w:rsid w:val="00734840"/>
    <w:rsid w:val="007348DC"/>
    <w:rsid w:val="007348DF"/>
    <w:rsid w:val="00734A1B"/>
    <w:rsid w:val="00734C9F"/>
    <w:rsid w:val="00734CF6"/>
    <w:rsid w:val="00734F21"/>
    <w:rsid w:val="007350D9"/>
    <w:rsid w:val="007354FD"/>
    <w:rsid w:val="0073561C"/>
    <w:rsid w:val="007356EB"/>
    <w:rsid w:val="00735868"/>
    <w:rsid w:val="007358D5"/>
    <w:rsid w:val="007359D0"/>
    <w:rsid w:val="00735B4A"/>
    <w:rsid w:val="00735C46"/>
    <w:rsid w:val="00735E51"/>
    <w:rsid w:val="00735F63"/>
    <w:rsid w:val="00736008"/>
    <w:rsid w:val="0073607C"/>
    <w:rsid w:val="0073609B"/>
    <w:rsid w:val="0073632D"/>
    <w:rsid w:val="00736561"/>
    <w:rsid w:val="00736605"/>
    <w:rsid w:val="0073693D"/>
    <w:rsid w:val="00736AC3"/>
    <w:rsid w:val="00736E0A"/>
    <w:rsid w:val="00736E22"/>
    <w:rsid w:val="00736E56"/>
    <w:rsid w:val="00736FF6"/>
    <w:rsid w:val="00737028"/>
    <w:rsid w:val="007377C8"/>
    <w:rsid w:val="007377CB"/>
    <w:rsid w:val="0073792B"/>
    <w:rsid w:val="00737B0D"/>
    <w:rsid w:val="00737E4F"/>
    <w:rsid w:val="0074001C"/>
    <w:rsid w:val="00740285"/>
    <w:rsid w:val="007406DD"/>
    <w:rsid w:val="0074099E"/>
    <w:rsid w:val="00740CE4"/>
    <w:rsid w:val="00740D49"/>
    <w:rsid w:val="00740DB3"/>
    <w:rsid w:val="00741032"/>
    <w:rsid w:val="007410A0"/>
    <w:rsid w:val="007410F3"/>
    <w:rsid w:val="00741175"/>
    <w:rsid w:val="007415E1"/>
    <w:rsid w:val="0074176D"/>
    <w:rsid w:val="00741CC8"/>
    <w:rsid w:val="00741E76"/>
    <w:rsid w:val="00742113"/>
    <w:rsid w:val="00742635"/>
    <w:rsid w:val="00742853"/>
    <w:rsid w:val="007428C9"/>
    <w:rsid w:val="00742A21"/>
    <w:rsid w:val="00742A9B"/>
    <w:rsid w:val="00742B13"/>
    <w:rsid w:val="00743003"/>
    <w:rsid w:val="00743052"/>
    <w:rsid w:val="0074329F"/>
    <w:rsid w:val="00743401"/>
    <w:rsid w:val="00743512"/>
    <w:rsid w:val="007436E4"/>
    <w:rsid w:val="00743833"/>
    <w:rsid w:val="00743949"/>
    <w:rsid w:val="00743F98"/>
    <w:rsid w:val="00744073"/>
    <w:rsid w:val="007441C6"/>
    <w:rsid w:val="00744202"/>
    <w:rsid w:val="00744704"/>
    <w:rsid w:val="007447DB"/>
    <w:rsid w:val="00744888"/>
    <w:rsid w:val="00744B49"/>
    <w:rsid w:val="00744BA3"/>
    <w:rsid w:val="00744C45"/>
    <w:rsid w:val="00744C9C"/>
    <w:rsid w:val="00744CC7"/>
    <w:rsid w:val="00744EC2"/>
    <w:rsid w:val="00745044"/>
    <w:rsid w:val="00745046"/>
    <w:rsid w:val="007452DD"/>
    <w:rsid w:val="00745351"/>
    <w:rsid w:val="00745659"/>
    <w:rsid w:val="00745678"/>
    <w:rsid w:val="007456A3"/>
    <w:rsid w:val="00745770"/>
    <w:rsid w:val="00745790"/>
    <w:rsid w:val="00745795"/>
    <w:rsid w:val="00745910"/>
    <w:rsid w:val="00745962"/>
    <w:rsid w:val="0074607E"/>
    <w:rsid w:val="00746122"/>
    <w:rsid w:val="0074648A"/>
    <w:rsid w:val="0074665E"/>
    <w:rsid w:val="007466C5"/>
    <w:rsid w:val="007468EE"/>
    <w:rsid w:val="00746A8E"/>
    <w:rsid w:val="0074726D"/>
    <w:rsid w:val="007472F2"/>
    <w:rsid w:val="00747303"/>
    <w:rsid w:val="007479DF"/>
    <w:rsid w:val="007479EC"/>
    <w:rsid w:val="0075004F"/>
    <w:rsid w:val="00750186"/>
    <w:rsid w:val="00750327"/>
    <w:rsid w:val="0075035F"/>
    <w:rsid w:val="00750360"/>
    <w:rsid w:val="00750BC0"/>
    <w:rsid w:val="00750C7B"/>
    <w:rsid w:val="00750D37"/>
    <w:rsid w:val="007510DB"/>
    <w:rsid w:val="0075123A"/>
    <w:rsid w:val="007517D0"/>
    <w:rsid w:val="00751800"/>
    <w:rsid w:val="0075187B"/>
    <w:rsid w:val="00751937"/>
    <w:rsid w:val="00751963"/>
    <w:rsid w:val="00751CFC"/>
    <w:rsid w:val="00752086"/>
    <w:rsid w:val="00752359"/>
    <w:rsid w:val="00752478"/>
    <w:rsid w:val="00752975"/>
    <w:rsid w:val="00752CC5"/>
    <w:rsid w:val="00752F12"/>
    <w:rsid w:val="00753344"/>
    <w:rsid w:val="00753431"/>
    <w:rsid w:val="007537C6"/>
    <w:rsid w:val="007538DB"/>
    <w:rsid w:val="007538DD"/>
    <w:rsid w:val="007538E0"/>
    <w:rsid w:val="00753964"/>
    <w:rsid w:val="00753B93"/>
    <w:rsid w:val="00753BD2"/>
    <w:rsid w:val="00753D5C"/>
    <w:rsid w:val="00753EE5"/>
    <w:rsid w:val="0075400C"/>
    <w:rsid w:val="00754720"/>
    <w:rsid w:val="00754874"/>
    <w:rsid w:val="007549BE"/>
    <w:rsid w:val="00754D02"/>
    <w:rsid w:val="00754F4D"/>
    <w:rsid w:val="00755158"/>
    <w:rsid w:val="0075522C"/>
    <w:rsid w:val="007555AA"/>
    <w:rsid w:val="007555B5"/>
    <w:rsid w:val="00755922"/>
    <w:rsid w:val="00755AD7"/>
    <w:rsid w:val="00755BF9"/>
    <w:rsid w:val="00755C82"/>
    <w:rsid w:val="00755D77"/>
    <w:rsid w:val="00755E1B"/>
    <w:rsid w:val="007562EC"/>
    <w:rsid w:val="007563A9"/>
    <w:rsid w:val="0075649F"/>
    <w:rsid w:val="00756835"/>
    <w:rsid w:val="00756997"/>
    <w:rsid w:val="00756CCF"/>
    <w:rsid w:val="00756CFE"/>
    <w:rsid w:val="00756EBF"/>
    <w:rsid w:val="007571C2"/>
    <w:rsid w:val="0075729C"/>
    <w:rsid w:val="007574CB"/>
    <w:rsid w:val="00757619"/>
    <w:rsid w:val="007577C8"/>
    <w:rsid w:val="00757A15"/>
    <w:rsid w:val="00757AE1"/>
    <w:rsid w:val="0076044D"/>
    <w:rsid w:val="007604F3"/>
    <w:rsid w:val="00760552"/>
    <w:rsid w:val="00760690"/>
    <w:rsid w:val="00760959"/>
    <w:rsid w:val="00760A6C"/>
    <w:rsid w:val="00760C05"/>
    <w:rsid w:val="00760CCF"/>
    <w:rsid w:val="00760E00"/>
    <w:rsid w:val="00760E4F"/>
    <w:rsid w:val="00761049"/>
    <w:rsid w:val="007615D5"/>
    <w:rsid w:val="007616C5"/>
    <w:rsid w:val="00761705"/>
    <w:rsid w:val="00761909"/>
    <w:rsid w:val="007619D4"/>
    <w:rsid w:val="00761D5B"/>
    <w:rsid w:val="00761D8A"/>
    <w:rsid w:val="00761EE7"/>
    <w:rsid w:val="00762103"/>
    <w:rsid w:val="00762502"/>
    <w:rsid w:val="00762504"/>
    <w:rsid w:val="007625A2"/>
    <w:rsid w:val="00762B15"/>
    <w:rsid w:val="00762DC3"/>
    <w:rsid w:val="00762F8D"/>
    <w:rsid w:val="007633AF"/>
    <w:rsid w:val="0076365D"/>
    <w:rsid w:val="007636F2"/>
    <w:rsid w:val="007636FA"/>
    <w:rsid w:val="0076376A"/>
    <w:rsid w:val="00763977"/>
    <w:rsid w:val="00763995"/>
    <w:rsid w:val="00763A03"/>
    <w:rsid w:val="00763ACB"/>
    <w:rsid w:val="00763B2A"/>
    <w:rsid w:val="007641AF"/>
    <w:rsid w:val="00764313"/>
    <w:rsid w:val="007645EB"/>
    <w:rsid w:val="007647C9"/>
    <w:rsid w:val="007647FA"/>
    <w:rsid w:val="00764A22"/>
    <w:rsid w:val="00764A67"/>
    <w:rsid w:val="00764D7F"/>
    <w:rsid w:val="00764E9A"/>
    <w:rsid w:val="00765262"/>
    <w:rsid w:val="007652A2"/>
    <w:rsid w:val="007652BE"/>
    <w:rsid w:val="00765497"/>
    <w:rsid w:val="00765526"/>
    <w:rsid w:val="007659C4"/>
    <w:rsid w:val="00765A97"/>
    <w:rsid w:val="00765B45"/>
    <w:rsid w:val="00765BD8"/>
    <w:rsid w:val="00765BE3"/>
    <w:rsid w:val="00765C55"/>
    <w:rsid w:val="00765F13"/>
    <w:rsid w:val="007660F2"/>
    <w:rsid w:val="007662A3"/>
    <w:rsid w:val="00766408"/>
    <w:rsid w:val="007667AC"/>
    <w:rsid w:val="00766A3D"/>
    <w:rsid w:val="00766D3F"/>
    <w:rsid w:val="00766DDA"/>
    <w:rsid w:val="00767062"/>
    <w:rsid w:val="007670E4"/>
    <w:rsid w:val="007670FC"/>
    <w:rsid w:val="00767351"/>
    <w:rsid w:val="00767499"/>
    <w:rsid w:val="00767549"/>
    <w:rsid w:val="00767ACF"/>
    <w:rsid w:val="00767D08"/>
    <w:rsid w:val="00767D22"/>
    <w:rsid w:val="00767DF5"/>
    <w:rsid w:val="00767E34"/>
    <w:rsid w:val="00767E61"/>
    <w:rsid w:val="0077003F"/>
    <w:rsid w:val="00770208"/>
    <w:rsid w:val="00770225"/>
    <w:rsid w:val="0077025D"/>
    <w:rsid w:val="007704AF"/>
    <w:rsid w:val="007704F4"/>
    <w:rsid w:val="0077057A"/>
    <w:rsid w:val="007705CC"/>
    <w:rsid w:val="007706C0"/>
    <w:rsid w:val="007706DF"/>
    <w:rsid w:val="0077099C"/>
    <w:rsid w:val="00770BB1"/>
    <w:rsid w:val="00771173"/>
    <w:rsid w:val="0077118A"/>
    <w:rsid w:val="007711F5"/>
    <w:rsid w:val="0077124F"/>
    <w:rsid w:val="007712B3"/>
    <w:rsid w:val="00771386"/>
    <w:rsid w:val="007716D2"/>
    <w:rsid w:val="00771DF0"/>
    <w:rsid w:val="00771DFB"/>
    <w:rsid w:val="00771FA6"/>
    <w:rsid w:val="00772194"/>
    <w:rsid w:val="00772295"/>
    <w:rsid w:val="0077229F"/>
    <w:rsid w:val="00772376"/>
    <w:rsid w:val="0077238F"/>
    <w:rsid w:val="007727E9"/>
    <w:rsid w:val="0077280E"/>
    <w:rsid w:val="00772875"/>
    <w:rsid w:val="00772A78"/>
    <w:rsid w:val="00772B3E"/>
    <w:rsid w:val="00772B9D"/>
    <w:rsid w:val="00772D3D"/>
    <w:rsid w:val="007732CD"/>
    <w:rsid w:val="00773436"/>
    <w:rsid w:val="007734C0"/>
    <w:rsid w:val="00773734"/>
    <w:rsid w:val="0077374D"/>
    <w:rsid w:val="007737BC"/>
    <w:rsid w:val="00773801"/>
    <w:rsid w:val="0077399A"/>
    <w:rsid w:val="007739EC"/>
    <w:rsid w:val="00773A83"/>
    <w:rsid w:val="00773D35"/>
    <w:rsid w:val="00773EC8"/>
    <w:rsid w:val="00773FA1"/>
    <w:rsid w:val="007741A8"/>
    <w:rsid w:val="00774801"/>
    <w:rsid w:val="00774985"/>
    <w:rsid w:val="00774AD2"/>
    <w:rsid w:val="00774E7A"/>
    <w:rsid w:val="00774ED3"/>
    <w:rsid w:val="00774F57"/>
    <w:rsid w:val="007750A3"/>
    <w:rsid w:val="00775820"/>
    <w:rsid w:val="007759CF"/>
    <w:rsid w:val="00775A58"/>
    <w:rsid w:val="00775B27"/>
    <w:rsid w:val="007760D9"/>
    <w:rsid w:val="007761EB"/>
    <w:rsid w:val="0077637B"/>
    <w:rsid w:val="00776874"/>
    <w:rsid w:val="00776D7D"/>
    <w:rsid w:val="00776EAB"/>
    <w:rsid w:val="0077721F"/>
    <w:rsid w:val="00777560"/>
    <w:rsid w:val="0077762C"/>
    <w:rsid w:val="00777AC5"/>
    <w:rsid w:val="00777B16"/>
    <w:rsid w:val="00777B7C"/>
    <w:rsid w:val="00777E65"/>
    <w:rsid w:val="00780063"/>
    <w:rsid w:val="007802B7"/>
    <w:rsid w:val="00780425"/>
    <w:rsid w:val="0078059B"/>
    <w:rsid w:val="00780843"/>
    <w:rsid w:val="00780B1E"/>
    <w:rsid w:val="0078136B"/>
    <w:rsid w:val="00781528"/>
    <w:rsid w:val="007816A5"/>
    <w:rsid w:val="00781AB0"/>
    <w:rsid w:val="00781B47"/>
    <w:rsid w:val="00781CE4"/>
    <w:rsid w:val="00782315"/>
    <w:rsid w:val="0078238D"/>
    <w:rsid w:val="0078296C"/>
    <w:rsid w:val="0078298F"/>
    <w:rsid w:val="007829C3"/>
    <w:rsid w:val="00782AFA"/>
    <w:rsid w:val="00782B2F"/>
    <w:rsid w:val="00783199"/>
    <w:rsid w:val="00783390"/>
    <w:rsid w:val="0078341E"/>
    <w:rsid w:val="00783519"/>
    <w:rsid w:val="00783AED"/>
    <w:rsid w:val="00783D13"/>
    <w:rsid w:val="00783EE0"/>
    <w:rsid w:val="0078425C"/>
    <w:rsid w:val="0078430F"/>
    <w:rsid w:val="00784658"/>
    <w:rsid w:val="007846DB"/>
    <w:rsid w:val="00784719"/>
    <w:rsid w:val="007847CE"/>
    <w:rsid w:val="00784977"/>
    <w:rsid w:val="0078498A"/>
    <w:rsid w:val="007849A6"/>
    <w:rsid w:val="00784A47"/>
    <w:rsid w:val="00784ED9"/>
    <w:rsid w:val="00785007"/>
    <w:rsid w:val="007850FA"/>
    <w:rsid w:val="00785636"/>
    <w:rsid w:val="007857C5"/>
    <w:rsid w:val="0078594C"/>
    <w:rsid w:val="00785A44"/>
    <w:rsid w:val="00785A48"/>
    <w:rsid w:val="00785A4A"/>
    <w:rsid w:val="00785EF1"/>
    <w:rsid w:val="0078603B"/>
    <w:rsid w:val="00786063"/>
    <w:rsid w:val="0078618E"/>
    <w:rsid w:val="0078619A"/>
    <w:rsid w:val="00786349"/>
    <w:rsid w:val="007863DD"/>
    <w:rsid w:val="007864FE"/>
    <w:rsid w:val="007865EA"/>
    <w:rsid w:val="007868B9"/>
    <w:rsid w:val="00786996"/>
    <w:rsid w:val="00786B41"/>
    <w:rsid w:val="00786BAB"/>
    <w:rsid w:val="00786BBD"/>
    <w:rsid w:val="00786CA3"/>
    <w:rsid w:val="00786D40"/>
    <w:rsid w:val="00786DB4"/>
    <w:rsid w:val="00786EE2"/>
    <w:rsid w:val="00786F36"/>
    <w:rsid w:val="007870DA"/>
    <w:rsid w:val="007870F8"/>
    <w:rsid w:val="00787312"/>
    <w:rsid w:val="00787322"/>
    <w:rsid w:val="007875F3"/>
    <w:rsid w:val="0078770B"/>
    <w:rsid w:val="0078770C"/>
    <w:rsid w:val="00787738"/>
    <w:rsid w:val="00787854"/>
    <w:rsid w:val="00787855"/>
    <w:rsid w:val="00787878"/>
    <w:rsid w:val="00787A4B"/>
    <w:rsid w:val="00787D19"/>
    <w:rsid w:val="00787F27"/>
    <w:rsid w:val="007900F9"/>
    <w:rsid w:val="007907C1"/>
    <w:rsid w:val="007908FD"/>
    <w:rsid w:val="00790A59"/>
    <w:rsid w:val="00790A5C"/>
    <w:rsid w:val="00790ACB"/>
    <w:rsid w:val="00791116"/>
    <w:rsid w:val="0079122B"/>
    <w:rsid w:val="0079133F"/>
    <w:rsid w:val="007914BA"/>
    <w:rsid w:val="007914FA"/>
    <w:rsid w:val="00791572"/>
    <w:rsid w:val="007915F7"/>
    <w:rsid w:val="00791617"/>
    <w:rsid w:val="0079167B"/>
    <w:rsid w:val="007917DC"/>
    <w:rsid w:val="0079193E"/>
    <w:rsid w:val="00791B18"/>
    <w:rsid w:val="00791D26"/>
    <w:rsid w:val="00791FCC"/>
    <w:rsid w:val="007920B2"/>
    <w:rsid w:val="007922EF"/>
    <w:rsid w:val="0079242C"/>
    <w:rsid w:val="007924C2"/>
    <w:rsid w:val="00792586"/>
    <w:rsid w:val="0079278A"/>
    <w:rsid w:val="00792799"/>
    <w:rsid w:val="007929B7"/>
    <w:rsid w:val="00792A70"/>
    <w:rsid w:val="00792AE0"/>
    <w:rsid w:val="00792AF0"/>
    <w:rsid w:val="00792C75"/>
    <w:rsid w:val="00792EC1"/>
    <w:rsid w:val="00793298"/>
    <w:rsid w:val="007934A7"/>
    <w:rsid w:val="007935FA"/>
    <w:rsid w:val="00793634"/>
    <w:rsid w:val="007936C5"/>
    <w:rsid w:val="00793916"/>
    <w:rsid w:val="00793BCF"/>
    <w:rsid w:val="00793E5E"/>
    <w:rsid w:val="00793E70"/>
    <w:rsid w:val="00793F14"/>
    <w:rsid w:val="00793FD9"/>
    <w:rsid w:val="007940CF"/>
    <w:rsid w:val="00794219"/>
    <w:rsid w:val="007943DD"/>
    <w:rsid w:val="00794561"/>
    <w:rsid w:val="00794BDC"/>
    <w:rsid w:val="00794CB1"/>
    <w:rsid w:val="00794D47"/>
    <w:rsid w:val="00794FDF"/>
    <w:rsid w:val="0079503C"/>
    <w:rsid w:val="007951B0"/>
    <w:rsid w:val="007951E6"/>
    <w:rsid w:val="00795669"/>
    <w:rsid w:val="00795718"/>
    <w:rsid w:val="007958F4"/>
    <w:rsid w:val="00795AFE"/>
    <w:rsid w:val="00795D76"/>
    <w:rsid w:val="007963D9"/>
    <w:rsid w:val="007965AB"/>
    <w:rsid w:val="007965AC"/>
    <w:rsid w:val="00796748"/>
    <w:rsid w:val="007968F1"/>
    <w:rsid w:val="007969C7"/>
    <w:rsid w:val="00796AEF"/>
    <w:rsid w:val="00796E96"/>
    <w:rsid w:val="00796F2E"/>
    <w:rsid w:val="007970DA"/>
    <w:rsid w:val="0079722C"/>
    <w:rsid w:val="00797275"/>
    <w:rsid w:val="00797351"/>
    <w:rsid w:val="007973FA"/>
    <w:rsid w:val="00797876"/>
    <w:rsid w:val="0079799D"/>
    <w:rsid w:val="00797B00"/>
    <w:rsid w:val="007A019C"/>
    <w:rsid w:val="007A03F6"/>
    <w:rsid w:val="007A0591"/>
    <w:rsid w:val="007A05BA"/>
    <w:rsid w:val="007A0B4F"/>
    <w:rsid w:val="007A0CF7"/>
    <w:rsid w:val="007A0FC7"/>
    <w:rsid w:val="007A125A"/>
    <w:rsid w:val="007A12AA"/>
    <w:rsid w:val="007A14A7"/>
    <w:rsid w:val="007A1615"/>
    <w:rsid w:val="007A16E1"/>
    <w:rsid w:val="007A19A4"/>
    <w:rsid w:val="007A1A87"/>
    <w:rsid w:val="007A1E7B"/>
    <w:rsid w:val="007A21D4"/>
    <w:rsid w:val="007A21E0"/>
    <w:rsid w:val="007A21F6"/>
    <w:rsid w:val="007A239C"/>
    <w:rsid w:val="007A23E3"/>
    <w:rsid w:val="007A2455"/>
    <w:rsid w:val="007A27DA"/>
    <w:rsid w:val="007A28B6"/>
    <w:rsid w:val="007A2B05"/>
    <w:rsid w:val="007A2B33"/>
    <w:rsid w:val="007A2BAE"/>
    <w:rsid w:val="007A2ECD"/>
    <w:rsid w:val="007A2F14"/>
    <w:rsid w:val="007A2FA8"/>
    <w:rsid w:val="007A2FCF"/>
    <w:rsid w:val="007A31BD"/>
    <w:rsid w:val="007A3323"/>
    <w:rsid w:val="007A3641"/>
    <w:rsid w:val="007A3742"/>
    <w:rsid w:val="007A383A"/>
    <w:rsid w:val="007A3BB0"/>
    <w:rsid w:val="007A3BD9"/>
    <w:rsid w:val="007A433E"/>
    <w:rsid w:val="007A43B7"/>
    <w:rsid w:val="007A43ED"/>
    <w:rsid w:val="007A43FF"/>
    <w:rsid w:val="007A4768"/>
    <w:rsid w:val="007A47E7"/>
    <w:rsid w:val="007A4831"/>
    <w:rsid w:val="007A49DA"/>
    <w:rsid w:val="007A4CDB"/>
    <w:rsid w:val="007A5593"/>
    <w:rsid w:val="007A5595"/>
    <w:rsid w:val="007A5676"/>
    <w:rsid w:val="007A5A8F"/>
    <w:rsid w:val="007A5AB8"/>
    <w:rsid w:val="007A5D26"/>
    <w:rsid w:val="007A5D9D"/>
    <w:rsid w:val="007A5ECD"/>
    <w:rsid w:val="007A5F0E"/>
    <w:rsid w:val="007A60E2"/>
    <w:rsid w:val="007A669C"/>
    <w:rsid w:val="007A66BC"/>
    <w:rsid w:val="007A674D"/>
    <w:rsid w:val="007A6796"/>
    <w:rsid w:val="007A679E"/>
    <w:rsid w:val="007A6A68"/>
    <w:rsid w:val="007A6C3A"/>
    <w:rsid w:val="007A6D6C"/>
    <w:rsid w:val="007A6D9B"/>
    <w:rsid w:val="007A6DDE"/>
    <w:rsid w:val="007A711D"/>
    <w:rsid w:val="007A72B0"/>
    <w:rsid w:val="007A7380"/>
    <w:rsid w:val="007A76EA"/>
    <w:rsid w:val="007A7768"/>
    <w:rsid w:val="007A7831"/>
    <w:rsid w:val="007A7841"/>
    <w:rsid w:val="007A7D4C"/>
    <w:rsid w:val="007A7DE6"/>
    <w:rsid w:val="007A7E1D"/>
    <w:rsid w:val="007A7ECF"/>
    <w:rsid w:val="007B01D6"/>
    <w:rsid w:val="007B032E"/>
    <w:rsid w:val="007B063B"/>
    <w:rsid w:val="007B0654"/>
    <w:rsid w:val="007B07DD"/>
    <w:rsid w:val="007B0C1F"/>
    <w:rsid w:val="007B0C7B"/>
    <w:rsid w:val="007B0EFA"/>
    <w:rsid w:val="007B0F3A"/>
    <w:rsid w:val="007B1299"/>
    <w:rsid w:val="007B1439"/>
    <w:rsid w:val="007B163A"/>
    <w:rsid w:val="007B17E2"/>
    <w:rsid w:val="007B1C1A"/>
    <w:rsid w:val="007B1D4D"/>
    <w:rsid w:val="007B2195"/>
    <w:rsid w:val="007B226C"/>
    <w:rsid w:val="007B2514"/>
    <w:rsid w:val="007B25DE"/>
    <w:rsid w:val="007B2ACC"/>
    <w:rsid w:val="007B2C0E"/>
    <w:rsid w:val="007B2D0C"/>
    <w:rsid w:val="007B2EA6"/>
    <w:rsid w:val="007B34F1"/>
    <w:rsid w:val="007B356A"/>
    <w:rsid w:val="007B35C9"/>
    <w:rsid w:val="007B38A2"/>
    <w:rsid w:val="007B39EC"/>
    <w:rsid w:val="007B3A1A"/>
    <w:rsid w:val="007B4037"/>
    <w:rsid w:val="007B4080"/>
    <w:rsid w:val="007B4217"/>
    <w:rsid w:val="007B46E5"/>
    <w:rsid w:val="007B47AC"/>
    <w:rsid w:val="007B4911"/>
    <w:rsid w:val="007B4AC7"/>
    <w:rsid w:val="007B4D70"/>
    <w:rsid w:val="007B4F07"/>
    <w:rsid w:val="007B51B1"/>
    <w:rsid w:val="007B5555"/>
    <w:rsid w:val="007B59A4"/>
    <w:rsid w:val="007B5B4E"/>
    <w:rsid w:val="007B5BDF"/>
    <w:rsid w:val="007B6194"/>
    <w:rsid w:val="007B62DC"/>
    <w:rsid w:val="007B65A9"/>
    <w:rsid w:val="007B670A"/>
    <w:rsid w:val="007B67E5"/>
    <w:rsid w:val="007B69E9"/>
    <w:rsid w:val="007B6AE3"/>
    <w:rsid w:val="007B6BA7"/>
    <w:rsid w:val="007B6D3A"/>
    <w:rsid w:val="007B6DA2"/>
    <w:rsid w:val="007B6DAC"/>
    <w:rsid w:val="007B6F24"/>
    <w:rsid w:val="007B7393"/>
    <w:rsid w:val="007B7633"/>
    <w:rsid w:val="007B76AC"/>
    <w:rsid w:val="007B78C6"/>
    <w:rsid w:val="007B7D92"/>
    <w:rsid w:val="007B7DAA"/>
    <w:rsid w:val="007B7EC6"/>
    <w:rsid w:val="007C00DE"/>
    <w:rsid w:val="007C01A1"/>
    <w:rsid w:val="007C01DD"/>
    <w:rsid w:val="007C03A7"/>
    <w:rsid w:val="007C06FB"/>
    <w:rsid w:val="007C0734"/>
    <w:rsid w:val="007C073D"/>
    <w:rsid w:val="007C0908"/>
    <w:rsid w:val="007C0CD7"/>
    <w:rsid w:val="007C0E92"/>
    <w:rsid w:val="007C1017"/>
    <w:rsid w:val="007C12F9"/>
    <w:rsid w:val="007C1594"/>
    <w:rsid w:val="007C1645"/>
    <w:rsid w:val="007C16F5"/>
    <w:rsid w:val="007C1728"/>
    <w:rsid w:val="007C1991"/>
    <w:rsid w:val="007C1ABA"/>
    <w:rsid w:val="007C1B88"/>
    <w:rsid w:val="007C1BAA"/>
    <w:rsid w:val="007C1D99"/>
    <w:rsid w:val="007C1E80"/>
    <w:rsid w:val="007C1E95"/>
    <w:rsid w:val="007C1F28"/>
    <w:rsid w:val="007C22EC"/>
    <w:rsid w:val="007C2465"/>
    <w:rsid w:val="007C248E"/>
    <w:rsid w:val="007C25B6"/>
    <w:rsid w:val="007C2678"/>
    <w:rsid w:val="007C27E5"/>
    <w:rsid w:val="007C298B"/>
    <w:rsid w:val="007C2990"/>
    <w:rsid w:val="007C2C5E"/>
    <w:rsid w:val="007C2D73"/>
    <w:rsid w:val="007C3128"/>
    <w:rsid w:val="007C34C6"/>
    <w:rsid w:val="007C3506"/>
    <w:rsid w:val="007C3586"/>
    <w:rsid w:val="007C3687"/>
    <w:rsid w:val="007C379A"/>
    <w:rsid w:val="007C3F30"/>
    <w:rsid w:val="007C3F52"/>
    <w:rsid w:val="007C3F7B"/>
    <w:rsid w:val="007C3FD0"/>
    <w:rsid w:val="007C41D5"/>
    <w:rsid w:val="007C4304"/>
    <w:rsid w:val="007C430B"/>
    <w:rsid w:val="007C46B0"/>
    <w:rsid w:val="007C47E7"/>
    <w:rsid w:val="007C4821"/>
    <w:rsid w:val="007C495F"/>
    <w:rsid w:val="007C49AB"/>
    <w:rsid w:val="007C4BC5"/>
    <w:rsid w:val="007C4E60"/>
    <w:rsid w:val="007C4F8D"/>
    <w:rsid w:val="007C5451"/>
    <w:rsid w:val="007C54AD"/>
    <w:rsid w:val="007C5536"/>
    <w:rsid w:val="007C5644"/>
    <w:rsid w:val="007C5923"/>
    <w:rsid w:val="007C598E"/>
    <w:rsid w:val="007C5994"/>
    <w:rsid w:val="007C5ABE"/>
    <w:rsid w:val="007C5C48"/>
    <w:rsid w:val="007C5CDD"/>
    <w:rsid w:val="007C5E32"/>
    <w:rsid w:val="007C5E57"/>
    <w:rsid w:val="007C604E"/>
    <w:rsid w:val="007C60C1"/>
    <w:rsid w:val="007C60F6"/>
    <w:rsid w:val="007C6138"/>
    <w:rsid w:val="007C62E3"/>
    <w:rsid w:val="007C63D1"/>
    <w:rsid w:val="007C6466"/>
    <w:rsid w:val="007C6800"/>
    <w:rsid w:val="007C6AF3"/>
    <w:rsid w:val="007C6CC9"/>
    <w:rsid w:val="007C6F44"/>
    <w:rsid w:val="007C6FD8"/>
    <w:rsid w:val="007C715C"/>
    <w:rsid w:val="007C71E9"/>
    <w:rsid w:val="007C73F9"/>
    <w:rsid w:val="007C7BEB"/>
    <w:rsid w:val="007C7F3F"/>
    <w:rsid w:val="007D02F7"/>
    <w:rsid w:val="007D036E"/>
    <w:rsid w:val="007D052E"/>
    <w:rsid w:val="007D05AC"/>
    <w:rsid w:val="007D087E"/>
    <w:rsid w:val="007D0A57"/>
    <w:rsid w:val="007D0E54"/>
    <w:rsid w:val="007D1183"/>
    <w:rsid w:val="007D1367"/>
    <w:rsid w:val="007D172D"/>
    <w:rsid w:val="007D1734"/>
    <w:rsid w:val="007D18E9"/>
    <w:rsid w:val="007D1A01"/>
    <w:rsid w:val="007D1A64"/>
    <w:rsid w:val="007D1D0A"/>
    <w:rsid w:val="007D1D87"/>
    <w:rsid w:val="007D1EF1"/>
    <w:rsid w:val="007D2071"/>
    <w:rsid w:val="007D209F"/>
    <w:rsid w:val="007D21E3"/>
    <w:rsid w:val="007D224A"/>
    <w:rsid w:val="007D238D"/>
    <w:rsid w:val="007D293A"/>
    <w:rsid w:val="007D2C34"/>
    <w:rsid w:val="007D2DD7"/>
    <w:rsid w:val="007D2E42"/>
    <w:rsid w:val="007D3417"/>
    <w:rsid w:val="007D34F7"/>
    <w:rsid w:val="007D378B"/>
    <w:rsid w:val="007D3839"/>
    <w:rsid w:val="007D3B2D"/>
    <w:rsid w:val="007D3C75"/>
    <w:rsid w:val="007D3C84"/>
    <w:rsid w:val="007D3DF7"/>
    <w:rsid w:val="007D3E1E"/>
    <w:rsid w:val="007D3E56"/>
    <w:rsid w:val="007D3F58"/>
    <w:rsid w:val="007D409C"/>
    <w:rsid w:val="007D4853"/>
    <w:rsid w:val="007D49E3"/>
    <w:rsid w:val="007D4C3B"/>
    <w:rsid w:val="007D4E43"/>
    <w:rsid w:val="007D5074"/>
    <w:rsid w:val="007D5157"/>
    <w:rsid w:val="007D519F"/>
    <w:rsid w:val="007D51BC"/>
    <w:rsid w:val="007D5343"/>
    <w:rsid w:val="007D5642"/>
    <w:rsid w:val="007D595B"/>
    <w:rsid w:val="007D5992"/>
    <w:rsid w:val="007D5AF8"/>
    <w:rsid w:val="007D5B2C"/>
    <w:rsid w:val="007D5CAC"/>
    <w:rsid w:val="007D5FD8"/>
    <w:rsid w:val="007D6063"/>
    <w:rsid w:val="007D6119"/>
    <w:rsid w:val="007D61DA"/>
    <w:rsid w:val="007D623F"/>
    <w:rsid w:val="007D6E65"/>
    <w:rsid w:val="007D7315"/>
    <w:rsid w:val="007D73C7"/>
    <w:rsid w:val="007D742A"/>
    <w:rsid w:val="007D7A19"/>
    <w:rsid w:val="007D7A1C"/>
    <w:rsid w:val="007D7B4B"/>
    <w:rsid w:val="007D7B58"/>
    <w:rsid w:val="007D7BDE"/>
    <w:rsid w:val="007D7BFC"/>
    <w:rsid w:val="007D7CA0"/>
    <w:rsid w:val="007D7DA6"/>
    <w:rsid w:val="007D7E00"/>
    <w:rsid w:val="007D7EEC"/>
    <w:rsid w:val="007E0147"/>
    <w:rsid w:val="007E015B"/>
    <w:rsid w:val="007E043E"/>
    <w:rsid w:val="007E052F"/>
    <w:rsid w:val="007E05E5"/>
    <w:rsid w:val="007E07CA"/>
    <w:rsid w:val="007E087B"/>
    <w:rsid w:val="007E0A78"/>
    <w:rsid w:val="007E0AA9"/>
    <w:rsid w:val="007E0BD6"/>
    <w:rsid w:val="007E0D1E"/>
    <w:rsid w:val="007E0ECF"/>
    <w:rsid w:val="007E0F43"/>
    <w:rsid w:val="007E109B"/>
    <w:rsid w:val="007E1393"/>
    <w:rsid w:val="007E1426"/>
    <w:rsid w:val="007E14BA"/>
    <w:rsid w:val="007E14C0"/>
    <w:rsid w:val="007E1695"/>
    <w:rsid w:val="007E173F"/>
    <w:rsid w:val="007E188A"/>
    <w:rsid w:val="007E1998"/>
    <w:rsid w:val="007E1AAD"/>
    <w:rsid w:val="007E1EFA"/>
    <w:rsid w:val="007E229C"/>
    <w:rsid w:val="007E239C"/>
    <w:rsid w:val="007E2639"/>
    <w:rsid w:val="007E27BA"/>
    <w:rsid w:val="007E2822"/>
    <w:rsid w:val="007E3179"/>
    <w:rsid w:val="007E31B8"/>
    <w:rsid w:val="007E3238"/>
    <w:rsid w:val="007E32EB"/>
    <w:rsid w:val="007E336F"/>
    <w:rsid w:val="007E33C8"/>
    <w:rsid w:val="007E351D"/>
    <w:rsid w:val="007E38E3"/>
    <w:rsid w:val="007E3998"/>
    <w:rsid w:val="007E3E86"/>
    <w:rsid w:val="007E3ECA"/>
    <w:rsid w:val="007E43DB"/>
    <w:rsid w:val="007E4716"/>
    <w:rsid w:val="007E471E"/>
    <w:rsid w:val="007E4728"/>
    <w:rsid w:val="007E47EF"/>
    <w:rsid w:val="007E48E7"/>
    <w:rsid w:val="007E496F"/>
    <w:rsid w:val="007E4AE6"/>
    <w:rsid w:val="007E4BCA"/>
    <w:rsid w:val="007E4C84"/>
    <w:rsid w:val="007E4D23"/>
    <w:rsid w:val="007E4FAA"/>
    <w:rsid w:val="007E5041"/>
    <w:rsid w:val="007E51B3"/>
    <w:rsid w:val="007E537A"/>
    <w:rsid w:val="007E54A2"/>
    <w:rsid w:val="007E562F"/>
    <w:rsid w:val="007E5837"/>
    <w:rsid w:val="007E59EF"/>
    <w:rsid w:val="007E5B4C"/>
    <w:rsid w:val="007E5BB3"/>
    <w:rsid w:val="007E5C46"/>
    <w:rsid w:val="007E5EB3"/>
    <w:rsid w:val="007E6064"/>
    <w:rsid w:val="007E615B"/>
    <w:rsid w:val="007E645A"/>
    <w:rsid w:val="007E65E7"/>
    <w:rsid w:val="007E67D8"/>
    <w:rsid w:val="007E6ACA"/>
    <w:rsid w:val="007E6CD1"/>
    <w:rsid w:val="007E6D3A"/>
    <w:rsid w:val="007E6E56"/>
    <w:rsid w:val="007E7055"/>
    <w:rsid w:val="007E70A7"/>
    <w:rsid w:val="007E71B7"/>
    <w:rsid w:val="007E746B"/>
    <w:rsid w:val="007E7551"/>
    <w:rsid w:val="007E7585"/>
    <w:rsid w:val="007E7672"/>
    <w:rsid w:val="007E7A25"/>
    <w:rsid w:val="007F0114"/>
    <w:rsid w:val="007F059F"/>
    <w:rsid w:val="007F081E"/>
    <w:rsid w:val="007F0955"/>
    <w:rsid w:val="007F0DE4"/>
    <w:rsid w:val="007F0DEE"/>
    <w:rsid w:val="007F1130"/>
    <w:rsid w:val="007F12F7"/>
    <w:rsid w:val="007F1402"/>
    <w:rsid w:val="007F1475"/>
    <w:rsid w:val="007F149A"/>
    <w:rsid w:val="007F14E4"/>
    <w:rsid w:val="007F157A"/>
    <w:rsid w:val="007F15F4"/>
    <w:rsid w:val="007F166C"/>
    <w:rsid w:val="007F1A10"/>
    <w:rsid w:val="007F1AE6"/>
    <w:rsid w:val="007F1AF4"/>
    <w:rsid w:val="007F1DA4"/>
    <w:rsid w:val="007F1DFB"/>
    <w:rsid w:val="007F1E14"/>
    <w:rsid w:val="007F1F48"/>
    <w:rsid w:val="007F1F90"/>
    <w:rsid w:val="007F208B"/>
    <w:rsid w:val="007F222E"/>
    <w:rsid w:val="007F2523"/>
    <w:rsid w:val="007F26F9"/>
    <w:rsid w:val="007F274C"/>
    <w:rsid w:val="007F27D8"/>
    <w:rsid w:val="007F2843"/>
    <w:rsid w:val="007F2BC9"/>
    <w:rsid w:val="007F2EF1"/>
    <w:rsid w:val="007F304C"/>
    <w:rsid w:val="007F3213"/>
    <w:rsid w:val="007F338D"/>
    <w:rsid w:val="007F33C1"/>
    <w:rsid w:val="007F346A"/>
    <w:rsid w:val="007F3503"/>
    <w:rsid w:val="007F37D0"/>
    <w:rsid w:val="007F386A"/>
    <w:rsid w:val="007F39D0"/>
    <w:rsid w:val="007F3D6F"/>
    <w:rsid w:val="007F3DD7"/>
    <w:rsid w:val="007F3F5F"/>
    <w:rsid w:val="007F4161"/>
    <w:rsid w:val="007F46F5"/>
    <w:rsid w:val="007F4C51"/>
    <w:rsid w:val="007F4F3F"/>
    <w:rsid w:val="007F50FF"/>
    <w:rsid w:val="007F5208"/>
    <w:rsid w:val="007F5441"/>
    <w:rsid w:val="007F57DC"/>
    <w:rsid w:val="007F57F0"/>
    <w:rsid w:val="007F58B9"/>
    <w:rsid w:val="007F5B54"/>
    <w:rsid w:val="007F5CB9"/>
    <w:rsid w:val="007F6271"/>
    <w:rsid w:val="007F64A3"/>
    <w:rsid w:val="007F65A1"/>
    <w:rsid w:val="007F698C"/>
    <w:rsid w:val="007F6D42"/>
    <w:rsid w:val="007F723C"/>
    <w:rsid w:val="007F7251"/>
    <w:rsid w:val="007F745E"/>
    <w:rsid w:val="007F74E9"/>
    <w:rsid w:val="007F76C9"/>
    <w:rsid w:val="007F7740"/>
    <w:rsid w:val="007F7C58"/>
    <w:rsid w:val="007F7D1D"/>
    <w:rsid w:val="007F7D5B"/>
    <w:rsid w:val="007F7E1C"/>
    <w:rsid w:val="007F7E8E"/>
    <w:rsid w:val="007F7FBC"/>
    <w:rsid w:val="00800271"/>
    <w:rsid w:val="008004DA"/>
    <w:rsid w:val="0080054E"/>
    <w:rsid w:val="008009D6"/>
    <w:rsid w:val="00800BB5"/>
    <w:rsid w:val="00800D1E"/>
    <w:rsid w:val="00800F28"/>
    <w:rsid w:val="00800FB4"/>
    <w:rsid w:val="00801306"/>
    <w:rsid w:val="0080142B"/>
    <w:rsid w:val="00801954"/>
    <w:rsid w:val="008019EB"/>
    <w:rsid w:val="00801B54"/>
    <w:rsid w:val="00801D27"/>
    <w:rsid w:val="00802217"/>
    <w:rsid w:val="0080237F"/>
    <w:rsid w:val="0080253F"/>
    <w:rsid w:val="00802901"/>
    <w:rsid w:val="0080294A"/>
    <w:rsid w:val="008029CE"/>
    <w:rsid w:val="00802ADC"/>
    <w:rsid w:val="00802B3A"/>
    <w:rsid w:val="00802E0F"/>
    <w:rsid w:val="00802E81"/>
    <w:rsid w:val="00802EE4"/>
    <w:rsid w:val="00802FF6"/>
    <w:rsid w:val="00803086"/>
    <w:rsid w:val="008030B6"/>
    <w:rsid w:val="008031A2"/>
    <w:rsid w:val="00803385"/>
    <w:rsid w:val="00803440"/>
    <w:rsid w:val="008035C9"/>
    <w:rsid w:val="008039A8"/>
    <w:rsid w:val="00803BB5"/>
    <w:rsid w:val="00803D62"/>
    <w:rsid w:val="00803E20"/>
    <w:rsid w:val="00803ECE"/>
    <w:rsid w:val="00803FCF"/>
    <w:rsid w:val="008040A4"/>
    <w:rsid w:val="008041E1"/>
    <w:rsid w:val="00804325"/>
    <w:rsid w:val="008043C8"/>
    <w:rsid w:val="008046A2"/>
    <w:rsid w:val="008049DB"/>
    <w:rsid w:val="00804AA8"/>
    <w:rsid w:val="00804ACF"/>
    <w:rsid w:val="00804BD6"/>
    <w:rsid w:val="00804D6B"/>
    <w:rsid w:val="00804DCB"/>
    <w:rsid w:val="00804E6D"/>
    <w:rsid w:val="00804F37"/>
    <w:rsid w:val="00805467"/>
    <w:rsid w:val="0080547F"/>
    <w:rsid w:val="0080554D"/>
    <w:rsid w:val="008058A5"/>
    <w:rsid w:val="008059E9"/>
    <w:rsid w:val="00805B3B"/>
    <w:rsid w:val="00805B7A"/>
    <w:rsid w:val="00805DC0"/>
    <w:rsid w:val="00805DE1"/>
    <w:rsid w:val="00805E8D"/>
    <w:rsid w:val="00805F47"/>
    <w:rsid w:val="00806360"/>
    <w:rsid w:val="00806473"/>
    <w:rsid w:val="008065FA"/>
    <w:rsid w:val="0080669D"/>
    <w:rsid w:val="0080673A"/>
    <w:rsid w:val="008069A7"/>
    <w:rsid w:val="00806AA1"/>
    <w:rsid w:val="00806B7D"/>
    <w:rsid w:val="00806D2D"/>
    <w:rsid w:val="00806D49"/>
    <w:rsid w:val="008071AB"/>
    <w:rsid w:val="008075C7"/>
    <w:rsid w:val="00807C0D"/>
    <w:rsid w:val="00807C63"/>
    <w:rsid w:val="00807D4C"/>
    <w:rsid w:val="00807F0E"/>
    <w:rsid w:val="00810085"/>
    <w:rsid w:val="008100F6"/>
    <w:rsid w:val="00810178"/>
    <w:rsid w:val="008101BB"/>
    <w:rsid w:val="008102B8"/>
    <w:rsid w:val="00810359"/>
    <w:rsid w:val="00810410"/>
    <w:rsid w:val="0081051B"/>
    <w:rsid w:val="00810618"/>
    <w:rsid w:val="0081074F"/>
    <w:rsid w:val="00810EFB"/>
    <w:rsid w:val="00810F00"/>
    <w:rsid w:val="00810FAD"/>
    <w:rsid w:val="0081119A"/>
    <w:rsid w:val="008115D6"/>
    <w:rsid w:val="0081169F"/>
    <w:rsid w:val="00811738"/>
    <w:rsid w:val="00811769"/>
    <w:rsid w:val="00811B15"/>
    <w:rsid w:val="00811DD4"/>
    <w:rsid w:val="00811F8A"/>
    <w:rsid w:val="00811FFB"/>
    <w:rsid w:val="00812816"/>
    <w:rsid w:val="00812824"/>
    <w:rsid w:val="008129D2"/>
    <w:rsid w:val="00812A21"/>
    <w:rsid w:val="00812D67"/>
    <w:rsid w:val="00812DAF"/>
    <w:rsid w:val="00813348"/>
    <w:rsid w:val="008133F1"/>
    <w:rsid w:val="008137A4"/>
    <w:rsid w:val="008137E1"/>
    <w:rsid w:val="008139B8"/>
    <w:rsid w:val="008139FB"/>
    <w:rsid w:val="00813A1B"/>
    <w:rsid w:val="00813B87"/>
    <w:rsid w:val="00813BF1"/>
    <w:rsid w:val="00813CED"/>
    <w:rsid w:val="00813DF9"/>
    <w:rsid w:val="00813EEA"/>
    <w:rsid w:val="00813F81"/>
    <w:rsid w:val="00814031"/>
    <w:rsid w:val="00814396"/>
    <w:rsid w:val="00814428"/>
    <w:rsid w:val="00814436"/>
    <w:rsid w:val="008145A1"/>
    <w:rsid w:val="008147E9"/>
    <w:rsid w:val="00814986"/>
    <w:rsid w:val="00814A71"/>
    <w:rsid w:val="00814B1F"/>
    <w:rsid w:val="00814B2A"/>
    <w:rsid w:val="00814C58"/>
    <w:rsid w:val="0081500D"/>
    <w:rsid w:val="0081541B"/>
    <w:rsid w:val="00815941"/>
    <w:rsid w:val="00815B8C"/>
    <w:rsid w:val="00815DCB"/>
    <w:rsid w:val="00815EF9"/>
    <w:rsid w:val="008164A1"/>
    <w:rsid w:val="0081674D"/>
    <w:rsid w:val="0081684E"/>
    <w:rsid w:val="0081685A"/>
    <w:rsid w:val="00816C0E"/>
    <w:rsid w:val="00816CFC"/>
    <w:rsid w:val="00816D22"/>
    <w:rsid w:val="00816D48"/>
    <w:rsid w:val="00816E3F"/>
    <w:rsid w:val="00816FC4"/>
    <w:rsid w:val="00817196"/>
    <w:rsid w:val="0081727E"/>
    <w:rsid w:val="008174D2"/>
    <w:rsid w:val="00817672"/>
    <w:rsid w:val="008178AA"/>
    <w:rsid w:val="00817B5D"/>
    <w:rsid w:val="00817BB4"/>
    <w:rsid w:val="00817D68"/>
    <w:rsid w:val="008200A8"/>
    <w:rsid w:val="008200D5"/>
    <w:rsid w:val="00820224"/>
    <w:rsid w:val="00820492"/>
    <w:rsid w:val="008207F4"/>
    <w:rsid w:val="0082091C"/>
    <w:rsid w:val="0082098B"/>
    <w:rsid w:val="00820A5F"/>
    <w:rsid w:val="00820B3E"/>
    <w:rsid w:val="00820CDE"/>
    <w:rsid w:val="00820E66"/>
    <w:rsid w:val="00820FC6"/>
    <w:rsid w:val="00821109"/>
    <w:rsid w:val="00821111"/>
    <w:rsid w:val="00821237"/>
    <w:rsid w:val="00821265"/>
    <w:rsid w:val="008212EF"/>
    <w:rsid w:val="008214B2"/>
    <w:rsid w:val="00821504"/>
    <w:rsid w:val="00821D76"/>
    <w:rsid w:val="00821E5B"/>
    <w:rsid w:val="00822131"/>
    <w:rsid w:val="008221CE"/>
    <w:rsid w:val="00822838"/>
    <w:rsid w:val="00822A2D"/>
    <w:rsid w:val="00822DB2"/>
    <w:rsid w:val="00823205"/>
    <w:rsid w:val="00823223"/>
    <w:rsid w:val="0082324C"/>
    <w:rsid w:val="008235B6"/>
    <w:rsid w:val="00823720"/>
    <w:rsid w:val="0082380F"/>
    <w:rsid w:val="00823AA6"/>
    <w:rsid w:val="00824263"/>
    <w:rsid w:val="008242EA"/>
    <w:rsid w:val="008245CF"/>
    <w:rsid w:val="00824609"/>
    <w:rsid w:val="008247F6"/>
    <w:rsid w:val="0082488F"/>
    <w:rsid w:val="008249BE"/>
    <w:rsid w:val="008250AA"/>
    <w:rsid w:val="008254A4"/>
    <w:rsid w:val="00825932"/>
    <w:rsid w:val="00825B12"/>
    <w:rsid w:val="00825B40"/>
    <w:rsid w:val="00825DE6"/>
    <w:rsid w:val="008262EB"/>
    <w:rsid w:val="008262EF"/>
    <w:rsid w:val="008265BF"/>
    <w:rsid w:val="0082673E"/>
    <w:rsid w:val="00826821"/>
    <w:rsid w:val="00826866"/>
    <w:rsid w:val="00826F1C"/>
    <w:rsid w:val="00826FD2"/>
    <w:rsid w:val="00827345"/>
    <w:rsid w:val="00827610"/>
    <w:rsid w:val="008277CA"/>
    <w:rsid w:val="00827804"/>
    <w:rsid w:val="0082798D"/>
    <w:rsid w:val="00827C32"/>
    <w:rsid w:val="00827CB4"/>
    <w:rsid w:val="0083001E"/>
    <w:rsid w:val="00830A9A"/>
    <w:rsid w:val="00830CB4"/>
    <w:rsid w:val="00830D2E"/>
    <w:rsid w:val="00830DCA"/>
    <w:rsid w:val="00830E01"/>
    <w:rsid w:val="00831060"/>
    <w:rsid w:val="0083121E"/>
    <w:rsid w:val="00831630"/>
    <w:rsid w:val="00831716"/>
    <w:rsid w:val="00831B5A"/>
    <w:rsid w:val="00831E49"/>
    <w:rsid w:val="00832047"/>
    <w:rsid w:val="00832385"/>
    <w:rsid w:val="0083238E"/>
    <w:rsid w:val="00832680"/>
    <w:rsid w:val="0083294F"/>
    <w:rsid w:val="00832956"/>
    <w:rsid w:val="0083297B"/>
    <w:rsid w:val="00832A73"/>
    <w:rsid w:val="00832DB8"/>
    <w:rsid w:val="00833141"/>
    <w:rsid w:val="008331FD"/>
    <w:rsid w:val="00833500"/>
    <w:rsid w:val="00833529"/>
    <w:rsid w:val="0083377D"/>
    <w:rsid w:val="00833C48"/>
    <w:rsid w:val="00833EEE"/>
    <w:rsid w:val="00833F1F"/>
    <w:rsid w:val="00833F31"/>
    <w:rsid w:val="00834019"/>
    <w:rsid w:val="008344ED"/>
    <w:rsid w:val="00834664"/>
    <w:rsid w:val="008349F8"/>
    <w:rsid w:val="00834E9A"/>
    <w:rsid w:val="00834EDA"/>
    <w:rsid w:val="0083526F"/>
    <w:rsid w:val="0083535B"/>
    <w:rsid w:val="00835583"/>
    <w:rsid w:val="008356A1"/>
    <w:rsid w:val="008358B4"/>
    <w:rsid w:val="00835AF9"/>
    <w:rsid w:val="00835E0F"/>
    <w:rsid w:val="0083647F"/>
    <w:rsid w:val="008364E1"/>
    <w:rsid w:val="00836521"/>
    <w:rsid w:val="008365D2"/>
    <w:rsid w:val="008367BF"/>
    <w:rsid w:val="00836D9F"/>
    <w:rsid w:val="0083725A"/>
    <w:rsid w:val="008372CE"/>
    <w:rsid w:val="008377EF"/>
    <w:rsid w:val="00837CAC"/>
    <w:rsid w:val="0084011B"/>
    <w:rsid w:val="0084037C"/>
    <w:rsid w:val="0084045C"/>
    <w:rsid w:val="0084078E"/>
    <w:rsid w:val="00840B2A"/>
    <w:rsid w:val="00840CB8"/>
    <w:rsid w:val="00840D16"/>
    <w:rsid w:val="008410D2"/>
    <w:rsid w:val="00841134"/>
    <w:rsid w:val="00841205"/>
    <w:rsid w:val="008412F5"/>
    <w:rsid w:val="00841752"/>
    <w:rsid w:val="00841A89"/>
    <w:rsid w:val="00841C52"/>
    <w:rsid w:val="008423DE"/>
    <w:rsid w:val="0084284D"/>
    <w:rsid w:val="0084293A"/>
    <w:rsid w:val="00842C77"/>
    <w:rsid w:val="00842D4B"/>
    <w:rsid w:val="00842EFC"/>
    <w:rsid w:val="00842F39"/>
    <w:rsid w:val="008431E0"/>
    <w:rsid w:val="008433F4"/>
    <w:rsid w:val="00843597"/>
    <w:rsid w:val="0084370C"/>
    <w:rsid w:val="008439C7"/>
    <w:rsid w:val="00843B6C"/>
    <w:rsid w:val="0084401C"/>
    <w:rsid w:val="00844417"/>
    <w:rsid w:val="00844785"/>
    <w:rsid w:val="008447A5"/>
    <w:rsid w:val="0084498C"/>
    <w:rsid w:val="008449E4"/>
    <w:rsid w:val="00844A55"/>
    <w:rsid w:val="00844A80"/>
    <w:rsid w:val="00844C22"/>
    <w:rsid w:val="00844E13"/>
    <w:rsid w:val="00844F6C"/>
    <w:rsid w:val="008453B6"/>
    <w:rsid w:val="00845638"/>
    <w:rsid w:val="008458A7"/>
    <w:rsid w:val="00845B9F"/>
    <w:rsid w:val="00845C18"/>
    <w:rsid w:val="00845CAD"/>
    <w:rsid w:val="00845F85"/>
    <w:rsid w:val="0084603F"/>
    <w:rsid w:val="008460D2"/>
    <w:rsid w:val="0084635A"/>
    <w:rsid w:val="008464E8"/>
    <w:rsid w:val="0084671B"/>
    <w:rsid w:val="00846BE2"/>
    <w:rsid w:val="00846C66"/>
    <w:rsid w:val="00846DC5"/>
    <w:rsid w:val="00847403"/>
    <w:rsid w:val="0084757D"/>
    <w:rsid w:val="008478DB"/>
    <w:rsid w:val="00847B34"/>
    <w:rsid w:val="00847CD6"/>
    <w:rsid w:val="00847D03"/>
    <w:rsid w:val="00847E01"/>
    <w:rsid w:val="00847F64"/>
    <w:rsid w:val="00847F75"/>
    <w:rsid w:val="008500A0"/>
    <w:rsid w:val="0085030B"/>
    <w:rsid w:val="0085043E"/>
    <w:rsid w:val="008504CD"/>
    <w:rsid w:val="008505FA"/>
    <w:rsid w:val="008506AF"/>
    <w:rsid w:val="008507E5"/>
    <w:rsid w:val="00850955"/>
    <w:rsid w:val="00850B24"/>
    <w:rsid w:val="00850CF1"/>
    <w:rsid w:val="00850CF2"/>
    <w:rsid w:val="00850E35"/>
    <w:rsid w:val="00850F39"/>
    <w:rsid w:val="0085114A"/>
    <w:rsid w:val="0085137D"/>
    <w:rsid w:val="0085146A"/>
    <w:rsid w:val="00851495"/>
    <w:rsid w:val="00851AF3"/>
    <w:rsid w:val="00851B92"/>
    <w:rsid w:val="00851D99"/>
    <w:rsid w:val="00852231"/>
    <w:rsid w:val="008522C4"/>
    <w:rsid w:val="0085278B"/>
    <w:rsid w:val="00852A11"/>
    <w:rsid w:val="00852AA8"/>
    <w:rsid w:val="00852C78"/>
    <w:rsid w:val="00852C86"/>
    <w:rsid w:val="00852C98"/>
    <w:rsid w:val="00853115"/>
    <w:rsid w:val="008532CB"/>
    <w:rsid w:val="00853323"/>
    <w:rsid w:val="008537A0"/>
    <w:rsid w:val="008537F9"/>
    <w:rsid w:val="00853850"/>
    <w:rsid w:val="0085390E"/>
    <w:rsid w:val="00853AE5"/>
    <w:rsid w:val="00853BFE"/>
    <w:rsid w:val="00853D54"/>
    <w:rsid w:val="008541A4"/>
    <w:rsid w:val="00854268"/>
    <w:rsid w:val="00854593"/>
    <w:rsid w:val="00854A16"/>
    <w:rsid w:val="00854BEF"/>
    <w:rsid w:val="00854CA1"/>
    <w:rsid w:val="00854DD1"/>
    <w:rsid w:val="00854FBD"/>
    <w:rsid w:val="00855127"/>
    <w:rsid w:val="0085526B"/>
    <w:rsid w:val="00855289"/>
    <w:rsid w:val="008552ED"/>
    <w:rsid w:val="008554C4"/>
    <w:rsid w:val="008556FC"/>
    <w:rsid w:val="00855C0D"/>
    <w:rsid w:val="00855D36"/>
    <w:rsid w:val="00855F57"/>
    <w:rsid w:val="00856171"/>
    <w:rsid w:val="008563F6"/>
    <w:rsid w:val="008563F9"/>
    <w:rsid w:val="00856532"/>
    <w:rsid w:val="008567B5"/>
    <w:rsid w:val="008569A1"/>
    <w:rsid w:val="00856E76"/>
    <w:rsid w:val="008570AC"/>
    <w:rsid w:val="0085717B"/>
    <w:rsid w:val="00857689"/>
    <w:rsid w:val="00857803"/>
    <w:rsid w:val="00857F0B"/>
    <w:rsid w:val="00857F6A"/>
    <w:rsid w:val="00860035"/>
    <w:rsid w:val="00860362"/>
    <w:rsid w:val="00860813"/>
    <w:rsid w:val="00860C5E"/>
    <w:rsid w:val="00860DD3"/>
    <w:rsid w:val="00860E8C"/>
    <w:rsid w:val="00860F18"/>
    <w:rsid w:val="00861208"/>
    <w:rsid w:val="008612D8"/>
    <w:rsid w:val="008619F8"/>
    <w:rsid w:val="00861A73"/>
    <w:rsid w:val="00861D92"/>
    <w:rsid w:val="00861E03"/>
    <w:rsid w:val="00861E31"/>
    <w:rsid w:val="00861E3D"/>
    <w:rsid w:val="00861E63"/>
    <w:rsid w:val="00861EFF"/>
    <w:rsid w:val="0086204C"/>
    <w:rsid w:val="008624D8"/>
    <w:rsid w:val="00862569"/>
    <w:rsid w:val="008626AA"/>
    <w:rsid w:val="008626D0"/>
    <w:rsid w:val="008628D2"/>
    <w:rsid w:val="00862A0B"/>
    <w:rsid w:val="00862A68"/>
    <w:rsid w:val="00862B7A"/>
    <w:rsid w:val="00862CBD"/>
    <w:rsid w:val="00862F81"/>
    <w:rsid w:val="0086318A"/>
    <w:rsid w:val="008632A5"/>
    <w:rsid w:val="008632C5"/>
    <w:rsid w:val="0086361B"/>
    <w:rsid w:val="0086370A"/>
    <w:rsid w:val="00863D65"/>
    <w:rsid w:val="00863DE3"/>
    <w:rsid w:val="00864093"/>
    <w:rsid w:val="008640BF"/>
    <w:rsid w:val="00864696"/>
    <w:rsid w:val="00864911"/>
    <w:rsid w:val="008650F2"/>
    <w:rsid w:val="008651BD"/>
    <w:rsid w:val="00865390"/>
    <w:rsid w:val="00865630"/>
    <w:rsid w:val="008659EC"/>
    <w:rsid w:val="00865D40"/>
    <w:rsid w:val="00865D61"/>
    <w:rsid w:val="00865D85"/>
    <w:rsid w:val="00866313"/>
    <w:rsid w:val="00866332"/>
    <w:rsid w:val="00866611"/>
    <w:rsid w:val="0086688C"/>
    <w:rsid w:val="00866981"/>
    <w:rsid w:val="00866A8D"/>
    <w:rsid w:val="00866B1B"/>
    <w:rsid w:val="00866B94"/>
    <w:rsid w:val="00866DB2"/>
    <w:rsid w:val="00866E16"/>
    <w:rsid w:val="00866E65"/>
    <w:rsid w:val="00866FCC"/>
    <w:rsid w:val="0086706E"/>
    <w:rsid w:val="008670AA"/>
    <w:rsid w:val="008670C1"/>
    <w:rsid w:val="00867337"/>
    <w:rsid w:val="00867363"/>
    <w:rsid w:val="00867568"/>
    <w:rsid w:val="008675AF"/>
    <w:rsid w:val="00867E03"/>
    <w:rsid w:val="00867E15"/>
    <w:rsid w:val="00870023"/>
    <w:rsid w:val="008701A3"/>
    <w:rsid w:val="008704F6"/>
    <w:rsid w:val="00870573"/>
    <w:rsid w:val="008705F9"/>
    <w:rsid w:val="00870755"/>
    <w:rsid w:val="00870813"/>
    <w:rsid w:val="0087090C"/>
    <w:rsid w:val="00870B29"/>
    <w:rsid w:val="00870EA1"/>
    <w:rsid w:val="00870FA8"/>
    <w:rsid w:val="00871093"/>
    <w:rsid w:val="0087110D"/>
    <w:rsid w:val="0087124E"/>
    <w:rsid w:val="008713E7"/>
    <w:rsid w:val="0087148D"/>
    <w:rsid w:val="00871688"/>
    <w:rsid w:val="008717F3"/>
    <w:rsid w:val="00871A30"/>
    <w:rsid w:val="00871A5D"/>
    <w:rsid w:val="00871D9C"/>
    <w:rsid w:val="00871ED8"/>
    <w:rsid w:val="00871F00"/>
    <w:rsid w:val="00871F82"/>
    <w:rsid w:val="008720DF"/>
    <w:rsid w:val="008720F5"/>
    <w:rsid w:val="008727D2"/>
    <w:rsid w:val="00872E9F"/>
    <w:rsid w:val="00872EE7"/>
    <w:rsid w:val="00872F99"/>
    <w:rsid w:val="00873004"/>
    <w:rsid w:val="008730A8"/>
    <w:rsid w:val="008730C7"/>
    <w:rsid w:val="008732C8"/>
    <w:rsid w:val="00873401"/>
    <w:rsid w:val="008735E4"/>
    <w:rsid w:val="00873684"/>
    <w:rsid w:val="008736D5"/>
    <w:rsid w:val="0087376E"/>
    <w:rsid w:val="00873999"/>
    <w:rsid w:val="00873B26"/>
    <w:rsid w:val="00873B54"/>
    <w:rsid w:val="00873B83"/>
    <w:rsid w:val="00873CE4"/>
    <w:rsid w:val="00873E86"/>
    <w:rsid w:val="00874013"/>
    <w:rsid w:val="00874068"/>
    <w:rsid w:val="00874201"/>
    <w:rsid w:val="0087426C"/>
    <w:rsid w:val="00874523"/>
    <w:rsid w:val="00874836"/>
    <w:rsid w:val="00874BE9"/>
    <w:rsid w:val="00874CF1"/>
    <w:rsid w:val="00874D94"/>
    <w:rsid w:val="00874E7F"/>
    <w:rsid w:val="008750D7"/>
    <w:rsid w:val="00875101"/>
    <w:rsid w:val="008753EF"/>
    <w:rsid w:val="00875468"/>
    <w:rsid w:val="008755F5"/>
    <w:rsid w:val="0087569D"/>
    <w:rsid w:val="00875909"/>
    <w:rsid w:val="00875A73"/>
    <w:rsid w:val="00875BBB"/>
    <w:rsid w:val="00875BDE"/>
    <w:rsid w:val="00875BED"/>
    <w:rsid w:val="00875E86"/>
    <w:rsid w:val="00875F03"/>
    <w:rsid w:val="008768DF"/>
    <w:rsid w:val="00876939"/>
    <w:rsid w:val="00876A09"/>
    <w:rsid w:val="00876C3E"/>
    <w:rsid w:val="00876DAB"/>
    <w:rsid w:val="00877318"/>
    <w:rsid w:val="00877358"/>
    <w:rsid w:val="0087752E"/>
    <w:rsid w:val="00877761"/>
    <w:rsid w:val="0087785E"/>
    <w:rsid w:val="00877B05"/>
    <w:rsid w:val="00877CBD"/>
    <w:rsid w:val="00877EF3"/>
    <w:rsid w:val="00880050"/>
    <w:rsid w:val="008800B7"/>
    <w:rsid w:val="008801B2"/>
    <w:rsid w:val="0088053D"/>
    <w:rsid w:val="008805E6"/>
    <w:rsid w:val="008807A7"/>
    <w:rsid w:val="00880F76"/>
    <w:rsid w:val="00881061"/>
    <w:rsid w:val="008814BA"/>
    <w:rsid w:val="00881667"/>
    <w:rsid w:val="008818F8"/>
    <w:rsid w:val="008819DA"/>
    <w:rsid w:val="00881B43"/>
    <w:rsid w:val="0088204E"/>
    <w:rsid w:val="008821F9"/>
    <w:rsid w:val="00882269"/>
    <w:rsid w:val="00882501"/>
    <w:rsid w:val="00882931"/>
    <w:rsid w:val="00882AF8"/>
    <w:rsid w:val="00882F6E"/>
    <w:rsid w:val="00883080"/>
    <w:rsid w:val="00883144"/>
    <w:rsid w:val="0088317E"/>
    <w:rsid w:val="008832E3"/>
    <w:rsid w:val="008833F9"/>
    <w:rsid w:val="0088340E"/>
    <w:rsid w:val="008834AA"/>
    <w:rsid w:val="008835BE"/>
    <w:rsid w:val="008837B7"/>
    <w:rsid w:val="00883DE7"/>
    <w:rsid w:val="00884468"/>
    <w:rsid w:val="0088449F"/>
    <w:rsid w:val="008845FF"/>
    <w:rsid w:val="00884C2C"/>
    <w:rsid w:val="00884FEC"/>
    <w:rsid w:val="008853C4"/>
    <w:rsid w:val="0088554D"/>
    <w:rsid w:val="00885AE7"/>
    <w:rsid w:val="00885DF3"/>
    <w:rsid w:val="00885E1E"/>
    <w:rsid w:val="00886210"/>
    <w:rsid w:val="008863B1"/>
    <w:rsid w:val="00886523"/>
    <w:rsid w:val="0088671C"/>
    <w:rsid w:val="00886777"/>
    <w:rsid w:val="00886B6D"/>
    <w:rsid w:val="00886EE6"/>
    <w:rsid w:val="00887147"/>
    <w:rsid w:val="008872CE"/>
    <w:rsid w:val="00887401"/>
    <w:rsid w:val="00887A8B"/>
    <w:rsid w:val="00887BC0"/>
    <w:rsid w:val="00887D71"/>
    <w:rsid w:val="00887FAD"/>
    <w:rsid w:val="00890B02"/>
    <w:rsid w:val="00890FAF"/>
    <w:rsid w:val="00891067"/>
    <w:rsid w:val="00891195"/>
    <w:rsid w:val="00891277"/>
    <w:rsid w:val="00891508"/>
    <w:rsid w:val="008917DC"/>
    <w:rsid w:val="00891844"/>
    <w:rsid w:val="00891AB0"/>
    <w:rsid w:val="00891DD3"/>
    <w:rsid w:val="00891E69"/>
    <w:rsid w:val="00891FA0"/>
    <w:rsid w:val="00892210"/>
    <w:rsid w:val="008926DB"/>
    <w:rsid w:val="008927B4"/>
    <w:rsid w:val="008928F8"/>
    <w:rsid w:val="00892A89"/>
    <w:rsid w:val="00892BDB"/>
    <w:rsid w:val="00892CFF"/>
    <w:rsid w:val="00892DEC"/>
    <w:rsid w:val="00892F63"/>
    <w:rsid w:val="00893365"/>
    <w:rsid w:val="008933AA"/>
    <w:rsid w:val="008938B0"/>
    <w:rsid w:val="008939C8"/>
    <w:rsid w:val="00893B72"/>
    <w:rsid w:val="00893B77"/>
    <w:rsid w:val="00893DEE"/>
    <w:rsid w:val="00893DF0"/>
    <w:rsid w:val="00894019"/>
    <w:rsid w:val="008945C3"/>
    <w:rsid w:val="008945E6"/>
    <w:rsid w:val="008945FD"/>
    <w:rsid w:val="008946E2"/>
    <w:rsid w:val="008948B6"/>
    <w:rsid w:val="00894918"/>
    <w:rsid w:val="00894B07"/>
    <w:rsid w:val="00894CEA"/>
    <w:rsid w:val="00894E34"/>
    <w:rsid w:val="00894E77"/>
    <w:rsid w:val="00895026"/>
    <w:rsid w:val="00895294"/>
    <w:rsid w:val="008952E1"/>
    <w:rsid w:val="00895397"/>
    <w:rsid w:val="008953BC"/>
    <w:rsid w:val="0089541F"/>
    <w:rsid w:val="008954D2"/>
    <w:rsid w:val="008955A8"/>
    <w:rsid w:val="00895703"/>
    <w:rsid w:val="00895719"/>
    <w:rsid w:val="008958E9"/>
    <w:rsid w:val="00895AF9"/>
    <w:rsid w:val="00895BF0"/>
    <w:rsid w:val="00895CA0"/>
    <w:rsid w:val="00895D5E"/>
    <w:rsid w:val="00895DA2"/>
    <w:rsid w:val="00895ECE"/>
    <w:rsid w:val="0089604F"/>
    <w:rsid w:val="00896102"/>
    <w:rsid w:val="00896201"/>
    <w:rsid w:val="00896D7F"/>
    <w:rsid w:val="00896E60"/>
    <w:rsid w:val="00896ED7"/>
    <w:rsid w:val="00896F1B"/>
    <w:rsid w:val="00896FEF"/>
    <w:rsid w:val="0089740F"/>
    <w:rsid w:val="008974FD"/>
    <w:rsid w:val="008975BA"/>
    <w:rsid w:val="0089791B"/>
    <w:rsid w:val="00897933"/>
    <w:rsid w:val="0089795F"/>
    <w:rsid w:val="00897A0C"/>
    <w:rsid w:val="00897A1F"/>
    <w:rsid w:val="00897BF8"/>
    <w:rsid w:val="008A02EA"/>
    <w:rsid w:val="008A0400"/>
    <w:rsid w:val="008A07D9"/>
    <w:rsid w:val="008A092C"/>
    <w:rsid w:val="008A09B3"/>
    <w:rsid w:val="008A0AA8"/>
    <w:rsid w:val="008A11F5"/>
    <w:rsid w:val="008A13A4"/>
    <w:rsid w:val="008A1421"/>
    <w:rsid w:val="008A1492"/>
    <w:rsid w:val="008A1604"/>
    <w:rsid w:val="008A1674"/>
    <w:rsid w:val="008A19E2"/>
    <w:rsid w:val="008A1B0F"/>
    <w:rsid w:val="008A1B2A"/>
    <w:rsid w:val="008A1BF8"/>
    <w:rsid w:val="008A1DFC"/>
    <w:rsid w:val="008A1E04"/>
    <w:rsid w:val="008A1EF8"/>
    <w:rsid w:val="008A2160"/>
    <w:rsid w:val="008A230A"/>
    <w:rsid w:val="008A231A"/>
    <w:rsid w:val="008A264E"/>
    <w:rsid w:val="008A2806"/>
    <w:rsid w:val="008A288C"/>
    <w:rsid w:val="008A29D2"/>
    <w:rsid w:val="008A2BFA"/>
    <w:rsid w:val="008A2DB9"/>
    <w:rsid w:val="008A3061"/>
    <w:rsid w:val="008A30FE"/>
    <w:rsid w:val="008A35EE"/>
    <w:rsid w:val="008A364A"/>
    <w:rsid w:val="008A375A"/>
    <w:rsid w:val="008A39E9"/>
    <w:rsid w:val="008A3CC8"/>
    <w:rsid w:val="008A3D61"/>
    <w:rsid w:val="008A3E29"/>
    <w:rsid w:val="008A42EB"/>
    <w:rsid w:val="008A439F"/>
    <w:rsid w:val="008A4668"/>
    <w:rsid w:val="008A4A3B"/>
    <w:rsid w:val="008A4B7B"/>
    <w:rsid w:val="008A4BA4"/>
    <w:rsid w:val="008A4C91"/>
    <w:rsid w:val="008A519D"/>
    <w:rsid w:val="008A51F2"/>
    <w:rsid w:val="008A529A"/>
    <w:rsid w:val="008A5330"/>
    <w:rsid w:val="008A54BD"/>
    <w:rsid w:val="008A55AF"/>
    <w:rsid w:val="008A55B1"/>
    <w:rsid w:val="008A5629"/>
    <w:rsid w:val="008A56D9"/>
    <w:rsid w:val="008A59C6"/>
    <w:rsid w:val="008A5CEA"/>
    <w:rsid w:val="008A5DA1"/>
    <w:rsid w:val="008A5DCA"/>
    <w:rsid w:val="008A640F"/>
    <w:rsid w:val="008A6709"/>
    <w:rsid w:val="008A6761"/>
    <w:rsid w:val="008A6B6C"/>
    <w:rsid w:val="008A6E3E"/>
    <w:rsid w:val="008A71F7"/>
    <w:rsid w:val="008A734E"/>
    <w:rsid w:val="008A7413"/>
    <w:rsid w:val="008A7684"/>
    <w:rsid w:val="008A7805"/>
    <w:rsid w:val="008A7891"/>
    <w:rsid w:val="008A7A7F"/>
    <w:rsid w:val="008A7C58"/>
    <w:rsid w:val="008A7DBB"/>
    <w:rsid w:val="008A7FAD"/>
    <w:rsid w:val="008B00F7"/>
    <w:rsid w:val="008B0569"/>
    <w:rsid w:val="008B0A95"/>
    <w:rsid w:val="008B0D97"/>
    <w:rsid w:val="008B0E94"/>
    <w:rsid w:val="008B0ED0"/>
    <w:rsid w:val="008B0F03"/>
    <w:rsid w:val="008B13B7"/>
    <w:rsid w:val="008B1406"/>
    <w:rsid w:val="008B1432"/>
    <w:rsid w:val="008B1594"/>
    <w:rsid w:val="008B17AA"/>
    <w:rsid w:val="008B1B87"/>
    <w:rsid w:val="008B1E50"/>
    <w:rsid w:val="008B1F78"/>
    <w:rsid w:val="008B201A"/>
    <w:rsid w:val="008B2058"/>
    <w:rsid w:val="008B2568"/>
    <w:rsid w:val="008B2727"/>
    <w:rsid w:val="008B27A5"/>
    <w:rsid w:val="008B2C90"/>
    <w:rsid w:val="008B2DC8"/>
    <w:rsid w:val="008B2E4D"/>
    <w:rsid w:val="008B2EB4"/>
    <w:rsid w:val="008B2EBB"/>
    <w:rsid w:val="008B2ED0"/>
    <w:rsid w:val="008B2F77"/>
    <w:rsid w:val="008B3261"/>
    <w:rsid w:val="008B326C"/>
    <w:rsid w:val="008B338B"/>
    <w:rsid w:val="008B3755"/>
    <w:rsid w:val="008B3926"/>
    <w:rsid w:val="008B3969"/>
    <w:rsid w:val="008B40DD"/>
    <w:rsid w:val="008B4146"/>
    <w:rsid w:val="008B43C0"/>
    <w:rsid w:val="008B44A3"/>
    <w:rsid w:val="008B4573"/>
    <w:rsid w:val="008B4844"/>
    <w:rsid w:val="008B48CC"/>
    <w:rsid w:val="008B4B3F"/>
    <w:rsid w:val="008B4DF4"/>
    <w:rsid w:val="008B4EEA"/>
    <w:rsid w:val="008B5004"/>
    <w:rsid w:val="008B5080"/>
    <w:rsid w:val="008B5212"/>
    <w:rsid w:val="008B57DD"/>
    <w:rsid w:val="008B57F6"/>
    <w:rsid w:val="008B582D"/>
    <w:rsid w:val="008B5952"/>
    <w:rsid w:val="008B5B6B"/>
    <w:rsid w:val="008B5C50"/>
    <w:rsid w:val="008B5C97"/>
    <w:rsid w:val="008B5D85"/>
    <w:rsid w:val="008B608C"/>
    <w:rsid w:val="008B6131"/>
    <w:rsid w:val="008B6178"/>
    <w:rsid w:val="008B624B"/>
    <w:rsid w:val="008B6672"/>
    <w:rsid w:val="008B672E"/>
    <w:rsid w:val="008B68C8"/>
    <w:rsid w:val="008B68F4"/>
    <w:rsid w:val="008B6BB0"/>
    <w:rsid w:val="008B6BEF"/>
    <w:rsid w:val="008B6CA6"/>
    <w:rsid w:val="008B6CF1"/>
    <w:rsid w:val="008B728D"/>
    <w:rsid w:val="008B7957"/>
    <w:rsid w:val="008B796E"/>
    <w:rsid w:val="008B7AF9"/>
    <w:rsid w:val="008B7C0C"/>
    <w:rsid w:val="008B7D67"/>
    <w:rsid w:val="008C012C"/>
    <w:rsid w:val="008C0290"/>
    <w:rsid w:val="008C0610"/>
    <w:rsid w:val="008C0830"/>
    <w:rsid w:val="008C08B0"/>
    <w:rsid w:val="008C0A66"/>
    <w:rsid w:val="008C0B6B"/>
    <w:rsid w:val="008C0F1C"/>
    <w:rsid w:val="008C1821"/>
    <w:rsid w:val="008C1991"/>
    <w:rsid w:val="008C1B39"/>
    <w:rsid w:val="008C1FD4"/>
    <w:rsid w:val="008C1FFE"/>
    <w:rsid w:val="008C2271"/>
    <w:rsid w:val="008C231C"/>
    <w:rsid w:val="008C25F3"/>
    <w:rsid w:val="008C272D"/>
    <w:rsid w:val="008C27CF"/>
    <w:rsid w:val="008C2A9B"/>
    <w:rsid w:val="008C2E12"/>
    <w:rsid w:val="008C316C"/>
    <w:rsid w:val="008C328D"/>
    <w:rsid w:val="008C3365"/>
    <w:rsid w:val="008C33CA"/>
    <w:rsid w:val="008C34FE"/>
    <w:rsid w:val="008C36A2"/>
    <w:rsid w:val="008C3849"/>
    <w:rsid w:val="008C3874"/>
    <w:rsid w:val="008C3914"/>
    <w:rsid w:val="008C39BF"/>
    <w:rsid w:val="008C39D2"/>
    <w:rsid w:val="008C3A72"/>
    <w:rsid w:val="008C3AA0"/>
    <w:rsid w:val="008C3DDE"/>
    <w:rsid w:val="008C3E5E"/>
    <w:rsid w:val="008C4197"/>
    <w:rsid w:val="008C44BD"/>
    <w:rsid w:val="008C44CF"/>
    <w:rsid w:val="008C4582"/>
    <w:rsid w:val="008C4760"/>
    <w:rsid w:val="008C4ADA"/>
    <w:rsid w:val="008C4C0E"/>
    <w:rsid w:val="008C4F5F"/>
    <w:rsid w:val="008C5052"/>
    <w:rsid w:val="008C5253"/>
    <w:rsid w:val="008C539B"/>
    <w:rsid w:val="008C5543"/>
    <w:rsid w:val="008C58C5"/>
    <w:rsid w:val="008C5957"/>
    <w:rsid w:val="008C59DB"/>
    <w:rsid w:val="008C5D68"/>
    <w:rsid w:val="008C608D"/>
    <w:rsid w:val="008C60BC"/>
    <w:rsid w:val="008C60E1"/>
    <w:rsid w:val="008C6171"/>
    <w:rsid w:val="008C61F6"/>
    <w:rsid w:val="008C657F"/>
    <w:rsid w:val="008C66B2"/>
    <w:rsid w:val="008C6765"/>
    <w:rsid w:val="008C688F"/>
    <w:rsid w:val="008C68EF"/>
    <w:rsid w:val="008C6D2E"/>
    <w:rsid w:val="008C6EBB"/>
    <w:rsid w:val="008C72A1"/>
    <w:rsid w:val="008C73B4"/>
    <w:rsid w:val="008C73E9"/>
    <w:rsid w:val="008C7686"/>
    <w:rsid w:val="008C77C3"/>
    <w:rsid w:val="008C786B"/>
    <w:rsid w:val="008C7C23"/>
    <w:rsid w:val="008D008C"/>
    <w:rsid w:val="008D00F7"/>
    <w:rsid w:val="008D0128"/>
    <w:rsid w:val="008D03D7"/>
    <w:rsid w:val="008D048B"/>
    <w:rsid w:val="008D0530"/>
    <w:rsid w:val="008D0569"/>
    <w:rsid w:val="008D08A4"/>
    <w:rsid w:val="008D099D"/>
    <w:rsid w:val="008D099E"/>
    <w:rsid w:val="008D0C60"/>
    <w:rsid w:val="008D0D86"/>
    <w:rsid w:val="008D0EB9"/>
    <w:rsid w:val="008D10D7"/>
    <w:rsid w:val="008D10E9"/>
    <w:rsid w:val="008D115A"/>
    <w:rsid w:val="008D1374"/>
    <w:rsid w:val="008D1402"/>
    <w:rsid w:val="008D1409"/>
    <w:rsid w:val="008D1476"/>
    <w:rsid w:val="008D19EF"/>
    <w:rsid w:val="008D1A08"/>
    <w:rsid w:val="008D1B9A"/>
    <w:rsid w:val="008D1FE8"/>
    <w:rsid w:val="008D2022"/>
    <w:rsid w:val="008D2116"/>
    <w:rsid w:val="008D21EB"/>
    <w:rsid w:val="008D2217"/>
    <w:rsid w:val="008D2571"/>
    <w:rsid w:val="008D292F"/>
    <w:rsid w:val="008D29F1"/>
    <w:rsid w:val="008D2B05"/>
    <w:rsid w:val="008D2BB9"/>
    <w:rsid w:val="008D2C32"/>
    <w:rsid w:val="008D2FEF"/>
    <w:rsid w:val="008D356B"/>
    <w:rsid w:val="008D3582"/>
    <w:rsid w:val="008D3B18"/>
    <w:rsid w:val="008D3C07"/>
    <w:rsid w:val="008D3D3A"/>
    <w:rsid w:val="008D3DD3"/>
    <w:rsid w:val="008D3E50"/>
    <w:rsid w:val="008D4077"/>
    <w:rsid w:val="008D413E"/>
    <w:rsid w:val="008D439F"/>
    <w:rsid w:val="008D4797"/>
    <w:rsid w:val="008D4914"/>
    <w:rsid w:val="008D499F"/>
    <w:rsid w:val="008D4A6F"/>
    <w:rsid w:val="008D4E33"/>
    <w:rsid w:val="008D50F1"/>
    <w:rsid w:val="008D52D8"/>
    <w:rsid w:val="008D5406"/>
    <w:rsid w:val="008D55ED"/>
    <w:rsid w:val="008D5BD5"/>
    <w:rsid w:val="008D683A"/>
    <w:rsid w:val="008D686B"/>
    <w:rsid w:val="008D69D1"/>
    <w:rsid w:val="008D6C32"/>
    <w:rsid w:val="008D6CE1"/>
    <w:rsid w:val="008D6E5F"/>
    <w:rsid w:val="008D70FA"/>
    <w:rsid w:val="008D7368"/>
    <w:rsid w:val="008D7505"/>
    <w:rsid w:val="008D759E"/>
    <w:rsid w:val="008D77FF"/>
    <w:rsid w:val="008D79DC"/>
    <w:rsid w:val="008D7A1C"/>
    <w:rsid w:val="008E04C3"/>
    <w:rsid w:val="008E051E"/>
    <w:rsid w:val="008E056B"/>
    <w:rsid w:val="008E0747"/>
    <w:rsid w:val="008E0778"/>
    <w:rsid w:val="008E078F"/>
    <w:rsid w:val="008E0B0A"/>
    <w:rsid w:val="008E0B5D"/>
    <w:rsid w:val="008E0CE9"/>
    <w:rsid w:val="008E0E8E"/>
    <w:rsid w:val="008E0F12"/>
    <w:rsid w:val="008E0F93"/>
    <w:rsid w:val="008E15CB"/>
    <w:rsid w:val="008E1773"/>
    <w:rsid w:val="008E17B5"/>
    <w:rsid w:val="008E1816"/>
    <w:rsid w:val="008E1A46"/>
    <w:rsid w:val="008E1C1F"/>
    <w:rsid w:val="008E1D18"/>
    <w:rsid w:val="008E1D75"/>
    <w:rsid w:val="008E275A"/>
    <w:rsid w:val="008E291A"/>
    <w:rsid w:val="008E29E6"/>
    <w:rsid w:val="008E2EDF"/>
    <w:rsid w:val="008E2FDE"/>
    <w:rsid w:val="008E31AE"/>
    <w:rsid w:val="008E336A"/>
    <w:rsid w:val="008E368B"/>
    <w:rsid w:val="008E36EE"/>
    <w:rsid w:val="008E38E3"/>
    <w:rsid w:val="008E3963"/>
    <w:rsid w:val="008E39FB"/>
    <w:rsid w:val="008E3C39"/>
    <w:rsid w:val="008E3C73"/>
    <w:rsid w:val="008E3E28"/>
    <w:rsid w:val="008E4021"/>
    <w:rsid w:val="008E413E"/>
    <w:rsid w:val="008E4476"/>
    <w:rsid w:val="008E4519"/>
    <w:rsid w:val="008E473B"/>
    <w:rsid w:val="008E478A"/>
    <w:rsid w:val="008E4CB3"/>
    <w:rsid w:val="008E4D94"/>
    <w:rsid w:val="008E4DBB"/>
    <w:rsid w:val="008E4E19"/>
    <w:rsid w:val="008E4E94"/>
    <w:rsid w:val="008E57C1"/>
    <w:rsid w:val="008E58BB"/>
    <w:rsid w:val="008E5984"/>
    <w:rsid w:val="008E5A7D"/>
    <w:rsid w:val="008E5C5E"/>
    <w:rsid w:val="008E5CB2"/>
    <w:rsid w:val="008E5CDB"/>
    <w:rsid w:val="008E5E4C"/>
    <w:rsid w:val="008E6359"/>
    <w:rsid w:val="008E64A4"/>
    <w:rsid w:val="008E64AB"/>
    <w:rsid w:val="008E6701"/>
    <w:rsid w:val="008E6840"/>
    <w:rsid w:val="008E688F"/>
    <w:rsid w:val="008E693D"/>
    <w:rsid w:val="008E6CBB"/>
    <w:rsid w:val="008E6DFE"/>
    <w:rsid w:val="008E6E61"/>
    <w:rsid w:val="008E71C2"/>
    <w:rsid w:val="008E744F"/>
    <w:rsid w:val="008E77A9"/>
    <w:rsid w:val="008E79D7"/>
    <w:rsid w:val="008E7B2D"/>
    <w:rsid w:val="008E7D1E"/>
    <w:rsid w:val="008E7D5F"/>
    <w:rsid w:val="008E7E25"/>
    <w:rsid w:val="008E7F24"/>
    <w:rsid w:val="008F00A8"/>
    <w:rsid w:val="008F022C"/>
    <w:rsid w:val="008F073D"/>
    <w:rsid w:val="008F0929"/>
    <w:rsid w:val="008F0995"/>
    <w:rsid w:val="008F09F7"/>
    <w:rsid w:val="008F0A21"/>
    <w:rsid w:val="008F0DC8"/>
    <w:rsid w:val="008F0DF9"/>
    <w:rsid w:val="008F0ED8"/>
    <w:rsid w:val="008F126A"/>
    <w:rsid w:val="008F1437"/>
    <w:rsid w:val="008F1645"/>
    <w:rsid w:val="008F19CA"/>
    <w:rsid w:val="008F1B98"/>
    <w:rsid w:val="008F1BA9"/>
    <w:rsid w:val="008F1D06"/>
    <w:rsid w:val="008F1DD9"/>
    <w:rsid w:val="008F1E52"/>
    <w:rsid w:val="008F21D6"/>
    <w:rsid w:val="008F21E2"/>
    <w:rsid w:val="008F2837"/>
    <w:rsid w:val="008F292E"/>
    <w:rsid w:val="008F2B68"/>
    <w:rsid w:val="008F30E0"/>
    <w:rsid w:val="008F31D5"/>
    <w:rsid w:val="008F3209"/>
    <w:rsid w:val="008F3303"/>
    <w:rsid w:val="008F36EE"/>
    <w:rsid w:val="008F38AA"/>
    <w:rsid w:val="008F39D3"/>
    <w:rsid w:val="008F3B0F"/>
    <w:rsid w:val="008F3D5C"/>
    <w:rsid w:val="008F3D8A"/>
    <w:rsid w:val="008F416A"/>
    <w:rsid w:val="008F4294"/>
    <w:rsid w:val="008F4439"/>
    <w:rsid w:val="008F460D"/>
    <w:rsid w:val="008F46A7"/>
    <w:rsid w:val="008F4815"/>
    <w:rsid w:val="008F4AF4"/>
    <w:rsid w:val="008F4C51"/>
    <w:rsid w:val="008F4E87"/>
    <w:rsid w:val="008F5215"/>
    <w:rsid w:val="008F5496"/>
    <w:rsid w:val="008F54DD"/>
    <w:rsid w:val="008F5B33"/>
    <w:rsid w:val="008F5ECB"/>
    <w:rsid w:val="008F5F55"/>
    <w:rsid w:val="008F61A5"/>
    <w:rsid w:val="008F6885"/>
    <w:rsid w:val="008F688D"/>
    <w:rsid w:val="008F6890"/>
    <w:rsid w:val="008F6CCA"/>
    <w:rsid w:val="008F7023"/>
    <w:rsid w:val="008F7083"/>
    <w:rsid w:val="008F70EE"/>
    <w:rsid w:val="008F71CC"/>
    <w:rsid w:val="008F73DD"/>
    <w:rsid w:val="008F74BE"/>
    <w:rsid w:val="008F7522"/>
    <w:rsid w:val="008F77E7"/>
    <w:rsid w:val="008F7BC2"/>
    <w:rsid w:val="008F7DB8"/>
    <w:rsid w:val="008F7DCB"/>
    <w:rsid w:val="008F7F8E"/>
    <w:rsid w:val="00900105"/>
    <w:rsid w:val="009003EF"/>
    <w:rsid w:val="00900415"/>
    <w:rsid w:val="00900419"/>
    <w:rsid w:val="009004BF"/>
    <w:rsid w:val="009006A9"/>
    <w:rsid w:val="00901005"/>
    <w:rsid w:val="009013BD"/>
    <w:rsid w:val="00901483"/>
    <w:rsid w:val="00901774"/>
    <w:rsid w:val="00901A2A"/>
    <w:rsid w:val="00901A98"/>
    <w:rsid w:val="00901AC7"/>
    <w:rsid w:val="00901C42"/>
    <w:rsid w:val="00901CD4"/>
    <w:rsid w:val="0090206D"/>
    <w:rsid w:val="0090227E"/>
    <w:rsid w:val="009022CF"/>
    <w:rsid w:val="00902468"/>
    <w:rsid w:val="0090252D"/>
    <w:rsid w:val="0090271C"/>
    <w:rsid w:val="00902822"/>
    <w:rsid w:val="00902853"/>
    <w:rsid w:val="00902974"/>
    <w:rsid w:val="00902CB2"/>
    <w:rsid w:val="00902CC7"/>
    <w:rsid w:val="00902F19"/>
    <w:rsid w:val="00903784"/>
    <w:rsid w:val="009038F8"/>
    <w:rsid w:val="0090399C"/>
    <w:rsid w:val="00903A04"/>
    <w:rsid w:val="00903AB7"/>
    <w:rsid w:val="00903B53"/>
    <w:rsid w:val="00903E69"/>
    <w:rsid w:val="00903F5E"/>
    <w:rsid w:val="00904025"/>
    <w:rsid w:val="0090417E"/>
    <w:rsid w:val="009041FD"/>
    <w:rsid w:val="009042F9"/>
    <w:rsid w:val="009044E4"/>
    <w:rsid w:val="00904542"/>
    <w:rsid w:val="009046BF"/>
    <w:rsid w:val="00904721"/>
    <w:rsid w:val="0090478F"/>
    <w:rsid w:val="00904A7E"/>
    <w:rsid w:val="00904E3C"/>
    <w:rsid w:val="00904F1D"/>
    <w:rsid w:val="0090528B"/>
    <w:rsid w:val="009057AF"/>
    <w:rsid w:val="009057B1"/>
    <w:rsid w:val="009059F7"/>
    <w:rsid w:val="00905B4D"/>
    <w:rsid w:val="0090604C"/>
    <w:rsid w:val="009063D8"/>
    <w:rsid w:val="0090661A"/>
    <w:rsid w:val="0090669F"/>
    <w:rsid w:val="00906807"/>
    <w:rsid w:val="00906999"/>
    <w:rsid w:val="009069C0"/>
    <w:rsid w:val="00906B25"/>
    <w:rsid w:val="00906DA3"/>
    <w:rsid w:val="00906DB3"/>
    <w:rsid w:val="00906DD3"/>
    <w:rsid w:val="00906EDA"/>
    <w:rsid w:val="00906F3B"/>
    <w:rsid w:val="00907229"/>
    <w:rsid w:val="00907439"/>
    <w:rsid w:val="009077BC"/>
    <w:rsid w:val="00907833"/>
    <w:rsid w:val="0090796C"/>
    <w:rsid w:val="00907A38"/>
    <w:rsid w:val="00907C11"/>
    <w:rsid w:val="00907DC9"/>
    <w:rsid w:val="0091033C"/>
    <w:rsid w:val="0091081F"/>
    <w:rsid w:val="009109E2"/>
    <w:rsid w:val="00910A32"/>
    <w:rsid w:val="00910B05"/>
    <w:rsid w:val="00910B89"/>
    <w:rsid w:val="00910CF1"/>
    <w:rsid w:val="00910E74"/>
    <w:rsid w:val="00910EB0"/>
    <w:rsid w:val="00910F3A"/>
    <w:rsid w:val="00910FF4"/>
    <w:rsid w:val="00911359"/>
    <w:rsid w:val="00911495"/>
    <w:rsid w:val="009115D6"/>
    <w:rsid w:val="0091160F"/>
    <w:rsid w:val="00911614"/>
    <w:rsid w:val="009116A1"/>
    <w:rsid w:val="00911862"/>
    <w:rsid w:val="00911B0A"/>
    <w:rsid w:val="00911E68"/>
    <w:rsid w:val="00911F97"/>
    <w:rsid w:val="00912507"/>
    <w:rsid w:val="00912786"/>
    <w:rsid w:val="009127D2"/>
    <w:rsid w:val="009127EC"/>
    <w:rsid w:val="00912BAE"/>
    <w:rsid w:val="00912E9F"/>
    <w:rsid w:val="00912EBE"/>
    <w:rsid w:val="00913190"/>
    <w:rsid w:val="009131DB"/>
    <w:rsid w:val="0091328C"/>
    <w:rsid w:val="009134BD"/>
    <w:rsid w:val="00913614"/>
    <w:rsid w:val="00913A92"/>
    <w:rsid w:val="00913B4D"/>
    <w:rsid w:val="00913B79"/>
    <w:rsid w:val="00913DF6"/>
    <w:rsid w:val="00913E37"/>
    <w:rsid w:val="00913E74"/>
    <w:rsid w:val="00913EA1"/>
    <w:rsid w:val="00913F0B"/>
    <w:rsid w:val="009142F8"/>
    <w:rsid w:val="00914505"/>
    <w:rsid w:val="00914513"/>
    <w:rsid w:val="0091464A"/>
    <w:rsid w:val="009146F4"/>
    <w:rsid w:val="00914758"/>
    <w:rsid w:val="0091479C"/>
    <w:rsid w:val="009147AF"/>
    <w:rsid w:val="009147E3"/>
    <w:rsid w:val="009148DF"/>
    <w:rsid w:val="009149E1"/>
    <w:rsid w:val="00914D8F"/>
    <w:rsid w:val="00914E85"/>
    <w:rsid w:val="00915167"/>
    <w:rsid w:val="00915290"/>
    <w:rsid w:val="009156E2"/>
    <w:rsid w:val="009157AE"/>
    <w:rsid w:val="009158A6"/>
    <w:rsid w:val="00915A0A"/>
    <w:rsid w:val="00915A9C"/>
    <w:rsid w:val="00915B7F"/>
    <w:rsid w:val="00915F05"/>
    <w:rsid w:val="00915F58"/>
    <w:rsid w:val="00915FE5"/>
    <w:rsid w:val="00916551"/>
    <w:rsid w:val="0091682B"/>
    <w:rsid w:val="00916AA4"/>
    <w:rsid w:val="00916AC5"/>
    <w:rsid w:val="00916AFB"/>
    <w:rsid w:val="00916BB7"/>
    <w:rsid w:val="0091723F"/>
    <w:rsid w:val="00917AEC"/>
    <w:rsid w:val="00920027"/>
    <w:rsid w:val="009200DE"/>
    <w:rsid w:val="0092017E"/>
    <w:rsid w:val="0092053B"/>
    <w:rsid w:val="00920566"/>
    <w:rsid w:val="00920567"/>
    <w:rsid w:val="00920575"/>
    <w:rsid w:val="00920932"/>
    <w:rsid w:val="009209DB"/>
    <w:rsid w:val="00920B81"/>
    <w:rsid w:val="00920BCA"/>
    <w:rsid w:val="00920BDC"/>
    <w:rsid w:val="00920C27"/>
    <w:rsid w:val="00920C2E"/>
    <w:rsid w:val="00920D70"/>
    <w:rsid w:val="00920E4F"/>
    <w:rsid w:val="00920FD8"/>
    <w:rsid w:val="00920FF7"/>
    <w:rsid w:val="009210AA"/>
    <w:rsid w:val="009210E3"/>
    <w:rsid w:val="009211DF"/>
    <w:rsid w:val="009212C0"/>
    <w:rsid w:val="00921505"/>
    <w:rsid w:val="0092177C"/>
    <w:rsid w:val="009217FC"/>
    <w:rsid w:val="0092195E"/>
    <w:rsid w:val="00921B0F"/>
    <w:rsid w:val="00921CDD"/>
    <w:rsid w:val="00921D53"/>
    <w:rsid w:val="00921DCB"/>
    <w:rsid w:val="009223FA"/>
    <w:rsid w:val="009226EB"/>
    <w:rsid w:val="0092271C"/>
    <w:rsid w:val="00922BA6"/>
    <w:rsid w:val="00922CA8"/>
    <w:rsid w:val="00922E80"/>
    <w:rsid w:val="00922EFB"/>
    <w:rsid w:val="0092318A"/>
    <w:rsid w:val="0092382C"/>
    <w:rsid w:val="00923830"/>
    <w:rsid w:val="00923A5C"/>
    <w:rsid w:val="00923C15"/>
    <w:rsid w:val="00923FAC"/>
    <w:rsid w:val="0092433D"/>
    <w:rsid w:val="00924556"/>
    <w:rsid w:val="00924770"/>
    <w:rsid w:val="0092496B"/>
    <w:rsid w:val="00924E08"/>
    <w:rsid w:val="00924E29"/>
    <w:rsid w:val="00924F66"/>
    <w:rsid w:val="009252DC"/>
    <w:rsid w:val="009252F6"/>
    <w:rsid w:val="0092530F"/>
    <w:rsid w:val="009255E2"/>
    <w:rsid w:val="0092571F"/>
    <w:rsid w:val="00925CC1"/>
    <w:rsid w:val="00925E14"/>
    <w:rsid w:val="00925E15"/>
    <w:rsid w:val="00925E88"/>
    <w:rsid w:val="00925EA8"/>
    <w:rsid w:val="00926080"/>
    <w:rsid w:val="009260D3"/>
    <w:rsid w:val="0092612D"/>
    <w:rsid w:val="00926189"/>
    <w:rsid w:val="009261A0"/>
    <w:rsid w:val="009261AD"/>
    <w:rsid w:val="009261B1"/>
    <w:rsid w:val="00926275"/>
    <w:rsid w:val="009262E5"/>
    <w:rsid w:val="009262F7"/>
    <w:rsid w:val="009263A5"/>
    <w:rsid w:val="00926588"/>
    <w:rsid w:val="0092674C"/>
    <w:rsid w:val="0092685A"/>
    <w:rsid w:val="009268AD"/>
    <w:rsid w:val="009268AF"/>
    <w:rsid w:val="00926B90"/>
    <w:rsid w:val="00926C07"/>
    <w:rsid w:val="00926D91"/>
    <w:rsid w:val="00926DE6"/>
    <w:rsid w:val="0092710B"/>
    <w:rsid w:val="00927366"/>
    <w:rsid w:val="009274F0"/>
    <w:rsid w:val="00927594"/>
    <w:rsid w:val="00927B10"/>
    <w:rsid w:val="00927E21"/>
    <w:rsid w:val="0093032B"/>
    <w:rsid w:val="00930D41"/>
    <w:rsid w:val="00930ED8"/>
    <w:rsid w:val="00931068"/>
    <w:rsid w:val="009311B3"/>
    <w:rsid w:val="009312C2"/>
    <w:rsid w:val="009312F2"/>
    <w:rsid w:val="00931415"/>
    <w:rsid w:val="009314BC"/>
    <w:rsid w:val="009315B5"/>
    <w:rsid w:val="0093169F"/>
    <w:rsid w:val="009316F8"/>
    <w:rsid w:val="009317AF"/>
    <w:rsid w:val="009318B9"/>
    <w:rsid w:val="00931921"/>
    <w:rsid w:val="00931CD5"/>
    <w:rsid w:val="00931DC2"/>
    <w:rsid w:val="00931EB7"/>
    <w:rsid w:val="00932174"/>
    <w:rsid w:val="009321FB"/>
    <w:rsid w:val="009322B4"/>
    <w:rsid w:val="0093253D"/>
    <w:rsid w:val="00932949"/>
    <w:rsid w:val="00932999"/>
    <w:rsid w:val="009329CD"/>
    <w:rsid w:val="00932A14"/>
    <w:rsid w:val="00932E5D"/>
    <w:rsid w:val="00932F5F"/>
    <w:rsid w:val="009336F4"/>
    <w:rsid w:val="00933C38"/>
    <w:rsid w:val="00933E6D"/>
    <w:rsid w:val="00933EE3"/>
    <w:rsid w:val="009341A5"/>
    <w:rsid w:val="00934267"/>
    <w:rsid w:val="00934429"/>
    <w:rsid w:val="0093445A"/>
    <w:rsid w:val="0093453E"/>
    <w:rsid w:val="009348BF"/>
    <w:rsid w:val="009348CA"/>
    <w:rsid w:val="00934CF8"/>
    <w:rsid w:val="0093523F"/>
    <w:rsid w:val="009353F4"/>
    <w:rsid w:val="009355DF"/>
    <w:rsid w:val="009358A3"/>
    <w:rsid w:val="00935A5A"/>
    <w:rsid w:val="00935B87"/>
    <w:rsid w:val="00935B92"/>
    <w:rsid w:val="00935F41"/>
    <w:rsid w:val="00936079"/>
    <w:rsid w:val="009369F7"/>
    <w:rsid w:val="00936C18"/>
    <w:rsid w:val="00936CCC"/>
    <w:rsid w:val="00936E1B"/>
    <w:rsid w:val="00936EC9"/>
    <w:rsid w:val="00937188"/>
    <w:rsid w:val="00937256"/>
    <w:rsid w:val="0093742C"/>
    <w:rsid w:val="00937542"/>
    <w:rsid w:val="009378DE"/>
    <w:rsid w:val="009379C5"/>
    <w:rsid w:val="00937C42"/>
    <w:rsid w:val="00937C73"/>
    <w:rsid w:val="00937D0C"/>
    <w:rsid w:val="00937D9F"/>
    <w:rsid w:val="00937E29"/>
    <w:rsid w:val="00937EFC"/>
    <w:rsid w:val="009400E2"/>
    <w:rsid w:val="0094025A"/>
    <w:rsid w:val="009406E4"/>
    <w:rsid w:val="00940712"/>
    <w:rsid w:val="0094099B"/>
    <w:rsid w:val="00940B78"/>
    <w:rsid w:val="009415C7"/>
    <w:rsid w:val="009419E9"/>
    <w:rsid w:val="00941BCA"/>
    <w:rsid w:val="00941E6E"/>
    <w:rsid w:val="009422AE"/>
    <w:rsid w:val="00942403"/>
    <w:rsid w:val="00942696"/>
    <w:rsid w:val="00942A4B"/>
    <w:rsid w:val="00942EC1"/>
    <w:rsid w:val="00942EC6"/>
    <w:rsid w:val="00942ED5"/>
    <w:rsid w:val="00943084"/>
    <w:rsid w:val="009432AC"/>
    <w:rsid w:val="009436C4"/>
    <w:rsid w:val="009438EA"/>
    <w:rsid w:val="00943AC8"/>
    <w:rsid w:val="00943B38"/>
    <w:rsid w:val="00943DDB"/>
    <w:rsid w:val="00943E85"/>
    <w:rsid w:val="00943F4B"/>
    <w:rsid w:val="00944207"/>
    <w:rsid w:val="00944672"/>
    <w:rsid w:val="009448AC"/>
    <w:rsid w:val="00944951"/>
    <w:rsid w:val="009449AF"/>
    <w:rsid w:val="009449F9"/>
    <w:rsid w:val="00944C1E"/>
    <w:rsid w:val="00944C88"/>
    <w:rsid w:val="00944ED2"/>
    <w:rsid w:val="0094577F"/>
    <w:rsid w:val="00945842"/>
    <w:rsid w:val="009459D1"/>
    <w:rsid w:val="00945A52"/>
    <w:rsid w:val="00945AE5"/>
    <w:rsid w:val="00945EF9"/>
    <w:rsid w:val="00945F19"/>
    <w:rsid w:val="00945FA3"/>
    <w:rsid w:val="00946222"/>
    <w:rsid w:val="0094640F"/>
    <w:rsid w:val="00946B21"/>
    <w:rsid w:val="00946B54"/>
    <w:rsid w:val="00946C21"/>
    <w:rsid w:val="00947126"/>
    <w:rsid w:val="0094718A"/>
    <w:rsid w:val="009474E4"/>
    <w:rsid w:val="00947921"/>
    <w:rsid w:val="00947970"/>
    <w:rsid w:val="00947B03"/>
    <w:rsid w:val="00947B0A"/>
    <w:rsid w:val="00947BCE"/>
    <w:rsid w:val="0095004D"/>
    <w:rsid w:val="00950064"/>
    <w:rsid w:val="0095012B"/>
    <w:rsid w:val="0095022B"/>
    <w:rsid w:val="009502FA"/>
    <w:rsid w:val="00950565"/>
    <w:rsid w:val="009507AB"/>
    <w:rsid w:val="009508EE"/>
    <w:rsid w:val="00950924"/>
    <w:rsid w:val="00950EF1"/>
    <w:rsid w:val="00950F56"/>
    <w:rsid w:val="009512B1"/>
    <w:rsid w:val="00951407"/>
    <w:rsid w:val="00951846"/>
    <w:rsid w:val="00951CEE"/>
    <w:rsid w:val="0095255F"/>
    <w:rsid w:val="00952676"/>
    <w:rsid w:val="009526E1"/>
    <w:rsid w:val="009527F2"/>
    <w:rsid w:val="00952F30"/>
    <w:rsid w:val="00952FD8"/>
    <w:rsid w:val="009535E2"/>
    <w:rsid w:val="009538B7"/>
    <w:rsid w:val="00953E21"/>
    <w:rsid w:val="0095400B"/>
    <w:rsid w:val="0095430A"/>
    <w:rsid w:val="0095434C"/>
    <w:rsid w:val="00954464"/>
    <w:rsid w:val="00954D0F"/>
    <w:rsid w:val="00954EC2"/>
    <w:rsid w:val="00954F1D"/>
    <w:rsid w:val="00954F96"/>
    <w:rsid w:val="009550C9"/>
    <w:rsid w:val="0095588E"/>
    <w:rsid w:val="00955C8F"/>
    <w:rsid w:val="00955D69"/>
    <w:rsid w:val="00955DA5"/>
    <w:rsid w:val="00955E96"/>
    <w:rsid w:val="00955F82"/>
    <w:rsid w:val="00955FA9"/>
    <w:rsid w:val="00956066"/>
    <w:rsid w:val="009560DC"/>
    <w:rsid w:val="00956226"/>
    <w:rsid w:val="00956249"/>
    <w:rsid w:val="00956291"/>
    <w:rsid w:val="009563B8"/>
    <w:rsid w:val="0095640F"/>
    <w:rsid w:val="009564D2"/>
    <w:rsid w:val="0095650B"/>
    <w:rsid w:val="00956608"/>
    <w:rsid w:val="0095668C"/>
    <w:rsid w:val="0095679D"/>
    <w:rsid w:val="00956A4C"/>
    <w:rsid w:val="00956B70"/>
    <w:rsid w:val="00956BD9"/>
    <w:rsid w:val="00956BDB"/>
    <w:rsid w:val="00956CEB"/>
    <w:rsid w:val="00956D6F"/>
    <w:rsid w:val="00956F0F"/>
    <w:rsid w:val="0095700A"/>
    <w:rsid w:val="00957079"/>
    <w:rsid w:val="00957166"/>
    <w:rsid w:val="0095720C"/>
    <w:rsid w:val="00957304"/>
    <w:rsid w:val="0095732C"/>
    <w:rsid w:val="00957353"/>
    <w:rsid w:val="0095743C"/>
    <w:rsid w:val="00957483"/>
    <w:rsid w:val="0095756D"/>
    <w:rsid w:val="0095762A"/>
    <w:rsid w:val="009576B7"/>
    <w:rsid w:val="00957979"/>
    <w:rsid w:val="00957CAF"/>
    <w:rsid w:val="00957D09"/>
    <w:rsid w:val="00957F42"/>
    <w:rsid w:val="00957F5B"/>
    <w:rsid w:val="00957FBC"/>
    <w:rsid w:val="0096001E"/>
    <w:rsid w:val="00960723"/>
    <w:rsid w:val="00960806"/>
    <w:rsid w:val="00960924"/>
    <w:rsid w:val="009609E2"/>
    <w:rsid w:val="00960A18"/>
    <w:rsid w:val="00960ADD"/>
    <w:rsid w:val="00960C33"/>
    <w:rsid w:val="00960D6D"/>
    <w:rsid w:val="00960EC9"/>
    <w:rsid w:val="00961177"/>
    <w:rsid w:val="009611FF"/>
    <w:rsid w:val="009612C6"/>
    <w:rsid w:val="009614C4"/>
    <w:rsid w:val="0096169C"/>
    <w:rsid w:val="009616C3"/>
    <w:rsid w:val="00961ABA"/>
    <w:rsid w:val="00961EAF"/>
    <w:rsid w:val="0096204E"/>
    <w:rsid w:val="0096216F"/>
    <w:rsid w:val="00962496"/>
    <w:rsid w:val="0096275F"/>
    <w:rsid w:val="00962822"/>
    <w:rsid w:val="009629B7"/>
    <w:rsid w:val="009629C8"/>
    <w:rsid w:val="00962BAC"/>
    <w:rsid w:val="00962EE7"/>
    <w:rsid w:val="00962FEF"/>
    <w:rsid w:val="0096301C"/>
    <w:rsid w:val="00963698"/>
    <w:rsid w:val="00963811"/>
    <w:rsid w:val="00963980"/>
    <w:rsid w:val="00963E50"/>
    <w:rsid w:val="0096408E"/>
    <w:rsid w:val="0096416C"/>
    <w:rsid w:val="00964186"/>
    <w:rsid w:val="0096434A"/>
    <w:rsid w:val="00964466"/>
    <w:rsid w:val="00964735"/>
    <w:rsid w:val="00964769"/>
    <w:rsid w:val="009648EB"/>
    <w:rsid w:val="00964950"/>
    <w:rsid w:val="00964A12"/>
    <w:rsid w:val="00964B72"/>
    <w:rsid w:val="00964C5E"/>
    <w:rsid w:val="00964CC0"/>
    <w:rsid w:val="00964E33"/>
    <w:rsid w:val="00965321"/>
    <w:rsid w:val="00965398"/>
    <w:rsid w:val="0096583C"/>
    <w:rsid w:val="0096588F"/>
    <w:rsid w:val="00965C24"/>
    <w:rsid w:val="00965C96"/>
    <w:rsid w:val="0096601F"/>
    <w:rsid w:val="0096619A"/>
    <w:rsid w:val="009665F4"/>
    <w:rsid w:val="0096690D"/>
    <w:rsid w:val="00966A51"/>
    <w:rsid w:val="00966ADC"/>
    <w:rsid w:val="00966C96"/>
    <w:rsid w:val="00967580"/>
    <w:rsid w:val="00967582"/>
    <w:rsid w:val="009678F9"/>
    <w:rsid w:val="00967B64"/>
    <w:rsid w:val="00967CE7"/>
    <w:rsid w:val="00967E7C"/>
    <w:rsid w:val="00967F5A"/>
    <w:rsid w:val="00967F60"/>
    <w:rsid w:val="00967F8A"/>
    <w:rsid w:val="00967FBB"/>
    <w:rsid w:val="00970069"/>
    <w:rsid w:val="00970336"/>
    <w:rsid w:val="00970340"/>
    <w:rsid w:val="0097051F"/>
    <w:rsid w:val="0097061F"/>
    <w:rsid w:val="00970A60"/>
    <w:rsid w:val="00970C45"/>
    <w:rsid w:val="00970CB6"/>
    <w:rsid w:val="00970F60"/>
    <w:rsid w:val="00970FDB"/>
    <w:rsid w:val="009712F2"/>
    <w:rsid w:val="009713AD"/>
    <w:rsid w:val="0097165B"/>
    <w:rsid w:val="009717A3"/>
    <w:rsid w:val="009718C3"/>
    <w:rsid w:val="00971D82"/>
    <w:rsid w:val="00971DD3"/>
    <w:rsid w:val="00971FE7"/>
    <w:rsid w:val="0097206A"/>
    <w:rsid w:val="00972076"/>
    <w:rsid w:val="00972173"/>
    <w:rsid w:val="0097231A"/>
    <w:rsid w:val="00972394"/>
    <w:rsid w:val="009727DE"/>
    <w:rsid w:val="00972875"/>
    <w:rsid w:val="00972A7F"/>
    <w:rsid w:val="00972AA6"/>
    <w:rsid w:val="00972FB8"/>
    <w:rsid w:val="0097306F"/>
    <w:rsid w:val="0097336F"/>
    <w:rsid w:val="00973686"/>
    <w:rsid w:val="00973B31"/>
    <w:rsid w:val="00973CB7"/>
    <w:rsid w:val="00973DAD"/>
    <w:rsid w:val="00973DFD"/>
    <w:rsid w:val="00973FF6"/>
    <w:rsid w:val="00974043"/>
    <w:rsid w:val="00974180"/>
    <w:rsid w:val="00974409"/>
    <w:rsid w:val="009744C8"/>
    <w:rsid w:val="009745C8"/>
    <w:rsid w:val="009746A8"/>
    <w:rsid w:val="00974B60"/>
    <w:rsid w:val="00974C23"/>
    <w:rsid w:val="00974E7C"/>
    <w:rsid w:val="009751DE"/>
    <w:rsid w:val="009754CD"/>
    <w:rsid w:val="0097562E"/>
    <w:rsid w:val="00975858"/>
    <w:rsid w:val="0097592D"/>
    <w:rsid w:val="009759E9"/>
    <w:rsid w:val="00975BAA"/>
    <w:rsid w:val="00975C29"/>
    <w:rsid w:val="00975CB2"/>
    <w:rsid w:val="00976013"/>
    <w:rsid w:val="00976129"/>
    <w:rsid w:val="009762AD"/>
    <w:rsid w:val="00976530"/>
    <w:rsid w:val="0097723B"/>
    <w:rsid w:val="00977282"/>
    <w:rsid w:val="0097735E"/>
    <w:rsid w:val="00977494"/>
    <w:rsid w:val="009774CE"/>
    <w:rsid w:val="009776A8"/>
    <w:rsid w:val="00977939"/>
    <w:rsid w:val="00977BC4"/>
    <w:rsid w:val="00977BDD"/>
    <w:rsid w:val="00977BDF"/>
    <w:rsid w:val="009800C1"/>
    <w:rsid w:val="009801BD"/>
    <w:rsid w:val="009802F8"/>
    <w:rsid w:val="0098058C"/>
    <w:rsid w:val="009806A6"/>
    <w:rsid w:val="009808B9"/>
    <w:rsid w:val="009808E6"/>
    <w:rsid w:val="00980C4C"/>
    <w:rsid w:val="00980DD0"/>
    <w:rsid w:val="00980E57"/>
    <w:rsid w:val="009811C5"/>
    <w:rsid w:val="009811E9"/>
    <w:rsid w:val="009814D6"/>
    <w:rsid w:val="00981531"/>
    <w:rsid w:val="0098167B"/>
    <w:rsid w:val="0098173A"/>
    <w:rsid w:val="00981D9C"/>
    <w:rsid w:val="00981E53"/>
    <w:rsid w:val="00981FC9"/>
    <w:rsid w:val="00981FF1"/>
    <w:rsid w:val="009820B1"/>
    <w:rsid w:val="00982331"/>
    <w:rsid w:val="00982626"/>
    <w:rsid w:val="009826E2"/>
    <w:rsid w:val="00982739"/>
    <w:rsid w:val="00982A22"/>
    <w:rsid w:val="00982AC5"/>
    <w:rsid w:val="00982C6B"/>
    <w:rsid w:val="009830AB"/>
    <w:rsid w:val="009835A9"/>
    <w:rsid w:val="00983778"/>
    <w:rsid w:val="00983821"/>
    <w:rsid w:val="0098383F"/>
    <w:rsid w:val="00983846"/>
    <w:rsid w:val="00983871"/>
    <w:rsid w:val="009838EF"/>
    <w:rsid w:val="00983C22"/>
    <w:rsid w:val="00983C60"/>
    <w:rsid w:val="00983D8B"/>
    <w:rsid w:val="00983FA4"/>
    <w:rsid w:val="00983FF2"/>
    <w:rsid w:val="00984040"/>
    <w:rsid w:val="00984047"/>
    <w:rsid w:val="009842C5"/>
    <w:rsid w:val="009845AA"/>
    <w:rsid w:val="00984794"/>
    <w:rsid w:val="00984A5E"/>
    <w:rsid w:val="00984A92"/>
    <w:rsid w:val="00984B11"/>
    <w:rsid w:val="00984C8A"/>
    <w:rsid w:val="00984F12"/>
    <w:rsid w:val="009852A8"/>
    <w:rsid w:val="0098535C"/>
    <w:rsid w:val="00985554"/>
    <w:rsid w:val="00985804"/>
    <w:rsid w:val="00985A54"/>
    <w:rsid w:val="00985C87"/>
    <w:rsid w:val="00985D30"/>
    <w:rsid w:val="00985E19"/>
    <w:rsid w:val="00985F25"/>
    <w:rsid w:val="009861C3"/>
    <w:rsid w:val="009868B5"/>
    <w:rsid w:val="00986B0C"/>
    <w:rsid w:val="00986D88"/>
    <w:rsid w:val="00986F83"/>
    <w:rsid w:val="00987144"/>
    <w:rsid w:val="00987498"/>
    <w:rsid w:val="00987522"/>
    <w:rsid w:val="0098789C"/>
    <w:rsid w:val="00987A0B"/>
    <w:rsid w:val="0099002F"/>
    <w:rsid w:val="009900AE"/>
    <w:rsid w:val="009906AD"/>
    <w:rsid w:val="0099091C"/>
    <w:rsid w:val="00990EF0"/>
    <w:rsid w:val="00990F67"/>
    <w:rsid w:val="0099107B"/>
    <w:rsid w:val="009911B3"/>
    <w:rsid w:val="009911E1"/>
    <w:rsid w:val="009912F1"/>
    <w:rsid w:val="0099136C"/>
    <w:rsid w:val="00991421"/>
    <w:rsid w:val="00991512"/>
    <w:rsid w:val="0099195B"/>
    <w:rsid w:val="00991DD5"/>
    <w:rsid w:val="00991F05"/>
    <w:rsid w:val="009922C6"/>
    <w:rsid w:val="0099236C"/>
    <w:rsid w:val="009924C4"/>
    <w:rsid w:val="00992727"/>
    <w:rsid w:val="00992799"/>
    <w:rsid w:val="00992B58"/>
    <w:rsid w:val="00992D42"/>
    <w:rsid w:val="00992D94"/>
    <w:rsid w:val="00992EA9"/>
    <w:rsid w:val="009930D9"/>
    <w:rsid w:val="00993192"/>
    <w:rsid w:val="00993217"/>
    <w:rsid w:val="00993327"/>
    <w:rsid w:val="0099349A"/>
    <w:rsid w:val="0099359B"/>
    <w:rsid w:val="009936AF"/>
    <w:rsid w:val="00993877"/>
    <w:rsid w:val="00993A37"/>
    <w:rsid w:val="00993CE2"/>
    <w:rsid w:val="00993E42"/>
    <w:rsid w:val="00993E80"/>
    <w:rsid w:val="00993FAC"/>
    <w:rsid w:val="00993FCF"/>
    <w:rsid w:val="00994573"/>
    <w:rsid w:val="0099468B"/>
    <w:rsid w:val="00994AF9"/>
    <w:rsid w:val="00994B62"/>
    <w:rsid w:val="00994C22"/>
    <w:rsid w:val="00994D3C"/>
    <w:rsid w:val="00994E45"/>
    <w:rsid w:val="00994F77"/>
    <w:rsid w:val="0099501C"/>
    <w:rsid w:val="0099503A"/>
    <w:rsid w:val="00995224"/>
    <w:rsid w:val="00995B78"/>
    <w:rsid w:val="00995BDE"/>
    <w:rsid w:val="00995DE7"/>
    <w:rsid w:val="00995DFE"/>
    <w:rsid w:val="00995F1B"/>
    <w:rsid w:val="00996026"/>
    <w:rsid w:val="009960DC"/>
    <w:rsid w:val="00996149"/>
    <w:rsid w:val="00996177"/>
    <w:rsid w:val="00996250"/>
    <w:rsid w:val="009962B5"/>
    <w:rsid w:val="00996355"/>
    <w:rsid w:val="009963F9"/>
    <w:rsid w:val="00996695"/>
    <w:rsid w:val="00996794"/>
    <w:rsid w:val="0099681F"/>
    <w:rsid w:val="00996AC9"/>
    <w:rsid w:val="00996AED"/>
    <w:rsid w:val="00996C21"/>
    <w:rsid w:val="009970B6"/>
    <w:rsid w:val="009971CB"/>
    <w:rsid w:val="0099720D"/>
    <w:rsid w:val="009975E3"/>
    <w:rsid w:val="009977C3"/>
    <w:rsid w:val="0099782D"/>
    <w:rsid w:val="0099799E"/>
    <w:rsid w:val="00997BB1"/>
    <w:rsid w:val="00997C0A"/>
    <w:rsid w:val="00997E7F"/>
    <w:rsid w:val="009A007E"/>
    <w:rsid w:val="009A02DC"/>
    <w:rsid w:val="009A0573"/>
    <w:rsid w:val="009A0699"/>
    <w:rsid w:val="009A0C61"/>
    <w:rsid w:val="009A0F9C"/>
    <w:rsid w:val="009A108F"/>
    <w:rsid w:val="009A12A1"/>
    <w:rsid w:val="009A1333"/>
    <w:rsid w:val="009A13DF"/>
    <w:rsid w:val="009A16B1"/>
    <w:rsid w:val="009A16DF"/>
    <w:rsid w:val="009A17A3"/>
    <w:rsid w:val="009A18C6"/>
    <w:rsid w:val="009A18DE"/>
    <w:rsid w:val="009A19E2"/>
    <w:rsid w:val="009A1AA5"/>
    <w:rsid w:val="009A1B06"/>
    <w:rsid w:val="009A1E11"/>
    <w:rsid w:val="009A22B3"/>
    <w:rsid w:val="009A22B8"/>
    <w:rsid w:val="009A2657"/>
    <w:rsid w:val="009A2CCC"/>
    <w:rsid w:val="009A2FC6"/>
    <w:rsid w:val="009A2FCD"/>
    <w:rsid w:val="009A3064"/>
    <w:rsid w:val="009A359B"/>
    <w:rsid w:val="009A3829"/>
    <w:rsid w:val="009A3CC3"/>
    <w:rsid w:val="009A3CD9"/>
    <w:rsid w:val="009A3D82"/>
    <w:rsid w:val="009A43A4"/>
    <w:rsid w:val="009A445E"/>
    <w:rsid w:val="009A45D9"/>
    <w:rsid w:val="009A46F8"/>
    <w:rsid w:val="009A4995"/>
    <w:rsid w:val="009A4A1B"/>
    <w:rsid w:val="009A4B52"/>
    <w:rsid w:val="009A4E2F"/>
    <w:rsid w:val="009A4F33"/>
    <w:rsid w:val="009A515A"/>
    <w:rsid w:val="009A5176"/>
    <w:rsid w:val="009A539C"/>
    <w:rsid w:val="009A5444"/>
    <w:rsid w:val="009A5636"/>
    <w:rsid w:val="009A5674"/>
    <w:rsid w:val="009A5817"/>
    <w:rsid w:val="009A58D7"/>
    <w:rsid w:val="009A596F"/>
    <w:rsid w:val="009A5E32"/>
    <w:rsid w:val="009A6083"/>
    <w:rsid w:val="009A62E6"/>
    <w:rsid w:val="009A63C7"/>
    <w:rsid w:val="009A6408"/>
    <w:rsid w:val="009A665A"/>
    <w:rsid w:val="009A67AF"/>
    <w:rsid w:val="009A6856"/>
    <w:rsid w:val="009A6965"/>
    <w:rsid w:val="009A6A57"/>
    <w:rsid w:val="009A6A5E"/>
    <w:rsid w:val="009A6C37"/>
    <w:rsid w:val="009A6CEB"/>
    <w:rsid w:val="009A6F2F"/>
    <w:rsid w:val="009A6FAF"/>
    <w:rsid w:val="009A7450"/>
    <w:rsid w:val="009A74E0"/>
    <w:rsid w:val="009A75C5"/>
    <w:rsid w:val="009A7633"/>
    <w:rsid w:val="009A779A"/>
    <w:rsid w:val="009A78B3"/>
    <w:rsid w:val="009A7915"/>
    <w:rsid w:val="009A7979"/>
    <w:rsid w:val="009A79C7"/>
    <w:rsid w:val="009A7B24"/>
    <w:rsid w:val="009A7DB6"/>
    <w:rsid w:val="009B0100"/>
    <w:rsid w:val="009B0692"/>
    <w:rsid w:val="009B0D7D"/>
    <w:rsid w:val="009B1371"/>
    <w:rsid w:val="009B145B"/>
    <w:rsid w:val="009B1B1B"/>
    <w:rsid w:val="009B1C5F"/>
    <w:rsid w:val="009B1FD9"/>
    <w:rsid w:val="009B1FEF"/>
    <w:rsid w:val="009B2346"/>
    <w:rsid w:val="009B280D"/>
    <w:rsid w:val="009B2854"/>
    <w:rsid w:val="009B293A"/>
    <w:rsid w:val="009B2DA2"/>
    <w:rsid w:val="009B2E55"/>
    <w:rsid w:val="009B30E6"/>
    <w:rsid w:val="009B32E2"/>
    <w:rsid w:val="009B393D"/>
    <w:rsid w:val="009B397D"/>
    <w:rsid w:val="009B3B44"/>
    <w:rsid w:val="009B3CB7"/>
    <w:rsid w:val="009B3D82"/>
    <w:rsid w:val="009B40FC"/>
    <w:rsid w:val="009B4119"/>
    <w:rsid w:val="009B41CE"/>
    <w:rsid w:val="009B438F"/>
    <w:rsid w:val="009B4503"/>
    <w:rsid w:val="009B4712"/>
    <w:rsid w:val="009B4973"/>
    <w:rsid w:val="009B4B7A"/>
    <w:rsid w:val="009B4D8F"/>
    <w:rsid w:val="009B4F87"/>
    <w:rsid w:val="009B4FE4"/>
    <w:rsid w:val="009B56B4"/>
    <w:rsid w:val="009B594A"/>
    <w:rsid w:val="009B5DCE"/>
    <w:rsid w:val="009B5E78"/>
    <w:rsid w:val="009B5F15"/>
    <w:rsid w:val="009B60D0"/>
    <w:rsid w:val="009B645A"/>
    <w:rsid w:val="009B65AD"/>
    <w:rsid w:val="009B6706"/>
    <w:rsid w:val="009B6B04"/>
    <w:rsid w:val="009B6B4F"/>
    <w:rsid w:val="009B6B8B"/>
    <w:rsid w:val="009B6DA5"/>
    <w:rsid w:val="009B6E04"/>
    <w:rsid w:val="009B7033"/>
    <w:rsid w:val="009B703B"/>
    <w:rsid w:val="009B71B4"/>
    <w:rsid w:val="009B7280"/>
    <w:rsid w:val="009B758D"/>
    <w:rsid w:val="009B7662"/>
    <w:rsid w:val="009B776E"/>
    <w:rsid w:val="009B78C5"/>
    <w:rsid w:val="009B7994"/>
    <w:rsid w:val="009B7F67"/>
    <w:rsid w:val="009B7F6E"/>
    <w:rsid w:val="009B7F72"/>
    <w:rsid w:val="009C0000"/>
    <w:rsid w:val="009C01AB"/>
    <w:rsid w:val="009C031C"/>
    <w:rsid w:val="009C0475"/>
    <w:rsid w:val="009C054C"/>
    <w:rsid w:val="009C05AE"/>
    <w:rsid w:val="009C084A"/>
    <w:rsid w:val="009C0A4A"/>
    <w:rsid w:val="009C0B6F"/>
    <w:rsid w:val="009C0E0C"/>
    <w:rsid w:val="009C10A4"/>
    <w:rsid w:val="009C1213"/>
    <w:rsid w:val="009C1239"/>
    <w:rsid w:val="009C144B"/>
    <w:rsid w:val="009C1892"/>
    <w:rsid w:val="009C1DA6"/>
    <w:rsid w:val="009C23E6"/>
    <w:rsid w:val="009C2829"/>
    <w:rsid w:val="009C2A5F"/>
    <w:rsid w:val="009C2C56"/>
    <w:rsid w:val="009C2E7D"/>
    <w:rsid w:val="009C2FA6"/>
    <w:rsid w:val="009C3054"/>
    <w:rsid w:val="009C30D0"/>
    <w:rsid w:val="009C31ED"/>
    <w:rsid w:val="009C32AD"/>
    <w:rsid w:val="009C3349"/>
    <w:rsid w:val="009C3500"/>
    <w:rsid w:val="009C3757"/>
    <w:rsid w:val="009C3834"/>
    <w:rsid w:val="009C3B13"/>
    <w:rsid w:val="009C3BF3"/>
    <w:rsid w:val="009C3C0C"/>
    <w:rsid w:val="009C4026"/>
    <w:rsid w:val="009C469B"/>
    <w:rsid w:val="009C4752"/>
    <w:rsid w:val="009C4831"/>
    <w:rsid w:val="009C498E"/>
    <w:rsid w:val="009C4A76"/>
    <w:rsid w:val="009C4C0A"/>
    <w:rsid w:val="009C4E10"/>
    <w:rsid w:val="009C53DE"/>
    <w:rsid w:val="009C54B0"/>
    <w:rsid w:val="009C5B43"/>
    <w:rsid w:val="009C5C37"/>
    <w:rsid w:val="009C61AF"/>
    <w:rsid w:val="009C64F9"/>
    <w:rsid w:val="009C65EB"/>
    <w:rsid w:val="009C6751"/>
    <w:rsid w:val="009C68F1"/>
    <w:rsid w:val="009C6B45"/>
    <w:rsid w:val="009C6C12"/>
    <w:rsid w:val="009C711F"/>
    <w:rsid w:val="009C73ED"/>
    <w:rsid w:val="009C770B"/>
    <w:rsid w:val="009C778D"/>
    <w:rsid w:val="009C780B"/>
    <w:rsid w:val="009C78BD"/>
    <w:rsid w:val="009C791D"/>
    <w:rsid w:val="009C7B84"/>
    <w:rsid w:val="009C7BA6"/>
    <w:rsid w:val="009C7D69"/>
    <w:rsid w:val="009C7EE4"/>
    <w:rsid w:val="009C7F34"/>
    <w:rsid w:val="009CE3AE"/>
    <w:rsid w:val="009D0192"/>
    <w:rsid w:val="009D019A"/>
    <w:rsid w:val="009D038D"/>
    <w:rsid w:val="009D03B8"/>
    <w:rsid w:val="009D06C9"/>
    <w:rsid w:val="009D0A36"/>
    <w:rsid w:val="009D0A49"/>
    <w:rsid w:val="009D0C2C"/>
    <w:rsid w:val="009D1205"/>
    <w:rsid w:val="009D129B"/>
    <w:rsid w:val="009D13FA"/>
    <w:rsid w:val="009D1468"/>
    <w:rsid w:val="009D15EE"/>
    <w:rsid w:val="009D1828"/>
    <w:rsid w:val="009D1AE8"/>
    <w:rsid w:val="009D1C92"/>
    <w:rsid w:val="009D1EC6"/>
    <w:rsid w:val="009D20F1"/>
    <w:rsid w:val="009D212E"/>
    <w:rsid w:val="009D232D"/>
    <w:rsid w:val="009D23D3"/>
    <w:rsid w:val="009D2472"/>
    <w:rsid w:val="009D247B"/>
    <w:rsid w:val="009D2616"/>
    <w:rsid w:val="009D2A49"/>
    <w:rsid w:val="009D2A6B"/>
    <w:rsid w:val="009D2D01"/>
    <w:rsid w:val="009D35C0"/>
    <w:rsid w:val="009D360B"/>
    <w:rsid w:val="009D394B"/>
    <w:rsid w:val="009D3B01"/>
    <w:rsid w:val="009D3B3B"/>
    <w:rsid w:val="009D3FA2"/>
    <w:rsid w:val="009D40C9"/>
    <w:rsid w:val="009D41CD"/>
    <w:rsid w:val="009D435D"/>
    <w:rsid w:val="009D467F"/>
    <w:rsid w:val="009D4822"/>
    <w:rsid w:val="009D4B39"/>
    <w:rsid w:val="009D4C9D"/>
    <w:rsid w:val="009D4D5F"/>
    <w:rsid w:val="009D4F59"/>
    <w:rsid w:val="009D50BE"/>
    <w:rsid w:val="009D50E8"/>
    <w:rsid w:val="009D51B3"/>
    <w:rsid w:val="009D5631"/>
    <w:rsid w:val="009D5813"/>
    <w:rsid w:val="009D5889"/>
    <w:rsid w:val="009D5A8D"/>
    <w:rsid w:val="009D5AFB"/>
    <w:rsid w:val="009D5B57"/>
    <w:rsid w:val="009D5F74"/>
    <w:rsid w:val="009D61FD"/>
    <w:rsid w:val="009D6362"/>
    <w:rsid w:val="009D643B"/>
    <w:rsid w:val="009D6780"/>
    <w:rsid w:val="009D69D5"/>
    <w:rsid w:val="009D6CDF"/>
    <w:rsid w:val="009D6DFF"/>
    <w:rsid w:val="009D74AE"/>
    <w:rsid w:val="009D755D"/>
    <w:rsid w:val="009D7713"/>
    <w:rsid w:val="009D7867"/>
    <w:rsid w:val="009D7890"/>
    <w:rsid w:val="009D78D0"/>
    <w:rsid w:val="009D79F7"/>
    <w:rsid w:val="009D7C13"/>
    <w:rsid w:val="009D7C14"/>
    <w:rsid w:val="009D7D8B"/>
    <w:rsid w:val="009D7EB1"/>
    <w:rsid w:val="009E007F"/>
    <w:rsid w:val="009E00EE"/>
    <w:rsid w:val="009E0102"/>
    <w:rsid w:val="009E0208"/>
    <w:rsid w:val="009E0493"/>
    <w:rsid w:val="009E0529"/>
    <w:rsid w:val="009E0816"/>
    <w:rsid w:val="009E096A"/>
    <w:rsid w:val="009E0B9D"/>
    <w:rsid w:val="009E0BDF"/>
    <w:rsid w:val="009E0C8B"/>
    <w:rsid w:val="009E0F6F"/>
    <w:rsid w:val="009E12C4"/>
    <w:rsid w:val="009E154D"/>
    <w:rsid w:val="009E1759"/>
    <w:rsid w:val="009E1920"/>
    <w:rsid w:val="009E1AD3"/>
    <w:rsid w:val="009E1CC0"/>
    <w:rsid w:val="009E204F"/>
    <w:rsid w:val="009E240B"/>
    <w:rsid w:val="009E2422"/>
    <w:rsid w:val="009E26FA"/>
    <w:rsid w:val="009E27FE"/>
    <w:rsid w:val="009E2A6B"/>
    <w:rsid w:val="009E2B5F"/>
    <w:rsid w:val="009E2C49"/>
    <w:rsid w:val="009E2CA2"/>
    <w:rsid w:val="009E2CD0"/>
    <w:rsid w:val="009E2E97"/>
    <w:rsid w:val="009E2EFE"/>
    <w:rsid w:val="009E2F70"/>
    <w:rsid w:val="009E32C4"/>
    <w:rsid w:val="009E331B"/>
    <w:rsid w:val="009E337C"/>
    <w:rsid w:val="009E36E7"/>
    <w:rsid w:val="009E3C1E"/>
    <w:rsid w:val="009E3F24"/>
    <w:rsid w:val="009E4084"/>
    <w:rsid w:val="009E40F4"/>
    <w:rsid w:val="009E40F7"/>
    <w:rsid w:val="009E443F"/>
    <w:rsid w:val="009E45C9"/>
    <w:rsid w:val="009E46A7"/>
    <w:rsid w:val="009E4C49"/>
    <w:rsid w:val="009E4F24"/>
    <w:rsid w:val="009E50F0"/>
    <w:rsid w:val="009E5196"/>
    <w:rsid w:val="009E5457"/>
    <w:rsid w:val="009E57A9"/>
    <w:rsid w:val="009E5859"/>
    <w:rsid w:val="009E5C20"/>
    <w:rsid w:val="009E5C88"/>
    <w:rsid w:val="009E5D76"/>
    <w:rsid w:val="009E607D"/>
    <w:rsid w:val="009E60DC"/>
    <w:rsid w:val="009E6185"/>
    <w:rsid w:val="009E61F0"/>
    <w:rsid w:val="009E6218"/>
    <w:rsid w:val="009E628A"/>
    <w:rsid w:val="009E6424"/>
    <w:rsid w:val="009E659A"/>
    <w:rsid w:val="009E6658"/>
    <w:rsid w:val="009E6735"/>
    <w:rsid w:val="009E6BC8"/>
    <w:rsid w:val="009E6C8F"/>
    <w:rsid w:val="009E7485"/>
    <w:rsid w:val="009E75D5"/>
    <w:rsid w:val="009E779F"/>
    <w:rsid w:val="009E7814"/>
    <w:rsid w:val="009E783B"/>
    <w:rsid w:val="009E7922"/>
    <w:rsid w:val="009E7986"/>
    <w:rsid w:val="009E7A79"/>
    <w:rsid w:val="009E7B6A"/>
    <w:rsid w:val="009E7CE1"/>
    <w:rsid w:val="009F0025"/>
    <w:rsid w:val="009F07F8"/>
    <w:rsid w:val="009F08AE"/>
    <w:rsid w:val="009F0B14"/>
    <w:rsid w:val="009F0EA4"/>
    <w:rsid w:val="009F108E"/>
    <w:rsid w:val="009F1615"/>
    <w:rsid w:val="009F170D"/>
    <w:rsid w:val="009F17BF"/>
    <w:rsid w:val="009F1C16"/>
    <w:rsid w:val="009F1F1A"/>
    <w:rsid w:val="009F1FAB"/>
    <w:rsid w:val="009F211E"/>
    <w:rsid w:val="009F2579"/>
    <w:rsid w:val="009F2944"/>
    <w:rsid w:val="009F29D2"/>
    <w:rsid w:val="009F2F62"/>
    <w:rsid w:val="009F2F73"/>
    <w:rsid w:val="009F3452"/>
    <w:rsid w:val="009F34BE"/>
    <w:rsid w:val="009F34D6"/>
    <w:rsid w:val="009F373E"/>
    <w:rsid w:val="009F37A3"/>
    <w:rsid w:val="009F3924"/>
    <w:rsid w:val="009F396B"/>
    <w:rsid w:val="009F3B97"/>
    <w:rsid w:val="009F3C03"/>
    <w:rsid w:val="009F3EB6"/>
    <w:rsid w:val="009F3FDD"/>
    <w:rsid w:val="009F4718"/>
    <w:rsid w:val="009F4980"/>
    <w:rsid w:val="009F4B12"/>
    <w:rsid w:val="009F4BFD"/>
    <w:rsid w:val="009F4C16"/>
    <w:rsid w:val="009F5021"/>
    <w:rsid w:val="009F50E7"/>
    <w:rsid w:val="009F567E"/>
    <w:rsid w:val="009F56CE"/>
    <w:rsid w:val="009F592D"/>
    <w:rsid w:val="009F599D"/>
    <w:rsid w:val="009F59B5"/>
    <w:rsid w:val="009F5BED"/>
    <w:rsid w:val="009F5C27"/>
    <w:rsid w:val="009F5C72"/>
    <w:rsid w:val="009F5CB5"/>
    <w:rsid w:val="009F5E2D"/>
    <w:rsid w:val="009F609A"/>
    <w:rsid w:val="009F60AA"/>
    <w:rsid w:val="009F611C"/>
    <w:rsid w:val="009F61D5"/>
    <w:rsid w:val="009F62F7"/>
    <w:rsid w:val="009F631A"/>
    <w:rsid w:val="009F65C8"/>
    <w:rsid w:val="009F689E"/>
    <w:rsid w:val="009F6A3F"/>
    <w:rsid w:val="009F6CFA"/>
    <w:rsid w:val="009F7178"/>
    <w:rsid w:val="009F719B"/>
    <w:rsid w:val="009F7485"/>
    <w:rsid w:val="009F770A"/>
    <w:rsid w:val="009F785B"/>
    <w:rsid w:val="009F787B"/>
    <w:rsid w:val="009F7B1C"/>
    <w:rsid w:val="009F7B44"/>
    <w:rsid w:val="009F7C4F"/>
    <w:rsid w:val="009F7EDC"/>
    <w:rsid w:val="00A000AE"/>
    <w:rsid w:val="00A002FE"/>
    <w:rsid w:val="00A00747"/>
    <w:rsid w:val="00A007E9"/>
    <w:rsid w:val="00A009C7"/>
    <w:rsid w:val="00A00A70"/>
    <w:rsid w:val="00A00BDC"/>
    <w:rsid w:val="00A00D38"/>
    <w:rsid w:val="00A00DB4"/>
    <w:rsid w:val="00A00DE1"/>
    <w:rsid w:val="00A00E0B"/>
    <w:rsid w:val="00A0177E"/>
    <w:rsid w:val="00A01855"/>
    <w:rsid w:val="00A01A2E"/>
    <w:rsid w:val="00A01CEB"/>
    <w:rsid w:val="00A01D1B"/>
    <w:rsid w:val="00A02184"/>
    <w:rsid w:val="00A0229E"/>
    <w:rsid w:val="00A0237C"/>
    <w:rsid w:val="00A023EB"/>
    <w:rsid w:val="00A02627"/>
    <w:rsid w:val="00A0264B"/>
    <w:rsid w:val="00A02A60"/>
    <w:rsid w:val="00A02A74"/>
    <w:rsid w:val="00A02CC3"/>
    <w:rsid w:val="00A02CF5"/>
    <w:rsid w:val="00A02E92"/>
    <w:rsid w:val="00A02F53"/>
    <w:rsid w:val="00A03256"/>
    <w:rsid w:val="00A035B1"/>
    <w:rsid w:val="00A03876"/>
    <w:rsid w:val="00A039A6"/>
    <w:rsid w:val="00A039D1"/>
    <w:rsid w:val="00A03A80"/>
    <w:rsid w:val="00A03B71"/>
    <w:rsid w:val="00A03E2E"/>
    <w:rsid w:val="00A03F8A"/>
    <w:rsid w:val="00A04094"/>
    <w:rsid w:val="00A04576"/>
    <w:rsid w:val="00A0465F"/>
    <w:rsid w:val="00A046F6"/>
    <w:rsid w:val="00A04784"/>
    <w:rsid w:val="00A04A25"/>
    <w:rsid w:val="00A04B30"/>
    <w:rsid w:val="00A04B60"/>
    <w:rsid w:val="00A04CF4"/>
    <w:rsid w:val="00A04EB6"/>
    <w:rsid w:val="00A050FC"/>
    <w:rsid w:val="00A0534F"/>
    <w:rsid w:val="00A054EC"/>
    <w:rsid w:val="00A05667"/>
    <w:rsid w:val="00A05AA0"/>
    <w:rsid w:val="00A05DD6"/>
    <w:rsid w:val="00A05EAA"/>
    <w:rsid w:val="00A05F23"/>
    <w:rsid w:val="00A05FF5"/>
    <w:rsid w:val="00A0663B"/>
    <w:rsid w:val="00A06CFC"/>
    <w:rsid w:val="00A06D62"/>
    <w:rsid w:val="00A06E92"/>
    <w:rsid w:val="00A07182"/>
    <w:rsid w:val="00A07628"/>
    <w:rsid w:val="00A07670"/>
    <w:rsid w:val="00A07673"/>
    <w:rsid w:val="00A07688"/>
    <w:rsid w:val="00A078F6"/>
    <w:rsid w:val="00A07925"/>
    <w:rsid w:val="00A07C51"/>
    <w:rsid w:val="00A07D8B"/>
    <w:rsid w:val="00A07E6E"/>
    <w:rsid w:val="00A10265"/>
    <w:rsid w:val="00A10298"/>
    <w:rsid w:val="00A1040E"/>
    <w:rsid w:val="00A10565"/>
    <w:rsid w:val="00A10627"/>
    <w:rsid w:val="00A10659"/>
    <w:rsid w:val="00A107B5"/>
    <w:rsid w:val="00A10841"/>
    <w:rsid w:val="00A10849"/>
    <w:rsid w:val="00A108BA"/>
    <w:rsid w:val="00A10A0F"/>
    <w:rsid w:val="00A10C91"/>
    <w:rsid w:val="00A10E6B"/>
    <w:rsid w:val="00A113AD"/>
    <w:rsid w:val="00A1187D"/>
    <w:rsid w:val="00A11A24"/>
    <w:rsid w:val="00A11AF8"/>
    <w:rsid w:val="00A121A0"/>
    <w:rsid w:val="00A12305"/>
    <w:rsid w:val="00A12337"/>
    <w:rsid w:val="00A1252F"/>
    <w:rsid w:val="00A12599"/>
    <w:rsid w:val="00A12661"/>
    <w:rsid w:val="00A12673"/>
    <w:rsid w:val="00A131DA"/>
    <w:rsid w:val="00A13355"/>
    <w:rsid w:val="00A13606"/>
    <w:rsid w:val="00A137A3"/>
    <w:rsid w:val="00A1380A"/>
    <w:rsid w:val="00A13875"/>
    <w:rsid w:val="00A139FF"/>
    <w:rsid w:val="00A13AAD"/>
    <w:rsid w:val="00A13E1F"/>
    <w:rsid w:val="00A13F8E"/>
    <w:rsid w:val="00A1429D"/>
    <w:rsid w:val="00A1467C"/>
    <w:rsid w:val="00A1471F"/>
    <w:rsid w:val="00A14785"/>
    <w:rsid w:val="00A14794"/>
    <w:rsid w:val="00A1494B"/>
    <w:rsid w:val="00A14AEC"/>
    <w:rsid w:val="00A14DD4"/>
    <w:rsid w:val="00A14E13"/>
    <w:rsid w:val="00A14E79"/>
    <w:rsid w:val="00A14F0E"/>
    <w:rsid w:val="00A15005"/>
    <w:rsid w:val="00A151A0"/>
    <w:rsid w:val="00A1536D"/>
    <w:rsid w:val="00A156AB"/>
    <w:rsid w:val="00A157E2"/>
    <w:rsid w:val="00A15827"/>
    <w:rsid w:val="00A15936"/>
    <w:rsid w:val="00A15937"/>
    <w:rsid w:val="00A1594E"/>
    <w:rsid w:val="00A15EC4"/>
    <w:rsid w:val="00A1639A"/>
    <w:rsid w:val="00A16CC6"/>
    <w:rsid w:val="00A1704C"/>
    <w:rsid w:val="00A176A7"/>
    <w:rsid w:val="00A17704"/>
    <w:rsid w:val="00A1792B"/>
    <w:rsid w:val="00A17B65"/>
    <w:rsid w:val="00A17BCC"/>
    <w:rsid w:val="00A20041"/>
    <w:rsid w:val="00A202FA"/>
    <w:rsid w:val="00A20570"/>
    <w:rsid w:val="00A20798"/>
    <w:rsid w:val="00A20C3F"/>
    <w:rsid w:val="00A20C8B"/>
    <w:rsid w:val="00A20C9F"/>
    <w:rsid w:val="00A20F8D"/>
    <w:rsid w:val="00A21336"/>
    <w:rsid w:val="00A21722"/>
    <w:rsid w:val="00A21784"/>
    <w:rsid w:val="00A218ED"/>
    <w:rsid w:val="00A21AD6"/>
    <w:rsid w:val="00A21BC1"/>
    <w:rsid w:val="00A21DFF"/>
    <w:rsid w:val="00A21E19"/>
    <w:rsid w:val="00A21F0C"/>
    <w:rsid w:val="00A2210B"/>
    <w:rsid w:val="00A2215B"/>
    <w:rsid w:val="00A227E8"/>
    <w:rsid w:val="00A22DAF"/>
    <w:rsid w:val="00A23115"/>
    <w:rsid w:val="00A238B0"/>
    <w:rsid w:val="00A238D9"/>
    <w:rsid w:val="00A23B23"/>
    <w:rsid w:val="00A23D67"/>
    <w:rsid w:val="00A23F7F"/>
    <w:rsid w:val="00A23FBB"/>
    <w:rsid w:val="00A24011"/>
    <w:rsid w:val="00A2407C"/>
    <w:rsid w:val="00A2420B"/>
    <w:rsid w:val="00A24347"/>
    <w:rsid w:val="00A24429"/>
    <w:rsid w:val="00A2456A"/>
    <w:rsid w:val="00A24759"/>
    <w:rsid w:val="00A249C5"/>
    <w:rsid w:val="00A24AFD"/>
    <w:rsid w:val="00A24B09"/>
    <w:rsid w:val="00A24F6F"/>
    <w:rsid w:val="00A251FE"/>
    <w:rsid w:val="00A2522F"/>
    <w:rsid w:val="00A2549A"/>
    <w:rsid w:val="00A254C8"/>
    <w:rsid w:val="00A257D6"/>
    <w:rsid w:val="00A258C3"/>
    <w:rsid w:val="00A25A57"/>
    <w:rsid w:val="00A25CE2"/>
    <w:rsid w:val="00A25F95"/>
    <w:rsid w:val="00A260E3"/>
    <w:rsid w:val="00A26114"/>
    <w:rsid w:val="00A2665F"/>
    <w:rsid w:val="00A266A5"/>
    <w:rsid w:val="00A26ED6"/>
    <w:rsid w:val="00A26F34"/>
    <w:rsid w:val="00A270C9"/>
    <w:rsid w:val="00A27368"/>
    <w:rsid w:val="00A274FB"/>
    <w:rsid w:val="00A2756C"/>
    <w:rsid w:val="00A2777D"/>
    <w:rsid w:val="00A27A40"/>
    <w:rsid w:val="00A27A4B"/>
    <w:rsid w:val="00A27B7C"/>
    <w:rsid w:val="00A27E1E"/>
    <w:rsid w:val="00A27E93"/>
    <w:rsid w:val="00A301D5"/>
    <w:rsid w:val="00A30255"/>
    <w:rsid w:val="00A30259"/>
    <w:rsid w:val="00A30288"/>
    <w:rsid w:val="00A302BA"/>
    <w:rsid w:val="00A30495"/>
    <w:rsid w:val="00A3057E"/>
    <w:rsid w:val="00A30E9B"/>
    <w:rsid w:val="00A30F8F"/>
    <w:rsid w:val="00A31009"/>
    <w:rsid w:val="00A3110C"/>
    <w:rsid w:val="00A3127D"/>
    <w:rsid w:val="00A31432"/>
    <w:rsid w:val="00A3172B"/>
    <w:rsid w:val="00A317DF"/>
    <w:rsid w:val="00A31BB4"/>
    <w:rsid w:val="00A31D4C"/>
    <w:rsid w:val="00A3234A"/>
    <w:rsid w:val="00A32428"/>
    <w:rsid w:val="00A325D1"/>
    <w:rsid w:val="00A3291C"/>
    <w:rsid w:val="00A329E5"/>
    <w:rsid w:val="00A32E07"/>
    <w:rsid w:val="00A32F08"/>
    <w:rsid w:val="00A32F7D"/>
    <w:rsid w:val="00A330E1"/>
    <w:rsid w:val="00A332EB"/>
    <w:rsid w:val="00A339CF"/>
    <w:rsid w:val="00A33AA3"/>
    <w:rsid w:val="00A33E9A"/>
    <w:rsid w:val="00A33FB3"/>
    <w:rsid w:val="00A34A9C"/>
    <w:rsid w:val="00A34C29"/>
    <w:rsid w:val="00A34D40"/>
    <w:rsid w:val="00A34DB2"/>
    <w:rsid w:val="00A34DDB"/>
    <w:rsid w:val="00A34E3B"/>
    <w:rsid w:val="00A34E73"/>
    <w:rsid w:val="00A34FB5"/>
    <w:rsid w:val="00A35075"/>
    <w:rsid w:val="00A352B3"/>
    <w:rsid w:val="00A35AB1"/>
    <w:rsid w:val="00A35CC2"/>
    <w:rsid w:val="00A35F74"/>
    <w:rsid w:val="00A35FB6"/>
    <w:rsid w:val="00A35FB8"/>
    <w:rsid w:val="00A365E4"/>
    <w:rsid w:val="00A36871"/>
    <w:rsid w:val="00A36C31"/>
    <w:rsid w:val="00A36E4B"/>
    <w:rsid w:val="00A37173"/>
    <w:rsid w:val="00A372C9"/>
    <w:rsid w:val="00A37307"/>
    <w:rsid w:val="00A3733B"/>
    <w:rsid w:val="00A3743A"/>
    <w:rsid w:val="00A3748A"/>
    <w:rsid w:val="00A37544"/>
    <w:rsid w:val="00A378C7"/>
    <w:rsid w:val="00A37A98"/>
    <w:rsid w:val="00A37C97"/>
    <w:rsid w:val="00A40222"/>
    <w:rsid w:val="00A40387"/>
    <w:rsid w:val="00A40884"/>
    <w:rsid w:val="00A4088E"/>
    <w:rsid w:val="00A40C35"/>
    <w:rsid w:val="00A41040"/>
    <w:rsid w:val="00A4110F"/>
    <w:rsid w:val="00A413C2"/>
    <w:rsid w:val="00A413F4"/>
    <w:rsid w:val="00A41A65"/>
    <w:rsid w:val="00A41C60"/>
    <w:rsid w:val="00A41E9D"/>
    <w:rsid w:val="00A41EE8"/>
    <w:rsid w:val="00A42510"/>
    <w:rsid w:val="00A425E3"/>
    <w:rsid w:val="00A426B3"/>
    <w:rsid w:val="00A42803"/>
    <w:rsid w:val="00A430B3"/>
    <w:rsid w:val="00A43C34"/>
    <w:rsid w:val="00A43C36"/>
    <w:rsid w:val="00A43CE9"/>
    <w:rsid w:val="00A43D78"/>
    <w:rsid w:val="00A43FF1"/>
    <w:rsid w:val="00A4439B"/>
    <w:rsid w:val="00A443AD"/>
    <w:rsid w:val="00A44409"/>
    <w:rsid w:val="00A44429"/>
    <w:rsid w:val="00A4444C"/>
    <w:rsid w:val="00A444F5"/>
    <w:rsid w:val="00A44549"/>
    <w:rsid w:val="00A4454E"/>
    <w:rsid w:val="00A445EF"/>
    <w:rsid w:val="00A44626"/>
    <w:rsid w:val="00A449C8"/>
    <w:rsid w:val="00A44DFE"/>
    <w:rsid w:val="00A44E57"/>
    <w:rsid w:val="00A44F03"/>
    <w:rsid w:val="00A45125"/>
    <w:rsid w:val="00A45198"/>
    <w:rsid w:val="00A45450"/>
    <w:rsid w:val="00A45643"/>
    <w:rsid w:val="00A45691"/>
    <w:rsid w:val="00A45701"/>
    <w:rsid w:val="00A457B9"/>
    <w:rsid w:val="00A45A3A"/>
    <w:rsid w:val="00A45B46"/>
    <w:rsid w:val="00A45BDE"/>
    <w:rsid w:val="00A45EDC"/>
    <w:rsid w:val="00A461CA"/>
    <w:rsid w:val="00A46248"/>
    <w:rsid w:val="00A46326"/>
    <w:rsid w:val="00A46394"/>
    <w:rsid w:val="00A4673D"/>
    <w:rsid w:val="00A4683F"/>
    <w:rsid w:val="00A468C0"/>
    <w:rsid w:val="00A46B01"/>
    <w:rsid w:val="00A46C11"/>
    <w:rsid w:val="00A46C3A"/>
    <w:rsid w:val="00A46E00"/>
    <w:rsid w:val="00A46E31"/>
    <w:rsid w:val="00A47064"/>
    <w:rsid w:val="00A4713E"/>
    <w:rsid w:val="00A476CB"/>
    <w:rsid w:val="00A47715"/>
    <w:rsid w:val="00A4771C"/>
    <w:rsid w:val="00A47B1A"/>
    <w:rsid w:val="00A50059"/>
    <w:rsid w:val="00A50118"/>
    <w:rsid w:val="00A502EA"/>
    <w:rsid w:val="00A507B4"/>
    <w:rsid w:val="00A509BA"/>
    <w:rsid w:val="00A50BAF"/>
    <w:rsid w:val="00A50CD6"/>
    <w:rsid w:val="00A50E46"/>
    <w:rsid w:val="00A50F6E"/>
    <w:rsid w:val="00A51153"/>
    <w:rsid w:val="00A514E3"/>
    <w:rsid w:val="00A5174A"/>
    <w:rsid w:val="00A51880"/>
    <w:rsid w:val="00A51B06"/>
    <w:rsid w:val="00A51C0D"/>
    <w:rsid w:val="00A51CCA"/>
    <w:rsid w:val="00A51CFF"/>
    <w:rsid w:val="00A51D38"/>
    <w:rsid w:val="00A52169"/>
    <w:rsid w:val="00A5234A"/>
    <w:rsid w:val="00A52511"/>
    <w:rsid w:val="00A52969"/>
    <w:rsid w:val="00A529FC"/>
    <w:rsid w:val="00A52B52"/>
    <w:rsid w:val="00A52CBD"/>
    <w:rsid w:val="00A52DC1"/>
    <w:rsid w:val="00A53215"/>
    <w:rsid w:val="00A5324A"/>
    <w:rsid w:val="00A5331B"/>
    <w:rsid w:val="00A534A5"/>
    <w:rsid w:val="00A5359E"/>
    <w:rsid w:val="00A53810"/>
    <w:rsid w:val="00A53A86"/>
    <w:rsid w:val="00A53BD8"/>
    <w:rsid w:val="00A53E13"/>
    <w:rsid w:val="00A5438A"/>
    <w:rsid w:val="00A54533"/>
    <w:rsid w:val="00A5471D"/>
    <w:rsid w:val="00A548E3"/>
    <w:rsid w:val="00A54B80"/>
    <w:rsid w:val="00A54C5C"/>
    <w:rsid w:val="00A54F8E"/>
    <w:rsid w:val="00A5507F"/>
    <w:rsid w:val="00A550AE"/>
    <w:rsid w:val="00A555F5"/>
    <w:rsid w:val="00A55777"/>
    <w:rsid w:val="00A55E43"/>
    <w:rsid w:val="00A55EA5"/>
    <w:rsid w:val="00A56141"/>
    <w:rsid w:val="00A56552"/>
    <w:rsid w:val="00A568DB"/>
    <w:rsid w:val="00A56C49"/>
    <w:rsid w:val="00A56ED1"/>
    <w:rsid w:val="00A5714C"/>
    <w:rsid w:val="00A575B9"/>
    <w:rsid w:val="00A576FE"/>
    <w:rsid w:val="00A577E1"/>
    <w:rsid w:val="00A5795A"/>
    <w:rsid w:val="00A57F6D"/>
    <w:rsid w:val="00A60075"/>
    <w:rsid w:val="00A60108"/>
    <w:rsid w:val="00A6012B"/>
    <w:rsid w:val="00A60271"/>
    <w:rsid w:val="00A604C7"/>
    <w:rsid w:val="00A60829"/>
    <w:rsid w:val="00A60CE4"/>
    <w:rsid w:val="00A60E4B"/>
    <w:rsid w:val="00A616D3"/>
    <w:rsid w:val="00A6170A"/>
    <w:rsid w:val="00A6199C"/>
    <w:rsid w:val="00A61B93"/>
    <w:rsid w:val="00A622BB"/>
    <w:rsid w:val="00A62354"/>
    <w:rsid w:val="00A62742"/>
    <w:rsid w:val="00A62C5E"/>
    <w:rsid w:val="00A62CE7"/>
    <w:rsid w:val="00A62D64"/>
    <w:rsid w:val="00A62EE3"/>
    <w:rsid w:val="00A6313E"/>
    <w:rsid w:val="00A63173"/>
    <w:rsid w:val="00A63179"/>
    <w:rsid w:val="00A631E7"/>
    <w:rsid w:val="00A63386"/>
    <w:rsid w:val="00A63408"/>
    <w:rsid w:val="00A636FD"/>
    <w:rsid w:val="00A63764"/>
    <w:rsid w:val="00A63B4C"/>
    <w:rsid w:val="00A64339"/>
    <w:rsid w:val="00A645A6"/>
    <w:rsid w:val="00A6465E"/>
    <w:rsid w:val="00A64803"/>
    <w:rsid w:val="00A6486B"/>
    <w:rsid w:val="00A649D7"/>
    <w:rsid w:val="00A64A35"/>
    <w:rsid w:val="00A64B3C"/>
    <w:rsid w:val="00A64CEA"/>
    <w:rsid w:val="00A64EC6"/>
    <w:rsid w:val="00A65088"/>
    <w:rsid w:val="00A65231"/>
    <w:rsid w:val="00A65439"/>
    <w:rsid w:val="00A65614"/>
    <w:rsid w:val="00A65750"/>
    <w:rsid w:val="00A657B5"/>
    <w:rsid w:val="00A65A4A"/>
    <w:rsid w:val="00A65B4A"/>
    <w:rsid w:val="00A65C5E"/>
    <w:rsid w:val="00A65EDD"/>
    <w:rsid w:val="00A66072"/>
    <w:rsid w:val="00A6619A"/>
    <w:rsid w:val="00A66345"/>
    <w:rsid w:val="00A66561"/>
    <w:rsid w:val="00A665A0"/>
    <w:rsid w:val="00A666C3"/>
    <w:rsid w:val="00A6681A"/>
    <w:rsid w:val="00A66F7A"/>
    <w:rsid w:val="00A67028"/>
    <w:rsid w:val="00A6754B"/>
    <w:rsid w:val="00A6759B"/>
    <w:rsid w:val="00A675D4"/>
    <w:rsid w:val="00A67666"/>
    <w:rsid w:val="00A676F8"/>
    <w:rsid w:val="00A677D0"/>
    <w:rsid w:val="00A679CE"/>
    <w:rsid w:val="00A67EA6"/>
    <w:rsid w:val="00A67F3E"/>
    <w:rsid w:val="00A701EB"/>
    <w:rsid w:val="00A7068F"/>
    <w:rsid w:val="00A706E4"/>
    <w:rsid w:val="00A70BAB"/>
    <w:rsid w:val="00A70C1E"/>
    <w:rsid w:val="00A70CC1"/>
    <w:rsid w:val="00A70D82"/>
    <w:rsid w:val="00A70DE7"/>
    <w:rsid w:val="00A711EA"/>
    <w:rsid w:val="00A711FB"/>
    <w:rsid w:val="00A714B5"/>
    <w:rsid w:val="00A714E8"/>
    <w:rsid w:val="00A716D0"/>
    <w:rsid w:val="00A719C9"/>
    <w:rsid w:val="00A71A02"/>
    <w:rsid w:val="00A71BBF"/>
    <w:rsid w:val="00A71CA4"/>
    <w:rsid w:val="00A71EDD"/>
    <w:rsid w:val="00A7219C"/>
    <w:rsid w:val="00A7247D"/>
    <w:rsid w:val="00A728A3"/>
    <w:rsid w:val="00A7296C"/>
    <w:rsid w:val="00A72A13"/>
    <w:rsid w:val="00A72B3F"/>
    <w:rsid w:val="00A72BEE"/>
    <w:rsid w:val="00A72C54"/>
    <w:rsid w:val="00A72ECE"/>
    <w:rsid w:val="00A73B65"/>
    <w:rsid w:val="00A73BFA"/>
    <w:rsid w:val="00A73DE6"/>
    <w:rsid w:val="00A73E31"/>
    <w:rsid w:val="00A74184"/>
    <w:rsid w:val="00A742F7"/>
    <w:rsid w:val="00A745DE"/>
    <w:rsid w:val="00A74698"/>
    <w:rsid w:val="00A74797"/>
    <w:rsid w:val="00A747D3"/>
    <w:rsid w:val="00A75AF7"/>
    <w:rsid w:val="00A75BD0"/>
    <w:rsid w:val="00A75C2A"/>
    <w:rsid w:val="00A75E28"/>
    <w:rsid w:val="00A75F97"/>
    <w:rsid w:val="00A761DC"/>
    <w:rsid w:val="00A76422"/>
    <w:rsid w:val="00A7658D"/>
    <w:rsid w:val="00A76A8C"/>
    <w:rsid w:val="00A76B37"/>
    <w:rsid w:val="00A76C8B"/>
    <w:rsid w:val="00A76D20"/>
    <w:rsid w:val="00A76DAF"/>
    <w:rsid w:val="00A76EB5"/>
    <w:rsid w:val="00A76F54"/>
    <w:rsid w:val="00A76FD0"/>
    <w:rsid w:val="00A77047"/>
    <w:rsid w:val="00A77127"/>
    <w:rsid w:val="00A77272"/>
    <w:rsid w:val="00A77446"/>
    <w:rsid w:val="00A77625"/>
    <w:rsid w:val="00A776C6"/>
    <w:rsid w:val="00A77AA6"/>
    <w:rsid w:val="00A77D09"/>
    <w:rsid w:val="00A77FA8"/>
    <w:rsid w:val="00A8000F"/>
    <w:rsid w:val="00A80101"/>
    <w:rsid w:val="00A801CD"/>
    <w:rsid w:val="00A802BE"/>
    <w:rsid w:val="00A802E7"/>
    <w:rsid w:val="00A8032D"/>
    <w:rsid w:val="00A804EE"/>
    <w:rsid w:val="00A804F6"/>
    <w:rsid w:val="00A80573"/>
    <w:rsid w:val="00A8064D"/>
    <w:rsid w:val="00A80C6C"/>
    <w:rsid w:val="00A80CF1"/>
    <w:rsid w:val="00A80D38"/>
    <w:rsid w:val="00A80D9E"/>
    <w:rsid w:val="00A80EA7"/>
    <w:rsid w:val="00A81119"/>
    <w:rsid w:val="00A81670"/>
    <w:rsid w:val="00A816D6"/>
    <w:rsid w:val="00A817F4"/>
    <w:rsid w:val="00A8183C"/>
    <w:rsid w:val="00A81A67"/>
    <w:rsid w:val="00A81C24"/>
    <w:rsid w:val="00A81F0E"/>
    <w:rsid w:val="00A82008"/>
    <w:rsid w:val="00A82016"/>
    <w:rsid w:val="00A82215"/>
    <w:rsid w:val="00A82362"/>
    <w:rsid w:val="00A82543"/>
    <w:rsid w:val="00A82718"/>
    <w:rsid w:val="00A82792"/>
    <w:rsid w:val="00A8279A"/>
    <w:rsid w:val="00A82A83"/>
    <w:rsid w:val="00A82BBE"/>
    <w:rsid w:val="00A82CD2"/>
    <w:rsid w:val="00A8317D"/>
    <w:rsid w:val="00A83503"/>
    <w:rsid w:val="00A8371D"/>
    <w:rsid w:val="00A837F8"/>
    <w:rsid w:val="00A83F0E"/>
    <w:rsid w:val="00A84449"/>
    <w:rsid w:val="00A8489D"/>
    <w:rsid w:val="00A848C4"/>
    <w:rsid w:val="00A8496C"/>
    <w:rsid w:val="00A84AA4"/>
    <w:rsid w:val="00A84B32"/>
    <w:rsid w:val="00A84E1B"/>
    <w:rsid w:val="00A84FCD"/>
    <w:rsid w:val="00A85166"/>
    <w:rsid w:val="00A8540D"/>
    <w:rsid w:val="00A854AD"/>
    <w:rsid w:val="00A854B8"/>
    <w:rsid w:val="00A858BC"/>
    <w:rsid w:val="00A85A8C"/>
    <w:rsid w:val="00A85B44"/>
    <w:rsid w:val="00A85ED0"/>
    <w:rsid w:val="00A85FB9"/>
    <w:rsid w:val="00A8618D"/>
    <w:rsid w:val="00A8645F"/>
    <w:rsid w:val="00A8649F"/>
    <w:rsid w:val="00A8671A"/>
    <w:rsid w:val="00A86821"/>
    <w:rsid w:val="00A8694E"/>
    <w:rsid w:val="00A86976"/>
    <w:rsid w:val="00A86AFC"/>
    <w:rsid w:val="00A86E96"/>
    <w:rsid w:val="00A8704D"/>
    <w:rsid w:val="00A87217"/>
    <w:rsid w:val="00A87264"/>
    <w:rsid w:val="00A87312"/>
    <w:rsid w:val="00A876FD"/>
    <w:rsid w:val="00A87794"/>
    <w:rsid w:val="00A87D38"/>
    <w:rsid w:val="00A90279"/>
    <w:rsid w:val="00A90372"/>
    <w:rsid w:val="00A907AE"/>
    <w:rsid w:val="00A90AED"/>
    <w:rsid w:val="00A90C47"/>
    <w:rsid w:val="00A90D96"/>
    <w:rsid w:val="00A910BE"/>
    <w:rsid w:val="00A9113F"/>
    <w:rsid w:val="00A911F7"/>
    <w:rsid w:val="00A912E3"/>
    <w:rsid w:val="00A9166A"/>
    <w:rsid w:val="00A919AD"/>
    <w:rsid w:val="00A91E64"/>
    <w:rsid w:val="00A91E79"/>
    <w:rsid w:val="00A91F1D"/>
    <w:rsid w:val="00A91F53"/>
    <w:rsid w:val="00A92051"/>
    <w:rsid w:val="00A922D5"/>
    <w:rsid w:val="00A92422"/>
    <w:rsid w:val="00A924EE"/>
    <w:rsid w:val="00A92533"/>
    <w:rsid w:val="00A9254C"/>
    <w:rsid w:val="00A9264E"/>
    <w:rsid w:val="00A9275E"/>
    <w:rsid w:val="00A92931"/>
    <w:rsid w:val="00A92AA8"/>
    <w:rsid w:val="00A92D4D"/>
    <w:rsid w:val="00A92FBB"/>
    <w:rsid w:val="00A93108"/>
    <w:rsid w:val="00A93832"/>
    <w:rsid w:val="00A93BC6"/>
    <w:rsid w:val="00A93E1B"/>
    <w:rsid w:val="00A94155"/>
    <w:rsid w:val="00A943CD"/>
    <w:rsid w:val="00A9479A"/>
    <w:rsid w:val="00A94F84"/>
    <w:rsid w:val="00A95157"/>
    <w:rsid w:val="00A95176"/>
    <w:rsid w:val="00A951EC"/>
    <w:rsid w:val="00A952A3"/>
    <w:rsid w:val="00A95388"/>
    <w:rsid w:val="00A9569C"/>
    <w:rsid w:val="00A95B0F"/>
    <w:rsid w:val="00A95C6E"/>
    <w:rsid w:val="00A95E0A"/>
    <w:rsid w:val="00A960A3"/>
    <w:rsid w:val="00A96192"/>
    <w:rsid w:val="00A961C3"/>
    <w:rsid w:val="00A9657B"/>
    <w:rsid w:val="00A966E4"/>
    <w:rsid w:val="00A967EF"/>
    <w:rsid w:val="00A968A7"/>
    <w:rsid w:val="00A96D43"/>
    <w:rsid w:val="00A96D9F"/>
    <w:rsid w:val="00A96DA5"/>
    <w:rsid w:val="00A96DD1"/>
    <w:rsid w:val="00A970C5"/>
    <w:rsid w:val="00A9732C"/>
    <w:rsid w:val="00A97777"/>
    <w:rsid w:val="00A9779F"/>
    <w:rsid w:val="00A977A7"/>
    <w:rsid w:val="00A978B5"/>
    <w:rsid w:val="00A97A93"/>
    <w:rsid w:val="00A97A9C"/>
    <w:rsid w:val="00A97E3B"/>
    <w:rsid w:val="00A97FE8"/>
    <w:rsid w:val="00AA034F"/>
    <w:rsid w:val="00AA0507"/>
    <w:rsid w:val="00AA06CF"/>
    <w:rsid w:val="00AA0707"/>
    <w:rsid w:val="00AA0DE2"/>
    <w:rsid w:val="00AA0F08"/>
    <w:rsid w:val="00AA0FD2"/>
    <w:rsid w:val="00AA118C"/>
    <w:rsid w:val="00AA11F7"/>
    <w:rsid w:val="00AA18F8"/>
    <w:rsid w:val="00AA192B"/>
    <w:rsid w:val="00AA19B2"/>
    <w:rsid w:val="00AA19C2"/>
    <w:rsid w:val="00AA1A3D"/>
    <w:rsid w:val="00AA1D00"/>
    <w:rsid w:val="00AA1F28"/>
    <w:rsid w:val="00AA21D2"/>
    <w:rsid w:val="00AA2476"/>
    <w:rsid w:val="00AA286F"/>
    <w:rsid w:val="00AA29A3"/>
    <w:rsid w:val="00AA2AFD"/>
    <w:rsid w:val="00AA2DA9"/>
    <w:rsid w:val="00AA2DD2"/>
    <w:rsid w:val="00AA2DEE"/>
    <w:rsid w:val="00AA2ECF"/>
    <w:rsid w:val="00AA2FD1"/>
    <w:rsid w:val="00AA321E"/>
    <w:rsid w:val="00AA34BC"/>
    <w:rsid w:val="00AA3720"/>
    <w:rsid w:val="00AA37AF"/>
    <w:rsid w:val="00AA39D8"/>
    <w:rsid w:val="00AA3B1F"/>
    <w:rsid w:val="00AA3C25"/>
    <w:rsid w:val="00AA3CBD"/>
    <w:rsid w:val="00AA3ECA"/>
    <w:rsid w:val="00AA4058"/>
    <w:rsid w:val="00AA4ACE"/>
    <w:rsid w:val="00AA4AEF"/>
    <w:rsid w:val="00AA4BF0"/>
    <w:rsid w:val="00AA4DB8"/>
    <w:rsid w:val="00AA4E01"/>
    <w:rsid w:val="00AA52BC"/>
    <w:rsid w:val="00AA53A7"/>
    <w:rsid w:val="00AA546D"/>
    <w:rsid w:val="00AA58DE"/>
    <w:rsid w:val="00AA59B3"/>
    <w:rsid w:val="00AA5EF1"/>
    <w:rsid w:val="00AA6041"/>
    <w:rsid w:val="00AA6086"/>
    <w:rsid w:val="00AA66AD"/>
    <w:rsid w:val="00AA66C2"/>
    <w:rsid w:val="00AA69CE"/>
    <w:rsid w:val="00AA6AA5"/>
    <w:rsid w:val="00AA6CCB"/>
    <w:rsid w:val="00AA6F9A"/>
    <w:rsid w:val="00AA71AB"/>
    <w:rsid w:val="00AA71AE"/>
    <w:rsid w:val="00AA71FD"/>
    <w:rsid w:val="00AA720E"/>
    <w:rsid w:val="00AA745A"/>
    <w:rsid w:val="00AA763F"/>
    <w:rsid w:val="00AA7677"/>
    <w:rsid w:val="00AA76F0"/>
    <w:rsid w:val="00AA770E"/>
    <w:rsid w:val="00AA77BE"/>
    <w:rsid w:val="00AA78A1"/>
    <w:rsid w:val="00AA7B90"/>
    <w:rsid w:val="00AA7DB7"/>
    <w:rsid w:val="00AB00EC"/>
    <w:rsid w:val="00AB0150"/>
    <w:rsid w:val="00AB01DD"/>
    <w:rsid w:val="00AB0239"/>
    <w:rsid w:val="00AB05C4"/>
    <w:rsid w:val="00AB061A"/>
    <w:rsid w:val="00AB0636"/>
    <w:rsid w:val="00AB0959"/>
    <w:rsid w:val="00AB0D28"/>
    <w:rsid w:val="00AB0EB7"/>
    <w:rsid w:val="00AB1040"/>
    <w:rsid w:val="00AB11B1"/>
    <w:rsid w:val="00AB151A"/>
    <w:rsid w:val="00AB19E4"/>
    <w:rsid w:val="00AB1A38"/>
    <w:rsid w:val="00AB1CA4"/>
    <w:rsid w:val="00AB1E03"/>
    <w:rsid w:val="00AB1F4E"/>
    <w:rsid w:val="00AB20AA"/>
    <w:rsid w:val="00AB2152"/>
    <w:rsid w:val="00AB2754"/>
    <w:rsid w:val="00AB27B5"/>
    <w:rsid w:val="00AB2A10"/>
    <w:rsid w:val="00AB348B"/>
    <w:rsid w:val="00AB35B6"/>
    <w:rsid w:val="00AB3A5C"/>
    <w:rsid w:val="00AB3B00"/>
    <w:rsid w:val="00AB3B33"/>
    <w:rsid w:val="00AB3DCC"/>
    <w:rsid w:val="00AB3E79"/>
    <w:rsid w:val="00AB4115"/>
    <w:rsid w:val="00AB42A9"/>
    <w:rsid w:val="00AB42B9"/>
    <w:rsid w:val="00AB432B"/>
    <w:rsid w:val="00AB4D7E"/>
    <w:rsid w:val="00AB4DB3"/>
    <w:rsid w:val="00AB4E00"/>
    <w:rsid w:val="00AB5150"/>
    <w:rsid w:val="00AB5226"/>
    <w:rsid w:val="00AB53B8"/>
    <w:rsid w:val="00AB5496"/>
    <w:rsid w:val="00AB54D1"/>
    <w:rsid w:val="00AB5603"/>
    <w:rsid w:val="00AB578A"/>
    <w:rsid w:val="00AB5AD2"/>
    <w:rsid w:val="00AB5B11"/>
    <w:rsid w:val="00AB5C3C"/>
    <w:rsid w:val="00AB5D40"/>
    <w:rsid w:val="00AB5D4F"/>
    <w:rsid w:val="00AB5E68"/>
    <w:rsid w:val="00AB6195"/>
    <w:rsid w:val="00AB6568"/>
    <w:rsid w:val="00AB686F"/>
    <w:rsid w:val="00AB68EB"/>
    <w:rsid w:val="00AB6A3E"/>
    <w:rsid w:val="00AB7059"/>
    <w:rsid w:val="00AB735A"/>
    <w:rsid w:val="00AB74A9"/>
    <w:rsid w:val="00AB7776"/>
    <w:rsid w:val="00AB7932"/>
    <w:rsid w:val="00AB7AFD"/>
    <w:rsid w:val="00AB7B01"/>
    <w:rsid w:val="00AB7FA6"/>
    <w:rsid w:val="00AB7FC7"/>
    <w:rsid w:val="00AC001B"/>
    <w:rsid w:val="00AC0324"/>
    <w:rsid w:val="00AC03A4"/>
    <w:rsid w:val="00AC03C5"/>
    <w:rsid w:val="00AC0511"/>
    <w:rsid w:val="00AC0A52"/>
    <w:rsid w:val="00AC0A7B"/>
    <w:rsid w:val="00AC0B49"/>
    <w:rsid w:val="00AC0B5C"/>
    <w:rsid w:val="00AC1072"/>
    <w:rsid w:val="00AC115A"/>
    <w:rsid w:val="00AC1234"/>
    <w:rsid w:val="00AC13A8"/>
    <w:rsid w:val="00AC152A"/>
    <w:rsid w:val="00AC152E"/>
    <w:rsid w:val="00AC161A"/>
    <w:rsid w:val="00AC19B7"/>
    <w:rsid w:val="00AC1A1F"/>
    <w:rsid w:val="00AC1AD6"/>
    <w:rsid w:val="00AC1D90"/>
    <w:rsid w:val="00AC1E82"/>
    <w:rsid w:val="00AC1F25"/>
    <w:rsid w:val="00AC2155"/>
    <w:rsid w:val="00AC224E"/>
    <w:rsid w:val="00AC23DE"/>
    <w:rsid w:val="00AC2628"/>
    <w:rsid w:val="00AC2827"/>
    <w:rsid w:val="00AC2D42"/>
    <w:rsid w:val="00AC2EC7"/>
    <w:rsid w:val="00AC2FB1"/>
    <w:rsid w:val="00AC3692"/>
    <w:rsid w:val="00AC3BDC"/>
    <w:rsid w:val="00AC4252"/>
    <w:rsid w:val="00AC4543"/>
    <w:rsid w:val="00AC45DF"/>
    <w:rsid w:val="00AC46C0"/>
    <w:rsid w:val="00AC4734"/>
    <w:rsid w:val="00AC48DE"/>
    <w:rsid w:val="00AC4CDE"/>
    <w:rsid w:val="00AC4E48"/>
    <w:rsid w:val="00AC525C"/>
    <w:rsid w:val="00AC5342"/>
    <w:rsid w:val="00AC54D9"/>
    <w:rsid w:val="00AC5AD3"/>
    <w:rsid w:val="00AC5ADF"/>
    <w:rsid w:val="00AC5CF7"/>
    <w:rsid w:val="00AC5D41"/>
    <w:rsid w:val="00AC5FF5"/>
    <w:rsid w:val="00AC6048"/>
    <w:rsid w:val="00AC67C2"/>
    <w:rsid w:val="00AC69F5"/>
    <w:rsid w:val="00AC6B9C"/>
    <w:rsid w:val="00AC6DA6"/>
    <w:rsid w:val="00AC7108"/>
    <w:rsid w:val="00AC7124"/>
    <w:rsid w:val="00AC727F"/>
    <w:rsid w:val="00AC74BC"/>
    <w:rsid w:val="00AC76E0"/>
    <w:rsid w:val="00AC772A"/>
    <w:rsid w:val="00AC7860"/>
    <w:rsid w:val="00AC7868"/>
    <w:rsid w:val="00AC7D25"/>
    <w:rsid w:val="00AC7D60"/>
    <w:rsid w:val="00AC7D80"/>
    <w:rsid w:val="00AC7E5B"/>
    <w:rsid w:val="00AC7E98"/>
    <w:rsid w:val="00AC7F20"/>
    <w:rsid w:val="00AD0061"/>
    <w:rsid w:val="00AD00A8"/>
    <w:rsid w:val="00AD01AB"/>
    <w:rsid w:val="00AD01B3"/>
    <w:rsid w:val="00AD034F"/>
    <w:rsid w:val="00AD052A"/>
    <w:rsid w:val="00AD05CA"/>
    <w:rsid w:val="00AD0A34"/>
    <w:rsid w:val="00AD110C"/>
    <w:rsid w:val="00AD1178"/>
    <w:rsid w:val="00AD132B"/>
    <w:rsid w:val="00AD1336"/>
    <w:rsid w:val="00AD135A"/>
    <w:rsid w:val="00AD1487"/>
    <w:rsid w:val="00AD149C"/>
    <w:rsid w:val="00AD153B"/>
    <w:rsid w:val="00AD1600"/>
    <w:rsid w:val="00AD19B8"/>
    <w:rsid w:val="00AD19CA"/>
    <w:rsid w:val="00AD1A85"/>
    <w:rsid w:val="00AD1C20"/>
    <w:rsid w:val="00AD1C44"/>
    <w:rsid w:val="00AD1C80"/>
    <w:rsid w:val="00AD1E54"/>
    <w:rsid w:val="00AD1EE4"/>
    <w:rsid w:val="00AD1FB6"/>
    <w:rsid w:val="00AD2135"/>
    <w:rsid w:val="00AD2190"/>
    <w:rsid w:val="00AD2473"/>
    <w:rsid w:val="00AD27C6"/>
    <w:rsid w:val="00AD28E6"/>
    <w:rsid w:val="00AD2A01"/>
    <w:rsid w:val="00AD2AB6"/>
    <w:rsid w:val="00AD2AC5"/>
    <w:rsid w:val="00AD2D97"/>
    <w:rsid w:val="00AD2E7B"/>
    <w:rsid w:val="00AD2F32"/>
    <w:rsid w:val="00AD3018"/>
    <w:rsid w:val="00AD3217"/>
    <w:rsid w:val="00AD3632"/>
    <w:rsid w:val="00AD3791"/>
    <w:rsid w:val="00AD3862"/>
    <w:rsid w:val="00AD396F"/>
    <w:rsid w:val="00AD3E50"/>
    <w:rsid w:val="00AD4222"/>
    <w:rsid w:val="00AD4296"/>
    <w:rsid w:val="00AD43F7"/>
    <w:rsid w:val="00AD46E0"/>
    <w:rsid w:val="00AD4D2A"/>
    <w:rsid w:val="00AD4DBE"/>
    <w:rsid w:val="00AD4EC5"/>
    <w:rsid w:val="00AD51A1"/>
    <w:rsid w:val="00AD5361"/>
    <w:rsid w:val="00AD542C"/>
    <w:rsid w:val="00AD54C3"/>
    <w:rsid w:val="00AD56FE"/>
    <w:rsid w:val="00AD5781"/>
    <w:rsid w:val="00AD578D"/>
    <w:rsid w:val="00AD5B93"/>
    <w:rsid w:val="00AD5C91"/>
    <w:rsid w:val="00AD5CC2"/>
    <w:rsid w:val="00AD5DB6"/>
    <w:rsid w:val="00AD5E5D"/>
    <w:rsid w:val="00AD5FEF"/>
    <w:rsid w:val="00AD6019"/>
    <w:rsid w:val="00AD61B5"/>
    <w:rsid w:val="00AD63A6"/>
    <w:rsid w:val="00AD66C1"/>
    <w:rsid w:val="00AD6766"/>
    <w:rsid w:val="00AD68B7"/>
    <w:rsid w:val="00AD6B31"/>
    <w:rsid w:val="00AD6DC7"/>
    <w:rsid w:val="00AD6FC2"/>
    <w:rsid w:val="00AD716F"/>
    <w:rsid w:val="00AD734B"/>
    <w:rsid w:val="00AD7486"/>
    <w:rsid w:val="00AD7488"/>
    <w:rsid w:val="00AD768B"/>
    <w:rsid w:val="00AD7A7D"/>
    <w:rsid w:val="00AD7A8E"/>
    <w:rsid w:val="00AE0430"/>
    <w:rsid w:val="00AE0598"/>
    <w:rsid w:val="00AE062B"/>
    <w:rsid w:val="00AE06BC"/>
    <w:rsid w:val="00AE0790"/>
    <w:rsid w:val="00AE0B80"/>
    <w:rsid w:val="00AE0C02"/>
    <w:rsid w:val="00AE0D15"/>
    <w:rsid w:val="00AE0D8E"/>
    <w:rsid w:val="00AE1133"/>
    <w:rsid w:val="00AE133E"/>
    <w:rsid w:val="00AE1427"/>
    <w:rsid w:val="00AE15FE"/>
    <w:rsid w:val="00AE17E0"/>
    <w:rsid w:val="00AE1840"/>
    <w:rsid w:val="00AE18CD"/>
    <w:rsid w:val="00AE1999"/>
    <w:rsid w:val="00AE19AC"/>
    <w:rsid w:val="00AE1A1B"/>
    <w:rsid w:val="00AE1A3C"/>
    <w:rsid w:val="00AE2093"/>
    <w:rsid w:val="00AE20E9"/>
    <w:rsid w:val="00AE20F8"/>
    <w:rsid w:val="00AE2296"/>
    <w:rsid w:val="00AE24F4"/>
    <w:rsid w:val="00AE265F"/>
    <w:rsid w:val="00AE269B"/>
    <w:rsid w:val="00AE272D"/>
    <w:rsid w:val="00AE29BE"/>
    <w:rsid w:val="00AE3002"/>
    <w:rsid w:val="00AE354E"/>
    <w:rsid w:val="00AE3590"/>
    <w:rsid w:val="00AE37C3"/>
    <w:rsid w:val="00AE399F"/>
    <w:rsid w:val="00AE3AF6"/>
    <w:rsid w:val="00AE3B52"/>
    <w:rsid w:val="00AE3E63"/>
    <w:rsid w:val="00AE3E96"/>
    <w:rsid w:val="00AE4022"/>
    <w:rsid w:val="00AE4445"/>
    <w:rsid w:val="00AE44F4"/>
    <w:rsid w:val="00AE46CE"/>
    <w:rsid w:val="00AE49F3"/>
    <w:rsid w:val="00AE4E9E"/>
    <w:rsid w:val="00AE4F85"/>
    <w:rsid w:val="00AE506D"/>
    <w:rsid w:val="00AE527D"/>
    <w:rsid w:val="00AE5316"/>
    <w:rsid w:val="00AE568D"/>
    <w:rsid w:val="00AE56AB"/>
    <w:rsid w:val="00AE599A"/>
    <w:rsid w:val="00AE5A82"/>
    <w:rsid w:val="00AE5B68"/>
    <w:rsid w:val="00AE5C4E"/>
    <w:rsid w:val="00AE5DB6"/>
    <w:rsid w:val="00AE5E6B"/>
    <w:rsid w:val="00AE6096"/>
    <w:rsid w:val="00AE61A8"/>
    <w:rsid w:val="00AE66FC"/>
    <w:rsid w:val="00AE69C4"/>
    <w:rsid w:val="00AE6A2F"/>
    <w:rsid w:val="00AE6D41"/>
    <w:rsid w:val="00AE6D86"/>
    <w:rsid w:val="00AE7235"/>
    <w:rsid w:val="00AE7429"/>
    <w:rsid w:val="00AE78D5"/>
    <w:rsid w:val="00AE78E5"/>
    <w:rsid w:val="00AE7E91"/>
    <w:rsid w:val="00AE7F2D"/>
    <w:rsid w:val="00AF0122"/>
    <w:rsid w:val="00AF01AE"/>
    <w:rsid w:val="00AF02B8"/>
    <w:rsid w:val="00AF02C6"/>
    <w:rsid w:val="00AF0492"/>
    <w:rsid w:val="00AF062B"/>
    <w:rsid w:val="00AF062D"/>
    <w:rsid w:val="00AF0917"/>
    <w:rsid w:val="00AF0949"/>
    <w:rsid w:val="00AF0A5E"/>
    <w:rsid w:val="00AF0DA6"/>
    <w:rsid w:val="00AF0FA4"/>
    <w:rsid w:val="00AF0FEA"/>
    <w:rsid w:val="00AF105E"/>
    <w:rsid w:val="00AF175B"/>
    <w:rsid w:val="00AF1AFD"/>
    <w:rsid w:val="00AF1BE0"/>
    <w:rsid w:val="00AF1C09"/>
    <w:rsid w:val="00AF208E"/>
    <w:rsid w:val="00AF232B"/>
    <w:rsid w:val="00AF237A"/>
    <w:rsid w:val="00AF2578"/>
    <w:rsid w:val="00AF2618"/>
    <w:rsid w:val="00AF26D3"/>
    <w:rsid w:val="00AF2766"/>
    <w:rsid w:val="00AF2892"/>
    <w:rsid w:val="00AF28A5"/>
    <w:rsid w:val="00AF297F"/>
    <w:rsid w:val="00AF29EA"/>
    <w:rsid w:val="00AF2A89"/>
    <w:rsid w:val="00AF2F32"/>
    <w:rsid w:val="00AF3019"/>
    <w:rsid w:val="00AF30CA"/>
    <w:rsid w:val="00AF3119"/>
    <w:rsid w:val="00AF3175"/>
    <w:rsid w:val="00AF3543"/>
    <w:rsid w:val="00AF3CEB"/>
    <w:rsid w:val="00AF3FE3"/>
    <w:rsid w:val="00AF4016"/>
    <w:rsid w:val="00AF40FE"/>
    <w:rsid w:val="00AF411A"/>
    <w:rsid w:val="00AF41B9"/>
    <w:rsid w:val="00AF44FD"/>
    <w:rsid w:val="00AF45AF"/>
    <w:rsid w:val="00AF46D3"/>
    <w:rsid w:val="00AF4926"/>
    <w:rsid w:val="00AF4ABC"/>
    <w:rsid w:val="00AF4B33"/>
    <w:rsid w:val="00AF4CB2"/>
    <w:rsid w:val="00AF4CDE"/>
    <w:rsid w:val="00AF4F40"/>
    <w:rsid w:val="00AF509F"/>
    <w:rsid w:val="00AF50B4"/>
    <w:rsid w:val="00AF5228"/>
    <w:rsid w:val="00AF5454"/>
    <w:rsid w:val="00AF547C"/>
    <w:rsid w:val="00AF549F"/>
    <w:rsid w:val="00AF572A"/>
    <w:rsid w:val="00AF5795"/>
    <w:rsid w:val="00AF59B2"/>
    <w:rsid w:val="00AF5B19"/>
    <w:rsid w:val="00AF5C5C"/>
    <w:rsid w:val="00AF5E37"/>
    <w:rsid w:val="00AF5E96"/>
    <w:rsid w:val="00AF5F8B"/>
    <w:rsid w:val="00AF6135"/>
    <w:rsid w:val="00AF6263"/>
    <w:rsid w:val="00AF6282"/>
    <w:rsid w:val="00AF6336"/>
    <w:rsid w:val="00AF63FD"/>
    <w:rsid w:val="00AF656B"/>
    <w:rsid w:val="00AF65E2"/>
    <w:rsid w:val="00AF673E"/>
    <w:rsid w:val="00AF6955"/>
    <w:rsid w:val="00AF6A47"/>
    <w:rsid w:val="00AF6C3E"/>
    <w:rsid w:val="00AF6CA4"/>
    <w:rsid w:val="00AF72A3"/>
    <w:rsid w:val="00AF7369"/>
    <w:rsid w:val="00AF7704"/>
    <w:rsid w:val="00AF7797"/>
    <w:rsid w:val="00AF7850"/>
    <w:rsid w:val="00AF78A1"/>
    <w:rsid w:val="00AF7ABD"/>
    <w:rsid w:val="00B003F2"/>
    <w:rsid w:val="00B006A0"/>
    <w:rsid w:val="00B0076A"/>
    <w:rsid w:val="00B007FA"/>
    <w:rsid w:val="00B00F76"/>
    <w:rsid w:val="00B01021"/>
    <w:rsid w:val="00B0107B"/>
    <w:rsid w:val="00B01102"/>
    <w:rsid w:val="00B0116B"/>
    <w:rsid w:val="00B013C4"/>
    <w:rsid w:val="00B015AE"/>
    <w:rsid w:val="00B015F4"/>
    <w:rsid w:val="00B01654"/>
    <w:rsid w:val="00B01669"/>
    <w:rsid w:val="00B0173C"/>
    <w:rsid w:val="00B017EE"/>
    <w:rsid w:val="00B01909"/>
    <w:rsid w:val="00B01A42"/>
    <w:rsid w:val="00B01AAC"/>
    <w:rsid w:val="00B01B01"/>
    <w:rsid w:val="00B01C24"/>
    <w:rsid w:val="00B01F94"/>
    <w:rsid w:val="00B01FAC"/>
    <w:rsid w:val="00B02402"/>
    <w:rsid w:val="00B02459"/>
    <w:rsid w:val="00B0263F"/>
    <w:rsid w:val="00B0280B"/>
    <w:rsid w:val="00B02900"/>
    <w:rsid w:val="00B02930"/>
    <w:rsid w:val="00B029A9"/>
    <w:rsid w:val="00B02AD3"/>
    <w:rsid w:val="00B02BB9"/>
    <w:rsid w:val="00B02DC3"/>
    <w:rsid w:val="00B02DC4"/>
    <w:rsid w:val="00B02FE5"/>
    <w:rsid w:val="00B03A98"/>
    <w:rsid w:val="00B03BA1"/>
    <w:rsid w:val="00B03E8C"/>
    <w:rsid w:val="00B04044"/>
    <w:rsid w:val="00B04094"/>
    <w:rsid w:val="00B040AE"/>
    <w:rsid w:val="00B043D7"/>
    <w:rsid w:val="00B044D8"/>
    <w:rsid w:val="00B04683"/>
    <w:rsid w:val="00B047F8"/>
    <w:rsid w:val="00B04A84"/>
    <w:rsid w:val="00B04B9F"/>
    <w:rsid w:val="00B04BCD"/>
    <w:rsid w:val="00B0515D"/>
    <w:rsid w:val="00B05261"/>
    <w:rsid w:val="00B0541A"/>
    <w:rsid w:val="00B055ED"/>
    <w:rsid w:val="00B05710"/>
    <w:rsid w:val="00B0577D"/>
    <w:rsid w:val="00B059AD"/>
    <w:rsid w:val="00B05A15"/>
    <w:rsid w:val="00B05B8A"/>
    <w:rsid w:val="00B05D85"/>
    <w:rsid w:val="00B06181"/>
    <w:rsid w:val="00B061F9"/>
    <w:rsid w:val="00B063DC"/>
    <w:rsid w:val="00B064A4"/>
    <w:rsid w:val="00B06575"/>
    <w:rsid w:val="00B0657D"/>
    <w:rsid w:val="00B06A46"/>
    <w:rsid w:val="00B06E2C"/>
    <w:rsid w:val="00B06E65"/>
    <w:rsid w:val="00B06F0B"/>
    <w:rsid w:val="00B07091"/>
    <w:rsid w:val="00B071BE"/>
    <w:rsid w:val="00B07350"/>
    <w:rsid w:val="00B07450"/>
    <w:rsid w:val="00B0782E"/>
    <w:rsid w:val="00B07932"/>
    <w:rsid w:val="00B0799F"/>
    <w:rsid w:val="00B07AF5"/>
    <w:rsid w:val="00B1015C"/>
    <w:rsid w:val="00B1030A"/>
    <w:rsid w:val="00B1033A"/>
    <w:rsid w:val="00B1039E"/>
    <w:rsid w:val="00B1048F"/>
    <w:rsid w:val="00B104C4"/>
    <w:rsid w:val="00B1071C"/>
    <w:rsid w:val="00B10857"/>
    <w:rsid w:val="00B108FC"/>
    <w:rsid w:val="00B10A68"/>
    <w:rsid w:val="00B10AE0"/>
    <w:rsid w:val="00B10B5F"/>
    <w:rsid w:val="00B10C64"/>
    <w:rsid w:val="00B10DC7"/>
    <w:rsid w:val="00B10E28"/>
    <w:rsid w:val="00B10EA6"/>
    <w:rsid w:val="00B11127"/>
    <w:rsid w:val="00B11775"/>
    <w:rsid w:val="00B118DA"/>
    <w:rsid w:val="00B11945"/>
    <w:rsid w:val="00B11C80"/>
    <w:rsid w:val="00B12242"/>
    <w:rsid w:val="00B1257D"/>
    <w:rsid w:val="00B1262B"/>
    <w:rsid w:val="00B12644"/>
    <w:rsid w:val="00B1291F"/>
    <w:rsid w:val="00B129A6"/>
    <w:rsid w:val="00B129E5"/>
    <w:rsid w:val="00B12E49"/>
    <w:rsid w:val="00B13020"/>
    <w:rsid w:val="00B1302C"/>
    <w:rsid w:val="00B130DD"/>
    <w:rsid w:val="00B131E9"/>
    <w:rsid w:val="00B13482"/>
    <w:rsid w:val="00B13758"/>
    <w:rsid w:val="00B13ECF"/>
    <w:rsid w:val="00B14035"/>
    <w:rsid w:val="00B1403A"/>
    <w:rsid w:val="00B140F7"/>
    <w:rsid w:val="00B14798"/>
    <w:rsid w:val="00B14900"/>
    <w:rsid w:val="00B149FB"/>
    <w:rsid w:val="00B14AC8"/>
    <w:rsid w:val="00B15210"/>
    <w:rsid w:val="00B1522E"/>
    <w:rsid w:val="00B1525E"/>
    <w:rsid w:val="00B15602"/>
    <w:rsid w:val="00B156C7"/>
    <w:rsid w:val="00B15812"/>
    <w:rsid w:val="00B15BD9"/>
    <w:rsid w:val="00B15FEF"/>
    <w:rsid w:val="00B16057"/>
    <w:rsid w:val="00B1616B"/>
    <w:rsid w:val="00B16365"/>
    <w:rsid w:val="00B1644E"/>
    <w:rsid w:val="00B16600"/>
    <w:rsid w:val="00B16889"/>
    <w:rsid w:val="00B16AD9"/>
    <w:rsid w:val="00B16C3C"/>
    <w:rsid w:val="00B16CE7"/>
    <w:rsid w:val="00B171BF"/>
    <w:rsid w:val="00B1726D"/>
    <w:rsid w:val="00B1730B"/>
    <w:rsid w:val="00B1739F"/>
    <w:rsid w:val="00B17541"/>
    <w:rsid w:val="00B17677"/>
    <w:rsid w:val="00B178A1"/>
    <w:rsid w:val="00B1792F"/>
    <w:rsid w:val="00B17F52"/>
    <w:rsid w:val="00B17F99"/>
    <w:rsid w:val="00B20086"/>
    <w:rsid w:val="00B20157"/>
    <w:rsid w:val="00B201D9"/>
    <w:rsid w:val="00B205C6"/>
    <w:rsid w:val="00B20ABA"/>
    <w:rsid w:val="00B20ED2"/>
    <w:rsid w:val="00B20FFC"/>
    <w:rsid w:val="00B21013"/>
    <w:rsid w:val="00B21057"/>
    <w:rsid w:val="00B2114F"/>
    <w:rsid w:val="00B212CA"/>
    <w:rsid w:val="00B213C6"/>
    <w:rsid w:val="00B215E1"/>
    <w:rsid w:val="00B21948"/>
    <w:rsid w:val="00B219B0"/>
    <w:rsid w:val="00B219D6"/>
    <w:rsid w:val="00B21A08"/>
    <w:rsid w:val="00B21C4B"/>
    <w:rsid w:val="00B21DB4"/>
    <w:rsid w:val="00B21DB5"/>
    <w:rsid w:val="00B21DB7"/>
    <w:rsid w:val="00B22003"/>
    <w:rsid w:val="00B22081"/>
    <w:rsid w:val="00B220ED"/>
    <w:rsid w:val="00B22103"/>
    <w:rsid w:val="00B22624"/>
    <w:rsid w:val="00B2263C"/>
    <w:rsid w:val="00B227D3"/>
    <w:rsid w:val="00B229A7"/>
    <w:rsid w:val="00B22BBA"/>
    <w:rsid w:val="00B22C06"/>
    <w:rsid w:val="00B22D48"/>
    <w:rsid w:val="00B22DA3"/>
    <w:rsid w:val="00B22FCB"/>
    <w:rsid w:val="00B2303D"/>
    <w:rsid w:val="00B2308A"/>
    <w:rsid w:val="00B23489"/>
    <w:rsid w:val="00B23678"/>
    <w:rsid w:val="00B23780"/>
    <w:rsid w:val="00B238D4"/>
    <w:rsid w:val="00B23A14"/>
    <w:rsid w:val="00B23A6D"/>
    <w:rsid w:val="00B23D19"/>
    <w:rsid w:val="00B23DF4"/>
    <w:rsid w:val="00B23EF7"/>
    <w:rsid w:val="00B23F2D"/>
    <w:rsid w:val="00B24019"/>
    <w:rsid w:val="00B24021"/>
    <w:rsid w:val="00B241B9"/>
    <w:rsid w:val="00B24349"/>
    <w:rsid w:val="00B24653"/>
    <w:rsid w:val="00B24835"/>
    <w:rsid w:val="00B249C4"/>
    <w:rsid w:val="00B249D1"/>
    <w:rsid w:val="00B24B72"/>
    <w:rsid w:val="00B24BEA"/>
    <w:rsid w:val="00B24C66"/>
    <w:rsid w:val="00B24DD7"/>
    <w:rsid w:val="00B254E4"/>
    <w:rsid w:val="00B25656"/>
    <w:rsid w:val="00B25696"/>
    <w:rsid w:val="00B25A51"/>
    <w:rsid w:val="00B25ABB"/>
    <w:rsid w:val="00B25B47"/>
    <w:rsid w:val="00B25BA8"/>
    <w:rsid w:val="00B264DF"/>
    <w:rsid w:val="00B26589"/>
    <w:rsid w:val="00B266A3"/>
    <w:rsid w:val="00B26962"/>
    <w:rsid w:val="00B269E7"/>
    <w:rsid w:val="00B26AEC"/>
    <w:rsid w:val="00B26C2F"/>
    <w:rsid w:val="00B26D43"/>
    <w:rsid w:val="00B26FE8"/>
    <w:rsid w:val="00B2723F"/>
    <w:rsid w:val="00B2737E"/>
    <w:rsid w:val="00B27497"/>
    <w:rsid w:val="00B27525"/>
    <w:rsid w:val="00B27808"/>
    <w:rsid w:val="00B27831"/>
    <w:rsid w:val="00B27875"/>
    <w:rsid w:val="00B2793D"/>
    <w:rsid w:val="00B27C8C"/>
    <w:rsid w:val="00B30030"/>
    <w:rsid w:val="00B300A7"/>
    <w:rsid w:val="00B301DB"/>
    <w:rsid w:val="00B3020B"/>
    <w:rsid w:val="00B3028C"/>
    <w:rsid w:val="00B302FC"/>
    <w:rsid w:val="00B304A9"/>
    <w:rsid w:val="00B30746"/>
    <w:rsid w:val="00B3093A"/>
    <w:rsid w:val="00B30F82"/>
    <w:rsid w:val="00B3110E"/>
    <w:rsid w:val="00B31266"/>
    <w:rsid w:val="00B31495"/>
    <w:rsid w:val="00B318F9"/>
    <w:rsid w:val="00B31D29"/>
    <w:rsid w:val="00B31EE8"/>
    <w:rsid w:val="00B32017"/>
    <w:rsid w:val="00B329D2"/>
    <w:rsid w:val="00B32A29"/>
    <w:rsid w:val="00B32C00"/>
    <w:rsid w:val="00B32ED1"/>
    <w:rsid w:val="00B331AC"/>
    <w:rsid w:val="00B33345"/>
    <w:rsid w:val="00B33446"/>
    <w:rsid w:val="00B33810"/>
    <w:rsid w:val="00B339A3"/>
    <w:rsid w:val="00B33B51"/>
    <w:rsid w:val="00B33EC5"/>
    <w:rsid w:val="00B33EFE"/>
    <w:rsid w:val="00B342F4"/>
    <w:rsid w:val="00B34419"/>
    <w:rsid w:val="00B3465C"/>
    <w:rsid w:val="00B347CA"/>
    <w:rsid w:val="00B347D8"/>
    <w:rsid w:val="00B348E1"/>
    <w:rsid w:val="00B34990"/>
    <w:rsid w:val="00B34FD8"/>
    <w:rsid w:val="00B35594"/>
    <w:rsid w:val="00B35739"/>
    <w:rsid w:val="00B357C3"/>
    <w:rsid w:val="00B358E8"/>
    <w:rsid w:val="00B359F1"/>
    <w:rsid w:val="00B35C16"/>
    <w:rsid w:val="00B35C3F"/>
    <w:rsid w:val="00B36382"/>
    <w:rsid w:val="00B36999"/>
    <w:rsid w:val="00B36A54"/>
    <w:rsid w:val="00B36B17"/>
    <w:rsid w:val="00B36D63"/>
    <w:rsid w:val="00B36FCB"/>
    <w:rsid w:val="00B37195"/>
    <w:rsid w:val="00B37388"/>
    <w:rsid w:val="00B373F0"/>
    <w:rsid w:val="00B3769C"/>
    <w:rsid w:val="00B37774"/>
    <w:rsid w:val="00B3788A"/>
    <w:rsid w:val="00B37D44"/>
    <w:rsid w:val="00B37E2C"/>
    <w:rsid w:val="00B37E48"/>
    <w:rsid w:val="00B37E73"/>
    <w:rsid w:val="00B40193"/>
    <w:rsid w:val="00B402EA"/>
    <w:rsid w:val="00B4048A"/>
    <w:rsid w:val="00B40497"/>
    <w:rsid w:val="00B406FB"/>
    <w:rsid w:val="00B40702"/>
    <w:rsid w:val="00B40EE6"/>
    <w:rsid w:val="00B40F7F"/>
    <w:rsid w:val="00B4172F"/>
    <w:rsid w:val="00B4176D"/>
    <w:rsid w:val="00B41892"/>
    <w:rsid w:val="00B419CF"/>
    <w:rsid w:val="00B42184"/>
    <w:rsid w:val="00B4243D"/>
    <w:rsid w:val="00B42546"/>
    <w:rsid w:val="00B4278C"/>
    <w:rsid w:val="00B42B8F"/>
    <w:rsid w:val="00B42BEB"/>
    <w:rsid w:val="00B42BF1"/>
    <w:rsid w:val="00B42E02"/>
    <w:rsid w:val="00B434AA"/>
    <w:rsid w:val="00B4354B"/>
    <w:rsid w:val="00B43732"/>
    <w:rsid w:val="00B438D3"/>
    <w:rsid w:val="00B43A23"/>
    <w:rsid w:val="00B43A80"/>
    <w:rsid w:val="00B43CC6"/>
    <w:rsid w:val="00B43DC4"/>
    <w:rsid w:val="00B43F35"/>
    <w:rsid w:val="00B44311"/>
    <w:rsid w:val="00B44557"/>
    <w:rsid w:val="00B446D7"/>
    <w:rsid w:val="00B447F3"/>
    <w:rsid w:val="00B44BF9"/>
    <w:rsid w:val="00B44C09"/>
    <w:rsid w:val="00B44F66"/>
    <w:rsid w:val="00B4520B"/>
    <w:rsid w:val="00B45370"/>
    <w:rsid w:val="00B45446"/>
    <w:rsid w:val="00B45AFE"/>
    <w:rsid w:val="00B45C5A"/>
    <w:rsid w:val="00B45CBA"/>
    <w:rsid w:val="00B45D0E"/>
    <w:rsid w:val="00B463F1"/>
    <w:rsid w:val="00B4652B"/>
    <w:rsid w:val="00B466AD"/>
    <w:rsid w:val="00B46849"/>
    <w:rsid w:val="00B46CFC"/>
    <w:rsid w:val="00B47178"/>
    <w:rsid w:val="00B4727D"/>
    <w:rsid w:val="00B47563"/>
    <w:rsid w:val="00B47593"/>
    <w:rsid w:val="00B479A4"/>
    <w:rsid w:val="00B500D6"/>
    <w:rsid w:val="00B50133"/>
    <w:rsid w:val="00B5036A"/>
    <w:rsid w:val="00B503CC"/>
    <w:rsid w:val="00B504BD"/>
    <w:rsid w:val="00B50BC9"/>
    <w:rsid w:val="00B50C43"/>
    <w:rsid w:val="00B50D49"/>
    <w:rsid w:val="00B50DCA"/>
    <w:rsid w:val="00B50F86"/>
    <w:rsid w:val="00B50FA4"/>
    <w:rsid w:val="00B51146"/>
    <w:rsid w:val="00B51211"/>
    <w:rsid w:val="00B5142F"/>
    <w:rsid w:val="00B51496"/>
    <w:rsid w:val="00B517EA"/>
    <w:rsid w:val="00B51840"/>
    <w:rsid w:val="00B51A5B"/>
    <w:rsid w:val="00B51A70"/>
    <w:rsid w:val="00B51B63"/>
    <w:rsid w:val="00B51C3B"/>
    <w:rsid w:val="00B520ED"/>
    <w:rsid w:val="00B52205"/>
    <w:rsid w:val="00B52247"/>
    <w:rsid w:val="00B522AA"/>
    <w:rsid w:val="00B52502"/>
    <w:rsid w:val="00B52559"/>
    <w:rsid w:val="00B52A53"/>
    <w:rsid w:val="00B52AD4"/>
    <w:rsid w:val="00B52B49"/>
    <w:rsid w:val="00B52B51"/>
    <w:rsid w:val="00B52B90"/>
    <w:rsid w:val="00B52FF0"/>
    <w:rsid w:val="00B532BE"/>
    <w:rsid w:val="00B534C6"/>
    <w:rsid w:val="00B53568"/>
    <w:rsid w:val="00B53740"/>
    <w:rsid w:val="00B537E6"/>
    <w:rsid w:val="00B539F3"/>
    <w:rsid w:val="00B53BD5"/>
    <w:rsid w:val="00B53C4A"/>
    <w:rsid w:val="00B53E59"/>
    <w:rsid w:val="00B53EF3"/>
    <w:rsid w:val="00B53FB6"/>
    <w:rsid w:val="00B5405F"/>
    <w:rsid w:val="00B54204"/>
    <w:rsid w:val="00B5486E"/>
    <w:rsid w:val="00B54AB1"/>
    <w:rsid w:val="00B54BDF"/>
    <w:rsid w:val="00B550C3"/>
    <w:rsid w:val="00B550DA"/>
    <w:rsid w:val="00B553E5"/>
    <w:rsid w:val="00B558C2"/>
    <w:rsid w:val="00B55901"/>
    <w:rsid w:val="00B559FE"/>
    <w:rsid w:val="00B55A94"/>
    <w:rsid w:val="00B55B99"/>
    <w:rsid w:val="00B55C85"/>
    <w:rsid w:val="00B55D2C"/>
    <w:rsid w:val="00B55EC2"/>
    <w:rsid w:val="00B561A1"/>
    <w:rsid w:val="00B562B7"/>
    <w:rsid w:val="00B562E7"/>
    <w:rsid w:val="00B56426"/>
    <w:rsid w:val="00B56471"/>
    <w:rsid w:val="00B56513"/>
    <w:rsid w:val="00B56584"/>
    <w:rsid w:val="00B565F6"/>
    <w:rsid w:val="00B56A45"/>
    <w:rsid w:val="00B56AB9"/>
    <w:rsid w:val="00B56BF3"/>
    <w:rsid w:val="00B571A1"/>
    <w:rsid w:val="00B571A9"/>
    <w:rsid w:val="00B5746C"/>
    <w:rsid w:val="00B5767C"/>
    <w:rsid w:val="00B57703"/>
    <w:rsid w:val="00B57D0C"/>
    <w:rsid w:val="00B57DE2"/>
    <w:rsid w:val="00B57FD5"/>
    <w:rsid w:val="00B6013A"/>
    <w:rsid w:val="00B60384"/>
    <w:rsid w:val="00B6038F"/>
    <w:rsid w:val="00B60836"/>
    <w:rsid w:val="00B60C89"/>
    <w:rsid w:val="00B60D1F"/>
    <w:rsid w:val="00B60D75"/>
    <w:rsid w:val="00B60EDB"/>
    <w:rsid w:val="00B61444"/>
    <w:rsid w:val="00B61488"/>
    <w:rsid w:val="00B61684"/>
    <w:rsid w:val="00B617CD"/>
    <w:rsid w:val="00B6186B"/>
    <w:rsid w:val="00B618A5"/>
    <w:rsid w:val="00B61C88"/>
    <w:rsid w:val="00B61DC8"/>
    <w:rsid w:val="00B61F48"/>
    <w:rsid w:val="00B61F4F"/>
    <w:rsid w:val="00B620A9"/>
    <w:rsid w:val="00B620D9"/>
    <w:rsid w:val="00B6245C"/>
    <w:rsid w:val="00B62571"/>
    <w:rsid w:val="00B625F7"/>
    <w:rsid w:val="00B6269B"/>
    <w:rsid w:val="00B62C52"/>
    <w:rsid w:val="00B62FF1"/>
    <w:rsid w:val="00B633BB"/>
    <w:rsid w:val="00B634E0"/>
    <w:rsid w:val="00B6350D"/>
    <w:rsid w:val="00B6354E"/>
    <w:rsid w:val="00B6384F"/>
    <w:rsid w:val="00B6389C"/>
    <w:rsid w:val="00B63ACC"/>
    <w:rsid w:val="00B63AFB"/>
    <w:rsid w:val="00B63BCC"/>
    <w:rsid w:val="00B63C70"/>
    <w:rsid w:val="00B63D4C"/>
    <w:rsid w:val="00B64344"/>
    <w:rsid w:val="00B64619"/>
    <w:rsid w:val="00B648F9"/>
    <w:rsid w:val="00B6490F"/>
    <w:rsid w:val="00B65621"/>
    <w:rsid w:val="00B657DF"/>
    <w:rsid w:val="00B6594F"/>
    <w:rsid w:val="00B6599A"/>
    <w:rsid w:val="00B65B37"/>
    <w:rsid w:val="00B65CF0"/>
    <w:rsid w:val="00B65D0A"/>
    <w:rsid w:val="00B65FC2"/>
    <w:rsid w:val="00B66468"/>
    <w:rsid w:val="00B66487"/>
    <w:rsid w:val="00B66630"/>
    <w:rsid w:val="00B66647"/>
    <w:rsid w:val="00B666B7"/>
    <w:rsid w:val="00B666FA"/>
    <w:rsid w:val="00B66ADA"/>
    <w:rsid w:val="00B66C62"/>
    <w:rsid w:val="00B66EF5"/>
    <w:rsid w:val="00B66FAC"/>
    <w:rsid w:val="00B67089"/>
    <w:rsid w:val="00B671EE"/>
    <w:rsid w:val="00B672E5"/>
    <w:rsid w:val="00B67500"/>
    <w:rsid w:val="00B67629"/>
    <w:rsid w:val="00B67756"/>
    <w:rsid w:val="00B67B4D"/>
    <w:rsid w:val="00B67E26"/>
    <w:rsid w:val="00B67F40"/>
    <w:rsid w:val="00B701BD"/>
    <w:rsid w:val="00B7038B"/>
    <w:rsid w:val="00B703C0"/>
    <w:rsid w:val="00B7067C"/>
    <w:rsid w:val="00B70690"/>
    <w:rsid w:val="00B70992"/>
    <w:rsid w:val="00B70C6C"/>
    <w:rsid w:val="00B70FE4"/>
    <w:rsid w:val="00B7111C"/>
    <w:rsid w:val="00B711D6"/>
    <w:rsid w:val="00B71241"/>
    <w:rsid w:val="00B71302"/>
    <w:rsid w:val="00B7148E"/>
    <w:rsid w:val="00B7159D"/>
    <w:rsid w:val="00B7159F"/>
    <w:rsid w:val="00B71623"/>
    <w:rsid w:val="00B71624"/>
    <w:rsid w:val="00B7164E"/>
    <w:rsid w:val="00B7173C"/>
    <w:rsid w:val="00B719A9"/>
    <w:rsid w:val="00B71AA7"/>
    <w:rsid w:val="00B71C53"/>
    <w:rsid w:val="00B72212"/>
    <w:rsid w:val="00B72551"/>
    <w:rsid w:val="00B727C3"/>
    <w:rsid w:val="00B72881"/>
    <w:rsid w:val="00B729AD"/>
    <w:rsid w:val="00B72AF2"/>
    <w:rsid w:val="00B72CDB"/>
    <w:rsid w:val="00B72D06"/>
    <w:rsid w:val="00B72D44"/>
    <w:rsid w:val="00B72D4C"/>
    <w:rsid w:val="00B72D79"/>
    <w:rsid w:val="00B72D94"/>
    <w:rsid w:val="00B72F13"/>
    <w:rsid w:val="00B730B7"/>
    <w:rsid w:val="00B730DA"/>
    <w:rsid w:val="00B73379"/>
    <w:rsid w:val="00B73648"/>
    <w:rsid w:val="00B7368D"/>
    <w:rsid w:val="00B73A33"/>
    <w:rsid w:val="00B73B81"/>
    <w:rsid w:val="00B73BBF"/>
    <w:rsid w:val="00B73BFD"/>
    <w:rsid w:val="00B73E41"/>
    <w:rsid w:val="00B74684"/>
    <w:rsid w:val="00B748CB"/>
    <w:rsid w:val="00B74B2D"/>
    <w:rsid w:val="00B74D0A"/>
    <w:rsid w:val="00B74F05"/>
    <w:rsid w:val="00B74F10"/>
    <w:rsid w:val="00B74F19"/>
    <w:rsid w:val="00B75211"/>
    <w:rsid w:val="00B754B8"/>
    <w:rsid w:val="00B754CA"/>
    <w:rsid w:val="00B75B80"/>
    <w:rsid w:val="00B75DCB"/>
    <w:rsid w:val="00B75E87"/>
    <w:rsid w:val="00B760DF"/>
    <w:rsid w:val="00B7613B"/>
    <w:rsid w:val="00B762F2"/>
    <w:rsid w:val="00B7647C"/>
    <w:rsid w:val="00B76808"/>
    <w:rsid w:val="00B769D2"/>
    <w:rsid w:val="00B76C24"/>
    <w:rsid w:val="00B77148"/>
    <w:rsid w:val="00B77514"/>
    <w:rsid w:val="00B7768B"/>
    <w:rsid w:val="00B777A5"/>
    <w:rsid w:val="00B777FD"/>
    <w:rsid w:val="00B77D4B"/>
    <w:rsid w:val="00B77E14"/>
    <w:rsid w:val="00B77E6B"/>
    <w:rsid w:val="00B77F93"/>
    <w:rsid w:val="00B77FCB"/>
    <w:rsid w:val="00B801E4"/>
    <w:rsid w:val="00B80264"/>
    <w:rsid w:val="00B8056C"/>
    <w:rsid w:val="00B8084B"/>
    <w:rsid w:val="00B80C96"/>
    <w:rsid w:val="00B81089"/>
    <w:rsid w:val="00B8115A"/>
    <w:rsid w:val="00B816AF"/>
    <w:rsid w:val="00B81934"/>
    <w:rsid w:val="00B81B09"/>
    <w:rsid w:val="00B81CE7"/>
    <w:rsid w:val="00B81D8D"/>
    <w:rsid w:val="00B8203E"/>
    <w:rsid w:val="00B820F8"/>
    <w:rsid w:val="00B82328"/>
    <w:rsid w:val="00B824C6"/>
    <w:rsid w:val="00B825B9"/>
    <w:rsid w:val="00B826C0"/>
    <w:rsid w:val="00B826D9"/>
    <w:rsid w:val="00B826E5"/>
    <w:rsid w:val="00B827C7"/>
    <w:rsid w:val="00B82849"/>
    <w:rsid w:val="00B828B8"/>
    <w:rsid w:val="00B82A30"/>
    <w:rsid w:val="00B82BD4"/>
    <w:rsid w:val="00B82C0A"/>
    <w:rsid w:val="00B82EBA"/>
    <w:rsid w:val="00B82FA6"/>
    <w:rsid w:val="00B82FFA"/>
    <w:rsid w:val="00B8307A"/>
    <w:rsid w:val="00B8309F"/>
    <w:rsid w:val="00B83126"/>
    <w:rsid w:val="00B83131"/>
    <w:rsid w:val="00B835D5"/>
    <w:rsid w:val="00B836BB"/>
    <w:rsid w:val="00B83824"/>
    <w:rsid w:val="00B83A3E"/>
    <w:rsid w:val="00B83C85"/>
    <w:rsid w:val="00B83E3F"/>
    <w:rsid w:val="00B83E5A"/>
    <w:rsid w:val="00B83FFA"/>
    <w:rsid w:val="00B840B7"/>
    <w:rsid w:val="00B84213"/>
    <w:rsid w:val="00B84444"/>
    <w:rsid w:val="00B8454B"/>
    <w:rsid w:val="00B8460A"/>
    <w:rsid w:val="00B84934"/>
    <w:rsid w:val="00B84AE9"/>
    <w:rsid w:val="00B84E00"/>
    <w:rsid w:val="00B8506A"/>
    <w:rsid w:val="00B856A7"/>
    <w:rsid w:val="00B856C1"/>
    <w:rsid w:val="00B85F08"/>
    <w:rsid w:val="00B85F49"/>
    <w:rsid w:val="00B860A9"/>
    <w:rsid w:val="00B86733"/>
    <w:rsid w:val="00B868B7"/>
    <w:rsid w:val="00B86BE6"/>
    <w:rsid w:val="00B86FD1"/>
    <w:rsid w:val="00B870C5"/>
    <w:rsid w:val="00B87140"/>
    <w:rsid w:val="00B8721B"/>
    <w:rsid w:val="00B87594"/>
    <w:rsid w:val="00B87804"/>
    <w:rsid w:val="00B87B58"/>
    <w:rsid w:val="00B87B72"/>
    <w:rsid w:val="00B90541"/>
    <w:rsid w:val="00B909DC"/>
    <w:rsid w:val="00B90D03"/>
    <w:rsid w:val="00B90F14"/>
    <w:rsid w:val="00B91CF9"/>
    <w:rsid w:val="00B91D91"/>
    <w:rsid w:val="00B91E17"/>
    <w:rsid w:val="00B92007"/>
    <w:rsid w:val="00B9242B"/>
    <w:rsid w:val="00B9261E"/>
    <w:rsid w:val="00B926A1"/>
    <w:rsid w:val="00B927D2"/>
    <w:rsid w:val="00B928A9"/>
    <w:rsid w:val="00B92906"/>
    <w:rsid w:val="00B929BA"/>
    <w:rsid w:val="00B929E9"/>
    <w:rsid w:val="00B92A20"/>
    <w:rsid w:val="00B92A77"/>
    <w:rsid w:val="00B92A7B"/>
    <w:rsid w:val="00B92C11"/>
    <w:rsid w:val="00B92DB4"/>
    <w:rsid w:val="00B92E89"/>
    <w:rsid w:val="00B930BF"/>
    <w:rsid w:val="00B9320A"/>
    <w:rsid w:val="00B932EF"/>
    <w:rsid w:val="00B93830"/>
    <w:rsid w:val="00B93A63"/>
    <w:rsid w:val="00B93D41"/>
    <w:rsid w:val="00B93F30"/>
    <w:rsid w:val="00B94262"/>
    <w:rsid w:val="00B942E8"/>
    <w:rsid w:val="00B94479"/>
    <w:rsid w:val="00B94D38"/>
    <w:rsid w:val="00B94D49"/>
    <w:rsid w:val="00B9505C"/>
    <w:rsid w:val="00B950F8"/>
    <w:rsid w:val="00B951AF"/>
    <w:rsid w:val="00B952A3"/>
    <w:rsid w:val="00B956DB"/>
    <w:rsid w:val="00B95B24"/>
    <w:rsid w:val="00B95B4A"/>
    <w:rsid w:val="00B95C7B"/>
    <w:rsid w:val="00B96034"/>
    <w:rsid w:val="00B9609E"/>
    <w:rsid w:val="00B96243"/>
    <w:rsid w:val="00B9651A"/>
    <w:rsid w:val="00B966B7"/>
    <w:rsid w:val="00B96832"/>
    <w:rsid w:val="00B96933"/>
    <w:rsid w:val="00B96A43"/>
    <w:rsid w:val="00B96CAD"/>
    <w:rsid w:val="00B96D95"/>
    <w:rsid w:val="00B96DE5"/>
    <w:rsid w:val="00B96E30"/>
    <w:rsid w:val="00B96F5D"/>
    <w:rsid w:val="00B96FE9"/>
    <w:rsid w:val="00B97090"/>
    <w:rsid w:val="00B970F8"/>
    <w:rsid w:val="00B97658"/>
    <w:rsid w:val="00B9783A"/>
    <w:rsid w:val="00B97926"/>
    <w:rsid w:val="00B97BEA"/>
    <w:rsid w:val="00BA02C9"/>
    <w:rsid w:val="00BA031A"/>
    <w:rsid w:val="00BA03DE"/>
    <w:rsid w:val="00BA04F7"/>
    <w:rsid w:val="00BA050B"/>
    <w:rsid w:val="00BA0577"/>
    <w:rsid w:val="00BA061D"/>
    <w:rsid w:val="00BA0629"/>
    <w:rsid w:val="00BA080E"/>
    <w:rsid w:val="00BA08BC"/>
    <w:rsid w:val="00BA0AF9"/>
    <w:rsid w:val="00BA0C5A"/>
    <w:rsid w:val="00BA0C67"/>
    <w:rsid w:val="00BA0D79"/>
    <w:rsid w:val="00BA0F25"/>
    <w:rsid w:val="00BA11B7"/>
    <w:rsid w:val="00BA13F9"/>
    <w:rsid w:val="00BA1425"/>
    <w:rsid w:val="00BA1DD6"/>
    <w:rsid w:val="00BA2049"/>
    <w:rsid w:val="00BA2054"/>
    <w:rsid w:val="00BA20F0"/>
    <w:rsid w:val="00BA22C3"/>
    <w:rsid w:val="00BA2426"/>
    <w:rsid w:val="00BA2513"/>
    <w:rsid w:val="00BA2777"/>
    <w:rsid w:val="00BA28CA"/>
    <w:rsid w:val="00BA2E51"/>
    <w:rsid w:val="00BA2E52"/>
    <w:rsid w:val="00BA2FE9"/>
    <w:rsid w:val="00BA30F7"/>
    <w:rsid w:val="00BA386D"/>
    <w:rsid w:val="00BA3A52"/>
    <w:rsid w:val="00BA4130"/>
    <w:rsid w:val="00BA4219"/>
    <w:rsid w:val="00BA44A6"/>
    <w:rsid w:val="00BA44B0"/>
    <w:rsid w:val="00BA45CC"/>
    <w:rsid w:val="00BA47B2"/>
    <w:rsid w:val="00BA49FB"/>
    <w:rsid w:val="00BA4B56"/>
    <w:rsid w:val="00BA4BAE"/>
    <w:rsid w:val="00BA4E45"/>
    <w:rsid w:val="00BA4F81"/>
    <w:rsid w:val="00BA5038"/>
    <w:rsid w:val="00BA517B"/>
    <w:rsid w:val="00BA524E"/>
    <w:rsid w:val="00BA52E2"/>
    <w:rsid w:val="00BA54F8"/>
    <w:rsid w:val="00BA551A"/>
    <w:rsid w:val="00BA5759"/>
    <w:rsid w:val="00BA5C46"/>
    <w:rsid w:val="00BA5CEE"/>
    <w:rsid w:val="00BA6261"/>
    <w:rsid w:val="00BA6418"/>
    <w:rsid w:val="00BA65BE"/>
    <w:rsid w:val="00BA667B"/>
    <w:rsid w:val="00BA66EB"/>
    <w:rsid w:val="00BA6806"/>
    <w:rsid w:val="00BA6A0A"/>
    <w:rsid w:val="00BA6A9B"/>
    <w:rsid w:val="00BA6BF6"/>
    <w:rsid w:val="00BA6C94"/>
    <w:rsid w:val="00BA6CC6"/>
    <w:rsid w:val="00BA6F2E"/>
    <w:rsid w:val="00BA6FC3"/>
    <w:rsid w:val="00BA7365"/>
    <w:rsid w:val="00BA756C"/>
    <w:rsid w:val="00BA7775"/>
    <w:rsid w:val="00BA7A07"/>
    <w:rsid w:val="00BA7A7E"/>
    <w:rsid w:val="00BA7A85"/>
    <w:rsid w:val="00BB0065"/>
    <w:rsid w:val="00BB01A1"/>
    <w:rsid w:val="00BB01F3"/>
    <w:rsid w:val="00BB0324"/>
    <w:rsid w:val="00BB05F1"/>
    <w:rsid w:val="00BB0A50"/>
    <w:rsid w:val="00BB0BE7"/>
    <w:rsid w:val="00BB0F35"/>
    <w:rsid w:val="00BB0FD4"/>
    <w:rsid w:val="00BB1031"/>
    <w:rsid w:val="00BB124E"/>
    <w:rsid w:val="00BB18AE"/>
    <w:rsid w:val="00BB198C"/>
    <w:rsid w:val="00BB1B19"/>
    <w:rsid w:val="00BB208B"/>
    <w:rsid w:val="00BB2471"/>
    <w:rsid w:val="00BB259B"/>
    <w:rsid w:val="00BB25E2"/>
    <w:rsid w:val="00BB2618"/>
    <w:rsid w:val="00BB2731"/>
    <w:rsid w:val="00BB2E5A"/>
    <w:rsid w:val="00BB2FA1"/>
    <w:rsid w:val="00BB301D"/>
    <w:rsid w:val="00BB303A"/>
    <w:rsid w:val="00BB340C"/>
    <w:rsid w:val="00BB374D"/>
    <w:rsid w:val="00BB37E8"/>
    <w:rsid w:val="00BB390D"/>
    <w:rsid w:val="00BB3BAE"/>
    <w:rsid w:val="00BB3E21"/>
    <w:rsid w:val="00BB3E3F"/>
    <w:rsid w:val="00BB4036"/>
    <w:rsid w:val="00BB48AC"/>
    <w:rsid w:val="00BB48CF"/>
    <w:rsid w:val="00BB4A1B"/>
    <w:rsid w:val="00BB4A60"/>
    <w:rsid w:val="00BB4ACD"/>
    <w:rsid w:val="00BB4B81"/>
    <w:rsid w:val="00BB4CB5"/>
    <w:rsid w:val="00BB500B"/>
    <w:rsid w:val="00BB5443"/>
    <w:rsid w:val="00BB5A7C"/>
    <w:rsid w:val="00BB5BAD"/>
    <w:rsid w:val="00BB5C77"/>
    <w:rsid w:val="00BB5EE2"/>
    <w:rsid w:val="00BB5EEE"/>
    <w:rsid w:val="00BB5F82"/>
    <w:rsid w:val="00BB66F5"/>
    <w:rsid w:val="00BB6844"/>
    <w:rsid w:val="00BB69C3"/>
    <w:rsid w:val="00BB6D5F"/>
    <w:rsid w:val="00BB6EF1"/>
    <w:rsid w:val="00BB6F7C"/>
    <w:rsid w:val="00BB70A6"/>
    <w:rsid w:val="00BB727A"/>
    <w:rsid w:val="00BB74CF"/>
    <w:rsid w:val="00BB75AD"/>
    <w:rsid w:val="00BB771F"/>
    <w:rsid w:val="00BB782E"/>
    <w:rsid w:val="00BB79B2"/>
    <w:rsid w:val="00BB7A67"/>
    <w:rsid w:val="00BB7B34"/>
    <w:rsid w:val="00BB7B3B"/>
    <w:rsid w:val="00BB7B62"/>
    <w:rsid w:val="00BB7C0F"/>
    <w:rsid w:val="00BB7E57"/>
    <w:rsid w:val="00BB7E87"/>
    <w:rsid w:val="00BB7EAA"/>
    <w:rsid w:val="00BC01FD"/>
    <w:rsid w:val="00BC04F8"/>
    <w:rsid w:val="00BC05DB"/>
    <w:rsid w:val="00BC06F6"/>
    <w:rsid w:val="00BC0AFD"/>
    <w:rsid w:val="00BC0F42"/>
    <w:rsid w:val="00BC12B3"/>
    <w:rsid w:val="00BC12F9"/>
    <w:rsid w:val="00BC139B"/>
    <w:rsid w:val="00BC143A"/>
    <w:rsid w:val="00BC17DB"/>
    <w:rsid w:val="00BC1819"/>
    <w:rsid w:val="00BC19A9"/>
    <w:rsid w:val="00BC1DC5"/>
    <w:rsid w:val="00BC1DE9"/>
    <w:rsid w:val="00BC22F7"/>
    <w:rsid w:val="00BC2934"/>
    <w:rsid w:val="00BC2A76"/>
    <w:rsid w:val="00BC2AE3"/>
    <w:rsid w:val="00BC3046"/>
    <w:rsid w:val="00BC3193"/>
    <w:rsid w:val="00BC3309"/>
    <w:rsid w:val="00BC36F8"/>
    <w:rsid w:val="00BC38C0"/>
    <w:rsid w:val="00BC3A88"/>
    <w:rsid w:val="00BC3B73"/>
    <w:rsid w:val="00BC3BBA"/>
    <w:rsid w:val="00BC3E33"/>
    <w:rsid w:val="00BC4156"/>
    <w:rsid w:val="00BC415E"/>
    <w:rsid w:val="00BC4214"/>
    <w:rsid w:val="00BC42C0"/>
    <w:rsid w:val="00BC4387"/>
    <w:rsid w:val="00BC43CD"/>
    <w:rsid w:val="00BC449A"/>
    <w:rsid w:val="00BC44D2"/>
    <w:rsid w:val="00BC4DE4"/>
    <w:rsid w:val="00BC4FD9"/>
    <w:rsid w:val="00BC4FF1"/>
    <w:rsid w:val="00BC5194"/>
    <w:rsid w:val="00BC567D"/>
    <w:rsid w:val="00BC56FC"/>
    <w:rsid w:val="00BC5ABD"/>
    <w:rsid w:val="00BC5BA5"/>
    <w:rsid w:val="00BC5C35"/>
    <w:rsid w:val="00BC5D61"/>
    <w:rsid w:val="00BC5E15"/>
    <w:rsid w:val="00BC5F0A"/>
    <w:rsid w:val="00BC60F3"/>
    <w:rsid w:val="00BC6186"/>
    <w:rsid w:val="00BC61B0"/>
    <w:rsid w:val="00BC6442"/>
    <w:rsid w:val="00BC6590"/>
    <w:rsid w:val="00BC6609"/>
    <w:rsid w:val="00BC6889"/>
    <w:rsid w:val="00BC695F"/>
    <w:rsid w:val="00BC6ADA"/>
    <w:rsid w:val="00BC6BB7"/>
    <w:rsid w:val="00BC6BCB"/>
    <w:rsid w:val="00BC6C70"/>
    <w:rsid w:val="00BC6CAD"/>
    <w:rsid w:val="00BC6FF9"/>
    <w:rsid w:val="00BC700E"/>
    <w:rsid w:val="00BC7181"/>
    <w:rsid w:val="00BC71D8"/>
    <w:rsid w:val="00BC735E"/>
    <w:rsid w:val="00BC78BC"/>
    <w:rsid w:val="00BC7B25"/>
    <w:rsid w:val="00BC7BA2"/>
    <w:rsid w:val="00BC7C44"/>
    <w:rsid w:val="00BC7C5B"/>
    <w:rsid w:val="00BC7E8E"/>
    <w:rsid w:val="00BC7ED0"/>
    <w:rsid w:val="00BD02F0"/>
    <w:rsid w:val="00BD0308"/>
    <w:rsid w:val="00BD053E"/>
    <w:rsid w:val="00BD06BF"/>
    <w:rsid w:val="00BD0768"/>
    <w:rsid w:val="00BD0A82"/>
    <w:rsid w:val="00BD1082"/>
    <w:rsid w:val="00BD12FF"/>
    <w:rsid w:val="00BD1326"/>
    <w:rsid w:val="00BD13F6"/>
    <w:rsid w:val="00BD14FE"/>
    <w:rsid w:val="00BD15DB"/>
    <w:rsid w:val="00BD170B"/>
    <w:rsid w:val="00BD1A6D"/>
    <w:rsid w:val="00BD1BFF"/>
    <w:rsid w:val="00BD1CFF"/>
    <w:rsid w:val="00BD206E"/>
    <w:rsid w:val="00BD25E9"/>
    <w:rsid w:val="00BD2759"/>
    <w:rsid w:val="00BD2903"/>
    <w:rsid w:val="00BD2AEB"/>
    <w:rsid w:val="00BD2B7E"/>
    <w:rsid w:val="00BD2EDB"/>
    <w:rsid w:val="00BD30DC"/>
    <w:rsid w:val="00BD331B"/>
    <w:rsid w:val="00BD376E"/>
    <w:rsid w:val="00BD3887"/>
    <w:rsid w:val="00BD3919"/>
    <w:rsid w:val="00BD397D"/>
    <w:rsid w:val="00BD3C7F"/>
    <w:rsid w:val="00BD3ECD"/>
    <w:rsid w:val="00BD4215"/>
    <w:rsid w:val="00BD482F"/>
    <w:rsid w:val="00BD4889"/>
    <w:rsid w:val="00BD4909"/>
    <w:rsid w:val="00BD4977"/>
    <w:rsid w:val="00BD49D5"/>
    <w:rsid w:val="00BD49F5"/>
    <w:rsid w:val="00BD4BF2"/>
    <w:rsid w:val="00BD4D03"/>
    <w:rsid w:val="00BD4D21"/>
    <w:rsid w:val="00BD5081"/>
    <w:rsid w:val="00BD5294"/>
    <w:rsid w:val="00BD52E4"/>
    <w:rsid w:val="00BD559C"/>
    <w:rsid w:val="00BD55AC"/>
    <w:rsid w:val="00BD5729"/>
    <w:rsid w:val="00BD58DD"/>
    <w:rsid w:val="00BD5ADB"/>
    <w:rsid w:val="00BD5C12"/>
    <w:rsid w:val="00BD5D2D"/>
    <w:rsid w:val="00BD6142"/>
    <w:rsid w:val="00BD63E4"/>
    <w:rsid w:val="00BD67D5"/>
    <w:rsid w:val="00BD69FC"/>
    <w:rsid w:val="00BD6B08"/>
    <w:rsid w:val="00BD6B56"/>
    <w:rsid w:val="00BD6DDA"/>
    <w:rsid w:val="00BD7284"/>
    <w:rsid w:val="00BD735A"/>
    <w:rsid w:val="00BD771F"/>
    <w:rsid w:val="00BD7813"/>
    <w:rsid w:val="00BD78B1"/>
    <w:rsid w:val="00BD78CF"/>
    <w:rsid w:val="00BE00B3"/>
    <w:rsid w:val="00BE0268"/>
    <w:rsid w:val="00BE0277"/>
    <w:rsid w:val="00BE029D"/>
    <w:rsid w:val="00BE0314"/>
    <w:rsid w:val="00BE03A2"/>
    <w:rsid w:val="00BE07D1"/>
    <w:rsid w:val="00BE09F1"/>
    <w:rsid w:val="00BE0BE3"/>
    <w:rsid w:val="00BE0D58"/>
    <w:rsid w:val="00BE0EDC"/>
    <w:rsid w:val="00BE12DA"/>
    <w:rsid w:val="00BE1318"/>
    <w:rsid w:val="00BE1594"/>
    <w:rsid w:val="00BE1AA8"/>
    <w:rsid w:val="00BE1F01"/>
    <w:rsid w:val="00BE1F89"/>
    <w:rsid w:val="00BE1F8B"/>
    <w:rsid w:val="00BE2020"/>
    <w:rsid w:val="00BE234E"/>
    <w:rsid w:val="00BE2782"/>
    <w:rsid w:val="00BE2901"/>
    <w:rsid w:val="00BE2920"/>
    <w:rsid w:val="00BE29B5"/>
    <w:rsid w:val="00BE29DF"/>
    <w:rsid w:val="00BE2A57"/>
    <w:rsid w:val="00BE2A8E"/>
    <w:rsid w:val="00BE2E01"/>
    <w:rsid w:val="00BE2F25"/>
    <w:rsid w:val="00BE35AB"/>
    <w:rsid w:val="00BE39AD"/>
    <w:rsid w:val="00BE3BDE"/>
    <w:rsid w:val="00BE3BF2"/>
    <w:rsid w:val="00BE4111"/>
    <w:rsid w:val="00BE41F2"/>
    <w:rsid w:val="00BE430E"/>
    <w:rsid w:val="00BE4458"/>
    <w:rsid w:val="00BE4651"/>
    <w:rsid w:val="00BE47CA"/>
    <w:rsid w:val="00BE4993"/>
    <w:rsid w:val="00BE4CF2"/>
    <w:rsid w:val="00BE4E1D"/>
    <w:rsid w:val="00BE5043"/>
    <w:rsid w:val="00BE507F"/>
    <w:rsid w:val="00BE51B8"/>
    <w:rsid w:val="00BE54E9"/>
    <w:rsid w:val="00BE5538"/>
    <w:rsid w:val="00BE59A3"/>
    <w:rsid w:val="00BE59DA"/>
    <w:rsid w:val="00BE5D0D"/>
    <w:rsid w:val="00BE5D68"/>
    <w:rsid w:val="00BE5E79"/>
    <w:rsid w:val="00BE5EA0"/>
    <w:rsid w:val="00BE5F4D"/>
    <w:rsid w:val="00BE5F94"/>
    <w:rsid w:val="00BE62D5"/>
    <w:rsid w:val="00BE64BA"/>
    <w:rsid w:val="00BE64C4"/>
    <w:rsid w:val="00BE6686"/>
    <w:rsid w:val="00BE6745"/>
    <w:rsid w:val="00BE67BA"/>
    <w:rsid w:val="00BE68A1"/>
    <w:rsid w:val="00BE6A4C"/>
    <w:rsid w:val="00BE6A56"/>
    <w:rsid w:val="00BE6C4D"/>
    <w:rsid w:val="00BE72BF"/>
    <w:rsid w:val="00BE73F6"/>
    <w:rsid w:val="00BE7518"/>
    <w:rsid w:val="00BE75BA"/>
    <w:rsid w:val="00BE76E4"/>
    <w:rsid w:val="00BE7836"/>
    <w:rsid w:val="00BE7904"/>
    <w:rsid w:val="00BE790D"/>
    <w:rsid w:val="00BE79D6"/>
    <w:rsid w:val="00BE7C85"/>
    <w:rsid w:val="00BE7F60"/>
    <w:rsid w:val="00BEE444"/>
    <w:rsid w:val="00BF01CB"/>
    <w:rsid w:val="00BF0412"/>
    <w:rsid w:val="00BF0696"/>
    <w:rsid w:val="00BF0904"/>
    <w:rsid w:val="00BF0BC5"/>
    <w:rsid w:val="00BF0D7E"/>
    <w:rsid w:val="00BF10F4"/>
    <w:rsid w:val="00BF1120"/>
    <w:rsid w:val="00BF11E7"/>
    <w:rsid w:val="00BF13E6"/>
    <w:rsid w:val="00BF13FD"/>
    <w:rsid w:val="00BF1446"/>
    <w:rsid w:val="00BF1450"/>
    <w:rsid w:val="00BF1733"/>
    <w:rsid w:val="00BF17F6"/>
    <w:rsid w:val="00BF184F"/>
    <w:rsid w:val="00BF1A55"/>
    <w:rsid w:val="00BF1DA2"/>
    <w:rsid w:val="00BF1E19"/>
    <w:rsid w:val="00BF1EB6"/>
    <w:rsid w:val="00BF2359"/>
    <w:rsid w:val="00BF25A6"/>
    <w:rsid w:val="00BF2707"/>
    <w:rsid w:val="00BF2799"/>
    <w:rsid w:val="00BF2CE9"/>
    <w:rsid w:val="00BF2E1E"/>
    <w:rsid w:val="00BF3134"/>
    <w:rsid w:val="00BF3200"/>
    <w:rsid w:val="00BF3482"/>
    <w:rsid w:val="00BF3731"/>
    <w:rsid w:val="00BF3929"/>
    <w:rsid w:val="00BF3C48"/>
    <w:rsid w:val="00BF3C68"/>
    <w:rsid w:val="00BF3EE8"/>
    <w:rsid w:val="00BF4055"/>
    <w:rsid w:val="00BF4222"/>
    <w:rsid w:val="00BF43A8"/>
    <w:rsid w:val="00BF4440"/>
    <w:rsid w:val="00BF45F8"/>
    <w:rsid w:val="00BF48F2"/>
    <w:rsid w:val="00BF493F"/>
    <w:rsid w:val="00BF4C13"/>
    <w:rsid w:val="00BF5508"/>
    <w:rsid w:val="00BF5627"/>
    <w:rsid w:val="00BF56F0"/>
    <w:rsid w:val="00BF57D1"/>
    <w:rsid w:val="00BF5809"/>
    <w:rsid w:val="00BF591F"/>
    <w:rsid w:val="00BF5A86"/>
    <w:rsid w:val="00BF5D2D"/>
    <w:rsid w:val="00BF5EB2"/>
    <w:rsid w:val="00BF60DC"/>
    <w:rsid w:val="00BF6356"/>
    <w:rsid w:val="00BF637C"/>
    <w:rsid w:val="00BF67B7"/>
    <w:rsid w:val="00BF6BB9"/>
    <w:rsid w:val="00BF6C20"/>
    <w:rsid w:val="00BF6D46"/>
    <w:rsid w:val="00BF7130"/>
    <w:rsid w:val="00BF719E"/>
    <w:rsid w:val="00BF7268"/>
    <w:rsid w:val="00BF7279"/>
    <w:rsid w:val="00BF758B"/>
    <w:rsid w:val="00BF7BE2"/>
    <w:rsid w:val="00BF7CA5"/>
    <w:rsid w:val="00BF7DB6"/>
    <w:rsid w:val="00BF7DCF"/>
    <w:rsid w:val="00BF7F5E"/>
    <w:rsid w:val="00C0048A"/>
    <w:rsid w:val="00C007E7"/>
    <w:rsid w:val="00C0089B"/>
    <w:rsid w:val="00C00E22"/>
    <w:rsid w:val="00C00EF8"/>
    <w:rsid w:val="00C00FDD"/>
    <w:rsid w:val="00C01375"/>
    <w:rsid w:val="00C014CA"/>
    <w:rsid w:val="00C01681"/>
    <w:rsid w:val="00C01802"/>
    <w:rsid w:val="00C01912"/>
    <w:rsid w:val="00C01B33"/>
    <w:rsid w:val="00C01D26"/>
    <w:rsid w:val="00C01E8D"/>
    <w:rsid w:val="00C02010"/>
    <w:rsid w:val="00C0261F"/>
    <w:rsid w:val="00C029E4"/>
    <w:rsid w:val="00C029F9"/>
    <w:rsid w:val="00C02E7A"/>
    <w:rsid w:val="00C033D3"/>
    <w:rsid w:val="00C0341C"/>
    <w:rsid w:val="00C03709"/>
    <w:rsid w:val="00C03742"/>
    <w:rsid w:val="00C03974"/>
    <w:rsid w:val="00C0398B"/>
    <w:rsid w:val="00C03A76"/>
    <w:rsid w:val="00C03E0C"/>
    <w:rsid w:val="00C03EE5"/>
    <w:rsid w:val="00C03FC0"/>
    <w:rsid w:val="00C04270"/>
    <w:rsid w:val="00C04479"/>
    <w:rsid w:val="00C044CD"/>
    <w:rsid w:val="00C046BE"/>
    <w:rsid w:val="00C04799"/>
    <w:rsid w:val="00C048E1"/>
    <w:rsid w:val="00C04CB3"/>
    <w:rsid w:val="00C04D48"/>
    <w:rsid w:val="00C05246"/>
    <w:rsid w:val="00C05348"/>
    <w:rsid w:val="00C0550F"/>
    <w:rsid w:val="00C05A49"/>
    <w:rsid w:val="00C05B44"/>
    <w:rsid w:val="00C05C3D"/>
    <w:rsid w:val="00C05D06"/>
    <w:rsid w:val="00C05F0D"/>
    <w:rsid w:val="00C06096"/>
    <w:rsid w:val="00C06098"/>
    <w:rsid w:val="00C062D3"/>
    <w:rsid w:val="00C06356"/>
    <w:rsid w:val="00C063F4"/>
    <w:rsid w:val="00C06585"/>
    <w:rsid w:val="00C066AF"/>
    <w:rsid w:val="00C06740"/>
    <w:rsid w:val="00C06807"/>
    <w:rsid w:val="00C06951"/>
    <w:rsid w:val="00C06C40"/>
    <w:rsid w:val="00C06C41"/>
    <w:rsid w:val="00C06DD4"/>
    <w:rsid w:val="00C06E23"/>
    <w:rsid w:val="00C0719A"/>
    <w:rsid w:val="00C07240"/>
    <w:rsid w:val="00C07385"/>
    <w:rsid w:val="00C073B1"/>
    <w:rsid w:val="00C074B5"/>
    <w:rsid w:val="00C075D2"/>
    <w:rsid w:val="00C076C7"/>
    <w:rsid w:val="00C07A3E"/>
    <w:rsid w:val="00C07AD6"/>
    <w:rsid w:val="00C1004D"/>
    <w:rsid w:val="00C102A9"/>
    <w:rsid w:val="00C1031B"/>
    <w:rsid w:val="00C106EC"/>
    <w:rsid w:val="00C107B8"/>
    <w:rsid w:val="00C10B4C"/>
    <w:rsid w:val="00C10D1E"/>
    <w:rsid w:val="00C11036"/>
    <w:rsid w:val="00C11623"/>
    <w:rsid w:val="00C1168A"/>
    <w:rsid w:val="00C116D6"/>
    <w:rsid w:val="00C11AF6"/>
    <w:rsid w:val="00C11E49"/>
    <w:rsid w:val="00C11E4E"/>
    <w:rsid w:val="00C11E6F"/>
    <w:rsid w:val="00C11FD6"/>
    <w:rsid w:val="00C1202C"/>
    <w:rsid w:val="00C1225B"/>
    <w:rsid w:val="00C125D6"/>
    <w:rsid w:val="00C126C3"/>
    <w:rsid w:val="00C12798"/>
    <w:rsid w:val="00C127CD"/>
    <w:rsid w:val="00C1287F"/>
    <w:rsid w:val="00C12AAE"/>
    <w:rsid w:val="00C12D6F"/>
    <w:rsid w:val="00C12EEF"/>
    <w:rsid w:val="00C12F55"/>
    <w:rsid w:val="00C1300A"/>
    <w:rsid w:val="00C13259"/>
    <w:rsid w:val="00C132D4"/>
    <w:rsid w:val="00C1330B"/>
    <w:rsid w:val="00C13420"/>
    <w:rsid w:val="00C138BA"/>
    <w:rsid w:val="00C139BF"/>
    <w:rsid w:val="00C13A4A"/>
    <w:rsid w:val="00C13BC1"/>
    <w:rsid w:val="00C13C70"/>
    <w:rsid w:val="00C13CE6"/>
    <w:rsid w:val="00C13EF0"/>
    <w:rsid w:val="00C13F63"/>
    <w:rsid w:val="00C145EC"/>
    <w:rsid w:val="00C146E3"/>
    <w:rsid w:val="00C14730"/>
    <w:rsid w:val="00C147FF"/>
    <w:rsid w:val="00C14B5D"/>
    <w:rsid w:val="00C14CF1"/>
    <w:rsid w:val="00C14D49"/>
    <w:rsid w:val="00C14E0E"/>
    <w:rsid w:val="00C14E34"/>
    <w:rsid w:val="00C14E35"/>
    <w:rsid w:val="00C15283"/>
    <w:rsid w:val="00C152CF"/>
    <w:rsid w:val="00C15415"/>
    <w:rsid w:val="00C1545C"/>
    <w:rsid w:val="00C15558"/>
    <w:rsid w:val="00C156B7"/>
    <w:rsid w:val="00C158F8"/>
    <w:rsid w:val="00C15F61"/>
    <w:rsid w:val="00C163EF"/>
    <w:rsid w:val="00C1665C"/>
    <w:rsid w:val="00C166CE"/>
    <w:rsid w:val="00C16A0D"/>
    <w:rsid w:val="00C16CE1"/>
    <w:rsid w:val="00C171BA"/>
    <w:rsid w:val="00C172C2"/>
    <w:rsid w:val="00C1754C"/>
    <w:rsid w:val="00C176C3"/>
    <w:rsid w:val="00C17729"/>
    <w:rsid w:val="00C17E08"/>
    <w:rsid w:val="00C20B9D"/>
    <w:rsid w:val="00C20BDF"/>
    <w:rsid w:val="00C21288"/>
    <w:rsid w:val="00C212A4"/>
    <w:rsid w:val="00C2148F"/>
    <w:rsid w:val="00C2169E"/>
    <w:rsid w:val="00C21787"/>
    <w:rsid w:val="00C218A6"/>
    <w:rsid w:val="00C21F01"/>
    <w:rsid w:val="00C22069"/>
    <w:rsid w:val="00C220BC"/>
    <w:rsid w:val="00C22360"/>
    <w:rsid w:val="00C224B3"/>
    <w:rsid w:val="00C22BF8"/>
    <w:rsid w:val="00C22C96"/>
    <w:rsid w:val="00C22E92"/>
    <w:rsid w:val="00C22F15"/>
    <w:rsid w:val="00C230D0"/>
    <w:rsid w:val="00C23145"/>
    <w:rsid w:val="00C23197"/>
    <w:rsid w:val="00C232A0"/>
    <w:rsid w:val="00C236D3"/>
    <w:rsid w:val="00C23B86"/>
    <w:rsid w:val="00C23B87"/>
    <w:rsid w:val="00C23BD8"/>
    <w:rsid w:val="00C23E00"/>
    <w:rsid w:val="00C240FE"/>
    <w:rsid w:val="00C24138"/>
    <w:rsid w:val="00C242C3"/>
    <w:rsid w:val="00C2432D"/>
    <w:rsid w:val="00C246C2"/>
    <w:rsid w:val="00C24823"/>
    <w:rsid w:val="00C249D9"/>
    <w:rsid w:val="00C24F31"/>
    <w:rsid w:val="00C24F66"/>
    <w:rsid w:val="00C25829"/>
    <w:rsid w:val="00C258C2"/>
    <w:rsid w:val="00C25B2B"/>
    <w:rsid w:val="00C26041"/>
    <w:rsid w:val="00C26306"/>
    <w:rsid w:val="00C267EB"/>
    <w:rsid w:val="00C268BE"/>
    <w:rsid w:val="00C26F32"/>
    <w:rsid w:val="00C270AA"/>
    <w:rsid w:val="00C27132"/>
    <w:rsid w:val="00C271A9"/>
    <w:rsid w:val="00C27221"/>
    <w:rsid w:val="00C275E1"/>
    <w:rsid w:val="00C27773"/>
    <w:rsid w:val="00C278E2"/>
    <w:rsid w:val="00C27A11"/>
    <w:rsid w:val="00C27C84"/>
    <w:rsid w:val="00C3012F"/>
    <w:rsid w:val="00C3032F"/>
    <w:rsid w:val="00C3036D"/>
    <w:rsid w:val="00C3041B"/>
    <w:rsid w:val="00C30494"/>
    <w:rsid w:val="00C3058D"/>
    <w:rsid w:val="00C305B6"/>
    <w:rsid w:val="00C3064D"/>
    <w:rsid w:val="00C30714"/>
    <w:rsid w:val="00C3095D"/>
    <w:rsid w:val="00C30EB6"/>
    <w:rsid w:val="00C314F3"/>
    <w:rsid w:val="00C315C3"/>
    <w:rsid w:val="00C315E9"/>
    <w:rsid w:val="00C31B17"/>
    <w:rsid w:val="00C31D44"/>
    <w:rsid w:val="00C31E42"/>
    <w:rsid w:val="00C31FC8"/>
    <w:rsid w:val="00C320F5"/>
    <w:rsid w:val="00C32132"/>
    <w:rsid w:val="00C3214E"/>
    <w:rsid w:val="00C32523"/>
    <w:rsid w:val="00C32EE0"/>
    <w:rsid w:val="00C32FAF"/>
    <w:rsid w:val="00C33377"/>
    <w:rsid w:val="00C33423"/>
    <w:rsid w:val="00C33510"/>
    <w:rsid w:val="00C33701"/>
    <w:rsid w:val="00C33A10"/>
    <w:rsid w:val="00C33F47"/>
    <w:rsid w:val="00C33FDC"/>
    <w:rsid w:val="00C34099"/>
    <w:rsid w:val="00C340B4"/>
    <w:rsid w:val="00C341EE"/>
    <w:rsid w:val="00C3433E"/>
    <w:rsid w:val="00C343C4"/>
    <w:rsid w:val="00C3449A"/>
    <w:rsid w:val="00C344A1"/>
    <w:rsid w:val="00C345DC"/>
    <w:rsid w:val="00C3461D"/>
    <w:rsid w:val="00C34720"/>
    <w:rsid w:val="00C34737"/>
    <w:rsid w:val="00C34909"/>
    <w:rsid w:val="00C34C64"/>
    <w:rsid w:val="00C34D87"/>
    <w:rsid w:val="00C34F9B"/>
    <w:rsid w:val="00C34FA3"/>
    <w:rsid w:val="00C352D0"/>
    <w:rsid w:val="00C354E2"/>
    <w:rsid w:val="00C3564D"/>
    <w:rsid w:val="00C35851"/>
    <w:rsid w:val="00C35991"/>
    <w:rsid w:val="00C35AA5"/>
    <w:rsid w:val="00C35AA7"/>
    <w:rsid w:val="00C35BE0"/>
    <w:rsid w:val="00C35C0E"/>
    <w:rsid w:val="00C35CBA"/>
    <w:rsid w:val="00C35D7D"/>
    <w:rsid w:val="00C35FF5"/>
    <w:rsid w:val="00C36208"/>
    <w:rsid w:val="00C36299"/>
    <w:rsid w:val="00C364FF"/>
    <w:rsid w:val="00C365D9"/>
    <w:rsid w:val="00C366D8"/>
    <w:rsid w:val="00C367E3"/>
    <w:rsid w:val="00C36811"/>
    <w:rsid w:val="00C36936"/>
    <w:rsid w:val="00C369D9"/>
    <w:rsid w:val="00C36A8E"/>
    <w:rsid w:val="00C36DC7"/>
    <w:rsid w:val="00C3734B"/>
    <w:rsid w:val="00C374E1"/>
    <w:rsid w:val="00C37632"/>
    <w:rsid w:val="00C377DD"/>
    <w:rsid w:val="00C37AAF"/>
    <w:rsid w:val="00C40156"/>
    <w:rsid w:val="00C40187"/>
    <w:rsid w:val="00C40200"/>
    <w:rsid w:val="00C40315"/>
    <w:rsid w:val="00C40346"/>
    <w:rsid w:val="00C403B5"/>
    <w:rsid w:val="00C407A7"/>
    <w:rsid w:val="00C4084D"/>
    <w:rsid w:val="00C40C55"/>
    <w:rsid w:val="00C40D11"/>
    <w:rsid w:val="00C40DFB"/>
    <w:rsid w:val="00C40E50"/>
    <w:rsid w:val="00C41140"/>
    <w:rsid w:val="00C41187"/>
    <w:rsid w:val="00C412CB"/>
    <w:rsid w:val="00C414F5"/>
    <w:rsid w:val="00C41638"/>
    <w:rsid w:val="00C4168F"/>
    <w:rsid w:val="00C41743"/>
    <w:rsid w:val="00C417B5"/>
    <w:rsid w:val="00C41C5B"/>
    <w:rsid w:val="00C41D8B"/>
    <w:rsid w:val="00C41E51"/>
    <w:rsid w:val="00C41EFF"/>
    <w:rsid w:val="00C42022"/>
    <w:rsid w:val="00C42113"/>
    <w:rsid w:val="00C4228A"/>
    <w:rsid w:val="00C42325"/>
    <w:rsid w:val="00C42993"/>
    <w:rsid w:val="00C429FC"/>
    <w:rsid w:val="00C42B47"/>
    <w:rsid w:val="00C42E0E"/>
    <w:rsid w:val="00C42E35"/>
    <w:rsid w:val="00C42F4B"/>
    <w:rsid w:val="00C430B0"/>
    <w:rsid w:val="00C430BD"/>
    <w:rsid w:val="00C4316C"/>
    <w:rsid w:val="00C43280"/>
    <w:rsid w:val="00C432E5"/>
    <w:rsid w:val="00C43671"/>
    <w:rsid w:val="00C43677"/>
    <w:rsid w:val="00C438C8"/>
    <w:rsid w:val="00C43AD1"/>
    <w:rsid w:val="00C442EE"/>
    <w:rsid w:val="00C44335"/>
    <w:rsid w:val="00C44371"/>
    <w:rsid w:val="00C44750"/>
    <w:rsid w:val="00C448D8"/>
    <w:rsid w:val="00C44A44"/>
    <w:rsid w:val="00C44A71"/>
    <w:rsid w:val="00C44A75"/>
    <w:rsid w:val="00C44B5D"/>
    <w:rsid w:val="00C44C44"/>
    <w:rsid w:val="00C4540E"/>
    <w:rsid w:val="00C457CD"/>
    <w:rsid w:val="00C45903"/>
    <w:rsid w:val="00C45904"/>
    <w:rsid w:val="00C45AB5"/>
    <w:rsid w:val="00C45B0C"/>
    <w:rsid w:val="00C45B66"/>
    <w:rsid w:val="00C45DC1"/>
    <w:rsid w:val="00C45DEC"/>
    <w:rsid w:val="00C45EC1"/>
    <w:rsid w:val="00C46041"/>
    <w:rsid w:val="00C46099"/>
    <w:rsid w:val="00C4626C"/>
    <w:rsid w:val="00C46472"/>
    <w:rsid w:val="00C464C7"/>
    <w:rsid w:val="00C46506"/>
    <w:rsid w:val="00C4673E"/>
    <w:rsid w:val="00C467DB"/>
    <w:rsid w:val="00C46813"/>
    <w:rsid w:val="00C46A7E"/>
    <w:rsid w:val="00C46D86"/>
    <w:rsid w:val="00C46F3A"/>
    <w:rsid w:val="00C46F3B"/>
    <w:rsid w:val="00C47031"/>
    <w:rsid w:val="00C470FB"/>
    <w:rsid w:val="00C4714B"/>
    <w:rsid w:val="00C472D8"/>
    <w:rsid w:val="00C473ED"/>
    <w:rsid w:val="00C47560"/>
    <w:rsid w:val="00C475A3"/>
    <w:rsid w:val="00C477F6"/>
    <w:rsid w:val="00C47839"/>
    <w:rsid w:val="00C4785D"/>
    <w:rsid w:val="00C479B9"/>
    <w:rsid w:val="00C47A0B"/>
    <w:rsid w:val="00C47ADA"/>
    <w:rsid w:val="00C47D76"/>
    <w:rsid w:val="00C47DC1"/>
    <w:rsid w:val="00C500FF"/>
    <w:rsid w:val="00C501D8"/>
    <w:rsid w:val="00C5021C"/>
    <w:rsid w:val="00C5023B"/>
    <w:rsid w:val="00C5029E"/>
    <w:rsid w:val="00C502B7"/>
    <w:rsid w:val="00C5087F"/>
    <w:rsid w:val="00C50BCC"/>
    <w:rsid w:val="00C50C1B"/>
    <w:rsid w:val="00C50C74"/>
    <w:rsid w:val="00C50ED4"/>
    <w:rsid w:val="00C5108C"/>
    <w:rsid w:val="00C511A0"/>
    <w:rsid w:val="00C5125E"/>
    <w:rsid w:val="00C5150D"/>
    <w:rsid w:val="00C515CE"/>
    <w:rsid w:val="00C5179E"/>
    <w:rsid w:val="00C51D34"/>
    <w:rsid w:val="00C51E95"/>
    <w:rsid w:val="00C520B0"/>
    <w:rsid w:val="00C52258"/>
    <w:rsid w:val="00C5235D"/>
    <w:rsid w:val="00C5245B"/>
    <w:rsid w:val="00C52591"/>
    <w:rsid w:val="00C527A6"/>
    <w:rsid w:val="00C52A74"/>
    <w:rsid w:val="00C52D98"/>
    <w:rsid w:val="00C52F6D"/>
    <w:rsid w:val="00C5312B"/>
    <w:rsid w:val="00C53163"/>
    <w:rsid w:val="00C536BF"/>
    <w:rsid w:val="00C53702"/>
    <w:rsid w:val="00C5389A"/>
    <w:rsid w:val="00C539A3"/>
    <w:rsid w:val="00C539EB"/>
    <w:rsid w:val="00C53B9F"/>
    <w:rsid w:val="00C53D56"/>
    <w:rsid w:val="00C5426D"/>
    <w:rsid w:val="00C548D5"/>
    <w:rsid w:val="00C548D9"/>
    <w:rsid w:val="00C5499A"/>
    <w:rsid w:val="00C54A4E"/>
    <w:rsid w:val="00C54CCD"/>
    <w:rsid w:val="00C54DA2"/>
    <w:rsid w:val="00C55154"/>
    <w:rsid w:val="00C55418"/>
    <w:rsid w:val="00C55458"/>
    <w:rsid w:val="00C555ED"/>
    <w:rsid w:val="00C556D3"/>
    <w:rsid w:val="00C558CF"/>
    <w:rsid w:val="00C5595A"/>
    <w:rsid w:val="00C55D82"/>
    <w:rsid w:val="00C55D8D"/>
    <w:rsid w:val="00C55F1A"/>
    <w:rsid w:val="00C5630D"/>
    <w:rsid w:val="00C5650A"/>
    <w:rsid w:val="00C566B4"/>
    <w:rsid w:val="00C5685E"/>
    <w:rsid w:val="00C569FB"/>
    <w:rsid w:val="00C56BC4"/>
    <w:rsid w:val="00C56CB8"/>
    <w:rsid w:val="00C56FB7"/>
    <w:rsid w:val="00C572E4"/>
    <w:rsid w:val="00C5739A"/>
    <w:rsid w:val="00C57930"/>
    <w:rsid w:val="00C57A63"/>
    <w:rsid w:val="00C57BAA"/>
    <w:rsid w:val="00C57ECB"/>
    <w:rsid w:val="00C60181"/>
    <w:rsid w:val="00C601C4"/>
    <w:rsid w:val="00C60204"/>
    <w:rsid w:val="00C60216"/>
    <w:rsid w:val="00C60235"/>
    <w:rsid w:val="00C602AC"/>
    <w:rsid w:val="00C60500"/>
    <w:rsid w:val="00C60586"/>
    <w:rsid w:val="00C6081A"/>
    <w:rsid w:val="00C60947"/>
    <w:rsid w:val="00C60FEC"/>
    <w:rsid w:val="00C6106B"/>
    <w:rsid w:val="00C6108D"/>
    <w:rsid w:val="00C6113E"/>
    <w:rsid w:val="00C6118C"/>
    <w:rsid w:val="00C61233"/>
    <w:rsid w:val="00C61260"/>
    <w:rsid w:val="00C613AF"/>
    <w:rsid w:val="00C61403"/>
    <w:rsid w:val="00C61475"/>
    <w:rsid w:val="00C615C4"/>
    <w:rsid w:val="00C619D9"/>
    <w:rsid w:val="00C61D01"/>
    <w:rsid w:val="00C61D08"/>
    <w:rsid w:val="00C61FA5"/>
    <w:rsid w:val="00C623ED"/>
    <w:rsid w:val="00C62405"/>
    <w:rsid w:val="00C62423"/>
    <w:rsid w:val="00C624A7"/>
    <w:rsid w:val="00C62542"/>
    <w:rsid w:val="00C6289E"/>
    <w:rsid w:val="00C628B9"/>
    <w:rsid w:val="00C629DD"/>
    <w:rsid w:val="00C62AA6"/>
    <w:rsid w:val="00C62B6F"/>
    <w:rsid w:val="00C62E62"/>
    <w:rsid w:val="00C6329B"/>
    <w:rsid w:val="00C633A7"/>
    <w:rsid w:val="00C6358B"/>
    <w:rsid w:val="00C638AF"/>
    <w:rsid w:val="00C638B8"/>
    <w:rsid w:val="00C63916"/>
    <w:rsid w:val="00C63A11"/>
    <w:rsid w:val="00C63A36"/>
    <w:rsid w:val="00C63DEC"/>
    <w:rsid w:val="00C640EE"/>
    <w:rsid w:val="00C642EF"/>
    <w:rsid w:val="00C6437C"/>
    <w:rsid w:val="00C64A0D"/>
    <w:rsid w:val="00C64A88"/>
    <w:rsid w:val="00C64A91"/>
    <w:rsid w:val="00C64C16"/>
    <w:rsid w:val="00C64D33"/>
    <w:rsid w:val="00C64DDC"/>
    <w:rsid w:val="00C64ECF"/>
    <w:rsid w:val="00C6548B"/>
    <w:rsid w:val="00C6593A"/>
    <w:rsid w:val="00C65944"/>
    <w:rsid w:val="00C65993"/>
    <w:rsid w:val="00C65A76"/>
    <w:rsid w:val="00C65B28"/>
    <w:rsid w:val="00C65CA5"/>
    <w:rsid w:val="00C65D67"/>
    <w:rsid w:val="00C660D9"/>
    <w:rsid w:val="00C66102"/>
    <w:rsid w:val="00C66566"/>
    <w:rsid w:val="00C666A4"/>
    <w:rsid w:val="00C666BA"/>
    <w:rsid w:val="00C66753"/>
    <w:rsid w:val="00C667BF"/>
    <w:rsid w:val="00C6683A"/>
    <w:rsid w:val="00C66A21"/>
    <w:rsid w:val="00C67131"/>
    <w:rsid w:val="00C67140"/>
    <w:rsid w:val="00C67159"/>
    <w:rsid w:val="00C6734D"/>
    <w:rsid w:val="00C6740F"/>
    <w:rsid w:val="00C67643"/>
    <w:rsid w:val="00C67BC3"/>
    <w:rsid w:val="00C67D33"/>
    <w:rsid w:val="00C67FE4"/>
    <w:rsid w:val="00C700B7"/>
    <w:rsid w:val="00C703C4"/>
    <w:rsid w:val="00C704EB"/>
    <w:rsid w:val="00C706E7"/>
    <w:rsid w:val="00C709A1"/>
    <w:rsid w:val="00C70BD5"/>
    <w:rsid w:val="00C70BF3"/>
    <w:rsid w:val="00C70C57"/>
    <w:rsid w:val="00C70D11"/>
    <w:rsid w:val="00C711A9"/>
    <w:rsid w:val="00C711CB"/>
    <w:rsid w:val="00C7159B"/>
    <w:rsid w:val="00C71653"/>
    <w:rsid w:val="00C7167F"/>
    <w:rsid w:val="00C716D8"/>
    <w:rsid w:val="00C7186C"/>
    <w:rsid w:val="00C71A29"/>
    <w:rsid w:val="00C71DDE"/>
    <w:rsid w:val="00C71E89"/>
    <w:rsid w:val="00C722CA"/>
    <w:rsid w:val="00C72755"/>
    <w:rsid w:val="00C72767"/>
    <w:rsid w:val="00C727B7"/>
    <w:rsid w:val="00C727D7"/>
    <w:rsid w:val="00C72A74"/>
    <w:rsid w:val="00C72F32"/>
    <w:rsid w:val="00C72FE4"/>
    <w:rsid w:val="00C73004"/>
    <w:rsid w:val="00C73054"/>
    <w:rsid w:val="00C731D5"/>
    <w:rsid w:val="00C735C2"/>
    <w:rsid w:val="00C7361D"/>
    <w:rsid w:val="00C73655"/>
    <w:rsid w:val="00C736B3"/>
    <w:rsid w:val="00C737FA"/>
    <w:rsid w:val="00C7394F"/>
    <w:rsid w:val="00C73A68"/>
    <w:rsid w:val="00C73AE5"/>
    <w:rsid w:val="00C73AF9"/>
    <w:rsid w:val="00C73BC8"/>
    <w:rsid w:val="00C73D52"/>
    <w:rsid w:val="00C73DCA"/>
    <w:rsid w:val="00C73F6B"/>
    <w:rsid w:val="00C74429"/>
    <w:rsid w:val="00C7477A"/>
    <w:rsid w:val="00C74908"/>
    <w:rsid w:val="00C74A9B"/>
    <w:rsid w:val="00C74B95"/>
    <w:rsid w:val="00C74BD8"/>
    <w:rsid w:val="00C74E4F"/>
    <w:rsid w:val="00C75113"/>
    <w:rsid w:val="00C75160"/>
    <w:rsid w:val="00C752D8"/>
    <w:rsid w:val="00C755C8"/>
    <w:rsid w:val="00C7571C"/>
    <w:rsid w:val="00C7574E"/>
    <w:rsid w:val="00C758C9"/>
    <w:rsid w:val="00C758DE"/>
    <w:rsid w:val="00C75A3E"/>
    <w:rsid w:val="00C75B60"/>
    <w:rsid w:val="00C75BF8"/>
    <w:rsid w:val="00C75F29"/>
    <w:rsid w:val="00C75FC5"/>
    <w:rsid w:val="00C76045"/>
    <w:rsid w:val="00C7609F"/>
    <w:rsid w:val="00C762D5"/>
    <w:rsid w:val="00C765A9"/>
    <w:rsid w:val="00C7660D"/>
    <w:rsid w:val="00C766F0"/>
    <w:rsid w:val="00C7676C"/>
    <w:rsid w:val="00C768B3"/>
    <w:rsid w:val="00C76995"/>
    <w:rsid w:val="00C76AEE"/>
    <w:rsid w:val="00C76D95"/>
    <w:rsid w:val="00C770F1"/>
    <w:rsid w:val="00C771CC"/>
    <w:rsid w:val="00C772C1"/>
    <w:rsid w:val="00C77358"/>
    <w:rsid w:val="00C7749B"/>
    <w:rsid w:val="00C776B7"/>
    <w:rsid w:val="00C776D4"/>
    <w:rsid w:val="00C77918"/>
    <w:rsid w:val="00C779ED"/>
    <w:rsid w:val="00C77AA4"/>
    <w:rsid w:val="00C77CED"/>
    <w:rsid w:val="00C77D0D"/>
    <w:rsid w:val="00C77D9A"/>
    <w:rsid w:val="00C80124"/>
    <w:rsid w:val="00C8022E"/>
    <w:rsid w:val="00C8024F"/>
    <w:rsid w:val="00C8037D"/>
    <w:rsid w:val="00C8038E"/>
    <w:rsid w:val="00C8040F"/>
    <w:rsid w:val="00C80A39"/>
    <w:rsid w:val="00C80AD8"/>
    <w:rsid w:val="00C80C48"/>
    <w:rsid w:val="00C80CF7"/>
    <w:rsid w:val="00C8157D"/>
    <w:rsid w:val="00C815C9"/>
    <w:rsid w:val="00C8166F"/>
    <w:rsid w:val="00C816CD"/>
    <w:rsid w:val="00C817F9"/>
    <w:rsid w:val="00C81A14"/>
    <w:rsid w:val="00C81BDF"/>
    <w:rsid w:val="00C81EA8"/>
    <w:rsid w:val="00C81FDF"/>
    <w:rsid w:val="00C82389"/>
    <w:rsid w:val="00C82412"/>
    <w:rsid w:val="00C82911"/>
    <w:rsid w:val="00C82994"/>
    <w:rsid w:val="00C82A8D"/>
    <w:rsid w:val="00C82CF2"/>
    <w:rsid w:val="00C82FD2"/>
    <w:rsid w:val="00C83080"/>
    <w:rsid w:val="00C83081"/>
    <w:rsid w:val="00C83291"/>
    <w:rsid w:val="00C835C1"/>
    <w:rsid w:val="00C83A5B"/>
    <w:rsid w:val="00C83BDE"/>
    <w:rsid w:val="00C83C2F"/>
    <w:rsid w:val="00C83FEE"/>
    <w:rsid w:val="00C84172"/>
    <w:rsid w:val="00C841F4"/>
    <w:rsid w:val="00C842CB"/>
    <w:rsid w:val="00C8456B"/>
    <w:rsid w:val="00C84D15"/>
    <w:rsid w:val="00C84E81"/>
    <w:rsid w:val="00C84EAA"/>
    <w:rsid w:val="00C84F39"/>
    <w:rsid w:val="00C852A8"/>
    <w:rsid w:val="00C8577A"/>
    <w:rsid w:val="00C85798"/>
    <w:rsid w:val="00C857E3"/>
    <w:rsid w:val="00C85940"/>
    <w:rsid w:val="00C859A7"/>
    <w:rsid w:val="00C859EE"/>
    <w:rsid w:val="00C85AEC"/>
    <w:rsid w:val="00C85BFC"/>
    <w:rsid w:val="00C85C94"/>
    <w:rsid w:val="00C85EF0"/>
    <w:rsid w:val="00C860EE"/>
    <w:rsid w:val="00C86178"/>
    <w:rsid w:val="00C86475"/>
    <w:rsid w:val="00C86578"/>
    <w:rsid w:val="00C865B8"/>
    <w:rsid w:val="00C86A6C"/>
    <w:rsid w:val="00C86ECC"/>
    <w:rsid w:val="00C870BA"/>
    <w:rsid w:val="00C870D3"/>
    <w:rsid w:val="00C87395"/>
    <w:rsid w:val="00C876CC"/>
    <w:rsid w:val="00C8796E"/>
    <w:rsid w:val="00C87ACA"/>
    <w:rsid w:val="00C87B20"/>
    <w:rsid w:val="00C87B78"/>
    <w:rsid w:val="00C87B9F"/>
    <w:rsid w:val="00C87BC9"/>
    <w:rsid w:val="00C87D60"/>
    <w:rsid w:val="00C902B7"/>
    <w:rsid w:val="00C90529"/>
    <w:rsid w:val="00C90580"/>
    <w:rsid w:val="00C90655"/>
    <w:rsid w:val="00C90784"/>
    <w:rsid w:val="00C909DE"/>
    <w:rsid w:val="00C90B3F"/>
    <w:rsid w:val="00C91109"/>
    <w:rsid w:val="00C911A5"/>
    <w:rsid w:val="00C91433"/>
    <w:rsid w:val="00C91767"/>
    <w:rsid w:val="00C918DC"/>
    <w:rsid w:val="00C91901"/>
    <w:rsid w:val="00C9195E"/>
    <w:rsid w:val="00C91C75"/>
    <w:rsid w:val="00C91D0E"/>
    <w:rsid w:val="00C92059"/>
    <w:rsid w:val="00C92158"/>
    <w:rsid w:val="00C9243C"/>
    <w:rsid w:val="00C92497"/>
    <w:rsid w:val="00C92662"/>
    <w:rsid w:val="00C927DE"/>
    <w:rsid w:val="00C927F7"/>
    <w:rsid w:val="00C929F8"/>
    <w:rsid w:val="00C92AA5"/>
    <w:rsid w:val="00C92B17"/>
    <w:rsid w:val="00C92C92"/>
    <w:rsid w:val="00C92E50"/>
    <w:rsid w:val="00C92F8D"/>
    <w:rsid w:val="00C93488"/>
    <w:rsid w:val="00C9353A"/>
    <w:rsid w:val="00C935C1"/>
    <w:rsid w:val="00C936AD"/>
    <w:rsid w:val="00C93AE6"/>
    <w:rsid w:val="00C93BF5"/>
    <w:rsid w:val="00C93C3B"/>
    <w:rsid w:val="00C93E91"/>
    <w:rsid w:val="00C93F29"/>
    <w:rsid w:val="00C93F2B"/>
    <w:rsid w:val="00C93FFD"/>
    <w:rsid w:val="00C94088"/>
    <w:rsid w:val="00C94288"/>
    <w:rsid w:val="00C94A52"/>
    <w:rsid w:val="00C94B0C"/>
    <w:rsid w:val="00C94B5E"/>
    <w:rsid w:val="00C94C98"/>
    <w:rsid w:val="00C94DA7"/>
    <w:rsid w:val="00C94FCA"/>
    <w:rsid w:val="00C95217"/>
    <w:rsid w:val="00C95334"/>
    <w:rsid w:val="00C955A7"/>
    <w:rsid w:val="00C95AB7"/>
    <w:rsid w:val="00C95DA2"/>
    <w:rsid w:val="00C95E57"/>
    <w:rsid w:val="00C9629B"/>
    <w:rsid w:val="00C966B4"/>
    <w:rsid w:val="00C966B5"/>
    <w:rsid w:val="00C966F4"/>
    <w:rsid w:val="00C96CA3"/>
    <w:rsid w:val="00C96F65"/>
    <w:rsid w:val="00C970D9"/>
    <w:rsid w:val="00C9721F"/>
    <w:rsid w:val="00C97505"/>
    <w:rsid w:val="00C97BA1"/>
    <w:rsid w:val="00C97F2C"/>
    <w:rsid w:val="00CA007B"/>
    <w:rsid w:val="00CA00FA"/>
    <w:rsid w:val="00CA015A"/>
    <w:rsid w:val="00CA027A"/>
    <w:rsid w:val="00CA0306"/>
    <w:rsid w:val="00CA033B"/>
    <w:rsid w:val="00CA05B5"/>
    <w:rsid w:val="00CA07C4"/>
    <w:rsid w:val="00CA08D2"/>
    <w:rsid w:val="00CA0908"/>
    <w:rsid w:val="00CA0BF7"/>
    <w:rsid w:val="00CA0D1E"/>
    <w:rsid w:val="00CA0D5A"/>
    <w:rsid w:val="00CA0D78"/>
    <w:rsid w:val="00CA0F5A"/>
    <w:rsid w:val="00CA0F6F"/>
    <w:rsid w:val="00CA0FFF"/>
    <w:rsid w:val="00CA106C"/>
    <w:rsid w:val="00CA1222"/>
    <w:rsid w:val="00CA1335"/>
    <w:rsid w:val="00CA13DC"/>
    <w:rsid w:val="00CA147E"/>
    <w:rsid w:val="00CA1596"/>
    <w:rsid w:val="00CA18B4"/>
    <w:rsid w:val="00CA1DCA"/>
    <w:rsid w:val="00CA1E9C"/>
    <w:rsid w:val="00CA207C"/>
    <w:rsid w:val="00CA223C"/>
    <w:rsid w:val="00CA2442"/>
    <w:rsid w:val="00CA2B5B"/>
    <w:rsid w:val="00CA2C2F"/>
    <w:rsid w:val="00CA2DEB"/>
    <w:rsid w:val="00CA319D"/>
    <w:rsid w:val="00CA31D9"/>
    <w:rsid w:val="00CA3231"/>
    <w:rsid w:val="00CA364A"/>
    <w:rsid w:val="00CA3817"/>
    <w:rsid w:val="00CA385D"/>
    <w:rsid w:val="00CA3873"/>
    <w:rsid w:val="00CA3A5C"/>
    <w:rsid w:val="00CA3AA0"/>
    <w:rsid w:val="00CA41E3"/>
    <w:rsid w:val="00CA4267"/>
    <w:rsid w:val="00CA447E"/>
    <w:rsid w:val="00CA49BD"/>
    <w:rsid w:val="00CA4AE5"/>
    <w:rsid w:val="00CA4C65"/>
    <w:rsid w:val="00CA4DD5"/>
    <w:rsid w:val="00CA517E"/>
    <w:rsid w:val="00CA573D"/>
    <w:rsid w:val="00CA58E9"/>
    <w:rsid w:val="00CA600E"/>
    <w:rsid w:val="00CA60AA"/>
    <w:rsid w:val="00CA61E2"/>
    <w:rsid w:val="00CA61F9"/>
    <w:rsid w:val="00CA62C7"/>
    <w:rsid w:val="00CA62F2"/>
    <w:rsid w:val="00CA6353"/>
    <w:rsid w:val="00CA6421"/>
    <w:rsid w:val="00CA66EB"/>
    <w:rsid w:val="00CA6969"/>
    <w:rsid w:val="00CA6AAE"/>
    <w:rsid w:val="00CA6D63"/>
    <w:rsid w:val="00CA6F73"/>
    <w:rsid w:val="00CA6FC2"/>
    <w:rsid w:val="00CA701A"/>
    <w:rsid w:val="00CA7788"/>
    <w:rsid w:val="00CA77EA"/>
    <w:rsid w:val="00CA7823"/>
    <w:rsid w:val="00CA7871"/>
    <w:rsid w:val="00CA7A49"/>
    <w:rsid w:val="00CA7A9E"/>
    <w:rsid w:val="00CA7BDE"/>
    <w:rsid w:val="00CA7C62"/>
    <w:rsid w:val="00CA7CB5"/>
    <w:rsid w:val="00CA7D3F"/>
    <w:rsid w:val="00CA7DD6"/>
    <w:rsid w:val="00CB0176"/>
    <w:rsid w:val="00CB024C"/>
    <w:rsid w:val="00CB0605"/>
    <w:rsid w:val="00CB0619"/>
    <w:rsid w:val="00CB0D17"/>
    <w:rsid w:val="00CB0DB8"/>
    <w:rsid w:val="00CB1030"/>
    <w:rsid w:val="00CB112F"/>
    <w:rsid w:val="00CB1143"/>
    <w:rsid w:val="00CB13B3"/>
    <w:rsid w:val="00CB15CC"/>
    <w:rsid w:val="00CB16F6"/>
    <w:rsid w:val="00CB1700"/>
    <w:rsid w:val="00CB1891"/>
    <w:rsid w:val="00CB190A"/>
    <w:rsid w:val="00CB1B4A"/>
    <w:rsid w:val="00CB1B74"/>
    <w:rsid w:val="00CB217A"/>
    <w:rsid w:val="00CB278D"/>
    <w:rsid w:val="00CB27A4"/>
    <w:rsid w:val="00CB2C97"/>
    <w:rsid w:val="00CB2CC4"/>
    <w:rsid w:val="00CB2DE2"/>
    <w:rsid w:val="00CB2DE8"/>
    <w:rsid w:val="00CB313B"/>
    <w:rsid w:val="00CB3649"/>
    <w:rsid w:val="00CB37AA"/>
    <w:rsid w:val="00CB3A28"/>
    <w:rsid w:val="00CB43BD"/>
    <w:rsid w:val="00CB448E"/>
    <w:rsid w:val="00CB4959"/>
    <w:rsid w:val="00CB49F5"/>
    <w:rsid w:val="00CB4A4E"/>
    <w:rsid w:val="00CB4EA0"/>
    <w:rsid w:val="00CB51D0"/>
    <w:rsid w:val="00CB51D9"/>
    <w:rsid w:val="00CB54A3"/>
    <w:rsid w:val="00CB57B7"/>
    <w:rsid w:val="00CB5AA3"/>
    <w:rsid w:val="00CB5BE1"/>
    <w:rsid w:val="00CB5C3F"/>
    <w:rsid w:val="00CB5DE4"/>
    <w:rsid w:val="00CB5EBE"/>
    <w:rsid w:val="00CB60D7"/>
    <w:rsid w:val="00CB61A0"/>
    <w:rsid w:val="00CB635D"/>
    <w:rsid w:val="00CB6441"/>
    <w:rsid w:val="00CB6445"/>
    <w:rsid w:val="00CB6521"/>
    <w:rsid w:val="00CB6695"/>
    <w:rsid w:val="00CB694E"/>
    <w:rsid w:val="00CB69E4"/>
    <w:rsid w:val="00CB6C20"/>
    <w:rsid w:val="00CB6DA2"/>
    <w:rsid w:val="00CB7029"/>
    <w:rsid w:val="00CB72D7"/>
    <w:rsid w:val="00CB741F"/>
    <w:rsid w:val="00CB75C8"/>
    <w:rsid w:val="00CB772F"/>
    <w:rsid w:val="00CB78BD"/>
    <w:rsid w:val="00CB7E63"/>
    <w:rsid w:val="00CB7FFA"/>
    <w:rsid w:val="00CC01EC"/>
    <w:rsid w:val="00CC0283"/>
    <w:rsid w:val="00CC037D"/>
    <w:rsid w:val="00CC0A31"/>
    <w:rsid w:val="00CC0B3E"/>
    <w:rsid w:val="00CC0C43"/>
    <w:rsid w:val="00CC0DB9"/>
    <w:rsid w:val="00CC0EA7"/>
    <w:rsid w:val="00CC0ED6"/>
    <w:rsid w:val="00CC1074"/>
    <w:rsid w:val="00CC12A1"/>
    <w:rsid w:val="00CC1380"/>
    <w:rsid w:val="00CC154E"/>
    <w:rsid w:val="00CC184B"/>
    <w:rsid w:val="00CC1AED"/>
    <w:rsid w:val="00CC1AEE"/>
    <w:rsid w:val="00CC1B04"/>
    <w:rsid w:val="00CC1DE2"/>
    <w:rsid w:val="00CC1E61"/>
    <w:rsid w:val="00CC1F94"/>
    <w:rsid w:val="00CC212A"/>
    <w:rsid w:val="00CC21A6"/>
    <w:rsid w:val="00CC25A0"/>
    <w:rsid w:val="00CC25B5"/>
    <w:rsid w:val="00CC28DD"/>
    <w:rsid w:val="00CC290B"/>
    <w:rsid w:val="00CC2ACB"/>
    <w:rsid w:val="00CC2B91"/>
    <w:rsid w:val="00CC2F7B"/>
    <w:rsid w:val="00CC2F8B"/>
    <w:rsid w:val="00CC33AD"/>
    <w:rsid w:val="00CC3433"/>
    <w:rsid w:val="00CC3493"/>
    <w:rsid w:val="00CC350B"/>
    <w:rsid w:val="00CC35DC"/>
    <w:rsid w:val="00CC364F"/>
    <w:rsid w:val="00CC36E0"/>
    <w:rsid w:val="00CC3A5E"/>
    <w:rsid w:val="00CC3A81"/>
    <w:rsid w:val="00CC3FDC"/>
    <w:rsid w:val="00CC3FFA"/>
    <w:rsid w:val="00CC422F"/>
    <w:rsid w:val="00CC42CF"/>
    <w:rsid w:val="00CC42D8"/>
    <w:rsid w:val="00CC4371"/>
    <w:rsid w:val="00CC44BF"/>
    <w:rsid w:val="00CC4696"/>
    <w:rsid w:val="00CC46B0"/>
    <w:rsid w:val="00CC46FA"/>
    <w:rsid w:val="00CC4841"/>
    <w:rsid w:val="00CC4946"/>
    <w:rsid w:val="00CC4E8B"/>
    <w:rsid w:val="00CC50A7"/>
    <w:rsid w:val="00CC5111"/>
    <w:rsid w:val="00CC564F"/>
    <w:rsid w:val="00CC572F"/>
    <w:rsid w:val="00CC5842"/>
    <w:rsid w:val="00CC5A62"/>
    <w:rsid w:val="00CC5BB6"/>
    <w:rsid w:val="00CC5F7B"/>
    <w:rsid w:val="00CC5FBA"/>
    <w:rsid w:val="00CC606C"/>
    <w:rsid w:val="00CC61A9"/>
    <w:rsid w:val="00CC61E7"/>
    <w:rsid w:val="00CC6274"/>
    <w:rsid w:val="00CC6386"/>
    <w:rsid w:val="00CC65CF"/>
    <w:rsid w:val="00CC6731"/>
    <w:rsid w:val="00CC6939"/>
    <w:rsid w:val="00CC6FC8"/>
    <w:rsid w:val="00CC7054"/>
    <w:rsid w:val="00CC70E5"/>
    <w:rsid w:val="00CC70F4"/>
    <w:rsid w:val="00CC7335"/>
    <w:rsid w:val="00CC7D9B"/>
    <w:rsid w:val="00CC7F73"/>
    <w:rsid w:val="00CC7FAB"/>
    <w:rsid w:val="00CD034C"/>
    <w:rsid w:val="00CD0360"/>
    <w:rsid w:val="00CD0863"/>
    <w:rsid w:val="00CD0B0D"/>
    <w:rsid w:val="00CD0B33"/>
    <w:rsid w:val="00CD0B91"/>
    <w:rsid w:val="00CD0D96"/>
    <w:rsid w:val="00CD0F31"/>
    <w:rsid w:val="00CD10E4"/>
    <w:rsid w:val="00CD1833"/>
    <w:rsid w:val="00CD1B3B"/>
    <w:rsid w:val="00CD1BBC"/>
    <w:rsid w:val="00CD1C92"/>
    <w:rsid w:val="00CD2123"/>
    <w:rsid w:val="00CD2A37"/>
    <w:rsid w:val="00CD2C89"/>
    <w:rsid w:val="00CD2D49"/>
    <w:rsid w:val="00CD2E05"/>
    <w:rsid w:val="00CD2ED5"/>
    <w:rsid w:val="00CD2FB4"/>
    <w:rsid w:val="00CD2FF5"/>
    <w:rsid w:val="00CD3362"/>
    <w:rsid w:val="00CD3727"/>
    <w:rsid w:val="00CD37FA"/>
    <w:rsid w:val="00CD3820"/>
    <w:rsid w:val="00CD3865"/>
    <w:rsid w:val="00CD3B47"/>
    <w:rsid w:val="00CD3D1E"/>
    <w:rsid w:val="00CD3DD3"/>
    <w:rsid w:val="00CD3EBB"/>
    <w:rsid w:val="00CD408E"/>
    <w:rsid w:val="00CD417B"/>
    <w:rsid w:val="00CD45FD"/>
    <w:rsid w:val="00CD4907"/>
    <w:rsid w:val="00CD498F"/>
    <w:rsid w:val="00CD4D1C"/>
    <w:rsid w:val="00CD4EF6"/>
    <w:rsid w:val="00CD4F18"/>
    <w:rsid w:val="00CD4F40"/>
    <w:rsid w:val="00CD4F79"/>
    <w:rsid w:val="00CD5208"/>
    <w:rsid w:val="00CD53DD"/>
    <w:rsid w:val="00CD5579"/>
    <w:rsid w:val="00CD558E"/>
    <w:rsid w:val="00CD55EB"/>
    <w:rsid w:val="00CD5743"/>
    <w:rsid w:val="00CD5818"/>
    <w:rsid w:val="00CD584C"/>
    <w:rsid w:val="00CD5946"/>
    <w:rsid w:val="00CD5A24"/>
    <w:rsid w:val="00CD5BC5"/>
    <w:rsid w:val="00CD5BDA"/>
    <w:rsid w:val="00CD5C2C"/>
    <w:rsid w:val="00CD5E0C"/>
    <w:rsid w:val="00CD60B4"/>
    <w:rsid w:val="00CD630B"/>
    <w:rsid w:val="00CD66D8"/>
    <w:rsid w:val="00CD6A95"/>
    <w:rsid w:val="00CD6B9E"/>
    <w:rsid w:val="00CD7176"/>
    <w:rsid w:val="00CD724A"/>
    <w:rsid w:val="00CD7293"/>
    <w:rsid w:val="00CD77E6"/>
    <w:rsid w:val="00CD786E"/>
    <w:rsid w:val="00CD78FD"/>
    <w:rsid w:val="00CD78FF"/>
    <w:rsid w:val="00CD7C78"/>
    <w:rsid w:val="00CD7F93"/>
    <w:rsid w:val="00CD7FE0"/>
    <w:rsid w:val="00CE002B"/>
    <w:rsid w:val="00CE03D3"/>
    <w:rsid w:val="00CE04FF"/>
    <w:rsid w:val="00CE0778"/>
    <w:rsid w:val="00CE07E8"/>
    <w:rsid w:val="00CE09F7"/>
    <w:rsid w:val="00CE0A6C"/>
    <w:rsid w:val="00CE0B49"/>
    <w:rsid w:val="00CE1224"/>
    <w:rsid w:val="00CE15B6"/>
    <w:rsid w:val="00CE1607"/>
    <w:rsid w:val="00CE1664"/>
    <w:rsid w:val="00CE1695"/>
    <w:rsid w:val="00CE16A2"/>
    <w:rsid w:val="00CE16E6"/>
    <w:rsid w:val="00CE17E6"/>
    <w:rsid w:val="00CE1D8A"/>
    <w:rsid w:val="00CE1F26"/>
    <w:rsid w:val="00CE2111"/>
    <w:rsid w:val="00CE21F5"/>
    <w:rsid w:val="00CE2261"/>
    <w:rsid w:val="00CE23C2"/>
    <w:rsid w:val="00CE25D1"/>
    <w:rsid w:val="00CE25E5"/>
    <w:rsid w:val="00CE2652"/>
    <w:rsid w:val="00CE29D6"/>
    <w:rsid w:val="00CE2B05"/>
    <w:rsid w:val="00CE2B6E"/>
    <w:rsid w:val="00CE2E66"/>
    <w:rsid w:val="00CE2E7E"/>
    <w:rsid w:val="00CE2F5F"/>
    <w:rsid w:val="00CE2F82"/>
    <w:rsid w:val="00CE30C2"/>
    <w:rsid w:val="00CE311E"/>
    <w:rsid w:val="00CE33AF"/>
    <w:rsid w:val="00CE38AE"/>
    <w:rsid w:val="00CE3A73"/>
    <w:rsid w:val="00CE3AF8"/>
    <w:rsid w:val="00CE3AFD"/>
    <w:rsid w:val="00CE3BB7"/>
    <w:rsid w:val="00CE3DCB"/>
    <w:rsid w:val="00CE3E75"/>
    <w:rsid w:val="00CE3FA2"/>
    <w:rsid w:val="00CE3FFA"/>
    <w:rsid w:val="00CE4202"/>
    <w:rsid w:val="00CE42AB"/>
    <w:rsid w:val="00CE43F2"/>
    <w:rsid w:val="00CE446A"/>
    <w:rsid w:val="00CE44D0"/>
    <w:rsid w:val="00CE44E8"/>
    <w:rsid w:val="00CE4AB2"/>
    <w:rsid w:val="00CE4B77"/>
    <w:rsid w:val="00CE4DC6"/>
    <w:rsid w:val="00CE5106"/>
    <w:rsid w:val="00CE524D"/>
    <w:rsid w:val="00CE544A"/>
    <w:rsid w:val="00CE568F"/>
    <w:rsid w:val="00CE573F"/>
    <w:rsid w:val="00CE5768"/>
    <w:rsid w:val="00CE590B"/>
    <w:rsid w:val="00CE5969"/>
    <w:rsid w:val="00CE59FB"/>
    <w:rsid w:val="00CE6721"/>
    <w:rsid w:val="00CE68D7"/>
    <w:rsid w:val="00CE69DB"/>
    <w:rsid w:val="00CE6A1A"/>
    <w:rsid w:val="00CE6A7C"/>
    <w:rsid w:val="00CE72D9"/>
    <w:rsid w:val="00CE7556"/>
    <w:rsid w:val="00CE75C4"/>
    <w:rsid w:val="00CE7618"/>
    <w:rsid w:val="00CE7A07"/>
    <w:rsid w:val="00CE7B6D"/>
    <w:rsid w:val="00CE7D91"/>
    <w:rsid w:val="00CE7E47"/>
    <w:rsid w:val="00CE7EDA"/>
    <w:rsid w:val="00CE7FB7"/>
    <w:rsid w:val="00CF0451"/>
    <w:rsid w:val="00CF0607"/>
    <w:rsid w:val="00CF0832"/>
    <w:rsid w:val="00CF08EC"/>
    <w:rsid w:val="00CF0977"/>
    <w:rsid w:val="00CF09CB"/>
    <w:rsid w:val="00CF0A38"/>
    <w:rsid w:val="00CF0E23"/>
    <w:rsid w:val="00CF0E3A"/>
    <w:rsid w:val="00CF1161"/>
    <w:rsid w:val="00CF11CA"/>
    <w:rsid w:val="00CF11E9"/>
    <w:rsid w:val="00CF1926"/>
    <w:rsid w:val="00CF1B92"/>
    <w:rsid w:val="00CF1C0E"/>
    <w:rsid w:val="00CF1C45"/>
    <w:rsid w:val="00CF2097"/>
    <w:rsid w:val="00CF2340"/>
    <w:rsid w:val="00CF2615"/>
    <w:rsid w:val="00CF28D4"/>
    <w:rsid w:val="00CF2DA4"/>
    <w:rsid w:val="00CF2E3E"/>
    <w:rsid w:val="00CF2E40"/>
    <w:rsid w:val="00CF2E52"/>
    <w:rsid w:val="00CF33FC"/>
    <w:rsid w:val="00CF362F"/>
    <w:rsid w:val="00CF3906"/>
    <w:rsid w:val="00CF3913"/>
    <w:rsid w:val="00CF39FE"/>
    <w:rsid w:val="00CF3CDE"/>
    <w:rsid w:val="00CF3E41"/>
    <w:rsid w:val="00CF3ED6"/>
    <w:rsid w:val="00CF3EE8"/>
    <w:rsid w:val="00CF3F74"/>
    <w:rsid w:val="00CF425F"/>
    <w:rsid w:val="00CF42D0"/>
    <w:rsid w:val="00CF432E"/>
    <w:rsid w:val="00CF45B8"/>
    <w:rsid w:val="00CF46A1"/>
    <w:rsid w:val="00CF4731"/>
    <w:rsid w:val="00CF4883"/>
    <w:rsid w:val="00CF4E41"/>
    <w:rsid w:val="00CF4E65"/>
    <w:rsid w:val="00CF4F7C"/>
    <w:rsid w:val="00CF4FEA"/>
    <w:rsid w:val="00CF5028"/>
    <w:rsid w:val="00CF539B"/>
    <w:rsid w:val="00CF55FB"/>
    <w:rsid w:val="00CF5BF0"/>
    <w:rsid w:val="00CF5CCC"/>
    <w:rsid w:val="00CF5CDE"/>
    <w:rsid w:val="00CF5E7D"/>
    <w:rsid w:val="00CF5EAC"/>
    <w:rsid w:val="00CF6070"/>
    <w:rsid w:val="00CF60E6"/>
    <w:rsid w:val="00CF61E5"/>
    <w:rsid w:val="00CF6474"/>
    <w:rsid w:val="00CF669A"/>
    <w:rsid w:val="00CF66FF"/>
    <w:rsid w:val="00CF68F3"/>
    <w:rsid w:val="00CF6B97"/>
    <w:rsid w:val="00CF6BE8"/>
    <w:rsid w:val="00CF6E4A"/>
    <w:rsid w:val="00CF6F58"/>
    <w:rsid w:val="00CF70D8"/>
    <w:rsid w:val="00CF7146"/>
    <w:rsid w:val="00CF7291"/>
    <w:rsid w:val="00CF7340"/>
    <w:rsid w:val="00CF7697"/>
    <w:rsid w:val="00CF7B7A"/>
    <w:rsid w:val="00CF7D33"/>
    <w:rsid w:val="00CF7DE6"/>
    <w:rsid w:val="00CF7F3B"/>
    <w:rsid w:val="00D00080"/>
    <w:rsid w:val="00D000E3"/>
    <w:rsid w:val="00D00422"/>
    <w:rsid w:val="00D006E4"/>
    <w:rsid w:val="00D006E5"/>
    <w:rsid w:val="00D00A3F"/>
    <w:rsid w:val="00D00A60"/>
    <w:rsid w:val="00D00BB6"/>
    <w:rsid w:val="00D00BCE"/>
    <w:rsid w:val="00D00D0F"/>
    <w:rsid w:val="00D00D94"/>
    <w:rsid w:val="00D00DA3"/>
    <w:rsid w:val="00D00EBA"/>
    <w:rsid w:val="00D01096"/>
    <w:rsid w:val="00D01232"/>
    <w:rsid w:val="00D014C2"/>
    <w:rsid w:val="00D0163B"/>
    <w:rsid w:val="00D016FB"/>
    <w:rsid w:val="00D018B5"/>
    <w:rsid w:val="00D01951"/>
    <w:rsid w:val="00D0199E"/>
    <w:rsid w:val="00D01AC7"/>
    <w:rsid w:val="00D01CEF"/>
    <w:rsid w:val="00D01DC8"/>
    <w:rsid w:val="00D01FDD"/>
    <w:rsid w:val="00D021BA"/>
    <w:rsid w:val="00D0240F"/>
    <w:rsid w:val="00D02533"/>
    <w:rsid w:val="00D02702"/>
    <w:rsid w:val="00D027B1"/>
    <w:rsid w:val="00D02B1F"/>
    <w:rsid w:val="00D02CC4"/>
    <w:rsid w:val="00D02DFA"/>
    <w:rsid w:val="00D03091"/>
    <w:rsid w:val="00D032E9"/>
    <w:rsid w:val="00D033B0"/>
    <w:rsid w:val="00D034DA"/>
    <w:rsid w:val="00D0385E"/>
    <w:rsid w:val="00D0398D"/>
    <w:rsid w:val="00D0399C"/>
    <w:rsid w:val="00D03AA2"/>
    <w:rsid w:val="00D03BBB"/>
    <w:rsid w:val="00D03DF4"/>
    <w:rsid w:val="00D04154"/>
    <w:rsid w:val="00D0482B"/>
    <w:rsid w:val="00D04D58"/>
    <w:rsid w:val="00D04E94"/>
    <w:rsid w:val="00D04F10"/>
    <w:rsid w:val="00D050F8"/>
    <w:rsid w:val="00D05172"/>
    <w:rsid w:val="00D0538C"/>
    <w:rsid w:val="00D0599D"/>
    <w:rsid w:val="00D05B97"/>
    <w:rsid w:val="00D05E28"/>
    <w:rsid w:val="00D05E67"/>
    <w:rsid w:val="00D05EC2"/>
    <w:rsid w:val="00D05F94"/>
    <w:rsid w:val="00D06091"/>
    <w:rsid w:val="00D061B9"/>
    <w:rsid w:val="00D06325"/>
    <w:rsid w:val="00D064F0"/>
    <w:rsid w:val="00D066F5"/>
    <w:rsid w:val="00D0673B"/>
    <w:rsid w:val="00D06CFF"/>
    <w:rsid w:val="00D06FC1"/>
    <w:rsid w:val="00D0705F"/>
    <w:rsid w:val="00D0750C"/>
    <w:rsid w:val="00D07559"/>
    <w:rsid w:val="00D07A44"/>
    <w:rsid w:val="00D07A4B"/>
    <w:rsid w:val="00D07B2D"/>
    <w:rsid w:val="00D07F30"/>
    <w:rsid w:val="00D07FEF"/>
    <w:rsid w:val="00D103BB"/>
    <w:rsid w:val="00D1056D"/>
    <w:rsid w:val="00D10962"/>
    <w:rsid w:val="00D10ACC"/>
    <w:rsid w:val="00D10C70"/>
    <w:rsid w:val="00D10EC7"/>
    <w:rsid w:val="00D10FE9"/>
    <w:rsid w:val="00D1136B"/>
    <w:rsid w:val="00D1163E"/>
    <w:rsid w:val="00D11892"/>
    <w:rsid w:val="00D119A8"/>
    <w:rsid w:val="00D11DFB"/>
    <w:rsid w:val="00D122C4"/>
    <w:rsid w:val="00D12397"/>
    <w:rsid w:val="00D128E8"/>
    <w:rsid w:val="00D12A0D"/>
    <w:rsid w:val="00D12D9A"/>
    <w:rsid w:val="00D12EA4"/>
    <w:rsid w:val="00D12EAC"/>
    <w:rsid w:val="00D12EF0"/>
    <w:rsid w:val="00D12FE5"/>
    <w:rsid w:val="00D13205"/>
    <w:rsid w:val="00D1339D"/>
    <w:rsid w:val="00D13449"/>
    <w:rsid w:val="00D135BC"/>
    <w:rsid w:val="00D137B8"/>
    <w:rsid w:val="00D138B5"/>
    <w:rsid w:val="00D13FAA"/>
    <w:rsid w:val="00D14066"/>
    <w:rsid w:val="00D14163"/>
    <w:rsid w:val="00D1419B"/>
    <w:rsid w:val="00D141A3"/>
    <w:rsid w:val="00D14317"/>
    <w:rsid w:val="00D144C2"/>
    <w:rsid w:val="00D1453B"/>
    <w:rsid w:val="00D145FF"/>
    <w:rsid w:val="00D14816"/>
    <w:rsid w:val="00D14917"/>
    <w:rsid w:val="00D14A7F"/>
    <w:rsid w:val="00D15376"/>
    <w:rsid w:val="00D1562D"/>
    <w:rsid w:val="00D158AC"/>
    <w:rsid w:val="00D15A8F"/>
    <w:rsid w:val="00D15E8B"/>
    <w:rsid w:val="00D15F83"/>
    <w:rsid w:val="00D16009"/>
    <w:rsid w:val="00D16456"/>
    <w:rsid w:val="00D167A9"/>
    <w:rsid w:val="00D16D5C"/>
    <w:rsid w:val="00D16DD2"/>
    <w:rsid w:val="00D17294"/>
    <w:rsid w:val="00D174A6"/>
    <w:rsid w:val="00D1770F"/>
    <w:rsid w:val="00D17C7E"/>
    <w:rsid w:val="00D2008E"/>
    <w:rsid w:val="00D200A5"/>
    <w:rsid w:val="00D203D9"/>
    <w:rsid w:val="00D2041A"/>
    <w:rsid w:val="00D20478"/>
    <w:rsid w:val="00D20643"/>
    <w:rsid w:val="00D20658"/>
    <w:rsid w:val="00D207DD"/>
    <w:rsid w:val="00D20906"/>
    <w:rsid w:val="00D209D1"/>
    <w:rsid w:val="00D20D60"/>
    <w:rsid w:val="00D20D81"/>
    <w:rsid w:val="00D2105D"/>
    <w:rsid w:val="00D2107A"/>
    <w:rsid w:val="00D211A2"/>
    <w:rsid w:val="00D212E3"/>
    <w:rsid w:val="00D21452"/>
    <w:rsid w:val="00D2199F"/>
    <w:rsid w:val="00D21A2F"/>
    <w:rsid w:val="00D21C30"/>
    <w:rsid w:val="00D21C9B"/>
    <w:rsid w:val="00D21EDC"/>
    <w:rsid w:val="00D21F82"/>
    <w:rsid w:val="00D21FA2"/>
    <w:rsid w:val="00D21FEE"/>
    <w:rsid w:val="00D2220C"/>
    <w:rsid w:val="00D22277"/>
    <w:rsid w:val="00D2259B"/>
    <w:rsid w:val="00D2271C"/>
    <w:rsid w:val="00D22880"/>
    <w:rsid w:val="00D228E7"/>
    <w:rsid w:val="00D22969"/>
    <w:rsid w:val="00D22A2D"/>
    <w:rsid w:val="00D22A59"/>
    <w:rsid w:val="00D22A6D"/>
    <w:rsid w:val="00D22B2E"/>
    <w:rsid w:val="00D22C5F"/>
    <w:rsid w:val="00D22D67"/>
    <w:rsid w:val="00D231BF"/>
    <w:rsid w:val="00D23224"/>
    <w:rsid w:val="00D2346D"/>
    <w:rsid w:val="00D2366E"/>
    <w:rsid w:val="00D238AB"/>
    <w:rsid w:val="00D23AB1"/>
    <w:rsid w:val="00D23AE7"/>
    <w:rsid w:val="00D23CF2"/>
    <w:rsid w:val="00D23D6D"/>
    <w:rsid w:val="00D23ECB"/>
    <w:rsid w:val="00D23F8A"/>
    <w:rsid w:val="00D23FDA"/>
    <w:rsid w:val="00D24009"/>
    <w:rsid w:val="00D24059"/>
    <w:rsid w:val="00D2437A"/>
    <w:rsid w:val="00D24556"/>
    <w:rsid w:val="00D24659"/>
    <w:rsid w:val="00D24879"/>
    <w:rsid w:val="00D24A1D"/>
    <w:rsid w:val="00D24B39"/>
    <w:rsid w:val="00D24C3E"/>
    <w:rsid w:val="00D24CBB"/>
    <w:rsid w:val="00D24E51"/>
    <w:rsid w:val="00D24FD4"/>
    <w:rsid w:val="00D25369"/>
    <w:rsid w:val="00D255EB"/>
    <w:rsid w:val="00D25605"/>
    <w:rsid w:val="00D25678"/>
    <w:rsid w:val="00D25A51"/>
    <w:rsid w:val="00D25D8B"/>
    <w:rsid w:val="00D25DD5"/>
    <w:rsid w:val="00D2630E"/>
    <w:rsid w:val="00D2644A"/>
    <w:rsid w:val="00D268AF"/>
    <w:rsid w:val="00D26924"/>
    <w:rsid w:val="00D2696B"/>
    <w:rsid w:val="00D26AAA"/>
    <w:rsid w:val="00D26C79"/>
    <w:rsid w:val="00D26C94"/>
    <w:rsid w:val="00D27073"/>
    <w:rsid w:val="00D27205"/>
    <w:rsid w:val="00D27350"/>
    <w:rsid w:val="00D2765C"/>
    <w:rsid w:val="00D2785C"/>
    <w:rsid w:val="00D278CB"/>
    <w:rsid w:val="00D27D9E"/>
    <w:rsid w:val="00D27F08"/>
    <w:rsid w:val="00D3001F"/>
    <w:rsid w:val="00D303CD"/>
    <w:rsid w:val="00D30800"/>
    <w:rsid w:val="00D30850"/>
    <w:rsid w:val="00D30951"/>
    <w:rsid w:val="00D30D34"/>
    <w:rsid w:val="00D30F8B"/>
    <w:rsid w:val="00D31039"/>
    <w:rsid w:val="00D3116F"/>
    <w:rsid w:val="00D3132E"/>
    <w:rsid w:val="00D313CC"/>
    <w:rsid w:val="00D315FF"/>
    <w:rsid w:val="00D31715"/>
    <w:rsid w:val="00D3176D"/>
    <w:rsid w:val="00D31A6E"/>
    <w:rsid w:val="00D31C92"/>
    <w:rsid w:val="00D326D4"/>
    <w:rsid w:val="00D3284A"/>
    <w:rsid w:val="00D32A31"/>
    <w:rsid w:val="00D32B56"/>
    <w:rsid w:val="00D32BAE"/>
    <w:rsid w:val="00D32E82"/>
    <w:rsid w:val="00D33220"/>
    <w:rsid w:val="00D3341E"/>
    <w:rsid w:val="00D33796"/>
    <w:rsid w:val="00D337A9"/>
    <w:rsid w:val="00D33837"/>
    <w:rsid w:val="00D33A43"/>
    <w:rsid w:val="00D33AA4"/>
    <w:rsid w:val="00D33D00"/>
    <w:rsid w:val="00D33EA5"/>
    <w:rsid w:val="00D340E9"/>
    <w:rsid w:val="00D341C2"/>
    <w:rsid w:val="00D3490D"/>
    <w:rsid w:val="00D349F7"/>
    <w:rsid w:val="00D34A0C"/>
    <w:rsid w:val="00D34E28"/>
    <w:rsid w:val="00D34E6D"/>
    <w:rsid w:val="00D34F0C"/>
    <w:rsid w:val="00D3511C"/>
    <w:rsid w:val="00D3515D"/>
    <w:rsid w:val="00D35305"/>
    <w:rsid w:val="00D359DA"/>
    <w:rsid w:val="00D35AF9"/>
    <w:rsid w:val="00D35EA6"/>
    <w:rsid w:val="00D35F27"/>
    <w:rsid w:val="00D36110"/>
    <w:rsid w:val="00D3626E"/>
    <w:rsid w:val="00D36373"/>
    <w:rsid w:val="00D36771"/>
    <w:rsid w:val="00D3689B"/>
    <w:rsid w:val="00D368DF"/>
    <w:rsid w:val="00D369D6"/>
    <w:rsid w:val="00D36B66"/>
    <w:rsid w:val="00D37157"/>
    <w:rsid w:val="00D375A1"/>
    <w:rsid w:val="00D378AE"/>
    <w:rsid w:val="00D37929"/>
    <w:rsid w:val="00D37938"/>
    <w:rsid w:val="00D37A05"/>
    <w:rsid w:val="00D37D38"/>
    <w:rsid w:val="00D37ED5"/>
    <w:rsid w:val="00D37FDF"/>
    <w:rsid w:val="00D403AB"/>
    <w:rsid w:val="00D40517"/>
    <w:rsid w:val="00D406BA"/>
    <w:rsid w:val="00D40A72"/>
    <w:rsid w:val="00D40D72"/>
    <w:rsid w:val="00D41314"/>
    <w:rsid w:val="00D4163B"/>
    <w:rsid w:val="00D4188E"/>
    <w:rsid w:val="00D418AA"/>
    <w:rsid w:val="00D41B47"/>
    <w:rsid w:val="00D41B9D"/>
    <w:rsid w:val="00D41F0B"/>
    <w:rsid w:val="00D42AB1"/>
    <w:rsid w:val="00D42B40"/>
    <w:rsid w:val="00D42D51"/>
    <w:rsid w:val="00D42D79"/>
    <w:rsid w:val="00D42F49"/>
    <w:rsid w:val="00D42F65"/>
    <w:rsid w:val="00D437B0"/>
    <w:rsid w:val="00D438F2"/>
    <w:rsid w:val="00D43992"/>
    <w:rsid w:val="00D439C3"/>
    <w:rsid w:val="00D439D6"/>
    <w:rsid w:val="00D43A83"/>
    <w:rsid w:val="00D43B2D"/>
    <w:rsid w:val="00D43DE5"/>
    <w:rsid w:val="00D43E4D"/>
    <w:rsid w:val="00D44078"/>
    <w:rsid w:val="00D44158"/>
    <w:rsid w:val="00D444B0"/>
    <w:rsid w:val="00D44616"/>
    <w:rsid w:val="00D447D0"/>
    <w:rsid w:val="00D44845"/>
    <w:rsid w:val="00D44BE4"/>
    <w:rsid w:val="00D451AE"/>
    <w:rsid w:val="00D451C9"/>
    <w:rsid w:val="00D453DD"/>
    <w:rsid w:val="00D455B8"/>
    <w:rsid w:val="00D45738"/>
    <w:rsid w:val="00D45743"/>
    <w:rsid w:val="00D457F9"/>
    <w:rsid w:val="00D4586C"/>
    <w:rsid w:val="00D45981"/>
    <w:rsid w:val="00D45EB3"/>
    <w:rsid w:val="00D45FE7"/>
    <w:rsid w:val="00D46078"/>
    <w:rsid w:val="00D46090"/>
    <w:rsid w:val="00D4618A"/>
    <w:rsid w:val="00D462D4"/>
    <w:rsid w:val="00D46450"/>
    <w:rsid w:val="00D4656F"/>
    <w:rsid w:val="00D46627"/>
    <w:rsid w:val="00D46980"/>
    <w:rsid w:val="00D46BC8"/>
    <w:rsid w:val="00D46DF8"/>
    <w:rsid w:val="00D46EA3"/>
    <w:rsid w:val="00D46F5B"/>
    <w:rsid w:val="00D46F61"/>
    <w:rsid w:val="00D470AA"/>
    <w:rsid w:val="00D470F9"/>
    <w:rsid w:val="00D47249"/>
    <w:rsid w:val="00D4763F"/>
    <w:rsid w:val="00D47775"/>
    <w:rsid w:val="00D478D8"/>
    <w:rsid w:val="00D4793A"/>
    <w:rsid w:val="00D47A5B"/>
    <w:rsid w:val="00D47AC0"/>
    <w:rsid w:val="00D47DED"/>
    <w:rsid w:val="00D4E0AC"/>
    <w:rsid w:val="00D50077"/>
    <w:rsid w:val="00D500C7"/>
    <w:rsid w:val="00D500E8"/>
    <w:rsid w:val="00D500F2"/>
    <w:rsid w:val="00D502A7"/>
    <w:rsid w:val="00D50466"/>
    <w:rsid w:val="00D5056F"/>
    <w:rsid w:val="00D5076E"/>
    <w:rsid w:val="00D50803"/>
    <w:rsid w:val="00D509DA"/>
    <w:rsid w:val="00D50B2F"/>
    <w:rsid w:val="00D50E90"/>
    <w:rsid w:val="00D513B0"/>
    <w:rsid w:val="00D51497"/>
    <w:rsid w:val="00D5154D"/>
    <w:rsid w:val="00D51612"/>
    <w:rsid w:val="00D516AD"/>
    <w:rsid w:val="00D51AAA"/>
    <w:rsid w:val="00D51BCC"/>
    <w:rsid w:val="00D51CE1"/>
    <w:rsid w:val="00D51EF3"/>
    <w:rsid w:val="00D51F36"/>
    <w:rsid w:val="00D51F72"/>
    <w:rsid w:val="00D52118"/>
    <w:rsid w:val="00D5214A"/>
    <w:rsid w:val="00D52184"/>
    <w:rsid w:val="00D52243"/>
    <w:rsid w:val="00D522D6"/>
    <w:rsid w:val="00D5234E"/>
    <w:rsid w:val="00D523C8"/>
    <w:rsid w:val="00D524BB"/>
    <w:rsid w:val="00D525C3"/>
    <w:rsid w:val="00D52AE4"/>
    <w:rsid w:val="00D52F38"/>
    <w:rsid w:val="00D5314D"/>
    <w:rsid w:val="00D5360F"/>
    <w:rsid w:val="00D536FD"/>
    <w:rsid w:val="00D5370D"/>
    <w:rsid w:val="00D538A7"/>
    <w:rsid w:val="00D53991"/>
    <w:rsid w:val="00D53C7B"/>
    <w:rsid w:val="00D53E38"/>
    <w:rsid w:val="00D53E70"/>
    <w:rsid w:val="00D5412C"/>
    <w:rsid w:val="00D541EE"/>
    <w:rsid w:val="00D5444E"/>
    <w:rsid w:val="00D546F0"/>
    <w:rsid w:val="00D549FD"/>
    <w:rsid w:val="00D54A36"/>
    <w:rsid w:val="00D54ACF"/>
    <w:rsid w:val="00D54BAA"/>
    <w:rsid w:val="00D54C03"/>
    <w:rsid w:val="00D5508D"/>
    <w:rsid w:val="00D557A4"/>
    <w:rsid w:val="00D55B51"/>
    <w:rsid w:val="00D55C1D"/>
    <w:rsid w:val="00D55F06"/>
    <w:rsid w:val="00D56001"/>
    <w:rsid w:val="00D56033"/>
    <w:rsid w:val="00D56208"/>
    <w:rsid w:val="00D5683C"/>
    <w:rsid w:val="00D5684A"/>
    <w:rsid w:val="00D56999"/>
    <w:rsid w:val="00D570C9"/>
    <w:rsid w:val="00D5719D"/>
    <w:rsid w:val="00D5762C"/>
    <w:rsid w:val="00D5767F"/>
    <w:rsid w:val="00D576EC"/>
    <w:rsid w:val="00D576F2"/>
    <w:rsid w:val="00D57758"/>
    <w:rsid w:val="00D577D0"/>
    <w:rsid w:val="00D578EC"/>
    <w:rsid w:val="00D5793F"/>
    <w:rsid w:val="00D57EAD"/>
    <w:rsid w:val="00D57F79"/>
    <w:rsid w:val="00D57F83"/>
    <w:rsid w:val="00D6001B"/>
    <w:rsid w:val="00D601E9"/>
    <w:rsid w:val="00D60258"/>
    <w:rsid w:val="00D60501"/>
    <w:rsid w:val="00D606B0"/>
    <w:rsid w:val="00D60722"/>
    <w:rsid w:val="00D608AC"/>
    <w:rsid w:val="00D609AF"/>
    <w:rsid w:val="00D60B1F"/>
    <w:rsid w:val="00D61167"/>
    <w:rsid w:val="00D6165A"/>
    <w:rsid w:val="00D61BF6"/>
    <w:rsid w:val="00D61CC4"/>
    <w:rsid w:val="00D61E1C"/>
    <w:rsid w:val="00D6209C"/>
    <w:rsid w:val="00D62440"/>
    <w:rsid w:val="00D6269F"/>
    <w:rsid w:val="00D62A80"/>
    <w:rsid w:val="00D62B77"/>
    <w:rsid w:val="00D62B9A"/>
    <w:rsid w:val="00D62BC8"/>
    <w:rsid w:val="00D62E3C"/>
    <w:rsid w:val="00D62E70"/>
    <w:rsid w:val="00D62F86"/>
    <w:rsid w:val="00D63043"/>
    <w:rsid w:val="00D630E5"/>
    <w:rsid w:val="00D6350D"/>
    <w:rsid w:val="00D63759"/>
    <w:rsid w:val="00D63959"/>
    <w:rsid w:val="00D639F3"/>
    <w:rsid w:val="00D64053"/>
    <w:rsid w:val="00D64151"/>
    <w:rsid w:val="00D644E9"/>
    <w:rsid w:val="00D644EB"/>
    <w:rsid w:val="00D6457C"/>
    <w:rsid w:val="00D64709"/>
    <w:rsid w:val="00D647D4"/>
    <w:rsid w:val="00D64875"/>
    <w:rsid w:val="00D648A7"/>
    <w:rsid w:val="00D64CAA"/>
    <w:rsid w:val="00D6505F"/>
    <w:rsid w:val="00D6563F"/>
    <w:rsid w:val="00D65671"/>
    <w:rsid w:val="00D65754"/>
    <w:rsid w:val="00D658C6"/>
    <w:rsid w:val="00D65BA8"/>
    <w:rsid w:val="00D65C0C"/>
    <w:rsid w:val="00D65D5E"/>
    <w:rsid w:val="00D6610D"/>
    <w:rsid w:val="00D662C3"/>
    <w:rsid w:val="00D6658C"/>
    <w:rsid w:val="00D668C9"/>
    <w:rsid w:val="00D66929"/>
    <w:rsid w:val="00D669CE"/>
    <w:rsid w:val="00D66BD4"/>
    <w:rsid w:val="00D66D08"/>
    <w:rsid w:val="00D672DB"/>
    <w:rsid w:val="00D676B2"/>
    <w:rsid w:val="00D6774E"/>
    <w:rsid w:val="00D6776D"/>
    <w:rsid w:val="00D67844"/>
    <w:rsid w:val="00D678BF"/>
    <w:rsid w:val="00D678D3"/>
    <w:rsid w:val="00D67AEA"/>
    <w:rsid w:val="00D704DA"/>
    <w:rsid w:val="00D70777"/>
    <w:rsid w:val="00D70DA3"/>
    <w:rsid w:val="00D70EE5"/>
    <w:rsid w:val="00D70EEB"/>
    <w:rsid w:val="00D70F11"/>
    <w:rsid w:val="00D711B4"/>
    <w:rsid w:val="00D7138F"/>
    <w:rsid w:val="00D713FD"/>
    <w:rsid w:val="00D71517"/>
    <w:rsid w:val="00D71849"/>
    <w:rsid w:val="00D71A12"/>
    <w:rsid w:val="00D71BD1"/>
    <w:rsid w:val="00D71DFF"/>
    <w:rsid w:val="00D71E1D"/>
    <w:rsid w:val="00D71E1F"/>
    <w:rsid w:val="00D71EC8"/>
    <w:rsid w:val="00D72047"/>
    <w:rsid w:val="00D720CA"/>
    <w:rsid w:val="00D72364"/>
    <w:rsid w:val="00D724C7"/>
    <w:rsid w:val="00D725E5"/>
    <w:rsid w:val="00D7285D"/>
    <w:rsid w:val="00D72AE0"/>
    <w:rsid w:val="00D72F4D"/>
    <w:rsid w:val="00D73011"/>
    <w:rsid w:val="00D73140"/>
    <w:rsid w:val="00D73206"/>
    <w:rsid w:val="00D73302"/>
    <w:rsid w:val="00D73418"/>
    <w:rsid w:val="00D73519"/>
    <w:rsid w:val="00D7355A"/>
    <w:rsid w:val="00D736DA"/>
    <w:rsid w:val="00D73D0E"/>
    <w:rsid w:val="00D73E1A"/>
    <w:rsid w:val="00D74036"/>
    <w:rsid w:val="00D745AD"/>
    <w:rsid w:val="00D745D7"/>
    <w:rsid w:val="00D7479A"/>
    <w:rsid w:val="00D74A5D"/>
    <w:rsid w:val="00D74BC1"/>
    <w:rsid w:val="00D74CFC"/>
    <w:rsid w:val="00D752A0"/>
    <w:rsid w:val="00D754A2"/>
    <w:rsid w:val="00D7570F"/>
    <w:rsid w:val="00D7573C"/>
    <w:rsid w:val="00D75B1F"/>
    <w:rsid w:val="00D75B3A"/>
    <w:rsid w:val="00D76219"/>
    <w:rsid w:val="00D76275"/>
    <w:rsid w:val="00D76744"/>
    <w:rsid w:val="00D76A1B"/>
    <w:rsid w:val="00D76DC2"/>
    <w:rsid w:val="00D76EF3"/>
    <w:rsid w:val="00D77139"/>
    <w:rsid w:val="00D7789A"/>
    <w:rsid w:val="00D778A2"/>
    <w:rsid w:val="00D77A86"/>
    <w:rsid w:val="00D77AF4"/>
    <w:rsid w:val="00D77C5C"/>
    <w:rsid w:val="00D77DD4"/>
    <w:rsid w:val="00D8016B"/>
    <w:rsid w:val="00D80402"/>
    <w:rsid w:val="00D80543"/>
    <w:rsid w:val="00D8074D"/>
    <w:rsid w:val="00D809A0"/>
    <w:rsid w:val="00D80C93"/>
    <w:rsid w:val="00D80CAC"/>
    <w:rsid w:val="00D80D44"/>
    <w:rsid w:val="00D80DD4"/>
    <w:rsid w:val="00D811FC"/>
    <w:rsid w:val="00D813E6"/>
    <w:rsid w:val="00D81437"/>
    <w:rsid w:val="00D81825"/>
    <w:rsid w:val="00D81957"/>
    <w:rsid w:val="00D81A29"/>
    <w:rsid w:val="00D81DB9"/>
    <w:rsid w:val="00D81E5C"/>
    <w:rsid w:val="00D81F3B"/>
    <w:rsid w:val="00D8275E"/>
    <w:rsid w:val="00D8296B"/>
    <w:rsid w:val="00D82A56"/>
    <w:rsid w:val="00D82A94"/>
    <w:rsid w:val="00D82CF5"/>
    <w:rsid w:val="00D82DE6"/>
    <w:rsid w:val="00D82EA4"/>
    <w:rsid w:val="00D83498"/>
    <w:rsid w:val="00D837CB"/>
    <w:rsid w:val="00D837F3"/>
    <w:rsid w:val="00D83B41"/>
    <w:rsid w:val="00D83BA9"/>
    <w:rsid w:val="00D83E03"/>
    <w:rsid w:val="00D8408D"/>
    <w:rsid w:val="00D84701"/>
    <w:rsid w:val="00D848C4"/>
    <w:rsid w:val="00D84D3B"/>
    <w:rsid w:val="00D84F71"/>
    <w:rsid w:val="00D84FFC"/>
    <w:rsid w:val="00D851D9"/>
    <w:rsid w:val="00D8552D"/>
    <w:rsid w:val="00D85B42"/>
    <w:rsid w:val="00D85DC8"/>
    <w:rsid w:val="00D85EB4"/>
    <w:rsid w:val="00D85FE5"/>
    <w:rsid w:val="00D86334"/>
    <w:rsid w:val="00D86478"/>
    <w:rsid w:val="00D86769"/>
    <w:rsid w:val="00D867BA"/>
    <w:rsid w:val="00D86B59"/>
    <w:rsid w:val="00D86F59"/>
    <w:rsid w:val="00D874E9"/>
    <w:rsid w:val="00D87834"/>
    <w:rsid w:val="00D878F7"/>
    <w:rsid w:val="00D87968"/>
    <w:rsid w:val="00D87A1C"/>
    <w:rsid w:val="00D87E6F"/>
    <w:rsid w:val="00D904D9"/>
    <w:rsid w:val="00D9066C"/>
    <w:rsid w:val="00D907A2"/>
    <w:rsid w:val="00D90B68"/>
    <w:rsid w:val="00D90D1D"/>
    <w:rsid w:val="00D910A2"/>
    <w:rsid w:val="00D912F6"/>
    <w:rsid w:val="00D9155E"/>
    <w:rsid w:val="00D9169B"/>
    <w:rsid w:val="00D9170F"/>
    <w:rsid w:val="00D917CD"/>
    <w:rsid w:val="00D91829"/>
    <w:rsid w:val="00D918B2"/>
    <w:rsid w:val="00D91B9A"/>
    <w:rsid w:val="00D91BF8"/>
    <w:rsid w:val="00D91C37"/>
    <w:rsid w:val="00D91D87"/>
    <w:rsid w:val="00D91E16"/>
    <w:rsid w:val="00D91F43"/>
    <w:rsid w:val="00D91F54"/>
    <w:rsid w:val="00D9225B"/>
    <w:rsid w:val="00D92424"/>
    <w:rsid w:val="00D92538"/>
    <w:rsid w:val="00D9253B"/>
    <w:rsid w:val="00D925EE"/>
    <w:rsid w:val="00D9265E"/>
    <w:rsid w:val="00D92ACB"/>
    <w:rsid w:val="00D92CF6"/>
    <w:rsid w:val="00D9302D"/>
    <w:rsid w:val="00D9314D"/>
    <w:rsid w:val="00D9348B"/>
    <w:rsid w:val="00D935A6"/>
    <w:rsid w:val="00D93600"/>
    <w:rsid w:val="00D939C6"/>
    <w:rsid w:val="00D93A4A"/>
    <w:rsid w:val="00D93D2F"/>
    <w:rsid w:val="00D93D41"/>
    <w:rsid w:val="00D93F1B"/>
    <w:rsid w:val="00D9410F"/>
    <w:rsid w:val="00D94224"/>
    <w:rsid w:val="00D94333"/>
    <w:rsid w:val="00D94720"/>
    <w:rsid w:val="00D947D0"/>
    <w:rsid w:val="00D94A49"/>
    <w:rsid w:val="00D94A4A"/>
    <w:rsid w:val="00D94B6C"/>
    <w:rsid w:val="00D94C09"/>
    <w:rsid w:val="00D94EB4"/>
    <w:rsid w:val="00D950E6"/>
    <w:rsid w:val="00D95163"/>
    <w:rsid w:val="00D95286"/>
    <w:rsid w:val="00D953B7"/>
    <w:rsid w:val="00D9569B"/>
    <w:rsid w:val="00D95C52"/>
    <w:rsid w:val="00D95DA1"/>
    <w:rsid w:val="00D9610F"/>
    <w:rsid w:val="00D96293"/>
    <w:rsid w:val="00D965CE"/>
    <w:rsid w:val="00D96683"/>
    <w:rsid w:val="00D966BD"/>
    <w:rsid w:val="00D966C7"/>
    <w:rsid w:val="00D96B64"/>
    <w:rsid w:val="00D96CEA"/>
    <w:rsid w:val="00D96F22"/>
    <w:rsid w:val="00D970D1"/>
    <w:rsid w:val="00D97155"/>
    <w:rsid w:val="00D973A4"/>
    <w:rsid w:val="00D97420"/>
    <w:rsid w:val="00D9776A"/>
    <w:rsid w:val="00D97841"/>
    <w:rsid w:val="00D979A6"/>
    <w:rsid w:val="00D97BEF"/>
    <w:rsid w:val="00D97CA3"/>
    <w:rsid w:val="00D97D98"/>
    <w:rsid w:val="00D97E33"/>
    <w:rsid w:val="00D97F2C"/>
    <w:rsid w:val="00D97FBD"/>
    <w:rsid w:val="00DA0332"/>
    <w:rsid w:val="00DA03B5"/>
    <w:rsid w:val="00DA0414"/>
    <w:rsid w:val="00DA04E2"/>
    <w:rsid w:val="00DA087A"/>
    <w:rsid w:val="00DA08A9"/>
    <w:rsid w:val="00DA0FBA"/>
    <w:rsid w:val="00DA1143"/>
    <w:rsid w:val="00DA118B"/>
    <w:rsid w:val="00DA11B0"/>
    <w:rsid w:val="00DA191F"/>
    <w:rsid w:val="00DA197E"/>
    <w:rsid w:val="00DA1AA7"/>
    <w:rsid w:val="00DA1AC7"/>
    <w:rsid w:val="00DA1B19"/>
    <w:rsid w:val="00DA1B6A"/>
    <w:rsid w:val="00DA1E4D"/>
    <w:rsid w:val="00DA1E5A"/>
    <w:rsid w:val="00DA1F94"/>
    <w:rsid w:val="00DA1FC3"/>
    <w:rsid w:val="00DA1FFE"/>
    <w:rsid w:val="00DA201E"/>
    <w:rsid w:val="00DA21FC"/>
    <w:rsid w:val="00DA236F"/>
    <w:rsid w:val="00DA23B7"/>
    <w:rsid w:val="00DA28D1"/>
    <w:rsid w:val="00DA2931"/>
    <w:rsid w:val="00DA2A87"/>
    <w:rsid w:val="00DA2D33"/>
    <w:rsid w:val="00DA2E92"/>
    <w:rsid w:val="00DA3011"/>
    <w:rsid w:val="00DA305F"/>
    <w:rsid w:val="00DA311C"/>
    <w:rsid w:val="00DA327F"/>
    <w:rsid w:val="00DA35BF"/>
    <w:rsid w:val="00DA36D0"/>
    <w:rsid w:val="00DA36D2"/>
    <w:rsid w:val="00DA3717"/>
    <w:rsid w:val="00DA371C"/>
    <w:rsid w:val="00DA3931"/>
    <w:rsid w:val="00DA3D6E"/>
    <w:rsid w:val="00DA3E02"/>
    <w:rsid w:val="00DA3E31"/>
    <w:rsid w:val="00DA42FC"/>
    <w:rsid w:val="00DA466E"/>
    <w:rsid w:val="00DA46A2"/>
    <w:rsid w:val="00DA4A29"/>
    <w:rsid w:val="00DA4CE3"/>
    <w:rsid w:val="00DA4D74"/>
    <w:rsid w:val="00DA4D98"/>
    <w:rsid w:val="00DA4F2C"/>
    <w:rsid w:val="00DA570C"/>
    <w:rsid w:val="00DA59A6"/>
    <w:rsid w:val="00DA5AF8"/>
    <w:rsid w:val="00DA5BD9"/>
    <w:rsid w:val="00DA5CBD"/>
    <w:rsid w:val="00DA5F18"/>
    <w:rsid w:val="00DA6292"/>
    <w:rsid w:val="00DA647E"/>
    <w:rsid w:val="00DA65EF"/>
    <w:rsid w:val="00DA695D"/>
    <w:rsid w:val="00DA6F1C"/>
    <w:rsid w:val="00DA716C"/>
    <w:rsid w:val="00DA7428"/>
    <w:rsid w:val="00DA7839"/>
    <w:rsid w:val="00DA78BE"/>
    <w:rsid w:val="00DA79DD"/>
    <w:rsid w:val="00DA7D8E"/>
    <w:rsid w:val="00DA7FD3"/>
    <w:rsid w:val="00DB0290"/>
    <w:rsid w:val="00DB0D91"/>
    <w:rsid w:val="00DB0D92"/>
    <w:rsid w:val="00DB0DDC"/>
    <w:rsid w:val="00DB1329"/>
    <w:rsid w:val="00DB13BB"/>
    <w:rsid w:val="00DB16AB"/>
    <w:rsid w:val="00DB16B1"/>
    <w:rsid w:val="00DB179A"/>
    <w:rsid w:val="00DB17E0"/>
    <w:rsid w:val="00DB17FC"/>
    <w:rsid w:val="00DB18A9"/>
    <w:rsid w:val="00DB1994"/>
    <w:rsid w:val="00DB1BB9"/>
    <w:rsid w:val="00DB1C38"/>
    <w:rsid w:val="00DB1C6F"/>
    <w:rsid w:val="00DB1D11"/>
    <w:rsid w:val="00DB1D38"/>
    <w:rsid w:val="00DB1F41"/>
    <w:rsid w:val="00DB20A4"/>
    <w:rsid w:val="00DB24BC"/>
    <w:rsid w:val="00DB27AF"/>
    <w:rsid w:val="00DB280D"/>
    <w:rsid w:val="00DB2955"/>
    <w:rsid w:val="00DB2BCD"/>
    <w:rsid w:val="00DB2F31"/>
    <w:rsid w:val="00DB3537"/>
    <w:rsid w:val="00DB38BA"/>
    <w:rsid w:val="00DB3D06"/>
    <w:rsid w:val="00DB3DEB"/>
    <w:rsid w:val="00DB3E76"/>
    <w:rsid w:val="00DB3FC1"/>
    <w:rsid w:val="00DB4108"/>
    <w:rsid w:val="00DB444A"/>
    <w:rsid w:val="00DB468C"/>
    <w:rsid w:val="00DB4803"/>
    <w:rsid w:val="00DB4BFF"/>
    <w:rsid w:val="00DB4C65"/>
    <w:rsid w:val="00DB4CA3"/>
    <w:rsid w:val="00DB4DB7"/>
    <w:rsid w:val="00DB51AD"/>
    <w:rsid w:val="00DB5271"/>
    <w:rsid w:val="00DB5309"/>
    <w:rsid w:val="00DB5548"/>
    <w:rsid w:val="00DB5565"/>
    <w:rsid w:val="00DB5974"/>
    <w:rsid w:val="00DB5B14"/>
    <w:rsid w:val="00DB5D91"/>
    <w:rsid w:val="00DB5E81"/>
    <w:rsid w:val="00DB5E98"/>
    <w:rsid w:val="00DB5EA4"/>
    <w:rsid w:val="00DB5ED7"/>
    <w:rsid w:val="00DB5FBA"/>
    <w:rsid w:val="00DB6329"/>
    <w:rsid w:val="00DB6446"/>
    <w:rsid w:val="00DB64CD"/>
    <w:rsid w:val="00DB6A05"/>
    <w:rsid w:val="00DB6A65"/>
    <w:rsid w:val="00DB6A9A"/>
    <w:rsid w:val="00DB6B7E"/>
    <w:rsid w:val="00DB6CEE"/>
    <w:rsid w:val="00DB6D3D"/>
    <w:rsid w:val="00DB701F"/>
    <w:rsid w:val="00DB707A"/>
    <w:rsid w:val="00DB70BC"/>
    <w:rsid w:val="00DB72B7"/>
    <w:rsid w:val="00DB72DE"/>
    <w:rsid w:val="00DB7618"/>
    <w:rsid w:val="00DB76AE"/>
    <w:rsid w:val="00DB77DF"/>
    <w:rsid w:val="00DB780A"/>
    <w:rsid w:val="00DB7834"/>
    <w:rsid w:val="00DB7A17"/>
    <w:rsid w:val="00DC01B9"/>
    <w:rsid w:val="00DC04D1"/>
    <w:rsid w:val="00DC0531"/>
    <w:rsid w:val="00DC07CF"/>
    <w:rsid w:val="00DC0A1D"/>
    <w:rsid w:val="00DC0AAD"/>
    <w:rsid w:val="00DC0ADC"/>
    <w:rsid w:val="00DC0F66"/>
    <w:rsid w:val="00DC1030"/>
    <w:rsid w:val="00DC1196"/>
    <w:rsid w:val="00DC135D"/>
    <w:rsid w:val="00DC13DA"/>
    <w:rsid w:val="00DC14A2"/>
    <w:rsid w:val="00DC15E3"/>
    <w:rsid w:val="00DC1A82"/>
    <w:rsid w:val="00DC1CBA"/>
    <w:rsid w:val="00DC1D07"/>
    <w:rsid w:val="00DC1DA7"/>
    <w:rsid w:val="00DC1E39"/>
    <w:rsid w:val="00DC1E70"/>
    <w:rsid w:val="00DC1FD5"/>
    <w:rsid w:val="00DC21BF"/>
    <w:rsid w:val="00DC21CF"/>
    <w:rsid w:val="00DC2340"/>
    <w:rsid w:val="00DC25C7"/>
    <w:rsid w:val="00DC27F9"/>
    <w:rsid w:val="00DC29F0"/>
    <w:rsid w:val="00DC2A9A"/>
    <w:rsid w:val="00DC2AA9"/>
    <w:rsid w:val="00DC2BD8"/>
    <w:rsid w:val="00DC2F6D"/>
    <w:rsid w:val="00DC2F73"/>
    <w:rsid w:val="00DC2FB8"/>
    <w:rsid w:val="00DC30AD"/>
    <w:rsid w:val="00DC30D2"/>
    <w:rsid w:val="00DC3109"/>
    <w:rsid w:val="00DC31DB"/>
    <w:rsid w:val="00DC3726"/>
    <w:rsid w:val="00DC372C"/>
    <w:rsid w:val="00DC3974"/>
    <w:rsid w:val="00DC3A97"/>
    <w:rsid w:val="00DC3E11"/>
    <w:rsid w:val="00DC4263"/>
    <w:rsid w:val="00DC4305"/>
    <w:rsid w:val="00DC463A"/>
    <w:rsid w:val="00DC490B"/>
    <w:rsid w:val="00DC4B05"/>
    <w:rsid w:val="00DC51D3"/>
    <w:rsid w:val="00DC529D"/>
    <w:rsid w:val="00DC52D5"/>
    <w:rsid w:val="00DC5474"/>
    <w:rsid w:val="00DC5665"/>
    <w:rsid w:val="00DC56C8"/>
    <w:rsid w:val="00DC5A1A"/>
    <w:rsid w:val="00DC5AE6"/>
    <w:rsid w:val="00DC5B26"/>
    <w:rsid w:val="00DC5E3B"/>
    <w:rsid w:val="00DC5E4E"/>
    <w:rsid w:val="00DC61DE"/>
    <w:rsid w:val="00DC6233"/>
    <w:rsid w:val="00DC6286"/>
    <w:rsid w:val="00DC64F4"/>
    <w:rsid w:val="00DC6685"/>
    <w:rsid w:val="00DC6695"/>
    <w:rsid w:val="00DC6856"/>
    <w:rsid w:val="00DC6A28"/>
    <w:rsid w:val="00DC6CD2"/>
    <w:rsid w:val="00DC6DC0"/>
    <w:rsid w:val="00DC719E"/>
    <w:rsid w:val="00DC7383"/>
    <w:rsid w:val="00DC751B"/>
    <w:rsid w:val="00DC770C"/>
    <w:rsid w:val="00DC77B7"/>
    <w:rsid w:val="00DC7825"/>
    <w:rsid w:val="00DC788D"/>
    <w:rsid w:val="00DC7896"/>
    <w:rsid w:val="00DC7B1E"/>
    <w:rsid w:val="00DC7BD0"/>
    <w:rsid w:val="00DC7F36"/>
    <w:rsid w:val="00DD0091"/>
    <w:rsid w:val="00DD047E"/>
    <w:rsid w:val="00DD07AA"/>
    <w:rsid w:val="00DD0930"/>
    <w:rsid w:val="00DD0E3D"/>
    <w:rsid w:val="00DD0EA7"/>
    <w:rsid w:val="00DD1275"/>
    <w:rsid w:val="00DD150D"/>
    <w:rsid w:val="00DD15B8"/>
    <w:rsid w:val="00DD178B"/>
    <w:rsid w:val="00DD1795"/>
    <w:rsid w:val="00DD1836"/>
    <w:rsid w:val="00DD1A62"/>
    <w:rsid w:val="00DD1B33"/>
    <w:rsid w:val="00DD1CEE"/>
    <w:rsid w:val="00DD1DC1"/>
    <w:rsid w:val="00DD20A1"/>
    <w:rsid w:val="00DD212F"/>
    <w:rsid w:val="00DD21D8"/>
    <w:rsid w:val="00DD2202"/>
    <w:rsid w:val="00DD22EC"/>
    <w:rsid w:val="00DD249E"/>
    <w:rsid w:val="00DD2638"/>
    <w:rsid w:val="00DD26E3"/>
    <w:rsid w:val="00DD2814"/>
    <w:rsid w:val="00DD28BC"/>
    <w:rsid w:val="00DD2D4F"/>
    <w:rsid w:val="00DD2DB2"/>
    <w:rsid w:val="00DD3296"/>
    <w:rsid w:val="00DD3463"/>
    <w:rsid w:val="00DD346E"/>
    <w:rsid w:val="00DD35B9"/>
    <w:rsid w:val="00DD3A3F"/>
    <w:rsid w:val="00DD3A66"/>
    <w:rsid w:val="00DD3B1D"/>
    <w:rsid w:val="00DD3B69"/>
    <w:rsid w:val="00DD3B8F"/>
    <w:rsid w:val="00DD412A"/>
    <w:rsid w:val="00DD414D"/>
    <w:rsid w:val="00DD4211"/>
    <w:rsid w:val="00DD422F"/>
    <w:rsid w:val="00DD43CF"/>
    <w:rsid w:val="00DD46D9"/>
    <w:rsid w:val="00DD47C9"/>
    <w:rsid w:val="00DD4836"/>
    <w:rsid w:val="00DD4C33"/>
    <w:rsid w:val="00DD4CE2"/>
    <w:rsid w:val="00DD4DD0"/>
    <w:rsid w:val="00DD4DE4"/>
    <w:rsid w:val="00DD4E18"/>
    <w:rsid w:val="00DD4F0D"/>
    <w:rsid w:val="00DD5085"/>
    <w:rsid w:val="00DD5190"/>
    <w:rsid w:val="00DD530D"/>
    <w:rsid w:val="00DD54C2"/>
    <w:rsid w:val="00DD5791"/>
    <w:rsid w:val="00DD5833"/>
    <w:rsid w:val="00DD594A"/>
    <w:rsid w:val="00DD5AF3"/>
    <w:rsid w:val="00DD5BB6"/>
    <w:rsid w:val="00DD5E6F"/>
    <w:rsid w:val="00DD5F9B"/>
    <w:rsid w:val="00DD6250"/>
    <w:rsid w:val="00DD687B"/>
    <w:rsid w:val="00DD6BE9"/>
    <w:rsid w:val="00DD6EA2"/>
    <w:rsid w:val="00DD6EAF"/>
    <w:rsid w:val="00DD6FC9"/>
    <w:rsid w:val="00DD73AF"/>
    <w:rsid w:val="00DD73FE"/>
    <w:rsid w:val="00DD7667"/>
    <w:rsid w:val="00DD76BC"/>
    <w:rsid w:val="00DD79A2"/>
    <w:rsid w:val="00DD7C2F"/>
    <w:rsid w:val="00DD7E89"/>
    <w:rsid w:val="00DD7F38"/>
    <w:rsid w:val="00DE01A5"/>
    <w:rsid w:val="00DE0672"/>
    <w:rsid w:val="00DE0A4A"/>
    <w:rsid w:val="00DE0BD2"/>
    <w:rsid w:val="00DE104B"/>
    <w:rsid w:val="00DE12B0"/>
    <w:rsid w:val="00DE17C9"/>
    <w:rsid w:val="00DE180F"/>
    <w:rsid w:val="00DE18DD"/>
    <w:rsid w:val="00DE1921"/>
    <w:rsid w:val="00DE199C"/>
    <w:rsid w:val="00DE1B07"/>
    <w:rsid w:val="00DE1E0A"/>
    <w:rsid w:val="00DE1E4E"/>
    <w:rsid w:val="00DE2021"/>
    <w:rsid w:val="00DE212D"/>
    <w:rsid w:val="00DE2353"/>
    <w:rsid w:val="00DE24D4"/>
    <w:rsid w:val="00DE2979"/>
    <w:rsid w:val="00DE29E6"/>
    <w:rsid w:val="00DE29FD"/>
    <w:rsid w:val="00DE2AFD"/>
    <w:rsid w:val="00DE2E8C"/>
    <w:rsid w:val="00DE2F3D"/>
    <w:rsid w:val="00DE2FE1"/>
    <w:rsid w:val="00DE3199"/>
    <w:rsid w:val="00DE335E"/>
    <w:rsid w:val="00DE34ED"/>
    <w:rsid w:val="00DE3568"/>
    <w:rsid w:val="00DE3667"/>
    <w:rsid w:val="00DE37A2"/>
    <w:rsid w:val="00DE38E4"/>
    <w:rsid w:val="00DE39A2"/>
    <w:rsid w:val="00DE3A15"/>
    <w:rsid w:val="00DE3CB8"/>
    <w:rsid w:val="00DE3EDA"/>
    <w:rsid w:val="00DE3F0D"/>
    <w:rsid w:val="00DE3F93"/>
    <w:rsid w:val="00DE3FB0"/>
    <w:rsid w:val="00DE4096"/>
    <w:rsid w:val="00DE4154"/>
    <w:rsid w:val="00DE4910"/>
    <w:rsid w:val="00DE49B0"/>
    <w:rsid w:val="00DE4A09"/>
    <w:rsid w:val="00DE4B10"/>
    <w:rsid w:val="00DE510F"/>
    <w:rsid w:val="00DE53A4"/>
    <w:rsid w:val="00DE56A1"/>
    <w:rsid w:val="00DE5711"/>
    <w:rsid w:val="00DE58B0"/>
    <w:rsid w:val="00DE590F"/>
    <w:rsid w:val="00DE5B25"/>
    <w:rsid w:val="00DE5C88"/>
    <w:rsid w:val="00DE5EAC"/>
    <w:rsid w:val="00DE5F30"/>
    <w:rsid w:val="00DE6374"/>
    <w:rsid w:val="00DE63BE"/>
    <w:rsid w:val="00DE65F9"/>
    <w:rsid w:val="00DE660A"/>
    <w:rsid w:val="00DE67CE"/>
    <w:rsid w:val="00DE690A"/>
    <w:rsid w:val="00DE692F"/>
    <w:rsid w:val="00DE69A4"/>
    <w:rsid w:val="00DE6C27"/>
    <w:rsid w:val="00DE6E45"/>
    <w:rsid w:val="00DE712A"/>
    <w:rsid w:val="00DE729D"/>
    <w:rsid w:val="00DE74BA"/>
    <w:rsid w:val="00DE7520"/>
    <w:rsid w:val="00DE7635"/>
    <w:rsid w:val="00DE7AD4"/>
    <w:rsid w:val="00DE7C9C"/>
    <w:rsid w:val="00DE7CA2"/>
    <w:rsid w:val="00DE7CC7"/>
    <w:rsid w:val="00DE7D18"/>
    <w:rsid w:val="00DE7D44"/>
    <w:rsid w:val="00DE7E61"/>
    <w:rsid w:val="00DF013E"/>
    <w:rsid w:val="00DF0187"/>
    <w:rsid w:val="00DF01A2"/>
    <w:rsid w:val="00DF0226"/>
    <w:rsid w:val="00DF0369"/>
    <w:rsid w:val="00DF040C"/>
    <w:rsid w:val="00DF042E"/>
    <w:rsid w:val="00DF06D8"/>
    <w:rsid w:val="00DF07A6"/>
    <w:rsid w:val="00DF07C3"/>
    <w:rsid w:val="00DF0832"/>
    <w:rsid w:val="00DF086F"/>
    <w:rsid w:val="00DF09D3"/>
    <w:rsid w:val="00DF0EC8"/>
    <w:rsid w:val="00DF1162"/>
    <w:rsid w:val="00DF134A"/>
    <w:rsid w:val="00DF1367"/>
    <w:rsid w:val="00DF1444"/>
    <w:rsid w:val="00DF1464"/>
    <w:rsid w:val="00DF174A"/>
    <w:rsid w:val="00DF17C8"/>
    <w:rsid w:val="00DF18CE"/>
    <w:rsid w:val="00DF19C3"/>
    <w:rsid w:val="00DF1D36"/>
    <w:rsid w:val="00DF1E47"/>
    <w:rsid w:val="00DF1EE2"/>
    <w:rsid w:val="00DF1FDC"/>
    <w:rsid w:val="00DF240B"/>
    <w:rsid w:val="00DF26B1"/>
    <w:rsid w:val="00DF2B69"/>
    <w:rsid w:val="00DF2FD4"/>
    <w:rsid w:val="00DF3076"/>
    <w:rsid w:val="00DF31A8"/>
    <w:rsid w:val="00DF3387"/>
    <w:rsid w:val="00DF3BFD"/>
    <w:rsid w:val="00DF413B"/>
    <w:rsid w:val="00DF43E1"/>
    <w:rsid w:val="00DF4648"/>
    <w:rsid w:val="00DF4945"/>
    <w:rsid w:val="00DF4A7C"/>
    <w:rsid w:val="00DF4C66"/>
    <w:rsid w:val="00DF4E95"/>
    <w:rsid w:val="00DF5372"/>
    <w:rsid w:val="00DF5480"/>
    <w:rsid w:val="00DF5724"/>
    <w:rsid w:val="00DF5755"/>
    <w:rsid w:val="00DF5936"/>
    <w:rsid w:val="00DF5A80"/>
    <w:rsid w:val="00DF612F"/>
    <w:rsid w:val="00DF65A9"/>
    <w:rsid w:val="00DF66BA"/>
    <w:rsid w:val="00DF66EA"/>
    <w:rsid w:val="00DF6798"/>
    <w:rsid w:val="00DF67B7"/>
    <w:rsid w:val="00DF681C"/>
    <w:rsid w:val="00DF6917"/>
    <w:rsid w:val="00DF6926"/>
    <w:rsid w:val="00DF69CA"/>
    <w:rsid w:val="00DF6A6A"/>
    <w:rsid w:val="00DF6B4B"/>
    <w:rsid w:val="00DF6BA2"/>
    <w:rsid w:val="00DF6C00"/>
    <w:rsid w:val="00DF6DF4"/>
    <w:rsid w:val="00DF73BD"/>
    <w:rsid w:val="00DF7798"/>
    <w:rsid w:val="00DF7AFB"/>
    <w:rsid w:val="00DF7D95"/>
    <w:rsid w:val="00E00337"/>
    <w:rsid w:val="00E00354"/>
    <w:rsid w:val="00E004E3"/>
    <w:rsid w:val="00E00E6A"/>
    <w:rsid w:val="00E00FF6"/>
    <w:rsid w:val="00E011BF"/>
    <w:rsid w:val="00E015BB"/>
    <w:rsid w:val="00E01635"/>
    <w:rsid w:val="00E0169D"/>
    <w:rsid w:val="00E017FF"/>
    <w:rsid w:val="00E01D2A"/>
    <w:rsid w:val="00E01D6F"/>
    <w:rsid w:val="00E01FAB"/>
    <w:rsid w:val="00E020AA"/>
    <w:rsid w:val="00E02237"/>
    <w:rsid w:val="00E025BE"/>
    <w:rsid w:val="00E027FD"/>
    <w:rsid w:val="00E02E5B"/>
    <w:rsid w:val="00E02E79"/>
    <w:rsid w:val="00E02F9E"/>
    <w:rsid w:val="00E03127"/>
    <w:rsid w:val="00E03335"/>
    <w:rsid w:val="00E033A7"/>
    <w:rsid w:val="00E035F7"/>
    <w:rsid w:val="00E036CD"/>
    <w:rsid w:val="00E037C0"/>
    <w:rsid w:val="00E038F7"/>
    <w:rsid w:val="00E03A9D"/>
    <w:rsid w:val="00E03C53"/>
    <w:rsid w:val="00E03ED8"/>
    <w:rsid w:val="00E04086"/>
    <w:rsid w:val="00E04133"/>
    <w:rsid w:val="00E041C2"/>
    <w:rsid w:val="00E043E3"/>
    <w:rsid w:val="00E046BC"/>
    <w:rsid w:val="00E04791"/>
    <w:rsid w:val="00E0482C"/>
    <w:rsid w:val="00E04872"/>
    <w:rsid w:val="00E04977"/>
    <w:rsid w:val="00E04C2D"/>
    <w:rsid w:val="00E04C73"/>
    <w:rsid w:val="00E050FD"/>
    <w:rsid w:val="00E051DC"/>
    <w:rsid w:val="00E0564E"/>
    <w:rsid w:val="00E056D9"/>
    <w:rsid w:val="00E05E78"/>
    <w:rsid w:val="00E05F38"/>
    <w:rsid w:val="00E064B1"/>
    <w:rsid w:val="00E06509"/>
    <w:rsid w:val="00E0681C"/>
    <w:rsid w:val="00E06852"/>
    <w:rsid w:val="00E06D4A"/>
    <w:rsid w:val="00E06E54"/>
    <w:rsid w:val="00E06E91"/>
    <w:rsid w:val="00E06F0B"/>
    <w:rsid w:val="00E06F40"/>
    <w:rsid w:val="00E06FD9"/>
    <w:rsid w:val="00E07077"/>
    <w:rsid w:val="00E0722A"/>
    <w:rsid w:val="00E0787D"/>
    <w:rsid w:val="00E07BF3"/>
    <w:rsid w:val="00E07E1A"/>
    <w:rsid w:val="00E07EF5"/>
    <w:rsid w:val="00E1047D"/>
    <w:rsid w:val="00E104FB"/>
    <w:rsid w:val="00E109D0"/>
    <w:rsid w:val="00E10C01"/>
    <w:rsid w:val="00E10D7B"/>
    <w:rsid w:val="00E1155A"/>
    <w:rsid w:val="00E11D46"/>
    <w:rsid w:val="00E127AA"/>
    <w:rsid w:val="00E12893"/>
    <w:rsid w:val="00E12A66"/>
    <w:rsid w:val="00E12A97"/>
    <w:rsid w:val="00E134B1"/>
    <w:rsid w:val="00E134EA"/>
    <w:rsid w:val="00E1350E"/>
    <w:rsid w:val="00E135D4"/>
    <w:rsid w:val="00E139D6"/>
    <w:rsid w:val="00E1410A"/>
    <w:rsid w:val="00E14153"/>
    <w:rsid w:val="00E1445D"/>
    <w:rsid w:val="00E1448D"/>
    <w:rsid w:val="00E14673"/>
    <w:rsid w:val="00E1486A"/>
    <w:rsid w:val="00E14B1C"/>
    <w:rsid w:val="00E14CB0"/>
    <w:rsid w:val="00E14D1E"/>
    <w:rsid w:val="00E150B0"/>
    <w:rsid w:val="00E15613"/>
    <w:rsid w:val="00E15630"/>
    <w:rsid w:val="00E158A7"/>
    <w:rsid w:val="00E15AD4"/>
    <w:rsid w:val="00E15BBE"/>
    <w:rsid w:val="00E15CA0"/>
    <w:rsid w:val="00E15FDB"/>
    <w:rsid w:val="00E1617D"/>
    <w:rsid w:val="00E16189"/>
    <w:rsid w:val="00E16359"/>
    <w:rsid w:val="00E163EA"/>
    <w:rsid w:val="00E1647D"/>
    <w:rsid w:val="00E164D4"/>
    <w:rsid w:val="00E16515"/>
    <w:rsid w:val="00E166C5"/>
    <w:rsid w:val="00E169C7"/>
    <w:rsid w:val="00E16A0A"/>
    <w:rsid w:val="00E16B77"/>
    <w:rsid w:val="00E16DB7"/>
    <w:rsid w:val="00E16DD2"/>
    <w:rsid w:val="00E16F52"/>
    <w:rsid w:val="00E16F68"/>
    <w:rsid w:val="00E16F74"/>
    <w:rsid w:val="00E178C5"/>
    <w:rsid w:val="00E179D8"/>
    <w:rsid w:val="00E17CBB"/>
    <w:rsid w:val="00E17EE5"/>
    <w:rsid w:val="00E17F17"/>
    <w:rsid w:val="00E201B8"/>
    <w:rsid w:val="00E201EF"/>
    <w:rsid w:val="00E202C7"/>
    <w:rsid w:val="00E20398"/>
    <w:rsid w:val="00E2061E"/>
    <w:rsid w:val="00E209A6"/>
    <w:rsid w:val="00E209AC"/>
    <w:rsid w:val="00E209E3"/>
    <w:rsid w:val="00E20B85"/>
    <w:rsid w:val="00E20F5E"/>
    <w:rsid w:val="00E21944"/>
    <w:rsid w:val="00E21AF0"/>
    <w:rsid w:val="00E21C84"/>
    <w:rsid w:val="00E21E10"/>
    <w:rsid w:val="00E21E98"/>
    <w:rsid w:val="00E21F72"/>
    <w:rsid w:val="00E2200B"/>
    <w:rsid w:val="00E2248C"/>
    <w:rsid w:val="00E22659"/>
    <w:rsid w:val="00E2281F"/>
    <w:rsid w:val="00E22936"/>
    <w:rsid w:val="00E22C2C"/>
    <w:rsid w:val="00E2305A"/>
    <w:rsid w:val="00E23203"/>
    <w:rsid w:val="00E232EC"/>
    <w:rsid w:val="00E23333"/>
    <w:rsid w:val="00E23358"/>
    <w:rsid w:val="00E2350F"/>
    <w:rsid w:val="00E235D3"/>
    <w:rsid w:val="00E235F2"/>
    <w:rsid w:val="00E23641"/>
    <w:rsid w:val="00E237C7"/>
    <w:rsid w:val="00E239D6"/>
    <w:rsid w:val="00E23D94"/>
    <w:rsid w:val="00E23E75"/>
    <w:rsid w:val="00E23EC7"/>
    <w:rsid w:val="00E2464E"/>
    <w:rsid w:val="00E24718"/>
    <w:rsid w:val="00E24751"/>
    <w:rsid w:val="00E248FE"/>
    <w:rsid w:val="00E24AE4"/>
    <w:rsid w:val="00E24CBB"/>
    <w:rsid w:val="00E24E95"/>
    <w:rsid w:val="00E24F76"/>
    <w:rsid w:val="00E25282"/>
    <w:rsid w:val="00E252D6"/>
    <w:rsid w:val="00E25547"/>
    <w:rsid w:val="00E2560B"/>
    <w:rsid w:val="00E25760"/>
    <w:rsid w:val="00E25781"/>
    <w:rsid w:val="00E257E2"/>
    <w:rsid w:val="00E25874"/>
    <w:rsid w:val="00E25B84"/>
    <w:rsid w:val="00E25CC1"/>
    <w:rsid w:val="00E25D9A"/>
    <w:rsid w:val="00E264AC"/>
    <w:rsid w:val="00E266B0"/>
    <w:rsid w:val="00E26716"/>
    <w:rsid w:val="00E26D0F"/>
    <w:rsid w:val="00E26D7E"/>
    <w:rsid w:val="00E26DBE"/>
    <w:rsid w:val="00E26E9B"/>
    <w:rsid w:val="00E26FC3"/>
    <w:rsid w:val="00E2717A"/>
    <w:rsid w:val="00E27198"/>
    <w:rsid w:val="00E27548"/>
    <w:rsid w:val="00E27A67"/>
    <w:rsid w:val="00E27C12"/>
    <w:rsid w:val="00E27C7A"/>
    <w:rsid w:val="00E27C87"/>
    <w:rsid w:val="00E27D36"/>
    <w:rsid w:val="00E27D39"/>
    <w:rsid w:val="00E27DCB"/>
    <w:rsid w:val="00E30136"/>
    <w:rsid w:val="00E3014C"/>
    <w:rsid w:val="00E303BB"/>
    <w:rsid w:val="00E30627"/>
    <w:rsid w:val="00E30822"/>
    <w:rsid w:val="00E3096A"/>
    <w:rsid w:val="00E30A37"/>
    <w:rsid w:val="00E3117C"/>
    <w:rsid w:val="00E311AF"/>
    <w:rsid w:val="00E312A3"/>
    <w:rsid w:val="00E31302"/>
    <w:rsid w:val="00E3138A"/>
    <w:rsid w:val="00E318B5"/>
    <w:rsid w:val="00E31F08"/>
    <w:rsid w:val="00E31F44"/>
    <w:rsid w:val="00E320D1"/>
    <w:rsid w:val="00E3213A"/>
    <w:rsid w:val="00E321D7"/>
    <w:rsid w:val="00E322B8"/>
    <w:rsid w:val="00E323A6"/>
    <w:rsid w:val="00E32660"/>
    <w:rsid w:val="00E327A0"/>
    <w:rsid w:val="00E329E4"/>
    <w:rsid w:val="00E330CE"/>
    <w:rsid w:val="00E330DE"/>
    <w:rsid w:val="00E33279"/>
    <w:rsid w:val="00E3331C"/>
    <w:rsid w:val="00E335B0"/>
    <w:rsid w:val="00E3394D"/>
    <w:rsid w:val="00E339C5"/>
    <w:rsid w:val="00E339CB"/>
    <w:rsid w:val="00E339CD"/>
    <w:rsid w:val="00E33CC4"/>
    <w:rsid w:val="00E33D27"/>
    <w:rsid w:val="00E3413B"/>
    <w:rsid w:val="00E34435"/>
    <w:rsid w:val="00E344AF"/>
    <w:rsid w:val="00E3459F"/>
    <w:rsid w:val="00E34843"/>
    <w:rsid w:val="00E34BF5"/>
    <w:rsid w:val="00E34D98"/>
    <w:rsid w:val="00E3506E"/>
    <w:rsid w:val="00E35536"/>
    <w:rsid w:val="00E3560F"/>
    <w:rsid w:val="00E3569B"/>
    <w:rsid w:val="00E35920"/>
    <w:rsid w:val="00E36129"/>
    <w:rsid w:val="00E363A8"/>
    <w:rsid w:val="00E3662B"/>
    <w:rsid w:val="00E3696A"/>
    <w:rsid w:val="00E36A5C"/>
    <w:rsid w:val="00E36C15"/>
    <w:rsid w:val="00E36E25"/>
    <w:rsid w:val="00E372AF"/>
    <w:rsid w:val="00E37404"/>
    <w:rsid w:val="00E3767D"/>
    <w:rsid w:val="00E37845"/>
    <w:rsid w:val="00E3788F"/>
    <w:rsid w:val="00E37A98"/>
    <w:rsid w:val="00E37C0B"/>
    <w:rsid w:val="00E37DE1"/>
    <w:rsid w:val="00E37FBA"/>
    <w:rsid w:val="00E40099"/>
    <w:rsid w:val="00E402B6"/>
    <w:rsid w:val="00E407BA"/>
    <w:rsid w:val="00E40E18"/>
    <w:rsid w:val="00E410B7"/>
    <w:rsid w:val="00E41115"/>
    <w:rsid w:val="00E41493"/>
    <w:rsid w:val="00E4177B"/>
    <w:rsid w:val="00E417F6"/>
    <w:rsid w:val="00E419A1"/>
    <w:rsid w:val="00E41A5E"/>
    <w:rsid w:val="00E41B51"/>
    <w:rsid w:val="00E41C4B"/>
    <w:rsid w:val="00E41CE4"/>
    <w:rsid w:val="00E41CFB"/>
    <w:rsid w:val="00E41E73"/>
    <w:rsid w:val="00E41F08"/>
    <w:rsid w:val="00E42027"/>
    <w:rsid w:val="00E420D1"/>
    <w:rsid w:val="00E4217C"/>
    <w:rsid w:val="00E42899"/>
    <w:rsid w:val="00E4298F"/>
    <w:rsid w:val="00E42A22"/>
    <w:rsid w:val="00E42A3C"/>
    <w:rsid w:val="00E42AB0"/>
    <w:rsid w:val="00E43138"/>
    <w:rsid w:val="00E43222"/>
    <w:rsid w:val="00E434E7"/>
    <w:rsid w:val="00E43536"/>
    <w:rsid w:val="00E4364D"/>
    <w:rsid w:val="00E438F8"/>
    <w:rsid w:val="00E43A2B"/>
    <w:rsid w:val="00E43A65"/>
    <w:rsid w:val="00E43ACE"/>
    <w:rsid w:val="00E43B9F"/>
    <w:rsid w:val="00E43DF7"/>
    <w:rsid w:val="00E43E76"/>
    <w:rsid w:val="00E43F8A"/>
    <w:rsid w:val="00E43F93"/>
    <w:rsid w:val="00E43FB8"/>
    <w:rsid w:val="00E4429A"/>
    <w:rsid w:val="00E442FB"/>
    <w:rsid w:val="00E4449D"/>
    <w:rsid w:val="00E444B7"/>
    <w:rsid w:val="00E4452D"/>
    <w:rsid w:val="00E446EF"/>
    <w:rsid w:val="00E4487B"/>
    <w:rsid w:val="00E44961"/>
    <w:rsid w:val="00E44AED"/>
    <w:rsid w:val="00E44E48"/>
    <w:rsid w:val="00E45179"/>
    <w:rsid w:val="00E45220"/>
    <w:rsid w:val="00E452FA"/>
    <w:rsid w:val="00E45B73"/>
    <w:rsid w:val="00E45BEC"/>
    <w:rsid w:val="00E45CBB"/>
    <w:rsid w:val="00E46064"/>
    <w:rsid w:val="00E464AB"/>
    <w:rsid w:val="00E464D5"/>
    <w:rsid w:val="00E469E6"/>
    <w:rsid w:val="00E46AE0"/>
    <w:rsid w:val="00E46AFC"/>
    <w:rsid w:val="00E46B3D"/>
    <w:rsid w:val="00E46DF7"/>
    <w:rsid w:val="00E46E4B"/>
    <w:rsid w:val="00E470E7"/>
    <w:rsid w:val="00E4730C"/>
    <w:rsid w:val="00E4740C"/>
    <w:rsid w:val="00E4758F"/>
    <w:rsid w:val="00E4761C"/>
    <w:rsid w:val="00E47751"/>
    <w:rsid w:val="00E47827"/>
    <w:rsid w:val="00E47942"/>
    <w:rsid w:val="00E50367"/>
    <w:rsid w:val="00E5038C"/>
    <w:rsid w:val="00E50572"/>
    <w:rsid w:val="00E506F5"/>
    <w:rsid w:val="00E50C2F"/>
    <w:rsid w:val="00E50CA8"/>
    <w:rsid w:val="00E50FE6"/>
    <w:rsid w:val="00E51325"/>
    <w:rsid w:val="00E5148C"/>
    <w:rsid w:val="00E5154E"/>
    <w:rsid w:val="00E51D16"/>
    <w:rsid w:val="00E51D56"/>
    <w:rsid w:val="00E51D5C"/>
    <w:rsid w:val="00E51D5D"/>
    <w:rsid w:val="00E51DC5"/>
    <w:rsid w:val="00E51EDC"/>
    <w:rsid w:val="00E5280C"/>
    <w:rsid w:val="00E529F6"/>
    <w:rsid w:val="00E529FE"/>
    <w:rsid w:val="00E52C17"/>
    <w:rsid w:val="00E53047"/>
    <w:rsid w:val="00E531B0"/>
    <w:rsid w:val="00E534E9"/>
    <w:rsid w:val="00E53599"/>
    <w:rsid w:val="00E535DD"/>
    <w:rsid w:val="00E53628"/>
    <w:rsid w:val="00E538DC"/>
    <w:rsid w:val="00E539D0"/>
    <w:rsid w:val="00E539D1"/>
    <w:rsid w:val="00E53BE6"/>
    <w:rsid w:val="00E53F1C"/>
    <w:rsid w:val="00E540A8"/>
    <w:rsid w:val="00E5416F"/>
    <w:rsid w:val="00E54304"/>
    <w:rsid w:val="00E5457F"/>
    <w:rsid w:val="00E54588"/>
    <w:rsid w:val="00E54BDB"/>
    <w:rsid w:val="00E54E8F"/>
    <w:rsid w:val="00E54EDE"/>
    <w:rsid w:val="00E54F94"/>
    <w:rsid w:val="00E54FF3"/>
    <w:rsid w:val="00E55528"/>
    <w:rsid w:val="00E55661"/>
    <w:rsid w:val="00E55689"/>
    <w:rsid w:val="00E556BF"/>
    <w:rsid w:val="00E55704"/>
    <w:rsid w:val="00E5582E"/>
    <w:rsid w:val="00E5588E"/>
    <w:rsid w:val="00E558F5"/>
    <w:rsid w:val="00E55B76"/>
    <w:rsid w:val="00E55F04"/>
    <w:rsid w:val="00E55FB9"/>
    <w:rsid w:val="00E564C4"/>
    <w:rsid w:val="00E566C8"/>
    <w:rsid w:val="00E5682C"/>
    <w:rsid w:val="00E56888"/>
    <w:rsid w:val="00E569C3"/>
    <w:rsid w:val="00E574F2"/>
    <w:rsid w:val="00E57678"/>
    <w:rsid w:val="00E5799E"/>
    <w:rsid w:val="00E57B38"/>
    <w:rsid w:val="00E6028C"/>
    <w:rsid w:val="00E6039A"/>
    <w:rsid w:val="00E6077E"/>
    <w:rsid w:val="00E60803"/>
    <w:rsid w:val="00E609B8"/>
    <w:rsid w:val="00E60A31"/>
    <w:rsid w:val="00E60D4B"/>
    <w:rsid w:val="00E60DA0"/>
    <w:rsid w:val="00E61171"/>
    <w:rsid w:val="00E615A2"/>
    <w:rsid w:val="00E61837"/>
    <w:rsid w:val="00E61876"/>
    <w:rsid w:val="00E61A46"/>
    <w:rsid w:val="00E61A85"/>
    <w:rsid w:val="00E61C20"/>
    <w:rsid w:val="00E61C49"/>
    <w:rsid w:val="00E61D1D"/>
    <w:rsid w:val="00E621F8"/>
    <w:rsid w:val="00E62269"/>
    <w:rsid w:val="00E623BD"/>
    <w:rsid w:val="00E62452"/>
    <w:rsid w:val="00E62781"/>
    <w:rsid w:val="00E62A33"/>
    <w:rsid w:val="00E62B3B"/>
    <w:rsid w:val="00E62C2C"/>
    <w:rsid w:val="00E63016"/>
    <w:rsid w:val="00E630B8"/>
    <w:rsid w:val="00E63225"/>
    <w:rsid w:val="00E6322F"/>
    <w:rsid w:val="00E6328A"/>
    <w:rsid w:val="00E63409"/>
    <w:rsid w:val="00E63553"/>
    <w:rsid w:val="00E6385C"/>
    <w:rsid w:val="00E639EA"/>
    <w:rsid w:val="00E63ACB"/>
    <w:rsid w:val="00E63C28"/>
    <w:rsid w:val="00E63C70"/>
    <w:rsid w:val="00E640F7"/>
    <w:rsid w:val="00E64471"/>
    <w:rsid w:val="00E64B30"/>
    <w:rsid w:val="00E64B61"/>
    <w:rsid w:val="00E64C1E"/>
    <w:rsid w:val="00E64C92"/>
    <w:rsid w:val="00E64D10"/>
    <w:rsid w:val="00E64E89"/>
    <w:rsid w:val="00E651AF"/>
    <w:rsid w:val="00E65373"/>
    <w:rsid w:val="00E65400"/>
    <w:rsid w:val="00E655DC"/>
    <w:rsid w:val="00E656FE"/>
    <w:rsid w:val="00E65AB1"/>
    <w:rsid w:val="00E65BFD"/>
    <w:rsid w:val="00E65C15"/>
    <w:rsid w:val="00E65D5A"/>
    <w:rsid w:val="00E65E63"/>
    <w:rsid w:val="00E65E85"/>
    <w:rsid w:val="00E66054"/>
    <w:rsid w:val="00E66245"/>
    <w:rsid w:val="00E66344"/>
    <w:rsid w:val="00E66545"/>
    <w:rsid w:val="00E666AE"/>
    <w:rsid w:val="00E666B1"/>
    <w:rsid w:val="00E66842"/>
    <w:rsid w:val="00E66C58"/>
    <w:rsid w:val="00E671B3"/>
    <w:rsid w:val="00E673C5"/>
    <w:rsid w:val="00E67A22"/>
    <w:rsid w:val="00E67A43"/>
    <w:rsid w:val="00E67E2C"/>
    <w:rsid w:val="00E67F8F"/>
    <w:rsid w:val="00E701E4"/>
    <w:rsid w:val="00E70257"/>
    <w:rsid w:val="00E703DA"/>
    <w:rsid w:val="00E706A8"/>
    <w:rsid w:val="00E7094B"/>
    <w:rsid w:val="00E70A58"/>
    <w:rsid w:val="00E70B70"/>
    <w:rsid w:val="00E70BEF"/>
    <w:rsid w:val="00E70D92"/>
    <w:rsid w:val="00E70D9A"/>
    <w:rsid w:val="00E70E60"/>
    <w:rsid w:val="00E71048"/>
    <w:rsid w:val="00E71346"/>
    <w:rsid w:val="00E71387"/>
    <w:rsid w:val="00E7157D"/>
    <w:rsid w:val="00E715CA"/>
    <w:rsid w:val="00E71609"/>
    <w:rsid w:val="00E71692"/>
    <w:rsid w:val="00E71813"/>
    <w:rsid w:val="00E71867"/>
    <w:rsid w:val="00E71B49"/>
    <w:rsid w:val="00E71B8B"/>
    <w:rsid w:val="00E71F1C"/>
    <w:rsid w:val="00E71FD6"/>
    <w:rsid w:val="00E71FF8"/>
    <w:rsid w:val="00E72005"/>
    <w:rsid w:val="00E722CC"/>
    <w:rsid w:val="00E724FE"/>
    <w:rsid w:val="00E7250B"/>
    <w:rsid w:val="00E725B7"/>
    <w:rsid w:val="00E728A7"/>
    <w:rsid w:val="00E72954"/>
    <w:rsid w:val="00E72ACA"/>
    <w:rsid w:val="00E72CC6"/>
    <w:rsid w:val="00E72D01"/>
    <w:rsid w:val="00E72D71"/>
    <w:rsid w:val="00E72D87"/>
    <w:rsid w:val="00E72F52"/>
    <w:rsid w:val="00E731B5"/>
    <w:rsid w:val="00E731FD"/>
    <w:rsid w:val="00E73340"/>
    <w:rsid w:val="00E73558"/>
    <w:rsid w:val="00E73657"/>
    <w:rsid w:val="00E73A2A"/>
    <w:rsid w:val="00E73CC6"/>
    <w:rsid w:val="00E73D6A"/>
    <w:rsid w:val="00E73FF4"/>
    <w:rsid w:val="00E74252"/>
    <w:rsid w:val="00E744A1"/>
    <w:rsid w:val="00E745CE"/>
    <w:rsid w:val="00E7468B"/>
    <w:rsid w:val="00E7472C"/>
    <w:rsid w:val="00E74754"/>
    <w:rsid w:val="00E74800"/>
    <w:rsid w:val="00E74B17"/>
    <w:rsid w:val="00E74F43"/>
    <w:rsid w:val="00E75AE3"/>
    <w:rsid w:val="00E75B19"/>
    <w:rsid w:val="00E75B74"/>
    <w:rsid w:val="00E75B8C"/>
    <w:rsid w:val="00E75CBD"/>
    <w:rsid w:val="00E75EB2"/>
    <w:rsid w:val="00E76248"/>
    <w:rsid w:val="00E764BE"/>
    <w:rsid w:val="00E764EB"/>
    <w:rsid w:val="00E76569"/>
    <w:rsid w:val="00E76590"/>
    <w:rsid w:val="00E766A2"/>
    <w:rsid w:val="00E767EB"/>
    <w:rsid w:val="00E7685C"/>
    <w:rsid w:val="00E76860"/>
    <w:rsid w:val="00E76EC2"/>
    <w:rsid w:val="00E76EEF"/>
    <w:rsid w:val="00E77019"/>
    <w:rsid w:val="00E77266"/>
    <w:rsid w:val="00E7753B"/>
    <w:rsid w:val="00E775AD"/>
    <w:rsid w:val="00E77652"/>
    <w:rsid w:val="00E777BD"/>
    <w:rsid w:val="00E777DF"/>
    <w:rsid w:val="00E77941"/>
    <w:rsid w:val="00E77ADD"/>
    <w:rsid w:val="00E77C5A"/>
    <w:rsid w:val="00E77D29"/>
    <w:rsid w:val="00E77FF4"/>
    <w:rsid w:val="00E802D6"/>
    <w:rsid w:val="00E802EE"/>
    <w:rsid w:val="00E80351"/>
    <w:rsid w:val="00E803BC"/>
    <w:rsid w:val="00E8045D"/>
    <w:rsid w:val="00E804E3"/>
    <w:rsid w:val="00E806B5"/>
    <w:rsid w:val="00E806DB"/>
    <w:rsid w:val="00E80830"/>
    <w:rsid w:val="00E808EC"/>
    <w:rsid w:val="00E80956"/>
    <w:rsid w:val="00E809A5"/>
    <w:rsid w:val="00E80A57"/>
    <w:rsid w:val="00E80A69"/>
    <w:rsid w:val="00E80ACE"/>
    <w:rsid w:val="00E80D54"/>
    <w:rsid w:val="00E80D8C"/>
    <w:rsid w:val="00E80E96"/>
    <w:rsid w:val="00E81055"/>
    <w:rsid w:val="00E81339"/>
    <w:rsid w:val="00E814C0"/>
    <w:rsid w:val="00E8152F"/>
    <w:rsid w:val="00E81709"/>
    <w:rsid w:val="00E81833"/>
    <w:rsid w:val="00E818AA"/>
    <w:rsid w:val="00E818B5"/>
    <w:rsid w:val="00E81AB1"/>
    <w:rsid w:val="00E81F1F"/>
    <w:rsid w:val="00E82181"/>
    <w:rsid w:val="00E8237B"/>
    <w:rsid w:val="00E823CC"/>
    <w:rsid w:val="00E82639"/>
    <w:rsid w:val="00E82737"/>
    <w:rsid w:val="00E8276B"/>
    <w:rsid w:val="00E8283F"/>
    <w:rsid w:val="00E82891"/>
    <w:rsid w:val="00E82DE5"/>
    <w:rsid w:val="00E82F9B"/>
    <w:rsid w:val="00E83168"/>
    <w:rsid w:val="00E832CE"/>
    <w:rsid w:val="00E833DC"/>
    <w:rsid w:val="00E83422"/>
    <w:rsid w:val="00E835AD"/>
    <w:rsid w:val="00E83673"/>
    <w:rsid w:val="00E83762"/>
    <w:rsid w:val="00E83764"/>
    <w:rsid w:val="00E837B5"/>
    <w:rsid w:val="00E8389E"/>
    <w:rsid w:val="00E83A49"/>
    <w:rsid w:val="00E83B16"/>
    <w:rsid w:val="00E83B49"/>
    <w:rsid w:val="00E83D6C"/>
    <w:rsid w:val="00E83E26"/>
    <w:rsid w:val="00E83F8A"/>
    <w:rsid w:val="00E842E5"/>
    <w:rsid w:val="00E84315"/>
    <w:rsid w:val="00E843DA"/>
    <w:rsid w:val="00E8453D"/>
    <w:rsid w:val="00E84679"/>
    <w:rsid w:val="00E846D6"/>
    <w:rsid w:val="00E8477A"/>
    <w:rsid w:val="00E8494D"/>
    <w:rsid w:val="00E84B81"/>
    <w:rsid w:val="00E84E05"/>
    <w:rsid w:val="00E84EC7"/>
    <w:rsid w:val="00E84F39"/>
    <w:rsid w:val="00E84FFD"/>
    <w:rsid w:val="00E85195"/>
    <w:rsid w:val="00E85266"/>
    <w:rsid w:val="00E852CE"/>
    <w:rsid w:val="00E856E1"/>
    <w:rsid w:val="00E85790"/>
    <w:rsid w:val="00E859DC"/>
    <w:rsid w:val="00E85CBD"/>
    <w:rsid w:val="00E85F32"/>
    <w:rsid w:val="00E860B6"/>
    <w:rsid w:val="00E86251"/>
    <w:rsid w:val="00E86298"/>
    <w:rsid w:val="00E86437"/>
    <w:rsid w:val="00E86457"/>
    <w:rsid w:val="00E866BE"/>
    <w:rsid w:val="00E866E7"/>
    <w:rsid w:val="00E869CD"/>
    <w:rsid w:val="00E869ED"/>
    <w:rsid w:val="00E86A66"/>
    <w:rsid w:val="00E86C39"/>
    <w:rsid w:val="00E8711E"/>
    <w:rsid w:val="00E8735C"/>
    <w:rsid w:val="00E87446"/>
    <w:rsid w:val="00E875C1"/>
    <w:rsid w:val="00E90367"/>
    <w:rsid w:val="00E903E4"/>
    <w:rsid w:val="00E90561"/>
    <w:rsid w:val="00E907C8"/>
    <w:rsid w:val="00E90908"/>
    <w:rsid w:val="00E90E45"/>
    <w:rsid w:val="00E916D0"/>
    <w:rsid w:val="00E91889"/>
    <w:rsid w:val="00E91AF4"/>
    <w:rsid w:val="00E91B04"/>
    <w:rsid w:val="00E91B7B"/>
    <w:rsid w:val="00E91DB2"/>
    <w:rsid w:val="00E91DB3"/>
    <w:rsid w:val="00E920E1"/>
    <w:rsid w:val="00E92237"/>
    <w:rsid w:val="00E92301"/>
    <w:rsid w:val="00E923F4"/>
    <w:rsid w:val="00E92538"/>
    <w:rsid w:val="00E92CE3"/>
    <w:rsid w:val="00E92F23"/>
    <w:rsid w:val="00E9301F"/>
    <w:rsid w:val="00E932D4"/>
    <w:rsid w:val="00E93366"/>
    <w:rsid w:val="00E936D6"/>
    <w:rsid w:val="00E93836"/>
    <w:rsid w:val="00E9384D"/>
    <w:rsid w:val="00E93926"/>
    <w:rsid w:val="00E93C6F"/>
    <w:rsid w:val="00E93C97"/>
    <w:rsid w:val="00E93FD6"/>
    <w:rsid w:val="00E9403B"/>
    <w:rsid w:val="00E94061"/>
    <w:rsid w:val="00E94261"/>
    <w:rsid w:val="00E94384"/>
    <w:rsid w:val="00E94432"/>
    <w:rsid w:val="00E9466D"/>
    <w:rsid w:val="00E947E1"/>
    <w:rsid w:val="00E949C9"/>
    <w:rsid w:val="00E94E97"/>
    <w:rsid w:val="00E950EC"/>
    <w:rsid w:val="00E953B4"/>
    <w:rsid w:val="00E95854"/>
    <w:rsid w:val="00E95D8A"/>
    <w:rsid w:val="00E95EE4"/>
    <w:rsid w:val="00E9608E"/>
    <w:rsid w:val="00E96350"/>
    <w:rsid w:val="00E9635D"/>
    <w:rsid w:val="00E96501"/>
    <w:rsid w:val="00E9651A"/>
    <w:rsid w:val="00E96584"/>
    <w:rsid w:val="00E965D5"/>
    <w:rsid w:val="00E966E3"/>
    <w:rsid w:val="00E96769"/>
    <w:rsid w:val="00E96988"/>
    <w:rsid w:val="00E96F24"/>
    <w:rsid w:val="00E9730C"/>
    <w:rsid w:val="00E973DC"/>
    <w:rsid w:val="00E97433"/>
    <w:rsid w:val="00E9762C"/>
    <w:rsid w:val="00E976AB"/>
    <w:rsid w:val="00E978FF"/>
    <w:rsid w:val="00E97A45"/>
    <w:rsid w:val="00E97B01"/>
    <w:rsid w:val="00E97D70"/>
    <w:rsid w:val="00E97F1C"/>
    <w:rsid w:val="00EA0190"/>
    <w:rsid w:val="00EA03DD"/>
    <w:rsid w:val="00EA05AD"/>
    <w:rsid w:val="00EA070B"/>
    <w:rsid w:val="00EA07AD"/>
    <w:rsid w:val="00EA085E"/>
    <w:rsid w:val="00EA08F1"/>
    <w:rsid w:val="00EA0DC6"/>
    <w:rsid w:val="00EA0E48"/>
    <w:rsid w:val="00EA0E6C"/>
    <w:rsid w:val="00EA105D"/>
    <w:rsid w:val="00EA1300"/>
    <w:rsid w:val="00EA1474"/>
    <w:rsid w:val="00EA158C"/>
    <w:rsid w:val="00EA1C69"/>
    <w:rsid w:val="00EA1DB7"/>
    <w:rsid w:val="00EA1EAC"/>
    <w:rsid w:val="00EA1EE7"/>
    <w:rsid w:val="00EA21BD"/>
    <w:rsid w:val="00EA220C"/>
    <w:rsid w:val="00EA2251"/>
    <w:rsid w:val="00EA2442"/>
    <w:rsid w:val="00EA2580"/>
    <w:rsid w:val="00EA26C3"/>
    <w:rsid w:val="00EA26D1"/>
    <w:rsid w:val="00EA2739"/>
    <w:rsid w:val="00EA2740"/>
    <w:rsid w:val="00EA2761"/>
    <w:rsid w:val="00EA27D2"/>
    <w:rsid w:val="00EA28B3"/>
    <w:rsid w:val="00EA28CE"/>
    <w:rsid w:val="00EA2A76"/>
    <w:rsid w:val="00EA2B47"/>
    <w:rsid w:val="00EA2EFD"/>
    <w:rsid w:val="00EA2F5B"/>
    <w:rsid w:val="00EA30D8"/>
    <w:rsid w:val="00EA35BB"/>
    <w:rsid w:val="00EA35D5"/>
    <w:rsid w:val="00EA370C"/>
    <w:rsid w:val="00EA3847"/>
    <w:rsid w:val="00EA393D"/>
    <w:rsid w:val="00EA3A1B"/>
    <w:rsid w:val="00EA3A75"/>
    <w:rsid w:val="00EA3B8D"/>
    <w:rsid w:val="00EA3DD0"/>
    <w:rsid w:val="00EA3E3C"/>
    <w:rsid w:val="00EA40A7"/>
    <w:rsid w:val="00EA41CB"/>
    <w:rsid w:val="00EA4264"/>
    <w:rsid w:val="00EA4308"/>
    <w:rsid w:val="00EA47E0"/>
    <w:rsid w:val="00EA49B0"/>
    <w:rsid w:val="00EA4ACA"/>
    <w:rsid w:val="00EA4E54"/>
    <w:rsid w:val="00EA5028"/>
    <w:rsid w:val="00EA50EB"/>
    <w:rsid w:val="00EA5162"/>
    <w:rsid w:val="00EA5230"/>
    <w:rsid w:val="00EA536B"/>
    <w:rsid w:val="00EA53EC"/>
    <w:rsid w:val="00EA5457"/>
    <w:rsid w:val="00EA5466"/>
    <w:rsid w:val="00EA5595"/>
    <w:rsid w:val="00EA5E45"/>
    <w:rsid w:val="00EA6387"/>
    <w:rsid w:val="00EA6459"/>
    <w:rsid w:val="00EA68C1"/>
    <w:rsid w:val="00EA6952"/>
    <w:rsid w:val="00EA6A5A"/>
    <w:rsid w:val="00EA6B0C"/>
    <w:rsid w:val="00EA6B1F"/>
    <w:rsid w:val="00EA6CFF"/>
    <w:rsid w:val="00EA6D71"/>
    <w:rsid w:val="00EA7068"/>
    <w:rsid w:val="00EA7292"/>
    <w:rsid w:val="00EA7648"/>
    <w:rsid w:val="00EA778A"/>
    <w:rsid w:val="00EA78BB"/>
    <w:rsid w:val="00EA797B"/>
    <w:rsid w:val="00EA7AD7"/>
    <w:rsid w:val="00EA7B26"/>
    <w:rsid w:val="00EA7B73"/>
    <w:rsid w:val="00EA7DCF"/>
    <w:rsid w:val="00EB0232"/>
    <w:rsid w:val="00EB06B8"/>
    <w:rsid w:val="00EB0B1A"/>
    <w:rsid w:val="00EB0C09"/>
    <w:rsid w:val="00EB11A3"/>
    <w:rsid w:val="00EB13BF"/>
    <w:rsid w:val="00EB14D1"/>
    <w:rsid w:val="00EB1A87"/>
    <w:rsid w:val="00EB1E17"/>
    <w:rsid w:val="00EB1EA4"/>
    <w:rsid w:val="00EB20AB"/>
    <w:rsid w:val="00EB2148"/>
    <w:rsid w:val="00EB21FF"/>
    <w:rsid w:val="00EB22BB"/>
    <w:rsid w:val="00EB23CF"/>
    <w:rsid w:val="00EB24DE"/>
    <w:rsid w:val="00EB26A2"/>
    <w:rsid w:val="00EB296D"/>
    <w:rsid w:val="00EB2A58"/>
    <w:rsid w:val="00EB2ACF"/>
    <w:rsid w:val="00EB2B50"/>
    <w:rsid w:val="00EB2C33"/>
    <w:rsid w:val="00EB2CBA"/>
    <w:rsid w:val="00EB2DC0"/>
    <w:rsid w:val="00EB2EA7"/>
    <w:rsid w:val="00EB33F5"/>
    <w:rsid w:val="00EB35D2"/>
    <w:rsid w:val="00EB35FB"/>
    <w:rsid w:val="00EB3616"/>
    <w:rsid w:val="00EB383F"/>
    <w:rsid w:val="00EB3975"/>
    <w:rsid w:val="00EB3A58"/>
    <w:rsid w:val="00EB3B92"/>
    <w:rsid w:val="00EB3D60"/>
    <w:rsid w:val="00EB3E75"/>
    <w:rsid w:val="00EB3FFE"/>
    <w:rsid w:val="00EB40DC"/>
    <w:rsid w:val="00EB5033"/>
    <w:rsid w:val="00EB5435"/>
    <w:rsid w:val="00EB55C6"/>
    <w:rsid w:val="00EB566A"/>
    <w:rsid w:val="00EB582E"/>
    <w:rsid w:val="00EB5C80"/>
    <w:rsid w:val="00EB63BE"/>
    <w:rsid w:val="00EB6638"/>
    <w:rsid w:val="00EB675B"/>
    <w:rsid w:val="00EB685A"/>
    <w:rsid w:val="00EB6A13"/>
    <w:rsid w:val="00EB6D74"/>
    <w:rsid w:val="00EB6D78"/>
    <w:rsid w:val="00EB6EA7"/>
    <w:rsid w:val="00EB6F15"/>
    <w:rsid w:val="00EB6F92"/>
    <w:rsid w:val="00EB707C"/>
    <w:rsid w:val="00EB7120"/>
    <w:rsid w:val="00EB7283"/>
    <w:rsid w:val="00EB7426"/>
    <w:rsid w:val="00EB74D5"/>
    <w:rsid w:val="00EB762E"/>
    <w:rsid w:val="00EB79EC"/>
    <w:rsid w:val="00EB7C74"/>
    <w:rsid w:val="00EB7D6F"/>
    <w:rsid w:val="00EB7F83"/>
    <w:rsid w:val="00EC0171"/>
    <w:rsid w:val="00EC0687"/>
    <w:rsid w:val="00EC0B25"/>
    <w:rsid w:val="00EC0D39"/>
    <w:rsid w:val="00EC10C5"/>
    <w:rsid w:val="00EC14DD"/>
    <w:rsid w:val="00EC169E"/>
    <w:rsid w:val="00EC1887"/>
    <w:rsid w:val="00EC18D4"/>
    <w:rsid w:val="00EC1B31"/>
    <w:rsid w:val="00EC1B56"/>
    <w:rsid w:val="00EC1BC5"/>
    <w:rsid w:val="00EC1D6E"/>
    <w:rsid w:val="00EC1EEA"/>
    <w:rsid w:val="00EC2012"/>
    <w:rsid w:val="00EC216E"/>
    <w:rsid w:val="00EC27A9"/>
    <w:rsid w:val="00EC2923"/>
    <w:rsid w:val="00EC2945"/>
    <w:rsid w:val="00EC2A77"/>
    <w:rsid w:val="00EC2E95"/>
    <w:rsid w:val="00EC2F01"/>
    <w:rsid w:val="00EC3164"/>
    <w:rsid w:val="00EC31CD"/>
    <w:rsid w:val="00EC32D8"/>
    <w:rsid w:val="00EC32E4"/>
    <w:rsid w:val="00EC3398"/>
    <w:rsid w:val="00EC351E"/>
    <w:rsid w:val="00EC3881"/>
    <w:rsid w:val="00EC391C"/>
    <w:rsid w:val="00EC3AF1"/>
    <w:rsid w:val="00EC3B62"/>
    <w:rsid w:val="00EC3B68"/>
    <w:rsid w:val="00EC3BE0"/>
    <w:rsid w:val="00EC412D"/>
    <w:rsid w:val="00EC414F"/>
    <w:rsid w:val="00EC4328"/>
    <w:rsid w:val="00EC4D59"/>
    <w:rsid w:val="00EC5012"/>
    <w:rsid w:val="00EC5162"/>
    <w:rsid w:val="00EC541C"/>
    <w:rsid w:val="00EC5564"/>
    <w:rsid w:val="00EC5745"/>
    <w:rsid w:val="00EC5789"/>
    <w:rsid w:val="00EC585F"/>
    <w:rsid w:val="00EC5A71"/>
    <w:rsid w:val="00EC5C7C"/>
    <w:rsid w:val="00EC5F80"/>
    <w:rsid w:val="00EC5FC6"/>
    <w:rsid w:val="00EC6022"/>
    <w:rsid w:val="00EC6432"/>
    <w:rsid w:val="00EC64A4"/>
    <w:rsid w:val="00EC654B"/>
    <w:rsid w:val="00EC658D"/>
    <w:rsid w:val="00EC65F5"/>
    <w:rsid w:val="00EC66B0"/>
    <w:rsid w:val="00EC697E"/>
    <w:rsid w:val="00EC69C9"/>
    <w:rsid w:val="00EC6C56"/>
    <w:rsid w:val="00EC6F01"/>
    <w:rsid w:val="00EC7000"/>
    <w:rsid w:val="00EC7142"/>
    <w:rsid w:val="00EC73F6"/>
    <w:rsid w:val="00EC7566"/>
    <w:rsid w:val="00EC7A3E"/>
    <w:rsid w:val="00EC7B4D"/>
    <w:rsid w:val="00EC7BD9"/>
    <w:rsid w:val="00EC7F37"/>
    <w:rsid w:val="00ED0093"/>
    <w:rsid w:val="00ED0254"/>
    <w:rsid w:val="00ED0399"/>
    <w:rsid w:val="00ED03F3"/>
    <w:rsid w:val="00ED0462"/>
    <w:rsid w:val="00ED061D"/>
    <w:rsid w:val="00ED0666"/>
    <w:rsid w:val="00ED06F6"/>
    <w:rsid w:val="00ED08CA"/>
    <w:rsid w:val="00ED0DF7"/>
    <w:rsid w:val="00ED12D8"/>
    <w:rsid w:val="00ED1423"/>
    <w:rsid w:val="00ED1627"/>
    <w:rsid w:val="00ED16F5"/>
    <w:rsid w:val="00ED1B6A"/>
    <w:rsid w:val="00ED1D39"/>
    <w:rsid w:val="00ED1D65"/>
    <w:rsid w:val="00ED1D85"/>
    <w:rsid w:val="00ED1F66"/>
    <w:rsid w:val="00ED1FF4"/>
    <w:rsid w:val="00ED2124"/>
    <w:rsid w:val="00ED22A9"/>
    <w:rsid w:val="00ED2691"/>
    <w:rsid w:val="00ED2B2F"/>
    <w:rsid w:val="00ED2BEF"/>
    <w:rsid w:val="00ED2D09"/>
    <w:rsid w:val="00ED2DAE"/>
    <w:rsid w:val="00ED311A"/>
    <w:rsid w:val="00ED31E2"/>
    <w:rsid w:val="00ED334D"/>
    <w:rsid w:val="00ED3683"/>
    <w:rsid w:val="00ED37BD"/>
    <w:rsid w:val="00ED3A4B"/>
    <w:rsid w:val="00ED3CF0"/>
    <w:rsid w:val="00ED3DE5"/>
    <w:rsid w:val="00ED3F23"/>
    <w:rsid w:val="00ED4385"/>
    <w:rsid w:val="00ED44E5"/>
    <w:rsid w:val="00ED45E4"/>
    <w:rsid w:val="00ED49A3"/>
    <w:rsid w:val="00ED4A90"/>
    <w:rsid w:val="00ED4E7E"/>
    <w:rsid w:val="00ED4FBE"/>
    <w:rsid w:val="00ED5009"/>
    <w:rsid w:val="00ED533F"/>
    <w:rsid w:val="00ED53FF"/>
    <w:rsid w:val="00ED556E"/>
    <w:rsid w:val="00ED55D7"/>
    <w:rsid w:val="00ED566B"/>
    <w:rsid w:val="00ED57E2"/>
    <w:rsid w:val="00ED5AF4"/>
    <w:rsid w:val="00ED5CE6"/>
    <w:rsid w:val="00ED5D77"/>
    <w:rsid w:val="00ED5F98"/>
    <w:rsid w:val="00ED5FF1"/>
    <w:rsid w:val="00ED61FA"/>
    <w:rsid w:val="00ED626E"/>
    <w:rsid w:val="00ED640A"/>
    <w:rsid w:val="00ED6A3D"/>
    <w:rsid w:val="00ED6BB4"/>
    <w:rsid w:val="00ED6D77"/>
    <w:rsid w:val="00ED6E8D"/>
    <w:rsid w:val="00ED6F31"/>
    <w:rsid w:val="00ED6FA4"/>
    <w:rsid w:val="00ED70E8"/>
    <w:rsid w:val="00ED713A"/>
    <w:rsid w:val="00ED747C"/>
    <w:rsid w:val="00ED7499"/>
    <w:rsid w:val="00ED78CE"/>
    <w:rsid w:val="00ED795E"/>
    <w:rsid w:val="00ED7B41"/>
    <w:rsid w:val="00ED7B88"/>
    <w:rsid w:val="00ED7BA6"/>
    <w:rsid w:val="00ED7BB8"/>
    <w:rsid w:val="00EE0016"/>
    <w:rsid w:val="00EE01C0"/>
    <w:rsid w:val="00EE02B8"/>
    <w:rsid w:val="00EE02E6"/>
    <w:rsid w:val="00EE0301"/>
    <w:rsid w:val="00EE037A"/>
    <w:rsid w:val="00EE03D1"/>
    <w:rsid w:val="00EE03EF"/>
    <w:rsid w:val="00EE0476"/>
    <w:rsid w:val="00EE05DD"/>
    <w:rsid w:val="00EE078F"/>
    <w:rsid w:val="00EE0A87"/>
    <w:rsid w:val="00EE0E7D"/>
    <w:rsid w:val="00EE111F"/>
    <w:rsid w:val="00EE1196"/>
    <w:rsid w:val="00EE154B"/>
    <w:rsid w:val="00EE1550"/>
    <w:rsid w:val="00EE18E8"/>
    <w:rsid w:val="00EE1A55"/>
    <w:rsid w:val="00EE1B75"/>
    <w:rsid w:val="00EE1B82"/>
    <w:rsid w:val="00EE1C38"/>
    <w:rsid w:val="00EE1C83"/>
    <w:rsid w:val="00EE1DA1"/>
    <w:rsid w:val="00EE1F73"/>
    <w:rsid w:val="00EE237B"/>
    <w:rsid w:val="00EE27FC"/>
    <w:rsid w:val="00EE2994"/>
    <w:rsid w:val="00EE2E54"/>
    <w:rsid w:val="00EE2E72"/>
    <w:rsid w:val="00EE2E89"/>
    <w:rsid w:val="00EE2ECB"/>
    <w:rsid w:val="00EE3058"/>
    <w:rsid w:val="00EE31E0"/>
    <w:rsid w:val="00EE32FE"/>
    <w:rsid w:val="00EE3355"/>
    <w:rsid w:val="00EE3453"/>
    <w:rsid w:val="00EE3660"/>
    <w:rsid w:val="00EE3CA4"/>
    <w:rsid w:val="00EE3CAE"/>
    <w:rsid w:val="00EE3D0A"/>
    <w:rsid w:val="00EE3E76"/>
    <w:rsid w:val="00EE3F54"/>
    <w:rsid w:val="00EE40F7"/>
    <w:rsid w:val="00EE455C"/>
    <w:rsid w:val="00EE472B"/>
    <w:rsid w:val="00EE4A1D"/>
    <w:rsid w:val="00EE4A33"/>
    <w:rsid w:val="00EE4BFC"/>
    <w:rsid w:val="00EE4C53"/>
    <w:rsid w:val="00EE4C84"/>
    <w:rsid w:val="00EE4C8D"/>
    <w:rsid w:val="00EE4CFE"/>
    <w:rsid w:val="00EE5064"/>
    <w:rsid w:val="00EE51E5"/>
    <w:rsid w:val="00EE5A77"/>
    <w:rsid w:val="00EE5AE8"/>
    <w:rsid w:val="00EE5C15"/>
    <w:rsid w:val="00EE6009"/>
    <w:rsid w:val="00EE62A1"/>
    <w:rsid w:val="00EE652B"/>
    <w:rsid w:val="00EE656C"/>
    <w:rsid w:val="00EE6B7E"/>
    <w:rsid w:val="00EE6C2A"/>
    <w:rsid w:val="00EE6D05"/>
    <w:rsid w:val="00EE70C6"/>
    <w:rsid w:val="00EE71C6"/>
    <w:rsid w:val="00EE7495"/>
    <w:rsid w:val="00EE74D0"/>
    <w:rsid w:val="00EE7518"/>
    <w:rsid w:val="00EE7A02"/>
    <w:rsid w:val="00EE7C36"/>
    <w:rsid w:val="00EE7DE1"/>
    <w:rsid w:val="00EE7ECF"/>
    <w:rsid w:val="00EE7F3B"/>
    <w:rsid w:val="00EF0028"/>
    <w:rsid w:val="00EF01A3"/>
    <w:rsid w:val="00EF044B"/>
    <w:rsid w:val="00EF058B"/>
    <w:rsid w:val="00EF05D5"/>
    <w:rsid w:val="00EF090E"/>
    <w:rsid w:val="00EF0EAB"/>
    <w:rsid w:val="00EF11AE"/>
    <w:rsid w:val="00EF1844"/>
    <w:rsid w:val="00EF1A4D"/>
    <w:rsid w:val="00EF1A9D"/>
    <w:rsid w:val="00EF1C84"/>
    <w:rsid w:val="00EF1D3E"/>
    <w:rsid w:val="00EF1DF6"/>
    <w:rsid w:val="00EF1EF3"/>
    <w:rsid w:val="00EF1F44"/>
    <w:rsid w:val="00EF24A6"/>
    <w:rsid w:val="00EF26E4"/>
    <w:rsid w:val="00EF2718"/>
    <w:rsid w:val="00EF287B"/>
    <w:rsid w:val="00EF2943"/>
    <w:rsid w:val="00EF2D20"/>
    <w:rsid w:val="00EF2E66"/>
    <w:rsid w:val="00EF2F12"/>
    <w:rsid w:val="00EF309C"/>
    <w:rsid w:val="00EF30A9"/>
    <w:rsid w:val="00EF327E"/>
    <w:rsid w:val="00EF35A9"/>
    <w:rsid w:val="00EF3CD5"/>
    <w:rsid w:val="00EF41D3"/>
    <w:rsid w:val="00EF41E8"/>
    <w:rsid w:val="00EF43C5"/>
    <w:rsid w:val="00EF453D"/>
    <w:rsid w:val="00EF485E"/>
    <w:rsid w:val="00EF4941"/>
    <w:rsid w:val="00EF4A79"/>
    <w:rsid w:val="00EF4AA9"/>
    <w:rsid w:val="00EF4D6D"/>
    <w:rsid w:val="00EF4EDC"/>
    <w:rsid w:val="00EF4FA4"/>
    <w:rsid w:val="00EF51D4"/>
    <w:rsid w:val="00EF539B"/>
    <w:rsid w:val="00EF5648"/>
    <w:rsid w:val="00EF5693"/>
    <w:rsid w:val="00EF56B7"/>
    <w:rsid w:val="00EF56CB"/>
    <w:rsid w:val="00EF5706"/>
    <w:rsid w:val="00EF594A"/>
    <w:rsid w:val="00EF59D1"/>
    <w:rsid w:val="00EF5B2E"/>
    <w:rsid w:val="00EF5C04"/>
    <w:rsid w:val="00EF5CEC"/>
    <w:rsid w:val="00EF5DB3"/>
    <w:rsid w:val="00EF5DDE"/>
    <w:rsid w:val="00EF5E00"/>
    <w:rsid w:val="00EF5F90"/>
    <w:rsid w:val="00EF6172"/>
    <w:rsid w:val="00EF61E0"/>
    <w:rsid w:val="00EF6321"/>
    <w:rsid w:val="00EF649D"/>
    <w:rsid w:val="00EF696D"/>
    <w:rsid w:val="00EF69B3"/>
    <w:rsid w:val="00EF69CC"/>
    <w:rsid w:val="00EF69FD"/>
    <w:rsid w:val="00EF6A8C"/>
    <w:rsid w:val="00EF6C93"/>
    <w:rsid w:val="00EF6E64"/>
    <w:rsid w:val="00EF76B0"/>
    <w:rsid w:val="00EF7C87"/>
    <w:rsid w:val="00EF7F5E"/>
    <w:rsid w:val="00F002B4"/>
    <w:rsid w:val="00F006B8"/>
    <w:rsid w:val="00F006F5"/>
    <w:rsid w:val="00F00727"/>
    <w:rsid w:val="00F00765"/>
    <w:rsid w:val="00F00987"/>
    <w:rsid w:val="00F00A95"/>
    <w:rsid w:val="00F00BA6"/>
    <w:rsid w:val="00F00D32"/>
    <w:rsid w:val="00F00DB6"/>
    <w:rsid w:val="00F00E22"/>
    <w:rsid w:val="00F00E45"/>
    <w:rsid w:val="00F012E0"/>
    <w:rsid w:val="00F01398"/>
    <w:rsid w:val="00F0191B"/>
    <w:rsid w:val="00F01AF5"/>
    <w:rsid w:val="00F01B45"/>
    <w:rsid w:val="00F01BC4"/>
    <w:rsid w:val="00F01C0A"/>
    <w:rsid w:val="00F01D2B"/>
    <w:rsid w:val="00F01EEE"/>
    <w:rsid w:val="00F02257"/>
    <w:rsid w:val="00F022CB"/>
    <w:rsid w:val="00F022E0"/>
    <w:rsid w:val="00F0239E"/>
    <w:rsid w:val="00F023F5"/>
    <w:rsid w:val="00F024BB"/>
    <w:rsid w:val="00F02627"/>
    <w:rsid w:val="00F02665"/>
    <w:rsid w:val="00F02A49"/>
    <w:rsid w:val="00F02CAD"/>
    <w:rsid w:val="00F030EC"/>
    <w:rsid w:val="00F030F7"/>
    <w:rsid w:val="00F0319B"/>
    <w:rsid w:val="00F033D7"/>
    <w:rsid w:val="00F03765"/>
    <w:rsid w:val="00F03775"/>
    <w:rsid w:val="00F03897"/>
    <w:rsid w:val="00F03900"/>
    <w:rsid w:val="00F03BED"/>
    <w:rsid w:val="00F03CF6"/>
    <w:rsid w:val="00F03D57"/>
    <w:rsid w:val="00F03DDA"/>
    <w:rsid w:val="00F040D7"/>
    <w:rsid w:val="00F04170"/>
    <w:rsid w:val="00F0448C"/>
    <w:rsid w:val="00F0462C"/>
    <w:rsid w:val="00F04711"/>
    <w:rsid w:val="00F04769"/>
    <w:rsid w:val="00F04A20"/>
    <w:rsid w:val="00F04A40"/>
    <w:rsid w:val="00F04ADF"/>
    <w:rsid w:val="00F04B44"/>
    <w:rsid w:val="00F04C1A"/>
    <w:rsid w:val="00F04C91"/>
    <w:rsid w:val="00F04EDF"/>
    <w:rsid w:val="00F04F61"/>
    <w:rsid w:val="00F050E5"/>
    <w:rsid w:val="00F05107"/>
    <w:rsid w:val="00F054C3"/>
    <w:rsid w:val="00F0555F"/>
    <w:rsid w:val="00F05627"/>
    <w:rsid w:val="00F056A9"/>
    <w:rsid w:val="00F0587F"/>
    <w:rsid w:val="00F05965"/>
    <w:rsid w:val="00F05A5A"/>
    <w:rsid w:val="00F05D01"/>
    <w:rsid w:val="00F05E71"/>
    <w:rsid w:val="00F05F5D"/>
    <w:rsid w:val="00F0619F"/>
    <w:rsid w:val="00F06365"/>
    <w:rsid w:val="00F06548"/>
    <w:rsid w:val="00F06A19"/>
    <w:rsid w:val="00F06B37"/>
    <w:rsid w:val="00F06BC1"/>
    <w:rsid w:val="00F06C4B"/>
    <w:rsid w:val="00F072EA"/>
    <w:rsid w:val="00F073A5"/>
    <w:rsid w:val="00F07418"/>
    <w:rsid w:val="00F075BF"/>
    <w:rsid w:val="00F079F1"/>
    <w:rsid w:val="00F07AC0"/>
    <w:rsid w:val="00F07B0E"/>
    <w:rsid w:val="00F07BB8"/>
    <w:rsid w:val="00F07C69"/>
    <w:rsid w:val="00F07F13"/>
    <w:rsid w:val="00F1015D"/>
    <w:rsid w:val="00F10262"/>
    <w:rsid w:val="00F102B4"/>
    <w:rsid w:val="00F104A9"/>
    <w:rsid w:val="00F106B2"/>
    <w:rsid w:val="00F1080D"/>
    <w:rsid w:val="00F10E2C"/>
    <w:rsid w:val="00F10EE1"/>
    <w:rsid w:val="00F10F6B"/>
    <w:rsid w:val="00F110A0"/>
    <w:rsid w:val="00F1113E"/>
    <w:rsid w:val="00F1116C"/>
    <w:rsid w:val="00F113BE"/>
    <w:rsid w:val="00F11486"/>
    <w:rsid w:val="00F11675"/>
    <w:rsid w:val="00F116F7"/>
    <w:rsid w:val="00F117CB"/>
    <w:rsid w:val="00F118D3"/>
    <w:rsid w:val="00F11FF0"/>
    <w:rsid w:val="00F12039"/>
    <w:rsid w:val="00F120C0"/>
    <w:rsid w:val="00F1216C"/>
    <w:rsid w:val="00F1217B"/>
    <w:rsid w:val="00F123C4"/>
    <w:rsid w:val="00F124AF"/>
    <w:rsid w:val="00F12676"/>
    <w:rsid w:val="00F12756"/>
    <w:rsid w:val="00F128A7"/>
    <w:rsid w:val="00F12A9C"/>
    <w:rsid w:val="00F12F27"/>
    <w:rsid w:val="00F12FB5"/>
    <w:rsid w:val="00F13469"/>
    <w:rsid w:val="00F136CD"/>
    <w:rsid w:val="00F13B26"/>
    <w:rsid w:val="00F13D2F"/>
    <w:rsid w:val="00F13DB8"/>
    <w:rsid w:val="00F13DF3"/>
    <w:rsid w:val="00F13F7E"/>
    <w:rsid w:val="00F142C6"/>
    <w:rsid w:val="00F144BA"/>
    <w:rsid w:val="00F145D4"/>
    <w:rsid w:val="00F1464B"/>
    <w:rsid w:val="00F14CA6"/>
    <w:rsid w:val="00F14E05"/>
    <w:rsid w:val="00F15826"/>
    <w:rsid w:val="00F159AA"/>
    <w:rsid w:val="00F15BC8"/>
    <w:rsid w:val="00F15CAC"/>
    <w:rsid w:val="00F15D2E"/>
    <w:rsid w:val="00F15FBD"/>
    <w:rsid w:val="00F16114"/>
    <w:rsid w:val="00F161CD"/>
    <w:rsid w:val="00F163A2"/>
    <w:rsid w:val="00F164BC"/>
    <w:rsid w:val="00F16622"/>
    <w:rsid w:val="00F16C5B"/>
    <w:rsid w:val="00F16EC9"/>
    <w:rsid w:val="00F16FED"/>
    <w:rsid w:val="00F170A8"/>
    <w:rsid w:val="00F17457"/>
    <w:rsid w:val="00F178AE"/>
    <w:rsid w:val="00F17BA0"/>
    <w:rsid w:val="00F17D5B"/>
    <w:rsid w:val="00F17DAB"/>
    <w:rsid w:val="00F17E3E"/>
    <w:rsid w:val="00F201EE"/>
    <w:rsid w:val="00F20397"/>
    <w:rsid w:val="00F2042E"/>
    <w:rsid w:val="00F20434"/>
    <w:rsid w:val="00F20BD9"/>
    <w:rsid w:val="00F20D76"/>
    <w:rsid w:val="00F20E8C"/>
    <w:rsid w:val="00F20F3B"/>
    <w:rsid w:val="00F20FBE"/>
    <w:rsid w:val="00F21144"/>
    <w:rsid w:val="00F21197"/>
    <w:rsid w:val="00F2148B"/>
    <w:rsid w:val="00F214F5"/>
    <w:rsid w:val="00F215D5"/>
    <w:rsid w:val="00F21611"/>
    <w:rsid w:val="00F21733"/>
    <w:rsid w:val="00F21A46"/>
    <w:rsid w:val="00F22216"/>
    <w:rsid w:val="00F2228B"/>
    <w:rsid w:val="00F22316"/>
    <w:rsid w:val="00F224B1"/>
    <w:rsid w:val="00F224B8"/>
    <w:rsid w:val="00F22825"/>
    <w:rsid w:val="00F22A1F"/>
    <w:rsid w:val="00F22C4D"/>
    <w:rsid w:val="00F22C9B"/>
    <w:rsid w:val="00F22E21"/>
    <w:rsid w:val="00F22F04"/>
    <w:rsid w:val="00F231DC"/>
    <w:rsid w:val="00F231F3"/>
    <w:rsid w:val="00F236B7"/>
    <w:rsid w:val="00F236D4"/>
    <w:rsid w:val="00F23C8C"/>
    <w:rsid w:val="00F23CE0"/>
    <w:rsid w:val="00F23D11"/>
    <w:rsid w:val="00F23F5E"/>
    <w:rsid w:val="00F23FA8"/>
    <w:rsid w:val="00F2439C"/>
    <w:rsid w:val="00F24641"/>
    <w:rsid w:val="00F248A9"/>
    <w:rsid w:val="00F24CEA"/>
    <w:rsid w:val="00F24EA7"/>
    <w:rsid w:val="00F2517E"/>
    <w:rsid w:val="00F253F0"/>
    <w:rsid w:val="00F25431"/>
    <w:rsid w:val="00F254A2"/>
    <w:rsid w:val="00F2559D"/>
    <w:rsid w:val="00F259AD"/>
    <w:rsid w:val="00F25B3B"/>
    <w:rsid w:val="00F25C68"/>
    <w:rsid w:val="00F25DFD"/>
    <w:rsid w:val="00F25F45"/>
    <w:rsid w:val="00F26082"/>
    <w:rsid w:val="00F2629C"/>
    <w:rsid w:val="00F26732"/>
    <w:rsid w:val="00F27266"/>
    <w:rsid w:val="00F273A2"/>
    <w:rsid w:val="00F27629"/>
    <w:rsid w:val="00F278FC"/>
    <w:rsid w:val="00F27A0B"/>
    <w:rsid w:val="00F27B93"/>
    <w:rsid w:val="00F27C41"/>
    <w:rsid w:val="00F27CBB"/>
    <w:rsid w:val="00F27D91"/>
    <w:rsid w:val="00F27E84"/>
    <w:rsid w:val="00F302FD"/>
    <w:rsid w:val="00F30621"/>
    <w:rsid w:val="00F3067F"/>
    <w:rsid w:val="00F3085C"/>
    <w:rsid w:val="00F30967"/>
    <w:rsid w:val="00F30B06"/>
    <w:rsid w:val="00F30E79"/>
    <w:rsid w:val="00F30EA3"/>
    <w:rsid w:val="00F30ECF"/>
    <w:rsid w:val="00F30EE4"/>
    <w:rsid w:val="00F30EF6"/>
    <w:rsid w:val="00F31206"/>
    <w:rsid w:val="00F316B3"/>
    <w:rsid w:val="00F318B6"/>
    <w:rsid w:val="00F3190A"/>
    <w:rsid w:val="00F31935"/>
    <w:rsid w:val="00F31942"/>
    <w:rsid w:val="00F31FD1"/>
    <w:rsid w:val="00F32238"/>
    <w:rsid w:val="00F3271B"/>
    <w:rsid w:val="00F32780"/>
    <w:rsid w:val="00F327AE"/>
    <w:rsid w:val="00F327EF"/>
    <w:rsid w:val="00F328AD"/>
    <w:rsid w:val="00F328ED"/>
    <w:rsid w:val="00F32A64"/>
    <w:rsid w:val="00F32D7D"/>
    <w:rsid w:val="00F32DB0"/>
    <w:rsid w:val="00F32EDC"/>
    <w:rsid w:val="00F3309B"/>
    <w:rsid w:val="00F330CE"/>
    <w:rsid w:val="00F330E2"/>
    <w:rsid w:val="00F33207"/>
    <w:rsid w:val="00F3330B"/>
    <w:rsid w:val="00F33644"/>
    <w:rsid w:val="00F336F9"/>
    <w:rsid w:val="00F33864"/>
    <w:rsid w:val="00F33AE7"/>
    <w:rsid w:val="00F33B76"/>
    <w:rsid w:val="00F33BFE"/>
    <w:rsid w:val="00F33E49"/>
    <w:rsid w:val="00F33F8E"/>
    <w:rsid w:val="00F3428D"/>
    <w:rsid w:val="00F3441D"/>
    <w:rsid w:val="00F344D1"/>
    <w:rsid w:val="00F34937"/>
    <w:rsid w:val="00F349D8"/>
    <w:rsid w:val="00F34F6B"/>
    <w:rsid w:val="00F351DC"/>
    <w:rsid w:val="00F3525D"/>
    <w:rsid w:val="00F3571E"/>
    <w:rsid w:val="00F359E9"/>
    <w:rsid w:val="00F35A19"/>
    <w:rsid w:val="00F36056"/>
    <w:rsid w:val="00F363DB"/>
    <w:rsid w:val="00F36686"/>
    <w:rsid w:val="00F366A7"/>
    <w:rsid w:val="00F36950"/>
    <w:rsid w:val="00F36ADF"/>
    <w:rsid w:val="00F36C61"/>
    <w:rsid w:val="00F36CF8"/>
    <w:rsid w:val="00F36D76"/>
    <w:rsid w:val="00F36EAB"/>
    <w:rsid w:val="00F3736D"/>
    <w:rsid w:val="00F374E7"/>
    <w:rsid w:val="00F376E0"/>
    <w:rsid w:val="00F37865"/>
    <w:rsid w:val="00F379BD"/>
    <w:rsid w:val="00F37B60"/>
    <w:rsid w:val="00F37C38"/>
    <w:rsid w:val="00F37DDC"/>
    <w:rsid w:val="00F37FDC"/>
    <w:rsid w:val="00F40149"/>
    <w:rsid w:val="00F402DF"/>
    <w:rsid w:val="00F4044B"/>
    <w:rsid w:val="00F40477"/>
    <w:rsid w:val="00F406D9"/>
    <w:rsid w:val="00F406FE"/>
    <w:rsid w:val="00F4072B"/>
    <w:rsid w:val="00F40733"/>
    <w:rsid w:val="00F4080A"/>
    <w:rsid w:val="00F40847"/>
    <w:rsid w:val="00F40CC2"/>
    <w:rsid w:val="00F40DEF"/>
    <w:rsid w:val="00F40E32"/>
    <w:rsid w:val="00F40F9C"/>
    <w:rsid w:val="00F40FD4"/>
    <w:rsid w:val="00F40FF8"/>
    <w:rsid w:val="00F416BB"/>
    <w:rsid w:val="00F417A9"/>
    <w:rsid w:val="00F4182F"/>
    <w:rsid w:val="00F41AFD"/>
    <w:rsid w:val="00F41D9F"/>
    <w:rsid w:val="00F42070"/>
    <w:rsid w:val="00F42350"/>
    <w:rsid w:val="00F42478"/>
    <w:rsid w:val="00F424F3"/>
    <w:rsid w:val="00F427E5"/>
    <w:rsid w:val="00F42CB1"/>
    <w:rsid w:val="00F42E6E"/>
    <w:rsid w:val="00F42EA5"/>
    <w:rsid w:val="00F42F1D"/>
    <w:rsid w:val="00F42FBE"/>
    <w:rsid w:val="00F4323D"/>
    <w:rsid w:val="00F4368B"/>
    <w:rsid w:val="00F43856"/>
    <w:rsid w:val="00F43914"/>
    <w:rsid w:val="00F439D2"/>
    <w:rsid w:val="00F43AFD"/>
    <w:rsid w:val="00F43B2B"/>
    <w:rsid w:val="00F43BD2"/>
    <w:rsid w:val="00F43DD8"/>
    <w:rsid w:val="00F44138"/>
    <w:rsid w:val="00F4416A"/>
    <w:rsid w:val="00F442AD"/>
    <w:rsid w:val="00F44430"/>
    <w:rsid w:val="00F44669"/>
    <w:rsid w:val="00F4466E"/>
    <w:rsid w:val="00F447C0"/>
    <w:rsid w:val="00F44928"/>
    <w:rsid w:val="00F44C85"/>
    <w:rsid w:val="00F44E6F"/>
    <w:rsid w:val="00F44ED3"/>
    <w:rsid w:val="00F4564F"/>
    <w:rsid w:val="00F456CE"/>
    <w:rsid w:val="00F456F6"/>
    <w:rsid w:val="00F4579F"/>
    <w:rsid w:val="00F459E5"/>
    <w:rsid w:val="00F45A70"/>
    <w:rsid w:val="00F45B51"/>
    <w:rsid w:val="00F45E12"/>
    <w:rsid w:val="00F45E13"/>
    <w:rsid w:val="00F461CA"/>
    <w:rsid w:val="00F469AE"/>
    <w:rsid w:val="00F46B7E"/>
    <w:rsid w:val="00F46C0E"/>
    <w:rsid w:val="00F46C61"/>
    <w:rsid w:val="00F46C9C"/>
    <w:rsid w:val="00F46E21"/>
    <w:rsid w:val="00F46ED7"/>
    <w:rsid w:val="00F46EE8"/>
    <w:rsid w:val="00F4706D"/>
    <w:rsid w:val="00F472B9"/>
    <w:rsid w:val="00F47306"/>
    <w:rsid w:val="00F47396"/>
    <w:rsid w:val="00F473DA"/>
    <w:rsid w:val="00F4764A"/>
    <w:rsid w:val="00F477D6"/>
    <w:rsid w:val="00F47894"/>
    <w:rsid w:val="00F478A7"/>
    <w:rsid w:val="00F4797D"/>
    <w:rsid w:val="00F47C32"/>
    <w:rsid w:val="00F47DF8"/>
    <w:rsid w:val="00F47F72"/>
    <w:rsid w:val="00F5037B"/>
    <w:rsid w:val="00F50396"/>
    <w:rsid w:val="00F5043D"/>
    <w:rsid w:val="00F5074B"/>
    <w:rsid w:val="00F507FB"/>
    <w:rsid w:val="00F50C73"/>
    <w:rsid w:val="00F50DF8"/>
    <w:rsid w:val="00F513EF"/>
    <w:rsid w:val="00F51409"/>
    <w:rsid w:val="00F51502"/>
    <w:rsid w:val="00F5177A"/>
    <w:rsid w:val="00F51B1D"/>
    <w:rsid w:val="00F51D1A"/>
    <w:rsid w:val="00F51E6B"/>
    <w:rsid w:val="00F51FFD"/>
    <w:rsid w:val="00F52193"/>
    <w:rsid w:val="00F52342"/>
    <w:rsid w:val="00F52411"/>
    <w:rsid w:val="00F52419"/>
    <w:rsid w:val="00F52651"/>
    <w:rsid w:val="00F526FC"/>
    <w:rsid w:val="00F5270F"/>
    <w:rsid w:val="00F527D8"/>
    <w:rsid w:val="00F5280E"/>
    <w:rsid w:val="00F52860"/>
    <w:rsid w:val="00F528AA"/>
    <w:rsid w:val="00F5295D"/>
    <w:rsid w:val="00F52B0A"/>
    <w:rsid w:val="00F52B72"/>
    <w:rsid w:val="00F52C93"/>
    <w:rsid w:val="00F52FDE"/>
    <w:rsid w:val="00F53036"/>
    <w:rsid w:val="00F530EE"/>
    <w:rsid w:val="00F536F0"/>
    <w:rsid w:val="00F53ACD"/>
    <w:rsid w:val="00F53F09"/>
    <w:rsid w:val="00F5405E"/>
    <w:rsid w:val="00F54102"/>
    <w:rsid w:val="00F543E8"/>
    <w:rsid w:val="00F544FD"/>
    <w:rsid w:val="00F54945"/>
    <w:rsid w:val="00F54C1D"/>
    <w:rsid w:val="00F54D23"/>
    <w:rsid w:val="00F54FFB"/>
    <w:rsid w:val="00F5573D"/>
    <w:rsid w:val="00F5576C"/>
    <w:rsid w:val="00F557E9"/>
    <w:rsid w:val="00F55D69"/>
    <w:rsid w:val="00F55E0E"/>
    <w:rsid w:val="00F55E1E"/>
    <w:rsid w:val="00F569BB"/>
    <w:rsid w:val="00F569F6"/>
    <w:rsid w:val="00F56A62"/>
    <w:rsid w:val="00F56C43"/>
    <w:rsid w:val="00F56C6F"/>
    <w:rsid w:val="00F56E96"/>
    <w:rsid w:val="00F56FFC"/>
    <w:rsid w:val="00F57019"/>
    <w:rsid w:val="00F570A6"/>
    <w:rsid w:val="00F5753B"/>
    <w:rsid w:val="00F576BD"/>
    <w:rsid w:val="00F5771E"/>
    <w:rsid w:val="00F577B9"/>
    <w:rsid w:val="00F57951"/>
    <w:rsid w:val="00F57A8A"/>
    <w:rsid w:val="00F57A9D"/>
    <w:rsid w:val="00F57BC9"/>
    <w:rsid w:val="00F57EEE"/>
    <w:rsid w:val="00F60119"/>
    <w:rsid w:val="00F6014B"/>
    <w:rsid w:val="00F60319"/>
    <w:rsid w:val="00F605C3"/>
    <w:rsid w:val="00F6070A"/>
    <w:rsid w:val="00F607AE"/>
    <w:rsid w:val="00F60818"/>
    <w:rsid w:val="00F60AD5"/>
    <w:rsid w:val="00F60B72"/>
    <w:rsid w:val="00F60DDF"/>
    <w:rsid w:val="00F60E4C"/>
    <w:rsid w:val="00F60F99"/>
    <w:rsid w:val="00F6169A"/>
    <w:rsid w:val="00F61767"/>
    <w:rsid w:val="00F6199E"/>
    <w:rsid w:val="00F619AC"/>
    <w:rsid w:val="00F619C8"/>
    <w:rsid w:val="00F61C02"/>
    <w:rsid w:val="00F61D46"/>
    <w:rsid w:val="00F62058"/>
    <w:rsid w:val="00F6210F"/>
    <w:rsid w:val="00F62155"/>
    <w:rsid w:val="00F62480"/>
    <w:rsid w:val="00F6263A"/>
    <w:rsid w:val="00F62B85"/>
    <w:rsid w:val="00F62C2D"/>
    <w:rsid w:val="00F62E7A"/>
    <w:rsid w:val="00F62FAC"/>
    <w:rsid w:val="00F63020"/>
    <w:rsid w:val="00F630F1"/>
    <w:rsid w:val="00F631BF"/>
    <w:rsid w:val="00F6323B"/>
    <w:rsid w:val="00F63446"/>
    <w:rsid w:val="00F63470"/>
    <w:rsid w:val="00F637AE"/>
    <w:rsid w:val="00F637D0"/>
    <w:rsid w:val="00F63964"/>
    <w:rsid w:val="00F639ED"/>
    <w:rsid w:val="00F63AFA"/>
    <w:rsid w:val="00F63DE1"/>
    <w:rsid w:val="00F63F68"/>
    <w:rsid w:val="00F64909"/>
    <w:rsid w:val="00F6499D"/>
    <w:rsid w:val="00F64C89"/>
    <w:rsid w:val="00F64C90"/>
    <w:rsid w:val="00F64C9C"/>
    <w:rsid w:val="00F64DC6"/>
    <w:rsid w:val="00F64E7B"/>
    <w:rsid w:val="00F6516E"/>
    <w:rsid w:val="00F6531E"/>
    <w:rsid w:val="00F65371"/>
    <w:rsid w:val="00F65407"/>
    <w:rsid w:val="00F6565C"/>
    <w:rsid w:val="00F656FF"/>
    <w:rsid w:val="00F65A18"/>
    <w:rsid w:val="00F65DEF"/>
    <w:rsid w:val="00F66033"/>
    <w:rsid w:val="00F661E3"/>
    <w:rsid w:val="00F66217"/>
    <w:rsid w:val="00F662BF"/>
    <w:rsid w:val="00F66683"/>
    <w:rsid w:val="00F66852"/>
    <w:rsid w:val="00F66931"/>
    <w:rsid w:val="00F66DCB"/>
    <w:rsid w:val="00F66DE6"/>
    <w:rsid w:val="00F66E61"/>
    <w:rsid w:val="00F670C6"/>
    <w:rsid w:val="00F6714F"/>
    <w:rsid w:val="00F67505"/>
    <w:rsid w:val="00F675BB"/>
    <w:rsid w:val="00F67769"/>
    <w:rsid w:val="00F677BC"/>
    <w:rsid w:val="00F677C4"/>
    <w:rsid w:val="00F67800"/>
    <w:rsid w:val="00F678CB"/>
    <w:rsid w:val="00F67982"/>
    <w:rsid w:val="00F67C50"/>
    <w:rsid w:val="00F70009"/>
    <w:rsid w:val="00F700E8"/>
    <w:rsid w:val="00F707BF"/>
    <w:rsid w:val="00F70966"/>
    <w:rsid w:val="00F70974"/>
    <w:rsid w:val="00F7098B"/>
    <w:rsid w:val="00F709EA"/>
    <w:rsid w:val="00F709FE"/>
    <w:rsid w:val="00F70C50"/>
    <w:rsid w:val="00F70F39"/>
    <w:rsid w:val="00F71027"/>
    <w:rsid w:val="00F713E1"/>
    <w:rsid w:val="00F717D4"/>
    <w:rsid w:val="00F71946"/>
    <w:rsid w:val="00F71ACA"/>
    <w:rsid w:val="00F71EAC"/>
    <w:rsid w:val="00F72696"/>
    <w:rsid w:val="00F72CD7"/>
    <w:rsid w:val="00F72D12"/>
    <w:rsid w:val="00F73115"/>
    <w:rsid w:val="00F733F4"/>
    <w:rsid w:val="00F73592"/>
    <w:rsid w:val="00F73971"/>
    <w:rsid w:val="00F73F27"/>
    <w:rsid w:val="00F73FA4"/>
    <w:rsid w:val="00F7406F"/>
    <w:rsid w:val="00F7419E"/>
    <w:rsid w:val="00F74250"/>
    <w:rsid w:val="00F74491"/>
    <w:rsid w:val="00F744B7"/>
    <w:rsid w:val="00F74619"/>
    <w:rsid w:val="00F7473B"/>
    <w:rsid w:val="00F74850"/>
    <w:rsid w:val="00F7490A"/>
    <w:rsid w:val="00F74AB5"/>
    <w:rsid w:val="00F74C05"/>
    <w:rsid w:val="00F74CDA"/>
    <w:rsid w:val="00F74DD7"/>
    <w:rsid w:val="00F74E83"/>
    <w:rsid w:val="00F74FF7"/>
    <w:rsid w:val="00F75111"/>
    <w:rsid w:val="00F75198"/>
    <w:rsid w:val="00F75271"/>
    <w:rsid w:val="00F7538E"/>
    <w:rsid w:val="00F7541E"/>
    <w:rsid w:val="00F755B5"/>
    <w:rsid w:val="00F757A6"/>
    <w:rsid w:val="00F7586F"/>
    <w:rsid w:val="00F75959"/>
    <w:rsid w:val="00F75E34"/>
    <w:rsid w:val="00F761EE"/>
    <w:rsid w:val="00F762F0"/>
    <w:rsid w:val="00F76313"/>
    <w:rsid w:val="00F7638C"/>
    <w:rsid w:val="00F765C8"/>
    <w:rsid w:val="00F765F8"/>
    <w:rsid w:val="00F7667E"/>
    <w:rsid w:val="00F766FC"/>
    <w:rsid w:val="00F7688B"/>
    <w:rsid w:val="00F769A7"/>
    <w:rsid w:val="00F76BD8"/>
    <w:rsid w:val="00F76E20"/>
    <w:rsid w:val="00F76E66"/>
    <w:rsid w:val="00F772FE"/>
    <w:rsid w:val="00F773DE"/>
    <w:rsid w:val="00F77466"/>
    <w:rsid w:val="00F778B7"/>
    <w:rsid w:val="00F77A7B"/>
    <w:rsid w:val="00F77C9B"/>
    <w:rsid w:val="00F800BA"/>
    <w:rsid w:val="00F800BC"/>
    <w:rsid w:val="00F8013E"/>
    <w:rsid w:val="00F806C8"/>
    <w:rsid w:val="00F80934"/>
    <w:rsid w:val="00F81025"/>
    <w:rsid w:val="00F815E6"/>
    <w:rsid w:val="00F822CE"/>
    <w:rsid w:val="00F82729"/>
    <w:rsid w:val="00F827F0"/>
    <w:rsid w:val="00F82810"/>
    <w:rsid w:val="00F82863"/>
    <w:rsid w:val="00F828B7"/>
    <w:rsid w:val="00F82FDB"/>
    <w:rsid w:val="00F83136"/>
    <w:rsid w:val="00F83242"/>
    <w:rsid w:val="00F833DA"/>
    <w:rsid w:val="00F8349A"/>
    <w:rsid w:val="00F83644"/>
    <w:rsid w:val="00F837A2"/>
    <w:rsid w:val="00F83BCA"/>
    <w:rsid w:val="00F83C57"/>
    <w:rsid w:val="00F83C80"/>
    <w:rsid w:val="00F83CC8"/>
    <w:rsid w:val="00F84276"/>
    <w:rsid w:val="00F84301"/>
    <w:rsid w:val="00F844A7"/>
    <w:rsid w:val="00F844D6"/>
    <w:rsid w:val="00F84813"/>
    <w:rsid w:val="00F84A41"/>
    <w:rsid w:val="00F84F9C"/>
    <w:rsid w:val="00F85000"/>
    <w:rsid w:val="00F85354"/>
    <w:rsid w:val="00F85720"/>
    <w:rsid w:val="00F8583D"/>
    <w:rsid w:val="00F85B2F"/>
    <w:rsid w:val="00F85BE9"/>
    <w:rsid w:val="00F8665B"/>
    <w:rsid w:val="00F8679E"/>
    <w:rsid w:val="00F867A8"/>
    <w:rsid w:val="00F86852"/>
    <w:rsid w:val="00F86A59"/>
    <w:rsid w:val="00F86D80"/>
    <w:rsid w:val="00F86DC9"/>
    <w:rsid w:val="00F86E7D"/>
    <w:rsid w:val="00F86FD6"/>
    <w:rsid w:val="00F872BB"/>
    <w:rsid w:val="00F87345"/>
    <w:rsid w:val="00F873E3"/>
    <w:rsid w:val="00F87653"/>
    <w:rsid w:val="00F8769F"/>
    <w:rsid w:val="00F87C7B"/>
    <w:rsid w:val="00F9007D"/>
    <w:rsid w:val="00F902DC"/>
    <w:rsid w:val="00F903D9"/>
    <w:rsid w:val="00F90753"/>
    <w:rsid w:val="00F90A14"/>
    <w:rsid w:val="00F90A26"/>
    <w:rsid w:val="00F90AC5"/>
    <w:rsid w:val="00F90B2B"/>
    <w:rsid w:val="00F90EAA"/>
    <w:rsid w:val="00F910DF"/>
    <w:rsid w:val="00F915C6"/>
    <w:rsid w:val="00F91613"/>
    <w:rsid w:val="00F916CB"/>
    <w:rsid w:val="00F916E5"/>
    <w:rsid w:val="00F91720"/>
    <w:rsid w:val="00F91ADB"/>
    <w:rsid w:val="00F91D8E"/>
    <w:rsid w:val="00F91F1E"/>
    <w:rsid w:val="00F9200D"/>
    <w:rsid w:val="00F92889"/>
    <w:rsid w:val="00F92890"/>
    <w:rsid w:val="00F92990"/>
    <w:rsid w:val="00F92C18"/>
    <w:rsid w:val="00F92DEF"/>
    <w:rsid w:val="00F9304E"/>
    <w:rsid w:val="00F930CD"/>
    <w:rsid w:val="00F9340D"/>
    <w:rsid w:val="00F934A5"/>
    <w:rsid w:val="00F93681"/>
    <w:rsid w:val="00F93714"/>
    <w:rsid w:val="00F93765"/>
    <w:rsid w:val="00F938F1"/>
    <w:rsid w:val="00F938F6"/>
    <w:rsid w:val="00F939F0"/>
    <w:rsid w:val="00F93CBD"/>
    <w:rsid w:val="00F93CCB"/>
    <w:rsid w:val="00F93E5E"/>
    <w:rsid w:val="00F942F1"/>
    <w:rsid w:val="00F945C6"/>
    <w:rsid w:val="00F945D0"/>
    <w:rsid w:val="00F946E6"/>
    <w:rsid w:val="00F947A2"/>
    <w:rsid w:val="00F947F6"/>
    <w:rsid w:val="00F94861"/>
    <w:rsid w:val="00F94B67"/>
    <w:rsid w:val="00F94D1E"/>
    <w:rsid w:val="00F94E0F"/>
    <w:rsid w:val="00F953C4"/>
    <w:rsid w:val="00F95460"/>
    <w:rsid w:val="00F956FD"/>
    <w:rsid w:val="00F95829"/>
    <w:rsid w:val="00F95853"/>
    <w:rsid w:val="00F9585F"/>
    <w:rsid w:val="00F95A1E"/>
    <w:rsid w:val="00F95A23"/>
    <w:rsid w:val="00F95AC0"/>
    <w:rsid w:val="00F95AF1"/>
    <w:rsid w:val="00F95CCF"/>
    <w:rsid w:val="00F95F36"/>
    <w:rsid w:val="00F95FC6"/>
    <w:rsid w:val="00F961F5"/>
    <w:rsid w:val="00F96285"/>
    <w:rsid w:val="00F963D7"/>
    <w:rsid w:val="00F96780"/>
    <w:rsid w:val="00F968A7"/>
    <w:rsid w:val="00F96952"/>
    <w:rsid w:val="00F96A79"/>
    <w:rsid w:val="00F96B9E"/>
    <w:rsid w:val="00F96DC2"/>
    <w:rsid w:val="00F96E54"/>
    <w:rsid w:val="00F97160"/>
    <w:rsid w:val="00F9717B"/>
    <w:rsid w:val="00F97422"/>
    <w:rsid w:val="00F97557"/>
    <w:rsid w:val="00F97602"/>
    <w:rsid w:val="00F977E3"/>
    <w:rsid w:val="00F97810"/>
    <w:rsid w:val="00F9796D"/>
    <w:rsid w:val="00F979BC"/>
    <w:rsid w:val="00F979C3"/>
    <w:rsid w:val="00F97D79"/>
    <w:rsid w:val="00F97EBE"/>
    <w:rsid w:val="00FA0097"/>
    <w:rsid w:val="00FA00EC"/>
    <w:rsid w:val="00FA018D"/>
    <w:rsid w:val="00FA02ED"/>
    <w:rsid w:val="00FA0592"/>
    <w:rsid w:val="00FA0604"/>
    <w:rsid w:val="00FA073E"/>
    <w:rsid w:val="00FA0884"/>
    <w:rsid w:val="00FA095F"/>
    <w:rsid w:val="00FA09E4"/>
    <w:rsid w:val="00FA0A28"/>
    <w:rsid w:val="00FA0CCA"/>
    <w:rsid w:val="00FA0CD3"/>
    <w:rsid w:val="00FA0D79"/>
    <w:rsid w:val="00FA103F"/>
    <w:rsid w:val="00FA13A4"/>
    <w:rsid w:val="00FA1445"/>
    <w:rsid w:val="00FA1458"/>
    <w:rsid w:val="00FA1562"/>
    <w:rsid w:val="00FA1714"/>
    <w:rsid w:val="00FA1898"/>
    <w:rsid w:val="00FA1918"/>
    <w:rsid w:val="00FA1985"/>
    <w:rsid w:val="00FA198B"/>
    <w:rsid w:val="00FA1CFE"/>
    <w:rsid w:val="00FA2401"/>
    <w:rsid w:val="00FA274F"/>
    <w:rsid w:val="00FA285B"/>
    <w:rsid w:val="00FA29FD"/>
    <w:rsid w:val="00FA2B5F"/>
    <w:rsid w:val="00FA2B8E"/>
    <w:rsid w:val="00FA2BE1"/>
    <w:rsid w:val="00FA2E02"/>
    <w:rsid w:val="00FA2E15"/>
    <w:rsid w:val="00FA2ED9"/>
    <w:rsid w:val="00FA2F7D"/>
    <w:rsid w:val="00FA31A3"/>
    <w:rsid w:val="00FA3397"/>
    <w:rsid w:val="00FA33E3"/>
    <w:rsid w:val="00FA3451"/>
    <w:rsid w:val="00FA363C"/>
    <w:rsid w:val="00FA36E7"/>
    <w:rsid w:val="00FA377D"/>
    <w:rsid w:val="00FA3A81"/>
    <w:rsid w:val="00FA3C0A"/>
    <w:rsid w:val="00FA3DE8"/>
    <w:rsid w:val="00FA40FD"/>
    <w:rsid w:val="00FA4234"/>
    <w:rsid w:val="00FA4287"/>
    <w:rsid w:val="00FA42BA"/>
    <w:rsid w:val="00FA485D"/>
    <w:rsid w:val="00FA4A3C"/>
    <w:rsid w:val="00FA4B4D"/>
    <w:rsid w:val="00FA4B53"/>
    <w:rsid w:val="00FA4D75"/>
    <w:rsid w:val="00FA5283"/>
    <w:rsid w:val="00FA540B"/>
    <w:rsid w:val="00FA5BB6"/>
    <w:rsid w:val="00FA5C04"/>
    <w:rsid w:val="00FA5C0C"/>
    <w:rsid w:val="00FA5D0A"/>
    <w:rsid w:val="00FA5D9F"/>
    <w:rsid w:val="00FA5DBC"/>
    <w:rsid w:val="00FA61B9"/>
    <w:rsid w:val="00FA635B"/>
    <w:rsid w:val="00FA6661"/>
    <w:rsid w:val="00FA6884"/>
    <w:rsid w:val="00FA6894"/>
    <w:rsid w:val="00FA6973"/>
    <w:rsid w:val="00FA6DB6"/>
    <w:rsid w:val="00FA6E52"/>
    <w:rsid w:val="00FA6F4F"/>
    <w:rsid w:val="00FA74A9"/>
    <w:rsid w:val="00FA76E6"/>
    <w:rsid w:val="00FA777B"/>
    <w:rsid w:val="00FA7987"/>
    <w:rsid w:val="00FA7BBF"/>
    <w:rsid w:val="00FA7DC9"/>
    <w:rsid w:val="00FA7F97"/>
    <w:rsid w:val="00FB0250"/>
    <w:rsid w:val="00FB0288"/>
    <w:rsid w:val="00FB0594"/>
    <w:rsid w:val="00FB0755"/>
    <w:rsid w:val="00FB084B"/>
    <w:rsid w:val="00FB0BD7"/>
    <w:rsid w:val="00FB0DCB"/>
    <w:rsid w:val="00FB0EC5"/>
    <w:rsid w:val="00FB1146"/>
    <w:rsid w:val="00FB1187"/>
    <w:rsid w:val="00FB1573"/>
    <w:rsid w:val="00FB1586"/>
    <w:rsid w:val="00FB1B94"/>
    <w:rsid w:val="00FB1C92"/>
    <w:rsid w:val="00FB1D5E"/>
    <w:rsid w:val="00FB1E54"/>
    <w:rsid w:val="00FB208B"/>
    <w:rsid w:val="00FB22B0"/>
    <w:rsid w:val="00FB23B2"/>
    <w:rsid w:val="00FB255A"/>
    <w:rsid w:val="00FB263E"/>
    <w:rsid w:val="00FB292C"/>
    <w:rsid w:val="00FB2DF8"/>
    <w:rsid w:val="00FB2E49"/>
    <w:rsid w:val="00FB2F62"/>
    <w:rsid w:val="00FB3180"/>
    <w:rsid w:val="00FB35F9"/>
    <w:rsid w:val="00FB370E"/>
    <w:rsid w:val="00FB371F"/>
    <w:rsid w:val="00FB37BA"/>
    <w:rsid w:val="00FB37D5"/>
    <w:rsid w:val="00FB3856"/>
    <w:rsid w:val="00FB389B"/>
    <w:rsid w:val="00FB38E8"/>
    <w:rsid w:val="00FB3B47"/>
    <w:rsid w:val="00FB3FAF"/>
    <w:rsid w:val="00FB4153"/>
    <w:rsid w:val="00FB43C3"/>
    <w:rsid w:val="00FB457F"/>
    <w:rsid w:val="00FB4687"/>
    <w:rsid w:val="00FB48B6"/>
    <w:rsid w:val="00FB4B6A"/>
    <w:rsid w:val="00FB4BA9"/>
    <w:rsid w:val="00FB4C06"/>
    <w:rsid w:val="00FB4C80"/>
    <w:rsid w:val="00FB4CAA"/>
    <w:rsid w:val="00FB4CD8"/>
    <w:rsid w:val="00FB4CF2"/>
    <w:rsid w:val="00FB4E1D"/>
    <w:rsid w:val="00FB4F6A"/>
    <w:rsid w:val="00FB51D1"/>
    <w:rsid w:val="00FB52FC"/>
    <w:rsid w:val="00FB535F"/>
    <w:rsid w:val="00FB551F"/>
    <w:rsid w:val="00FB561E"/>
    <w:rsid w:val="00FB582D"/>
    <w:rsid w:val="00FB588B"/>
    <w:rsid w:val="00FB58A1"/>
    <w:rsid w:val="00FB5BAE"/>
    <w:rsid w:val="00FB5C6C"/>
    <w:rsid w:val="00FB5C7C"/>
    <w:rsid w:val="00FB5E35"/>
    <w:rsid w:val="00FB5F81"/>
    <w:rsid w:val="00FB63E1"/>
    <w:rsid w:val="00FB64A4"/>
    <w:rsid w:val="00FB6802"/>
    <w:rsid w:val="00FB6942"/>
    <w:rsid w:val="00FB6944"/>
    <w:rsid w:val="00FB6A65"/>
    <w:rsid w:val="00FB6BE0"/>
    <w:rsid w:val="00FB70D8"/>
    <w:rsid w:val="00FB7360"/>
    <w:rsid w:val="00FB73B5"/>
    <w:rsid w:val="00FB756E"/>
    <w:rsid w:val="00FB7989"/>
    <w:rsid w:val="00FB7BC8"/>
    <w:rsid w:val="00FB7DC1"/>
    <w:rsid w:val="00FB7FF6"/>
    <w:rsid w:val="00FC01EC"/>
    <w:rsid w:val="00FC037D"/>
    <w:rsid w:val="00FC0951"/>
    <w:rsid w:val="00FC0999"/>
    <w:rsid w:val="00FC0EC4"/>
    <w:rsid w:val="00FC0F9C"/>
    <w:rsid w:val="00FC1049"/>
    <w:rsid w:val="00FC113D"/>
    <w:rsid w:val="00FC1208"/>
    <w:rsid w:val="00FC128D"/>
    <w:rsid w:val="00FC171A"/>
    <w:rsid w:val="00FC1737"/>
    <w:rsid w:val="00FC18DD"/>
    <w:rsid w:val="00FC1952"/>
    <w:rsid w:val="00FC1CA7"/>
    <w:rsid w:val="00FC1F34"/>
    <w:rsid w:val="00FC1F7F"/>
    <w:rsid w:val="00FC21AD"/>
    <w:rsid w:val="00FC21B9"/>
    <w:rsid w:val="00FC2288"/>
    <w:rsid w:val="00FC2344"/>
    <w:rsid w:val="00FC2480"/>
    <w:rsid w:val="00FC255F"/>
    <w:rsid w:val="00FC2581"/>
    <w:rsid w:val="00FC260D"/>
    <w:rsid w:val="00FC26A2"/>
    <w:rsid w:val="00FC271E"/>
    <w:rsid w:val="00FC2831"/>
    <w:rsid w:val="00FC2A5C"/>
    <w:rsid w:val="00FC2C2E"/>
    <w:rsid w:val="00FC3023"/>
    <w:rsid w:val="00FC32CD"/>
    <w:rsid w:val="00FC33B8"/>
    <w:rsid w:val="00FC34BA"/>
    <w:rsid w:val="00FC3522"/>
    <w:rsid w:val="00FC35B0"/>
    <w:rsid w:val="00FC3642"/>
    <w:rsid w:val="00FC3677"/>
    <w:rsid w:val="00FC374E"/>
    <w:rsid w:val="00FC3804"/>
    <w:rsid w:val="00FC3B83"/>
    <w:rsid w:val="00FC3C1C"/>
    <w:rsid w:val="00FC3DBB"/>
    <w:rsid w:val="00FC42D6"/>
    <w:rsid w:val="00FC42EA"/>
    <w:rsid w:val="00FC454F"/>
    <w:rsid w:val="00FC459F"/>
    <w:rsid w:val="00FC46F0"/>
    <w:rsid w:val="00FC4816"/>
    <w:rsid w:val="00FC4A32"/>
    <w:rsid w:val="00FC4B7A"/>
    <w:rsid w:val="00FC4C19"/>
    <w:rsid w:val="00FC4C1A"/>
    <w:rsid w:val="00FC4D71"/>
    <w:rsid w:val="00FC4EFD"/>
    <w:rsid w:val="00FC525E"/>
    <w:rsid w:val="00FC529B"/>
    <w:rsid w:val="00FC5574"/>
    <w:rsid w:val="00FC559E"/>
    <w:rsid w:val="00FC55B3"/>
    <w:rsid w:val="00FC56CB"/>
    <w:rsid w:val="00FC59D3"/>
    <w:rsid w:val="00FC5B00"/>
    <w:rsid w:val="00FC5F42"/>
    <w:rsid w:val="00FC5F6A"/>
    <w:rsid w:val="00FC5FAE"/>
    <w:rsid w:val="00FC62C0"/>
    <w:rsid w:val="00FC65FD"/>
    <w:rsid w:val="00FC667A"/>
    <w:rsid w:val="00FC6851"/>
    <w:rsid w:val="00FC6861"/>
    <w:rsid w:val="00FC6F01"/>
    <w:rsid w:val="00FC6FA6"/>
    <w:rsid w:val="00FC7143"/>
    <w:rsid w:val="00FC71F6"/>
    <w:rsid w:val="00FC73CA"/>
    <w:rsid w:val="00FC7413"/>
    <w:rsid w:val="00FC7882"/>
    <w:rsid w:val="00FC791F"/>
    <w:rsid w:val="00FC7B35"/>
    <w:rsid w:val="00FC7C3C"/>
    <w:rsid w:val="00FC7F3C"/>
    <w:rsid w:val="00FD0376"/>
    <w:rsid w:val="00FD0427"/>
    <w:rsid w:val="00FD07E0"/>
    <w:rsid w:val="00FD095B"/>
    <w:rsid w:val="00FD0A3D"/>
    <w:rsid w:val="00FD0ABE"/>
    <w:rsid w:val="00FD0B60"/>
    <w:rsid w:val="00FD0CE3"/>
    <w:rsid w:val="00FD0F33"/>
    <w:rsid w:val="00FD1210"/>
    <w:rsid w:val="00FD155C"/>
    <w:rsid w:val="00FD1D49"/>
    <w:rsid w:val="00FD1E7B"/>
    <w:rsid w:val="00FD217C"/>
    <w:rsid w:val="00FD236B"/>
    <w:rsid w:val="00FD252C"/>
    <w:rsid w:val="00FD27C0"/>
    <w:rsid w:val="00FD2838"/>
    <w:rsid w:val="00FD296D"/>
    <w:rsid w:val="00FD29B0"/>
    <w:rsid w:val="00FD29D3"/>
    <w:rsid w:val="00FD2EB8"/>
    <w:rsid w:val="00FD31AE"/>
    <w:rsid w:val="00FD324A"/>
    <w:rsid w:val="00FD3313"/>
    <w:rsid w:val="00FD332D"/>
    <w:rsid w:val="00FD37DF"/>
    <w:rsid w:val="00FD386A"/>
    <w:rsid w:val="00FD3AE1"/>
    <w:rsid w:val="00FD3BF3"/>
    <w:rsid w:val="00FD3EAF"/>
    <w:rsid w:val="00FD3FC2"/>
    <w:rsid w:val="00FD4167"/>
    <w:rsid w:val="00FD423E"/>
    <w:rsid w:val="00FD453E"/>
    <w:rsid w:val="00FD45A3"/>
    <w:rsid w:val="00FD46F5"/>
    <w:rsid w:val="00FD481F"/>
    <w:rsid w:val="00FD4B78"/>
    <w:rsid w:val="00FD4ED3"/>
    <w:rsid w:val="00FD50EA"/>
    <w:rsid w:val="00FD513B"/>
    <w:rsid w:val="00FD5174"/>
    <w:rsid w:val="00FD51B7"/>
    <w:rsid w:val="00FD552D"/>
    <w:rsid w:val="00FD5A61"/>
    <w:rsid w:val="00FD5BDD"/>
    <w:rsid w:val="00FD5ECB"/>
    <w:rsid w:val="00FD5F61"/>
    <w:rsid w:val="00FD6084"/>
    <w:rsid w:val="00FD631D"/>
    <w:rsid w:val="00FD66AF"/>
    <w:rsid w:val="00FD6998"/>
    <w:rsid w:val="00FD6DD3"/>
    <w:rsid w:val="00FD6F2E"/>
    <w:rsid w:val="00FD6FF2"/>
    <w:rsid w:val="00FD7110"/>
    <w:rsid w:val="00FD7295"/>
    <w:rsid w:val="00FD78C0"/>
    <w:rsid w:val="00FD7B88"/>
    <w:rsid w:val="00FD7DE5"/>
    <w:rsid w:val="00FD7E43"/>
    <w:rsid w:val="00FD7EBD"/>
    <w:rsid w:val="00FE022A"/>
    <w:rsid w:val="00FE05CA"/>
    <w:rsid w:val="00FE09F3"/>
    <w:rsid w:val="00FE0E3A"/>
    <w:rsid w:val="00FE1250"/>
    <w:rsid w:val="00FE12AC"/>
    <w:rsid w:val="00FE12BE"/>
    <w:rsid w:val="00FE1394"/>
    <w:rsid w:val="00FE139F"/>
    <w:rsid w:val="00FE18CA"/>
    <w:rsid w:val="00FE1906"/>
    <w:rsid w:val="00FE1B59"/>
    <w:rsid w:val="00FE1D81"/>
    <w:rsid w:val="00FE1EFF"/>
    <w:rsid w:val="00FE2047"/>
    <w:rsid w:val="00FE20E4"/>
    <w:rsid w:val="00FE22B5"/>
    <w:rsid w:val="00FE2370"/>
    <w:rsid w:val="00FE2571"/>
    <w:rsid w:val="00FE2631"/>
    <w:rsid w:val="00FE27C8"/>
    <w:rsid w:val="00FE28FE"/>
    <w:rsid w:val="00FE29DB"/>
    <w:rsid w:val="00FE2B92"/>
    <w:rsid w:val="00FE2D5E"/>
    <w:rsid w:val="00FE2D8B"/>
    <w:rsid w:val="00FE2F98"/>
    <w:rsid w:val="00FE3013"/>
    <w:rsid w:val="00FE34CC"/>
    <w:rsid w:val="00FE35B0"/>
    <w:rsid w:val="00FE363D"/>
    <w:rsid w:val="00FE37B5"/>
    <w:rsid w:val="00FE3870"/>
    <w:rsid w:val="00FE3BA2"/>
    <w:rsid w:val="00FE3BD6"/>
    <w:rsid w:val="00FE3DC1"/>
    <w:rsid w:val="00FE3EAC"/>
    <w:rsid w:val="00FE4146"/>
    <w:rsid w:val="00FE41ED"/>
    <w:rsid w:val="00FE42DC"/>
    <w:rsid w:val="00FE4460"/>
    <w:rsid w:val="00FE455E"/>
    <w:rsid w:val="00FE4599"/>
    <w:rsid w:val="00FE45C6"/>
    <w:rsid w:val="00FE473A"/>
    <w:rsid w:val="00FE474A"/>
    <w:rsid w:val="00FE47D5"/>
    <w:rsid w:val="00FE47D6"/>
    <w:rsid w:val="00FE4990"/>
    <w:rsid w:val="00FE49D8"/>
    <w:rsid w:val="00FE4A25"/>
    <w:rsid w:val="00FE4AB1"/>
    <w:rsid w:val="00FE4B28"/>
    <w:rsid w:val="00FE4CE1"/>
    <w:rsid w:val="00FE4E5E"/>
    <w:rsid w:val="00FE4EEA"/>
    <w:rsid w:val="00FE4F41"/>
    <w:rsid w:val="00FE4F87"/>
    <w:rsid w:val="00FE519C"/>
    <w:rsid w:val="00FE5209"/>
    <w:rsid w:val="00FE5233"/>
    <w:rsid w:val="00FE5261"/>
    <w:rsid w:val="00FE558E"/>
    <w:rsid w:val="00FE57B2"/>
    <w:rsid w:val="00FE5852"/>
    <w:rsid w:val="00FE5868"/>
    <w:rsid w:val="00FE5AA8"/>
    <w:rsid w:val="00FE5DEF"/>
    <w:rsid w:val="00FE5E70"/>
    <w:rsid w:val="00FE5F13"/>
    <w:rsid w:val="00FE6091"/>
    <w:rsid w:val="00FE6209"/>
    <w:rsid w:val="00FE6338"/>
    <w:rsid w:val="00FE63EF"/>
    <w:rsid w:val="00FE652F"/>
    <w:rsid w:val="00FE6DC5"/>
    <w:rsid w:val="00FE6E75"/>
    <w:rsid w:val="00FE70BB"/>
    <w:rsid w:val="00FE7114"/>
    <w:rsid w:val="00FE738C"/>
    <w:rsid w:val="00FE7864"/>
    <w:rsid w:val="00FE7A48"/>
    <w:rsid w:val="00FE7BB7"/>
    <w:rsid w:val="00FE7D55"/>
    <w:rsid w:val="00FE7E71"/>
    <w:rsid w:val="00FF0010"/>
    <w:rsid w:val="00FF0546"/>
    <w:rsid w:val="00FF060A"/>
    <w:rsid w:val="00FF0657"/>
    <w:rsid w:val="00FF0AD2"/>
    <w:rsid w:val="00FF153E"/>
    <w:rsid w:val="00FF155D"/>
    <w:rsid w:val="00FF1BE0"/>
    <w:rsid w:val="00FF1CE9"/>
    <w:rsid w:val="00FF1D6B"/>
    <w:rsid w:val="00FF1FA2"/>
    <w:rsid w:val="00FF2050"/>
    <w:rsid w:val="00FF20A5"/>
    <w:rsid w:val="00FF2610"/>
    <w:rsid w:val="00FF2615"/>
    <w:rsid w:val="00FF2C24"/>
    <w:rsid w:val="00FF3040"/>
    <w:rsid w:val="00FF3175"/>
    <w:rsid w:val="00FF332A"/>
    <w:rsid w:val="00FF34BA"/>
    <w:rsid w:val="00FF3812"/>
    <w:rsid w:val="00FF382A"/>
    <w:rsid w:val="00FF3F20"/>
    <w:rsid w:val="00FF4089"/>
    <w:rsid w:val="00FF4875"/>
    <w:rsid w:val="00FF4879"/>
    <w:rsid w:val="00FF497B"/>
    <w:rsid w:val="00FF4B05"/>
    <w:rsid w:val="00FF4B61"/>
    <w:rsid w:val="00FF4C58"/>
    <w:rsid w:val="00FF5175"/>
    <w:rsid w:val="00FF54C7"/>
    <w:rsid w:val="00FF5B51"/>
    <w:rsid w:val="00FF5E7B"/>
    <w:rsid w:val="00FF5FA1"/>
    <w:rsid w:val="00FF606C"/>
    <w:rsid w:val="00FF630F"/>
    <w:rsid w:val="00FF631E"/>
    <w:rsid w:val="00FF63C8"/>
    <w:rsid w:val="00FF6A6E"/>
    <w:rsid w:val="00FF6B25"/>
    <w:rsid w:val="00FF6C56"/>
    <w:rsid w:val="00FF6CCF"/>
    <w:rsid w:val="00FF6DDE"/>
    <w:rsid w:val="00FF7040"/>
    <w:rsid w:val="00FF70DB"/>
    <w:rsid w:val="00FF7278"/>
    <w:rsid w:val="00FF7333"/>
    <w:rsid w:val="00FF771B"/>
    <w:rsid w:val="00FF77C2"/>
    <w:rsid w:val="00FF7A63"/>
    <w:rsid w:val="00FF7C11"/>
    <w:rsid w:val="00FF7F9F"/>
    <w:rsid w:val="01165DEC"/>
    <w:rsid w:val="012B6E61"/>
    <w:rsid w:val="01310078"/>
    <w:rsid w:val="0134DD4C"/>
    <w:rsid w:val="014686BA"/>
    <w:rsid w:val="0158494A"/>
    <w:rsid w:val="016DFD9A"/>
    <w:rsid w:val="0175C524"/>
    <w:rsid w:val="018FEA2D"/>
    <w:rsid w:val="01E38934"/>
    <w:rsid w:val="0209A7DD"/>
    <w:rsid w:val="020FF86B"/>
    <w:rsid w:val="02121EB5"/>
    <w:rsid w:val="0230C4E6"/>
    <w:rsid w:val="0237A919"/>
    <w:rsid w:val="024CDC00"/>
    <w:rsid w:val="026D9353"/>
    <w:rsid w:val="026FC878"/>
    <w:rsid w:val="027B1576"/>
    <w:rsid w:val="02A149C3"/>
    <w:rsid w:val="02E6E057"/>
    <w:rsid w:val="03286BA8"/>
    <w:rsid w:val="0355D586"/>
    <w:rsid w:val="0375B5DD"/>
    <w:rsid w:val="037B4259"/>
    <w:rsid w:val="037B8F7F"/>
    <w:rsid w:val="0387B9DE"/>
    <w:rsid w:val="0398E3A6"/>
    <w:rsid w:val="03BFF833"/>
    <w:rsid w:val="042CAF93"/>
    <w:rsid w:val="0438F315"/>
    <w:rsid w:val="04731F52"/>
    <w:rsid w:val="048125C8"/>
    <w:rsid w:val="048FDB13"/>
    <w:rsid w:val="04DC5F7A"/>
    <w:rsid w:val="04E53957"/>
    <w:rsid w:val="04EF7DB8"/>
    <w:rsid w:val="051DDEF7"/>
    <w:rsid w:val="054DAB12"/>
    <w:rsid w:val="055C7A79"/>
    <w:rsid w:val="05644A36"/>
    <w:rsid w:val="058590A1"/>
    <w:rsid w:val="05861128"/>
    <w:rsid w:val="058A2D75"/>
    <w:rsid w:val="058D09DC"/>
    <w:rsid w:val="05B0061D"/>
    <w:rsid w:val="0601DE5E"/>
    <w:rsid w:val="0602A210"/>
    <w:rsid w:val="06342A17"/>
    <w:rsid w:val="064CA2EB"/>
    <w:rsid w:val="067B0F9E"/>
    <w:rsid w:val="06856090"/>
    <w:rsid w:val="06973404"/>
    <w:rsid w:val="06A2866F"/>
    <w:rsid w:val="06AFFE58"/>
    <w:rsid w:val="06CEF33D"/>
    <w:rsid w:val="06FD2217"/>
    <w:rsid w:val="07160C2A"/>
    <w:rsid w:val="074ECAF6"/>
    <w:rsid w:val="0781DE97"/>
    <w:rsid w:val="07C02DC6"/>
    <w:rsid w:val="0824750F"/>
    <w:rsid w:val="083601AB"/>
    <w:rsid w:val="084DCE28"/>
    <w:rsid w:val="0853E702"/>
    <w:rsid w:val="086491FD"/>
    <w:rsid w:val="08952DE7"/>
    <w:rsid w:val="09069F4D"/>
    <w:rsid w:val="09096123"/>
    <w:rsid w:val="09355450"/>
    <w:rsid w:val="093E600C"/>
    <w:rsid w:val="094F1A7D"/>
    <w:rsid w:val="099A541B"/>
    <w:rsid w:val="09B908E4"/>
    <w:rsid w:val="09C56ACE"/>
    <w:rsid w:val="09D75AE0"/>
    <w:rsid w:val="09DA86D3"/>
    <w:rsid w:val="09E49015"/>
    <w:rsid w:val="0A01A867"/>
    <w:rsid w:val="0A2DA9C8"/>
    <w:rsid w:val="0A58E123"/>
    <w:rsid w:val="0A8FB66F"/>
    <w:rsid w:val="0AA2A1FF"/>
    <w:rsid w:val="0B36CF3F"/>
    <w:rsid w:val="0B661BD4"/>
    <w:rsid w:val="0B73A180"/>
    <w:rsid w:val="0B7DFE85"/>
    <w:rsid w:val="0B9B77C3"/>
    <w:rsid w:val="0BA3988D"/>
    <w:rsid w:val="0BB9618D"/>
    <w:rsid w:val="0BBFC2FF"/>
    <w:rsid w:val="0BD1843E"/>
    <w:rsid w:val="0BF9D37A"/>
    <w:rsid w:val="0C0D0429"/>
    <w:rsid w:val="0C28A865"/>
    <w:rsid w:val="0C2C07BB"/>
    <w:rsid w:val="0C34CDD4"/>
    <w:rsid w:val="0C381E67"/>
    <w:rsid w:val="0C668DEA"/>
    <w:rsid w:val="0CB62952"/>
    <w:rsid w:val="0CE75BC0"/>
    <w:rsid w:val="0CFBCC16"/>
    <w:rsid w:val="0D0BE07E"/>
    <w:rsid w:val="0D29F349"/>
    <w:rsid w:val="0D41A26C"/>
    <w:rsid w:val="0D6D3294"/>
    <w:rsid w:val="0DC352F9"/>
    <w:rsid w:val="0E05B4D2"/>
    <w:rsid w:val="0E279047"/>
    <w:rsid w:val="0E3C7352"/>
    <w:rsid w:val="0E6208EE"/>
    <w:rsid w:val="0E888497"/>
    <w:rsid w:val="0E8F2FEF"/>
    <w:rsid w:val="0ECE863D"/>
    <w:rsid w:val="0EE4F0AD"/>
    <w:rsid w:val="0EFF8D22"/>
    <w:rsid w:val="0F2CDFE4"/>
    <w:rsid w:val="0F3A2F48"/>
    <w:rsid w:val="0F3E4987"/>
    <w:rsid w:val="0F730048"/>
    <w:rsid w:val="0F92C2B7"/>
    <w:rsid w:val="0FB8936F"/>
    <w:rsid w:val="0FC25CA9"/>
    <w:rsid w:val="102696EB"/>
    <w:rsid w:val="1043FD01"/>
    <w:rsid w:val="104B4794"/>
    <w:rsid w:val="104B683B"/>
    <w:rsid w:val="1059CC4C"/>
    <w:rsid w:val="10762DCE"/>
    <w:rsid w:val="108FE448"/>
    <w:rsid w:val="10CB29F7"/>
    <w:rsid w:val="10E9EC52"/>
    <w:rsid w:val="10F6850E"/>
    <w:rsid w:val="10F69518"/>
    <w:rsid w:val="1108C0FE"/>
    <w:rsid w:val="11195A1B"/>
    <w:rsid w:val="11649246"/>
    <w:rsid w:val="117603D7"/>
    <w:rsid w:val="11938500"/>
    <w:rsid w:val="1199E892"/>
    <w:rsid w:val="11B69AB6"/>
    <w:rsid w:val="11D8C98A"/>
    <w:rsid w:val="122974EE"/>
    <w:rsid w:val="123A13F0"/>
    <w:rsid w:val="1245AA52"/>
    <w:rsid w:val="1262D222"/>
    <w:rsid w:val="12D2362A"/>
    <w:rsid w:val="13064368"/>
    <w:rsid w:val="13483282"/>
    <w:rsid w:val="135B53BE"/>
    <w:rsid w:val="1385119A"/>
    <w:rsid w:val="13A3CFE0"/>
    <w:rsid w:val="13FDA5E5"/>
    <w:rsid w:val="1402002F"/>
    <w:rsid w:val="141159C9"/>
    <w:rsid w:val="14155EC1"/>
    <w:rsid w:val="142EDBE5"/>
    <w:rsid w:val="143FBC6E"/>
    <w:rsid w:val="144052E2"/>
    <w:rsid w:val="144A75D6"/>
    <w:rsid w:val="14A76D7F"/>
    <w:rsid w:val="14AF9795"/>
    <w:rsid w:val="14B02E77"/>
    <w:rsid w:val="14E2AB30"/>
    <w:rsid w:val="14F94A23"/>
    <w:rsid w:val="14FAFF44"/>
    <w:rsid w:val="1506C19B"/>
    <w:rsid w:val="1533C3F0"/>
    <w:rsid w:val="153DBEB4"/>
    <w:rsid w:val="155CA589"/>
    <w:rsid w:val="156C5696"/>
    <w:rsid w:val="157FD73E"/>
    <w:rsid w:val="1595C1BF"/>
    <w:rsid w:val="15A9C458"/>
    <w:rsid w:val="15B9A7B8"/>
    <w:rsid w:val="15C0F0C2"/>
    <w:rsid w:val="15FB6000"/>
    <w:rsid w:val="1603E539"/>
    <w:rsid w:val="16090C4B"/>
    <w:rsid w:val="1612DB69"/>
    <w:rsid w:val="1641403E"/>
    <w:rsid w:val="1652D714"/>
    <w:rsid w:val="1659C768"/>
    <w:rsid w:val="165E44EF"/>
    <w:rsid w:val="16788452"/>
    <w:rsid w:val="16807B07"/>
    <w:rsid w:val="1684A1F0"/>
    <w:rsid w:val="168AE539"/>
    <w:rsid w:val="16A3B6A0"/>
    <w:rsid w:val="16A4C0DE"/>
    <w:rsid w:val="16C55107"/>
    <w:rsid w:val="16F94B7D"/>
    <w:rsid w:val="172A5F55"/>
    <w:rsid w:val="175DCF84"/>
    <w:rsid w:val="176AA54A"/>
    <w:rsid w:val="177B4E09"/>
    <w:rsid w:val="17CC61B5"/>
    <w:rsid w:val="17D80E37"/>
    <w:rsid w:val="17DBA0D0"/>
    <w:rsid w:val="17DD314C"/>
    <w:rsid w:val="180F2189"/>
    <w:rsid w:val="1848B6AF"/>
    <w:rsid w:val="1867F629"/>
    <w:rsid w:val="186EB454"/>
    <w:rsid w:val="1878E58F"/>
    <w:rsid w:val="18A80608"/>
    <w:rsid w:val="18C14708"/>
    <w:rsid w:val="18E38B84"/>
    <w:rsid w:val="18EC26CD"/>
    <w:rsid w:val="19289EFA"/>
    <w:rsid w:val="1928F337"/>
    <w:rsid w:val="196856B1"/>
    <w:rsid w:val="19769DDA"/>
    <w:rsid w:val="1980BFB9"/>
    <w:rsid w:val="199314AA"/>
    <w:rsid w:val="19A760CC"/>
    <w:rsid w:val="19D08E75"/>
    <w:rsid w:val="19F826DD"/>
    <w:rsid w:val="19FC8015"/>
    <w:rsid w:val="1A35E307"/>
    <w:rsid w:val="1A3CD010"/>
    <w:rsid w:val="1A521B77"/>
    <w:rsid w:val="1A59362E"/>
    <w:rsid w:val="1A60F069"/>
    <w:rsid w:val="1A846839"/>
    <w:rsid w:val="1AC2E43B"/>
    <w:rsid w:val="1ACF2D25"/>
    <w:rsid w:val="1AD080C7"/>
    <w:rsid w:val="1B0693FE"/>
    <w:rsid w:val="1B0C1672"/>
    <w:rsid w:val="1B30C9BE"/>
    <w:rsid w:val="1B850782"/>
    <w:rsid w:val="1BDB5B69"/>
    <w:rsid w:val="1BF26A03"/>
    <w:rsid w:val="1C084AD8"/>
    <w:rsid w:val="1C1C2DE1"/>
    <w:rsid w:val="1C2ED9C8"/>
    <w:rsid w:val="1C764C1D"/>
    <w:rsid w:val="1C991097"/>
    <w:rsid w:val="1CB63656"/>
    <w:rsid w:val="1CB8E5B0"/>
    <w:rsid w:val="1CC711C4"/>
    <w:rsid w:val="1CEEB82E"/>
    <w:rsid w:val="1D02D036"/>
    <w:rsid w:val="1D1E2564"/>
    <w:rsid w:val="1D2D769C"/>
    <w:rsid w:val="1D368AE9"/>
    <w:rsid w:val="1D4D9453"/>
    <w:rsid w:val="1D4F4C55"/>
    <w:rsid w:val="1D871CCC"/>
    <w:rsid w:val="1DB4B387"/>
    <w:rsid w:val="1DB93AE1"/>
    <w:rsid w:val="1DCCE252"/>
    <w:rsid w:val="1DE7B02D"/>
    <w:rsid w:val="1DEE9965"/>
    <w:rsid w:val="1DFAB11C"/>
    <w:rsid w:val="1E0BB006"/>
    <w:rsid w:val="1E447664"/>
    <w:rsid w:val="1E4889E7"/>
    <w:rsid w:val="1E5A5731"/>
    <w:rsid w:val="1E7A8881"/>
    <w:rsid w:val="1E9373D2"/>
    <w:rsid w:val="1E9AD112"/>
    <w:rsid w:val="1ECBEE90"/>
    <w:rsid w:val="1ED511F6"/>
    <w:rsid w:val="1ED97437"/>
    <w:rsid w:val="1EF3C17A"/>
    <w:rsid w:val="1EFBDAE2"/>
    <w:rsid w:val="1F116C38"/>
    <w:rsid w:val="1F1CA5D9"/>
    <w:rsid w:val="1F2E4246"/>
    <w:rsid w:val="1F36E948"/>
    <w:rsid w:val="1F39589E"/>
    <w:rsid w:val="1F619F32"/>
    <w:rsid w:val="1F74299D"/>
    <w:rsid w:val="1F901646"/>
    <w:rsid w:val="1F935859"/>
    <w:rsid w:val="1FA936DA"/>
    <w:rsid w:val="1FE7F8FE"/>
    <w:rsid w:val="201883F9"/>
    <w:rsid w:val="204327A2"/>
    <w:rsid w:val="20636CB8"/>
    <w:rsid w:val="20993D7F"/>
    <w:rsid w:val="209A3E59"/>
    <w:rsid w:val="20A29229"/>
    <w:rsid w:val="20B2DE27"/>
    <w:rsid w:val="20B38734"/>
    <w:rsid w:val="20C6B25B"/>
    <w:rsid w:val="20E5D310"/>
    <w:rsid w:val="21107B73"/>
    <w:rsid w:val="2124F04B"/>
    <w:rsid w:val="218983AF"/>
    <w:rsid w:val="21AD3337"/>
    <w:rsid w:val="21D25125"/>
    <w:rsid w:val="21D31076"/>
    <w:rsid w:val="2205FCD3"/>
    <w:rsid w:val="22179367"/>
    <w:rsid w:val="223859DA"/>
    <w:rsid w:val="22479D55"/>
    <w:rsid w:val="224A8B54"/>
    <w:rsid w:val="22A19633"/>
    <w:rsid w:val="22BEBCBB"/>
    <w:rsid w:val="22EF505B"/>
    <w:rsid w:val="233C0DF1"/>
    <w:rsid w:val="233CFAB5"/>
    <w:rsid w:val="2345F9F1"/>
    <w:rsid w:val="23571D03"/>
    <w:rsid w:val="2392C352"/>
    <w:rsid w:val="23A1CABF"/>
    <w:rsid w:val="23A5A584"/>
    <w:rsid w:val="23B8A208"/>
    <w:rsid w:val="23E45789"/>
    <w:rsid w:val="23EAAA55"/>
    <w:rsid w:val="23ED8E57"/>
    <w:rsid w:val="24101BA1"/>
    <w:rsid w:val="244359CD"/>
    <w:rsid w:val="2444A4A2"/>
    <w:rsid w:val="2468AA17"/>
    <w:rsid w:val="246FCD7D"/>
    <w:rsid w:val="2484C06A"/>
    <w:rsid w:val="249ED7FF"/>
    <w:rsid w:val="24A777EF"/>
    <w:rsid w:val="24B9FE9E"/>
    <w:rsid w:val="24D63011"/>
    <w:rsid w:val="24DCBCB5"/>
    <w:rsid w:val="24E03BD0"/>
    <w:rsid w:val="24F8825B"/>
    <w:rsid w:val="2517D931"/>
    <w:rsid w:val="25278C54"/>
    <w:rsid w:val="25374EAF"/>
    <w:rsid w:val="254283A6"/>
    <w:rsid w:val="25878B20"/>
    <w:rsid w:val="258D8C0F"/>
    <w:rsid w:val="259303AC"/>
    <w:rsid w:val="25BE8218"/>
    <w:rsid w:val="25BF585F"/>
    <w:rsid w:val="25E1F626"/>
    <w:rsid w:val="260A3D29"/>
    <w:rsid w:val="2644606C"/>
    <w:rsid w:val="268B722D"/>
    <w:rsid w:val="26A9CEA1"/>
    <w:rsid w:val="26BE69AF"/>
    <w:rsid w:val="26E885E7"/>
    <w:rsid w:val="26F01988"/>
    <w:rsid w:val="272F9752"/>
    <w:rsid w:val="272FCEA5"/>
    <w:rsid w:val="2735B35E"/>
    <w:rsid w:val="27E0B5DD"/>
    <w:rsid w:val="2804DB27"/>
    <w:rsid w:val="2807F07F"/>
    <w:rsid w:val="280DD427"/>
    <w:rsid w:val="280DE38C"/>
    <w:rsid w:val="2810302F"/>
    <w:rsid w:val="287EC3CB"/>
    <w:rsid w:val="2885B897"/>
    <w:rsid w:val="28A84712"/>
    <w:rsid w:val="28B0D1BB"/>
    <w:rsid w:val="28BDCF1B"/>
    <w:rsid w:val="28C1B0E9"/>
    <w:rsid w:val="28D67A55"/>
    <w:rsid w:val="28D7C657"/>
    <w:rsid w:val="290519A8"/>
    <w:rsid w:val="291054A3"/>
    <w:rsid w:val="29319C6F"/>
    <w:rsid w:val="293D7E3F"/>
    <w:rsid w:val="29856753"/>
    <w:rsid w:val="2994BC64"/>
    <w:rsid w:val="29C80EC7"/>
    <w:rsid w:val="29E5B9E3"/>
    <w:rsid w:val="2A24D26F"/>
    <w:rsid w:val="2A31E79E"/>
    <w:rsid w:val="2A3D4381"/>
    <w:rsid w:val="2A3EDBE7"/>
    <w:rsid w:val="2A57DDAF"/>
    <w:rsid w:val="2A5B958C"/>
    <w:rsid w:val="2AF5BE49"/>
    <w:rsid w:val="2B11043A"/>
    <w:rsid w:val="2B3F925C"/>
    <w:rsid w:val="2B951282"/>
    <w:rsid w:val="2B99F96C"/>
    <w:rsid w:val="2BB842D4"/>
    <w:rsid w:val="2BBAE2D3"/>
    <w:rsid w:val="2BE95513"/>
    <w:rsid w:val="2BFCDF12"/>
    <w:rsid w:val="2C0BC710"/>
    <w:rsid w:val="2C21DEA2"/>
    <w:rsid w:val="2C33C2C1"/>
    <w:rsid w:val="2C38A172"/>
    <w:rsid w:val="2C3FEF20"/>
    <w:rsid w:val="2C66C826"/>
    <w:rsid w:val="2C8BD3DF"/>
    <w:rsid w:val="2CC8F987"/>
    <w:rsid w:val="2CC9A530"/>
    <w:rsid w:val="2CD163D3"/>
    <w:rsid w:val="2D36C3FA"/>
    <w:rsid w:val="2D4DC04C"/>
    <w:rsid w:val="2D69A7E4"/>
    <w:rsid w:val="2D6EFFC2"/>
    <w:rsid w:val="2D78CF55"/>
    <w:rsid w:val="2D8E93AB"/>
    <w:rsid w:val="2D90A686"/>
    <w:rsid w:val="2DF0C97F"/>
    <w:rsid w:val="2E07B0D5"/>
    <w:rsid w:val="2E1971C4"/>
    <w:rsid w:val="2E3DFD4A"/>
    <w:rsid w:val="2E413B32"/>
    <w:rsid w:val="2E61B4D1"/>
    <w:rsid w:val="2E9BEE21"/>
    <w:rsid w:val="2EC13777"/>
    <w:rsid w:val="2EEA291C"/>
    <w:rsid w:val="2EF90CF3"/>
    <w:rsid w:val="2EFB428F"/>
    <w:rsid w:val="2F1DD0E6"/>
    <w:rsid w:val="2F38D6D4"/>
    <w:rsid w:val="2F3F4011"/>
    <w:rsid w:val="2F5B9477"/>
    <w:rsid w:val="2F7097F6"/>
    <w:rsid w:val="2F921170"/>
    <w:rsid w:val="2FB368BF"/>
    <w:rsid w:val="2FDF1FD2"/>
    <w:rsid w:val="2FE01E13"/>
    <w:rsid w:val="2FEDD251"/>
    <w:rsid w:val="2FEDF9E8"/>
    <w:rsid w:val="30111A12"/>
    <w:rsid w:val="30124077"/>
    <w:rsid w:val="3015F73B"/>
    <w:rsid w:val="301D1CB5"/>
    <w:rsid w:val="30203368"/>
    <w:rsid w:val="30438988"/>
    <w:rsid w:val="305AE7F9"/>
    <w:rsid w:val="306EC090"/>
    <w:rsid w:val="30A0603E"/>
    <w:rsid w:val="30A1EB62"/>
    <w:rsid w:val="30DCD567"/>
    <w:rsid w:val="30DCEA4E"/>
    <w:rsid w:val="30DDBC4D"/>
    <w:rsid w:val="30E87536"/>
    <w:rsid w:val="30E89B66"/>
    <w:rsid w:val="30EEE183"/>
    <w:rsid w:val="31058851"/>
    <w:rsid w:val="3136382A"/>
    <w:rsid w:val="31458EBE"/>
    <w:rsid w:val="3154AFBC"/>
    <w:rsid w:val="3159D30A"/>
    <w:rsid w:val="3198671C"/>
    <w:rsid w:val="31CD950E"/>
    <w:rsid w:val="31FB57F8"/>
    <w:rsid w:val="321A0106"/>
    <w:rsid w:val="3221DC8D"/>
    <w:rsid w:val="32C44C9A"/>
    <w:rsid w:val="330034B5"/>
    <w:rsid w:val="3300AA96"/>
    <w:rsid w:val="3301D8F2"/>
    <w:rsid w:val="332FE238"/>
    <w:rsid w:val="335753BE"/>
    <w:rsid w:val="335E4757"/>
    <w:rsid w:val="3376ACA0"/>
    <w:rsid w:val="337C9B4E"/>
    <w:rsid w:val="338F6D4A"/>
    <w:rsid w:val="3394FD1D"/>
    <w:rsid w:val="33B06919"/>
    <w:rsid w:val="33BF8237"/>
    <w:rsid w:val="33EDF42F"/>
    <w:rsid w:val="33F9641D"/>
    <w:rsid w:val="3401A4A4"/>
    <w:rsid w:val="340254F4"/>
    <w:rsid w:val="340D541E"/>
    <w:rsid w:val="3422B306"/>
    <w:rsid w:val="342ABC41"/>
    <w:rsid w:val="342FB38C"/>
    <w:rsid w:val="34575A60"/>
    <w:rsid w:val="34623E7F"/>
    <w:rsid w:val="346C64F2"/>
    <w:rsid w:val="347D3D4F"/>
    <w:rsid w:val="34A4A82E"/>
    <w:rsid w:val="34C053F4"/>
    <w:rsid w:val="34CE0AE4"/>
    <w:rsid w:val="34D23A6A"/>
    <w:rsid w:val="34E5EDBC"/>
    <w:rsid w:val="350A36D4"/>
    <w:rsid w:val="351611AC"/>
    <w:rsid w:val="35195A3D"/>
    <w:rsid w:val="351F1F82"/>
    <w:rsid w:val="352ADC73"/>
    <w:rsid w:val="3538D1F9"/>
    <w:rsid w:val="358AD54F"/>
    <w:rsid w:val="35B9E7F3"/>
    <w:rsid w:val="35BE8B88"/>
    <w:rsid w:val="35D29B74"/>
    <w:rsid w:val="35DF5123"/>
    <w:rsid w:val="35ECD4E1"/>
    <w:rsid w:val="3631C95D"/>
    <w:rsid w:val="36350BF1"/>
    <w:rsid w:val="3637195C"/>
    <w:rsid w:val="3675EB57"/>
    <w:rsid w:val="367E176C"/>
    <w:rsid w:val="36960DCC"/>
    <w:rsid w:val="369CBEE0"/>
    <w:rsid w:val="36A29968"/>
    <w:rsid w:val="36A6C292"/>
    <w:rsid w:val="36B2A8D2"/>
    <w:rsid w:val="36D494F3"/>
    <w:rsid w:val="370D5FBB"/>
    <w:rsid w:val="372133A8"/>
    <w:rsid w:val="372F7DAE"/>
    <w:rsid w:val="37349F67"/>
    <w:rsid w:val="3736476D"/>
    <w:rsid w:val="37382284"/>
    <w:rsid w:val="37551247"/>
    <w:rsid w:val="3795D77A"/>
    <w:rsid w:val="37A6678B"/>
    <w:rsid w:val="37D86E0C"/>
    <w:rsid w:val="37E03AB8"/>
    <w:rsid w:val="380787D7"/>
    <w:rsid w:val="38193163"/>
    <w:rsid w:val="382ADEA8"/>
    <w:rsid w:val="383E69C9"/>
    <w:rsid w:val="38936524"/>
    <w:rsid w:val="389A5F89"/>
    <w:rsid w:val="38AFC0DA"/>
    <w:rsid w:val="38B70DFC"/>
    <w:rsid w:val="38CFC48F"/>
    <w:rsid w:val="38D13F30"/>
    <w:rsid w:val="38D636D3"/>
    <w:rsid w:val="38F2569C"/>
    <w:rsid w:val="398EC612"/>
    <w:rsid w:val="3997B6FD"/>
    <w:rsid w:val="39AE983C"/>
    <w:rsid w:val="39C5381E"/>
    <w:rsid w:val="39C64CAB"/>
    <w:rsid w:val="39D79CA2"/>
    <w:rsid w:val="39E70EFB"/>
    <w:rsid w:val="3A01A97F"/>
    <w:rsid w:val="3A1D917F"/>
    <w:rsid w:val="3A512E2C"/>
    <w:rsid w:val="3A51EF76"/>
    <w:rsid w:val="3A54C5EE"/>
    <w:rsid w:val="3A5C28F0"/>
    <w:rsid w:val="3A901335"/>
    <w:rsid w:val="3A91FB28"/>
    <w:rsid w:val="3A9B9101"/>
    <w:rsid w:val="3AA6B2EF"/>
    <w:rsid w:val="3ABAEB65"/>
    <w:rsid w:val="3AEAE455"/>
    <w:rsid w:val="3B2C5CD7"/>
    <w:rsid w:val="3B638639"/>
    <w:rsid w:val="3B6D720A"/>
    <w:rsid w:val="3B765C46"/>
    <w:rsid w:val="3B827FD6"/>
    <w:rsid w:val="3BB6AF34"/>
    <w:rsid w:val="3BB95C56"/>
    <w:rsid w:val="3BC0DF1F"/>
    <w:rsid w:val="3BDA4D3D"/>
    <w:rsid w:val="3C370FE3"/>
    <w:rsid w:val="3C5179AC"/>
    <w:rsid w:val="3C62A1AD"/>
    <w:rsid w:val="3CA252CF"/>
    <w:rsid w:val="3CAB2095"/>
    <w:rsid w:val="3CFA52D2"/>
    <w:rsid w:val="3D438B59"/>
    <w:rsid w:val="3D75EFE8"/>
    <w:rsid w:val="3DD7D4AF"/>
    <w:rsid w:val="3DD7EAF5"/>
    <w:rsid w:val="3DE251F5"/>
    <w:rsid w:val="3DE487FC"/>
    <w:rsid w:val="3DF30447"/>
    <w:rsid w:val="3DF34124"/>
    <w:rsid w:val="3DFB759E"/>
    <w:rsid w:val="3E1FEE7D"/>
    <w:rsid w:val="3E2A50B6"/>
    <w:rsid w:val="3E445276"/>
    <w:rsid w:val="3E594735"/>
    <w:rsid w:val="3E5D847A"/>
    <w:rsid w:val="3E6FB87E"/>
    <w:rsid w:val="3E979A4A"/>
    <w:rsid w:val="3EB6CBC6"/>
    <w:rsid w:val="3EB9B4AF"/>
    <w:rsid w:val="3ED0F6F0"/>
    <w:rsid w:val="3EDDD31B"/>
    <w:rsid w:val="3F1080B3"/>
    <w:rsid w:val="3F6653A4"/>
    <w:rsid w:val="3F9B679E"/>
    <w:rsid w:val="3FD8A9DE"/>
    <w:rsid w:val="403F154D"/>
    <w:rsid w:val="404BA5F1"/>
    <w:rsid w:val="40505EC7"/>
    <w:rsid w:val="40A7E6F8"/>
    <w:rsid w:val="40C24C25"/>
    <w:rsid w:val="40E23872"/>
    <w:rsid w:val="40E2CC30"/>
    <w:rsid w:val="411153C3"/>
    <w:rsid w:val="411B2ED0"/>
    <w:rsid w:val="418EFA58"/>
    <w:rsid w:val="418FF948"/>
    <w:rsid w:val="4194596A"/>
    <w:rsid w:val="41A6FE69"/>
    <w:rsid w:val="41B3B0A1"/>
    <w:rsid w:val="41CEE952"/>
    <w:rsid w:val="41D42BA6"/>
    <w:rsid w:val="41F48F55"/>
    <w:rsid w:val="421EA031"/>
    <w:rsid w:val="4236148B"/>
    <w:rsid w:val="4273673C"/>
    <w:rsid w:val="42998342"/>
    <w:rsid w:val="42A792A0"/>
    <w:rsid w:val="42C3ED4C"/>
    <w:rsid w:val="42C8EBA4"/>
    <w:rsid w:val="42DDE5B9"/>
    <w:rsid w:val="42EFF1EC"/>
    <w:rsid w:val="4304D849"/>
    <w:rsid w:val="436529C3"/>
    <w:rsid w:val="4394A156"/>
    <w:rsid w:val="43992BC3"/>
    <w:rsid w:val="43A785C9"/>
    <w:rsid w:val="43B225B9"/>
    <w:rsid w:val="43D767A6"/>
    <w:rsid w:val="43D80E2F"/>
    <w:rsid w:val="43FE2407"/>
    <w:rsid w:val="43FEBE6C"/>
    <w:rsid w:val="440B5BFA"/>
    <w:rsid w:val="440CA51C"/>
    <w:rsid w:val="44179FEB"/>
    <w:rsid w:val="441EB414"/>
    <w:rsid w:val="44382FD7"/>
    <w:rsid w:val="44607E2E"/>
    <w:rsid w:val="4488D292"/>
    <w:rsid w:val="448BEEFE"/>
    <w:rsid w:val="44E0D459"/>
    <w:rsid w:val="44F14022"/>
    <w:rsid w:val="451891DF"/>
    <w:rsid w:val="4520E159"/>
    <w:rsid w:val="4541EE2E"/>
    <w:rsid w:val="45462DB7"/>
    <w:rsid w:val="4582A992"/>
    <w:rsid w:val="45A4F63E"/>
    <w:rsid w:val="460FEC52"/>
    <w:rsid w:val="46102CED"/>
    <w:rsid w:val="463E0CFE"/>
    <w:rsid w:val="464F6487"/>
    <w:rsid w:val="46531A8B"/>
    <w:rsid w:val="466E6AA5"/>
    <w:rsid w:val="467271DA"/>
    <w:rsid w:val="468ACB37"/>
    <w:rsid w:val="46929781"/>
    <w:rsid w:val="46A72AC7"/>
    <w:rsid w:val="46D60A18"/>
    <w:rsid w:val="46F21154"/>
    <w:rsid w:val="4721EAB4"/>
    <w:rsid w:val="473D63AE"/>
    <w:rsid w:val="4782E138"/>
    <w:rsid w:val="478417B7"/>
    <w:rsid w:val="48612605"/>
    <w:rsid w:val="4885FCFD"/>
    <w:rsid w:val="4890DE66"/>
    <w:rsid w:val="48AFA6F4"/>
    <w:rsid w:val="48E0590C"/>
    <w:rsid w:val="4912EF33"/>
    <w:rsid w:val="492ED74C"/>
    <w:rsid w:val="4966A7B4"/>
    <w:rsid w:val="4970BC40"/>
    <w:rsid w:val="4978B5C9"/>
    <w:rsid w:val="499B78FC"/>
    <w:rsid w:val="49A45466"/>
    <w:rsid w:val="49B63A67"/>
    <w:rsid w:val="49C0036A"/>
    <w:rsid w:val="49C016D1"/>
    <w:rsid w:val="4A1A4BA9"/>
    <w:rsid w:val="4A324194"/>
    <w:rsid w:val="4A46CE1A"/>
    <w:rsid w:val="4A6A97DF"/>
    <w:rsid w:val="4A6B88EA"/>
    <w:rsid w:val="4A8F419E"/>
    <w:rsid w:val="4AAFD5F4"/>
    <w:rsid w:val="4ACA61E8"/>
    <w:rsid w:val="4ACD7675"/>
    <w:rsid w:val="4ADE22F4"/>
    <w:rsid w:val="4B02DDC6"/>
    <w:rsid w:val="4B05B2E6"/>
    <w:rsid w:val="4B099C29"/>
    <w:rsid w:val="4B1DE6FF"/>
    <w:rsid w:val="4B2DC45C"/>
    <w:rsid w:val="4B4870F2"/>
    <w:rsid w:val="4B5071D4"/>
    <w:rsid w:val="4B56E702"/>
    <w:rsid w:val="4B688463"/>
    <w:rsid w:val="4BA888B9"/>
    <w:rsid w:val="4BAE06BB"/>
    <w:rsid w:val="4BAE573B"/>
    <w:rsid w:val="4BCD408C"/>
    <w:rsid w:val="4BD43D28"/>
    <w:rsid w:val="4BEA0655"/>
    <w:rsid w:val="4BEFB58A"/>
    <w:rsid w:val="4BF70C9C"/>
    <w:rsid w:val="4C05E003"/>
    <w:rsid w:val="4C10E9C4"/>
    <w:rsid w:val="4C17172B"/>
    <w:rsid w:val="4C25303D"/>
    <w:rsid w:val="4C29D54C"/>
    <w:rsid w:val="4C3A5E31"/>
    <w:rsid w:val="4C4F0435"/>
    <w:rsid w:val="4C924BB4"/>
    <w:rsid w:val="4CB3A71F"/>
    <w:rsid w:val="4CE42C0A"/>
    <w:rsid w:val="4CEE9314"/>
    <w:rsid w:val="4D2392D3"/>
    <w:rsid w:val="4D36834A"/>
    <w:rsid w:val="4D6617DC"/>
    <w:rsid w:val="4D6C0487"/>
    <w:rsid w:val="4D70F2B9"/>
    <w:rsid w:val="4D76748A"/>
    <w:rsid w:val="4D795D6D"/>
    <w:rsid w:val="4D86179D"/>
    <w:rsid w:val="4DA1995D"/>
    <w:rsid w:val="4DBC5204"/>
    <w:rsid w:val="4DE7DE50"/>
    <w:rsid w:val="4DFFA7C7"/>
    <w:rsid w:val="4E0E7674"/>
    <w:rsid w:val="4E197A6F"/>
    <w:rsid w:val="4E19E8B6"/>
    <w:rsid w:val="4E4DE8FF"/>
    <w:rsid w:val="4E542A53"/>
    <w:rsid w:val="4E667BA7"/>
    <w:rsid w:val="4EA62435"/>
    <w:rsid w:val="4EE0EB0F"/>
    <w:rsid w:val="4F066B9B"/>
    <w:rsid w:val="4F491792"/>
    <w:rsid w:val="4F67D6B5"/>
    <w:rsid w:val="4F6F8BA2"/>
    <w:rsid w:val="4F878FC3"/>
    <w:rsid w:val="4FB01585"/>
    <w:rsid w:val="4FD94EF8"/>
    <w:rsid w:val="4FEE32FA"/>
    <w:rsid w:val="4FF977AA"/>
    <w:rsid w:val="4FFC0F6C"/>
    <w:rsid w:val="50105B42"/>
    <w:rsid w:val="501E72D5"/>
    <w:rsid w:val="50707362"/>
    <w:rsid w:val="507CC860"/>
    <w:rsid w:val="50BBE26C"/>
    <w:rsid w:val="50CBD51D"/>
    <w:rsid w:val="50E7289F"/>
    <w:rsid w:val="511AD460"/>
    <w:rsid w:val="5141B0DE"/>
    <w:rsid w:val="515729A2"/>
    <w:rsid w:val="5176E82F"/>
    <w:rsid w:val="519476E0"/>
    <w:rsid w:val="519B8310"/>
    <w:rsid w:val="51AE50BB"/>
    <w:rsid w:val="51D8F642"/>
    <w:rsid w:val="51D98C6B"/>
    <w:rsid w:val="5200AF8B"/>
    <w:rsid w:val="520F5019"/>
    <w:rsid w:val="5220C0C8"/>
    <w:rsid w:val="522D1A05"/>
    <w:rsid w:val="5231EE4A"/>
    <w:rsid w:val="523CB791"/>
    <w:rsid w:val="52614F3F"/>
    <w:rsid w:val="5266DA6D"/>
    <w:rsid w:val="5274C931"/>
    <w:rsid w:val="527C828D"/>
    <w:rsid w:val="529260FF"/>
    <w:rsid w:val="52AA23F9"/>
    <w:rsid w:val="52BB1816"/>
    <w:rsid w:val="52C11F31"/>
    <w:rsid w:val="52ED5833"/>
    <w:rsid w:val="52F49075"/>
    <w:rsid w:val="52F9152F"/>
    <w:rsid w:val="5318ADB1"/>
    <w:rsid w:val="53369278"/>
    <w:rsid w:val="5336D6DE"/>
    <w:rsid w:val="5348F737"/>
    <w:rsid w:val="53A01472"/>
    <w:rsid w:val="53AE43D8"/>
    <w:rsid w:val="53BF6FA4"/>
    <w:rsid w:val="53CBDF3B"/>
    <w:rsid w:val="53E2754C"/>
    <w:rsid w:val="53E4BE4C"/>
    <w:rsid w:val="53EB9FE8"/>
    <w:rsid w:val="53EF7FC5"/>
    <w:rsid w:val="5401C74B"/>
    <w:rsid w:val="540C424E"/>
    <w:rsid w:val="54760227"/>
    <w:rsid w:val="54772D86"/>
    <w:rsid w:val="5489026B"/>
    <w:rsid w:val="54960EF7"/>
    <w:rsid w:val="54C919B8"/>
    <w:rsid w:val="54D1B674"/>
    <w:rsid w:val="54D3AFC4"/>
    <w:rsid w:val="55023829"/>
    <w:rsid w:val="55066454"/>
    <w:rsid w:val="5528B6FE"/>
    <w:rsid w:val="554956AB"/>
    <w:rsid w:val="555A3314"/>
    <w:rsid w:val="55CA01C1"/>
    <w:rsid w:val="55E16545"/>
    <w:rsid w:val="5605891F"/>
    <w:rsid w:val="5607A213"/>
    <w:rsid w:val="560FE8A1"/>
    <w:rsid w:val="5619916C"/>
    <w:rsid w:val="562525BA"/>
    <w:rsid w:val="5626D618"/>
    <w:rsid w:val="5646FF53"/>
    <w:rsid w:val="5688B054"/>
    <w:rsid w:val="56BC6130"/>
    <w:rsid w:val="56F33C08"/>
    <w:rsid w:val="5706BF88"/>
    <w:rsid w:val="5727667B"/>
    <w:rsid w:val="57298ABD"/>
    <w:rsid w:val="577B3A8E"/>
    <w:rsid w:val="577EAC2B"/>
    <w:rsid w:val="57857808"/>
    <w:rsid w:val="584A50F7"/>
    <w:rsid w:val="586C8DC6"/>
    <w:rsid w:val="5898C719"/>
    <w:rsid w:val="589EEDE0"/>
    <w:rsid w:val="58A8557C"/>
    <w:rsid w:val="58CBEADC"/>
    <w:rsid w:val="58F86D05"/>
    <w:rsid w:val="592FE5F5"/>
    <w:rsid w:val="59659D0D"/>
    <w:rsid w:val="596794DE"/>
    <w:rsid w:val="59780535"/>
    <w:rsid w:val="59930DC0"/>
    <w:rsid w:val="59ED07D7"/>
    <w:rsid w:val="59FB13E8"/>
    <w:rsid w:val="5A0604E0"/>
    <w:rsid w:val="5A1EF5B4"/>
    <w:rsid w:val="5A1F0C0F"/>
    <w:rsid w:val="5A452BC7"/>
    <w:rsid w:val="5A52C069"/>
    <w:rsid w:val="5A5BD7CF"/>
    <w:rsid w:val="5AA4EBA2"/>
    <w:rsid w:val="5AB53A7B"/>
    <w:rsid w:val="5AC4FF5C"/>
    <w:rsid w:val="5ACCE82E"/>
    <w:rsid w:val="5ADA3B18"/>
    <w:rsid w:val="5B0A86A8"/>
    <w:rsid w:val="5B139BCC"/>
    <w:rsid w:val="5B2AF0C9"/>
    <w:rsid w:val="5B384521"/>
    <w:rsid w:val="5B45241A"/>
    <w:rsid w:val="5B515FEB"/>
    <w:rsid w:val="5B51A105"/>
    <w:rsid w:val="5B531798"/>
    <w:rsid w:val="5B741AA1"/>
    <w:rsid w:val="5B878BCB"/>
    <w:rsid w:val="5BACEDEF"/>
    <w:rsid w:val="5BB2935F"/>
    <w:rsid w:val="5BCEA015"/>
    <w:rsid w:val="5C0564A9"/>
    <w:rsid w:val="5C2308E3"/>
    <w:rsid w:val="5C37990B"/>
    <w:rsid w:val="5C5F608B"/>
    <w:rsid w:val="5C65C142"/>
    <w:rsid w:val="5CB78A6A"/>
    <w:rsid w:val="5CCF6934"/>
    <w:rsid w:val="5CF2671B"/>
    <w:rsid w:val="5CF62A51"/>
    <w:rsid w:val="5D573AC8"/>
    <w:rsid w:val="5D59F456"/>
    <w:rsid w:val="5D7E0CED"/>
    <w:rsid w:val="5D950F30"/>
    <w:rsid w:val="5DB1D4AA"/>
    <w:rsid w:val="5DB90459"/>
    <w:rsid w:val="5DC2F1C2"/>
    <w:rsid w:val="5DDD8041"/>
    <w:rsid w:val="5DE325A8"/>
    <w:rsid w:val="5E1BC0E6"/>
    <w:rsid w:val="5E1D9C37"/>
    <w:rsid w:val="5E7DFABD"/>
    <w:rsid w:val="5E827DEE"/>
    <w:rsid w:val="5E95253A"/>
    <w:rsid w:val="5EB3FE92"/>
    <w:rsid w:val="5EB48D6B"/>
    <w:rsid w:val="5ECB1DB5"/>
    <w:rsid w:val="5ECC7087"/>
    <w:rsid w:val="5EED95E8"/>
    <w:rsid w:val="5F0F93A5"/>
    <w:rsid w:val="5F10F594"/>
    <w:rsid w:val="5F1B3489"/>
    <w:rsid w:val="5F35D0FC"/>
    <w:rsid w:val="5F4F9515"/>
    <w:rsid w:val="5F579409"/>
    <w:rsid w:val="5F6F8E39"/>
    <w:rsid w:val="5F756154"/>
    <w:rsid w:val="5F8980E2"/>
    <w:rsid w:val="5FAFE3DA"/>
    <w:rsid w:val="5FBCA413"/>
    <w:rsid w:val="5FDF2487"/>
    <w:rsid w:val="604B758A"/>
    <w:rsid w:val="60539CF0"/>
    <w:rsid w:val="605750F7"/>
    <w:rsid w:val="607694A9"/>
    <w:rsid w:val="609DAD47"/>
    <w:rsid w:val="60AD5105"/>
    <w:rsid w:val="60C2876C"/>
    <w:rsid w:val="610C35A1"/>
    <w:rsid w:val="6114E6EC"/>
    <w:rsid w:val="61153F9D"/>
    <w:rsid w:val="6117FD89"/>
    <w:rsid w:val="611D5CA7"/>
    <w:rsid w:val="61688600"/>
    <w:rsid w:val="617180B4"/>
    <w:rsid w:val="617F2603"/>
    <w:rsid w:val="61C3D263"/>
    <w:rsid w:val="61CB66C3"/>
    <w:rsid w:val="61D168BC"/>
    <w:rsid w:val="6248277A"/>
    <w:rsid w:val="625E08A0"/>
    <w:rsid w:val="6267DDA0"/>
    <w:rsid w:val="6274484B"/>
    <w:rsid w:val="627FA4CA"/>
    <w:rsid w:val="62C0818A"/>
    <w:rsid w:val="62C1B44A"/>
    <w:rsid w:val="62CF8FA7"/>
    <w:rsid w:val="62FDB857"/>
    <w:rsid w:val="631F015F"/>
    <w:rsid w:val="632FBC67"/>
    <w:rsid w:val="6370FE75"/>
    <w:rsid w:val="63879F9A"/>
    <w:rsid w:val="63A9A946"/>
    <w:rsid w:val="63AFC02E"/>
    <w:rsid w:val="63D0BE6A"/>
    <w:rsid w:val="643F110E"/>
    <w:rsid w:val="64448103"/>
    <w:rsid w:val="6454F074"/>
    <w:rsid w:val="646CBDFD"/>
    <w:rsid w:val="646E4D03"/>
    <w:rsid w:val="64A4AF06"/>
    <w:rsid w:val="64AA25FB"/>
    <w:rsid w:val="64C8F0F1"/>
    <w:rsid w:val="64D31804"/>
    <w:rsid w:val="64E7C151"/>
    <w:rsid w:val="6508F8AB"/>
    <w:rsid w:val="65338643"/>
    <w:rsid w:val="65369284"/>
    <w:rsid w:val="656976E3"/>
    <w:rsid w:val="6584B1A4"/>
    <w:rsid w:val="6599719F"/>
    <w:rsid w:val="65B1B054"/>
    <w:rsid w:val="65B56C2D"/>
    <w:rsid w:val="65C1C282"/>
    <w:rsid w:val="65F5A462"/>
    <w:rsid w:val="66076B34"/>
    <w:rsid w:val="6619E952"/>
    <w:rsid w:val="662DC83D"/>
    <w:rsid w:val="6637C195"/>
    <w:rsid w:val="667490C1"/>
    <w:rsid w:val="667C4C4C"/>
    <w:rsid w:val="66BCCF29"/>
    <w:rsid w:val="66D2ECE7"/>
    <w:rsid w:val="66E9A40C"/>
    <w:rsid w:val="670C1891"/>
    <w:rsid w:val="672C294C"/>
    <w:rsid w:val="674FD54D"/>
    <w:rsid w:val="6752A319"/>
    <w:rsid w:val="675AA42C"/>
    <w:rsid w:val="67615AC1"/>
    <w:rsid w:val="67771AE9"/>
    <w:rsid w:val="677FFF64"/>
    <w:rsid w:val="67A4DBF1"/>
    <w:rsid w:val="67C14102"/>
    <w:rsid w:val="67C28C54"/>
    <w:rsid w:val="67C407EA"/>
    <w:rsid w:val="67D67D1A"/>
    <w:rsid w:val="67E6A8B1"/>
    <w:rsid w:val="67ECE9C0"/>
    <w:rsid w:val="680AD485"/>
    <w:rsid w:val="68359136"/>
    <w:rsid w:val="685E8B28"/>
    <w:rsid w:val="68708567"/>
    <w:rsid w:val="68956419"/>
    <w:rsid w:val="68A0432F"/>
    <w:rsid w:val="68A2F425"/>
    <w:rsid w:val="68AF13A7"/>
    <w:rsid w:val="68BD3E51"/>
    <w:rsid w:val="68C4EF2E"/>
    <w:rsid w:val="68C7C80B"/>
    <w:rsid w:val="68D40747"/>
    <w:rsid w:val="68F9EF41"/>
    <w:rsid w:val="6902A80D"/>
    <w:rsid w:val="69115ECC"/>
    <w:rsid w:val="6911F4A9"/>
    <w:rsid w:val="6914362A"/>
    <w:rsid w:val="691FB3D3"/>
    <w:rsid w:val="691FE9C3"/>
    <w:rsid w:val="6937BE65"/>
    <w:rsid w:val="69679E8E"/>
    <w:rsid w:val="69702C2F"/>
    <w:rsid w:val="6970A7D7"/>
    <w:rsid w:val="69AF8C52"/>
    <w:rsid w:val="69B479B5"/>
    <w:rsid w:val="69D9C773"/>
    <w:rsid w:val="69DEB7C1"/>
    <w:rsid w:val="69DF8919"/>
    <w:rsid w:val="69F16720"/>
    <w:rsid w:val="6A0A8C4A"/>
    <w:rsid w:val="6A0CF3EE"/>
    <w:rsid w:val="6A15546E"/>
    <w:rsid w:val="6A2ED9D2"/>
    <w:rsid w:val="6A90D34C"/>
    <w:rsid w:val="6A9716B1"/>
    <w:rsid w:val="6A993521"/>
    <w:rsid w:val="6A9AE4B2"/>
    <w:rsid w:val="6AAF3030"/>
    <w:rsid w:val="6ACB936F"/>
    <w:rsid w:val="6AEA2725"/>
    <w:rsid w:val="6AF28200"/>
    <w:rsid w:val="6B0DB4E3"/>
    <w:rsid w:val="6B2BC094"/>
    <w:rsid w:val="6B77F99F"/>
    <w:rsid w:val="6B7DCB39"/>
    <w:rsid w:val="6B7E5C9E"/>
    <w:rsid w:val="6B8DFBB6"/>
    <w:rsid w:val="6BF714EA"/>
    <w:rsid w:val="6C047D04"/>
    <w:rsid w:val="6C30C3DC"/>
    <w:rsid w:val="6C33035C"/>
    <w:rsid w:val="6C3D7F90"/>
    <w:rsid w:val="6CB136FD"/>
    <w:rsid w:val="6CCAD256"/>
    <w:rsid w:val="6CEEA253"/>
    <w:rsid w:val="6CF7837C"/>
    <w:rsid w:val="6CF8A368"/>
    <w:rsid w:val="6CFA9471"/>
    <w:rsid w:val="6D160F3C"/>
    <w:rsid w:val="6D17C8B6"/>
    <w:rsid w:val="6D1C675D"/>
    <w:rsid w:val="6D202031"/>
    <w:rsid w:val="6D569119"/>
    <w:rsid w:val="6DBED946"/>
    <w:rsid w:val="6DE08ACD"/>
    <w:rsid w:val="6E411F04"/>
    <w:rsid w:val="6E431C0E"/>
    <w:rsid w:val="6E702288"/>
    <w:rsid w:val="6EB5F9AB"/>
    <w:rsid w:val="6EC0DD1D"/>
    <w:rsid w:val="6ED44CCB"/>
    <w:rsid w:val="6EE34203"/>
    <w:rsid w:val="6F0221F7"/>
    <w:rsid w:val="6F30EB52"/>
    <w:rsid w:val="6F52B9C6"/>
    <w:rsid w:val="6F6B7C93"/>
    <w:rsid w:val="6F76AACD"/>
    <w:rsid w:val="6F8C046F"/>
    <w:rsid w:val="6F9DC56A"/>
    <w:rsid w:val="6F9DD934"/>
    <w:rsid w:val="6FA39284"/>
    <w:rsid w:val="6FCCD8FF"/>
    <w:rsid w:val="6FE2DF17"/>
    <w:rsid w:val="70013C0D"/>
    <w:rsid w:val="701F01CF"/>
    <w:rsid w:val="7029A87E"/>
    <w:rsid w:val="7038E542"/>
    <w:rsid w:val="705F498D"/>
    <w:rsid w:val="7061FEA5"/>
    <w:rsid w:val="7070C493"/>
    <w:rsid w:val="70A91054"/>
    <w:rsid w:val="70BC89B6"/>
    <w:rsid w:val="711B7C48"/>
    <w:rsid w:val="7134F15F"/>
    <w:rsid w:val="7142C279"/>
    <w:rsid w:val="715E6814"/>
    <w:rsid w:val="717102F9"/>
    <w:rsid w:val="7178D369"/>
    <w:rsid w:val="7179AD83"/>
    <w:rsid w:val="7187A659"/>
    <w:rsid w:val="71929449"/>
    <w:rsid w:val="71A7C34A"/>
    <w:rsid w:val="71C2CB3C"/>
    <w:rsid w:val="7201AE17"/>
    <w:rsid w:val="72282CD7"/>
    <w:rsid w:val="7229381C"/>
    <w:rsid w:val="722E97E6"/>
    <w:rsid w:val="724FC7D0"/>
    <w:rsid w:val="7261F707"/>
    <w:rsid w:val="72645368"/>
    <w:rsid w:val="7266E4EE"/>
    <w:rsid w:val="726AE3F4"/>
    <w:rsid w:val="7287AE2E"/>
    <w:rsid w:val="728E3C91"/>
    <w:rsid w:val="72B90E7B"/>
    <w:rsid w:val="72C4DDD8"/>
    <w:rsid w:val="72D05E68"/>
    <w:rsid w:val="72D1AC89"/>
    <w:rsid w:val="72DA94BA"/>
    <w:rsid w:val="730BFB44"/>
    <w:rsid w:val="7317E7DB"/>
    <w:rsid w:val="731C1046"/>
    <w:rsid w:val="734393AB"/>
    <w:rsid w:val="734EFE73"/>
    <w:rsid w:val="7379C997"/>
    <w:rsid w:val="739F6DC0"/>
    <w:rsid w:val="73C5F927"/>
    <w:rsid w:val="73DB50C4"/>
    <w:rsid w:val="73E39A66"/>
    <w:rsid w:val="74028BAF"/>
    <w:rsid w:val="741774EB"/>
    <w:rsid w:val="7427D026"/>
    <w:rsid w:val="74308D6C"/>
    <w:rsid w:val="7468B57D"/>
    <w:rsid w:val="748AA57F"/>
    <w:rsid w:val="74A31E6D"/>
    <w:rsid w:val="74E28CC7"/>
    <w:rsid w:val="752EDC10"/>
    <w:rsid w:val="753C9CA5"/>
    <w:rsid w:val="7572E528"/>
    <w:rsid w:val="75A4B3D0"/>
    <w:rsid w:val="75E6C2F1"/>
    <w:rsid w:val="75ED168B"/>
    <w:rsid w:val="76006C52"/>
    <w:rsid w:val="76050CEB"/>
    <w:rsid w:val="76115F58"/>
    <w:rsid w:val="762D146E"/>
    <w:rsid w:val="7644633C"/>
    <w:rsid w:val="766D9DE2"/>
    <w:rsid w:val="768A0C60"/>
    <w:rsid w:val="76C58DF7"/>
    <w:rsid w:val="76D9EA40"/>
    <w:rsid w:val="772E68AF"/>
    <w:rsid w:val="77311797"/>
    <w:rsid w:val="77470F0C"/>
    <w:rsid w:val="7759E7DE"/>
    <w:rsid w:val="7760BD39"/>
    <w:rsid w:val="776EF760"/>
    <w:rsid w:val="77815C84"/>
    <w:rsid w:val="778C5A08"/>
    <w:rsid w:val="77A1ACC6"/>
    <w:rsid w:val="77AE49FD"/>
    <w:rsid w:val="77CB06B9"/>
    <w:rsid w:val="77CDC79B"/>
    <w:rsid w:val="77F64919"/>
    <w:rsid w:val="78288DF0"/>
    <w:rsid w:val="784321E8"/>
    <w:rsid w:val="784F849F"/>
    <w:rsid w:val="78677AF1"/>
    <w:rsid w:val="78685113"/>
    <w:rsid w:val="788A6FC4"/>
    <w:rsid w:val="788A88D6"/>
    <w:rsid w:val="78B835FF"/>
    <w:rsid w:val="78D01A4C"/>
    <w:rsid w:val="78DC63BD"/>
    <w:rsid w:val="78E1BD45"/>
    <w:rsid w:val="78F79331"/>
    <w:rsid w:val="790FCD68"/>
    <w:rsid w:val="791CA309"/>
    <w:rsid w:val="7927178A"/>
    <w:rsid w:val="793CA841"/>
    <w:rsid w:val="7950C4A0"/>
    <w:rsid w:val="798F1B19"/>
    <w:rsid w:val="79A8EC0D"/>
    <w:rsid w:val="79AD52FA"/>
    <w:rsid w:val="79D0291E"/>
    <w:rsid w:val="79D4B56F"/>
    <w:rsid w:val="7A0AF1D8"/>
    <w:rsid w:val="7A225DA7"/>
    <w:rsid w:val="7A7DE3ED"/>
    <w:rsid w:val="7A96EC9E"/>
    <w:rsid w:val="7AA69822"/>
    <w:rsid w:val="7AB719B0"/>
    <w:rsid w:val="7AB90006"/>
    <w:rsid w:val="7AE4082C"/>
    <w:rsid w:val="7AE9A4BF"/>
    <w:rsid w:val="7AF7FEEE"/>
    <w:rsid w:val="7B05C46A"/>
    <w:rsid w:val="7B2C4FD9"/>
    <w:rsid w:val="7B3B2C4E"/>
    <w:rsid w:val="7B3FD6A1"/>
    <w:rsid w:val="7B4770C8"/>
    <w:rsid w:val="7B57B430"/>
    <w:rsid w:val="7BA1A3F7"/>
    <w:rsid w:val="7BCF7ACD"/>
    <w:rsid w:val="7BE43812"/>
    <w:rsid w:val="7BEC0DC5"/>
    <w:rsid w:val="7C04080A"/>
    <w:rsid w:val="7C045854"/>
    <w:rsid w:val="7C1AF9F9"/>
    <w:rsid w:val="7C2ECB5F"/>
    <w:rsid w:val="7C3534A5"/>
    <w:rsid w:val="7C6A8910"/>
    <w:rsid w:val="7CB03EFE"/>
    <w:rsid w:val="7CB8050B"/>
    <w:rsid w:val="7CD119C4"/>
    <w:rsid w:val="7CDC89A3"/>
    <w:rsid w:val="7CF14FCF"/>
    <w:rsid w:val="7D1DF683"/>
    <w:rsid w:val="7D37393B"/>
    <w:rsid w:val="7D4F9EFE"/>
    <w:rsid w:val="7D7203B6"/>
    <w:rsid w:val="7D75B12E"/>
    <w:rsid w:val="7D7C1BD0"/>
    <w:rsid w:val="7D8CA4FB"/>
    <w:rsid w:val="7D8D36E0"/>
    <w:rsid w:val="7DADA3DC"/>
    <w:rsid w:val="7DDEB3B6"/>
    <w:rsid w:val="7DF0199F"/>
    <w:rsid w:val="7E7E68B6"/>
    <w:rsid w:val="7EAF0893"/>
    <w:rsid w:val="7ED22013"/>
    <w:rsid w:val="7EF62703"/>
    <w:rsid w:val="7F04D7CE"/>
    <w:rsid w:val="7F2F6EFE"/>
    <w:rsid w:val="7F96FA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CB8E6"/>
  <w15:docId w15:val="{0278EC91-97B5-453A-909B-30D27F87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4"/>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257"/>
  </w:style>
  <w:style w:type="paragraph" w:styleId="Heading1">
    <w:name w:val="heading 1"/>
    <w:basedOn w:val="Normal"/>
    <w:uiPriority w:val="9"/>
    <w:qFormat/>
    <w:pPr>
      <w:ind w:left="220"/>
      <w:outlineLvl w:val="0"/>
    </w:pPr>
    <w:rPr>
      <w:b/>
      <w:bCs/>
      <w:sz w:val="28"/>
      <w:szCs w:val="28"/>
    </w:rPr>
  </w:style>
  <w:style w:type="paragraph" w:styleId="Heading2">
    <w:name w:val="heading 2"/>
    <w:basedOn w:val="Normal"/>
    <w:uiPriority w:val="9"/>
    <w:unhideWhenUsed/>
    <w:qFormat/>
    <w:pPr>
      <w:spacing w:before="76"/>
      <w:ind w:left="220"/>
      <w:outlineLvl w:val="1"/>
    </w:pPr>
    <w:rPr>
      <w:sz w:val="28"/>
      <w:szCs w:val="28"/>
    </w:rPr>
  </w:style>
  <w:style w:type="paragraph" w:styleId="Heading3">
    <w:name w:val="heading 3"/>
    <w:basedOn w:val="Normal"/>
    <w:uiPriority w:val="9"/>
    <w:unhideWhenUsed/>
    <w:qFormat/>
    <w:pPr>
      <w:spacing w:line="279" w:lineRule="exact"/>
      <w:ind w:left="220"/>
      <w:outlineLvl w:val="2"/>
    </w:pPr>
    <w:rPr>
      <w:sz w:val="25"/>
      <w:szCs w:val="25"/>
    </w:rPr>
  </w:style>
  <w:style w:type="paragraph" w:styleId="Heading4">
    <w:name w:val="heading 4"/>
    <w:basedOn w:val="Normal"/>
    <w:uiPriority w:val="9"/>
    <w:unhideWhenUsed/>
    <w:qFormat/>
    <w:pPr>
      <w:spacing w:line="269" w:lineRule="exact"/>
      <w:ind w:left="220"/>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6"/>
      <w:ind w:left="220"/>
    </w:pPr>
  </w:style>
  <w:style w:type="paragraph" w:styleId="BodyText">
    <w:name w:val="Body Text"/>
    <w:basedOn w:val="Normal"/>
    <w:link w:val="BodyTextChar"/>
    <w:uiPriority w:val="1"/>
    <w:qFormat/>
    <w:rPr>
      <w:szCs w:val="24"/>
    </w:rPr>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pPr>
      <w:ind w:left="107"/>
    </w:pPr>
  </w:style>
  <w:style w:type="paragraph" w:styleId="NoSpacing">
    <w:name w:val="No Spacing"/>
    <w:uiPriority w:val="1"/>
    <w:qFormat/>
    <w:rsid w:val="00DE2FE1"/>
    <w:rPr>
      <w:rFonts w:ascii="Garamond" w:eastAsia="Garamond" w:hAnsi="Garamond" w:cs="Garamond"/>
      <w:lang w:bidi="en-US"/>
    </w:rPr>
  </w:style>
  <w:style w:type="paragraph" w:styleId="FootnoteText">
    <w:name w:val="footnote text"/>
    <w:basedOn w:val="Normal"/>
    <w:link w:val="FootnoteTextChar"/>
    <w:uiPriority w:val="99"/>
    <w:unhideWhenUsed/>
    <w:rsid w:val="00C249D9"/>
    <w:rPr>
      <w:sz w:val="20"/>
    </w:rPr>
  </w:style>
  <w:style w:type="character" w:customStyle="1" w:styleId="FootnoteTextChar">
    <w:name w:val="Footnote Text Char"/>
    <w:basedOn w:val="DefaultParagraphFont"/>
    <w:link w:val="FootnoteText"/>
    <w:uiPriority w:val="99"/>
    <w:rsid w:val="00C249D9"/>
    <w:rPr>
      <w:rFonts w:ascii="Garamond" w:eastAsia="Garamond" w:hAnsi="Garamond" w:cs="Garamond"/>
      <w:sz w:val="20"/>
      <w:szCs w:val="20"/>
      <w:lang w:bidi="en-US"/>
    </w:rPr>
  </w:style>
  <w:style w:type="character" w:styleId="FootnoteReference">
    <w:name w:val="footnote reference"/>
    <w:aliases w:val="~FootnoteReference"/>
    <w:basedOn w:val="DefaultParagraphFont"/>
    <w:uiPriority w:val="99"/>
    <w:unhideWhenUsed/>
    <w:rsid w:val="00C249D9"/>
    <w:rPr>
      <w:vertAlign w:val="superscript"/>
    </w:rPr>
  </w:style>
  <w:style w:type="character" w:styleId="Hyperlink">
    <w:name w:val="Hyperlink"/>
    <w:basedOn w:val="DefaultParagraphFont"/>
    <w:uiPriority w:val="99"/>
    <w:unhideWhenUsed/>
    <w:rsid w:val="0088053D"/>
    <w:rPr>
      <w:color w:val="0000FF" w:themeColor="hyperlink"/>
      <w:u w:val="single"/>
    </w:rPr>
  </w:style>
  <w:style w:type="character" w:styleId="UnresolvedMention">
    <w:name w:val="Unresolved Mention"/>
    <w:basedOn w:val="DefaultParagraphFont"/>
    <w:uiPriority w:val="99"/>
    <w:semiHidden/>
    <w:unhideWhenUsed/>
    <w:rsid w:val="0088053D"/>
    <w:rPr>
      <w:color w:val="605E5C"/>
      <w:shd w:val="clear" w:color="auto" w:fill="E1DFDD"/>
    </w:rPr>
  </w:style>
  <w:style w:type="table" w:styleId="TableGrid">
    <w:name w:val="Table Grid"/>
    <w:basedOn w:val="TableNormal"/>
    <w:uiPriority w:val="59"/>
    <w:rsid w:val="00D3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6332"/>
    <w:rPr>
      <w:sz w:val="16"/>
      <w:szCs w:val="16"/>
    </w:rPr>
  </w:style>
  <w:style w:type="paragraph" w:styleId="CommentText">
    <w:name w:val="annotation text"/>
    <w:basedOn w:val="Normal"/>
    <w:link w:val="CommentTextChar"/>
    <w:uiPriority w:val="99"/>
    <w:unhideWhenUsed/>
    <w:rsid w:val="00866332"/>
    <w:rPr>
      <w:sz w:val="20"/>
    </w:rPr>
  </w:style>
  <w:style w:type="character" w:customStyle="1" w:styleId="CommentTextChar">
    <w:name w:val="Comment Text Char"/>
    <w:basedOn w:val="DefaultParagraphFont"/>
    <w:link w:val="CommentText"/>
    <w:uiPriority w:val="99"/>
    <w:rsid w:val="00866332"/>
    <w:rPr>
      <w:rFonts w:ascii="Garamond" w:eastAsia="Garamond" w:hAnsi="Garamond" w:cs="Garamond"/>
      <w:sz w:val="20"/>
      <w:szCs w:val="20"/>
      <w:lang w:bidi="en-US"/>
    </w:rPr>
  </w:style>
  <w:style w:type="paragraph" w:styleId="CommentSubject">
    <w:name w:val="annotation subject"/>
    <w:basedOn w:val="CommentText"/>
    <w:next w:val="CommentText"/>
    <w:link w:val="CommentSubjectChar"/>
    <w:uiPriority w:val="99"/>
    <w:semiHidden/>
    <w:unhideWhenUsed/>
    <w:rsid w:val="00866332"/>
    <w:rPr>
      <w:b/>
      <w:bCs/>
    </w:rPr>
  </w:style>
  <w:style w:type="character" w:customStyle="1" w:styleId="CommentSubjectChar">
    <w:name w:val="Comment Subject Char"/>
    <w:basedOn w:val="CommentTextChar"/>
    <w:link w:val="CommentSubject"/>
    <w:uiPriority w:val="99"/>
    <w:semiHidden/>
    <w:rsid w:val="00866332"/>
    <w:rPr>
      <w:rFonts w:ascii="Garamond" w:eastAsia="Garamond" w:hAnsi="Garamond" w:cs="Garamond"/>
      <w:b/>
      <w:bCs/>
      <w:sz w:val="20"/>
      <w:szCs w:val="20"/>
      <w:lang w:bidi="en-US"/>
    </w:rPr>
  </w:style>
  <w:style w:type="paragraph" w:styleId="BalloonText">
    <w:name w:val="Balloon Text"/>
    <w:basedOn w:val="Normal"/>
    <w:link w:val="BalloonTextChar"/>
    <w:uiPriority w:val="99"/>
    <w:semiHidden/>
    <w:unhideWhenUsed/>
    <w:rsid w:val="00866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332"/>
    <w:rPr>
      <w:rFonts w:ascii="Segoe UI" w:eastAsia="Garamond" w:hAnsi="Segoe UI" w:cs="Segoe UI"/>
      <w:sz w:val="18"/>
      <w:szCs w:val="18"/>
      <w:lang w:bidi="en-US"/>
    </w:rPr>
  </w:style>
  <w:style w:type="paragraph" w:styleId="Header">
    <w:name w:val="header"/>
    <w:basedOn w:val="Normal"/>
    <w:link w:val="HeaderChar"/>
    <w:uiPriority w:val="99"/>
    <w:unhideWhenUsed/>
    <w:rsid w:val="00AB0EB7"/>
    <w:pPr>
      <w:tabs>
        <w:tab w:val="center" w:pos="4680"/>
        <w:tab w:val="right" w:pos="9360"/>
      </w:tabs>
    </w:pPr>
  </w:style>
  <w:style w:type="character" w:customStyle="1" w:styleId="HeaderChar">
    <w:name w:val="Header Char"/>
    <w:basedOn w:val="DefaultParagraphFont"/>
    <w:link w:val="Header"/>
    <w:uiPriority w:val="99"/>
    <w:rsid w:val="00AB0EB7"/>
    <w:rPr>
      <w:rFonts w:ascii="Garamond" w:eastAsia="Garamond" w:hAnsi="Garamond" w:cs="Garamond"/>
      <w:lang w:bidi="en-US"/>
    </w:rPr>
  </w:style>
  <w:style w:type="paragraph" w:styleId="Footer">
    <w:name w:val="footer"/>
    <w:basedOn w:val="Normal"/>
    <w:link w:val="FooterChar"/>
    <w:uiPriority w:val="99"/>
    <w:unhideWhenUsed/>
    <w:rsid w:val="00AB0EB7"/>
    <w:pPr>
      <w:tabs>
        <w:tab w:val="center" w:pos="4680"/>
        <w:tab w:val="right" w:pos="9360"/>
      </w:tabs>
    </w:pPr>
  </w:style>
  <w:style w:type="character" w:customStyle="1" w:styleId="FooterChar">
    <w:name w:val="Footer Char"/>
    <w:basedOn w:val="DefaultParagraphFont"/>
    <w:link w:val="Footer"/>
    <w:uiPriority w:val="99"/>
    <w:rsid w:val="00AB0EB7"/>
    <w:rPr>
      <w:rFonts w:ascii="Garamond" w:eastAsia="Garamond" w:hAnsi="Garamond" w:cs="Garamond"/>
      <w:lang w:bidi="en-US"/>
    </w:rPr>
  </w:style>
  <w:style w:type="paragraph" w:styleId="EndnoteText">
    <w:name w:val="endnote text"/>
    <w:basedOn w:val="Normal"/>
    <w:link w:val="EndnoteTextChar"/>
    <w:uiPriority w:val="99"/>
    <w:unhideWhenUsed/>
    <w:rsid w:val="00690C6E"/>
    <w:rPr>
      <w:sz w:val="20"/>
    </w:rPr>
  </w:style>
  <w:style w:type="character" w:customStyle="1" w:styleId="EndnoteTextChar">
    <w:name w:val="Endnote Text Char"/>
    <w:basedOn w:val="DefaultParagraphFont"/>
    <w:link w:val="EndnoteText"/>
    <w:uiPriority w:val="99"/>
    <w:rsid w:val="00690C6E"/>
    <w:rPr>
      <w:rFonts w:ascii="Garamond" w:eastAsia="Garamond" w:hAnsi="Garamond" w:cs="Garamond"/>
      <w:sz w:val="20"/>
      <w:szCs w:val="20"/>
      <w:lang w:bidi="en-US"/>
    </w:rPr>
  </w:style>
  <w:style w:type="character" w:styleId="EndnoteReference">
    <w:name w:val="endnote reference"/>
    <w:basedOn w:val="DefaultParagraphFont"/>
    <w:uiPriority w:val="99"/>
    <w:semiHidden/>
    <w:unhideWhenUsed/>
    <w:rsid w:val="00690C6E"/>
    <w:rPr>
      <w:vertAlign w:val="superscript"/>
    </w:rPr>
  </w:style>
  <w:style w:type="paragraph" w:styleId="TOCHeading">
    <w:name w:val="TOC Heading"/>
    <w:basedOn w:val="Heading1"/>
    <w:next w:val="Normal"/>
    <w:uiPriority w:val="39"/>
    <w:unhideWhenUsed/>
    <w:qFormat/>
    <w:rsid w:val="008650F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8650F2"/>
    <w:pPr>
      <w:spacing w:after="100"/>
      <w:ind w:left="220"/>
    </w:pPr>
  </w:style>
  <w:style w:type="paragraph" w:styleId="TOC3">
    <w:name w:val="toc 3"/>
    <w:basedOn w:val="Normal"/>
    <w:next w:val="Normal"/>
    <w:autoRedefine/>
    <w:uiPriority w:val="39"/>
    <w:unhideWhenUsed/>
    <w:rsid w:val="008650F2"/>
    <w:pPr>
      <w:spacing w:after="100"/>
      <w:ind w:left="440"/>
    </w:pPr>
  </w:style>
  <w:style w:type="character" w:customStyle="1" w:styleId="BodyTextChar">
    <w:name w:val="Body Text Char"/>
    <w:basedOn w:val="DefaultParagraphFont"/>
    <w:link w:val="BodyText"/>
    <w:uiPriority w:val="1"/>
    <w:rsid w:val="00B129E5"/>
    <w:rPr>
      <w:rFonts w:ascii="Garamond" w:eastAsia="Garamond" w:hAnsi="Garamond" w:cs="Garamond"/>
      <w:sz w:val="24"/>
      <w:szCs w:val="24"/>
      <w:lang w:bidi="en-US"/>
    </w:rPr>
  </w:style>
  <w:style w:type="paragraph" w:customStyle="1" w:styleId="paragraph">
    <w:name w:val="paragraph"/>
    <w:basedOn w:val="Normal"/>
    <w:rsid w:val="00F92C18"/>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F92C18"/>
  </w:style>
  <w:style w:type="character" w:customStyle="1" w:styleId="normaltextrun">
    <w:name w:val="normaltextrun"/>
    <w:basedOn w:val="DefaultParagraphFont"/>
    <w:rsid w:val="00F92C18"/>
  </w:style>
  <w:style w:type="paragraph" w:styleId="Revision">
    <w:name w:val="Revision"/>
    <w:hidden/>
    <w:uiPriority w:val="99"/>
    <w:semiHidden/>
    <w:rsid w:val="00915F05"/>
    <w:pPr>
      <w:widowControl/>
      <w:autoSpaceDE/>
      <w:autoSpaceDN/>
    </w:pPr>
  </w:style>
  <w:style w:type="paragraph" w:customStyle="1" w:styleId="RBNBasicNoSpace">
    <w:name w:val="RBN Basic No Space"/>
    <w:basedOn w:val="Normal"/>
    <w:rsid w:val="00206C59"/>
    <w:pPr>
      <w:widowControl/>
      <w:autoSpaceDE/>
      <w:autoSpaceDN/>
    </w:pPr>
    <w:rPr>
      <w:rFonts w:ascii="Times New Roman" w:eastAsia="Calibri" w:hAnsi="Times New Roman" w:cs="Times New Roman"/>
    </w:rPr>
  </w:style>
  <w:style w:type="paragraph" w:customStyle="1" w:styleId="RBUBullets">
    <w:name w:val="RBU Bullets"/>
    <w:basedOn w:val="Normal"/>
    <w:link w:val="RBUBulletsChar"/>
    <w:rsid w:val="00883DE7"/>
    <w:pPr>
      <w:widowControl/>
      <w:autoSpaceDE/>
      <w:autoSpaceDN/>
      <w:spacing w:after="120"/>
      <w:jc w:val="both"/>
    </w:pPr>
    <w:rPr>
      <w:rFonts w:ascii="Times New Roman" w:eastAsia="Calibri" w:hAnsi="Times New Roman" w:cs="Times New Roman"/>
    </w:rPr>
  </w:style>
  <w:style w:type="character" w:customStyle="1" w:styleId="RBUBulletsChar">
    <w:name w:val="RBU Bullets Char"/>
    <w:basedOn w:val="DefaultParagraphFont"/>
    <w:link w:val="RBUBullets"/>
    <w:rsid w:val="00883DE7"/>
    <w:rPr>
      <w:rFonts w:ascii="Times New Roman" w:eastAsia="Calibri" w:hAnsi="Times New Roman" w:cs="Times New Roman"/>
    </w:rPr>
  </w:style>
  <w:style w:type="character" w:styleId="SubtleReference">
    <w:name w:val="Subtle Reference"/>
    <w:basedOn w:val="DefaultParagraphFont"/>
    <w:uiPriority w:val="31"/>
    <w:qFormat/>
    <w:rsid w:val="005106AC"/>
    <w:rPr>
      <w:smallCaps/>
      <w:color w:val="5A5A5A" w:themeColor="text1" w:themeTint="A5"/>
    </w:rPr>
  </w:style>
  <w:style w:type="character" w:styleId="Strong">
    <w:name w:val="Strong"/>
    <w:basedOn w:val="DefaultParagraphFont"/>
    <w:uiPriority w:val="22"/>
    <w:qFormat/>
    <w:rsid w:val="004B5147"/>
    <w:rPr>
      <w:b/>
      <w:bCs/>
    </w:rPr>
  </w:style>
  <w:style w:type="paragraph" w:styleId="NormalWeb">
    <w:name w:val="Normal (Web)"/>
    <w:basedOn w:val="Normal"/>
    <w:uiPriority w:val="99"/>
    <w:unhideWhenUsed/>
    <w:rsid w:val="00183EC3"/>
    <w:pPr>
      <w:widowControl/>
      <w:autoSpaceDE/>
      <w:autoSpaceDN/>
    </w:pPr>
    <w:rPr>
      <w:rFonts w:asciiTheme="minorHAnsi" w:hAnsiTheme="minorHAnsi"/>
      <w:szCs w:val="24"/>
    </w:rPr>
  </w:style>
  <w:style w:type="paragraph" w:customStyle="1" w:styleId="pf0">
    <w:name w:val="pf0"/>
    <w:basedOn w:val="Normal"/>
    <w:rsid w:val="00FF20A5"/>
    <w:pPr>
      <w:widowControl/>
      <w:autoSpaceDE/>
      <w:autoSpaceDN/>
      <w:spacing w:before="100" w:beforeAutospacing="1" w:after="100" w:afterAutospacing="1"/>
      <w:ind w:left="300"/>
    </w:pPr>
    <w:rPr>
      <w:rFonts w:ascii="Times New Roman" w:eastAsia="Times New Roman" w:hAnsi="Times New Roman" w:cs="Times New Roman"/>
      <w:szCs w:val="24"/>
    </w:rPr>
  </w:style>
  <w:style w:type="character" w:customStyle="1" w:styleId="cf01">
    <w:name w:val="cf01"/>
    <w:basedOn w:val="DefaultParagraphFont"/>
    <w:rsid w:val="00FF20A5"/>
    <w:rPr>
      <w:rFonts w:ascii="Segoe UI" w:hAnsi="Segoe UI" w:cs="Segoe UI" w:hint="default"/>
      <w:sz w:val="18"/>
      <w:szCs w:val="18"/>
    </w:rPr>
  </w:style>
  <w:style w:type="character" w:styleId="FollowedHyperlink">
    <w:name w:val="FollowedHyperlink"/>
    <w:basedOn w:val="DefaultParagraphFont"/>
    <w:uiPriority w:val="99"/>
    <w:semiHidden/>
    <w:unhideWhenUsed/>
    <w:rsid w:val="00055461"/>
    <w:rPr>
      <w:color w:val="800080" w:themeColor="followedHyperlink"/>
      <w:u w:val="single"/>
    </w:rPr>
  </w:style>
  <w:style w:type="character" w:styleId="Mention">
    <w:name w:val="Mention"/>
    <w:basedOn w:val="DefaultParagraphFont"/>
    <w:uiPriority w:val="99"/>
    <w:unhideWhenUsed/>
    <w:rsid w:val="006D4C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605">
      <w:bodyDiv w:val="1"/>
      <w:marLeft w:val="0"/>
      <w:marRight w:val="0"/>
      <w:marTop w:val="0"/>
      <w:marBottom w:val="0"/>
      <w:divBdr>
        <w:top w:val="none" w:sz="0" w:space="0" w:color="auto"/>
        <w:left w:val="none" w:sz="0" w:space="0" w:color="auto"/>
        <w:bottom w:val="none" w:sz="0" w:space="0" w:color="auto"/>
        <w:right w:val="none" w:sz="0" w:space="0" w:color="auto"/>
      </w:divBdr>
    </w:div>
    <w:div w:id="47539714">
      <w:bodyDiv w:val="1"/>
      <w:marLeft w:val="0"/>
      <w:marRight w:val="0"/>
      <w:marTop w:val="0"/>
      <w:marBottom w:val="0"/>
      <w:divBdr>
        <w:top w:val="none" w:sz="0" w:space="0" w:color="auto"/>
        <w:left w:val="none" w:sz="0" w:space="0" w:color="auto"/>
        <w:bottom w:val="none" w:sz="0" w:space="0" w:color="auto"/>
        <w:right w:val="none" w:sz="0" w:space="0" w:color="auto"/>
      </w:divBdr>
    </w:div>
    <w:div w:id="63649101">
      <w:bodyDiv w:val="1"/>
      <w:marLeft w:val="0"/>
      <w:marRight w:val="0"/>
      <w:marTop w:val="0"/>
      <w:marBottom w:val="0"/>
      <w:divBdr>
        <w:top w:val="none" w:sz="0" w:space="0" w:color="auto"/>
        <w:left w:val="none" w:sz="0" w:space="0" w:color="auto"/>
        <w:bottom w:val="none" w:sz="0" w:space="0" w:color="auto"/>
        <w:right w:val="none" w:sz="0" w:space="0" w:color="auto"/>
      </w:divBdr>
    </w:div>
    <w:div w:id="98264051">
      <w:bodyDiv w:val="1"/>
      <w:marLeft w:val="0"/>
      <w:marRight w:val="0"/>
      <w:marTop w:val="0"/>
      <w:marBottom w:val="0"/>
      <w:divBdr>
        <w:top w:val="none" w:sz="0" w:space="0" w:color="auto"/>
        <w:left w:val="none" w:sz="0" w:space="0" w:color="auto"/>
        <w:bottom w:val="none" w:sz="0" w:space="0" w:color="auto"/>
        <w:right w:val="none" w:sz="0" w:space="0" w:color="auto"/>
      </w:divBdr>
    </w:div>
    <w:div w:id="101606768">
      <w:bodyDiv w:val="1"/>
      <w:marLeft w:val="0"/>
      <w:marRight w:val="0"/>
      <w:marTop w:val="0"/>
      <w:marBottom w:val="0"/>
      <w:divBdr>
        <w:top w:val="none" w:sz="0" w:space="0" w:color="auto"/>
        <w:left w:val="none" w:sz="0" w:space="0" w:color="auto"/>
        <w:bottom w:val="none" w:sz="0" w:space="0" w:color="auto"/>
        <w:right w:val="none" w:sz="0" w:space="0" w:color="auto"/>
      </w:divBdr>
      <w:divsChild>
        <w:div w:id="156699436">
          <w:marLeft w:val="0"/>
          <w:marRight w:val="0"/>
          <w:marTop w:val="0"/>
          <w:marBottom w:val="0"/>
          <w:divBdr>
            <w:top w:val="none" w:sz="0" w:space="0" w:color="auto"/>
            <w:left w:val="none" w:sz="0" w:space="0" w:color="auto"/>
            <w:bottom w:val="none" w:sz="0" w:space="0" w:color="auto"/>
            <w:right w:val="none" w:sz="0" w:space="0" w:color="auto"/>
          </w:divBdr>
        </w:div>
        <w:div w:id="175120705">
          <w:marLeft w:val="0"/>
          <w:marRight w:val="0"/>
          <w:marTop w:val="0"/>
          <w:marBottom w:val="0"/>
          <w:divBdr>
            <w:top w:val="none" w:sz="0" w:space="0" w:color="auto"/>
            <w:left w:val="none" w:sz="0" w:space="0" w:color="auto"/>
            <w:bottom w:val="none" w:sz="0" w:space="0" w:color="auto"/>
            <w:right w:val="none" w:sz="0" w:space="0" w:color="auto"/>
          </w:divBdr>
        </w:div>
        <w:div w:id="455298864">
          <w:marLeft w:val="0"/>
          <w:marRight w:val="0"/>
          <w:marTop w:val="0"/>
          <w:marBottom w:val="0"/>
          <w:divBdr>
            <w:top w:val="none" w:sz="0" w:space="0" w:color="auto"/>
            <w:left w:val="none" w:sz="0" w:space="0" w:color="auto"/>
            <w:bottom w:val="none" w:sz="0" w:space="0" w:color="auto"/>
            <w:right w:val="none" w:sz="0" w:space="0" w:color="auto"/>
          </w:divBdr>
        </w:div>
        <w:div w:id="481429356">
          <w:marLeft w:val="0"/>
          <w:marRight w:val="0"/>
          <w:marTop w:val="0"/>
          <w:marBottom w:val="0"/>
          <w:divBdr>
            <w:top w:val="none" w:sz="0" w:space="0" w:color="auto"/>
            <w:left w:val="none" w:sz="0" w:space="0" w:color="auto"/>
            <w:bottom w:val="none" w:sz="0" w:space="0" w:color="auto"/>
            <w:right w:val="none" w:sz="0" w:space="0" w:color="auto"/>
          </w:divBdr>
        </w:div>
        <w:div w:id="565997994">
          <w:marLeft w:val="0"/>
          <w:marRight w:val="0"/>
          <w:marTop w:val="0"/>
          <w:marBottom w:val="0"/>
          <w:divBdr>
            <w:top w:val="none" w:sz="0" w:space="0" w:color="auto"/>
            <w:left w:val="none" w:sz="0" w:space="0" w:color="auto"/>
            <w:bottom w:val="none" w:sz="0" w:space="0" w:color="auto"/>
            <w:right w:val="none" w:sz="0" w:space="0" w:color="auto"/>
          </w:divBdr>
        </w:div>
        <w:div w:id="652873297">
          <w:marLeft w:val="0"/>
          <w:marRight w:val="0"/>
          <w:marTop w:val="0"/>
          <w:marBottom w:val="0"/>
          <w:divBdr>
            <w:top w:val="none" w:sz="0" w:space="0" w:color="auto"/>
            <w:left w:val="none" w:sz="0" w:space="0" w:color="auto"/>
            <w:bottom w:val="none" w:sz="0" w:space="0" w:color="auto"/>
            <w:right w:val="none" w:sz="0" w:space="0" w:color="auto"/>
          </w:divBdr>
        </w:div>
        <w:div w:id="665325070">
          <w:marLeft w:val="0"/>
          <w:marRight w:val="0"/>
          <w:marTop w:val="0"/>
          <w:marBottom w:val="0"/>
          <w:divBdr>
            <w:top w:val="none" w:sz="0" w:space="0" w:color="auto"/>
            <w:left w:val="none" w:sz="0" w:space="0" w:color="auto"/>
            <w:bottom w:val="none" w:sz="0" w:space="0" w:color="auto"/>
            <w:right w:val="none" w:sz="0" w:space="0" w:color="auto"/>
          </w:divBdr>
        </w:div>
        <w:div w:id="815610102">
          <w:marLeft w:val="0"/>
          <w:marRight w:val="0"/>
          <w:marTop w:val="0"/>
          <w:marBottom w:val="0"/>
          <w:divBdr>
            <w:top w:val="none" w:sz="0" w:space="0" w:color="auto"/>
            <w:left w:val="none" w:sz="0" w:space="0" w:color="auto"/>
            <w:bottom w:val="none" w:sz="0" w:space="0" w:color="auto"/>
            <w:right w:val="none" w:sz="0" w:space="0" w:color="auto"/>
          </w:divBdr>
        </w:div>
        <w:div w:id="1046493702">
          <w:marLeft w:val="0"/>
          <w:marRight w:val="0"/>
          <w:marTop w:val="0"/>
          <w:marBottom w:val="0"/>
          <w:divBdr>
            <w:top w:val="none" w:sz="0" w:space="0" w:color="auto"/>
            <w:left w:val="none" w:sz="0" w:space="0" w:color="auto"/>
            <w:bottom w:val="none" w:sz="0" w:space="0" w:color="auto"/>
            <w:right w:val="none" w:sz="0" w:space="0" w:color="auto"/>
          </w:divBdr>
        </w:div>
        <w:div w:id="1077897794">
          <w:marLeft w:val="0"/>
          <w:marRight w:val="0"/>
          <w:marTop w:val="0"/>
          <w:marBottom w:val="0"/>
          <w:divBdr>
            <w:top w:val="none" w:sz="0" w:space="0" w:color="auto"/>
            <w:left w:val="none" w:sz="0" w:space="0" w:color="auto"/>
            <w:bottom w:val="none" w:sz="0" w:space="0" w:color="auto"/>
            <w:right w:val="none" w:sz="0" w:space="0" w:color="auto"/>
          </w:divBdr>
        </w:div>
        <w:div w:id="1281494196">
          <w:marLeft w:val="0"/>
          <w:marRight w:val="0"/>
          <w:marTop w:val="0"/>
          <w:marBottom w:val="0"/>
          <w:divBdr>
            <w:top w:val="none" w:sz="0" w:space="0" w:color="auto"/>
            <w:left w:val="none" w:sz="0" w:space="0" w:color="auto"/>
            <w:bottom w:val="none" w:sz="0" w:space="0" w:color="auto"/>
            <w:right w:val="none" w:sz="0" w:space="0" w:color="auto"/>
          </w:divBdr>
        </w:div>
        <w:div w:id="1297955044">
          <w:marLeft w:val="0"/>
          <w:marRight w:val="0"/>
          <w:marTop w:val="0"/>
          <w:marBottom w:val="0"/>
          <w:divBdr>
            <w:top w:val="none" w:sz="0" w:space="0" w:color="auto"/>
            <w:left w:val="none" w:sz="0" w:space="0" w:color="auto"/>
            <w:bottom w:val="none" w:sz="0" w:space="0" w:color="auto"/>
            <w:right w:val="none" w:sz="0" w:space="0" w:color="auto"/>
          </w:divBdr>
        </w:div>
        <w:div w:id="1319308684">
          <w:marLeft w:val="0"/>
          <w:marRight w:val="0"/>
          <w:marTop w:val="0"/>
          <w:marBottom w:val="0"/>
          <w:divBdr>
            <w:top w:val="none" w:sz="0" w:space="0" w:color="auto"/>
            <w:left w:val="none" w:sz="0" w:space="0" w:color="auto"/>
            <w:bottom w:val="none" w:sz="0" w:space="0" w:color="auto"/>
            <w:right w:val="none" w:sz="0" w:space="0" w:color="auto"/>
          </w:divBdr>
        </w:div>
        <w:div w:id="1384408682">
          <w:marLeft w:val="0"/>
          <w:marRight w:val="0"/>
          <w:marTop w:val="0"/>
          <w:marBottom w:val="0"/>
          <w:divBdr>
            <w:top w:val="none" w:sz="0" w:space="0" w:color="auto"/>
            <w:left w:val="none" w:sz="0" w:space="0" w:color="auto"/>
            <w:bottom w:val="none" w:sz="0" w:space="0" w:color="auto"/>
            <w:right w:val="none" w:sz="0" w:space="0" w:color="auto"/>
          </w:divBdr>
        </w:div>
        <w:div w:id="1554388401">
          <w:marLeft w:val="0"/>
          <w:marRight w:val="0"/>
          <w:marTop w:val="0"/>
          <w:marBottom w:val="0"/>
          <w:divBdr>
            <w:top w:val="none" w:sz="0" w:space="0" w:color="auto"/>
            <w:left w:val="none" w:sz="0" w:space="0" w:color="auto"/>
            <w:bottom w:val="none" w:sz="0" w:space="0" w:color="auto"/>
            <w:right w:val="none" w:sz="0" w:space="0" w:color="auto"/>
          </w:divBdr>
        </w:div>
        <w:div w:id="1985817203">
          <w:marLeft w:val="0"/>
          <w:marRight w:val="0"/>
          <w:marTop w:val="0"/>
          <w:marBottom w:val="0"/>
          <w:divBdr>
            <w:top w:val="none" w:sz="0" w:space="0" w:color="auto"/>
            <w:left w:val="none" w:sz="0" w:space="0" w:color="auto"/>
            <w:bottom w:val="none" w:sz="0" w:space="0" w:color="auto"/>
            <w:right w:val="none" w:sz="0" w:space="0" w:color="auto"/>
          </w:divBdr>
        </w:div>
      </w:divsChild>
    </w:div>
    <w:div w:id="200173129">
      <w:bodyDiv w:val="1"/>
      <w:marLeft w:val="0"/>
      <w:marRight w:val="0"/>
      <w:marTop w:val="0"/>
      <w:marBottom w:val="0"/>
      <w:divBdr>
        <w:top w:val="none" w:sz="0" w:space="0" w:color="auto"/>
        <w:left w:val="none" w:sz="0" w:space="0" w:color="auto"/>
        <w:bottom w:val="none" w:sz="0" w:space="0" w:color="auto"/>
        <w:right w:val="none" w:sz="0" w:space="0" w:color="auto"/>
      </w:divBdr>
    </w:div>
    <w:div w:id="303314932">
      <w:bodyDiv w:val="1"/>
      <w:marLeft w:val="0"/>
      <w:marRight w:val="0"/>
      <w:marTop w:val="0"/>
      <w:marBottom w:val="0"/>
      <w:divBdr>
        <w:top w:val="none" w:sz="0" w:space="0" w:color="auto"/>
        <w:left w:val="none" w:sz="0" w:space="0" w:color="auto"/>
        <w:bottom w:val="none" w:sz="0" w:space="0" w:color="auto"/>
        <w:right w:val="none" w:sz="0" w:space="0" w:color="auto"/>
      </w:divBdr>
    </w:div>
    <w:div w:id="344091131">
      <w:bodyDiv w:val="1"/>
      <w:marLeft w:val="0"/>
      <w:marRight w:val="0"/>
      <w:marTop w:val="0"/>
      <w:marBottom w:val="0"/>
      <w:divBdr>
        <w:top w:val="none" w:sz="0" w:space="0" w:color="auto"/>
        <w:left w:val="none" w:sz="0" w:space="0" w:color="auto"/>
        <w:bottom w:val="none" w:sz="0" w:space="0" w:color="auto"/>
        <w:right w:val="none" w:sz="0" w:space="0" w:color="auto"/>
      </w:divBdr>
    </w:div>
    <w:div w:id="384262109">
      <w:bodyDiv w:val="1"/>
      <w:marLeft w:val="0"/>
      <w:marRight w:val="0"/>
      <w:marTop w:val="0"/>
      <w:marBottom w:val="0"/>
      <w:divBdr>
        <w:top w:val="none" w:sz="0" w:space="0" w:color="auto"/>
        <w:left w:val="none" w:sz="0" w:space="0" w:color="auto"/>
        <w:bottom w:val="none" w:sz="0" w:space="0" w:color="auto"/>
        <w:right w:val="none" w:sz="0" w:space="0" w:color="auto"/>
      </w:divBdr>
    </w:div>
    <w:div w:id="434403283">
      <w:bodyDiv w:val="1"/>
      <w:marLeft w:val="0"/>
      <w:marRight w:val="0"/>
      <w:marTop w:val="0"/>
      <w:marBottom w:val="0"/>
      <w:divBdr>
        <w:top w:val="none" w:sz="0" w:space="0" w:color="auto"/>
        <w:left w:val="none" w:sz="0" w:space="0" w:color="auto"/>
        <w:bottom w:val="none" w:sz="0" w:space="0" w:color="auto"/>
        <w:right w:val="none" w:sz="0" w:space="0" w:color="auto"/>
      </w:divBdr>
      <w:divsChild>
        <w:div w:id="30882353">
          <w:marLeft w:val="0"/>
          <w:marRight w:val="0"/>
          <w:marTop w:val="0"/>
          <w:marBottom w:val="0"/>
          <w:divBdr>
            <w:top w:val="none" w:sz="0" w:space="0" w:color="auto"/>
            <w:left w:val="none" w:sz="0" w:space="0" w:color="auto"/>
            <w:bottom w:val="none" w:sz="0" w:space="0" w:color="auto"/>
            <w:right w:val="none" w:sz="0" w:space="0" w:color="auto"/>
          </w:divBdr>
        </w:div>
        <w:div w:id="361981767">
          <w:marLeft w:val="0"/>
          <w:marRight w:val="0"/>
          <w:marTop w:val="0"/>
          <w:marBottom w:val="0"/>
          <w:divBdr>
            <w:top w:val="none" w:sz="0" w:space="0" w:color="auto"/>
            <w:left w:val="none" w:sz="0" w:space="0" w:color="auto"/>
            <w:bottom w:val="none" w:sz="0" w:space="0" w:color="auto"/>
            <w:right w:val="none" w:sz="0" w:space="0" w:color="auto"/>
          </w:divBdr>
        </w:div>
        <w:div w:id="454108118">
          <w:marLeft w:val="0"/>
          <w:marRight w:val="0"/>
          <w:marTop w:val="0"/>
          <w:marBottom w:val="0"/>
          <w:divBdr>
            <w:top w:val="none" w:sz="0" w:space="0" w:color="auto"/>
            <w:left w:val="none" w:sz="0" w:space="0" w:color="auto"/>
            <w:bottom w:val="none" w:sz="0" w:space="0" w:color="auto"/>
            <w:right w:val="none" w:sz="0" w:space="0" w:color="auto"/>
          </w:divBdr>
        </w:div>
        <w:div w:id="574517068">
          <w:marLeft w:val="0"/>
          <w:marRight w:val="0"/>
          <w:marTop w:val="0"/>
          <w:marBottom w:val="0"/>
          <w:divBdr>
            <w:top w:val="none" w:sz="0" w:space="0" w:color="auto"/>
            <w:left w:val="none" w:sz="0" w:space="0" w:color="auto"/>
            <w:bottom w:val="none" w:sz="0" w:space="0" w:color="auto"/>
            <w:right w:val="none" w:sz="0" w:space="0" w:color="auto"/>
          </w:divBdr>
        </w:div>
        <w:div w:id="644163470">
          <w:marLeft w:val="0"/>
          <w:marRight w:val="0"/>
          <w:marTop w:val="0"/>
          <w:marBottom w:val="0"/>
          <w:divBdr>
            <w:top w:val="none" w:sz="0" w:space="0" w:color="auto"/>
            <w:left w:val="none" w:sz="0" w:space="0" w:color="auto"/>
            <w:bottom w:val="none" w:sz="0" w:space="0" w:color="auto"/>
            <w:right w:val="none" w:sz="0" w:space="0" w:color="auto"/>
          </w:divBdr>
        </w:div>
        <w:div w:id="664666793">
          <w:marLeft w:val="0"/>
          <w:marRight w:val="0"/>
          <w:marTop w:val="0"/>
          <w:marBottom w:val="0"/>
          <w:divBdr>
            <w:top w:val="none" w:sz="0" w:space="0" w:color="auto"/>
            <w:left w:val="none" w:sz="0" w:space="0" w:color="auto"/>
            <w:bottom w:val="none" w:sz="0" w:space="0" w:color="auto"/>
            <w:right w:val="none" w:sz="0" w:space="0" w:color="auto"/>
          </w:divBdr>
        </w:div>
        <w:div w:id="1303927640">
          <w:marLeft w:val="0"/>
          <w:marRight w:val="0"/>
          <w:marTop w:val="0"/>
          <w:marBottom w:val="0"/>
          <w:divBdr>
            <w:top w:val="none" w:sz="0" w:space="0" w:color="auto"/>
            <w:left w:val="none" w:sz="0" w:space="0" w:color="auto"/>
            <w:bottom w:val="none" w:sz="0" w:space="0" w:color="auto"/>
            <w:right w:val="none" w:sz="0" w:space="0" w:color="auto"/>
          </w:divBdr>
        </w:div>
        <w:div w:id="1436292188">
          <w:marLeft w:val="0"/>
          <w:marRight w:val="0"/>
          <w:marTop w:val="0"/>
          <w:marBottom w:val="0"/>
          <w:divBdr>
            <w:top w:val="none" w:sz="0" w:space="0" w:color="auto"/>
            <w:left w:val="none" w:sz="0" w:space="0" w:color="auto"/>
            <w:bottom w:val="none" w:sz="0" w:space="0" w:color="auto"/>
            <w:right w:val="none" w:sz="0" w:space="0" w:color="auto"/>
          </w:divBdr>
        </w:div>
        <w:div w:id="1493910695">
          <w:marLeft w:val="0"/>
          <w:marRight w:val="0"/>
          <w:marTop w:val="0"/>
          <w:marBottom w:val="0"/>
          <w:divBdr>
            <w:top w:val="none" w:sz="0" w:space="0" w:color="auto"/>
            <w:left w:val="none" w:sz="0" w:space="0" w:color="auto"/>
            <w:bottom w:val="none" w:sz="0" w:space="0" w:color="auto"/>
            <w:right w:val="none" w:sz="0" w:space="0" w:color="auto"/>
          </w:divBdr>
        </w:div>
        <w:div w:id="1551721089">
          <w:marLeft w:val="0"/>
          <w:marRight w:val="0"/>
          <w:marTop w:val="0"/>
          <w:marBottom w:val="0"/>
          <w:divBdr>
            <w:top w:val="none" w:sz="0" w:space="0" w:color="auto"/>
            <w:left w:val="none" w:sz="0" w:space="0" w:color="auto"/>
            <w:bottom w:val="none" w:sz="0" w:space="0" w:color="auto"/>
            <w:right w:val="none" w:sz="0" w:space="0" w:color="auto"/>
          </w:divBdr>
        </w:div>
        <w:div w:id="1637837123">
          <w:marLeft w:val="0"/>
          <w:marRight w:val="0"/>
          <w:marTop w:val="0"/>
          <w:marBottom w:val="0"/>
          <w:divBdr>
            <w:top w:val="none" w:sz="0" w:space="0" w:color="auto"/>
            <w:left w:val="none" w:sz="0" w:space="0" w:color="auto"/>
            <w:bottom w:val="none" w:sz="0" w:space="0" w:color="auto"/>
            <w:right w:val="none" w:sz="0" w:space="0" w:color="auto"/>
          </w:divBdr>
        </w:div>
        <w:div w:id="1730960257">
          <w:marLeft w:val="0"/>
          <w:marRight w:val="0"/>
          <w:marTop w:val="0"/>
          <w:marBottom w:val="0"/>
          <w:divBdr>
            <w:top w:val="none" w:sz="0" w:space="0" w:color="auto"/>
            <w:left w:val="none" w:sz="0" w:space="0" w:color="auto"/>
            <w:bottom w:val="none" w:sz="0" w:space="0" w:color="auto"/>
            <w:right w:val="none" w:sz="0" w:space="0" w:color="auto"/>
          </w:divBdr>
        </w:div>
        <w:div w:id="1743017833">
          <w:marLeft w:val="0"/>
          <w:marRight w:val="0"/>
          <w:marTop w:val="0"/>
          <w:marBottom w:val="0"/>
          <w:divBdr>
            <w:top w:val="none" w:sz="0" w:space="0" w:color="auto"/>
            <w:left w:val="none" w:sz="0" w:space="0" w:color="auto"/>
            <w:bottom w:val="none" w:sz="0" w:space="0" w:color="auto"/>
            <w:right w:val="none" w:sz="0" w:space="0" w:color="auto"/>
          </w:divBdr>
        </w:div>
        <w:div w:id="1864898225">
          <w:marLeft w:val="0"/>
          <w:marRight w:val="0"/>
          <w:marTop w:val="0"/>
          <w:marBottom w:val="0"/>
          <w:divBdr>
            <w:top w:val="none" w:sz="0" w:space="0" w:color="auto"/>
            <w:left w:val="none" w:sz="0" w:space="0" w:color="auto"/>
            <w:bottom w:val="none" w:sz="0" w:space="0" w:color="auto"/>
            <w:right w:val="none" w:sz="0" w:space="0" w:color="auto"/>
          </w:divBdr>
        </w:div>
        <w:div w:id="1867793641">
          <w:marLeft w:val="0"/>
          <w:marRight w:val="0"/>
          <w:marTop w:val="0"/>
          <w:marBottom w:val="0"/>
          <w:divBdr>
            <w:top w:val="none" w:sz="0" w:space="0" w:color="auto"/>
            <w:left w:val="none" w:sz="0" w:space="0" w:color="auto"/>
            <w:bottom w:val="none" w:sz="0" w:space="0" w:color="auto"/>
            <w:right w:val="none" w:sz="0" w:space="0" w:color="auto"/>
          </w:divBdr>
        </w:div>
        <w:div w:id="2032871276">
          <w:marLeft w:val="0"/>
          <w:marRight w:val="0"/>
          <w:marTop w:val="0"/>
          <w:marBottom w:val="0"/>
          <w:divBdr>
            <w:top w:val="none" w:sz="0" w:space="0" w:color="auto"/>
            <w:left w:val="none" w:sz="0" w:space="0" w:color="auto"/>
            <w:bottom w:val="none" w:sz="0" w:space="0" w:color="auto"/>
            <w:right w:val="none" w:sz="0" w:space="0" w:color="auto"/>
          </w:divBdr>
        </w:div>
      </w:divsChild>
    </w:div>
    <w:div w:id="438451908">
      <w:bodyDiv w:val="1"/>
      <w:marLeft w:val="0"/>
      <w:marRight w:val="0"/>
      <w:marTop w:val="0"/>
      <w:marBottom w:val="0"/>
      <w:divBdr>
        <w:top w:val="none" w:sz="0" w:space="0" w:color="auto"/>
        <w:left w:val="none" w:sz="0" w:space="0" w:color="auto"/>
        <w:bottom w:val="none" w:sz="0" w:space="0" w:color="auto"/>
        <w:right w:val="none" w:sz="0" w:space="0" w:color="auto"/>
      </w:divBdr>
    </w:div>
    <w:div w:id="441649282">
      <w:bodyDiv w:val="1"/>
      <w:marLeft w:val="0"/>
      <w:marRight w:val="0"/>
      <w:marTop w:val="0"/>
      <w:marBottom w:val="0"/>
      <w:divBdr>
        <w:top w:val="none" w:sz="0" w:space="0" w:color="auto"/>
        <w:left w:val="none" w:sz="0" w:space="0" w:color="auto"/>
        <w:bottom w:val="none" w:sz="0" w:space="0" w:color="auto"/>
        <w:right w:val="none" w:sz="0" w:space="0" w:color="auto"/>
      </w:divBdr>
      <w:divsChild>
        <w:div w:id="5639989">
          <w:marLeft w:val="0"/>
          <w:marRight w:val="0"/>
          <w:marTop w:val="0"/>
          <w:marBottom w:val="0"/>
          <w:divBdr>
            <w:top w:val="none" w:sz="0" w:space="0" w:color="auto"/>
            <w:left w:val="none" w:sz="0" w:space="0" w:color="auto"/>
            <w:bottom w:val="none" w:sz="0" w:space="0" w:color="auto"/>
            <w:right w:val="none" w:sz="0" w:space="0" w:color="auto"/>
          </w:divBdr>
        </w:div>
        <w:div w:id="117917444">
          <w:marLeft w:val="0"/>
          <w:marRight w:val="0"/>
          <w:marTop w:val="0"/>
          <w:marBottom w:val="0"/>
          <w:divBdr>
            <w:top w:val="none" w:sz="0" w:space="0" w:color="auto"/>
            <w:left w:val="none" w:sz="0" w:space="0" w:color="auto"/>
            <w:bottom w:val="none" w:sz="0" w:space="0" w:color="auto"/>
            <w:right w:val="none" w:sz="0" w:space="0" w:color="auto"/>
          </w:divBdr>
        </w:div>
        <w:div w:id="190723725">
          <w:marLeft w:val="0"/>
          <w:marRight w:val="0"/>
          <w:marTop w:val="0"/>
          <w:marBottom w:val="0"/>
          <w:divBdr>
            <w:top w:val="none" w:sz="0" w:space="0" w:color="auto"/>
            <w:left w:val="none" w:sz="0" w:space="0" w:color="auto"/>
            <w:bottom w:val="none" w:sz="0" w:space="0" w:color="auto"/>
            <w:right w:val="none" w:sz="0" w:space="0" w:color="auto"/>
          </w:divBdr>
        </w:div>
        <w:div w:id="234170737">
          <w:marLeft w:val="0"/>
          <w:marRight w:val="0"/>
          <w:marTop w:val="0"/>
          <w:marBottom w:val="0"/>
          <w:divBdr>
            <w:top w:val="none" w:sz="0" w:space="0" w:color="auto"/>
            <w:left w:val="none" w:sz="0" w:space="0" w:color="auto"/>
            <w:bottom w:val="none" w:sz="0" w:space="0" w:color="auto"/>
            <w:right w:val="none" w:sz="0" w:space="0" w:color="auto"/>
          </w:divBdr>
        </w:div>
        <w:div w:id="277420401">
          <w:marLeft w:val="0"/>
          <w:marRight w:val="0"/>
          <w:marTop w:val="0"/>
          <w:marBottom w:val="0"/>
          <w:divBdr>
            <w:top w:val="none" w:sz="0" w:space="0" w:color="auto"/>
            <w:left w:val="none" w:sz="0" w:space="0" w:color="auto"/>
            <w:bottom w:val="none" w:sz="0" w:space="0" w:color="auto"/>
            <w:right w:val="none" w:sz="0" w:space="0" w:color="auto"/>
          </w:divBdr>
        </w:div>
        <w:div w:id="316494804">
          <w:marLeft w:val="0"/>
          <w:marRight w:val="0"/>
          <w:marTop w:val="0"/>
          <w:marBottom w:val="0"/>
          <w:divBdr>
            <w:top w:val="none" w:sz="0" w:space="0" w:color="auto"/>
            <w:left w:val="none" w:sz="0" w:space="0" w:color="auto"/>
            <w:bottom w:val="none" w:sz="0" w:space="0" w:color="auto"/>
            <w:right w:val="none" w:sz="0" w:space="0" w:color="auto"/>
          </w:divBdr>
        </w:div>
        <w:div w:id="501897098">
          <w:marLeft w:val="0"/>
          <w:marRight w:val="0"/>
          <w:marTop w:val="0"/>
          <w:marBottom w:val="0"/>
          <w:divBdr>
            <w:top w:val="none" w:sz="0" w:space="0" w:color="auto"/>
            <w:left w:val="none" w:sz="0" w:space="0" w:color="auto"/>
            <w:bottom w:val="none" w:sz="0" w:space="0" w:color="auto"/>
            <w:right w:val="none" w:sz="0" w:space="0" w:color="auto"/>
          </w:divBdr>
        </w:div>
        <w:div w:id="591862096">
          <w:marLeft w:val="0"/>
          <w:marRight w:val="0"/>
          <w:marTop w:val="0"/>
          <w:marBottom w:val="0"/>
          <w:divBdr>
            <w:top w:val="none" w:sz="0" w:space="0" w:color="auto"/>
            <w:left w:val="none" w:sz="0" w:space="0" w:color="auto"/>
            <w:bottom w:val="none" w:sz="0" w:space="0" w:color="auto"/>
            <w:right w:val="none" w:sz="0" w:space="0" w:color="auto"/>
          </w:divBdr>
        </w:div>
        <w:div w:id="599071590">
          <w:marLeft w:val="0"/>
          <w:marRight w:val="0"/>
          <w:marTop w:val="0"/>
          <w:marBottom w:val="0"/>
          <w:divBdr>
            <w:top w:val="none" w:sz="0" w:space="0" w:color="auto"/>
            <w:left w:val="none" w:sz="0" w:space="0" w:color="auto"/>
            <w:bottom w:val="none" w:sz="0" w:space="0" w:color="auto"/>
            <w:right w:val="none" w:sz="0" w:space="0" w:color="auto"/>
          </w:divBdr>
        </w:div>
        <w:div w:id="656416821">
          <w:marLeft w:val="0"/>
          <w:marRight w:val="0"/>
          <w:marTop w:val="0"/>
          <w:marBottom w:val="0"/>
          <w:divBdr>
            <w:top w:val="none" w:sz="0" w:space="0" w:color="auto"/>
            <w:left w:val="none" w:sz="0" w:space="0" w:color="auto"/>
            <w:bottom w:val="none" w:sz="0" w:space="0" w:color="auto"/>
            <w:right w:val="none" w:sz="0" w:space="0" w:color="auto"/>
          </w:divBdr>
        </w:div>
        <w:div w:id="725033411">
          <w:marLeft w:val="0"/>
          <w:marRight w:val="0"/>
          <w:marTop w:val="0"/>
          <w:marBottom w:val="0"/>
          <w:divBdr>
            <w:top w:val="none" w:sz="0" w:space="0" w:color="auto"/>
            <w:left w:val="none" w:sz="0" w:space="0" w:color="auto"/>
            <w:bottom w:val="none" w:sz="0" w:space="0" w:color="auto"/>
            <w:right w:val="none" w:sz="0" w:space="0" w:color="auto"/>
          </w:divBdr>
        </w:div>
        <w:div w:id="727267294">
          <w:marLeft w:val="0"/>
          <w:marRight w:val="0"/>
          <w:marTop w:val="0"/>
          <w:marBottom w:val="0"/>
          <w:divBdr>
            <w:top w:val="none" w:sz="0" w:space="0" w:color="auto"/>
            <w:left w:val="none" w:sz="0" w:space="0" w:color="auto"/>
            <w:bottom w:val="none" w:sz="0" w:space="0" w:color="auto"/>
            <w:right w:val="none" w:sz="0" w:space="0" w:color="auto"/>
          </w:divBdr>
        </w:div>
        <w:div w:id="1229725837">
          <w:marLeft w:val="0"/>
          <w:marRight w:val="0"/>
          <w:marTop w:val="0"/>
          <w:marBottom w:val="0"/>
          <w:divBdr>
            <w:top w:val="none" w:sz="0" w:space="0" w:color="auto"/>
            <w:left w:val="none" w:sz="0" w:space="0" w:color="auto"/>
            <w:bottom w:val="none" w:sz="0" w:space="0" w:color="auto"/>
            <w:right w:val="none" w:sz="0" w:space="0" w:color="auto"/>
          </w:divBdr>
        </w:div>
        <w:div w:id="1418986142">
          <w:marLeft w:val="0"/>
          <w:marRight w:val="0"/>
          <w:marTop w:val="0"/>
          <w:marBottom w:val="0"/>
          <w:divBdr>
            <w:top w:val="none" w:sz="0" w:space="0" w:color="auto"/>
            <w:left w:val="none" w:sz="0" w:space="0" w:color="auto"/>
            <w:bottom w:val="none" w:sz="0" w:space="0" w:color="auto"/>
            <w:right w:val="none" w:sz="0" w:space="0" w:color="auto"/>
          </w:divBdr>
        </w:div>
        <w:div w:id="1439137555">
          <w:marLeft w:val="0"/>
          <w:marRight w:val="0"/>
          <w:marTop w:val="0"/>
          <w:marBottom w:val="0"/>
          <w:divBdr>
            <w:top w:val="none" w:sz="0" w:space="0" w:color="auto"/>
            <w:left w:val="none" w:sz="0" w:space="0" w:color="auto"/>
            <w:bottom w:val="none" w:sz="0" w:space="0" w:color="auto"/>
            <w:right w:val="none" w:sz="0" w:space="0" w:color="auto"/>
          </w:divBdr>
        </w:div>
        <w:div w:id="1496266570">
          <w:marLeft w:val="0"/>
          <w:marRight w:val="0"/>
          <w:marTop w:val="0"/>
          <w:marBottom w:val="0"/>
          <w:divBdr>
            <w:top w:val="none" w:sz="0" w:space="0" w:color="auto"/>
            <w:left w:val="none" w:sz="0" w:space="0" w:color="auto"/>
            <w:bottom w:val="none" w:sz="0" w:space="0" w:color="auto"/>
            <w:right w:val="none" w:sz="0" w:space="0" w:color="auto"/>
          </w:divBdr>
        </w:div>
        <w:div w:id="1500542657">
          <w:marLeft w:val="0"/>
          <w:marRight w:val="0"/>
          <w:marTop w:val="0"/>
          <w:marBottom w:val="0"/>
          <w:divBdr>
            <w:top w:val="none" w:sz="0" w:space="0" w:color="auto"/>
            <w:left w:val="none" w:sz="0" w:space="0" w:color="auto"/>
            <w:bottom w:val="none" w:sz="0" w:space="0" w:color="auto"/>
            <w:right w:val="none" w:sz="0" w:space="0" w:color="auto"/>
          </w:divBdr>
        </w:div>
        <w:div w:id="1675451455">
          <w:marLeft w:val="0"/>
          <w:marRight w:val="0"/>
          <w:marTop w:val="0"/>
          <w:marBottom w:val="0"/>
          <w:divBdr>
            <w:top w:val="none" w:sz="0" w:space="0" w:color="auto"/>
            <w:left w:val="none" w:sz="0" w:space="0" w:color="auto"/>
            <w:bottom w:val="none" w:sz="0" w:space="0" w:color="auto"/>
            <w:right w:val="none" w:sz="0" w:space="0" w:color="auto"/>
          </w:divBdr>
        </w:div>
        <w:div w:id="1713580139">
          <w:marLeft w:val="0"/>
          <w:marRight w:val="0"/>
          <w:marTop w:val="0"/>
          <w:marBottom w:val="0"/>
          <w:divBdr>
            <w:top w:val="none" w:sz="0" w:space="0" w:color="auto"/>
            <w:left w:val="none" w:sz="0" w:space="0" w:color="auto"/>
            <w:bottom w:val="none" w:sz="0" w:space="0" w:color="auto"/>
            <w:right w:val="none" w:sz="0" w:space="0" w:color="auto"/>
          </w:divBdr>
        </w:div>
        <w:div w:id="1943957225">
          <w:marLeft w:val="0"/>
          <w:marRight w:val="0"/>
          <w:marTop w:val="0"/>
          <w:marBottom w:val="0"/>
          <w:divBdr>
            <w:top w:val="none" w:sz="0" w:space="0" w:color="auto"/>
            <w:left w:val="none" w:sz="0" w:space="0" w:color="auto"/>
            <w:bottom w:val="none" w:sz="0" w:space="0" w:color="auto"/>
            <w:right w:val="none" w:sz="0" w:space="0" w:color="auto"/>
          </w:divBdr>
        </w:div>
        <w:div w:id="2077164819">
          <w:marLeft w:val="0"/>
          <w:marRight w:val="0"/>
          <w:marTop w:val="0"/>
          <w:marBottom w:val="0"/>
          <w:divBdr>
            <w:top w:val="none" w:sz="0" w:space="0" w:color="auto"/>
            <w:left w:val="none" w:sz="0" w:space="0" w:color="auto"/>
            <w:bottom w:val="none" w:sz="0" w:space="0" w:color="auto"/>
            <w:right w:val="none" w:sz="0" w:space="0" w:color="auto"/>
          </w:divBdr>
        </w:div>
        <w:div w:id="2123307649">
          <w:marLeft w:val="0"/>
          <w:marRight w:val="0"/>
          <w:marTop w:val="0"/>
          <w:marBottom w:val="0"/>
          <w:divBdr>
            <w:top w:val="none" w:sz="0" w:space="0" w:color="auto"/>
            <w:left w:val="none" w:sz="0" w:space="0" w:color="auto"/>
            <w:bottom w:val="none" w:sz="0" w:space="0" w:color="auto"/>
            <w:right w:val="none" w:sz="0" w:space="0" w:color="auto"/>
          </w:divBdr>
        </w:div>
      </w:divsChild>
    </w:div>
    <w:div w:id="463231644">
      <w:bodyDiv w:val="1"/>
      <w:marLeft w:val="0"/>
      <w:marRight w:val="0"/>
      <w:marTop w:val="0"/>
      <w:marBottom w:val="0"/>
      <w:divBdr>
        <w:top w:val="none" w:sz="0" w:space="0" w:color="auto"/>
        <w:left w:val="none" w:sz="0" w:space="0" w:color="auto"/>
        <w:bottom w:val="none" w:sz="0" w:space="0" w:color="auto"/>
        <w:right w:val="none" w:sz="0" w:space="0" w:color="auto"/>
      </w:divBdr>
    </w:div>
    <w:div w:id="502474683">
      <w:bodyDiv w:val="1"/>
      <w:marLeft w:val="0"/>
      <w:marRight w:val="0"/>
      <w:marTop w:val="0"/>
      <w:marBottom w:val="0"/>
      <w:divBdr>
        <w:top w:val="none" w:sz="0" w:space="0" w:color="auto"/>
        <w:left w:val="none" w:sz="0" w:space="0" w:color="auto"/>
        <w:bottom w:val="none" w:sz="0" w:space="0" w:color="auto"/>
        <w:right w:val="none" w:sz="0" w:space="0" w:color="auto"/>
      </w:divBdr>
    </w:div>
    <w:div w:id="518739299">
      <w:bodyDiv w:val="1"/>
      <w:marLeft w:val="0"/>
      <w:marRight w:val="0"/>
      <w:marTop w:val="0"/>
      <w:marBottom w:val="0"/>
      <w:divBdr>
        <w:top w:val="none" w:sz="0" w:space="0" w:color="auto"/>
        <w:left w:val="none" w:sz="0" w:space="0" w:color="auto"/>
        <w:bottom w:val="none" w:sz="0" w:space="0" w:color="auto"/>
        <w:right w:val="none" w:sz="0" w:space="0" w:color="auto"/>
      </w:divBdr>
    </w:div>
    <w:div w:id="523255398">
      <w:bodyDiv w:val="1"/>
      <w:marLeft w:val="0"/>
      <w:marRight w:val="0"/>
      <w:marTop w:val="0"/>
      <w:marBottom w:val="0"/>
      <w:divBdr>
        <w:top w:val="none" w:sz="0" w:space="0" w:color="auto"/>
        <w:left w:val="none" w:sz="0" w:space="0" w:color="auto"/>
        <w:bottom w:val="none" w:sz="0" w:space="0" w:color="auto"/>
        <w:right w:val="none" w:sz="0" w:space="0" w:color="auto"/>
      </w:divBdr>
    </w:div>
    <w:div w:id="656231406">
      <w:bodyDiv w:val="1"/>
      <w:marLeft w:val="0"/>
      <w:marRight w:val="0"/>
      <w:marTop w:val="0"/>
      <w:marBottom w:val="0"/>
      <w:divBdr>
        <w:top w:val="none" w:sz="0" w:space="0" w:color="auto"/>
        <w:left w:val="none" w:sz="0" w:space="0" w:color="auto"/>
        <w:bottom w:val="none" w:sz="0" w:space="0" w:color="auto"/>
        <w:right w:val="none" w:sz="0" w:space="0" w:color="auto"/>
      </w:divBdr>
    </w:div>
    <w:div w:id="690959724">
      <w:bodyDiv w:val="1"/>
      <w:marLeft w:val="0"/>
      <w:marRight w:val="0"/>
      <w:marTop w:val="0"/>
      <w:marBottom w:val="0"/>
      <w:divBdr>
        <w:top w:val="none" w:sz="0" w:space="0" w:color="auto"/>
        <w:left w:val="none" w:sz="0" w:space="0" w:color="auto"/>
        <w:bottom w:val="none" w:sz="0" w:space="0" w:color="auto"/>
        <w:right w:val="none" w:sz="0" w:space="0" w:color="auto"/>
      </w:divBdr>
    </w:div>
    <w:div w:id="726805760">
      <w:bodyDiv w:val="1"/>
      <w:marLeft w:val="0"/>
      <w:marRight w:val="0"/>
      <w:marTop w:val="0"/>
      <w:marBottom w:val="0"/>
      <w:divBdr>
        <w:top w:val="none" w:sz="0" w:space="0" w:color="auto"/>
        <w:left w:val="none" w:sz="0" w:space="0" w:color="auto"/>
        <w:bottom w:val="none" w:sz="0" w:space="0" w:color="auto"/>
        <w:right w:val="none" w:sz="0" w:space="0" w:color="auto"/>
      </w:divBdr>
    </w:div>
    <w:div w:id="766846734">
      <w:bodyDiv w:val="1"/>
      <w:marLeft w:val="0"/>
      <w:marRight w:val="0"/>
      <w:marTop w:val="0"/>
      <w:marBottom w:val="0"/>
      <w:divBdr>
        <w:top w:val="none" w:sz="0" w:space="0" w:color="auto"/>
        <w:left w:val="none" w:sz="0" w:space="0" w:color="auto"/>
        <w:bottom w:val="none" w:sz="0" w:space="0" w:color="auto"/>
        <w:right w:val="none" w:sz="0" w:space="0" w:color="auto"/>
      </w:divBdr>
    </w:div>
    <w:div w:id="782769377">
      <w:bodyDiv w:val="1"/>
      <w:marLeft w:val="0"/>
      <w:marRight w:val="0"/>
      <w:marTop w:val="0"/>
      <w:marBottom w:val="0"/>
      <w:divBdr>
        <w:top w:val="none" w:sz="0" w:space="0" w:color="auto"/>
        <w:left w:val="none" w:sz="0" w:space="0" w:color="auto"/>
        <w:bottom w:val="none" w:sz="0" w:space="0" w:color="auto"/>
        <w:right w:val="none" w:sz="0" w:space="0" w:color="auto"/>
      </w:divBdr>
    </w:div>
    <w:div w:id="839851681">
      <w:bodyDiv w:val="1"/>
      <w:marLeft w:val="0"/>
      <w:marRight w:val="0"/>
      <w:marTop w:val="0"/>
      <w:marBottom w:val="0"/>
      <w:divBdr>
        <w:top w:val="none" w:sz="0" w:space="0" w:color="auto"/>
        <w:left w:val="none" w:sz="0" w:space="0" w:color="auto"/>
        <w:bottom w:val="none" w:sz="0" w:space="0" w:color="auto"/>
        <w:right w:val="none" w:sz="0" w:space="0" w:color="auto"/>
      </w:divBdr>
    </w:div>
    <w:div w:id="867254881">
      <w:bodyDiv w:val="1"/>
      <w:marLeft w:val="0"/>
      <w:marRight w:val="0"/>
      <w:marTop w:val="0"/>
      <w:marBottom w:val="0"/>
      <w:divBdr>
        <w:top w:val="none" w:sz="0" w:space="0" w:color="auto"/>
        <w:left w:val="none" w:sz="0" w:space="0" w:color="auto"/>
        <w:bottom w:val="none" w:sz="0" w:space="0" w:color="auto"/>
        <w:right w:val="none" w:sz="0" w:space="0" w:color="auto"/>
      </w:divBdr>
    </w:div>
    <w:div w:id="887837185">
      <w:bodyDiv w:val="1"/>
      <w:marLeft w:val="0"/>
      <w:marRight w:val="0"/>
      <w:marTop w:val="0"/>
      <w:marBottom w:val="0"/>
      <w:divBdr>
        <w:top w:val="none" w:sz="0" w:space="0" w:color="auto"/>
        <w:left w:val="none" w:sz="0" w:space="0" w:color="auto"/>
        <w:bottom w:val="none" w:sz="0" w:space="0" w:color="auto"/>
        <w:right w:val="none" w:sz="0" w:space="0" w:color="auto"/>
      </w:divBdr>
    </w:div>
    <w:div w:id="978070243">
      <w:bodyDiv w:val="1"/>
      <w:marLeft w:val="0"/>
      <w:marRight w:val="0"/>
      <w:marTop w:val="0"/>
      <w:marBottom w:val="0"/>
      <w:divBdr>
        <w:top w:val="none" w:sz="0" w:space="0" w:color="auto"/>
        <w:left w:val="none" w:sz="0" w:space="0" w:color="auto"/>
        <w:bottom w:val="none" w:sz="0" w:space="0" w:color="auto"/>
        <w:right w:val="none" w:sz="0" w:space="0" w:color="auto"/>
      </w:divBdr>
    </w:div>
    <w:div w:id="987051204">
      <w:bodyDiv w:val="1"/>
      <w:marLeft w:val="0"/>
      <w:marRight w:val="0"/>
      <w:marTop w:val="0"/>
      <w:marBottom w:val="0"/>
      <w:divBdr>
        <w:top w:val="none" w:sz="0" w:space="0" w:color="auto"/>
        <w:left w:val="none" w:sz="0" w:space="0" w:color="auto"/>
        <w:bottom w:val="none" w:sz="0" w:space="0" w:color="auto"/>
        <w:right w:val="none" w:sz="0" w:space="0" w:color="auto"/>
      </w:divBdr>
    </w:div>
    <w:div w:id="1115826728">
      <w:bodyDiv w:val="1"/>
      <w:marLeft w:val="0"/>
      <w:marRight w:val="0"/>
      <w:marTop w:val="0"/>
      <w:marBottom w:val="0"/>
      <w:divBdr>
        <w:top w:val="none" w:sz="0" w:space="0" w:color="auto"/>
        <w:left w:val="none" w:sz="0" w:space="0" w:color="auto"/>
        <w:bottom w:val="none" w:sz="0" w:space="0" w:color="auto"/>
        <w:right w:val="none" w:sz="0" w:space="0" w:color="auto"/>
      </w:divBdr>
    </w:div>
    <w:div w:id="1219976652">
      <w:bodyDiv w:val="1"/>
      <w:marLeft w:val="0"/>
      <w:marRight w:val="0"/>
      <w:marTop w:val="0"/>
      <w:marBottom w:val="0"/>
      <w:divBdr>
        <w:top w:val="none" w:sz="0" w:space="0" w:color="auto"/>
        <w:left w:val="none" w:sz="0" w:space="0" w:color="auto"/>
        <w:bottom w:val="none" w:sz="0" w:space="0" w:color="auto"/>
        <w:right w:val="none" w:sz="0" w:space="0" w:color="auto"/>
      </w:divBdr>
    </w:div>
    <w:div w:id="1238438978">
      <w:bodyDiv w:val="1"/>
      <w:marLeft w:val="0"/>
      <w:marRight w:val="0"/>
      <w:marTop w:val="0"/>
      <w:marBottom w:val="0"/>
      <w:divBdr>
        <w:top w:val="none" w:sz="0" w:space="0" w:color="auto"/>
        <w:left w:val="none" w:sz="0" w:space="0" w:color="auto"/>
        <w:bottom w:val="none" w:sz="0" w:space="0" w:color="auto"/>
        <w:right w:val="none" w:sz="0" w:space="0" w:color="auto"/>
      </w:divBdr>
    </w:div>
    <w:div w:id="1262027230">
      <w:bodyDiv w:val="1"/>
      <w:marLeft w:val="0"/>
      <w:marRight w:val="0"/>
      <w:marTop w:val="0"/>
      <w:marBottom w:val="0"/>
      <w:divBdr>
        <w:top w:val="none" w:sz="0" w:space="0" w:color="auto"/>
        <w:left w:val="none" w:sz="0" w:space="0" w:color="auto"/>
        <w:bottom w:val="none" w:sz="0" w:space="0" w:color="auto"/>
        <w:right w:val="none" w:sz="0" w:space="0" w:color="auto"/>
      </w:divBdr>
    </w:div>
    <w:div w:id="1323238669">
      <w:bodyDiv w:val="1"/>
      <w:marLeft w:val="0"/>
      <w:marRight w:val="0"/>
      <w:marTop w:val="0"/>
      <w:marBottom w:val="0"/>
      <w:divBdr>
        <w:top w:val="none" w:sz="0" w:space="0" w:color="auto"/>
        <w:left w:val="none" w:sz="0" w:space="0" w:color="auto"/>
        <w:bottom w:val="none" w:sz="0" w:space="0" w:color="auto"/>
        <w:right w:val="none" w:sz="0" w:space="0" w:color="auto"/>
      </w:divBdr>
    </w:div>
    <w:div w:id="1393773682">
      <w:bodyDiv w:val="1"/>
      <w:marLeft w:val="0"/>
      <w:marRight w:val="0"/>
      <w:marTop w:val="0"/>
      <w:marBottom w:val="0"/>
      <w:divBdr>
        <w:top w:val="none" w:sz="0" w:space="0" w:color="auto"/>
        <w:left w:val="none" w:sz="0" w:space="0" w:color="auto"/>
        <w:bottom w:val="none" w:sz="0" w:space="0" w:color="auto"/>
        <w:right w:val="none" w:sz="0" w:space="0" w:color="auto"/>
      </w:divBdr>
    </w:div>
    <w:div w:id="1432704541">
      <w:bodyDiv w:val="1"/>
      <w:marLeft w:val="0"/>
      <w:marRight w:val="0"/>
      <w:marTop w:val="0"/>
      <w:marBottom w:val="0"/>
      <w:divBdr>
        <w:top w:val="none" w:sz="0" w:space="0" w:color="auto"/>
        <w:left w:val="none" w:sz="0" w:space="0" w:color="auto"/>
        <w:bottom w:val="none" w:sz="0" w:space="0" w:color="auto"/>
        <w:right w:val="none" w:sz="0" w:space="0" w:color="auto"/>
      </w:divBdr>
    </w:div>
    <w:div w:id="1434396968">
      <w:bodyDiv w:val="1"/>
      <w:marLeft w:val="0"/>
      <w:marRight w:val="0"/>
      <w:marTop w:val="0"/>
      <w:marBottom w:val="0"/>
      <w:divBdr>
        <w:top w:val="none" w:sz="0" w:space="0" w:color="auto"/>
        <w:left w:val="none" w:sz="0" w:space="0" w:color="auto"/>
        <w:bottom w:val="none" w:sz="0" w:space="0" w:color="auto"/>
        <w:right w:val="none" w:sz="0" w:space="0" w:color="auto"/>
      </w:divBdr>
    </w:div>
    <w:div w:id="1469201680">
      <w:bodyDiv w:val="1"/>
      <w:marLeft w:val="0"/>
      <w:marRight w:val="0"/>
      <w:marTop w:val="0"/>
      <w:marBottom w:val="0"/>
      <w:divBdr>
        <w:top w:val="none" w:sz="0" w:space="0" w:color="auto"/>
        <w:left w:val="none" w:sz="0" w:space="0" w:color="auto"/>
        <w:bottom w:val="none" w:sz="0" w:space="0" w:color="auto"/>
        <w:right w:val="none" w:sz="0" w:space="0" w:color="auto"/>
      </w:divBdr>
    </w:div>
    <w:div w:id="1481725069">
      <w:bodyDiv w:val="1"/>
      <w:marLeft w:val="0"/>
      <w:marRight w:val="0"/>
      <w:marTop w:val="0"/>
      <w:marBottom w:val="0"/>
      <w:divBdr>
        <w:top w:val="none" w:sz="0" w:space="0" w:color="auto"/>
        <w:left w:val="none" w:sz="0" w:space="0" w:color="auto"/>
        <w:bottom w:val="none" w:sz="0" w:space="0" w:color="auto"/>
        <w:right w:val="none" w:sz="0" w:space="0" w:color="auto"/>
      </w:divBdr>
    </w:div>
    <w:div w:id="1492216591">
      <w:bodyDiv w:val="1"/>
      <w:marLeft w:val="0"/>
      <w:marRight w:val="0"/>
      <w:marTop w:val="0"/>
      <w:marBottom w:val="0"/>
      <w:divBdr>
        <w:top w:val="none" w:sz="0" w:space="0" w:color="auto"/>
        <w:left w:val="none" w:sz="0" w:space="0" w:color="auto"/>
        <w:bottom w:val="none" w:sz="0" w:space="0" w:color="auto"/>
        <w:right w:val="none" w:sz="0" w:space="0" w:color="auto"/>
      </w:divBdr>
    </w:div>
    <w:div w:id="1565991773">
      <w:bodyDiv w:val="1"/>
      <w:marLeft w:val="0"/>
      <w:marRight w:val="0"/>
      <w:marTop w:val="0"/>
      <w:marBottom w:val="0"/>
      <w:divBdr>
        <w:top w:val="none" w:sz="0" w:space="0" w:color="auto"/>
        <w:left w:val="none" w:sz="0" w:space="0" w:color="auto"/>
        <w:bottom w:val="none" w:sz="0" w:space="0" w:color="auto"/>
        <w:right w:val="none" w:sz="0" w:space="0" w:color="auto"/>
      </w:divBdr>
    </w:div>
    <w:div w:id="1587688030">
      <w:bodyDiv w:val="1"/>
      <w:marLeft w:val="0"/>
      <w:marRight w:val="0"/>
      <w:marTop w:val="0"/>
      <w:marBottom w:val="0"/>
      <w:divBdr>
        <w:top w:val="none" w:sz="0" w:space="0" w:color="auto"/>
        <w:left w:val="none" w:sz="0" w:space="0" w:color="auto"/>
        <w:bottom w:val="none" w:sz="0" w:space="0" w:color="auto"/>
        <w:right w:val="none" w:sz="0" w:space="0" w:color="auto"/>
      </w:divBdr>
    </w:div>
    <w:div w:id="1626080939">
      <w:bodyDiv w:val="1"/>
      <w:marLeft w:val="0"/>
      <w:marRight w:val="0"/>
      <w:marTop w:val="0"/>
      <w:marBottom w:val="0"/>
      <w:divBdr>
        <w:top w:val="none" w:sz="0" w:space="0" w:color="auto"/>
        <w:left w:val="none" w:sz="0" w:space="0" w:color="auto"/>
        <w:bottom w:val="none" w:sz="0" w:space="0" w:color="auto"/>
        <w:right w:val="none" w:sz="0" w:space="0" w:color="auto"/>
      </w:divBdr>
    </w:div>
    <w:div w:id="1682927775">
      <w:bodyDiv w:val="1"/>
      <w:marLeft w:val="0"/>
      <w:marRight w:val="0"/>
      <w:marTop w:val="0"/>
      <w:marBottom w:val="0"/>
      <w:divBdr>
        <w:top w:val="none" w:sz="0" w:space="0" w:color="auto"/>
        <w:left w:val="none" w:sz="0" w:space="0" w:color="auto"/>
        <w:bottom w:val="none" w:sz="0" w:space="0" w:color="auto"/>
        <w:right w:val="none" w:sz="0" w:space="0" w:color="auto"/>
      </w:divBdr>
    </w:div>
    <w:div w:id="1723168548">
      <w:bodyDiv w:val="1"/>
      <w:marLeft w:val="0"/>
      <w:marRight w:val="0"/>
      <w:marTop w:val="0"/>
      <w:marBottom w:val="0"/>
      <w:divBdr>
        <w:top w:val="none" w:sz="0" w:space="0" w:color="auto"/>
        <w:left w:val="none" w:sz="0" w:space="0" w:color="auto"/>
        <w:bottom w:val="none" w:sz="0" w:space="0" w:color="auto"/>
        <w:right w:val="none" w:sz="0" w:space="0" w:color="auto"/>
      </w:divBdr>
    </w:div>
    <w:div w:id="1786382576">
      <w:bodyDiv w:val="1"/>
      <w:marLeft w:val="0"/>
      <w:marRight w:val="0"/>
      <w:marTop w:val="0"/>
      <w:marBottom w:val="0"/>
      <w:divBdr>
        <w:top w:val="none" w:sz="0" w:space="0" w:color="auto"/>
        <w:left w:val="none" w:sz="0" w:space="0" w:color="auto"/>
        <w:bottom w:val="none" w:sz="0" w:space="0" w:color="auto"/>
        <w:right w:val="none" w:sz="0" w:space="0" w:color="auto"/>
      </w:divBdr>
    </w:div>
    <w:div w:id="1849245474">
      <w:bodyDiv w:val="1"/>
      <w:marLeft w:val="0"/>
      <w:marRight w:val="0"/>
      <w:marTop w:val="0"/>
      <w:marBottom w:val="0"/>
      <w:divBdr>
        <w:top w:val="none" w:sz="0" w:space="0" w:color="auto"/>
        <w:left w:val="none" w:sz="0" w:space="0" w:color="auto"/>
        <w:bottom w:val="none" w:sz="0" w:space="0" w:color="auto"/>
        <w:right w:val="none" w:sz="0" w:space="0" w:color="auto"/>
      </w:divBdr>
    </w:div>
    <w:div w:id="1928149318">
      <w:bodyDiv w:val="1"/>
      <w:marLeft w:val="0"/>
      <w:marRight w:val="0"/>
      <w:marTop w:val="0"/>
      <w:marBottom w:val="0"/>
      <w:divBdr>
        <w:top w:val="none" w:sz="0" w:space="0" w:color="auto"/>
        <w:left w:val="none" w:sz="0" w:space="0" w:color="auto"/>
        <w:bottom w:val="none" w:sz="0" w:space="0" w:color="auto"/>
        <w:right w:val="none" w:sz="0" w:space="0" w:color="auto"/>
      </w:divBdr>
    </w:div>
    <w:div w:id="2005041025">
      <w:bodyDiv w:val="1"/>
      <w:marLeft w:val="0"/>
      <w:marRight w:val="0"/>
      <w:marTop w:val="0"/>
      <w:marBottom w:val="0"/>
      <w:divBdr>
        <w:top w:val="none" w:sz="0" w:space="0" w:color="auto"/>
        <w:left w:val="none" w:sz="0" w:space="0" w:color="auto"/>
        <w:bottom w:val="none" w:sz="0" w:space="0" w:color="auto"/>
        <w:right w:val="none" w:sz="0" w:space="0" w:color="auto"/>
      </w:divBdr>
    </w:div>
    <w:div w:id="2045934588">
      <w:bodyDiv w:val="1"/>
      <w:marLeft w:val="0"/>
      <w:marRight w:val="0"/>
      <w:marTop w:val="0"/>
      <w:marBottom w:val="0"/>
      <w:divBdr>
        <w:top w:val="none" w:sz="0" w:space="0" w:color="auto"/>
        <w:left w:val="none" w:sz="0" w:space="0" w:color="auto"/>
        <w:bottom w:val="none" w:sz="0" w:space="0" w:color="auto"/>
        <w:right w:val="none" w:sz="0" w:space="0" w:color="auto"/>
      </w:divBdr>
    </w:div>
    <w:div w:id="2079668040">
      <w:bodyDiv w:val="1"/>
      <w:marLeft w:val="0"/>
      <w:marRight w:val="0"/>
      <w:marTop w:val="0"/>
      <w:marBottom w:val="0"/>
      <w:divBdr>
        <w:top w:val="none" w:sz="0" w:space="0" w:color="auto"/>
        <w:left w:val="none" w:sz="0" w:space="0" w:color="auto"/>
        <w:bottom w:val="none" w:sz="0" w:space="0" w:color="auto"/>
        <w:right w:val="none" w:sz="0" w:space="0" w:color="auto"/>
      </w:divBdr>
    </w:div>
    <w:div w:id="2112359322">
      <w:bodyDiv w:val="1"/>
      <w:marLeft w:val="0"/>
      <w:marRight w:val="0"/>
      <w:marTop w:val="0"/>
      <w:marBottom w:val="0"/>
      <w:divBdr>
        <w:top w:val="none" w:sz="0" w:space="0" w:color="auto"/>
        <w:left w:val="none" w:sz="0" w:space="0" w:color="auto"/>
        <w:bottom w:val="none" w:sz="0" w:space="0" w:color="auto"/>
        <w:right w:val="none" w:sz="0" w:space="0" w:color="auto"/>
      </w:divBdr>
      <w:divsChild>
        <w:div w:id="1863854736">
          <w:marLeft w:val="0"/>
          <w:marRight w:val="0"/>
          <w:marTop w:val="0"/>
          <w:marBottom w:val="0"/>
          <w:divBdr>
            <w:top w:val="none" w:sz="0" w:space="0" w:color="auto"/>
            <w:left w:val="none" w:sz="0" w:space="0" w:color="auto"/>
            <w:bottom w:val="none" w:sz="0" w:space="0" w:color="auto"/>
            <w:right w:val="none" w:sz="0" w:space="0" w:color="auto"/>
          </w:divBdr>
          <w:divsChild>
            <w:div w:id="132989793">
              <w:marLeft w:val="0"/>
              <w:marRight w:val="0"/>
              <w:marTop w:val="0"/>
              <w:marBottom w:val="0"/>
              <w:divBdr>
                <w:top w:val="none" w:sz="0" w:space="0" w:color="auto"/>
                <w:left w:val="none" w:sz="0" w:space="0" w:color="auto"/>
                <w:bottom w:val="none" w:sz="0" w:space="0" w:color="auto"/>
                <w:right w:val="none" w:sz="0" w:space="0" w:color="auto"/>
              </w:divBdr>
            </w:div>
            <w:div w:id="167990857">
              <w:marLeft w:val="0"/>
              <w:marRight w:val="0"/>
              <w:marTop w:val="0"/>
              <w:marBottom w:val="0"/>
              <w:divBdr>
                <w:top w:val="none" w:sz="0" w:space="0" w:color="auto"/>
                <w:left w:val="none" w:sz="0" w:space="0" w:color="auto"/>
                <w:bottom w:val="none" w:sz="0" w:space="0" w:color="auto"/>
                <w:right w:val="none" w:sz="0" w:space="0" w:color="auto"/>
              </w:divBdr>
            </w:div>
            <w:div w:id="217666932">
              <w:marLeft w:val="0"/>
              <w:marRight w:val="0"/>
              <w:marTop w:val="0"/>
              <w:marBottom w:val="0"/>
              <w:divBdr>
                <w:top w:val="none" w:sz="0" w:space="0" w:color="auto"/>
                <w:left w:val="none" w:sz="0" w:space="0" w:color="auto"/>
                <w:bottom w:val="none" w:sz="0" w:space="0" w:color="auto"/>
                <w:right w:val="none" w:sz="0" w:space="0" w:color="auto"/>
              </w:divBdr>
            </w:div>
            <w:div w:id="308285828">
              <w:marLeft w:val="0"/>
              <w:marRight w:val="0"/>
              <w:marTop w:val="0"/>
              <w:marBottom w:val="0"/>
              <w:divBdr>
                <w:top w:val="none" w:sz="0" w:space="0" w:color="auto"/>
                <w:left w:val="none" w:sz="0" w:space="0" w:color="auto"/>
                <w:bottom w:val="none" w:sz="0" w:space="0" w:color="auto"/>
                <w:right w:val="none" w:sz="0" w:space="0" w:color="auto"/>
              </w:divBdr>
            </w:div>
            <w:div w:id="317617912">
              <w:marLeft w:val="0"/>
              <w:marRight w:val="0"/>
              <w:marTop w:val="0"/>
              <w:marBottom w:val="0"/>
              <w:divBdr>
                <w:top w:val="none" w:sz="0" w:space="0" w:color="auto"/>
                <w:left w:val="none" w:sz="0" w:space="0" w:color="auto"/>
                <w:bottom w:val="none" w:sz="0" w:space="0" w:color="auto"/>
                <w:right w:val="none" w:sz="0" w:space="0" w:color="auto"/>
              </w:divBdr>
            </w:div>
            <w:div w:id="401176300">
              <w:marLeft w:val="0"/>
              <w:marRight w:val="0"/>
              <w:marTop w:val="0"/>
              <w:marBottom w:val="0"/>
              <w:divBdr>
                <w:top w:val="none" w:sz="0" w:space="0" w:color="auto"/>
                <w:left w:val="none" w:sz="0" w:space="0" w:color="auto"/>
                <w:bottom w:val="none" w:sz="0" w:space="0" w:color="auto"/>
                <w:right w:val="none" w:sz="0" w:space="0" w:color="auto"/>
              </w:divBdr>
            </w:div>
            <w:div w:id="569733402">
              <w:marLeft w:val="0"/>
              <w:marRight w:val="0"/>
              <w:marTop w:val="0"/>
              <w:marBottom w:val="0"/>
              <w:divBdr>
                <w:top w:val="none" w:sz="0" w:space="0" w:color="auto"/>
                <w:left w:val="none" w:sz="0" w:space="0" w:color="auto"/>
                <w:bottom w:val="none" w:sz="0" w:space="0" w:color="auto"/>
                <w:right w:val="none" w:sz="0" w:space="0" w:color="auto"/>
              </w:divBdr>
            </w:div>
            <w:div w:id="740564712">
              <w:marLeft w:val="0"/>
              <w:marRight w:val="0"/>
              <w:marTop w:val="0"/>
              <w:marBottom w:val="0"/>
              <w:divBdr>
                <w:top w:val="none" w:sz="0" w:space="0" w:color="auto"/>
                <w:left w:val="none" w:sz="0" w:space="0" w:color="auto"/>
                <w:bottom w:val="none" w:sz="0" w:space="0" w:color="auto"/>
                <w:right w:val="none" w:sz="0" w:space="0" w:color="auto"/>
              </w:divBdr>
            </w:div>
            <w:div w:id="793452358">
              <w:marLeft w:val="0"/>
              <w:marRight w:val="0"/>
              <w:marTop w:val="0"/>
              <w:marBottom w:val="0"/>
              <w:divBdr>
                <w:top w:val="none" w:sz="0" w:space="0" w:color="auto"/>
                <w:left w:val="none" w:sz="0" w:space="0" w:color="auto"/>
                <w:bottom w:val="none" w:sz="0" w:space="0" w:color="auto"/>
                <w:right w:val="none" w:sz="0" w:space="0" w:color="auto"/>
              </w:divBdr>
            </w:div>
            <w:div w:id="1173295604">
              <w:marLeft w:val="0"/>
              <w:marRight w:val="0"/>
              <w:marTop w:val="0"/>
              <w:marBottom w:val="0"/>
              <w:divBdr>
                <w:top w:val="none" w:sz="0" w:space="0" w:color="auto"/>
                <w:left w:val="none" w:sz="0" w:space="0" w:color="auto"/>
                <w:bottom w:val="none" w:sz="0" w:space="0" w:color="auto"/>
                <w:right w:val="none" w:sz="0" w:space="0" w:color="auto"/>
              </w:divBdr>
            </w:div>
            <w:div w:id="1240823858">
              <w:marLeft w:val="0"/>
              <w:marRight w:val="0"/>
              <w:marTop w:val="0"/>
              <w:marBottom w:val="0"/>
              <w:divBdr>
                <w:top w:val="none" w:sz="0" w:space="0" w:color="auto"/>
                <w:left w:val="none" w:sz="0" w:space="0" w:color="auto"/>
                <w:bottom w:val="none" w:sz="0" w:space="0" w:color="auto"/>
                <w:right w:val="none" w:sz="0" w:space="0" w:color="auto"/>
              </w:divBdr>
            </w:div>
            <w:div w:id="1305089534">
              <w:marLeft w:val="0"/>
              <w:marRight w:val="0"/>
              <w:marTop w:val="0"/>
              <w:marBottom w:val="0"/>
              <w:divBdr>
                <w:top w:val="none" w:sz="0" w:space="0" w:color="auto"/>
                <w:left w:val="none" w:sz="0" w:space="0" w:color="auto"/>
                <w:bottom w:val="none" w:sz="0" w:space="0" w:color="auto"/>
                <w:right w:val="none" w:sz="0" w:space="0" w:color="auto"/>
              </w:divBdr>
            </w:div>
            <w:div w:id="1438476588">
              <w:marLeft w:val="0"/>
              <w:marRight w:val="0"/>
              <w:marTop w:val="0"/>
              <w:marBottom w:val="0"/>
              <w:divBdr>
                <w:top w:val="none" w:sz="0" w:space="0" w:color="auto"/>
                <w:left w:val="none" w:sz="0" w:space="0" w:color="auto"/>
                <w:bottom w:val="none" w:sz="0" w:space="0" w:color="auto"/>
                <w:right w:val="none" w:sz="0" w:space="0" w:color="auto"/>
              </w:divBdr>
            </w:div>
            <w:div w:id="1479110210">
              <w:marLeft w:val="0"/>
              <w:marRight w:val="0"/>
              <w:marTop w:val="0"/>
              <w:marBottom w:val="0"/>
              <w:divBdr>
                <w:top w:val="none" w:sz="0" w:space="0" w:color="auto"/>
                <w:left w:val="none" w:sz="0" w:space="0" w:color="auto"/>
                <w:bottom w:val="none" w:sz="0" w:space="0" w:color="auto"/>
                <w:right w:val="none" w:sz="0" w:space="0" w:color="auto"/>
              </w:divBdr>
            </w:div>
            <w:div w:id="1506744143">
              <w:marLeft w:val="0"/>
              <w:marRight w:val="0"/>
              <w:marTop w:val="0"/>
              <w:marBottom w:val="0"/>
              <w:divBdr>
                <w:top w:val="none" w:sz="0" w:space="0" w:color="auto"/>
                <w:left w:val="none" w:sz="0" w:space="0" w:color="auto"/>
                <w:bottom w:val="none" w:sz="0" w:space="0" w:color="auto"/>
                <w:right w:val="none" w:sz="0" w:space="0" w:color="auto"/>
              </w:divBdr>
            </w:div>
            <w:div w:id="1555699768">
              <w:marLeft w:val="0"/>
              <w:marRight w:val="0"/>
              <w:marTop w:val="0"/>
              <w:marBottom w:val="0"/>
              <w:divBdr>
                <w:top w:val="none" w:sz="0" w:space="0" w:color="auto"/>
                <w:left w:val="none" w:sz="0" w:space="0" w:color="auto"/>
                <w:bottom w:val="none" w:sz="0" w:space="0" w:color="auto"/>
                <w:right w:val="none" w:sz="0" w:space="0" w:color="auto"/>
              </w:divBdr>
            </w:div>
            <w:div w:id="1592465814">
              <w:marLeft w:val="0"/>
              <w:marRight w:val="0"/>
              <w:marTop w:val="0"/>
              <w:marBottom w:val="0"/>
              <w:divBdr>
                <w:top w:val="none" w:sz="0" w:space="0" w:color="auto"/>
                <w:left w:val="none" w:sz="0" w:space="0" w:color="auto"/>
                <w:bottom w:val="none" w:sz="0" w:space="0" w:color="auto"/>
                <w:right w:val="none" w:sz="0" w:space="0" w:color="auto"/>
              </w:divBdr>
            </w:div>
            <w:div w:id="1722824787">
              <w:marLeft w:val="0"/>
              <w:marRight w:val="0"/>
              <w:marTop w:val="0"/>
              <w:marBottom w:val="0"/>
              <w:divBdr>
                <w:top w:val="none" w:sz="0" w:space="0" w:color="auto"/>
                <w:left w:val="none" w:sz="0" w:space="0" w:color="auto"/>
                <w:bottom w:val="none" w:sz="0" w:space="0" w:color="auto"/>
                <w:right w:val="none" w:sz="0" w:space="0" w:color="auto"/>
              </w:divBdr>
            </w:div>
            <w:div w:id="2089185388">
              <w:marLeft w:val="0"/>
              <w:marRight w:val="0"/>
              <w:marTop w:val="0"/>
              <w:marBottom w:val="0"/>
              <w:divBdr>
                <w:top w:val="none" w:sz="0" w:space="0" w:color="auto"/>
                <w:left w:val="none" w:sz="0" w:space="0" w:color="auto"/>
                <w:bottom w:val="none" w:sz="0" w:space="0" w:color="auto"/>
                <w:right w:val="none" w:sz="0" w:space="0" w:color="auto"/>
              </w:divBdr>
            </w:div>
          </w:divsChild>
        </w:div>
        <w:div w:id="1900632622">
          <w:marLeft w:val="0"/>
          <w:marRight w:val="0"/>
          <w:marTop w:val="0"/>
          <w:marBottom w:val="0"/>
          <w:divBdr>
            <w:top w:val="none" w:sz="0" w:space="0" w:color="auto"/>
            <w:left w:val="none" w:sz="0" w:space="0" w:color="auto"/>
            <w:bottom w:val="none" w:sz="0" w:space="0" w:color="auto"/>
            <w:right w:val="none" w:sz="0" w:space="0" w:color="auto"/>
          </w:divBdr>
          <w:divsChild>
            <w:div w:id="46800825">
              <w:marLeft w:val="0"/>
              <w:marRight w:val="0"/>
              <w:marTop w:val="0"/>
              <w:marBottom w:val="0"/>
              <w:divBdr>
                <w:top w:val="none" w:sz="0" w:space="0" w:color="auto"/>
                <w:left w:val="none" w:sz="0" w:space="0" w:color="auto"/>
                <w:bottom w:val="none" w:sz="0" w:space="0" w:color="auto"/>
                <w:right w:val="none" w:sz="0" w:space="0" w:color="auto"/>
              </w:divBdr>
            </w:div>
            <w:div w:id="145636883">
              <w:marLeft w:val="0"/>
              <w:marRight w:val="0"/>
              <w:marTop w:val="0"/>
              <w:marBottom w:val="0"/>
              <w:divBdr>
                <w:top w:val="none" w:sz="0" w:space="0" w:color="auto"/>
                <w:left w:val="none" w:sz="0" w:space="0" w:color="auto"/>
                <w:bottom w:val="none" w:sz="0" w:space="0" w:color="auto"/>
                <w:right w:val="none" w:sz="0" w:space="0" w:color="auto"/>
              </w:divBdr>
            </w:div>
            <w:div w:id="179049383">
              <w:marLeft w:val="0"/>
              <w:marRight w:val="0"/>
              <w:marTop w:val="0"/>
              <w:marBottom w:val="0"/>
              <w:divBdr>
                <w:top w:val="none" w:sz="0" w:space="0" w:color="auto"/>
                <w:left w:val="none" w:sz="0" w:space="0" w:color="auto"/>
                <w:bottom w:val="none" w:sz="0" w:space="0" w:color="auto"/>
                <w:right w:val="none" w:sz="0" w:space="0" w:color="auto"/>
              </w:divBdr>
            </w:div>
            <w:div w:id="223882152">
              <w:marLeft w:val="0"/>
              <w:marRight w:val="0"/>
              <w:marTop w:val="0"/>
              <w:marBottom w:val="0"/>
              <w:divBdr>
                <w:top w:val="none" w:sz="0" w:space="0" w:color="auto"/>
                <w:left w:val="none" w:sz="0" w:space="0" w:color="auto"/>
                <w:bottom w:val="none" w:sz="0" w:space="0" w:color="auto"/>
                <w:right w:val="none" w:sz="0" w:space="0" w:color="auto"/>
              </w:divBdr>
            </w:div>
            <w:div w:id="319506043">
              <w:marLeft w:val="0"/>
              <w:marRight w:val="0"/>
              <w:marTop w:val="0"/>
              <w:marBottom w:val="0"/>
              <w:divBdr>
                <w:top w:val="none" w:sz="0" w:space="0" w:color="auto"/>
                <w:left w:val="none" w:sz="0" w:space="0" w:color="auto"/>
                <w:bottom w:val="none" w:sz="0" w:space="0" w:color="auto"/>
                <w:right w:val="none" w:sz="0" w:space="0" w:color="auto"/>
              </w:divBdr>
            </w:div>
            <w:div w:id="372971725">
              <w:marLeft w:val="0"/>
              <w:marRight w:val="0"/>
              <w:marTop w:val="0"/>
              <w:marBottom w:val="0"/>
              <w:divBdr>
                <w:top w:val="none" w:sz="0" w:space="0" w:color="auto"/>
                <w:left w:val="none" w:sz="0" w:space="0" w:color="auto"/>
                <w:bottom w:val="none" w:sz="0" w:space="0" w:color="auto"/>
                <w:right w:val="none" w:sz="0" w:space="0" w:color="auto"/>
              </w:divBdr>
            </w:div>
            <w:div w:id="667951922">
              <w:marLeft w:val="0"/>
              <w:marRight w:val="0"/>
              <w:marTop w:val="0"/>
              <w:marBottom w:val="0"/>
              <w:divBdr>
                <w:top w:val="none" w:sz="0" w:space="0" w:color="auto"/>
                <w:left w:val="none" w:sz="0" w:space="0" w:color="auto"/>
                <w:bottom w:val="none" w:sz="0" w:space="0" w:color="auto"/>
                <w:right w:val="none" w:sz="0" w:space="0" w:color="auto"/>
              </w:divBdr>
            </w:div>
            <w:div w:id="832069282">
              <w:marLeft w:val="0"/>
              <w:marRight w:val="0"/>
              <w:marTop w:val="0"/>
              <w:marBottom w:val="0"/>
              <w:divBdr>
                <w:top w:val="none" w:sz="0" w:space="0" w:color="auto"/>
                <w:left w:val="none" w:sz="0" w:space="0" w:color="auto"/>
                <w:bottom w:val="none" w:sz="0" w:space="0" w:color="auto"/>
                <w:right w:val="none" w:sz="0" w:space="0" w:color="auto"/>
              </w:divBdr>
            </w:div>
            <w:div w:id="1174568679">
              <w:marLeft w:val="0"/>
              <w:marRight w:val="0"/>
              <w:marTop w:val="0"/>
              <w:marBottom w:val="0"/>
              <w:divBdr>
                <w:top w:val="none" w:sz="0" w:space="0" w:color="auto"/>
                <w:left w:val="none" w:sz="0" w:space="0" w:color="auto"/>
                <w:bottom w:val="none" w:sz="0" w:space="0" w:color="auto"/>
                <w:right w:val="none" w:sz="0" w:space="0" w:color="auto"/>
              </w:divBdr>
            </w:div>
            <w:div w:id="1310328123">
              <w:marLeft w:val="0"/>
              <w:marRight w:val="0"/>
              <w:marTop w:val="0"/>
              <w:marBottom w:val="0"/>
              <w:divBdr>
                <w:top w:val="none" w:sz="0" w:space="0" w:color="auto"/>
                <w:left w:val="none" w:sz="0" w:space="0" w:color="auto"/>
                <w:bottom w:val="none" w:sz="0" w:space="0" w:color="auto"/>
                <w:right w:val="none" w:sz="0" w:space="0" w:color="auto"/>
              </w:divBdr>
            </w:div>
            <w:div w:id="1313951380">
              <w:marLeft w:val="0"/>
              <w:marRight w:val="0"/>
              <w:marTop w:val="0"/>
              <w:marBottom w:val="0"/>
              <w:divBdr>
                <w:top w:val="none" w:sz="0" w:space="0" w:color="auto"/>
                <w:left w:val="none" w:sz="0" w:space="0" w:color="auto"/>
                <w:bottom w:val="none" w:sz="0" w:space="0" w:color="auto"/>
                <w:right w:val="none" w:sz="0" w:space="0" w:color="auto"/>
              </w:divBdr>
            </w:div>
            <w:div w:id="1470780371">
              <w:marLeft w:val="0"/>
              <w:marRight w:val="0"/>
              <w:marTop w:val="0"/>
              <w:marBottom w:val="0"/>
              <w:divBdr>
                <w:top w:val="none" w:sz="0" w:space="0" w:color="auto"/>
                <w:left w:val="none" w:sz="0" w:space="0" w:color="auto"/>
                <w:bottom w:val="none" w:sz="0" w:space="0" w:color="auto"/>
                <w:right w:val="none" w:sz="0" w:space="0" w:color="auto"/>
              </w:divBdr>
            </w:div>
            <w:div w:id="1498224905">
              <w:marLeft w:val="0"/>
              <w:marRight w:val="0"/>
              <w:marTop w:val="0"/>
              <w:marBottom w:val="0"/>
              <w:divBdr>
                <w:top w:val="none" w:sz="0" w:space="0" w:color="auto"/>
                <w:left w:val="none" w:sz="0" w:space="0" w:color="auto"/>
                <w:bottom w:val="none" w:sz="0" w:space="0" w:color="auto"/>
                <w:right w:val="none" w:sz="0" w:space="0" w:color="auto"/>
              </w:divBdr>
            </w:div>
            <w:div w:id="1524124811">
              <w:marLeft w:val="0"/>
              <w:marRight w:val="0"/>
              <w:marTop w:val="0"/>
              <w:marBottom w:val="0"/>
              <w:divBdr>
                <w:top w:val="none" w:sz="0" w:space="0" w:color="auto"/>
                <w:left w:val="none" w:sz="0" w:space="0" w:color="auto"/>
                <w:bottom w:val="none" w:sz="0" w:space="0" w:color="auto"/>
                <w:right w:val="none" w:sz="0" w:space="0" w:color="auto"/>
              </w:divBdr>
            </w:div>
            <w:div w:id="1801921087">
              <w:marLeft w:val="0"/>
              <w:marRight w:val="0"/>
              <w:marTop w:val="0"/>
              <w:marBottom w:val="0"/>
              <w:divBdr>
                <w:top w:val="none" w:sz="0" w:space="0" w:color="auto"/>
                <w:left w:val="none" w:sz="0" w:space="0" w:color="auto"/>
                <w:bottom w:val="none" w:sz="0" w:space="0" w:color="auto"/>
                <w:right w:val="none" w:sz="0" w:space="0" w:color="auto"/>
              </w:divBdr>
            </w:div>
            <w:div w:id="1843468273">
              <w:marLeft w:val="0"/>
              <w:marRight w:val="0"/>
              <w:marTop w:val="0"/>
              <w:marBottom w:val="0"/>
              <w:divBdr>
                <w:top w:val="none" w:sz="0" w:space="0" w:color="auto"/>
                <w:left w:val="none" w:sz="0" w:space="0" w:color="auto"/>
                <w:bottom w:val="none" w:sz="0" w:space="0" w:color="auto"/>
                <w:right w:val="none" w:sz="0" w:space="0" w:color="auto"/>
              </w:divBdr>
            </w:div>
            <w:div w:id="1920358634">
              <w:marLeft w:val="0"/>
              <w:marRight w:val="0"/>
              <w:marTop w:val="0"/>
              <w:marBottom w:val="0"/>
              <w:divBdr>
                <w:top w:val="none" w:sz="0" w:space="0" w:color="auto"/>
                <w:left w:val="none" w:sz="0" w:space="0" w:color="auto"/>
                <w:bottom w:val="none" w:sz="0" w:space="0" w:color="auto"/>
                <w:right w:val="none" w:sz="0" w:space="0" w:color="auto"/>
              </w:divBdr>
            </w:div>
            <w:div w:id="21406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NCHI@Mas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ngrants@hria.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NCHI@Mass.gov" TargetMode="Externa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s://www.mass.gov/info-details/dana-farber-cancer-institute-inc-hospitalclinic-substantial-capital-expenditure" TargetMode="Externa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6" Type="http://schemas.openxmlformats.org/officeDocument/2006/relationships/hyperlink" Target="https://pmc.ncbi.nlm.nih.gov/articles/PMC9139402/" TargetMode="External"/><Relationship Id="rId21" Type="http://schemas.openxmlformats.org/officeDocument/2006/relationships/hyperlink" Target="https://pmc.ncbi.nlm.nih.gov/articles/PMC2361650/" TargetMode="External"/><Relationship Id="rId42" Type="http://schemas.openxmlformats.org/officeDocument/2006/relationships/hyperlink" Target="https://www.nccn.org/home/member-institutions" TargetMode="External"/><Relationship Id="rId47" Type="http://schemas.openxmlformats.org/officeDocument/2006/relationships/hyperlink" Target="https://www.who.int/news/item/05-03-2021-new-who-iaea-publication-provides-guidance-on-radiotherapy-equipment-to-fight-cancer" TargetMode="External"/><Relationship Id="rId63" Type="http://schemas.openxmlformats.org/officeDocument/2006/relationships/hyperlink" Target="https://www.cancer.org/cancer/childhood-cancer.html" TargetMode="External"/><Relationship Id="rId68" Type="http://schemas.openxmlformats.org/officeDocument/2006/relationships/hyperlink" Target="https://www.chiamass.gov/assets/Uploads/APCD-User-Workgroup-August-26-2025.pdf" TargetMode="External"/><Relationship Id="rId84" Type="http://schemas.openxmlformats.org/officeDocument/2006/relationships/hyperlink" Target="https://www.floridaproton.org/cancers-treated/sarcoma" TargetMode="External"/><Relationship Id="rId89" Type="http://schemas.openxmlformats.org/officeDocument/2006/relationships/hyperlink" Target="https://proton-therapy.org/clinical-research/" TargetMode="External"/><Relationship Id="rId16" Type="http://schemas.openxmlformats.org/officeDocument/2006/relationships/hyperlink" Target="https://www.cancer.org/cancer/managing-cancer/treatment-types/radiation.html" TargetMode="External"/><Relationship Id="rId11" Type="http://schemas.openxmlformats.org/officeDocument/2006/relationships/hyperlink" Target="https://pubmed.ncbi.nlm.nih.gov/21430696/" TargetMode="External"/><Relationship Id="rId32" Type="http://schemas.openxmlformats.org/officeDocument/2006/relationships/hyperlink" Target="https://www.cancer.org/cancer/managing-cancer/treatment-types/radiation/proton-therapy.html" TargetMode="External"/><Relationship Id="rId37" Type="http://schemas.openxmlformats.org/officeDocument/2006/relationships/hyperlink" Target="https://www.sciencedirect.com/science/article/abs/pii/S1546144015008066" TargetMode="External"/><Relationship Id="rId53" Type="http://schemas.openxmlformats.org/officeDocument/2006/relationships/hyperlink" Target="https://www.gao.gov/products/gao-25-107623" TargetMode="External"/><Relationship Id="rId58" Type="http://schemas.openxmlformats.org/officeDocument/2006/relationships/hyperlink" Target="https://www.cdc.gov/nchs/state-stats/states/ma.html" TargetMode="External"/><Relationship Id="rId74" Type="http://schemas.openxmlformats.org/officeDocument/2006/relationships/hyperlink" Target="https://www.cancer.gov/types/childhood-cancers/late-effects-pdq" TargetMode="External"/><Relationship Id="rId79" Type="http://schemas.openxmlformats.org/officeDocument/2006/relationships/hyperlink" Target="https://cancerprogressreport.aacr.org/pediatric/pcpr25-contents/pcpr25-supporting-survivors-of-pediatric-cancers/" TargetMode="External"/><Relationship Id="rId5" Type="http://schemas.openxmlformats.org/officeDocument/2006/relationships/hyperlink" Target="https://www.cancer.org/cancer/managing-cancer/treatment-types/radiation.html" TargetMode="External"/><Relationship Id="rId90" Type="http://schemas.openxmlformats.org/officeDocument/2006/relationships/hyperlink" Target="https://pubmed.ncbi.nlm.nih.gov/31876914/" TargetMode="External"/><Relationship Id="rId95" Type="http://schemas.openxmlformats.org/officeDocument/2006/relationships/hyperlink" Target="https://www.mass.gov/doc/communityengagement-guidelines-for-community-health-planning-pdf/download" TargetMode="External"/><Relationship Id="rId22" Type="http://schemas.openxmlformats.org/officeDocument/2006/relationships/hyperlink" Target="https://pmc.ncbi.nlm.nih.gov/articles/PMC2361650/" TargetMode="External"/><Relationship Id="rId27" Type="http://schemas.openxmlformats.org/officeDocument/2006/relationships/hyperlink" Target="https://www.mayoclinic.org/diseases-conditions/cancer/in-depth/cancer-survivor/art-20045524" TargetMode="External"/><Relationship Id="rId43" Type="http://schemas.openxmlformats.org/officeDocument/2006/relationships/hyperlink" Target="https://www.dana-farber.org/about/quality-safety/measure/accreditations-certifications" TargetMode="External"/><Relationship Id="rId48" Type="http://schemas.openxmlformats.org/officeDocument/2006/relationships/hyperlink" Target="https://www.who.int/news/item/05-03-2021-new-who-iaea-publication-provides-guidance-on-radiotherapy-equipment-to-fight-cancer" TargetMode="External"/><Relationship Id="rId64" Type="http://schemas.openxmlformats.org/officeDocument/2006/relationships/hyperlink" Target="https://www.cancer.gov/types/childhood-cancers/ccss" TargetMode="External"/><Relationship Id="rId69" Type="http://schemas.openxmlformats.org/officeDocument/2006/relationships/hyperlink" Target="https://www.chiamass.gov/assets/Uploads/APCD-User-Workgroup-August-26-2025.pdf" TargetMode="External"/><Relationship Id="rId80" Type="http://schemas.openxmlformats.org/officeDocument/2006/relationships/hyperlink" Target="https://my.clevelandclinic.org/health/diseases/17934-sarcoma" TargetMode="External"/><Relationship Id="rId85" Type="http://schemas.openxmlformats.org/officeDocument/2006/relationships/hyperlink" Target="https://www.floridaproton.org/cancers-treated/sarcoma" TargetMode="External"/><Relationship Id="rId12" Type="http://schemas.openxmlformats.org/officeDocument/2006/relationships/hyperlink" Target="https://doi.org/10.1038/nrc3007" TargetMode="External"/><Relationship Id="rId17" Type="http://schemas.openxmlformats.org/officeDocument/2006/relationships/hyperlink" Target="https://www.radiologyinfo.org/en/info/ebt" TargetMode="External"/><Relationship Id="rId25" Type="http://schemas.openxmlformats.org/officeDocument/2006/relationships/hyperlink" Target="https://pmc.ncbi.nlm.nih.gov/articles/PMC9139402/" TargetMode="External"/><Relationship Id="rId33" Type="http://schemas.openxmlformats.org/officeDocument/2006/relationships/hyperlink" Target="https://www.cancercenter.com/community/blog/2021/12/whats-the-difference-proton-photon-therapy" TargetMode="External"/><Relationship Id="rId38" Type="http://schemas.openxmlformats.org/officeDocument/2006/relationships/hyperlink" Target="https://www.sciencedirect.com/science/article/abs/pii/S1546144015008066" TargetMode="External"/><Relationship Id="rId46" Type="http://schemas.openxmlformats.org/officeDocument/2006/relationships/hyperlink" Target="https://www.massgeneral.org/cancer-center/radiation-oncology/treatments-and-services/proton-therapy" TargetMode="External"/><Relationship Id="rId59" Type="http://schemas.openxmlformats.org/officeDocument/2006/relationships/hyperlink" Target="https://www.cdc.gov/nchs/state-stats/states/ma.html" TargetMode="External"/><Relationship Id="rId67" Type="http://schemas.openxmlformats.org/officeDocument/2006/relationships/hyperlink" Target="https://www.aetna.com/cpb/medical/data/200_299/0270.html" TargetMode="External"/><Relationship Id="rId20" Type="http://schemas.openxmlformats.org/officeDocument/2006/relationships/hyperlink" Target="https://pmc.ncbi.nlm.nih.gov/articles/PMC2361650/" TargetMode="External"/><Relationship Id="rId41" Type="http://schemas.openxmlformats.org/officeDocument/2006/relationships/hyperlink" Target="https://www.nccn.org/home/member-institutions" TargetMode="External"/><Relationship Id="rId54" Type="http://schemas.openxmlformats.org/officeDocument/2006/relationships/hyperlink" Target="https://www.gao.gov/products/gao-25-107623" TargetMode="External"/><Relationship Id="rId62" Type="http://schemas.openxmlformats.org/officeDocument/2006/relationships/hyperlink" Target="https://www.cancer.org/cancer/childhood-cancer.html" TargetMode="External"/><Relationship Id="rId70" Type="http://schemas.openxmlformats.org/officeDocument/2006/relationships/hyperlink" Target="https://www.chiamass.gov/assets/Uploads/APCD-User-Workgroup-August-26-2025.pdf" TargetMode="External"/><Relationship Id="rId75" Type="http://schemas.openxmlformats.org/officeDocument/2006/relationships/hyperlink" Target="https://www.cancer.gov/types/childhood-cancers/late-effects-pdq" TargetMode="External"/><Relationship Id="rId83" Type="http://schemas.openxmlformats.org/officeDocument/2006/relationships/hyperlink" Target="https://my.clevelandclinic.org/health/diseases/17934-sarcoma" TargetMode="External"/><Relationship Id="rId88" Type="http://schemas.openxmlformats.org/officeDocument/2006/relationships/hyperlink" Target="https://proton-therapy.org/clinical-research/" TargetMode="External"/><Relationship Id="rId91" Type="http://schemas.openxmlformats.org/officeDocument/2006/relationships/hyperlink" Target="https://pubmed.ncbi.nlm.nih.gov/31876914/" TargetMode="External"/><Relationship Id="rId96" Type="http://schemas.openxmlformats.org/officeDocument/2006/relationships/hyperlink" Target="https://www.mass.gov/files/documents/2018/12/31/jud-lib-105cmr100.pdf" TargetMode="External"/><Relationship Id="rId1" Type="http://schemas.openxmlformats.org/officeDocument/2006/relationships/hyperlink" Target="https://www.cancer.gov/research/infrastructure/cancer-centers" TargetMode="External"/><Relationship Id="rId6" Type="http://schemas.openxmlformats.org/officeDocument/2006/relationships/hyperlink" Target="https://www.cancer.org/cancer/managing-cancer/treatment-types/radiation.html" TargetMode="External"/><Relationship Id="rId15" Type="http://schemas.openxmlformats.org/officeDocument/2006/relationships/hyperlink" Target="https://www.cancer.org/cancer/managing-cancer/treatment-types/radiation.html" TargetMode="External"/><Relationship Id="rId23" Type="http://schemas.openxmlformats.org/officeDocument/2006/relationships/hyperlink" Target="https://pubmed.ncbi.nlm.nih.gov/34255347/" TargetMode="External"/><Relationship Id="rId28" Type="http://schemas.openxmlformats.org/officeDocument/2006/relationships/hyperlink" Target="https://www.mayoclinic.org/diseases-conditions/cancer/in-depth/cancer-survivor/art-20045524" TargetMode="External"/><Relationship Id="rId36" Type="http://schemas.openxmlformats.org/officeDocument/2006/relationships/hyperlink" Target="https://www.radiologyinfo.org/en/info/protonthera" TargetMode="External"/><Relationship Id="rId49" Type="http://schemas.openxmlformats.org/officeDocument/2006/relationships/hyperlink" Target="https://www.cms.gov/medicare-coverage-database/view/lcd.aspx?lcdid=35075&amp;ver=34&amp;keywordtype=starts&amp;keyword=proton&amp;bc=0" TargetMode="External"/><Relationship Id="rId57" Type="http://schemas.openxmlformats.org/officeDocument/2006/relationships/hyperlink" Target="https://www.ncbi.nlm.nih.gov/books/NBK97147/" TargetMode="External"/><Relationship Id="rId10" Type="http://schemas.openxmlformats.org/officeDocument/2006/relationships/hyperlink" Target="https://scholar.google.com/scholar_lookup?journal=Cancer&amp;title=The%20role%20of%20radiotherapy%20in%20cancer%20treatment:%20estimating%20optimal%20utilization%20from%20a%20review%20of%20evidence-based%20clinical%20guidelines&amp;author=G%20Delaney&amp;author=S%20Jacob&amp;author=C%20Featherstone&amp;author=M%20Barton&amp;volume=104&amp;publication_year=2005&amp;pages=1129-1137&amp;pmid=16080176&amp;doi=10.1002/cncr.21324&amp;" TargetMode="External"/><Relationship Id="rId31" Type="http://schemas.openxmlformats.org/officeDocument/2006/relationships/hyperlink" Target="https://www.cancer.org/cancer/managing-cancer/treatment-types/radiation/proton-therapy.html" TargetMode="External"/><Relationship Id="rId44" Type="http://schemas.openxmlformats.org/officeDocument/2006/relationships/hyperlink" Target="https://www.dana-farber.org/about/quality-safety/measure/accreditations-certifications" TargetMode="External"/><Relationship Id="rId52" Type="http://schemas.openxmlformats.org/officeDocument/2006/relationships/hyperlink" Target="https://www.cms.gov/medicare/coverage/determination-process" TargetMode="External"/><Relationship Id="rId60" Type="http://schemas.openxmlformats.org/officeDocument/2006/relationships/hyperlink" Target="https://www.mass.gov/doc/cancer-incidence-and-mortality-in-massachusetts-2016-2020-statewide-report/download" TargetMode="External"/><Relationship Id="rId65" Type="http://schemas.openxmlformats.org/officeDocument/2006/relationships/hyperlink" Target="https://www.cancer.gov/types/childhood-cancers/ccss" TargetMode="External"/><Relationship Id="rId73" Type="http://schemas.openxmlformats.org/officeDocument/2006/relationships/hyperlink" Target="https://www.cancer.org/cancer/managing-cancer/treatment-types/radiation/effects-on-different-parts-of-body.html" TargetMode="External"/><Relationship Id="rId78" Type="http://schemas.openxmlformats.org/officeDocument/2006/relationships/hyperlink" Target="https://cancerprogressreport.aacr.org/pediatric/pcpr25-contents/pcpr25-supporting-survivors-of-pediatric-cancers/" TargetMode="External"/><Relationship Id="rId81" Type="http://schemas.openxmlformats.org/officeDocument/2006/relationships/hyperlink" Target="https://my.clevelandclinic.org/health/diseases/17934-sarcoma" TargetMode="External"/><Relationship Id="rId86" Type="http://schemas.openxmlformats.org/officeDocument/2006/relationships/hyperlink" Target="https://newsnetwork.mayoclinic.org/discussion/joint-study-finds-proton-beam-therapy-helps-patients-with-throat-cancer-live-longer-with-fewer-side-effects/" TargetMode="External"/><Relationship Id="rId94" Type="http://schemas.openxmlformats.org/officeDocument/2006/relationships/hyperlink" Target="https://www.mass.gov/doc/communityengagement-guidelines-for-community-health-planning-pdf/download" TargetMode="External"/><Relationship Id="rId99" Type="http://schemas.openxmlformats.org/officeDocument/2006/relationships/hyperlink" Target="https://www.dotmed.com/news/story/58829" TargetMode="External"/><Relationship Id="rId101" Type="http://schemas.openxmlformats.org/officeDocument/2006/relationships/hyperlink" Target="https://www.ncbi.nlm.nih.gov/books/NBK577643/" TargetMode="External"/><Relationship Id="rId4" Type="http://schemas.openxmlformats.org/officeDocument/2006/relationships/hyperlink" Target="https://www.dfhcc.harvard.edu/about-dfhcc" TargetMode="External"/><Relationship Id="rId9" Type="http://schemas.openxmlformats.org/officeDocument/2006/relationships/hyperlink" Target="https://pubmed.ncbi.nlm.nih.gov/16080176/" TargetMode="External"/><Relationship Id="rId13" Type="http://schemas.openxmlformats.org/officeDocument/2006/relationships/hyperlink" Target="https://pubmed.ncbi.nlm.nih.gov/21430696/" TargetMode="External"/><Relationship Id="rId18" Type="http://schemas.openxmlformats.org/officeDocument/2006/relationships/hyperlink" Target="https://www.radiologyinfo.org/en/info/ebt" TargetMode="External"/><Relationship Id="rId39" Type="http://schemas.openxmlformats.org/officeDocument/2006/relationships/hyperlink" Target="https://www.nccn.org/guidelines" TargetMode="External"/><Relationship Id="rId34" Type="http://schemas.openxmlformats.org/officeDocument/2006/relationships/hyperlink" Target="https://www.cancercenter.com/community/blog/2021/12/whats-the-difference-proton-photon-therapy" TargetMode="External"/><Relationship Id="rId50" Type="http://schemas.openxmlformats.org/officeDocument/2006/relationships/hyperlink" Target="https://www.cms.gov/medicare-coverage-database/view/lcd.aspx?lcdid=35075&amp;ver=34&amp;keywordtype=starts&amp;keyword=proton&amp;bc=0" TargetMode="External"/><Relationship Id="rId55" Type="http://schemas.openxmlformats.org/officeDocument/2006/relationships/hyperlink" Target="https://www.gao.gov/products/gao-25-107623" TargetMode="External"/><Relationship Id="rId76" Type="http://schemas.openxmlformats.org/officeDocument/2006/relationships/hyperlink" Target="https://www.cancer.org/research/acs-research-highlights/childhood-cancer-research-highlights/longer-life-expectancy-for-childhood-cancer-survivors.html" TargetMode="External"/><Relationship Id="rId97" Type="http://schemas.openxmlformats.org/officeDocument/2006/relationships/hyperlink" Target="https://www.mass.gov/files/documents/2018/12/31/jud-lib-105cmr100.pdf" TargetMode="External"/><Relationship Id="rId7" Type="http://schemas.openxmlformats.org/officeDocument/2006/relationships/hyperlink" Target="https://pubmed.ncbi.nlm.nih.gov/16080176/" TargetMode="External"/><Relationship Id="rId71" Type="http://schemas.openxmlformats.org/officeDocument/2006/relationships/hyperlink" Target="https://www.chiamass.gov/assets/Uploads/APCD-User-Workgroup-August-26-2025.pdf" TargetMode="External"/><Relationship Id="rId92" Type="http://schemas.openxmlformats.org/officeDocument/2006/relationships/hyperlink" Target="https://pubmed.ncbi.nlm.nih.gov/29028221/" TargetMode="External"/><Relationship Id="rId2" Type="http://schemas.openxmlformats.org/officeDocument/2006/relationships/hyperlink" Target="https://www.cancer.gov/research/infrastructure/cancer-centers" TargetMode="External"/><Relationship Id="rId29" Type="http://schemas.openxmlformats.org/officeDocument/2006/relationships/hyperlink" Target="https://pmc.ncbi.nlm.nih.gov/articles/PMC7358352/" TargetMode="External"/><Relationship Id="rId24" Type="http://schemas.openxmlformats.org/officeDocument/2006/relationships/hyperlink" Target="https://pubmed.ncbi.nlm.nih.gov/34255347/" TargetMode="External"/><Relationship Id="rId40" Type="http://schemas.openxmlformats.org/officeDocument/2006/relationships/hyperlink" Target="https://url.us.m.mimecastprotect.com/s/_6DPCxky0mCGpJlmTYiQTyY_eJ?domain=google.com" TargetMode="External"/><Relationship Id="rId45" Type="http://schemas.openxmlformats.org/officeDocument/2006/relationships/hyperlink" Target="https://www.massgeneral.org/cancer-center/radiation-oncology/treatments-and-services/proton-therapy" TargetMode="External"/><Relationship Id="rId66" Type="http://schemas.openxmlformats.org/officeDocument/2006/relationships/hyperlink" Target="https://www.aetna.com/cpb/medical/data/200_299/0270.html" TargetMode="External"/><Relationship Id="rId87" Type="http://schemas.openxmlformats.org/officeDocument/2006/relationships/hyperlink" Target="https://newsnetwork.mayoclinic.org/discussion/joint-study-finds-proton-beam-therapy-helps-patients-with-throat-cancer-live-longer-with-fewer-side-effects/" TargetMode="External"/><Relationship Id="rId61" Type="http://schemas.openxmlformats.org/officeDocument/2006/relationships/hyperlink" Target="https://www.mass.gov/doc/cancer-incidence-and-mortality-in-massachusetts-2016-2020-statewide-report/download" TargetMode="External"/><Relationship Id="rId82" Type="http://schemas.openxmlformats.org/officeDocument/2006/relationships/hyperlink" Target="https://my.clevelandclinic.org/health/diseases/17934-sarcoma" TargetMode="External"/><Relationship Id="rId19" Type="http://schemas.openxmlformats.org/officeDocument/2006/relationships/hyperlink" Target="https://pmc.ncbi.nlm.nih.gov/articles/PMC2361650/" TargetMode="External"/><Relationship Id="rId14" Type="http://schemas.openxmlformats.org/officeDocument/2006/relationships/hyperlink" Target="https://scholar.google.com/scholar_lookup?journal=Nat%20Rev%20Cancer&amp;title=Strategies%20to%20improve%20radiotherapy%20with%20targeted%20drugs&amp;author=AC%20Begg&amp;author=FA%20Stewart&amp;author=C%20Vens&amp;volume=11&amp;publication_year=2011&amp;pages=239-253&amp;pmid=21430696&amp;doi=10.1038/nrc3007&amp;" TargetMode="External"/><Relationship Id="rId30" Type="http://schemas.openxmlformats.org/officeDocument/2006/relationships/hyperlink" Target="https://pmc.ncbi.nlm.nih.gov/articles/PMC7358352/" TargetMode="External"/><Relationship Id="rId35" Type="http://schemas.openxmlformats.org/officeDocument/2006/relationships/hyperlink" Target="https://www.radiologyinfo.org/en/info/protonthera" TargetMode="External"/><Relationship Id="rId56" Type="http://schemas.openxmlformats.org/officeDocument/2006/relationships/hyperlink" Target="https://www.gao.gov/products/gao-25-107623" TargetMode="External"/><Relationship Id="rId77" Type="http://schemas.openxmlformats.org/officeDocument/2006/relationships/hyperlink" Target="https://www.cancer.org/research/acs-research-highlights/childhood-cancer-research-highlights/longer-life-expectancy-for-childhood-cancer-survivors.html" TargetMode="External"/><Relationship Id="rId100" Type="http://schemas.openxmlformats.org/officeDocument/2006/relationships/hyperlink" Target="https://www.ncbi.nlm.nih.gov/books/NBK577643/" TargetMode="External"/><Relationship Id="rId8" Type="http://schemas.openxmlformats.org/officeDocument/2006/relationships/hyperlink" Target="https://doi.org/10.1002/cncr.21324" TargetMode="External"/><Relationship Id="rId51" Type="http://schemas.openxmlformats.org/officeDocument/2006/relationships/hyperlink" Target="https://www.cms.gov/medicare/coverage/determination-process" TargetMode="External"/><Relationship Id="rId72" Type="http://schemas.openxmlformats.org/officeDocument/2006/relationships/hyperlink" Target="https://www.cancer.org/cancer/managing-cancer/treatment-types/radiation/effects-on-different-parts-of-body.html" TargetMode="External"/><Relationship Id="rId93" Type="http://schemas.openxmlformats.org/officeDocument/2006/relationships/hyperlink" Target="https://pubmed.ncbi.nlm.nih.gov/29028221/" TargetMode="External"/><Relationship Id="rId98" Type="http://schemas.openxmlformats.org/officeDocument/2006/relationships/hyperlink" Target="https://www.dotmed.com/news/story/58829" TargetMode="External"/><Relationship Id="rId3" Type="http://schemas.openxmlformats.org/officeDocument/2006/relationships/hyperlink" Target="https://www.dfhcc.harvard.edu/about-dfhcc"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fci.widen.net/s/8hhnhdjfk2/financial-assistance-summary-2025.pdf" TargetMode="External"/><Relationship Id="rId3" Type="http://schemas.openxmlformats.org/officeDocument/2006/relationships/hyperlink" Target="https://proton-therapy.org/wp-content/uploads/2023/08/Screenshot-2023-08-16-at-9.04.49-AM.png" TargetMode="External"/><Relationship Id="rId7" Type="http://schemas.openxmlformats.org/officeDocument/2006/relationships/hyperlink" Target="https://www.hrc.org/resources/healthcare-equality-index" TargetMode="External"/><Relationship Id="rId2" Type="http://schemas.openxmlformats.org/officeDocument/2006/relationships/hyperlink" Target="https://www.hopkinsmedicine.org/health/treatment-tests-and-therapies/proton-therapy" TargetMode="External"/><Relationship Id="rId1" Type="http://schemas.openxmlformats.org/officeDocument/2006/relationships/hyperlink" Target="https://www.hopkinsmedicine.org/health/treatment-tests-and-therapies/proton-therapy" TargetMode="External"/><Relationship Id="rId6" Type="http://schemas.openxmlformats.org/officeDocument/2006/relationships/hyperlink" Target="https://www.hrc.org/resources/healthcare-equality-index" TargetMode="External"/><Relationship Id="rId11" Type="http://schemas.openxmlformats.org/officeDocument/2006/relationships/hyperlink" Target="https://healthcaredelivery.cancer.gov/pro-ctcae/" TargetMode="External"/><Relationship Id="rId5" Type="http://schemas.openxmlformats.org/officeDocument/2006/relationships/hyperlink" Target="https://www.gao.gov/assets/gao-15-372.pdf" TargetMode="External"/><Relationship Id="rId10" Type="http://schemas.openxmlformats.org/officeDocument/2006/relationships/hyperlink" Target="https://healthcaredelivery.cancer.gov/pro-ctcae/" TargetMode="External"/><Relationship Id="rId4" Type="http://schemas.openxmlformats.org/officeDocument/2006/relationships/hyperlink" Target="https://proton-therapy.org/wp-content/uploads/2023/08/Screenshot-2023-08-16-at-9.04.49-AM.png" TargetMode="External"/><Relationship Id="rId9" Type="http://schemas.openxmlformats.org/officeDocument/2006/relationships/hyperlink" Target="https://dfci.widen.net/s/8hhnhdjfk2/financial-assistance-summary-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E6AA6-D2FF-4393-B423-05AF53D318C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61</Pages>
  <Words>24963</Words>
  <Characters>142295</Characters>
  <Application>Microsoft Office Word</Application>
  <DocSecurity>4</DocSecurity>
  <Lines>1185</Lines>
  <Paragraphs>333</Paragraphs>
  <ScaleCrop>false</ScaleCrop>
  <HeadingPairs>
    <vt:vector size="2" baseType="variant">
      <vt:variant>
        <vt:lpstr>Title</vt:lpstr>
      </vt:variant>
      <vt:variant>
        <vt:i4>1</vt:i4>
      </vt:variant>
    </vt:vector>
  </HeadingPairs>
  <TitlesOfParts>
    <vt:vector size="1" baseType="lpstr">
      <vt:lpstr>Emerson Endoscopy Staff Report</vt:lpstr>
    </vt:vector>
  </TitlesOfParts>
  <Company/>
  <LinksUpToDate>false</LinksUpToDate>
  <CharactersWithSpaces>166925</CharactersWithSpaces>
  <SharedDoc>false</SharedDoc>
  <HLinks>
    <vt:vector size="582" baseType="variant">
      <vt:variant>
        <vt:i4>4391024</vt:i4>
      </vt:variant>
      <vt:variant>
        <vt:i4>156</vt:i4>
      </vt:variant>
      <vt:variant>
        <vt:i4>0</vt:i4>
      </vt:variant>
      <vt:variant>
        <vt:i4>5</vt:i4>
      </vt:variant>
      <vt:variant>
        <vt:lpwstr>mailto:DONCHI@Mass.gov</vt:lpwstr>
      </vt:variant>
      <vt:variant>
        <vt:lpwstr/>
      </vt:variant>
      <vt:variant>
        <vt:i4>5898347</vt:i4>
      </vt:variant>
      <vt:variant>
        <vt:i4>153</vt:i4>
      </vt:variant>
      <vt:variant>
        <vt:i4>0</vt:i4>
      </vt:variant>
      <vt:variant>
        <vt:i4>5</vt:i4>
      </vt:variant>
      <vt:variant>
        <vt:lpwstr>mailto:dongrants@hria.org</vt:lpwstr>
      </vt:variant>
      <vt:variant>
        <vt:lpwstr/>
      </vt:variant>
      <vt:variant>
        <vt:i4>4391024</vt:i4>
      </vt:variant>
      <vt:variant>
        <vt:i4>150</vt:i4>
      </vt:variant>
      <vt:variant>
        <vt:i4>0</vt:i4>
      </vt:variant>
      <vt:variant>
        <vt:i4>5</vt:i4>
      </vt:variant>
      <vt:variant>
        <vt:lpwstr>mailto:DONCHI@Mass.gov</vt:lpwstr>
      </vt:variant>
      <vt:variant>
        <vt:lpwstr/>
      </vt:variant>
      <vt:variant>
        <vt:i4>2359423</vt:i4>
      </vt:variant>
      <vt:variant>
        <vt:i4>147</vt:i4>
      </vt:variant>
      <vt:variant>
        <vt:i4>0</vt:i4>
      </vt:variant>
      <vt:variant>
        <vt:i4>5</vt:i4>
      </vt:variant>
      <vt:variant>
        <vt:lpwstr>https://www.mass.gov/info-details/dana-farber-cancer-institute-inc-hospitalclinic-substantial-capital-expenditure</vt:lpwstr>
      </vt:variant>
      <vt:variant>
        <vt:lpwstr>decision-letter</vt:lpwstr>
      </vt:variant>
      <vt:variant>
        <vt:i4>1966129</vt:i4>
      </vt:variant>
      <vt:variant>
        <vt:i4>140</vt:i4>
      </vt:variant>
      <vt:variant>
        <vt:i4>0</vt:i4>
      </vt:variant>
      <vt:variant>
        <vt:i4>5</vt:i4>
      </vt:variant>
      <vt:variant>
        <vt:lpwstr/>
      </vt:variant>
      <vt:variant>
        <vt:lpwstr>_Toc223962603</vt:lpwstr>
      </vt:variant>
      <vt:variant>
        <vt:i4>1966129</vt:i4>
      </vt:variant>
      <vt:variant>
        <vt:i4>134</vt:i4>
      </vt:variant>
      <vt:variant>
        <vt:i4>0</vt:i4>
      </vt:variant>
      <vt:variant>
        <vt:i4>5</vt:i4>
      </vt:variant>
      <vt:variant>
        <vt:lpwstr/>
      </vt:variant>
      <vt:variant>
        <vt:lpwstr>_Toc223962602</vt:lpwstr>
      </vt:variant>
      <vt:variant>
        <vt:i4>1966129</vt:i4>
      </vt:variant>
      <vt:variant>
        <vt:i4>128</vt:i4>
      </vt:variant>
      <vt:variant>
        <vt:i4>0</vt:i4>
      </vt:variant>
      <vt:variant>
        <vt:i4>5</vt:i4>
      </vt:variant>
      <vt:variant>
        <vt:lpwstr/>
      </vt:variant>
      <vt:variant>
        <vt:lpwstr>_Toc223962601</vt:lpwstr>
      </vt:variant>
      <vt:variant>
        <vt:i4>1966129</vt:i4>
      </vt:variant>
      <vt:variant>
        <vt:i4>122</vt:i4>
      </vt:variant>
      <vt:variant>
        <vt:i4>0</vt:i4>
      </vt:variant>
      <vt:variant>
        <vt:i4>5</vt:i4>
      </vt:variant>
      <vt:variant>
        <vt:lpwstr/>
      </vt:variant>
      <vt:variant>
        <vt:lpwstr>_Toc223962600</vt:lpwstr>
      </vt:variant>
      <vt:variant>
        <vt:i4>1507378</vt:i4>
      </vt:variant>
      <vt:variant>
        <vt:i4>116</vt:i4>
      </vt:variant>
      <vt:variant>
        <vt:i4>0</vt:i4>
      </vt:variant>
      <vt:variant>
        <vt:i4>5</vt:i4>
      </vt:variant>
      <vt:variant>
        <vt:lpwstr/>
      </vt:variant>
      <vt:variant>
        <vt:lpwstr>_Toc223962599</vt:lpwstr>
      </vt:variant>
      <vt:variant>
        <vt:i4>1507378</vt:i4>
      </vt:variant>
      <vt:variant>
        <vt:i4>110</vt:i4>
      </vt:variant>
      <vt:variant>
        <vt:i4>0</vt:i4>
      </vt:variant>
      <vt:variant>
        <vt:i4>5</vt:i4>
      </vt:variant>
      <vt:variant>
        <vt:lpwstr/>
      </vt:variant>
      <vt:variant>
        <vt:lpwstr>_Toc223962598</vt:lpwstr>
      </vt:variant>
      <vt:variant>
        <vt:i4>1507378</vt:i4>
      </vt:variant>
      <vt:variant>
        <vt:i4>104</vt:i4>
      </vt:variant>
      <vt:variant>
        <vt:i4>0</vt:i4>
      </vt:variant>
      <vt:variant>
        <vt:i4>5</vt:i4>
      </vt:variant>
      <vt:variant>
        <vt:lpwstr/>
      </vt:variant>
      <vt:variant>
        <vt:lpwstr>_Toc223962597</vt:lpwstr>
      </vt:variant>
      <vt:variant>
        <vt:i4>1507378</vt:i4>
      </vt:variant>
      <vt:variant>
        <vt:i4>98</vt:i4>
      </vt:variant>
      <vt:variant>
        <vt:i4>0</vt:i4>
      </vt:variant>
      <vt:variant>
        <vt:i4>5</vt:i4>
      </vt:variant>
      <vt:variant>
        <vt:lpwstr/>
      </vt:variant>
      <vt:variant>
        <vt:lpwstr>_Toc223962596</vt:lpwstr>
      </vt:variant>
      <vt:variant>
        <vt:i4>1507378</vt:i4>
      </vt:variant>
      <vt:variant>
        <vt:i4>92</vt:i4>
      </vt:variant>
      <vt:variant>
        <vt:i4>0</vt:i4>
      </vt:variant>
      <vt:variant>
        <vt:i4>5</vt:i4>
      </vt:variant>
      <vt:variant>
        <vt:lpwstr/>
      </vt:variant>
      <vt:variant>
        <vt:lpwstr>_Toc223962595</vt:lpwstr>
      </vt:variant>
      <vt:variant>
        <vt:i4>1507378</vt:i4>
      </vt:variant>
      <vt:variant>
        <vt:i4>86</vt:i4>
      </vt:variant>
      <vt:variant>
        <vt:i4>0</vt:i4>
      </vt:variant>
      <vt:variant>
        <vt:i4>5</vt:i4>
      </vt:variant>
      <vt:variant>
        <vt:lpwstr/>
      </vt:variant>
      <vt:variant>
        <vt:lpwstr>_Toc223962594</vt:lpwstr>
      </vt:variant>
      <vt:variant>
        <vt:i4>1507378</vt:i4>
      </vt:variant>
      <vt:variant>
        <vt:i4>80</vt:i4>
      </vt:variant>
      <vt:variant>
        <vt:i4>0</vt:i4>
      </vt:variant>
      <vt:variant>
        <vt:i4>5</vt:i4>
      </vt:variant>
      <vt:variant>
        <vt:lpwstr/>
      </vt:variant>
      <vt:variant>
        <vt:lpwstr>_Toc223962593</vt:lpwstr>
      </vt:variant>
      <vt:variant>
        <vt:i4>1507378</vt:i4>
      </vt:variant>
      <vt:variant>
        <vt:i4>74</vt:i4>
      </vt:variant>
      <vt:variant>
        <vt:i4>0</vt:i4>
      </vt:variant>
      <vt:variant>
        <vt:i4>5</vt:i4>
      </vt:variant>
      <vt:variant>
        <vt:lpwstr/>
      </vt:variant>
      <vt:variant>
        <vt:lpwstr>_Toc223962592</vt:lpwstr>
      </vt:variant>
      <vt:variant>
        <vt:i4>1507378</vt:i4>
      </vt:variant>
      <vt:variant>
        <vt:i4>68</vt:i4>
      </vt:variant>
      <vt:variant>
        <vt:i4>0</vt:i4>
      </vt:variant>
      <vt:variant>
        <vt:i4>5</vt:i4>
      </vt:variant>
      <vt:variant>
        <vt:lpwstr/>
      </vt:variant>
      <vt:variant>
        <vt:lpwstr>_Toc223962591</vt:lpwstr>
      </vt:variant>
      <vt:variant>
        <vt:i4>1507378</vt:i4>
      </vt:variant>
      <vt:variant>
        <vt:i4>62</vt:i4>
      </vt:variant>
      <vt:variant>
        <vt:i4>0</vt:i4>
      </vt:variant>
      <vt:variant>
        <vt:i4>5</vt:i4>
      </vt:variant>
      <vt:variant>
        <vt:lpwstr/>
      </vt:variant>
      <vt:variant>
        <vt:lpwstr>_Toc223962590</vt:lpwstr>
      </vt:variant>
      <vt:variant>
        <vt:i4>1441842</vt:i4>
      </vt:variant>
      <vt:variant>
        <vt:i4>56</vt:i4>
      </vt:variant>
      <vt:variant>
        <vt:i4>0</vt:i4>
      </vt:variant>
      <vt:variant>
        <vt:i4>5</vt:i4>
      </vt:variant>
      <vt:variant>
        <vt:lpwstr/>
      </vt:variant>
      <vt:variant>
        <vt:lpwstr>_Toc223962589</vt:lpwstr>
      </vt:variant>
      <vt:variant>
        <vt:i4>1441842</vt:i4>
      </vt:variant>
      <vt:variant>
        <vt:i4>50</vt:i4>
      </vt:variant>
      <vt:variant>
        <vt:i4>0</vt:i4>
      </vt:variant>
      <vt:variant>
        <vt:i4>5</vt:i4>
      </vt:variant>
      <vt:variant>
        <vt:lpwstr/>
      </vt:variant>
      <vt:variant>
        <vt:lpwstr>_Toc223962588</vt:lpwstr>
      </vt:variant>
      <vt:variant>
        <vt:i4>1441842</vt:i4>
      </vt:variant>
      <vt:variant>
        <vt:i4>44</vt:i4>
      </vt:variant>
      <vt:variant>
        <vt:i4>0</vt:i4>
      </vt:variant>
      <vt:variant>
        <vt:i4>5</vt:i4>
      </vt:variant>
      <vt:variant>
        <vt:lpwstr/>
      </vt:variant>
      <vt:variant>
        <vt:lpwstr>_Toc223962587</vt:lpwstr>
      </vt:variant>
      <vt:variant>
        <vt:i4>1441842</vt:i4>
      </vt:variant>
      <vt:variant>
        <vt:i4>38</vt:i4>
      </vt:variant>
      <vt:variant>
        <vt:i4>0</vt:i4>
      </vt:variant>
      <vt:variant>
        <vt:i4>5</vt:i4>
      </vt:variant>
      <vt:variant>
        <vt:lpwstr/>
      </vt:variant>
      <vt:variant>
        <vt:lpwstr>_Toc223962586</vt:lpwstr>
      </vt:variant>
      <vt:variant>
        <vt:i4>1441842</vt:i4>
      </vt:variant>
      <vt:variant>
        <vt:i4>32</vt:i4>
      </vt:variant>
      <vt:variant>
        <vt:i4>0</vt:i4>
      </vt:variant>
      <vt:variant>
        <vt:i4>5</vt:i4>
      </vt:variant>
      <vt:variant>
        <vt:lpwstr/>
      </vt:variant>
      <vt:variant>
        <vt:lpwstr>_Toc223962585</vt:lpwstr>
      </vt:variant>
      <vt:variant>
        <vt:i4>1441842</vt:i4>
      </vt:variant>
      <vt:variant>
        <vt:i4>26</vt:i4>
      </vt:variant>
      <vt:variant>
        <vt:i4>0</vt:i4>
      </vt:variant>
      <vt:variant>
        <vt:i4>5</vt:i4>
      </vt:variant>
      <vt:variant>
        <vt:lpwstr/>
      </vt:variant>
      <vt:variant>
        <vt:lpwstr>_Toc223962584</vt:lpwstr>
      </vt:variant>
      <vt:variant>
        <vt:i4>1441842</vt:i4>
      </vt:variant>
      <vt:variant>
        <vt:i4>20</vt:i4>
      </vt:variant>
      <vt:variant>
        <vt:i4>0</vt:i4>
      </vt:variant>
      <vt:variant>
        <vt:i4>5</vt:i4>
      </vt:variant>
      <vt:variant>
        <vt:lpwstr/>
      </vt:variant>
      <vt:variant>
        <vt:lpwstr>_Toc223962583</vt:lpwstr>
      </vt:variant>
      <vt:variant>
        <vt:i4>1441842</vt:i4>
      </vt:variant>
      <vt:variant>
        <vt:i4>14</vt:i4>
      </vt:variant>
      <vt:variant>
        <vt:i4>0</vt:i4>
      </vt:variant>
      <vt:variant>
        <vt:i4>5</vt:i4>
      </vt:variant>
      <vt:variant>
        <vt:lpwstr/>
      </vt:variant>
      <vt:variant>
        <vt:lpwstr>_Toc223962582</vt:lpwstr>
      </vt:variant>
      <vt:variant>
        <vt:i4>1441842</vt:i4>
      </vt:variant>
      <vt:variant>
        <vt:i4>8</vt:i4>
      </vt:variant>
      <vt:variant>
        <vt:i4>0</vt:i4>
      </vt:variant>
      <vt:variant>
        <vt:i4>5</vt:i4>
      </vt:variant>
      <vt:variant>
        <vt:lpwstr/>
      </vt:variant>
      <vt:variant>
        <vt:lpwstr>_Toc223962581</vt:lpwstr>
      </vt:variant>
      <vt:variant>
        <vt:i4>1441842</vt:i4>
      </vt:variant>
      <vt:variant>
        <vt:i4>2</vt:i4>
      </vt:variant>
      <vt:variant>
        <vt:i4>0</vt:i4>
      </vt:variant>
      <vt:variant>
        <vt:i4>5</vt:i4>
      </vt:variant>
      <vt:variant>
        <vt:lpwstr/>
      </vt:variant>
      <vt:variant>
        <vt:lpwstr>_Toc223962580</vt:lpwstr>
      </vt:variant>
      <vt:variant>
        <vt:i4>458773</vt:i4>
      </vt:variant>
      <vt:variant>
        <vt:i4>15</vt:i4>
      </vt:variant>
      <vt:variant>
        <vt:i4>0</vt:i4>
      </vt:variant>
      <vt:variant>
        <vt:i4>5</vt:i4>
      </vt:variant>
      <vt:variant>
        <vt:lpwstr>https://healthcaredelivery.cancer.gov/pro-ctcae/</vt:lpwstr>
      </vt:variant>
      <vt:variant>
        <vt:lpwstr/>
      </vt:variant>
      <vt:variant>
        <vt:i4>1179655</vt:i4>
      </vt:variant>
      <vt:variant>
        <vt:i4>12</vt:i4>
      </vt:variant>
      <vt:variant>
        <vt:i4>0</vt:i4>
      </vt:variant>
      <vt:variant>
        <vt:i4>5</vt:i4>
      </vt:variant>
      <vt:variant>
        <vt:lpwstr>https://dfci.widen.net/s/8hhnhdjfk2/financial-assistance-summary-2025.pdf</vt:lpwstr>
      </vt:variant>
      <vt:variant>
        <vt:lpwstr/>
      </vt:variant>
      <vt:variant>
        <vt:i4>3145835</vt:i4>
      </vt:variant>
      <vt:variant>
        <vt:i4>9</vt:i4>
      </vt:variant>
      <vt:variant>
        <vt:i4>0</vt:i4>
      </vt:variant>
      <vt:variant>
        <vt:i4>5</vt:i4>
      </vt:variant>
      <vt:variant>
        <vt:lpwstr>https://www.hrc.org/resources/healthcare-equality-index</vt:lpwstr>
      </vt:variant>
      <vt:variant>
        <vt:lpwstr/>
      </vt:variant>
      <vt:variant>
        <vt:i4>4915224</vt:i4>
      </vt:variant>
      <vt:variant>
        <vt:i4>6</vt:i4>
      </vt:variant>
      <vt:variant>
        <vt:i4>0</vt:i4>
      </vt:variant>
      <vt:variant>
        <vt:i4>5</vt:i4>
      </vt:variant>
      <vt:variant>
        <vt:lpwstr>https://www.gao.gov/assets/gao-15-372.pdf</vt:lpwstr>
      </vt:variant>
      <vt:variant>
        <vt:lpwstr/>
      </vt:variant>
      <vt:variant>
        <vt:i4>393307</vt:i4>
      </vt:variant>
      <vt:variant>
        <vt:i4>3</vt:i4>
      </vt:variant>
      <vt:variant>
        <vt:i4>0</vt:i4>
      </vt:variant>
      <vt:variant>
        <vt:i4>5</vt:i4>
      </vt:variant>
      <vt:variant>
        <vt:lpwstr>https://proton-therapy.org/wp-content/uploads/2023/08/Screenshot-2023-08-16-at-9.04.49-AM.png</vt:lpwstr>
      </vt:variant>
      <vt:variant>
        <vt:lpwstr/>
      </vt:variant>
      <vt:variant>
        <vt:i4>7077986</vt:i4>
      </vt:variant>
      <vt:variant>
        <vt:i4>0</vt:i4>
      </vt:variant>
      <vt:variant>
        <vt:i4>0</vt:i4>
      </vt:variant>
      <vt:variant>
        <vt:i4>5</vt:i4>
      </vt:variant>
      <vt:variant>
        <vt:lpwstr>https://www.hopkinsmedicine.org/health/treatment-tests-and-therapies/proton-therapy</vt:lpwstr>
      </vt:variant>
      <vt:variant>
        <vt:lpwstr/>
      </vt:variant>
      <vt:variant>
        <vt:i4>2031704</vt:i4>
      </vt:variant>
      <vt:variant>
        <vt:i4>186</vt:i4>
      </vt:variant>
      <vt:variant>
        <vt:i4>0</vt:i4>
      </vt:variant>
      <vt:variant>
        <vt:i4>5</vt:i4>
      </vt:variant>
      <vt:variant>
        <vt:lpwstr>https://www.ncbi.nlm.nih.gov/books/NBK577643/</vt:lpwstr>
      </vt:variant>
      <vt:variant>
        <vt:lpwstr/>
      </vt:variant>
      <vt:variant>
        <vt:i4>3473445</vt:i4>
      </vt:variant>
      <vt:variant>
        <vt:i4>183</vt:i4>
      </vt:variant>
      <vt:variant>
        <vt:i4>0</vt:i4>
      </vt:variant>
      <vt:variant>
        <vt:i4>5</vt:i4>
      </vt:variant>
      <vt:variant>
        <vt:lpwstr>https://www.dotmed.com/news/story/58829</vt:lpwstr>
      </vt:variant>
      <vt:variant>
        <vt:lpwstr/>
      </vt:variant>
      <vt:variant>
        <vt:i4>8</vt:i4>
      </vt:variant>
      <vt:variant>
        <vt:i4>180</vt:i4>
      </vt:variant>
      <vt:variant>
        <vt:i4>0</vt:i4>
      </vt:variant>
      <vt:variant>
        <vt:i4>5</vt:i4>
      </vt:variant>
      <vt:variant>
        <vt:lpwstr>https://www.mass.gov/files/documents/2018/12/31/jud-lib-105cmr100.pdf</vt:lpwstr>
      </vt:variant>
      <vt:variant>
        <vt:lpwstr/>
      </vt:variant>
      <vt:variant>
        <vt:i4>8192104</vt:i4>
      </vt:variant>
      <vt:variant>
        <vt:i4>177</vt:i4>
      </vt:variant>
      <vt:variant>
        <vt:i4>0</vt:i4>
      </vt:variant>
      <vt:variant>
        <vt:i4>5</vt:i4>
      </vt:variant>
      <vt:variant>
        <vt:lpwstr>https://www.mass.gov/doc/communityengagement-guidelines-for-community-health-planning-pdf/download</vt:lpwstr>
      </vt:variant>
      <vt:variant>
        <vt:lpwstr/>
      </vt:variant>
      <vt:variant>
        <vt:i4>131087</vt:i4>
      </vt:variant>
      <vt:variant>
        <vt:i4>174</vt:i4>
      </vt:variant>
      <vt:variant>
        <vt:i4>0</vt:i4>
      </vt:variant>
      <vt:variant>
        <vt:i4>5</vt:i4>
      </vt:variant>
      <vt:variant>
        <vt:lpwstr>https://pubmed.ncbi.nlm.nih.gov/29028221/</vt:lpwstr>
      </vt:variant>
      <vt:variant>
        <vt:lpwstr/>
      </vt:variant>
      <vt:variant>
        <vt:i4>131087</vt:i4>
      </vt:variant>
      <vt:variant>
        <vt:i4>171</vt:i4>
      </vt:variant>
      <vt:variant>
        <vt:i4>0</vt:i4>
      </vt:variant>
      <vt:variant>
        <vt:i4>5</vt:i4>
      </vt:variant>
      <vt:variant>
        <vt:lpwstr>https://pubmed.ncbi.nlm.nih.gov/29028221/</vt:lpwstr>
      </vt:variant>
      <vt:variant>
        <vt:lpwstr/>
      </vt:variant>
      <vt:variant>
        <vt:i4>65547</vt:i4>
      </vt:variant>
      <vt:variant>
        <vt:i4>168</vt:i4>
      </vt:variant>
      <vt:variant>
        <vt:i4>0</vt:i4>
      </vt:variant>
      <vt:variant>
        <vt:i4>5</vt:i4>
      </vt:variant>
      <vt:variant>
        <vt:lpwstr>https://pubmed.ncbi.nlm.nih.gov/31876914/</vt:lpwstr>
      </vt:variant>
      <vt:variant>
        <vt:lpwstr/>
      </vt:variant>
      <vt:variant>
        <vt:i4>65547</vt:i4>
      </vt:variant>
      <vt:variant>
        <vt:i4>165</vt:i4>
      </vt:variant>
      <vt:variant>
        <vt:i4>0</vt:i4>
      </vt:variant>
      <vt:variant>
        <vt:i4>5</vt:i4>
      </vt:variant>
      <vt:variant>
        <vt:lpwstr>https://pubmed.ncbi.nlm.nih.gov/31876914/</vt:lpwstr>
      </vt:variant>
      <vt:variant>
        <vt:lpwstr/>
      </vt:variant>
      <vt:variant>
        <vt:i4>5046282</vt:i4>
      </vt:variant>
      <vt:variant>
        <vt:i4>162</vt:i4>
      </vt:variant>
      <vt:variant>
        <vt:i4>0</vt:i4>
      </vt:variant>
      <vt:variant>
        <vt:i4>5</vt:i4>
      </vt:variant>
      <vt:variant>
        <vt:lpwstr>https://proton-therapy.org/clinical-research/</vt:lpwstr>
      </vt:variant>
      <vt:variant>
        <vt:lpwstr/>
      </vt:variant>
      <vt:variant>
        <vt:i4>5046282</vt:i4>
      </vt:variant>
      <vt:variant>
        <vt:i4>159</vt:i4>
      </vt:variant>
      <vt:variant>
        <vt:i4>0</vt:i4>
      </vt:variant>
      <vt:variant>
        <vt:i4>5</vt:i4>
      </vt:variant>
      <vt:variant>
        <vt:lpwstr>https://proton-therapy.org/clinical-research/</vt:lpwstr>
      </vt:variant>
      <vt:variant>
        <vt:lpwstr/>
      </vt:variant>
      <vt:variant>
        <vt:i4>3932215</vt:i4>
      </vt:variant>
      <vt:variant>
        <vt:i4>156</vt:i4>
      </vt:variant>
      <vt:variant>
        <vt:i4>0</vt:i4>
      </vt:variant>
      <vt:variant>
        <vt:i4>5</vt:i4>
      </vt:variant>
      <vt:variant>
        <vt:lpwstr>https://newsnetwork.mayoclinic.org/discussion/joint-study-finds-proton-beam-therapy-helps-patients-with-throat-cancer-live-longer-with-fewer-side-effects/</vt:lpwstr>
      </vt:variant>
      <vt:variant>
        <vt:lpwstr/>
      </vt:variant>
      <vt:variant>
        <vt:i4>5898325</vt:i4>
      </vt:variant>
      <vt:variant>
        <vt:i4>153</vt:i4>
      </vt:variant>
      <vt:variant>
        <vt:i4>0</vt:i4>
      </vt:variant>
      <vt:variant>
        <vt:i4>5</vt:i4>
      </vt:variant>
      <vt:variant>
        <vt:lpwstr>https://www.floridaproton.org/cancers-treated/sarcoma</vt:lpwstr>
      </vt:variant>
      <vt:variant>
        <vt:lpwstr/>
      </vt:variant>
      <vt:variant>
        <vt:i4>655376</vt:i4>
      </vt:variant>
      <vt:variant>
        <vt:i4>150</vt:i4>
      </vt:variant>
      <vt:variant>
        <vt:i4>0</vt:i4>
      </vt:variant>
      <vt:variant>
        <vt:i4>5</vt:i4>
      </vt:variant>
      <vt:variant>
        <vt:lpwstr>https://my.clevelandclinic.org/health/diseases/17934-sarcoma</vt:lpwstr>
      </vt:variant>
      <vt:variant>
        <vt:lpwstr/>
      </vt:variant>
      <vt:variant>
        <vt:i4>655376</vt:i4>
      </vt:variant>
      <vt:variant>
        <vt:i4>147</vt:i4>
      </vt:variant>
      <vt:variant>
        <vt:i4>0</vt:i4>
      </vt:variant>
      <vt:variant>
        <vt:i4>5</vt:i4>
      </vt:variant>
      <vt:variant>
        <vt:lpwstr>https://my.clevelandclinic.org/health/diseases/17934-sarcoma</vt:lpwstr>
      </vt:variant>
      <vt:variant>
        <vt:lpwstr/>
      </vt:variant>
      <vt:variant>
        <vt:i4>7143476</vt:i4>
      </vt:variant>
      <vt:variant>
        <vt:i4>144</vt:i4>
      </vt:variant>
      <vt:variant>
        <vt:i4>0</vt:i4>
      </vt:variant>
      <vt:variant>
        <vt:i4>5</vt:i4>
      </vt:variant>
      <vt:variant>
        <vt:lpwstr>https://cancerprogressreport.aacr.org/pediatric/pcpr25-contents/pcpr25-supporting-survivors-of-pediatric-cancers/</vt:lpwstr>
      </vt:variant>
      <vt:variant>
        <vt:lpwstr>:~:text=As%20of%202022%20(the%20most,of%20their%20cancer%20and%20treatment</vt:lpwstr>
      </vt:variant>
      <vt:variant>
        <vt:i4>6684705</vt:i4>
      </vt:variant>
      <vt:variant>
        <vt:i4>141</vt:i4>
      </vt:variant>
      <vt:variant>
        <vt:i4>0</vt:i4>
      </vt:variant>
      <vt:variant>
        <vt:i4>5</vt:i4>
      </vt:variant>
      <vt:variant>
        <vt:lpwstr>https://www.cancer.org/research/acs-research-highlights/childhood-cancer-research-highlights/longer-life-expectancy-for-childhood-cancer-survivors.html</vt:lpwstr>
      </vt:variant>
      <vt:variant>
        <vt:lpwstr/>
      </vt:variant>
      <vt:variant>
        <vt:i4>2818147</vt:i4>
      </vt:variant>
      <vt:variant>
        <vt:i4>138</vt:i4>
      </vt:variant>
      <vt:variant>
        <vt:i4>0</vt:i4>
      </vt:variant>
      <vt:variant>
        <vt:i4>5</vt:i4>
      </vt:variant>
      <vt:variant>
        <vt:lpwstr>https://www.cancer.gov/types/childhood-cancers/late-effects-pdq</vt:lpwstr>
      </vt:variant>
      <vt:variant>
        <vt:lpwstr/>
      </vt:variant>
      <vt:variant>
        <vt:i4>5767240</vt:i4>
      </vt:variant>
      <vt:variant>
        <vt:i4>135</vt:i4>
      </vt:variant>
      <vt:variant>
        <vt:i4>0</vt:i4>
      </vt:variant>
      <vt:variant>
        <vt:i4>5</vt:i4>
      </vt:variant>
      <vt:variant>
        <vt:lpwstr>https://www.cancer.org/cancer/managing-cancer/treatment-types/radiation/effects-on-different-parts-of-body.html</vt:lpwstr>
      </vt:variant>
      <vt:variant>
        <vt:lpwstr>:~:text=Redness,that%20looks%20sunburned%20or%20tanned</vt:lpwstr>
      </vt:variant>
      <vt:variant>
        <vt:i4>2097187</vt:i4>
      </vt:variant>
      <vt:variant>
        <vt:i4>132</vt:i4>
      </vt:variant>
      <vt:variant>
        <vt:i4>0</vt:i4>
      </vt:variant>
      <vt:variant>
        <vt:i4>5</vt:i4>
      </vt:variant>
      <vt:variant>
        <vt:lpwstr>https://www.chiamass.gov/assets/Uploads/APCD-User-Workgroup-August-26-2025.pdf</vt:lpwstr>
      </vt:variant>
      <vt:variant>
        <vt:lpwstr/>
      </vt:variant>
      <vt:variant>
        <vt:i4>2097187</vt:i4>
      </vt:variant>
      <vt:variant>
        <vt:i4>129</vt:i4>
      </vt:variant>
      <vt:variant>
        <vt:i4>0</vt:i4>
      </vt:variant>
      <vt:variant>
        <vt:i4>5</vt:i4>
      </vt:variant>
      <vt:variant>
        <vt:lpwstr>https://www.chiamass.gov/assets/Uploads/APCD-User-Workgroup-August-26-2025.pdf</vt:lpwstr>
      </vt:variant>
      <vt:variant>
        <vt:lpwstr/>
      </vt:variant>
      <vt:variant>
        <vt:i4>3145831</vt:i4>
      </vt:variant>
      <vt:variant>
        <vt:i4>126</vt:i4>
      </vt:variant>
      <vt:variant>
        <vt:i4>0</vt:i4>
      </vt:variant>
      <vt:variant>
        <vt:i4>5</vt:i4>
      </vt:variant>
      <vt:variant>
        <vt:lpwstr>https://www.cancer.gov/types/childhood-cancers/ccss</vt:lpwstr>
      </vt:variant>
      <vt:variant>
        <vt:lpwstr/>
      </vt:variant>
      <vt:variant>
        <vt:i4>524289</vt:i4>
      </vt:variant>
      <vt:variant>
        <vt:i4>123</vt:i4>
      </vt:variant>
      <vt:variant>
        <vt:i4>0</vt:i4>
      </vt:variant>
      <vt:variant>
        <vt:i4>5</vt:i4>
      </vt:variant>
      <vt:variant>
        <vt:lpwstr>https://www.cancer.org/cancer/childhood-cancer.html</vt:lpwstr>
      </vt:variant>
      <vt:variant>
        <vt:lpwstr>:~:text=Key%20Statistics,and%20Diagnosing%20Cancer%20in%20Children</vt:lpwstr>
      </vt:variant>
      <vt:variant>
        <vt:i4>4521991</vt:i4>
      </vt:variant>
      <vt:variant>
        <vt:i4>120</vt:i4>
      </vt:variant>
      <vt:variant>
        <vt:i4>0</vt:i4>
      </vt:variant>
      <vt:variant>
        <vt:i4>5</vt:i4>
      </vt:variant>
      <vt:variant>
        <vt:lpwstr>https://www.mass.gov/doc/cancer-incidence-and-mortality-in-massachusetts-2016-2020-statewide-report/download</vt:lpwstr>
      </vt:variant>
      <vt:variant>
        <vt:lpwstr/>
      </vt:variant>
      <vt:variant>
        <vt:i4>6946918</vt:i4>
      </vt:variant>
      <vt:variant>
        <vt:i4>117</vt:i4>
      </vt:variant>
      <vt:variant>
        <vt:i4>0</vt:i4>
      </vt:variant>
      <vt:variant>
        <vt:i4>5</vt:i4>
      </vt:variant>
      <vt:variant>
        <vt:lpwstr>https://www.cdc.gov/nchs/state-stats/states/ma.html</vt:lpwstr>
      </vt:variant>
      <vt:variant>
        <vt:lpwstr>cdc_data_surveillance_section_3-leading-causes-of-death</vt:lpwstr>
      </vt:variant>
      <vt:variant>
        <vt:i4>65617</vt:i4>
      </vt:variant>
      <vt:variant>
        <vt:i4>114</vt:i4>
      </vt:variant>
      <vt:variant>
        <vt:i4>0</vt:i4>
      </vt:variant>
      <vt:variant>
        <vt:i4>5</vt:i4>
      </vt:variant>
      <vt:variant>
        <vt:lpwstr>https://www.ncbi.nlm.nih.gov/books/NBK97147/</vt:lpwstr>
      </vt:variant>
      <vt:variant>
        <vt:lpwstr/>
      </vt:variant>
      <vt:variant>
        <vt:i4>5177363</vt:i4>
      </vt:variant>
      <vt:variant>
        <vt:i4>111</vt:i4>
      </vt:variant>
      <vt:variant>
        <vt:i4>0</vt:i4>
      </vt:variant>
      <vt:variant>
        <vt:i4>5</vt:i4>
      </vt:variant>
      <vt:variant>
        <vt:lpwstr>https://www.gao.gov/products/gao-25-107623</vt:lpwstr>
      </vt:variant>
      <vt:variant>
        <vt:lpwstr>:~:text=The%20Centers%20for%20Medicare%20&amp;%20Medicaid,an%20illness%20or%20other%20condition</vt:lpwstr>
      </vt:variant>
      <vt:variant>
        <vt:i4>5177363</vt:i4>
      </vt:variant>
      <vt:variant>
        <vt:i4>108</vt:i4>
      </vt:variant>
      <vt:variant>
        <vt:i4>0</vt:i4>
      </vt:variant>
      <vt:variant>
        <vt:i4>5</vt:i4>
      </vt:variant>
      <vt:variant>
        <vt:lpwstr>https://www.gao.gov/products/gao-25-107623</vt:lpwstr>
      </vt:variant>
      <vt:variant>
        <vt:lpwstr>:~:text=The%20Centers%20for%20Medicare%20&amp;%20Medicaid,an%20illness%20or%20other%20condition</vt:lpwstr>
      </vt:variant>
      <vt:variant>
        <vt:i4>7012463</vt:i4>
      </vt:variant>
      <vt:variant>
        <vt:i4>105</vt:i4>
      </vt:variant>
      <vt:variant>
        <vt:i4>0</vt:i4>
      </vt:variant>
      <vt:variant>
        <vt:i4>5</vt:i4>
      </vt:variant>
      <vt:variant>
        <vt:lpwstr>https://www.cms.gov/medicare/coverage/determination-process</vt:lpwstr>
      </vt:variant>
      <vt:variant>
        <vt:lpwstr>:~:text=Medicare%20coverage%20is%20limited%20to,Security%20Act%20(the%20Act)</vt:lpwstr>
      </vt:variant>
      <vt:variant>
        <vt:i4>7012412</vt:i4>
      </vt:variant>
      <vt:variant>
        <vt:i4>102</vt:i4>
      </vt:variant>
      <vt:variant>
        <vt:i4>0</vt:i4>
      </vt:variant>
      <vt:variant>
        <vt:i4>5</vt:i4>
      </vt:variant>
      <vt:variant>
        <vt:lpwstr>https://www.cms.gov/medicare-coverage-database/view/lcd.aspx?lcdid=35075&amp;ver=34&amp;keywordtype=starts&amp;keyword=proton&amp;bc=0</vt:lpwstr>
      </vt:variant>
      <vt:variant>
        <vt:lpwstr/>
      </vt:variant>
      <vt:variant>
        <vt:i4>1638424</vt:i4>
      </vt:variant>
      <vt:variant>
        <vt:i4>99</vt:i4>
      </vt:variant>
      <vt:variant>
        <vt:i4>0</vt:i4>
      </vt:variant>
      <vt:variant>
        <vt:i4>5</vt:i4>
      </vt:variant>
      <vt:variant>
        <vt:lpwstr>https://www.who.int/news/item/05-03-2021-new-who-iaea-publication-provides-guidance-on-radiotherapy-equipment-to-fight-cancer</vt:lpwstr>
      </vt:variant>
      <vt:variant>
        <vt:lpwstr/>
      </vt:variant>
      <vt:variant>
        <vt:i4>7864419</vt:i4>
      </vt:variant>
      <vt:variant>
        <vt:i4>96</vt:i4>
      </vt:variant>
      <vt:variant>
        <vt:i4>0</vt:i4>
      </vt:variant>
      <vt:variant>
        <vt:i4>5</vt:i4>
      </vt:variant>
      <vt:variant>
        <vt:lpwstr>https://www.massgeneral.org/cancer-center/radiation-oncology/treatments-and-services/proton-therapy</vt:lpwstr>
      </vt:variant>
      <vt:variant>
        <vt:lpwstr/>
      </vt:variant>
      <vt:variant>
        <vt:i4>6946943</vt:i4>
      </vt:variant>
      <vt:variant>
        <vt:i4>93</vt:i4>
      </vt:variant>
      <vt:variant>
        <vt:i4>0</vt:i4>
      </vt:variant>
      <vt:variant>
        <vt:i4>5</vt:i4>
      </vt:variant>
      <vt:variant>
        <vt:lpwstr>https://www.dana-farber.org/about/quality-safety/measure/accreditations-certifications</vt:lpwstr>
      </vt:variant>
      <vt:variant>
        <vt:lpwstr/>
      </vt:variant>
      <vt:variant>
        <vt:i4>1245193</vt:i4>
      </vt:variant>
      <vt:variant>
        <vt:i4>90</vt:i4>
      </vt:variant>
      <vt:variant>
        <vt:i4>0</vt:i4>
      </vt:variant>
      <vt:variant>
        <vt:i4>5</vt:i4>
      </vt:variant>
      <vt:variant>
        <vt:lpwstr>https://www.nccn.org/home/member-institutions</vt:lpwstr>
      </vt:variant>
      <vt:variant>
        <vt:lpwstr/>
      </vt:variant>
      <vt:variant>
        <vt:i4>4390988</vt:i4>
      </vt:variant>
      <vt:variant>
        <vt:i4>87</vt:i4>
      </vt:variant>
      <vt:variant>
        <vt:i4>0</vt:i4>
      </vt:variant>
      <vt:variant>
        <vt:i4>5</vt:i4>
      </vt:variant>
      <vt:variant>
        <vt:lpwstr>https://url.us.m.mimecastprotect.com/s/_6DPCxky0mCGpJlmTYiQTyY_eJ?domain=google.com</vt:lpwstr>
      </vt:variant>
      <vt:variant>
        <vt:lpwstr/>
      </vt:variant>
      <vt:variant>
        <vt:i4>2752557</vt:i4>
      </vt:variant>
      <vt:variant>
        <vt:i4>84</vt:i4>
      </vt:variant>
      <vt:variant>
        <vt:i4>0</vt:i4>
      </vt:variant>
      <vt:variant>
        <vt:i4>5</vt:i4>
      </vt:variant>
      <vt:variant>
        <vt:lpwstr>https://www.nccn.org/guidelines</vt:lpwstr>
      </vt:variant>
      <vt:variant>
        <vt:lpwstr/>
      </vt:variant>
      <vt:variant>
        <vt:i4>2097263</vt:i4>
      </vt:variant>
      <vt:variant>
        <vt:i4>81</vt:i4>
      </vt:variant>
      <vt:variant>
        <vt:i4>0</vt:i4>
      </vt:variant>
      <vt:variant>
        <vt:i4>5</vt:i4>
      </vt:variant>
      <vt:variant>
        <vt:lpwstr>https://www.sciencedirect.com/science/article/abs/pii/S1546144015008066</vt:lpwstr>
      </vt:variant>
      <vt:variant>
        <vt:lpwstr/>
      </vt:variant>
      <vt:variant>
        <vt:i4>2097263</vt:i4>
      </vt:variant>
      <vt:variant>
        <vt:i4>78</vt:i4>
      </vt:variant>
      <vt:variant>
        <vt:i4>0</vt:i4>
      </vt:variant>
      <vt:variant>
        <vt:i4>5</vt:i4>
      </vt:variant>
      <vt:variant>
        <vt:lpwstr>https://www.sciencedirect.com/science/article/abs/pii/S1546144015008066</vt:lpwstr>
      </vt:variant>
      <vt:variant>
        <vt:lpwstr/>
      </vt:variant>
      <vt:variant>
        <vt:i4>720908</vt:i4>
      </vt:variant>
      <vt:variant>
        <vt:i4>75</vt:i4>
      </vt:variant>
      <vt:variant>
        <vt:i4>0</vt:i4>
      </vt:variant>
      <vt:variant>
        <vt:i4>5</vt:i4>
      </vt:variant>
      <vt:variant>
        <vt:lpwstr>https://www.radiologyinfo.org/en/info/protonthera</vt:lpwstr>
      </vt:variant>
      <vt:variant>
        <vt:lpwstr/>
      </vt:variant>
      <vt:variant>
        <vt:i4>2556008</vt:i4>
      </vt:variant>
      <vt:variant>
        <vt:i4>72</vt:i4>
      </vt:variant>
      <vt:variant>
        <vt:i4>0</vt:i4>
      </vt:variant>
      <vt:variant>
        <vt:i4>5</vt:i4>
      </vt:variant>
      <vt:variant>
        <vt:lpwstr>https://www.cancercenter.com/community/blog/2021/12/whats-the-difference-proton-photon-therapy</vt:lpwstr>
      </vt:variant>
      <vt:variant>
        <vt:lpwstr/>
      </vt:variant>
      <vt:variant>
        <vt:i4>6815842</vt:i4>
      </vt:variant>
      <vt:variant>
        <vt:i4>69</vt:i4>
      </vt:variant>
      <vt:variant>
        <vt:i4>0</vt:i4>
      </vt:variant>
      <vt:variant>
        <vt:i4>5</vt:i4>
      </vt:variant>
      <vt:variant>
        <vt:lpwstr>https://www.cancer.org/cancer/managing-cancer/treatment-types/radiation/proton-therapy.html</vt:lpwstr>
      </vt:variant>
      <vt:variant>
        <vt:lpwstr/>
      </vt:variant>
      <vt:variant>
        <vt:i4>1966109</vt:i4>
      </vt:variant>
      <vt:variant>
        <vt:i4>66</vt:i4>
      </vt:variant>
      <vt:variant>
        <vt:i4>0</vt:i4>
      </vt:variant>
      <vt:variant>
        <vt:i4>5</vt:i4>
      </vt:variant>
      <vt:variant>
        <vt:lpwstr>https://pmc.ncbi.nlm.nih.gov/articles/PMC7358352/</vt:lpwstr>
      </vt:variant>
      <vt:variant>
        <vt:lpwstr/>
      </vt:variant>
      <vt:variant>
        <vt:i4>1966109</vt:i4>
      </vt:variant>
      <vt:variant>
        <vt:i4>63</vt:i4>
      </vt:variant>
      <vt:variant>
        <vt:i4>0</vt:i4>
      </vt:variant>
      <vt:variant>
        <vt:i4>5</vt:i4>
      </vt:variant>
      <vt:variant>
        <vt:lpwstr>https://pmc.ncbi.nlm.nih.gov/articles/PMC7358352/</vt:lpwstr>
      </vt:variant>
      <vt:variant>
        <vt:lpwstr/>
      </vt:variant>
      <vt:variant>
        <vt:i4>852040</vt:i4>
      </vt:variant>
      <vt:variant>
        <vt:i4>60</vt:i4>
      </vt:variant>
      <vt:variant>
        <vt:i4>0</vt:i4>
      </vt:variant>
      <vt:variant>
        <vt:i4>5</vt:i4>
      </vt:variant>
      <vt:variant>
        <vt:lpwstr>https://www.mayoclinic.org/diseases-conditions/cancer/in-depth/cancer-survivor/art-20045524</vt:lpwstr>
      </vt:variant>
      <vt:variant>
        <vt:lpwstr>:~:text=Bone%20problems%2C%20such%20as%20joint,late%20effects%20of%20cancer%20treatment</vt:lpwstr>
      </vt:variant>
      <vt:variant>
        <vt:i4>2359353</vt:i4>
      </vt:variant>
      <vt:variant>
        <vt:i4>57</vt:i4>
      </vt:variant>
      <vt:variant>
        <vt:i4>0</vt:i4>
      </vt:variant>
      <vt:variant>
        <vt:i4>5</vt:i4>
      </vt:variant>
      <vt:variant>
        <vt:lpwstr>https://pmc.ncbi.nlm.nih.gov/articles/PMC9139402/</vt:lpwstr>
      </vt:variant>
      <vt:variant>
        <vt:lpwstr>B4-cancers-14-02444</vt:lpwstr>
      </vt:variant>
      <vt:variant>
        <vt:i4>983047</vt:i4>
      </vt:variant>
      <vt:variant>
        <vt:i4>54</vt:i4>
      </vt:variant>
      <vt:variant>
        <vt:i4>0</vt:i4>
      </vt:variant>
      <vt:variant>
        <vt:i4>5</vt:i4>
      </vt:variant>
      <vt:variant>
        <vt:lpwstr>https://pubmed.ncbi.nlm.nih.gov/34255347/</vt:lpwstr>
      </vt:variant>
      <vt:variant>
        <vt:lpwstr/>
      </vt:variant>
      <vt:variant>
        <vt:i4>983047</vt:i4>
      </vt:variant>
      <vt:variant>
        <vt:i4>51</vt:i4>
      </vt:variant>
      <vt:variant>
        <vt:i4>0</vt:i4>
      </vt:variant>
      <vt:variant>
        <vt:i4>5</vt:i4>
      </vt:variant>
      <vt:variant>
        <vt:lpwstr>https://pubmed.ncbi.nlm.nih.gov/34255347/</vt:lpwstr>
      </vt:variant>
      <vt:variant>
        <vt:lpwstr/>
      </vt:variant>
      <vt:variant>
        <vt:i4>2031636</vt:i4>
      </vt:variant>
      <vt:variant>
        <vt:i4>48</vt:i4>
      </vt:variant>
      <vt:variant>
        <vt:i4>0</vt:i4>
      </vt:variant>
      <vt:variant>
        <vt:i4>5</vt:i4>
      </vt:variant>
      <vt:variant>
        <vt:lpwstr>https://pmc.ncbi.nlm.nih.gov/articles/PMC2361650/</vt:lpwstr>
      </vt:variant>
      <vt:variant>
        <vt:lpwstr/>
      </vt:variant>
      <vt:variant>
        <vt:i4>2031636</vt:i4>
      </vt:variant>
      <vt:variant>
        <vt:i4>45</vt:i4>
      </vt:variant>
      <vt:variant>
        <vt:i4>0</vt:i4>
      </vt:variant>
      <vt:variant>
        <vt:i4>5</vt:i4>
      </vt:variant>
      <vt:variant>
        <vt:lpwstr>https://pmc.ncbi.nlm.nih.gov/articles/PMC2361650/</vt:lpwstr>
      </vt:variant>
      <vt:variant>
        <vt:lpwstr/>
      </vt:variant>
      <vt:variant>
        <vt:i4>2031636</vt:i4>
      </vt:variant>
      <vt:variant>
        <vt:i4>42</vt:i4>
      </vt:variant>
      <vt:variant>
        <vt:i4>0</vt:i4>
      </vt:variant>
      <vt:variant>
        <vt:i4>5</vt:i4>
      </vt:variant>
      <vt:variant>
        <vt:lpwstr>https://pmc.ncbi.nlm.nih.gov/articles/PMC2361650/</vt:lpwstr>
      </vt:variant>
      <vt:variant>
        <vt:lpwstr/>
      </vt:variant>
      <vt:variant>
        <vt:i4>2031636</vt:i4>
      </vt:variant>
      <vt:variant>
        <vt:i4>39</vt:i4>
      </vt:variant>
      <vt:variant>
        <vt:i4>0</vt:i4>
      </vt:variant>
      <vt:variant>
        <vt:i4>5</vt:i4>
      </vt:variant>
      <vt:variant>
        <vt:lpwstr>https://pmc.ncbi.nlm.nih.gov/articles/PMC2361650/</vt:lpwstr>
      </vt:variant>
      <vt:variant>
        <vt:lpwstr/>
      </vt:variant>
      <vt:variant>
        <vt:i4>4128817</vt:i4>
      </vt:variant>
      <vt:variant>
        <vt:i4>36</vt:i4>
      </vt:variant>
      <vt:variant>
        <vt:i4>0</vt:i4>
      </vt:variant>
      <vt:variant>
        <vt:i4>5</vt:i4>
      </vt:variant>
      <vt:variant>
        <vt:lpwstr>https://www.radiologyinfo.org/en/info/ebt</vt:lpwstr>
      </vt:variant>
      <vt:variant>
        <vt:lpwstr>:~:text=External%20beam%20therapy%20(EBT)%20is,pain%20caused%20by%20the%20tumor</vt:lpwstr>
      </vt:variant>
      <vt:variant>
        <vt:i4>1376266</vt:i4>
      </vt:variant>
      <vt:variant>
        <vt:i4>33</vt:i4>
      </vt:variant>
      <vt:variant>
        <vt:i4>0</vt:i4>
      </vt:variant>
      <vt:variant>
        <vt:i4>5</vt:i4>
      </vt:variant>
      <vt:variant>
        <vt:lpwstr>https://www.cancer.org/cancer/managing-cancer/treatment-types/radiation.html</vt:lpwstr>
      </vt:variant>
      <vt:variant>
        <vt:lpwstr/>
      </vt:variant>
      <vt:variant>
        <vt:i4>6684786</vt:i4>
      </vt:variant>
      <vt:variant>
        <vt:i4>30</vt:i4>
      </vt:variant>
      <vt:variant>
        <vt:i4>0</vt:i4>
      </vt:variant>
      <vt:variant>
        <vt:i4>5</vt:i4>
      </vt:variant>
      <vt:variant>
        <vt:lpwstr>https://scholar.google.com/scholar_lookup?journal=Nat%20Rev%20Cancer&amp;title=Strategies%20to%20improve%20radiotherapy%20with%20targeted%20drugs&amp;author=AC%20Begg&amp;author=FA%20Stewart&amp;author=C%20Vens&amp;volume=11&amp;publication_year=2011&amp;pages=239-253&amp;pmid=21430696&amp;doi=10.1038/nrc3007&amp;</vt:lpwstr>
      </vt:variant>
      <vt:variant>
        <vt:lpwstr/>
      </vt:variant>
      <vt:variant>
        <vt:i4>524296</vt:i4>
      </vt:variant>
      <vt:variant>
        <vt:i4>27</vt:i4>
      </vt:variant>
      <vt:variant>
        <vt:i4>0</vt:i4>
      </vt:variant>
      <vt:variant>
        <vt:i4>5</vt:i4>
      </vt:variant>
      <vt:variant>
        <vt:lpwstr>https://pubmed.ncbi.nlm.nih.gov/21430696/</vt:lpwstr>
      </vt:variant>
      <vt:variant>
        <vt:lpwstr/>
      </vt:variant>
      <vt:variant>
        <vt:i4>6357103</vt:i4>
      </vt:variant>
      <vt:variant>
        <vt:i4>24</vt:i4>
      </vt:variant>
      <vt:variant>
        <vt:i4>0</vt:i4>
      </vt:variant>
      <vt:variant>
        <vt:i4>5</vt:i4>
      </vt:variant>
      <vt:variant>
        <vt:lpwstr>https://doi.org/10.1038/nrc3007</vt:lpwstr>
      </vt:variant>
      <vt:variant>
        <vt:lpwstr/>
      </vt:variant>
      <vt:variant>
        <vt:i4>524296</vt:i4>
      </vt:variant>
      <vt:variant>
        <vt:i4>21</vt:i4>
      </vt:variant>
      <vt:variant>
        <vt:i4>0</vt:i4>
      </vt:variant>
      <vt:variant>
        <vt:i4>5</vt:i4>
      </vt:variant>
      <vt:variant>
        <vt:lpwstr>https://pubmed.ncbi.nlm.nih.gov/21430696/</vt:lpwstr>
      </vt:variant>
      <vt:variant>
        <vt:lpwstr/>
      </vt:variant>
      <vt:variant>
        <vt:i4>7929943</vt:i4>
      </vt:variant>
      <vt:variant>
        <vt:i4>18</vt:i4>
      </vt:variant>
      <vt:variant>
        <vt:i4>0</vt:i4>
      </vt:variant>
      <vt:variant>
        <vt:i4>5</vt:i4>
      </vt:variant>
      <vt:variant>
        <vt:lpwstr>https://scholar.google.com/scholar_lookup?journal=Cancer&amp;title=The%20role%20of%20radiotherapy%20in%20cancer%20treatment:%20estimating%20optimal%20utilization%20from%20a%20review%20of%20evidence-based%20clinical%20guidelines&amp;author=G%20Delaney&amp;author=S%20Jacob&amp;author=C%20Featherstone&amp;author=M%20Barton&amp;volume=104&amp;publication_year=2005&amp;pages=1129-1137&amp;pmid=16080176&amp;doi=10.1002/cncr.21324&amp;</vt:lpwstr>
      </vt:variant>
      <vt:variant>
        <vt:lpwstr/>
      </vt:variant>
      <vt:variant>
        <vt:i4>196609</vt:i4>
      </vt:variant>
      <vt:variant>
        <vt:i4>15</vt:i4>
      </vt:variant>
      <vt:variant>
        <vt:i4>0</vt:i4>
      </vt:variant>
      <vt:variant>
        <vt:i4>5</vt:i4>
      </vt:variant>
      <vt:variant>
        <vt:lpwstr>https://pubmed.ncbi.nlm.nih.gov/16080176/</vt:lpwstr>
      </vt:variant>
      <vt:variant>
        <vt:lpwstr/>
      </vt:variant>
      <vt:variant>
        <vt:i4>3801205</vt:i4>
      </vt:variant>
      <vt:variant>
        <vt:i4>12</vt:i4>
      </vt:variant>
      <vt:variant>
        <vt:i4>0</vt:i4>
      </vt:variant>
      <vt:variant>
        <vt:i4>5</vt:i4>
      </vt:variant>
      <vt:variant>
        <vt:lpwstr>https://doi.org/10.1002/cncr.21324</vt:lpwstr>
      </vt:variant>
      <vt:variant>
        <vt:lpwstr/>
      </vt:variant>
      <vt:variant>
        <vt:i4>196609</vt:i4>
      </vt:variant>
      <vt:variant>
        <vt:i4>9</vt:i4>
      </vt:variant>
      <vt:variant>
        <vt:i4>0</vt:i4>
      </vt:variant>
      <vt:variant>
        <vt:i4>5</vt:i4>
      </vt:variant>
      <vt:variant>
        <vt:lpwstr>https://pubmed.ncbi.nlm.nih.gov/16080176/</vt:lpwstr>
      </vt:variant>
      <vt:variant>
        <vt:lpwstr/>
      </vt:variant>
      <vt:variant>
        <vt:i4>1376266</vt:i4>
      </vt:variant>
      <vt:variant>
        <vt:i4>6</vt:i4>
      </vt:variant>
      <vt:variant>
        <vt:i4>0</vt:i4>
      </vt:variant>
      <vt:variant>
        <vt:i4>5</vt:i4>
      </vt:variant>
      <vt:variant>
        <vt:lpwstr>https://www.cancer.org/cancer/managing-cancer/treatment-types/radiation.html</vt:lpwstr>
      </vt:variant>
      <vt:variant>
        <vt:lpwstr/>
      </vt:variant>
      <vt:variant>
        <vt:i4>3473456</vt:i4>
      </vt:variant>
      <vt:variant>
        <vt:i4>3</vt:i4>
      </vt:variant>
      <vt:variant>
        <vt:i4>0</vt:i4>
      </vt:variant>
      <vt:variant>
        <vt:i4>5</vt:i4>
      </vt:variant>
      <vt:variant>
        <vt:lpwstr>https://www.dfhcc.harvard.edu/about-dfhcc</vt:lpwstr>
      </vt:variant>
      <vt:variant>
        <vt:lpwstr>:~:text=Today%2C%20more%20than%201%2C100%20DF,realizing%20a%20world%20without%20cancer</vt:lpwstr>
      </vt:variant>
      <vt:variant>
        <vt:i4>5046274</vt:i4>
      </vt:variant>
      <vt:variant>
        <vt:i4>0</vt:i4>
      </vt:variant>
      <vt:variant>
        <vt:i4>0</vt:i4>
      </vt:variant>
      <vt:variant>
        <vt:i4>5</vt:i4>
      </vt:variant>
      <vt:variant>
        <vt:lpwstr>https://www.cancer.gov/research/infrastructure/cancer-centers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DFCI Proton Staff Report</dc:title>
  <dc:subject/>
  <dc:creator>Lynn</dc:creator>
  <cp:keywords/>
  <cp:lastModifiedBy>Jacob, John (DPH)</cp:lastModifiedBy>
  <cp:revision>2</cp:revision>
  <cp:lastPrinted>2026-03-10T02:44:00Z</cp:lastPrinted>
  <dcterms:created xsi:type="dcterms:W3CDTF">2026-03-09T21:33:00Z</dcterms:created>
  <dcterms:modified xsi:type="dcterms:W3CDTF">2026-03-09T21:33:00Z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2021-01-06T00:00:00Z</vt:filetime>
  </property>
  <property fmtid="{D5CDD505-2E9C-101B-9397-08002B2CF9AE}" pid="3" name="Creator">
    <vt:lpwstr>Acrobat PDFMaker 17 for Word</vt:lpwstr>
  </property>
  <property fmtid="{D5CDD505-2E9C-101B-9397-08002B2CF9AE}" pid="4" name="LastSaved">
    <vt:filetime>2021-01-08T00:00:00Z</vt:filetime>
  </property>
</Properties>
</file>