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5000" w:type="pct"/>
        <w:tblLook w:val="04A0" w:firstRow="1" w:lastRow="0" w:firstColumn="1" w:lastColumn="0" w:noHBand="0" w:noVBand="1"/>
      </w:tblPr>
      <w:tblGrid>
        <w:gridCol w:w="4580"/>
        <w:gridCol w:w="5490"/>
      </w:tblGrid>
      <w:tr w:rsidR="008C0709" w:rsidRPr="00241F83" w14:paraId="54D2F9A9" w14:textId="77777777" w:rsidTr="00EB4EC0">
        <w:trPr>
          <w:cantSplit/>
          <w:trHeight w:val="247"/>
        </w:trPr>
        <w:tc>
          <w:tcPr>
            <w:tcW w:w="5000" w:type="pct"/>
            <w:gridSpan w:val="2"/>
            <w:shd w:val="clear" w:color="auto" w:fill="DFE3F0" w:themeFill="accent1" w:themeFillTint="33"/>
            <w:vAlign w:val="center"/>
          </w:tcPr>
          <w:p w14:paraId="2265F84B" w14:textId="6406A8EE" w:rsidR="008C0709" w:rsidRPr="00241F83" w:rsidRDefault="008C0709" w:rsidP="00EA38CA">
            <w:pPr>
              <w:pStyle w:val="NoSpacing"/>
              <w:ind w:right="540"/>
              <w:contextualSpacing/>
              <w:jc w:val="center"/>
              <w:rPr>
                <w:rFonts w:cstheme="minorHAnsi"/>
                <w:b/>
                <w:sz w:val="24"/>
                <w:szCs w:val="24"/>
              </w:rPr>
            </w:pPr>
            <w:r w:rsidRPr="00241F83">
              <w:rPr>
                <w:rFonts w:cstheme="minorHAnsi"/>
                <w:b/>
                <w:sz w:val="24"/>
                <w:szCs w:val="24"/>
              </w:rPr>
              <w:t>STAFF REPORT TO THE PUBLIC HEALTH COUNCIL</w:t>
            </w:r>
          </w:p>
          <w:p w14:paraId="450CAE11" w14:textId="77777777" w:rsidR="008C0709" w:rsidRPr="00241F83" w:rsidRDefault="008C0709" w:rsidP="00EA38CA">
            <w:pPr>
              <w:pStyle w:val="Header"/>
              <w:ind w:right="540"/>
              <w:contextualSpacing/>
              <w:jc w:val="center"/>
              <w:rPr>
                <w:rFonts w:cstheme="minorHAnsi"/>
                <w:b/>
                <w:sz w:val="24"/>
                <w:szCs w:val="24"/>
              </w:rPr>
            </w:pPr>
            <w:r w:rsidRPr="00241F83">
              <w:rPr>
                <w:rFonts w:cstheme="minorHAnsi"/>
                <w:b/>
                <w:sz w:val="24"/>
                <w:szCs w:val="24"/>
              </w:rPr>
              <w:t>FOR A DETERMINATION OF NEED</w:t>
            </w:r>
          </w:p>
          <w:p w14:paraId="3CF31755" w14:textId="77777777" w:rsidR="000C3F4E" w:rsidRPr="00241F83" w:rsidRDefault="000C3F4E" w:rsidP="00EA38CA">
            <w:pPr>
              <w:pStyle w:val="Header"/>
              <w:ind w:right="540"/>
              <w:contextualSpacing/>
              <w:jc w:val="center"/>
              <w:rPr>
                <w:rFonts w:cstheme="minorHAnsi"/>
                <w:b/>
                <w:sz w:val="24"/>
                <w:szCs w:val="24"/>
              </w:rPr>
            </w:pPr>
          </w:p>
        </w:tc>
      </w:tr>
      <w:tr w:rsidR="008C0709" w:rsidRPr="00241F83" w14:paraId="0364E9B1" w14:textId="77777777" w:rsidTr="00EB4EC0">
        <w:trPr>
          <w:cantSplit/>
          <w:trHeight w:val="292"/>
        </w:trPr>
        <w:tc>
          <w:tcPr>
            <w:tcW w:w="2274" w:type="pct"/>
            <w:shd w:val="clear" w:color="auto" w:fill="auto"/>
            <w:vAlign w:val="center"/>
          </w:tcPr>
          <w:p w14:paraId="3CC0A3CF" w14:textId="77777777" w:rsidR="008C0709" w:rsidRPr="00241F83" w:rsidRDefault="008C0709" w:rsidP="00EA38CA">
            <w:pPr>
              <w:ind w:right="540"/>
              <w:contextualSpacing/>
              <w:rPr>
                <w:rFonts w:cstheme="minorHAnsi"/>
                <w:sz w:val="24"/>
                <w:szCs w:val="24"/>
              </w:rPr>
            </w:pPr>
            <w:r w:rsidRPr="00241F83">
              <w:rPr>
                <w:rFonts w:cstheme="minorHAnsi"/>
                <w:sz w:val="24"/>
                <w:szCs w:val="24"/>
              </w:rPr>
              <w:t xml:space="preserve">Applicant Name </w:t>
            </w:r>
          </w:p>
        </w:tc>
        <w:tc>
          <w:tcPr>
            <w:tcW w:w="2726" w:type="pct"/>
            <w:shd w:val="clear" w:color="auto" w:fill="auto"/>
            <w:vAlign w:val="center"/>
          </w:tcPr>
          <w:p w14:paraId="455906C1" w14:textId="0852C695" w:rsidR="008C0709" w:rsidRPr="00241F83" w:rsidRDefault="00503533" w:rsidP="00EA38CA">
            <w:pPr>
              <w:ind w:right="540"/>
              <w:contextualSpacing/>
              <w:rPr>
                <w:rFonts w:cstheme="minorHAnsi"/>
                <w:sz w:val="24"/>
                <w:szCs w:val="24"/>
              </w:rPr>
            </w:pPr>
            <w:r w:rsidRPr="00241F83">
              <w:rPr>
                <w:rFonts w:cstheme="minorHAnsi"/>
                <w:sz w:val="24"/>
                <w:szCs w:val="24"/>
              </w:rPr>
              <w:t>Baystate New England Orthopedic Surgeons Alliance, LLC</w:t>
            </w:r>
          </w:p>
        </w:tc>
      </w:tr>
      <w:tr w:rsidR="008C0709" w:rsidRPr="00241F83" w14:paraId="0401B397" w14:textId="77777777" w:rsidTr="00EB4EC0">
        <w:trPr>
          <w:cantSplit/>
          <w:trHeight w:val="251"/>
        </w:trPr>
        <w:tc>
          <w:tcPr>
            <w:tcW w:w="2274" w:type="pct"/>
            <w:shd w:val="clear" w:color="auto" w:fill="auto"/>
            <w:vAlign w:val="center"/>
          </w:tcPr>
          <w:p w14:paraId="5165DB08" w14:textId="77777777" w:rsidR="008C0709" w:rsidRPr="00241F83" w:rsidRDefault="008C0709" w:rsidP="00EA38CA">
            <w:pPr>
              <w:ind w:right="540"/>
              <w:contextualSpacing/>
              <w:rPr>
                <w:rFonts w:cstheme="minorHAnsi"/>
                <w:sz w:val="24"/>
                <w:szCs w:val="24"/>
              </w:rPr>
            </w:pPr>
            <w:r w:rsidRPr="00241F83">
              <w:rPr>
                <w:rFonts w:cstheme="minorHAnsi"/>
                <w:sz w:val="24"/>
                <w:szCs w:val="24"/>
              </w:rPr>
              <w:t xml:space="preserve">Applicant Address </w:t>
            </w:r>
          </w:p>
        </w:tc>
        <w:tc>
          <w:tcPr>
            <w:tcW w:w="2726" w:type="pct"/>
            <w:shd w:val="clear" w:color="auto" w:fill="auto"/>
            <w:vAlign w:val="center"/>
          </w:tcPr>
          <w:p w14:paraId="4B90906E" w14:textId="51ACF142" w:rsidR="00113AF4" w:rsidRPr="00241F83" w:rsidRDefault="00503533" w:rsidP="00EA38CA">
            <w:pPr>
              <w:ind w:right="540"/>
              <w:contextualSpacing/>
              <w:rPr>
                <w:rFonts w:cstheme="minorHAnsi"/>
                <w:sz w:val="24"/>
                <w:szCs w:val="24"/>
                <w:lang w:val="fr-FR"/>
              </w:rPr>
            </w:pPr>
            <w:r w:rsidRPr="00241F83">
              <w:rPr>
                <w:rFonts w:cstheme="minorHAnsi"/>
                <w:sz w:val="24"/>
                <w:szCs w:val="24"/>
                <w:lang w:val="fr-FR"/>
              </w:rPr>
              <w:t>759 Chestnut Street</w:t>
            </w:r>
            <w:r w:rsidRPr="00241F83">
              <w:rPr>
                <w:rFonts w:cstheme="minorHAnsi"/>
                <w:sz w:val="24"/>
                <w:szCs w:val="24"/>
                <w:lang w:val="fr-FR"/>
              </w:rPr>
              <w:br/>
              <w:t>Springfield</w:t>
            </w:r>
            <w:r w:rsidR="00113AF4" w:rsidRPr="00241F83">
              <w:rPr>
                <w:rFonts w:cstheme="minorHAnsi"/>
                <w:sz w:val="24"/>
                <w:szCs w:val="24"/>
                <w:lang w:val="fr-FR"/>
              </w:rPr>
              <w:t>, MA 0</w:t>
            </w:r>
            <w:r w:rsidRPr="00241F83">
              <w:rPr>
                <w:rFonts w:cstheme="minorHAnsi"/>
                <w:sz w:val="24"/>
                <w:szCs w:val="24"/>
                <w:lang w:val="fr-FR"/>
              </w:rPr>
              <w:t>1</w:t>
            </w:r>
            <w:r w:rsidR="00113AF4" w:rsidRPr="00241F83">
              <w:rPr>
                <w:rFonts w:cstheme="minorHAnsi"/>
                <w:sz w:val="24"/>
                <w:szCs w:val="24"/>
                <w:lang w:val="fr-FR"/>
              </w:rPr>
              <w:t>19</w:t>
            </w:r>
            <w:r w:rsidRPr="00241F83">
              <w:rPr>
                <w:rFonts w:cstheme="minorHAnsi"/>
                <w:sz w:val="24"/>
                <w:szCs w:val="24"/>
                <w:lang w:val="fr-FR"/>
              </w:rPr>
              <w:t>9</w:t>
            </w:r>
          </w:p>
        </w:tc>
      </w:tr>
      <w:tr w:rsidR="008C0709" w:rsidRPr="00241F83" w14:paraId="568E45E9" w14:textId="77777777" w:rsidTr="00EB4EC0">
        <w:trPr>
          <w:cantSplit/>
          <w:trHeight w:val="266"/>
        </w:trPr>
        <w:tc>
          <w:tcPr>
            <w:tcW w:w="2274" w:type="pct"/>
            <w:shd w:val="clear" w:color="auto" w:fill="auto"/>
            <w:vAlign w:val="center"/>
          </w:tcPr>
          <w:p w14:paraId="50536359" w14:textId="55843F5A" w:rsidR="008C0709" w:rsidRPr="00241F83" w:rsidRDefault="006101BC" w:rsidP="00EA38CA">
            <w:pPr>
              <w:ind w:right="540"/>
              <w:contextualSpacing/>
              <w:rPr>
                <w:rFonts w:cstheme="minorHAnsi"/>
                <w:sz w:val="24"/>
                <w:szCs w:val="24"/>
              </w:rPr>
            </w:pPr>
            <w:r w:rsidRPr="00241F83">
              <w:rPr>
                <w:rFonts w:cstheme="minorHAnsi"/>
                <w:sz w:val="24"/>
                <w:szCs w:val="24"/>
              </w:rPr>
              <w:t>F</w:t>
            </w:r>
            <w:r w:rsidR="00216D46" w:rsidRPr="00241F83">
              <w:rPr>
                <w:rFonts w:cstheme="minorHAnsi"/>
                <w:sz w:val="24"/>
                <w:szCs w:val="24"/>
              </w:rPr>
              <w:t>i</w:t>
            </w:r>
            <w:r w:rsidRPr="00241F83">
              <w:rPr>
                <w:rFonts w:cstheme="minorHAnsi"/>
                <w:sz w:val="24"/>
                <w:szCs w:val="24"/>
              </w:rPr>
              <w:t>ling Date</w:t>
            </w:r>
          </w:p>
        </w:tc>
        <w:tc>
          <w:tcPr>
            <w:tcW w:w="2726" w:type="pct"/>
            <w:shd w:val="clear" w:color="auto" w:fill="auto"/>
            <w:vAlign w:val="center"/>
          </w:tcPr>
          <w:p w14:paraId="2A172FB7" w14:textId="099F3DEF" w:rsidR="008C0709" w:rsidRPr="00241F83" w:rsidRDefault="00B108BC" w:rsidP="00EA38CA">
            <w:pPr>
              <w:ind w:right="540"/>
              <w:contextualSpacing/>
              <w:rPr>
                <w:rFonts w:cstheme="minorHAnsi"/>
                <w:sz w:val="24"/>
                <w:szCs w:val="24"/>
              </w:rPr>
            </w:pPr>
            <w:r w:rsidRPr="00241F83">
              <w:rPr>
                <w:rFonts w:cstheme="minorHAnsi"/>
                <w:sz w:val="24"/>
                <w:szCs w:val="24"/>
              </w:rPr>
              <w:t>March 23</w:t>
            </w:r>
            <w:r w:rsidR="00DE5A85" w:rsidRPr="00241F83">
              <w:rPr>
                <w:rFonts w:cstheme="minorHAnsi"/>
                <w:sz w:val="24"/>
                <w:szCs w:val="24"/>
              </w:rPr>
              <w:t>, 202</w:t>
            </w:r>
            <w:r w:rsidR="00503533" w:rsidRPr="00241F83">
              <w:rPr>
                <w:rFonts w:cstheme="minorHAnsi"/>
                <w:sz w:val="24"/>
                <w:szCs w:val="24"/>
              </w:rPr>
              <w:t>2</w:t>
            </w:r>
            <w:r w:rsidR="00DE5A85" w:rsidRPr="00241F83">
              <w:rPr>
                <w:rFonts w:cstheme="minorHAnsi"/>
                <w:sz w:val="24"/>
                <w:szCs w:val="24"/>
              </w:rPr>
              <w:t xml:space="preserve"> </w:t>
            </w:r>
          </w:p>
        </w:tc>
      </w:tr>
      <w:tr w:rsidR="008C0709" w:rsidRPr="00241F83" w14:paraId="5D1DE5AF" w14:textId="77777777" w:rsidTr="00EB4EC0">
        <w:trPr>
          <w:cantSplit/>
          <w:trHeight w:val="247"/>
        </w:trPr>
        <w:tc>
          <w:tcPr>
            <w:tcW w:w="2274" w:type="pct"/>
            <w:shd w:val="clear" w:color="auto" w:fill="auto"/>
            <w:vAlign w:val="center"/>
          </w:tcPr>
          <w:p w14:paraId="2B1CF1F5" w14:textId="77777777" w:rsidR="008C0709" w:rsidRPr="00241F83" w:rsidRDefault="008C0709" w:rsidP="00EA38CA">
            <w:pPr>
              <w:ind w:right="540"/>
              <w:contextualSpacing/>
              <w:rPr>
                <w:rFonts w:cstheme="minorHAnsi"/>
                <w:sz w:val="24"/>
                <w:szCs w:val="24"/>
              </w:rPr>
            </w:pPr>
            <w:r w:rsidRPr="00241F83">
              <w:rPr>
                <w:rFonts w:cstheme="minorHAnsi"/>
                <w:sz w:val="24"/>
                <w:szCs w:val="24"/>
              </w:rPr>
              <w:t>Type of DoN Application</w:t>
            </w:r>
          </w:p>
        </w:tc>
        <w:tc>
          <w:tcPr>
            <w:tcW w:w="2726" w:type="pct"/>
            <w:shd w:val="clear" w:color="auto" w:fill="auto"/>
            <w:vAlign w:val="center"/>
          </w:tcPr>
          <w:p w14:paraId="107B1694" w14:textId="6327EDD1" w:rsidR="008C0709" w:rsidRPr="00241F83" w:rsidRDefault="00113AF4" w:rsidP="00EA38CA">
            <w:pPr>
              <w:ind w:right="540"/>
              <w:contextualSpacing/>
              <w:rPr>
                <w:rFonts w:cstheme="minorHAnsi"/>
                <w:sz w:val="24"/>
                <w:szCs w:val="24"/>
              </w:rPr>
            </w:pPr>
            <w:r w:rsidRPr="00241F83">
              <w:rPr>
                <w:rFonts w:cstheme="minorHAnsi"/>
                <w:sz w:val="24"/>
                <w:szCs w:val="24"/>
              </w:rPr>
              <w:t xml:space="preserve">Ambulatory Surgery </w:t>
            </w:r>
          </w:p>
        </w:tc>
      </w:tr>
      <w:tr w:rsidR="008C0709" w:rsidRPr="00241F83" w14:paraId="01E7F941" w14:textId="77777777" w:rsidTr="00EB4EC0">
        <w:trPr>
          <w:cantSplit/>
          <w:trHeight w:val="247"/>
        </w:trPr>
        <w:tc>
          <w:tcPr>
            <w:tcW w:w="2274" w:type="pct"/>
            <w:shd w:val="clear" w:color="auto" w:fill="auto"/>
            <w:vAlign w:val="center"/>
          </w:tcPr>
          <w:p w14:paraId="5F015412" w14:textId="77777777" w:rsidR="008C0709" w:rsidRPr="00241F83" w:rsidRDefault="008C0709" w:rsidP="00EA38CA">
            <w:pPr>
              <w:ind w:right="540"/>
              <w:contextualSpacing/>
              <w:rPr>
                <w:rFonts w:cstheme="minorHAnsi"/>
                <w:sz w:val="24"/>
                <w:szCs w:val="24"/>
              </w:rPr>
            </w:pPr>
            <w:r w:rsidRPr="00241F83">
              <w:rPr>
                <w:rFonts w:cstheme="minorHAnsi"/>
                <w:sz w:val="24"/>
                <w:szCs w:val="24"/>
              </w:rPr>
              <w:t>Total Value</w:t>
            </w:r>
          </w:p>
        </w:tc>
        <w:tc>
          <w:tcPr>
            <w:tcW w:w="2726" w:type="pct"/>
            <w:shd w:val="clear" w:color="auto" w:fill="auto"/>
            <w:vAlign w:val="center"/>
          </w:tcPr>
          <w:p w14:paraId="51032D26" w14:textId="560460A5" w:rsidR="008C0709" w:rsidRPr="00241F83" w:rsidRDefault="00503533" w:rsidP="00EA38CA">
            <w:pPr>
              <w:ind w:right="540"/>
              <w:contextualSpacing/>
              <w:rPr>
                <w:rFonts w:cstheme="minorHAnsi"/>
                <w:sz w:val="24"/>
                <w:szCs w:val="24"/>
              </w:rPr>
            </w:pPr>
            <w:r w:rsidRPr="00241F83">
              <w:rPr>
                <w:rFonts w:cstheme="minorHAnsi"/>
                <w:sz w:val="24"/>
                <w:szCs w:val="24"/>
              </w:rPr>
              <w:t>$14,844,635</w:t>
            </w:r>
          </w:p>
        </w:tc>
      </w:tr>
      <w:tr w:rsidR="008C0709" w:rsidRPr="00241F83" w14:paraId="454ED996" w14:textId="77777777" w:rsidTr="00EB4EC0">
        <w:trPr>
          <w:cantSplit/>
          <w:trHeight w:val="247"/>
        </w:trPr>
        <w:tc>
          <w:tcPr>
            <w:tcW w:w="2274" w:type="pct"/>
            <w:shd w:val="clear" w:color="auto" w:fill="auto"/>
            <w:vAlign w:val="center"/>
          </w:tcPr>
          <w:p w14:paraId="3B51DC0D" w14:textId="77777777" w:rsidR="008C0709" w:rsidRPr="00241F83" w:rsidRDefault="008C0709" w:rsidP="00EA38CA">
            <w:pPr>
              <w:ind w:right="540"/>
              <w:contextualSpacing/>
              <w:rPr>
                <w:rFonts w:cstheme="minorHAnsi"/>
                <w:sz w:val="24"/>
                <w:szCs w:val="24"/>
              </w:rPr>
            </w:pPr>
            <w:r w:rsidRPr="00241F83">
              <w:rPr>
                <w:rFonts w:cstheme="minorHAnsi"/>
                <w:sz w:val="24"/>
                <w:szCs w:val="24"/>
              </w:rPr>
              <w:t>Project Number</w:t>
            </w:r>
          </w:p>
        </w:tc>
        <w:tc>
          <w:tcPr>
            <w:tcW w:w="2726" w:type="pct"/>
            <w:shd w:val="clear" w:color="auto" w:fill="auto"/>
            <w:vAlign w:val="center"/>
          </w:tcPr>
          <w:p w14:paraId="4E73A35C" w14:textId="06B7CA39" w:rsidR="008C0709" w:rsidRPr="00241F83" w:rsidRDefault="00503533" w:rsidP="00EA38CA">
            <w:pPr>
              <w:ind w:right="540"/>
              <w:contextualSpacing/>
              <w:rPr>
                <w:rFonts w:cstheme="minorHAnsi"/>
                <w:sz w:val="24"/>
                <w:szCs w:val="24"/>
              </w:rPr>
            </w:pPr>
            <w:r w:rsidRPr="00241F83">
              <w:rPr>
                <w:rFonts w:cstheme="minorHAnsi"/>
                <w:sz w:val="24"/>
                <w:szCs w:val="24"/>
              </w:rPr>
              <w:t xml:space="preserve">BNEOS-21122916-AS </w:t>
            </w:r>
          </w:p>
        </w:tc>
      </w:tr>
      <w:tr w:rsidR="008C0709" w:rsidRPr="00241F83" w14:paraId="36C60516" w14:textId="77777777" w:rsidTr="00EB4EC0">
        <w:trPr>
          <w:cantSplit/>
          <w:trHeight w:val="247"/>
        </w:trPr>
        <w:tc>
          <w:tcPr>
            <w:tcW w:w="2274" w:type="pct"/>
            <w:shd w:val="clear" w:color="auto" w:fill="auto"/>
            <w:vAlign w:val="center"/>
          </w:tcPr>
          <w:p w14:paraId="7CFE2F2C" w14:textId="77777777" w:rsidR="008C0709" w:rsidRPr="00241F83" w:rsidRDefault="008C0709" w:rsidP="00EA38CA">
            <w:pPr>
              <w:ind w:right="540"/>
              <w:contextualSpacing/>
              <w:rPr>
                <w:rFonts w:cstheme="minorHAnsi"/>
                <w:sz w:val="24"/>
                <w:szCs w:val="24"/>
              </w:rPr>
            </w:pPr>
            <w:r w:rsidRPr="00241F83">
              <w:rPr>
                <w:rFonts w:cstheme="minorHAnsi"/>
                <w:sz w:val="24"/>
                <w:szCs w:val="24"/>
              </w:rPr>
              <w:t>Ten Taxpayer Group (TTG)</w:t>
            </w:r>
          </w:p>
        </w:tc>
        <w:tc>
          <w:tcPr>
            <w:tcW w:w="2726" w:type="pct"/>
            <w:shd w:val="clear" w:color="auto" w:fill="auto"/>
            <w:vAlign w:val="center"/>
          </w:tcPr>
          <w:p w14:paraId="3E64A977" w14:textId="0C6E3DD3" w:rsidR="008C0709" w:rsidRPr="00241F83" w:rsidRDefault="00AA47EB" w:rsidP="00EA38CA">
            <w:pPr>
              <w:ind w:right="540"/>
              <w:contextualSpacing/>
              <w:rPr>
                <w:rFonts w:cstheme="minorHAnsi"/>
                <w:sz w:val="24"/>
                <w:szCs w:val="24"/>
              </w:rPr>
            </w:pPr>
            <w:r w:rsidRPr="00241F83">
              <w:rPr>
                <w:rFonts w:cstheme="minorHAnsi"/>
                <w:sz w:val="24"/>
                <w:szCs w:val="24"/>
              </w:rPr>
              <w:t>None</w:t>
            </w:r>
          </w:p>
        </w:tc>
      </w:tr>
      <w:tr w:rsidR="008C0709" w:rsidRPr="00241F83" w14:paraId="76F10765" w14:textId="77777777" w:rsidTr="00EB4EC0">
        <w:trPr>
          <w:cantSplit/>
          <w:trHeight w:val="247"/>
        </w:trPr>
        <w:tc>
          <w:tcPr>
            <w:tcW w:w="2274" w:type="pct"/>
            <w:shd w:val="clear" w:color="auto" w:fill="auto"/>
            <w:vAlign w:val="center"/>
          </w:tcPr>
          <w:p w14:paraId="65BDE213" w14:textId="77777777" w:rsidR="008C0709" w:rsidRPr="00241F83" w:rsidRDefault="008C0709" w:rsidP="00EA38CA">
            <w:pPr>
              <w:ind w:right="540"/>
              <w:contextualSpacing/>
              <w:rPr>
                <w:rFonts w:cstheme="minorHAnsi"/>
                <w:sz w:val="24"/>
                <w:szCs w:val="24"/>
              </w:rPr>
            </w:pPr>
            <w:r w:rsidRPr="00241F83">
              <w:rPr>
                <w:rFonts w:cstheme="minorHAnsi"/>
                <w:sz w:val="24"/>
                <w:szCs w:val="24"/>
              </w:rPr>
              <w:t>Community Health Initiative (CHI)</w:t>
            </w:r>
            <w:r w:rsidRPr="00241F83" w:rsidDel="00FB532E">
              <w:rPr>
                <w:rFonts w:cstheme="minorHAnsi"/>
                <w:sz w:val="24"/>
                <w:szCs w:val="24"/>
              </w:rPr>
              <w:t xml:space="preserve"> </w:t>
            </w:r>
          </w:p>
        </w:tc>
        <w:tc>
          <w:tcPr>
            <w:tcW w:w="2726" w:type="pct"/>
            <w:shd w:val="clear" w:color="auto" w:fill="auto"/>
            <w:vAlign w:val="center"/>
          </w:tcPr>
          <w:p w14:paraId="4096DEE0" w14:textId="0964AB6A" w:rsidR="008C0709" w:rsidRPr="00241F83" w:rsidRDefault="00503533" w:rsidP="00EA38CA">
            <w:pPr>
              <w:ind w:right="540"/>
              <w:contextualSpacing/>
              <w:rPr>
                <w:rFonts w:cstheme="minorHAnsi"/>
                <w:sz w:val="24"/>
                <w:szCs w:val="24"/>
              </w:rPr>
            </w:pPr>
            <w:r w:rsidRPr="00241F83">
              <w:rPr>
                <w:rFonts w:cstheme="minorHAnsi"/>
                <w:sz w:val="24"/>
                <w:szCs w:val="24"/>
              </w:rPr>
              <w:t>$742,231.75</w:t>
            </w:r>
          </w:p>
        </w:tc>
      </w:tr>
      <w:tr w:rsidR="008C0709" w:rsidRPr="00241F83" w14:paraId="12A05EFC" w14:textId="77777777" w:rsidTr="00EB4EC0">
        <w:trPr>
          <w:cantSplit/>
          <w:trHeight w:val="247"/>
        </w:trPr>
        <w:tc>
          <w:tcPr>
            <w:tcW w:w="2274" w:type="pct"/>
            <w:shd w:val="clear" w:color="auto" w:fill="auto"/>
            <w:vAlign w:val="center"/>
          </w:tcPr>
          <w:p w14:paraId="17B5AD99" w14:textId="77777777" w:rsidR="008C0709" w:rsidRPr="00241F83" w:rsidRDefault="008C0709" w:rsidP="00EA38CA">
            <w:pPr>
              <w:ind w:right="540"/>
              <w:contextualSpacing/>
              <w:rPr>
                <w:rFonts w:cstheme="minorHAnsi"/>
                <w:sz w:val="24"/>
                <w:szCs w:val="24"/>
              </w:rPr>
            </w:pPr>
            <w:r w:rsidRPr="00241F83">
              <w:rPr>
                <w:rFonts w:cstheme="minorHAnsi"/>
                <w:sz w:val="24"/>
                <w:szCs w:val="24"/>
              </w:rPr>
              <w:t>Staff Recommendation</w:t>
            </w:r>
          </w:p>
        </w:tc>
        <w:tc>
          <w:tcPr>
            <w:tcW w:w="2726" w:type="pct"/>
            <w:shd w:val="clear" w:color="auto" w:fill="auto"/>
            <w:vAlign w:val="center"/>
          </w:tcPr>
          <w:p w14:paraId="2FD17C75" w14:textId="0C098381" w:rsidR="008C0709" w:rsidRPr="00241F83" w:rsidRDefault="006009E4" w:rsidP="00EA38CA">
            <w:pPr>
              <w:ind w:right="540"/>
              <w:contextualSpacing/>
              <w:rPr>
                <w:rFonts w:cstheme="minorHAnsi"/>
                <w:sz w:val="24"/>
                <w:szCs w:val="24"/>
              </w:rPr>
            </w:pPr>
            <w:r w:rsidRPr="00241F83">
              <w:rPr>
                <w:rFonts w:cstheme="minorHAnsi"/>
                <w:sz w:val="24"/>
                <w:szCs w:val="24"/>
              </w:rPr>
              <w:t>Approval</w:t>
            </w:r>
          </w:p>
        </w:tc>
      </w:tr>
      <w:tr w:rsidR="008C0709" w:rsidRPr="00241F83" w14:paraId="77EFE9C0" w14:textId="77777777" w:rsidTr="00EB4EC0">
        <w:trPr>
          <w:cantSplit/>
          <w:trHeight w:val="247"/>
        </w:trPr>
        <w:tc>
          <w:tcPr>
            <w:tcW w:w="2274" w:type="pct"/>
            <w:shd w:val="clear" w:color="auto" w:fill="auto"/>
            <w:vAlign w:val="center"/>
          </w:tcPr>
          <w:p w14:paraId="2D68B227" w14:textId="6548BB8D" w:rsidR="008C0709" w:rsidRPr="00241F83" w:rsidRDefault="0012271E" w:rsidP="00EA38CA">
            <w:pPr>
              <w:ind w:right="540"/>
              <w:contextualSpacing/>
              <w:rPr>
                <w:rFonts w:cstheme="minorHAnsi"/>
                <w:sz w:val="24"/>
                <w:szCs w:val="24"/>
              </w:rPr>
            </w:pPr>
            <w:r w:rsidRPr="00241F83">
              <w:rPr>
                <w:rFonts w:cstheme="minorHAnsi"/>
                <w:sz w:val="24"/>
                <w:szCs w:val="24"/>
              </w:rPr>
              <w:t>Public Health Council</w:t>
            </w:r>
            <w:r w:rsidR="008C0709" w:rsidRPr="00241F83">
              <w:rPr>
                <w:rFonts w:cstheme="minorHAnsi"/>
                <w:sz w:val="24"/>
                <w:szCs w:val="24"/>
              </w:rPr>
              <w:t xml:space="preserve"> </w:t>
            </w:r>
          </w:p>
        </w:tc>
        <w:tc>
          <w:tcPr>
            <w:tcW w:w="2726" w:type="pct"/>
            <w:shd w:val="clear" w:color="auto" w:fill="auto"/>
            <w:vAlign w:val="center"/>
          </w:tcPr>
          <w:p w14:paraId="24875C62" w14:textId="6DDEA1C5" w:rsidR="008C0709" w:rsidRPr="00241F83" w:rsidRDefault="00E91D7D" w:rsidP="00EA38CA">
            <w:pPr>
              <w:ind w:right="540"/>
              <w:contextualSpacing/>
              <w:rPr>
                <w:rFonts w:cstheme="minorHAnsi"/>
                <w:sz w:val="24"/>
                <w:szCs w:val="24"/>
              </w:rPr>
            </w:pPr>
            <w:r w:rsidRPr="00241F83">
              <w:rPr>
                <w:rFonts w:cstheme="minorHAnsi"/>
                <w:sz w:val="24"/>
                <w:szCs w:val="24"/>
              </w:rPr>
              <w:t>J</w:t>
            </w:r>
            <w:r w:rsidR="00503533" w:rsidRPr="00241F83">
              <w:rPr>
                <w:rFonts w:cstheme="minorHAnsi"/>
                <w:sz w:val="24"/>
                <w:szCs w:val="24"/>
              </w:rPr>
              <w:t>uly 13</w:t>
            </w:r>
            <w:r w:rsidR="0012271E" w:rsidRPr="00241F83">
              <w:rPr>
                <w:rFonts w:cstheme="minorHAnsi"/>
                <w:sz w:val="24"/>
                <w:szCs w:val="24"/>
              </w:rPr>
              <w:t>, 202</w:t>
            </w:r>
            <w:r w:rsidR="00503533" w:rsidRPr="00241F83">
              <w:rPr>
                <w:rFonts w:cstheme="minorHAnsi"/>
                <w:sz w:val="24"/>
                <w:szCs w:val="24"/>
              </w:rPr>
              <w:t>2</w:t>
            </w:r>
            <w:r w:rsidR="0012271E" w:rsidRPr="00241F83">
              <w:rPr>
                <w:rFonts w:cstheme="minorHAnsi"/>
                <w:sz w:val="24"/>
                <w:szCs w:val="24"/>
              </w:rPr>
              <w:t xml:space="preserve"> </w:t>
            </w:r>
          </w:p>
        </w:tc>
      </w:tr>
      <w:tr w:rsidR="00D4346E" w:rsidRPr="00241F83" w14:paraId="75FF66EC" w14:textId="77777777" w:rsidTr="00EB4EC0">
        <w:trPr>
          <w:cantSplit/>
          <w:trHeight w:val="8179"/>
        </w:trPr>
        <w:tc>
          <w:tcPr>
            <w:tcW w:w="5000" w:type="pct"/>
            <w:gridSpan w:val="2"/>
            <w:shd w:val="clear" w:color="auto" w:fill="auto"/>
            <w:vAlign w:val="center"/>
          </w:tcPr>
          <w:p w14:paraId="49E755E6" w14:textId="77777777" w:rsidR="00D4346E" w:rsidRPr="00241F83" w:rsidRDefault="00D4346E" w:rsidP="00EA38CA">
            <w:pPr>
              <w:pStyle w:val="NoSpacing"/>
              <w:ind w:right="540"/>
              <w:contextualSpacing/>
              <w:jc w:val="center"/>
              <w:rPr>
                <w:rFonts w:cstheme="minorHAnsi"/>
                <w:sz w:val="24"/>
                <w:szCs w:val="24"/>
                <w:u w:val="single"/>
              </w:rPr>
            </w:pPr>
          </w:p>
          <w:p w14:paraId="4AD728CD" w14:textId="77777777" w:rsidR="00D4346E" w:rsidRPr="00241F83" w:rsidRDefault="00D4346E" w:rsidP="00EA38CA">
            <w:pPr>
              <w:pStyle w:val="NoSpacing"/>
              <w:ind w:right="540"/>
              <w:contextualSpacing/>
              <w:jc w:val="center"/>
              <w:rPr>
                <w:rFonts w:cstheme="minorHAnsi"/>
                <w:sz w:val="24"/>
                <w:szCs w:val="24"/>
              </w:rPr>
            </w:pPr>
            <w:r w:rsidRPr="00241F83">
              <w:rPr>
                <w:rFonts w:cstheme="minorHAnsi"/>
                <w:sz w:val="24"/>
                <w:szCs w:val="24"/>
                <w:u w:val="single"/>
              </w:rPr>
              <w:t>Project Summary and Regulatory Review</w:t>
            </w:r>
          </w:p>
          <w:p w14:paraId="1C505024" w14:textId="15CF402B" w:rsidR="00D4346E" w:rsidRPr="00241F83" w:rsidRDefault="00D4346E" w:rsidP="00EA38CA">
            <w:pPr>
              <w:ind w:right="540"/>
              <w:rPr>
                <w:rFonts w:cstheme="minorHAnsi"/>
                <w:sz w:val="24"/>
                <w:szCs w:val="24"/>
              </w:rPr>
            </w:pPr>
          </w:p>
          <w:p w14:paraId="2F5974C2" w14:textId="32D937AF" w:rsidR="00D4346E" w:rsidRPr="00555638" w:rsidRDefault="00D4346E" w:rsidP="00555638">
            <w:pPr>
              <w:keepNext/>
              <w:keepLines/>
              <w:contextualSpacing/>
              <w:outlineLvl w:val="0"/>
              <w:rPr>
                <w:rFonts w:cstheme="minorHAnsi"/>
                <w:sz w:val="24"/>
                <w:szCs w:val="24"/>
              </w:rPr>
            </w:pPr>
            <w:r w:rsidRPr="00241F83">
              <w:rPr>
                <w:rFonts w:cstheme="minorHAnsi"/>
                <w:sz w:val="24"/>
                <w:szCs w:val="24"/>
              </w:rPr>
              <w:t xml:space="preserve">Baystate New England Orthopedic Surgeons Alliance, LLC (“Applicant”) submitted an application for a Proposed Substantial Change in Service to establish an ambulatory surgery center (ASC) at 50 Wason Avenue, Springfield. Currently, the proposed ASC is a licensed outpatient surgery satellite of Baystate Medical Center (“Baystate”) called Baystate Orthopedic Surgery Center (“BOSC”). The proposed project will convert the service to a freestanding ASC operated by the Applicant. As a freestanding ASC, the Applicant anticipates the proposed project will be reimbursed at a lower rate than the existing hospital service at the same location. </w:t>
            </w:r>
            <w:r w:rsidRPr="00555638">
              <w:rPr>
                <w:rFonts w:cstheme="minorHAnsi"/>
                <w:sz w:val="24"/>
                <w:szCs w:val="24"/>
              </w:rPr>
              <w:t xml:space="preserve">The Applicant states that the proposed ASC will maximize operational efficiencies by leveraging a dedicated staff and an experienced management company. The ASC will </w:t>
            </w:r>
            <w:r>
              <w:rPr>
                <w:rFonts w:cstheme="minorHAnsi"/>
                <w:sz w:val="24"/>
                <w:szCs w:val="24"/>
              </w:rPr>
              <w:t xml:space="preserve">also </w:t>
            </w:r>
            <w:r w:rsidRPr="00555638">
              <w:rPr>
                <w:rFonts w:cstheme="minorHAnsi"/>
                <w:sz w:val="24"/>
                <w:szCs w:val="24"/>
              </w:rPr>
              <w:t xml:space="preserve">feature greater capacity than the HOPD, </w:t>
            </w:r>
            <w:r>
              <w:rPr>
                <w:rFonts w:cstheme="minorHAnsi"/>
                <w:sz w:val="24"/>
                <w:szCs w:val="24"/>
              </w:rPr>
              <w:t xml:space="preserve">with </w:t>
            </w:r>
            <w:r w:rsidRPr="00555638">
              <w:rPr>
                <w:rFonts w:cstheme="minorHAnsi"/>
                <w:sz w:val="24"/>
                <w:szCs w:val="24"/>
              </w:rPr>
              <w:t xml:space="preserve">total cases </w:t>
            </w:r>
            <w:r>
              <w:rPr>
                <w:rFonts w:cstheme="minorHAnsi"/>
                <w:sz w:val="24"/>
                <w:szCs w:val="24"/>
              </w:rPr>
              <w:t xml:space="preserve">expected </w:t>
            </w:r>
            <w:r w:rsidRPr="00555638">
              <w:rPr>
                <w:rFonts w:cstheme="minorHAnsi"/>
                <w:sz w:val="24"/>
                <w:szCs w:val="24"/>
              </w:rPr>
              <w:t>to increase 2% each year of the projection period.</w:t>
            </w:r>
          </w:p>
          <w:p w14:paraId="1F3C4338" w14:textId="63A824D6" w:rsidR="00D4346E" w:rsidRDefault="00D4346E" w:rsidP="00B10FAE">
            <w:pPr>
              <w:keepNext/>
              <w:keepLines/>
              <w:contextualSpacing/>
              <w:outlineLvl w:val="0"/>
              <w:rPr>
                <w:rFonts w:cstheme="minorHAnsi"/>
                <w:sz w:val="24"/>
                <w:szCs w:val="24"/>
              </w:rPr>
            </w:pPr>
            <w:r>
              <w:rPr>
                <w:rFonts w:cstheme="minorHAnsi"/>
                <w:sz w:val="24"/>
                <w:szCs w:val="24"/>
              </w:rPr>
              <w:br/>
            </w:r>
            <w:r w:rsidRPr="00241F83">
              <w:rPr>
                <w:rFonts w:cstheme="minorHAnsi"/>
                <w:sz w:val="24"/>
                <w:szCs w:val="24"/>
              </w:rPr>
              <w:t xml:space="preserve">The Applicant anticipates minimal construction will be required to meet current architectural standards. Accordingly, patients will experience minimal disruption </w:t>
            </w:r>
            <w:r w:rsidR="00D0604E">
              <w:rPr>
                <w:rFonts w:cstheme="minorHAnsi"/>
                <w:sz w:val="24"/>
                <w:szCs w:val="24"/>
              </w:rPr>
              <w:t>during the</w:t>
            </w:r>
            <w:r w:rsidRPr="00241F83">
              <w:rPr>
                <w:rFonts w:cstheme="minorHAnsi"/>
                <w:sz w:val="24"/>
                <w:szCs w:val="24"/>
              </w:rPr>
              <w:t xml:space="preserve"> conversion from a hospital satellite to a freestanding ASC. The Applicant plans to maintain the current number of operating rooms (8) and pre-/post-care rooms (28) at the proposed site. The total value of the proposed project is $14,844,635, the vast majority of which would go towards building acquisition ($14,635,428). The most common procedures currently performed at BOSC are shoulder arthroscopy, knee arthroscopy, rotator cuff repair, and carpal tunnel release surgery, representing approximately 44% of all procedures.</w:t>
            </w:r>
            <w:r>
              <w:rPr>
                <w:rFonts w:cstheme="minorHAnsi"/>
                <w:sz w:val="24"/>
                <w:szCs w:val="24"/>
              </w:rPr>
              <w:t xml:space="preserve"> </w:t>
            </w:r>
          </w:p>
          <w:p w14:paraId="6A0C64B9" w14:textId="77777777" w:rsidR="00D4346E" w:rsidRPr="00241F83" w:rsidRDefault="00D4346E" w:rsidP="00B10FAE">
            <w:pPr>
              <w:keepNext/>
              <w:keepLines/>
              <w:contextualSpacing/>
              <w:outlineLvl w:val="0"/>
              <w:rPr>
                <w:rFonts w:cstheme="minorHAnsi"/>
                <w:sz w:val="24"/>
                <w:szCs w:val="24"/>
              </w:rPr>
            </w:pPr>
          </w:p>
          <w:p w14:paraId="0AD7059F" w14:textId="65EB7A48" w:rsidR="00D4346E" w:rsidRPr="00241F83" w:rsidRDefault="00D4346E" w:rsidP="00B10FAE">
            <w:pPr>
              <w:pStyle w:val="NoSpacing"/>
              <w:ind w:right="540"/>
              <w:contextualSpacing/>
              <w:rPr>
                <w:rFonts w:cstheme="minorHAnsi"/>
                <w:sz w:val="24"/>
                <w:szCs w:val="24"/>
              </w:rPr>
            </w:pPr>
            <w:r w:rsidRPr="00241F83">
              <w:rPr>
                <w:rFonts w:cstheme="minorHAnsi"/>
                <w:sz w:val="24"/>
                <w:szCs w:val="24"/>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sdt>
      <w:sdtPr>
        <w:rPr>
          <w:rFonts w:asciiTheme="minorHAnsi" w:eastAsiaTheme="minorHAnsi" w:hAnsiTheme="minorHAnsi" w:cstheme="minorHAnsi"/>
          <w:color w:val="auto"/>
          <w:sz w:val="22"/>
          <w:szCs w:val="22"/>
        </w:rPr>
        <w:id w:val="-1752895406"/>
        <w:docPartObj>
          <w:docPartGallery w:val="Table of Contents"/>
          <w:docPartUnique/>
        </w:docPartObj>
      </w:sdtPr>
      <w:sdtEndPr>
        <w:rPr>
          <w:b/>
          <w:bCs/>
          <w:noProof/>
        </w:rPr>
      </w:sdtEndPr>
      <w:sdtContent>
        <w:p w14:paraId="3DD3C447" w14:textId="77777777" w:rsidR="00D14F77" w:rsidRPr="008455B9" w:rsidRDefault="00D14F77" w:rsidP="008455B9">
          <w:pPr>
            <w:pStyle w:val="TOCHeading"/>
            <w:shd w:val="clear" w:color="auto" w:fill="FFFFFF" w:themeFill="background1"/>
            <w:spacing w:line="240" w:lineRule="auto"/>
            <w:rPr>
              <w:rFonts w:asciiTheme="minorHAnsi" w:hAnsiTheme="minorHAnsi" w:cstheme="minorHAnsi"/>
              <w:u w:color="FFFFFF" w:themeColor="background1"/>
            </w:rPr>
          </w:pPr>
          <w:r w:rsidRPr="008455B9">
            <w:rPr>
              <w:rFonts w:asciiTheme="minorHAnsi" w:hAnsiTheme="minorHAnsi" w:cstheme="minorHAnsi"/>
              <w:u w:color="FFFFFF" w:themeColor="background1"/>
            </w:rPr>
            <w:t>Table of Contents</w:t>
          </w:r>
        </w:p>
        <w:p w14:paraId="399AAFF3" w14:textId="0B2F15B8" w:rsidR="00825499" w:rsidRPr="008455B9" w:rsidRDefault="00D14F77" w:rsidP="008455B9">
          <w:pPr>
            <w:pStyle w:val="TOC1"/>
            <w:rPr>
              <w:rFonts w:asciiTheme="minorHAnsi" w:eastAsiaTheme="minorEastAsia" w:hAnsiTheme="minorHAnsi" w:cstheme="minorHAnsi"/>
              <w:u w:color="FFFFFF" w:themeColor="background1"/>
            </w:rPr>
          </w:pPr>
          <w:r w:rsidRPr="008455B9">
            <w:rPr>
              <w:rFonts w:asciiTheme="minorHAnsi" w:hAnsiTheme="minorHAnsi" w:cstheme="minorHAnsi"/>
              <w:u w:color="FFFFFF" w:themeColor="background1"/>
            </w:rPr>
            <w:fldChar w:fldCharType="begin"/>
          </w:r>
          <w:r w:rsidRPr="008455B9">
            <w:rPr>
              <w:rFonts w:asciiTheme="minorHAnsi" w:hAnsiTheme="minorHAnsi" w:cstheme="minorHAnsi"/>
              <w:u w:color="FFFFFF" w:themeColor="background1"/>
            </w:rPr>
            <w:instrText xml:space="preserve"> TOC \o "1-3" \h \z \u </w:instrText>
          </w:r>
          <w:r w:rsidRPr="008455B9">
            <w:rPr>
              <w:rFonts w:asciiTheme="minorHAnsi" w:hAnsiTheme="minorHAnsi" w:cstheme="minorHAnsi"/>
              <w:u w:color="FFFFFF" w:themeColor="background1"/>
            </w:rPr>
            <w:fldChar w:fldCharType="separate"/>
          </w:r>
          <w:hyperlink w:anchor="_Toc58960194" w:history="1">
            <w:r w:rsidR="00825499" w:rsidRPr="008455B9">
              <w:rPr>
                <w:rStyle w:val="Hyperlink"/>
                <w:rFonts w:asciiTheme="minorHAnsi" w:hAnsiTheme="minorHAnsi" w:cstheme="minorHAnsi"/>
                <w:u w:color="FFFFFF" w:themeColor="background1"/>
              </w:rPr>
              <w:t xml:space="preserve">Background: </w:t>
            </w:r>
            <w:r w:rsidR="0051081A" w:rsidRPr="008455B9">
              <w:rPr>
                <w:rStyle w:val="Hyperlink"/>
                <w:rFonts w:asciiTheme="minorHAnsi" w:hAnsiTheme="minorHAnsi" w:cstheme="minorHAnsi"/>
                <w:u w:color="FFFFFF" w:themeColor="background1"/>
              </w:rPr>
              <w:t>Baystate Orthopedic Surgery Center</w:t>
            </w:r>
            <w:r w:rsidR="00825499" w:rsidRPr="008455B9">
              <w:rPr>
                <w:rStyle w:val="Hyperlink"/>
                <w:rFonts w:asciiTheme="minorHAnsi" w:hAnsiTheme="minorHAnsi" w:cstheme="minorHAnsi"/>
                <w:u w:color="FFFFFF" w:themeColor="background1"/>
              </w:rPr>
              <w:t xml:space="preserve"> and Application Overview</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_Toc58960194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3</w:t>
            </w:r>
            <w:r w:rsidR="00825499" w:rsidRPr="008455B9">
              <w:rPr>
                <w:rFonts w:asciiTheme="minorHAnsi" w:hAnsiTheme="minorHAnsi" w:cstheme="minorHAnsi"/>
                <w:webHidden/>
                <w:u w:color="FFFFFF" w:themeColor="background1"/>
              </w:rPr>
              <w:fldChar w:fldCharType="end"/>
            </w:r>
          </w:hyperlink>
        </w:p>
        <w:p w14:paraId="245A0810" w14:textId="2D6D7FF4"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12" w:history="1">
            <w:r w:rsidR="00825499" w:rsidRPr="008455B9">
              <w:rPr>
                <w:rStyle w:val="Hyperlink"/>
                <w:rFonts w:asciiTheme="minorHAnsi" w:hAnsiTheme="minorHAnsi" w:cstheme="minorHAnsi"/>
                <w:u w:color="FFFFFF" w:themeColor="background1"/>
              </w:rPr>
              <w:t>Patient Panel</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_Toc58960212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3</w:t>
            </w:r>
            <w:r w:rsidR="00825499" w:rsidRPr="008455B9">
              <w:rPr>
                <w:rFonts w:asciiTheme="minorHAnsi" w:hAnsiTheme="minorHAnsi" w:cstheme="minorHAnsi"/>
                <w:webHidden/>
                <w:u w:color="FFFFFF" w:themeColor="background1"/>
              </w:rPr>
              <w:fldChar w:fldCharType="end"/>
            </w:r>
          </w:hyperlink>
        </w:p>
        <w:p w14:paraId="2CF41944" w14:textId="3D88B717" w:rsidR="00825499" w:rsidRPr="008455B9" w:rsidRDefault="008455B9" w:rsidP="008455B9">
          <w:pPr>
            <w:pStyle w:val="TOC1"/>
            <w:rPr>
              <w:rFonts w:asciiTheme="minorHAnsi" w:eastAsiaTheme="minorEastAsia" w:hAnsiTheme="minorHAnsi" w:cstheme="minorHAnsi"/>
              <w:u w:color="FFFFFF" w:themeColor="background1"/>
            </w:rPr>
          </w:pPr>
          <w:hyperlink w:anchor="_Toc58960213" w:history="1">
            <w:r w:rsidR="00825499" w:rsidRPr="008455B9">
              <w:rPr>
                <w:rStyle w:val="Hyperlink"/>
                <w:rFonts w:asciiTheme="minorHAnsi" w:eastAsia="Calibri" w:hAnsiTheme="minorHAnsi" w:cstheme="minorHAnsi"/>
                <w:u w:color="FFFFFF" w:themeColor="background1"/>
              </w:rPr>
              <w:t xml:space="preserve">Factor </w:t>
            </w:r>
            <w:r w:rsidR="00EA581B" w:rsidRPr="008455B9">
              <w:rPr>
                <w:rStyle w:val="Hyperlink"/>
                <w:rFonts w:asciiTheme="minorHAnsi" w:eastAsia="Calibri" w:hAnsiTheme="minorHAnsi" w:cstheme="minorHAnsi"/>
                <w:u w:color="FFFFFF" w:themeColor="background1"/>
              </w:rPr>
              <w:t xml:space="preserve">1: </w:t>
            </w:r>
            <w:r w:rsidR="00825499" w:rsidRPr="008455B9">
              <w:rPr>
                <w:rStyle w:val="Hyperlink"/>
                <w:rFonts w:asciiTheme="minorHAnsi" w:eastAsia="Calibri" w:hAnsiTheme="minorHAnsi" w:cstheme="minorHAnsi"/>
                <w:u w:color="FFFFFF" w:themeColor="background1"/>
              </w:rPr>
              <w:t>a</w:t>
            </w:r>
            <w:r w:rsidR="00EA581B" w:rsidRPr="008455B9">
              <w:rPr>
                <w:rStyle w:val="Hyperlink"/>
                <w:rFonts w:asciiTheme="minorHAnsi" w:eastAsia="Calibri" w:hAnsiTheme="minorHAnsi" w:cstheme="minorHAnsi"/>
                <w:u w:color="FFFFFF" w:themeColor="background1"/>
              </w:rPr>
              <w:t xml:space="preserve">) </w:t>
            </w:r>
            <w:r w:rsidR="00825499" w:rsidRPr="008455B9">
              <w:rPr>
                <w:rStyle w:val="Hyperlink"/>
                <w:rFonts w:asciiTheme="minorHAnsi" w:eastAsia="Calibri" w:hAnsiTheme="minorHAnsi" w:cstheme="minorHAnsi"/>
                <w:u w:color="FFFFFF" w:themeColor="background1"/>
              </w:rPr>
              <w:t>Patient Panel Need</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_Toc58960213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4</w:t>
            </w:r>
            <w:r w:rsidR="00825499" w:rsidRPr="008455B9">
              <w:rPr>
                <w:rFonts w:asciiTheme="minorHAnsi" w:hAnsiTheme="minorHAnsi" w:cstheme="minorHAnsi"/>
                <w:webHidden/>
                <w:u w:color="FFFFFF" w:themeColor="background1"/>
              </w:rPr>
              <w:fldChar w:fldCharType="end"/>
            </w:r>
          </w:hyperlink>
        </w:p>
        <w:p w14:paraId="2B7A1C2C" w14:textId="1C1B76CF"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14" w:history="1">
            <w:r w:rsidR="00825499" w:rsidRPr="008455B9">
              <w:rPr>
                <w:rStyle w:val="Hyperlink"/>
                <w:rFonts w:asciiTheme="minorHAnsi" w:hAnsiTheme="minorHAnsi" w:cstheme="minorHAnsi"/>
                <w:u w:color="FFFFFF" w:themeColor="background1"/>
              </w:rPr>
              <w:t xml:space="preserve">Factor 1: b) Public </w:t>
            </w:r>
            <w:r w:rsidR="001A2159" w:rsidRPr="008455B9">
              <w:rPr>
                <w:rStyle w:val="Hyperlink"/>
                <w:rFonts w:asciiTheme="minorHAnsi" w:hAnsiTheme="minorHAnsi" w:cstheme="minorHAnsi"/>
                <w:u w:color="FFFFFF" w:themeColor="background1"/>
              </w:rPr>
              <w:t>H</w:t>
            </w:r>
            <w:r w:rsidR="00825499" w:rsidRPr="008455B9">
              <w:rPr>
                <w:rStyle w:val="Hyperlink"/>
                <w:rFonts w:asciiTheme="minorHAnsi" w:hAnsiTheme="minorHAnsi" w:cstheme="minorHAnsi"/>
                <w:u w:color="FFFFFF" w:themeColor="background1"/>
              </w:rPr>
              <w:t xml:space="preserve">ealth </w:t>
            </w:r>
            <w:r w:rsidR="001A2159" w:rsidRPr="008455B9">
              <w:rPr>
                <w:rStyle w:val="Hyperlink"/>
                <w:rFonts w:asciiTheme="minorHAnsi" w:hAnsiTheme="minorHAnsi" w:cstheme="minorHAnsi"/>
                <w:u w:color="FFFFFF" w:themeColor="background1"/>
              </w:rPr>
              <w:t>V</w:t>
            </w:r>
            <w:r w:rsidR="00825499" w:rsidRPr="008455B9">
              <w:rPr>
                <w:rStyle w:val="Hyperlink"/>
                <w:rFonts w:asciiTheme="minorHAnsi" w:hAnsiTheme="minorHAnsi" w:cstheme="minorHAnsi"/>
                <w:u w:color="FFFFFF" w:themeColor="background1"/>
              </w:rPr>
              <w:t xml:space="preserve">alue, </w:t>
            </w:r>
            <w:r w:rsidR="001A2159" w:rsidRPr="008455B9">
              <w:rPr>
                <w:rStyle w:val="Hyperlink"/>
                <w:rFonts w:asciiTheme="minorHAnsi" w:hAnsiTheme="minorHAnsi" w:cstheme="minorHAnsi"/>
                <w:u w:color="FFFFFF" w:themeColor="background1"/>
              </w:rPr>
              <w:t>I</w:t>
            </w:r>
            <w:r w:rsidR="00825499" w:rsidRPr="008455B9">
              <w:rPr>
                <w:rStyle w:val="Hyperlink"/>
                <w:rFonts w:asciiTheme="minorHAnsi" w:hAnsiTheme="minorHAnsi" w:cstheme="minorHAnsi"/>
                <w:u w:color="FFFFFF" w:themeColor="background1"/>
              </w:rPr>
              <w:t xml:space="preserve">mproved </w:t>
            </w:r>
            <w:r w:rsidR="001A2159" w:rsidRPr="008455B9">
              <w:rPr>
                <w:rStyle w:val="Hyperlink"/>
                <w:rFonts w:asciiTheme="minorHAnsi" w:hAnsiTheme="minorHAnsi" w:cstheme="minorHAnsi"/>
                <w:u w:color="FFFFFF" w:themeColor="background1"/>
              </w:rPr>
              <w:t>H</w:t>
            </w:r>
            <w:r w:rsidR="00825499" w:rsidRPr="008455B9">
              <w:rPr>
                <w:rStyle w:val="Hyperlink"/>
                <w:rFonts w:asciiTheme="minorHAnsi" w:hAnsiTheme="minorHAnsi" w:cstheme="minorHAnsi"/>
                <w:u w:color="FFFFFF" w:themeColor="background1"/>
              </w:rPr>
              <w:t xml:space="preserve">ealth </w:t>
            </w:r>
            <w:r w:rsidR="001A2159" w:rsidRPr="008455B9">
              <w:rPr>
                <w:rStyle w:val="Hyperlink"/>
                <w:rFonts w:asciiTheme="minorHAnsi" w:hAnsiTheme="minorHAnsi" w:cstheme="minorHAnsi"/>
                <w:u w:color="FFFFFF" w:themeColor="background1"/>
              </w:rPr>
              <w:t>O</w:t>
            </w:r>
            <w:r w:rsidR="00825499" w:rsidRPr="008455B9">
              <w:rPr>
                <w:rStyle w:val="Hyperlink"/>
                <w:rFonts w:asciiTheme="minorHAnsi" w:hAnsiTheme="minorHAnsi" w:cstheme="minorHAnsi"/>
                <w:u w:color="FFFFFF" w:themeColor="background1"/>
              </w:rPr>
              <w:t xml:space="preserve">utcomes and </w:t>
            </w:r>
            <w:r w:rsidR="001A2159" w:rsidRPr="008455B9">
              <w:rPr>
                <w:rStyle w:val="Hyperlink"/>
                <w:rFonts w:asciiTheme="minorHAnsi" w:hAnsiTheme="minorHAnsi" w:cstheme="minorHAnsi"/>
                <w:u w:color="FFFFFF" w:themeColor="background1"/>
              </w:rPr>
              <w:t>Q</w:t>
            </w:r>
            <w:r w:rsidR="00825499" w:rsidRPr="008455B9">
              <w:rPr>
                <w:rStyle w:val="Hyperlink"/>
                <w:rFonts w:asciiTheme="minorHAnsi" w:hAnsiTheme="minorHAnsi" w:cstheme="minorHAnsi"/>
                <w:u w:color="FFFFFF" w:themeColor="background1"/>
              </w:rPr>
              <w:t xml:space="preserve">uality of </w:t>
            </w:r>
            <w:r w:rsidR="001A2159" w:rsidRPr="008455B9">
              <w:rPr>
                <w:rStyle w:val="Hyperlink"/>
                <w:rFonts w:asciiTheme="minorHAnsi" w:hAnsiTheme="minorHAnsi" w:cstheme="minorHAnsi"/>
                <w:u w:color="FFFFFF" w:themeColor="background1"/>
              </w:rPr>
              <w:t>L</w:t>
            </w:r>
            <w:r w:rsidR="00825499" w:rsidRPr="008455B9">
              <w:rPr>
                <w:rStyle w:val="Hyperlink"/>
                <w:rFonts w:asciiTheme="minorHAnsi" w:hAnsiTheme="minorHAnsi" w:cstheme="minorHAnsi"/>
                <w:u w:color="FFFFFF" w:themeColor="background1"/>
              </w:rPr>
              <w:t xml:space="preserve">ife; </w:t>
            </w:r>
            <w:r w:rsidR="001A2159" w:rsidRPr="008455B9">
              <w:rPr>
                <w:rStyle w:val="Hyperlink"/>
                <w:rFonts w:asciiTheme="minorHAnsi" w:hAnsiTheme="minorHAnsi" w:cstheme="minorHAnsi"/>
                <w:u w:color="FFFFFF" w:themeColor="background1"/>
              </w:rPr>
              <w:t>A</w:t>
            </w:r>
            <w:r w:rsidR="00825499" w:rsidRPr="008455B9">
              <w:rPr>
                <w:rStyle w:val="Hyperlink"/>
                <w:rFonts w:asciiTheme="minorHAnsi" w:hAnsiTheme="minorHAnsi" w:cstheme="minorHAnsi"/>
                <w:u w:color="FFFFFF" w:themeColor="background1"/>
              </w:rPr>
              <w:t xml:space="preserve">ssurances of </w:t>
            </w:r>
            <w:r w:rsidR="001A2159" w:rsidRPr="008455B9">
              <w:rPr>
                <w:rStyle w:val="Hyperlink"/>
                <w:rFonts w:asciiTheme="minorHAnsi" w:hAnsiTheme="minorHAnsi" w:cstheme="minorHAnsi"/>
                <w:u w:color="FFFFFF" w:themeColor="background1"/>
              </w:rPr>
              <w:t>H</w:t>
            </w:r>
            <w:r w:rsidR="00825499" w:rsidRPr="008455B9">
              <w:rPr>
                <w:rStyle w:val="Hyperlink"/>
                <w:rFonts w:asciiTheme="minorHAnsi" w:hAnsiTheme="minorHAnsi" w:cstheme="minorHAnsi"/>
                <w:u w:color="FFFFFF" w:themeColor="background1"/>
              </w:rPr>
              <w:t xml:space="preserve">ealth </w:t>
            </w:r>
            <w:r w:rsidR="001A2159" w:rsidRPr="008455B9">
              <w:rPr>
                <w:rStyle w:val="Hyperlink"/>
                <w:rFonts w:asciiTheme="minorHAnsi" w:hAnsiTheme="minorHAnsi" w:cstheme="minorHAnsi"/>
                <w:u w:color="FFFFFF" w:themeColor="background1"/>
              </w:rPr>
              <w:t>E</w:t>
            </w:r>
            <w:r w:rsidR="00825499" w:rsidRPr="008455B9">
              <w:rPr>
                <w:rStyle w:val="Hyperlink"/>
                <w:rFonts w:asciiTheme="minorHAnsi" w:hAnsiTheme="minorHAnsi" w:cstheme="minorHAnsi"/>
                <w:u w:color="FFFFFF" w:themeColor="background1"/>
              </w:rPr>
              <w:t>quity</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_Toc58960214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5</w:t>
            </w:r>
            <w:r w:rsidR="00825499" w:rsidRPr="008455B9">
              <w:rPr>
                <w:rFonts w:asciiTheme="minorHAnsi" w:hAnsiTheme="minorHAnsi" w:cstheme="minorHAnsi"/>
                <w:webHidden/>
                <w:u w:color="FFFFFF" w:themeColor="background1"/>
              </w:rPr>
              <w:fldChar w:fldCharType="end"/>
            </w:r>
          </w:hyperlink>
        </w:p>
        <w:p w14:paraId="06978EFE" w14:textId="6E64971C" w:rsidR="00825499" w:rsidRPr="008455B9" w:rsidRDefault="008455B9" w:rsidP="008455B9">
          <w:pPr>
            <w:pStyle w:val="TOC2"/>
            <w:shd w:val="clear" w:color="auto" w:fill="FFFFFF" w:themeFill="background1"/>
            <w:ind w:left="0"/>
            <w:rPr>
              <w:rFonts w:eastAsiaTheme="minorEastAsia" w:cstheme="minorHAnsi"/>
              <w:noProof/>
              <w:u w:color="FFFFFF" w:themeColor="background1"/>
            </w:rPr>
          </w:pPr>
          <w:hyperlink w:anchor="_Toc58960215" w:history="1">
            <w:r w:rsidR="00825499" w:rsidRPr="008455B9">
              <w:rPr>
                <w:rStyle w:val="Hyperlink"/>
                <w:rFonts w:cstheme="minorHAnsi"/>
                <w:noProof/>
                <w:u w:color="FFFFFF" w:themeColor="background1"/>
              </w:rPr>
              <w:t>Factor 1: c) Efficiency, Continuity of Care, Coordination of Care</w:t>
            </w:r>
            <w:r w:rsidR="00825499" w:rsidRPr="008455B9">
              <w:rPr>
                <w:rFonts w:cstheme="minorHAnsi"/>
                <w:noProof/>
                <w:webHidden/>
                <w:u w:color="FFFFFF" w:themeColor="background1"/>
              </w:rPr>
              <w:tab/>
            </w:r>
            <w:r w:rsidR="00825499" w:rsidRPr="008455B9">
              <w:rPr>
                <w:rFonts w:cstheme="minorHAnsi"/>
                <w:noProof/>
                <w:webHidden/>
                <w:u w:color="FFFFFF" w:themeColor="background1"/>
              </w:rPr>
              <w:fldChar w:fldCharType="begin"/>
            </w:r>
            <w:r w:rsidR="00825499" w:rsidRPr="008455B9">
              <w:rPr>
                <w:rFonts w:cstheme="minorHAnsi"/>
                <w:noProof/>
                <w:webHidden/>
                <w:u w:color="FFFFFF" w:themeColor="background1"/>
              </w:rPr>
              <w:instrText xml:space="preserve"> PAGEREF _Toc58960215 \h </w:instrText>
            </w:r>
            <w:r w:rsidR="00825499" w:rsidRPr="008455B9">
              <w:rPr>
                <w:rFonts w:cstheme="minorHAnsi"/>
                <w:noProof/>
                <w:webHidden/>
                <w:u w:color="FFFFFF" w:themeColor="background1"/>
              </w:rPr>
            </w:r>
            <w:r w:rsidR="00825499" w:rsidRPr="008455B9">
              <w:rPr>
                <w:rFonts w:cstheme="minorHAnsi"/>
                <w:noProof/>
                <w:webHidden/>
                <w:u w:color="FFFFFF" w:themeColor="background1"/>
              </w:rPr>
              <w:fldChar w:fldCharType="separate"/>
            </w:r>
            <w:r w:rsidR="00B73614" w:rsidRPr="008455B9">
              <w:rPr>
                <w:rFonts w:cstheme="minorHAnsi"/>
                <w:noProof/>
                <w:webHidden/>
                <w:u w:color="FFFFFF" w:themeColor="background1"/>
              </w:rPr>
              <w:t>7</w:t>
            </w:r>
            <w:r w:rsidR="00825499" w:rsidRPr="008455B9">
              <w:rPr>
                <w:rFonts w:cstheme="minorHAnsi"/>
                <w:noProof/>
                <w:webHidden/>
                <w:u w:color="FFFFFF" w:themeColor="background1"/>
              </w:rPr>
              <w:fldChar w:fldCharType="end"/>
            </w:r>
          </w:hyperlink>
        </w:p>
        <w:p w14:paraId="7F5552ED" w14:textId="449EA102"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16" w:history="1">
            <w:r w:rsidR="00825499" w:rsidRPr="008455B9">
              <w:rPr>
                <w:rStyle w:val="Hyperlink"/>
                <w:rFonts w:asciiTheme="minorHAnsi" w:hAnsiTheme="minorHAnsi" w:cstheme="minorHAnsi"/>
                <w:u w:color="FFFFFF" w:themeColor="background1"/>
              </w:rPr>
              <w:t>Factor 1: d) Consultation</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_Toc58960216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7</w:t>
            </w:r>
            <w:r w:rsidR="00825499" w:rsidRPr="008455B9">
              <w:rPr>
                <w:rFonts w:asciiTheme="minorHAnsi" w:hAnsiTheme="minorHAnsi" w:cstheme="minorHAnsi"/>
                <w:webHidden/>
                <w:u w:color="FFFFFF" w:themeColor="background1"/>
              </w:rPr>
              <w:fldChar w:fldCharType="end"/>
            </w:r>
          </w:hyperlink>
        </w:p>
        <w:p w14:paraId="075B5832" w14:textId="47B3353A"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17" w:history="1">
            <w:r w:rsidR="00825499" w:rsidRPr="008455B9">
              <w:rPr>
                <w:rStyle w:val="Hyperlink"/>
                <w:rFonts w:asciiTheme="minorHAnsi" w:hAnsiTheme="minorHAnsi" w:cstheme="minorHAnsi"/>
                <w:u w:color="FFFFFF" w:themeColor="background1"/>
              </w:rPr>
              <w:t>Factor 1: e) Evidence of Sound Community Engagement through the Patient Panel</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_Toc58960217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8</w:t>
            </w:r>
            <w:r w:rsidR="00825499" w:rsidRPr="008455B9">
              <w:rPr>
                <w:rFonts w:asciiTheme="minorHAnsi" w:hAnsiTheme="minorHAnsi" w:cstheme="minorHAnsi"/>
                <w:webHidden/>
                <w:u w:color="FFFFFF" w:themeColor="background1"/>
              </w:rPr>
              <w:fldChar w:fldCharType="end"/>
            </w:r>
          </w:hyperlink>
        </w:p>
        <w:p w14:paraId="565320A6" w14:textId="15587B7D"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18" w:history="1">
            <w:r w:rsidR="00825499" w:rsidRPr="008455B9">
              <w:rPr>
                <w:rStyle w:val="Hyperlink"/>
                <w:rFonts w:asciiTheme="minorHAnsi" w:hAnsiTheme="minorHAnsi" w:cstheme="minorHAnsi"/>
                <w:u w:color="FFFFFF" w:themeColor="background1"/>
              </w:rPr>
              <w:t xml:space="preserve">Factor 1: f) Competition on </w:t>
            </w:r>
            <w:r w:rsidR="001A2159" w:rsidRPr="008455B9">
              <w:rPr>
                <w:rStyle w:val="Hyperlink"/>
                <w:rFonts w:asciiTheme="minorHAnsi" w:hAnsiTheme="minorHAnsi" w:cstheme="minorHAnsi"/>
                <w:u w:color="FFFFFF" w:themeColor="background1"/>
              </w:rPr>
              <w:t>P</w:t>
            </w:r>
            <w:r w:rsidR="00825499" w:rsidRPr="008455B9">
              <w:rPr>
                <w:rStyle w:val="Hyperlink"/>
                <w:rFonts w:asciiTheme="minorHAnsi" w:hAnsiTheme="minorHAnsi" w:cstheme="minorHAnsi"/>
                <w:u w:color="FFFFFF" w:themeColor="background1"/>
              </w:rPr>
              <w:t xml:space="preserve">rice, </w:t>
            </w:r>
            <w:r w:rsidR="001A2159" w:rsidRPr="008455B9">
              <w:rPr>
                <w:rStyle w:val="Hyperlink"/>
                <w:rFonts w:asciiTheme="minorHAnsi" w:hAnsiTheme="minorHAnsi" w:cstheme="minorHAnsi"/>
                <w:u w:color="FFFFFF" w:themeColor="background1"/>
              </w:rPr>
              <w:t>T</w:t>
            </w:r>
            <w:r w:rsidR="00825499" w:rsidRPr="008455B9">
              <w:rPr>
                <w:rStyle w:val="Hyperlink"/>
                <w:rFonts w:asciiTheme="minorHAnsi" w:hAnsiTheme="minorHAnsi" w:cstheme="minorHAnsi"/>
                <w:u w:color="FFFFFF" w:themeColor="background1"/>
              </w:rPr>
              <w:t xml:space="preserve">otal </w:t>
            </w:r>
            <w:r w:rsidR="001A2159" w:rsidRPr="008455B9">
              <w:rPr>
                <w:rStyle w:val="Hyperlink"/>
                <w:rFonts w:asciiTheme="minorHAnsi" w:hAnsiTheme="minorHAnsi" w:cstheme="minorHAnsi"/>
                <w:u w:color="FFFFFF" w:themeColor="background1"/>
              </w:rPr>
              <w:t>M</w:t>
            </w:r>
            <w:r w:rsidR="00825499" w:rsidRPr="008455B9">
              <w:rPr>
                <w:rStyle w:val="Hyperlink"/>
                <w:rFonts w:asciiTheme="minorHAnsi" w:hAnsiTheme="minorHAnsi" w:cstheme="minorHAnsi"/>
                <w:u w:color="FFFFFF" w:themeColor="background1"/>
              </w:rPr>
              <w:t xml:space="preserve">edical </w:t>
            </w:r>
            <w:r w:rsidR="001A2159" w:rsidRPr="008455B9">
              <w:rPr>
                <w:rStyle w:val="Hyperlink"/>
                <w:rFonts w:asciiTheme="minorHAnsi" w:hAnsiTheme="minorHAnsi" w:cstheme="minorHAnsi"/>
                <w:u w:color="FFFFFF" w:themeColor="background1"/>
              </w:rPr>
              <w:t>E</w:t>
            </w:r>
            <w:r w:rsidR="00825499" w:rsidRPr="008455B9">
              <w:rPr>
                <w:rStyle w:val="Hyperlink"/>
                <w:rFonts w:asciiTheme="minorHAnsi" w:hAnsiTheme="minorHAnsi" w:cstheme="minorHAnsi"/>
                <w:u w:color="FFFFFF" w:themeColor="background1"/>
              </w:rPr>
              <w:t xml:space="preserve">xpenses (TME), </w:t>
            </w:r>
            <w:r w:rsidR="001A2159" w:rsidRPr="008455B9">
              <w:rPr>
                <w:rStyle w:val="Hyperlink"/>
                <w:rFonts w:asciiTheme="minorHAnsi" w:hAnsiTheme="minorHAnsi" w:cstheme="minorHAnsi"/>
                <w:u w:color="FFFFFF" w:themeColor="background1"/>
              </w:rPr>
              <w:t>C</w:t>
            </w:r>
            <w:r w:rsidR="00825499" w:rsidRPr="008455B9">
              <w:rPr>
                <w:rStyle w:val="Hyperlink"/>
                <w:rFonts w:asciiTheme="minorHAnsi" w:hAnsiTheme="minorHAnsi" w:cstheme="minorHAnsi"/>
                <w:u w:color="FFFFFF" w:themeColor="background1"/>
              </w:rPr>
              <w:t xml:space="preserve">osts and </w:t>
            </w:r>
            <w:r w:rsidR="001A2159" w:rsidRPr="008455B9">
              <w:rPr>
                <w:rStyle w:val="Hyperlink"/>
                <w:rFonts w:asciiTheme="minorHAnsi" w:hAnsiTheme="minorHAnsi" w:cstheme="minorHAnsi"/>
                <w:u w:color="FFFFFF" w:themeColor="background1"/>
              </w:rPr>
              <w:t>O</w:t>
            </w:r>
            <w:r w:rsidR="00825499" w:rsidRPr="008455B9">
              <w:rPr>
                <w:rStyle w:val="Hyperlink"/>
                <w:rFonts w:asciiTheme="minorHAnsi" w:hAnsiTheme="minorHAnsi" w:cstheme="minorHAnsi"/>
                <w:u w:color="FFFFFF" w:themeColor="background1"/>
              </w:rPr>
              <w:t xml:space="preserve">ther </w:t>
            </w:r>
            <w:r w:rsidR="001A2159" w:rsidRPr="008455B9">
              <w:rPr>
                <w:rStyle w:val="Hyperlink"/>
                <w:rFonts w:asciiTheme="minorHAnsi" w:hAnsiTheme="minorHAnsi" w:cstheme="minorHAnsi"/>
                <w:u w:color="FFFFFF" w:themeColor="background1"/>
              </w:rPr>
              <w:t>M</w:t>
            </w:r>
            <w:r w:rsidR="00825499" w:rsidRPr="008455B9">
              <w:rPr>
                <w:rStyle w:val="Hyperlink"/>
                <w:rFonts w:asciiTheme="minorHAnsi" w:hAnsiTheme="minorHAnsi" w:cstheme="minorHAnsi"/>
                <w:u w:color="FFFFFF" w:themeColor="background1"/>
              </w:rPr>
              <w:t xml:space="preserve">easures of </w:t>
            </w:r>
            <w:r w:rsidR="001A2159" w:rsidRPr="008455B9">
              <w:rPr>
                <w:rStyle w:val="Hyperlink"/>
                <w:rFonts w:asciiTheme="minorHAnsi" w:hAnsiTheme="minorHAnsi" w:cstheme="minorHAnsi"/>
                <w:u w:color="FFFFFF" w:themeColor="background1"/>
              </w:rPr>
              <w:t>H</w:t>
            </w:r>
            <w:r w:rsidR="00825499" w:rsidRPr="008455B9">
              <w:rPr>
                <w:rStyle w:val="Hyperlink"/>
                <w:rFonts w:asciiTheme="minorHAnsi" w:hAnsiTheme="minorHAnsi" w:cstheme="minorHAnsi"/>
                <w:u w:color="FFFFFF" w:themeColor="background1"/>
              </w:rPr>
              <w:t xml:space="preserve">ealth </w:t>
            </w:r>
            <w:r w:rsidR="001A2159" w:rsidRPr="008455B9">
              <w:rPr>
                <w:rStyle w:val="Hyperlink"/>
                <w:rFonts w:asciiTheme="minorHAnsi" w:hAnsiTheme="minorHAnsi" w:cstheme="minorHAnsi"/>
                <w:u w:color="FFFFFF" w:themeColor="background1"/>
              </w:rPr>
              <w:t>C</w:t>
            </w:r>
            <w:r w:rsidR="00825499" w:rsidRPr="008455B9">
              <w:rPr>
                <w:rStyle w:val="Hyperlink"/>
                <w:rFonts w:asciiTheme="minorHAnsi" w:hAnsiTheme="minorHAnsi" w:cstheme="minorHAnsi"/>
                <w:u w:color="FFFFFF" w:themeColor="background1"/>
              </w:rPr>
              <w:t xml:space="preserve">are </w:t>
            </w:r>
            <w:r w:rsidR="001A2159" w:rsidRPr="008455B9">
              <w:rPr>
                <w:rStyle w:val="Hyperlink"/>
                <w:rFonts w:asciiTheme="minorHAnsi" w:hAnsiTheme="minorHAnsi" w:cstheme="minorHAnsi"/>
                <w:u w:color="FFFFFF" w:themeColor="background1"/>
              </w:rPr>
              <w:t>S</w:t>
            </w:r>
            <w:r w:rsidR="00825499" w:rsidRPr="008455B9">
              <w:rPr>
                <w:rStyle w:val="Hyperlink"/>
                <w:rFonts w:asciiTheme="minorHAnsi" w:hAnsiTheme="minorHAnsi" w:cstheme="minorHAnsi"/>
                <w:u w:color="FFFFFF" w:themeColor="background1"/>
              </w:rPr>
              <w:t>pending</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_Toc58960218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8</w:t>
            </w:r>
            <w:r w:rsidR="00825499" w:rsidRPr="008455B9">
              <w:rPr>
                <w:rFonts w:asciiTheme="minorHAnsi" w:hAnsiTheme="minorHAnsi" w:cstheme="minorHAnsi"/>
                <w:webHidden/>
                <w:u w:color="FFFFFF" w:themeColor="background1"/>
              </w:rPr>
              <w:fldChar w:fldCharType="end"/>
            </w:r>
          </w:hyperlink>
        </w:p>
        <w:p w14:paraId="4E1859C5" w14:textId="0D8051CE" w:rsidR="00825499" w:rsidRPr="008455B9" w:rsidRDefault="008455B9" w:rsidP="008455B9">
          <w:pPr>
            <w:pStyle w:val="TOC2"/>
            <w:shd w:val="clear" w:color="auto" w:fill="FFFFFF" w:themeFill="background1"/>
            <w:ind w:left="0"/>
            <w:rPr>
              <w:rFonts w:eastAsiaTheme="minorEastAsia" w:cstheme="minorHAnsi"/>
              <w:noProof/>
              <w:u w:color="FFFFFF" w:themeColor="background1"/>
            </w:rPr>
          </w:pPr>
          <w:hyperlink w:anchor="_Toc58960219" w:history="1">
            <w:r w:rsidR="00825499" w:rsidRPr="008455B9">
              <w:rPr>
                <w:rStyle w:val="Hyperlink"/>
                <w:rFonts w:cstheme="minorHAnsi"/>
                <w:noProof/>
                <w:u w:color="FFFFFF" w:themeColor="background1"/>
              </w:rPr>
              <w:t>Factor 1 Summary</w:t>
            </w:r>
            <w:r w:rsidR="00825499" w:rsidRPr="008455B9">
              <w:rPr>
                <w:rFonts w:cstheme="minorHAnsi"/>
                <w:noProof/>
                <w:webHidden/>
                <w:u w:color="FFFFFF" w:themeColor="background1"/>
              </w:rPr>
              <w:tab/>
            </w:r>
            <w:r w:rsidR="00825499" w:rsidRPr="008455B9">
              <w:rPr>
                <w:rFonts w:cstheme="minorHAnsi"/>
                <w:noProof/>
                <w:webHidden/>
                <w:u w:color="FFFFFF" w:themeColor="background1"/>
              </w:rPr>
              <w:fldChar w:fldCharType="begin"/>
            </w:r>
            <w:r w:rsidR="00825499" w:rsidRPr="008455B9">
              <w:rPr>
                <w:rFonts w:cstheme="minorHAnsi"/>
                <w:noProof/>
                <w:webHidden/>
                <w:u w:color="FFFFFF" w:themeColor="background1"/>
              </w:rPr>
              <w:instrText xml:space="preserve"> PAGEREF _Toc58960219 \h </w:instrText>
            </w:r>
            <w:r w:rsidR="00825499" w:rsidRPr="008455B9">
              <w:rPr>
                <w:rFonts w:cstheme="minorHAnsi"/>
                <w:noProof/>
                <w:webHidden/>
                <w:u w:color="FFFFFF" w:themeColor="background1"/>
              </w:rPr>
            </w:r>
            <w:r w:rsidR="00825499" w:rsidRPr="008455B9">
              <w:rPr>
                <w:rFonts w:cstheme="minorHAnsi"/>
                <w:noProof/>
                <w:webHidden/>
                <w:u w:color="FFFFFF" w:themeColor="background1"/>
              </w:rPr>
              <w:fldChar w:fldCharType="separate"/>
            </w:r>
            <w:r w:rsidR="00B73614" w:rsidRPr="008455B9">
              <w:rPr>
                <w:rFonts w:cstheme="minorHAnsi"/>
                <w:noProof/>
                <w:webHidden/>
                <w:u w:color="FFFFFF" w:themeColor="background1"/>
              </w:rPr>
              <w:t>9</w:t>
            </w:r>
            <w:r w:rsidR="00825499" w:rsidRPr="008455B9">
              <w:rPr>
                <w:rFonts w:cstheme="minorHAnsi"/>
                <w:noProof/>
                <w:webHidden/>
                <w:u w:color="FFFFFF" w:themeColor="background1"/>
              </w:rPr>
              <w:fldChar w:fldCharType="end"/>
            </w:r>
          </w:hyperlink>
        </w:p>
        <w:p w14:paraId="1738AFC3" w14:textId="0CFA1067"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0" w:history="1">
            <w:r w:rsidR="00825499" w:rsidRPr="008455B9">
              <w:rPr>
                <w:rStyle w:val="Hyperlink"/>
                <w:rFonts w:asciiTheme="minorHAnsi" w:hAnsiTheme="minorHAnsi" w:cstheme="minorHAnsi"/>
                <w:u w:color="FFFFFF" w:themeColor="background1"/>
              </w:rPr>
              <w:t xml:space="preserve">Factor 2: Cost </w:t>
            </w:r>
            <w:r w:rsidR="001A2159" w:rsidRPr="008455B9">
              <w:rPr>
                <w:rStyle w:val="Hyperlink"/>
                <w:rFonts w:asciiTheme="minorHAnsi" w:hAnsiTheme="minorHAnsi" w:cstheme="minorHAnsi"/>
                <w:u w:color="FFFFFF" w:themeColor="background1"/>
              </w:rPr>
              <w:t>C</w:t>
            </w:r>
            <w:r w:rsidR="00825499" w:rsidRPr="008455B9">
              <w:rPr>
                <w:rStyle w:val="Hyperlink"/>
                <w:rFonts w:asciiTheme="minorHAnsi" w:hAnsiTheme="minorHAnsi" w:cstheme="minorHAnsi"/>
                <w:u w:color="FFFFFF" w:themeColor="background1"/>
              </w:rPr>
              <w:t>ontainment, Improved Public Health Outcomes and Delivery System Transformation</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_Toc58960220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9</w:t>
            </w:r>
            <w:r w:rsidR="00825499" w:rsidRPr="008455B9">
              <w:rPr>
                <w:rFonts w:asciiTheme="minorHAnsi" w:hAnsiTheme="minorHAnsi" w:cstheme="minorHAnsi"/>
                <w:webHidden/>
                <w:u w:color="FFFFFF" w:themeColor="background1"/>
              </w:rPr>
              <w:fldChar w:fldCharType="end"/>
            </w:r>
          </w:hyperlink>
        </w:p>
        <w:p w14:paraId="74BB9378" w14:textId="1E26BB4D"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1" w:history="1">
            <w:r w:rsidR="00825499" w:rsidRPr="008455B9">
              <w:rPr>
                <w:rStyle w:val="Hyperlink"/>
                <w:rFonts w:asciiTheme="minorHAnsi" w:hAnsiTheme="minorHAnsi" w:cstheme="minorHAnsi"/>
                <w:u w:color="FFFFFF" w:themeColor="background1"/>
              </w:rPr>
              <w:t>Factor 2 Summary</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_Toc58960221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10</w:t>
            </w:r>
            <w:r w:rsidR="00825499" w:rsidRPr="008455B9">
              <w:rPr>
                <w:rFonts w:asciiTheme="minorHAnsi" w:hAnsiTheme="minorHAnsi" w:cstheme="minorHAnsi"/>
                <w:webHidden/>
                <w:u w:color="FFFFFF" w:themeColor="background1"/>
              </w:rPr>
              <w:fldChar w:fldCharType="end"/>
            </w:r>
          </w:hyperlink>
        </w:p>
        <w:p w14:paraId="5B15554F" w14:textId="70F7BAB0"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2" w:history="1">
            <w:r w:rsidR="00825499" w:rsidRPr="008455B9">
              <w:rPr>
                <w:rStyle w:val="Hyperlink"/>
                <w:rFonts w:asciiTheme="minorHAnsi" w:hAnsiTheme="minorHAnsi" w:cstheme="minorHAnsi"/>
                <w:u w:color="FFFFFF" w:themeColor="background1"/>
              </w:rPr>
              <w:t>Factor 3: Relevant Licensure/Oversight Compliance</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_Toc58960222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11</w:t>
            </w:r>
            <w:r w:rsidR="00825499" w:rsidRPr="008455B9">
              <w:rPr>
                <w:rFonts w:asciiTheme="minorHAnsi" w:hAnsiTheme="minorHAnsi" w:cstheme="minorHAnsi"/>
                <w:webHidden/>
                <w:u w:color="FFFFFF" w:themeColor="background1"/>
              </w:rPr>
              <w:fldChar w:fldCharType="end"/>
            </w:r>
          </w:hyperlink>
        </w:p>
        <w:p w14:paraId="5C769522" w14:textId="2CE5548B"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3" w:history="1">
            <w:r w:rsidR="00825499" w:rsidRPr="008455B9">
              <w:rPr>
                <w:rStyle w:val="Hyperlink"/>
                <w:rFonts w:asciiTheme="minorHAnsi" w:hAnsiTheme="minorHAnsi" w:cstheme="minorHAnsi"/>
                <w:u w:color="FFFFFF" w:themeColor="background1"/>
              </w:rPr>
              <w:t>Factor 4: Demonstration of Sufficient Funds as Supported by an Independent CPA Analysis</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_Toc58960223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11</w:t>
            </w:r>
            <w:r w:rsidR="00825499" w:rsidRPr="008455B9">
              <w:rPr>
                <w:rFonts w:asciiTheme="minorHAnsi" w:hAnsiTheme="minorHAnsi" w:cstheme="minorHAnsi"/>
                <w:webHidden/>
                <w:u w:color="FFFFFF" w:themeColor="background1"/>
              </w:rPr>
              <w:fldChar w:fldCharType="end"/>
            </w:r>
          </w:hyperlink>
        </w:p>
        <w:p w14:paraId="4C442699" w14:textId="6A3CBF29"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4" w:history="1">
            <w:r w:rsidR="00825499" w:rsidRPr="008455B9">
              <w:rPr>
                <w:rStyle w:val="Hyperlink"/>
                <w:rFonts w:asciiTheme="minorHAnsi" w:hAnsiTheme="minorHAnsi" w:cstheme="minorHAnsi"/>
                <w:u w:color="FFFFFF" w:themeColor="background1"/>
              </w:rPr>
              <w:t>Factor 5: Assessment of the Proposed Project’s Relative Merit</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_Toc58960224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12</w:t>
            </w:r>
            <w:r w:rsidR="00825499" w:rsidRPr="008455B9">
              <w:rPr>
                <w:rFonts w:asciiTheme="minorHAnsi" w:hAnsiTheme="minorHAnsi" w:cstheme="minorHAnsi"/>
                <w:webHidden/>
                <w:u w:color="FFFFFF" w:themeColor="background1"/>
              </w:rPr>
              <w:fldChar w:fldCharType="end"/>
            </w:r>
          </w:hyperlink>
        </w:p>
        <w:p w14:paraId="6D898EFA" w14:textId="3D6A2939"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5" w:history="1">
            <w:r w:rsidR="00825499" w:rsidRPr="008455B9">
              <w:rPr>
                <w:rStyle w:val="Hyperlink"/>
                <w:rFonts w:asciiTheme="minorHAnsi" w:hAnsiTheme="minorHAnsi" w:cstheme="minorHAnsi"/>
                <w:u w:color="FFFFFF" w:themeColor="background1"/>
              </w:rPr>
              <w:t>Factor 6: Fulfillment of DPH Community-based Health Initiatives Guideline</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_Toc58960225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12</w:t>
            </w:r>
            <w:r w:rsidR="00825499" w:rsidRPr="008455B9">
              <w:rPr>
                <w:rFonts w:asciiTheme="minorHAnsi" w:hAnsiTheme="minorHAnsi" w:cstheme="minorHAnsi"/>
                <w:webHidden/>
                <w:u w:color="FFFFFF" w:themeColor="background1"/>
              </w:rPr>
              <w:fldChar w:fldCharType="end"/>
            </w:r>
          </w:hyperlink>
        </w:p>
        <w:p w14:paraId="513EED07" w14:textId="71A0256D"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6" w:history="1">
            <w:r w:rsidR="00825499" w:rsidRPr="008455B9">
              <w:rPr>
                <w:rStyle w:val="Hyperlink"/>
                <w:rFonts w:asciiTheme="minorHAnsi" w:hAnsiTheme="minorHAnsi" w:cstheme="minorHAnsi"/>
                <w:u w:color="FFFFFF" w:themeColor="background1"/>
              </w:rPr>
              <w:t>Findings and Recommendations</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_Toc58960226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14</w:t>
            </w:r>
            <w:r w:rsidR="00825499" w:rsidRPr="008455B9">
              <w:rPr>
                <w:rFonts w:asciiTheme="minorHAnsi" w:hAnsiTheme="minorHAnsi" w:cstheme="minorHAnsi"/>
                <w:webHidden/>
                <w:u w:color="FFFFFF" w:themeColor="background1"/>
              </w:rPr>
              <w:fldChar w:fldCharType="end"/>
            </w:r>
          </w:hyperlink>
        </w:p>
        <w:p w14:paraId="76180812" w14:textId="19F2C3E6" w:rsidR="00825499" w:rsidRPr="008455B9" w:rsidRDefault="008455B9" w:rsidP="008455B9">
          <w:pPr>
            <w:pStyle w:val="TOC1"/>
            <w:shd w:val="clear" w:color="auto" w:fill="FFFFFF" w:themeFill="background1"/>
            <w:rPr>
              <w:rFonts w:asciiTheme="minorHAnsi" w:eastAsiaTheme="minorEastAsia" w:hAnsiTheme="minorHAnsi" w:cstheme="minorHAnsi"/>
              <w:u w:color="FFFFFF" w:themeColor="background1"/>
            </w:rPr>
          </w:pPr>
          <w:hyperlink w:anchor="_Toc58960227" w:history="1">
            <w:r w:rsidR="00825499" w:rsidRPr="008455B9">
              <w:rPr>
                <w:rStyle w:val="Hyperlink"/>
                <w:rFonts w:asciiTheme="minorHAnsi" w:hAnsiTheme="minorHAnsi" w:cstheme="minorHAnsi"/>
                <w:u w:color="FFFFFF" w:themeColor="background1"/>
              </w:rPr>
              <w:t>Other Conditions</w:t>
            </w:r>
            <w:r w:rsidR="00825499" w:rsidRPr="008455B9">
              <w:rPr>
                <w:rFonts w:asciiTheme="minorHAnsi" w:hAnsiTheme="minorHAnsi" w:cstheme="minorHAnsi"/>
                <w:webHidden/>
                <w:u w:color="FFFFFF" w:themeColor="background1"/>
              </w:rPr>
              <w:tab/>
            </w:r>
            <w:r w:rsidR="00825499" w:rsidRPr="008455B9">
              <w:rPr>
                <w:rFonts w:asciiTheme="minorHAnsi" w:hAnsiTheme="minorHAnsi" w:cstheme="minorHAnsi"/>
                <w:webHidden/>
                <w:u w:color="FFFFFF" w:themeColor="background1"/>
              </w:rPr>
              <w:fldChar w:fldCharType="begin"/>
            </w:r>
            <w:r w:rsidR="00825499" w:rsidRPr="008455B9">
              <w:rPr>
                <w:rFonts w:asciiTheme="minorHAnsi" w:hAnsiTheme="minorHAnsi" w:cstheme="minorHAnsi"/>
                <w:webHidden/>
                <w:u w:color="FFFFFF" w:themeColor="background1"/>
              </w:rPr>
              <w:instrText xml:space="preserve"> PAGEREF _Toc58960227 \h </w:instrText>
            </w:r>
            <w:r w:rsidR="00825499" w:rsidRPr="008455B9">
              <w:rPr>
                <w:rFonts w:asciiTheme="minorHAnsi" w:hAnsiTheme="minorHAnsi" w:cstheme="minorHAnsi"/>
                <w:webHidden/>
                <w:u w:color="FFFFFF" w:themeColor="background1"/>
              </w:rPr>
            </w:r>
            <w:r w:rsidR="00825499" w:rsidRPr="008455B9">
              <w:rPr>
                <w:rFonts w:asciiTheme="minorHAnsi" w:hAnsiTheme="minorHAnsi" w:cstheme="minorHAnsi"/>
                <w:webHidden/>
                <w:u w:color="FFFFFF" w:themeColor="background1"/>
              </w:rPr>
              <w:fldChar w:fldCharType="separate"/>
            </w:r>
            <w:r w:rsidR="00B73614" w:rsidRPr="008455B9">
              <w:rPr>
                <w:rFonts w:asciiTheme="minorHAnsi" w:hAnsiTheme="minorHAnsi" w:cstheme="minorHAnsi"/>
                <w:webHidden/>
                <w:u w:color="FFFFFF" w:themeColor="background1"/>
              </w:rPr>
              <w:t>14</w:t>
            </w:r>
            <w:r w:rsidR="00825499" w:rsidRPr="008455B9">
              <w:rPr>
                <w:rFonts w:asciiTheme="minorHAnsi" w:hAnsiTheme="minorHAnsi" w:cstheme="minorHAnsi"/>
                <w:webHidden/>
                <w:u w:color="FFFFFF" w:themeColor="background1"/>
              </w:rPr>
              <w:fldChar w:fldCharType="end"/>
            </w:r>
          </w:hyperlink>
        </w:p>
        <w:p w14:paraId="28FD75DC" w14:textId="4D59D6CC" w:rsidR="00D14F77" w:rsidRPr="00241F83" w:rsidRDefault="00D14F77" w:rsidP="008455B9">
          <w:pPr>
            <w:shd w:val="clear" w:color="auto" w:fill="FFFFFF" w:themeFill="background1"/>
            <w:spacing w:line="240" w:lineRule="auto"/>
            <w:rPr>
              <w:rFonts w:cstheme="minorHAnsi"/>
            </w:rPr>
          </w:pPr>
          <w:r w:rsidRPr="008455B9">
            <w:rPr>
              <w:rFonts w:cstheme="minorHAnsi"/>
              <w:b/>
              <w:bCs/>
              <w:noProof/>
              <w:u w:color="FFFFFF" w:themeColor="background1"/>
            </w:rPr>
            <w:fldChar w:fldCharType="end"/>
          </w:r>
        </w:p>
      </w:sdtContent>
    </w:sdt>
    <w:p w14:paraId="1E9F4F04" w14:textId="0AAD68DE" w:rsidR="00B12018" w:rsidRPr="00241F83" w:rsidRDefault="00D14F77" w:rsidP="00EA38CA">
      <w:pPr>
        <w:spacing w:line="240" w:lineRule="auto"/>
        <w:rPr>
          <w:rFonts w:cstheme="minorHAnsi"/>
        </w:rPr>
      </w:pPr>
      <w:r w:rsidRPr="00241F83">
        <w:rPr>
          <w:rFonts w:cstheme="minorHAnsi"/>
        </w:rPr>
        <w:br w:type="page"/>
      </w:r>
    </w:p>
    <w:p w14:paraId="39198539" w14:textId="77777777" w:rsidR="00944246" w:rsidRPr="00241F83" w:rsidRDefault="00944246" w:rsidP="00EA38CA">
      <w:pPr>
        <w:spacing w:after="0" w:line="240" w:lineRule="auto"/>
        <w:contextualSpacing/>
        <w:rPr>
          <w:rFonts w:cstheme="minorHAnsi"/>
          <w:sz w:val="24"/>
          <w:szCs w:val="24"/>
        </w:rPr>
        <w:sectPr w:rsidR="00944246" w:rsidRPr="00241F83" w:rsidSect="00B7794F">
          <w:footerReference w:type="default" r:id="rId8"/>
          <w:footerReference w:type="first" r:id="rId9"/>
          <w:endnotePr>
            <w:numFmt w:val="lowerLetter"/>
          </w:endnotePr>
          <w:pgSz w:w="12240" w:h="15840"/>
          <w:pgMar w:top="1440" w:right="1080" w:bottom="1440" w:left="1080" w:header="720" w:footer="720" w:gutter="0"/>
          <w:cols w:space="720"/>
          <w:titlePg/>
          <w:docGrid w:linePitch="360"/>
        </w:sectPr>
      </w:pPr>
      <w:bookmarkStart w:id="0" w:name="_Hlk30359795"/>
      <w:bookmarkStart w:id="1" w:name="_Toc17474921"/>
    </w:p>
    <w:p w14:paraId="387C849A" w14:textId="3EE8304F" w:rsidR="00B0533D" w:rsidRPr="00241F83" w:rsidRDefault="00B0533D" w:rsidP="00B0533D">
      <w:pPr>
        <w:pStyle w:val="Heading1"/>
        <w:spacing w:line="240" w:lineRule="auto"/>
        <w:rPr>
          <w:rFonts w:asciiTheme="minorHAnsi" w:hAnsiTheme="minorHAnsi" w:cstheme="minorHAnsi"/>
        </w:rPr>
      </w:pPr>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29755670"/>
      <w:bookmarkStart w:id="15" w:name="_Toc58960194"/>
      <w:bookmarkStart w:id="16" w:name="_Toc28797399"/>
      <w:bookmarkStart w:id="17" w:name="_Toc29755677"/>
      <w:bookmarkStart w:id="18" w:name="_Toc27567690"/>
      <w:bookmarkStart w:id="19" w:name="_Toc17151137"/>
      <w:bookmarkEnd w:id="0"/>
      <w:r w:rsidRPr="00241F83">
        <w:rPr>
          <w:rFonts w:asciiTheme="minorHAnsi" w:hAnsiTheme="minorHAnsi" w:cstheme="minorHAnsi"/>
        </w:rPr>
        <w:lastRenderedPageBreak/>
        <w:t xml:space="preserve">Background: </w:t>
      </w:r>
      <w:bookmarkEnd w:id="2"/>
      <w:bookmarkEnd w:id="3"/>
      <w:bookmarkEnd w:id="4"/>
      <w:bookmarkEnd w:id="5"/>
      <w:bookmarkEnd w:id="6"/>
      <w:bookmarkEnd w:id="7"/>
      <w:bookmarkEnd w:id="8"/>
      <w:bookmarkEnd w:id="9"/>
      <w:bookmarkEnd w:id="10"/>
      <w:bookmarkEnd w:id="11"/>
      <w:bookmarkEnd w:id="12"/>
      <w:bookmarkEnd w:id="13"/>
      <w:bookmarkEnd w:id="14"/>
      <w:r w:rsidR="00106BF4" w:rsidRPr="00241F83">
        <w:rPr>
          <w:rFonts w:asciiTheme="minorHAnsi" w:hAnsiTheme="minorHAnsi" w:cstheme="minorHAnsi"/>
        </w:rPr>
        <w:t xml:space="preserve">Baystate Orthopedic Surgery Center </w:t>
      </w:r>
      <w:r w:rsidRPr="00241F83">
        <w:rPr>
          <w:rFonts w:asciiTheme="minorHAnsi" w:hAnsiTheme="minorHAnsi" w:cstheme="minorHAnsi"/>
        </w:rPr>
        <w:t>and Application Overview</w:t>
      </w:r>
      <w:bookmarkEnd w:id="15"/>
    </w:p>
    <w:p w14:paraId="2A306DB1" w14:textId="48245F96" w:rsidR="00555638" w:rsidRPr="00D4346E" w:rsidRDefault="001D68CB" w:rsidP="00555638">
      <w:pPr>
        <w:pStyle w:val="NoSpacing"/>
        <w:rPr>
          <w:sz w:val="24"/>
          <w:szCs w:val="24"/>
        </w:rPr>
      </w:pPr>
      <w:r w:rsidRPr="00241F83">
        <w:rPr>
          <w:rFonts w:cstheme="minorHAnsi"/>
          <w:color w:val="000000"/>
          <w:sz w:val="24"/>
          <w:szCs w:val="24"/>
        </w:rPr>
        <w:t>Baystate New England Orthopedic Surgeons Alliance, LLC (“</w:t>
      </w:r>
      <w:r w:rsidR="00D33E4C" w:rsidRPr="00241F83">
        <w:rPr>
          <w:rFonts w:cstheme="minorHAnsi"/>
          <w:color w:val="000000"/>
          <w:sz w:val="24"/>
          <w:szCs w:val="24"/>
        </w:rPr>
        <w:t>Applicant</w:t>
      </w:r>
      <w:r w:rsidRPr="00241F83">
        <w:rPr>
          <w:rFonts w:cstheme="minorHAnsi"/>
          <w:color w:val="000000"/>
          <w:sz w:val="24"/>
          <w:szCs w:val="24"/>
        </w:rPr>
        <w:t xml:space="preserve">”) is a newly formed joint venture created for the purpose of establishing the proposed ASC. Its members are Baystate (60%), NEOS SurgCo, LLC (“NEOS,” 35%), and Compass Surgical Partners Holdings of Springfield, LLC (“Compass,” 5%), a third-party management services provider. Baystate, an affiliate of Baystate Health, Inc., located in Springfield, Massachusetts, is a teaching hospital and the region’s only Level 1 trauma center. NEOS, which is composed of orthopedic surgeons who </w:t>
      </w:r>
      <w:r w:rsidR="0001369B">
        <w:rPr>
          <w:rFonts w:cstheme="minorHAnsi"/>
          <w:color w:val="000000"/>
          <w:sz w:val="24"/>
          <w:szCs w:val="24"/>
        </w:rPr>
        <w:t xml:space="preserve">perform surgeries at </w:t>
      </w:r>
      <w:r w:rsidR="0001369B" w:rsidRPr="00241F83">
        <w:rPr>
          <w:rFonts w:cstheme="minorHAnsi"/>
          <w:sz w:val="24"/>
          <w:szCs w:val="24"/>
        </w:rPr>
        <w:t>BOSC</w:t>
      </w:r>
      <w:r w:rsidR="0001369B">
        <w:rPr>
          <w:rFonts w:cstheme="minorHAnsi"/>
          <w:color w:val="000000"/>
          <w:sz w:val="24"/>
          <w:szCs w:val="24"/>
        </w:rPr>
        <w:t xml:space="preserve"> and who </w:t>
      </w:r>
      <w:r w:rsidR="007F247B" w:rsidRPr="00241F83">
        <w:rPr>
          <w:rFonts w:cstheme="minorHAnsi"/>
          <w:color w:val="000000"/>
          <w:sz w:val="24"/>
          <w:szCs w:val="24"/>
        </w:rPr>
        <w:t>plan to</w:t>
      </w:r>
      <w:r w:rsidRPr="00241F83">
        <w:rPr>
          <w:rFonts w:cstheme="minorHAnsi"/>
          <w:color w:val="000000"/>
          <w:sz w:val="24"/>
          <w:szCs w:val="24"/>
        </w:rPr>
        <w:t xml:space="preserve"> perfor</w:t>
      </w:r>
      <w:r w:rsidRPr="00BD5D6D">
        <w:rPr>
          <w:rFonts w:cstheme="minorHAnsi"/>
          <w:color w:val="000000"/>
          <w:sz w:val="24"/>
          <w:szCs w:val="24"/>
        </w:rPr>
        <w:t>m surgeries at the ASC, is a limited liability company formed in order to establish the proposed facility.</w:t>
      </w:r>
      <w:r w:rsidR="00555638" w:rsidRPr="00E94B26">
        <w:rPr>
          <w:rFonts w:cstheme="minorHAnsi"/>
          <w:color w:val="000000"/>
          <w:sz w:val="24"/>
          <w:szCs w:val="24"/>
        </w:rPr>
        <w:br/>
      </w:r>
      <w:r w:rsidR="00555638" w:rsidRPr="00E94B26">
        <w:rPr>
          <w:rFonts w:cstheme="minorHAnsi"/>
          <w:color w:val="000000"/>
          <w:sz w:val="24"/>
          <w:szCs w:val="24"/>
        </w:rPr>
        <w:br/>
      </w:r>
      <w:r w:rsidR="00555638" w:rsidRPr="00D4346E">
        <w:rPr>
          <w:sz w:val="24"/>
          <w:szCs w:val="24"/>
        </w:rPr>
        <w:t xml:space="preserve">The Applicant states that the ASC will maximize operational efficiencies by </w:t>
      </w:r>
      <w:r w:rsidR="00BD5D6D" w:rsidRPr="00D4346E">
        <w:rPr>
          <w:sz w:val="24"/>
          <w:szCs w:val="24"/>
        </w:rPr>
        <w:t>utilizing</w:t>
      </w:r>
      <w:r w:rsidR="00555638" w:rsidRPr="00D4346E">
        <w:rPr>
          <w:sz w:val="24"/>
          <w:szCs w:val="24"/>
        </w:rPr>
        <w:t xml:space="preserve"> a dedicated staff and an experienced management company. </w:t>
      </w:r>
      <w:r w:rsidR="00BD5D6D" w:rsidRPr="00D4346E">
        <w:rPr>
          <w:sz w:val="24"/>
          <w:szCs w:val="24"/>
        </w:rPr>
        <w:t>Additionally, t</w:t>
      </w:r>
      <w:r w:rsidR="00555638" w:rsidRPr="00D4346E">
        <w:rPr>
          <w:sz w:val="24"/>
          <w:szCs w:val="24"/>
        </w:rPr>
        <w:t xml:space="preserve">he ASC will feature greater capacity than the HOPD: BOSC </w:t>
      </w:r>
      <w:r w:rsidR="00BD5D6D" w:rsidRPr="00D4346E">
        <w:rPr>
          <w:sz w:val="24"/>
          <w:szCs w:val="24"/>
        </w:rPr>
        <w:t xml:space="preserve">had </w:t>
      </w:r>
      <w:r w:rsidR="00555638" w:rsidRPr="00D4346E">
        <w:rPr>
          <w:sz w:val="24"/>
          <w:szCs w:val="24"/>
        </w:rPr>
        <w:t>5,784 cases in the year ended 9/30/21. At the proposed ASC, total cases are expected to increase 2% each year (</w:t>
      </w:r>
      <w:r w:rsidR="00BD5D6D" w:rsidRPr="00D4346E">
        <w:rPr>
          <w:sz w:val="24"/>
          <w:szCs w:val="24"/>
        </w:rPr>
        <w:t xml:space="preserve">to </w:t>
      </w:r>
      <w:r w:rsidR="00555638" w:rsidRPr="00D4346E">
        <w:rPr>
          <w:sz w:val="24"/>
          <w:szCs w:val="24"/>
        </w:rPr>
        <w:t xml:space="preserve">6,322 in projected year 5). Additionally, the Applicant </w:t>
      </w:r>
      <w:r w:rsidR="00BD5D6D" w:rsidRPr="00D4346E">
        <w:rPr>
          <w:sz w:val="24"/>
          <w:szCs w:val="24"/>
        </w:rPr>
        <w:t>argues</w:t>
      </w:r>
      <w:r w:rsidR="00555638" w:rsidRPr="00D4346E">
        <w:rPr>
          <w:sz w:val="24"/>
          <w:szCs w:val="24"/>
        </w:rPr>
        <w:t xml:space="preserve"> that the lower prices of the ASC will help </w:t>
      </w:r>
      <w:r w:rsidR="00BD5D6D" w:rsidRPr="00D4346E">
        <w:rPr>
          <w:sz w:val="24"/>
          <w:szCs w:val="24"/>
        </w:rPr>
        <w:t xml:space="preserve">manage spending, and facilitate care coordination, for patients of </w:t>
      </w:r>
      <w:r w:rsidR="00555638" w:rsidRPr="00D4346E">
        <w:rPr>
          <w:sz w:val="24"/>
          <w:szCs w:val="24"/>
        </w:rPr>
        <w:t>two accountable care organizations affiliated with Baystate.</w:t>
      </w:r>
    </w:p>
    <w:p w14:paraId="39B4E428" w14:textId="5130EF7B" w:rsidR="00C83E14" w:rsidRPr="00241F83" w:rsidRDefault="003501E4">
      <w:pPr>
        <w:pStyle w:val="Heading1"/>
        <w:spacing w:line="240" w:lineRule="auto"/>
        <w:rPr>
          <w:rFonts w:asciiTheme="minorHAnsi" w:hAnsiTheme="minorHAnsi" w:cstheme="minorHAnsi"/>
        </w:rPr>
      </w:pPr>
      <w:bookmarkStart w:id="20" w:name="_Toc58960212"/>
      <w:r w:rsidRPr="00241F83">
        <w:rPr>
          <w:rFonts w:asciiTheme="minorHAnsi" w:hAnsiTheme="minorHAnsi" w:cstheme="minorHAnsi"/>
        </w:rPr>
        <w:t>P</w:t>
      </w:r>
      <w:r w:rsidR="00C83E14" w:rsidRPr="00241F83">
        <w:rPr>
          <w:rFonts w:asciiTheme="minorHAnsi" w:hAnsiTheme="minorHAnsi" w:cstheme="minorHAnsi"/>
        </w:rPr>
        <w:t>atient Panel</w:t>
      </w:r>
      <w:r w:rsidR="00C83E14" w:rsidRPr="00241F83">
        <w:rPr>
          <w:rFonts w:asciiTheme="minorHAnsi" w:hAnsiTheme="minorHAnsi" w:cstheme="minorHAnsi"/>
          <w:b w:val="0"/>
          <w:vertAlign w:val="superscript"/>
        </w:rPr>
        <w:footnoteReference w:id="1"/>
      </w:r>
      <w:bookmarkEnd w:id="16"/>
      <w:bookmarkEnd w:id="17"/>
      <w:bookmarkEnd w:id="20"/>
    </w:p>
    <w:bookmarkEnd w:id="18"/>
    <w:p w14:paraId="5821CC3B" w14:textId="4680F895" w:rsidR="0051081A" w:rsidRPr="00241F83" w:rsidRDefault="00826F67" w:rsidP="0051081A">
      <w:pPr>
        <w:spacing w:after="0" w:line="240" w:lineRule="auto"/>
        <w:rPr>
          <w:rFonts w:eastAsia="Times New Roman" w:cstheme="minorHAnsi"/>
          <w:color w:val="000000"/>
          <w:sz w:val="24"/>
          <w:szCs w:val="24"/>
        </w:rPr>
      </w:pPr>
      <w:r w:rsidRPr="00241F83">
        <w:rPr>
          <w:rFonts w:eastAsia="Times New Roman" w:cstheme="minorHAnsi"/>
          <w:color w:val="000000"/>
          <w:sz w:val="24"/>
          <w:szCs w:val="24"/>
        </w:rPr>
        <w:t xml:space="preserve">Because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is a newly formed joint venture, it does not have a patient panel. The following patient panel information reflects historical trends among BOSC’s patient panel, which is consistent with th</w:t>
      </w:r>
      <w:r w:rsidR="00231ABE">
        <w:rPr>
          <w:rFonts w:eastAsia="Times New Roman" w:cstheme="minorHAnsi"/>
          <w:color w:val="000000"/>
          <w:sz w:val="24"/>
          <w:szCs w:val="24"/>
        </w:rPr>
        <w:t>e</w:t>
      </w:r>
      <w:r w:rsidRPr="00241F83">
        <w:rPr>
          <w:rFonts w:eastAsia="Times New Roman" w:cstheme="minorHAnsi"/>
          <w:color w:val="000000"/>
          <w:sz w:val="24"/>
          <w:szCs w:val="24"/>
        </w:rPr>
        <w:t xml:space="preserve"> </w:t>
      </w:r>
      <w:r w:rsidR="00D33E4C" w:rsidRPr="00241F83">
        <w:rPr>
          <w:rFonts w:eastAsia="Times New Roman" w:cstheme="minorHAnsi"/>
          <w:color w:val="000000"/>
          <w:sz w:val="24"/>
          <w:szCs w:val="24"/>
        </w:rPr>
        <w:t>Applicant</w:t>
      </w:r>
      <w:r w:rsidR="00231ABE">
        <w:rPr>
          <w:rFonts w:eastAsia="Times New Roman" w:cstheme="minorHAnsi"/>
          <w:color w:val="000000"/>
          <w:sz w:val="24"/>
          <w:szCs w:val="24"/>
        </w:rPr>
        <w:t>’s anticipated Patient Panel</w:t>
      </w:r>
      <w:r w:rsidRPr="00241F83">
        <w:rPr>
          <w:rFonts w:eastAsia="Times New Roman" w:cstheme="minorHAnsi"/>
          <w:color w:val="000000"/>
          <w:sz w:val="24"/>
          <w:szCs w:val="24"/>
        </w:rPr>
        <w:t xml:space="preserve"> </w:t>
      </w:r>
      <w:r w:rsidR="00231ABE">
        <w:rPr>
          <w:rFonts w:eastAsia="Times New Roman" w:cstheme="minorHAnsi"/>
          <w:color w:val="000000"/>
          <w:sz w:val="24"/>
          <w:szCs w:val="24"/>
        </w:rPr>
        <w:t>for</w:t>
      </w:r>
      <w:r w:rsidRPr="00241F83">
        <w:rPr>
          <w:rFonts w:eastAsia="Times New Roman" w:cstheme="minorHAnsi"/>
          <w:color w:val="000000"/>
          <w:sz w:val="24"/>
          <w:szCs w:val="24"/>
        </w:rPr>
        <w:t xml:space="preserve"> the proposed project.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provided patient panel information for the period FY2019-2021, during which time BOSC served 15,033 patients. Table</w:t>
      </w:r>
      <w:r w:rsidR="007F247B" w:rsidRPr="00241F83">
        <w:rPr>
          <w:rFonts w:eastAsia="Times New Roman" w:cstheme="minorHAnsi"/>
          <w:color w:val="000000"/>
          <w:sz w:val="24"/>
          <w:szCs w:val="24"/>
        </w:rPr>
        <w:t xml:space="preserve"> 1</w:t>
      </w:r>
      <w:r w:rsidRPr="00241F83">
        <w:rPr>
          <w:rFonts w:eastAsia="Times New Roman" w:cstheme="minorHAnsi"/>
          <w:color w:val="000000"/>
          <w:sz w:val="24"/>
          <w:szCs w:val="24"/>
        </w:rPr>
        <w:t xml:space="preserve"> present</w:t>
      </w:r>
      <w:r w:rsidR="007F247B" w:rsidRPr="00241F83">
        <w:rPr>
          <w:rFonts w:eastAsia="Times New Roman" w:cstheme="minorHAnsi"/>
          <w:color w:val="000000"/>
          <w:sz w:val="24"/>
          <w:szCs w:val="24"/>
        </w:rPr>
        <w:t>s</w:t>
      </w:r>
      <w:r w:rsidRPr="00241F83">
        <w:rPr>
          <w:rFonts w:eastAsia="Times New Roman" w:cstheme="minorHAnsi"/>
          <w:color w:val="000000"/>
          <w:sz w:val="24"/>
          <w:szCs w:val="24"/>
        </w:rPr>
        <w:t xml:space="preserve"> demographic information (gender, race/ethnicity, age, city/town of residence, and payer mix) for BOSC’s patient panel during this period. </w:t>
      </w:r>
      <w:r w:rsidRPr="00241F83">
        <w:rPr>
          <w:rFonts w:eastAsia="Times New Roman" w:cstheme="minorHAnsi"/>
          <w:color w:val="000000"/>
          <w:sz w:val="24"/>
          <w:szCs w:val="24"/>
        </w:rPr>
        <w:br/>
      </w:r>
      <w:r w:rsidRPr="00241F83">
        <w:rPr>
          <w:rFonts w:eastAsia="Times New Roman" w:cstheme="minorHAnsi"/>
          <w:color w:val="000000"/>
          <w:sz w:val="24"/>
          <w:szCs w:val="24"/>
        </w:rPr>
        <w:br/>
        <w:t>Highlights from this data include:</w:t>
      </w:r>
    </w:p>
    <w:p w14:paraId="1D47EFF6" w14:textId="45D3E441" w:rsidR="0051081A" w:rsidRPr="00241F83" w:rsidRDefault="00826F67" w:rsidP="0051081A">
      <w:pPr>
        <w:pStyle w:val="ListParagraph"/>
        <w:numPr>
          <w:ilvl w:val="0"/>
          <w:numId w:val="18"/>
        </w:numPr>
        <w:spacing w:after="0" w:line="240" w:lineRule="auto"/>
        <w:rPr>
          <w:rFonts w:eastAsia="Times New Roman" w:cstheme="minorHAnsi"/>
          <w:sz w:val="28"/>
          <w:szCs w:val="28"/>
        </w:rPr>
      </w:pPr>
      <w:r w:rsidRPr="00241F83">
        <w:rPr>
          <w:rFonts w:eastAsia="Times New Roman" w:cstheme="minorHAnsi"/>
          <w:color w:val="000000"/>
          <w:sz w:val="24"/>
          <w:szCs w:val="24"/>
        </w:rPr>
        <w:t>Most of BOSC’s patients are aged 46-64 (46.5%), followed by ages 19-45 (27.5%), ages 65+ (20.8%)</w:t>
      </w:r>
      <w:r w:rsidR="00163FB2">
        <w:rPr>
          <w:rFonts w:eastAsia="Times New Roman" w:cstheme="minorHAnsi"/>
          <w:color w:val="000000"/>
          <w:sz w:val="24"/>
          <w:szCs w:val="24"/>
        </w:rPr>
        <w:t>,</w:t>
      </w:r>
      <w:r w:rsidRPr="00241F83">
        <w:rPr>
          <w:rFonts w:eastAsia="Times New Roman" w:cstheme="minorHAnsi"/>
          <w:color w:val="000000"/>
          <w:sz w:val="24"/>
          <w:szCs w:val="24"/>
        </w:rPr>
        <w:t xml:space="preserve"> and ages 0-18 (5.2%).</w:t>
      </w:r>
    </w:p>
    <w:p w14:paraId="7B5813D3" w14:textId="449B84F1" w:rsidR="00826F67" w:rsidRPr="00241F83" w:rsidRDefault="00826F67" w:rsidP="0051081A">
      <w:pPr>
        <w:pStyle w:val="ListParagraph"/>
        <w:numPr>
          <w:ilvl w:val="0"/>
          <w:numId w:val="18"/>
        </w:numPr>
        <w:spacing w:after="0" w:line="240" w:lineRule="auto"/>
        <w:rPr>
          <w:rFonts w:eastAsia="Times New Roman" w:cstheme="minorHAnsi"/>
          <w:sz w:val="28"/>
          <w:szCs w:val="28"/>
        </w:rPr>
      </w:pPr>
      <w:r w:rsidRPr="00241F83">
        <w:rPr>
          <w:rFonts w:eastAsia="Times New Roman" w:cstheme="minorHAnsi"/>
          <w:color w:val="000000"/>
          <w:sz w:val="24"/>
          <w:szCs w:val="24"/>
        </w:rPr>
        <w:t>Most BOSC patients self-identified as White (76.8%). Patients also self-identified as Hispanic (14.8%), Black/African American (5.3%), and Asian (0.7%). Only 2.2% of patients identified as a different ethnicity or declined to provide their race/ethnicity.</w:t>
      </w:r>
    </w:p>
    <w:p w14:paraId="7CFD7764" w14:textId="3CBC4721" w:rsidR="00826F67" w:rsidRPr="00241F83" w:rsidRDefault="00826F67" w:rsidP="0051081A">
      <w:pPr>
        <w:pStyle w:val="ListParagraph"/>
        <w:numPr>
          <w:ilvl w:val="0"/>
          <w:numId w:val="18"/>
        </w:numPr>
        <w:spacing w:after="0" w:line="240" w:lineRule="auto"/>
        <w:rPr>
          <w:rFonts w:eastAsia="Times New Roman" w:cstheme="minorHAnsi"/>
          <w:sz w:val="28"/>
          <w:szCs w:val="28"/>
        </w:rPr>
      </w:pPr>
      <w:r w:rsidRPr="00241F83">
        <w:rPr>
          <w:rFonts w:eastAsia="Times New Roman" w:cstheme="minorHAnsi"/>
          <w:color w:val="000000"/>
          <w:sz w:val="24"/>
          <w:szCs w:val="24"/>
        </w:rPr>
        <w:t>Most of BOSC’s patients (64%) reside in and around Springfield, including Westfield, Agawam, Chicopee, West Springfield, and Ludlow.</w:t>
      </w:r>
    </w:p>
    <w:p w14:paraId="6737C100" w14:textId="6F5A0933" w:rsidR="00826F67" w:rsidRPr="00241F83" w:rsidRDefault="00826F67" w:rsidP="00EA38CA">
      <w:pPr>
        <w:pStyle w:val="ListParagraph"/>
        <w:numPr>
          <w:ilvl w:val="0"/>
          <w:numId w:val="18"/>
        </w:numPr>
        <w:spacing w:after="0" w:line="240" w:lineRule="auto"/>
        <w:rPr>
          <w:rFonts w:eastAsia="Times New Roman" w:cstheme="minorHAnsi"/>
          <w:sz w:val="24"/>
          <w:szCs w:val="24"/>
        </w:rPr>
      </w:pPr>
      <w:r w:rsidRPr="00241F83">
        <w:rPr>
          <w:rFonts w:eastAsia="Times New Roman" w:cstheme="minorHAnsi"/>
          <w:color w:val="000000"/>
          <w:sz w:val="24"/>
          <w:szCs w:val="24"/>
        </w:rPr>
        <w:lastRenderedPageBreak/>
        <w:t xml:space="preserve">BOSC patients are primarily commercially insured (48%), followed by Medicare (15%), </w:t>
      </w:r>
      <w:r w:rsidR="007F247B" w:rsidRPr="00241F83">
        <w:rPr>
          <w:rFonts w:eastAsia="Times New Roman" w:cstheme="minorHAnsi"/>
          <w:color w:val="000000"/>
          <w:sz w:val="24"/>
          <w:szCs w:val="24"/>
        </w:rPr>
        <w:t>m</w:t>
      </w:r>
      <w:r w:rsidRPr="00241F83">
        <w:rPr>
          <w:rFonts w:eastAsia="Times New Roman" w:cstheme="minorHAnsi"/>
          <w:color w:val="000000"/>
          <w:sz w:val="24"/>
          <w:szCs w:val="24"/>
        </w:rPr>
        <w:t xml:space="preserve">anaged Medicaid (12%), and </w:t>
      </w:r>
      <w:r w:rsidR="007F247B" w:rsidRPr="00241F83">
        <w:rPr>
          <w:rFonts w:eastAsia="Times New Roman" w:cstheme="minorHAnsi"/>
          <w:color w:val="000000"/>
          <w:sz w:val="24"/>
          <w:szCs w:val="24"/>
        </w:rPr>
        <w:t>m</w:t>
      </w:r>
      <w:r w:rsidRPr="00241F83">
        <w:rPr>
          <w:rFonts w:eastAsia="Times New Roman" w:cstheme="minorHAnsi"/>
          <w:color w:val="000000"/>
          <w:sz w:val="24"/>
          <w:szCs w:val="24"/>
        </w:rPr>
        <w:t>anaged Medicare (8%). Additionally, 7% of patients received coverage through Workers</w:t>
      </w:r>
      <w:r w:rsidR="007F247B" w:rsidRPr="00241F83">
        <w:rPr>
          <w:rFonts w:eastAsia="Times New Roman" w:cstheme="minorHAnsi"/>
          <w:color w:val="000000"/>
          <w:sz w:val="24"/>
          <w:szCs w:val="24"/>
        </w:rPr>
        <w:t>’</w:t>
      </w:r>
      <w:r w:rsidRPr="00241F83">
        <w:rPr>
          <w:rFonts w:eastAsia="Times New Roman" w:cstheme="minorHAnsi"/>
          <w:color w:val="000000"/>
          <w:sz w:val="24"/>
          <w:szCs w:val="24"/>
        </w:rPr>
        <w:t xml:space="preserve"> Compensation.</w:t>
      </w:r>
    </w:p>
    <w:p w14:paraId="6F248F9E" w14:textId="13FCF3EB" w:rsidR="00816893" w:rsidRPr="00241F83" w:rsidRDefault="00D865B4" w:rsidP="00D865B4">
      <w:pPr>
        <w:pStyle w:val="Caption"/>
        <w:rPr>
          <w:rFonts w:cstheme="minorHAnsi"/>
          <w:color w:val="42558C" w:themeColor="accent1" w:themeShade="BF"/>
          <w:sz w:val="24"/>
          <w:szCs w:val="24"/>
        </w:rPr>
      </w:pPr>
      <w:r w:rsidRPr="00241F83">
        <w:rPr>
          <w:rFonts w:cstheme="minorHAnsi"/>
          <w:color w:val="42558C" w:themeColor="accent1" w:themeShade="BF"/>
          <w:sz w:val="24"/>
          <w:szCs w:val="24"/>
        </w:rPr>
        <w:t xml:space="preserve">Table </w:t>
      </w:r>
      <w:r w:rsidRPr="00241F83">
        <w:rPr>
          <w:rFonts w:cstheme="minorHAnsi"/>
          <w:color w:val="42558C" w:themeColor="accent1" w:themeShade="BF"/>
          <w:sz w:val="24"/>
          <w:szCs w:val="24"/>
        </w:rPr>
        <w:fldChar w:fldCharType="begin"/>
      </w:r>
      <w:r w:rsidRPr="00241F83">
        <w:rPr>
          <w:rFonts w:cstheme="minorHAnsi"/>
          <w:color w:val="42558C" w:themeColor="accent1" w:themeShade="BF"/>
          <w:sz w:val="24"/>
          <w:szCs w:val="24"/>
        </w:rPr>
        <w:instrText xml:space="preserve"> SEQ Table \* ARABIC </w:instrText>
      </w:r>
      <w:r w:rsidRPr="00241F83">
        <w:rPr>
          <w:rFonts w:cstheme="minorHAnsi"/>
          <w:color w:val="42558C" w:themeColor="accent1" w:themeShade="BF"/>
          <w:sz w:val="24"/>
          <w:szCs w:val="24"/>
        </w:rPr>
        <w:fldChar w:fldCharType="separate"/>
      </w:r>
      <w:r w:rsidR="006548F0">
        <w:rPr>
          <w:rFonts w:cstheme="minorHAnsi"/>
          <w:noProof/>
          <w:color w:val="42558C" w:themeColor="accent1" w:themeShade="BF"/>
          <w:sz w:val="24"/>
          <w:szCs w:val="24"/>
        </w:rPr>
        <w:t>1</w:t>
      </w:r>
      <w:r w:rsidRPr="00241F83">
        <w:rPr>
          <w:rFonts w:cstheme="minorHAnsi"/>
          <w:color w:val="42558C" w:themeColor="accent1" w:themeShade="BF"/>
          <w:sz w:val="24"/>
          <w:szCs w:val="24"/>
        </w:rPr>
        <w:fldChar w:fldCharType="end"/>
      </w:r>
      <w:r w:rsidRPr="00241F83">
        <w:rPr>
          <w:rFonts w:cstheme="minorHAnsi"/>
          <w:color w:val="42558C" w:themeColor="accent1" w:themeShade="BF"/>
          <w:sz w:val="24"/>
          <w:szCs w:val="24"/>
        </w:rPr>
        <w:t xml:space="preserve">: Overview of </w:t>
      </w:r>
      <w:r w:rsidR="004F123E" w:rsidRPr="00241F83">
        <w:rPr>
          <w:rFonts w:cstheme="minorHAnsi"/>
          <w:color w:val="42558C" w:themeColor="accent1" w:themeShade="BF"/>
          <w:sz w:val="24"/>
          <w:szCs w:val="24"/>
        </w:rPr>
        <w:t>NESC Patients</w:t>
      </w:r>
    </w:p>
    <w:tbl>
      <w:tblPr>
        <w:tblStyle w:val="TableGrid"/>
        <w:tblW w:w="0" w:type="auto"/>
        <w:tblLook w:val="04A0" w:firstRow="1" w:lastRow="0" w:firstColumn="1" w:lastColumn="0" w:noHBand="0" w:noVBand="1"/>
      </w:tblPr>
      <w:tblGrid>
        <w:gridCol w:w="4198"/>
        <w:gridCol w:w="3719"/>
      </w:tblGrid>
      <w:tr w:rsidR="00816893" w:rsidRPr="00241F83" w14:paraId="18B4E012" w14:textId="77777777" w:rsidTr="00EB4EC0">
        <w:trPr>
          <w:cantSplit/>
          <w:tblHeader/>
        </w:trPr>
        <w:tc>
          <w:tcPr>
            <w:tcW w:w="0" w:type="auto"/>
          </w:tcPr>
          <w:p w14:paraId="50DC2280" w14:textId="77777777" w:rsidR="00816893" w:rsidRPr="00241F83" w:rsidRDefault="00816893" w:rsidP="00122D29">
            <w:pPr>
              <w:rPr>
                <w:rFonts w:cstheme="minorHAnsi"/>
                <w:sz w:val="20"/>
                <w:szCs w:val="20"/>
              </w:rPr>
            </w:pPr>
          </w:p>
        </w:tc>
        <w:tc>
          <w:tcPr>
            <w:tcW w:w="3719" w:type="dxa"/>
            <w:shd w:val="clear" w:color="auto" w:fill="DFE3F0" w:themeFill="accent1" w:themeFillTint="33"/>
          </w:tcPr>
          <w:p w14:paraId="28246EA1" w14:textId="3FC0EB11" w:rsidR="00816893" w:rsidRPr="00241F83" w:rsidRDefault="00816893" w:rsidP="00D4346E">
            <w:pPr>
              <w:jc w:val="center"/>
              <w:rPr>
                <w:rFonts w:cstheme="minorHAnsi"/>
                <w:b/>
                <w:bCs/>
                <w:sz w:val="20"/>
                <w:szCs w:val="20"/>
              </w:rPr>
            </w:pPr>
            <w:r w:rsidRPr="00241F83">
              <w:rPr>
                <w:rFonts w:cstheme="minorHAnsi"/>
                <w:b/>
                <w:bCs/>
                <w:sz w:val="20"/>
                <w:szCs w:val="20"/>
              </w:rPr>
              <w:t>FY</w:t>
            </w:r>
            <w:r w:rsidR="00E62E45" w:rsidRPr="00241F83">
              <w:rPr>
                <w:rFonts w:cstheme="minorHAnsi"/>
                <w:b/>
                <w:bCs/>
                <w:sz w:val="20"/>
                <w:szCs w:val="20"/>
              </w:rPr>
              <w:t>2</w:t>
            </w:r>
            <w:r w:rsidRPr="00241F83">
              <w:rPr>
                <w:rFonts w:cstheme="minorHAnsi"/>
                <w:b/>
                <w:bCs/>
                <w:sz w:val="20"/>
                <w:szCs w:val="20"/>
              </w:rPr>
              <w:t>1</w:t>
            </w:r>
          </w:p>
        </w:tc>
      </w:tr>
      <w:tr w:rsidR="00816893" w:rsidRPr="00241F83" w14:paraId="6703913D" w14:textId="77777777" w:rsidTr="00EB4EC0">
        <w:trPr>
          <w:cantSplit/>
        </w:trPr>
        <w:tc>
          <w:tcPr>
            <w:tcW w:w="0" w:type="auto"/>
          </w:tcPr>
          <w:p w14:paraId="6E04D440" w14:textId="747E7015" w:rsidR="00816893" w:rsidRPr="00241F83" w:rsidRDefault="00816893" w:rsidP="00122D29">
            <w:pPr>
              <w:rPr>
                <w:rFonts w:cstheme="minorHAnsi"/>
                <w:sz w:val="20"/>
                <w:szCs w:val="20"/>
              </w:rPr>
            </w:pPr>
            <w:r w:rsidRPr="00241F83">
              <w:rPr>
                <w:rFonts w:cstheme="minorHAnsi"/>
                <w:sz w:val="20"/>
                <w:szCs w:val="20"/>
              </w:rPr>
              <w:t>Total Unique Patients</w:t>
            </w:r>
          </w:p>
        </w:tc>
        <w:tc>
          <w:tcPr>
            <w:tcW w:w="3719" w:type="dxa"/>
          </w:tcPr>
          <w:p w14:paraId="4A4F808E" w14:textId="63DDD02E" w:rsidR="00816893" w:rsidRPr="00241F83" w:rsidRDefault="00E62E45" w:rsidP="00781001">
            <w:pPr>
              <w:jc w:val="right"/>
              <w:rPr>
                <w:rFonts w:cstheme="minorHAnsi"/>
                <w:sz w:val="20"/>
                <w:szCs w:val="20"/>
              </w:rPr>
            </w:pPr>
            <w:r w:rsidRPr="00241F83">
              <w:rPr>
                <w:rFonts w:cstheme="minorHAnsi"/>
                <w:sz w:val="20"/>
                <w:szCs w:val="20"/>
              </w:rPr>
              <w:t>5,</w:t>
            </w:r>
            <w:r w:rsidR="005F0912" w:rsidRPr="00241F83">
              <w:rPr>
                <w:rFonts w:cstheme="minorHAnsi"/>
                <w:sz w:val="20"/>
                <w:szCs w:val="20"/>
              </w:rPr>
              <w:t>14</w:t>
            </w:r>
            <w:r w:rsidRPr="00241F83">
              <w:rPr>
                <w:rFonts w:cstheme="minorHAnsi"/>
                <w:sz w:val="20"/>
                <w:szCs w:val="20"/>
              </w:rPr>
              <w:t>3</w:t>
            </w:r>
          </w:p>
        </w:tc>
      </w:tr>
      <w:tr w:rsidR="00816893" w:rsidRPr="00241F83" w14:paraId="0FCFDEEF" w14:textId="77777777" w:rsidTr="00EB4EC0">
        <w:trPr>
          <w:cantSplit/>
        </w:trPr>
        <w:tc>
          <w:tcPr>
            <w:tcW w:w="0" w:type="auto"/>
          </w:tcPr>
          <w:p w14:paraId="2D4072FE" w14:textId="77777777" w:rsidR="00816893" w:rsidRPr="00241F83" w:rsidRDefault="00816893" w:rsidP="00122D29">
            <w:pPr>
              <w:rPr>
                <w:rFonts w:cstheme="minorHAnsi"/>
                <w:b/>
                <w:bCs/>
                <w:sz w:val="20"/>
                <w:szCs w:val="20"/>
              </w:rPr>
            </w:pPr>
            <w:r w:rsidRPr="00241F83">
              <w:rPr>
                <w:rFonts w:cstheme="minorHAnsi"/>
                <w:b/>
                <w:bCs/>
                <w:sz w:val="20"/>
                <w:szCs w:val="20"/>
              </w:rPr>
              <w:t>Gender</w:t>
            </w:r>
          </w:p>
          <w:p w14:paraId="7977837D" w14:textId="77777777" w:rsidR="00816893" w:rsidRPr="00241F83" w:rsidRDefault="00816893" w:rsidP="00CB2757">
            <w:pPr>
              <w:ind w:left="288"/>
              <w:rPr>
                <w:rFonts w:cstheme="minorHAnsi"/>
                <w:sz w:val="20"/>
                <w:szCs w:val="20"/>
              </w:rPr>
            </w:pPr>
            <w:r w:rsidRPr="00241F83">
              <w:rPr>
                <w:rFonts w:cstheme="minorHAnsi"/>
                <w:sz w:val="20"/>
                <w:szCs w:val="20"/>
              </w:rPr>
              <w:t xml:space="preserve">Male </w:t>
            </w:r>
          </w:p>
          <w:p w14:paraId="0EE7C035" w14:textId="2A12C8DD" w:rsidR="00816893" w:rsidRPr="00241F83" w:rsidRDefault="00816893" w:rsidP="00CB2757">
            <w:pPr>
              <w:ind w:left="288"/>
              <w:rPr>
                <w:rFonts w:cstheme="minorHAnsi"/>
                <w:sz w:val="20"/>
                <w:szCs w:val="20"/>
              </w:rPr>
            </w:pPr>
            <w:r w:rsidRPr="00241F83">
              <w:rPr>
                <w:rFonts w:cstheme="minorHAnsi"/>
                <w:sz w:val="20"/>
                <w:szCs w:val="20"/>
              </w:rPr>
              <w:t>Female</w:t>
            </w:r>
          </w:p>
        </w:tc>
        <w:tc>
          <w:tcPr>
            <w:tcW w:w="3719" w:type="dxa"/>
          </w:tcPr>
          <w:p w14:paraId="0DEF1159" w14:textId="77777777" w:rsidR="00816893" w:rsidRPr="00241F83" w:rsidRDefault="00816893" w:rsidP="00781001">
            <w:pPr>
              <w:jc w:val="right"/>
              <w:rPr>
                <w:rFonts w:cstheme="minorHAnsi"/>
                <w:sz w:val="20"/>
                <w:szCs w:val="20"/>
              </w:rPr>
            </w:pPr>
          </w:p>
          <w:p w14:paraId="6C24F391" w14:textId="0CDF2A50" w:rsidR="00816893" w:rsidRPr="00241F83" w:rsidRDefault="00E62E45" w:rsidP="00781001">
            <w:pPr>
              <w:jc w:val="right"/>
              <w:rPr>
                <w:rFonts w:cstheme="minorHAnsi"/>
                <w:sz w:val="20"/>
                <w:szCs w:val="20"/>
              </w:rPr>
            </w:pPr>
            <w:r w:rsidRPr="00241F83">
              <w:rPr>
                <w:rFonts w:cstheme="minorHAnsi"/>
                <w:sz w:val="20"/>
                <w:szCs w:val="20"/>
              </w:rPr>
              <w:t>48.3</w:t>
            </w:r>
            <w:r w:rsidR="005F0912" w:rsidRPr="00241F83">
              <w:rPr>
                <w:rFonts w:cstheme="minorHAnsi"/>
                <w:sz w:val="20"/>
                <w:szCs w:val="20"/>
              </w:rPr>
              <w:t>%</w:t>
            </w:r>
          </w:p>
          <w:p w14:paraId="6BC56C12" w14:textId="4344FC93" w:rsidR="005F0912" w:rsidRPr="00241F83" w:rsidRDefault="005F0912" w:rsidP="00781001">
            <w:pPr>
              <w:jc w:val="right"/>
              <w:rPr>
                <w:rFonts w:cstheme="minorHAnsi"/>
                <w:sz w:val="20"/>
                <w:szCs w:val="20"/>
              </w:rPr>
            </w:pPr>
            <w:r w:rsidRPr="00241F83">
              <w:rPr>
                <w:rFonts w:cstheme="minorHAnsi"/>
                <w:sz w:val="20"/>
                <w:szCs w:val="20"/>
              </w:rPr>
              <w:t>5</w:t>
            </w:r>
            <w:r w:rsidR="00E62E45" w:rsidRPr="00241F83">
              <w:rPr>
                <w:rFonts w:cstheme="minorHAnsi"/>
                <w:sz w:val="20"/>
                <w:szCs w:val="20"/>
              </w:rPr>
              <w:t>1.7</w:t>
            </w:r>
            <w:r w:rsidRPr="00241F83">
              <w:rPr>
                <w:rFonts w:cstheme="minorHAnsi"/>
                <w:sz w:val="20"/>
                <w:szCs w:val="20"/>
              </w:rPr>
              <w:t>%</w:t>
            </w:r>
          </w:p>
        </w:tc>
      </w:tr>
      <w:tr w:rsidR="00816893" w:rsidRPr="00241F83" w14:paraId="0E753A88" w14:textId="77777777" w:rsidTr="00EB4EC0">
        <w:trPr>
          <w:cantSplit/>
        </w:trPr>
        <w:tc>
          <w:tcPr>
            <w:tcW w:w="0" w:type="auto"/>
          </w:tcPr>
          <w:p w14:paraId="7CAB27DA" w14:textId="77777777" w:rsidR="00816893" w:rsidRPr="00241F83" w:rsidRDefault="00816893" w:rsidP="00122D29">
            <w:pPr>
              <w:rPr>
                <w:rFonts w:cstheme="minorHAnsi"/>
                <w:b/>
                <w:bCs/>
                <w:sz w:val="20"/>
                <w:szCs w:val="20"/>
              </w:rPr>
            </w:pPr>
            <w:r w:rsidRPr="00241F83">
              <w:rPr>
                <w:rFonts w:cstheme="minorHAnsi"/>
                <w:b/>
                <w:bCs/>
                <w:sz w:val="20"/>
                <w:szCs w:val="20"/>
              </w:rPr>
              <w:t xml:space="preserve">Age </w:t>
            </w:r>
          </w:p>
          <w:p w14:paraId="7A3DC8FE" w14:textId="52257647" w:rsidR="00816893" w:rsidRPr="00241F83" w:rsidRDefault="00816893" w:rsidP="00CB2757">
            <w:pPr>
              <w:ind w:left="288"/>
              <w:rPr>
                <w:rFonts w:cstheme="minorHAnsi"/>
                <w:sz w:val="20"/>
                <w:szCs w:val="20"/>
              </w:rPr>
            </w:pPr>
            <w:r w:rsidRPr="00241F83">
              <w:rPr>
                <w:rFonts w:cstheme="minorHAnsi"/>
                <w:sz w:val="20"/>
                <w:szCs w:val="20"/>
              </w:rPr>
              <w:t>0-1</w:t>
            </w:r>
            <w:r w:rsidR="00E62E45" w:rsidRPr="00241F83">
              <w:rPr>
                <w:rFonts w:cstheme="minorHAnsi"/>
                <w:sz w:val="20"/>
                <w:szCs w:val="20"/>
              </w:rPr>
              <w:t>8</w:t>
            </w:r>
          </w:p>
          <w:p w14:paraId="12EAA48D" w14:textId="77777777" w:rsidR="00E62E45" w:rsidRPr="00241F83" w:rsidRDefault="00816893" w:rsidP="00CB2757">
            <w:pPr>
              <w:ind w:left="288"/>
              <w:rPr>
                <w:rFonts w:cstheme="minorHAnsi"/>
                <w:sz w:val="20"/>
                <w:szCs w:val="20"/>
              </w:rPr>
            </w:pPr>
            <w:r w:rsidRPr="00241F83">
              <w:rPr>
                <w:rFonts w:cstheme="minorHAnsi"/>
                <w:sz w:val="20"/>
                <w:szCs w:val="20"/>
              </w:rPr>
              <w:t>1</w:t>
            </w:r>
            <w:r w:rsidR="00E62E45" w:rsidRPr="00241F83">
              <w:rPr>
                <w:rFonts w:cstheme="minorHAnsi"/>
                <w:sz w:val="20"/>
                <w:szCs w:val="20"/>
              </w:rPr>
              <w:t>9-45</w:t>
            </w:r>
          </w:p>
          <w:p w14:paraId="0AD7EBA5" w14:textId="00F17FA6" w:rsidR="00816893" w:rsidRPr="00241F83" w:rsidRDefault="00E62E45" w:rsidP="00CB2757">
            <w:pPr>
              <w:ind w:left="288"/>
              <w:rPr>
                <w:rFonts w:cstheme="minorHAnsi"/>
                <w:sz w:val="20"/>
                <w:szCs w:val="20"/>
              </w:rPr>
            </w:pPr>
            <w:r w:rsidRPr="00241F83">
              <w:rPr>
                <w:rFonts w:cstheme="minorHAnsi"/>
                <w:sz w:val="20"/>
                <w:szCs w:val="20"/>
              </w:rPr>
              <w:t>46</w:t>
            </w:r>
            <w:r w:rsidR="00816893" w:rsidRPr="00241F83">
              <w:rPr>
                <w:rFonts w:cstheme="minorHAnsi"/>
                <w:sz w:val="20"/>
                <w:szCs w:val="20"/>
              </w:rPr>
              <w:t>-64</w:t>
            </w:r>
          </w:p>
          <w:p w14:paraId="34A83BFC" w14:textId="7D48E459" w:rsidR="00816893" w:rsidRPr="00241F83" w:rsidRDefault="00816893" w:rsidP="00CB2757">
            <w:pPr>
              <w:ind w:left="288"/>
              <w:rPr>
                <w:rFonts w:cstheme="minorHAnsi"/>
                <w:sz w:val="20"/>
                <w:szCs w:val="20"/>
              </w:rPr>
            </w:pPr>
            <w:r w:rsidRPr="00241F83">
              <w:rPr>
                <w:rFonts w:cstheme="minorHAnsi"/>
                <w:sz w:val="20"/>
                <w:szCs w:val="20"/>
              </w:rPr>
              <w:t>65+</w:t>
            </w:r>
          </w:p>
        </w:tc>
        <w:tc>
          <w:tcPr>
            <w:tcW w:w="3719" w:type="dxa"/>
          </w:tcPr>
          <w:p w14:paraId="3894F665" w14:textId="77777777" w:rsidR="00816893" w:rsidRPr="00241F83" w:rsidRDefault="00816893" w:rsidP="00781001">
            <w:pPr>
              <w:jc w:val="right"/>
              <w:rPr>
                <w:rFonts w:cstheme="minorHAnsi"/>
                <w:sz w:val="20"/>
                <w:szCs w:val="20"/>
              </w:rPr>
            </w:pPr>
          </w:p>
          <w:p w14:paraId="321078FF" w14:textId="48376B7D" w:rsidR="005F0912" w:rsidRPr="00241F83" w:rsidRDefault="00E62E45" w:rsidP="00781001">
            <w:pPr>
              <w:jc w:val="right"/>
              <w:rPr>
                <w:rFonts w:cstheme="minorHAnsi"/>
                <w:sz w:val="20"/>
                <w:szCs w:val="20"/>
              </w:rPr>
            </w:pPr>
            <w:r w:rsidRPr="00241F83">
              <w:rPr>
                <w:rFonts w:cstheme="minorHAnsi"/>
                <w:sz w:val="20"/>
                <w:szCs w:val="20"/>
              </w:rPr>
              <w:t>5.2</w:t>
            </w:r>
            <w:r w:rsidR="005F0912" w:rsidRPr="00241F83">
              <w:rPr>
                <w:rFonts w:cstheme="minorHAnsi"/>
                <w:sz w:val="20"/>
                <w:szCs w:val="20"/>
              </w:rPr>
              <w:t>%</w:t>
            </w:r>
          </w:p>
          <w:p w14:paraId="1C10F74B" w14:textId="38E2A602" w:rsidR="005F0912" w:rsidRPr="00241F83" w:rsidRDefault="00E62E45" w:rsidP="00781001">
            <w:pPr>
              <w:jc w:val="right"/>
              <w:rPr>
                <w:rFonts w:cstheme="minorHAnsi"/>
                <w:sz w:val="20"/>
                <w:szCs w:val="20"/>
              </w:rPr>
            </w:pPr>
            <w:r w:rsidRPr="00241F83">
              <w:rPr>
                <w:rFonts w:cstheme="minorHAnsi"/>
                <w:sz w:val="20"/>
                <w:szCs w:val="20"/>
              </w:rPr>
              <w:t>27.5</w:t>
            </w:r>
            <w:r w:rsidR="005F0912" w:rsidRPr="00241F83">
              <w:rPr>
                <w:rFonts w:cstheme="minorHAnsi"/>
                <w:sz w:val="20"/>
                <w:szCs w:val="20"/>
              </w:rPr>
              <w:t>%</w:t>
            </w:r>
          </w:p>
          <w:p w14:paraId="17C8F339" w14:textId="77777777" w:rsidR="005F0912" w:rsidRPr="00241F83" w:rsidRDefault="00E62E45" w:rsidP="00781001">
            <w:pPr>
              <w:jc w:val="right"/>
              <w:rPr>
                <w:rFonts w:cstheme="minorHAnsi"/>
                <w:sz w:val="20"/>
                <w:szCs w:val="20"/>
              </w:rPr>
            </w:pPr>
            <w:r w:rsidRPr="00241F83">
              <w:rPr>
                <w:rFonts w:cstheme="minorHAnsi"/>
                <w:sz w:val="20"/>
                <w:szCs w:val="20"/>
              </w:rPr>
              <w:t>46.5</w:t>
            </w:r>
            <w:r w:rsidR="005F0912" w:rsidRPr="00241F83">
              <w:rPr>
                <w:rFonts w:cstheme="minorHAnsi"/>
                <w:sz w:val="20"/>
                <w:szCs w:val="20"/>
              </w:rPr>
              <w:t>%</w:t>
            </w:r>
          </w:p>
          <w:p w14:paraId="3511FF20" w14:textId="7776F44D" w:rsidR="00E62E45" w:rsidRPr="00241F83" w:rsidRDefault="00E62E45" w:rsidP="00781001">
            <w:pPr>
              <w:jc w:val="right"/>
              <w:rPr>
                <w:rFonts w:cstheme="minorHAnsi"/>
                <w:sz w:val="20"/>
                <w:szCs w:val="20"/>
              </w:rPr>
            </w:pPr>
            <w:r w:rsidRPr="00241F83">
              <w:rPr>
                <w:rFonts w:cstheme="minorHAnsi"/>
                <w:sz w:val="20"/>
                <w:szCs w:val="20"/>
              </w:rPr>
              <w:t>20.8%</w:t>
            </w:r>
          </w:p>
        </w:tc>
      </w:tr>
      <w:tr w:rsidR="00816893" w:rsidRPr="00241F83" w14:paraId="27B75836" w14:textId="77777777" w:rsidTr="00EB4EC0">
        <w:trPr>
          <w:cantSplit/>
        </w:trPr>
        <w:tc>
          <w:tcPr>
            <w:tcW w:w="0" w:type="auto"/>
          </w:tcPr>
          <w:p w14:paraId="4E67D2D5" w14:textId="1C76B1FE" w:rsidR="00816893" w:rsidRPr="00241F83" w:rsidRDefault="00816893" w:rsidP="00122D29">
            <w:pPr>
              <w:rPr>
                <w:rFonts w:cstheme="minorHAnsi"/>
                <w:b/>
                <w:bCs/>
                <w:sz w:val="20"/>
                <w:szCs w:val="20"/>
                <w:vertAlign w:val="superscript"/>
              </w:rPr>
            </w:pPr>
            <w:r w:rsidRPr="00241F83">
              <w:rPr>
                <w:rFonts w:cstheme="minorHAnsi"/>
                <w:b/>
                <w:bCs/>
                <w:sz w:val="20"/>
                <w:szCs w:val="20"/>
              </w:rPr>
              <w:t>Race/Ethnicity</w:t>
            </w:r>
          </w:p>
          <w:p w14:paraId="420E4968" w14:textId="77777777" w:rsidR="00832AFB" w:rsidRPr="00241F83" w:rsidRDefault="00832AFB" w:rsidP="00832AFB">
            <w:pPr>
              <w:ind w:left="288"/>
              <w:rPr>
                <w:rFonts w:cstheme="minorHAnsi"/>
                <w:sz w:val="20"/>
                <w:szCs w:val="20"/>
              </w:rPr>
            </w:pPr>
            <w:r w:rsidRPr="00241F83">
              <w:rPr>
                <w:rFonts w:cstheme="minorHAnsi"/>
                <w:sz w:val="20"/>
                <w:szCs w:val="20"/>
              </w:rPr>
              <w:t>American Indian or Alaska Native</w:t>
            </w:r>
          </w:p>
          <w:p w14:paraId="392303C2" w14:textId="77777777" w:rsidR="00832AFB" w:rsidRPr="00241F83" w:rsidRDefault="00832AFB" w:rsidP="00832AFB">
            <w:pPr>
              <w:ind w:left="288"/>
              <w:rPr>
                <w:rFonts w:cstheme="minorHAnsi"/>
                <w:sz w:val="20"/>
                <w:szCs w:val="20"/>
              </w:rPr>
            </w:pPr>
            <w:r w:rsidRPr="00241F83">
              <w:rPr>
                <w:rFonts w:cstheme="minorHAnsi"/>
                <w:sz w:val="20"/>
                <w:szCs w:val="20"/>
              </w:rPr>
              <w:t>Asian</w:t>
            </w:r>
          </w:p>
          <w:p w14:paraId="0F53EF50" w14:textId="77777777" w:rsidR="00832AFB" w:rsidRPr="00241F83" w:rsidRDefault="00832AFB" w:rsidP="00832AFB">
            <w:pPr>
              <w:ind w:left="288"/>
              <w:rPr>
                <w:rFonts w:cstheme="minorHAnsi"/>
                <w:sz w:val="20"/>
                <w:szCs w:val="20"/>
              </w:rPr>
            </w:pPr>
            <w:r w:rsidRPr="00241F83">
              <w:rPr>
                <w:rFonts w:cstheme="minorHAnsi"/>
                <w:sz w:val="20"/>
                <w:szCs w:val="20"/>
              </w:rPr>
              <w:t>Black or African American</w:t>
            </w:r>
          </w:p>
          <w:p w14:paraId="22108EA1" w14:textId="77777777" w:rsidR="00832AFB" w:rsidRPr="00241F83" w:rsidRDefault="00832AFB" w:rsidP="00832AFB">
            <w:pPr>
              <w:ind w:left="288"/>
              <w:rPr>
                <w:rFonts w:cstheme="minorHAnsi"/>
                <w:sz w:val="20"/>
                <w:szCs w:val="20"/>
              </w:rPr>
            </w:pPr>
            <w:r w:rsidRPr="00241F83">
              <w:rPr>
                <w:rFonts w:cstheme="minorHAnsi"/>
                <w:sz w:val="20"/>
                <w:szCs w:val="20"/>
              </w:rPr>
              <w:t>Hispanic</w:t>
            </w:r>
          </w:p>
          <w:p w14:paraId="703C83A9" w14:textId="77777777" w:rsidR="00832AFB" w:rsidRPr="00241F83" w:rsidRDefault="00832AFB" w:rsidP="00832AFB">
            <w:pPr>
              <w:ind w:left="288"/>
              <w:rPr>
                <w:rFonts w:cstheme="minorHAnsi"/>
                <w:sz w:val="20"/>
                <w:szCs w:val="20"/>
              </w:rPr>
            </w:pPr>
            <w:r w:rsidRPr="00241F83">
              <w:rPr>
                <w:rFonts w:cstheme="minorHAnsi"/>
                <w:sz w:val="20"/>
                <w:szCs w:val="20"/>
              </w:rPr>
              <w:t>Native Hawaiian or Other Pacific Islander</w:t>
            </w:r>
          </w:p>
          <w:p w14:paraId="5C93EE0B" w14:textId="77777777" w:rsidR="00832AFB" w:rsidRPr="00241F83" w:rsidRDefault="00832AFB" w:rsidP="00832AFB">
            <w:pPr>
              <w:ind w:left="288"/>
              <w:rPr>
                <w:rFonts w:cstheme="minorHAnsi"/>
                <w:sz w:val="20"/>
                <w:szCs w:val="20"/>
              </w:rPr>
            </w:pPr>
            <w:r w:rsidRPr="00241F83">
              <w:rPr>
                <w:rFonts w:cstheme="minorHAnsi"/>
                <w:sz w:val="20"/>
                <w:szCs w:val="20"/>
              </w:rPr>
              <w:t xml:space="preserve">Other </w:t>
            </w:r>
          </w:p>
          <w:p w14:paraId="321FFB62" w14:textId="77777777" w:rsidR="00832AFB" w:rsidRPr="00241F83" w:rsidRDefault="00832AFB" w:rsidP="00832AFB">
            <w:pPr>
              <w:ind w:left="288"/>
              <w:rPr>
                <w:rFonts w:cstheme="minorHAnsi"/>
                <w:sz w:val="20"/>
                <w:szCs w:val="20"/>
              </w:rPr>
            </w:pPr>
            <w:r w:rsidRPr="00241F83">
              <w:rPr>
                <w:rFonts w:cstheme="minorHAnsi"/>
                <w:sz w:val="20"/>
                <w:szCs w:val="20"/>
              </w:rPr>
              <w:t>Refuse to Answer</w:t>
            </w:r>
          </w:p>
          <w:p w14:paraId="0FFB9AD9" w14:textId="77777777" w:rsidR="00832AFB" w:rsidRPr="00241F83" w:rsidRDefault="00832AFB" w:rsidP="00832AFB">
            <w:pPr>
              <w:ind w:left="288"/>
              <w:rPr>
                <w:rFonts w:cstheme="minorHAnsi"/>
                <w:sz w:val="20"/>
                <w:szCs w:val="20"/>
              </w:rPr>
            </w:pPr>
            <w:r w:rsidRPr="00241F83">
              <w:rPr>
                <w:rFonts w:cstheme="minorHAnsi"/>
                <w:sz w:val="20"/>
                <w:szCs w:val="20"/>
              </w:rPr>
              <w:t>Unknown</w:t>
            </w:r>
          </w:p>
          <w:p w14:paraId="425326F5" w14:textId="42702BCE" w:rsidR="005F0912" w:rsidRPr="00241F83" w:rsidRDefault="00832AFB" w:rsidP="00832AFB">
            <w:pPr>
              <w:ind w:left="288"/>
              <w:rPr>
                <w:rFonts w:cstheme="minorHAnsi"/>
                <w:b/>
                <w:bCs/>
                <w:sz w:val="20"/>
                <w:szCs w:val="20"/>
              </w:rPr>
            </w:pPr>
            <w:r w:rsidRPr="00241F83">
              <w:rPr>
                <w:rFonts w:cstheme="minorHAnsi"/>
                <w:sz w:val="20"/>
                <w:szCs w:val="20"/>
              </w:rPr>
              <w:t>White</w:t>
            </w:r>
          </w:p>
        </w:tc>
        <w:tc>
          <w:tcPr>
            <w:tcW w:w="3719" w:type="dxa"/>
          </w:tcPr>
          <w:p w14:paraId="7C7A97B0" w14:textId="77777777" w:rsidR="00816893" w:rsidRPr="00241F83" w:rsidRDefault="00816893" w:rsidP="00781001">
            <w:pPr>
              <w:jc w:val="right"/>
              <w:rPr>
                <w:rFonts w:cstheme="minorHAnsi"/>
                <w:sz w:val="20"/>
                <w:szCs w:val="20"/>
              </w:rPr>
            </w:pPr>
          </w:p>
          <w:p w14:paraId="2A549A73" w14:textId="77777777" w:rsidR="00F357D0" w:rsidRPr="00241F83" w:rsidRDefault="00F357D0" w:rsidP="00781001">
            <w:pPr>
              <w:jc w:val="right"/>
              <w:rPr>
                <w:rFonts w:cstheme="minorHAnsi"/>
                <w:sz w:val="20"/>
                <w:szCs w:val="20"/>
              </w:rPr>
            </w:pPr>
            <w:r w:rsidRPr="00241F83">
              <w:rPr>
                <w:rFonts w:cstheme="minorHAnsi"/>
                <w:sz w:val="20"/>
                <w:szCs w:val="20"/>
              </w:rPr>
              <w:t>0.0%</w:t>
            </w:r>
          </w:p>
          <w:p w14:paraId="0AB5FFE7" w14:textId="77777777" w:rsidR="00F357D0" w:rsidRPr="00241F83" w:rsidRDefault="00F357D0" w:rsidP="00781001">
            <w:pPr>
              <w:jc w:val="right"/>
              <w:rPr>
                <w:rFonts w:cstheme="minorHAnsi"/>
                <w:sz w:val="20"/>
                <w:szCs w:val="20"/>
              </w:rPr>
            </w:pPr>
            <w:r w:rsidRPr="00241F83">
              <w:rPr>
                <w:rFonts w:cstheme="minorHAnsi"/>
                <w:sz w:val="20"/>
                <w:szCs w:val="20"/>
              </w:rPr>
              <w:t>0.7%</w:t>
            </w:r>
          </w:p>
          <w:p w14:paraId="0326F765" w14:textId="77777777" w:rsidR="00F357D0" w:rsidRPr="00241F83" w:rsidRDefault="00F357D0" w:rsidP="00781001">
            <w:pPr>
              <w:jc w:val="right"/>
              <w:rPr>
                <w:rFonts w:cstheme="minorHAnsi"/>
                <w:sz w:val="20"/>
                <w:szCs w:val="20"/>
              </w:rPr>
            </w:pPr>
            <w:r w:rsidRPr="00241F83">
              <w:rPr>
                <w:rFonts w:cstheme="minorHAnsi"/>
                <w:sz w:val="20"/>
                <w:szCs w:val="20"/>
              </w:rPr>
              <w:t>5.3%</w:t>
            </w:r>
          </w:p>
          <w:p w14:paraId="08ED9332" w14:textId="77777777" w:rsidR="00F357D0" w:rsidRPr="00241F83" w:rsidRDefault="00F357D0" w:rsidP="00781001">
            <w:pPr>
              <w:jc w:val="right"/>
              <w:rPr>
                <w:rFonts w:cstheme="minorHAnsi"/>
                <w:sz w:val="20"/>
                <w:szCs w:val="20"/>
              </w:rPr>
            </w:pPr>
            <w:r w:rsidRPr="00241F83">
              <w:rPr>
                <w:rFonts w:cstheme="minorHAnsi"/>
                <w:sz w:val="20"/>
                <w:szCs w:val="20"/>
              </w:rPr>
              <w:t>14.8%</w:t>
            </w:r>
          </w:p>
          <w:p w14:paraId="1D348CCE" w14:textId="77777777" w:rsidR="00F357D0" w:rsidRPr="00241F83" w:rsidRDefault="00F357D0" w:rsidP="00781001">
            <w:pPr>
              <w:jc w:val="right"/>
              <w:rPr>
                <w:rFonts w:cstheme="minorHAnsi"/>
                <w:sz w:val="20"/>
                <w:szCs w:val="20"/>
              </w:rPr>
            </w:pPr>
            <w:r w:rsidRPr="00241F83">
              <w:rPr>
                <w:rFonts w:cstheme="minorHAnsi"/>
                <w:sz w:val="20"/>
                <w:szCs w:val="20"/>
              </w:rPr>
              <w:t>0.1%</w:t>
            </w:r>
          </w:p>
          <w:p w14:paraId="040A88AE" w14:textId="77777777" w:rsidR="00F357D0" w:rsidRPr="00241F83" w:rsidRDefault="00F357D0" w:rsidP="00781001">
            <w:pPr>
              <w:jc w:val="right"/>
              <w:rPr>
                <w:rFonts w:cstheme="minorHAnsi"/>
                <w:sz w:val="20"/>
                <w:szCs w:val="20"/>
              </w:rPr>
            </w:pPr>
            <w:r w:rsidRPr="00241F83">
              <w:rPr>
                <w:rFonts w:cstheme="minorHAnsi"/>
                <w:sz w:val="20"/>
                <w:szCs w:val="20"/>
              </w:rPr>
              <w:t>0.0%</w:t>
            </w:r>
          </w:p>
          <w:p w14:paraId="232A3B3D" w14:textId="77777777" w:rsidR="00F357D0" w:rsidRPr="00241F83" w:rsidRDefault="00F357D0" w:rsidP="00781001">
            <w:pPr>
              <w:jc w:val="right"/>
              <w:rPr>
                <w:rFonts w:cstheme="minorHAnsi"/>
                <w:sz w:val="20"/>
                <w:szCs w:val="20"/>
              </w:rPr>
            </w:pPr>
            <w:r w:rsidRPr="00241F83">
              <w:rPr>
                <w:rFonts w:cstheme="minorHAnsi"/>
                <w:sz w:val="20"/>
                <w:szCs w:val="20"/>
              </w:rPr>
              <w:t>0.1%</w:t>
            </w:r>
          </w:p>
          <w:p w14:paraId="262F61F3" w14:textId="77777777" w:rsidR="00F357D0" w:rsidRPr="00241F83" w:rsidRDefault="00F357D0" w:rsidP="00781001">
            <w:pPr>
              <w:jc w:val="right"/>
              <w:rPr>
                <w:rFonts w:cstheme="minorHAnsi"/>
                <w:sz w:val="20"/>
                <w:szCs w:val="20"/>
              </w:rPr>
            </w:pPr>
            <w:r w:rsidRPr="00241F83">
              <w:rPr>
                <w:rFonts w:cstheme="minorHAnsi"/>
                <w:sz w:val="20"/>
                <w:szCs w:val="20"/>
              </w:rPr>
              <w:t>2.1%</w:t>
            </w:r>
          </w:p>
          <w:p w14:paraId="0B0A5DA6" w14:textId="02CD6DC0" w:rsidR="00BA67D7" w:rsidRPr="00241F83" w:rsidRDefault="00F357D0" w:rsidP="00781001">
            <w:pPr>
              <w:jc w:val="right"/>
              <w:rPr>
                <w:rFonts w:cstheme="minorHAnsi"/>
                <w:sz w:val="20"/>
                <w:szCs w:val="20"/>
              </w:rPr>
            </w:pPr>
            <w:r w:rsidRPr="00241F83">
              <w:rPr>
                <w:rFonts w:cstheme="minorHAnsi"/>
                <w:sz w:val="20"/>
                <w:szCs w:val="20"/>
              </w:rPr>
              <w:t>76.8%</w:t>
            </w:r>
          </w:p>
        </w:tc>
      </w:tr>
      <w:tr w:rsidR="00816893" w:rsidRPr="00241F83" w14:paraId="48198E2C" w14:textId="77777777" w:rsidTr="00EB4EC0">
        <w:trPr>
          <w:cantSplit/>
        </w:trPr>
        <w:tc>
          <w:tcPr>
            <w:tcW w:w="0" w:type="auto"/>
          </w:tcPr>
          <w:p w14:paraId="42BB449A" w14:textId="60AD9BF3" w:rsidR="000368BE" w:rsidRPr="00241F83" w:rsidRDefault="000368BE" w:rsidP="000368BE">
            <w:pPr>
              <w:rPr>
                <w:rFonts w:cstheme="minorHAnsi"/>
                <w:b/>
                <w:bCs/>
                <w:sz w:val="20"/>
                <w:szCs w:val="20"/>
              </w:rPr>
            </w:pPr>
            <w:r w:rsidRPr="00241F83">
              <w:rPr>
                <w:rFonts w:cstheme="minorHAnsi"/>
                <w:b/>
                <w:bCs/>
                <w:sz w:val="20"/>
                <w:szCs w:val="20"/>
              </w:rPr>
              <w:t>Patient Origin</w:t>
            </w:r>
          </w:p>
          <w:p w14:paraId="7C083478" w14:textId="416C57F0" w:rsidR="00816893" w:rsidRPr="00241F83" w:rsidRDefault="00014A95">
            <w:pPr>
              <w:ind w:left="288"/>
              <w:rPr>
                <w:rFonts w:cstheme="minorHAnsi"/>
                <w:sz w:val="20"/>
                <w:szCs w:val="20"/>
              </w:rPr>
            </w:pPr>
            <w:r w:rsidRPr="00241F83">
              <w:rPr>
                <w:rFonts w:cstheme="minorHAnsi"/>
                <w:sz w:val="20"/>
                <w:szCs w:val="20"/>
              </w:rPr>
              <w:t>64.2</w:t>
            </w:r>
            <w:r w:rsidR="00411E59" w:rsidRPr="00241F83">
              <w:rPr>
                <w:rFonts w:cstheme="minorHAnsi"/>
                <w:sz w:val="20"/>
                <w:szCs w:val="20"/>
              </w:rPr>
              <w:t>% of patients came from 14 communities</w:t>
            </w:r>
          </w:p>
        </w:tc>
        <w:tc>
          <w:tcPr>
            <w:tcW w:w="3719" w:type="dxa"/>
          </w:tcPr>
          <w:p w14:paraId="38A0CC21" w14:textId="77777777" w:rsidR="007331F5" w:rsidRPr="007331F5" w:rsidRDefault="007331F5" w:rsidP="007331F5">
            <w:pPr>
              <w:rPr>
                <w:rFonts w:cstheme="minorHAnsi"/>
                <w:sz w:val="20"/>
                <w:szCs w:val="20"/>
              </w:rPr>
            </w:pPr>
            <w:r w:rsidRPr="007331F5">
              <w:rPr>
                <w:rFonts w:cstheme="minorHAnsi"/>
                <w:sz w:val="20"/>
                <w:szCs w:val="20"/>
              </w:rPr>
              <w:t>Springfield (14.4%)</w:t>
            </w:r>
          </w:p>
          <w:p w14:paraId="0BC3DCF7" w14:textId="77777777" w:rsidR="007331F5" w:rsidRPr="007331F5" w:rsidRDefault="007331F5" w:rsidP="007331F5">
            <w:pPr>
              <w:rPr>
                <w:rFonts w:cstheme="minorHAnsi"/>
                <w:sz w:val="20"/>
                <w:szCs w:val="20"/>
              </w:rPr>
            </w:pPr>
            <w:r w:rsidRPr="007331F5">
              <w:rPr>
                <w:rFonts w:cstheme="minorHAnsi"/>
                <w:sz w:val="20"/>
                <w:szCs w:val="20"/>
              </w:rPr>
              <w:t>Westfield (7.0%)</w:t>
            </w:r>
          </w:p>
          <w:p w14:paraId="7400B470" w14:textId="77777777" w:rsidR="007331F5" w:rsidRPr="007331F5" w:rsidRDefault="007331F5" w:rsidP="007331F5">
            <w:pPr>
              <w:rPr>
                <w:rFonts w:cstheme="minorHAnsi"/>
                <w:sz w:val="20"/>
                <w:szCs w:val="20"/>
              </w:rPr>
            </w:pPr>
            <w:r w:rsidRPr="007331F5">
              <w:rPr>
                <w:rFonts w:cstheme="minorHAnsi"/>
                <w:sz w:val="20"/>
                <w:szCs w:val="20"/>
              </w:rPr>
              <w:t>Agawam (6.2%)</w:t>
            </w:r>
          </w:p>
          <w:p w14:paraId="5A171C2E" w14:textId="77777777" w:rsidR="007331F5" w:rsidRPr="007331F5" w:rsidRDefault="007331F5" w:rsidP="007331F5">
            <w:pPr>
              <w:rPr>
                <w:rFonts w:cstheme="minorHAnsi"/>
                <w:sz w:val="20"/>
                <w:szCs w:val="20"/>
              </w:rPr>
            </w:pPr>
            <w:r w:rsidRPr="007331F5">
              <w:rPr>
                <w:rFonts w:cstheme="minorHAnsi"/>
                <w:sz w:val="20"/>
                <w:szCs w:val="20"/>
              </w:rPr>
              <w:t>Chicopee (5.4%)</w:t>
            </w:r>
          </w:p>
          <w:p w14:paraId="43A0F557" w14:textId="77777777" w:rsidR="007331F5" w:rsidRPr="007331F5" w:rsidRDefault="007331F5" w:rsidP="007331F5">
            <w:pPr>
              <w:rPr>
                <w:rFonts w:cstheme="minorHAnsi"/>
                <w:sz w:val="20"/>
                <w:szCs w:val="20"/>
              </w:rPr>
            </w:pPr>
            <w:r w:rsidRPr="007331F5">
              <w:rPr>
                <w:rFonts w:cstheme="minorHAnsi"/>
                <w:sz w:val="20"/>
                <w:szCs w:val="20"/>
              </w:rPr>
              <w:t>West Springfield (5.1%)</w:t>
            </w:r>
          </w:p>
          <w:p w14:paraId="10F0E246" w14:textId="77777777" w:rsidR="007331F5" w:rsidRPr="007331F5" w:rsidRDefault="007331F5" w:rsidP="007331F5">
            <w:pPr>
              <w:rPr>
                <w:rFonts w:cstheme="minorHAnsi"/>
                <w:sz w:val="20"/>
                <w:szCs w:val="20"/>
              </w:rPr>
            </w:pPr>
            <w:r w:rsidRPr="007331F5">
              <w:rPr>
                <w:rFonts w:cstheme="minorHAnsi"/>
                <w:sz w:val="20"/>
                <w:szCs w:val="20"/>
              </w:rPr>
              <w:t>Ludlow (4.2%)</w:t>
            </w:r>
          </w:p>
          <w:p w14:paraId="04255ED7" w14:textId="77777777" w:rsidR="007331F5" w:rsidRPr="007331F5" w:rsidRDefault="007331F5" w:rsidP="007331F5">
            <w:pPr>
              <w:rPr>
                <w:rFonts w:cstheme="minorHAnsi"/>
                <w:sz w:val="20"/>
                <w:szCs w:val="20"/>
              </w:rPr>
            </w:pPr>
            <w:r w:rsidRPr="007331F5">
              <w:rPr>
                <w:rFonts w:cstheme="minorHAnsi"/>
                <w:sz w:val="20"/>
                <w:szCs w:val="20"/>
              </w:rPr>
              <w:t>East Longmeadow (3.5%)</w:t>
            </w:r>
          </w:p>
          <w:p w14:paraId="28B4158E" w14:textId="77777777" w:rsidR="007331F5" w:rsidRPr="007331F5" w:rsidRDefault="007331F5" w:rsidP="007331F5">
            <w:pPr>
              <w:rPr>
                <w:rFonts w:cstheme="minorHAnsi"/>
                <w:sz w:val="20"/>
                <w:szCs w:val="20"/>
              </w:rPr>
            </w:pPr>
            <w:r w:rsidRPr="007331F5">
              <w:rPr>
                <w:rFonts w:cstheme="minorHAnsi"/>
                <w:sz w:val="20"/>
                <w:szCs w:val="20"/>
              </w:rPr>
              <w:t>Longmeadow (3.3%)</w:t>
            </w:r>
          </w:p>
          <w:p w14:paraId="1FABABF3" w14:textId="77777777" w:rsidR="007331F5" w:rsidRPr="007331F5" w:rsidRDefault="007331F5" w:rsidP="007331F5">
            <w:pPr>
              <w:rPr>
                <w:rFonts w:cstheme="minorHAnsi"/>
                <w:sz w:val="20"/>
                <w:szCs w:val="20"/>
              </w:rPr>
            </w:pPr>
            <w:r w:rsidRPr="007331F5">
              <w:rPr>
                <w:rFonts w:cstheme="minorHAnsi"/>
                <w:sz w:val="20"/>
                <w:szCs w:val="20"/>
              </w:rPr>
              <w:t>Chicopee (3.0%)</w:t>
            </w:r>
          </w:p>
          <w:p w14:paraId="17F04812" w14:textId="77777777" w:rsidR="007331F5" w:rsidRPr="007331F5" w:rsidRDefault="007331F5" w:rsidP="007331F5">
            <w:pPr>
              <w:rPr>
                <w:rFonts w:cstheme="minorHAnsi"/>
                <w:sz w:val="20"/>
                <w:szCs w:val="20"/>
              </w:rPr>
            </w:pPr>
            <w:r w:rsidRPr="007331F5">
              <w:rPr>
                <w:rFonts w:cstheme="minorHAnsi"/>
                <w:sz w:val="20"/>
                <w:szCs w:val="20"/>
              </w:rPr>
              <w:t>Holyoke (3.0%)</w:t>
            </w:r>
          </w:p>
          <w:p w14:paraId="78099641" w14:textId="77777777" w:rsidR="007331F5" w:rsidRPr="007331F5" w:rsidRDefault="007331F5" w:rsidP="007331F5">
            <w:pPr>
              <w:rPr>
                <w:rFonts w:cstheme="minorHAnsi"/>
                <w:sz w:val="20"/>
                <w:szCs w:val="20"/>
              </w:rPr>
            </w:pPr>
            <w:r w:rsidRPr="007331F5">
              <w:rPr>
                <w:rFonts w:cstheme="minorHAnsi"/>
                <w:sz w:val="20"/>
                <w:szCs w:val="20"/>
              </w:rPr>
              <w:t>Wilbraham (2.6%)</w:t>
            </w:r>
          </w:p>
          <w:p w14:paraId="22D632E7" w14:textId="77777777" w:rsidR="007331F5" w:rsidRPr="007331F5" w:rsidRDefault="007331F5" w:rsidP="007331F5">
            <w:pPr>
              <w:rPr>
                <w:rFonts w:cstheme="minorHAnsi"/>
                <w:sz w:val="20"/>
                <w:szCs w:val="20"/>
              </w:rPr>
            </w:pPr>
            <w:r w:rsidRPr="007331F5">
              <w:rPr>
                <w:rFonts w:cstheme="minorHAnsi"/>
                <w:sz w:val="20"/>
                <w:szCs w:val="20"/>
              </w:rPr>
              <w:t>South Hadley (2.5%)</w:t>
            </w:r>
          </w:p>
          <w:p w14:paraId="0E6B81FE" w14:textId="77777777" w:rsidR="007331F5" w:rsidRPr="007331F5" w:rsidRDefault="007331F5" w:rsidP="007331F5">
            <w:pPr>
              <w:rPr>
                <w:rFonts w:cstheme="minorHAnsi"/>
                <w:sz w:val="20"/>
                <w:szCs w:val="20"/>
              </w:rPr>
            </w:pPr>
            <w:r w:rsidRPr="007331F5">
              <w:rPr>
                <w:rFonts w:cstheme="minorHAnsi"/>
                <w:sz w:val="20"/>
                <w:szCs w:val="20"/>
              </w:rPr>
              <w:t>Belchertown (2.2%)</w:t>
            </w:r>
          </w:p>
          <w:p w14:paraId="61D1C904" w14:textId="799037E6" w:rsidR="003D1E3A" w:rsidRPr="00241F83" w:rsidRDefault="007331F5" w:rsidP="00014A95">
            <w:pPr>
              <w:rPr>
                <w:rFonts w:cstheme="minorHAnsi"/>
                <w:sz w:val="20"/>
                <w:szCs w:val="20"/>
              </w:rPr>
            </w:pPr>
            <w:r w:rsidRPr="007331F5">
              <w:rPr>
                <w:rFonts w:cstheme="minorHAnsi"/>
                <w:sz w:val="20"/>
                <w:szCs w:val="20"/>
              </w:rPr>
              <w:t>Ware (1.8%)</w:t>
            </w:r>
          </w:p>
        </w:tc>
      </w:tr>
      <w:tr w:rsidR="008070AD" w:rsidRPr="00241F83" w14:paraId="6C609457" w14:textId="77777777" w:rsidTr="00EB4EC0">
        <w:trPr>
          <w:cantSplit/>
        </w:trPr>
        <w:tc>
          <w:tcPr>
            <w:tcW w:w="0" w:type="auto"/>
          </w:tcPr>
          <w:p w14:paraId="4A6BEFAA" w14:textId="77777777" w:rsidR="008070AD" w:rsidRPr="00241F83" w:rsidRDefault="008070AD" w:rsidP="008070AD">
            <w:pPr>
              <w:rPr>
                <w:rFonts w:cstheme="minorHAnsi"/>
                <w:b/>
                <w:bCs/>
                <w:sz w:val="20"/>
                <w:szCs w:val="20"/>
              </w:rPr>
            </w:pPr>
            <w:r w:rsidRPr="00241F83">
              <w:rPr>
                <w:rFonts w:cstheme="minorHAnsi"/>
                <w:b/>
                <w:bCs/>
                <w:sz w:val="20"/>
                <w:szCs w:val="20"/>
              </w:rPr>
              <w:t>Payer-Mix</w:t>
            </w:r>
          </w:p>
          <w:p w14:paraId="62A5FE21" w14:textId="77777777" w:rsidR="00245F2A" w:rsidRPr="00241F83" w:rsidRDefault="00245F2A" w:rsidP="00245F2A">
            <w:pPr>
              <w:ind w:left="288"/>
              <w:rPr>
                <w:rFonts w:cstheme="minorHAnsi"/>
                <w:sz w:val="20"/>
                <w:szCs w:val="20"/>
              </w:rPr>
            </w:pPr>
            <w:r w:rsidRPr="00241F83">
              <w:rPr>
                <w:rFonts w:cstheme="minorHAnsi"/>
                <w:sz w:val="20"/>
                <w:szCs w:val="20"/>
              </w:rPr>
              <w:t>Managed Medicare</w:t>
            </w:r>
          </w:p>
          <w:p w14:paraId="15132E74" w14:textId="77777777" w:rsidR="00245F2A" w:rsidRPr="00241F83" w:rsidRDefault="00245F2A" w:rsidP="00245F2A">
            <w:pPr>
              <w:ind w:left="288"/>
              <w:rPr>
                <w:rFonts w:cstheme="minorHAnsi"/>
                <w:sz w:val="20"/>
                <w:szCs w:val="20"/>
              </w:rPr>
            </w:pPr>
            <w:r w:rsidRPr="00241F83">
              <w:rPr>
                <w:rFonts w:cstheme="minorHAnsi"/>
                <w:sz w:val="20"/>
                <w:szCs w:val="20"/>
              </w:rPr>
              <w:t>Original Medicare</w:t>
            </w:r>
          </w:p>
          <w:p w14:paraId="1BE9D24A" w14:textId="7716E140" w:rsidR="00245F2A" w:rsidRPr="00241F83" w:rsidRDefault="00245F2A" w:rsidP="00245F2A">
            <w:pPr>
              <w:ind w:left="288"/>
              <w:rPr>
                <w:rFonts w:cstheme="minorHAnsi"/>
                <w:sz w:val="20"/>
                <w:szCs w:val="20"/>
              </w:rPr>
            </w:pPr>
            <w:r w:rsidRPr="00241F83">
              <w:rPr>
                <w:rFonts w:cstheme="minorHAnsi"/>
                <w:sz w:val="20"/>
                <w:szCs w:val="20"/>
              </w:rPr>
              <w:t>Managed Medicaid</w:t>
            </w:r>
            <w:r w:rsidRPr="00241F83">
              <w:rPr>
                <w:rStyle w:val="FootnoteReference"/>
                <w:rFonts w:cstheme="minorHAnsi"/>
                <w:sz w:val="20"/>
                <w:szCs w:val="20"/>
              </w:rPr>
              <w:footnoteReference w:id="2"/>
            </w:r>
          </w:p>
          <w:p w14:paraId="7435128F" w14:textId="0484F95A" w:rsidR="00245F2A" w:rsidRPr="00241F83" w:rsidRDefault="0078370B" w:rsidP="00245F2A">
            <w:pPr>
              <w:ind w:left="288"/>
              <w:rPr>
                <w:rFonts w:cstheme="minorHAnsi"/>
                <w:sz w:val="20"/>
                <w:szCs w:val="20"/>
              </w:rPr>
            </w:pPr>
            <w:r>
              <w:rPr>
                <w:rFonts w:cstheme="minorHAnsi"/>
                <w:sz w:val="20"/>
                <w:szCs w:val="20"/>
              </w:rPr>
              <w:t xml:space="preserve">Original </w:t>
            </w:r>
            <w:r w:rsidR="00245F2A" w:rsidRPr="00241F83">
              <w:rPr>
                <w:rFonts w:cstheme="minorHAnsi"/>
                <w:sz w:val="20"/>
                <w:szCs w:val="20"/>
              </w:rPr>
              <w:t>Medicaid</w:t>
            </w:r>
          </w:p>
          <w:p w14:paraId="3315E233" w14:textId="77777777" w:rsidR="00245F2A" w:rsidRPr="00241F83" w:rsidRDefault="00245F2A" w:rsidP="00245F2A">
            <w:pPr>
              <w:ind w:left="288"/>
              <w:rPr>
                <w:rFonts w:cstheme="minorHAnsi"/>
                <w:sz w:val="20"/>
                <w:szCs w:val="20"/>
              </w:rPr>
            </w:pPr>
            <w:r w:rsidRPr="00241F83">
              <w:rPr>
                <w:rFonts w:cstheme="minorHAnsi"/>
                <w:sz w:val="20"/>
                <w:szCs w:val="20"/>
              </w:rPr>
              <w:t>Worker’s Comp.</w:t>
            </w:r>
          </w:p>
          <w:p w14:paraId="21DE89B9" w14:textId="77777777" w:rsidR="00245F2A" w:rsidRPr="00241F83" w:rsidRDefault="00245F2A" w:rsidP="00245F2A">
            <w:pPr>
              <w:ind w:left="288"/>
              <w:rPr>
                <w:rFonts w:cstheme="minorHAnsi"/>
                <w:sz w:val="20"/>
                <w:szCs w:val="20"/>
              </w:rPr>
            </w:pPr>
            <w:r w:rsidRPr="00241F83">
              <w:rPr>
                <w:rFonts w:cstheme="minorHAnsi"/>
                <w:sz w:val="20"/>
                <w:szCs w:val="20"/>
              </w:rPr>
              <w:t>Commercial</w:t>
            </w:r>
          </w:p>
          <w:p w14:paraId="580649C2" w14:textId="646F6E12" w:rsidR="008070AD" w:rsidRPr="00241F83" w:rsidRDefault="00245F2A" w:rsidP="00245F2A">
            <w:pPr>
              <w:ind w:left="288"/>
              <w:rPr>
                <w:rFonts w:cstheme="minorHAnsi"/>
                <w:sz w:val="20"/>
                <w:szCs w:val="20"/>
              </w:rPr>
            </w:pPr>
            <w:r w:rsidRPr="00241F83">
              <w:rPr>
                <w:rFonts w:cstheme="minorHAnsi"/>
                <w:sz w:val="20"/>
                <w:szCs w:val="20"/>
              </w:rPr>
              <w:t>Other</w:t>
            </w:r>
            <w:r w:rsidRPr="00241F83">
              <w:rPr>
                <w:rStyle w:val="FootnoteReference"/>
                <w:rFonts w:cstheme="minorHAnsi"/>
                <w:sz w:val="20"/>
                <w:szCs w:val="20"/>
              </w:rPr>
              <w:footnoteReference w:id="3"/>
            </w:r>
          </w:p>
        </w:tc>
        <w:tc>
          <w:tcPr>
            <w:tcW w:w="3719" w:type="dxa"/>
          </w:tcPr>
          <w:p w14:paraId="069B3DA0" w14:textId="77777777" w:rsidR="008070AD" w:rsidRPr="00241F83" w:rsidRDefault="008070AD" w:rsidP="008070AD">
            <w:pPr>
              <w:rPr>
                <w:rFonts w:cstheme="minorHAnsi"/>
                <w:sz w:val="20"/>
                <w:szCs w:val="20"/>
              </w:rPr>
            </w:pPr>
          </w:p>
          <w:p w14:paraId="138C1124" w14:textId="245700BA" w:rsidR="00245F2A" w:rsidRPr="00241F83" w:rsidRDefault="00245F2A" w:rsidP="00781001">
            <w:pPr>
              <w:jc w:val="right"/>
              <w:rPr>
                <w:rFonts w:cstheme="minorHAnsi"/>
                <w:sz w:val="20"/>
                <w:szCs w:val="20"/>
              </w:rPr>
            </w:pPr>
            <w:r w:rsidRPr="00241F83">
              <w:rPr>
                <w:rFonts w:cstheme="minorHAnsi"/>
                <w:sz w:val="20"/>
                <w:szCs w:val="20"/>
              </w:rPr>
              <w:t>8</w:t>
            </w:r>
            <w:r w:rsidR="0078370B">
              <w:rPr>
                <w:rFonts w:cstheme="minorHAnsi"/>
                <w:sz w:val="20"/>
                <w:szCs w:val="20"/>
              </w:rPr>
              <w:t>.4</w:t>
            </w:r>
            <w:r w:rsidRPr="00241F83">
              <w:rPr>
                <w:rFonts w:cstheme="minorHAnsi"/>
                <w:sz w:val="20"/>
                <w:szCs w:val="20"/>
              </w:rPr>
              <w:t>%</w:t>
            </w:r>
          </w:p>
          <w:p w14:paraId="7F7A4DF1" w14:textId="2CBD5D2E" w:rsidR="00245F2A" w:rsidRPr="00241F83" w:rsidRDefault="0078370B" w:rsidP="00781001">
            <w:pPr>
              <w:jc w:val="right"/>
              <w:rPr>
                <w:rFonts w:cstheme="minorHAnsi"/>
                <w:sz w:val="20"/>
                <w:szCs w:val="20"/>
              </w:rPr>
            </w:pPr>
            <w:r w:rsidRPr="00241F83">
              <w:rPr>
                <w:rFonts w:cstheme="minorHAnsi"/>
                <w:sz w:val="20"/>
                <w:szCs w:val="20"/>
              </w:rPr>
              <w:t>1</w:t>
            </w:r>
            <w:r>
              <w:rPr>
                <w:rFonts w:cstheme="minorHAnsi"/>
                <w:sz w:val="20"/>
                <w:szCs w:val="20"/>
              </w:rPr>
              <w:t>4.3</w:t>
            </w:r>
            <w:r w:rsidR="00245F2A" w:rsidRPr="00241F83">
              <w:rPr>
                <w:rFonts w:cstheme="minorHAnsi"/>
                <w:sz w:val="20"/>
                <w:szCs w:val="20"/>
              </w:rPr>
              <w:t>%</w:t>
            </w:r>
          </w:p>
          <w:p w14:paraId="120D1BC7" w14:textId="77AC7377" w:rsidR="00245F2A" w:rsidRPr="00241F83" w:rsidRDefault="0078370B" w:rsidP="00781001">
            <w:pPr>
              <w:jc w:val="right"/>
              <w:rPr>
                <w:rFonts w:cstheme="minorHAnsi"/>
                <w:sz w:val="20"/>
                <w:szCs w:val="20"/>
              </w:rPr>
            </w:pPr>
            <w:r w:rsidRPr="00241F83">
              <w:rPr>
                <w:rFonts w:cstheme="minorHAnsi"/>
                <w:sz w:val="20"/>
                <w:szCs w:val="20"/>
              </w:rPr>
              <w:t>1</w:t>
            </w:r>
            <w:r>
              <w:rPr>
                <w:rFonts w:cstheme="minorHAnsi"/>
                <w:sz w:val="20"/>
                <w:szCs w:val="20"/>
              </w:rPr>
              <w:t>1.9</w:t>
            </w:r>
            <w:r w:rsidR="00245F2A" w:rsidRPr="00241F83">
              <w:rPr>
                <w:rFonts w:cstheme="minorHAnsi"/>
                <w:sz w:val="20"/>
                <w:szCs w:val="20"/>
              </w:rPr>
              <w:t>%</w:t>
            </w:r>
          </w:p>
          <w:p w14:paraId="1BEF5346" w14:textId="53CB737C" w:rsidR="00245F2A" w:rsidRPr="00241F83" w:rsidRDefault="0078370B" w:rsidP="00781001">
            <w:pPr>
              <w:jc w:val="right"/>
              <w:rPr>
                <w:rFonts w:cstheme="minorHAnsi"/>
                <w:sz w:val="20"/>
                <w:szCs w:val="20"/>
              </w:rPr>
            </w:pPr>
            <w:r>
              <w:rPr>
                <w:rFonts w:cstheme="minorHAnsi"/>
                <w:sz w:val="20"/>
                <w:szCs w:val="20"/>
              </w:rPr>
              <w:t>4.</w:t>
            </w:r>
            <w:r w:rsidR="00245F2A" w:rsidRPr="00241F83">
              <w:rPr>
                <w:rFonts w:cstheme="minorHAnsi"/>
                <w:sz w:val="20"/>
                <w:szCs w:val="20"/>
              </w:rPr>
              <w:t>5%</w:t>
            </w:r>
          </w:p>
          <w:p w14:paraId="475A5DD3" w14:textId="6F1E6E44" w:rsidR="00245F2A" w:rsidRPr="00241F83" w:rsidRDefault="00245F2A" w:rsidP="00781001">
            <w:pPr>
              <w:jc w:val="right"/>
              <w:rPr>
                <w:rFonts w:cstheme="minorHAnsi"/>
                <w:sz w:val="20"/>
                <w:szCs w:val="20"/>
              </w:rPr>
            </w:pPr>
            <w:r w:rsidRPr="00241F83">
              <w:rPr>
                <w:rFonts w:cstheme="minorHAnsi"/>
                <w:sz w:val="20"/>
                <w:szCs w:val="20"/>
              </w:rPr>
              <w:t>7</w:t>
            </w:r>
            <w:r w:rsidR="0078370B">
              <w:rPr>
                <w:rFonts w:cstheme="minorHAnsi"/>
                <w:sz w:val="20"/>
                <w:szCs w:val="20"/>
              </w:rPr>
              <w:t>.1</w:t>
            </w:r>
            <w:r w:rsidRPr="00241F83">
              <w:rPr>
                <w:rFonts w:cstheme="minorHAnsi"/>
                <w:sz w:val="20"/>
                <w:szCs w:val="20"/>
              </w:rPr>
              <w:t>%</w:t>
            </w:r>
          </w:p>
          <w:p w14:paraId="70CE46BC" w14:textId="2C15A12F" w:rsidR="00245F2A" w:rsidRPr="00241F83" w:rsidRDefault="00245F2A" w:rsidP="00781001">
            <w:pPr>
              <w:jc w:val="right"/>
              <w:rPr>
                <w:rFonts w:cstheme="minorHAnsi"/>
                <w:sz w:val="20"/>
                <w:szCs w:val="20"/>
              </w:rPr>
            </w:pPr>
            <w:r w:rsidRPr="00241F83">
              <w:rPr>
                <w:rFonts w:cstheme="minorHAnsi"/>
                <w:sz w:val="20"/>
                <w:szCs w:val="20"/>
              </w:rPr>
              <w:t>48</w:t>
            </w:r>
            <w:r w:rsidR="0078370B">
              <w:rPr>
                <w:rFonts w:cstheme="minorHAnsi"/>
                <w:sz w:val="20"/>
                <w:szCs w:val="20"/>
              </w:rPr>
              <w:t>.8</w:t>
            </w:r>
            <w:r w:rsidRPr="00241F83">
              <w:rPr>
                <w:rFonts w:cstheme="minorHAnsi"/>
                <w:sz w:val="20"/>
                <w:szCs w:val="20"/>
              </w:rPr>
              <w:t>%</w:t>
            </w:r>
          </w:p>
          <w:p w14:paraId="04487FEF" w14:textId="065A1715" w:rsidR="008070AD" w:rsidRPr="00241F83" w:rsidRDefault="00245F2A" w:rsidP="00781001">
            <w:pPr>
              <w:jc w:val="right"/>
              <w:rPr>
                <w:rFonts w:cstheme="minorHAnsi"/>
                <w:sz w:val="20"/>
                <w:szCs w:val="20"/>
              </w:rPr>
            </w:pPr>
            <w:r w:rsidRPr="00241F83">
              <w:rPr>
                <w:rFonts w:cstheme="minorHAnsi"/>
                <w:sz w:val="20"/>
                <w:szCs w:val="20"/>
              </w:rPr>
              <w:t>5</w:t>
            </w:r>
            <w:r w:rsidR="0078370B">
              <w:rPr>
                <w:rFonts w:cstheme="minorHAnsi"/>
                <w:sz w:val="20"/>
                <w:szCs w:val="20"/>
              </w:rPr>
              <w:t>.0</w:t>
            </w:r>
            <w:r w:rsidRPr="00241F83">
              <w:rPr>
                <w:rFonts w:cstheme="minorHAnsi"/>
                <w:sz w:val="20"/>
                <w:szCs w:val="20"/>
              </w:rPr>
              <w:t>%</w:t>
            </w:r>
          </w:p>
        </w:tc>
      </w:tr>
    </w:tbl>
    <w:p w14:paraId="1739ACE7" w14:textId="3A5C5041" w:rsidR="00725F24" w:rsidRPr="00241F83" w:rsidRDefault="00725F24" w:rsidP="00264E5C">
      <w:pPr>
        <w:spacing w:after="0" w:line="240" w:lineRule="auto"/>
        <w:rPr>
          <w:rFonts w:cstheme="minorHAnsi"/>
          <w:sz w:val="20"/>
          <w:szCs w:val="20"/>
        </w:rPr>
      </w:pPr>
    </w:p>
    <w:p w14:paraId="76C52B0D" w14:textId="4A2BF944" w:rsidR="00AC68E5" w:rsidRPr="00241F83" w:rsidRDefault="00AC68E5" w:rsidP="00EA38CA">
      <w:pPr>
        <w:pStyle w:val="Heading1"/>
        <w:spacing w:line="240" w:lineRule="auto"/>
        <w:rPr>
          <w:rFonts w:asciiTheme="minorHAnsi" w:eastAsia="Calibri" w:hAnsiTheme="minorHAnsi" w:cstheme="minorHAnsi"/>
        </w:rPr>
      </w:pPr>
      <w:bookmarkStart w:id="21" w:name="_Toc17731309"/>
      <w:bookmarkStart w:id="22" w:name="_Toc18922398"/>
      <w:bookmarkStart w:id="23" w:name="_Toc29755679"/>
      <w:bookmarkStart w:id="24" w:name="_Toc58960213"/>
      <w:bookmarkEnd w:id="19"/>
      <w:r w:rsidRPr="00241F83">
        <w:rPr>
          <w:rFonts w:asciiTheme="minorHAnsi" w:eastAsia="Calibri" w:hAnsiTheme="minorHAnsi" w:cstheme="minorHAnsi"/>
        </w:rPr>
        <w:lastRenderedPageBreak/>
        <w:t>Factor 1</w:t>
      </w:r>
      <w:r w:rsidR="000A431B" w:rsidRPr="00241F83">
        <w:rPr>
          <w:rFonts w:asciiTheme="minorHAnsi" w:eastAsia="Calibri" w:hAnsiTheme="minorHAnsi" w:cstheme="minorHAnsi"/>
        </w:rPr>
        <w:t xml:space="preserve">: </w:t>
      </w:r>
      <w:r w:rsidR="00B85B1D" w:rsidRPr="00241F83">
        <w:rPr>
          <w:rFonts w:asciiTheme="minorHAnsi" w:eastAsia="Calibri" w:hAnsiTheme="minorHAnsi" w:cstheme="minorHAnsi"/>
        </w:rPr>
        <w:t>a</w:t>
      </w:r>
      <w:r w:rsidR="000A431B" w:rsidRPr="00241F83">
        <w:rPr>
          <w:rFonts w:asciiTheme="minorHAnsi" w:eastAsia="Calibri" w:hAnsiTheme="minorHAnsi" w:cstheme="minorHAnsi"/>
        </w:rPr>
        <w:t>)</w:t>
      </w:r>
      <w:r w:rsidRPr="00241F83">
        <w:rPr>
          <w:rFonts w:asciiTheme="minorHAnsi" w:eastAsia="Calibri" w:hAnsiTheme="minorHAnsi" w:cstheme="minorHAnsi"/>
        </w:rPr>
        <w:t xml:space="preserve"> Patient Panel Need</w:t>
      </w:r>
      <w:bookmarkEnd w:id="21"/>
      <w:bookmarkEnd w:id="22"/>
      <w:bookmarkEnd w:id="23"/>
      <w:bookmarkEnd w:id="24"/>
    </w:p>
    <w:p w14:paraId="186F9A74" w14:textId="2DD6A08E" w:rsidR="007C4C78" w:rsidRPr="00241F83" w:rsidRDefault="00AC68E5" w:rsidP="007C4C78">
      <w:pPr>
        <w:pStyle w:val="NormalWeb"/>
        <w:rPr>
          <w:rFonts w:asciiTheme="minorHAnsi" w:eastAsia="Times New Roman" w:hAnsiTheme="minorHAnsi" w:cstheme="minorHAnsi"/>
        </w:rPr>
      </w:pPr>
      <w:r w:rsidRPr="00241F83">
        <w:rPr>
          <w:rFonts w:asciiTheme="minorHAnsi" w:eastAsia="Calibri" w:hAnsiTheme="minorHAnsi" w:cstheme="minorHAnsi"/>
          <w:b/>
        </w:rPr>
        <w:t xml:space="preserve">In this section, </w:t>
      </w:r>
      <w:r w:rsidR="001239C1" w:rsidRPr="00241F83">
        <w:rPr>
          <w:rFonts w:asciiTheme="minorHAnsi" w:eastAsia="Calibri" w:hAnsiTheme="minorHAnsi" w:cstheme="minorHAnsi"/>
          <w:b/>
        </w:rPr>
        <w:t xml:space="preserve">staff </w:t>
      </w:r>
      <w:r w:rsidRPr="00241F83">
        <w:rPr>
          <w:rFonts w:asciiTheme="minorHAnsi" w:eastAsia="Calibri" w:hAnsiTheme="minorHAnsi" w:cstheme="minorHAnsi"/>
          <w:b/>
        </w:rPr>
        <w:t>assess</w:t>
      </w:r>
      <w:r w:rsidR="001239C1" w:rsidRPr="00241F83">
        <w:rPr>
          <w:rFonts w:asciiTheme="minorHAnsi" w:eastAsia="Calibri" w:hAnsiTheme="minorHAnsi" w:cstheme="minorHAnsi"/>
          <w:b/>
        </w:rPr>
        <w:t>es</w:t>
      </w:r>
      <w:r w:rsidRPr="00241F83">
        <w:rPr>
          <w:rFonts w:asciiTheme="minorHAnsi" w:eastAsia="Calibri" w:hAnsiTheme="minorHAnsi" w:cstheme="minorHAnsi"/>
          <w:b/>
        </w:rPr>
        <w:t xml:space="preserve"> </w:t>
      </w:r>
      <w:r w:rsidR="00030F81" w:rsidRPr="00241F83">
        <w:rPr>
          <w:rFonts w:asciiTheme="minorHAnsi" w:eastAsia="Calibri" w:hAnsiTheme="minorHAnsi" w:cstheme="minorHAnsi"/>
          <w:b/>
        </w:rPr>
        <w:t xml:space="preserve">whether </w:t>
      </w:r>
      <w:r w:rsidRPr="00241F83">
        <w:rPr>
          <w:rFonts w:asciiTheme="minorHAnsi" w:eastAsia="Calibri" w:hAnsiTheme="minorHAnsi" w:cstheme="minorHAnsi"/>
          <w:b/>
        </w:rPr>
        <w:t xml:space="preserve">the </w:t>
      </w:r>
      <w:r w:rsidR="00D33E4C" w:rsidRPr="00241F83">
        <w:rPr>
          <w:rFonts w:asciiTheme="minorHAnsi" w:eastAsia="Calibri" w:hAnsiTheme="minorHAnsi" w:cstheme="minorHAnsi"/>
          <w:b/>
        </w:rPr>
        <w:t>Applicant</w:t>
      </w:r>
      <w:r w:rsidRPr="00241F83">
        <w:rPr>
          <w:rFonts w:asciiTheme="minorHAnsi" w:eastAsia="Calibri" w:hAnsiTheme="minorHAnsi" w:cstheme="minorHAnsi"/>
          <w:b/>
        </w:rPr>
        <w:t xml:space="preserve"> has sufficiently addressed </w:t>
      </w:r>
      <w:r w:rsidR="00235B69" w:rsidRPr="00241F83">
        <w:rPr>
          <w:rFonts w:asciiTheme="minorHAnsi" w:eastAsia="Calibri" w:hAnsiTheme="minorHAnsi" w:cstheme="minorHAnsi"/>
        </w:rPr>
        <w:t>P</w:t>
      </w:r>
      <w:r w:rsidRPr="00241F83">
        <w:rPr>
          <w:rFonts w:asciiTheme="minorHAnsi" w:eastAsia="Calibri" w:hAnsiTheme="minorHAnsi" w:cstheme="minorHAnsi"/>
        </w:rPr>
        <w:t xml:space="preserve">atient </w:t>
      </w:r>
      <w:r w:rsidR="00235B69" w:rsidRPr="00241F83">
        <w:rPr>
          <w:rFonts w:asciiTheme="minorHAnsi" w:eastAsia="Calibri" w:hAnsiTheme="minorHAnsi" w:cstheme="minorHAnsi"/>
        </w:rPr>
        <w:t>P</w:t>
      </w:r>
      <w:r w:rsidRPr="00241F83">
        <w:rPr>
          <w:rFonts w:asciiTheme="minorHAnsi" w:eastAsia="Calibri" w:hAnsiTheme="minorHAnsi" w:cstheme="minorHAnsi"/>
        </w:rPr>
        <w:t xml:space="preserve">anel need </w:t>
      </w:r>
      <w:r w:rsidR="00C527E7" w:rsidRPr="00241F83">
        <w:rPr>
          <w:rFonts w:asciiTheme="minorHAnsi" w:eastAsia="Calibri" w:hAnsiTheme="minorHAnsi" w:cstheme="minorHAnsi"/>
        </w:rPr>
        <w:t>for</w:t>
      </w:r>
      <w:r w:rsidR="006256C7" w:rsidRPr="00241F83">
        <w:rPr>
          <w:rFonts w:asciiTheme="minorHAnsi" w:eastAsia="Calibri" w:hAnsiTheme="minorHAnsi" w:cstheme="minorHAnsi"/>
        </w:rPr>
        <w:t xml:space="preserve"> </w:t>
      </w:r>
      <w:r w:rsidR="006917C1" w:rsidRPr="00241F83">
        <w:rPr>
          <w:rFonts w:asciiTheme="minorHAnsi" w:eastAsia="Calibri" w:hAnsiTheme="minorHAnsi" w:cstheme="minorHAnsi"/>
        </w:rPr>
        <w:t xml:space="preserve">the </w:t>
      </w:r>
      <w:r w:rsidR="00DA25FC" w:rsidRPr="00241F83">
        <w:rPr>
          <w:rFonts w:asciiTheme="minorHAnsi" w:eastAsia="Calibri" w:hAnsiTheme="minorHAnsi" w:cstheme="minorHAnsi"/>
        </w:rPr>
        <w:t>P</w:t>
      </w:r>
      <w:r w:rsidR="006256C7" w:rsidRPr="00241F83">
        <w:rPr>
          <w:rFonts w:asciiTheme="minorHAnsi" w:eastAsia="Calibri" w:hAnsiTheme="minorHAnsi" w:cstheme="minorHAnsi"/>
        </w:rPr>
        <w:t xml:space="preserve">roposed </w:t>
      </w:r>
      <w:r w:rsidR="00DA25FC" w:rsidRPr="00241F83">
        <w:rPr>
          <w:rFonts w:asciiTheme="minorHAnsi" w:eastAsia="Calibri" w:hAnsiTheme="minorHAnsi" w:cstheme="minorHAnsi"/>
        </w:rPr>
        <w:t>P</w:t>
      </w:r>
      <w:r w:rsidR="006256C7" w:rsidRPr="00241F83">
        <w:rPr>
          <w:rFonts w:asciiTheme="minorHAnsi" w:eastAsia="Calibri" w:hAnsiTheme="minorHAnsi" w:cstheme="minorHAnsi"/>
        </w:rPr>
        <w:t>roject</w:t>
      </w:r>
      <w:r w:rsidR="00A3423E" w:rsidRPr="00241F83">
        <w:rPr>
          <w:rFonts w:asciiTheme="minorHAnsi" w:eastAsia="Calibri" w:hAnsiTheme="minorHAnsi" w:cstheme="minorHAnsi"/>
        </w:rPr>
        <w:t>.</w:t>
      </w:r>
      <w:r w:rsidR="00B35CC3" w:rsidRPr="00241F83">
        <w:rPr>
          <w:rFonts w:asciiTheme="minorHAnsi" w:eastAsia="Calibri" w:hAnsiTheme="minorHAnsi" w:cstheme="minorHAnsi"/>
        </w:rPr>
        <w:t xml:space="preserve"> </w:t>
      </w:r>
      <w:bookmarkEnd w:id="1"/>
      <w:r w:rsidR="007C4C78" w:rsidRPr="00241F83">
        <w:rPr>
          <w:rFonts w:asciiTheme="minorHAnsi" w:eastAsia="Times New Roman" w:hAnsiTheme="minorHAnsi" w:cstheme="minorHAnsi"/>
          <w:color w:val="000000"/>
        </w:rPr>
        <w:t xml:space="preserve">Because the </w:t>
      </w:r>
      <w:r w:rsidR="00D33E4C" w:rsidRPr="00241F83">
        <w:rPr>
          <w:rFonts w:asciiTheme="minorHAnsi" w:eastAsia="Times New Roman" w:hAnsiTheme="minorHAnsi" w:cstheme="minorHAnsi"/>
          <w:color w:val="000000"/>
        </w:rPr>
        <w:t>Applicant</w:t>
      </w:r>
      <w:r w:rsidR="007C4C78" w:rsidRPr="00241F83">
        <w:rPr>
          <w:rFonts w:asciiTheme="minorHAnsi" w:eastAsia="Times New Roman" w:hAnsiTheme="minorHAnsi" w:cstheme="minorHAnsi"/>
          <w:color w:val="000000"/>
        </w:rPr>
        <w:t xml:space="preserve"> anticipates that the proposed ASC will offer a similar set of services as the HOPD, the analysis of patient need focuses on historical and projected utilization of these particular services. The </w:t>
      </w:r>
      <w:r w:rsidR="00D33E4C" w:rsidRPr="00241F83">
        <w:rPr>
          <w:rFonts w:asciiTheme="minorHAnsi" w:eastAsia="Times New Roman" w:hAnsiTheme="minorHAnsi" w:cstheme="minorHAnsi"/>
          <w:color w:val="000000"/>
        </w:rPr>
        <w:t>Applicant</w:t>
      </w:r>
      <w:r w:rsidR="007C4C78" w:rsidRPr="00241F83">
        <w:rPr>
          <w:rFonts w:asciiTheme="minorHAnsi" w:eastAsia="Times New Roman" w:hAnsiTheme="minorHAnsi" w:cstheme="minorHAnsi"/>
          <w:color w:val="000000"/>
        </w:rPr>
        <w:t xml:space="preserve"> states that the main factor contributing to patient panel need for this proposed project is the aging regional population.</w:t>
      </w:r>
    </w:p>
    <w:p w14:paraId="0C851555" w14:textId="77777777" w:rsidR="007C4C78" w:rsidRPr="00241F83" w:rsidRDefault="007C4C78" w:rsidP="007C4C78">
      <w:pPr>
        <w:spacing w:after="0" w:line="240" w:lineRule="auto"/>
        <w:rPr>
          <w:rFonts w:eastAsia="Times New Roman" w:cstheme="minorHAnsi"/>
          <w:sz w:val="24"/>
          <w:szCs w:val="24"/>
        </w:rPr>
      </w:pPr>
    </w:p>
    <w:p w14:paraId="68901267" w14:textId="49126513" w:rsidR="007C4C78" w:rsidRPr="00241F83" w:rsidRDefault="007C4C78" w:rsidP="007C4C78">
      <w:pPr>
        <w:spacing w:after="0" w:line="240" w:lineRule="auto"/>
        <w:rPr>
          <w:rFonts w:eastAsia="Times New Roman" w:cstheme="minorHAnsi"/>
          <w:sz w:val="24"/>
          <w:szCs w:val="24"/>
        </w:rPr>
      </w:pPr>
      <w:r w:rsidRPr="00241F83">
        <w:rPr>
          <w:rFonts w:eastAsia="Times New Roman" w:cstheme="minorHAnsi"/>
          <w:b/>
          <w:bCs/>
          <w:color w:val="000000"/>
          <w:sz w:val="24"/>
          <w:szCs w:val="24"/>
        </w:rPr>
        <w:t>Patient Panel Need</w:t>
      </w:r>
      <w:r w:rsidRPr="00241F83">
        <w:rPr>
          <w:rFonts w:eastAsia="Times New Roman" w:cstheme="minorHAnsi"/>
          <w:b/>
          <w:bCs/>
          <w:color w:val="000000"/>
          <w:sz w:val="24"/>
          <w:szCs w:val="24"/>
        </w:rPr>
        <w:br/>
      </w:r>
      <w:r w:rsidRPr="00241F83">
        <w:rPr>
          <w:rFonts w:eastAsia="Times New Roman" w:cstheme="minorHAnsi"/>
          <w:color w:val="000000"/>
          <w:sz w:val="24"/>
          <w:szCs w:val="24"/>
        </w:rPr>
        <w:t>From FY19 to FY21, the share of BOSC’s patients that are 65 and older increased by 9.5%. This is consistent with national trends, which indicate that adults aged 55 plus have experienced the greatest increase in surgical procedures in ASCs since 1990.</w:t>
      </w:r>
      <w:r w:rsidR="006F1566" w:rsidRPr="00241F83">
        <w:rPr>
          <w:rStyle w:val="EndnoteReference"/>
          <w:rFonts w:eastAsia="Times New Roman" w:cstheme="minorHAnsi"/>
          <w:color w:val="000000"/>
          <w:sz w:val="24"/>
          <w:szCs w:val="24"/>
        </w:rPr>
        <w:endnoteReference w:id="1"/>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In particular, arthritis and obesity are more prevalent among older adults and increase the likelihood of requiring surgical intervention. The 65+ age cohort in the Lower Pioneer Valley Region (which comprises 29 municipalities, including Springfield, Chicopee, and Holyoke) is expected to increase from 14% of the population in 2010 to 23% of the population in 2035.</w:t>
      </w:r>
      <w:r w:rsidR="006F1566" w:rsidRPr="00241F83">
        <w:rPr>
          <w:rStyle w:val="EndnoteReference"/>
          <w:rFonts w:eastAsia="Times New Roman" w:cstheme="minorHAnsi"/>
          <w:color w:val="000000"/>
          <w:sz w:val="24"/>
          <w:szCs w:val="24"/>
        </w:rPr>
        <w:endnoteReference w:id="2"/>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 xml:space="preserve">As a result,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anticipates increased need for orthopedic surgery, driving projected demand at the proposed ASC. Additionally,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expects that demand for orthopedic surgery will increase as a result of the ASC’s cost savings for payers and patients. Medicare reimbursement rates for ASCs are, on average, 58% of the amount paid to HOPDs.</w:t>
      </w:r>
      <w:r w:rsidR="006F1566" w:rsidRPr="00241F83">
        <w:rPr>
          <w:rStyle w:val="EndnoteReference"/>
          <w:rFonts w:eastAsia="Times New Roman" w:cstheme="minorHAnsi"/>
          <w:color w:val="000000"/>
          <w:sz w:val="24"/>
          <w:szCs w:val="24"/>
        </w:rPr>
        <w:endnoteReference w:id="3"/>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Moreover, according to the CPA report submitted with the application,</w:t>
      </w:r>
      <w:r w:rsidR="00061FCE" w:rsidRPr="00241F83">
        <w:rPr>
          <w:rStyle w:val="FootnoteReference"/>
          <w:rFonts w:eastAsia="Times New Roman" w:cstheme="minorHAnsi"/>
          <w:color w:val="000000"/>
          <w:sz w:val="24"/>
          <w:szCs w:val="24"/>
        </w:rPr>
        <w:footnoteReference w:id="4"/>
      </w:r>
      <w:r w:rsidRPr="00241F83">
        <w:rPr>
          <w:rFonts w:eastAsia="Times New Roman" w:cstheme="minorHAnsi"/>
          <w:color w:val="000000"/>
          <w:sz w:val="24"/>
          <w:szCs w:val="24"/>
        </w:rPr>
        <w:t xml:space="preserve">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expects that prices/reimbursements will decline 30% when the facility converts from a HOPD to an ASC.</w:t>
      </w:r>
    </w:p>
    <w:p w14:paraId="7A1EDFEB" w14:textId="77777777" w:rsidR="007C4C78" w:rsidRPr="00241F83" w:rsidRDefault="007C4C78" w:rsidP="007C4C78">
      <w:pPr>
        <w:spacing w:after="0" w:line="240" w:lineRule="auto"/>
        <w:rPr>
          <w:rFonts w:eastAsia="Times New Roman" w:cstheme="minorHAnsi"/>
          <w:sz w:val="24"/>
          <w:szCs w:val="24"/>
        </w:rPr>
      </w:pPr>
    </w:p>
    <w:p w14:paraId="0D8126CC" w14:textId="77777777" w:rsidR="007C4C78" w:rsidRPr="00241F83" w:rsidRDefault="007C4C78" w:rsidP="007C4C78">
      <w:pPr>
        <w:spacing w:after="0" w:line="240" w:lineRule="auto"/>
        <w:rPr>
          <w:rFonts w:eastAsia="Times New Roman" w:cstheme="minorHAnsi"/>
          <w:b/>
          <w:bCs/>
          <w:sz w:val="24"/>
          <w:szCs w:val="24"/>
        </w:rPr>
      </w:pPr>
      <w:r w:rsidRPr="00241F83">
        <w:rPr>
          <w:rFonts w:eastAsia="Times New Roman" w:cstheme="minorHAnsi"/>
          <w:b/>
          <w:bCs/>
          <w:i/>
          <w:iCs/>
          <w:color w:val="000000"/>
          <w:sz w:val="24"/>
          <w:szCs w:val="24"/>
        </w:rPr>
        <w:t>Analysis</w:t>
      </w:r>
    </w:p>
    <w:p w14:paraId="290DB770" w14:textId="477B7934" w:rsidR="00525EE0" w:rsidRPr="00241F83" w:rsidRDefault="007C4C78" w:rsidP="007C4C78">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outlined a need for converting the HOPD to an ASC. </w:t>
      </w:r>
      <w:r w:rsidR="00CE514E" w:rsidRPr="00241F83">
        <w:rPr>
          <w:rFonts w:eastAsia="Times New Roman" w:cstheme="minorHAnsi"/>
          <w:color w:val="000000"/>
          <w:sz w:val="24"/>
          <w:szCs w:val="24"/>
        </w:rPr>
        <w:t xml:space="preserve">In addition to </w:t>
      </w:r>
      <w:r w:rsidRPr="00241F83">
        <w:rPr>
          <w:rFonts w:eastAsia="Times New Roman" w:cstheme="minorHAnsi"/>
          <w:color w:val="000000"/>
          <w:sz w:val="24"/>
          <w:szCs w:val="24"/>
        </w:rPr>
        <w:t xml:space="preserve">current utilization of BOSC’s services,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illustrates how the aging regional population, as well as the lower prices featured by an ASC, will contribute to prospective demand.</w:t>
      </w:r>
      <w:r w:rsidR="00417B5B" w:rsidRPr="00241F83">
        <w:rPr>
          <w:rFonts w:eastAsia="Times New Roman" w:cstheme="minorHAnsi"/>
          <w:color w:val="000000"/>
          <w:sz w:val="24"/>
          <w:szCs w:val="24"/>
        </w:rPr>
        <w:br/>
      </w:r>
    </w:p>
    <w:p w14:paraId="37C14390" w14:textId="47553BAD" w:rsidR="00A43951" w:rsidRPr="00241F83" w:rsidRDefault="00A43951" w:rsidP="00EA38CA">
      <w:pPr>
        <w:pStyle w:val="Heading1"/>
        <w:spacing w:line="240" w:lineRule="auto"/>
        <w:rPr>
          <w:rFonts w:asciiTheme="minorHAnsi" w:hAnsiTheme="minorHAnsi" w:cstheme="minorHAnsi"/>
        </w:rPr>
      </w:pPr>
      <w:bookmarkStart w:id="25" w:name="_Toc29755680"/>
      <w:bookmarkStart w:id="26" w:name="_Toc58960214"/>
      <w:bookmarkStart w:id="27" w:name="_Toc17151180"/>
      <w:bookmarkStart w:id="28" w:name="_Toc17322392"/>
      <w:bookmarkStart w:id="29" w:name="_Toc18922408"/>
      <w:bookmarkStart w:id="30" w:name="_Toc17322387"/>
      <w:bookmarkStart w:id="31" w:name="_Toc18922403"/>
      <w:r w:rsidRPr="00241F83">
        <w:rPr>
          <w:rFonts w:asciiTheme="minorHAnsi" w:hAnsiTheme="minorHAnsi" w:cstheme="minorHAnsi"/>
        </w:rPr>
        <w:t xml:space="preserve">Factor 1: b) </w:t>
      </w:r>
      <w:r w:rsidR="004954E4" w:rsidRPr="00241F83">
        <w:rPr>
          <w:rFonts w:asciiTheme="minorHAnsi" w:hAnsiTheme="minorHAnsi" w:cstheme="minorHAnsi"/>
        </w:rPr>
        <w:t>P</w:t>
      </w:r>
      <w:r w:rsidRPr="00241F83">
        <w:rPr>
          <w:rFonts w:asciiTheme="minorHAnsi" w:hAnsiTheme="minorHAnsi" w:cstheme="minorHAnsi"/>
        </w:rPr>
        <w:t xml:space="preserve">ublic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V</w:t>
      </w:r>
      <w:r w:rsidRPr="00241F83">
        <w:rPr>
          <w:rFonts w:asciiTheme="minorHAnsi" w:hAnsiTheme="minorHAnsi" w:cstheme="minorHAnsi"/>
        </w:rPr>
        <w:t xml:space="preserve">alue, </w:t>
      </w:r>
      <w:r w:rsidR="00C073C3" w:rsidRPr="00241F83">
        <w:rPr>
          <w:rFonts w:asciiTheme="minorHAnsi" w:hAnsiTheme="minorHAnsi" w:cstheme="minorHAnsi"/>
        </w:rPr>
        <w:t>I</w:t>
      </w:r>
      <w:r w:rsidRPr="00241F83">
        <w:rPr>
          <w:rFonts w:asciiTheme="minorHAnsi" w:hAnsiTheme="minorHAnsi" w:cstheme="minorHAnsi"/>
        </w:rPr>
        <w:t xml:space="preserve">mproved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O</w:t>
      </w:r>
      <w:r w:rsidRPr="00241F83">
        <w:rPr>
          <w:rFonts w:asciiTheme="minorHAnsi" w:hAnsiTheme="minorHAnsi" w:cstheme="minorHAnsi"/>
        </w:rPr>
        <w:t xml:space="preserve">utcomes and </w:t>
      </w:r>
      <w:r w:rsidR="00C073C3" w:rsidRPr="00241F83">
        <w:rPr>
          <w:rFonts w:asciiTheme="minorHAnsi" w:hAnsiTheme="minorHAnsi" w:cstheme="minorHAnsi"/>
        </w:rPr>
        <w:t>Q</w:t>
      </w:r>
      <w:r w:rsidRPr="00241F83">
        <w:rPr>
          <w:rFonts w:asciiTheme="minorHAnsi" w:hAnsiTheme="minorHAnsi" w:cstheme="minorHAnsi"/>
        </w:rPr>
        <w:t xml:space="preserve">uality of </w:t>
      </w:r>
      <w:r w:rsidR="00C073C3" w:rsidRPr="00241F83">
        <w:rPr>
          <w:rFonts w:asciiTheme="minorHAnsi" w:hAnsiTheme="minorHAnsi" w:cstheme="minorHAnsi"/>
        </w:rPr>
        <w:t>L</w:t>
      </w:r>
      <w:r w:rsidRPr="00241F83">
        <w:rPr>
          <w:rFonts w:asciiTheme="minorHAnsi" w:hAnsiTheme="minorHAnsi" w:cstheme="minorHAnsi"/>
        </w:rPr>
        <w:t xml:space="preserve">ife; </w:t>
      </w:r>
      <w:r w:rsidR="00C073C3" w:rsidRPr="00241F83">
        <w:rPr>
          <w:rFonts w:asciiTheme="minorHAnsi" w:hAnsiTheme="minorHAnsi" w:cstheme="minorHAnsi"/>
        </w:rPr>
        <w:t>A</w:t>
      </w:r>
      <w:r w:rsidRPr="00241F83">
        <w:rPr>
          <w:rFonts w:asciiTheme="minorHAnsi" w:hAnsiTheme="minorHAnsi" w:cstheme="minorHAnsi"/>
        </w:rPr>
        <w:t xml:space="preserve">ssurances of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E</w:t>
      </w:r>
      <w:r w:rsidRPr="00241F83">
        <w:rPr>
          <w:rFonts w:asciiTheme="minorHAnsi" w:hAnsiTheme="minorHAnsi" w:cstheme="minorHAnsi"/>
        </w:rPr>
        <w:t>quity</w:t>
      </w:r>
      <w:bookmarkEnd w:id="25"/>
      <w:bookmarkEnd w:id="26"/>
    </w:p>
    <w:bookmarkEnd w:id="27"/>
    <w:bookmarkEnd w:id="28"/>
    <w:bookmarkEnd w:id="29"/>
    <w:bookmarkEnd w:id="30"/>
    <w:bookmarkEnd w:id="31"/>
    <w:p w14:paraId="7FD482DB" w14:textId="5BEF53A1" w:rsidR="00870C8C" w:rsidRPr="00241F83" w:rsidRDefault="00870C8C" w:rsidP="00870C8C">
      <w:pPr>
        <w:spacing w:after="0" w:line="240" w:lineRule="auto"/>
        <w:rPr>
          <w:rFonts w:cstheme="minorHAnsi"/>
        </w:rPr>
      </w:pPr>
    </w:p>
    <w:p w14:paraId="1E3F6D65" w14:textId="54D7CA95" w:rsidR="00870C8C" w:rsidRPr="00241F83" w:rsidRDefault="00870C8C" w:rsidP="00870C8C">
      <w:pPr>
        <w:spacing w:after="0" w:line="240" w:lineRule="auto"/>
        <w:rPr>
          <w:rFonts w:eastAsia="Times New Roman" w:cstheme="minorHAnsi"/>
          <w:b/>
          <w:bCs/>
          <w:sz w:val="28"/>
          <w:szCs w:val="28"/>
        </w:rPr>
      </w:pPr>
      <w:r w:rsidRPr="00241F83">
        <w:rPr>
          <w:rFonts w:eastAsia="Times New Roman" w:cstheme="minorHAnsi"/>
          <w:b/>
          <w:bCs/>
          <w:color w:val="000000"/>
          <w:sz w:val="24"/>
          <w:szCs w:val="24"/>
        </w:rPr>
        <w:t xml:space="preserve">Public </w:t>
      </w:r>
      <w:r w:rsidR="004C44D7" w:rsidRPr="00241F83">
        <w:rPr>
          <w:rFonts w:eastAsia="Times New Roman" w:cstheme="minorHAnsi"/>
          <w:b/>
          <w:bCs/>
          <w:color w:val="000000"/>
          <w:sz w:val="24"/>
          <w:szCs w:val="24"/>
        </w:rPr>
        <w:t>H</w:t>
      </w:r>
      <w:r w:rsidRPr="00241F83">
        <w:rPr>
          <w:rFonts w:eastAsia="Times New Roman" w:cstheme="minorHAnsi"/>
          <w:b/>
          <w:bCs/>
          <w:color w:val="000000"/>
          <w:sz w:val="24"/>
          <w:szCs w:val="24"/>
        </w:rPr>
        <w:t xml:space="preserve">ealth </w:t>
      </w:r>
      <w:r w:rsidR="004C44D7" w:rsidRPr="00241F83">
        <w:rPr>
          <w:rFonts w:eastAsia="Times New Roman" w:cstheme="minorHAnsi"/>
          <w:b/>
          <w:bCs/>
          <w:color w:val="000000"/>
          <w:sz w:val="24"/>
          <w:szCs w:val="24"/>
        </w:rPr>
        <w:t>V</w:t>
      </w:r>
      <w:r w:rsidRPr="00241F83">
        <w:rPr>
          <w:rFonts w:eastAsia="Times New Roman" w:cstheme="minorHAnsi"/>
          <w:b/>
          <w:bCs/>
          <w:color w:val="000000"/>
          <w:sz w:val="24"/>
          <w:szCs w:val="24"/>
        </w:rPr>
        <w:t>alue</w:t>
      </w:r>
    </w:p>
    <w:p w14:paraId="0254831A" w14:textId="66E59CA6" w:rsidR="00870C8C" w:rsidRPr="00241F83" w:rsidRDefault="00870C8C" w:rsidP="0051081A">
      <w:pPr>
        <w:spacing w:after="0" w:line="240" w:lineRule="auto"/>
        <w:rPr>
          <w:rFonts w:eastAsia="Times New Roman" w:cstheme="minorHAnsi"/>
          <w:sz w:val="28"/>
          <w:szCs w:val="28"/>
        </w:rPr>
      </w:pPr>
      <w:r w:rsidRPr="00241F83">
        <w:rPr>
          <w:rFonts w:eastAsia="Times New Roman" w:cstheme="minorHAnsi"/>
          <w:color w:val="000000"/>
          <w:sz w:val="24"/>
          <w:szCs w:val="24"/>
        </w:rPr>
        <w:t>According to recent utilization data, older adults are the primary age cohort utilizing ASCs, with adults older than 64 accounting for 33% of procedure volume.</w:t>
      </w:r>
      <w:r w:rsidR="006F1566" w:rsidRPr="00241F83">
        <w:rPr>
          <w:rStyle w:val="EndnoteReference"/>
          <w:rFonts w:eastAsia="Times New Roman" w:cstheme="minorHAnsi"/>
          <w:color w:val="000000"/>
          <w:sz w:val="24"/>
          <w:szCs w:val="24"/>
        </w:rPr>
        <w:endnoteReference w:id="4"/>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An additional 39% of patients were in the 45-64 age group.</w:t>
      </w:r>
      <w:r w:rsidR="006F1566" w:rsidRPr="00241F83">
        <w:rPr>
          <w:rStyle w:val="EndnoteReference"/>
          <w:rFonts w:eastAsia="Times New Roman" w:cstheme="minorHAnsi"/>
          <w:color w:val="000000"/>
          <w:sz w:val="24"/>
          <w:szCs w:val="24"/>
        </w:rPr>
        <w:endnoteReference w:id="5"/>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 xml:space="preserve">With respect to orthopedics, demand by older adults is driven largely by the prevalence of conditions that result in joint damage, including </w:t>
      </w:r>
      <w:r w:rsidR="0059478F" w:rsidRPr="00241F83">
        <w:rPr>
          <w:rFonts w:eastAsia="Times New Roman" w:cstheme="minorHAnsi"/>
          <w:color w:val="000000"/>
          <w:sz w:val="24"/>
          <w:szCs w:val="24"/>
        </w:rPr>
        <w:t xml:space="preserve">obesity and </w:t>
      </w:r>
      <w:r w:rsidRPr="00241F83">
        <w:rPr>
          <w:rFonts w:eastAsia="Times New Roman" w:cstheme="minorHAnsi"/>
          <w:color w:val="000000"/>
          <w:sz w:val="24"/>
          <w:szCs w:val="24"/>
        </w:rPr>
        <w:t>arthritis</w:t>
      </w:r>
      <w:r w:rsidR="0059478F" w:rsidRPr="00241F83">
        <w:rPr>
          <w:rFonts w:eastAsia="Times New Roman" w:cstheme="minorHAnsi"/>
          <w:color w:val="000000"/>
          <w:sz w:val="24"/>
          <w:szCs w:val="24"/>
        </w:rPr>
        <w:t>.</w:t>
      </w:r>
      <w:r w:rsidR="006F1566" w:rsidRPr="00241F83">
        <w:rPr>
          <w:rStyle w:val="EndnoteReference"/>
          <w:rFonts w:eastAsia="Times New Roman" w:cstheme="minorHAnsi"/>
          <w:color w:val="000000"/>
          <w:sz w:val="24"/>
          <w:szCs w:val="24"/>
        </w:rPr>
        <w:endnoteReference w:id="6"/>
      </w:r>
      <w:r w:rsidR="0059478F" w:rsidRPr="00241F83">
        <w:rPr>
          <w:rFonts w:eastAsia="Times New Roman" w:cstheme="minorHAnsi"/>
          <w:color w:val="000000"/>
          <w:sz w:val="24"/>
          <w:szCs w:val="24"/>
        </w:rPr>
        <w:t xml:space="preserve"> </w:t>
      </w:r>
      <w:r w:rsidRPr="00241F83">
        <w:rPr>
          <w:rFonts w:eastAsia="Times New Roman" w:cstheme="minorHAnsi"/>
          <w:color w:val="000000"/>
          <w:sz w:val="24"/>
          <w:szCs w:val="24"/>
        </w:rPr>
        <w:t>The share of the US adult population suffering from arthritis is expected to grow substantially between now and 2040.</w:t>
      </w:r>
      <w:r w:rsidR="006F1566" w:rsidRPr="00241F83">
        <w:rPr>
          <w:rStyle w:val="EndnoteReference"/>
          <w:rFonts w:eastAsia="Times New Roman" w:cstheme="minorHAnsi"/>
          <w:color w:val="000000"/>
          <w:sz w:val="24"/>
          <w:szCs w:val="24"/>
        </w:rPr>
        <w:endnoteReference w:id="7"/>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Additionally, 24.4% of Massachusetts adults are obese and are therefore at enhanced risk of needing a knee replacement.</w:t>
      </w:r>
      <w:r w:rsidR="006F1566" w:rsidRPr="00241F83">
        <w:rPr>
          <w:rStyle w:val="EndnoteReference"/>
          <w:rFonts w:eastAsia="Times New Roman" w:cstheme="minorHAnsi"/>
          <w:color w:val="000000"/>
          <w:sz w:val="24"/>
          <w:szCs w:val="24"/>
        </w:rPr>
        <w:endnoteReference w:id="8"/>
      </w:r>
      <w:r w:rsidR="006F1566" w:rsidRPr="00241F83">
        <w:rPr>
          <w:rFonts w:eastAsia="Times New Roman" w:cstheme="minorHAnsi"/>
          <w:color w:val="000000"/>
          <w:sz w:val="24"/>
          <w:szCs w:val="24"/>
        </w:rPr>
        <w:t xml:space="preserve"> </w:t>
      </w:r>
      <w:r w:rsidRPr="00241F83">
        <w:rPr>
          <w:rFonts w:eastAsia="Times New Roman" w:cstheme="minorHAnsi"/>
          <w:color w:val="000000"/>
          <w:sz w:val="24"/>
          <w:szCs w:val="24"/>
        </w:rPr>
        <w:t xml:space="preserve">These trends suggest that demand will continue to increase for orthopedic surgery </w:t>
      </w:r>
      <w:r w:rsidR="00953D21" w:rsidRPr="00241F83">
        <w:rPr>
          <w:rFonts w:eastAsia="Times New Roman" w:cstheme="minorHAnsi"/>
          <w:color w:val="000000"/>
          <w:sz w:val="24"/>
          <w:szCs w:val="24"/>
        </w:rPr>
        <w:t xml:space="preserve">related </w:t>
      </w:r>
      <w:r w:rsidRPr="00241F83">
        <w:rPr>
          <w:rFonts w:eastAsia="Times New Roman" w:cstheme="minorHAnsi"/>
          <w:color w:val="000000"/>
          <w:sz w:val="24"/>
          <w:szCs w:val="24"/>
        </w:rPr>
        <w:t>to joint issues.</w:t>
      </w:r>
    </w:p>
    <w:p w14:paraId="04B37D33" w14:textId="67774187" w:rsidR="0059478F" w:rsidRPr="00241F83" w:rsidRDefault="0051081A" w:rsidP="00870C8C">
      <w:pPr>
        <w:spacing w:after="0" w:line="240" w:lineRule="auto"/>
        <w:rPr>
          <w:rFonts w:eastAsia="Times New Roman" w:cstheme="minorHAnsi"/>
          <w:b/>
          <w:bCs/>
          <w:color w:val="000000"/>
          <w:sz w:val="24"/>
          <w:szCs w:val="24"/>
        </w:rPr>
      </w:pPr>
      <w:r w:rsidRPr="00241F83">
        <w:rPr>
          <w:rFonts w:eastAsia="Times New Roman" w:cstheme="minorHAnsi"/>
          <w:color w:val="000000"/>
          <w:sz w:val="24"/>
          <w:szCs w:val="24"/>
        </w:rPr>
        <w:br/>
      </w:r>
      <w:r w:rsidR="00870C8C" w:rsidRPr="00241F83">
        <w:rPr>
          <w:rFonts w:eastAsia="Times New Roman" w:cstheme="minorHAnsi"/>
          <w:color w:val="000000"/>
          <w:sz w:val="24"/>
          <w:szCs w:val="24"/>
        </w:rPr>
        <w:t>Because ASCs have lower prices than HOPDs, patients will be responsible for lower out-of-pocket costs at the proposed facility.</w:t>
      </w:r>
      <w:r w:rsidR="006F1566" w:rsidRPr="00241F83">
        <w:rPr>
          <w:rStyle w:val="EndnoteReference"/>
          <w:rFonts w:eastAsia="Times New Roman" w:cstheme="minorHAnsi"/>
          <w:color w:val="000000"/>
          <w:sz w:val="24"/>
          <w:szCs w:val="24"/>
        </w:rPr>
        <w:endnoteReference w:id="9"/>
      </w:r>
      <w:r w:rsidR="006F1566" w:rsidRPr="00241F83">
        <w:rPr>
          <w:rFonts w:eastAsia="Times New Roman" w:cstheme="minorHAnsi"/>
          <w:color w:val="000000"/>
          <w:sz w:val="24"/>
          <w:szCs w:val="24"/>
        </w:rPr>
        <w:t xml:space="preserve"> </w:t>
      </w:r>
      <w:r w:rsidR="00870C8C" w:rsidRPr="00241F83">
        <w:rPr>
          <w:rFonts w:eastAsia="Times New Roman" w:cstheme="minorHAnsi"/>
          <w:color w:val="000000"/>
          <w:sz w:val="24"/>
          <w:szCs w:val="24"/>
        </w:rPr>
        <w:t xml:space="preserve">These lower costs are expected to improve access: about </w:t>
      </w:r>
      <w:r w:rsidR="00870C8C" w:rsidRPr="00241F83">
        <w:rPr>
          <w:rFonts w:eastAsia="Times New Roman" w:cstheme="minorHAnsi"/>
          <w:color w:val="000000"/>
          <w:sz w:val="24"/>
          <w:szCs w:val="24"/>
        </w:rPr>
        <w:lastRenderedPageBreak/>
        <w:t>one in ten adults have delayed or forgone care due to cost.</w:t>
      </w:r>
      <w:r w:rsidR="006F1566" w:rsidRPr="00241F83">
        <w:rPr>
          <w:rStyle w:val="EndnoteReference"/>
          <w:rFonts w:eastAsia="Times New Roman" w:cstheme="minorHAnsi"/>
          <w:color w:val="000000"/>
          <w:sz w:val="24"/>
          <w:szCs w:val="24"/>
        </w:rPr>
        <w:endnoteReference w:id="10"/>
      </w:r>
      <w:r w:rsidR="006F1566" w:rsidRPr="00241F83">
        <w:rPr>
          <w:rFonts w:eastAsia="Times New Roman" w:cstheme="minorHAnsi"/>
          <w:color w:val="000000"/>
          <w:sz w:val="24"/>
          <w:szCs w:val="24"/>
        </w:rPr>
        <w:t xml:space="preserve"> </w:t>
      </w:r>
      <w:r w:rsidR="00870C8C" w:rsidRPr="00241F83">
        <w:rPr>
          <w:rFonts w:eastAsia="Times New Roman" w:cstheme="minorHAnsi"/>
          <w:color w:val="000000"/>
          <w:sz w:val="24"/>
          <w:szCs w:val="24"/>
        </w:rPr>
        <w:t xml:space="preserve">Payers, including ACOs, also should see substantial savings. Additionally, the </w:t>
      </w:r>
      <w:r w:rsidR="00D33E4C" w:rsidRPr="00241F83">
        <w:rPr>
          <w:rFonts w:eastAsia="Times New Roman" w:cstheme="minorHAnsi"/>
          <w:color w:val="000000"/>
          <w:sz w:val="24"/>
          <w:szCs w:val="24"/>
        </w:rPr>
        <w:t>Applicant</w:t>
      </w:r>
      <w:r w:rsidR="00870C8C" w:rsidRPr="00241F83">
        <w:rPr>
          <w:rFonts w:eastAsia="Times New Roman" w:cstheme="minorHAnsi"/>
          <w:color w:val="000000"/>
          <w:sz w:val="24"/>
          <w:szCs w:val="24"/>
        </w:rPr>
        <w:t xml:space="preserve"> is anticipating being able to offer a broader set of </w:t>
      </w:r>
      <w:r w:rsidR="0078370B" w:rsidRPr="0078370B">
        <w:rPr>
          <w:rFonts w:eastAsia="Times New Roman" w:cstheme="minorHAnsi"/>
          <w:color w:val="000000"/>
          <w:sz w:val="24"/>
          <w:szCs w:val="24"/>
        </w:rPr>
        <w:t>orthopedic</w:t>
      </w:r>
      <w:r w:rsidR="0078370B">
        <w:rPr>
          <w:rFonts w:eastAsia="Times New Roman" w:cstheme="minorHAnsi"/>
          <w:color w:val="000000"/>
          <w:sz w:val="24"/>
          <w:szCs w:val="24"/>
        </w:rPr>
        <w:t xml:space="preserve"> </w:t>
      </w:r>
      <w:r w:rsidR="00870C8C" w:rsidRPr="00241F83">
        <w:rPr>
          <w:rFonts w:eastAsia="Times New Roman" w:cstheme="minorHAnsi"/>
          <w:color w:val="000000"/>
          <w:sz w:val="24"/>
          <w:szCs w:val="24"/>
        </w:rPr>
        <w:t>services soon: Medicare has announced plans to add to the list of procedures it will pay ASCs for in 2023.</w:t>
      </w:r>
      <w:r w:rsidR="006F1566" w:rsidRPr="00241F83">
        <w:rPr>
          <w:rStyle w:val="EndnoteReference"/>
          <w:rFonts w:eastAsia="Times New Roman" w:cstheme="minorHAnsi"/>
          <w:color w:val="000000"/>
          <w:sz w:val="24"/>
          <w:szCs w:val="24"/>
        </w:rPr>
        <w:endnoteReference w:id="11"/>
      </w:r>
    </w:p>
    <w:p w14:paraId="6F29E459" w14:textId="77777777" w:rsidR="0059478F" w:rsidRPr="00241F83" w:rsidRDefault="0059478F" w:rsidP="00870C8C">
      <w:pPr>
        <w:spacing w:after="0" w:line="240" w:lineRule="auto"/>
        <w:rPr>
          <w:rFonts w:eastAsia="Times New Roman" w:cstheme="minorHAnsi"/>
          <w:b/>
          <w:bCs/>
          <w:color w:val="000000"/>
          <w:sz w:val="24"/>
          <w:szCs w:val="24"/>
        </w:rPr>
      </w:pPr>
    </w:p>
    <w:p w14:paraId="6A696C60" w14:textId="74D6CAAA" w:rsidR="00870C8C" w:rsidRPr="00241F83" w:rsidRDefault="00870C8C" w:rsidP="00870C8C">
      <w:pPr>
        <w:spacing w:after="0" w:line="240" w:lineRule="auto"/>
        <w:rPr>
          <w:rFonts w:eastAsia="Times New Roman" w:cstheme="minorHAnsi"/>
          <w:b/>
          <w:bCs/>
          <w:sz w:val="28"/>
          <w:szCs w:val="28"/>
        </w:rPr>
      </w:pPr>
      <w:r w:rsidRPr="00241F83">
        <w:rPr>
          <w:rFonts w:eastAsia="Times New Roman" w:cstheme="minorHAnsi"/>
          <w:b/>
          <w:bCs/>
          <w:color w:val="000000"/>
          <w:sz w:val="24"/>
          <w:szCs w:val="24"/>
        </w:rPr>
        <w:t xml:space="preserve">Improved </w:t>
      </w:r>
      <w:r w:rsidR="00417B5B" w:rsidRPr="00241F83">
        <w:rPr>
          <w:rFonts w:eastAsia="Times New Roman" w:cstheme="minorHAnsi"/>
          <w:b/>
          <w:bCs/>
          <w:color w:val="000000"/>
          <w:sz w:val="24"/>
          <w:szCs w:val="24"/>
        </w:rPr>
        <w:t>O</w:t>
      </w:r>
      <w:r w:rsidRPr="00241F83">
        <w:rPr>
          <w:rFonts w:eastAsia="Times New Roman" w:cstheme="minorHAnsi"/>
          <w:b/>
          <w:bCs/>
          <w:color w:val="000000"/>
          <w:sz w:val="24"/>
          <w:szCs w:val="24"/>
        </w:rPr>
        <w:t>utcomes</w:t>
      </w:r>
    </w:p>
    <w:p w14:paraId="696F9E40" w14:textId="2B503D26" w:rsidR="00870C8C" w:rsidRPr="00241F83" w:rsidRDefault="00870C8C" w:rsidP="0051081A">
      <w:pPr>
        <w:spacing w:after="0" w:line="240" w:lineRule="auto"/>
        <w:rPr>
          <w:rFonts w:eastAsia="Times New Roman" w:cstheme="minorHAnsi"/>
          <w:sz w:val="28"/>
          <w:szCs w:val="28"/>
        </w:rPr>
      </w:pPr>
      <w:r w:rsidRPr="00241F83">
        <w:rPr>
          <w:rFonts w:eastAsia="Times New Roman" w:cstheme="minorHAnsi"/>
          <w:color w:val="000000"/>
          <w:sz w:val="24"/>
          <w:szCs w:val="24"/>
        </w:rPr>
        <w:t xml:space="preserve">As explained in the public health value section above, the lower prices at an ASC are expected to improve access by decreasing out-of-pocket costs. This improved access may improve outcomes for patients by promptly </w:t>
      </w:r>
      <w:r w:rsidR="00953D21" w:rsidRPr="00241F83">
        <w:rPr>
          <w:rFonts w:eastAsia="Times New Roman" w:cstheme="minorHAnsi"/>
          <w:color w:val="000000"/>
          <w:sz w:val="24"/>
          <w:szCs w:val="24"/>
        </w:rPr>
        <w:t>addressing</w:t>
      </w:r>
      <w:r w:rsidRPr="00241F83">
        <w:rPr>
          <w:rFonts w:eastAsia="Times New Roman" w:cstheme="minorHAnsi"/>
          <w:color w:val="000000"/>
          <w:sz w:val="24"/>
          <w:szCs w:val="24"/>
        </w:rPr>
        <w:t xml:space="preserve"> patients’ orthopedic needs. </w:t>
      </w:r>
    </w:p>
    <w:p w14:paraId="7A16F55B" w14:textId="0E3C01D8" w:rsidR="00870C8C" w:rsidRPr="00241F83" w:rsidRDefault="0051081A" w:rsidP="0051081A">
      <w:pPr>
        <w:spacing w:after="0" w:line="240" w:lineRule="auto"/>
        <w:rPr>
          <w:rFonts w:eastAsia="Times New Roman" w:cstheme="minorHAnsi"/>
          <w:sz w:val="28"/>
          <w:szCs w:val="28"/>
        </w:rPr>
      </w:pPr>
      <w:r w:rsidRPr="00241F83">
        <w:rPr>
          <w:rFonts w:eastAsia="Times New Roman" w:cstheme="minorHAnsi"/>
          <w:color w:val="000000"/>
          <w:sz w:val="24"/>
          <w:szCs w:val="24"/>
        </w:rPr>
        <w:br/>
      </w:r>
      <w:r w:rsidR="00870C8C"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00870C8C" w:rsidRPr="00241F83">
        <w:rPr>
          <w:rFonts w:eastAsia="Times New Roman" w:cstheme="minorHAnsi"/>
          <w:color w:val="000000"/>
          <w:sz w:val="24"/>
          <w:szCs w:val="24"/>
        </w:rPr>
        <w:t xml:space="preserve"> proposes to track the impact of the project using the following metrics:</w:t>
      </w:r>
      <w:r w:rsidR="00700FFD">
        <w:rPr>
          <w:rStyle w:val="FootnoteReference"/>
          <w:rFonts w:eastAsia="Times New Roman" w:cstheme="minorHAnsi"/>
          <w:color w:val="000000"/>
          <w:sz w:val="24"/>
          <w:szCs w:val="24"/>
        </w:rPr>
        <w:footnoteReference w:id="5"/>
      </w:r>
    </w:p>
    <w:p w14:paraId="5DCFAAC7" w14:textId="40469387" w:rsidR="00870C8C" w:rsidRPr="00241F83" w:rsidRDefault="00870C8C" w:rsidP="0059478F">
      <w:pPr>
        <w:spacing w:after="0" w:line="240" w:lineRule="auto"/>
        <w:ind w:firstLine="720"/>
        <w:rPr>
          <w:rFonts w:eastAsia="Times New Roman" w:cstheme="minorHAnsi"/>
          <w:sz w:val="28"/>
          <w:szCs w:val="28"/>
        </w:rPr>
      </w:pPr>
      <w:r w:rsidRPr="00241F83">
        <w:rPr>
          <w:rFonts w:eastAsia="Times New Roman" w:cstheme="minorHAnsi"/>
          <w:color w:val="000000"/>
          <w:sz w:val="24"/>
          <w:szCs w:val="24"/>
        </w:rPr>
        <w:t xml:space="preserve">1) Patient satisfaction (measured on a </w:t>
      </w:r>
      <w:r w:rsidR="00506EBD">
        <w:rPr>
          <w:rFonts w:eastAsia="Times New Roman" w:cstheme="minorHAnsi"/>
          <w:color w:val="000000"/>
          <w:sz w:val="24"/>
          <w:szCs w:val="24"/>
        </w:rPr>
        <w:t>0</w:t>
      </w:r>
      <w:r w:rsidRPr="00241F83">
        <w:rPr>
          <w:rFonts w:eastAsia="Times New Roman" w:cstheme="minorHAnsi"/>
          <w:color w:val="000000"/>
          <w:sz w:val="24"/>
          <w:szCs w:val="24"/>
        </w:rPr>
        <w:t>-10 scale) </w:t>
      </w:r>
    </w:p>
    <w:p w14:paraId="02D784EA" w14:textId="302EAE78" w:rsidR="00870C8C" w:rsidRPr="00241F83" w:rsidRDefault="00870C8C" w:rsidP="0059478F">
      <w:pPr>
        <w:spacing w:after="0" w:line="240" w:lineRule="auto"/>
        <w:ind w:left="720"/>
        <w:rPr>
          <w:rFonts w:eastAsia="Times New Roman" w:cstheme="minorHAnsi"/>
          <w:sz w:val="28"/>
          <w:szCs w:val="28"/>
        </w:rPr>
      </w:pPr>
      <w:r w:rsidRPr="00241F83">
        <w:rPr>
          <w:rFonts w:eastAsia="Times New Roman" w:cstheme="minorHAnsi"/>
          <w:color w:val="000000"/>
          <w:sz w:val="24"/>
          <w:szCs w:val="24"/>
        </w:rPr>
        <w:t xml:space="preserve">2) Surgical site </w:t>
      </w:r>
      <w:r w:rsidR="00D8623A" w:rsidRPr="00241F83">
        <w:rPr>
          <w:rFonts w:eastAsia="Times New Roman" w:cstheme="minorHAnsi"/>
          <w:color w:val="000000"/>
          <w:sz w:val="24"/>
          <w:szCs w:val="24"/>
        </w:rPr>
        <w:t>i</w:t>
      </w:r>
      <w:r w:rsidRPr="00241F83">
        <w:rPr>
          <w:rFonts w:eastAsia="Times New Roman" w:cstheme="minorHAnsi"/>
          <w:color w:val="000000"/>
          <w:sz w:val="24"/>
          <w:szCs w:val="24"/>
        </w:rPr>
        <w:t>nfection (the number of patients who develop a surgical-site infection within 30 days of surgery or within 90 days of surgery for arthroplasty implant procedures) </w:t>
      </w:r>
    </w:p>
    <w:p w14:paraId="2112B8B6" w14:textId="694517E0" w:rsidR="00870C8C" w:rsidRPr="00241F83" w:rsidRDefault="00870C8C" w:rsidP="0059478F">
      <w:pPr>
        <w:spacing w:after="0" w:line="240" w:lineRule="auto"/>
        <w:ind w:left="720"/>
        <w:rPr>
          <w:rFonts w:eastAsia="Times New Roman" w:cstheme="minorHAnsi"/>
          <w:sz w:val="28"/>
          <w:szCs w:val="28"/>
        </w:rPr>
      </w:pPr>
      <w:r w:rsidRPr="00241F83">
        <w:rPr>
          <w:rFonts w:eastAsia="Times New Roman" w:cstheme="minorHAnsi"/>
          <w:color w:val="000000"/>
          <w:sz w:val="24"/>
          <w:szCs w:val="24"/>
        </w:rPr>
        <w:t xml:space="preserve">3) Fall prevention (the number of patients who report a fall at home within 24 hours </w:t>
      </w:r>
      <w:r w:rsidR="0059478F" w:rsidRPr="00241F83">
        <w:rPr>
          <w:rFonts w:eastAsia="Times New Roman" w:cstheme="minorHAnsi"/>
          <w:color w:val="000000"/>
          <w:sz w:val="24"/>
          <w:szCs w:val="24"/>
        </w:rPr>
        <w:t>of</w:t>
      </w:r>
      <w:r w:rsidRPr="00241F83">
        <w:rPr>
          <w:rFonts w:eastAsia="Times New Roman" w:cstheme="minorHAnsi"/>
          <w:color w:val="000000"/>
          <w:sz w:val="24"/>
          <w:szCs w:val="24"/>
        </w:rPr>
        <w:t xml:space="preserve"> surgery)</w:t>
      </w:r>
    </w:p>
    <w:p w14:paraId="7B1246E8" w14:textId="77777777" w:rsidR="00870C8C" w:rsidRPr="00241F83" w:rsidRDefault="00870C8C" w:rsidP="00870C8C">
      <w:pPr>
        <w:spacing w:after="0" w:line="240" w:lineRule="auto"/>
        <w:rPr>
          <w:rFonts w:eastAsia="Times New Roman" w:cstheme="minorHAnsi"/>
          <w:sz w:val="28"/>
          <w:szCs w:val="28"/>
        </w:rPr>
      </w:pPr>
    </w:p>
    <w:p w14:paraId="57AB3ABA" w14:textId="1B3E5FC1" w:rsidR="00BA1D92" w:rsidRPr="00241F83" w:rsidRDefault="00870C8C" w:rsidP="0051081A">
      <w:pPr>
        <w:spacing w:after="0" w:line="240" w:lineRule="auto"/>
        <w:rPr>
          <w:rFonts w:eastAsia="Times New Roman" w:cstheme="minorHAnsi"/>
          <w:sz w:val="28"/>
          <w:szCs w:val="28"/>
        </w:rPr>
      </w:pPr>
      <w:r w:rsidRPr="00241F83">
        <w:rPr>
          <w:rFonts w:eastAsia="Times New Roman" w:cstheme="minorHAnsi"/>
          <w:b/>
          <w:bCs/>
          <w:color w:val="000000"/>
          <w:sz w:val="24"/>
          <w:szCs w:val="24"/>
        </w:rPr>
        <w:t xml:space="preserve">Health </w:t>
      </w:r>
      <w:r w:rsidR="00417B5B" w:rsidRPr="00241F83">
        <w:rPr>
          <w:rFonts w:eastAsia="Times New Roman" w:cstheme="minorHAnsi"/>
          <w:b/>
          <w:bCs/>
          <w:color w:val="000000"/>
          <w:sz w:val="24"/>
          <w:szCs w:val="24"/>
        </w:rPr>
        <w:t>E</w:t>
      </w:r>
      <w:r w:rsidRPr="00241F83">
        <w:rPr>
          <w:rFonts w:eastAsia="Times New Roman" w:cstheme="minorHAnsi"/>
          <w:b/>
          <w:bCs/>
          <w:color w:val="000000"/>
          <w:sz w:val="24"/>
          <w:szCs w:val="24"/>
        </w:rPr>
        <w:t>quity</w:t>
      </w:r>
      <w:r w:rsidRPr="00241F83">
        <w:rPr>
          <w:rFonts w:eastAsia="Times New Roman" w:cstheme="minorHAnsi"/>
          <w:color w:val="000000"/>
          <w:sz w:val="24"/>
          <w:szCs w:val="24"/>
        </w:rPr>
        <w:t xml:space="preserve"> </w:t>
      </w:r>
      <w:r w:rsidR="0051081A" w:rsidRPr="00241F83">
        <w:rPr>
          <w:rFonts w:eastAsia="Times New Roman" w:cstheme="minorHAnsi"/>
          <w:color w:val="000000"/>
          <w:sz w:val="24"/>
          <w:szCs w:val="24"/>
        </w:rPr>
        <w:br/>
      </w: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states that the ASC will not discriminate based on ability to pay/payer source; physical ability; sensory/speech limitations; or religious, spiritual, and cultural beliefs. BOSC plans to employ bilingual staff with fluency in </w:t>
      </w:r>
      <w:r w:rsidR="00953D21" w:rsidRPr="00241F83">
        <w:rPr>
          <w:rFonts w:eastAsia="Times New Roman" w:cstheme="minorHAnsi"/>
          <w:color w:val="000000"/>
          <w:sz w:val="24"/>
          <w:szCs w:val="24"/>
        </w:rPr>
        <w:t xml:space="preserve">multiple </w:t>
      </w:r>
      <w:r w:rsidRPr="00241F83">
        <w:rPr>
          <w:rFonts w:eastAsia="Times New Roman" w:cstheme="minorHAnsi"/>
          <w:color w:val="000000"/>
          <w:sz w:val="24"/>
          <w:szCs w:val="24"/>
        </w:rPr>
        <w:t>languages</w:t>
      </w:r>
      <w:r w:rsidR="00953D21" w:rsidRPr="00241F83">
        <w:rPr>
          <w:rFonts w:eastAsia="Times New Roman" w:cstheme="minorHAnsi"/>
          <w:color w:val="000000"/>
          <w:sz w:val="24"/>
          <w:szCs w:val="24"/>
        </w:rPr>
        <w:t>,</w:t>
      </w:r>
      <w:r w:rsidRPr="00241F83">
        <w:rPr>
          <w:rFonts w:eastAsia="Times New Roman" w:cstheme="minorHAnsi"/>
          <w:color w:val="000000"/>
          <w:sz w:val="24"/>
          <w:szCs w:val="24"/>
        </w:rPr>
        <w:t xml:space="preserve"> including Spanish. </w:t>
      </w:r>
      <w:r w:rsidR="00953D21" w:rsidRPr="00241F83">
        <w:rPr>
          <w:rFonts w:eastAsia="Times New Roman" w:cstheme="minorHAnsi"/>
          <w:color w:val="000000"/>
          <w:sz w:val="24"/>
          <w:szCs w:val="24"/>
        </w:rPr>
        <w:t>T</w:t>
      </w:r>
      <w:r w:rsidRPr="00241F83">
        <w:rPr>
          <w:rFonts w:eastAsia="Times New Roman" w:cstheme="minorHAnsi"/>
          <w:color w:val="000000"/>
          <w:sz w:val="24"/>
          <w:szCs w:val="24"/>
        </w:rPr>
        <w:t xml:space="preserve">he ASC will </w:t>
      </w:r>
      <w:r w:rsidR="00953D21" w:rsidRPr="00241F83">
        <w:rPr>
          <w:rFonts w:eastAsia="Times New Roman" w:cstheme="minorHAnsi"/>
          <w:color w:val="000000"/>
          <w:sz w:val="24"/>
          <w:szCs w:val="24"/>
        </w:rPr>
        <w:t xml:space="preserve">also </w:t>
      </w:r>
      <w:r w:rsidRPr="00241F83">
        <w:rPr>
          <w:rFonts w:eastAsia="Times New Roman" w:cstheme="minorHAnsi"/>
          <w:color w:val="000000"/>
          <w:sz w:val="24"/>
          <w:szCs w:val="24"/>
        </w:rPr>
        <w:t>offer free translation services</w:t>
      </w:r>
      <w:r w:rsidR="00B651B4">
        <w:rPr>
          <w:rFonts w:eastAsia="Times New Roman" w:cstheme="minorHAnsi"/>
          <w:color w:val="000000"/>
          <w:sz w:val="24"/>
          <w:szCs w:val="24"/>
        </w:rPr>
        <w:t xml:space="preserve">, with patients being screened for their translation needs </w:t>
      </w:r>
      <w:r w:rsidR="00B651B4" w:rsidRPr="00B651B4">
        <w:rPr>
          <w:rFonts w:eastAsia="Times New Roman" w:cstheme="minorHAnsi"/>
          <w:color w:val="000000"/>
          <w:sz w:val="24"/>
          <w:szCs w:val="24"/>
        </w:rPr>
        <w:t>at the time the request for services is made</w:t>
      </w:r>
      <w:r w:rsidRPr="00241F83">
        <w:rPr>
          <w:rFonts w:eastAsia="Times New Roman" w:cstheme="minorHAnsi"/>
          <w:color w:val="000000"/>
          <w:sz w:val="24"/>
          <w:szCs w:val="24"/>
        </w:rPr>
        <w:t>. If patients are found to need a translator, one will be scheduled in advance. If an in-person translator is not available, translation by video will be performed via iPad. Interpreter services will also be available for all pre- and post-op visits and phone calls.</w:t>
      </w:r>
    </w:p>
    <w:p w14:paraId="07683DA7" w14:textId="06215574" w:rsidR="00870C8C" w:rsidRPr="00241F83" w:rsidRDefault="0051081A" w:rsidP="0051081A">
      <w:pPr>
        <w:spacing w:after="0" w:line="240" w:lineRule="auto"/>
        <w:rPr>
          <w:rFonts w:eastAsia="Times New Roman" w:cstheme="minorHAnsi"/>
          <w:sz w:val="28"/>
          <w:szCs w:val="28"/>
        </w:rPr>
      </w:pPr>
      <w:r w:rsidRPr="00241F83">
        <w:rPr>
          <w:rFonts w:eastAsia="Times New Roman" w:cstheme="minorHAnsi"/>
          <w:color w:val="000000"/>
          <w:sz w:val="24"/>
          <w:szCs w:val="24"/>
        </w:rPr>
        <w:br/>
      </w:r>
      <w:r w:rsidR="00870C8C" w:rsidRPr="00241F83">
        <w:rPr>
          <w:rFonts w:eastAsia="Times New Roman" w:cstheme="minorHAnsi"/>
          <w:color w:val="000000"/>
          <w:sz w:val="24"/>
          <w:szCs w:val="24"/>
        </w:rPr>
        <w:t xml:space="preserve">All patients will be screened for transportation needs to and from the facility when their surgery is scheduled. Patients needing assistance will be referred to community resources such as </w:t>
      </w:r>
      <w:r w:rsidR="00E24312">
        <w:rPr>
          <w:rFonts w:eastAsia="Times New Roman" w:cstheme="minorHAnsi"/>
          <w:color w:val="000000"/>
          <w:sz w:val="24"/>
          <w:szCs w:val="24"/>
        </w:rPr>
        <w:t xml:space="preserve">a </w:t>
      </w:r>
      <w:r w:rsidR="00870C8C" w:rsidRPr="00241F83">
        <w:rPr>
          <w:rFonts w:eastAsia="Times New Roman" w:cstheme="minorHAnsi"/>
          <w:color w:val="000000"/>
          <w:sz w:val="24"/>
          <w:szCs w:val="24"/>
        </w:rPr>
        <w:t>senior center or their house of worship.</w:t>
      </w:r>
      <w:r w:rsidR="0059478F" w:rsidRPr="00241F83">
        <w:rPr>
          <w:rFonts w:eastAsia="Times New Roman" w:cstheme="minorHAnsi"/>
          <w:sz w:val="28"/>
          <w:szCs w:val="28"/>
        </w:rPr>
        <w:t xml:space="preserve"> </w:t>
      </w:r>
      <w:r w:rsidR="00870C8C" w:rsidRPr="00241F83">
        <w:rPr>
          <w:rFonts w:eastAsia="Times New Roman" w:cstheme="minorHAnsi"/>
          <w:color w:val="000000"/>
          <w:sz w:val="24"/>
          <w:szCs w:val="24"/>
        </w:rPr>
        <w:t xml:space="preserve">If concerns </w:t>
      </w:r>
      <w:r w:rsidR="0059478F" w:rsidRPr="00241F83">
        <w:rPr>
          <w:rFonts w:eastAsia="Times New Roman" w:cstheme="minorHAnsi"/>
          <w:color w:val="000000"/>
          <w:sz w:val="24"/>
          <w:szCs w:val="24"/>
        </w:rPr>
        <w:t>pertaining to</w:t>
      </w:r>
      <w:r w:rsidR="00870C8C" w:rsidRPr="00241F83">
        <w:rPr>
          <w:rFonts w:eastAsia="Times New Roman" w:cstheme="minorHAnsi"/>
          <w:color w:val="000000"/>
          <w:sz w:val="24"/>
          <w:szCs w:val="24"/>
        </w:rPr>
        <w:t xml:space="preserve"> social determinants of health are identified prior to the procedure, staff will provide the patient referral resources and notify the patient’s primary care provider</w:t>
      </w:r>
      <w:r w:rsidR="00ED0236" w:rsidRPr="00241F83">
        <w:rPr>
          <w:rFonts w:eastAsia="Times New Roman" w:cstheme="minorHAnsi"/>
          <w:color w:val="000000"/>
          <w:sz w:val="24"/>
          <w:szCs w:val="24"/>
        </w:rPr>
        <w:t xml:space="preserve"> (PCP)</w:t>
      </w:r>
      <w:r w:rsidR="00870C8C" w:rsidRPr="00241F83">
        <w:rPr>
          <w:rFonts w:eastAsia="Times New Roman" w:cstheme="minorHAnsi"/>
          <w:color w:val="000000"/>
          <w:sz w:val="24"/>
          <w:szCs w:val="24"/>
        </w:rPr>
        <w:t xml:space="preserve"> as appropriate.</w:t>
      </w:r>
    </w:p>
    <w:p w14:paraId="540E282E" w14:textId="77777777" w:rsidR="00BA1D92" w:rsidRPr="00241F83" w:rsidRDefault="00BA1D92" w:rsidP="00EA38CA">
      <w:pPr>
        <w:spacing w:after="0" w:line="240" w:lineRule="auto"/>
        <w:contextualSpacing/>
        <w:rPr>
          <w:rFonts w:cstheme="minorHAnsi"/>
          <w:b/>
          <w:sz w:val="24"/>
          <w:szCs w:val="24"/>
        </w:rPr>
      </w:pPr>
      <w:bookmarkStart w:id="32" w:name="_Toc17149377"/>
      <w:bookmarkStart w:id="33" w:name="_Toc17151181"/>
    </w:p>
    <w:p w14:paraId="472D0D71" w14:textId="2504F017" w:rsidR="00645369" w:rsidRPr="00241F83" w:rsidRDefault="00645369" w:rsidP="00EA38CA">
      <w:pPr>
        <w:spacing w:after="0" w:line="240" w:lineRule="auto"/>
        <w:contextualSpacing/>
        <w:rPr>
          <w:rFonts w:cstheme="minorHAnsi"/>
          <w:b/>
          <w:i/>
          <w:sz w:val="24"/>
          <w:szCs w:val="24"/>
        </w:rPr>
      </w:pPr>
      <w:r w:rsidRPr="00241F83">
        <w:rPr>
          <w:rFonts w:cstheme="minorHAnsi"/>
          <w:b/>
          <w:i/>
          <w:sz w:val="24"/>
          <w:szCs w:val="24"/>
        </w:rPr>
        <w:t>Analysis</w:t>
      </w:r>
      <w:r w:rsidR="00BA1D92" w:rsidRPr="00241F83">
        <w:rPr>
          <w:rFonts w:cstheme="minorHAnsi"/>
          <w:b/>
          <w:i/>
          <w:sz w:val="24"/>
          <w:szCs w:val="24"/>
        </w:rPr>
        <w:t xml:space="preserve"> </w:t>
      </w:r>
    </w:p>
    <w:p w14:paraId="79530F1E" w14:textId="2B4216CE" w:rsidR="00BA1D92" w:rsidRPr="00241F83" w:rsidRDefault="006E470C" w:rsidP="0051081A">
      <w:pPr>
        <w:spacing w:after="0" w:line="240" w:lineRule="auto"/>
        <w:rPr>
          <w:rFonts w:cstheme="minorHAnsi"/>
          <w:bCs/>
          <w:iCs/>
          <w:sz w:val="24"/>
          <w:szCs w:val="24"/>
        </w:rPr>
      </w:pPr>
      <w:r w:rsidRPr="00241F83">
        <w:rPr>
          <w:rFonts w:cstheme="minorHAnsi"/>
          <w:bCs/>
          <w:iCs/>
          <w:sz w:val="24"/>
          <w:szCs w:val="24"/>
        </w:rPr>
        <w:t xml:space="preserve">Access to </w:t>
      </w:r>
      <w:r w:rsidR="00D8623A" w:rsidRPr="00241F83">
        <w:rPr>
          <w:rFonts w:cstheme="minorHAnsi"/>
          <w:bCs/>
          <w:iCs/>
          <w:sz w:val="24"/>
          <w:szCs w:val="24"/>
        </w:rPr>
        <w:t xml:space="preserve">affordable </w:t>
      </w:r>
      <w:r w:rsidRPr="00241F83">
        <w:rPr>
          <w:rFonts w:cstheme="minorHAnsi"/>
          <w:bCs/>
          <w:iCs/>
          <w:sz w:val="24"/>
          <w:szCs w:val="24"/>
        </w:rPr>
        <w:t>health</w:t>
      </w:r>
      <w:r w:rsidR="00D8623A" w:rsidRPr="00241F83">
        <w:rPr>
          <w:rFonts w:cstheme="minorHAnsi"/>
          <w:bCs/>
          <w:iCs/>
          <w:sz w:val="24"/>
          <w:szCs w:val="24"/>
        </w:rPr>
        <w:t xml:space="preserve"> services</w:t>
      </w:r>
      <w:r w:rsidRPr="00241F83">
        <w:rPr>
          <w:rFonts w:cstheme="minorHAnsi"/>
          <w:bCs/>
          <w:iCs/>
          <w:sz w:val="24"/>
          <w:szCs w:val="24"/>
        </w:rPr>
        <w:t xml:space="preserve"> is associated with improved outcomes and can reduce the need for additional care.</w:t>
      </w:r>
      <w:r w:rsidRPr="00241F83">
        <w:rPr>
          <w:rStyle w:val="EndnoteReference"/>
          <w:rFonts w:cstheme="minorHAnsi"/>
          <w:bCs/>
          <w:iCs/>
          <w:sz w:val="24"/>
          <w:szCs w:val="24"/>
        </w:rPr>
        <w:endnoteReference w:id="12"/>
      </w:r>
      <w:r w:rsidRPr="00241F83">
        <w:rPr>
          <w:rFonts w:cstheme="minorHAnsi"/>
          <w:bCs/>
          <w:iCs/>
          <w:sz w:val="24"/>
          <w:szCs w:val="24"/>
          <w:vertAlign w:val="superscript"/>
        </w:rPr>
        <w:t>,</w:t>
      </w:r>
      <w:r w:rsidRPr="00241F83">
        <w:rPr>
          <w:rStyle w:val="EndnoteReference"/>
          <w:rFonts w:cstheme="minorHAnsi"/>
          <w:bCs/>
          <w:iCs/>
          <w:sz w:val="24"/>
          <w:szCs w:val="24"/>
        </w:rPr>
        <w:endnoteReference w:id="13"/>
      </w:r>
      <w:r w:rsidRPr="00241F83">
        <w:rPr>
          <w:rFonts w:cstheme="minorHAnsi"/>
          <w:bCs/>
          <w:iCs/>
          <w:sz w:val="24"/>
          <w:szCs w:val="24"/>
        </w:rPr>
        <w:t xml:space="preserve"> </w:t>
      </w:r>
      <w:bookmarkStart w:id="34" w:name="_Hlk55729461"/>
      <w:r w:rsidR="00E074C8" w:rsidRPr="00241F83">
        <w:rPr>
          <w:rFonts w:cstheme="minorHAnsi"/>
          <w:bCs/>
          <w:iCs/>
          <w:sz w:val="24"/>
          <w:szCs w:val="24"/>
        </w:rPr>
        <w:t xml:space="preserve">Additionally, </w:t>
      </w:r>
      <w:r w:rsidR="0059478F" w:rsidRPr="00241F83">
        <w:rPr>
          <w:rFonts w:cstheme="minorHAnsi"/>
          <w:bCs/>
          <w:sz w:val="24"/>
          <w:szCs w:val="24"/>
        </w:rPr>
        <w:t xml:space="preserve">the literature suggests </w:t>
      </w:r>
      <w:r w:rsidR="00FC7AA0" w:rsidRPr="00241F83">
        <w:rPr>
          <w:rFonts w:cstheme="minorHAnsi"/>
          <w:bCs/>
          <w:sz w:val="24"/>
          <w:szCs w:val="24"/>
        </w:rPr>
        <w:t xml:space="preserve">that </w:t>
      </w:r>
      <w:r w:rsidR="00AE382F" w:rsidRPr="00241F83">
        <w:rPr>
          <w:rFonts w:cstheme="minorHAnsi"/>
          <w:bCs/>
          <w:sz w:val="24"/>
          <w:szCs w:val="24"/>
        </w:rPr>
        <w:t>surgeries performed in an ASC outpatient setting can result in fewer and lower infection rates than hospitals.</w:t>
      </w:r>
      <w:r w:rsidR="00AE382F" w:rsidRPr="00241F83">
        <w:rPr>
          <w:rStyle w:val="EndnoteReference"/>
          <w:rFonts w:cstheme="minorHAnsi"/>
          <w:bCs/>
          <w:sz w:val="24"/>
          <w:szCs w:val="24"/>
        </w:rPr>
        <w:endnoteReference w:id="14"/>
      </w:r>
      <w:r w:rsidR="00AE382F" w:rsidRPr="00241F83">
        <w:rPr>
          <w:rFonts w:cstheme="minorHAnsi"/>
          <w:bCs/>
          <w:sz w:val="24"/>
          <w:szCs w:val="24"/>
          <w:vertAlign w:val="superscript"/>
        </w:rPr>
        <w:t>,</w:t>
      </w:r>
      <w:r w:rsidR="00AE382F" w:rsidRPr="00241F83">
        <w:rPr>
          <w:rStyle w:val="EndnoteReference"/>
          <w:rFonts w:cstheme="minorHAnsi"/>
          <w:bCs/>
          <w:sz w:val="24"/>
          <w:szCs w:val="24"/>
        </w:rPr>
        <w:endnoteReference w:id="15"/>
      </w:r>
      <w:r w:rsidR="00AE382F" w:rsidRPr="00241F83">
        <w:rPr>
          <w:rFonts w:cstheme="minorHAnsi"/>
          <w:bCs/>
          <w:sz w:val="24"/>
          <w:szCs w:val="24"/>
        </w:rPr>
        <w:t xml:space="preserve"> </w:t>
      </w:r>
      <w:r w:rsidR="00851760" w:rsidRPr="00241F83">
        <w:rPr>
          <w:rFonts w:cstheme="minorHAnsi"/>
          <w:bCs/>
          <w:iCs/>
          <w:sz w:val="24"/>
          <w:szCs w:val="24"/>
        </w:rPr>
        <w:t xml:space="preserve">ASCs are regulated to ensure the delivery of quality care, and </w:t>
      </w:r>
      <w:r w:rsidR="00D8623A" w:rsidRPr="00241F83">
        <w:rPr>
          <w:rFonts w:cstheme="minorHAnsi"/>
          <w:bCs/>
          <w:iCs/>
          <w:sz w:val="24"/>
          <w:szCs w:val="24"/>
        </w:rPr>
        <w:t>BOSC</w:t>
      </w:r>
      <w:r w:rsidR="00A23FCE" w:rsidRPr="00241F83">
        <w:rPr>
          <w:rFonts w:cstheme="minorHAnsi"/>
          <w:bCs/>
          <w:iCs/>
          <w:sz w:val="24"/>
          <w:szCs w:val="24"/>
        </w:rPr>
        <w:t xml:space="preserve"> </w:t>
      </w:r>
      <w:r w:rsidR="00851760" w:rsidRPr="00241F83">
        <w:rPr>
          <w:rFonts w:cstheme="minorHAnsi"/>
          <w:bCs/>
          <w:iCs/>
          <w:sz w:val="24"/>
          <w:szCs w:val="24"/>
        </w:rPr>
        <w:t>cited</w:t>
      </w:r>
      <w:r w:rsidR="00A23FCE" w:rsidRPr="00241F83">
        <w:rPr>
          <w:rFonts w:cstheme="minorHAnsi"/>
          <w:bCs/>
          <w:iCs/>
          <w:sz w:val="24"/>
          <w:szCs w:val="24"/>
        </w:rPr>
        <w:t xml:space="preserve"> reporting processes </w:t>
      </w:r>
      <w:r w:rsidR="00EE2C3E" w:rsidRPr="00241F83">
        <w:rPr>
          <w:rFonts w:cstheme="minorHAnsi"/>
          <w:bCs/>
          <w:iCs/>
          <w:sz w:val="24"/>
          <w:szCs w:val="24"/>
        </w:rPr>
        <w:t>that assess</w:t>
      </w:r>
      <w:r w:rsidR="00A23FCE" w:rsidRPr="00241F83">
        <w:rPr>
          <w:rFonts w:cstheme="minorHAnsi"/>
          <w:bCs/>
          <w:iCs/>
          <w:sz w:val="24"/>
          <w:szCs w:val="24"/>
        </w:rPr>
        <w:t xml:space="preserve"> quality of care, patient satisfaction</w:t>
      </w:r>
      <w:r w:rsidR="0059478F" w:rsidRPr="00241F83">
        <w:rPr>
          <w:rFonts w:cstheme="minorHAnsi"/>
          <w:bCs/>
          <w:iCs/>
          <w:sz w:val="24"/>
          <w:szCs w:val="24"/>
        </w:rPr>
        <w:t>,</w:t>
      </w:r>
      <w:r w:rsidR="00A23FCE" w:rsidRPr="00241F83">
        <w:rPr>
          <w:rFonts w:cstheme="minorHAnsi"/>
          <w:bCs/>
          <w:iCs/>
          <w:sz w:val="24"/>
          <w:szCs w:val="24"/>
        </w:rPr>
        <w:t xml:space="preserve"> and outcomes</w:t>
      </w:r>
      <w:r w:rsidR="00BA1D92" w:rsidRPr="00241F83">
        <w:rPr>
          <w:rFonts w:cstheme="minorHAnsi"/>
          <w:bCs/>
          <w:iCs/>
          <w:sz w:val="24"/>
          <w:szCs w:val="24"/>
        </w:rPr>
        <w:t xml:space="preserve">. </w:t>
      </w:r>
      <w:r w:rsidR="00BD4621" w:rsidRPr="00241F83">
        <w:rPr>
          <w:rFonts w:cstheme="minorHAnsi"/>
          <w:bCs/>
          <w:iCs/>
          <w:sz w:val="24"/>
          <w:szCs w:val="24"/>
        </w:rPr>
        <w:t>By presenting information on the facility’s relative prices, the projected increase in demand for its services, it</w:t>
      </w:r>
      <w:r w:rsidR="00BA1D92" w:rsidRPr="00241F83">
        <w:rPr>
          <w:rFonts w:cstheme="minorHAnsi"/>
          <w:bCs/>
          <w:iCs/>
          <w:sz w:val="24"/>
          <w:szCs w:val="24"/>
        </w:rPr>
        <w:t xml:space="preserve">s </w:t>
      </w:r>
      <w:r w:rsidR="00256382" w:rsidRPr="00241F83">
        <w:rPr>
          <w:rFonts w:cstheme="minorHAnsi"/>
          <w:bCs/>
          <w:iCs/>
          <w:sz w:val="24"/>
          <w:szCs w:val="24"/>
        </w:rPr>
        <w:t xml:space="preserve">planned </w:t>
      </w:r>
      <w:r w:rsidR="00BA1D92" w:rsidRPr="00241F83">
        <w:rPr>
          <w:rFonts w:cstheme="minorHAnsi"/>
          <w:bCs/>
          <w:iCs/>
          <w:sz w:val="24"/>
          <w:szCs w:val="24"/>
        </w:rPr>
        <w:t xml:space="preserve">interpreter services, </w:t>
      </w:r>
      <w:r w:rsidR="00BD4621" w:rsidRPr="00241F83">
        <w:rPr>
          <w:rFonts w:cstheme="minorHAnsi"/>
          <w:bCs/>
          <w:iCs/>
          <w:sz w:val="24"/>
          <w:szCs w:val="24"/>
        </w:rPr>
        <w:t xml:space="preserve">and its </w:t>
      </w:r>
      <w:r w:rsidR="00BA1D92" w:rsidRPr="00241F83">
        <w:rPr>
          <w:rFonts w:cstheme="minorHAnsi"/>
          <w:bCs/>
          <w:iCs/>
          <w:sz w:val="24"/>
          <w:szCs w:val="24"/>
        </w:rPr>
        <w:t xml:space="preserve">social needs screening, staff finds that the </w:t>
      </w:r>
      <w:r w:rsidR="00D33E4C" w:rsidRPr="00241F83">
        <w:rPr>
          <w:rFonts w:cstheme="minorHAnsi"/>
          <w:bCs/>
          <w:iCs/>
          <w:sz w:val="24"/>
          <w:szCs w:val="24"/>
        </w:rPr>
        <w:t>Applicant</w:t>
      </w:r>
      <w:r w:rsidR="00BA1D92" w:rsidRPr="00241F83">
        <w:rPr>
          <w:rFonts w:cstheme="minorHAnsi"/>
          <w:bCs/>
          <w:iCs/>
          <w:sz w:val="24"/>
          <w:szCs w:val="24"/>
        </w:rPr>
        <w:t xml:space="preserve"> has sufficiently outlined, at </w:t>
      </w:r>
      <w:r w:rsidR="00BA1D92" w:rsidRPr="00241F83">
        <w:rPr>
          <w:rFonts w:cstheme="minorHAnsi"/>
          <w:bCs/>
          <w:iCs/>
          <w:sz w:val="24"/>
          <w:szCs w:val="24"/>
        </w:rPr>
        <w:lastRenderedPageBreak/>
        <w:t>a high level, a case for improved health outcomes</w:t>
      </w:r>
      <w:r w:rsidR="00256382" w:rsidRPr="00241F83">
        <w:rPr>
          <w:rFonts w:cstheme="minorHAnsi"/>
          <w:bCs/>
          <w:iCs/>
          <w:sz w:val="24"/>
          <w:szCs w:val="24"/>
        </w:rPr>
        <w:t xml:space="preserve">, public health value, </w:t>
      </w:r>
      <w:r w:rsidR="00BA1D92" w:rsidRPr="00241F83">
        <w:rPr>
          <w:rFonts w:cstheme="minorHAnsi"/>
          <w:bCs/>
          <w:iCs/>
          <w:sz w:val="24"/>
          <w:szCs w:val="24"/>
        </w:rPr>
        <w:t>reasonable assurances of health equity</w:t>
      </w:r>
      <w:r w:rsidR="00256382" w:rsidRPr="00241F83">
        <w:rPr>
          <w:rFonts w:cstheme="minorHAnsi"/>
          <w:bCs/>
          <w:iCs/>
          <w:sz w:val="24"/>
          <w:szCs w:val="24"/>
        </w:rPr>
        <w:t>,</w:t>
      </w:r>
      <w:r w:rsidR="00BA1D92" w:rsidRPr="00241F83">
        <w:rPr>
          <w:rFonts w:cstheme="minorHAnsi"/>
          <w:bCs/>
          <w:iCs/>
          <w:sz w:val="24"/>
          <w:szCs w:val="24"/>
        </w:rPr>
        <w:t xml:space="preserve"> and access to care.</w:t>
      </w:r>
      <w:bookmarkStart w:id="35" w:name="_Toc18922409"/>
      <w:bookmarkStart w:id="36" w:name="_Toc29755681"/>
      <w:bookmarkStart w:id="37" w:name="_Toc58960215"/>
      <w:bookmarkStart w:id="38" w:name="_Toc17151150"/>
      <w:bookmarkStart w:id="39" w:name="_Toc17322394"/>
      <w:bookmarkEnd w:id="32"/>
      <w:bookmarkEnd w:id="33"/>
      <w:bookmarkEnd w:id="34"/>
    </w:p>
    <w:p w14:paraId="4CDAB4D9" w14:textId="7A78D273" w:rsidR="00BA1D92" w:rsidRPr="00241F83" w:rsidRDefault="00BA1D92" w:rsidP="00BA1D92">
      <w:pPr>
        <w:rPr>
          <w:rFonts w:cstheme="minorHAnsi"/>
        </w:rPr>
      </w:pPr>
    </w:p>
    <w:p w14:paraId="62B15680" w14:textId="7642BCD4" w:rsidR="00BB7B4F" w:rsidRPr="00241F83" w:rsidRDefault="006B5808" w:rsidP="00EA38CA">
      <w:pPr>
        <w:pStyle w:val="Heading2"/>
        <w:spacing w:line="240" w:lineRule="auto"/>
        <w:rPr>
          <w:rFonts w:asciiTheme="minorHAnsi" w:hAnsiTheme="minorHAnsi" w:cstheme="minorHAnsi"/>
          <w:color w:val="42558C" w:themeColor="accent1" w:themeShade="BF"/>
          <w:sz w:val="28"/>
          <w:szCs w:val="28"/>
        </w:rPr>
      </w:pPr>
      <w:r w:rsidRPr="00241F83">
        <w:rPr>
          <w:rFonts w:asciiTheme="minorHAnsi" w:hAnsiTheme="minorHAnsi" w:cstheme="minorHAnsi"/>
          <w:color w:val="42558C" w:themeColor="accent1" w:themeShade="BF"/>
          <w:sz w:val="28"/>
          <w:szCs w:val="28"/>
        </w:rPr>
        <w:t>F</w:t>
      </w:r>
      <w:r w:rsidR="00BB7B4F" w:rsidRPr="00241F83">
        <w:rPr>
          <w:rFonts w:asciiTheme="minorHAnsi" w:hAnsiTheme="minorHAnsi" w:cstheme="minorHAnsi"/>
          <w:color w:val="42558C" w:themeColor="accent1" w:themeShade="BF"/>
          <w:sz w:val="28"/>
          <w:szCs w:val="28"/>
        </w:rPr>
        <w:t>actor 1: c) Efficiency, Continuity of Care, Coordination of Care</w:t>
      </w:r>
      <w:bookmarkStart w:id="40" w:name="_Toc17322393"/>
      <w:bookmarkStart w:id="41" w:name="_Toc17748465"/>
      <w:bookmarkEnd w:id="35"/>
      <w:bookmarkEnd w:id="36"/>
      <w:bookmarkEnd w:id="37"/>
    </w:p>
    <w:bookmarkEnd w:id="40"/>
    <w:bookmarkEnd w:id="41"/>
    <w:p w14:paraId="7983F482" w14:textId="201E37AE" w:rsidR="0051081A" w:rsidRPr="00241F83" w:rsidRDefault="00DF1900" w:rsidP="00241F83">
      <w:pPr>
        <w:spacing w:after="120" w:line="240" w:lineRule="auto"/>
        <w:ind w:right="547"/>
        <w:rPr>
          <w:rFonts w:cstheme="minorHAnsi"/>
          <w:bCs/>
          <w:sz w:val="24"/>
          <w:szCs w:val="24"/>
        </w:rPr>
      </w:pPr>
      <w:r w:rsidRPr="00241F83">
        <w:rPr>
          <w:rFonts w:cstheme="minorHAnsi"/>
          <w:bCs/>
          <w:sz w:val="24"/>
          <w:szCs w:val="24"/>
        </w:rPr>
        <w:t xml:space="preserve">The </w:t>
      </w:r>
      <w:r w:rsidR="00D33E4C" w:rsidRPr="00241F83">
        <w:rPr>
          <w:rFonts w:cstheme="minorHAnsi"/>
          <w:bCs/>
          <w:sz w:val="24"/>
          <w:szCs w:val="24"/>
        </w:rPr>
        <w:t>Applicant</w:t>
      </w:r>
      <w:r w:rsidRPr="00241F83">
        <w:rPr>
          <w:rFonts w:cstheme="minorHAnsi"/>
          <w:bCs/>
          <w:sz w:val="24"/>
          <w:szCs w:val="24"/>
        </w:rPr>
        <w:t xml:space="preserve"> described care coordination processes between its patients, their PCP, the surgeon’s office, and BOSC both before and after surgery:</w:t>
      </w:r>
    </w:p>
    <w:p w14:paraId="546BAF8F" w14:textId="47FE8C25" w:rsidR="00DF1900" w:rsidRPr="00241F83" w:rsidRDefault="00DF1900" w:rsidP="00241F83">
      <w:pPr>
        <w:pStyle w:val="ListParagraph"/>
        <w:numPr>
          <w:ilvl w:val="0"/>
          <w:numId w:val="19"/>
        </w:numPr>
        <w:spacing w:after="120" w:line="240" w:lineRule="auto"/>
        <w:ind w:right="547"/>
        <w:contextualSpacing w:val="0"/>
        <w:rPr>
          <w:rFonts w:cstheme="minorHAnsi"/>
          <w:bCs/>
          <w:sz w:val="24"/>
          <w:szCs w:val="24"/>
        </w:rPr>
      </w:pPr>
      <w:r w:rsidRPr="00241F83">
        <w:rPr>
          <w:rFonts w:cstheme="minorHAnsi"/>
          <w:bCs/>
          <w:sz w:val="24"/>
          <w:szCs w:val="24"/>
          <w:u w:val="single"/>
        </w:rPr>
        <w:t>Patient questionnaire</w:t>
      </w:r>
      <w:r w:rsidR="002C432F">
        <w:rPr>
          <w:rFonts w:cstheme="minorHAnsi"/>
          <w:bCs/>
          <w:sz w:val="24"/>
          <w:szCs w:val="24"/>
          <w:u w:val="single"/>
        </w:rPr>
        <w:t xml:space="preserve"> </w:t>
      </w:r>
      <w:r w:rsidR="002C432F" w:rsidRPr="00241F83">
        <w:rPr>
          <w:rFonts w:cstheme="minorHAnsi"/>
          <w:bCs/>
          <w:sz w:val="24"/>
          <w:szCs w:val="24"/>
          <w:u w:val="single"/>
        </w:rPr>
        <w:t>(pre-surgery)</w:t>
      </w:r>
      <w:r w:rsidRPr="00241F83">
        <w:rPr>
          <w:rFonts w:cstheme="minorHAnsi"/>
          <w:bCs/>
          <w:sz w:val="24"/>
          <w:szCs w:val="24"/>
        </w:rPr>
        <w:t xml:space="preserve">: The </w:t>
      </w:r>
      <w:r w:rsidR="00D33E4C" w:rsidRPr="00241F83">
        <w:rPr>
          <w:rFonts w:cstheme="minorHAnsi"/>
          <w:bCs/>
          <w:sz w:val="24"/>
          <w:szCs w:val="24"/>
        </w:rPr>
        <w:t>Applicant</w:t>
      </w:r>
      <w:r w:rsidRPr="00241F83">
        <w:rPr>
          <w:rFonts w:cstheme="minorHAnsi"/>
          <w:bCs/>
          <w:sz w:val="24"/>
          <w:szCs w:val="24"/>
        </w:rPr>
        <w:t xml:space="preserve"> notes that</w:t>
      </w:r>
      <w:r w:rsidR="00AE101B">
        <w:rPr>
          <w:rFonts w:cstheme="minorHAnsi"/>
          <w:bCs/>
          <w:sz w:val="24"/>
          <w:szCs w:val="24"/>
        </w:rPr>
        <w:t xml:space="preserve"> during a pre-surgery office visit,</w:t>
      </w:r>
      <w:r w:rsidRPr="00241F83">
        <w:rPr>
          <w:rFonts w:cstheme="minorHAnsi"/>
          <w:bCs/>
          <w:sz w:val="24"/>
          <w:szCs w:val="24"/>
        </w:rPr>
        <w:t xml:space="preserve"> all patients </w:t>
      </w:r>
      <w:r w:rsidR="004619ED">
        <w:rPr>
          <w:rFonts w:cstheme="minorHAnsi"/>
          <w:bCs/>
          <w:sz w:val="24"/>
          <w:szCs w:val="24"/>
        </w:rPr>
        <w:t xml:space="preserve">are required to </w:t>
      </w:r>
      <w:r w:rsidRPr="00241F83">
        <w:rPr>
          <w:rFonts w:cstheme="minorHAnsi"/>
          <w:bCs/>
          <w:sz w:val="24"/>
          <w:szCs w:val="24"/>
        </w:rPr>
        <w:t>fill out a questionnaire regarding their recovery</w:t>
      </w:r>
      <w:r w:rsidR="00D4346E">
        <w:rPr>
          <w:rFonts w:cstheme="minorHAnsi"/>
          <w:bCs/>
          <w:sz w:val="24"/>
          <w:szCs w:val="24"/>
        </w:rPr>
        <w:t xml:space="preserve"> needs</w:t>
      </w:r>
      <w:r w:rsidR="00AE101B">
        <w:rPr>
          <w:rFonts w:cstheme="minorHAnsi"/>
          <w:bCs/>
          <w:sz w:val="24"/>
          <w:szCs w:val="24"/>
        </w:rPr>
        <w:t>.</w:t>
      </w:r>
      <w:r w:rsidR="00AE101B" w:rsidRPr="00241F83">
        <w:rPr>
          <w:rFonts w:cstheme="minorHAnsi"/>
          <w:bCs/>
          <w:sz w:val="24"/>
          <w:szCs w:val="24"/>
        </w:rPr>
        <w:t xml:space="preserve"> </w:t>
      </w:r>
      <w:r w:rsidRPr="00241F83">
        <w:rPr>
          <w:rFonts w:cstheme="minorHAnsi"/>
          <w:bCs/>
          <w:sz w:val="24"/>
          <w:szCs w:val="24"/>
        </w:rPr>
        <w:t>The questionnaire will cover topics including experience from previous surgeries (</w:t>
      </w:r>
      <w:r w:rsidRPr="00241F83">
        <w:rPr>
          <w:rFonts w:cstheme="minorHAnsi"/>
          <w:bCs/>
          <w:i/>
          <w:iCs/>
          <w:sz w:val="24"/>
          <w:szCs w:val="24"/>
        </w:rPr>
        <w:t>e.g</w:t>
      </w:r>
      <w:r w:rsidRPr="00241F83">
        <w:rPr>
          <w:rFonts w:cstheme="minorHAnsi"/>
          <w:bCs/>
          <w:sz w:val="24"/>
          <w:szCs w:val="24"/>
        </w:rPr>
        <w:t>., reactions from anesthesia), health history (including bleeding disorders, deep vein thrombosis/pulmonary embolisms, and past illnesses and treatments), post-surgery plans (</w:t>
      </w:r>
      <w:r w:rsidRPr="00241F83">
        <w:rPr>
          <w:rFonts w:cstheme="minorHAnsi"/>
          <w:bCs/>
          <w:i/>
          <w:iCs/>
          <w:sz w:val="24"/>
          <w:szCs w:val="24"/>
        </w:rPr>
        <w:t xml:space="preserve">e.g., </w:t>
      </w:r>
      <w:r w:rsidRPr="00241F83">
        <w:rPr>
          <w:rFonts w:cstheme="minorHAnsi"/>
          <w:bCs/>
          <w:sz w:val="24"/>
          <w:szCs w:val="24"/>
        </w:rPr>
        <w:t>who is escorting the patient home), domestic violence concerns, health care proxy issues, and the preferred language of the patient. The nurse and the anesthesia provider will review this questionnaire before surgery; any questions will be addressed with the patient before the surgery date.</w:t>
      </w:r>
    </w:p>
    <w:p w14:paraId="423AD1F2" w14:textId="087C3CD1" w:rsidR="00DF1900" w:rsidRPr="00241F83" w:rsidRDefault="00DF1900" w:rsidP="00241F83">
      <w:pPr>
        <w:pStyle w:val="ListParagraph"/>
        <w:numPr>
          <w:ilvl w:val="0"/>
          <w:numId w:val="19"/>
        </w:numPr>
        <w:spacing w:after="120" w:line="240" w:lineRule="auto"/>
        <w:ind w:right="547"/>
        <w:contextualSpacing w:val="0"/>
        <w:rPr>
          <w:rFonts w:cstheme="minorHAnsi"/>
          <w:bCs/>
          <w:sz w:val="24"/>
          <w:szCs w:val="24"/>
        </w:rPr>
      </w:pPr>
      <w:r w:rsidRPr="00241F83">
        <w:rPr>
          <w:rFonts w:cstheme="minorHAnsi"/>
          <w:bCs/>
          <w:sz w:val="24"/>
          <w:szCs w:val="24"/>
          <w:u w:val="single"/>
        </w:rPr>
        <w:t>PCP coordination (pre-surgery)</w:t>
      </w:r>
      <w:r w:rsidRPr="00241F83">
        <w:rPr>
          <w:rFonts w:cstheme="minorHAnsi"/>
          <w:bCs/>
          <w:sz w:val="24"/>
          <w:szCs w:val="24"/>
        </w:rPr>
        <w:t xml:space="preserve">: According to the </w:t>
      </w:r>
      <w:r w:rsidR="00D33E4C" w:rsidRPr="00241F83">
        <w:rPr>
          <w:rFonts w:cstheme="minorHAnsi"/>
          <w:bCs/>
          <w:sz w:val="24"/>
          <w:szCs w:val="24"/>
        </w:rPr>
        <w:t>Applicant</w:t>
      </w:r>
      <w:r w:rsidRPr="00241F83">
        <w:rPr>
          <w:rFonts w:cstheme="minorHAnsi"/>
          <w:bCs/>
          <w:sz w:val="24"/>
          <w:szCs w:val="24"/>
        </w:rPr>
        <w:t>, the surgeon’s office will contact the patient’s PCP to discuss the surgery and any items requiring a follow-up from the patient’s questionnaire. BOSC will use an EHR to facilitate this coordination.</w:t>
      </w:r>
      <w:r w:rsidRPr="00241F83">
        <w:rPr>
          <w:rStyle w:val="FootnoteReference"/>
          <w:rFonts w:cstheme="minorHAnsi"/>
          <w:bCs/>
          <w:sz w:val="24"/>
          <w:szCs w:val="24"/>
        </w:rPr>
        <w:footnoteReference w:id="6"/>
      </w:r>
    </w:p>
    <w:p w14:paraId="65951850" w14:textId="49676121" w:rsidR="00DF1900" w:rsidRPr="00241F83" w:rsidRDefault="00DF1900" w:rsidP="00241F83">
      <w:pPr>
        <w:pStyle w:val="ListParagraph"/>
        <w:numPr>
          <w:ilvl w:val="0"/>
          <w:numId w:val="19"/>
        </w:numPr>
        <w:spacing w:after="120" w:line="240" w:lineRule="auto"/>
        <w:ind w:right="547"/>
        <w:contextualSpacing w:val="0"/>
        <w:rPr>
          <w:rFonts w:cstheme="minorHAnsi"/>
          <w:bCs/>
          <w:sz w:val="24"/>
          <w:szCs w:val="24"/>
        </w:rPr>
      </w:pPr>
      <w:r w:rsidRPr="00241F83">
        <w:rPr>
          <w:rFonts w:cstheme="minorHAnsi"/>
          <w:bCs/>
          <w:sz w:val="24"/>
          <w:szCs w:val="24"/>
          <w:u w:val="single"/>
        </w:rPr>
        <w:t>Billing consultation (pre-surgery)</w:t>
      </w:r>
      <w:r w:rsidRPr="00241F83">
        <w:rPr>
          <w:rFonts w:cstheme="minorHAnsi"/>
          <w:bCs/>
          <w:sz w:val="24"/>
          <w:szCs w:val="24"/>
        </w:rPr>
        <w:t>: Patients are contacted 3-5 days before surgery to discuss out-of-pocket costs and payment options.</w:t>
      </w:r>
      <w:r w:rsidRPr="00241F83">
        <w:rPr>
          <w:rStyle w:val="FootnoteReference"/>
          <w:rFonts w:cstheme="minorHAnsi"/>
          <w:bCs/>
          <w:sz w:val="24"/>
          <w:szCs w:val="24"/>
        </w:rPr>
        <w:footnoteReference w:id="7"/>
      </w:r>
    </w:p>
    <w:p w14:paraId="23D2A861" w14:textId="3C499D61" w:rsidR="00DF1900" w:rsidRPr="00241F83" w:rsidRDefault="00DF1900" w:rsidP="00241F83">
      <w:pPr>
        <w:pStyle w:val="ListParagraph"/>
        <w:numPr>
          <w:ilvl w:val="0"/>
          <w:numId w:val="19"/>
        </w:numPr>
        <w:spacing w:after="120" w:line="240" w:lineRule="auto"/>
        <w:ind w:right="547"/>
        <w:contextualSpacing w:val="0"/>
        <w:rPr>
          <w:rFonts w:cstheme="minorHAnsi"/>
          <w:bCs/>
          <w:sz w:val="24"/>
          <w:szCs w:val="24"/>
        </w:rPr>
      </w:pPr>
      <w:r w:rsidRPr="00241F83">
        <w:rPr>
          <w:rFonts w:cstheme="minorHAnsi"/>
          <w:bCs/>
          <w:sz w:val="24"/>
          <w:szCs w:val="24"/>
          <w:u w:val="single"/>
        </w:rPr>
        <w:t>History and physical (pre-surgery)</w:t>
      </w:r>
      <w:r w:rsidRPr="00241F83">
        <w:rPr>
          <w:rFonts w:cstheme="minorHAnsi"/>
          <w:bCs/>
          <w:sz w:val="24"/>
          <w:szCs w:val="24"/>
        </w:rPr>
        <w:t>: Prior to surgery, all patients must undergo a history and physical, which may be completed at the surgeon’s office or the PCP’s office.</w:t>
      </w:r>
    </w:p>
    <w:p w14:paraId="44BE8342" w14:textId="561CCFD0" w:rsidR="00DF1900" w:rsidRPr="00241F83" w:rsidRDefault="00DF1900" w:rsidP="0051081A">
      <w:pPr>
        <w:pStyle w:val="ListParagraph"/>
        <w:numPr>
          <w:ilvl w:val="0"/>
          <w:numId w:val="19"/>
        </w:numPr>
        <w:spacing w:after="0" w:line="240" w:lineRule="auto"/>
        <w:ind w:right="540"/>
        <w:rPr>
          <w:rFonts w:cstheme="minorHAnsi"/>
          <w:bCs/>
          <w:sz w:val="24"/>
          <w:szCs w:val="24"/>
        </w:rPr>
      </w:pPr>
      <w:r w:rsidRPr="00241F83">
        <w:rPr>
          <w:rFonts w:cstheme="minorHAnsi"/>
          <w:bCs/>
          <w:sz w:val="24"/>
          <w:szCs w:val="24"/>
          <w:u w:val="single"/>
        </w:rPr>
        <w:t>ASC nurse follow-up (post-surgery)</w:t>
      </w:r>
      <w:r w:rsidRPr="00241F83">
        <w:rPr>
          <w:rFonts w:cstheme="minorHAnsi"/>
          <w:bCs/>
          <w:sz w:val="24"/>
          <w:szCs w:val="24"/>
        </w:rPr>
        <w:t xml:space="preserve">: The day after surgery, a nurse from the ASC will call </w:t>
      </w:r>
      <w:r w:rsidR="000F28D2">
        <w:rPr>
          <w:rFonts w:cstheme="minorHAnsi"/>
          <w:bCs/>
          <w:sz w:val="24"/>
          <w:szCs w:val="24"/>
        </w:rPr>
        <w:t>the</w:t>
      </w:r>
      <w:r w:rsidRPr="00241F83">
        <w:rPr>
          <w:rFonts w:cstheme="minorHAnsi"/>
          <w:bCs/>
          <w:sz w:val="24"/>
          <w:szCs w:val="24"/>
        </w:rPr>
        <w:t xml:space="preserve"> patient (using translation services if necessary) to address concerns regarding recovery issues including pain, medication, and </w:t>
      </w:r>
      <w:r w:rsidR="00844BA4" w:rsidRPr="00241F83">
        <w:rPr>
          <w:rFonts w:cstheme="minorHAnsi"/>
          <w:bCs/>
          <w:sz w:val="24"/>
          <w:szCs w:val="24"/>
        </w:rPr>
        <w:t>falls</w:t>
      </w:r>
      <w:r w:rsidRPr="00241F83">
        <w:rPr>
          <w:rFonts w:cstheme="minorHAnsi"/>
          <w:bCs/>
          <w:sz w:val="24"/>
          <w:szCs w:val="24"/>
        </w:rPr>
        <w:t>. Additionally, patients may request a follow-up call with a physician as needed.</w:t>
      </w:r>
    </w:p>
    <w:p w14:paraId="2E50188A" w14:textId="77777777" w:rsidR="00DF1900" w:rsidRPr="00241F83" w:rsidRDefault="00DF1900" w:rsidP="00EA38CA">
      <w:pPr>
        <w:spacing w:after="0" w:line="240" w:lineRule="auto"/>
        <w:ind w:right="540"/>
        <w:contextualSpacing/>
        <w:rPr>
          <w:rFonts w:cstheme="minorHAnsi"/>
          <w:bCs/>
          <w:sz w:val="24"/>
          <w:szCs w:val="24"/>
        </w:rPr>
      </w:pPr>
    </w:p>
    <w:p w14:paraId="7AA2A44A" w14:textId="77777777" w:rsidR="00BB7B4F" w:rsidRPr="00241F83" w:rsidRDefault="00BB7B4F" w:rsidP="00EA38CA">
      <w:pPr>
        <w:spacing w:after="0" w:line="240" w:lineRule="auto"/>
        <w:ind w:right="540"/>
        <w:contextualSpacing/>
        <w:rPr>
          <w:rFonts w:eastAsia="Calibri" w:cstheme="minorHAnsi"/>
          <w:b/>
          <w:i/>
          <w:sz w:val="24"/>
          <w:szCs w:val="24"/>
        </w:rPr>
      </w:pPr>
      <w:r w:rsidRPr="00241F83">
        <w:rPr>
          <w:rFonts w:eastAsia="Calibri" w:cstheme="minorHAnsi"/>
          <w:b/>
          <w:i/>
          <w:sz w:val="24"/>
          <w:szCs w:val="24"/>
        </w:rPr>
        <w:t>Analysis</w:t>
      </w:r>
      <w:r w:rsidR="009F4B50" w:rsidRPr="00241F83">
        <w:rPr>
          <w:rFonts w:eastAsia="Calibri" w:cstheme="minorHAnsi"/>
          <w:b/>
          <w:i/>
          <w:sz w:val="24"/>
          <w:szCs w:val="24"/>
        </w:rPr>
        <w:t xml:space="preserve"> </w:t>
      </w:r>
    </w:p>
    <w:p w14:paraId="4C859CEC" w14:textId="4277951E" w:rsidR="00982130" w:rsidRPr="00241F83" w:rsidRDefault="007B376A" w:rsidP="00EA38CA">
      <w:pPr>
        <w:autoSpaceDE w:val="0"/>
        <w:autoSpaceDN w:val="0"/>
        <w:adjustRightInd w:val="0"/>
        <w:spacing w:after="0" w:line="240" w:lineRule="auto"/>
        <w:contextualSpacing/>
        <w:rPr>
          <w:rFonts w:eastAsia="Calibri" w:cstheme="minorHAnsi"/>
          <w:bCs/>
          <w:sz w:val="24"/>
          <w:szCs w:val="24"/>
        </w:rPr>
      </w:pPr>
      <w:r w:rsidRPr="00241F83">
        <w:rPr>
          <w:rFonts w:cstheme="minorHAnsi"/>
          <w:bCs/>
          <w:sz w:val="24"/>
          <w:szCs w:val="24"/>
        </w:rPr>
        <w:t xml:space="preserve">The </w:t>
      </w:r>
      <w:r w:rsidR="00D33E4C" w:rsidRPr="00241F83">
        <w:rPr>
          <w:rFonts w:cstheme="minorHAnsi"/>
          <w:bCs/>
          <w:sz w:val="24"/>
          <w:szCs w:val="24"/>
        </w:rPr>
        <w:t>Applicant</w:t>
      </w:r>
      <w:r w:rsidRPr="00241F83">
        <w:rPr>
          <w:rFonts w:cstheme="minorHAnsi"/>
          <w:bCs/>
          <w:sz w:val="24"/>
          <w:szCs w:val="24"/>
        </w:rPr>
        <w:t xml:space="preserve"> detailed </w:t>
      </w:r>
      <w:r w:rsidR="00B46FED" w:rsidRPr="00241F83">
        <w:rPr>
          <w:rFonts w:cstheme="minorHAnsi"/>
          <w:bCs/>
          <w:sz w:val="24"/>
          <w:szCs w:val="24"/>
        </w:rPr>
        <w:t>care coordination</w:t>
      </w:r>
      <w:r w:rsidRPr="00241F83">
        <w:rPr>
          <w:rFonts w:cstheme="minorHAnsi"/>
          <w:bCs/>
          <w:sz w:val="24"/>
          <w:szCs w:val="24"/>
        </w:rPr>
        <w:t xml:space="preserve"> and information shar</w:t>
      </w:r>
      <w:r w:rsidR="00B46FED" w:rsidRPr="00241F83">
        <w:rPr>
          <w:rFonts w:cstheme="minorHAnsi"/>
          <w:bCs/>
          <w:sz w:val="24"/>
          <w:szCs w:val="24"/>
        </w:rPr>
        <w:t>ing</w:t>
      </w:r>
      <w:r w:rsidRPr="00241F83">
        <w:rPr>
          <w:rFonts w:cstheme="minorHAnsi"/>
          <w:bCs/>
          <w:sz w:val="24"/>
          <w:szCs w:val="24"/>
        </w:rPr>
        <w:t xml:space="preserve"> </w:t>
      </w:r>
      <w:r w:rsidR="00B46FED" w:rsidRPr="00241F83">
        <w:rPr>
          <w:rFonts w:cstheme="minorHAnsi"/>
          <w:bCs/>
          <w:sz w:val="24"/>
          <w:szCs w:val="24"/>
        </w:rPr>
        <w:t xml:space="preserve">across </w:t>
      </w:r>
      <w:r w:rsidRPr="00241F83">
        <w:rPr>
          <w:rFonts w:cstheme="minorHAnsi"/>
          <w:bCs/>
          <w:sz w:val="24"/>
          <w:szCs w:val="24"/>
        </w:rPr>
        <w:t>different providers.</w:t>
      </w:r>
      <w:r w:rsidR="004256E8" w:rsidRPr="00241F83">
        <w:rPr>
          <w:rFonts w:cstheme="minorHAnsi"/>
          <w:bCs/>
          <w:sz w:val="24"/>
          <w:szCs w:val="24"/>
        </w:rPr>
        <w:t xml:space="preserve"> Additionally, the </w:t>
      </w:r>
      <w:r w:rsidR="00D33E4C" w:rsidRPr="00241F83">
        <w:rPr>
          <w:rFonts w:cstheme="minorHAnsi"/>
          <w:bCs/>
          <w:sz w:val="24"/>
          <w:szCs w:val="24"/>
        </w:rPr>
        <w:t>Applicant</w:t>
      </w:r>
      <w:r w:rsidR="004256E8" w:rsidRPr="00241F83">
        <w:rPr>
          <w:rFonts w:cstheme="minorHAnsi"/>
          <w:bCs/>
          <w:sz w:val="24"/>
          <w:szCs w:val="24"/>
        </w:rPr>
        <w:t xml:space="preserve"> detailed processes for screening patients for recovery issues before surgery and following up with them after surgery.</w:t>
      </w:r>
      <w:r w:rsidRPr="00241F83">
        <w:rPr>
          <w:rFonts w:cstheme="minorHAnsi"/>
          <w:bCs/>
          <w:sz w:val="24"/>
          <w:szCs w:val="24"/>
        </w:rPr>
        <w:t xml:space="preserve"> </w:t>
      </w:r>
      <w:r w:rsidR="009A1AAE" w:rsidRPr="00241F83">
        <w:rPr>
          <w:rFonts w:eastAsia="Calibri" w:cstheme="minorHAnsi"/>
          <w:bCs/>
          <w:sz w:val="24"/>
          <w:szCs w:val="24"/>
        </w:rPr>
        <w:t>Integrated processes are of particular importance in the ASC setting for managing patient referral to different points of care</w:t>
      </w:r>
      <w:r w:rsidR="004E79A4" w:rsidRPr="00241F83">
        <w:rPr>
          <w:rFonts w:eastAsia="Calibri" w:cstheme="minorHAnsi"/>
          <w:bCs/>
          <w:sz w:val="24"/>
          <w:szCs w:val="24"/>
        </w:rPr>
        <w:t>.</w:t>
      </w:r>
      <w:r w:rsidR="00AD15E9" w:rsidRPr="00241F83">
        <w:rPr>
          <w:rStyle w:val="EndnoteReference"/>
          <w:rFonts w:eastAsia="Calibri" w:cstheme="minorHAnsi"/>
          <w:bCs/>
          <w:sz w:val="24"/>
          <w:szCs w:val="24"/>
        </w:rPr>
        <w:endnoteReference w:id="16"/>
      </w:r>
      <w:r w:rsidR="009A1AAE" w:rsidRPr="00241F83">
        <w:rPr>
          <w:rFonts w:eastAsia="Calibri" w:cstheme="minorHAnsi"/>
          <w:bCs/>
          <w:sz w:val="24"/>
          <w:szCs w:val="24"/>
        </w:rPr>
        <w:t xml:space="preserve"> EHR adoption in ASCs has been slow</w:t>
      </w:r>
      <w:r w:rsidR="000959E1" w:rsidRPr="00241F83">
        <w:rPr>
          <w:rFonts w:eastAsia="Calibri" w:cstheme="minorHAnsi"/>
          <w:bCs/>
          <w:sz w:val="24"/>
          <w:szCs w:val="24"/>
        </w:rPr>
        <w:t xml:space="preserve"> and the high expense of the systems is one reason cited</w:t>
      </w:r>
      <w:r w:rsidR="009A1AAE" w:rsidRPr="00241F83">
        <w:rPr>
          <w:rFonts w:eastAsia="Calibri" w:cstheme="minorHAnsi"/>
          <w:bCs/>
          <w:sz w:val="24"/>
          <w:szCs w:val="24"/>
        </w:rPr>
        <w:t>.</w:t>
      </w:r>
      <w:r w:rsidR="000959E1" w:rsidRPr="00241F83">
        <w:rPr>
          <w:rStyle w:val="EndnoteReference"/>
          <w:rFonts w:eastAsia="Calibri" w:cstheme="minorHAnsi"/>
          <w:bCs/>
          <w:sz w:val="24"/>
          <w:szCs w:val="24"/>
        </w:rPr>
        <w:endnoteReference w:id="17"/>
      </w:r>
      <w:r w:rsidR="00FF1B59" w:rsidRPr="00241F83">
        <w:rPr>
          <w:rFonts w:eastAsia="Calibri" w:cstheme="minorHAnsi"/>
          <w:bCs/>
          <w:sz w:val="24"/>
          <w:szCs w:val="24"/>
        </w:rPr>
        <w:t xml:space="preserve"> Staff </w:t>
      </w:r>
      <w:r w:rsidR="00971E8D" w:rsidRPr="00241F83">
        <w:rPr>
          <w:rFonts w:eastAsia="Calibri" w:cstheme="minorHAnsi"/>
          <w:bCs/>
          <w:sz w:val="24"/>
          <w:szCs w:val="24"/>
        </w:rPr>
        <w:t>finds</w:t>
      </w:r>
      <w:r w:rsidR="00FF1B59" w:rsidRPr="00241F83">
        <w:rPr>
          <w:rFonts w:eastAsia="Calibri" w:cstheme="minorHAnsi"/>
          <w:bCs/>
          <w:sz w:val="24"/>
          <w:szCs w:val="24"/>
        </w:rPr>
        <w:t xml:space="preserve"> </w:t>
      </w:r>
      <w:r w:rsidR="004256E8" w:rsidRPr="00241F83">
        <w:rPr>
          <w:rFonts w:eastAsia="Calibri" w:cstheme="minorHAnsi"/>
          <w:bCs/>
          <w:sz w:val="24"/>
          <w:szCs w:val="24"/>
        </w:rPr>
        <w:t>BOSC</w:t>
      </w:r>
      <w:r w:rsidR="00AB1BA7" w:rsidRPr="00241F83">
        <w:rPr>
          <w:rFonts w:eastAsia="Calibri" w:cstheme="minorHAnsi"/>
          <w:bCs/>
          <w:sz w:val="24"/>
          <w:szCs w:val="24"/>
        </w:rPr>
        <w:t xml:space="preserve"> has adequate processes in place to</w:t>
      </w:r>
      <w:r w:rsidR="00FF1B59" w:rsidRPr="00241F83">
        <w:rPr>
          <w:rFonts w:eastAsia="Calibri" w:cstheme="minorHAnsi"/>
          <w:bCs/>
          <w:sz w:val="24"/>
          <w:szCs w:val="24"/>
        </w:rPr>
        <w:t xml:space="preserve"> </w:t>
      </w:r>
      <w:r w:rsidR="00971E8D" w:rsidRPr="00241F83">
        <w:rPr>
          <w:rFonts w:eastAsia="Calibri" w:cstheme="minorHAnsi"/>
          <w:bCs/>
          <w:sz w:val="24"/>
          <w:szCs w:val="24"/>
        </w:rPr>
        <w:t>facilitate</w:t>
      </w:r>
      <w:r w:rsidR="00FF1B59" w:rsidRPr="00241F83">
        <w:rPr>
          <w:rFonts w:eastAsia="Calibri" w:cstheme="minorHAnsi"/>
          <w:bCs/>
          <w:sz w:val="24"/>
          <w:szCs w:val="24"/>
        </w:rPr>
        <w:t xml:space="preserve"> care coordination and communication across providers</w:t>
      </w:r>
      <w:r w:rsidR="003E2674">
        <w:rPr>
          <w:rFonts w:eastAsia="Calibri" w:cstheme="minorHAnsi"/>
          <w:bCs/>
          <w:sz w:val="24"/>
          <w:szCs w:val="24"/>
        </w:rPr>
        <w:t>, which will continue after its conversion to an ASC</w:t>
      </w:r>
      <w:r w:rsidR="00FF1B59" w:rsidRPr="00241F83">
        <w:rPr>
          <w:rFonts w:eastAsia="Calibri" w:cstheme="minorHAnsi"/>
          <w:bCs/>
          <w:sz w:val="24"/>
          <w:szCs w:val="24"/>
        </w:rPr>
        <w:t xml:space="preserve">. </w:t>
      </w:r>
    </w:p>
    <w:p w14:paraId="7842ADC3" w14:textId="77777777" w:rsidR="00405910" w:rsidRPr="00241F83" w:rsidRDefault="00405910" w:rsidP="00BC1F7D">
      <w:pPr>
        <w:pStyle w:val="Heading1"/>
        <w:spacing w:before="0" w:line="240" w:lineRule="auto"/>
        <w:contextualSpacing/>
        <w:rPr>
          <w:rFonts w:asciiTheme="minorHAnsi" w:hAnsiTheme="minorHAnsi" w:cstheme="minorHAnsi"/>
        </w:rPr>
      </w:pPr>
      <w:bookmarkStart w:id="42" w:name="_Toc18922415"/>
      <w:bookmarkStart w:id="43" w:name="_Toc29755682"/>
      <w:bookmarkEnd w:id="38"/>
      <w:bookmarkEnd w:id="39"/>
    </w:p>
    <w:p w14:paraId="3ACA607D" w14:textId="7DA32EAD" w:rsidR="00E40FAA" w:rsidRPr="00241F83" w:rsidRDefault="00FA45BB" w:rsidP="00BC1F7D">
      <w:pPr>
        <w:pStyle w:val="Heading1"/>
        <w:spacing w:before="0" w:line="240" w:lineRule="auto"/>
        <w:contextualSpacing/>
        <w:rPr>
          <w:rFonts w:asciiTheme="minorHAnsi" w:hAnsiTheme="minorHAnsi" w:cstheme="minorHAnsi"/>
        </w:rPr>
      </w:pPr>
      <w:bookmarkStart w:id="44" w:name="_Toc58960216"/>
      <w:r w:rsidRPr="00241F83">
        <w:rPr>
          <w:rFonts w:asciiTheme="minorHAnsi" w:hAnsiTheme="minorHAnsi" w:cstheme="minorHAnsi"/>
        </w:rPr>
        <w:t>F</w:t>
      </w:r>
      <w:r w:rsidR="00371842" w:rsidRPr="00241F83">
        <w:rPr>
          <w:rFonts w:asciiTheme="minorHAnsi" w:hAnsiTheme="minorHAnsi" w:cstheme="minorHAnsi"/>
        </w:rPr>
        <w:t>actor 1: d) Consultation</w:t>
      </w:r>
      <w:bookmarkEnd w:id="42"/>
      <w:bookmarkEnd w:id="43"/>
      <w:bookmarkEnd w:id="44"/>
    </w:p>
    <w:p w14:paraId="00E47554" w14:textId="00A07FD0" w:rsidR="009D3520" w:rsidRPr="00241F83" w:rsidRDefault="00C12BBA" w:rsidP="00BC1F7D">
      <w:pPr>
        <w:spacing w:after="0" w:line="240" w:lineRule="auto"/>
        <w:contextualSpacing/>
        <w:rPr>
          <w:rFonts w:cstheme="minorHAnsi"/>
          <w:sz w:val="24"/>
          <w:szCs w:val="24"/>
        </w:rPr>
      </w:pPr>
      <w:r w:rsidRPr="00241F83">
        <w:rPr>
          <w:rFonts w:cstheme="minorHAnsi"/>
          <w:sz w:val="24"/>
          <w:szCs w:val="24"/>
        </w:rPr>
        <w:t xml:space="preserve">The </w:t>
      </w:r>
      <w:r w:rsidR="00D33E4C" w:rsidRPr="00241F83">
        <w:rPr>
          <w:rFonts w:cstheme="minorHAnsi"/>
          <w:sz w:val="24"/>
          <w:szCs w:val="24"/>
        </w:rPr>
        <w:t>Applicant</w:t>
      </w:r>
      <w:r w:rsidRPr="00241F83">
        <w:rPr>
          <w:rFonts w:cstheme="minorHAnsi"/>
          <w:sz w:val="24"/>
          <w:szCs w:val="24"/>
        </w:rPr>
        <w:t xml:space="preserve"> has provided evidence of consultation, both prior to and after the </w:t>
      </w:r>
      <w:r w:rsidR="00844BA4" w:rsidRPr="00241F83">
        <w:rPr>
          <w:rFonts w:cstheme="minorHAnsi"/>
          <w:sz w:val="24"/>
          <w:szCs w:val="24"/>
        </w:rPr>
        <w:t>f</w:t>
      </w:r>
      <w:r w:rsidRPr="00241F83">
        <w:rPr>
          <w:rFonts w:cstheme="minorHAnsi"/>
          <w:sz w:val="24"/>
          <w:szCs w:val="24"/>
        </w:rPr>
        <w:t xml:space="preserve">iling </w:t>
      </w:r>
      <w:r w:rsidR="00844BA4" w:rsidRPr="00241F83">
        <w:rPr>
          <w:rFonts w:cstheme="minorHAnsi"/>
          <w:sz w:val="24"/>
          <w:szCs w:val="24"/>
        </w:rPr>
        <w:t>d</w:t>
      </w:r>
      <w:r w:rsidRPr="00241F83">
        <w:rPr>
          <w:rFonts w:cstheme="minorHAnsi"/>
          <w:sz w:val="24"/>
          <w:szCs w:val="24"/>
        </w:rPr>
        <w:t xml:space="preserve">ate, with all </w:t>
      </w:r>
      <w:r w:rsidR="00C06F05" w:rsidRPr="00241F83">
        <w:rPr>
          <w:rFonts w:cstheme="minorHAnsi"/>
          <w:sz w:val="24"/>
          <w:szCs w:val="24"/>
        </w:rPr>
        <w:t>government agencies that have</w:t>
      </w:r>
      <w:r w:rsidRPr="00241F83">
        <w:rPr>
          <w:rFonts w:cstheme="minorHAnsi"/>
          <w:sz w:val="24"/>
          <w:szCs w:val="24"/>
        </w:rPr>
        <w:t xml:space="preserve"> licensure, certification, or ot</w:t>
      </w:r>
      <w:r w:rsidR="00C06F05" w:rsidRPr="00241F83">
        <w:rPr>
          <w:rFonts w:cstheme="minorHAnsi"/>
          <w:sz w:val="24"/>
          <w:szCs w:val="24"/>
        </w:rPr>
        <w:t>her regulatory oversight, which has been done and will not be addressed further in this report.</w:t>
      </w:r>
    </w:p>
    <w:p w14:paraId="330745B4" w14:textId="77777777" w:rsidR="00BC1F7D" w:rsidRPr="00241F83" w:rsidRDefault="00BC1F7D" w:rsidP="00BC1F7D">
      <w:pPr>
        <w:pStyle w:val="Heading1"/>
        <w:spacing w:before="0" w:line="240" w:lineRule="auto"/>
        <w:contextualSpacing/>
        <w:rPr>
          <w:rStyle w:val="Heading1Char"/>
          <w:rFonts w:asciiTheme="minorHAnsi" w:hAnsiTheme="minorHAnsi" w:cstheme="minorHAnsi"/>
          <w:b/>
          <w:bCs/>
        </w:rPr>
      </w:pPr>
      <w:bookmarkStart w:id="45" w:name="_Toc29755683"/>
      <w:bookmarkStart w:id="46" w:name="_Toc18922416"/>
    </w:p>
    <w:p w14:paraId="5775C9CB" w14:textId="77777777" w:rsidR="00076B1A" w:rsidRPr="00241F83" w:rsidRDefault="00076B1A" w:rsidP="00BC1F7D">
      <w:pPr>
        <w:pStyle w:val="Heading1"/>
        <w:spacing w:before="0" w:line="240" w:lineRule="auto"/>
        <w:contextualSpacing/>
        <w:rPr>
          <w:rFonts w:asciiTheme="minorHAnsi" w:hAnsiTheme="minorHAnsi" w:cstheme="minorHAnsi"/>
        </w:rPr>
      </w:pPr>
      <w:bookmarkStart w:id="47" w:name="_Toc58960217"/>
      <w:r w:rsidRPr="00241F83">
        <w:rPr>
          <w:rStyle w:val="Heading1Char"/>
          <w:rFonts w:asciiTheme="minorHAnsi" w:hAnsiTheme="minorHAnsi" w:cstheme="minorHAnsi"/>
          <w:b/>
          <w:bCs/>
        </w:rPr>
        <w:t>Factor 1: e) Evidence of Sound Community Engagement through the Patient Panel</w:t>
      </w:r>
      <w:bookmarkEnd w:id="45"/>
      <w:bookmarkEnd w:id="47"/>
      <w:r w:rsidRPr="00241F83">
        <w:rPr>
          <w:rFonts w:asciiTheme="minorHAnsi" w:hAnsiTheme="minorHAnsi" w:cstheme="minorHAnsi"/>
        </w:rPr>
        <w:t xml:space="preserve"> </w:t>
      </w:r>
    </w:p>
    <w:p w14:paraId="5CCB4604" w14:textId="42B28C51" w:rsidR="00B633E1" w:rsidRPr="00241F83" w:rsidRDefault="00076B1A" w:rsidP="00BC1F7D">
      <w:pPr>
        <w:spacing w:after="0" w:line="240" w:lineRule="auto"/>
        <w:contextualSpacing/>
        <w:rPr>
          <w:rFonts w:cstheme="minorHAnsi"/>
          <w:sz w:val="24"/>
          <w:szCs w:val="24"/>
        </w:rPr>
      </w:pPr>
      <w:r w:rsidRPr="00241F83">
        <w:rPr>
          <w:rFonts w:eastAsia="Calibri" w:cstheme="minorHAnsi"/>
          <w:sz w:val="24"/>
          <w:szCs w:val="24"/>
        </w:rPr>
        <w:t>The Department’s Guideline</w:t>
      </w:r>
      <w:r w:rsidR="00B633E1" w:rsidRPr="00241F83">
        <w:rPr>
          <w:rFonts w:eastAsia="Calibri" w:cstheme="minorHAnsi"/>
          <w:sz w:val="24"/>
          <w:szCs w:val="24"/>
          <w:vertAlign w:val="superscript"/>
        </w:rPr>
        <w:endnoteReference w:id="18"/>
      </w:r>
      <w:r w:rsidR="00B633E1" w:rsidRPr="00241F83">
        <w:rPr>
          <w:rFonts w:eastAsia="Calibri" w:cstheme="minorHAnsi"/>
          <w:sz w:val="24"/>
          <w:szCs w:val="24"/>
        </w:rPr>
        <w:t xml:space="preserve"> </w:t>
      </w:r>
      <w:r w:rsidRPr="00241F83">
        <w:rPr>
          <w:rFonts w:eastAsia="Calibri" w:cstheme="minorHAnsi"/>
          <w:sz w:val="24"/>
          <w:szCs w:val="24"/>
        </w:rPr>
        <w:t xml:space="preserve">for community engagement defines “community” as the Patient Panel, and requires that at minimum, the </w:t>
      </w:r>
      <w:r w:rsidR="00D33E4C" w:rsidRPr="00241F83">
        <w:rPr>
          <w:rFonts w:eastAsia="Calibri" w:cstheme="minorHAnsi"/>
          <w:sz w:val="24"/>
          <w:szCs w:val="24"/>
        </w:rPr>
        <w:t>Applicant</w:t>
      </w:r>
      <w:r w:rsidRPr="00241F83">
        <w:rPr>
          <w:rFonts w:eastAsia="Calibri" w:cstheme="minorHAnsi"/>
          <w:sz w:val="24"/>
          <w:szCs w:val="24"/>
        </w:rPr>
        <w:t xml:space="preserve"> must “consult” with groups representative of the </w:t>
      </w:r>
      <w:r w:rsidR="00D33E4C" w:rsidRPr="00241F83">
        <w:rPr>
          <w:rFonts w:eastAsia="Calibri" w:cstheme="minorHAnsi"/>
          <w:sz w:val="24"/>
          <w:szCs w:val="24"/>
        </w:rPr>
        <w:t>Applicant</w:t>
      </w:r>
      <w:r w:rsidR="00DF1900" w:rsidRPr="00241F83">
        <w:rPr>
          <w:rFonts w:eastAsia="Calibri" w:cstheme="minorHAnsi"/>
          <w:sz w:val="24"/>
          <w:szCs w:val="24"/>
        </w:rPr>
        <w:t>’</w:t>
      </w:r>
      <w:r w:rsidRPr="00241F83">
        <w:rPr>
          <w:rFonts w:eastAsia="Calibri" w:cstheme="minorHAnsi"/>
          <w:sz w:val="24"/>
          <w:szCs w:val="24"/>
        </w:rPr>
        <w:t>s Patient Panel.</w:t>
      </w:r>
      <w:r w:rsidR="00F2354A" w:rsidRPr="00241F83">
        <w:rPr>
          <w:rFonts w:eastAsia="Calibri" w:cstheme="minorHAnsi"/>
          <w:sz w:val="24"/>
          <w:szCs w:val="24"/>
        </w:rPr>
        <w:t xml:space="preserve"> </w:t>
      </w:r>
      <w:r w:rsidRPr="00241F83">
        <w:rPr>
          <w:rFonts w:eastAsia="Calibri" w:cstheme="minorHAnsi"/>
          <w:sz w:val="24"/>
          <w:szCs w:val="24"/>
        </w:rPr>
        <w:t xml:space="preserve">Regulations state that </w:t>
      </w:r>
      <w:r w:rsidR="00976959" w:rsidRPr="00241F83">
        <w:rPr>
          <w:rFonts w:eastAsia="Calibri" w:cstheme="minorHAnsi"/>
          <w:sz w:val="24"/>
          <w:szCs w:val="24"/>
        </w:rPr>
        <w:t xml:space="preserve">efforts in </w:t>
      </w:r>
      <w:r w:rsidRPr="00241F83">
        <w:rPr>
          <w:rFonts w:eastAsia="Calibri" w:cstheme="minorHAnsi"/>
          <w:sz w:val="24"/>
          <w:szCs w:val="24"/>
        </w:rPr>
        <w:t>such consultation</w:t>
      </w:r>
      <w:r w:rsidR="00976959" w:rsidRPr="00241F83">
        <w:rPr>
          <w:rFonts w:eastAsia="Calibri" w:cstheme="minorHAnsi"/>
          <w:sz w:val="24"/>
          <w:szCs w:val="24"/>
        </w:rPr>
        <w:t xml:space="preserve"> should </w:t>
      </w:r>
      <w:r w:rsidRPr="00241F83">
        <w:rPr>
          <w:rFonts w:eastAsia="Calibri" w:cstheme="minorHAnsi"/>
          <w:sz w:val="24"/>
          <w:szCs w:val="24"/>
        </w:rPr>
        <w:t xml:space="preserve">consist of </w:t>
      </w:r>
      <w:r w:rsidR="00976959" w:rsidRPr="00241F83">
        <w:rPr>
          <w:rFonts w:eastAsia="Calibri" w:cstheme="minorHAnsi"/>
          <w:sz w:val="24"/>
          <w:szCs w:val="24"/>
        </w:rPr>
        <w:t>engaging</w:t>
      </w:r>
      <w:r w:rsidRPr="00241F83">
        <w:rPr>
          <w:rFonts w:eastAsia="Calibri" w:cstheme="minorHAnsi"/>
          <w:sz w:val="24"/>
          <w:szCs w:val="24"/>
        </w:rPr>
        <w:t xml:space="preserve"> </w:t>
      </w:r>
      <w:r w:rsidRPr="00241F83">
        <w:rPr>
          <w:rFonts w:cstheme="minorHAnsi"/>
          <w:sz w:val="24"/>
          <w:szCs w:val="24"/>
        </w:rPr>
        <w:t>“community coalition</w:t>
      </w:r>
      <w:r w:rsidR="00976959" w:rsidRPr="00241F83">
        <w:rPr>
          <w:rFonts w:cstheme="minorHAnsi"/>
          <w:sz w:val="24"/>
          <w:szCs w:val="24"/>
        </w:rPr>
        <w:t>s</w:t>
      </w:r>
      <w:r w:rsidRPr="00241F83">
        <w:rPr>
          <w:rFonts w:cstheme="minorHAnsi"/>
          <w:sz w:val="24"/>
          <w:szCs w:val="24"/>
        </w:rPr>
        <w:t xml:space="preserve"> statistically representative of the </w:t>
      </w:r>
      <w:r w:rsidR="00976959" w:rsidRPr="00241F83">
        <w:rPr>
          <w:rFonts w:cstheme="minorHAnsi"/>
          <w:sz w:val="24"/>
          <w:szCs w:val="24"/>
        </w:rPr>
        <w:t>P</w:t>
      </w:r>
      <w:r w:rsidRPr="00241F83">
        <w:rPr>
          <w:rFonts w:cstheme="minorHAnsi"/>
          <w:sz w:val="24"/>
          <w:szCs w:val="24"/>
        </w:rPr>
        <w:t xml:space="preserve">atient </w:t>
      </w:r>
      <w:r w:rsidR="00976959" w:rsidRPr="00241F83">
        <w:rPr>
          <w:rFonts w:cstheme="minorHAnsi"/>
          <w:sz w:val="24"/>
          <w:szCs w:val="24"/>
        </w:rPr>
        <w:t>P</w:t>
      </w:r>
      <w:r w:rsidRPr="00241F83">
        <w:rPr>
          <w:rFonts w:cstheme="minorHAnsi"/>
          <w:sz w:val="24"/>
          <w:szCs w:val="24"/>
        </w:rPr>
        <w:t>anel.”</w:t>
      </w:r>
      <w:r w:rsidR="00B633E1" w:rsidRPr="00241F83">
        <w:rPr>
          <w:rFonts w:cstheme="minorHAnsi"/>
          <w:sz w:val="24"/>
          <w:szCs w:val="24"/>
          <w:vertAlign w:val="superscript"/>
        </w:rPr>
        <w:endnoteReference w:id="19"/>
      </w:r>
    </w:p>
    <w:p w14:paraId="595F19A5" w14:textId="77777777" w:rsidR="00B41BA7" w:rsidRPr="00241F83" w:rsidRDefault="00B41BA7" w:rsidP="00BC1F7D">
      <w:pPr>
        <w:spacing w:after="0" w:line="240" w:lineRule="auto"/>
        <w:contextualSpacing/>
        <w:rPr>
          <w:rFonts w:eastAsia="Calibri" w:cstheme="minorHAnsi"/>
          <w:sz w:val="24"/>
          <w:szCs w:val="24"/>
        </w:rPr>
      </w:pPr>
    </w:p>
    <w:bookmarkEnd w:id="46"/>
    <w:p w14:paraId="7ECEA6B1" w14:textId="4C47B73F" w:rsidR="00DF1900" w:rsidRPr="00241F83" w:rsidRDefault="00DF1900" w:rsidP="00781001">
      <w:pPr>
        <w:spacing w:after="120" w:line="240" w:lineRule="auto"/>
        <w:rPr>
          <w:rFonts w:eastAsia="Calibri" w:cstheme="minorHAnsi"/>
          <w:sz w:val="24"/>
          <w:szCs w:val="24"/>
        </w:rPr>
      </w:pPr>
      <w:r w:rsidRPr="00241F83">
        <w:rPr>
          <w:rFonts w:eastAsia="Calibri" w:cstheme="minorHAnsi"/>
          <w:sz w:val="24"/>
          <w:szCs w:val="24"/>
        </w:rPr>
        <w:t xml:space="preserve">The </w:t>
      </w:r>
      <w:r w:rsidR="00D33E4C" w:rsidRPr="00241F83">
        <w:rPr>
          <w:rFonts w:eastAsia="Calibri" w:cstheme="minorHAnsi"/>
          <w:sz w:val="24"/>
          <w:szCs w:val="24"/>
        </w:rPr>
        <w:t>Applicant</w:t>
      </w:r>
      <w:r w:rsidRPr="00241F83">
        <w:rPr>
          <w:rFonts w:eastAsia="Calibri" w:cstheme="minorHAnsi"/>
          <w:sz w:val="24"/>
          <w:szCs w:val="24"/>
        </w:rPr>
        <w:t xml:space="preserve"> held three invitation-only meetings to inform the community of its plans. Meeting attendees had an opportunity to learn about the proposed project and the joint venture behind it.</w:t>
      </w:r>
    </w:p>
    <w:p w14:paraId="58DDCDFC" w14:textId="547F88EC" w:rsidR="00DF1900" w:rsidRPr="00781001" w:rsidRDefault="00DF1900" w:rsidP="00781001">
      <w:pPr>
        <w:pStyle w:val="ListParagraph"/>
        <w:numPr>
          <w:ilvl w:val="0"/>
          <w:numId w:val="21"/>
        </w:numPr>
        <w:spacing w:after="120" w:line="240" w:lineRule="auto"/>
        <w:contextualSpacing w:val="0"/>
        <w:rPr>
          <w:rFonts w:eastAsia="Calibri" w:cstheme="minorHAnsi"/>
          <w:sz w:val="24"/>
          <w:szCs w:val="24"/>
        </w:rPr>
      </w:pPr>
      <w:r w:rsidRPr="00781001">
        <w:rPr>
          <w:rFonts w:eastAsia="Calibri" w:cstheme="minorHAnsi"/>
          <w:sz w:val="24"/>
          <w:szCs w:val="24"/>
        </w:rPr>
        <w:t>Baystate Community Benefits Advisory Council (CBAC), January 13, 2022: 16 people attended this meeting of the CBAC, which convenes monthly and encompasses community stakeholders and Baystate Medical Center (BMC) employees.</w:t>
      </w:r>
      <w:r w:rsidR="006144A9" w:rsidRPr="00241F83">
        <w:rPr>
          <w:rStyle w:val="FootnoteReference"/>
          <w:rFonts w:cstheme="minorHAnsi"/>
          <w:bCs/>
          <w:sz w:val="24"/>
          <w:szCs w:val="24"/>
        </w:rPr>
        <w:footnoteReference w:id="8"/>
      </w:r>
    </w:p>
    <w:p w14:paraId="503415C9" w14:textId="3BB49695" w:rsidR="00DF1900" w:rsidRPr="00781001" w:rsidRDefault="00DF1900" w:rsidP="00781001">
      <w:pPr>
        <w:pStyle w:val="ListParagraph"/>
        <w:numPr>
          <w:ilvl w:val="0"/>
          <w:numId w:val="21"/>
        </w:numPr>
        <w:spacing w:after="120" w:line="240" w:lineRule="auto"/>
        <w:contextualSpacing w:val="0"/>
        <w:rPr>
          <w:rFonts w:eastAsia="Calibri" w:cstheme="minorHAnsi"/>
          <w:sz w:val="24"/>
          <w:szCs w:val="24"/>
        </w:rPr>
      </w:pPr>
      <w:r w:rsidRPr="00781001">
        <w:rPr>
          <w:rFonts w:eastAsia="Calibri" w:cstheme="minorHAnsi"/>
          <w:sz w:val="24"/>
          <w:szCs w:val="24"/>
        </w:rPr>
        <w:t>North End Stakeholder Meeting (NESM), February 9, 2022: 18 people attended this meeting of NESM, which convenes 2-4 times a year to keep BMC’s neighbors apprised of construction plans and other matters of concern. Attendees included neighbors, community organizations (Atwater Park Civic Association, New North Citizens’ Council, and the Ronald McDonald House of Springfield), and elected officials (including State Representative Carlos Gonzalez, State Senator Adam Gomez, Springfield City Councilors Michael Fenton and Maria Perez, and Springfield School Committee member Joesiah Gonzalez).</w:t>
      </w:r>
      <w:r w:rsidR="006144A9" w:rsidRPr="00241F83">
        <w:rPr>
          <w:rStyle w:val="FootnoteReference"/>
          <w:rFonts w:cstheme="minorHAnsi"/>
          <w:bCs/>
          <w:sz w:val="24"/>
          <w:szCs w:val="24"/>
        </w:rPr>
        <w:footnoteReference w:id="9"/>
      </w:r>
    </w:p>
    <w:p w14:paraId="7934A6AB" w14:textId="1A01AB99" w:rsidR="00DF1900" w:rsidRPr="00781001" w:rsidRDefault="00DF1900" w:rsidP="00781001">
      <w:pPr>
        <w:pStyle w:val="ListParagraph"/>
        <w:numPr>
          <w:ilvl w:val="0"/>
          <w:numId w:val="21"/>
        </w:numPr>
        <w:spacing w:after="0" w:line="240" w:lineRule="auto"/>
        <w:rPr>
          <w:rFonts w:eastAsia="Calibri" w:cstheme="minorHAnsi"/>
          <w:sz w:val="24"/>
          <w:szCs w:val="24"/>
        </w:rPr>
      </w:pPr>
      <w:r w:rsidRPr="00781001">
        <w:rPr>
          <w:rFonts w:eastAsia="Calibri" w:cstheme="minorHAnsi"/>
          <w:sz w:val="24"/>
          <w:szCs w:val="24"/>
        </w:rPr>
        <w:t>Baystate Patient and Family Advisory Council (PFAC), February 16, 2022: 23 people attended this meeting.</w:t>
      </w:r>
      <w:r w:rsidR="006144A9" w:rsidRPr="00241F83">
        <w:rPr>
          <w:rStyle w:val="FootnoteReference"/>
          <w:rFonts w:cstheme="minorHAnsi"/>
          <w:bCs/>
          <w:sz w:val="24"/>
          <w:szCs w:val="24"/>
        </w:rPr>
        <w:footnoteReference w:id="10"/>
      </w:r>
    </w:p>
    <w:p w14:paraId="03668A07" w14:textId="77777777" w:rsidR="00D93B15" w:rsidRPr="00241F83" w:rsidRDefault="00D93B15" w:rsidP="00EA38CA">
      <w:pPr>
        <w:spacing w:after="0" w:line="240" w:lineRule="auto"/>
        <w:contextualSpacing/>
        <w:rPr>
          <w:rFonts w:cstheme="minorHAnsi"/>
          <w:b/>
          <w:i/>
          <w:sz w:val="24"/>
          <w:szCs w:val="24"/>
        </w:rPr>
      </w:pPr>
    </w:p>
    <w:p w14:paraId="5D8B8327" w14:textId="24AC5C88" w:rsidR="00C06F05" w:rsidRPr="00241F83" w:rsidRDefault="00C06F05" w:rsidP="00EA38CA">
      <w:pPr>
        <w:spacing w:after="0" w:line="240" w:lineRule="auto"/>
        <w:contextualSpacing/>
        <w:rPr>
          <w:rFonts w:cstheme="minorHAnsi"/>
          <w:b/>
          <w:bCs/>
          <w:i/>
          <w:sz w:val="24"/>
          <w:szCs w:val="24"/>
        </w:rPr>
      </w:pPr>
      <w:r w:rsidRPr="00241F83">
        <w:rPr>
          <w:rFonts w:cstheme="minorHAnsi"/>
          <w:b/>
          <w:i/>
          <w:sz w:val="24"/>
          <w:szCs w:val="24"/>
        </w:rPr>
        <w:t>Analysis</w:t>
      </w:r>
    </w:p>
    <w:p w14:paraId="4C334A6E" w14:textId="4F4D2BBC" w:rsidR="00076B1A" w:rsidRPr="00241F83" w:rsidRDefault="00615B65" w:rsidP="00EA38CA">
      <w:pPr>
        <w:spacing w:after="0" w:line="240" w:lineRule="auto"/>
        <w:ind w:right="540"/>
        <w:contextualSpacing/>
        <w:rPr>
          <w:rFonts w:cstheme="minorHAnsi"/>
          <w:b/>
          <w:bCs/>
          <w:i/>
          <w:sz w:val="24"/>
          <w:szCs w:val="24"/>
        </w:rPr>
      </w:pPr>
      <w:r w:rsidRPr="00241F83">
        <w:rPr>
          <w:rFonts w:eastAsia="Calibri" w:cstheme="minorHAnsi"/>
          <w:sz w:val="24"/>
          <w:szCs w:val="24"/>
        </w:rPr>
        <w:t xml:space="preserve">Staff reviewed the information on the </w:t>
      </w:r>
      <w:r w:rsidR="00D33E4C" w:rsidRPr="00241F83">
        <w:rPr>
          <w:rFonts w:eastAsia="Calibri" w:cstheme="minorHAnsi"/>
          <w:sz w:val="24"/>
          <w:szCs w:val="24"/>
        </w:rPr>
        <w:t>Applicant</w:t>
      </w:r>
      <w:r w:rsidRPr="00241F83">
        <w:rPr>
          <w:rFonts w:eastAsia="Calibri" w:cstheme="minorHAnsi"/>
          <w:sz w:val="24"/>
          <w:szCs w:val="24"/>
        </w:rPr>
        <w:t>’s community engagement and</w:t>
      </w:r>
      <w:r w:rsidR="00076B1A" w:rsidRPr="00241F83">
        <w:rPr>
          <w:rFonts w:eastAsia="Calibri" w:cstheme="minorHAnsi"/>
          <w:sz w:val="24"/>
          <w:szCs w:val="24"/>
        </w:rPr>
        <w:t xml:space="preserve"> finds that</w:t>
      </w:r>
      <w:r w:rsidRPr="00241F83">
        <w:rPr>
          <w:rFonts w:eastAsia="Calibri" w:cstheme="minorHAnsi"/>
          <w:bCs/>
          <w:sz w:val="24"/>
          <w:szCs w:val="24"/>
        </w:rPr>
        <w:t xml:space="preserve"> </w:t>
      </w:r>
      <w:r w:rsidR="00076B1A" w:rsidRPr="00241F83">
        <w:rPr>
          <w:rFonts w:eastAsia="Calibri" w:cstheme="minorHAnsi"/>
          <w:bCs/>
          <w:sz w:val="24"/>
          <w:szCs w:val="24"/>
        </w:rPr>
        <w:t xml:space="preserve">the </w:t>
      </w:r>
      <w:r w:rsidR="00D33E4C" w:rsidRPr="00241F83">
        <w:rPr>
          <w:rFonts w:eastAsia="Calibri" w:cstheme="minorHAnsi"/>
          <w:bCs/>
          <w:sz w:val="24"/>
          <w:szCs w:val="24"/>
        </w:rPr>
        <w:t>Applicant</w:t>
      </w:r>
      <w:r w:rsidR="00076B1A" w:rsidRPr="00241F83">
        <w:rPr>
          <w:rFonts w:eastAsia="Calibri" w:cstheme="minorHAnsi"/>
          <w:bCs/>
          <w:sz w:val="24"/>
          <w:szCs w:val="24"/>
        </w:rPr>
        <w:t xml:space="preserve"> </w:t>
      </w:r>
      <w:r w:rsidR="006A2B75" w:rsidRPr="00241F83">
        <w:rPr>
          <w:rFonts w:eastAsia="Calibri" w:cstheme="minorHAnsi"/>
          <w:bCs/>
          <w:sz w:val="24"/>
          <w:szCs w:val="24"/>
        </w:rPr>
        <w:t>has</w:t>
      </w:r>
      <w:r w:rsidR="00076B1A" w:rsidRPr="00241F83">
        <w:rPr>
          <w:rFonts w:eastAsia="Calibri" w:cstheme="minorHAnsi"/>
          <w:bCs/>
          <w:sz w:val="24"/>
          <w:szCs w:val="24"/>
        </w:rPr>
        <w:t xml:space="preserve"> met the minimum required </w:t>
      </w:r>
      <w:r w:rsidR="00274B67" w:rsidRPr="00241F83">
        <w:rPr>
          <w:rFonts w:eastAsia="Calibri" w:cstheme="minorHAnsi"/>
          <w:bCs/>
          <w:sz w:val="24"/>
          <w:szCs w:val="24"/>
        </w:rPr>
        <w:t>c</w:t>
      </w:r>
      <w:r w:rsidR="00590AE4" w:rsidRPr="00241F83">
        <w:rPr>
          <w:rFonts w:eastAsia="Calibri" w:cstheme="minorHAnsi"/>
          <w:bCs/>
          <w:sz w:val="24"/>
          <w:szCs w:val="24"/>
        </w:rPr>
        <w:t xml:space="preserve">ommunity </w:t>
      </w:r>
      <w:r w:rsidR="00076B1A" w:rsidRPr="00241F83">
        <w:rPr>
          <w:rFonts w:eastAsia="Calibri" w:cstheme="minorHAnsi"/>
          <w:bCs/>
          <w:sz w:val="24"/>
          <w:szCs w:val="24"/>
        </w:rPr>
        <w:t xml:space="preserve">engagement standard of </w:t>
      </w:r>
      <w:r w:rsidR="00076B1A" w:rsidRPr="00241F83">
        <w:rPr>
          <w:rFonts w:eastAsia="Calibri" w:cstheme="minorHAnsi"/>
          <w:bCs/>
          <w:i/>
          <w:sz w:val="24"/>
          <w:szCs w:val="24"/>
        </w:rPr>
        <w:t>Consult</w:t>
      </w:r>
      <w:r w:rsidR="00076B1A" w:rsidRPr="00241F83">
        <w:rPr>
          <w:rFonts w:eastAsia="Calibri" w:cstheme="minorHAnsi"/>
          <w:bCs/>
          <w:sz w:val="24"/>
          <w:szCs w:val="24"/>
        </w:rPr>
        <w:t xml:space="preserve"> in the plannin</w:t>
      </w:r>
      <w:r w:rsidR="00DB0729" w:rsidRPr="00241F83">
        <w:rPr>
          <w:rFonts w:eastAsia="Calibri" w:cstheme="minorHAnsi"/>
          <w:bCs/>
          <w:sz w:val="24"/>
          <w:szCs w:val="24"/>
        </w:rPr>
        <w:t xml:space="preserve">g phase of the </w:t>
      </w:r>
      <w:r w:rsidR="00B66506" w:rsidRPr="00241F83">
        <w:rPr>
          <w:rFonts w:eastAsia="Calibri" w:cstheme="minorHAnsi"/>
          <w:bCs/>
          <w:sz w:val="24"/>
          <w:szCs w:val="24"/>
        </w:rPr>
        <w:t>P</w:t>
      </w:r>
      <w:r w:rsidR="00501213" w:rsidRPr="00241F83">
        <w:rPr>
          <w:rFonts w:eastAsia="Calibri" w:cstheme="minorHAnsi"/>
          <w:bCs/>
          <w:sz w:val="24"/>
          <w:szCs w:val="24"/>
        </w:rPr>
        <w:t xml:space="preserve">roposed </w:t>
      </w:r>
      <w:r w:rsidR="00B66506" w:rsidRPr="00241F83">
        <w:rPr>
          <w:rFonts w:eastAsia="Calibri" w:cstheme="minorHAnsi"/>
          <w:bCs/>
          <w:sz w:val="24"/>
          <w:szCs w:val="24"/>
        </w:rPr>
        <w:t>P</w:t>
      </w:r>
      <w:r w:rsidR="00501213" w:rsidRPr="00241F83">
        <w:rPr>
          <w:rFonts w:eastAsia="Calibri" w:cstheme="minorHAnsi"/>
          <w:bCs/>
          <w:sz w:val="24"/>
          <w:szCs w:val="24"/>
        </w:rPr>
        <w:t>roject</w:t>
      </w:r>
      <w:r w:rsidR="00B47AC4" w:rsidRPr="00241F83">
        <w:rPr>
          <w:rFonts w:eastAsia="Calibri" w:cstheme="minorHAnsi"/>
          <w:bCs/>
          <w:sz w:val="24"/>
          <w:szCs w:val="24"/>
        </w:rPr>
        <w:t xml:space="preserve">. </w:t>
      </w:r>
    </w:p>
    <w:p w14:paraId="66BB40F0" w14:textId="0BC6D21D" w:rsidR="00E40FAA" w:rsidRPr="00241F83" w:rsidRDefault="00E40FAA" w:rsidP="00781001">
      <w:pPr>
        <w:pStyle w:val="Heading1"/>
        <w:spacing w:after="120" w:line="240" w:lineRule="auto"/>
        <w:rPr>
          <w:rFonts w:asciiTheme="minorHAnsi" w:hAnsiTheme="minorHAnsi" w:cstheme="minorHAnsi"/>
        </w:rPr>
      </w:pPr>
      <w:bookmarkStart w:id="48" w:name="_Toc18922417"/>
      <w:bookmarkStart w:id="49" w:name="_Toc29755684"/>
      <w:bookmarkStart w:id="50" w:name="_Toc58960218"/>
      <w:bookmarkStart w:id="51" w:name="_Toc17322399"/>
      <w:r w:rsidRPr="00241F83">
        <w:rPr>
          <w:rFonts w:asciiTheme="minorHAnsi" w:hAnsiTheme="minorHAnsi" w:cstheme="minorHAnsi"/>
        </w:rPr>
        <w:lastRenderedPageBreak/>
        <w:t xml:space="preserve">Factor 1: f) Competition on </w:t>
      </w:r>
      <w:r w:rsidR="00C073C3" w:rsidRPr="00241F83">
        <w:rPr>
          <w:rFonts w:asciiTheme="minorHAnsi" w:hAnsiTheme="minorHAnsi" w:cstheme="minorHAnsi"/>
        </w:rPr>
        <w:t>P</w:t>
      </w:r>
      <w:r w:rsidRPr="00241F83">
        <w:rPr>
          <w:rFonts w:asciiTheme="minorHAnsi" w:hAnsiTheme="minorHAnsi" w:cstheme="minorHAnsi"/>
        </w:rPr>
        <w:t xml:space="preserve">rice, </w:t>
      </w:r>
      <w:r w:rsidR="00C073C3" w:rsidRPr="00241F83">
        <w:rPr>
          <w:rFonts w:asciiTheme="minorHAnsi" w:hAnsiTheme="minorHAnsi" w:cstheme="minorHAnsi"/>
        </w:rPr>
        <w:t>T</w:t>
      </w:r>
      <w:r w:rsidR="00371842" w:rsidRPr="00241F83">
        <w:rPr>
          <w:rFonts w:asciiTheme="minorHAnsi" w:hAnsiTheme="minorHAnsi" w:cstheme="minorHAnsi"/>
        </w:rPr>
        <w:t xml:space="preserve">otal </w:t>
      </w:r>
      <w:r w:rsidR="00C073C3" w:rsidRPr="00241F83">
        <w:rPr>
          <w:rFonts w:asciiTheme="minorHAnsi" w:hAnsiTheme="minorHAnsi" w:cstheme="minorHAnsi"/>
        </w:rPr>
        <w:t>M</w:t>
      </w:r>
      <w:r w:rsidR="00371842" w:rsidRPr="00241F83">
        <w:rPr>
          <w:rFonts w:asciiTheme="minorHAnsi" w:hAnsiTheme="minorHAnsi" w:cstheme="minorHAnsi"/>
        </w:rPr>
        <w:t xml:space="preserve">edical </w:t>
      </w:r>
      <w:r w:rsidR="00C073C3" w:rsidRPr="00241F83">
        <w:rPr>
          <w:rFonts w:asciiTheme="minorHAnsi" w:hAnsiTheme="minorHAnsi" w:cstheme="minorHAnsi"/>
        </w:rPr>
        <w:t>E</w:t>
      </w:r>
      <w:r w:rsidR="00371842" w:rsidRPr="00241F83">
        <w:rPr>
          <w:rFonts w:asciiTheme="minorHAnsi" w:hAnsiTheme="minorHAnsi" w:cstheme="minorHAnsi"/>
        </w:rPr>
        <w:t>xpenses (TME)</w:t>
      </w:r>
      <w:r w:rsidRPr="00241F83">
        <w:rPr>
          <w:rFonts w:asciiTheme="minorHAnsi" w:hAnsiTheme="minorHAnsi" w:cstheme="minorHAnsi"/>
        </w:rPr>
        <w:t xml:space="preserve">, </w:t>
      </w:r>
      <w:r w:rsidR="00C073C3" w:rsidRPr="00241F83">
        <w:rPr>
          <w:rFonts w:asciiTheme="minorHAnsi" w:hAnsiTheme="minorHAnsi" w:cstheme="minorHAnsi"/>
        </w:rPr>
        <w:t>C</w:t>
      </w:r>
      <w:r w:rsidRPr="00241F83">
        <w:rPr>
          <w:rFonts w:asciiTheme="minorHAnsi" w:hAnsiTheme="minorHAnsi" w:cstheme="minorHAnsi"/>
        </w:rPr>
        <w:t xml:space="preserve">osts and </w:t>
      </w:r>
      <w:r w:rsidR="00C073C3" w:rsidRPr="00241F83">
        <w:rPr>
          <w:rFonts w:asciiTheme="minorHAnsi" w:hAnsiTheme="minorHAnsi" w:cstheme="minorHAnsi"/>
        </w:rPr>
        <w:t>O</w:t>
      </w:r>
      <w:r w:rsidRPr="00241F83">
        <w:rPr>
          <w:rFonts w:asciiTheme="minorHAnsi" w:hAnsiTheme="minorHAnsi" w:cstheme="minorHAnsi"/>
        </w:rPr>
        <w:t xml:space="preserve">ther </w:t>
      </w:r>
      <w:r w:rsidR="00C073C3" w:rsidRPr="00241F83">
        <w:rPr>
          <w:rFonts w:asciiTheme="minorHAnsi" w:hAnsiTheme="minorHAnsi" w:cstheme="minorHAnsi"/>
        </w:rPr>
        <w:t>M</w:t>
      </w:r>
      <w:r w:rsidRPr="00241F83">
        <w:rPr>
          <w:rFonts w:asciiTheme="minorHAnsi" w:hAnsiTheme="minorHAnsi" w:cstheme="minorHAnsi"/>
        </w:rPr>
        <w:t xml:space="preserve">easures of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C</w:t>
      </w:r>
      <w:r w:rsidRPr="00241F83">
        <w:rPr>
          <w:rFonts w:asciiTheme="minorHAnsi" w:hAnsiTheme="minorHAnsi" w:cstheme="minorHAnsi"/>
        </w:rPr>
        <w:t xml:space="preserve">are </w:t>
      </w:r>
      <w:r w:rsidR="00C073C3" w:rsidRPr="00241F83">
        <w:rPr>
          <w:rFonts w:asciiTheme="minorHAnsi" w:hAnsiTheme="minorHAnsi" w:cstheme="minorHAnsi"/>
        </w:rPr>
        <w:t>S</w:t>
      </w:r>
      <w:r w:rsidRPr="00241F83">
        <w:rPr>
          <w:rFonts w:asciiTheme="minorHAnsi" w:hAnsiTheme="minorHAnsi" w:cstheme="minorHAnsi"/>
        </w:rPr>
        <w:t>pending</w:t>
      </w:r>
      <w:bookmarkEnd w:id="48"/>
      <w:bookmarkEnd w:id="49"/>
      <w:bookmarkEnd w:id="50"/>
    </w:p>
    <w:p w14:paraId="31E682E7" w14:textId="2A5D46DD" w:rsidR="006144A9" w:rsidRPr="00241F83" w:rsidRDefault="006144A9" w:rsidP="006144A9">
      <w:pPr>
        <w:spacing w:after="0" w:line="240" w:lineRule="auto"/>
        <w:rPr>
          <w:rFonts w:eastAsia="Times New Roman" w:cstheme="minorHAnsi"/>
          <w:sz w:val="28"/>
          <w:szCs w:val="28"/>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states that the proposed project will reduce the cost of the surgeries offered at the facility and therefore have a positive effect on TME and other measures of healthcare spending. Both patients and payers should see savings from the conversion. On average, Medicare reimbursement rates for ASCs are 58% of the rate paid HOPDs for the same procedures.</w:t>
      </w:r>
      <w:r w:rsidR="006F1566" w:rsidRPr="00241F83">
        <w:rPr>
          <w:rStyle w:val="EndnoteReference"/>
          <w:rFonts w:eastAsia="Times New Roman" w:cstheme="minorHAnsi"/>
          <w:color w:val="000000"/>
          <w:sz w:val="24"/>
          <w:szCs w:val="24"/>
        </w:rPr>
        <w:endnoteReference w:id="20"/>
      </w:r>
      <w:r w:rsidR="006F1566" w:rsidRPr="00241F83">
        <w:rPr>
          <w:rFonts w:eastAsia="Times New Roman" w:cstheme="minorHAnsi"/>
          <w:color w:val="000000"/>
          <w:sz w:val="24"/>
          <w:szCs w:val="24"/>
        </w:rPr>
        <w:t xml:space="preserve"> </w:t>
      </w:r>
      <w:r w:rsidR="001F7DBC" w:rsidRPr="001F7DBC">
        <w:rPr>
          <w:rFonts w:eastAsia="Times New Roman" w:cstheme="minorHAnsi"/>
          <w:color w:val="000000"/>
          <w:sz w:val="24"/>
          <w:szCs w:val="24"/>
        </w:rPr>
        <w:t>For example, while the average Medicare payment to HOPDs for a tendon sheath incision (a procedure to treat trigger finger) is $1,692, ASCs are paid an average of $1,023.</w:t>
      </w:r>
      <w:r w:rsidR="001F7DBC">
        <w:rPr>
          <w:rStyle w:val="FootnoteReference"/>
          <w:rFonts w:eastAsia="Times New Roman" w:cstheme="minorHAnsi"/>
          <w:color w:val="000000"/>
          <w:sz w:val="24"/>
          <w:szCs w:val="24"/>
        </w:rPr>
        <w:footnoteReference w:id="11"/>
      </w:r>
      <w:r w:rsidR="001F7DBC" w:rsidRPr="001F7DBC">
        <w:rPr>
          <w:rFonts w:eastAsia="Times New Roman" w:cstheme="minorHAnsi"/>
          <w:color w:val="000000"/>
          <w:sz w:val="24"/>
          <w:szCs w:val="24"/>
        </w:rPr>
        <w:t xml:space="preserve"> The average Medicare payment to HOPDs for a knee arthroscopy with meniscal repair is $3,542; ASCs are paid an average of $2,040.</w:t>
      </w:r>
      <w:r w:rsidR="001F7DBC">
        <w:rPr>
          <w:rStyle w:val="FootnoteReference"/>
          <w:rFonts w:eastAsia="Times New Roman" w:cstheme="minorHAnsi"/>
          <w:color w:val="000000"/>
          <w:sz w:val="24"/>
          <w:szCs w:val="24"/>
        </w:rPr>
        <w:footnoteReference w:id="12"/>
      </w:r>
      <w:r w:rsidR="001F7DBC" w:rsidRPr="001F7DBC">
        <w:rPr>
          <w:rFonts w:eastAsia="Times New Roman" w:cstheme="minorHAnsi"/>
          <w:color w:val="000000"/>
          <w:sz w:val="24"/>
          <w:szCs w:val="24"/>
        </w:rPr>
        <w:t xml:space="preserve"> </w:t>
      </w:r>
    </w:p>
    <w:p w14:paraId="73389A9A" w14:textId="77777777" w:rsidR="006144A9" w:rsidRPr="00781001" w:rsidRDefault="006144A9" w:rsidP="006144A9">
      <w:pPr>
        <w:spacing w:after="0" w:line="240" w:lineRule="auto"/>
        <w:rPr>
          <w:rFonts w:eastAsia="Times New Roman" w:cstheme="minorHAnsi"/>
          <w:sz w:val="24"/>
          <w:szCs w:val="24"/>
        </w:rPr>
      </w:pPr>
    </w:p>
    <w:p w14:paraId="18C5C3D5" w14:textId="7379C66D" w:rsidR="004256E8" w:rsidRDefault="006144A9" w:rsidP="00C073C3">
      <w:pPr>
        <w:spacing w:after="0" w:line="240" w:lineRule="auto"/>
        <w:rPr>
          <w:rFonts w:cstheme="minorHAnsi"/>
          <w:b/>
          <w:bCs/>
          <w:color w:val="42558C" w:themeColor="accent1" w:themeShade="BF"/>
          <w:sz w:val="24"/>
          <w:szCs w:val="24"/>
        </w:rPr>
      </w:pPr>
      <w:r w:rsidRPr="00241F83">
        <w:rPr>
          <w:rFonts w:eastAsia="Times New Roman" w:cstheme="minorHAnsi"/>
          <w:color w:val="000000"/>
          <w:sz w:val="24"/>
          <w:szCs w:val="24"/>
        </w:rPr>
        <w:t>According to the CPA report submitted with the application, the net charge per case for the fiscal year ending on Sept. 30, 2021 was $4,762, while the projected net charge per case for year one of the projections is $3,350.</w:t>
      </w:r>
      <w:r w:rsidR="00BF179E" w:rsidRPr="00241F83">
        <w:rPr>
          <w:rStyle w:val="FootnoteReference"/>
          <w:rFonts w:eastAsia="Times New Roman" w:cstheme="minorHAnsi"/>
          <w:color w:val="000000"/>
          <w:sz w:val="24"/>
          <w:szCs w:val="24"/>
        </w:rPr>
        <w:footnoteReference w:id="13"/>
      </w:r>
      <w:r w:rsidRPr="00241F83">
        <w:rPr>
          <w:rFonts w:eastAsia="Times New Roman" w:cstheme="minorHAnsi"/>
          <w:color w:val="000000"/>
          <w:sz w:val="24"/>
          <w:szCs w:val="24"/>
        </w:rPr>
        <w:t xml:space="preserve"> The decrease of about $1,400 correlates with the approximate 30% reimbursement reduction for procedures in an ASC versus a HOPD setting. Overall net revenue is projected to decrease $8 million from the fiscal year ending on Sept. 30, 2021 to year one of the projections.</w:t>
      </w:r>
      <w:r w:rsidR="00BF179E" w:rsidRPr="00241F83">
        <w:rPr>
          <w:rStyle w:val="FootnoteReference"/>
          <w:rFonts w:eastAsia="Times New Roman" w:cstheme="minorHAnsi"/>
          <w:color w:val="000000"/>
          <w:sz w:val="24"/>
          <w:szCs w:val="24"/>
        </w:rPr>
        <w:footnoteReference w:id="14"/>
      </w:r>
    </w:p>
    <w:p w14:paraId="71E4FF47" w14:textId="77777777" w:rsidR="006F008A" w:rsidRPr="00241F83" w:rsidRDefault="006F008A" w:rsidP="00C073C3">
      <w:pPr>
        <w:spacing w:after="0" w:line="240" w:lineRule="auto"/>
        <w:rPr>
          <w:rFonts w:eastAsia="Times New Roman" w:cstheme="minorHAnsi"/>
          <w:sz w:val="28"/>
          <w:szCs w:val="28"/>
        </w:rPr>
      </w:pPr>
    </w:p>
    <w:bookmarkEnd w:id="51"/>
    <w:p w14:paraId="02EF45E5" w14:textId="3541B769" w:rsidR="009E78AF" w:rsidRPr="00241F83" w:rsidRDefault="00E40FAA" w:rsidP="006548F0">
      <w:pPr>
        <w:spacing w:line="240" w:lineRule="auto"/>
        <w:rPr>
          <w:rFonts w:cstheme="minorHAnsi"/>
          <w:b/>
          <w:bCs/>
          <w:color w:val="42558C" w:themeColor="accent1" w:themeShade="BF"/>
          <w:sz w:val="24"/>
          <w:szCs w:val="24"/>
        </w:rPr>
      </w:pPr>
      <w:r w:rsidRPr="00241F83">
        <w:rPr>
          <w:rFonts w:cstheme="minorHAnsi"/>
          <w:b/>
          <w:i/>
          <w:sz w:val="24"/>
          <w:szCs w:val="24"/>
        </w:rPr>
        <w:t>Analysis</w:t>
      </w:r>
      <w:r w:rsidR="0051072F" w:rsidRPr="00241F83">
        <w:rPr>
          <w:rFonts w:cstheme="minorHAnsi"/>
          <w:b/>
          <w:bCs/>
          <w:color w:val="42558C" w:themeColor="accent1" w:themeShade="BF"/>
          <w:sz w:val="24"/>
          <w:szCs w:val="24"/>
        </w:rPr>
        <w:br/>
      </w:r>
      <w:r w:rsidR="00CB7CF4" w:rsidRPr="00241F83">
        <w:rPr>
          <w:rFonts w:cstheme="minorHAnsi"/>
          <w:bCs/>
          <w:sz w:val="24"/>
          <w:szCs w:val="24"/>
        </w:rPr>
        <w:t xml:space="preserve">It has been well-established that </w:t>
      </w:r>
      <w:r w:rsidR="004C412C" w:rsidRPr="00241F83">
        <w:rPr>
          <w:rFonts w:cstheme="minorHAnsi"/>
          <w:bCs/>
          <w:sz w:val="24"/>
          <w:szCs w:val="24"/>
        </w:rPr>
        <w:t xml:space="preserve">generally, </w:t>
      </w:r>
      <w:r w:rsidR="00CB7CF4" w:rsidRPr="00241F83">
        <w:rPr>
          <w:rFonts w:cstheme="minorHAnsi"/>
          <w:bCs/>
          <w:sz w:val="24"/>
          <w:szCs w:val="24"/>
        </w:rPr>
        <w:t>outpatient surgeries performed in the ASC setting can be a lower-cost alternative to the same surgeries performed in the HOPD</w:t>
      </w:r>
      <w:r w:rsidR="00FA6BB2" w:rsidRPr="00241F83">
        <w:rPr>
          <w:rFonts w:cstheme="minorHAnsi"/>
          <w:bCs/>
          <w:sz w:val="24"/>
          <w:szCs w:val="24"/>
        </w:rPr>
        <w:t xml:space="preserve"> and s</w:t>
      </w:r>
      <w:r w:rsidR="00CB7CF4" w:rsidRPr="00241F83">
        <w:rPr>
          <w:rFonts w:cstheme="minorHAnsi"/>
          <w:bCs/>
          <w:sz w:val="24"/>
          <w:szCs w:val="24"/>
        </w:rPr>
        <w:t>everal studies detailed the cost savings associated with performing surgeries in the ASC setting.</w:t>
      </w:r>
      <w:r w:rsidR="00FA6BB2" w:rsidRPr="00241F83">
        <w:rPr>
          <w:rStyle w:val="EndnoteReference"/>
          <w:rFonts w:cstheme="minorHAnsi"/>
          <w:sz w:val="24"/>
          <w:szCs w:val="24"/>
        </w:rPr>
        <w:endnoteReference w:id="21"/>
      </w:r>
      <w:r w:rsidR="00FA6BB2" w:rsidRPr="00241F83">
        <w:rPr>
          <w:rStyle w:val="EndnoteReference"/>
          <w:rFonts w:cstheme="minorHAnsi"/>
          <w:sz w:val="24"/>
          <w:szCs w:val="24"/>
        </w:rPr>
        <w:t>,</w:t>
      </w:r>
      <w:r w:rsidR="00FA6BB2" w:rsidRPr="00241F83">
        <w:rPr>
          <w:rStyle w:val="EndnoteReference"/>
          <w:rFonts w:cstheme="minorHAnsi"/>
          <w:sz w:val="24"/>
          <w:szCs w:val="24"/>
        </w:rPr>
        <w:endnoteReference w:id="22"/>
      </w:r>
      <w:r w:rsidR="00FA6BB2" w:rsidRPr="00241F83">
        <w:rPr>
          <w:rStyle w:val="EndnoteReference"/>
          <w:rFonts w:cstheme="minorHAnsi"/>
          <w:sz w:val="24"/>
          <w:szCs w:val="24"/>
        </w:rPr>
        <w:t>,</w:t>
      </w:r>
      <w:r w:rsidR="00FA6BB2" w:rsidRPr="00241F83">
        <w:rPr>
          <w:rStyle w:val="EndnoteReference"/>
          <w:rFonts w:cstheme="minorHAnsi"/>
          <w:sz w:val="24"/>
          <w:szCs w:val="24"/>
        </w:rPr>
        <w:endnoteReference w:id="23"/>
      </w:r>
      <w:r w:rsidR="00CB7CF4" w:rsidRPr="00241F83">
        <w:rPr>
          <w:rFonts w:cstheme="minorHAnsi"/>
          <w:bCs/>
          <w:sz w:val="24"/>
          <w:szCs w:val="24"/>
        </w:rPr>
        <w:t xml:space="preserve"> </w:t>
      </w:r>
      <w:r w:rsidR="00B933BA" w:rsidRPr="00241F83">
        <w:rPr>
          <w:rFonts w:cstheme="minorHAnsi"/>
          <w:sz w:val="24"/>
          <w:szCs w:val="24"/>
        </w:rPr>
        <w:t>ASCs focus on performing a narrow set of medical specialties and surgical procedures and providing care for patients with lower</w:t>
      </w:r>
      <w:r w:rsidR="004F4EB3" w:rsidRPr="00241F83">
        <w:rPr>
          <w:rFonts w:cstheme="minorHAnsi"/>
          <w:sz w:val="24"/>
          <w:szCs w:val="24"/>
        </w:rPr>
        <w:t xml:space="preserve"> </w:t>
      </w:r>
      <w:r w:rsidR="00B933BA" w:rsidRPr="00241F83">
        <w:rPr>
          <w:rFonts w:cstheme="minorHAnsi"/>
          <w:sz w:val="24"/>
          <w:szCs w:val="24"/>
        </w:rPr>
        <w:t>acuity and risk of complications.</w:t>
      </w:r>
      <w:r w:rsidR="009E78AF" w:rsidRPr="00241F83">
        <w:rPr>
          <w:rStyle w:val="EndnoteReference"/>
          <w:rFonts w:cstheme="minorHAnsi"/>
          <w:bCs/>
          <w:sz w:val="24"/>
          <w:szCs w:val="24"/>
        </w:rPr>
        <w:endnoteReference w:id="24"/>
      </w:r>
      <w:r w:rsidR="009E78AF" w:rsidRPr="00241F83">
        <w:rPr>
          <w:rFonts w:cstheme="minorHAnsi"/>
          <w:bCs/>
          <w:sz w:val="24"/>
          <w:szCs w:val="24"/>
          <w:vertAlign w:val="superscript"/>
        </w:rPr>
        <w:t>,</w:t>
      </w:r>
      <w:r w:rsidR="009E78AF" w:rsidRPr="00241F83">
        <w:rPr>
          <w:rStyle w:val="EndnoteReference"/>
          <w:rFonts w:cstheme="minorHAnsi"/>
          <w:bCs/>
          <w:sz w:val="24"/>
          <w:szCs w:val="24"/>
        </w:rPr>
        <w:endnoteReference w:id="25"/>
      </w:r>
      <w:r w:rsidR="009E78AF" w:rsidRPr="00241F83">
        <w:rPr>
          <w:rFonts w:cstheme="minorHAnsi"/>
          <w:bCs/>
          <w:sz w:val="24"/>
          <w:szCs w:val="24"/>
          <w:vertAlign w:val="superscript"/>
        </w:rPr>
        <w:t xml:space="preserve"> </w:t>
      </w:r>
      <w:r w:rsidR="0033366C" w:rsidRPr="00241F83">
        <w:rPr>
          <w:rFonts w:cstheme="minorHAnsi"/>
          <w:bCs/>
          <w:sz w:val="24"/>
          <w:szCs w:val="24"/>
        </w:rPr>
        <w:t xml:space="preserve">Staff compared total costs and copayments of select procedures offered at BOSC using data from Medicare’s Price Procedure Lookup tool that was provided by the </w:t>
      </w:r>
      <w:r w:rsidR="00D33E4C" w:rsidRPr="00241F83">
        <w:rPr>
          <w:rFonts w:cstheme="minorHAnsi"/>
          <w:bCs/>
          <w:sz w:val="24"/>
          <w:szCs w:val="24"/>
        </w:rPr>
        <w:t>Applicant</w:t>
      </w:r>
      <w:r w:rsidR="0033366C" w:rsidRPr="00241F83">
        <w:rPr>
          <w:rFonts w:cstheme="minorHAnsi"/>
          <w:bCs/>
          <w:sz w:val="24"/>
          <w:szCs w:val="24"/>
        </w:rPr>
        <w:t xml:space="preserve"> and </w:t>
      </w:r>
      <w:r w:rsidR="00592C78">
        <w:rPr>
          <w:rFonts w:cstheme="minorHAnsi"/>
          <w:bCs/>
          <w:sz w:val="24"/>
          <w:szCs w:val="24"/>
        </w:rPr>
        <w:t>it illustrated</w:t>
      </w:r>
      <w:r w:rsidR="0033366C" w:rsidRPr="00241F83">
        <w:rPr>
          <w:rFonts w:cstheme="minorHAnsi"/>
          <w:bCs/>
          <w:sz w:val="24"/>
          <w:szCs w:val="24"/>
        </w:rPr>
        <w:t xml:space="preserve"> that ASCs can be a cost-effective alternative for certain procedures.</w:t>
      </w:r>
      <w:r w:rsidR="00592C78">
        <w:rPr>
          <w:rStyle w:val="FootnoteReference"/>
          <w:rFonts w:cstheme="minorHAnsi"/>
          <w:bCs/>
          <w:sz w:val="24"/>
          <w:szCs w:val="24"/>
        </w:rPr>
        <w:footnoteReference w:id="15"/>
      </w:r>
      <w:r w:rsidR="00841BD4" w:rsidRPr="00241F83">
        <w:rPr>
          <w:rFonts w:cstheme="minorHAnsi"/>
          <w:bCs/>
          <w:sz w:val="24"/>
          <w:szCs w:val="24"/>
        </w:rPr>
        <w:t xml:space="preserve"> </w:t>
      </w:r>
    </w:p>
    <w:p w14:paraId="0086A6D3" w14:textId="77777777" w:rsidR="00D93B15" w:rsidRPr="00241F83" w:rsidRDefault="00D93B15" w:rsidP="00EA38CA">
      <w:pPr>
        <w:spacing w:after="0" w:line="240" w:lineRule="auto"/>
        <w:contextualSpacing/>
        <w:rPr>
          <w:rFonts w:cstheme="minorHAnsi"/>
          <w:sz w:val="24"/>
          <w:szCs w:val="24"/>
        </w:rPr>
      </w:pPr>
    </w:p>
    <w:p w14:paraId="566B378E" w14:textId="4557F7EC" w:rsidR="003253C6" w:rsidRPr="00241F83" w:rsidRDefault="003253C6" w:rsidP="00EA38CA">
      <w:pPr>
        <w:pStyle w:val="Heading2"/>
        <w:spacing w:before="0" w:line="240" w:lineRule="auto"/>
        <w:contextualSpacing/>
        <w:rPr>
          <w:rFonts w:asciiTheme="minorHAnsi" w:hAnsiTheme="minorHAnsi" w:cstheme="minorHAnsi"/>
          <w:color w:val="42558C" w:themeColor="accent1" w:themeShade="BF"/>
          <w:sz w:val="28"/>
          <w:szCs w:val="28"/>
        </w:rPr>
      </w:pPr>
      <w:bookmarkStart w:id="52" w:name="_Toc29755685"/>
      <w:bookmarkStart w:id="53" w:name="_Toc58960219"/>
      <w:r w:rsidRPr="00241F83">
        <w:rPr>
          <w:rFonts w:asciiTheme="minorHAnsi" w:hAnsiTheme="minorHAnsi" w:cstheme="minorHAnsi"/>
          <w:color w:val="42558C" w:themeColor="accent1" w:themeShade="BF"/>
          <w:sz w:val="28"/>
          <w:szCs w:val="28"/>
        </w:rPr>
        <w:t>F</w:t>
      </w:r>
      <w:r w:rsidR="00966020" w:rsidRPr="00241F83">
        <w:rPr>
          <w:rFonts w:asciiTheme="minorHAnsi" w:hAnsiTheme="minorHAnsi" w:cstheme="minorHAnsi"/>
          <w:color w:val="42558C" w:themeColor="accent1" w:themeShade="BF"/>
          <w:sz w:val="28"/>
          <w:szCs w:val="28"/>
        </w:rPr>
        <w:t>actor</w:t>
      </w:r>
      <w:r w:rsidRPr="00241F83">
        <w:rPr>
          <w:rFonts w:asciiTheme="minorHAnsi" w:hAnsiTheme="minorHAnsi" w:cstheme="minorHAnsi"/>
          <w:color w:val="42558C" w:themeColor="accent1" w:themeShade="BF"/>
          <w:sz w:val="28"/>
          <w:szCs w:val="28"/>
        </w:rPr>
        <w:t xml:space="preserve"> 1</w:t>
      </w:r>
      <w:bookmarkEnd w:id="52"/>
      <w:r w:rsidRPr="00241F83">
        <w:rPr>
          <w:rFonts w:asciiTheme="minorHAnsi" w:hAnsiTheme="minorHAnsi" w:cstheme="minorHAnsi"/>
          <w:color w:val="42558C" w:themeColor="accent1" w:themeShade="BF"/>
          <w:sz w:val="28"/>
          <w:szCs w:val="28"/>
        </w:rPr>
        <w:t xml:space="preserve"> </w:t>
      </w:r>
      <w:r w:rsidR="00126DEE" w:rsidRPr="00241F83">
        <w:rPr>
          <w:rFonts w:asciiTheme="minorHAnsi" w:hAnsiTheme="minorHAnsi" w:cstheme="minorHAnsi"/>
          <w:color w:val="42558C" w:themeColor="accent1" w:themeShade="BF"/>
          <w:sz w:val="28"/>
          <w:szCs w:val="28"/>
        </w:rPr>
        <w:t>Summary</w:t>
      </w:r>
      <w:bookmarkEnd w:id="53"/>
      <w:r w:rsidR="00126DEE" w:rsidRPr="00241F83">
        <w:rPr>
          <w:rFonts w:asciiTheme="minorHAnsi" w:hAnsiTheme="minorHAnsi" w:cstheme="minorHAnsi"/>
          <w:color w:val="42558C" w:themeColor="accent1" w:themeShade="BF"/>
          <w:sz w:val="28"/>
          <w:szCs w:val="28"/>
        </w:rPr>
        <w:t xml:space="preserve"> </w:t>
      </w:r>
    </w:p>
    <w:p w14:paraId="7B45BD78" w14:textId="77777777" w:rsidR="002F38E8" w:rsidRDefault="008111D5" w:rsidP="00D77092">
      <w:pPr>
        <w:spacing w:after="0" w:line="240" w:lineRule="auto"/>
        <w:contextualSpacing/>
        <w:rPr>
          <w:rFonts w:cstheme="minorHAnsi"/>
          <w:sz w:val="24"/>
          <w:szCs w:val="24"/>
        </w:rPr>
      </w:pPr>
      <w:r w:rsidRPr="00241F83">
        <w:rPr>
          <w:rFonts w:cstheme="minorHAnsi"/>
          <w:sz w:val="24"/>
          <w:szCs w:val="24"/>
        </w:rPr>
        <w:t xml:space="preserve">As a result of information provided by the </w:t>
      </w:r>
      <w:r w:rsidR="00D33E4C" w:rsidRPr="00241F83">
        <w:rPr>
          <w:rFonts w:cstheme="minorHAnsi"/>
          <w:sz w:val="24"/>
          <w:szCs w:val="24"/>
        </w:rPr>
        <w:t>Applicant</w:t>
      </w:r>
      <w:r w:rsidRPr="00241F83">
        <w:rPr>
          <w:rFonts w:cstheme="minorHAnsi"/>
          <w:sz w:val="24"/>
          <w:szCs w:val="24"/>
        </w:rPr>
        <w:t xml:space="preserve"> and additional analysis, staff finds that the </w:t>
      </w:r>
      <w:r w:rsidR="00D33E4C" w:rsidRPr="00241F83">
        <w:rPr>
          <w:rFonts w:cstheme="minorHAnsi"/>
          <w:sz w:val="24"/>
          <w:szCs w:val="24"/>
        </w:rPr>
        <w:t>Applicant</w:t>
      </w:r>
      <w:r w:rsidRPr="00241F83">
        <w:rPr>
          <w:rFonts w:cstheme="minorHAnsi"/>
          <w:sz w:val="24"/>
          <w:szCs w:val="24"/>
        </w:rPr>
        <w:t xml:space="preserve"> has demonstrated that the </w:t>
      </w:r>
      <w:r w:rsidR="00A31EBE" w:rsidRPr="00241F83">
        <w:rPr>
          <w:rFonts w:cstheme="minorHAnsi"/>
          <w:sz w:val="24"/>
          <w:szCs w:val="24"/>
        </w:rPr>
        <w:t>proposed ambulatory surgery project</w:t>
      </w:r>
      <w:r w:rsidRPr="00241F83">
        <w:rPr>
          <w:rFonts w:cstheme="minorHAnsi"/>
          <w:sz w:val="24"/>
          <w:szCs w:val="24"/>
        </w:rPr>
        <w:t xml:space="preserve"> has met Factors </w:t>
      </w:r>
    </w:p>
    <w:p w14:paraId="10C2DD0B" w14:textId="65474C44" w:rsidR="00FC31DB" w:rsidRPr="00241F83" w:rsidRDefault="008111D5" w:rsidP="00D77092">
      <w:pPr>
        <w:spacing w:after="0" w:line="240" w:lineRule="auto"/>
        <w:contextualSpacing/>
        <w:rPr>
          <w:rFonts w:cstheme="minorHAnsi"/>
          <w:sz w:val="24"/>
          <w:szCs w:val="24"/>
        </w:rPr>
      </w:pPr>
      <w:r w:rsidRPr="00241F83">
        <w:rPr>
          <w:rFonts w:cstheme="minorHAnsi"/>
          <w:sz w:val="24"/>
          <w:szCs w:val="24"/>
        </w:rPr>
        <w:t>1(a</w:t>
      </w:r>
      <w:r w:rsidR="009A52EA" w:rsidRPr="00241F83">
        <w:rPr>
          <w:rFonts w:cstheme="minorHAnsi"/>
          <w:sz w:val="24"/>
          <w:szCs w:val="24"/>
        </w:rPr>
        <w:t>-</w:t>
      </w:r>
      <w:r w:rsidRPr="00241F83">
        <w:rPr>
          <w:rFonts w:cstheme="minorHAnsi"/>
          <w:sz w:val="24"/>
          <w:szCs w:val="24"/>
        </w:rPr>
        <w:t>f).</w:t>
      </w:r>
    </w:p>
    <w:p w14:paraId="613D80C1" w14:textId="2363E97F" w:rsidR="006B0B69" w:rsidRPr="00241F83" w:rsidRDefault="0012392C" w:rsidP="006B0B69">
      <w:pPr>
        <w:pStyle w:val="Heading1"/>
        <w:spacing w:line="240" w:lineRule="auto"/>
        <w:rPr>
          <w:rFonts w:asciiTheme="minorHAnsi" w:hAnsiTheme="minorHAnsi" w:cstheme="minorHAnsi"/>
        </w:rPr>
      </w:pPr>
      <w:bookmarkStart w:id="54" w:name="_Toc58960220"/>
      <w:bookmarkStart w:id="55" w:name="_Toc29755686"/>
      <w:r w:rsidRPr="00241F83">
        <w:rPr>
          <w:rFonts w:asciiTheme="minorHAnsi" w:hAnsiTheme="minorHAnsi" w:cstheme="minorHAnsi"/>
        </w:rPr>
        <w:lastRenderedPageBreak/>
        <w:t xml:space="preserve">Factor 2: Cost </w:t>
      </w:r>
      <w:r w:rsidR="004C44D7" w:rsidRPr="00241F83">
        <w:rPr>
          <w:rFonts w:asciiTheme="minorHAnsi" w:hAnsiTheme="minorHAnsi" w:cstheme="minorHAnsi"/>
        </w:rPr>
        <w:t>C</w:t>
      </w:r>
      <w:r w:rsidRPr="00241F83">
        <w:rPr>
          <w:rFonts w:asciiTheme="minorHAnsi" w:hAnsiTheme="minorHAnsi" w:cstheme="minorHAnsi"/>
        </w:rPr>
        <w:t>ontainment, Improved Public Health Outcomes</w:t>
      </w:r>
      <w:r w:rsidR="004C44D7" w:rsidRPr="00241F83">
        <w:rPr>
          <w:rFonts w:asciiTheme="minorHAnsi" w:hAnsiTheme="minorHAnsi" w:cstheme="minorHAnsi"/>
        </w:rPr>
        <w:t>,</w:t>
      </w:r>
      <w:r w:rsidRPr="00241F83">
        <w:rPr>
          <w:rFonts w:asciiTheme="minorHAnsi" w:hAnsiTheme="minorHAnsi" w:cstheme="minorHAnsi"/>
        </w:rPr>
        <w:t xml:space="preserve"> and Delivery System Transformation</w:t>
      </w:r>
      <w:bookmarkEnd w:id="54"/>
      <w:bookmarkEnd w:id="55"/>
    </w:p>
    <w:p w14:paraId="3F713968" w14:textId="1374A92E" w:rsidR="006B0B69" w:rsidRPr="00241F83"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rPr>
        <w:br/>
      </w:r>
      <w:r w:rsidRPr="00241F83">
        <w:rPr>
          <w:rFonts w:eastAsia="Times New Roman" w:cstheme="minorHAnsi"/>
          <w:b/>
          <w:bCs/>
          <w:color w:val="000000"/>
          <w:sz w:val="24"/>
          <w:szCs w:val="24"/>
        </w:rPr>
        <w:t>Cost Containment</w:t>
      </w:r>
    </w:p>
    <w:p w14:paraId="3BB1A1C9" w14:textId="3AF6DD31" w:rsidR="006B0B69" w:rsidRPr="00241F83" w:rsidRDefault="006B0B69" w:rsidP="006B0B69">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reiterated the cost savings achieved in ASCs. According to the CPA report submitted with the application, the net charge per case for the fiscal year ending on Sept. 30, 2021 was $4,762, while the projected net charge per case for year one of the projections is $3,350.</w:t>
      </w:r>
      <w:r w:rsidRPr="00241F83">
        <w:rPr>
          <w:rStyle w:val="FootnoteReference"/>
          <w:rFonts w:eastAsia="Times New Roman" w:cstheme="minorHAnsi"/>
          <w:color w:val="000000"/>
          <w:sz w:val="24"/>
          <w:szCs w:val="24"/>
        </w:rPr>
        <w:footnoteReference w:id="16"/>
      </w:r>
      <w:r w:rsidRPr="00241F83">
        <w:rPr>
          <w:rFonts w:eastAsia="Times New Roman" w:cstheme="minorHAnsi"/>
          <w:color w:val="000000"/>
          <w:sz w:val="24"/>
          <w:szCs w:val="24"/>
        </w:rPr>
        <w:t xml:space="preserve"> The decrease of about $1,400 correlates with the approximate 30% reimbursement reduction for procedures in an ASC versus a HOPD setting. Overall net revenue is projected to decrease $8 million from the fiscal year ending on Sept. 30, 2021 to year one of the projections.</w:t>
      </w:r>
      <w:r w:rsidRPr="00241F83">
        <w:rPr>
          <w:rStyle w:val="FootnoteReference"/>
          <w:rFonts w:eastAsia="Times New Roman" w:cstheme="minorHAnsi"/>
          <w:color w:val="000000"/>
          <w:sz w:val="24"/>
          <w:szCs w:val="24"/>
        </w:rPr>
        <w:footnoteReference w:id="17"/>
      </w:r>
    </w:p>
    <w:p w14:paraId="362EBE92" w14:textId="77777777" w:rsidR="006B0B69" w:rsidRPr="00241F83" w:rsidRDefault="006B0B69" w:rsidP="006B0B69">
      <w:pPr>
        <w:spacing w:after="0" w:line="240" w:lineRule="auto"/>
        <w:rPr>
          <w:rFonts w:eastAsia="Times New Roman" w:cstheme="minorHAnsi"/>
          <w:color w:val="000000"/>
          <w:sz w:val="24"/>
          <w:szCs w:val="24"/>
        </w:rPr>
      </w:pPr>
    </w:p>
    <w:p w14:paraId="3E7F4E28" w14:textId="5E2B6596" w:rsidR="006B0B69" w:rsidRPr="00241F83" w:rsidRDefault="006B0B69" w:rsidP="006B0B69">
      <w:pPr>
        <w:spacing w:after="0" w:line="240" w:lineRule="auto"/>
        <w:rPr>
          <w:rFonts w:cstheme="minorHAnsi"/>
          <w:b/>
          <w:sz w:val="24"/>
          <w:szCs w:val="24"/>
        </w:rPr>
      </w:pPr>
      <w:r w:rsidRPr="00241F83">
        <w:rPr>
          <w:rFonts w:cstheme="minorHAnsi"/>
          <w:b/>
          <w:i/>
          <w:iCs/>
          <w:sz w:val="24"/>
          <w:szCs w:val="24"/>
        </w:rPr>
        <w:t>Analysis</w:t>
      </w:r>
      <w:r w:rsidRPr="00241F83">
        <w:rPr>
          <w:rFonts w:cstheme="minorHAnsi"/>
          <w:b/>
          <w:sz w:val="24"/>
          <w:szCs w:val="24"/>
        </w:rPr>
        <w:t>: Cost Containment</w:t>
      </w:r>
    </w:p>
    <w:p w14:paraId="000FFC96" w14:textId="36486E47" w:rsidR="006B0B69" w:rsidRPr="00241F83" w:rsidRDefault="006B0B69" w:rsidP="006B0B69">
      <w:pPr>
        <w:spacing w:after="0" w:line="240" w:lineRule="auto"/>
        <w:contextualSpacing/>
        <w:rPr>
          <w:rFonts w:cstheme="minorHAnsi"/>
          <w:bCs/>
          <w:sz w:val="24"/>
          <w:szCs w:val="24"/>
        </w:rPr>
      </w:pPr>
      <w:r w:rsidRPr="00241F83">
        <w:rPr>
          <w:rFonts w:cstheme="minorHAnsi"/>
          <w:bCs/>
          <w:sz w:val="24"/>
          <w:szCs w:val="24"/>
        </w:rPr>
        <w:t>A review of the literature shows that the rate of outpatient surgery is increasing in the ASC setting. Studies show that payment differentials between ASCs and HOPDs are driving care to take place in the lower-cost ASC setting, where care may be more cost efficient.</w:t>
      </w:r>
      <w:r w:rsidRPr="00241F83">
        <w:rPr>
          <w:rStyle w:val="EndnoteReference"/>
          <w:rFonts w:cstheme="minorHAnsi"/>
          <w:bCs/>
          <w:sz w:val="24"/>
          <w:szCs w:val="24"/>
        </w:rPr>
        <w:endnoteReference w:id="26"/>
      </w:r>
      <w:r w:rsidRPr="00241F83">
        <w:rPr>
          <w:rFonts w:cstheme="minorHAnsi"/>
          <w:bCs/>
          <w:sz w:val="24"/>
          <w:szCs w:val="24"/>
        </w:rPr>
        <w:t xml:space="preserve"> </w:t>
      </w:r>
      <w:r w:rsidRPr="00241F83">
        <w:rPr>
          <w:rFonts w:cstheme="minorHAnsi"/>
          <w:sz w:val="24"/>
          <w:szCs w:val="24"/>
        </w:rPr>
        <w:t xml:space="preserve">Cost containment on a statewide level is impacted through pricing, which is a function of what providers charge payers and what payers agree to pay. While payment contracts between individual providers and commercial payers are confidential, contracts among providers and Medicare and Medicaid are more transparent. </w:t>
      </w:r>
      <w:r w:rsidRPr="00241F83">
        <w:rPr>
          <w:rFonts w:cstheme="minorHAnsi"/>
          <w:bCs/>
          <w:sz w:val="24"/>
          <w:szCs w:val="24"/>
        </w:rPr>
        <w:t>Since surgeries performed in the ASC setting have been shown to be efficient, cost-effective, and are of equal or higher quality than when they are performed in the HOPD, staff finds that expanding access to outpatient surgery in the ASC setting has the potential to contribute to the</w:t>
      </w:r>
      <w:r w:rsidR="00CA2EB8" w:rsidRPr="00241F83">
        <w:rPr>
          <w:rFonts w:cstheme="minorHAnsi"/>
          <w:bCs/>
          <w:sz w:val="24"/>
          <w:szCs w:val="24"/>
        </w:rPr>
        <w:t xml:space="preserve"> </w:t>
      </w:r>
      <w:r w:rsidRPr="00241F83">
        <w:rPr>
          <w:rFonts w:cstheme="minorHAnsi"/>
          <w:bCs/>
          <w:sz w:val="24"/>
          <w:szCs w:val="24"/>
        </w:rPr>
        <w:t>Commonwealth’s cost containment goals.</w:t>
      </w:r>
    </w:p>
    <w:p w14:paraId="12FE3B1A" w14:textId="35C3D0DD" w:rsidR="006B0B69" w:rsidRPr="00241F83"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sz w:val="24"/>
          <w:szCs w:val="24"/>
        </w:rPr>
        <w:br/>
        <w:t>Public Health Outcomes</w:t>
      </w:r>
    </w:p>
    <w:p w14:paraId="289867A0" w14:textId="617B6EB6" w:rsidR="003F11B8" w:rsidRPr="00241F83" w:rsidRDefault="006B0B69" w:rsidP="006B0B69">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argues that the project will improve public health outcomes by expanding patient access to care via reducing costs. As stated above, a substantial share of adults report deferring or skipping care due to cost,</w:t>
      </w:r>
      <w:r w:rsidR="003F11B8" w:rsidRPr="00241F83">
        <w:rPr>
          <w:rStyle w:val="EndnoteReference"/>
          <w:rFonts w:eastAsia="Times New Roman" w:cstheme="minorHAnsi"/>
          <w:color w:val="000000"/>
          <w:sz w:val="24"/>
          <w:szCs w:val="24"/>
        </w:rPr>
        <w:endnoteReference w:id="27"/>
      </w:r>
      <w:r w:rsidR="003F11B8" w:rsidRPr="00241F83">
        <w:rPr>
          <w:rFonts w:eastAsia="Times New Roman" w:cstheme="minorHAnsi"/>
          <w:color w:val="000000"/>
          <w:sz w:val="24"/>
          <w:szCs w:val="24"/>
        </w:rPr>
        <w:t xml:space="preserve"> </w:t>
      </w:r>
      <w:r w:rsidRPr="00241F83">
        <w:rPr>
          <w:rFonts w:eastAsia="Times New Roman" w:cstheme="minorHAnsi"/>
          <w:color w:val="000000"/>
          <w:sz w:val="24"/>
          <w:szCs w:val="24"/>
        </w:rPr>
        <w:t>which is associated with poorer outcomes.</w:t>
      </w:r>
      <w:r w:rsidR="003F11B8" w:rsidRPr="00241F83">
        <w:rPr>
          <w:rStyle w:val="EndnoteReference"/>
          <w:rFonts w:eastAsia="Times New Roman" w:cstheme="minorHAnsi"/>
          <w:color w:val="000000"/>
          <w:sz w:val="24"/>
          <w:szCs w:val="24"/>
        </w:rPr>
        <w:endnoteReference w:id="28"/>
      </w:r>
    </w:p>
    <w:p w14:paraId="5894A2FE" w14:textId="48DEDCF9" w:rsidR="006B0B69" w:rsidRPr="00241F83" w:rsidRDefault="006B0B69" w:rsidP="006B0B69">
      <w:pPr>
        <w:spacing w:after="0" w:line="240" w:lineRule="auto"/>
        <w:rPr>
          <w:rFonts w:eastAsia="Times New Roman" w:cstheme="minorHAnsi"/>
          <w:color w:val="000000"/>
          <w:sz w:val="24"/>
          <w:szCs w:val="24"/>
        </w:rPr>
      </w:pPr>
    </w:p>
    <w:p w14:paraId="519B174A" w14:textId="0CFF1574" w:rsidR="006B0B69" w:rsidRPr="00241F83" w:rsidRDefault="006B0B69" w:rsidP="006B0B69">
      <w:pPr>
        <w:spacing w:line="240" w:lineRule="auto"/>
        <w:contextualSpacing/>
        <w:rPr>
          <w:rFonts w:cstheme="minorHAnsi"/>
          <w:b/>
          <w:bCs/>
          <w:sz w:val="24"/>
          <w:szCs w:val="24"/>
        </w:rPr>
      </w:pPr>
      <w:r w:rsidRPr="00241F83">
        <w:rPr>
          <w:rFonts w:cstheme="minorHAnsi"/>
          <w:b/>
          <w:i/>
          <w:iCs/>
          <w:sz w:val="24"/>
          <w:szCs w:val="24"/>
        </w:rPr>
        <w:t>Analysis</w:t>
      </w:r>
      <w:r w:rsidRPr="00241F83">
        <w:rPr>
          <w:rFonts w:cstheme="minorHAnsi"/>
          <w:b/>
          <w:sz w:val="24"/>
          <w:szCs w:val="24"/>
        </w:rPr>
        <w:t xml:space="preserve">: </w:t>
      </w:r>
      <w:r w:rsidRPr="00241F83">
        <w:rPr>
          <w:rFonts w:cstheme="minorHAnsi"/>
          <w:b/>
          <w:bCs/>
          <w:sz w:val="24"/>
          <w:szCs w:val="24"/>
        </w:rPr>
        <w:t xml:space="preserve">Public Health Outcomes </w:t>
      </w:r>
    </w:p>
    <w:p w14:paraId="28D013FA" w14:textId="36CCAF2B" w:rsidR="006B0B69" w:rsidRPr="00241F83" w:rsidRDefault="006B0B69" w:rsidP="006B0B69">
      <w:pPr>
        <w:spacing w:after="0" w:line="240" w:lineRule="auto"/>
        <w:rPr>
          <w:rFonts w:eastAsia="Times New Roman" w:cstheme="minorHAnsi"/>
          <w:color w:val="000000"/>
          <w:sz w:val="24"/>
          <w:szCs w:val="24"/>
        </w:rPr>
      </w:pPr>
      <w:r w:rsidRPr="00241F83">
        <w:rPr>
          <w:rFonts w:cstheme="minorHAnsi"/>
          <w:bCs/>
          <w:iCs/>
          <w:sz w:val="24"/>
          <w:szCs w:val="24"/>
        </w:rPr>
        <w:t>Surgical procedures performed in ASCs are associated with reduced mortality, morbidity, and hospital admission rates as compared to outpatient surgery performed in the hospital setting, and patients also experience shorter surgery and recovery times; these benefits appear to extend to vulnerable (highest-risk Medicare) patients.</w:t>
      </w:r>
      <w:r w:rsidRPr="00241F83">
        <w:rPr>
          <w:rStyle w:val="EndnoteReference"/>
          <w:rFonts w:cstheme="minorHAnsi"/>
          <w:bCs/>
          <w:iCs/>
          <w:sz w:val="24"/>
          <w:szCs w:val="24"/>
        </w:rPr>
        <w:endnoteReference w:id="29"/>
      </w:r>
      <w:r w:rsidRPr="00241F83">
        <w:rPr>
          <w:rFonts w:cstheme="minorHAnsi"/>
          <w:bCs/>
          <w:iCs/>
          <w:sz w:val="24"/>
          <w:szCs w:val="24"/>
          <w:vertAlign w:val="superscript"/>
        </w:rPr>
        <w:t>,</w:t>
      </w:r>
      <w:r w:rsidRPr="00241F83">
        <w:rPr>
          <w:rStyle w:val="EndnoteReference"/>
          <w:rFonts w:cstheme="minorHAnsi"/>
          <w:bCs/>
          <w:iCs/>
          <w:sz w:val="24"/>
          <w:szCs w:val="24"/>
        </w:rPr>
        <w:endnoteReference w:id="30"/>
      </w:r>
      <w:r w:rsidRPr="00241F83">
        <w:rPr>
          <w:rFonts w:cstheme="minorHAnsi"/>
          <w:bCs/>
          <w:iCs/>
          <w:sz w:val="24"/>
          <w:szCs w:val="24"/>
          <w:vertAlign w:val="superscript"/>
        </w:rPr>
        <w:t>,</w:t>
      </w:r>
      <w:r w:rsidRPr="00241F83">
        <w:rPr>
          <w:rStyle w:val="EndnoteReference"/>
          <w:rFonts w:cstheme="minorHAnsi"/>
          <w:bCs/>
          <w:iCs/>
          <w:sz w:val="24"/>
          <w:szCs w:val="24"/>
        </w:rPr>
        <w:endnoteReference w:id="31"/>
      </w:r>
      <w:r w:rsidRPr="00241F83">
        <w:rPr>
          <w:rFonts w:cstheme="minorHAnsi"/>
          <w:bCs/>
          <w:iCs/>
          <w:sz w:val="24"/>
          <w:szCs w:val="24"/>
          <w:vertAlign w:val="superscript"/>
        </w:rPr>
        <w:t xml:space="preserve"> </w:t>
      </w:r>
      <w:r w:rsidRPr="00241F83">
        <w:rPr>
          <w:rFonts w:cstheme="minorHAnsi"/>
          <w:bCs/>
          <w:sz w:val="24"/>
          <w:szCs w:val="24"/>
        </w:rPr>
        <w:t xml:space="preserve">Improving access to </w:t>
      </w:r>
      <w:r w:rsidR="002D0205" w:rsidRPr="00241F83">
        <w:rPr>
          <w:rFonts w:eastAsia="Times New Roman" w:cstheme="minorHAnsi"/>
          <w:color w:val="000000"/>
          <w:sz w:val="24"/>
          <w:szCs w:val="24"/>
        </w:rPr>
        <w:t>BOSC</w:t>
      </w:r>
      <w:r w:rsidRPr="00241F83">
        <w:rPr>
          <w:rFonts w:cstheme="minorHAnsi"/>
          <w:bCs/>
          <w:sz w:val="24"/>
          <w:szCs w:val="24"/>
        </w:rPr>
        <w:t>’s services has the potential to improve outcomes and quality of life for the Patient Panel.</w:t>
      </w:r>
      <w:r w:rsidRPr="00241F83">
        <w:rPr>
          <w:rFonts w:cstheme="minorHAnsi"/>
          <w:bCs/>
          <w:sz w:val="24"/>
          <w:szCs w:val="24"/>
        </w:rPr>
        <w:br/>
      </w:r>
    </w:p>
    <w:p w14:paraId="480EF0D5" w14:textId="77777777" w:rsidR="006B0B69" w:rsidRPr="00241F83"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sz w:val="24"/>
          <w:szCs w:val="24"/>
        </w:rPr>
        <w:t>Delivery System Transformation</w:t>
      </w:r>
    </w:p>
    <w:p w14:paraId="61925B60" w14:textId="13BB77FB" w:rsidR="006B0B69" w:rsidRPr="00241F83" w:rsidRDefault="006B0B69" w:rsidP="006B0B69">
      <w:pPr>
        <w:spacing w:after="0" w:line="240" w:lineRule="auto"/>
        <w:rPr>
          <w:rFonts w:cstheme="minorHAnsi"/>
          <w:b/>
          <w:bCs/>
          <w:sz w:val="24"/>
          <w:szCs w:val="24"/>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notes that its clinicians are prepared to refer patients to other providers as needed, connect patients with resources to address the social determinants of health, and liaise with patients’ </w:t>
      </w:r>
      <w:r w:rsidR="00ED0236" w:rsidRPr="00241F83">
        <w:rPr>
          <w:rFonts w:eastAsia="Times New Roman" w:cstheme="minorHAnsi"/>
          <w:color w:val="000000"/>
          <w:sz w:val="24"/>
          <w:szCs w:val="24"/>
        </w:rPr>
        <w:t>PCP</w:t>
      </w:r>
      <w:r w:rsidR="00DA35F5">
        <w:rPr>
          <w:rFonts w:eastAsia="Times New Roman" w:cstheme="minorHAnsi"/>
          <w:color w:val="000000"/>
          <w:sz w:val="24"/>
          <w:szCs w:val="24"/>
        </w:rPr>
        <w:t>s</w:t>
      </w:r>
      <w:r w:rsidRPr="00241F83">
        <w:rPr>
          <w:rFonts w:eastAsia="Times New Roman" w:cstheme="minorHAnsi"/>
          <w:color w:val="000000"/>
          <w:sz w:val="24"/>
          <w:szCs w:val="24"/>
        </w:rPr>
        <w:t xml:space="preserve"> as needed.</w:t>
      </w:r>
      <w:bookmarkStart w:id="56" w:name="_Toc17731330"/>
      <w:bookmarkStart w:id="57" w:name="_Toc17748250"/>
      <w:bookmarkStart w:id="58" w:name="_Toc17748477"/>
      <w:bookmarkStart w:id="59" w:name="_Toc17748721"/>
      <w:bookmarkStart w:id="60" w:name="_Toc18420200"/>
      <w:bookmarkStart w:id="61" w:name="_Toc18922421"/>
    </w:p>
    <w:p w14:paraId="10D351B4" w14:textId="77777777" w:rsidR="006B0B69" w:rsidRPr="00241F83" w:rsidRDefault="006B0B69" w:rsidP="006B0B69">
      <w:pPr>
        <w:spacing w:after="0" w:line="240" w:lineRule="auto"/>
        <w:rPr>
          <w:rFonts w:cstheme="minorHAnsi"/>
          <w:b/>
          <w:bCs/>
          <w:iCs/>
          <w:sz w:val="24"/>
          <w:szCs w:val="24"/>
        </w:rPr>
      </w:pPr>
    </w:p>
    <w:bookmarkEnd w:id="56"/>
    <w:bookmarkEnd w:id="57"/>
    <w:bookmarkEnd w:id="58"/>
    <w:bookmarkEnd w:id="59"/>
    <w:bookmarkEnd w:id="60"/>
    <w:bookmarkEnd w:id="61"/>
    <w:p w14:paraId="2B6256CD" w14:textId="77777777" w:rsidR="00C37646" w:rsidRDefault="00C37646">
      <w:pPr>
        <w:rPr>
          <w:rFonts w:cstheme="minorHAnsi"/>
          <w:b/>
          <w:i/>
          <w:sz w:val="24"/>
          <w:szCs w:val="24"/>
        </w:rPr>
      </w:pPr>
      <w:r>
        <w:rPr>
          <w:rFonts w:cstheme="minorHAnsi"/>
          <w:b/>
          <w:i/>
          <w:sz w:val="24"/>
          <w:szCs w:val="24"/>
        </w:rPr>
        <w:br w:type="page"/>
      </w:r>
    </w:p>
    <w:p w14:paraId="42B3D41F" w14:textId="4E659DC4" w:rsidR="00E8532F" w:rsidRPr="00241F83" w:rsidRDefault="00E8532F" w:rsidP="00EA38CA">
      <w:pPr>
        <w:spacing w:after="0" w:line="240" w:lineRule="auto"/>
        <w:contextualSpacing/>
        <w:rPr>
          <w:rFonts w:cstheme="minorHAnsi"/>
          <w:bCs/>
          <w:iCs/>
          <w:sz w:val="24"/>
          <w:szCs w:val="24"/>
        </w:rPr>
      </w:pPr>
      <w:r w:rsidRPr="00241F83">
        <w:rPr>
          <w:rFonts w:cstheme="minorHAnsi"/>
          <w:b/>
          <w:i/>
          <w:sz w:val="24"/>
          <w:szCs w:val="24"/>
        </w:rPr>
        <w:lastRenderedPageBreak/>
        <w:t>Analysis</w:t>
      </w:r>
      <w:r w:rsidRPr="00241F83">
        <w:rPr>
          <w:rFonts w:cstheme="minorHAnsi"/>
          <w:b/>
          <w:iCs/>
          <w:sz w:val="24"/>
          <w:szCs w:val="24"/>
        </w:rPr>
        <w:t xml:space="preserve">: </w:t>
      </w:r>
      <w:r w:rsidRPr="00241F83">
        <w:rPr>
          <w:rFonts w:cstheme="minorHAnsi"/>
          <w:b/>
          <w:bCs/>
          <w:iCs/>
          <w:sz w:val="24"/>
          <w:szCs w:val="24"/>
        </w:rPr>
        <w:t>Delivery System Transformation</w:t>
      </w:r>
    </w:p>
    <w:p w14:paraId="0E560BC0" w14:textId="76032EA8" w:rsidR="00DE7C79" w:rsidRPr="00241F83" w:rsidRDefault="00D004BA" w:rsidP="00EA38CA">
      <w:pPr>
        <w:spacing w:after="0" w:line="240" w:lineRule="auto"/>
        <w:contextualSpacing/>
        <w:rPr>
          <w:rFonts w:cstheme="minorHAnsi"/>
          <w:iCs/>
          <w:sz w:val="24"/>
          <w:szCs w:val="24"/>
        </w:rPr>
      </w:pPr>
      <w:r w:rsidRPr="00241F83">
        <w:rPr>
          <w:rFonts w:cstheme="minorHAnsi"/>
          <w:iCs/>
          <w:sz w:val="24"/>
          <w:szCs w:val="24"/>
        </w:rPr>
        <w:t xml:space="preserve">Central to the goal of Delivery System Transformation is the integration of social services and community-based expertise. </w:t>
      </w:r>
      <w:r w:rsidR="00775EA2" w:rsidRPr="00241F83">
        <w:rPr>
          <w:rFonts w:cstheme="minorHAnsi"/>
          <w:iCs/>
          <w:sz w:val="24"/>
          <w:szCs w:val="24"/>
        </w:rPr>
        <w:t>The</w:t>
      </w:r>
      <w:r w:rsidRPr="00241F83">
        <w:rPr>
          <w:rFonts w:cstheme="minorHAnsi"/>
          <w:iCs/>
          <w:sz w:val="24"/>
          <w:szCs w:val="24"/>
        </w:rPr>
        <w:t xml:space="preserve"> </w:t>
      </w:r>
      <w:r w:rsidR="00D33E4C" w:rsidRPr="00241F83">
        <w:rPr>
          <w:rFonts w:cstheme="minorHAnsi"/>
          <w:iCs/>
          <w:sz w:val="24"/>
          <w:szCs w:val="24"/>
        </w:rPr>
        <w:t>Applicant</w:t>
      </w:r>
      <w:r w:rsidRPr="00241F83">
        <w:rPr>
          <w:rFonts w:cstheme="minorHAnsi"/>
          <w:iCs/>
          <w:sz w:val="24"/>
          <w:szCs w:val="24"/>
        </w:rPr>
        <w:t xml:space="preserve"> described</w:t>
      </w:r>
      <w:r w:rsidR="00930CE0" w:rsidRPr="00241F83">
        <w:rPr>
          <w:rFonts w:cstheme="minorHAnsi"/>
          <w:iCs/>
          <w:sz w:val="24"/>
          <w:szCs w:val="24"/>
        </w:rPr>
        <w:t xml:space="preserve"> </w:t>
      </w:r>
      <w:r w:rsidR="009A6D55" w:rsidRPr="00241F83">
        <w:rPr>
          <w:rFonts w:cstheme="minorHAnsi"/>
          <w:iCs/>
          <w:sz w:val="24"/>
          <w:szCs w:val="24"/>
        </w:rPr>
        <w:t xml:space="preserve">its </w:t>
      </w:r>
      <w:r w:rsidR="00650E05" w:rsidRPr="00241F83">
        <w:rPr>
          <w:rFonts w:cstheme="minorHAnsi"/>
          <w:iCs/>
          <w:sz w:val="24"/>
          <w:szCs w:val="24"/>
        </w:rPr>
        <w:t>social needs</w:t>
      </w:r>
      <w:r w:rsidR="009A6D55" w:rsidRPr="00241F83">
        <w:rPr>
          <w:rFonts w:cstheme="minorHAnsi"/>
          <w:iCs/>
          <w:sz w:val="24"/>
          <w:szCs w:val="24"/>
        </w:rPr>
        <w:t xml:space="preserve"> screening processes including </w:t>
      </w:r>
      <w:r w:rsidRPr="00241F83">
        <w:rPr>
          <w:rFonts w:cstheme="minorHAnsi"/>
          <w:iCs/>
          <w:sz w:val="24"/>
          <w:szCs w:val="24"/>
        </w:rPr>
        <w:t>how</w:t>
      </w:r>
      <w:r w:rsidR="00A34FAA" w:rsidRPr="00241F83">
        <w:rPr>
          <w:rFonts w:cstheme="minorHAnsi"/>
          <w:iCs/>
          <w:sz w:val="24"/>
          <w:szCs w:val="24"/>
        </w:rPr>
        <w:t xml:space="preserve"> </w:t>
      </w:r>
      <w:r w:rsidR="00F112A9" w:rsidRPr="00241F83">
        <w:rPr>
          <w:rFonts w:cstheme="minorHAnsi"/>
          <w:iCs/>
          <w:sz w:val="24"/>
          <w:szCs w:val="24"/>
        </w:rPr>
        <w:t xml:space="preserve">surgery patients are assessed and how referrals are made to </w:t>
      </w:r>
      <w:r w:rsidR="00AD217E" w:rsidRPr="00241F83">
        <w:rPr>
          <w:rFonts w:cstheme="minorHAnsi"/>
          <w:iCs/>
          <w:sz w:val="24"/>
          <w:szCs w:val="24"/>
        </w:rPr>
        <w:t>the PC</w:t>
      </w:r>
      <w:r w:rsidR="00583224" w:rsidRPr="00241F83">
        <w:rPr>
          <w:rFonts w:cstheme="minorHAnsi"/>
          <w:iCs/>
          <w:sz w:val="24"/>
          <w:szCs w:val="24"/>
        </w:rPr>
        <w:t>P</w:t>
      </w:r>
      <w:r w:rsidR="00AD217E" w:rsidRPr="00241F83">
        <w:rPr>
          <w:rFonts w:cstheme="minorHAnsi"/>
          <w:iCs/>
          <w:sz w:val="24"/>
          <w:szCs w:val="24"/>
        </w:rPr>
        <w:t xml:space="preserve"> and </w:t>
      </w:r>
      <w:r w:rsidR="00F112A9" w:rsidRPr="00241F83">
        <w:rPr>
          <w:rFonts w:cstheme="minorHAnsi"/>
          <w:iCs/>
          <w:sz w:val="24"/>
          <w:szCs w:val="24"/>
        </w:rPr>
        <w:t>outside organizations</w:t>
      </w:r>
      <w:r w:rsidRPr="00241F83">
        <w:rPr>
          <w:rFonts w:cstheme="minorHAnsi"/>
          <w:iCs/>
          <w:sz w:val="24"/>
          <w:szCs w:val="24"/>
        </w:rPr>
        <w:t>.</w:t>
      </w:r>
    </w:p>
    <w:p w14:paraId="592D704E" w14:textId="2FB943D6" w:rsidR="007274E2" w:rsidRPr="00241F83" w:rsidRDefault="00930CE0" w:rsidP="00EA38CA">
      <w:pPr>
        <w:pStyle w:val="Heading1"/>
        <w:spacing w:line="240" w:lineRule="auto"/>
        <w:rPr>
          <w:rFonts w:asciiTheme="minorHAnsi" w:hAnsiTheme="minorHAnsi" w:cstheme="minorHAnsi"/>
          <w:sz w:val="24"/>
          <w:szCs w:val="24"/>
        </w:rPr>
      </w:pPr>
      <w:bookmarkStart w:id="62" w:name="_Toc58960221"/>
      <w:bookmarkStart w:id="63" w:name="_Toc28797409"/>
      <w:bookmarkStart w:id="64" w:name="_Toc29755687"/>
      <w:bookmarkStart w:id="65" w:name="_Toc17748725"/>
      <w:bookmarkStart w:id="66" w:name="_Toc17748726"/>
      <w:r w:rsidRPr="00241F83">
        <w:rPr>
          <w:rFonts w:asciiTheme="minorHAnsi" w:hAnsiTheme="minorHAnsi" w:cstheme="minorHAnsi"/>
        </w:rPr>
        <w:t>Factor</w:t>
      </w:r>
      <w:r w:rsidR="00F90C88" w:rsidRPr="00241F83">
        <w:rPr>
          <w:rFonts w:asciiTheme="minorHAnsi" w:hAnsiTheme="minorHAnsi" w:cstheme="minorHAnsi"/>
        </w:rPr>
        <w:t xml:space="preserve"> </w:t>
      </w:r>
      <w:r w:rsidR="008D67DA" w:rsidRPr="00241F83">
        <w:rPr>
          <w:rFonts w:asciiTheme="minorHAnsi" w:hAnsiTheme="minorHAnsi" w:cstheme="minorHAnsi"/>
        </w:rPr>
        <w:t>2</w:t>
      </w:r>
      <w:r w:rsidRPr="00241F83">
        <w:rPr>
          <w:rFonts w:asciiTheme="minorHAnsi" w:hAnsiTheme="minorHAnsi" w:cstheme="minorHAnsi"/>
        </w:rPr>
        <w:t xml:space="preserve"> Summary</w:t>
      </w:r>
      <w:bookmarkEnd w:id="62"/>
      <w:r w:rsidR="008D67DA" w:rsidRPr="00241F83">
        <w:rPr>
          <w:rFonts w:asciiTheme="minorHAnsi" w:hAnsiTheme="minorHAnsi" w:cstheme="minorHAnsi"/>
        </w:rPr>
        <w:t xml:space="preserve"> </w:t>
      </w:r>
      <w:bookmarkEnd w:id="63"/>
      <w:bookmarkEnd w:id="64"/>
    </w:p>
    <w:p w14:paraId="4000AABF" w14:textId="72AD6DDB" w:rsidR="00076AC1" w:rsidRPr="00241F83" w:rsidRDefault="007274E2" w:rsidP="00EA38CA">
      <w:pPr>
        <w:spacing w:after="0" w:line="240" w:lineRule="auto"/>
        <w:contextualSpacing/>
        <w:rPr>
          <w:rFonts w:cstheme="minorHAnsi"/>
          <w:sz w:val="24"/>
          <w:szCs w:val="24"/>
        </w:rPr>
      </w:pPr>
      <w:r w:rsidRPr="00241F83">
        <w:rPr>
          <w:rFonts w:cstheme="minorHAnsi"/>
          <w:sz w:val="24"/>
          <w:szCs w:val="24"/>
        </w:rPr>
        <w:t>As a result of information provided</w:t>
      </w:r>
      <w:r w:rsidR="008B7B7B" w:rsidRPr="00241F83">
        <w:rPr>
          <w:rFonts w:cstheme="minorHAnsi"/>
          <w:sz w:val="24"/>
          <w:szCs w:val="24"/>
        </w:rPr>
        <w:t>, s</w:t>
      </w:r>
      <w:r w:rsidR="004F16BE" w:rsidRPr="00241F83">
        <w:rPr>
          <w:rFonts w:cstheme="minorHAnsi"/>
          <w:sz w:val="24"/>
          <w:szCs w:val="24"/>
        </w:rPr>
        <w:t xml:space="preserve">taff finds </w:t>
      </w:r>
      <w:r w:rsidR="00071F27" w:rsidRPr="00241F83">
        <w:rPr>
          <w:rFonts w:cstheme="minorHAnsi"/>
          <w:sz w:val="24"/>
          <w:szCs w:val="24"/>
        </w:rPr>
        <w:t>that</w:t>
      </w:r>
      <w:r w:rsidR="004F16BE" w:rsidRPr="00241F83">
        <w:rPr>
          <w:rFonts w:cstheme="minorHAnsi"/>
          <w:sz w:val="24"/>
          <w:szCs w:val="24"/>
        </w:rPr>
        <w:t xml:space="preserve"> the </w:t>
      </w:r>
      <w:r w:rsidR="00D33E4C" w:rsidRPr="00241F83">
        <w:rPr>
          <w:rFonts w:cstheme="minorHAnsi"/>
          <w:sz w:val="24"/>
          <w:szCs w:val="24"/>
        </w:rPr>
        <w:t>Applicant</w:t>
      </w:r>
      <w:r w:rsidR="004F16BE" w:rsidRPr="00241F83">
        <w:rPr>
          <w:rFonts w:cstheme="minorHAnsi"/>
          <w:sz w:val="24"/>
          <w:szCs w:val="24"/>
        </w:rPr>
        <w:t xml:space="preserve"> has </w:t>
      </w:r>
      <w:r w:rsidR="00071F27" w:rsidRPr="00241F83">
        <w:rPr>
          <w:rFonts w:cstheme="minorHAnsi"/>
          <w:sz w:val="24"/>
          <w:szCs w:val="24"/>
        </w:rPr>
        <w:t>sufficiently</w:t>
      </w:r>
      <w:r w:rsidR="004F16BE" w:rsidRPr="00241F83">
        <w:rPr>
          <w:rFonts w:cstheme="minorHAnsi"/>
          <w:sz w:val="24"/>
          <w:szCs w:val="24"/>
        </w:rPr>
        <w:t xml:space="preserve"> met the </w:t>
      </w:r>
      <w:r w:rsidR="00071F27" w:rsidRPr="00241F83">
        <w:rPr>
          <w:rFonts w:cstheme="minorHAnsi"/>
          <w:sz w:val="24"/>
          <w:szCs w:val="24"/>
        </w:rPr>
        <w:t>requirements</w:t>
      </w:r>
      <w:r w:rsidR="004F16BE" w:rsidRPr="00241F83">
        <w:rPr>
          <w:rFonts w:cstheme="minorHAnsi"/>
          <w:sz w:val="24"/>
          <w:szCs w:val="24"/>
        </w:rPr>
        <w:t xml:space="preserve"> of Factor 2</w:t>
      </w:r>
      <w:r w:rsidRPr="00241F83">
        <w:rPr>
          <w:rFonts w:cstheme="minorHAnsi"/>
          <w:sz w:val="24"/>
          <w:szCs w:val="24"/>
        </w:rPr>
        <w:t>.</w:t>
      </w:r>
      <w:r w:rsidR="00337A36" w:rsidRPr="00241F83">
        <w:rPr>
          <w:rFonts w:cstheme="minorHAnsi"/>
          <w:sz w:val="24"/>
          <w:szCs w:val="24"/>
        </w:rPr>
        <w:t xml:space="preserve"> </w:t>
      </w:r>
    </w:p>
    <w:p w14:paraId="47F6C33F" w14:textId="76A8ADD7" w:rsidR="00076AC1" w:rsidRPr="00241F83" w:rsidRDefault="00C37646" w:rsidP="00EA38CA">
      <w:pPr>
        <w:spacing w:line="240" w:lineRule="auto"/>
        <w:rPr>
          <w:rFonts w:cstheme="minorHAnsi"/>
          <w:sz w:val="20"/>
          <w:szCs w:val="20"/>
        </w:rPr>
      </w:pPr>
      <w:r>
        <w:rPr>
          <w:rFonts w:cstheme="minorHAnsi"/>
          <w:sz w:val="20"/>
          <w:szCs w:val="20"/>
        </w:rPr>
        <w:br/>
      </w:r>
    </w:p>
    <w:p w14:paraId="3A7743C2" w14:textId="77777777" w:rsidR="0012392C" w:rsidRPr="00241F83" w:rsidRDefault="00DE19DE" w:rsidP="00EA38CA">
      <w:pPr>
        <w:pStyle w:val="Heading1"/>
        <w:spacing w:before="0" w:line="240" w:lineRule="auto"/>
        <w:contextualSpacing/>
        <w:rPr>
          <w:rFonts w:asciiTheme="minorHAnsi" w:hAnsiTheme="minorHAnsi" w:cstheme="minorHAnsi"/>
        </w:rPr>
      </w:pPr>
      <w:bookmarkStart w:id="67" w:name="_Toc29755688"/>
      <w:bookmarkStart w:id="68" w:name="_Toc58960222"/>
      <w:r w:rsidRPr="00241F83">
        <w:rPr>
          <w:rFonts w:asciiTheme="minorHAnsi" w:hAnsiTheme="minorHAnsi" w:cstheme="minorHAnsi"/>
        </w:rPr>
        <w:t>Fa</w:t>
      </w:r>
      <w:r w:rsidR="0012392C" w:rsidRPr="00241F83">
        <w:rPr>
          <w:rFonts w:asciiTheme="minorHAnsi" w:hAnsiTheme="minorHAnsi" w:cstheme="minorHAnsi"/>
        </w:rPr>
        <w:t>ctor 3: Relevant Licensure/Oversight Compliance</w:t>
      </w:r>
      <w:bookmarkEnd w:id="65"/>
      <w:bookmarkEnd w:id="67"/>
      <w:bookmarkEnd w:id="68"/>
    </w:p>
    <w:p w14:paraId="0C6F3DA0" w14:textId="5CCD3EED" w:rsidR="0012392C" w:rsidRPr="00241F83" w:rsidRDefault="0012392C" w:rsidP="00EA38CA">
      <w:pPr>
        <w:spacing w:after="0" w:line="240" w:lineRule="auto"/>
        <w:contextualSpacing/>
        <w:rPr>
          <w:rFonts w:cstheme="minorHAnsi"/>
          <w:sz w:val="24"/>
          <w:szCs w:val="24"/>
        </w:rPr>
      </w:pPr>
      <w:r w:rsidRPr="00241F83">
        <w:rPr>
          <w:rFonts w:cstheme="minorHAnsi"/>
          <w:sz w:val="24"/>
          <w:szCs w:val="24"/>
        </w:rPr>
        <w:t xml:space="preserve">The </w:t>
      </w:r>
      <w:r w:rsidR="00D33E4C" w:rsidRPr="00241F83">
        <w:rPr>
          <w:rFonts w:cstheme="minorHAnsi"/>
          <w:sz w:val="24"/>
          <w:szCs w:val="24"/>
        </w:rPr>
        <w:t>Applicant</w:t>
      </w:r>
      <w:r w:rsidRPr="00241F83">
        <w:rPr>
          <w:rFonts w:cstheme="minorHAnsi"/>
          <w:sz w:val="24"/>
          <w:szCs w:val="24"/>
        </w:rPr>
        <w:t xml:space="preserve"> has provided evidence of compliance and good standing with federal, state, and local laws and regulations.</w:t>
      </w:r>
      <w:r w:rsidR="008002DF" w:rsidRPr="00241F83">
        <w:rPr>
          <w:rFonts w:cstheme="minorHAnsi"/>
        </w:rPr>
        <w:t xml:space="preserve"> </w:t>
      </w:r>
      <w:r w:rsidR="008002DF" w:rsidRPr="00241F83">
        <w:rPr>
          <w:rFonts w:cstheme="minorHAnsi"/>
          <w:sz w:val="24"/>
          <w:szCs w:val="24"/>
        </w:rPr>
        <w:t>As a result of informat</w:t>
      </w:r>
      <w:r w:rsidR="00035089" w:rsidRPr="00241F83">
        <w:rPr>
          <w:rFonts w:cstheme="minorHAnsi"/>
          <w:sz w:val="24"/>
          <w:szCs w:val="24"/>
        </w:rPr>
        <w:t xml:space="preserve">ion provided by the </w:t>
      </w:r>
      <w:r w:rsidR="00D33E4C" w:rsidRPr="00241F83">
        <w:rPr>
          <w:rFonts w:cstheme="minorHAnsi"/>
          <w:sz w:val="24"/>
          <w:szCs w:val="24"/>
        </w:rPr>
        <w:t>Applicant</w:t>
      </w:r>
      <w:r w:rsidR="00035089" w:rsidRPr="00241F83">
        <w:rPr>
          <w:rFonts w:cstheme="minorHAnsi"/>
          <w:sz w:val="24"/>
          <w:szCs w:val="24"/>
        </w:rPr>
        <w:t>, s</w:t>
      </w:r>
      <w:r w:rsidR="008002DF" w:rsidRPr="00241F83">
        <w:rPr>
          <w:rFonts w:cstheme="minorHAnsi"/>
          <w:sz w:val="24"/>
          <w:szCs w:val="24"/>
        </w:rPr>
        <w:t xml:space="preserve">taff finds the </w:t>
      </w:r>
      <w:r w:rsidR="00D33E4C" w:rsidRPr="00241F83">
        <w:rPr>
          <w:rFonts w:cstheme="minorHAnsi"/>
          <w:sz w:val="24"/>
          <w:szCs w:val="24"/>
        </w:rPr>
        <w:t>Applicant</w:t>
      </w:r>
      <w:r w:rsidR="008002DF" w:rsidRPr="00241F83">
        <w:rPr>
          <w:rFonts w:cstheme="minorHAnsi"/>
          <w:sz w:val="24"/>
          <w:szCs w:val="24"/>
        </w:rPr>
        <w:t xml:space="preserve"> has reasonably met the standards of Factor 3.</w:t>
      </w:r>
    </w:p>
    <w:p w14:paraId="229BD5EE" w14:textId="18DF1A8C" w:rsidR="00653A41" w:rsidRPr="00241F83" w:rsidRDefault="00634624" w:rsidP="00EA38CA">
      <w:pPr>
        <w:pStyle w:val="Heading1"/>
        <w:spacing w:before="0" w:line="240" w:lineRule="auto"/>
        <w:contextualSpacing/>
        <w:rPr>
          <w:rFonts w:asciiTheme="minorHAnsi" w:hAnsiTheme="minorHAnsi" w:cstheme="minorHAnsi"/>
        </w:rPr>
      </w:pPr>
      <w:r w:rsidRPr="00241F83">
        <w:rPr>
          <w:rFonts w:asciiTheme="minorHAnsi" w:hAnsiTheme="minorHAnsi" w:cstheme="minorHAnsi"/>
        </w:rPr>
        <w:br/>
      </w:r>
    </w:p>
    <w:p w14:paraId="0C632F4C" w14:textId="420A2EA6" w:rsidR="00871D66" w:rsidRPr="00241F83" w:rsidRDefault="0012392C" w:rsidP="00634624">
      <w:pPr>
        <w:pStyle w:val="Heading1"/>
        <w:spacing w:before="0" w:line="240" w:lineRule="auto"/>
        <w:contextualSpacing/>
        <w:rPr>
          <w:rFonts w:asciiTheme="minorHAnsi" w:hAnsiTheme="minorHAnsi" w:cstheme="minorHAnsi"/>
        </w:rPr>
      </w:pPr>
      <w:bookmarkStart w:id="69" w:name="_Toc29755689"/>
      <w:bookmarkStart w:id="70" w:name="_Toc58960223"/>
      <w:r w:rsidRPr="00241F83">
        <w:rPr>
          <w:rFonts w:asciiTheme="minorHAnsi" w:hAnsiTheme="minorHAnsi" w:cstheme="minorHAnsi"/>
        </w:rPr>
        <w:t>Factor 4:</w:t>
      </w:r>
      <w:r w:rsidR="00F2354A" w:rsidRPr="00241F83">
        <w:rPr>
          <w:rFonts w:asciiTheme="minorHAnsi" w:hAnsiTheme="minorHAnsi" w:cstheme="minorHAnsi"/>
        </w:rPr>
        <w:t xml:space="preserve"> </w:t>
      </w:r>
      <w:r w:rsidRPr="00241F83">
        <w:rPr>
          <w:rFonts w:asciiTheme="minorHAnsi" w:hAnsiTheme="minorHAnsi" w:cstheme="minorHAnsi"/>
        </w:rPr>
        <w:t>Demonstration of Sufficient Funds as Supported by an Independent CPA Analysis</w:t>
      </w:r>
      <w:bookmarkEnd w:id="66"/>
      <w:bookmarkEnd w:id="69"/>
      <w:bookmarkEnd w:id="70"/>
    </w:p>
    <w:p w14:paraId="0EB962AB" w14:textId="56478AC8"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Under Factor 4,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must demonstrate that it has sufficient funds available for capital and operating costs necessary to support the Proposed Project without negative effects or consequences to the existing Patient Panel. Documentation sufficient to make such </w:t>
      </w:r>
      <w:r w:rsidR="00DD25A5">
        <w:rPr>
          <w:rFonts w:eastAsia="Times New Roman" w:cstheme="minorHAnsi"/>
          <w:color w:val="000000"/>
          <w:sz w:val="24"/>
          <w:szCs w:val="24"/>
        </w:rPr>
        <w:t xml:space="preserve">a </w:t>
      </w:r>
      <w:r w:rsidRPr="00241F83">
        <w:rPr>
          <w:rFonts w:eastAsia="Times New Roman" w:cstheme="minorHAnsi"/>
          <w:color w:val="000000"/>
          <w:sz w:val="24"/>
          <w:szCs w:val="24"/>
        </w:rPr>
        <w:t xml:space="preserve">finding must be supported by an analysis conducted by an independent CPA.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submitted a report performed by Meyers Brothers Kalicka, P.C. (CPA Report).</w:t>
      </w:r>
    </w:p>
    <w:p w14:paraId="790AE4E7" w14:textId="77777777" w:rsidR="00D96DE6" w:rsidRPr="00241F83" w:rsidRDefault="00D96DE6" w:rsidP="00D96DE6">
      <w:pPr>
        <w:spacing w:after="0" w:line="240" w:lineRule="auto"/>
        <w:rPr>
          <w:rFonts w:eastAsia="Times New Roman" w:cstheme="minorHAnsi"/>
          <w:sz w:val="24"/>
          <w:szCs w:val="24"/>
        </w:rPr>
      </w:pPr>
    </w:p>
    <w:p w14:paraId="31FC6742" w14:textId="5CEA095E"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The CPA Report is limited to an analysis of the five-year financial projections prepared by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In order to assess the reasonableness of assumptions used in the preparation and feasibility of the projections with regards to the proposed project, the CPA reviewed internal financial statements for the fiscal year ended September 2020, projected/pro-forma results for the fiscal year ended September 2021, and the D</w:t>
      </w:r>
      <w:r w:rsidR="004C44D7" w:rsidRPr="00241F83">
        <w:rPr>
          <w:rFonts w:eastAsia="Times New Roman" w:cstheme="minorHAnsi"/>
          <w:color w:val="000000"/>
          <w:sz w:val="24"/>
          <w:szCs w:val="24"/>
        </w:rPr>
        <w:t>o</w:t>
      </w:r>
      <w:r w:rsidRPr="00241F83">
        <w:rPr>
          <w:rFonts w:eastAsia="Times New Roman" w:cstheme="minorHAnsi"/>
          <w:color w:val="000000"/>
          <w:sz w:val="24"/>
          <w:szCs w:val="24"/>
        </w:rPr>
        <w:t>N application.</w:t>
      </w:r>
    </w:p>
    <w:p w14:paraId="3B1213D6" w14:textId="77777777" w:rsidR="00D96DE6" w:rsidRPr="00241F83" w:rsidRDefault="00D96DE6" w:rsidP="00D96DE6">
      <w:pPr>
        <w:spacing w:after="0" w:line="240" w:lineRule="auto"/>
        <w:rPr>
          <w:rFonts w:eastAsia="Times New Roman" w:cstheme="minorHAnsi"/>
          <w:sz w:val="24"/>
          <w:szCs w:val="24"/>
        </w:rPr>
      </w:pPr>
    </w:p>
    <w:p w14:paraId="3F8FCFCF" w14:textId="6B7C34D7" w:rsidR="00D96DE6" w:rsidRPr="00241F83" w:rsidRDefault="00D96DE6" w:rsidP="00D96DE6">
      <w:pPr>
        <w:spacing w:after="0" w:line="240" w:lineRule="auto"/>
        <w:rPr>
          <w:rFonts w:eastAsia="Times New Roman" w:cstheme="minorHAnsi"/>
          <w:b/>
          <w:bCs/>
          <w:sz w:val="24"/>
          <w:szCs w:val="24"/>
        </w:rPr>
      </w:pPr>
      <w:r w:rsidRPr="00241F83">
        <w:rPr>
          <w:rFonts w:eastAsia="Times New Roman" w:cstheme="minorHAnsi"/>
          <w:b/>
          <w:bCs/>
          <w:color w:val="000000"/>
          <w:sz w:val="24"/>
          <w:szCs w:val="24"/>
        </w:rPr>
        <w:t>Volume/Revenue</w:t>
      </w:r>
    </w:p>
    <w:p w14:paraId="0B241497" w14:textId="2F20F43B"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The number of total cases will increase 15.7% from 5,465 (in the year ended Sept. 30, 2020) to 6,322 (in the year ended Sept. 30, 2026) due to a substantial increase in orthopedic surgeries and smaller increases in plastic surgery and pain management cases. Although gross charges are projected to increase from around $49.1</w:t>
      </w:r>
      <w:r w:rsidR="00574855" w:rsidRPr="00241F83">
        <w:rPr>
          <w:rFonts w:eastAsia="Times New Roman" w:cstheme="minorHAnsi"/>
          <w:color w:val="000000"/>
          <w:sz w:val="24"/>
          <w:szCs w:val="24"/>
        </w:rPr>
        <w:t xml:space="preserve"> </w:t>
      </w:r>
      <w:r w:rsidRPr="00241F83">
        <w:rPr>
          <w:rFonts w:eastAsia="Times New Roman" w:cstheme="minorHAnsi"/>
          <w:color w:val="000000"/>
          <w:sz w:val="24"/>
          <w:szCs w:val="24"/>
        </w:rPr>
        <w:t>m</w:t>
      </w:r>
      <w:r w:rsidR="00574855" w:rsidRPr="00241F83">
        <w:rPr>
          <w:rFonts w:eastAsia="Times New Roman" w:cstheme="minorHAnsi"/>
          <w:color w:val="000000"/>
          <w:sz w:val="24"/>
          <w:szCs w:val="24"/>
        </w:rPr>
        <w:t>illion</w:t>
      </w:r>
      <w:r w:rsidRPr="00241F83">
        <w:rPr>
          <w:rFonts w:eastAsia="Times New Roman" w:cstheme="minorHAnsi"/>
          <w:color w:val="000000"/>
          <w:sz w:val="24"/>
          <w:szCs w:val="24"/>
        </w:rPr>
        <w:t xml:space="preserve"> (in the year ended Sept. 30, 2020) to around $62.5 million (in the year ended Sept. 30, 2026), net charges per case are projected to decline substantially, and net revenue is projected to decrease from around $25.1</w:t>
      </w:r>
      <w:r w:rsidR="00574855" w:rsidRPr="00241F83">
        <w:rPr>
          <w:rFonts w:eastAsia="Times New Roman" w:cstheme="minorHAnsi"/>
          <w:color w:val="000000"/>
          <w:sz w:val="24"/>
          <w:szCs w:val="24"/>
        </w:rPr>
        <w:t xml:space="preserve"> </w:t>
      </w:r>
      <w:r w:rsidRPr="00241F83">
        <w:rPr>
          <w:rFonts w:eastAsia="Times New Roman" w:cstheme="minorHAnsi"/>
          <w:color w:val="000000"/>
          <w:sz w:val="24"/>
          <w:szCs w:val="24"/>
        </w:rPr>
        <w:t>m</w:t>
      </w:r>
      <w:r w:rsidR="00574855" w:rsidRPr="00241F83">
        <w:rPr>
          <w:rFonts w:eastAsia="Times New Roman" w:cstheme="minorHAnsi"/>
          <w:color w:val="000000"/>
          <w:sz w:val="24"/>
          <w:szCs w:val="24"/>
        </w:rPr>
        <w:t>illion</w:t>
      </w:r>
      <w:r w:rsidRPr="00241F83">
        <w:rPr>
          <w:rFonts w:eastAsia="Times New Roman" w:cstheme="minorHAnsi"/>
          <w:color w:val="000000"/>
          <w:sz w:val="24"/>
          <w:szCs w:val="24"/>
        </w:rPr>
        <w:t xml:space="preserve"> to around $22.7</w:t>
      </w:r>
      <w:r w:rsidR="00574855" w:rsidRPr="00241F83">
        <w:rPr>
          <w:rFonts w:eastAsia="Times New Roman" w:cstheme="minorHAnsi"/>
          <w:color w:val="000000"/>
          <w:sz w:val="24"/>
          <w:szCs w:val="24"/>
        </w:rPr>
        <w:t xml:space="preserve"> million</w:t>
      </w:r>
      <w:r w:rsidRPr="00241F83">
        <w:rPr>
          <w:rFonts w:eastAsia="Times New Roman" w:cstheme="minorHAnsi"/>
          <w:color w:val="000000"/>
          <w:sz w:val="24"/>
          <w:szCs w:val="24"/>
        </w:rPr>
        <w:t>. This decrease in net revenue is attributable to the 30% reduction in reimbursement rates for procedures in an ASC versus a HOPD. </w:t>
      </w:r>
    </w:p>
    <w:p w14:paraId="023696E9" w14:textId="77777777" w:rsidR="00D96DE6" w:rsidRPr="00241F83" w:rsidRDefault="00D96DE6" w:rsidP="00D96DE6">
      <w:pPr>
        <w:spacing w:after="0" w:line="240" w:lineRule="auto"/>
        <w:rPr>
          <w:rFonts w:eastAsia="Times New Roman" w:cstheme="minorHAnsi"/>
          <w:b/>
          <w:bCs/>
          <w:sz w:val="24"/>
          <w:szCs w:val="24"/>
        </w:rPr>
      </w:pPr>
    </w:p>
    <w:p w14:paraId="5BBC08BA" w14:textId="77777777" w:rsidR="00DD25A5" w:rsidRDefault="00DD25A5">
      <w:pPr>
        <w:rPr>
          <w:rFonts w:eastAsia="Times New Roman" w:cstheme="minorHAnsi"/>
          <w:b/>
          <w:bCs/>
          <w:color w:val="000000"/>
          <w:sz w:val="24"/>
          <w:szCs w:val="24"/>
        </w:rPr>
      </w:pPr>
      <w:r>
        <w:rPr>
          <w:rFonts w:eastAsia="Times New Roman" w:cstheme="minorHAnsi"/>
          <w:b/>
          <w:bCs/>
          <w:color w:val="000000"/>
          <w:sz w:val="24"/>
          <w:szCs w:val="24"/>
        </w:rPr>
        <w:br w:type="page"/>
      </w:r>
    </w:p>
    <w:p w14:paraId="03482903" w14:textId="11A400B6" w:rsidR="00D96DE6" w:rsidRPr="00241F83" w:rsidRDefault="00D96DE6" w:rsidP="00D96DE6">
      <w:pPr>
        <w:spacing w:after="0" w:line="240" w:lineRule="auto"/>
        <w:rPr>
          <w:rFonts w:eastAsia="Times New Roman" w:cstheme="minorHAnsi"/>
          <w:b/>
          <w:bCs/>
          <w:sz w:val="24"/>
          <w:szCs w:val="24"/>
        </w:rPr>
      </w:pPr>
      <w:r w:rsidRPr="00241F83">
        <w:rPr>
          <w:rFonts w:eastAsia="Times New Roman" w:cstheme="minorHAnsi"/>
          <w:b/>
          <w:bCs/>
          <w:color w:val="000000"/>
          <w:sz w:val="24"/>
          <w:szCs w:val="24"/>
        </w:rPr>
        <w:lastRenderedPageBreak/>
        <w:t>Expenses</w:t>
      </w:r>
    </w:p>
    <w:p w14:paraId="025A0CB2" w14:textId="6B26EBF2"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Total expenses are projected to increase 8.</w:t>
      </w:r>
      <w:r w:rsidR="001244F4">
        <w:rPr>
          <w:rFonts w:eastAsia="Times New Roman" w:cstheme="minorHAnsi"/>
          <w:color w:val="000000"/>
          <w:sz w:val="24"/>
          <w:szCs w:val="24"/>
        </w:rPr>
        <w:t>4</w:t>
      </w:r>
      <w:r w:rsidRPr="00241F83">
        <w:rPr>
          <w:rFonts w:eastAsia="Times New Roman" w:cstheme="minorHAnsi"/>
          <w:color w:val="000000"/>
          <w:sz w:val="24"/>
          <w:szCs w:val="24"/>
        </w:rPr>
        <w:t>% from about $17.8</w:t>
      </w:r>
      <w:r w:rsidR="00574855" w:rsidRPr="00241F83">
        <w:rPr>
          <w:rFonts w:eastAsia="Times New Roman" w:cstheme="minorHAnsi"/>
          <w:color w:val="000000"/>
          <w:sz w:val="24"/>
          <w:szCs w:val="24"/>
        </w:rPr>
        <w:t xml:space="preserve"> million</w:t>
      </w:r>
      <w:r w:rsidRPr="00241F83">
        <w:rPr>
          <w:rFonts w:eastAsia="Times New Roman" w:cstheme="minorHAnsi"/>
          <w:color w:val="000000"/>
          <w:sz w:val="24"/>
          <w:szCs w:val="24"/>
        </w:rPr>
        <w:t xml:space="preserve"> to about $19.3</w:t>
      </w:r>
      <w:r w:rsidR="00574855" w:rsidRPr="00241F83">
        <w:rPr>
          <w:rFonts w:eastAsia="Times New Roman" w:cstheme="minorHAnsi"/>
          <w:color w:val="000000"/>
          <w:sz w:val="24"/>
          <w:szCs w:val="24"/>
        </w:rPr>
        <w:t xml:space="preserve"> million</w:t>
      </w:r>
      <w:r w:rsidRPr="00241F83">
        <w:rPr>
          <w:rFonts w:eastAsia="Times New Roman" w:cstheme="minorHAnsi"/>
          <w:color w:val="000000"/>
          <w:sz w:val="24"/>
          <w:szCs w:val="24"/>
        </w:rPr>
        <w:t xml:space="preserve"> (from the year ended Sept. 30, 2020 to the year ended Sept. 30, 2026). Line items for salaries, wages, and benefits; occupancy costs; and equipment expense, repairs, and maintenance decreased over the project period. Conversely, spending is projected to increase on drugs and medical supplies; purchased services (including waste management); management expenses (paid to Compass, which has a 5% share in BOSC); office expense, supplies and postage, and other operating expense</w:t>
      </w:r>
      <w:r w:rsidR="00574855" w:rsidRPr="00241F83">
        <w:rPr>
          <w:rFonts w:eastAsia="Times New Roman" w:cstheme="minorHAnsi"/>
          <w:color w:val="000000"/>
          <w:sz w:val="24"/>
          <w:szCs w:val="24"/>
        </w:rPr>
        <w:t>s</w:t>
      </w:r>
      <w:r w:rsidRPr="00241F83">
        <w:rPr>
          <w:rFonts w:eastAsia="Times New Roman" w:cstheme="minorHAnsi"/>
          <w:color w:val="000000"/>
          <w:sz w:val="24"/>
          <w:szCs w:val="24"/>
        </w:rPr>
        <w:t>; depreciation; and interest</w:t>
      </w:r>
      <w:r w:rsidR="00574855" w:rsidRPr="00241F83">
        <w:rPr>
          <w:rFonts w:eastAsia="Times New Roman" w:cstheme="minorHAnsi"/>
          <w:color w:val="000000"/>
          <w:sz w:val="24"/>
          <w:szCs w:val="24"/>
        </w:rPr>
        <w:t>.</w:t>
      </w:r>
    </w:p>
    <w:p w14:paraId="18D32D64" w14:textId="5C340ABD" w:rsidR="00D96DE6" w:rsidRPr="00241F83" w:rsidRDefault="00B73614" w:rsidP="00D96DE6">
      <w:pPr>
        <w:spacing w:after="0" w:line="240" w:lineRule="auto"/>
        <w:rPr>
          <w:rFonts w:eastAsia="Times New Roman" w:cstheme="minorHAnsi"/>
          <w:b/>
          <w:bCs/>
          <w:sz w:val="24"/>
          <w:szCs w:val="24"/>
        </w:rPr>
      </w:pPr>
      <w:r>
        <w:rPr>
          <w:rFonts w:eastAsia="Times New Roman" w:cstheme="minorHAnsi"/>
          <w:b/>
          <w:bCs/>
          <w:color w:val="000000"/>
          <w:sz w:val="24"/>
          <w:szCs w:val="24"/>
        </w:rPr>
        <w:br/>
      </w:r>
      <w:r w:rsidR="00D96DE6" w:rsidRPr="00241F83">
        <w:rPr>
          <w:rFonts w:eastAsia="Times New Roman" w:cstheme="minorHAnsi"/>
          <w:b/>
          <w:bCs/>
          <w:color w:val="000000"/>
          <w:sz w:val="24"/>
          <w:szCs w:val="24"/>
        </w:rPr>
        <w:t>Financing/Maximum Capital Expenditure</w:t>
      </w:r>
    </w:p>
    <w:p w14:paraId="78811D42" w14:textId="4680426F"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According to </w:t>
      </w:r>
      <w:r w:rsidR="001774F1">
        <w:rPr>
          <w:rFonts w:eastAsia="Times New Roman" w:cstheme="minorHAnsi"/>
          <w:color w:val="000000"/>
          <w:sz w:val="24"/>
          <w:szCs w:val="24"/>
        </w:rPr>
        <w:t xml:space="preserve">the </w:t>
      </w:r>
      <w:r w:rsidRPr="00241F83">
        <w:rPr>
          <w:rFonts w:eastAsia="Times New Roman" w:cstheme="minorHAnsi"/>
          <w:color w:val="000000"/>
          <w:sz w:val="24"/>
          <w:szCs w:val="24"/>
        </w:rPr>
        <w:t>CPA Report, 50% of capital expenditures will be financed for the projected/proforma Year One ($475k for five years at 3% interest). No other financing is expected. The maximum capital expenditure for the project is about $14,845,000.</w:t>
      </w:r>
    </w:p>
    <w:p w14:paraId="0C4C5535" w14:textId="77777777" w:rsidR="00D96DE6" w:rsidRPr="00241F83" w:rsidRDefault="00D96DE6" w:rsidP="00D96DE6">
      <w:pPr>
        <w:spacing w:after="0" w:line="240" w:lineRule="auto"/>
        <w:rPr>
          <w:rFonts w:eastAsia="Times New Roman" w:cstheme="minorHAnsi"/>
          <w:sz w:val="24"/>
          <w:szCs w:val="24"/>
        </w:rPr>
      </w:pPr>
    </w:p>
    <w:p w14:paraId="676D78D7" w14:textId="66B36164" w:rsidR="00D96DE6" w:rsidRPr="00241F83" w:rsidRDefault="00D96DE6" w:rsidP="00D96DE6">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As a result of the foregoing, the CPA determined that “the plan is not likely to result in insufficient funds available for capital and ongoing operating costs necessary to support the proposed project without negative impacts or consequences to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or its parties.”</w:t>
      </w:r>
    </w:p>
    <w:p w14:paraId="6DC1BED9" w14:textId="77777777" w:rsidR="00D96DE6" w:rsidRPr="00241F83" w:rsidRDefault="00D96DE6" w:rsidP="00D96DE6">
      <w:pPr>
        <w:spacing w:after="0" w:line="240" w:lineRule="auto"/>
        <w:rPr>
          <w:rFonts w:eastAsia="Times New Roman" w:cstheme="minorHAnsi"/>
          <w:sz w:val="24"/>
          <w:szCs w:val="24"/>
        </w:rPr>
      </w:pPr>
    </w:p>
    <w:p w14:paraId="3783D9B1" w14:textId="0A13268A" w:rsidR="00D96DE6" w:rsidRPr="00241F83" w:rsidRDefault="00D96DE6" w:rsidP="00B14EEF">
      <w:pPr>
        <w:spacing w:after="0" w:line="240" w:lineRule="auto"/>
        <w:rPr>
          <w:rFonts w:eastAsia="Times New Roman" w:cstheme="minorHAnsi"/>
          <w:sz w:val="24"/>
          <w:szCs w:val="24"/>
        </w:rPr>
      </w:pPr>
      <w:r w:rsidRPr="00241F83">
        <w:rPr>
          <w:rFonts w:eastAsia="Times New Roman" w:cstheme="minorHAnsi"/>
          <w:color w:val="000000"/>
          <w:sz w:val="24"/>
          <w:szCs w:val="24"/>
        </w:rPr>
        <w:t xml:space="preserve">As a result of information provided by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staff finds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has reasonably met the standards of Factor 4.</w:t>
      </w:r>
    </w:p>
    <w:p w14:paraId="2B8CAD73" w14:textId="3B1501D2" w:rsidR="00B14EEF" w:rsidRPr="00241F83" w:rsidRDefault="009F2843" w:rsidP="00B14EEF">
      <w:pPr>
        <w:spacing w:after="0" w:line="240" w:lineRule="auto"/>
        <w:rPr>
          <w:rFonts w:cstheme="minorHAnsi"/>
          <w:sz w:val="24"/>
          <w:szCs w:val="24"/>
        </w:rPr>
      </w:pPr>
      <w:r w:rsidRPr="00241F83">
        <w:rPr>
          <w:rFonts w:cstheme="minorHAnsi"/>
          <w:sz w:val="24"/>
          <w:szCs w:val="24"/>
        </w:rPr>
        <w:br/>
      </w:r>
    </w:p>
    <w:p w14:paraId="3477769D" w14:textId="1BAC5C37" w:rsidR="00664E2C" w:rsidRPr="00241F83" w:rsidRDefault="0012392C" w:rsidP="00810069">
      <w:pPr>
        <w:pStyle w:val="Heading1"/>
        <w:spacing w:before="0" w:line="240" w:lineRule="auto"/>
        <w:ind w:left="-360" w:firstLine="360"/>
        <w:contextualSpacing/>
        <w:rPr>
          <w:rFonts w:asciiTheme="minorHAnsi" w:hAnsiTheme="minorHAnsi" w:cstheme="minorHAnsi"/>
        </w:rPr>
      </w:pPr>
      <w:bookmarkStart w:id="71" w:name="_Toc30593461"/>
      <w:bookmarkStart w:id="72" w:name="_Toc58960224"/>
      <w:bookmarkStart w:id="73" w:name="_Toc29755691"/>
      <w:bookmarkStart w:id="74" w:name="_Toc29755729"/>
      <w:r w:rsidRPr="00241F83">
        <w:rPr>
          <w:rFonts w:asciiTheme="minorHAnsi" w:hAnsiTheme="minorHAnsi" w:cstheme="minorHAnsi"/>
        </w:rPr>
        <w:t>Factor 5: Assessment of the Proposed Project’s Relative Merit</w:t>
      </w:r>
      <w:bookmarkStart w:id="75" w:name="_Toc17151192"/>
      <w:bookmarkStart w:id="76" w:name="_Toc17322410"/>
      <w:bookmarkEnd w:id="71"/>
      <w:bookmarkEnd w:id="72"/>
      <w:r w:rsidR="002C45B4" w:rsidRPr="00241F83">
        <w:rPr>
          <w:rFonts w:asciiTheme="minorHAnsi" w:hAnsiTheme="minorHAnsi" w:cstheme="minorHAnsi"/>
        </w:rPr>
        <w:t xml:space="preserve"> </w:t>
      </w:r>
    </w:p>
    <w:p w14:paraId="024F6312" w14:textId="0A2593A1" w:rsidR="00B22361" w:rsidRPr="00241F83" w:rsidRDefault="003D503F" w:rsidP="00D4346E">
      <w:pPr>
        <w:spacing w:line="240" w:lineRule="auto"/>
        <w:rPr>
          <w:rFonts w:eastAsia="Times New Roman" w:cstheme="minorHAnsi"/>
        </w:rPr>
      </w:pPr>
      <w:r w:rsidRPr="00241F83">
        <w:rPr>
          <w:rFonts w:cstheme="minorHAnsi"/>
          <w:color w:val="000000"/>
          <w:sz w:val="24"/>
          <w:szCs w:val="24"/>
        </w:rPr>
        <w:t xml:space="preserve">The </w:t>
      </w:r>
      <w:r w:rsidR="00D33E4C" w:rsidRPr="00241F83">
        <w:rPr>
          <w:rFonts w:cstheme="minorHAnsi"/>
          <w:color w:val="000000"/>
          <w:sz w:val="24"/>
          <w:szCs w:val="24"/>
        </w:rPr>
        <w:t>Applicant</w:t>
      </w:r>
      <w:r w:rsidRPr="00241F83">
        <w:rPr>
          <w:rFonts w:cstheme="minorHAnsi"/>
          <w:color w:val="000000"/>
          <w:sz w:val="24"/>
          <w:szCs w:val="24"/>
        </w:rPr>
        <w:t xml:space="preserve"> compares the Proposed Project to the alternative of continuing operations as a HOPD. The </w:t>
      </w:r>
      <w:r w:rsidR="00D33E4C" w:rsidRPr="00241F83">
        <w:rPr>
          <w:rFonts w:cstheme="minorHAnsi"/>
          <w:color w:val="000000"/>
          <w:sz w:val="24"/>
          <w:szCs w:val="24"/>
        </w:rPr>
        <w:t>Applicant</w:t>
      </w:r>
      <w:r w:rsidRPr="00241F83">
        <w:rPr>
          <w:rFonts w:cstheme="minorHAnsi"/>
          <w:color w:val="000000"/>
          <w:sz w:val="24"/>
          <w:szCs w:val="24"/>
        </w:rPr>
        <w:t xml:space="preserve"> dismissed this alternative because a freestanding ASC will maximize efficiencies by using a dedicated staff and an experienced management company, thus facilitating lower operating costs. Additionally, continuing to operate as an HOPD would </w:t>
      </w:r>
      <w:r w:rsidR="00574855" w:rsidRPr="00241F83">
        <w:rPr>
          <w:rFonts w:cstheme="minorHAnsi"/>
          <w:color w:val="000000"/>
          <w:sz w:val="24"/>
          <w:szCs w:val="24"/>
        </w:rPr>
        <w:t xml:space="preserve">deprive </w:t>
      </w:r>
      <w:r w:rsidRPr="00241F83">
        <w:rPr>
          <w:rFonts w:cstheme="minorHAnsi"/>
          <w:color w:val="000000"/>
          <w:sz w:val="24"/>
          <w:szCs w:val="24"/>
        </w:rPr>
        <w:t xml:space="preserve">patients and payers </w:t>
      </w:r>
      <w:r w:rsidR="00574855" w:rsidRPr="00241F83">
        <w:rPr>
          <w:rFonts w:cstheme="minorHAnsi"/>
          <w:color w:val="000000"/>
          <w:sz w:val="24"/>
          <w:szCs w:val="24"/>
        </w:rPr>
        <w:t>of</w:t>
      </w:r>
      <w:r w:rsidRPr="00241F83">
        <w:rPr>
          <w:rFonts w:cstheme="minorHAnsi"/>
          <w:color w:val="000000"/>
          <w:sz w:val="24"/>
          <w:szCs w:val="24"/>
        </w:rPr>
        <w:t xml:space="preserve"> </w:t>
      </w:r>
      <w:r w:rsidR="00574855" w:rsidRPr="00241F83">
        <w:rPr>
          <w:rFonts w:cstheme="minorHAnsi"/>
          <w:color w:val="000000"/>
          <w:sz w:val="24"/>
          <w:szCs w:val="24"/>
        </w:rPr>
        <w:t xml:space="preserve">an ASC’s </w:t>
      </w:r>
      <w:r w:rsidRPr="00241F83">
        <w:rPr>
          <w:rFonts w:cstheme="minorHAnsi"/>
          <w:color w:val="000000"/>
          <w:sz w:val="24"/>
          <w:szCs w:val="24"/>
        </w:rPr>
        <w:t xml:space="preserve">lower prices. Moreover, because Baystate already purchased the building where </w:t>
      </w:r>
      <w:r w:rsidR="001774F1">
        <w:rPr>
          <w:rFonts w:cstheme="minorHAnsi"/>
          <w:color w:val="000000"/>
          <w:sz w:val="24"/>
          <w:szCs w:val="24"/>
        </w:rPr>
        <w:t>the ASC</w:t>
      </w:r>
      <w:r w:rsidRPr="00241F83">
        <w:rPr>
          <w:rFonts w:cstheme="minorHAnsi"/>
          <w:color w:val="000000"/>
          <w:sz w:val="24"/>
          <w:szCs w:val="24"/>
        </w:rPr>
        <w:t xml:space="preserve"> would operate, the capital expense for the proposed project and the alternative proposal is the same ($14,635,428). According to the </w:t>
      </w:r>
      <w:r w:rsidR="00D33E4C" w:rsidRPr="00241F83">
        <w:rPr>
          <w:rFonts w:cstheme="minorHAnsi"/>
          <w:color w:val="000000"/>
          <w:sz w:val="24"/>
          <w:szCs w:val="24"/>
        </w:rPr>
        <w:t>Applicant</w:t>
      </w:r>
      <w:r w:rsidRPr="00241F83">
        <w:rPr>
          <w:rFonts w:cstheme="minorHAnsi"/>
          <w:color w:val="000000"/>
          <w:sz w:val="24"/>
          <w:szCs w:val="24"/>
        </w:rPr>
        <w:t>, there would be no difference in quality between the proposed project and the alternate proposal.</w:t>
      </w:r>
      <w:r w:rsidRPr="00241F83">
        <w:rPr>
          <w:rFonts w:cstheme="minorHAnsi"/>
          <w:color w:val="000000"/>
          <w:sz w:val="24"/>
          <w:szCs w:val="24"/>
        </w:rPr>
        <w:br/>
      </w:r>
      <w:r w:rsidRPr="00241F83">
        <w:rPr>
          <w:rFonts w:cstheme="minorHAnsi"/>
          <w:color w:val="000000"/>
          <w:sz w:val="24"/>
          <w:szCs w:val="24"/>
        </w:rPr>
        <w:br/>
        <w:t>Staff agrees that the above alternative of maintaining the status quo will not adequately address Patient Panel need for high-quality and convenient access to outpatient surgical services. As a</w:t>
      </w:r>
      <w:r w:rsidRPr="00241F83">
        <w:rPr>
          <w:rFonts w:cstheme="minorHAnsi"/>
          <w:b/>
          <w:bCs/>
          <w:color w:val="000000"/>
          <w:sz w:val="24"/>
          <w:szCs w:val="24"/>
        </w:rPr>
        <w:t xml:space="preserve"> </w:t>
      </w:r>
      <w:r w:rsidRPr="00241F83">
        <w:rPr>
          <w:rFonts w:cstheme="minorHAnsi"/>
          <w:color w:val="000000"/>
          <w:sz w:val="24"/>
          <w:szCs w:val="24"/>
        </w:rPr>
        <w:t xml:space="preserve">result of information provided by the </w:t>
      </w:r>
      <w:r w:rsidR="00D33E4C" w:rsidRPr="00241F83">
        <w:rPr>
          <w:rFonts w:cstheme="minorHAnsi"/>
          <w:color w:val="000000"/>
          <w:sz w:val="24"/>
          <w:szCs w:val="24"/>
        </w:rPr>
        <w:t>Applicant</w:t>
      </w:r>
      <w:r w:rsidRPr="00241F83">
        <w:rPr>
          <w:rFonts w:cstheme="minorHAnsi"/>
          <w:color w:val="000000"/>
          <w:sz w:val="24"/>
          <w:szCs w:val="24"/>
        </w:rPr>
        <w:t xml:space="preserve"> and additional analysis, staff finds the </w:t>
      </w:r>
      <w:r w:rsidR="00D33E4C" w:rsidRPr="00241F83">
        <w:rPr>
          <w:rFonts w:cstheme="minorHAnsi"/>
          <w:color w:val="000000"/>
          <w:sz w:val="24"/>
          <w:szCs w:val="24"/>
        </w:rPr>
        <w:t>Applicant</w:t>
      </w:r>
      <w:r w:rsidRPr="00241F83">
        <w:rPr>
          <w:rFonts w:cstheme="minorHAnsi"/>
          <w:color w:val="000000"/>
          <w:sz w:val="24"/>
          <w:szCs w:val="24"/>
        </w:rPr>
        <w:t xml:space="preserve"> has</w:t>
      </w:r>
      <w:r w:rsidRPr="00241F83">
        <w:rPr>
          <w:rFonts w:cstheme="minorHAnsi"/>
          <w:b/>
          <w:bCs/>
          <w:color w:val="000000"/>
          <w:sz w:val="24"/>
          <w:szCs w:val="24"/>
        </w:rPr>
        <w:t xml:space="preserve"> </w:t>
      </w:r>
      <w:r w:rsidRPr="00241F83">
        <w:rPr>
          <w:rFonts w:cstheme="minorHAnsi"/>
          <w:color w:val="000000"/>
          <w:sz w:val="24"/>
          <w:szCs w:val="24"/>
        </w:rPr>
        <w:t>reasonably met the standards of Factor 5.</w:t>
      </w:r>
      <w:r w:rsidRPr="00241F83">
        <w:rPr>
          <w:rFonts w:cstheme="minorHAnsi"/>
          <w:sz w:val="24"/>
          <w:szCs w:val="24"/>
        </w:rPr>
        <w:br/>
      </w:r>
      <w:bookmarkStart w:id="77" w:name="_Toc30593462"/>
    </w:p>
    <w:p w14:paraId="6B07E943" w14:textId="75CDBF43" w:rsidR="002F24F8" w:rsidRPr="001774F1" w:rsidRDefault="00323247" w:rsidP="001774F1">
      <w:pPr>
        <w:pStyle w:val="Heading1"/>
        <w:spacing w:before="0" w:line="240" w:lineRule="auto"/>
        <w:ind w:left="-360" w:firstLine="360"/>
        <w:contextualSpacing/>
        <w:rPr>
          <w:rFonts w:asciiTheme="minorHAnsi" w:hAnsiTheme="minorHAnsi" w:cstheme="minorHAnsi"/>
        </w:rPr>
      </w:pPr>
      <w:bookmarkStart w:id="78" w:name="_Toc58960225"/>
      <w:r w:rsidRPr="00241F83">
        <w:rPr>
          <w:rFonts w:asciiTheme="minorHAnsi" w:eastAsia="Times New Roman" w:hAnsiTheme="minorHAnsi" w:cstheme="minorHAnsi"/>
        </w:rPr>
        <w:t>F</w:t>
      </w:r>
      <w:r w:rsidR="00191B8C" w:rsidRPr="00241F83">
        <w:rPr>
          <w:rFonts w:asciiTheme="minorHAnsi" w:eastAsia="Times New Roman" w:hAnsiTheme="minorHAnsi" w:cstheme="minorHAnsi"/>
        </w:rPr>
        <w:t>actor 6: Fulfillment of DPH Community-based Health Initiatives Guideline</w:t>
      </w:r>
      <w:bookmarkEnd w:id="73"/>
      <w:bookmarkEnd w:id="74"/>
      <w:bookmarkEnd w:id="77"/>
      <w:bookmarkEnd w:id="78"/>
      <w:r w:rsidR="00191B8C" w:rsidRPr="00241F83">
        <w:rPr>
          <w:rFonts w:asciiTheme="minorHAnsi" w:eastAsia="Times New Roman" w:hAnsiTheme="minorHAnsi" w:cstheme="minorHAnsi"/>
        </w:rPr>
        <w:t xml:space="preserve"> </w:t>
      </w:r>
      <w:bookmarkStart w:id="79" w:name="_Toc29755693"/>
      <w:bookmarkEnd w:id="75"/>
      <w:bookmarkEnd w:id="76"/>
    </w:p>
    <w:p w14:paraId="7225B1EE" w14:textId="241C8594" w:rsidR="003D503F" w:rsidRPr="00241F83" w:rsidRDefault="003D503F" w:rsidP="003D503F">
      <w:pPr>
        <w:spacing w:after="0" w:line="240" w:lineRule="auto"/>
        <w:ind w:right="540"/>
        <w:contextualSpacing/>
        <w:rPr>
          <w:rFonts w:eastAsia="Calibri" w:cstheme="minorHAnsi"/>
          <w:sz w:val="24"/>
          <w:szCs w:val="24"/>
        </w:rPr>
      </w:pPr>
      <w:r w:rsidRPr="00241F83">
        <w:rPr>
          <w:rFonts w:eastAsia="Calibri" w:cstheme="minorHAnsi"/>
          <w:b/>
          <w:bCs/>
          <w:sz w:val="24"/>
          <w:szCs w:val="24"/>
        </w:rPr>
        <w:t xml:space="preserve">Summary and </w:t>
      </w:r>
      <w:r w:rsidR="009F2843" w:rsidRPr="00241F83">
        <w:rPr>
          <w:rFonts w:eastAsia="Calibri" w:cstheme="minorHAnsi"/>
          <w:b/>
          <w:bCs/>
          <w:sz w:val="24"/>
          <w:szCs w:val="24"/>
        </w:rPr>
        <w:t>B</w:t>
      </w:r>
      <w:r w:rsidRPr="00241F83">
        <w:rPr>
          <w:rFonts w:eastAsia="Calibri" w:cstheme="minorHAnsi"/>
          <w:b/>
          <w:bCs/>
          <w:sz w:val="24"/>
          <w:szCs w:val="24"/>
        </w:rPr>
        <w:t>ackground</w:t>
      </w:r>
      <w:r w:rsidRPr="00241F83">
        <w:rPr>
          <w:rFonts w:eastAsia="Calibri" w:cstheme="minorHAnsi"/>
          <w:b/>
          <w:bCs/>
          <w:sz w:val="24"/>
          <w:szCs w:val="24"/>
        </w:rPr>
        <w:br/>
      </w:r>
      <w:r w:rsidRPr="00241F83">
        <w:rPr>
          <w:rFonts w:eastAsia="Calibri" w:cstheme="minorHAnsi"/>
          <w:sz w:val="24"/>
          <w:szCs w:val="24"/>
        </w:rPr>
        <w:t xml:space="preserve">The </w:t>
      </w:r>
      <w:r w:rsidR="00D33E4C" w:rsidRPr="00241F83">
        <w:rPr>
          <w:rFonts w:eastAsia="Calibri" w:cstheme="minorHAnsi"/>
          <w:sz w:val="24"/>
          <w:szCs w:val="24"/>
        </w:rPr>
        <w:t>Applicant</w:t>
      </w:r>
      <w:r w:rsidRPr="00241F83">
        <w:rPr>
          <w:rFonts w:eastAsia="Calibri" w:cstheme="minorHAnsi"/>
          <w:sz w:val="24"/>
          <w:szCs w:val="24"/>
        </w:rPr>
        <w:t xml:space="preserve"> is engaged in a process to fulfill their Community Health Initiative (CHI) requirements that is different than the process for most applicants. The project is for an ASC, which would traditionally pay its entire CHI contribution to the Statewide Funds. In this case, the ASC is within the Applicant’s geographic area for both care catchment and community health planning work, and the Applicant will conduct a Local Community </w:t>
      </w:r>
      <w:r w:rsidRPr="00241F83">
        <w:rPr>
          <w:rFonts w:eastAsia="Calibri" w:cstheme="minorHAnsi"/>
          <w:sz w:val="24"/>
          <w:szCs w:val="24"/>
        </w:rPr>
        <w:lastRenderedPageBreak/>
        <w:t>Health Initiative for this application. The Applicant submitted its Community Health Needs Assessment (CHNA) from 2019, and this covers the geography of the planned ASC. The Applicant plans to release its next CHNA in fall 2022 and will use the findings to inform the investment strategies for the CHI funds associated with this application.</w:t>
      </w:r>
      <w:r w:rsidR="0045744F" w:rsidRPr="00241F83">
        <w:rPr>
          <w:rFonts w:eastAsia="Calibri" w:cstheme="minorHAnsi"/>
          <w:sz w:val="24"/>
          <w:szCs w:val="24"/>
        </w:rPr>
        <w:t xml:space="preserve"> </w:t>
      </w:r>
      <w:r w:rsidRPr="00241F83">
        <w:rPr>
          <w:rFonts w:eastAsia="Calibri" w:cstheme="minorHAnsi"/>
          <w:sz w:val="24"/>
          <w:szCs w:val="24"/>
        </w:rPr>
        <w:t xml:space="preserve">The Department requested and received from the Applicant a commitment to ongoing needs assessment in this geography and further local CHI investment should there be </w:t>
      </w:r>
      <w:r w:rsidR="0045744F" w:rsidRPr="00241F83">
        <w:rPr>
          <w:rFonts w:eastAsia="Calibri" w:cstheme="minorHAnsi"/>
          <w:sz w:val="24"/>
          <w:szCs w:val="24"/>
        </w:rPr>
        <w:t>additional</w:t>
      </w:r>
      <w:r w:rsidRPr="00241F83">
        <w:rPr>
          <w:rFonts w:eastAsia="Calibri" w:cstheme="minorHAnsi"/>
          <w:sz w:val="24"/>
          <w:szCs w:val="24"/>
        </w:rPr>
        <w:t xml:space="preserve"> DoN applications associated with this proposed site.</w:t>
      </w:r>
    </w:p>
    <w:p w14:paraId="2B27E947" w14:textId="77777777" w:rsidR="003D503F" w:rsidRPr="00241F83" w:rsidRDefault="003D503F" w:rsidP="003D503F">
      <w:pPr>
        <w:spacing w:after="0" w:line="240" w:lineRule="auto"/>
        <w:ind w:right="540"/>
        <w:contextualSpacing/>
        <w:rPr>
          <w:rFonts w:eastAsia="Calibri" w:cstheme="minorHAnsi"/>
          <w:sz w:val="24"/>
          <w:szCs w:val="24"/>
        </w:rPr>
      </w:pPr>
    </w:p>
    <w:p w14:paraId="352D1F56" w14:textId="77777777" w:rsidR="003D503F" w:rsidRPr="00241F83" w:rsidRDefault="003D503F" w:rsidP="003D503F">
      <w:pPr>
        <w:spacing w:after="0" w:line="240" w:lineRule="auto"/>
        <w:ind w:right="540"/>
        <w:contextualSpacing/>
        <w:rPr>
          <w:rFonts w:eastAsia="Calibri" w:cstheme="minorHAnsi"/>
          <w:sz w:val="24"/>
          <w:szCs w:val="24"/>
        </w:rPr>
      </w:pPr>
      <w:r w:rsidRPr="00241F83">
        <w:rPr>
          <w:rFonts w:eastAsia="Calibri" w:cstheme="minorHAnsi"/>
          <w:sz w:val="24"/>
          <w:szCs w:val="24"/>
        </w:rPr>
        <w:t>The Applicant submitted the 2019 CHNA and Implementation Strategy and a CHI Narrative. A Self-Assessment, Stakeholder Assessment, and Community Engagement Plan were not required in this case as this application is associated with documents from prior applications. That is, the Applicant has submitted these documents as part of a project covered by the same timeframe for the 2019 CHNA.</w:t>
      </w:r>
    </w:p>
    <w:p w14:paraId="1F17F837" w14:textId="77777777" w:rsidR="003D503F" w:rsidRPr="00241F83" w:rsidRDefault="003D503F" w:rsidP="003D503F">
      <w:pPr>
        <w:spacing w:after="0" w:line="240" w:lineRule="auto"/>
        <w:ind w:right="540"/>
        <w:contextualSpacing/>
        <w:rPr>
          <w:rFonts w:eastAsia="Calibri" w:cstheme="minorHAnsi"/>
          <w:sz w:val="24"/>
          <w:szCs w:val="24"/>
        </w:rPr>
      </w:pPr>
    </w:p>
    <w:p w14:paraId="759A24E1" w14:textId="176E061A" w:rsidR="003D503F" w:rsidRPr="00241F83" w:rsidRDefault="003D503F" w:rsidP="003D503F">
      <w:pPr>
        <w:spacing w:after="0" w:line="240" w:lineRule="auto"/>
        <w:contextualSpacing/>
        <w:rPr>
          <w:rFonts w:eastAsia="Calibri" w:cstheme="minorHAnsi"/>
          <w:sz w:val="24"/>
          <w:szCs w:val="24"/>
        </w:rPr>
      </w:pPr>
      <w:r w:rsidRPr="00241F83">
        <w:rPr>
          <w:rFonts w:eastAsia="Calibri" w:cstheme="minorHAnsi"/>
          <w:b/>
          <w:sz w:val="24"/>
          <w:szCs w:val="24"/>
        </w:rPr>
        <w:t>The Community Health Needs Assessment</w:t>
      </w:r>
      <w:r w:rsidRPr="00241F83">
        <w:rPr>
          <w:rFonts w:eastAsia="Calibri" w:cstheme="minorHAnsi"/>
          <w:sz w:val="24"/>
          <w:szCs w:val="24"/>
        </w:rPr>
        <w:t xml:space="preserve"> was conducted in 2019 by the </w:t>
      </w:r>
      <w:r w:rsidR="00D33E4C" w:rsidRPr="00241F83">
        <w:rPr>
          <w:rFonts w:eastAsia="Calibri" w:cstheme="minorHAnsi"/>
          <w:sz w:val="24"/>
          <w:szCs w:val="24"/>
        </w:rPr>
        <w:t>Applicant</w:t>
      </w:r>
      <w:r w:rsidRPr="00241F83">
        <w:rPr>
          <w:rFonts w:eastAsia="Calibri" w:cstheme="minorHAnsi"/>
          <w:sz w:val="24"/>
          <w:szCs w:val="24"/>
        </w:rPr>
        <w:t xml:space="preserve">, Baystate Medical Center, in partnership with Public Health Institute of Western Massachusetts, Community Health Solutions, Collaborative for Educational Services, Franklin Regional Council of Governments, and Pioneer Valley Planning Commission. In completing the CHNA, the </w:t>
      </w:r>
      <w:r w:rsidR="00D33E4C" w:rsidRPr="00241F83">
        <w:rPr>
          <w:rFonts w:eastAsia="Calibri" w:cstheme="minorHAnsi"/>
          <w:sz w:val="24"/>
          <w:szCs w:val="24"/>
        </w:rPr>
        <w:t>Applicant</w:t>
      </w:r>
      <w:r w:rsidRPr="00241F83">
        <w:rPr>
          <w:rFonts w:eastAsia="Calibri" w:cstheme="minorHAnsi"/>
          <w:sz w:val="24"/>
          <w:szCs w:val="24"/>
        </w:rPr>
        <w:t xml:space="preserve"> </w:t>
      </w:r>
      <w:r w:rsidRPr="00241F83">
        <w:rPr>
          <w:rFonts w:cstheme="minorHAnsi"/>
          <w:sz w:val="24"/>
          <w:szCs w:val="24"/>
        </w:rPr>
        <w:t xml:space="preserve">conducted focus groups, key informant interviews, one Community Conversation, and several Community Chats. The </w:t>
      </w:r>
      <w:r w:rsidR="00D33E4C" w:rsidRPr="00241F83">
        <w:rPr>
          <w:rFonts w:cstheme="minorHAnsi"/>
          <w:sz w:val="24"/>
          <w:szCs w:val="24"/>
        </w:rPr>
        <w:t>Applicant</w:t>
      </w:r>
      <w:r w:rsidRPr="00241F83">
        <w:rPr>
          <w:rFonts w:cstheme="minorHAnsi"/>
          <w:sz w:val="24"/>
          <w:szCs w:val="24"/>
        </w:rPr>
        <w:t xml:space="preserve"> engaged community residents and other community stakeholders, intentionally including the experiences of community members who gave input in focus groups or key informant interviews in other regions, which were often considered relevant to the </w:t>
      </w:r>
      <w:r w:rsidR="00D33E4C" w:rsidRPr="00241F83">
        <w:rPr>
          <w:rFonts w:cstheme="minorHAnsi"/>
          <w:sz w:val="24"/>
          <w:szCs w:val="24"/>
        </w:rPr>
        <w:t>Applicant</w:t>
      </w:r>
      <w:r w:rsidRPr="00241F83">
        <w:rPr>
          <w:rFonts w:cstheme="minorHAnsi"/>
          <w:sz w:val="24"/>
          <w:szCs w:val="24"/>
        </w:rPr>
        <w:t xml:space="preserve">’s service area. Additionally, the </w:t>
      </w:r>
      <w:r w:rsidR="00D33E4C" w:rsidRPr="00241F83">
        <w:rPr>
          <w:rFonts w:cstheme="minorHAnsi"/>
          <w:sz w:val="24"/>
          <w:szCs w:val="24"/>
        </w:rPr>
        <w:t>Applicant</w:t>
      </w:r>
      <w:r w:rsidRPr="00241F83">
        <w:rPr>
          <w:rFonts w:cstheme="minorHAnsi"/>
          <w:sz w:val="24"/>
          <w:szCs w:val="24"/>
        </w:rPr>
        <w:t xml:space="preserve"> conducted data analysis and completed a review of the previous CHNA and existing assessment reports published since 2016. The CHNA for 2019 lists the following as the key priorities identified: social environment, housing needs, transportation access, basic needs resources, financial health, and violence and trauma. Additionally, health outcomes impacting the service area include mental health, chronic conditions, infant and perinatal health, and Alzheimer’s disease and dementia. The CHNA goes on to identify barriers to improving outcomes in each of the priorities as well as priority populations for each of the health conditions. CHI staff have assessed Baystate Health’s 2019 CHNA and determined that it is an adequate and appropriate basis for CHI purposes.</w:t>
      </w:r>
      <w:r w:rsidRPr="00241F83">
        <w:rPr>
          <w:rFonts w:eastAsia="Calibri" w:cstheme="minorHAnsi"/>
          <w:sz w:val="24"/>
          <w:szCs w:val="24"/>
        </w:rPr>
        <w:t xml:space="preserve"> The </w:t>
      </w:r>
      <w:r w:rsidR="00D33E4C" w:rsidRPr="00241F83">
        <w:rPr>
          <w:rFonts w:eastAsia="Calibri" w:cstheme="minorHAnsi"/>
          <w:sz w:val="24"/>
          <w:szCs w:val="24"/>
        </w:rPr>
        <w:t>Applicant</w:t>
      </w:r>
      <w:r w:rsidRPr="00241F83">
        <w:rPr>
          <w:rFonts w:eastAsia="Calibri" w:cstheme="minorHAnsi"/>
          <w:sz w:val="24"/>
          <w:szCs w:val="24"/>
        </w:rPr>
        <w:t xml:space="preserve"> will release a new </w:t>
      </w:r>
      <w:r w:rsidR="0045744F" w:rsidRPr="00241F83">
        <w:rPr>
          <w:rFonts w:eastAsia="Calibri" w:cstheme="minorHAnsi"/>
          <w:sz w:val="24"/>
          <w:szCs w:val="24"/>
        </w:rPr>
        <w:t>CHNA</w:t>
      </w:r>
      <w:r w:rsidRPr="00241F83">
        <w:rPr>
          <w:rFonts w:eastAsia="Calibri" w:cstheme="minorHAnsi"/>
          <w:sz w:val="24"/>
          <w:szCs w:val="24"/>
        </w:rPr>
        <w:t xml:space="preserve"> in 2022 and will employ similar strategies for engagement. The </w:t>
      </w:r>
      <w:r w:rsidR="00D33E4C" w:rsidRPr="00241F83">
        <w:rPr>
          <w:rFonts w:eastAsia="Calibri" w:cstheme="minorHAnsi"/>
          <w:sz w:val="24"/>
          <w:szCs w:val="24"/>
        </w:rPr>
        <w:t>Applicant</w:t>
      </w:r>
      <w:r w:rsidRPr="00241F83">
        <w:rPr>
          <w:rFonts w:eastAsia="Calibri" w:cstheme="minorHAnsi"/>
          <w:sz w:val="24"/>
          <w:szCs w:val="24"/>
        </w:rPr>
        <w:t xml:space="preserve"> will engage its Regional Advisory Committee throughout the assessment process and will engage its Community Benefit Advisory Committee (CBAC) to select priorities and identify strategies for implementation.</w:t>
      </w:r>
    </w:p>
    <w:p w14:paraId="3585AFD8" w14:textId="77777777" w:rsidR="003D503F" w:rsidRPr="00241F83" w:rsidRDefault="003D503F" w:rsidP="003D503F">
      <w:pPr>
        <w:spacing w:after="0" w:line="240" w:lineRule="auto"/>
        <w:contextualSpacing/>
        <w:rPr>
          <w:rFonts w:eastAsia="Calibri" w:cstheme="minorHAnsi"/>
          <w:sz w:val="24"/>
          <w:szCs w:val="24"/>
        </w:rPr>
      </w:pPr>
    </w:p>
    <w:p w14:paraId="64B7BEB8" w14:textId="000E239E" w:rsidR="003D503F" w:rsidRPr="00241F83" w:rsidRDefault="003D503F" w:rsidP="003D503F">
      <w:pPr>
        <w:spacing w:after="0" w:line="240" w:lineRule="auto"/>
        <w:contextualSpacing/>
        <w:rPr>
          <w:rFonts w:eastAsia="Calibri" w:cstheme="minorHAnsi"/>
          <w:sz w:val="24"/>
          <w:szCs w:val="24"/>
        </w:rPr>
      </w:pPr>
      <w:r w:rsidRPr="00241F83">
        <w:rPr>
          <w:rFonts w:eastAsia="Calibri" w:cstheme="minorHAnsi"/>
          <w:b/>
          <w:bCs/>
          <w:sz w:val="24"/>
          <w:szCs w:val="24"/>
        </w:rPr>
        <w:t xml:space="preserve">The CHI </w:t>
      </w:r>
      <w:r w:rsidR="0045744F" w:rsidRPr="00241F83">
        <w:rPr>
          <w:rFonts w:eastAsia="Calibri" w:cstheme="minorHAnsi"/>
          <w:b/>
          <w:bCs/>
          <w:sz w:val="24"/>
          <w:szCs w:val="24"/>
        </w:rPr>
        <w:t>n</w:t>
      </w:r>
      <w:r w:rsidRPr="00241F83">
        <w:rPr>
          <w:rFonts w:eastAsia="Calibri" w:cstheme="minorHAnsi"/>
          <w:b/>
          <w:bCs/>
          <w:sz w:val="24"/>
          <w:szCs w:val="24"/>
        </w:rPr>
        <w:t>arrative</w:t>
      </w:r>
      <w:r w:rsidRPr="00241F83">
        <w:rPr>
          <w:rFonts w:eastAsia="Calibri" w:cstheme="minorHAnsi"/>
          <w:sz w:val="24"/>
          <w:szCs w:val="24"/>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w:t>
      </w:r>
    </w:p>
    <w:p w14:paraId="781C7D18" w14:textId="77777777" w:rsidR="003D503F" w:rsidRPr="00241F83" w:rsidRDefault="003D503F" w:rsidP="003D503F">
      <w:pPr>
        <w:spacing w:after="0" w:line="240" w:lineRule="auto"/>
        <w:contextualSpacing/>
        <w:rPr>
          <w:rFonts w:eastAsia="Calibri" w:cstheme="minorHAnsi"/>
          <w:sz w:val="24"/>
          <w:szCs w:val="24"/>
        </w:rPr>
      </w:pPr>
    </w:p>
    <w:p w14:paraId="77F80344" w14:textId="62345E01" w:rsidR="003D503F" w:rsidRPr="00241F83" w:rsidRDefault="003D503F" w:rsidP="003D503F">
      <w:pPr>
        <w:spacing w:after="0" w:line="240" w:lineRule="auto"/>
        <w:contextualSpacing/>
        <w:rPr>
          <w:rFonts w:eastAsia="Calibri" w:cstheme="minorHAnsi"/>
          <w:sz w:val="24"/>
          <w:szCs w:val="24"/>
        </w:rPr>
      </w:pPr>
      <w:r w:rsidRPr="00241F83">
        <w:rPr>
          <w:rFonts w:eastAsia="Calibri" w:cstheme="minorHAnsi"/>
          <w:sz w:val="24"/>
          <w:szCs w:val="24"/>
        </w:rPr>
        <w:t xml:space="preserve">The timeline, RFP processes, and use of evaluation and administrative funds are all appropriate and in line with CHI planning guidelines. The </w:t>
      </w:r>
      <w:r w:rsidR="00D33E4C" w:rsidRPr="00241F83">
        <w:rPr>
          <w:rFonts w:eastAsia="Calibri" w:cstheme="minorHAnsi"/>
          <w:sz w:val="24"/>
          <w:szCs w:val="24"/>
        </w:rPr>
        <w:t>Applicant</w:t>
      </w:r>
      <w:r w:rsidRPr="00241F83">
        <w:rPr>
          <w:rFonts w:eastAsia="Calibri" w:cstheme="minorHAnsi"/>
          <w:sz w:val="24"/>
          <w:szCs w:val="24"/>
        </w:rPr>
        <w:t xml:space="preserve"> has strong infrastructure for existing and future community health improvement planning activities. </w:t>
      </w:r>
      <w:r w:rsidRPr="00241F83">
        <w:rPr>
          <w:rFonts w:cstheme="minorHAnsi"/>
          <w:sz w:val="24"/>
          <w:szCs w:val="24"/>
        </w:rPr>
        <w:t xml:space="preserve">As part of its planning for previous CHI processes, Baystate Health established a practice for equitable and transparent distribution </w:t>
      </w:r>
      <w:r w:rsidRPr="00241F83">
        <w:rPr>
          <w:rFonts w:cstheme="minorHAnsi"/>
          <w:sz w:val="24"/>
          <w:szCs w:val="24"/>
        </w:rPr>
        <w:lastRenderedPageBreak/>
        <w:t xml:space="preserve">of CHI funds. There are four hospitals within the system, and the practice is to distribute funds equitably across them, utilizing key criteria. These funds will support existing community health planning for Baystate Medical Center, the site that shares geography with the proposed project. The </w:t>
      </w:r>
      <w:r w:rsidR="00D33E4C" w:rsidRPr="00241F83">
        <w:rPr>
          <w:rFonts w:cstheme="minorHAnsi"/>
          <w:sz w:val="24"/>
          <w:szCs w:val="24"/>
        </w:rPr>
        <w:t>Applicant</w:t>
      </w:r>
      <w:r w:rsidRPr="00241F83">
        <w:rPr>
          <w:rFonts w:cstheme="minorHAnsi"/>
          <w:sz w:val="24"/>
          <w:szCs w:val="24"/>
        </w:rPr>
        <w:t>’s current work focuses on</w:t>
      </w:r>
      <w:r w:rsidRPr="00241F83">
        <w:rPr>
          <w:rFonts w:eastAsia="Calibri" w:cstheme="minorHAnsi"/>
          <w:sz w:val="24"/>
          <w:szCs w:val="24"/>
        </w:rPr>
        <w:t xml:space="preserve"> priority areas that allow for implementation at the root cause level, and the expectation is that the final CHNA for 2022 will continue this trend. The </w:t>
      </w:r>
      <w:r w:rsidR="00D33E4C" w:rsidRPr="00241F83">
        <w:rPr>
          <w:rFonts w:eastAsia="Calibri" w:cstheme="minorHAnsi"/>
          <w:sz w:val="24"/>
          <w:szCs w:val="24"/>
        </w:rPr>
        <w:t>Applicant</w:t>
      </w:r>
      <w:r w:rsidRPr="00241F83">
        <w:rPr>
          <w:rFonts w:eastAsia="Calibri" w:cstheme="minorHAnsi"/>
          <w:sz w:val="24"/>
          <w:szCs w:val="24"/>
        </w:rPr>
        <w:t xml:space="preserve"> will work with its CBAC to select priorities and approve implementation strategies. Based on strategies in the </w:t>
      </w:r>
      <w:r w:rsidR="00D33E4C" w:rsidRPr="00241F83">
        <w:rPr>
          <w:rFonts w:eastAsia="Calibri" w:cstheme="minorHAnsi"/>
          <w:sz w:val="24"/>
          <w:szCs w:val="24"/>
        </w:rPr>
        <w:t>Applicant</w:t>
      </w:r>
      <w:r w:rsidRPr="00241F83">
        <w:rPr>
          <w:rFonts w:eastAsia="Calibri" w:cstheme="minorHAnsi"/>
          <w:sz w:val="24"/>
          <w:szCs w:val="24"/>
        </w:rPr>
        <w:t xml:space="preserve">’s ongoing community benefit work, DPH staff have determined that as the </w:t>
      </w:r>
      <w:r w:rsidR="00D33E4C" w:rsidRPr="00241F83">
        <w:rPr>
          <w:rFonts w:eastAsia="Calibri" w:cstheme="minorHAnsi"/>
          <w:sz w:val="24"/>
          <w:szCs w:val="24"/>
        </w:rPr>
        <w:t>Applicant</w:t>
      </w:r>
      <w:r w:rsidRPr="00241F83">
        <w:rPr>
          <w:rFonts w:eastAsia="Calibri" w:cstheme="minorHAnsi"/>
          <w:sz w:val="24"/>
          <w:szCs w:val="24"/>
        </w:rPr>
        <w:t xml:space="preserve"> agrees to ongoing local CHI work related to this project and continued engagement with their CBAC, CHI investment will align appropriately with the Health Priorities Guideline. The </w:t>
      </w:r>
      <w:r w:rsidR="00D33E4C" w:rsidRPr="00241F83">
        <w:rPr>
          <w:rFonts w:eastAsia="Calibri" w:cstheme="minorHAnsi"/>
          <w:sz w:val="24"/>
          <w:szCs w:val="24"/>
        </w:rPr>
        <w:t>Applicant</w:t>
      </w:r>
      <w:r w:rsidRPr="00241F83">
        <w:rPr>
          <w:rFonts w:eastAsia="Calibri" w:cstheme="minorHAnsi"/>
          <w:sz w:val="24"/>
          <w:szCs w:val="24"/>
        </w:rPr>
        <w:t xml:space="preserve"> will also provide status updates and share the final 2022 CHNA with DPH staff. </w:t>
      </w:r>
    </w:p>
    <w:p w14:paraId="00A24A28" w14:textId="77777777" w:rsidR="003D503F" w:rsidRPr="00241F83" w:rsidRDefault="003D503F" w:rsidP="003D503F">
      <w:pPr>
        <w:pStyle w:val="PlainText"/>
        <w:rPr>
          <w:rFonts w:asciiTheme="minorHAnsi" w:eastAsia="Calibri" w:hAnsiTheme="minorHAnsi" w:cstheme="minorHAnsi"/>
          <w:sz w:val="24"/>
          <w:szCs w:val="24"/>
        </w:rPr>
      </w:pPr>
    </w:p>
    <w:p w14:paraId="6D039D25" w14:textId="77777777" w:rsidR="003D503F" w:rsidRPr="00241F83" w:rsidRDefault="003D503F" w:rsidP="003D503F">
      <w:pPr>
        <w:pStyle w:val="PlainText"/>
        <w:rPr>
          <w:rFonts w:asciiTheme="minorHAnsi" w:eastAsia="Calibri" w:hAnsiTheme="minorHAnsi" w:cstheme="minorHAnsi"/>
          <w:sz w:val="24"/>
          <w:szCs w:val="24"/>
        </w:rPr>
      </w:pPr>
      <w:r w:rsidRPr="00241F83">
        <w:rPr>
          <w:rFonts w:asciiTheme="minorHAnsi" w:eastAsia="Calibri" w:hAnsiTheme="minorHAnsi" w:cstheme="minorHAnsi"/>
          <w:sz w:val="24"/>
          <w:szCs w:val="24"/>
        </w:rPr>
        <w:t>The anticipated timeline for CHI activities includes a meeting of the Advisory Committee six weeks post approval, identifying the Health Priorities Strategies 3-4 months post approval, and deciding on the best investment strategy to support existing efforts 5-6 months post approval, with funding disbursed 10 months thereafter.</w:t>
      </w:r>
    </w:p>
    <w:p w14:paraId="3EB0929F" w14:textId="538CD252" w:rsidR="003D503F" w:rsidRPr="00241F83" w:rsidRDefault="003D503F" w:rsidP="003D503F">
      <w:pPr>
        <w:pStyle w:val="PlainText"/>
        <w:rPr>
          <w:rFonts w:asciiTheme="minorHAnsi" w:hAnsiTheme="minorHAnsi" w:cstheme="minorHAnsi"/>
          <w:sz w:val="24"/>
          <w:szCs w:val="24"/>
        </w:rPr>
      </w:pPr>
    </w:p>
    <w:p w14:paraId="16F5BEA6" w14:textId="48BAEC3A" w:rsidR="003D503F" w:rsidRPr="00241F83" w:rsidRDefault="003D503F" w:rsidP="003D503F">
      <w:pPr>
        <w:pStyle w:val="PlainText"/>
        <w:rPr>
          <w:rFonts w:asciiTheme="minorHAnsi" w:hAnsiTheme="minorHAnsi" w:cstheme="minorHAnsi"/>
          <w:sz w:val="24"/>
          <w:szCs w:val="24"/>
        </w:rPr>
      </w:pPr>
      <w:r w:rsidRPr="00241F83">
        <w:rPr>
          <w:rFonts w:asciiTheme="minorHAnsi" w:hAnsiTheme="minorHAnsi" w:cstheme="minorHAnsi"/>
          <w:sz w:val="24"/>
          <w:szCs w:val="24"/>
        </w:rPr>
        <w:t xml:space="preserve">With the administrative funds, the </w:t>
      </w:r>
      <w:r w:rsidR="00D33E4C" w:rsidRPr="00241F83">
        <w:rPr>
          <w:rFonts w:asciiTheme="minorHAnsi" w:hAnsiTheme="minorHAnsi" w:cstheme="minorHAnsi"/>
          <w:sz w:val="24"/>
          <w:szCs w:val="24"/>
        </w:rPr>
        <w:t>Applicant</w:t>
      </w:r>
      <w:r w:rsidRPr="00241F83">
        <w:rPr>
          <w:rFonts w:asciiTheme="minorHAnsi" w:hAnsiTheme="minorHAnsi" w:cstheme="minorHAnsi"/>
          <w:sz w:val="24"/>
          <w:szCs w:val="24"/>
        </w:rPr>
        <w:t>’s preliminary plans are to develop and disseminate communication materials to encourage community participation in the process.</w:t>
      </w:r>
    </w:p>
    <w:p w14:paraId="6C9F9475" w14:textId="77777777" w:rsidR="003D503F" w:rsidRPr="00241F83" w:rsidRDefault="003D503F" w:rsidP="003D503F">
      <w:pPr>
        <w:spacing w:after="0" w:line="240" w:lineRule="auto"/>
        <w:contextualSpacing/>
        <w:rPr>
          <w:rFonts w:eastAsia="Calibri" w:cstheme="minorHAnsi"/>
          <w:sz w:val="24"/>
          <w:szCs w:val="24"/>
        </w:rPr>
      </w:pPr>
    </w:p>
    <w:p w14:paraId="1337D953" w14:textId="15EA7C0D" w:rsidR="002F24F8" w:rsidRPr="00241F83" w:rsidRDefault="003D503F" w:rsidP="003D503F">
      <w:pPr>
        <w:spacing w:after="0" w:line="240" w:lineRule="auto"/>
        <w:rPr>
          <w:rFonts w:eastAsia="Calibri" w:cstheme="minorHAnsi"/>
          <w:b/>
          <w:sz w:val="24"/>
          <w:szCs w:val="24"/>
        </w:rPr>
      </w:pPr>
      <w:r w:rsidRPr="00241F83">
        <w:rPr>
          <w:rFonts w:cstheme="minorHAnsi"/>
          <w:b/>
          <w:bCs/>
          <w:i/>
          <w:sz w:val="24"/>
          <w:szCs w:val="24"/>
        </w:rPr>
        <w:t>Analysis</w:t>
      </w:r>
      <w:r w:rsidR="00DC13B1" w:rsidRPr="00241F83">
        <w:rPr>
          <w:rFonts w:cstheme="minorHAnsi"/>
          <w:b/>
          <w:bCs/>
          <w:sz w:val="24"/>
          <w:szCs w:val="24"/>
        </w:rPr>
        <w:br/>
      </w:r>
      <w:r w:rsidRPr="00241F83">
        <w:rPr>
          <w:rFonts w:cstheme="minorHAnsi"/>
          <w:sz w:val="24"/>
          <w:szCs w:val="24"/>
        </w:rPr>
        <w:t xml:space="preserve">As a result of information provided by the </w:t>
      </w:r>
      <w:r w:rsidR="00D33E4C" w:rsidRPr="00241F83">
        <w:rPr>
          <w:rFonts w:cstheme="minorHAnsi"/>
          <w:sz w:val="24"/>
          <w:szCs w:val="24"/>
        </w:rPr>
        <w:t>Applicant</w:t>
      </w:r>
      <w:r w:rsidRPr="00241F83">
        <w:rPr>
          <w:rFonts w:cstheme="minorHAnsi"/>
          <w:sz w:val="24"/>
          <w:szCs w:val="24"/>
        </w:rPr>
        <w:t xml:space="preserve"> and additional analysis, staff finds that with the conditions outlined below, and with their commitment to conduct ongoing Community Health Planning processes in the geography of the ASC, the </w:t>
      </w:r>
      <w:r w:rsidR="00D33E4C" w:rsidRPr="00241F83">
        <w:rPr>
          <w:rFonts w:cstheme="minorHAnsi"/>
          <w:sz w:val="24"/>
          <w:szCs w:val="24"/>
        </w:rPr>
        <w:t>Applicant</w:t>
      </w:r>
      <w:r w:rsidRPr="00241F83">
        <w:rPr>
          <w:rFonts w:cstheme="minorHAnsi"/>
          <w:sz w:val="24"/>
          <w:szCs w:val="24"/>
        </w:rPr>
        <w:t xml:space="preserve"> has demonstrated that the Proposed Project has met Factor 6.</w:t>
      </w:r>
    </w:p>
    <w:p w14:paraId="4F2A1853" w14:textId="6B8D7D0E" w:rsidR="008E2CAB" w:rsidRPr="00241F83" w:rsidRDefault="00E25270" w:rsidP="008E2CAB">
      <w:pPr>
        <w:pStyle w:val="Heading1"/>
        <w:spacing w:line="240" w:lineRule="auto"/>
        <w:rPr>
          <w:rFonts w:asciiTheme="minorHAnsi" w:hAnsiTheme="minorHAnsi" w:cstheme="minorHAnsi"/>
        </w:rPr>
      </w:pPr>
      <w:bookmarkStart w:id="80" w:name="_Toc46169309"/>
      <w:bookmarkStart w:id="81" w:name="_Toc58960226"/>
      <w:r w:rsidRPr="00241F83">
        <w:rPr>
          <w:rFonts w:asciiTheme="minorHAnsi" w:hAnsiTheme="minorHAnsi" w:cstheme="minorHAnsi"/>
        </w:rPr>
        <w:t>F</w:t>
      </w:r>
      <w:r w:rsidR="008E2CAB" w:rsidRPr="00241F83">
        <w:rPr>
          <w:rFonts w:asciiTheme="minorHAnsi" w:hAnsiTheme="minorHAnsi" w:cstheme="minorHAnsi"/>
        </w:rPr>
        <w:t>indings and Recommendations</w:t>
      </w:r>
      <w:bookmarkEnd w:id="80"/>
      <w:bookmarkEnd w:id="81"/>
    </w:p>
    <w:p w14:paraId="7FBCA88F" w14:textId="6725EF02" w:rsidR="005D09E5" w:rsidRPr="00241F83" w:rsidRDefault="005D09E5" w:rsidP="005D09E5">
      <w:pPr>
        <w:spacing w:line="240" w:lineRule="auto"/>
        <w:rPr>
          <w:rFonts w:cstheme="minorHAnsi"/>
          <w:sz w:val="24"/>
          <w:szCs w:val="24"/>
        </w:rPr>
      </w:pPr>
      <w:bookmarkStart w:id="82" w:name="_Toc23157993"/>
      <w:bookmarkStart w:id="83" w:name="_Toc23323259"/>
      <w:bookmarkStart w:id="84" w:name="_Toc23324264"/>
      <w:bookmarkStart w:id="85" w:name="_Toc23424546"/>
      <w:bookmarkEnd w:id="79"/>
      <w:r w:rsidRPr="00241F83">
        <w:rPr>
          <w:rFonts w:cstheme="minorHAnsi"/>
          <w:sz w:val="24"/>
          <w:szCs w:val="24"/>
        </w:rPr>
        <w:t xml:space="preserve">Based upon a review of the materials submitted, </w:t>
      </w:r>
      <w:r w:rsidR="007C1B7E">
        <w:rPr>
          <w:rFonts w:cstheme="minorHAnsi"/>
          <w:sz w:val="24"/>
          <w:szCs w:val="24"/>
        </w:rPr>
        <w:t>s</w:t>
      </w:r>
      <w:r w:rsidR="007C1B7E" w:rsidRPr="00241F83">
        <w:rPr>
          <w:rFonts w:cstheme="minorHAnsi"/>
          <w:sz w:val="24"/>
          <w:szCs w:val="24"/>
        </w:rPr>
        <w:t xml:space="preserve">taff </w:t>
      </w:r>
      <w:r w:rsidRPr="00241F83">
        <w:rPr>
          <w:rFonts w:cstheme="minorHAnsi"/>
          <w:sz w:val="24"/>
          <w:szCs w:val="24"/>
        </w:rPr>
        <w:t xml:space="preserve">finds that, with the addition of the recommended </w:t>
      </w:r>
      <w:r w:rsidR="009F39D8" w:rsidRPr="00241F83">
        <w:rPr>
          <w:rFonts w:cstheme="minorHAnsi"/>
          <w:sz w:val="24"/>
          <w:szCs w:val="24"/>
        </w:rPr>
        <w:t>C</w:t>
      </w:r>
      <w:r w:rsidRPr="00241F83">
        <w:rPr>
          <w:rFonts w:cstheme="minorHAnsi"/>
          <w:sz w:val="24"/>
          <w:szCs w:val="24"/>
        </w:rPr>
        <w:t xml:space="preserve">ondition detailed below, the </w:t>
      </w:r>
      <w:r w:rsidR="00D33E4C" w:rsidRPr="00241F83">
        <w:rPr>
          <w:rFonts w:cstheme="minorHAnsi"/>
          <w:sz w:val="24"/>
          <w:szCs w:val="24"/>
        </w:rPr>
        <w:t>Applicant</w:t>
      </w:r>
      <w:r w:rsidRPr="00241F83">
        <w:rPr>
          <w:rFonts w:cstheme="minorHAnsi"/>
          <w:sz w:val="24"/>
          <w:szCs w:val="24"/>
        </w:rPr>
        <w:t xml:space="preserve"> has met each DoN Factor for the Proposed Project and recommends that the Department approve this Determination of Need, subject to all applicable Standard and Other Conditions.</w:t>
      </w:r>
    </w:p>
    <w:p w14:paraId="60E1F014" w14:textId="619A51FA" w:rsidR="00DC13B1" w:rsidRPr="00241F83" w:rsidRDefault="002F24F8" w:rsidP="00DC13B1">
      <w:pPr>
        <w:pStyle w:val="Heading1"/>
        <w:rPr>
          <w:rFonts w:asciiTheme="minorHAnsi" w:hAnsiTheme="minorHAnsi" w:cstheme="minorHAnsi"/>
        </w:rPr>
      </w:pPr>
      <w:bookmarkStart w:id="86" w:name="_Toc58960227"/>
      <w:r w:rsidRPr="00241F83">
        <w:rPr>
          <w:rFonts w:asciiTheme="minorHAnsi" w:hAnsiTheme="minorHAnsi" w:cstheme="minorHAnsi"/>
        </w:rPr>
        <w:t>Other Conditions</w:t>
      </w:r>
      <w:bookmarkEnd w:id="82"/>
      <w:bookmarkEnd w:id="83"/>
      <w:bookmarkEnd w:id="84"/>
      <w:bookmarkEnd w:id="85"/>
      <w:bookmarkEnd w:id="86"/>
    </w:p>
    <w:p w14:paraId="3CE34573" w14:textId="77777777" w:rsidR="00DC13B1" w:rsidRPr="00241F83" w:rsidRDefault="00DC13B1" w:rsidP="00DC13B1">
      <w:pPr>
        <w:pStyle w:val="ListParagraph"/>
        <w:numPr>
          <w:ilvl w:val="0"/>
          <w:numId w:val="20"/>
        </w:numPr>
        <w:spacing w:after="0" w:line="240" w:lineRule="auto"/>
        <w:ind w:right="540"/>
        <w:rPr>
          <w:rFonts w:eastAsia="Calibri" w:cstheme="minorHAnsi"/>
          <w:sz w:val="24"/>
          <w:szCs w:val="24"/>
        </w:rPr>
      </w:pPr>
      <w:r w:rsidRPr="00241F83">
        <w:rPr>
          <w:rFonts w:eastAsia="Calibri" w:cstheme="minorHAnsi"/>
          <w:sz w:val="24"/>
          <w:szCs w:val="24"/>
        </w:rPr>
        <w:t>Of the total required CHI contribution of $742,231.75</w:t>
      </w:r>
    </w:p>
    <w:p w14:paraId="75EC3261" w14:textId="77777777" w:rsidR="00DC13B1" w:rsidRPr="00241F83" w:rsidRDefault="00DC13B1" w:rsidP="009D5F22">
      <w:pPr>
        <w:numPr>
          <w:ilvl w:val="2"/>
          <w:numId w:val="20"/>
        </w:numPr>
        <w:spacing w:after="0" w:line="240" w:lineRule="auto"/>
        <w:ind w:right="540"/>
        <w:contextualSpacing/>
        <w:rPr>
          <w:rFonts w:eastAsia="Calibri" w:cstheme="minorHAnsi"/>
          <w:sz w:val="24"/>
          <w:szCs w:val="24"/>
        </w:rPr>
      </w:pPr>
      <w:r w:rsidRPr="00241F83">
        <w:rPr>
          <w:rFonts w:eastAsia="Calibri" w:cstheme="minorHAnsi"/>
          <w:sz w:val="24"/>
          <w:szCs w:val="24"/>
        </w:rPr>
        <w:t xml:space="preserve">$179,991.20 will be directed to the CHI Statewide Initiative </w:t>
      </w:r>
    </w:p>
    <w:p w14:paraId="015598C5" w14:textId="77777777" w:rsidR="00DC13B1" w:rsidRPr="00241F83" w:rsidRDefault="00DC13B1" w:rsidP="009D5F22">
      <w:pPr>
        <w:numPr>
          <w:ilvl w:val="2"/>
          <w:numId w:val="20"/>
        </w:numPr>
        <w:spacing w:after="0" w:line="240" w:lineRule="auto"/>
        <w:ind w:right="540"/>
        <w:contextualSpacing/>
        <w:rPr>
          <w:rFonts w:eastAsia="Calibri" w:cstheme="minorHAnsi"/>
          <w:sz w:val="24"/>
          <w:szCs w:val="24"/>
        </w:rPr>
      </w:pPr>
      <w:r w:rsidRPr="00241F83">
        <w:rPr>
          <w:rFonts w:eastAsia="Calibri" w:cstheme="minorHAnsi"/>
          <w:sz w:val="24"/>
          <w:szCs w:val="24"/>
        </w:rPr>
        <w:t xml:space="preserve">$539,973.60 will be dedicated to local approaches to the DoN Health Priorities </w:t>
      </w:r>
    </w:p>
    <w:p w14:paraId="4BD275D6" w14:textId="77777777" w:rsidR="00DC13B1" w:rsidRPr="00241F83" w:rsidRDefault="00DC13B1" w:rsidP="009D5F22">
      <w:pPr>
        <w:numPr>
          <w:ilvl w:val="2"/>
          <w:numId w:val="20"/>
        </w:numPr>
        <w:spacing w:after="0" w:line="240" w:lineRule="auto"/>
        <w:ind w:right="540"/>
        <w:contextualSpacing/>
        <w:rPr>
          <w:rFonts w:eastAsia="Calibri" w:cstheme="minorHAnsi"/>
          <w:sz w:val="24"/>
          <w:szCs w:val="24"/>
        </w:rPr>
      </w:pPr>
      <w:r w:rsidRPr="00241F83">
        <w:rPr>
          <w:rFonts w:eastAsia="Calibri" w:cstheme="minorHAnsi"/>
          <w:sz w:val="24"/>
          <w:szCs w:val="24"/>
        </w:rPr>
        <w:t>$22,266.95 will be designated as the Administrative Allowance</w:t>
      </w:r>
    </w:p>
    <w:p w14:paraId="63FF7C64" w14:textId="66F10A72" w:rsidR="00DC13B1" w:rsidRPr="00241F83" w:rsidRDefault="00DC13B1" w:rsidP="00DC13B1">
      <w:pPr>
        <w:pStyle w:val="ListParagraph"/>
        <w:numPr>
          <w:ilvl w:val="0"/>
          <w:numId w:val="20"/>
        </w:numPr>
        <w:spacing w:after="0" w:line="240" w:lineRule="auto"/>
        <w:ind w:right="540"/>
        <w:rPr>
          <w:rFonts w:eastAsia="Calibri" w:cstheme="minorHAnsi"/>
          <w:sz w:val="24"/>
          <w:szCs w:val="24"/>
        </w:rPr>
      </w:pPr>
      <w:r w:rsidRPr="00241F83">
        <w:rPr>
          <w:rFonts w:eastAsia="Calibri" w:cstheme="minorHAnsi"/>
          <w:sz w:val="24"/>
          <w:szCs w:val="24"/>
        </w:rPr>
        <w:t>To comply with the Holder’s obligation to contribute to the Statewide CHI Initiative, the Holder must submit a check for $179,991.20 to Health Resources in Action (the fiscal agent for the CHI Statewide Initiative)</w:t>
      </w:r>
    </w:p>
    <w:p w14:paraId="5B53F1FA" w14:textId="288868F2" w:rsidR="00DC13B1" w:rsidRPr="00241F83" w:rsidRDefault="00DC13B1" w:rsidP="00DC13B1">
      <w:pPr>
        <w:numPr>
          <w:ilvl w:val="2"/>
          <w:numId w:val="20"/>
        </w:numPr>
        <w:spacing w:after="0" w:line="240" w:lineRule="auto"/>
        <w:ind w:right="540"/>
        <w:contextualSpacing/>
        <w:rPr>
          <w:rFonts w:eastAsia="Calibri" w:cstheme="minorHAnsi"/>
          <w:sz w:val="24"/>
          <w:szCs w:val="24"/>
        </w:rPr>
      </w:pPr>
      <w:r w:rsidRPr="00241F83">
        <w:rPr>
          <w:rFonts w:eastAsia="Calibri" w:cstheme="minorHAnsi"/>
          <w:sz w:val="24"/>
          <w:szCs w:val="24"/>
        </w:rPr>
        <w:t>The Holder must submit the funds to HRiA within 30 days from the date of the Notice of Approval</w:t>
      </w:r>
    </w:p>
    <w:p w14:paraId="03822C34" w14:textId="142ECC81" w:rsidR="00DC13B1" w:rsidRPr="00241F83" w:rsidRDefault="00DC13B1" w:rsidP="00EA38CA">
      <w:pPr>
        <w:numPr>
          <w:ilvl w:val="2"/>
          <w:numId w:val="20"/>
        </w:numPr>
        <w:spacing w:after="0" w:line="240" w:lineRule="auto"/>
        <w:ind w:right="540"/>
        <w:contextualSpacing/>
        <w:rPr>
          <w:rFonts w:eastAsia="Calibri" w:cstheme="minorHAnsi"/>
          <w:sz w:val="24"/>
          <w:szCs w:val="24"/>
        </w:rPr>
      </w:pPr>
      <w:r w:rsidRPr="00241F83">
        <w:rPr>
          <w:rFonts w:eastAsia="Calibri" w:cstheme="minorHAnsi"/>
          <w:sz w:val="24"/>
          <w:szCs w:val="24"/>
        </w:rPr>
        <w:lastRenderedPageBreak/>
        <w:t>The Holder must promptly notify DPH (CHI contact staff) when the payment has been made</w:t>
      </w:r>
    </w:p>
    <w:p w14:paraId="7FC27B2A" w14:textId="77777777" w:rsidR="000C0C2F" w:rsidRDefault="000C0C2F">
      <w:pPr>
        <w:rPr>
          <w:rFonts w:eastAsia="Calibri" w:cstheme="minorHAnsi"/>
          <w:sz w:val="24"/>
          <w:szCs w:val="24"/>
        </w:rPr>
      </w:pPr>
    </w:p>
    <w:p w14:paraId="764043FF" w14:textId="77777777" w:rsidR="000C0C2F" w:rsidRDefault="000C0C2F">
      <w:pPr>
        <w:rPr>
          <w:rFonts w:eastAsia="Calibri" w:cstheme="minorHAnsi"/>
          <w:sz w:val="24"/>
          <w:szCs w:val="24"/>
        </w:rPr>
      </w:pPr>
    </w:p>
    <w:p w14:paraId="2AFFC4AF" w14:textId="62FBF058" w:rsidR="00DC13B1" w:rsidRPr="00241F83" w:rsidRDefault="00DC13B1">
      <w:pPr>
        <w:rPr>
          <w:rFonts w:eastAsia="Calibri" w:cstheme="minorHAnsi"/>
          <w:sz w:val="24"/>
          <w:szCs w:val="24"/>
        </w:rPr>
      </w:pPr>
      <w:r w:rsidRPr="00241F83">
        <w:rPr>
          <w:rFonts w:eastAsia="Calibri" w:cstheme="minorHAnsi"/>
          <w:sz w:val="24"/>
          <w:szCs w:val="24"/>
        </w:rPr>
        <w:br w:type="page"/>
      </w:r>
    </w:p>
    <w:p w14:paraId="19351D5C" w14:textId="17C5C0F6" w:rsidR="00264B81" w:rsidRPr="00D4346E" w:rsidRDefault="0047450B" w:rsidP="00D4346E">
      <w:pPr>
        <w:pStyle w:val="Heading1"/>
        <w:spacing w:line="240" w:lineRule="auto"/>
        <w:rPr>
          <w:rFonts w:cstheme="minorBidi"/>
          <w:b w:val="0"/>
          <w:bCs w:val="0"/>
          <w:color w:val="44546A"/>
        </w:rPr>
      </w:pPr>
      <w:r>
        <w:rPr>
          <w:rFonts w:asciiTheme="minorHAnsi" w:hAnsiTheme="minorHAnsi" w:cstheme="minorHAnsi"/>
        </w:rPr>
        <w:lastRenderedPageBreak/>
        <w:t>Appendices</w:t>
      </w:r>
      <w:r w:rsidR="00264B81">
        <w:rPr>
          <w:rFonts w:ascii="Calibri Light" w:hAnsi="Calibri Light" w:cs="Calibri Light"/>
          <w:b w:val="0"/>
          <w:sz w:val="32"/>
          <w:szCs w:val="32"/>
        </w:rPr>
        <w:br/>
      </w:r>
      <w:r w:rsidR="00264B81">
        <w:rPr>
          <w:rFonts w:ascii="Calibri Light" w:hAnsi="Calibri Light" w:cs="Calibri Light"/>
          <w:b w:val="0"/>
          <w:sz w:val="32"/>
          <w:szCs w:val="32"/>
        </w:rPr>
        <w:br/>
      </w:r>
      <w:bookmarkStart w:id="87" w:name="_Hlk102482699"/>
      <w:r w:rsidR="00264B81" w:rsidRPr="006D200A">
        <w:rPr>
          <w:color w:val="44546A"/>
        </w:rPr>
        <w:t>Appendix I:</w:t>
      </w:r>
      <w:r w:rsidR="00264B81">
        <w:rPr>
          <w:color w:val="44546A"/>
        </w:rPr>
        <w:t xml:space="preserve"> </w:t>
      </w:r>
      <w:r w:rsidR="00264B81" w:rsidRPr="00264B81">
        <w:rPr>
          <w:color w:val="44546A"/>
        </w:rPr>
        <w:t>Average Prices of Orthopedic Procedures, ASCs and HOPD</w:t>
      </w:r>
      <w:r w:rsidR="00264B81">
        <w:rPr>
          <w:color w:val="44546A"/>
        </w:rPr>
        <w:t>s</w:t>
      </w:r>
      <w:bookmarkEnd w:id="87"/>
    </w:p>
    <w:tbl>
      <w:tblPr>
        <w:tblW w:w="9966" w:type="dxa"/>
        <w:tblLayout w:type="fixed"/>
        <w:tblLook w:val="04A0" w:firstRow="1" w:lastRow="0" w:firstColumn="1" w:lastColumn="0" w:noHBand="0" w:noVBand="1"/>
      </w:tblPr>
      <w:tblGrid>
        <w:gridCol w:w="4585"/>
        <w:gridCol w:w="810"/>
        <w:gridCol w:w="990"/>
        <w:gridCol w:w="810"/>
        <w:gridCol w:w="810"/>
        <w:gridCol w:w="1015"/>
        <w:gridCol w:w="946"/>
      </w:tblGrid>
      <w:tr w:rsidR="00D4346E" w:rsidRPr="00241F83" w14:paraId="2903C9D7" w14:textId="77777777" w:rsidTr="006B47CD">
        <w:trPr>
          <w:cantSplit/>
          <w:trHeight w:val="408"/>
          <w:tblHeader/>
        </w:trPr>
        <w:tc>
          <w:tcPr>
            <w:tcW w:w="4585"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tcPr>
          <w:p w14:paraId="3208A252" w14:textId="77777777" w:rsidR="00D4346E" w:rsidRPr="00241F83" w:rsidRDefault="00D4346E" w:rsidP="00291716">
            <w:pPr>
              <w:jc w:val="center"/>
              <w:rPr>
                <w:rFonts w:eastAsia="Times New Roman" w:cstheme="minorHAnsi"/>
                <w:b/>
                <w:bCs/>
                <w:color w:val="000000"/>
                <w:sz w:val="20"/>
                <w:szCs w:val="20"/>
              </w:rPr>
            </w:pPr>
            <w:bookmarkStart w:id="88" w:name="_Hlk102395296"/>
            <w:r w:rsidRPr="00241F83">
              <w:rPr>
                <w:rFonts w:eastAsia="Times New Roman" w:cstheme="minorHAnsi"/>
                <w:b/>
                <w:bCs/>
                <w:color w:val="000000"/>
                <w:sz w:val="20"/>
                <w:szCs w:val="20"/>
              </w:rPr>
              <w:t>Procedure Description</w:t>
            </w:r>
          </w:p>
        </w:tc>
        <w:tc>
          <w:tcPr>
            <w:tcW w:w="2610" w:type="dxa"/>
            <w:gridSpan w:val="3"/>
            <w:tcBorders>
              <w:top w:val="single" w:sz="4" w:space="0" w:color="auto"/>
              <w:left w:val="single" w:sz="4" w:space="0" w:color="auto"/>
              <w:bottom w:val="single" w:sz="4" w:space="0" w:color="auto"/>
              <w:right w:val="single" w:sz="4" w:space="0" w:color="auto"/>
            </w:tcBorders>
            <w:shd w:val="clear" w:color="auto" w:fill="BFC8E1" w:themeFill="accent1" w:themeFillTint="66"/>
            <w:noWrap/>
            <w:vAlign w:val="center"/>
          </w:tcPr>
          <w:p w14:paraId="1047EF8B" w14:textId="77777777" w:rsidR="00D4346E" w:rsidRPr="00241F83" w:rsidRDefault="00D4346E" w:rsidP="00291716">
            <w:pPr>
              <w:jc w:val="center"/>
              <w:rPr>
                <w:rFonts w:eastAsia="Times New Roman" w:cstheme="minorHAnsi"/>
                <w:b/>
                <w:bCs/>
                <w:color w:val="000000"/>
                <w:sz w:val="20"/>
                <w:szCs w:val="20"/>
              </w:rPr>
            </w:pPr>
            <w:r w:rsidRPr="00241F83">
              <w:rPr>
                <w:rFonts w:eastAsia="Times New Roman" w:cstheme="minorHAnsi"/>
                <w:b/>
                <w:bCs/>
                <w:color w:val="000000"/>
                <w:sz w:val="20"/>
                <w:szCs w:val="20"/>
              </w:rPr>
              <w:t>ASC (US average)</w:t>
            </w:r>
          </w:p>
        </w:tc>
        <w:tc>
          <w:tcPr>
            <w:tcW w:w="2771" w:type="dxa"/>
            <w:gridSpan w:val="3"/>
            <w:tcBorders>
              <w:top w:val="single" w:sz="4" w:space="0" w:color="auto"/>
              <w:left w:val="single" w:sz="4" w:space="0" w:color="auto"/>
              <w:bottom w:val="single" w:sz="4" w:space="0" w:color="auto"/>
              <w:right w:val="single" w:sz="4" w:space="0" w:color="auto"/>
            </w:tcBorders>
            <w:shd w:val="clear" w:color="auto" w:fill="BFC8E1" w:themeFill="accent1" w:themeFillTint="66"/>
            <w:noWrap/>
            <w:vAlign w:val="center"/>
          </w:tcPr>
          <w:p w14:paraId="32BD7379" w14:textId="77777777" w:rsidR="00D4346E" w:rsidRPr="00241F83" w:rsidRDefault="00D4346E" w:rsidP="00291716">
            <w:pPr>
              <w:jc w:val="center"/>
              <w:rPr>
                <w:rFonts w:eastAsia="Times New Roman" w:cstheme="minorHAnsi"/>
                <w:b/>
                <w:bCs/>
                <w:color w:val="000000"/>
                <w:sz w:val="20"/>
                <w:szCs w:val="20"/>
              </w:rPr>
            </w:pPr>
            <w:r w:rsidRPr="00241F83">
              <w:rPr>
                <w:rFonts w:eastAsia="Times New Roman" w:cstheme="minorHAnsi"/>
                <w:b/>
                <w:bCs/>
                <w:color w:val="000000"/>
                <w:sz w:val="20"/>
                <w:szCs w:val="20"/>
              </w:rPr>
              <w:t>HOPD (US average)</w:t>
            </w:r>
          </w:p>
        </w:tc>
      </w:tr>
      <w:tr w:rsidR="00D4346E" w:rsidRPr="00241F83" w14:paraId="44CCC7B8" w14:textId="77777777" w:rsidTr="006B47CD">
        <w:trPr>
          <w:cantSplit/>
          <w:trHeight w:val="509"/>
          <w:tblHeader/>
        </w:trPr>
        <w:tc>
          <w:tcPr>
            <w:tcW w:w="4585"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116311A1" w14:textId="77777777" w:rsidR="00D4346E" w:rsidRPr="00241F83" w:rsidRDefault="00D4346E" w:rsidP="00291716">
            <w:pPr>
              <w:jc w:val="center"/>
              <w:rPr>
                <w:rFonts w:eastAsia="Times New Roman" w:cstheme="minorHAnsi"/>
                <w:color w:val="000000"/>
                <w:sz w:val="20"/>
                <w:szCs w:val="20"/>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noWrap/>
            <w:vAlign w:val="center"/>
            <w:hideMark/>
          </w:tcPr>
          <w:p w14:paraId="20A7FCC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Total</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6798DCA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Medicare Payment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6E557FEE"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Copay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noWrap/>
            <w:vAlign w:val="center"/>
            <w:hideMark/>
          </w:tcPr>
          <w:p w14:paraId="6119AD11"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Total</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31115CB0"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Medicare Payment</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021D9AEB"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Copay</w:t>
            </w:r>
          </w:p>
        </w:tc>
      </w:tr>
      <w:tr w:rsidR="00D4346E" w:rsidRPr="00241F83" w14:paraId="5430A445" w14:textId="77777777" w:rsidTr="006B47CD">
        <w:trPr>
          <w:cantSplit/>
          <w:trHeight w:val="509"/>
        </w:trPr>
        <w:tc>
          <w:tcPr>
            <w:tcW w:w="4585"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7F16A6F9" w14:textId="77777777" w:rsidR="00D4346E" w:rsidRPr="00241F83" w:rsidRDefault="00D4346E" w:rsidP="00291716">
            <w:pPr>
              <w:jc w:val="center"/>
              <w:rPr>
                <w:rFonts w:eastAsia="Times New Roman" w:cstheme="minorHAns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23109A17" w14:textId="77777777" w:rsidR="00D4346E" w:rsidRPr="00241F83" w:rsidRDefault="00D4346E" w:rsidP="00291716">
            <w:pPr>
              <w:jc w:val="center"/>
              <w:rPr>
                <w:rFonts w:eastAsia="Times New Roman" w:cstheme="minorHAnsi"/>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4EF4331B" w14:textId="77777777" w:rsidR="00D4346E" w:rsidRPr="00241F83" w:rsidRDefault="00D4346E" w:rsidP="00291716">
            <w:pPr>
              <w:jc w:val="center"/>
              <w:rPr>
                <w:rFonts w:eastAsia="Times New Roman" w:cstheme="minorHAns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095968FB" w14:textId="77777777" w:rsidR="00D4346E" w:rsidRPr="00241F83" w:rsidRDefault="00D4346E" w:rsidP="00291716">
            <w:pPr>
              <w:jc w:val="center"/>
              <w:rPr>
                <w:rFonts w:eastAsia="Times New Roman" w:cstheme="minorHAnsi"/>
                <w:color w:val="000000"/>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461D1450" w14:textId="77777777" w:rsidR="00D4346E" w:rsidRPr="00241F83" w:rsidRDefault="00D4346E" w:rsidP="00291716">
            <w:pPr>
              <w:jc w:val="center"/>
              <w:rPr>
                <w:rFonts w:eastAsia="Times New Roman" w:cstheme="minorHAnsi"/>
                <w:color w:val="000000"/>
                <w:sz w:val="20"/>
                <w:szCs w:val="20"/>
              </w:rPr>
            </w:pPr>
          </w:p>
        </w:tc>
        <w:tc>
          <w:tcPr>
            <w:tcW w:w="1015"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64A12491" w14:textId="77777777" w:rsidR="00D4346E" w:rsidRPr="00241F83" w:rsidRDefault="00D4346E" w:rsidP="00291716">
            <w:pPr>
              <w:jc w:val="center"/>
              <w:rPr>
                <w:rFonts w:eastAsia="Times New Roman" w:cstheme="minorHAnsi"/>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shd w:val="clear" w:color="auto" w:fill="BFC8E1" w:themeFill="accent1" w:themeFillTint="66"/>
            <w:vAlign w:val="center"/>
            <w:hideMark/>
          </w:tcPr>
          <w:p w14:paraId="1504B0E9" w14:textId="77777777" w:rsidR="00D4346E" w:rsidRPr="00241F83" w:rsidRDefault="00D4346E" w:rsidP="00291716">
            <w:pPr>
              <w:jc w:val="center"/>
              <w:rPr>
                <w:rFonts w:eastAsia="Times New Roman" w:cstheme="minorHAnsi"/>
                <w:color w:val="000000"/>
                <w:sz w:val="20"/>
                <w:szCs w:val="20"/>
              </w:rPr>
            </w:pPr>
          </w:p>
        </w:tc>
      </w:tr>
      <w:tr w:rsidR="00D4346E" w:rsidRPr="00241F83" w14:paraId="143533C4"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91ABCF6" w14:textId="77777777" w:rsidR="00D4346E" w:rsidRPr="00241F83" w:rsidRDefault="00D4346E" w:rsidP="00291716">
            <w:pPr>
              <w:pStyle w:val="NoSpacing"/>
              <w:rPr>
                <w:rFonts w:cstheme="minorHAnsi"/>
              </w:rPr>
            </w:pPr>
            <w:r w:rsidRPr="00241F83">
              <w:rPr>
                <w:rFonts w:cstheme="minorHAnsi"/>
              </w:rPr>
              <w:t>Arthroscopy, shoulder, surgical; distal claviculectomy including distal articular surface</w:t>
            </w:r>
          </w:p>
        </w:tc>
        <w:tc>
          <w:tcPr>
            <w:tcW w:w="810" w:type="dxa"/>
            <w:tcBorders>
              <w:top w:val="nil"/>
              <w:left w:val="nil"/>
              <w:bottom w:val="single" w:sz="4" w:space="0" w:color="auto"/>
              <w:right w:val="single" w:sz="4" w:space="0" w:color="auto"/>
            </w:tcBorders>
            <w:shd w:val="clear" w:color="auto" w:fill="auto"/>
            <w:noWrap/>
            <w:vAlign w:val="bottom"/>
            <w:hideMark/>
          </w:tcPr>
          <w:p w14:paraId="41D017A9"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$2,025</w:t>
            </w:r>
          </w:p>
        </w:tc>
        <w:tc>
          <w:tcPr>
            <w:tcW w:w="990" w:type="dxa"/>
            <w:tcBorders>
              <w:top w:val="nil"/>
              <w:left w:val="nil"/>
              <w:bottom w:val="single" w:sz="4" w:space="0" w:color="auto"/>
              <w:right w:val="single" w:sz="4" w:space="0" w:color="auto"/>
            </w:tcBorders>
            <w:shd w:val="clear" w:color="auto" w:fill="auto"/>
            <w:noWrap/>
            <w:vAlign w:val="bottom"/>
            <w:hideMark/>
          </w:tcPr>
          <w:p w14:paraId="6728969E"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$1,620</w:t>
            </w:r>
          </w:p>
        </w:tc>
        <w:tc>
          <w:tcPr>
            <w:tcW w:w="810" w:type="dxa"/>
            <w:tcBorders>
              <w:top w:val="nil"/>
              <w:left w:val="nil"/>
              <w:bottom w:val="single" w:sz="4" w:space="0" w:color="auto"/>
              <w:right w:val="single" w:sz="4" w:space="0" w:color="auto"/>
            </w:tcBorders>
            <w:shd w:val="clear" w:color="auto" w:fill="auto"/>
            <w:noWrap/>
            <w:vAlign w:val="bottom"/>
            <w:hideMark/>
          </w:tcPr>
          <w:p w14:paraId="1B271EA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$404</w:t>
            </w:r>
          </w:p>
        </w:tc>
        <w:tc>
          <w:tcPr>
            <w:tcW w:w="810" w:type="dxa"/>
            <w:tcBorders>
              <w:top w:val="nil"/>
              <w:left w:val="nil"/>
              <w:bottom w:val="single" w:sz="4" w:space="0" w:color="auto"/>
              <w:right w:val="single" w:sz="4" w:space="0" w:color="auto"/>
            </w:tcBorders>
            <w:shd w:val="clear" w:color="auto" w:fill="auto"/>
            <w:noWrap/>
            <w:vAlign w:val="bottom"/>
            <w:hideMark/>
          </w:tcPr>
          <w:p w14:paraId="46CF3AFE"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$3,527</w:t>
            </w:r>
          </w:p>
        </w:tc>
        <w:tc>
          <w:tcPr>
            <w:tcW w:w="1015" w:type="dxa"/>
            <w:tcBorders>
              <w:top w:val="nil"/>
              <w:left w:val="nil"/>
              <w:bottom w:val="single" w:sz="4" w:space="0" w:color="auto"/>
              <w:right w:val="single" w:sz="4" w:space="0" w:color="auto"/>
            </w:tcBorders>
            <w:shd w:val="clear" w:color="auto" w:fill="auto"/>
            <w:noWrap/>
            <w:vAlign w:val="bottom"/>
            <w:hideMark/>
          </w:tcPr>
          <w:p w14:paraId="1716EBB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$2,822</w:t>
            </w:r>
          </w:p>
        </w:tc>
        <w:tc>
          <w:tcPr>
            <w:tcW w:w="946" w:type="dxa"/>
            <w:tcBorders>
              <w:top w:val="nil"/>
              <w:left w:val="nil"/>
              <w:bottom w:val="single" w:sz="4" w:space="0" w:color="auto"/>
              <w:right w:val="single" w:sz="4" w:space="0" w:color="auto"/>
            </w:tcBorders>
            <w:shd w:val="clear" w:color="auto" w:fill="auto"/>
            <w:noWrap/>
            <w:vAlign w:val="bottom"/>
            <w:hideMark/>
          </w:tcPr>
          <w:p w14:paraId="655D328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$705</w:t>
            </w:r>
          </w:p>
        </w:tc>
      </w:tr>
      <w:tr w:rsidR="00D4346E" w:rsidRPr="00241F83" w14:paraId="20060C26"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80F8F90" w14:textId="77777777" w:rsidR="00D4346E" w:rsidRPr="00241F83" w:rsidRDefault="00D4346E" w:rsidP="00291716">
            <w:pPr>
              <w:rPr>
                <w:rFonts w:eastAsia="Times New Roman" w:cstheme="minorHAnsi"/>
                <w:color w:val="000000"/>
                <w:sz w:val="20"/>
                <w:szCs w:val="20"/>
              </w:rPr>
            </w:pPr>
            <w:r w:rsidRPr="00241F83">
              <w:rPr>
                <w:rFonts w:cstheme="minorHAnsi"/>
              </w:rPr>
              <w:t>Arthroscopy, knee, surgical; with meniscectomy (medial or lateral, including any meniscal shaving) including debridement/shaving of articular cartilage (chondroplasty), same or separate compartment(s), when performed</w:t>
            </w:r>
          </w:p>
        </w:tc>
        <w:tc>
          <w:tcPr>
            <w:tcW w:w="810" w:type="dxa"/>
            <w:tcBorders>
              <w:top w:val="nil"/>
              <w:left w:val="nil"/>
              <w:bottom w:val="single" w:sz="4" w:space="0" w:color="auto"/>
              <w:right w:val="single" w:sz="4" w:space="0" w:color="auto"/>
            </w:tcBorders>
            <w:shd w:val="clear" w:color="auto" w:fill="auto"/>
            <w:noWrap/>
            <w:vAlign w:val="bottom"/>
            <w:hideMark/>
          </w:tcPr>
          <w:p w14:paraId="68036B5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$1,887</w:t>
            </w:r>
          </w:p>
        </w:tc>
        <w:tc>
          <w:tcPr>
            <w:tcW w:w="990" w:type="dxa"/>
            <w:tcBorders>
              <w:top w:val="nil"/>
              <w:left w:val="nil"/>
              <w:bottom w:val="single" w:sz="4" w:space="0" w:color="auto"/>
              <w:right w:val="single" w:sz="4" w:space="0" w:color="auto"/>
            </w:tcBorders>
            <w:shd w:val="clear" w:color="auto" w:fill="auto"/>
            <w:noWrap/>
            <w:vAlign w:val="bottom"/>
            <w:hideMark/>
          </w:tcPr>
          <w:p w14:paraId="6639D540"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$1,509</w:t>
            </w:r>
          </w:p>
        </w:tc>
        <w:tc>
          <w:tcPr>
            <w:tcW w:w="810" w:type="dxa"/>
            <w:tcBorders>
              <w:top w:val="nil"/>
              <w:left w:val="nil"/>
              <w:bottom w:val="single" w:sz="4" w:space="0" w:color="auto"/>
              <w:right w:val="single" w:sz="4" w:space="0" w:color="auto"/>
            </w:tcBorders>
            <w:shd w:val="clear" w:color="auto" w:fill="auto"/>
            <w:noWrap/>
            <w:vAlign w:val="bottom"/>
            <w:hideMark/>
          </w:tcPr>
          <w:p w14:paraId="53B6E0A0"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$376</w:t>
            </w:r>
          </w:p>
        </w:tc>
        <w:tc>
          <w:tcPr>
            <w:tcW w:w="810" w:type="dxa"/>
            <w:tcBorders>
              <w:top w:val="nil"/>
              <w:left w:val="nil"/>
              <w:bottom w:val="single" w:sz="4" w:space="0" w:color="auto"/>
              <w:right w:val="single" w:sz="4" w:space="0" w:color="auto"/>
            </w:tcBorders>
            <w:shd w:val="clear" w:color="auto" w:fill="auto"/>
            <w:noWrap/>
            <w:vAlign w:val="bottom"/>
            <w:hideMark/>
          </w:tcPr>
          <w:p w14:paraId="29D434F1"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$3,389</w:t>
            </w:r>
          </w:p>
        </w:tc>
        <w:tc>
          <w:tcPr>
            <w:tcW w:w="1015" w:type="dxa"/>
            <w:tcBorders>
              <w:top w:val="nil"/>
              <w:left w:val="nil"/>
              <w:bottom w:val="single" w:sz="4" w:space="0" w:color="auto"/>
              <w:right w:val="single" w:sz="4" w:space="0" w:color="auto"/>
            </w:tcBorders>
            <w:shd w:val="clear" w:color="auto" w:fill="auto"/>
            <w:noWrap/>
            <w:vAlign w:val="bottom"/>
            <w:hideMark/>
          </w:tcPr>
          <w:p w14:paraId="4CFFBAB8"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$2,711</w:t>
            </w:r>
          </w:p>
        </w:tc>
        <w:tc>
          <w:tcPr>
            <w:tcW w:w="946" w:type="dxa"/>
            <w:tcBorders>
              <w:top w:val="nil"/>
              <w:left w:val="nil"/>
              <w:bottom w:val="single" w:sz="4" w:space="0" w:color="auto"/>
              <w:right w:val="single" w:sz="4" w:space="0" w:color="auto"/>
            </w:tcBorders>
            <w:shd w:val="clear" w:color="auto" w:fill="auto"/>
            <w:noWrap/>
            <w:vAlign w:val="bottom"/>
            <w:hideMark/>
          </w:tcPr>
          <w:p w14:paraId="09AB156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$677</w:t>
            </w:r>
          </w:p>
        </w:tc>
      </w:tr>
      <w:tr w:rsidR="00D4346E" w:rsidRPr="00241F83" w14:paraId="2366FEFB"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30CDA75" w14:textId="77777777" w:rsidR="00D4346E" w:rsidRPr="00241F83" w:rsidRDefault="00D4346E" w:rsidP="00291716">
            <w:pPr>
              <w:rPr>
                <w:rFonts w:eastAsia="Times New Roman" w:cstheme="minorHAnsi"/>
                <w:color w:val="000000"/>
                <w:sz w:val="20"/>
                <w:szCs w:val="20"/>
              </w:rPr>
            </w:pPr>
            <w:r w:rsidRPr="00241F83">
              <w:rPr>
                <w:rFonts w:cstheme="minorHAnsi"/>
              </w:rPr>
              <w:t>Neuroplasty and/or transposition; median nerve at carpal tunnel</w:t>
            </w:r>
          </w:p>
        </w:tc>
        <w:tc>
          <w:tcPr>
            <w:tcW w:w="810" w:type="dxa"/>
            <w:tcBorders>
              <w:top w:val="nil"/>
              <w:left w:val="nil"/>
              <w:bottom w:val="single" w:sz="4" w:space="0" w:color="auto"/>
              <w:right w:val="single" w:sz="4" w:space="0" w:color="auto"/>
            </w:tcBorders>
            <w:shd w:val="clear" w:color="auto" w:fill="auto"/>
            <w:noWrap/>
            <w:vAlign w:val="bottom"/>
            <w:hideMark/>
          </w:tcPr>
          <w:p w14:paraId="3F258D60"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$1,251</w:t>
            </w:r>
          </w:p>
        </w:tc>
        <w:tc>
          <w:tcPr>
            <w:tcW w:w="990" w:type="dxa"/>
            <w:tcBorders>
              <w:top w:val="nil"/>
              <w:left w:val="nil"/>
              <w:bottom w:val="single" w:sz="4" w:space="0" w:color="auto"/>
              <w:right w:val="single" w:sz="4" w:space="0" w:color="auto"/>
            </w:tcBorders>
            <w:shd w:val="clear" w:color="auto" w:fill="auto"/>
            <w:noWrap/>
            <w:vAlign w:val="bottom"/>
            <w:hideMark/>
          </w:tcPr>
          <w:p w14:paraId="1EAD71AC"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$1,001</w:t>
            </w:r>
          </w:p>
        </w:tc>
        <w:tc>
          <w:tcPr>
            <w:tcW w:w="810" w:type="dxa"/>
            <w:tcBorders>
              <w:top w:val="nil"/>
              <w:left w:val="nil"/>
              <w:bottom w:val="single" w:sz="4" w:space="0" w:color="auto"/>
              <w:right w:val="single" w:sz="4" w:space="0" w:color="auto"/>
            </w:tcBorders>
            <w:shd w:val="clear" w:color="auto" w:fill="auto"/>
            <w:noWrap/>
            <w:vAlign w:val="bottom"/>
            <w:hideMark/>
          </w:tcPr>
          <w:p w14:paraId="7EEE8622"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$249</w:t>
            </w:r>
          </w:p>
        </w:tc>
        <w:tc>
          <w:tcPr>
            <w:tcW w:w="810" w:type="dxa"/>
            <w:tcBorders>
              <w:top w:val="nil"/>
              <w:left w:val="nil"/>
              <w:bottom w:val="single" w:sz="4" w:space="0" w:color="auto"/>
              <w:right w:val="single" w:sz="4" w:space="0" w:color="auto"/>
            </w:tcBorders>
            <w:shd w:val="clear" w:color="auto" w:fill="auto"/>
            <w:noWrap/>
            <w:vAlign w:val="bottom"/>
            <w:hideMark/>
          </w:tcPr>
          <w:p w14:paraId="1F9CBE7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$2,201</w:t>
            </w:r>
          </w:p>
        </w:tc>
        <w:tc>
          <w:tcPr>
            <w:tcW w:w="1015" w:type="dxa"/>
            <w:tcBorders>
              <w:top w:val="nil"/>
              <w:left w:val="nil"/>
              <w:bottom w:val="single" w:sz="4" w:space="0" w:color="auto"/>
              <w:right w:val="single" w:sz="4" w:space="0" w:color="auto"/>
            </w:tcBorders>
            <w:shd w:val="clear" w:color="auto" w:fill="auto"/>
            <w:noWrap/>
            <w:vAlign w:val="bottom"/>
            <w:hideMark/>
          </w:tcPr>
          <w:p w14:paraId="5B43954C"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$1,761</w:t>
            </w:r>
          </w:p>
        </w:tc>
        <w:tc>
          <w:tcPr>
            <w:tcW w:w="946" w:type="dxa"/>
            <w:tcBorders>
              <w:top w:val="nil"/>
              <w:left w:val="nil"/>
              <w:bottom w:val="single" w:sz="4" w:space="0" w:color="auto"/>
              <w:right w:val="single" w:sz="4" w:space="0" w:color="auto"/>
            </w:tcBorders>
            <w:shd w:val="clear" w:color="auto" w:fill="auto"/>
            <w:noWrap/>
            <w:vAlign w:val="bottom"/>
            <w:hideMark/>
          </w:tcPr>
          <w:p w14:paraId="4AC37C0B"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$439</w:t>
            </w:r>
          </w:p>
        </w:tc>
      </w:tr>
      <w:tr w:rsidR="00D4346E" w:rsidRPr="00241F83" w14:paraId="5FA80B4B"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150ABF0" w14:textId="77777777" w:rsidR="00D4346E" w:rsidRPr="00241F83" w:rsidRDefault="00D4346E" w:rsidP="00291716">
            <w:pPr>
              <w:rPr>
                <w:rFonts w:eastAsia="Times New Roman" w:cstheme="minorHAnsi"/>
                <w:color w:val="000000"/>
                <w:sz w:val="20"/>
                <w:szCs w:val="20"/>
              </w:rPr>
            </w:pPr>
            <w:r w:rsidRPr="00241F83">
              <w:rPr>
                <w:rFonts w:cstheme="minorHAnsi"/>
              </w:rPr>
              <w:t>Arthroscopy, shoulder, surgical; with rotator cuff repair</w:t>
            </w:r>
          </w:p>
        </w:tc>
        <w:tc>
          <w:tcPr>
            <w:tcW w:w="810" w:type="dxa"/>
            <w:tcBorders>
              <w:top w:val="nil"/>
              <w:left w:val="nil"/>
              <w:bottom w:val="single" w:sz="4" w:space="0" w:color="auto"/>
              <w:right w:val="single" w:sz="4" w:space="0" w:color="auto"/>
            </w:tcBorders>
            <w:shd w:val="clear" w:color="auto" w:fill="auto"/>
            <w:noWrap/>
            <w:vAlign w:val="bottom"/>
            <w:hideMark/>
          </w:tcPr>
          <w:p w14:paraId="4EE0FE56"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$4,029</w:t>
            </w:r>
          </w:p>
        </w:tc>
        <w:tc>
          <w:tcPr>
            <w:tcW w:w="990" w:type="dxa"/>
            <w:tcBorders>
              <w:top w:val="nil"/>
              <w:left w:val="nil"/>
              <w:bottom w:val="single" w:sz="4" w:space="0" w:color="auto"/>
              <w:right w:val="single" w:sz="4" w:space="0" w:color="auto"/>
            </w:tcBorders>
            <w:shd w:val="clear" w:color="auto" w:fill="auto"/>
            <w:noWrap/>
            <w:vAlign w:val="bottom"/>
            <w:hideMark/>
          </w:tcPr>
          <w:p w14:paraId="288A158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$3,223</w:t>
            </w:r>
          </w:p>
        </w:tc>
        <w:tc>
          <w:tcPr>
            <w:tcW w:w="810" w:type="dxa"/>
            <w:tcBorders>
              <w:top w:val="nil"/>
              <w:left w:val="nil"/>
              <w:bottom w:val="single" w:sz="4" w:space="0" w:color="auto"/>
              <w:right w:val="single" w:sz="4" w:space="0" w:color="auto"/>
            </w:tcBorders>
            <w:shd w:val="clear" w:color="auto" w:fill="auto"/>
            <w:noWrap/>
            <w:vAlign w:val="bottom"/>
            <w:hideMark/>
          </w:tcPr>
          <w:p w14:paraId="54682E7C"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$805</w:t>
            </w:r>
          </w:p>
        </w:tc>
        <w:tc>
          <w:tcPr>
            <w:tcW w:w="810" w:type="dxa"/>
            <w:tcBorders>
              <w:top w:val="nil"/>
              <w:left w:val="nil"/>
              <w:bottom w:val="single" w:sz="4" w:space="0" w:color="auto"/>
              <w:right w:val="single" w:sz="4" w:space="0" w:color="auto"/>
            </w:tcBorders>
            <w:shd w:val="clear" w:color="auto" w:fill="auto"/>
            <w:noWrap/>
            <w:vAlign w:val="bottom"/>
            <w:hideMark/>
          </w:tcPr>
          <w:p w14:paraId="3BCC3A7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$7,364</w:t>
            </w:r>
          </w:p>
        </w:tc>
        <w:tc>
          <w:tcPr>
            <w:tcW w:w="1015" w:type="dxa"/>
            <w:tcBorders>
              <w:top w:val="nil"/>
              <w:left w:val="nil"/>
              <w:bottom w:val="single" w:sz="4" w:space="0" w:color="auto"/>
              <w:right w:val="single" w:sz="4" w:space="0" w:color="auto"/>
            </w:tcBorders>
            <w:shd w:val="clear" w:color="auto" w:fill="auto"/>
            <w:noWrap/>
            <w:vAlign w:val="bottom"/>
            <w:hideMark/>
          </w:tcPr>
          <w:p w14:paraId="24EBC4E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$5,891</w:t>
            </w:r>
          </w:p>
        </w:tc>
        <w:tc>
          <w:tcPr>
            <w:tcW w:w="946" w:type="dxa"/>
            <w:tcBorders>
              <w:top w:val="nil"/>
              <w:left w:val="nil"/>
              <w:bottom w:val="single" w:sz="4" w:space="0" w:color="auto"/>
              <w:right w:val="single" w:sz="4" w:space="0" w:color="auto"/>
            </w:tcBorders>
            <w:shd w:val="clear" w:color="auto" w:fill="auto"/>
            <w:noWrap/>
            <w:vAlign w:val="bottom"/>
            <w:hideMark/>
          </w:tcPr>
          <w:p w14:paraId="03ED3A9F"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$1,473</w:t>
            </w:r>
          </w:p>
        </w:tc>
      </w:tr>
      <w:tr w:rsidR="00D4346E" w:rsidRPr="00241F83" w14:paraId="3E90A7B2"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CC61436" w14:textId="77777777" w:rsidR="00D4346E" w:rsidRPr="00241F83" w:rsidRDefault="00D4346E" w:rsidP="00291716">
            <w:pPr>
              <w:rPr>
                <w:rFonts w:eastAsia="Times New Roman" w:cstheme="minorHAnsi"/>
                <w:color w:val="000000"/>
                <w:sz w:val="20"/>
                <w:szCs w:val="20"/>
              </w:rPr>
            </w:pPr>
            <w:r w:rsidRPr="00241F83">
              <w:rPr>
                <w:rFonts w:cstheme="minorHAnsi"/>
              </w:rPr>
              <w:t>Arthroscopy, shoulder, surgical; debridement, extensive, 3 or more discrete structures</w:t>
            </w:r>
          </w:p>
        </w:tc>
        <w:tc>
          <w:tcPr>
            <w:tcW w:w="810" w:type="dxa"/>
            <w:tcBorders>
              <w:top w:val="nil"/>
              <w:left w:val="nil"/>
              <w:bottom w:val="single" w:sz="4" w:space="0" w:color="auto"/>
              <w:right w:val="single" w:sz="4" w:space="0" w:color="auto"/>
            </w:tcBorders>
            <w:shd w:val="clear" w:color="auto" w:fill="auto"/>
            <w:noWrap/>
            <w:vAlign w:val="bottom"/>
            <w:hideMark/>
          </w:tcPr>
          <w:p w14:paraId="66023EE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$1,939</w:t>
            </w:r>
          </w:p>
        </w:tc>
        <w:tc>
          <w:tcPr>
            <w:tcW w:w="990" w:type="dxa"/>
            <w:tcBorders>
              <w:top w:val="nil"/>
              <w:left w:val="nil"/>
              <w:bottom w:val="single" w:sz="4" w:space="0" w:color="auto"/>
              <w:right w:val="single" w:sz="4" w:space="0" w:color="auto"/>
            </w:tcBorders>
            <w:shd w:val="clear" w:color="auto" w:fill="auto"/>
            <w:noWrap/>
            <w:vAlign w:val="bottom"/>
            <w:hideMark/>
          </w:tcPr>
          <w:p w14:paraId="7F33CAE1"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$1,551</w:t>
            </w:r>
          </w:p>
        </w:tc>
        <w:tc>
          <w:tcPr>
            <w:tcW w:w="810" w:type="dxa"/>
            <w:tcBorders>
              <w:top w:val="nil"/>
              <w:left w:val="nil"/>
              <w:bottom w:val="single" w:sz="4" w:space="0" w:color="auto"/>
              <w:right w:val="single" w:sz="4" w:space="0" w:color="auto"/>
            </w:tcBorders>
            <w:shd w:val="clear" w:color="auto" w:fill="auto"/>
            <w:noWrap/>
            <w:vAlign w:val="bottom"/>
            <w:hideMark/>
          </w:tcPr>
          <w:p w14:paraId="00FB04F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$387</w:t>
            </w:r>
          </w:p>
        </w:tc>
        <w:tc>
          <w:tcPr>
            <w:tcW w:w="810" w:type="dxa"/>
            <w:tcBorders>
              <w:top w:val="nil"/>
              <w:left w:val="nil"/>
              <w:bottom w:val="single" w:sz="4" w:space="0" w:color="auto"/>
              <w:right w:val="single" w:sz="4" w:space="0" w:color="auto"/>
            </w:tcBorders>
            <w:shd w:val="clear" w:color="auto" w:fill="auto"/>
            <w:noWrap/>
            <w:vAlign w:val="bottom"/>
            <w:hideMark/>
          </w:tcPr>
          <w:p w14:paraId="38FA2882"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$3,441</w:t>
            </w:r>
          </w:p>
        </w:tc>
        <w:tc>
          <w:tcPr>
            <w:tcW w:w="1015" w:type="dxa"/>
            <w:tcBorders>
              <w:top w:val="nil"/>
              <w:left w:val="nil"/>
              <w:bottom w:val="single" w:sz="4" w:space="0" w:color="auto"/>
              <w:right w:val="single" w:sz="4" w:space="0" w:color="auto"/>
            </w:tcBorders>
            <w:shd w:val="clear" w:color="auto" w:fill="auto"/>
            <w:noWrap/>
            <w:vAlign w:val="bottom"/>
            <w:hideMark/>
          </w:tcPr>
          <w:p w14:paraId="6FF0E69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$2,753</w:t>
            </w:r>
          </w:p>
        </w:tc>
        <w:tc>
          <w:tcPr>
            <w:tcW w:w="946" w:type="dxa"/>
            <w:tcBorders>
              <w:top w:val="nil"/>
              <w:left w:val="nil"/>
              <w:bottom w:val="single" w:sz="4" w:space="0" w:color="auto"/>
              <w:right w:val="single" w:sz="4" w:space="0" w:color="auto"/>
            </w:tcBorders>
            <w:shd w:val="clear" w:color="auto" w:fill="auto"/>
            <w:noWrap/>
            <w:vAlign w:val="bottom"/>
            <w:hideMark/>
          </w:tcPr>
          <w:p w14:paraId="07CAC1E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$688</w:t>
            </w:r>
          </w:p>
        </w:tc>
      </w:tr>
      <w:tr w:rsidR="00D4346E" w:rsidRPr="00241F83" w14:paraId="7C7EC078"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E7E3B3E" w14:textId="77777777" w:rsidR="00D4346E" w:rsidRPr="00241F83" w:rsidRDefault="00D4346E" w:rsidP="00291716">
            <w:pPr>
              <w:rPr>
                <w:rFonts w:eastAsia="Times New Roman" w:cstheme="minorHAnsi"/>
                <w:color w:val="000000"/>
                <w:sz w:val="20"/>
                <w:szCs w:val="20"/>
              </w:rPr>
            </w:pPr>
            <w:r w:rsidRPr="00241F83">
              <w:rPr>
                <w:rFonts w:cstheme="minorHAnsi"/>
              </w:rPr>
              <w:t>Tendon sheath incision</w:t>
            </w:r>
          </w:p>
        </w:tc>
        <w:tc>
          <w:tcPr>
            <w:tcW w:w="810" w:type="dxa"/>
            <w:tcBorders>
              <w:top w:val="nil"/>
              <w:left w:val="nil"/>
              <w:bottom w:val="single" w:sz="4" w:space="0" w:color="auto"/>
              <w:right w:val="single" w:sz="4" w:space="0" w:color="auto"/>
            </w:tcBorders>
            <w:shd w:val="clear" w:color="auto" w:fill="auto"/>
            <w:noWrap/>
            <w:vAlign w:val="bottom"/>
            <w:hideMark/>
          </w:tcPr>
          <w:p w14:paraId="5BB3A2B9"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$1,023</w:t>
            </w:r>
          </w:p>
        </w:tc>
        <w:tc>
          <w:tcPr>
            <w:tcW w:w="990" w:type="dxa"/>
            <w:tcBorders>
              <w:top w:val="nil"/>
              <w:left w:val="nil"/>
              <w:bottom w:val="single" w:sz="4" w:space="0" w:color="auto"/>
              <w:right w:val="single" w:sz="4" w:space="0" w:color="auto"/>
            </w:tcBorders>
            <w:shd w:val="clear" w:color="auto" w:fill="auto"/>
            <w:noWrap/>
            <w:vAlign w:val="bottom"/>
            <w:hideMark/>
          </w:tcPr>
          <w:p w14:paraId="15766DF3"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$818</w:t>
            </w:r>
          </w:p>
        </w:tc>
        <w:tc>
          <w:tcPr>
            <w:tcW w:w="810" w:type="dxa"/>
            <w:tcBorders>
              <w:top w:val="nil"/>
              <w:left w:val="nil"/>
              <w:bottom w:val="single" w:sz="4" w:space="0" w:color="auto"/>
              <w:right w:val="single" w:sz="4" w:space="0" w:color="auto"/>
            </w:tcBorders>
            <w:shd w:val="clear" w:color="auto" w:fill="auto"/>
            <w:noWrap/>
            <w:vAlign w:val="bottom"/>
            <w:hideMark/>
          </w:tcPr>
          <w:p w14:paraId="7B64B57A"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$204</w:t>
            </w:r>
          </w:p>
        </w:tc>
        <w:tc>
          <w:tcPr>
            <w:tcW w:w="810" w:type="dxa"/>
            <w:tcBorders>
              <w:top w:val="nil"/>
              <w:left w:val="nil"/>
              <w:bottom w:val="single" w:sz="4" w:space="0" w:color="auto"/>
              <w:right w:val="single" w:sz="4" w:space="0" w:color="auto"/>
            </w:tcBorders>
            <w:shd w:val="clear" w:color="auto" w:fill="auto"/>
            <w:noWrap/>
            <w:vAlign w:val="bottom"/>
            <w:hideMark/>
          </w:tcPr>
          <w:p w14:paraId="6192FDFB"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$1,692</w:t>
            </w:r>
          </w:p>
        </w:tc>
        <w:tc>
          <w:tcPr>
            <w:tcW w:w="1015" w:type="dxa"/>
            <w:tcBorders>
              <w:top w:val="nil"/>
              <w:left w:val="nil"/>
              <w:bottom w:val="single" w:sz="4" w:space="0" w:color="auto"/>
              <w:right w:val="single" w:sz="4" w:space="0" w:color="auto"/>
            </w:tcBorders>
            <w:shd w:val="clear" w:color="auto" w:fill="auto"/>
            <w:noWrap/>
            <w:vAlign w:val="bottom"/>
            <w:hideMark/>
          </w:tcPr>
          <w:p w14:paraId="5F267F5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$1,353</w:t>
            </w:r>
          </w:p>
        </w:tc>
        <w:tc>
          <w:tcPr>
            <w:tcW w:w="946" w:type="dxa"/>
            <w:tcBorders>
              <w:top w:val="nil"/>
              <w:left w:val="nil"/>
              <w:bottom w:val="single" w:sz="4" w:space="0" w:color="auto"/>
              <w:right w:val="single" w:sz="4" w:space="0" w:color="auto"/>
            </w:tcBorders>
            <w:shd w:val="clear" w:color="auto" w:fill="auto"/>
            <w:noWrap/>
            <w:vAlign w:val="bottom"/>
            <w:hideMark/>
          </w:tcPr>
          <w:p w14:paraId="62F021CB"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$338</w:t>
            </w:r>
          </w:p>
        </w:tc>
      </w:tr>
      <w:tr w:rsidR="00D4346E" w:rsidRPr="00241F83" w14:paraId="3D1955B3"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5AAC5D7" w14:textId="77777777" w:rsidR="00D4346E" w:rsidRPr="00241F83" w:rsidRDefault="00D4346E" w:rsidP="00291716">
            <w:pPr>
              <w:rPr>
                <w:rFonts w:eastAsia="Times New Roman" w:cstheme="minorHAnsi"/>
                <w:color w:val="000000"/>
                <w:sz w:val="20"/>
                <w:szCs w:val="20"/>
              </w:rPr>
            </w:pPr>
            <w:r w:rsidRPr="00241F83">
              <w:rPr>
                <w:rFonts w:cstheme="minorHAnsi"/>
              </w:rPr>
              <w:t>Arthroscopically aided anterior cruciate ligament repair/augmentation or reconstruction</w:t>
            </w:r>
          </w:p>
        </w:tc>
        <w:tc>
          <w:tcPr>
            <w:tcW w:w="810" w:type="dxa"/>
            <w:tcBorders>
              <w:top w:val="nil"/>
              <w:left w:val="nil"/>
              <w:bottom w:val="single" w:sz="4" w:space="0" w:color="auto"/>
              <w:right w:val="single" w:sz="4" w:space="0" w:color="auto"/>
            </w:tcBorders>
            <w:shd w:val="clear" w:color="auto" w:fill="auto"/>
            <w:noWrap/>
            <w:vAlign w:val="bottom"/>
            <w:hideMark/>
          </w:tcPr>
          <w:p w14:paraId="2374818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$5,041</w:t>
            </w:r>
          </w:p>
        </w:tc>
        <w:tc>
          <w:tcPr>
            <w:tcW w:w="990" w:type="dxa"/>
            <w:tcBorders>
              <w:top w:val="nil"/>
              <w:left w:val="nil"/>
              <w:bottom w:val="single" w:sz="4" w:space="0" w:color="auto"/>
              <w:right w:val="single" w:sz="4" w:space="0" w:color="auto"/>
            </w:tcBorders>
            <w:shd w:val="clear" w:color="auto" w:fill="auto"/>
            <w:noWrap/>
            <w:vAlign w:val="bottom"/>
            <w:hideMark/>
          </w:tcPr>
          <w:p w14:paraId="4799E944"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$4,033</w:t>
            </w:r>
          </w:p>
        </w:tc>
        <w:tc>
          <w:tcPr>
            <w:tcW w:w="810" w:type="dxa"/>
            <w:tcBorders>
              <w:top w:val="nil"/>
              <w:left w:val="nil"/>
              <w:bottom w:val="single" w:sz="4" w:space="0" w:color="auto"/>
              <w:right w:val="single" w:sz="4" w:space="0" w:color="auto"/>
            </w:tcBorders>
            <w:shd w:val="clear" w:color="auto" w:fill="auto"/>
            <w:noWrap/>
            <w:vAlign w:val="bottom"/>
            <w:hideMark/>
          </w:tcPr>
          <w:p w14:paraId="7696ABA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$1,008</w:t>
            </w:r>
          </w:p>
        </w:tc>
        <w:tc>
          <w:tcPr>
            <w:tcW w:w="810" w:type="dxa"/>
            <w:tcBorders>
              <w:top w:val="nil"/>
              <w:left w:val="nil"/>
              <w:bottom w:val="single" w:sz="4" w:space="0" w:color="auto"/>
              <w:right w:val="single" w:sz="4" w:space="0" w:color="auto"/>
            </w:tcBorders>
            <w:shd w:val="clear" w:color="auto" w:fill="auto"/>
            <w:noWrap/>
            <w:vAlign w:val="bottom"/>
            <w:hideMark/>
          </w:tcPr>
          <w:p w14:paraId="0D43BFE5"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$7,270</w:t>
            </w:r>
          </w:p>
        </w:tc>
        <w:tc>
          <w:tcPr>
            <w:tcW w:w="1015" w:type="dxa"/>
            <w:tcBorders>
              <w:top w:val="nil"/>
              <w:left w:val="nil"/>
              <w:bottom w:val="single" w:sz="4" w:space="0" w:color="auto"/>
              <w:right w:val="single" w:sz="4" w:space="0" w:color="auto"/>
            </w:tcBorders>
            <w:shd w:val="clear" w:color="auto" w:fill="auto"/>
            <w:noWrap/>
            <w:vAlign w:val="bottom"/>
            <w:hideMark/>
          </w:tcPr>
          <w:p w14:paraId="7B257DD8"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$5,816</w:t>
            </w:r>
          </w:p>
        </w:tc>
        <w:tc>
          <w:tcPr>
            <w:tcW w:w="946" w:type="dxa"/>
            <w:tcBorders>
              <w:top w:val="nil"/>
              <w:left w:val="nil"/>
              <w:bottom w:val="single" w:sz="4" w:space="0" w:color="auto"/>
              <w:right w:val="single" w:sz="4" w:space="0" w:color="auto"/>
            </w:tcBorders>
            <w:shd w:val="clear" w:color="auto" w:fill="auto"/>
            <w:noWrap/>
            <w:vAlign w:val="bottom"/>
            <w:hideMark/>
          </w:tcPr>
          <w:p w14:paraId="6859B683"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$1,454</w:t>
            </w:r>
          </w:p>
        </w:tc>
      </w:tr>
      <w:tr w:rsidR="00D4346E" w:rsidRPr="00241F83" w14:paraId="03FDAA7A"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FF99750" w14:textId="77777777" w:rsidR="00D4346E" w:rsidRPr="00241F83" w:rsidRDefault="00D4346E" w:rsidP="00291716">
            <w:pPr>
              <w:rPr>
                <w:rFonts w:eastAsia="Times New Roman" w:cstheme="minorHAnsi"/>
                <w:color w:val="000000"/>
                <w:sz w:val="20"/>
                <w:szCs w:val="20"/>
              </w:rPr>
            </w:pPr>
            <w:r w:rsidRPr="00241F83">
              <w:rPr>
                <w:rFonts w:cstheme="minorHAnsi"/>
              </w:rPr>
              <w:t>Arthroscopy, shoulder, surgical; biceps tenodesis</w:t>
            </w:r>
          </w:p>
        </w:tc>
        <w:tc>
          <w:tcPr>
            <w:tcW w:w="810" w:type="dxa"/>
            <w:tcBorders>
              <w:top w:val="nil"/>
              <w:left w:val="nil"/>
              <w:bottom w:val="single" w:sz="4" w:space="0" w:color="auto"/>
              <w:right w:val="single" w:sz="4" w:space="0" w:color="auto"/>
            </w:tcBorders>
            <w:shd w:val="clear" w:color="auto" w:fill="auto"/>
            <w:noWrap/>
            <w:vAlign w:val="bottom"/>
            <w:hideMark/>
          </w:tcPr>
          <w:p w14:paraId="752E7F06"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$3,873</w:t>
            </w:r>
          </w:p>
        </w:tc>
        <w:tc>
          <w:tcPr>
            <w:tcW w:w="990" w:type="dxa"/>
            <w:tcBorders>
              <w:top w:val="nil"/>
              <w:left w:val="nil"/>
              <w:bottom w:val="single" w:sz="4" w:space="0" w:color="auto"/>
              <w:right w:val="single" w:sz="4" w:space="0" w:color="auto"/>
            </w:tcBorders>
            <w:shd w:val="clear" w:color="auto" w:fill="auto"/>
            <w:noWrap/>
            <w:vAlign w:val="bottom"/>
            <w:hideMark/>
          </w:tcPr>
          <w:p w14:paraId="13CBF468"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$3,098</w:t>
            </w:r>
          </w:p>
        </w:tc>
        <w:tc>
          <w:tcPr>
            <w:tcW w:w="810" w:type="dxa"/>
            <w:tcBorders>
              <w:top w:val="nil"/>
              <w:left w:val="nil"/>
              <w:bottom w:val="single" w:sz="4" w:space="0" w:color="auto"/>
              <w:right w:val="single" w:sz="4" w:space="0" w:color="auto"/>
            </w:tcBorders>
            <w:shd w:val="clear" w:color="auto" w:fill="auto"/>
            <w:noWrap/>
            <w:vAlign w:val="bottom"/>
            <w:hideMark/>
          </w:tcPr>
          <w:p w14:paraId="126BEA90"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$773</w:t>
            </w:r>
          </w:p>
        </w:tc>
        <w:tc>
          <w:tcPr>
            <w:tcW w:w="810" w:type="dxa"/>
            <w:tcBorders>
              <w:top w:val="nil"/>
              <w:left w:val="nil"/>
              <w:bottom w:val="single" w:sz="4" w:space="0" w:color="auto"/>
              <w:right w:val="single" w:sz="4" w:space="0" w:color="auto"/>
            </w:tcBorders>
            <w:shd w:val="clear" w:color="auto" w:fill="auto"/>
            <w:noWrap/>
            <w:vAlign w:val="bottom"/>
            <w:hideMark/>
          </w:tcPr>
          <w:p w14:paraId="5112534E"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$7,208</w:t>
            </w:r>
          </w:p>
        </w:tc>
        <w:tc>
          <w:tcPr>
            <w:tcW w:w="1015" w:type="dxa"/>
            <w:tcBorders>
              <w:top w:val="nil"/>
              <w:left w:val="nil"/>
              <w:bottom w:val="single" w:sz="4" w:space="0" w:color="auto"/>
              <w:right w:val="single" w:sz="4" w:space="0" w:color="auto"/>
            </w:tcBorders>
            <w:shd w:val="clear" w:color="auto" w:fill="auto"/>
            <w:noWrap/>
            <w:vAlign w:val="bottom"/>
            <w:hideMark/>
          </w:tcPr>
          <w:p w14:paraId="4712ABA1"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$5,766</w:t>
            </w:r>
          </w:p>
        </w:tc>
        <w:tc>
          <w:tcPr>
            <w:tcW w:w="946" w:type="dxa"/>
            <w:tcBorders>
              <w:top w:val="nil"/>
              <w:left w:val="nil"/>
              <w:bottom w:val="single" w:sz="4" w:space="0" w:color="auto"/>
              <w:right w:val="single" w:sz="4" w:space="0" w:color="auto"/>
            </w:tcBorders>
            <w:shd w:val="clear" w:color="auto" w:fill="auto"/>
            <w:noWrap/>
            <w:vAlign w:val="bottom"/>
            <w:hideMark/>
          </w:tcPr>
          <w:p w14:paraId="324F269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$1,441</w:t>
            </w:r>
          </w:p>
        </w:tc>
      </w:tr>
      <w:tr w:rsidR="00D4346E" w:rsidRPr="00241F83" w14:paraId="7BCEF1A5"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581CE22" w14:textId="77777777" w:rsidR="00D4346E" w:rsidRPr="00241F83" w:rsidRDefault="00D4346E" w:rsidP="00291716">
            <w:pPr>
              <w:rPr>
                <w:rFonts w:eastAsia="Times New Roman" w:cstheme="minorHAnsi"/>
                <w:color w:val="000000"/>
                <w:sz w:val="20"/>
                <w:szCs w:val="20"/>
              </w:rPr>
            </w:pPr>
            <w:r w:rsidRPr="00241F83">
              <w:rPr>
                <w:rFonts w:cstheme="minorHAnsi"/>
              </w:rPr>
              <w:t>Arthroscopy, knee, surgical; with meniscectomy including debridement/shaving of articular cartilage (chondroplasty), same or separate compartment(s), when performed</w:t>
            </w:r>
          </w:p>
        </w:tc>
        <w:tc>
          <w:tcPr>
            <w:tcW w:w="810" w:type="dxa"/>
            <w:tcBorders>
              <w:top w:val="nil"/>
              <w:left w:val="nil"/>
              <w:bottom w:val="single" w:sz="4" w:space="0" w:color="auto"/>
              <w:right w:val="single" w:sz="4" w:space="0" w:color="auto"/>
            </w:tcBorders>
            <w:shd w:val="clear" w:color="auto" w:fill="auto"/>
            <w:noWrap/>
            <w:vAlign w:val="bottom"/>
            <w:hideMark/>
          </w:tcPr>
          <w:p w14:paraId="4FCDB096"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$1,908</w:t>
            </w:r>
          </w:p>
        </w:tc>
        <w:tc>
          <w:tcPr>
            <w:tcW w:w="990" w:type="dxa"/>
            <w:tcBorders>
              <w:top w:val="nil"/>
              <w:left w:val="nil"/>
              <w:bottom w:val="single" w:sz="4" w:space="0" w:color="auto"/>
              <w:right w:val="single" w:sz="4" w:space="0" w:color="auto"/>
            </w:tcBorders>
            <w:shd w:val="clear" w:color="auto" w:fill="auto"/>
            <w:noWrap/>
            <w:vAlign w:val="bottom"/>
            <w:hideMark/>
          </w:tcPr>
          <w:p w14:paraId="20FC5A36"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$1,526</w:t>
            </w:r>
          </w:p>
        </w:tc>
        <w:tc>
          <w:tcPr>
            <w:tcW w:w="810" w:type="dxa"/>
            <w:tcBorders>
              <w:top w:val="nil"/>
              <w:left w:val="nil"/>
              <w:bottom w:val="single" w:sz="4" w:space="0" w:color="auto"/>
              <w:right w:val="single" w:sz="4" w:space="0" w:color="auto"/>
            </w:tcBorders>
            <w:shd w:val="clear" w:color="auto" w:fill="auto"/>
            <w:noWrap/>
            <w:vAlign w:val="bottom"/>
            <w:hideMark/>
          </w:tcPr>
          <w:p w14:paraId="0C1D9CCB"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$381</w:t>
            </w:r>
          </w:p>
        </w:tc>
        <w:tc>
          <w:tcPr>
            <w:tcW w:w="810" w:type="dxa"/>
            <w:tcBorders>
              <w:top w:val="nil"/>
              <w:left w:val="nil"/>
              <w:bottom w:val="single" w:sz="4" w:space="0" w:color="auto"/>
              <w:right w:val="single" w:sz="4" w:space="0" w:color="auto"/>
            </w:tcBorders>
            <w:shd w:val="clear" w:color="auto" w:fill="auto"/>
            <w:noWrap/>
            <w:vAlign w:val="bottom"/>
            <w:hideMark/>
          </w:tcPr>
          <w:p w14:paraId="6714BCAF"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$3,410</w:t>
            </w:r>
          </w:p>
        </w:tc>
        <w:tc>
          <w:tcPr>
            <w:tcW w:w="1015" w:type="dxa"/>
            <w:tcBorders>
              <w:top w:val="nil"/>
              <w:left w:val="nil"/>
              <w:bottom w:val="single" w:sz="4" w:space="0" w:color="auto"/>
              <w:right w:val="single" w:sz="4" w:space="0" w:color="auto"/>
            </w:tcBorders>
            <w:shd w:val="clear" w:color="auto" w:fill="auto"/>
            <w:noWrap/>
            <w:vAlign w:val="bottom"/>
            <w:hideMark/>
          </w:tcPr>
          <w:p w14:paraId="21977478"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$2,728</w:t>
            </w:r>
          </w:p>
        </w:tc>
        <w:tc>
          <w:tcPr>
            <w:tcW w:w="946" w:type="dxa"/>
            <w:tcBorders>
              <w:top w:val="nil"/>
              <w:left w:val="nil"/>
              <w:bottom w:val="single" w:sz="4" w:space="0" w:color="auto"/>
              <w:right w:val="single" w:sz="4" w:space="0" w:color="auto"/>
            </w:tcBorders>
            <w:shd w:val="clear" w:color="auto" w:fill="auto"/>
            <w:noWrap/>
            <w:vAlign w:val="bottom"/>
            <w:hideMark/>
          </w:tcPr>
          <w:p w14:paraId="4A5BF2D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$682</w:t>
            </w:r>
          </w:p>
        </w:tc>
      </w:tr>
      <w:tr w:rsidR="00D4346E" w:rsidRPr="00241F83" w14:paraId="0FB6397A" w14:textId="77777777" w:rsidTr="006B47CD">
        <w:trPr>
          <w:cantSplit/>
          <w:trHeight w:val="29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D1940ED" w14:textId="77777777" w:rsidR="00D4346E" w:rsidRPr="00241F83" w:rsidRDefault="00D4346E" w:rsidP="00291716">
            <w:pPr>
              <w:rPr>
                <w:rFonts w:eastAsia="Times New Roman" w:cstheme="minorHAnsi"/>
                <w:color w:val="000000"/>
                <w:sz w:val="20"/>
                <w:szCs w:val="20"/>
              </w:rPr>
            </w:pPr>
            <w:r w:rsidRPr="00241F83">
              <w:rPr>
                <w:rFonts w:cstheme="minorHAnsi"/>
              </w:rPr>
              <w:t>Arthroscopy, knee, surgical; with meniscus repair (medial or lateral)</w:t>
            </w:r>
          </w:p>
        </w:tc>
        <w:tc>
          <w:tcPr>
            <w:tcW w:w="810" w:type="dxa"/>
            <w:tcBorders>
              <w:top w:val="nil"/>
              <w:left w:val="nil"/>
              <w:bottom w:val="single" w:sz="4" w:space="0" w:color="auto"/>
              <w:right w:val="single" w:sz="4" w:space="0" w:color="auto"/>
            </w:tcBorders>
            <w:shd w:val="clear" w:color="auto" w:fill="auto"/>
            <w:noWrap/>
            <w:vAlign w:val="bottom"/>
            <w:hideMark/>
          </w:tcPr>
          <w:p w14:paraId="5CDC92D9"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$2,040</w:t>
            </w:r>
          </w:p>
        </w:tc>
        <w:tc>
          <w:tcPr>
            <w:tcW w:w="990" w:type="dxa"/>
            <w:tcBorders>
              <w:top w:val="nil"/>
              <w:left w:val="nil"/>
              <w:bottom w:val="single" w:sz="4" w:space="0" w:color="auto"/>
              <w:right w:val="single" w:sz="4" w:space="0" w:color="auto"/>
            </w:tcBorders>
            <w:shd w:val="clear" w:color="auto" w:fill="auto"/>
            <w:noWrap/>
            <w:vAlign w:val="bottom"/>
            <w:hideMark/>
          </w:tcPr>
          <w:p w14:paraId="14FA6501"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$1,631</w:t>
            </w:r>
          </w:p>
        </w:tc>
        <w:tc>
          <w:tcPr>
            <w:tcW w:w="810" w:type="dxa"/>
            <w:tcBorders>
              <w:top w:val="nil"/>
              <w:left w:val="nil"/>
              <w:bottom w:val="single" w:sz="4" w:space="0" w:color="auto"/>
              <w:right w:val="single" w:sz="4" w:space="0" w:color="auto"/>
            </w:tcBorders>
            <w:shd w:val="clear" w:color="auto" w:fill="auto"/>
            <w:noWrap/>
            <w:vAlign w:val="bottom"/>
            <w:hideMark/>
          </w:tcPr>
          <w:p w14:paraId="6501867E"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$407</w:t>
            </w:r>
          </w:p>
        </w:tc>
        <w:tc>
          <w:tcPr>
            <w:tcW w:w="810" w:type="dxa"/>
            <w:tcBorders>
              <w:top w:val="nil"/>
              <w:left w:val="nil"/>
              <w:bottom w:val="single" w:sz="4" w:space="0" w:color="auto"/>
              <w:right w:val="single" w:sz="4" w:space="0" w:color="auto"/>
            </w:tcBorders>
            <w:shd w:val="clear" w:color="auto" w:fill="auto"/>
            <w:noWrap/>
            <w:vAlign w:val="bottom"/>
            <w:hideMark/>
          </w:tcPr>
          <w:p w14:paraId="06917348"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$3,542</w:t>
            </w:r>
          </w:p>
        </w:tc>
        <w:tc>
          <w:tcPr>
            <w:tcW w:w="1015" w:type="dxa"/>
            <w:tcBorders>
              <w:top w:val="nil"/>
              <w:left w:val="nil"/>
              <w:bottom w:val="single" w:sz="4" w:space="0" w:color="auto"/>
              <w:right w:val="single" w:sz="4" w:space="0" w:color="auto"/>
            </w:tcBorders>
            <w:shd w:val="clear" w:color="auto" w:fill="auto"/>
            <w:noWrap/>
            <w:vAlign w:val="bottom"/>
            <w:hideMark/>
          </w:tcPr>
          <w:p w14:paraId="15004D07"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$2,833</w:t>
            </w:r>
          </w:p>
        </w:tc>
        <w:tc>
          <w:tcPr>
            <w:tcW w:w="946" w:type="dxa"/>
            <w:tcBorders>
              <w:top w:val="nil"/>
              <w:left w:val="nil"/>
              <w:bottom w:val="single" w:sz="4" w:space="0" w:color="auto"/>
              <w:right w:val="single" w:sz="4" w:space="0" w:color="auto"/>
            </w:tcBorders>
            <w:shd w:val="clear" w:color="auto" w:fill="auto"/>
            <w:noWrap/>
            <w:vAlign w:val="bottom"/>
            <w:hideMark/>
          </w:tcPr>
          <w:p w14:paraId="4797BE0A" w14:textId="77777777" w:rsidR="00D4346E" w:rsidRPr="00241F83" w:rsidRDefault="00D4346E" w:rsidP="00291716">
            <w:pPr>
              <w:jc w:val="center"/>
              <w:rPr>
                <w:rFonts w:eastAsia="Times New Roman" w:cstheme="minorHAnsi"/>
                <w:color w:val="000000"/>
                <w:sz w:val="20"/>
                <w:szCs w:val="20"/>
              </w:rPr>
            </w:pPr>
            <w:r w:rsidRPr="00241F83">
              <w:rPr>
                <w:rFonts w:eastAsia="Times New Roman" w:cstheme="minorHAnsi"/>
                <w:color w:val="000000"/>
                <w:sz w:val="20"/>
                <w:szCs w:val="20"/>
              </w:rPr>
              <w:t>$708</w:t>
            </w:r>
          </w:p>
        </w:tc>
      </w:tr>
    </w:tbl>
    <w:bookmarkEnd w:id="88"/>
    <w:p w14:paraId="5CC7BE48" w14:textId="0C9836E9" w:rsidR="00264B81" w:rsidRDefault="006F008A" w:rsidP="00161929">
      <w:pPr>
        <w:rPr>
          <w:rFonts w:cstheme="minorHAnsi"/>
          <w:sz w:val="18"/>
          <w:szCs w:val="18"/>
        </w:rPr>
      </w:pPr>
      <w:r>
        <w:rPr>
          <w:rFonts w:cstheme="minorHAnsi"/>
          <w:sz w:val="18"/>
          <w:szCs w:val="18"/>
        </w:rPr>
        <w:t xml:space="preserve">Source: </w:t>
      </w:r>
      <w:r w:rsidRPr="001A2159">
        <w:rPr>
          <w:rFonts w:cstheme="minorHAnsi"/>
          <w:sz w:val="18"/>
          <w:szCs w:val="18"/>
        </w:rPr>
        <w:t xml:space="preserve">Price data obtained using </w:t>
      </w:r>
      <w:hyperlink r:id="rId10" w:history="1">
        <w:r w:rsidRPr="006B47CD">
          <w:rPr>
            <w:rStyle w:val="Hyperlink"/>
            <w:rFonts w:cstheme="minorHAnsi"/>
            <w:sz w:val="18"/>
            <w:szCs w:val="18"/>
          </w:rPr>
          <w:t>Procedure Price Lookup</w:t>
        </w:r>
      </w:hyperlink>
      <w:r w:rsidRPr="001A2159">
        <w:rPr>
          <w:rFonts w:cstheme="minorHAnsi"/>
          <w:sz w:val="18"/>
          <w:szCs w:val="18"/>
        </w:rPr>
        <w:t xml:space="preserve">, Medicare.gov. </w:t>
      </w:r>
    </w:p>
    <w:p w14:paraId="49D42BD6" w14:textId="77777777" w:rsidR="00264B81" w:rsidRDefault="00264B81">
      <w:pPr>
        <w:rPr>
          <w:rFonts w:cstheme="minorHAnsi"/>
          <w:sz w:val="18"/>
          <w:szCs w:val="18"/>
        </w:rPr>
      </w:pPr>
      <w:r>
        <w:rPr>
          <w:rFonts w:cstheme="minorHAnsi"/>
          <w:sz w:val="18"/>
          <w:szCs w:val="18"/>
        </w:rPr>
        <w:br w:type="page"/>
      </w:r>
    </w:p>
    <w:p w14:paraId="5A83252A" w14:textId="19A127D1" w:rsidR="00161929" w:rsidRPr="00D4346E" w:rsidRDefault="00264B81" w:rsidP="00161929">
      <w:pPr>
        <w:rPr>
          <w:rFonts w:asciiTheme="majorHAnsi" w:hAnsiTheme="majorHAnsi" w:cstheme="minorHAnsi"/>
          <w:b/>
          <w:bCs/>
          <w:color w:val="42558C" w:themeColor="accent1" w:themeShade="BF"/>
          <w:sz w:val="24"/>
          <w:szCs w:val="24"/>
        </w:rPr>
      </w:pPr>
      <w:r w:rsidRPr="00D4346E">
        <w:rPr>
          <w:rFonts w:asciiTheme="majorHAnsi" w:hAnsiTheme="majorHAnsi"/>
          <w:b/>
          <w:bCs/>
          <w:color w:val="44546A"/>
          <w:sz w:val="28"/>
          <w:szCs w:val="28"/>
        </w:rPr>
        <w:lastRenderedPageBreak/>
        <w:t xml:space="preserve">Appendix II: </w:t>
      </w:r>
      <w:r w:rsidR="00700FFD" w:rsidRPr="00D4346E">
        <w:rPr>
          <w:rFonts w:asciiTheme="majorHAnsi" w:hAnsiTheme="majorHAnsi"/>
          <w:b/>
          <w:bCs/>
          <w:color w:val="44546A"/>
          <w:sz w:val="28"/>
          <w:szCs w:val="28"/>
        </w:rPr>
        <w:t>Quality Reporting Measures</w:t>
      </w:r>
      <w:r w:rsidR="00506EBD" w:rsidRPr="00D4346E">
        <w:rPr>
          <w:rStyle w:val="FootnoteReference"/>
          <w:rFonts w:asciiTheme="majorHAnsi" w:hAnsiTheme="majorHAnsi"/>
          <w:b/>
          <w:bCs/>
          <w:color w:val="44546A"/>
          <w:sz w:val="28"/>
          <w:szCs w:val="28"/>
        </w:rPr>
        <w:footnoteReference w:id="18"/>
      </w:r>
      <w:r w:rsidR="00700FFD" w:rsidRPr="00D4346E">
        <w:rPr>
          <w:rFonts w:asciiTheme="majorHAnsi" w:hAnsiTheme="majorHAnsi"/>
          <w:b/>
          <w:bCs/>
          <w:color w:val="44546A"/>
          <w:sz w:val="28"/>
          <w:szCs w:val="28"/>
        </w:rPr>
        <w:t xml:space="preserve"> </w:t>
      </w:r>
      <w:r w:rsidR="00590463">
        <w:rPr>
          <w:rFonts w:asciiTheme="majorHAnsi" w:hAnsiTheme="majorHAnsi"/>
          <w:b/>
          <w:bCs/>
          <w:color w:val="44546A"/>
          <w:sz w:val="28"/>
          <w:szCs w:val="28"/>
        </w:rPr>
        <w:br/>
      </w:r>
    </w:p>
    <w:p w14:paraId="0EF4C2B4" w14:textId="11AE8B2A" w:rsidR="00506EBD" w:rsidRPr="00D4346E" w:rsidRDefault="00506EBD" w:rsidP="00D4346E">
      <w:pPr>
        <w:spacing w:after="0" w:line="240" w:lineRule="auto"/>
        <w:rPr>
          <w:rFonts w:cstheme="minorHAnsi"/>
          <w:bCs/>
          <w:sz w:val="24"/>
          <w:szCs w:val="24"/>
        </w:rPr>
      </w:pPr>
      <w:r w:rsidRPr="001C34AC">
        <w:rPr>
          <w:rFonts w:cstheme="minorHAnsi"/>
          <w:b/>
          <w:sz w:val="24"/>
          <w:szCs w:val="24"/>
        </w:rPr>
        <w:t>1. Patient Satisfaction</w:t>
      </w:r>
      <w:r w:rsidRPr="00D4346E">
        <w:rPr>
          <w:rFonts w:cstheme="minorHAnsi"/>
          <w:bCs/>
          <w:sz w:val="24"/>
          <w:szCs w:val="24"/>
        </w:rPr>
        <w:t>: ASC staff will review patient satisfaction scores around patient recommendations to determine the impact of the Proposed Project on patient experience.</w:t>
      </w:r>
    </w:p>
    <w:p w14:paraId="5EDE2584" w14:textId="64B1FB56" w:rsidR="00506EBD" w:rsidRPr="00B73614" w:rsidRDefault="00506EBD" w:rsidP="00D4346E">
      <w:pPr>
        <w:spacing w:after="0" w:line="240" w:lineRule="auto"/>
        <w:ind w:left="720"/>
        <w:rPr>
          <w:rFonts w:cstheme="minorHAnsi"/>
          <w:bCs/>
          <w:sz w:val="24"/>
          <w:szCs w:val="24"/>
        </w:rPr>
      </w:pPr>
      <w:r w:rsidRPr="00B73614">
        <w:rPr>
          <w:rFonts w:cstheme="minorHAnsi"/>
          <w:bCs/>
          <w:i/>
          <w:iCs/>
          <w:sz w:val="24"/>
          <w:szCs w:val="24"/>
        </w:rPr>
        <w:t xml:space="preserve">a. Measure: </w:t>
      </w:r>
      <w:r w:rsidRPr="00B73614">
        <w:rPr>
          <w:rFonts w:cstheme="minorHAnsi"/>
          <w:bCs/>
          <w:sz w:val="24"/>
          <w:szCs w:val="24"/>
        </w:rPr>
        <w:t>Response options include Numerical Scoring “0” (“Not Likely</w:t>
      </w:r>
      <w:r w:rsidR="001C34AC" w:rsidRPr="00B73614">
        <w:rPr>
          <w:rFonts w:cstheme="minorHAnsi"/>
          <w:bCs/>
          <w:sz w:val="24"/>
          <w:szCs w:val="24"/>
        </w:rPr>
        <w:t xml:space="preserve"> to Recommend</w:t>
      </w:r>
      <w:r w:rsidRPr="00B73614">
        <w:rPr>
          <w:rFonts w:cstheme="minorHAnsi"/>
          <w:bCs/>
          <w:sz w:val="24"/>
          <w:szCs w:val="24"/>
        </w:rPr>
        <w:t>”) – “10” (“Extremely Likely</w:t>
      </w:r>
      <w:r w:rsidR="001C34AC" w:rsidRPr="00B73614">
        <w:rPr>
          <w:rFonts w:cstheme="minorHAnsi"/>
          <w:bCs/>
          <w:sz w:val="24"/>
          <w:szCs w:val="24"/>
        </w:rPr>
        <w:t xml:space="preserve"> to Recommend</w:t>
      </w:r>
      <w:r w:rsidRPr="00B73614">
        <w:rPr>
          <w:rFonts w:cstheme="minorHAnsi"/>
          <w:bCs/>
          <w:sz w:val="24"/>
          <w:szCs w:val="24"/>
        </w:rPr>
        <w:t>”)</w:t>
      </w:r>
    </w:p>
    <w:p w14:paraId="0B5226A7" w14:textId="77777777" w:rsidR="00506EBD" w:rsidRPr="00B73614" w:rsidRDefault="00506EBD" w:rsidP="00D4346E">
      <w:pPr>
        <w:spacing w:after="0" w:line="240" w:lineRule="auto"/>
        <w:ind w:left="720"/>
        <w:rPr>
          <w:rFonts w:cstheme="minorHAnsi"/>
          <w:bCs/>
          <w:sz w:val="24"/>
          <w:szCs w:val="24"/>
        </w:rPr>
      </w:pPr>
      <w:r w:rsidRPr="00B73614">
        <w:rPr>
          <w:rFonts w:cstheme="minorHAnsi"/>
          <w:bCs/>
          <w:i/>
          <w:iCs/>
          <w:sz w:val="24"/>
          <w:szCs w:val="24"/>
        </w:rPr>
        <w:t>b. Projections:</w:t>
      </w:r>
      <w:r w:rsidRPr="00B73614">
        <w:rPr>
          <w:rFonts w:cstheme="minorHAnsi"/>
          <w:bCs/>
          <w:sz w:val="24"/>
          <w:szCs w:val="24"/>
        </w:rPr>
        <w:t xml:space="preserve"> As the Proposed Project is to establish a new ASC, the Applicant will provide baseline measures and three years of projections following the first full fiscal year following implementation of the Proposed Project.</w:t>
      </w:r>
    </w:p>
    <w:p w14:paraId="69A18525" w14:textId="77777777" w:rsidR="00506EBD" w:rsidRPr="00D4346E" w:rsidRDefault="00506EBD" w:rsidP="00D4346E">
      <w:pPr>
        <w:spacing w:after="0" w:line="240" w:lineRule="auto"/>
        <w:ind w:left="720"/>
        <w:rPr>
          <w:rFonts w:cstheme="minorHAnsi"/>
          <w:bCs/>
          <w:sz w:val="24"/>
          <w:szCs w:val="24"/>
        </w:rPr>
      </w:pPr>
      <w:r w:rsidRPr="00B73614">
        <w:rPr>
          <w:rFonts w:cstheme="minorHAnsi"/>
          <w:bCs/>
          <w:i/>
          <w:iCs/>
          <w:sz w:val="24"/>
          <w:szCs w:val="24"/>
        </w:rPr>
        <w:t>c. Monitoring:</w:t>
      </w:r>
      <w:r w:rsidRPr="00D4346E">
        <w:rPr>
          <w:rFonts w:cstheme="minorHAnsi"/>
          <w:bCs/>
          <w:sz w:val="24"/>
          <w:szCs w:val="24"/>
        </w:rPr>
        <w:t xml:space="preserve"> Quarterly.</w:t>
      </w:r>
    </w:p>
    <w:p w14:paraId="747DCA49" w14:textId="77777777" w:rsidR="00506EBD" w:rsidRPr="00D4346E" w:rsidRDefault="00506EBD" w:rsidP="00D4346E">
      <w:pPr>
        <w:spacing w:after="0" w:line="240" w:lineRule="auto"/>
        <w:rPr>
          <w:rFonts w:cstheme="minorHAnsi"/>
          <w:bCs/>
          <w:sz w:val="24"/>
          <w:szCs w:val="24"/>
        </w:rPr>
      </w:pPr>
    </w:p>
    <w:p w14:paraId="18C6374D" w14:textId="77777777" w:rsidR="00506EBD" w:rsidRPr="00D4346E" w:rsidRDefault="00506EBD" w:rsidP="00D4346E">
      <w:pPr>
        <w:spacing w:after="0" w:line="240" w:lineRule="auto"/>
        <w:rPr>
          <w:rFonts w:cstheme="minorHAnsi"/>
          <w:bCs/>
          <w:sz w:val="24"/>
          <w:szCs w:val="24"/>
        </w:rPr>
      </w:pPr>
      <w:r w:rsidRPr="001C34AC">
        <w:rPr>
          <w:rFonts w:cstheme="minorHAnsi"/>
          <w:b/>
          <w:sz w:val="24"/>
          <w:szCs w:val="24"/>
        </w:rPr>
        <w:t>2. Surgical Site Infection</w:t>
      </w:r>
      <w:r w:rsidRPr="00D4346E">
        <w:rPr>
          <w:rFonts w:cstheme="minorHAnsi"/>
          <w:bCs/>
          <w:sz w:val="24"/>
          <w:szCs w:val="24"/>
        </w:rPr>
        <w:t>: This measure will monitor the rate at which the ASC’s patients develop surgical site infections and aims to reduce or eliminate such incidences.</w:t>
      </w:r>
    </w:p>
    <w:p w14:paraId="0744444A" w14:textId="77777777" w:rsidR="00506EBD" w:rsidRPr="00B73614" w:rsidRDefault="00506EBD" w:rsidP="00D4346E">
      <w:pPr>
        <w:spacing w:after="0" w:line="240" w:lineRule="auto"/>
        <w:ind w:left="720"/>
        <w:rPr>
          <w:rFonts w:cstheme="minorHAnsi"/>
          <w:bCs/>
          <w:sz w:val="24"/>
          <w:szCs w:val="24"/>
        </w:rPr>
      </w:pPr>
      <w:r w:rsidRPr="00B73614">
        <w:rPr>
          <w:rFonts w:cstheme="minorHAnsi"/>
          <w:bCs/>
          <w:i/>
          <w:iCs/>
          <w:sz w:val="24"/>
          <w:szCs w:val="24"/>
        </w:rPr>
        <w:t xml:space="preserve">a. Measure: </w:t>
      </w:r>
      <w:r w:rsidRPr="00B73614">
        <w:rPr>
          <w:rFonts w:cstheme="minorHAnsi"/>
          <w:bCs/>
          <w:sz w:val="24"/>
          <w:szCs w:val="24"/>
        </w:rPr>
        <w:t>The number of all patients who develop a surgical-site infection within 30 days of surgery; or, within 90 days of surgery for arthroplasty (implant) procedures.</w:t>
      </w:r>
    </w:p>
    <w:p w14:paraId="60FC9104" w14:textId="77777777" w:rsidR="00506EBD" w:rsidRPr="00B73614" w:rsidRDefault="00506EBD" w:rsidP="00D4346E">
      <w:pPr>
        <w:spacing w:after="0" w:line="240" w:lineRule="auto"/>
        <w:ind w:left="720"/>
        <w:rPr>
          <w:rFonts w:cstheme="minorHAnsi"/>
          <w:bCs/>
          <w:i/>
          <w:iCs/>
          <w:sz w:val="24"/>
          <w:szCs w:val="24"/>
        </w:rPr>
      </w:pPr>
      <w:r w:rsidRPr="00B73614">
        <w:rPr>
          <w:rFonts w:cstheme="minorHAnsi"/>
          <w:bCs/>
          <w:i/>
          <w:iCs/>
          <w:sz w:val="24"/>
          <w:szCs w:val="24"/>
        </w:rPr>
        <w:t xml:space="preserve">b. Projections: </w:t>
      </w:r>
      <w:r w:rsidRPr="00B73614">
        <w:rPr>
          <w:rFonts w:cstheme="minorHAnsi"/>
          <w:bCs/>
          <w:sz w:val="24"/>
          <w:szCs w:val="24"/>
        </w:rPr>
        <w:t>As the Proposed Project is to establish a new ASC, the Applicant will provide baseline measures and three years of projections following the first full fiscal year following implementation of the Proposed Project</w:t>
      </w:r>
      <w:r w:rsidRPr="00B73614">
        <w:rPr>
          <w:rFonts w:cstheme="minorHAnsi"/>
          <w:bCs/>
          <w:i/>
          <w:iCs/>
          <w:sz w:val="24"/>
          <w:szCs w:val="24"/>
        </w:rPr>
        <w:t>.</w:t>
      </w:r>
    </w:p>
    <w:p w14:paraId="545420E4" w14:textId="77777777" w:rsidR="00506EBD" w:rsidRPr="00D4346E" w:rsidRDefault="00506EBD" w:rsidP="00D4346E">
      <w:pPr>
        <w:spacing w:after="0" w:line="240" w:lineRule="auto"/>
        <w:ind w:left="720"/>
        <w:rPr>
          <w:rFonts w:cstheme="minorHAnsi"/>
          <w:bCs/>
          <w:sz w:val="24"/>
          <w:szCs w:val="24"/>
        </w:rPr>
      </w:pPr>
      <w:r w:rsidRPr="00B73614">
        <w:rPr>
          <w:rFonts w:cstheme="minorHAnsi"/>
          <w:bCs/>
          <w:i/>
          <w:iCs/>
          <w:sz w:val="24"/>
          <w:szCs w:val="24"/>
        </w:rPr>
        <w:t xml:space="preserve">c. Monitoring: </w:t>
      </w:r>
      <w:r w:rsidRPr="00D4346E">
        <w:rPr>
          <w:rFonts w:cstheme="minorHAnsi"/>
          <w:bCs/>
          <w:sz w:val="24"/>
          <w:szCs w:val="24"/>
        </w:rPr>
        <w:t>Results will be reviewed monthly by the Infection Control Nurse.</w:t>
      </w:r>
    </w:p>
    <w:p w14:paraId="3A7EADE2" w14:textId="77777777" w:rsidR="00506EBD" w:rsidRPr="00D4346E" w:rsidRDefault="00506EBD" w:rsidP="00D4346E">
      <w:pPr>
        <w:spacing w:after="0" w:line="240" w:lineRule="auto"/>
        <w:rPr>
          <w:rFonts w:cstheme="minorHAnsi"/>
          <w:bCs/>
          <w:sz w:val="24"/>
          <w:szCs w:val="24"/>
        </w:rPr>
      </w:pPr>
    </w:p>
    <w:p w14:paraId="28E195E3" w14:textId="77777777" w:rsidR="00506EBD" w:rsidRPr="00D4346E" w:rsidRDefault="00506EBD" w:rsidP="00D4346E">
      <w:pPr>
        <w:spacing w:after="0" w:line="240" w:lineRule="auto"/>
        <w:rPr>
          <w:rFonts w:cstheme="minorHAnsi"/>
          <w:bCs/>
          <w:sz w:val="24"/>
          <w:szCs w:val="24"/>
        </w:rPr>
      </w:pPr>
      <w:r w:rsidRPr="001C34AC">
        <w:rPr>
          <w:rFonts w:cstheme="minorHAnsi"/>
          <w:b/>
          <w:sz w:val="24"/>
          <w:szCs w:val="24"/>
        </w:rPr>
        <w:t>3. Fall Prevention</w:t>
      </w:r>
      <w:r w:rsidRPr="00D4346E">
        <w:rPr>
          <w:rFonts w:cstheme="minorHAnsi"/>
          <w:bCs/>
          <w:sz w:val="24"/>
          <w:szCs w:val="24"/>
        </w:rPr>
        <w:t>: This measure will monitor the number of patients who report a fall within 24 hours after the completion of surgery and aims to reduce or eliminate such incidences.</w:t>
      </w:r>
    </w:p>
    <w:p w14:paraId="713FF6AF" w14:textId="77777777" w:rsidR="00506EBD" w:rsidRPr="00B73614" w:rsidRDefault="00506EBD" w:rsidP="00D4346E">
      <w:pPr>
        <w:spacing w:after="0" w:line="240" w:lineRule="auto"/>
        <w:ind w:left="720"/>
        <w:rPr>
          <w:rFonts w:cstheme="minorHAnsi"/>
          <w:bCs/>
          <w:i/>
          <w:iCs/>
          <w:sz w:val="24"/>
          <w:szCs w:val="24"/>
        </w:rPr>
      </w:pPr>
      <w:r w:rsidRPr="00B73614">
        <w:rPr>
          <w:rFonts w:cstheme="minorHAnsi"/>
          <w:bCs/>
          <w:i/>
          <w:iCs/>
          <w:sz w:val="24"/>
          <w:szCs w:val="24"/>
        </w:rPr>
        <w:t xml:space="preserve">a. Measure: </w:t>
      </w:r>
      <w:r w:rsidRPr="00B73614">
        <w:rPr>
          <w:rFonts w:cstheme="minorHAnsi"/>
          <w:bCs/>
          <w:sz w:val="24"/>
          <w:szCs w:val="24"/>
        </w:rPr>
        <w:t>The number of patients with a documented fall at home.</w:t>
      </w:r>
    </w:p>
    <w:p w14:paraId="3DE793E1" w14:textId="77777777" w:rsidR="00506EBD" w:rsidRPr="00B73614" w:rsidRDefault="00506EBD" w:rsidP="00D4346E">
      <w:pPr>
        <w:spacing w:after="0" w:line="240" w:lineRule="auto"/>
        <w:ind w:left="720"/>
        <w:rPr>
          <w:rFonts w:cstheme="minorHAnsi"/>
          <w:bCs/>
          <w:sz w:val="24"/>
          <w:szCs w:val="24"/>
        </w:rPr>
      </w:pPr>
      <w:r w:rsidRPr="00B73614">
        <w:rPr>
          <w:rFonts w:cstheme="minorHAnsi"/>
          <w:bCs/>
          <w:i/>
          <w:iCs/>
          <w:sz w:val="24"/>
          <w:szCs w:val="24"/>
        </w:rPr>
        <w:t xml:space="preserve">b. Projections: </w:t>
      </w:r>
      <w:r w:rsidRPr="00B73614">
        <w:rPr>
          <w:rFonts w:cstheme="minorHAnsi"/>
          <w:bCs/>
          <w:sz w:val="24"/>
          <w:szCs w:val="24"/>
        </w:rPr>
        <w:t>As the Proposed Project is to establish a new ASC, the Applicant will provide baseline measures and three years of projections following the first full fiscal year following implementation of the Proposed Project.</w:t>
      </w:r>
    </w:p>
    <w:p w14:paraId="719F23B2" w14:textId="241CF580" w:rsidR="00506EBD" w:rsidRPr="00D4346E" w:rsidRDefault="00506EBD" w:rsidP="00D4346E">
      <w:pPr>
        <w:spacing w:after="0" w:line="240" w:lineRule="auto"/>
        <w:ind w:left="720"/>
        <w:rPr>
          <w:rFonts w:cstheme="minorHAnsi"/>
          <w:bCs/>
          <w:sz w:val="24"/>
          <w:szCs w:val="24"/>
        </w:rPr>
      </w:pPr>
      <w:r w:rsidRPr="00B73614">
        <w:rPr>
          <w:rFonts w:cstheme="minorHAnsi"/>
          <w:bCs/>
          <w:i/>
          <w:iCs/>
          <w:sz w:val="24"/>
          <w:szCs w:val="24"/>
        </w:rPr>
        <w:t>c. Monitoring:</w:t>
      </w:r>
      <w:r w:rsidRPr="00D4346E">
        <w:rPr>
          <w:rFonts w:cstheme="minorHAnsi"/>
          <w:bCs/>
          <w:sz w:val="24"/>
          <w:szCs w:val="24"/>
        </w:rPr>
        <w:t xml:space="preserve"> Patients who experience a fall on the day of service are reported through the internal Risk Management program. Patients receive a follow-up contact the day after surgery and can report any fall that has occurred between the time they were discharged and the time of the contact. Patients who experience a fall </w:t>
      </w:r>
      <w:r w:rsidR="0081567E">
        <w:rPr>
          <w:rFonts w:cstheme="minorHAnsi"/>
          <w:bCs/>
          <w:sz w:val="24"/>
          <w:szCs w:val="24"/>
        </w:rPr>
        <w:t>that</w:t>
      </w:r>
      <w:r w:rsidR="0081567E" w:rsidRPr="00D4346E">
        <w:rPr>
          <w:rFonts w:cstheme="minorHAnsi"/>
          <w:bCs/>
          <w:sz w:val="24"/>
          <w:szCs w:val="24"/>
        </w:rPr>
        <w:t xml:space="preserve"> </w:t>
      </w:r>
      <w:r w:rsidRPr="00D4346E">
        <w:rPr>
          <w:rFonts w:cstheme="minorHAnsi"/>
          <w:bCs/>
          <w:sz w:val="24"/>
          <w:szCs w:val="24"/>
        </w:rPr>
        <w:t>results in a physician intervention are reported to the center by the physician monthly.</w:t>
      </w:r>
      <w:r>
        <w:rPr>
          <w:rFonts w:cstheme="minorHAnsi"/>
          <w:bCs/>
          <w:sz w:val="24"/>
          <w:szCs w:val="24"/>
        </w:rPr>
        <w:t xml:space="preserve"> </w:t>
      </w:r>
      <w:r w:rsidRPr="00D4346E">
        <w:rPr>
          <w:rFonts w:cstheme="minorHAnsi"/>
          <w:bCs/>
          <w:sz w:val="24"/>
          <w:szCs w:val="24"/>
        </w:rPr>
        <w:t xml:space="preserve">All falls will require an incident report be completed </w:t>
      </w:r>
      <w:r w:rsidR="0081567E">
        <w:rPr>
          <w:rFonts w:cstheme="minorHAnsi"/>
          <w:bCs/>
          <w:sz w:val="24"/>
          <w:szCs w:val="24"/>
        </w:rPr>
        <w:t>that</w:t>
      </w:r>
      <w:r w:rsidR="0081567E" w:rsidRPr="00D4346E">
        <w:rPr>
          <w:rFonts w:cstheme="minorHAnsi"/>
          <w:bCs/>
          <w:sz w:val="24"/>
          <w:szCs w:val="24"/>
        </w:rPr>
        <w:t xml:space="preserve"> </w:t>
      </w:r>
      <w:r w:rsidRPr="00D4346E">
        <w:rPr>
          <w:rFonts w:cstheme="minorHAnsi"/>
          <w:bCs/>
          <w:sz w:val="24"/>
          <w:szCs w:val="24"/>
        </w:rPr>
        <w:t>will be reviewed by the internal Risk Manager upon receipt. Falls will be tracked monthly on the ACS’s incident reporting log. They will be reported as part of the ASC’s Quality Assurance and Performance Improvement Program (“QAPI”) and the Medical Executive Committee (“MEC”) on a quarterly basis.</w:t>
      </w:r>
    </w:p>
    <w:p w14:paraId="52918BFF" w14:textId="77777777" w:rsidR="00506EBD" w:rsidRDefault="00506EBD">
      <w:pPr>
        <w:rPr>
          <w:rFonts w:cstheme="minorHAnsi"/>
          <w:b/>
          <w:sz w:val="24"/>
          <w:szCs w:val="24"/>
        </w:rPr>
      </w:pPr>
      <w:r>
        <w:rPr>
          <w:rFonts w:cstheme="minorHAnsi"/>
          <w:b/>
          <w:sz w:val="24"/>
          <w:szCs w:val="24"/>
        </w:rPr>
        <w:br w:type="page"/>
      </w:r>
    </w:p>
    <w:p w14:paraId="6A2FF12B" w14:textId="57018D86" w:rsidR="003253C6" w:rsidRPr="00D4346E" w:rsidRDefault="001C3E2E" w:rsidP="00DC13B1">
      <w:pPr>
        <w:spacing w:after="0" w:line="240" w:lineRule="auto"/>
        <w:ind w:right="540"/>
        <w:contextualSpacing/>
        <w:rPr>
          <w:rFonts w:eastAsia="Calibri" w:cstheme="minorHAnsi"/>
          <w:sz w:val="28"/>
          <w:szCs w:val="28"/>
        </w:rPr>
      </w:pPr>
      <w:r w:rsidRPr="00D4346E">
        <w:rPr>
          <w:rFonts w:cstheme="minorHAnsi"/>
          <w:b/>
          <w:sz w:val="28"/>
          <w:szCs w:val="28"/>
        </w:rPr>
        <w:lastRenderedPageBreak/>
        <w:t>REFERENCES</w:t>
      </w:r>
    </w:p>
    <w:sectPr w:rsidR="003253C6" w:rsidRPr="00D4346E" w:rsidSect="00224A39">
      <w:headerReference w:type="even" r:id="rId11"/>
      <w:headerReference w:type="default" r:id="rId12"/>
      <w:footerReference w:type="default" r:id="rId13"/>
      <w:headerReference w:type="first" r:id="rId14"/>
      <w:endnotePr>
        <w:numFmt w:val="lowerLetter"/>
      </w:endnotePr>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5E3B" w14:textId="77777777" w:rsidR="0037648F" w:rsidRDefault="0037648F" w:rsidP="008C0709">
      <w:pPr>
        <w:spacing w:after="0" w:line="240" w:lineRule="auto"/>
      </w:pPr>
      <w:r>
        <w:separator/>
      </w:r>
    </w:p>
  </w:endnote>
  <w:endnote w:type="continuationSeparator" w:id="0">
    <w:p w14:paraId="6CD1F62B" w14:textId="77777777" w:rsidR="0037648F" w:rsidRDefault="0037648F" w:rsidP="008C0709">
      <w:pPr>
        <w:spacing w:after="0" w:line="240" w:lineRule="auto"/>
      </w:pPr>
      <w:r>
        <w:continuationSeparator/>
      </w:r>
    </w:p>
  </w:endnote>
  <w:endnote w:id="1">
    <w:p w14:paraId="50AAC047" w14:textId="1DDA5B4A"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Hall MJ, Schwartzman A, Zhang J, et al. Ambulatory surgery data from hospitals and ambulatory surgery centers: United States, 2010. Nat Health Stat Rep 2017;102:1-14.</w:t>
      </w:r>
    </w:p>
  </w:endnote>
  <w:endnote w:id="2">
    <w:p w14:paraId="1135F0C4" w14:textId="2FDF8515"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r w:rsidRPr="0081567E">
        <w:rPr>
          <w:rFonts w:eastAsia="Times New Roman" w:cstheme="minorHAnsi"/>
          <w:sz w:val="18"/>
          <w:szCs w:val="18"/>
        </w:rPr>
        <w:t>Renski, H. C., Strate, S., Hodge, D., Proulx, W., Paik, K., &amp; Herter, S. (2015). Long-term Population Projections for Massachusetts Regions and Municipalities.</w:t>
      </w:r>
    </w:p>
  </w:endnote>
  <w:endnote w:id="3">
    <w:p w14:paraId="4C9C48C5" w14:textId="1264EC95"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1" w:history="1">
        <w:r w:rsidRPr="004979D3">
          <w:rPr>
            <w:rStyle w:val="Hyperlink"/>
            <w:rFonts w:cstheme="minorHAnsi"/>
            <w:sz w:val="18"/>
            <w:szCs w:val="18"/>
          </w:rPr>
          <w:t>Medicare Cost Savings Tied to Ambulatory Surgery Centers</w:t>
        </w:r>
      </w:hyperlink>
      <w:r w:rsidRPr="0081567E">
        <w:rPr>
          <w:rFonts w:cstheme="minorHAnsi"/>
          <w:sz w:val="18"/>
          <w:szCs w:val="18"/>
        </w:rPr>
        <w:t xml:space="preserve">, Ambulatory Surgery Center Association </w:t>
      </w:r>
    </w:p>
  </w:endnote>
  <w:endnote w:id="4">
    <w:p w14:paraId="371352E2" w14:textId="0AF3FDC7"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2" w:history="1">
        <w:r w:rsidRPr="004979D3">
          <w:rPr>
            <w:rStyle w:val="Hyperlink"/>
            <w:rFonts w:cstheme="minorHAnsi"/>
            <w:sz w:val="18"/>
            <w:szCs w:val="18"/>
          </w:rPr>
          <w:t>Latest ASC Data Highlight Ambulatory Surgical Trends</w:t>
        </w:r>
      </w:hyperlink>
      <w:r w:rsidRPr="0081567E">
        <w:rPr>
          <w:rFonts w:cstheme="minorHAnsi"/>
          <w:sz w:val="18"/>
          <w:szCs w:val="18"/>
        </w:rPr>
        <w:t xml:space="preserve">, Relias Media. June 1, 2017 </w:t>
      </w:r>
    </w:p>
  </w:endnote>
  <w:endnote w:id="5">
    <w:p w14:paraId="2B4F5E9A" w14:textId="37333D57"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Ibid.</w:t>
      </w:r>
    </w:p>
  </w:endnote>
  <w:endnote w:id="6">
    <w:p w14:paraId="78F156E9" w14:textId="0AEE9F3C"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3" w:history="1">
        <w:r w:rsidRPr="004979D3">
          <w:rPr>
            <w:rStyle w:val="Hyperlink"/>
            <w:rFonts w:cstheme="minorHAnsi"/>
            <w:sz w:val="18"/>
            <w:szCs w:val="18"/>
          </w:rPr>
          <w:t>Arthritis Risk Factors</w:t>
        </w:r>
      </w:hyperlink>
      <w:r w:rsidRPr="0081567E">
        <w:rPr>
          <w:rFonts w:cstheme="minorHAnsi"/>
          <w:sz w:val="18"/>
          <w:szCs w:val="18"/>
        </w:rPr>
        <w:t xml:space="preserve">, Centers for Disease Control and Prevention. April 16, 2021 </w:t>
      </w:r>
    </w:p>
  </w:endnote>
  <w:endnote w:id="7">
    <w:p w14:paraId="5A812E87" w14:textId="3103BEF0"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4" w:history="1">
        <w:r w:rsidRPr="004979D3">
          <w:rPr>
            <w:rStyle w:val="Hyperlink"/>
            <w:rFonts w:cstheme="minorHAnsi"/>
            <w:sz w:val="18"/>
            <w:szCs w:val="18"/>
          </w:rPr>
          <w:t>Updated Projected Prevalence of Self-Reported Doctor-Diagnosed Arthritis and Arthritis-Attributable Activity Limitation Among US Adults</w:t>
        </w:r>
      </w:hyperlink>
      <w:r w:rsidRPr="0081567E">
        <w:rPr>
          <w:rFonts w:cstheme="minorHAnsi"/>
          <w:sz w:val="18"/>
          <w:szCs w:val="18"/>
        </w:rPr>
        <w:t xml:space="preserve">, 2015-2040 </w:t>
      </w:r>
    </w:p>
  </w:endnote>
  <w:endnote w:id="8">
    <w:p w14:paraId="1B5D8086" w14:textId="7A589297" w:rsidR="006F1566" w:rsidRPr="0081567E" w:rsidRDefault="006F1566" w:rsidP="006F1566">
      <w:pPr>
        <w:autoSpaceDE w:val="0"/>
        <w:autoSpaceDN w:val="0"/>
        <w:adjustRightInd w:val="0"/>
        <w:spacing w:after="0" w:line="240" w:lineRule="auto"/>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5" w:history="1">
        <w:r w:rsidRPr="004979D3">
          <w:rPr>
            <w:rStyle w:val="Hyperlink"/>
            <w:rFonts w:cstheme="minorHAnsi"/>
            <w:sz w:val="18"/>
            <w:szCs w:val="18"/>
          </w:rPr>
          <w:t>The Impact of Obesity on Bone and Joint Health</w:t>
        </w:r>
      </w:hyperlink>
      <w:r w:rsidRPr="0081567E">
        <w:rPr>
          <w:rFonts w:cstheme="minorHAnsi"/>
          <w:sz w:val="18"/>
          <w:szCs w:val="18"/>
        </w:rPr>
        <w:t xml:space="preserve">, AAOS Position Statement, March 2015. </w:t>
      </w:r>
    </w:p>
  </w:endnote>
  <w:endnote w:id="9">
    <w:p w14:paraId="420542C5" w14:textId="53F21C5E"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Dennis C. Crawford et al., </w:t>
      </w:r>
      <w:hyperlink r:id="rId6" w:history="1">
        <w:r w:rsidRPr="004979D3">
          <w:rPr>
            <w:rStyle w:val="Hyperlink"/>
            <w:rFonts w:cstheme="minorHAnsi"/>
            <w:sz w:val="18"/>
            <w:szCs w:val="18"/>
          </w:rPr>
          <w:t>Clinical and Cost Implications of Inpatient Versus Outpatient Orthopedic Surgeries: A Systematic Review of the Published Literature</w:t>
        </w:r>
      </w:hyperlink>
      <w:r w:rsidRPr="0081567E">
        <w:rPr>
          <w:rFonts w:cstheme="minorHAnsi"/>
          <w:sz w:val="18"/>
          <w:szCs w:val="18"/>
        </w:rPr>
        <w:t xml:space="preserve">, 7 ORTHOPEDIC REVIEW 116 (2015); David Cook et al., </w:t>
      </w:r>
      <w:hyperlink r:id="rId7" w:history="1">
        <w:r w:rsidRPr="00614749">
          <w:rPr>
            <w:rStyle w:val="Hyperlink"/>
            <w:rFonts w:cstheme="minorHAnsi"/>
            <w:sz w:val="18"/>
            <w:szCs w:val="18"/>
          </w:rPr>
          <w:t>From ‘Solution Shop’ Model to ‘Focused Factor’ In Hospital Surgery: Increasing Care Value and Predictability</w:t>
        </w:r>
      </w:hyperlink>
      <w:r w:rsidRPr="0081567E">
        <w:rPr>
          <w:rFonts w:cstheme="minorHAnsi"/>
          <w:sz w:val="18"/>
          <w:szCs w:val="18"/>
        </w:rPr>
        <w:t>, 33 HEALTH AFFAIRS 746 (2014)</w:t>
      </w:r>
    </w:p>
  </w:endnote>
  <w:endnote w:id="10">
    <w:p w14:paraId="3D6BAAC1" w14:textId="1C4DA3C4"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8" w:history="1">
        <w:r w:rsidRPr="00614749">
          <w:rPr>
            <w:rStyle w:val="Hyperlink"/>
            <w:rFonts w:cstheme="minorHAnsi"/>
            <w:sz w:val="18"/>
            <w:szCs w:val="18"/>
          </w:rPr>
          <w:t>How does cost affect access to care?</w:t>
        </w:r>
      </w:hyperlink>
      <w:r w:rsidRPr="0081567E">
        <w:rPr>
          <w:rFonts w:cstheme="minorHAnsi"/>
          <w:sz w:val="18"/>
          <w:szCs w:val="18"/>
        </w:rPr>
        <w:t xml:space="preserve"> PETERSON-KFF Health System Tracker. Jan. 14, 2022 </w:t>
      </w:r>
    </w:p>
  </w:endnote>
  <w:endnote w:id="11">
    <w:p w14:paraId="549F0DB4" w14:textId="53837785" w:rsidR="006F1566" w:rsidRPr="0081567E" w:rsidRDefault="006F1566">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9" w:history="1">
        <w:r w:rsidRPr="002273CC">
          <w:rPr>
            <w:rStyle w:val="Hyperlink"/>
            <w:rFonts w:cstheme="minorHAnsi"/>
            <w:sz w:val="18"/>
            <w:szCs w:val="18"/>
          </w:rPr>
          <w:t>ASC Covered Procedures List (CPL) Nomination Process for CY 2023</w:t>
        </w:r>
      </w:hyperlink>
      <w:r w:rsidRPr="0081567E">
        <w:rPr>
          <w:rFonts w:cstheme="minorHAnsi"/>
          <w:sz w:val="18"/>
          <w:szCs w:val="18"/>
        </w:rPr>
        <w:t>, U.S. Centers for Medicare &amp; Medicaid Services. March 23, 2022</w:t>
      </w:r>
    </w:p>
  </w:endnote>
  <w:endnote w:id="12">
    <w:p w14:paraId="338D3D92" w14:textId="16A4C113" w:rsidR="006E470C" w:rsidRPr="0081567E" w:rsidRDefault="006E470C">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10" w:history="1">
        <w:r w:rsidRPr="009C3A85">
          <w:rPr>
            <w:rStyle w:val="Hyperlink"/>
            <w:rFonts w:cstheme="minorHAnsi"/>
            <w:sz w:val="18"/>
            <w:szCs w:val="18"/>
          </w:rPr>
          <w:t>Healthy People</w:t>
        </w:r>
      </w:hyperlink>
      <w:r w:rsidRPr="0081567E">
        <w:rPr>
          <w:rFonts w:cstheme="minorHAnsi"/>
          <w:sz w:val="18"/>
          <w:szCs w:val="18"/>
        </w:rPr>
        <w:t>. Access to Health Services.</w:t>
      </w:r>
    </w:p>
  </w:endnote>
  <w:endnote w:id="13">
    <w:p w14:paraId="4C7FD232" w14:textId="4D698A16" w:rsidR="006E470C" w:rsidRPr="0081567E" w:rsidRDefault="006E470C">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Robert Wood Johnson Foundation. </w:t>
      </w:r>
      <w:hyperlink r:id="rId11" w:history="1">
        <w:r w:rsidRPr="009C3A85">
          <w:rPr>
            <w:rStyle w:val="Hyperlink"/>
            <w:rFonts w:cstheme="minorHAnsi"/>
            <w:sz w:val="18"/>
            <w:szCs w:val="18"/>
          </w:rPr>
          <w:t>County Health Rankings and Roadmaps</w:t>
        </w:r>
      </w:hyperlink>
      <w:r w:rsidRPr="0081567E">
        <w:rPr>
          <w:rFonts w:cstheme="minorHAnsi"/>
          <w:sz w:val="18"/>
          <w:szCs w:val="18"/>
        </w:rPr>
        <w:t>. Access to Care.</w:t>
      </w:r>
    </w:p>
  </w:endnote>
  <w:endnote w:id="14">
    <w:p w14:paraId="1CA4C328" w14:textId="0EB0F0DE" w:rsidR="00B9062A" w:rsidRPr="0081567E" w:rsidRDefault="00B9062A" w:rsidP="00AE382F">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Samii A, </w:t>
      </w:r>
      <w:hyperlink r:id="rId12" w:history="1">
        <w:r w:rsidRPr="00C8488B">
          <w:rPr>
            <w:rStyle w:val="Hyperlink"/>
            <w:rFonts w:cstheme="minorHAnsi"/>
            <w:sz w:val="18"/>
            <w:szCs w:val="18"/>
          </w:rPr>
          <w:t>Shining a Light on the Value of Value-Based Care: ASCs are positioned to lead the way,</w:t>
        </w:r>
      </w:hyperlink>
      <w:r w:rsidRPr="0081567E">
        <w:rPr>
          <w:rFonts w:cstheme="minorHAnsi"/>
          <w:sz w:val="18"/>
          <w:szCs w:val="18"/>
        </w:rPr>
        <w:t xml:space="preserve"> Becker’s ASC Review.</w:t>
      </w:r>
    </w:p>
  </w:endnote>
  <w:endnote w:id="15">
    <w:p w14:paraId="77DF930B" w14:textId="34331FDA" w:rsidR="00B9062A" w:rsidRPr="0081567E" w:rsidRDefault="00B9062A" w:rsidP="00AE382F">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Harjot Uppal. </w:t>
      </w:r>
      <w:hyperlink r:id="rId13" w:history="1">
        <w:r w:rsidRPr="00CC175B">
          <w:rPr>
            <w:rStyle w:val="Hyperlink"/>
            <w:rFonts w:cstheme="minorHAnsi"/>
            <w:sz w:val="18"/>
            <w:szCs w:val="18"/>
          </w:rPr>
          <w:t>Economic Advantages of Performing Orthopaedic Surgical Procedures in Ambulatory Surgical Centres Over Hospital Out-Patient Settings</w:t>
        </w:r>
      </w:hyperlink>
      <w:r w:rsidRPr="0081567E">
        <w:rPr>
          <w:rFonts w:cstheme="minorHAnsi"/>
          <w:sz w:val="18"/>
          <w:szCs w:val="18"/>
        </w:rPr>
        <w:t xml:space="preserve">. </w:t>
      </w:r>
    </w:p>
  </w:endnote>
  <w:endnote w:id="16">
    <w:p w14:paraId="32CB53D4" w14:textId="087549DB" w:rsidR="00B9062A" w:rsidRPr="0081567E" w:rsidRDefault="00B9062A">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Abrams M. </w:t>
      </w:r>
      <w:hyperlink r:id="rId14" w:history="1">
        <w:r w:rsidRPr="00315463">
          <w:rPr>
            <w:rStyle w:val="Hyperlink"/>
            <w:rFonts w:cstheme="minorHAnsi"/>
            <w:sz w:val="18"/>
            <w:szCs w:val="18"/>
          </w:rPr>
          <w:t>Coming to Terms With Care Migration.</w:t>
        </w:r>
      </w:hyperlink>
      <w:r w:rsidRPr="0081567E">
        <w:rPr>
          <w:rFonts w:cstheme="minorHAnsi"/>
          <w:sz w:val="18"/>
          <w:szCs w:val="18"/>
        </w:rPr>
        <w:t xml:space="preserve"> AJMC. Published May 30, 2019.</w:t>
      </w:r>
    </w:p>
  </w:endnote>
  <w:endnote w:id="17">
    <w:p w14:paraId="2CAA5BB1" w14:textId="77FAD4E7" w:rsidR="00B9062A" w:rsidRPr="0081567E" w:rsidRDefault="00B9062A">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15" w:history="1">
        <w:r w:rsidRPr="006F5F50">
          <w:rPr>
            <w:rStyle w:val="Hyperlink"/>
            <w:rFonts w:cstheme="minorHAnsi"/>
            <w:sz w:val="18"/>
            <w:szCs w:val="18"/>
          </w:rPr>
          <w:t>3 reasons ASCs adopt EHR software</w:t>
        </w:r>
      </w:hyperlink>
      <w:r w:rsidRPr="0081567E">
        <w:rPr>
          <w:rFonts w:cstheme="minorHAnsi"/>
          <w:sz w:val="18"/>
          <w:szCs w:val="18"/>
        </w:rPr>
        <w:t xml:space="preserve">. </w:t>
      </w:r>
    </w:p>
  </w:endnote>
  <w:endnote w:id="18">
    <w:p w14:paraId="33B7DC95" w14:textId="2F57CE49" w:rsidR="00B9062A" w:rsidRPr="0081567E" w:rsidRDefault="00B9062A" w:rsidP="000D1001">
      <w:pPr>
        <w:pStyle w:val="EndnoteText"/>
        <w:contextualSpacing/>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16" w:history="1">
        <w:r w:rsidRPr="006F5F50">
          <w:rPr>
            <w:rStyle w:val="Hyperlink"/>
            <w:rFonts w:cstheme="minorHAnsi"/>
            <w:sz w:val="18"/>
            <w:szCs w:val="18"/>
          </w:rPr>
          <w:t>Community Engagement Standards for Community Health Planning Guideline</w:t>
        </w:r>
      </w:hyperlink>
      <w:r w:rsidRPr="0081567E">
        <w:rPr>
          <w:rFonts w:cstheme="minorHAnsi"/>
          <w:sz w:val="18"/>
          <w:szCs w:val="18"/>
        </w:rPr>
        <w:t xml:space="preserve">. </w:t>
      </w:r>
    </w:p>
  </w:endnote>
  <w:endnote w:id="19">
    <w:p w14:paraId="2F9610AE" w14:textId="7DC16801" w:rsidR="00B9062A" w:rsidRPr="0081567E" w:rsidRDefault="00B9062A" w:rsidP="009E3954">
      <w:pPr>
        <w:pStyle w:val="EndnoteText"/>
        <w:contextualSpacing/>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17" w:history="1">
        <w:r w:rsidRPr="00B87E68">
          <w:rPr>
            <w:rStyle w:val="Hyperlink"/>
            <w:rFonts w:cstheme="minorHAnsi"/>
            <w:sz w:val="18"/>
            <w:szCs w:val="18"/>
          </w:rPr>
          <w:t>DoN Regulation 100.210 (A)(1)(e).</w:t>
        </w:r>
      </w:hyperlink>
      <w:r w:rsidRPr="0081567E">
        <w:rPr>
          <w:rFonts w:cstheme="minorHAnsi"/>
          <w:sz w:val="18"/>
          <w:szCs w:val="18"/>
        </w:rPr>
        <w:t xml:space="preserve"> </w:t>
      </w:r>
    </w:p>
  </w:endnote>
  <w:endnote w:id="20">
    <w:p w14:paraId="4156FFAB" w14:textId="47F466BD" w:rsidR="006F1566" w:rsidRPr="0081567E" w:rsidRDefault="006F1566" w:rsidP="00B87E68">
      <w:pPr>
        <w:autoSpaceDE w:val="0"/>
        <w:autoSpaceDN w:val="0"/>
        <w:adjustRightInd w:val="0"/>
        <w:spacing w:after="0" w:line="240" w:lineRule="auto"/>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Ambulatory Surgical Centers Association. (2013). </w:t>
      </w:r>
      <w:hyperlink r:id="rId18" w:history="1">
        <w:r w:rsidRPr="00B87E68">
          <w:rPr>
            <w:rStyle w:val="Hyperlink"/>
            <w:rFonts w:cstheme="minorHAnsi"/>
            <w:sz w:val="18"/>
            <w:szCs w:val="18"/>
          </w:rPr>
          <w:t>Medicare Cost Savings Tied to Ambulatory Surgery Centers</w:t>
        </w:r>
      </w:hyperlink>
    </w:p>
  </w:endnote>
  <w:endnote w:id="21">
    <w:p w14:paraId="47C61173" w14:textId="64DAFAC1" w:rsidR="00B9062A" w:rsidRPr="0081567E" w:rsidRDefault="00B9062A" w:rsidP="00FA6BB2">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Dyrda L, </w:t>
      </w:r>
      <w:hyperlink r:id="rId19" w:history="1">
        <w:r w:rsidRPr="00D66735">
          <w:rPr>
            <w:rStyle w:val="Hyperlink"/>
            <w:rFonts w:cstheme="minorHAnsi"/>
            <w:sz w:val="18"/>
            <w:szCs w:val="18"/>
          </w:rPr>
          <w:t>CMS posts payments for ASCs vs. HOPDs — Medicare pays ASCs $359 less for colonoscopy, $1,092 less for knee arthroscopy</w:t>
        </w:r>
      </w:hyperlink>
      <w:r w:rsidRPr="0081567E">
        <w:rPr>
          <w:rFonts w:cstheme="minorHAnsi"/>
          <w:sz w:val="18"/>
          <w:szCs w:val="18"/>
        </w:rPr>
        <w:t xml:space="preserve">, Beckers ASC Review. </w:t>
      </w:r>
    </w:p>
  </w:endnote>
  <w:endnote w:id="22">
    <w:p w14:paraId="31712B5D" w14:textId="2EB77A8D" w:rsidR="00B9062A" w:rsidRPr="0081567E" w:rsidRDefault="00B9062A" w:rsidP="00FA6BB2">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Ambulatory Surgery Center Association. </w:t>
      </w:r>
      <w:hyperlink r:id="rId20" w:history="1">
        <w:r w:rsidRPr="00844F9B">
          <w:rPr>
            <w:rStyle w:val="Hyperlink"/>
            <w:rFonts w:cstheme="minorHAnsi"/>
            <w:sz w:val="18"/>
            <w:szCs w:val="18"/>
          </w:rPr>
          <w:t>Medicare Cost Savings Tied to Ambulatory Surgery Centers (Rep.).</w:t>
        </w:r>
      </w:hyperlink>
      <w:r w:rsidRPr="0081567E">
        <w:rPr>
          <w:rFonts w:cstheme="minorHAnsi"/>
          <w:sz w:val="18"/>
          <w:szCs w:val="18"/>
        </w:rPr>
        <w:t xml:space="preserve"> (2013, September 10). </w:t>
      </w:r>
    </w:p>
  </w:endnote>
  <w:endnote w:id="23">
    <w:p w14:paraId="5F052E2E" w14:textId="44F118DB" w:rsidR="00B9062A" w:rsidRPr="0081567E" w:rsidRDefault="00B9062A" w:rsidP="00FA6BB2">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Advancing Surgical Care. </w:t>
      </w:r>
      <w:hyperlink r:id="rId21" w:history="1">
        <w:r w:rsidRPr="00E76FEA">
          <w:rPr>
            <w:rStyle w:val="Hyperlink"/>
            <w:rFonts w:cstheme="minorHAnsi"/>
            <w:sz w:val="18"/>
            <w:szCs w:val="18"/>
          </w:rPr>
          <w:t>Study: Commercial Insurance Cost Savings in Ambulatory Surgery Centers</w:t>
        </w:r>
      </w:hyperlink>
      <w:r w:rsidRPr="0081567E">
        <w:rPr>
          <w:rFonts w:cstheme="minorHAnsi"/>
          <w:sz w:val="18"/>
          <w:szCs w:val="18"/>
        </w:rPr>
        <w:t>.</w:t>
      </w:r>
      <w:r w:rsidR="00D8623A" w:rsidRPr="0081567E">
        <w:rPr>
          <w:rFonts w:cstheme="minorHAnsi"/>
          <w:sz w:val="18"/>
          <w:szCs w:val="18"/>
        </w:rPr>
        <w:t xml:space="preserve"> </w:t>
      </w:r>
    </w:p>
  </w:endnote>
  <w:endnote w:id="24">
    <w:p w14:paraId="663F002C" w14:textId="462BEAD2" w:rsidR="00B9062A" w:rsidRPr="0081567E" w:rsidRDefault="00B9062A" w:rsidP="00716D9E">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KNG Health Consulting, LLC. </w:t>
      </w:r>
      <w:hyperlink r:id="rId22" w:history="1">
        <w:r w:rsidRPr="00152CD8">
          <w:rPr>
            <w:rStyle w:val="Hyperlink"/>
            <w:rFonts w:cstheme="minorHAnsi"/>
            <w:sz w:val="18"/>
            <w:szCs w:val="18"/>
          </w:rPr>
          <w:t>Comparison of Medicare Fee-for-Service Beneficiaries Treated in Ambulatory Surgical Centers and H</w:t>
        </w:r>
        <w:r w:rsidR="001F273E" w:rsidRPr="00152CD8">
          <w:rPr>
            <w:rStyle w:val="Hyperlink"/>
            <w:rFonts w:cstheme="minorHAnsi"/>
            <w:sz w:val="18"/>
            <w:szCs w:val="18"/>
          </w:rPr>
          <w:t>ospital Outpatient Departments</w:t>
        </w:r>
      </w:hyperlink>
      <w:r w:rsidR="001F273E" w:rsidRPr="0081567E">
        <w:rPr>
          <w:rFonts w:cstheme="minorHAnsi"/>
          <w:sz w:val="18"/>
          <w:szCs w:val="18"/>
        </w:rPr>
        <w:t xml:space="preserve">. </w:t>
      </w:r>
    </w:p>
  </w:endnote>
  <w:endnote w:id="25">
    <w:p w14:paraId="19F67666" w14:textId="3FAEA93D" w:rsidR="00B9062A" w:rsidRPr="0081567E" w:rsidRDefault="00B9062A" w:rsidP="009E78AF">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23" w:history="1">
        <w:r w:rsidRPr="007952FF">
          <w:rPr>
            <w:rStyle w:val="Hyperlink"/>
            <w:rFonts w:cstheme="minorHAnsi"/>
            <w:sz w:val="18"/>
            <w:szCs w:val="18"/>
          </w:rPr>
          <w:t>Report to the Congress: Medicare Payment Policy</w:t>
        </w:r>
      </w:hyperlink>
      <w:r w:rsidRPr="0081567E">
        <w:rPr>
          <w:rFonts w:cstheme="minorHAnsi"/>
          <w:sz w:val="18"/>
          <w:szCs w:val="18"/>
        </w:rPr>
        <w:t xml:space="preserve"> | March 2019. Chapter 5: Ambulatory Surgical Center Services. </w:t>
      </w:r>
    </w:p>
  </w:endnote>
  <w:endnote w:id="26">
    <w:p w14:paraId="0059B63A" w14:textId="5A4D0760" w:rsidR="006B0B69" w:rsidRPr="0081567E" w:rsidRDefault="006B0B69" w:rsidP="006B0B69">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w:t>
      </w:r>
      <w:hyperlink r:id="rId24" w:history="1">
        <w:r w:rsidRPr="00E75E6D">
          <w:rPr>
            <w:rStyle w:val="Hyperlink"/>
            <w:rFonts w:cstheme="minorHAnsi"/>
            <w:sz w:val="18"/>
            <w:szCs w:val="18"/>
          </w:rPr>
          <w:t>HOPDs vs. ASCs: understanding payment differences</w:t>
        </w:r>
      </w:hyperlink>
      <w:r w:rsidRPr="0081567E">
        <w:rPr>
          <w:rFonts w:cstheme="minorHAnsi"/>
          <w:sz w:val="18"/>
          <w:szCs w:val="18"/>
        </w:rPr>
        <w:t xml:space="preserve">. </w:t>
      </w:r>
    </w:p>
  </w:endnote>
  <w:endnote w:id="27">
    <w:p w14:paraId="7A707D5E" w14:textId="005542C8" w:rsidR="003F11B8" w:rsidRPr="0081567E" w:rsidRDefault="003F11B8">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Dennis C. Crawford et al., </w:t>
      </w:r>
      <w:hyperlink r:id="rId25" w:history="1">
        <w:r w:rsidRPr="00E75E6D">
          <w:rPr>
            <w:rStyle w:val="Hyperlink"/>
            <w:rFonts w:cstheme="minorHAnsi"/>
            <w:sz w:val="18"/>
            <w:szCs w:val="18"/>
          </w:rPr>
          <w:t>Clinical and Cost Implications of Inpatient Versus Outpatient Orthopedic Surgeries: A Systematic Review of the Published Literature</w:t>
        </w:r>
      </w:hyperlink>
      <w:r w:rsidRPr="0081567E">
        <w:rPr>
          <w:rFonts w:cstheme="minorHAnsi"/>
          <w:sz w:val="18"/>
          <w:szCs w:val="18"/>
        </w:rPr>
        <w:t xml:space="preserve">, 7 ORTHOPEDIC REVIEW 116 (2015); David Cook et al., </w:t>
      </w:r>
      <w:hyperlink r:id="rId26" w:history="1">
        <w:r w:rsidRPr="00280189">
          <w:rPr>
            <w:rStyle w:val="Hyperlink"/>
            <w:rFonts w:cstheme="minorHAnsi"/>
            <w:sz w:val="18"/>
            <w:szCs w:val="18"/>
          </w:rPr>
          <w:t>From ‘Solution Shop’ Model to ‘Focused Factor’ In Hospital Surgery: Increasing Care Value and Predictability</w:t>
        </w:r>
      </w:hyperlink>
      <w:r w:rsidRPr="0081567E">
        <w:rPr>
          <w:rFonts w:cstheme="minorHAnsi"/>
          <w:sz w:val="18"/>
          <w:szCs w:val="18"/>
        </w:rPr>
        <w:t>, 33 HEALTH AFFAIRS 746 (2014)</w:t>
      </w:r>
    </w:p>
  </w:endnote>
  <w:endnote w:id="28">
    <w:p w14:paraId="6C28E855" w14:textId="0B113816" w:rsidR="003F11B8" w:rsidRPr="0081567E" w:rsidRDefault="003F11B8">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Ibid.</w:t>
      </w:r>
    </w:p>
  </w:endnote>
  <w:endnote w:id="29">
    <w:p w14:paraId="3E0F54CD" w14:textId="77777777" w:rsidR="006B0B69" w:rsidRPr="0081567E" w:rsidRDefault="006B0B69" w:rsidP="006B0B69">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Munnich EL, Parente ST. Returns to specialization: Evidence from the outpatient surgery market. </w:t>
      </w:r>
      <w:r w:rsidRPr="006D0CE6">
        <w:rPr>
          <w:rFonts w:cstheme="minorHAnsi"/>
          <w:sz w:val="18"/>
          <w:szCs w:val="18"/>
        </w:rPr>
        <w:t>J Health Econ</w:t>
      </w:r>
      <w:r w:rsidRPr="0081567E">
        <w:rPr>
          <w:rFonts w:cstheme="minorHAnsi"/>
          <w:sz w:val="18"/>
          <w:szCs w:val="18"/>
        </w:rPr>
        <w:t>. 2018;57:147-167. doi:10.1016/j.jhealeco.2017.11.004</w:t>
      </w:r>
    </w:p>
  </w:endnote>
  <w:endnote w:id="30">
    <w:p w14:paraId="6D35024E" w14:textId="77777777" w:rsidR="006B0B69" w:rsidRPr="0081567E" w:rsidRDefault="006B0B69" w:rsidP="006B0B69">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Hollenbeck BK, Dunn RL, Suskind AM, Strope SA, Zhang Y, Hollingsworth JM. Ambulatory surgery centers and their intended effects on outpatient surgery. </w:t>
      </w:r>
      <w:r w:rsidRPr="006D0CE6">
        <w:rPr>
          <w:rFonts w:cstheme="minorHAnsi"/>
          <w:sz w:val="18"/>
          <w:szCs w:val="18"/>
        </w:rPr>
        <w:t>Health Serv Res</w:t>
      </w:r>
      <w:r w:rsidRPr="0081567E">
        <w:rPr>
          <w:rFonts w:cstheme="minorHAnsi"/>
          <w:sz w:val="18"/>
          <w:szCs w:val="18"/>
        </w:rPr>
        <w:t>. 2015;50(5):1491-1507. doi:10.1111/1475-6773.12278</w:t>
      </w:r>
    </w:p>
  </w:endnote>
  <w:endnote w:id="31">
    <w:p w14:paraId="25A64F44" w14:textId="77777777" w:rsidR="006B0B69" w:rsidRPr="0081567E" w:rsidRDefault="006B0B69" w:rsidP="006B0B69">
      <w:pPr>
        <w:pStyle w:val="EndnoteText"/>
        <w:rPr>
          <w:rFonts w:cstheme="minorHAnsi"/>
          <w:sz w:val="18"/>
          <w:szCs w:val="18"/>
        </w:rPr>
      </w:pPr>
      <w:r w:rsidRPr="0081567E">
        <w:rPr>
          <w:rStyle w:val="EndnoteReference"/>
          <w:rFonts w:cstheme="minorHAnsi"/>
          <w:sz w:val="18"/>
          <w:szCs w:val="18"/>
        </w:rPr>
        <w:endnoteRef/>
      </w:r>
      <w:r w:rsidRPr="0081567E">
        <w:rPr>
          <w:rFonts w:cstheme="minorHAnsi"/>
          <w:sz w:val="18"/>
          <w:szCs w:val="18"/>
        </w:rPr>
        <w:t xml:space="preserve"> Muunich EL, Parente ST. Procedures take less time at ambulatory surgery centers, keeping costs down and ability to meet demand up. </w:t>
      </w:r>
      <w:r w:rsidRPr="006D0CE6">
        <w:rPr>
          <w:rFonts w:cstheme="minorHAnsi"/>
          <w:sz w:val="18"/>
          <w:szCs w:val="18"/>
        </w:rPr>
        <w:t>Health Aff</w:t>
      </w:r>
      <w:r w:rsidRPr="0081567E">
        <w:rPr>
          <w:rFonts w:cstheme="minorHAnsi"/>
          <w:sz w:val="18"/>
          <w:szCs w:val="18"/>
        </w:rPr>
        <w:t>. 2014;33(5):764-769.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27"/>
      <w:docPartObj>
        <w:docPartGallery w:val="Page Numbers (Bottom of Page)"/>
        <w:docPartUnique/>
      </w:docPartObj>
    </w:sdtPr>
    <w:sdtEndPr>
      <w:rPr>
        <w:noProof/>
      </w:rPr>
    </w:sdtEndPr>
    <w:sdtContent>
      <w:p w14:paraId="5840DB8E" w14:textId="1A09AB81" w:rsidR="00B9062A" w:rsidRDefault="00B9062A">
        <w:pPr>
          <w:pStyle w:val="Footer"/>
          <w:jc w:val="center"/>
        </w:pPr>
        <w:r>
          <w:fldChar w:fldCharType="begin"/>
        </w:r>
        <w:r>
          <w:instrText xml:space="preserve"> PAGE   \* MERGEFORMAT </w:instrText>
        </w:r>
        <w:r>
          <w:fldChar w:fldCharType="separate"/>
        </w:r>
        <w:r w:rsidR="000A431B">
          <w:rPr>
            <w:noProof/>
          </w:rPr>
          <w:t>3</w:t>
        </w:r>
        <w:r>
          <w:rPr>
            <w:noProof/>
          </w:rPr>
          <w:fldChar w:fldCharType="end"/>
        </w:r>
      </w:p>
    </w:sdtContent>
  </w:sdt>
  <w:p w14:paraId="528E5BC7" w14:textId="77777777" w:rsidR="00B9062A" w:rsidRDefault="00B90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67123"/>
      <w:docPartObj>
        <w:docPartGallery w:val="Page Numbers (Bottom of Page)"/>
        <w:docPartUnique/>
      </w:docPartObj>
    </w:sdtPr>
    <w:sdtEndPr>
      <w:rPr>
        <w:noProof/>
      </w:rPr>
    </w:sdtEndPr>
    <w:sdtContent>
      <w:p w14:paraId="7101FF5C" w14:textId="6247EAC5" w:rsidR="00B9062A" w:rsidRDefault="00B9062A">
        <w:pPr>
          <w:pStyle w:val="Footer"/>
          <w:jc w:val="center"/>
        </w:pPr>
        <w:r>
          <w:fldChar w:fldCharType="begin"/>
        </w:r>
        <w:r>
          <w:instrText xml:space="preserve"> PAGE   \* MERGEFORMAT </w:instrText>
        </w:r>
        <w:r>
          <w:fldChar w:fldCharType="separate"/>
        </w:r>
        <w:r w:rsidR="000A431B">
          <w:rPr>
            <w:noProof/>
          </w:rPr>
          <w:t>1</w:t>
        </w:r>
        <w:r>
          <w:rPr>
            <w:noProof/>
          </w:rPr>
          <w:fldChar w:fldCharType="end"/>
        </w:r>
      </w:p>
    </w:sdtContent>
  </w:sdt>
  <w:p w14:paraId="15E0CD9D" w14:textId="77777777" w:rsidR="00B9062A" w:rsidRDefault="00B90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291BDEC9" w14:textId="43E5E14B" w:rsidR="00B9062A" w:rsidRPr="00FF59B1" w:rsidRDefault="00B9062A">
        <w:pPr>
          <w:pStyle w:val="Footer"/>
          <w:jc w:val="center"/>
          <w:rPr>
            <w:rFonts w:ascii="Garamond" w:hAnsi="Garamond"/>
            <w:sz w:val="24"/>
            <w:szCs w:val="24"/>
          </w:rPr>
        </w:pPr>
        <w:r w:rsidRPr="00FF59B1">
          <w:rPr>
            <w:rFonts w:ascii="Garamond" w:hAnsi="Garamond"/>
            <w:sz w:val="24"/>
            <w:szCs w:val="24"/>
          </w:rPr>
          <w:fldChar w:fldCharType="begin"/>
        </w:r>
        <w:r w:rsidRPr="00FF59B1">
          <w:rPr>
            <w:rFonts w:ascii="Garamond" w:hAnsi="Garamond"/>
            <w:sz w:val="24"/>
            <w:szCs w:val="24"/>
          </w:rPr>
          <w:instrText xml:space="preserve"> PAGE   \* MERGEFORMAT </w:instrText>
        </w:r>
        <w:r w:rsidRPr="00FF59B1">
          <w:rPr>
            <w:rFonts w:ascii="Garamond" w:hAnsi="Garamond"/>
            <w:sz w:val="24"/>
            <w:szCs w:val="24"/>
          </w:rPr>
          <w:fldChar w:fldCharType="separate"/>
        </w:r>
        <w:r w:rsidR="000A431B">
          <w:rPr>
            <w:rFonts w:ascii="Garamond" w:hAnsi="Garamond"/>
            <w:noProof/>
            <w:sz w:val="24"/>
            <w:szCs w:val="24"/>
          </w:rPr>
          <w:t>18</w:t>
        </w:r>
        <w:r w:rsidRPr="00FF59B1">
          <w:rPr>
            <w:rFonts w:ascii="Garamond" w:hAnsi="Garamond"/>
            <w:noProof/>
            <w:sz w:val="24"/>
            <w:szCs w:val="24"/>
          </w:rPr>
          <w:fldChar w:fldCharType="end"/>
        </w:r>
      </w:p>
    </w:sdtContent>
  </w:sdt>
  <w:p w14:paraId="2D3E7FB1" w14:textId="77777777" w:rsidR="00B9062A" w:rsidRDefault="00B9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6849" w14:textId="77777777" w:rsidR="0037648F" w:rsidRDefault="0037648F" w:rsidP="008C0709">
      <w:pPr>
        <w:spacing w:after="0" w:line="240" w:lineRule="auto"/>
      </w:pPr>
      <w:r>
        <w:separator/>
      </w:r>
    </w:p>
  </w:footnote>
  <w:footnote w:type="continuationSeparator" w:id="0">
    <w:p w14:paraId="27161F59" w14:textId="77777777" w:rsidR="0037648F" w:rsidRDefault="0037648F" w:rsidP="008C0709">
      <w:pPr>
        <w:spacing w:after="0" w:line="240" w:lineRule="auto"/>
      </w:pPr>
      <w:r>
        <w:continuationSeparator/>
      </w:r>
    </w:p>
  </w:footnote>
  <w:footnote w:id="1">
    <w:p w14:paraId="6F0AB160" w14:textId="0C8292AC" w:rsidR="00231ABE" w:rsidRPr="002C432F" w:rsidRDefault="00B9062A" w:rsidP="009E3954">
      <w:pPr>
        <w:pStyle w:val="FootnoteText"/>
        <w:contextualSpacing/>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As defined in 105 CMR 100.100, Patient Panel is the total of the individual patients regardless of payer, including patients seen </w:t>
      </w:r>
      <w:r w:rsidR="00FA34EF" w:rsidRPr="002C432F">
        <w:rPr>
          <w:rFonts w:cstheme="minorHAnsi"/>
          <w:sz w:val="18"/>
          <w:szCs w:val="18"/>
        </w:rPr>
        <w:t>at</w:t>
      </w:r>
      <w:r w:rsidRPr="002C432F">
        <w:rPr>
          <w:rFonts w:cstheme="minorHAnsi"/>
          <w:sz w:val="18"/>
          <w:szCs w:val="18"/>
        </w:rPr>
        <w:t xml:space="preserve"> an emergency department</w:t>
      </w:r>
      <w:r w:rsidR="00FA34EF" w:rsidRPr="002C432F">
        <w:rPr>
          <w:rFonts w:cstheme="minorHAnsi"/>
          <w:sz w:val="18"/>
          <w:szCs w:val="18"/>
        </w:rPr>
        <w:t xml:space="preserve"> (if applicable)</w:t>
      </w:r>
      <w:r w:rsidRPr="002C432F">
        <w:rPr>
          <w:rFonts w:cstheme="minorHAnsi"/>
          <w:sz w:val="18"/>
          <w:szCs w:val="18"/>
        </w:rPr>
        <w:t>, seen over the course of the most recent complete 36-month period by the Applicant or Holder.</w:t>
      </w:r>
      <w:r w:rsidR="00231ABE" w:rsidRPr="002C432F">
        <w:rPr>
          <w:rFonts w:cstheme="minorHAnsi"/>
          <w:sz w:val="18"/>
          <w:szCs w:val="18"/>
        </w:rPr>
        <w:t xml:space="preserve"> </w:t>
      </w:r>
      <w:r w:rsidR="00231ABE" w:rsidRPr="002C432F">
        <w:rPr>
          <w:sz w:val="18"/>
          <w:szCs w:val="18"/>
        </w:rPr>
        <w:t>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2">
    <w:p w14:paraId="43CC5C65" w14:textId="0B5BDFDA" w:rsidR="00245F2A" w:rsidRPr="002C432F" w:rsidRDefault="00245F2A">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Includes ACO patients.</w:t>
      </w:r>
    </w:p>
  </w:footnote>
  <w:footnote w:id="3">
    <w:p w14:paraId="42A894DF" w14:textId="2FBA2727" w:rsidR="00245F2A" w:rsidRPr="002C432F" w:rsidRDefault="00245F2A">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Includes automobile insurance coverage, Commonwealth Care, Health Safety Net, incarcerated patients, out-of-state Medicaid, self-pay, and Veteran’s Affairs.</w:t>
      </w:r>
    </w:p>
  </w:footnote>
  <w:footnote w:id="4">
    <w:p w14:paraId="41D4861E" w14:textId="634A0F77" w:rsidR="00061FCE" w:rsidRPr="002C432F" w:rsidRDefault="00061FCE">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CPA report, pg. 4</w:t>
      </w:r>
    </w:p>
  </w:footnote>
  <w:footnote w:id="5">
    <w:p w14:paraId="2F1F7132" w14:textId="120CA8C2" w:rsidR="00700FFD" w:rsidRPr="006D0CE6" w:rsidRDefault="00700FFD">
      <w:pPr>
        <w:pStyle w:val="FootnoteText"/>
        <w:rPr>
          <w:sz w:val="18"/>
          <w:szCs w:val="18"/>
        </w:rPr>
      </w:pPr>
      <w:r w:rsidRPr="006D0CE6">
        <w:rPr>
          <w:rStyle w:val="FootnoteReference"/>
          <w:sz w:val="18"/>
          <w:szCs w:val="18"/>
        </w:rPr>
        <w:footnoteRef/>
      </w:r>
      <w:r w:rsidRPr="006D0CE6">
        <w:rPr>
          <w:sz w:val="18"/>
          <w:szCs w:val="18"/>
        </w:rPr>
        <w:t xml:space="preserve"> See Appendix II for more details. </w:t>
      </w:r>
    </w:p>
  </w:footnote>
  <w:footnote w:id="6">
    <w:p w14:paraId="54FAF6B9" w14:textId="0C4B800E" w:rsidR="00DF1900" w:rsidRPr="001244F4" w:rsidRDefault="00DF1900">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Source: Applicant answers to Department follow-up questions.</w:t>
      </w:r>
    </w:p>
  </w:footnote>
  <w:footnote w:id="7">
    <w:p w14:paraId="6FC1F10D" w14:textId="0BC66821" w:rsidR="00DF1900" w:rsidRPr="002C432F" w:rsidRDefault="00DF1900">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Ibid.</w:t>
      </w:r>
    </w:p>
  </w:footnote>
  <w:footnote w:id="8">
    <w:p w14:paraId="35649FBC" w14:textId="77777777" w:rsidR="006144A9" w:rsidRPr="001244F4" w:rsidRDefault="006144A9" w:rsidP="006144A9">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Source: Applicant answers to Department follow-up questions.</w:t>
      </w:r>
    </w:p>
  </w:footnote>
  <w:footnote w:id="9">
    <w:p w14:paraId="7AA3B8D6" w14:textId="09227AF1" w:rsidR="006144A9" w:rsidRPr="001244F4" w:rsidRDefault="006144A9" w:rsidP="006144A9">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Ibid.</w:t>
      </w:r>
    </w:p>
  </w:footnote>
  <w:footnote w:id="10">
    <w:p w14:paraId="16D7DA53" w14:textId="77777777" w:rsidR="006144A9" w:rsidRPr="001244F4" w:rsidRDefault="006144A9" w:rsidP="006144A9">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Ibid.</w:t>
      </w:r>
    </w:p>
  </w:footnote>
  <w:footnote w:id="11">
    <w:p w14:paraId="13287E84" w14:textId="7BFB146C" w:rsidR="001F7DBC" w:rsidRPr="001244F4" w:rsidRDefault="001F7DBC" w:rsidP="00D4346E">
      <w:pPr>
        <w:spacing w:after="0" w:line="240" w:lineRule="auto"/>
        <w:rPr>
          <w:rFonts w:cstheme="minorHAnsi"/>
          <w:b/>
          <w:bCs/>
          <w:color w:val="42558C" w:themeColor="accent1" w:themeShade="BF"/>
          <w:sz w:val="18"/>
          <w:szCs w:val="18"/>
        </w:rPr>
      </w:pPr>
      <w:r w:rsidRPr="002C432F">
        <w:rPr>
          <w:rStyle w:val="FootnoteReference"/>
          <w:sz w:val="18"/>
          <w:szCs w:val="18"/>
        </w:rPr>
        <w:footnoteRef/>
      </w:r>
      <w:r w:rsidRPr="002C432F">
        <w:rPr>
          <w:sz w:val="18"/>
          <w:szCs w:val="18"/>
        </w:rPr>
        <w:t xml:space="preserve"> </w:t>
      </w:r>
      <w:r w:rsidRPr="009A10AF">
        <w:rPr>
          <w:rFonts w:cstheme="minorHAnsi"/>
          <w:sz w:val="18"/>
          <w:szCs w:val="18"/>
        </w:rPr>
        <w:t xml:space="preserve">Price data obtained using Procedure Price Lookup, Medicare.gov. </w:t>
      </w:r>
      <w:r w:rsidRPr="001244F4">
        <w:rPr>
          <w:rFonts w:cstheme="minorHAnsi"/>
          <w:sz w:val="18"/>
          <w:szCs w:val="18"/>
        </w:rPr>
        <w:t>https://www.medicare.gov/procedure-price-lookup/</w:t>
      </w:r>
    </w:p>
  </w:footnote>
  <w:footnote w:id="12">
    <w:p w14:paraId="68D2614D" w14:textId="1E9B93A7" w:rsidR="001F7DBC" w:rsidRPr="002C432F" w:rsidRDefault="001F7DBC">
      <w:pPr>
        <w:pStyle w:val="FootnoteText"/>
        <w:rPr>
          <w:sz w:val="18"/>
          <w:szCs w:val="18"/>
        </w:rPr>
      </w:pPr>
      <w:r w:rsidRPr="002C432F">
        <w:rPr>
          <w:rStyle w:val="FootnoteReference"/>
          <w:sz w:val="18"/>
          <w:szCs w:val="18"/>
        </w:rPr>
        <w:footnoteRef/>
      </w:r>
      <w:r w:rsidRPr="002C432F">
        <w:rPr>
          <w:sz w:val="18"/>
          <w:szCs w:val="18"/>
        </w:rPr>
        <w:t xml:space="preserve"> Ibid.</w:t>
      </w:r>
      <w:r w:rsidRPr="009A10AF">
        <w:rPr>
          <w:sz w:val="18"/>
          <w:szCs w:val="18"/>
        </w:rPr>
        <w:t xml:space="preserve"> </w:t>
      </w:r>
      <w:r w:rsidRPr="001244F4">
        <w:rPr>
          <w:rFonts w:cstheme="minorHAnsi"/>
          <w:sz w:val="18"/>
          <w:szCs w:val="18"/>
        </w:rPr>
        <w:t xml:space="preserve">See </w:t>
      </w:r>
      <w:r w:rsidR="00700FFD" w:rsidRPr="001244F4">
        <w:rPr>
          <w:rFonts w:cstheme="minorHAnsi"/>
          <w:sz w:val="18"/>
          <w:szCs w:val="18"/>
        </w:rPr>
        <w:t>A</w:t>
      </w:r>
      <w:r w:rsidRPr="001244F4">
        <w:rPr>
          <w:rFonts w:cstheme="minorHAnsi"/>
          <w:sz w:val="18"/>
          <w:szCs w:val="18"/>
        </w:rPr>
        <w:t xml:space="preserve">ppendix </w:t>
      </w:r>
      <w:r w:rsidR="00700FFD" w:rsidRPr="002C432F">
        <w:rPr>
          <w:rFonts w:cstheme="minorHAnsi"/>
          <w:sz w:val="18"/>
          <w:szCs w:val="18"/>
        </w:rPr>
        <w:t xml:space="preserve">I </w:t>
      </w:r>
      <w:r w:rsidRPr="002C432F">
        <w:rPr>
          <w:rFonts w:cstheme="minorHAnsi"/>
          <w:sz w:val="18"/>
          <w:szCs w:val="18"/>
        </w:rPr>
        <w:t>for more examples.</w:t>
      </w:r>
    </w:p>
  </w:footnote>
  <w:footnote w:id="13">
    <w:p w14:paraId="356CB10A" w14:textId="311683B6" w:rsidR="00BF179E" w:rsidRPr="009A10AF" w:rsidRDefault="00BF179E">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CPA report, pg. 4</w:t>
      </w:r>
    </w:p>
  </w:footnote>
  <w:footnote w:id="14">
    <w:p w14:paraId="32C4FF6D" w14:textId="5DCB08C4" w:rsidR="00BF179E" w:rsidRPr="001244F4" w:rsidRDefault="00BF179E">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Ibid.</w:t>
      </w:r>
      <w:r w:rsidR="001F7DBC" w:rsidRPr="009A10AF">
        <w:rPr>
          <w:rFonts w:cstheme="minorHAnsi"/>
          <w:sz w:val="18"/>
          <w:szCs w:val="18"/>
        </w:rPr>
        <w:t xml:space="preserve"> </w:t>
      </w:r>
    </w:p>
  </w:footnote>
  <w:footnote w:id="15">
    <w:p w14:paraId="45F7F8D0" w14:textId="25FF623A" w:rsidR="00592C78" w:rsidRPr="002C432F" w:rsidRDefault="00592C78">
      <w:pPr>
        <w:pStyle w:val="FootnoteText"/>
        <w:rPr>
          <w:sz w:val="18"/>
          <w:szCs w:val="18"/>
        </w:rPr>
      </w:pPr>
      <w:r w:rsidRPr="002C432F">
        <w:rPr>
          <w:rStyle w:val="FootnoteReference"/>
          <w:sz w:val="18"/>
          <w:szCs w:val="18"/>
        </w:rPr>
        <w:footnoteRef/>
      </w:r>
      <w:r w:rsidRPr="002C432F">
        <w:rPr>
          <w:sz w:val="18"/>
          <w:szCs w:val="18"/>
        </w:rPr>
        <w:t xml:space="preserve"> </w:t>
      </w:r>
      <w:r w:rsidRPr="009A10AF">
        <w:rPr>
          <w:sz w:val="18"/>
          <w:szCs w:val="18"/>
        </w:rPr>
        <w:t xml:space="preserve">It has been reported that data from the Price Procedure Lookup tool are limited because the prices are based on national </w:t>
      </w:r>
      <w:r w:rsidRPr="002C432F">
        <w:rPr>
          <w:sz w:val="18"/>
          <w:szCs w:val="18"/>
        </w:rPr>
        <w:t>averages and copayment estimates are only for patients with Original Medicare and no supplemental policy. In addition, Medicare costs and copayments are not always aligned; a patient copay may be less expensive at an HOPD, but the total cost of the procedure may be more expensive than an ASC.</w:t>
      </w:r>
    </w:p>
  </w:footnote>
  <w:footnote w:id="16">
    <w:p w14:paraId="4445E966" w14:textId="11267F82" w:rsidR="006B0B69" w:rsidRPr="001244F4" w:rsidRDefault="006B0B69">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w:t>
      </w:r>
      <w:r w:rsidRPr="001244F4">
        <w:rPr>
          <w:rFonts w:eastAsia="Times New Roman" w:cstheme="minorHAnsi"/>
          <w:sz w:val="18"/>
          <w:szCs w:val="18"/>
        </w:rPr>
        <w:t>CPA report pg. 4.</w:t>
      </w:r>
    </w:p>
  </w:footnote>
  <w:footnote w:id="17">
    <w:p w14:paraId="615A3C6E" w14:textId="09566458" w:rsidR="006B0B69" w:rsidRPr="001244F4" w:rsidRDefault="006B0B69" w:rsidP="006B0B69">
      <w:pPr>
        <w:pStyle w:val="FootnoteText"/>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w:t>
      </w:r>
      <w:r w:rsidRPr="001244F4">
        <w:rPr>
          <w:rFonts w:eastAsia="Times New Roman" w:cstheme="minorHAnsi"/>
          <w:sz w:val="18"/>
          <w:szCs w:val="18"/>
        </w:rPr>
        <w:t>Ibid.</w:t>
      </w:r>
    </w:p>
  </w:footnote>
  <w:footnote w:id="18">
    <w:p w14:paraId="101BD409" w14:textId="4D30242F" w:rsidR="00506EBD" w:rsidRPr="006D0CE6" w:rsidRDefault="00506EBD">
      <w:pPr>
        <w:pStyle w:val="FootnoteText"/>
        <w:rPr>
          <w:sz w:val="18"/>
          <w:szCs w:val="18"/>
        </w:rPr>
      </w:pPr>
      <w:r w:rsidRPr="006D0CE6">
        <w:rPr>
          <w:rStyle w:val="FootnoteReference"/>
          <w:sz w:val="18"/>
          <w:szCs w:val="18"/>
        </w:rPr>
        <w:footnoteRef/>
      </w:r>
      <w:r w:rsidRPr="006D0CE6">
        <w:rPr>
          <w:sz w:val="18"/>
          <w:szCs w:val="18"/>
        </w:rPr>
        <w:t xml:space="preserve"> Source: Pg. 7, application narrative.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B643" w14:textId="5914A7B3" w:rsidR="00B9062A" w:rsidRDefault="00B90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B2F" w14:textId="08726DF9" w:rsidR="00B9062A" w:rsidRDefault="00B90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FC3D" w14:textId="5ABB28AF" w:rsidR="00B9062A" w:rsidRDefault="00B90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C0"/>
    <w:multiLevelType w:val="hybridMultilevel"/>
    <w:tmpl w:val="D26ACF4E"/>
    <w:lvl w:ilvl="0" w:tplc="0409000F">
      <w:start w:val="1"/>
      <w:numFmt w:val="decimal"/>
      <w:lvlText w:val="%1."/>
      <w:lvlJc w:val="left"/>
      <w:pPr>
        <w:ind w:left="540" w:hanging="360"/>
      </w:pPr>
    </w:lvl>
    <w:lvl w:ilvl="1" w:tplc="834A53E4">
      <w:start w:val="1"/>
      <w:numFmt w:val="lowerLetter"/>
      <w:lvlText w:val="%2."/>
      <w:lvlJc w:val="left"/>
      <w:pPr>
        <w:ind w:left="1260" w:hanging="360"/>
      </w:pPr>
      <w:rPr>
        <w:b w:val="0"/>
        <w:bCs w:val="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924D7C"/>
    <w:multiLevelType w:val="hybridMultilevel"/>
    <w:tmpl w:val="0EB20904"/>
    <w:lvl w:ilvl="0" w:tplc="0672A684">
      <w:start w:val="1"/>
      <w:numFmt w:val="lowerLetter"/>
      <w:lvlText w:val="%1."/>
      <w:lvlJc w:val="left"/>
      <w:pPr>
        <w:ind w:left="1260" w:hanging="360"/>
      </w:pPr>
      <w:rPr>
        <w:b w:val="0"/>
        <w:bCs/>
      </w:rPr>
    </w:lvl>
    <w:lvl w:ilvl="1" w:tplc="53C4E5C4">
      <w:start w:val="1"/>
      <w:numFmt w:val="lowerRoman"/>
      <w:lvlText w:val="%2."/>
      <w:lvlJc w:val="right"/>
      <w:pPr>
        <w:ind w:left="1620" w:hanging="360"/>
      </w:pPr>
      <w:rPr>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86E49"/>
    <w:multiLevelType w:val="hybridMultilevel"/>
    <w:tmpl w:val="91B07178"/>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7131E8B"/>
    <w:multiLevelType w:val="hybridMultilevel"/>
    <w:tmpl w:val="0522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649AC"/>
    <w:multiLevelType w:val="hybridMultilevel"/>
    <w:tmpl w:val="8F5C2036"/>
    <w:lvl w:ilvl="0" w:tplc="5C9429CC">
      <w:start w:val="1"/>
      <w:numFmt w:val="decimal"/>
      <w:lvlText w:val="%1."/>
      <w:lvlJc w:val="left"/>
      <w:pPr>
        <w:ind w:left="720" w:hanging="360"/>
      </w:pPr>
      <w:rPr>
        <w:b/>
        <w:bCs/>
      </w:rPr>
    </w:lvl>
    <w:lvl w:ilvl="1" w:tplc="2BB8A85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574"/>
    <w:multiLevelType w:val="hybridMultilevel"/>
    <w:tmpl w:val="DE40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F6C7E"/>
    <w:multiLevelType w:val="hybridMultilevel"/>
    <w:tmpl w:val="A13609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063808"/>
    <w:multiLevelType w:val="hybridMultilevel"/>
    <w:tmpl w:val="AE4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F6471"/>
    <w:multiLevelType w:val="hybridMultilevel"/>
    <w:tmpl w:val="176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41FE4"/>
    <w:multiLevelType w:val="hybridMultilevel"/>
    <w:tmpl w:val="2C6CA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7321D"/>
    <w:multiLevelType w:val="hybridMultilevel"/>
    <w:tmpl w:val="ACBE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67E95"/>
    <w:multiLevelType w:val="hybridMultilevel"/>
    <w:tmpl w:val="7D58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3061A"/>
    <w:multiLevelType w:val="multilevel"/>
    <w:tmpl w:val="AC549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D543B2"/>
    <w:multiLevelType w:val="hybridMultilevel"/>
    <w:tmpl w:val="518E2736"/>
    <w:lvl w:ilvl="0" w:tplc="0409000F">
      <w:start w:val="1"/>
      <w:numFmt w:val="decimal"/>
      <w:lvlText w:val="%1."/>
      <w:lvlJc w:val="left"/>
      <w:pPr>
        <w:ind w:left="12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295549">
    <w:abstractNumId w:val="3"/>
  </w:num>
  <w:num w:numId="2" w16cid:durableId="529143801">
    <w:abstractNumId w:val="11"/>
  </w:num>
  <w:num w:numId="3" w16cid:durableId="141777685">
    <w:abstractNumId w:val="7"/>
  </w:num>
  <w:num w:numId="4" w16cid:durableId="1803765328">
    <w:abstractNumId w:val="0"/>
  </w:num>
  <w:num w:numId="5" w16cid:durableId="119956605">
    <w:abstractNumId w:val="4"/>
  </w:num>
  <w:num w:numId="6" w16cid:durableId="1446273290">
    <w:abstractNumId w:val="1"/>
  </w:num>
  <w:num w:numId="7" w16cid:durableId="2013294560">
    <w:abstractNumId w:val="13"/>
  </w:num>
  <w:num w:numId="8" w16cid:durableId="1624386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864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597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223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506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073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9623968">
    <w:abstractNumId w:val="2"/>
  </w:num>
  <w:num w:numId="15" w16cid:durableId="1681852553">
    <w:abstractNumId w:val="12"/>
  </w:num>
  <w:num w:numId="16" w16cid:durableId="1371683176">
    <w:abstractNumId w:val="14"/>
  </w:num>
  <w:num w:numId="17" w16cid:durableId="1218130487">
    <w:abstractNumId w:val="6"/>
  </w:num>
  <w:num w:numId="18" w16cid:durableId="1862432308">
    <w:abstractNumId w:val="5"/>
  </w:num>
  <w:num w:numId="19" w16cid:durableId="92285951">
    <w:abstractNumId w:val="8"/>
  </w:num>
  <w:num w:numId="20" w16cid:durableId="1985309754">
    <w:abstractNumId w:val="10"/>
  </w:num>
  <w:num w:numId="21" w16cid:durableId="149398927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fr-FR" w:vendorID="64" w:dllVersion="6" w:nlCheck="1" w:checkStyle="1"/>
  <w:proofState w:spelling="clean" w:grammar="clean"/>
  <w:defaultTabStop w:val="720"/>
  <w:characterSpacingControl w:val="doNotCompress"/>
  <w:hdrShapeDefaults>
    <o:shapedefaults v:ext="edit" spidmax="2050">
      <o:colormenu v:ext="edit" fillcolor="none [3212]"/>
    </o:shapedefaults>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9"/>
    <w:rsid w:val="00000112"/>
    <w:rsid w:val="000004E9"/>
    <w:rsid w:val="00000829"/>
    <w:rsid w:val="0000112F"/>
    <w:rsid w:val="0000230D"/>
    <w:rsid w:val="000024E4"/>
    <w:rsid w:val="000028FF"/>
    <w:rsid w:val="00003172"/>
    <w:rsid w:val="000034ED"/>
    <w:rsid w:val="00004564"/>
    <w:rsid w:val="00004A48"/>
    <w:rsid w:val="00005606"/>
    <w:rsid w:val="00005803"/>
    <w:rsid w:val="000067CB"/>
    <w:rsid w:val="00006B94"/>
    <w:rsid w:val="000073EC"/>
    <w:rsid w:val="000075E6"/>
    <w:rsid w:val="00007811"/>
    <w:rsid w:val="00007CF8"/>
    <w:rsid w:val="0001038F"/>
    <w:rsid w:val="0001062A"/>
    <w:rsid w:val="00011399"/>
    <w:rsid w:val="00011696"/>
    <w:rsid w:val="00011A9D"/>
    <w:rsid w:val="00011C4B"/>
    <w:rsid w:val="00011F67"/>
    <w:rsid w:val="0001210E"/>
    <w:rsid w:val="00012736"/>
    <w:rsid w:val="000130CD"/>
    <w:rsid w:val="00013646"/>
    <w:rsid w:val="0001369B"/>
    <w:rsid w:val="000139FB"/>
    <w:rsid w:val="00013C9B"/>
    <w:rsid w:val="00013E7F"/>
    <w:rsid w:val="000146B0"/>
    <w:rsid w:val="00014A95"/>
    <w:rsid w:val="00014B30"/>
    <w:rsid w:val="00015618"/>
    <w:rsid w:val="00015BA4"/>
    <w:rsid w:val="00015FB3"/>
    <w:rsid w:val="0001692A"/>
    <w:rsid w:val="00016BCE"/>
    <w:rsid w:val="00016EA5"/>
    <w:rsid w:val="0001756C"/>
    <w:rsid w:val="00017667"/>
    <w:rsid w:val="0001772E"/>
    <w:rsid w:val="00017B56"/>
    <w:rsid w:val="000206AB"/>
    <w:rsid w:val="000208FF"/>
    <w:rsid w:val="00020CA9"/>
    <w:rsid w:val="00020E34"/>
    <w:rsid w:val="00022914"/>
    <w:rsid w:val="000229D3"/>
    <w:rsid w:val="00022C75"/>
    <w:rsid w:val="00022CE4"/>
    <w:rsid w:val="00022F15"/>
    <w:rsid w:val="0002301A"/>
    <w:rsid w:val="0002366A"/>
    <w:rsid w:val="00023C3C"/>
    <w:rsid w:val="00023E6B"/>
    <w:rsid w:val="00024AD9"/>
    <w:rsid w:val="00024CE4"/>
    <w:rsid w:val="00025188"/>
    <w:rsid w:val="00025F5B"/>
    <w:rsid w:val="0002603D"/>
    <w:rsid w:val="00026469"/>
    <w:rsid w:val="00027463"/>
    <w:rsid w:val="00027B44"/>
    <w:rsid w:val="00027B9B"/>
    <w:rsid w:val="00027C98"/>
    <w:rsid w:val="00027FEC"/>
    <w:rsid w:val="00030170"/>
    <w:rsid w:val="00030F81"/>
    <w:rsid w:val="00030FFD"/>
    <w:rsid w:val="000311A6"/>
    <w:rsid w:val="00031489"/>
    <w:rsid w:val="000316E3"/>
    <w:rsid w:val="0003258A"/>
    <w:rsid w:val="000325EE"/>
    <w:rsid w:val="00032E2F"/>
    <w:rsid w:val="00033F29"/>
    <w:rsid w:val="00034016"/>
    <w:rsid w:val="000341C3"/>
    <w:rsid w:val="0003476F"/>
    <w:rsid w:val="0003494B"/>
    <w:rsid w:val="00035081"/>
    <w:rsid w:val="00035089"/>
    <w:rsid w:val="0003573D"/>
    <w:rsid w:val="00035882"/>
    <w:rsid w:val="00035DA3"/>
    <w:rsid w:val="00036077"/>
    <w:rsid w:val="00036304"/>
    <w:rsid w:val="000368BE"/>
    <w:rsid w:val="000369E7"/>
    <w:rsid w:val="0003777C"/>
    <w:rsid w:val="00037844"/>
    <w:rsid w:val="000378CE"/>
    <w:rsid w:val="00040371"/>
    <w:rsid w:val="00040884"/>
    <w:rsid w:val="00040A7A"/>
    <w:rsid w:val="0004197B"/>
    <w:rsid w:val="00041E73"/>
    <w:rsid w:val="00041FCC"/>
    <w:rsid w:val="00042241"/>
    <w:rsid w:val="000427E0"/>
    <w:rsid w:val="00043499"/>
    <w:rsid w:val="00043A9F"/>
    <w:rsid w:val="0004400F"/>
    <w:rsid w:val="00044142"/>
    <w:rsid w:val="000446EE"/>
    <w:rsid w:val="00044B80"/>
    <w:rsid w:val="00045006"/>
    <w:rsid w:val="0004507F"/>
    <w:rsid w:val="000450D9"/>
    <w:rsid w:val="000451B2"/>
    <w:rsid w:val="0004538A"/>
    <w:rsid w:val="000455D3"/>
    <w:rsid w:val="00045705"/>
    <w:rsid w:val="00045E7E"/>
    <w:rsid w:val="00046261"/>
    <w:rsid w:val="00046924"/>
    <w:rsid w:val="00046F4C"/>
    <w:rsid w:val="000472A6"/>
    <w:rsid w:val="000479CF"/>
    <w:rsid w:val="00047C8C"/>
    <w:rsid w:val="00047DCA"/>
    <w:rsid w:val="00047F79"/>
    <w:rsid w:val="000502E2"/>
    <w:rsid w:val="00050CB2"/>
    <w:rsid w:val="0005108C"/>
    <w:rsid w:val="00051151"/>
    <w:rsid w:val="000515B1"/>
    <w:rsid w:val="00051BEB"/>
    <w:rsid w:val="000523D7"/>
    <w:rsid w:val="0005256B"/>
    <w:rsid w:val="0005267E"/>
    <w:rsid w:val="00052697"/>
    <w:rsid w:val="00052CD7"/>
    <w:rsid w:val="000531C1"/>
    <w:rsid w:val="000534AF"/>
    <w:rsid w:val="00053968"/>
    <w:rsid w:val="00054068"/>
    <w:rsid w:val="000540E2"/>
    <w:rsid w:val="00054A7A"/>
    <w:rsid w:val="00054EE5"/>
    <w:rsid w:val="00055187"/>
    <w:rsid w:val="00055A80"/>
    <w:rsid w:val="00055B26"/>
    <w:rsid w:val="000564EE"/>
    <w:rsid w:val="000568DE"/>
    <w:rsid w:val="00056CFB"/>
    <w:rsid w:val="0005739F"/>
    <w:rsid w:val="00057500"/>
    <w:rsid w:val="000579D3"/>
    <w:rsid w:val="00057DA0"/>
    <w:rsid w:val="00060374"/>
    <w:rsid w:val="00060584"/>
    <w:rsid w:val="0006083B"/>
    <w:rsid w:val="000608EB"/>
    <w:rsid w:val="0006094E"/>
    <w:rsid w:val="00060950"/>
    <w:rsid w:val="00060BF9"/>
    <w:rsid w:val="00060E72"/>
    <w:rsid w:val="0006171E"/>
    <w:rsid w:val="00061849"/>
    <w:rsid w:val="00061FCE"/>
    <w:rsid w:val="000622EC"/>
    <w:rsid w:val="00062316"/>
    <w:rsid w:val="00062AD7"/>
    <w:rsid w:val="00062E94"/>
    <w:rsid w:val="00062E9B"/>
    <w:rsid w:val="00062EEF"/>
    <w:rsid w:val="000633AF"/>
    <w:rsid w:val="000635A1"/>
    <w:rsid w:val="00063791"/>
    <w:rsid w:val="000646E0"/>
    <w:rsid w:val="00064B9C"/>
    <w:rsid w:val="00064E2D"/>
    <w:rsid w:val="00065175"/>
    <w:rsid w:val="000655C9"/>
    <w:rsid w:val="000656F4"/>
    <w:rsid w:val="00065F1D"/>
    <w:rsid w:val="000665A9"/>
    <w:rsid w:val="000667BA"/>
    <w:rsid w:val="00066E21"/>
    <w:rsid w:val="000672F8"/>
    <w:rsid w:val="0006739A"/>
    <w:rsid w:val="00067432"/>
    <w:rsid w:val="0006772A"/>
    <w:rsid w:val="00067A34"/>
    <w:rsid w:val="00067DB2"/>
    <w:rsid w:val="00070074"/>
    <w:rsid w:val="00070785"/>
    <w:rsid w:val="00070802"/>
    <w:rsid w:val="000708E5"/>
    <w:rsid w:val="00071373"/>
    <w:rsid w:val="00071F27"/>
    <w:rsid w:val="0007201D"/>
    <w:rsid w:val="0007236A"/>
    <w:rsid w:val="000723E2"/>
    <w:rsid w:val="00072B95"/>
    <w:rsid w:val="00072E5B"/>
    <w:rsid w:val="00072FB0"/>
    <w:rsid w:val="0007398E"/>
    <w:rsid w:val="00074313"/>
    <w:rsid w:val="00074FD0"/>
    <w:rsid w:val="0007520A"/>
    <w:rsid w:val="000756CA"/>
    <w:rsid w:val="0007588A"/>
    <w:rsid w:val="000764E9"/>
    <w:rsid w:val="00076AC1"/>
    <w:rsid w:val="00076B1A"/>
    <w:rsid w:val="00076EF2"/>
    <w:rsid w:val="000813D1"/>
    <w:rsid w:val="00082213"/>
    <w:rsid w:val="00082892"/>
    <w:rsid w:val="0008299E"/>
    <w:rsid w:val="00082C43"/>
    <w:rsid w:val="00082E1E"/>
    <w:rsid w:val="00083274"/>
    <w:rsid w:val="00084463"/>
    <w:rsid w:val="00085145"/>
    <w:rsid w:val="000857B4"/>
    <w:rsid w:val="000867C2"/>
    <w:rsid w:val="00086AC4"/>
    <w:rsid w:val="00086AF3"/>
    <w:rsid w:val="00086B5D"/>
    <w:rsid w:val="00086E75"/>
    <w:rsid w:val="000870AA"/>
    <w:rsid w:val="000871C1"/>
    <w:rsid w:val="00087B5A"/>
    <w:rsid w:val="00087E18"/>
    <w:rsid w:val="0009013A"/>
    <w:rsid w:val="00090949"/>
    <w:rsid w:val="00090989"/>
    <w:rsid w:val="00091156"/>
    <w:rsid w:val="0009121B"/>
    <w:rsid w:val="000912F4"/>
    <w:rsid w:val="00091646"/>
    <w:rsid w:val="00091D13"/>
    <w:rsid w:val="00091D54"/>
    <w:rsid w:val="000922A1"/>
    <w:rsid w:val="00092A70"/>
    <w:rsid w:val="00092F6E"/>
    <w:rsid w:val="0009388E"/>
    <w:rsid w:val="00093A4B"/>
    <w:rsid w:val="000942E8"/>
    <w:rsid w:val="00094596"/>
    <w:rsid w:val="00094E73"/>
    <w:rsid w:val="0009553E"/>
    <w:rsid w:val="000959E1"/>
    <w:rsid w:val="00095E43"/>
    <w:rsid w:val="00096949"/>
    <w:rsid w:val="00097100"/>
    <w:rsid w:val="0009721C"/>
    <w:rsid w:val="00097585"/>
    <w:rsid w:val="00097B0B"/>
    <w:rsid w:val="00097E6A"/>
    <w:rsid w:val="000A01AB"/>
    <w:rsid w:val="000A0973"/>
    <w:rsid w:val="000A0C49"/>
    <w:rsid w:val="000A0CE8"/>
    <w:rsid w:val="000A234E"/>
    <w:rsid w:val="000A23A5"/>
    <w:rsid w:val="000A2BEA"/>
    <w:rsid w:val="000A3469"/>
    <w:rsid w:val="000A3479"/>
    <w:rsid w:val="000A3AB5"/>
    <w:rsid w:val="000A431B"/>
    <w:rsid w:val="000A44CC"/>
    <w:rsid w:val="000A45D5"/>
    <w:rsid w:val="000A45E7"/>
    <w:rsid w:val="000A4672"/>
    <w:rsid w:val="000A4809"/>
    <w:rsid w:val="000A497A"/>
    <w:rsid w:val="000A4E19"/>
    <w:rsid w:val="000A5041"/>
    <w:rsid w:val="000A526D"/>
    <w:rsid w:val="000A54C5"/>
    <w:rsid w:val="000A59EA"/>
    <w:rsid w:val="000A5B71"/>
    <w:rsid w:val="000A60C3"/>
    <w:rsid w:val="000A6947"/>
    <w:rsid w:val="000A6F29"/>
    <w:rsid w:val="000A6FB1"/>
    <w:rsid w:val="000A70D9"/>
    <w:rsid w:val="000A7291"/>
    <w:rsid w:val="000A799B"/>
    <w:rsid w:val="000B0284"/>
    <w:rsid w:val="000B0973"/>
    <w:rsid w:val="000B0A95"/>
    <w:rsid w:val="000B13C4"/>
    <w:rsid w:val="000B237E"/>
    <w:rsid w:val="000B2464"/>
    <w:rsid w:val="000B25FF"/>
    <w:rsid w:val="000B28BE"/>
    <w:rsid w:val="000B2B59"/>
    <w:rsid w:val="000B2EE6"/>
    <w:rsid w:val="000B36EA"/>
    <w:rsid w:val="000B3E1D"/>
    <w:rsid w:val="000B40CE"/>
    <w:rsid w:val="000B4770"/>
    <w:rsid w:val="000B4B2B"/>
    <w:rsid w:val="000B5094"/>
    <w:rsid w:val="000B512F"/>
    <w:rsid w:val="000B56E4"/>
    <w:rsid w:val="000B5FC8"/>
    <w:rsid w:val="000B6260"/>
    <w:rsid w:val="000B6291"/>
    <w:rsid w:val="000B65FF"/>
    <w:rsid w:val="000B6844"/>
    <w:rsid w:val="000B7D07"/>
    <w:rsid w:val="000B7FF3"/>
    <w:rsid w:val="000C0114"/>
    <w:rsid w:val="000C03C1"/>
    <w:rsid w:val="000C04C1"/>
    <w:rsid w:val="000C051E"/>
    <w:rsid w:val="000C0AE7"/>
    <w:rsid w:val="000C0C2F"/>
    <w:rsid w:val="000C0D67"/>
    <w:rsid w:val="000C1108"/>
    <w:rsid w:val="000C13B9"/>
    <w:rsid w:val="000C198D"/>
    <w:rsid w:val="000C20BC"/>
    <w:rsid w:val="000C2263"/>
    <w:rsid w:val="000C2A12"/>
    <w:rsid w:val="000C2F5B"/>
    <w:rsid w:val="000C349E"/>
    <w:rsid w:val="000C3F4E"/>
    <w:rsid w:val="000C41D9"/>
    <w:rsid w:val="000C4B41"/>
    <w:rsid w:val="000C4F77"/>
    <w:rsid w:val="000C56C3"/>
    <w:rsid w:val="000C5B17"/>
    <w:rsid w:val="000C5D83"/>
    <w:rsid w:val="000C660C"/>
    <w:rsid w:val="000C6B59"/>
    <w:rsid w:val="000C7050"/>
    <w:rsid w:val="000C7B35"/>
    <w:rsid w:val="000C7D54"/>
    <w:rsid w:val="000C7E04"/>
    <w:rsid w:val="000D08A5"/>
    <w:rsid w:val="000D1001"/>
    <w:rsid w:val="000D218B"/>
    <w:rsid w:val="000D22A8"/>
    <w:rsid w:val="000D28DA"/>
    <w:rsid w:val="000D2BEB"/>
    <w:rsid w:val="000D32B0"/>
    <w:rsid w:val="000D41D6"/>
    <w:rsid w:val="000D4726"/>
    <w:rsid w:val="000D4824"/>
    <w:rsid w:val="000D4C02"/>
    <w:rsid w:val="000D5AD2"/>
    <w:rsid w:val="000D644C"/>
    <w:rsid w:val="000D668D"/>
    <w:rsid w:val="000D6735"/>
    <w:rsid w:val="000D6DE3"/>
    <w:rsid w:val="000D6E7A"/>
    <w:rsid w:val="000D70D5"/>
    <w:rsid w:val="000D7212"/>
    <w:rsid w:val="000D78CD"/>
    <w:rsid w:val="000D7BFE"/>
    <w:rsid w:val="000E0505"/>
    <w:rsid w:val="000E0AA2"/>
    <w:rsid w:val="000E101E"/>
    <w:rsid w:val="000E22E7"/>
    <w:rsid w:val="000E26C9"/>
    <w:rsid w:val="000E2A58"/>
    <w:rsid w:val="000E31F5"/>
    <w:rsid w:val="000E35A3"/>
    <w:rsid w:val="000E36BB"/>
    <w:rsid w:val="000E3E75"/>
    <w:rsid w:val="000E455F"/>
    <w:rsid w:val="000E477A"/>
    <w:rsid w:val="000E4DD4"/>
    <w:rsid w:val="000E54A6"/>
    <w:rsid w:val="000E5A4F"/>
    <w:rsid w:val="000E61E2"/>
    <w:rsid w:val="000E6352"/>
    <w:rsid w:val="000E6514"/>
    <w:rsid w:val="000E6625"/>
    <w:rsid w:val="000E6A17"/>
    <w:rsid w:val="000E6D89"/>
    <w:rsid w:val="000E7F2D"/>
    <w:rsid w:val="000F03B2"/>
    <w:rsid w:val="000F05A3"/>
    <w:rsid w:val="000F0AAD"/>
    <w:rsid w:val="000F0B29"/>
    <w:rsid w:val="000F1581"/>
    <w:rsid w:val="000F1784"/>
    <w:rsid w:val="000F1892"/>
    <w:rsid w:val="000F2753"/>
    <w:rsid w:val="000F28D2"/>
    <w:rsid w:val="000F29FD"/>
    <w:rsid w:val="000F2FD6"/>
    <w:rsid w:val="000F31E0"/>
    <w:rsid w:val="000F3697"/>
    <w:rsid w:val="000F383A"/>
    <w:rsid w:val="000F3A46"/>
    <w:rsid w:val="000F3E5B"/>
    <w:rsid w:val="000F3FCB"/>
    <w:rsid w:val="000F44B8"/>
    <w:rsid w:val="000F5147"/>
    <w:rsid w:val="000F6105"/>
    <w:rsid w:val="000F63FF"/>
    <w:rsid w:val="000F6A5C"/>
    <w:rsid w:val="000F7045"/>
    <w:rsid w:val="000F7501"/>
    <w:rsid w:val="000F7820"/>
    <w:rsid w:val="000F789B"/>
    <w:rsid w:val="000F78EA"/>
    <w:rsid w:val="000F7A35"/>
    <w:rsid w:val="000F7A7C"/>
    <w:rsid w:val="000F7BFA"/>
    <w:rsid w:val="000F7D9E"/>
    <w:rsid w:val="00100705"/>
    <w:rsid w:val="00100B1E"/>
    <w:rsid w:val="00100B42"/>
    <w:rsid w:val="00100B91"/>
    <w:rsid w:val="00100DE1"/>
    <w:rsid w:val="00100EA2"/>
    <w:rsid w:val="001012EE"/>
    <w:rsid w:val="00101428"/>
    <w:rsid w:val="001020D8"/>
    <w:rsid w:val="001020EE"/>
    <w:rsid w:val="0010282D"/>
    <w:rsid w:val="00102C74"/>
    <w:rsid w:val="00102FB2"/>
    <w:rsid w:val="0010319D"/>
    <w:rsid w:val="00103670"/>
    <w:rsid w:val="00103A4B"/>
    <w:rsid w:val="00104383"/>
    <w:rsid w:val="00104A0B"/>
    <w:rsid w:val="001052D1"/>
    <w:rsid w:val="00105750"/>
    <w:rsid w:val="00105B9A"/>
    <w:rsid w:val="00106BF4"/>
    <w:rsid w:val="00106C44"/>
    <w:rsid w:val="001073D9"/>
    <w:rsid w:val="0010785F"/>
    <w:rsid w:val="00110B03"/>
    <w:rsid w:val="00111014"/>
    <w:rsid w:val="0011165D"/>
    <w:rsid w:val="00111FBF"/>
    <w:rsid w:val="001124EB"/>
    <w:rsid w:val="00112641"/>
    <w:rsid w:val="00112A0B"/>
    <w:rsid w:val="0011313C"/>
    <w:rsid w:val="001131EB"/>
    <w:rsid w:val="001133D6"/>
    <w:rsid w:val="0011367A"/>
    <w:rsid w:val="001138A8"/>
    <w:rsid w:val="00113AF4"/>
    <w:rsid w:val="00114877"/>
    <w:rsid w:val="00115298"/>
    <w:rsid w:val="00115BBD"/>
    <w:rsid w:val="001164DD"/>
    <w:rsid w:val="001166F5"/>
    <w:rsid w:val="00116757"/>
    <w:rsid w:val="00117721"/>
    <w:rsid w:val="00117909"/>
    <w:rsid w:val="001203DA"/>
    <w:rsid w:val="00120D62"/>
    <w:rsid w:val="0012122D"/>
    <w:rsid w:val="00121EA5"/>
    <w:rsid w:val="00122290"/>
    <w:rsid w:val="001223E1"/>
    <w:rsid w:val="00122669"/>
    <w:rsid w:val="0012271E"/>
    <w:rsid w:val="00122860"/>
    <w:rsid w:val="00122D29"/>
    <w:rsid w:val="00122D88"/>
    <w:rsid w:val="00122E17"/>
    <w:rsid w:val="0012392C"/>
    <w:rsid w:val="001239C1"/>
    <w:rsid w:val="001244F4"/>
    <w:rsid w:val="0012521D"/>
    <w:rsid w:val="0012638F"/>
    <w:rsid w:val="001263B3"/>
    <w:rsid w:val="00126615"/>
    <w:rsid w:val="00126902"/>
    <w:rsid w:val="00126DEE"/>
    <w:rsid w:val="0012777C"/>
    <w:rsid w:val="00127B67"/>
    <w:rsid w:val="00130275"/>
    <w:rsid w:val="0013042B"/>
    <w:rsid w:val="00130530"/>
    <w:rsid w:val="001316FD"/>
    <w:rsid w:val="0013182A"/>
    <w:rsid w:val="0013197F"/>
    <w:rsid w:val="00131FF5"/>
    <w:rsid w:val="00132340"/>
    <w:rsid w:val="0013246A"/>
    <w:rsid w:val="00132744"/>
    <w:rsid w:val="00132781"/>
    <w:rsid w:val="00132D48"/>
    <w:rsid w:val="00133184"/>
    <w:rsid w:val="00133B68"/>
    <w:rsid w:val="00134697"/>
    <w:rsid w:val="001353DE"/>
    <w:rsid w:val="0013543C"/>
    <w:rsid w:val="00135636"/>
    <w:rsid w:val="001357BA"/>
    <w:rsid w:val="0013675F"/>
    <w:rsid w:val="001368AE"/>
    <w:rsid w:val="0013696F"/>
    <w:rsid w:val="00136CD0"/>
    <w:rsid w:val="00137099"/>
    <w:rsid w:val="0013724C"/>
    <w:rsid w:val="00137301"/>
    <w:rsid w:val="00140278"/>
    <w:rsid w:val="001405ED"/>
    <w:rsid w:val="00140642"/>
    <w:rsid w:val="0014075B"/>
    <w:rsid w:val="001407FD"/>
    <w:rsid w:val="00142184"/>
    <w:rsid w:val="001422B9"/>
    <w:rsid w:val="001422E5"/>
    <w:rsid w:val="00142833"/>
    <w:rsid w:val="00142BE7"/>
    <w:rsid w:val="00143408"/>
    <w:rsid w:val="001438F2"/>
    <w:rsid w:val="00143C61"/>
    <w:rsid w:val="001440EE"/>
    <w:rsid w:val="001444CD"/>
    <w:rsid w:val="001445DC"/>
    <w:rsid w:val="00144A1A"/>
    <w:rsid w:val="0014549A"/>
    <w:rsid w:val="001455DF"/>
    <w:rsid w:val="0014582E"/>
    <w:rsid w:val="00145A1F"/>
    <w:rsid w:val="00145AD2"/>
    <w:rsid w:val="00145C09"/>
    <w:rsid w:val="00145D30"/>
    <w:rsid w:val="00146130"/>
    <w:rsid w:val="00146154"/>
    <w:rsid w:val="00146526"/>
    <w:rsid w:val="001467FC"/>
    <w:rsid w:val="00146BAC"/>
    <w:rsid w:val="00146D3E"/>
    <w:rsid w:val="00147072"/>
    <w:rsid w:val="00147EEF"/>
    <w:rsid w:val="00150B1E"/>
    <w:rsid w:val="00150C03"/>
    <w:rsid w:val="00150D59"/>
    <w:rsid w:val="00150E91"/>
    <w:rsid w:val="0015175A"/>
    <w:rsid w:val="0015191A"/>
    <w:rsid w:val="00151B96"/>
    <w:rsid w:val="00151E08"/>
    <w:rsid w:val="00151F61"/>
    <w:rsid w:val="00152075"/>
    <w:rsid w:val="00152B0E"/>
    <w:rsid w:val="00152CD8"/>
    <w:rsid w:val="001533E4"/>
    <w:rsid w:val="00154783"/>
    <w:rsid w:val="00154B3A"/>
    <w:rsid w:val="00154DE8"/>
    <w:rsid w:val="001565C3"/>
    <w:rsid w:val="00156BDE"/>
    <w:rsid w:val="0015773C"/>
    <w:rsid w:val="001601F0"/>
    <w:rsid w:val="0016038D"/>
    <w:rsid w:val="00160741"/>
    <w:rsid w:val="00161068"/>
    <w:rsid w:val="001616DC"/>
    <w:rsid w:val="00161929"/>
    <w:rsid w:val="00161E92"/>
    <w:rsid w:val="001625D8"/>
    <w:rsid w:val="00162635"/>
    <w:rsid w:val="001626CF"/>
    <w:rsid w:val="001628DD"/>
    <w:rsid w:val="00162AB8"/>
    <w:rsid w:val="00162BA9"/>
    <w:rsid w:val="00162BB4"/>
    <w:rsid w:val="00162C36"/>
    <w:rsid w:val="0016369C"/>
    <w:rsid w:val="001636D9"/>
    <w:rsid w:val="0016397E"/>
    <w:rsid w:val="00163B74"/>
    <w:rsid w:val="00163EF3"/>
    <w:rsid w:val="00163FB2"/>
    <w:rsid w:val="001645C7"/>
    <w:rsid w:val="001646C5"/>
    <w:rsid w:val="00165F2B"/>
    <w:rsid w:val="0016668B"/>
    <w:rsid w:val="00167041"/>
    <w:rsid w:val="0016747D"/>
    <w:rsid w:val="00167664"/>
    <w:rsid w:val="0016779F"/>
    <w:rsid w:val="00170804"/>
    <w:rsid w:val="00171764"/>
    <w:rsid w:val="00171777"/>
    <w:rsid w:val="00171DE5"/>
    <w:rsid w:val="001728BE"/>
    <w:rsid w:val="00173498"/>
    <w:rsid w:val="0017352D"/>
    <w:rsid w:val="00173576"/>
    <w:rsid w:val="0017366A"/>
    <w:rsid w:val="001743B4"/>
    <w:rsid w:val="00174F81"/>
    <w:rsid w:val="00175AF1"/>
    <w:rsid w:val="00175D04"/>
    <w:rsid w:val="00175FAC"/>
    <w:rsid w:val="00176379"/>
    <w:rsid w:val="0017662D"/>
    <w:rsid w:val="001767B7"/>
    <w:rsid w:val="00177225"/>
    <w:rsid w:val="001774F1"/>
    <w:rsid w:val="001803E6"/>
    <w:rsid w:val="001806BA"/>
    <w:rsid w:val="00180D40"/>
    <w:rsid w:val="00180EED"/>
    <w:rsid w:val="00181C68"/>
    <w:rsid w:val="00182953"/>
    <w:rsid w:val="00182D6D"/>
    <w:rsid w:val="001837B1"/>
    <w:rsid w:val="00183984"/>
    <w:rsid w:val="001839C9"/>
    <w:rsid w:val="001841A8"/>
    <w:rsid w:val="00184417"/>
    <w:rsid w:val="001846E8"/>
    <w:rsid w:val="00184F6B"/>
    <w:rsid w:val="0018514E"/>
    <w:rsid w:val="00185246"/>
    <w:rsid w:val="001852F2"/>
    <w:rsid w:val="00186426"/>
    <w:rsid w:val="00186503"/>
    <w:rsid w:val="00187CCE"/>
    <w:rsid w:val="001905B5"/>
    <w:rsid w:val="0019073F"/>
    <w:rsid w:val="00190A8D"/>
    <w:rsid w:val="00190CC2"/>
    <w:rsid w:val="00190D7B"/>
    <w:rsid w:val="00191268"/>
    <w:rsid w:val="001912E5"/>
    <w:rsid w:val="00191B8C"/>
    <w:rsid w:val="00191E68"/>
    <w:rsid w:val="001921C9"/>
    <w:rsid w:val="0019276B"/>
    <w:rsid w:val="00193460"/>
    <w:rsid w:val="00193C13"/>
    <w:rsid w:val="00194100"/>
    <w:rsid w:val="0019412B"/>
    <w:rsid w:val="001943EC"/>
    <w:rsid w:val="0019451A"/>
    <w:rsid w:val="0019488B"/>
    <w:rsid w:val="00194A80"/>
    <w:rsid w:val="00194F0B"/>
    <w:rsid w:val="00194F7E"/>
    <w:rsid w:val="00195039"/>
    <w:rsid w:val="0019525E"/>
    <w:rsid w:val="0019527F"/>
    <w:rsid w:val="0019558F"/>
    <w:rsid w:val="0019577A"/>
    <w:rsid w:val="00195960"/>
    <w:rsid w:val="00195C98"/>
    <w:rsid w:val="00195D25"/>
    <w:rsid w:val="00195E9C"/>
    <w:rsid w:val="00196AA1"/>
    <w:rsid w:val="00196F90"/>
    <w:rsid w:val="001976E0"/>
    <w:rsid w:val="001A01B9"/>
    <w:rsid w:val="001A07C4"/>
    <w:rsid w:val="001A0A75"/>
    <w:rsid w:val="001A0BE5"/>
    <w:rsid w:val="001A0E40"/>
    <w:rsid w:val="001A143B"/>
    <w:rsid w:val="001A1872"/>
    <w:rsid w:val="001A1873"/>
    <w:rsid w:val="001A2159"/>
    <w:rsid w:val="001A2289"/>
    <w:rsid w:val="001A22E4"/>
    <w:rsid w:val="001A24C4"/>
    <w:rsid w:val="001A27A9"/>
    <w:rsid w:val="001A2E92"/>
    <w:rsid w:val="001A3339"/>
    <w:rsid w:val="001A363A"/>
    <w:rsid w:val="001A4991"/>
    <w:rsid w:val="001A5382"/>
    <w:rsid w:val="001A5C30"/>
    <w:rsid w:val="001A6173"/>
    <w:rsid w:val="001A6B67"/>
    <w:rsid w:val="001A6F03"/>
    <w:rsid w:val="001A77AD"/>
    <w:rsid w:val="001A78AF"/>
    <w:rsid w:val="001A7A07"/>
    <w:rsid w:val="001A7B7D"/>
    <w:rsid w:val="001B10B6"/>
    <w:rsid w:val="001B1201"/>
    <w:rsid w:val="001B14D8"/>
    <w:rsid w:val="001B24CF"/>
    <w:rsid w:val="001B2C1D"/>
    <w:rsid w:val="001B3708"/>
    <w:rsid w:val="001B3D92"/>
    <w:rsid w:val="001B4494"/>
    <w:rsid w:val="001B4CF9"/>
    <w:rsid w:val="001B53CE"/>
    <w:rsid w:val="001B5821"/>
    <w:rsid w:val="001B5884"/>
    <w:rsid w:val="001B5E12"/>
    <w:rsid w:val="001B6A59"/>
    <w:rsid w:val="001B7617"/>
    <w:rsid w:val="001B7770"/>
    <w:rsid w:val="001B7893"/>
    <w:rsid w:val="001B7902"/>
    <w:rsid w:val="001B79BC"/>
    <w:rsid w:val="001C0E1D"/>
    <w:rsid w:val="001C0F2F"/>
    <w:rsid w:val="001C11DE"/>
    <w:rsid w:val="001C1271"/>
    <w:rsid w:val="001C1B5E"/>
    <w:rsid w:val="001C27E3"/>
    <w:rsid w:val="001C2B39"/>
    <w:rsid w:val="001C34AC"/>
    <w:rsid w:val="001C3E2E"/>
    <w:rsid w:val="001C4405"/>
    <w:rsid w:val="001C4412"/>
    <w:rsid w:val="001C4C13"/>
    <w:rsid w:val="001C5074"/>
    <w:rsid w:val="001C5719"/>
    <w:rsid w:val="001C5728"/>
    <w:rsid w:val="001C648C"/>
    <w:rsid w:val="001C6E4B"/>
    <w:rsid w:val="001C721C"/>
    <w:rsid w:val="001C72CB"/>
    <w:rsid w:val="001C746D"/>
    <w:rsid w:val="001C79BC"/>
    <w:rsid w:val="001C79FE"/>
    <w:rsid w:val="001D0183"/>
    <w:rsid w:val="001D019F"/>
    <w:rsid w:val="001D0C93"/>
    <w:rsid w:val="001D11BE"/>
    <w:rsid w:val="001D19D9"/>
    <w:rsid w:val="001D22B4"/>
    <w:rsid w:val="001D2622"/>
    <w:rsid w:val="001D27EC"/>
    <w:rsid w:val="001D32EA"/>
    <w:rsid w:val="001D337B"/>
    <w:rsid w:val="001D34C8"/>
    <w:rsid w:val="001D38D4"/>
    <w:rsid w:val="001D3E95"/>
    <w:rsid w:val="001D3FFD"/>
    <w:rsid w:val="001D4589"/>
    <w:rsid w:val="001D4BF6"/>
    <w:rsid w:val="001D4D9F"/>
    <w:rsid w:val="001D53D9"/>
    <w:rsid w:val="001D5777"/>
    <w:rsid w:val="001D5B0D"/>
    <w:rsid w:val="001D60EB"/>
    <w:rsid w:val="001D616C"/>
    <w:rsid w:val="001D68CB"/>
    <w:rsid w:val="001D6B32"/>
    <w:rsid w:val="001D6D59"/>
    <w:rsid w:val="001D7380"/>
    <w:rsid w:val="001D7458"/>
    <w:rsid w:val="001D7582"/>
    <w:rsid w:val="001D7AA1"/>
    <w:rsid w:val="001D7E95"/>
    <w:rsid w:val="001E0878"/>
    <w:rsid w:val="001E135B"/>
    <w:rsid w:val="001E19B9"/>
    <w:rsid w:val="001E2007"/>
    <w:rsid w:val="001E262F"/>
    <w:rsid w:val="001E2772"/>
    <w:rsid w:val="001E363A"/>
    <w:rsid w:val="001E3761"/>
    <w:rsid w:val="001E37BA"/>
    <w:rsid w:val="001E3D04"/>
    <w:rsid w:val="001E3E07"/>
    <w:rsid w:val="001E43DE"/>
    <w:rsid w:val="001E4A60"/>
    <w:rsid w:val="001E4CB5"/>
    <w:rsid w:val="001E4E78"/>
    <w:rsid w:val="001E529A"/>
    <w:rsid w:val="001E57D4"/>
    <w:rsid w:val="001E57F5"/>
    <w:rsid w:val="001E63FC"/>
    <w:rsid w:val="001E6B51"/>
    <w:rsid w:val="001E71D2"/>
    <w:rsid w:val="001E73A2"/>
    <w:rsid w:val="001E7DC1"/>
    <w:rsid w:val="001F12C8"/>
    <w:rsid w:val="001F137E"/>
    <w:rsid w:val="001F1694"/>
    <w:rsid w:val="001F16C0"/>
    <w:rsid w:val="001F1873"/>
    <w:rsid w:val="001F197C"/>
    <w:rsid w:val="001F1A11"/>
    <w:rsid w:val="001F1CC6"/>
    <w:rsid w:val="001F1D66"/>
    <w:rsid w:val="001F25BB"/>
    <w:rsid w:val="001F273E"/>
    <w:rsid w:val="001F38B7"/>
    <w:rsid w:val="001F3AEF"/>
    <w:rsid w:val="001F3FDA"/>
    <w:rsid w:val="001F4EF7"/>
    <w:rsid w:val="001F51AE"/>
    <w:rsid w:val="001F528D"/>
    <w:rsid w:val="001F548F"/>
    <w:rsid w:val="001F5DA0"/>
    <w:rsid w:val="001F65CE"/>
    <w:rsid w:val="001F662A"/>
    <w:rsid w:val="001F7DBC"/>
    <w:rsid w:val="00200537"/>
    <w:rsid w:val="00200807"/>
    <w:rsid w:val="0020082D"/>
    <w:rsid w:val="00200CAB"/>
    <w:rsid w:val="002020A3"/>
    <w:rsid w:val="0020255E"/>
    <w:rsid w:val="00202B49"/>
    <w:rsid w:val="002043EE"/>
    <w:rsid w:val="00204697"/>
    <w:rsid w:val="00204746"/>
    <w:rsid w:val="0020478E"/>
    <w:rsid w:val="00204F87"/>
    <w:rsid w:val="002055AA"/>
    <w:rsid w:val="002055B3"/>
    <w:rsid w:val="00205832"/>
    <w:rsid w:val="00206738"/>
    <w:rsid w:val="00206F80"/>
    <w:rsid w:val="002070A9"/>
    <w:rsid w:val="00207164"/>
    <w:rsid w:val="002071A1"/>
    <w:rsid w:val="002073A7"/>
    <w:rsid w:val="0020757B"/>
    <w:rsid w:val="0021024F"/>
    <w:rsid w:val="00210432"/>
    <w:rsid w:val="002105E8"/>
    <w:rsid w:val="002106A3"/>
    <w:rsid w:val="0021086F"/>
    <w:rsid w:val="00210EF8"/>
    <w:rsid w:val="00211508"/>
    <w:rsid w:val="002118F4"/>
    <w:rsid w:val="00211BF5"/>
    <w:rsid w:val="0021203A"/>
    <w:rsid w:val="0021275E"/>
    <w:rsid w:val="002129AE"/>
    <w:rsid w:val="0021453E"/>
    <w:rsid w:val="002147FB"/>
    <w:rsid w:val="002152A7"/>
    <w:rsid w:val="002156DC"/>
    <w:rsid w:val="00215CD6"/>
    <w:rsid w:val="00215E5D"/>
    <w:rsid w:val="00216CE0"/>
    <w:rsid w:val="00216D46"/>
    <w:rsid w:val="00216F15"/>
    <w:rsid w:val="00216FAB"/>
    <w:rsid w:val="00217B91"/>
    <w:rsid w:val="00220D48"/>
    <w:rsid w:val="00220D60"/>
    <w:rsid w:val="0022119B"/>
    <w:rsid w:val="002213E6"/>
    <w:rsid w:val="0022169E"/>
    <w:rsid w:val="00221E35"/>
    <w:rsid w:val="00221ECD"/>
    <w:rsid w:val="00222277"/>
    <w:rsid w:val="002225C6"/>
    <w:rsid w:val="002244AE"/>
    <w:rsid w:val="00224A39"/>
    <w:rsid w:val="00224C97"/>
    <w:rsid w:val="00224EEE"/>
    <w:rsid w:val="002255E1"/>
    <w:rsid w:val="00225C07"/>
    <w:rsid w:val="00226AB8"/>
    <w:rsid w:val="00226BEC"/>
    <w:rsid w:val="0022738D"/>
    <w:rsid w:val="002273CC"/>
    <w:rsid w:val="00227590"/>
    <w:rsid w:val="002276EE"/>
    <w:rsid w:val="0023005C"/>
    <w:rsid w:val="00230187"/>
    <w:rsid w:val="00230470"/>
    <w:rsid w:val="0023064A"/>
    <w:rsid w:val="00230F9A"/>
    <w:rsid w:val="00231A5C"/>
    <w:rsid w:val="00231ABE"/>
    <w:rsid w:val="0023349A"/>
    <w:rsid w:val="0023407E"/>
    <w:rsid w:val="002347EF"/>
    <w:rsid w:val="00234964"/>
    <w:rsid w:val="00234A76"/>
    <w:rsid w:val="00235692"/>
    <w:rsid w:val="0023575D"/>
    <w:rsid w:val="00235B69"/>
    <w:rsid w:val="00235B73"/>
    <w:rsid w:val="002363E6"/>
    <w:rsid w:val="002368DE"/>
    <w:rsid w:val="00236BCA"/>
    <w:rsid w:val="00237390"/>
    <w:rsid w:val="002375CC"/>
    <w:rsid w:val="00237D20"/>
    <w:rsid w:val="00237E3B"/>
    <w:rsid w:val="00237F51"/>
    <w:rsid w:val="00237F81"/>
    <w:rsid w:val="00240B7F"/>
    <w:rsid w:val="00240F43"/>
    <w:rsid w:val="002419D0"/>
    <w:rsid w:val="00241D92"/>
    <w:rsid w:val="00241F76"/>
    <w:rsid w:val="00241F83"/>
    <w:rsid w:val="00241FD7"/>
    <w:rsid w:val="0024282E"/>
    <w:rsid w:val="002428DC"/>
    <w:rsid w:val="00243CB3"/>
    <w:rsid w:val="00243D0E"/>
    <w:rsid w:val="00243D15"/>
    <w:rsid w:val="002440B4"/>
    <w:rsid w:val="0024450E"/>
    <w:rsid w:val="00244F20"/>
    <w:rsid w:val="0024504D"/>
    <w:rsid w:val="00245F2A"/>
    <w:rsid w:val="00246121"/>
    <w:rsid w:val="002464E8"/>
    <w:rsid w:val="002464FF"/>
    <w:rsid w:val="002466DF"/>
    <w:rsid w:val="002468C8"/>
    <w:rsid w:val="00246C44"/>
    <w:rsid w:val="00246DC8"/>
    <w:rsid w:val="00246F9D"/>
    <w:rsid w:val="00247287"/>
    <w:rsid w:val="0024765B"/>
    <w:rsid w:val="002476D8"/>
    <w:rsid w:val="00247C4A"/>
    <w:rsid w:val="00247CC2"/>
    <w:rsid w:val="00247E44"/>
    <w:rsid w:val="002505DD"/>
    <w:rsid w:val="00250DFC"/>
    <w:rsid w:val="00251254"/>
    <w:rsid w:val="002524A3"/>
    <w:rsid w:val="00252969"/>
    <w:rsid w:val="00252AB6"/>
    <w:rsid w:val="00253486"/>
    <w:rsid w:val="0025453C"/>
    <w:rsid w:val="002545E7"/>
    <w:rsid w:val="00254AA8"/>
    <w:rsid w:val="00254BE1"/>
    <w:rsid w:val="002553D9"/>
    <w:rsid w:val="0025594E"/>
    <w:rsid w:val="00255B3E"/>
    <w:rsid w:val="00256382"/>
    <w:rsid w:val="002568F6"/>
    <w:rsid w:val="00257021"/>
    <w:rsid w:val="0025717B"/>
    <w:rsid w:val="00257EB1"/>
    <w:rsid w:val="002607BB"/>
    <w:rsid w:val="0026082C"/>
    <w:rsid w:val="002609DC"/>
    <w:rsid w:val="00260C2A"/>
    <w:rsid w:val="00260D4E"/>
    <w:rsid w:val="00260F5F"/>
    <w:rsid w:val="002610C0"/>
    <w:rsid w:val="00261AD1"/>
    <w:rsid w:val="00261B4D"/>
    <w:rsid w:val="00261E77"/>
    <w:rsid w:val="00261FAF"/>
    <w:rsid w:val="00262721"/>
    <w:rsid w:val="00262FE7"/>
    <w:rsid w:val="00263088"/>
    <w:rsid w:val="00263433"/>
    <w:rsid w:val="00263B9E"/>
    <w:rsid w:val="002641A7"/>
    <w:rsid w:val="002647D9"/>
    <w:rsid w:val="00264B81"/>
    <w:rsid w:val="00264E5C"/>
    <w:rsid w:val="002658D2"/>
    <w:rsid w:val="002660E6"/>
    <w:rsid w:val="00266D7E"/>
    <w:rsid w:val="002671A3"/>
    <w:rsid w:val="002671A4"/>
    <w:rsid w:val="0026741B"/>
    <w:rsid w:val="00267548"/>
    <w:rsid w:val="0027152A"/>
    <w:rsid w:val="00271BF1"/>
    <w:rsid w:val="00272862"/>
    <w:rsid w:val="002729DF"/>
    <w:rsid w:val="00272D17"/>
    <w:rsid w:val="00272F01"/>
    <w:rsid w:val="00274510"/>
    <w:rsid w:val="0027472F"/>
    <w:rsid w:val="002748AA"/>
    <w:rsid w:val="00274B67"/>
    <w:rsid w:val="002750B8"/>
    <w:rsid w:val="0027514A"/>
    <w:rsid w:val="0027537F"/>
    <w:rsid w:val="00275D5D"/>
    <w:rsid w:val="0027620E"/>
    <w:rsid w:val="0027694A"/>
    <w:rsid w:val="00277066"/>
    <w:rsid w:val="002770D6"/>
    <w:rsid w:val="00277488"/>
    <w:rsid w:val="002775FB"/>
    <w:rsid w:val="002776F2"/>
    <w:rsid w:val="00280189"/>
    <w:rsid w:val="00280D11"/>
    <w:rsid w:val="0028132B"/>
    <w:rsid w:val="00281834"/>
    <w:rsid w:val="002821E5"/>
    <w:rsid w:val="00282579"/>
    <w:rsid w:val="0028257B"/>
    <w:rsid w:val="00282924"/>
    <w:rsid w:val="002832A0"/>
    <w:rsid w:val="002835E7"/>
    <w:rsid w:val="00283A0B"/>
    <w:rsid w:val="00283A38"/>
    <w:rsid w:val="00283B55"/>
    <w:rsid w:val="00283E62"/>
    <w:rsid w:val="002858D7"/>
    <w:rsid w:val="00285A32"/>
    <w:rsid w:val="002869B9"/>
    <w:rsid w:val="00286B51"/>
    <w:rsid w:val="00286D52"/>
    <w:rsid w:val="002878AE"/>
    <w:rsid w:val="00287AF2"/>
    <w:rsid w:val="00290121"/>
    <w:rsid w:val="0029049B"/>
    <w:rsid w:val="002905AB"/>
    <w:rsid w:val="00291858"/>
    <w:rsid w:val="00293320"/>
    <w:rsid w:val="00293A02"/>
    <w:rsid w:val="00293E9A"/>
    <w:rsid w:val="0029454F"/>
    <w:rsid w:val="002947CC"/>
    <w:rsid w:val="00295081"/>
    <w:rsid w:val="002950B4"/>
    <w:rsid w:val="002952B7"/>
    <w:rsid w:val="00296126"/>
    <w:rsid w:val="002963E8"/>
    <w:rsid w:val="00296790"/>
    <w:rsid w:val="00297331"/>
    <w:rsid w:val="00297AEF"/>
    <w:rsid w:val="002A08DB"/>
    <w:rsid w:val="002A0AE2"/>
    <w:rsid w:val="002A0C97"/>
    <w:rsid w:val="002A15C2"/>
    <w:rsid w:val="002A179E"/>
    <w:rsid w:val="002A1AD4"/>
    <w:rsid w:val="002A1B31"/>
    <w:rsid w:val="002A2DA4"/>
    <w:rsid w:val="002A3449"/>
    <w:rsid w:val="002A4AB7"/>
    <w:rsid w:val="002A4C1E"/>
    <w:rsid w:val="002A5860"/>
    <w:rsid w:val="002A64C1"/>
    <w:rsid w:val="002A70E3"/>
    <w:rsid w:val="002A7200"/>
    <w:rsid w:val="002A7347"/>
    <w:rsid w:val="002A73F5"/>
    <w:rsid w:val="002A757C"/>
    <w:rsid w:val="002A7F9C"/>
    <w:rsid w:val="002B0051"/>
    <w:rsid w:val="002B1383"/>
    <w:rsid w:val="002B19A7"/>
    <w:rsid w:val="002B1B77"/>
    <w:rsid w:val="002B1D47"/>
    <w:rsid w:val="002B1E79"/>
    <w:rsid w:val="002B205D"/>
    <w:rsid w:val="002B2E7B"/>
    <w:rsid w:val="002B31FB"/>
    <w:rsid w:val="002B32E2"/>
    <w:rsid w:val="002B373A"/>
    <w:rsid w:val="002B3AFA"/>
    <w:rsid w:val="002B40C3"/>
    <w:rsid w:val="002B424F"/>
    <w:rsid w:val="002B4524"/>
    <w:rsid w:val="002B46B0"/>
    <w:rsid w:val="002B4841"/>
    <w:rsid w:val="002B49E3"/>
    <w:rsid w:val="002B517A"/>
    <w:rsid w:val="002B55C6"/>
    <w:rsid w:val="002B570F"/>
    <w:rsid w:val="002B6243"/>
    <w:rsid w:val="002B6534"/>
    <w:rsid w:val="002B6554"/>
    <w:rsid w:val="002B7240"/>
    <w:rsid w:val="002B73AC"/>
    <w:rsid w:val="002B75AA"/>
    <w:rsid w:val="002B7BB9"/>
    <w:rsid w:val="002C0132"/>
    <w:rsid w:val="002C0628"/>
    <w:rsid w:val="002C07D2"/>
    <w:rsid w:val="002C07E5"/>
    <w:rsid w:val="002C0A85"/>
    <w:rsid w:val="002C11E2"/>
    <w:rsid w:val="002C1986"/>
    <w:rsid w:val="002C221E"/>
    <w:rsid w:val="002C2AFB"/>
    <w:rsid w:val="002C2F55"/>
    <w:rsid w:val="002C38B4"/>
    <w:rsid w:val="002C3BE0"/>
    <w:rsid w:val="002C3C4A"/>
    <w:rsid w:val="002C3FE2"/>
    <w:rsid w:val="002C432F"/>
    <w:rsid w:val="002C45B4"/>
    <w:rsid w:val="002C4699"/>
    <w:rsid w:val="002C4993"/>
    <w:rsid w:val="002C50CB"/>
    <w:rsid w:val="002C5276"/>
    <w:rsid w:val="002C53B6"/>
    <w:rsid w:val="002C579B"/>
    <w:rsid w:val="002C60BB"/>
    <w:rsid w:val="002C654D"/>
    <w:rsid w:val="002C67BE"/>
    <w:rsid w:val="002C7098"/>
    <w:rsid w:val="002C715A"/>
    <w:rsid w:val="002C73BC"/>
    <w:rsid w:val="002C7ED9"/>
    <w:rsid w:val="002D0180"/>
    <w:rsid w:val="002D0205"/>
    <w:rsid w:val="002D02EB"/>
    <w:rsid w:val="002D0B62"/>
    <w:rsid w:val="002D0CC5"/>
    <w:rsid w:val="002D0EAC"/>
    <w:rsid w:val="002D1071"/>
    <w:rsid w:val="002D10FC"/>
    <w:rsid w:val="002D1F54"/>
    <w:rsid w:val="002D20E7"/>
    <w:rsid w:val="002D2D91"/>
    <w:rsid w:val="002D3025"/>
    <w:rsid w:val="002D3315"/>
    <w:rsid w:val="002D3B5E"/>
    <w:rsid w:val="002D3FA1"/>
    <w:rsid w:val="002D409C"/>
    <w:rsid w:val="002D452A"/>
    <w:rsid w:val="002D481F"/>
    <w:rsid w:val="002D4A4A"/>
    <w:rsid w:val="002D4F48"/>
    <w:rsid w:val="002D525E"/>
    <w:rsid w:val="002D5B8E"/>
    <w:rsid w:val="002D5DD6"/>
    <w:rsid w:val="002D6200"/>
    <w:rsid w:val="002D6207"/>
    <w:rsid w:val="002D63E8"/>
    <w:rsid w:val="002D64B0"/>
    <w:rsid w:val="002D68C3"/>
    <w:rsid w:val="002D7135"/>
    <w:rsid w:val="002E0353"/>
    <w:rsid w:val="002E05DF"/>
    <w:rsid w:val="002E08AF"/>
    <w:rsid w:val="002E0E02"/>
    <w:rsid w:val="002E113E"/>
    <w:rsid w:val="002E17E8"/>
    <w:rsid w:val="002E1C30"/>
    <w:rsid w:val="002E1FFB"/>
    <w:rsid w:val="002E25A5"/>
    <w:rsid w:val="002E33F7"/>
    <w:rsid w:val="002E3410"/>
    <w:rsid w:val="002E3DC0"/>
    <w:rsid w:val="002E3DC8"/>
    <w:rsid w:val="002E3DCC"/>
    <w:rsid w:val="002E4B00"/>
    <w:rsid w:val="002E4D45"/>
    <w:rsid w:val="002E51F3"/>
    <w:rsid w:val="002E52EE"/>
    <w:rsid w:val="002E5C43"/>
    <w:rsid w:val="002E6A24"/>
    <w:rsid w:val="002E7522"/>
    <w:rsid w:val="002F009F"/>
    <w:rsid w:val="002F021B"/>
    <w:rsid w:val="002F08BF"/>
    <w:rsid w:val="002F08FD"/>
    <w:rsid w:val="002F1182"/>
    <w:rsid w:val="002F24F8"/>
    <w:rsid w:val="002F283E"/>
    <w:rsid w:val="002F297F"/>
    <w:rsid w:val="002F2A1B"/>
    <w:rsid w:val="002F2BB0"/>
    <w:rsid w:val="002F2E96"/>
    <w:rsid w:val="002F3018"/>
    <w:rsid w:val="002F38E8"/>
    <w:rsid w:val="002F3AC8"/>
    <w:rsid w:val="002F44A3"/>
    <w:rsid w:val="002F4AA1"/>
    <w:rsid w:val="002F5868"/>
    <w:rsid w:val="002F5AFE"/>
    <w:rsid w:val="002F5B3F"/>
    <w:rsid w:val="002F7B26"/>
    <w:rsid w:val="002F7D42"/>
    <w:rsid w:val="003001CF"/>
    <w:rsid w:val="00300221"/>
    <w:rsid w:val="003007AC"/>
    <w:rsid w:val="0030088B"/>
    <w:rsid w:val="00300C5E"/>
    <w:rsid w:val="003012B9"/>
    <w:rsid w:val="00301AAA"/>
    <w:rsid w:val="00301CA6"/>
    <w:rsid w:val="00301D1B"/>
    <w:rsid w:val="0030200E"/>
    <w:rsid w:val="003020EC"/>
    <w:rsid w:val="00302263"/>
    <w:rsid w:val="0030315C"/>
    <w:rsid w:val="00303465"/>
    <w:rsid w:val="0030421F"/>
    <w:rsid w:val="00304376"/>
    <w:rsid w:val="00304BDD"/>
    <w:rsid w:val="00304C55"/>
    <w:rsid w:val="00305102"/>
    <w:rsid w:val="003064E3"/>
    <w:rsid w:val="00306729"/>
    <w:rsid w:val="0030762F"/>
    <w:rsid w:val="00310925"/>
    <w:rsid w:val="00310CA4"/>
    <w:rsid w:val="00311085"/>
    <w:rsid w:val="00311198"/>
    <w:rsid w:val="00311BC7"/>
    <w:rsid w:val="00311EC9"/>
    <w:rsid w:val="003121D1"/>
    <w:rsid w:val="00312D23"/>
    <w:rsid w:val="00313BB1"/>
    <w:rsid w:val="00313E57"/>
    <w:rsid w:val="00314248"/>
    <w:rsid w:val="00314544"/>
    <w:rsid w:val="00314903"/>
    <w:rsid w:val="003149A1"/>
    <w:rsid w:val="003151D1"/>
    <w:rsid w:val="00315463"/>
    <w:rsid w:val="003157E9"/>
    <w:rsid w:val="0031582A"/>
    <w:rsid w:val="00315EA9"/>
    <w:rsid w:val="003165A0"/>
    <w:rsid w:val="00316AEA"/>
    <w:rsid w:val="00316FA8"/>
    <w:rsid w:val="00317BDB"/>
    <w:rsid w:val="00320281"/>
    <w:rsid w:val="003203FD"/>
    <w:rsid w:val="00320559"/>
    <w:rsid w:val="00320C40"/>
    <w:rsid w:val="00321C2E"/>
    <w:rsid w:val="00322151"/>
    <w:rsid w:val="00322447"/>
    <w:rsid w:val="00322513"/>
    <w:rsid w:val="00322D02"/>
    <w:rsid w:val="00323069"/>
    <w:rsid w:val="00323247"/>
    <w:rsid w:val="00323288"/>
    <w:rsid w:val="003232D0"/>
    <w:rsid w:val="003234D8"/>
    <w:rsid w:val="003235C6"/>
    <w:rsid w:val="00323BBA"/>
    <w:rsid w:val="00323C5E"/>
    <w:rsid w:val="00323E31"/>
    <w:rsid w:val="003243DD"/>
    <w:rsid w:val="00324FDC"/>
    <w:rsid w:val="00325183"/>
    <w:rsid w:val="003253C6"/>
    <w:rsid w:val="00325682"/>
    <w:rsid w:val="0032571E"/>
    <w:rsid w:val="003260A2"/>
    <w:rsid w:val="00326F06"/>
    <w:rsid w:val="00326F24"/>
    <w:rsid w:val="00326F82"/>
    <w:rsid w:val="00327119"/>
    <w:rsid w:val="0032782F"/>
    <w:rsid w:val="00327A05"/>
    <w:rsid w:val="00327D8B"/>
    <w:rsid w:val="00327EB8"/>
    <w:rsid w:val="003301E3"/>
    <w:rsid w:val="0033055A"/>
    <w:rsid w:val="00330B8F"/>
    <w:rsid w:val="00331324"/>
    <w:rsid w:val="00331397"/>
    <w:rsid w:val="003317B8"/>
    <w:rsid w:val="00331B3F"/>
    <w:rsid w:val="00331E8C"/>
    <w:rsid w:val="00331F06"/>
    <w:rsid w:val="0033366C"/>
    <w:rsid w:val="00333960"/>
    <w:rsid w:val="00333986"/>
    <w:rsid w:val="00333D72"/>
    <w:rsid w:val="00333EA3"/>
    <w:rsid w:val="003344E7"/>
    <w:rsid w:val="00335519"/>
    <w:rsid w:val="00335606"/>
    <w:rsid w:val="00335975"/>
    <w:rsid w:val="00337410"/>
    <w:rsid w:val="00337A36"/>
    <w:rsid w:val="00337AFC"/>
    <w:rsid w:val="00337BA1"/>
    <w:rsid w:val="00337DEE"/>
    <w:rsid w:val="0034070E"/>
    <w:rsid w:val="00340E10"/>
    <w:rsid w:val="0034127F"/>
    <w:rsid w:val="00341811"/>
    <w:rsid w:val="00341943"/>
    <w:rsid w:val="00341C2D"/>
    <w:rsid w:val="00341E06"/>
    <w:rsid w:val="00341E1E"/>
    <w:rsid w:val="00341E9A"/>
    <w:rsid w:val="00342539"/>
    <w:rsid w:val="00342A9B"/>
    <w:rsid w:val="00342F4E"/>
    <w:rsid w:val="00343391"/>
    <w:rsid w:val="00343582"/>
    <w:rsid w:val="003438E0"/>
    <w:rsid w:val="00344039"/>
    <w:rsid w:val="0034423D"/>
    <w:rsid w:val="003442BA"/>
    <w:rsid w:val="0034443A"/>
    <w:rsid w:val="0034475F"/>
    <w:rsid w:val="00345428"/>
    <w:rsid w:val="00345FF1"/>
    <w:rsid w:val="003476DE"/>
    <w:rsid w:val="00347DC8"/>
    <w:rsid w:val="00347F5E"/>
    <w:rsid w:val="003501E4"/>
    <w:rsid w:val="00350300"/>
    <w:rsid w:val="00351597"/>
    <w:rsid w:val="00351731"/>
    <w:rsid w:val="00351B1B"/>
    <w:rsid w:val="0035227D"/>
    <w:rsid w:val="00352EAC"/>
    <w:rsid w:val="00353076"/>
    <w:rsid w:val="00353130"/>
    <w:rsid w:val="003539DF"/>
    <w:rsid w:val="00353A78"/>
    <w:rsid w:val="00353EF6"/>
    <w:rsid w:val="003541B7"/>
    <w:rsid w:val="003546AA"/>
    <w:rsid w:val="00354A00"/>
    <w:rsid w:val="003550E1"/>
    <w:rsid w:val="003553D6"/>
    <w:rsid w:val="003557D9"/>
    <w:rsid w:val="00355CD9"/>
    <w:rsid w:val="003564D2"/>
    <w:rsid w:val="0035665B"/>
    <w:rsid w:val="00356ACF"/>
    <w:rsid w:val="00356C7D"/>
    <w:rsid w:val="0035746F"/>
    <w:rsid w:val="0035750E"/>
    <w:rsid w:val="00357B0F"/>
    <w:rsid w:val="00357DB9"/>
    <w:rsid w:val="0036002B"/>
    <w:rsid w:val="003600C5"/>
    <w:rsid w:val="003602C7"/>
    <w:rsid w:val="00360447"/>
    <w:rsid w:val="00360C1C"/>
    <w:rsid w:val="00360EA9"/>
    <w:rsid w:val="00360F6A"/>
    <w:rsid w:val="00361064"/>
    <w:rsid w:val="003613AC"/>
    <w:rsid w:val="00361ADC"/>
    <w:rsid w:val="00361FB5"/>
    <w:rsid w:val="00361FFD"/>
    <w:rsid w:val="00362242"/>
    <w:rsid w:val="00362A00"/>
    <w:rsid w:val="00362D81"/>
    <w:rsid w:val="003630A7"/>
    <w:rsid w:val="00363200"/>
    <w:rsid w:val="00363244"/>
    <w:rsid w:val="00363A1C"/>
    <w:rsid w:val="00364233"/>
    <w:rsid w:val="003643D5"/>
    <w:rsid w:val="00365698"/>
    <w:rsid w:val="0036593B"/>
    <w:rsid w:val="003659DC"/>
    <w:rsid w:val="003661C6"/>
    <w:rsid w:val="0036668B"/>
    <w:rsid w:val="00366AB5"/>
    <w:rsid w:val="00366EB2"/>
    <w:rsid w:val="003706DC"/>
    <w:rsid w:val="0037095C"/>
    <w:rsid w:val="00370E05"/>
    <w:rsid w:val="0037127D"/>
    <w:rsid w:val="0037140E"/>
    <w:rsid w:val="003714BE"/>
    <w:rsid w:val="00371751"/>
    <w:rsid w:val="00371783"/>
    <w:rsid w:val="00371842"/>
    <w:rsid w:val="00371989"/>
    <w:rsid w:val="00371C8C"/>
    <w:rsid w:val="0037237A"/>
    <w:rsid w:val="00372477"/>
    <w:rsid w:val="00372626"/>
    <w:rsid w:val="00372AB2"/>
    <w:rsid w:val="00372B25"/>
    <w:rsid w:val="0037304D"/>
    <w:rsid w:val="00373276"/>
    <w:rsid w:val="00373299"/>
    <w:rsid w:val="00373344"/>
    <w:rsid w:val="003738DE"/>
    <w:rsid w:val="00373C28"/>
    <w:rsid w:val="00373D23"/>
    <w:rsid w:val="0037435E"/>
    <w:rsid w:val="003744FD"/>
    <w:rsid w:val="00374582"/>
    <w:rsid w:val="003746CF"/>
    <w:rsid w:val="0037479E"/>
    <w:rsid w:val="003748F4"/>
    <w:rsid w:val="00374F9B"/>
    <w:rsid w:val="003750F9"/>
    <w:rsid w:val="003751FB"/>
    <w:rsid w:val="003757F1"/>
    <w:rsid w:val="00375A65"/>
    <w:rsid w:val="00375DB3"/>
    <w:rsid w:val="003760BE"/>
    <w:rsid w:val="00376114"/>
    <w:rsid w:val="0037648F"/>
    <w:rsid w:val="00376749"/>
    <w:rsid w:val="0037689E"/>
    <w:rsid w:val="00377313"/>
    <w:rsid w:val="0037774F"/>
    <w:rsid w:val="00377B50"/>
    <w:rsid w:val="00377C7F"/>
    <w:rsid w:val="003803AF"/>
    <w:rsid w:val="0038070E"/>
    <w:rsid w:val="00380C03"/>
    <w:rsid w:val="00380D56"/>
    <w:rsid w:val="00380F94"/>
    <w:rsid w:val="0038117C"/>
    <w:rsid w:val="00381DD5"/>
    <w:rsid w:val="003825FA"/>
    <w:rsid w:val="003826C7"/>
    <w:rsid w:val="003829AA"/>
    <w:rsid w:val="00382D1C"/>
    <w:rsid w:val="00382E14"/>
    <w:rsid w:val="003831D4"/>
    <w:rsid w:val="0038339D"/>
    <w:rsid w:val="003833F7"/>
    <w:rsid w:val="00383B88"/>
    <w:rsid w:val="003844A8"/>
    <w:rsid w:val="00384E11"/>
    <w:rsid w:val="003863EB"/>
    <w:rsid w:val="003866A3"/>
    <w:rsid w:val="00386BF8"/>
    <w:rsid w:val="00386C2C"/>
    <w:rsid w:val="00386E9B"/>
    <w:rsid w:val="003874AD"/>
    <w:rsid w:val="003875BA"/>
    <w:rsid w:val="0038769E"/>
    <w:rsid w:val="00390752"/>
    <w:rsid w:val="00391025"/>
    <w:rsid w:val="0039116A"/>
    <w:rsid w:val="0039163B"/>
    <w:rsid w:val="00392787"/>
    <w:rsid w:val="00392DD1"/>
    <w:rsid w:val="0039319D"/>
    <w:rsid w:val="003944EE"/>
    <w:rsid w:val="00395020"/>
    <w:rsid w:val="0039542C"/>
    <w:rsid w:val="003958B2"/>
    <w:rsid w:val="003958B5"/>
    <w:rsid w:val="00396901"/>
    <w:rsid w:val="00396E9A"/>
    <w:rsid w:val="003970CC"/>
    <w:rsid w:val="003972C0"/>
    <w:rsid w:val="003975DD"/>
    <w:rsid w:val="003979B7"/>
    <w:rsid w:val="00397B79"/>
    <w:rsid w:val="00397D25"/>
    <w:rsid w:val="00397FB8"/>
    <w:rsid w:val="003A0934"/>
    <w:rsid w:val="003A0C76"/>
    <w:rsid w:val="003A0FE9"/>
    <w:rsid w:val="003A1139"/>
    <w:rsid w:val="003A11F4"/>
    <w:rsid w:val="003A152C"/>
    <w:rsid w:val="003A1949"/>
    <w:rsid w:val="003A221F"/>
    <w:rsid w:val="003A28B5"/>
    <w:rsid w:val="003A30B5"/>
    <w:rsid w:val="003A346A"/>
    <w:rsid w:val="003A3B92"/>
    <w:rsid w:val="003A3E14"/>
    <w:rsid w:val="003A4184"/>
    <w:rsid w:val="003A4F7F"/>
    <w:rsid w:val="003A5204"/>
    <w:rsid w:val="003A522C"/>
    <w:rsid w:val="003A5552"/>
    <w:rsid w:val="003A6261"/>
    <w:rsid w:val="003A6431"/>
    <w:rsid w:val="003A6833"/>
    <w:rsid w:val="003A68E4"/>
    <w:rsid w:val="003A6911"/>
    <w:rsid w:val="003A69CC"/>
    <w:rsid w:val="003A6C75"/>
    <w:rsid w:val="003A73BA"/>
    <w:rsid w:val="003A7435"/>
    <w:rsid w:val="003A7A8A"/>
    <w:rsid w:val="003B0234"/>
    <w:rsid w:val="003B0BB2"/>
    <w:rsid w:val="003B2A87"/>
    <w:rsid w:val="003B3BE7"/>
    <w:rsid w:val="003B3E78"/>
    <w:rsid w:val="003B4B91"/>
    <w:rsid w:val="003B4FEA"/>
    <w:rsid w:val="003B54AA"/>
    <w:rsid w:val="003B5EDB"/>
    <w:rsid w:val="003B5F67"/>
    <w:rsid w:val="003B6497"/>
    <w:rsid w:val="003B68D6"/>
    <w:rsid w:val="003C01FF"/>
    <w:rsid w:val="003C10D3"/>
    <w:rsid w:val="003C1904"/>
    <w:rsid w:val="003C24C9"/>
    <w:rsid w:val="003C2B17"/>
    <w:rsid w:val="003C2E03"/>
    <w:rsid w:val="003C365F"/>
    <w:rsid w:val="003C37D6"/>
    <w:rsid w:val="003C3D30"/>
    <w:rsid w:val="003C4229"/>
    <w:rsid w:val="003C493A"/>
    <w:rsid w:val="003C4AD0"/>
    <w:rsid w:val="003C4CC4"/>
    <w:rsid w:val="003C4E5C"/>
    <w:rsid w:val="003C55A5"/>
    <w:rsid w:val="003C5BA4"/>
    <w:rsid w:val="003C6083"/>
    <w:rsid w:val="003C66F5"/>
    <w:rsid w:val="003C69BE"/>
    <w:rsid w:val="003C78CE"/>
    <w:rsid w:val="003C7DCA"/>
    <w:rsid w:val="003D0093"/>
    <w:rsid w:val="003D018E"/>
    <w:rsid w:val="003D0291"/>
    <w:rsid w:val="003D0416"/>
    <w:rsid w:val="003D082C"/>
    <w:rsid w:val="003D0A6C"/>
    <w:rsid w:val="003D13C0"/>
    <w:rsid w:val="003D1E3A"/>
    <w:rsid w:val="003D259A"/>
    <w:rsid w:val="003D27E5"/>
    <w:rsid w:val="003D2A52"/>
    <w:rsid w:val="003D2D78"/>
    <w:rsid w:val="003D320F"/>
    <w:rsid w:val="003D38BD"/>
    <w:rsid w:val="003D3EAA"/>
    <w:rsid w:val="003D3F00"/>
    <w:rsid w:val="003D4075"/>
    <w:rsid w:val="003D445F"/>
    <w:rsid w:val="003D463F"/>
    <w:rsid w:val="003D486E"/>
    <w:rsid w:val="003D503F"/>
    <w:rsid w:val="003D5B44"/>
    <w:rsid w:val="003D5D83"/>
    <w:rsid w:val="003D61F5"/>
    <w:rsid w:val="003D73C3"/>
    <w:rsid w:val="003D74CC"/>
    <w:rsid w:val="003D7C0F"/>
    <w:rsid w:val="003D7EBF"/>
    <w:rsid w:val="003E1AA1"/>
    <w:rsid w:val="003E1CD4"/>
    <w:rsid w:val="003E1E43"/>
    <w:rsid w:val="003E2674"/>
    <w:rsid w:val="003E2EE8"/>
    <w:rsid w:val="003E3C37"/>
    <w:rsid w:val="003E3CBD"/>
    <w:rsid w:val="003E4578"/>
    <w:rsid w:val="003E49DD"/>
    <w:rsid w:val="003E4A01"/>
    <w:rsid w:val="003E4A6B"/>
    <w:rsid w:val="003E55DF"/>
    <w:rsid w:val="003E57DB"/>
    <w:rsid w:val="003E5CDC"/>
    <w:rsid w:val="003E640B"/>
    <w:rsid w:val="003E6692"/>
    <w:rsid w:val="003E6D4F"/>
    <w:rsid w:val="003E7B0E"/>
    <w:rsid w:val="003E7C15"/>
    <w:rsid w:val="003F09F9"/>
    <w:rsid w:val="003F11B8"/>
    <w:rsid w:val="003F1BEF"/>
    <w:rsid w:val="003F22B1"/>
    <w:rsid w:val="003F26E4"/>
    <w:rsid w:val="003F2E38"/>
    <w:rsid w:val="003F3430"/>
    <w:rsid w:val="003F3B73"/>
    <w:rsid w:val="003F4136"/>
    <w:rsid w:val="003F4353"/>
    <w:rsid w:val="003F4A7D"/>
    <w:rsid w:val="003F5818"/>
    <w:rsid w:val="003F5819"/>
    <w:rsid w:val="003F661A"/>
    <w:rsid w:val="003F6C57"/>
    <w:rsid w:val="003F7C2A"/>
    <w:rsid w:val="003F7CB8"/>
    <w:rsid w:val="00400116"/>
    <w:rsid w:val="004002F1"/>
    <w:rsid w:val="00400553"/>
    <w:rsid w:val="00400E7C"/>
    <w:rsid w:val="0040144F"/>
    <w:rsid w:val="004015A5"/>
    <w:rsid w:val="00402A54"/>
    <w:rsid w:val="00402B0F"/>
    <w:rsid w:val="0040313E"/>
    <w:rsid w:val="00404735"/>
    <w:rsid w:val="00404BDC"/>
    <w:rsid w:val="00404DC2"/>
    <w:rsid w:val="0040565F"/>
    <w:rsid w:val="00405673"/>
    <w:rsid w:val="00405910"/>
    <w:rsid w:val="00405A93"/>
    <w:rsid w:val="00406243"/>
    <w:rsid w:val="004063E0"/>
    <w:rsid w:val="00406FC6"/>
    <w:rsid w:val="00407AF0"/>
    <w:rsid w:val="00410465"/>
    <w:rsid w:val="00410A5C"/>
    <w:rsid w:val="00411E59"/>
    <w:rsid w:val="00411EAD"/>
    <w:rsid w:val="004122C1"/>
    <w:rsid w:val="00412948"/>
    <w:rsid w:val="00412B68"/>
    <w:rsid w:val="00412C4B"/>
    <w:rsid w:val="00412D99"/>
    <w:rsid w:val="00413097"/>
    <w:rsid w:val="00413D10"/>
    <w:rsid w:val="00413F0E"/>
    <w:rsid w:val="00414145"/>
    <w:rsid w:val="00414328"/>
    <w:rsid w:val="00414594"/>
    <w:rsid w:val="00414D47"/>
    <w:rsid w:val="004156B1"/>
    <w:rsid w:val="00415E3F"/>
    <w:rsid w:val="00415F0D"/>
    <w:rsid w:val="004168D0"/>
    <w:rsid w:val="00417703"/>
    <w:rsid w:val="00417B5B"/>
    <w:rsid w:val="0042018A"/>
    <w:rsid w:val="0042081E"/>
    <w:rsid w:val="00420FBA"/>
    <w:rsid w:val="00421831"/>
    <w:rsid w:val="00421900"/>
    <w:rsid w:val="00421B52"/>
    <w:rsid w:val="004220C4"/>
    <w:rsid w:val="00422180"/>
    <w:rsid w:val="00422E15"/>
    <w:rsid w:val="00422E87"/>
    <w:rsid w:val="004230DB"/>
    <w:rsid w:val="004233A5"/>
    <w:rsid w:val="00423CAC"/>
    <w:rsid w:val="00424265"/>
    <w:rsid w:val="004243E4"/>
    <w:rsid w:val="00424C27"/>
    <w:rsid w:val="0042512F"/>
    <w:rsid w:val="004256E8"/>
    <w:rsid w:val="00425A76"/>
    <w:rsid w:val="00425ABC"/>
    <w:rsid w:val="00425C31"/>
    <w:rsid w:val="00426035"/>
    <w:rsid w:val="004260C0"/>
    <w:rsid w:val="0042617D"/>
    <w:rsid w:val="004265F2"/>
    <w:rsid w:val="00427489"/>
    <w:rsid w:val="00427B1C"/>
    <w:rsid w:val="00427DE5"/>
    <w:rsid w:val="00430334"/>
    <w:rsid w:val="00430AC0"/>
    <w:rsid w:val="00430F8C"/>
    <w:rsid w:val="00431260"/>
    <w:rsid w:val="004316C8"/>
    <w:rsid w:val="004324FA"/>
    <w:rsid w:val="00432F8D"/>
    <w:rsid w:val="0043322F"/>
    <w:rsid w:val="00434302"/>
    <w:rsid w:val="004343C7"/>
    <w:rsid w:val="00434B36"/>
    <w:rsid w:val="00434BE0"/>
    <w:rsid w:val="0043530D"/>
    <w:rsid w:val="00435A89"/>
    <w:rsid w:val="0043632F"/>
    <w:rsid w:val="00436678"/>
    <w:rsid w:val="00436DD7"/>
    <w:rsid w:val="00437D0A"/>
    <w:rsid w:val="00437D8F"/>
    <w:rsid w:val="004409EC"/>
    <w:rsid w:val="00441017"/>
    <w:rsid w:val="004412A9"/>
    <w:rsid w:val="004415AF"/>
    <w:rsid w:val="004423C4"/>
    <w:rsid w:val="004428C1"/>
    <w:rsid w:val="0044316F"/>
    <w:rsid w:val="004432E1"/>
    <w:rsid w:val="004434AD"/>
    <w:rsid w:val="00443527"/>
    <w:rsid w:val="0044365D"/>
    <w:rsid w:val="004438F1"/>
    <w:rsid w:val="00443D10"/>
    <w:rsid w:val="00444493"/>
    <w:rsid w:val="0044476F"/>
    <w:rsid w:val="00444B5E"/>
    <w:rsid w:val="00444E2A"/>
    <w:rsid w:val="00444F96"/>
    <w:rsid w:val="004450B6"/>
    <w:rsid w:val="0044547F"/>
    <w:rsid w:val="004457DA"/>
    <w:rsid w:val="00446005"/>
    <w:rsid w:val="004462FC"/>
    <w:rsid w:val="00446B39"/>
    <w:rsid w:val="004471E9"/>
    <w:rsid w:val="00447378"/>
    <w:rsid w:val="00447731"/>
    <w:rsid w:val="00447A59"/>
    <w:rsid w:val="00447C26"/>
    <w:rsid w:val="00450505"/>
    <w:rsid w:val="004506B5"/>
    <w:rsid w:val="00450851"/>
    <w:rsid w:val="00450944"/>
    <w:rsid w:val="00450A9C"/>
    <w:rsid w:val="00450D7A"/>
    <w:rsid w:val="00450E44"/>
    <w:rsid w:val="00451439"/>
    <w:rsid w:val="00451831"/>
    <w:rsid w:val="00452048"/>
    <w:rsid w:val="00452E44"/>
    <w:rsid w:val="00452E75"/>
    <w:rsid w:val="00453178"/>
    <w:rsid w:val="004531A8"/>
    <w:rsid w:val="00453291"/>
    <w:rsid w:val="00453881"/>
    <w:rsid w:val="00454540"/>
    <w:rsid w:val="004556DD"/>
    <w:rsid w:val="00455762"/>
    <w:rsid w:val="004560A4"/>
    <w:rsid w:val="00456FBC"/>
    <w:rsid w:val="004573DC"/>
    <w:rsid w:val="0045744F"/>
    <w:rsid w:val="004574B5"/>
    <w:rsid w:val="00457863"/>
    <w:rsid w:val="004579CB"/>
    <w:rsid w:val="00457BEA"/>
    <w:rsid w:val="00457D8F"/>
    <w:rsid w:val="004601F9"/>
    <w:rsid w:val="004607AA"/>
    <w:rsid w:val="00460959"/>
    <w:rsid w:val="00460EFB"/>
    <w:rsid w:val="004616CF"/>
    <w:rsid w:val="004619ED"/>
    <w:rsid w:val="00461BFB"/>
    <w:rsid w:val="004625ED"/>
    <w:rsid w:val="0046267B"/>
    <w:rsid w:val="004628ED"/>
    <w:rsid w:val="00462B2D"/>
    <w:rsid w:val="0046302E"/>
    <w:rsid w:val="00463220"/>
    <w:rsid w:val="00463474"/>
    <w:rsid w:val="00463B1F"/>
    <w:rsid w:val="00465957"/>
    <w:rsid w:val="0046610B"/>
    <w:rsid w:val="0046694F"/>
    <w:rsid w:val="00466CAE"/>
    <w:rsid w:val="0046714D"/>
    <w:rsid w:val="004677E6"/>
    <w:rsid w:val="004702AD"/>
    <w:rsid w:val="00470509"/>
    <w:rsid w:val="00470901"/>
    <w:rsid w:val="00470B01"/>
    <w:rsid w:val="00470E5C"/>
    <w:rsid w:val="00471159"/>
    <w:rsid w:val="00472094"/>
    <w:rsid w:val="0047217F"/>
    <w:rsid w:val="004730C2"/>
    <w:rsid w:val="0047397F"/>
    <w:rsid w:val="00473DDF"/>
    <w:rsid w:val="0047450B"/>
    <w:rsid w:val="00474843"/>
    <w:rsid w:val="00474C6D"/>
    <w:rsid w:val="00475910"/>
    <w:rsid w:val="004763CF"/>
    <w:rsid w:val="004772DD"/>
    <w:rsid w:val="0047759C"/>
    <w:rsid w:val="0047777F"/>
    <w:rsid w:val="004778A9"/>
    <w:rsid w:val="00477BD6"/>
    <w:rsid w:val="004804E1"/>
    <w:rsid w:val="0048088E"/>
    <w:rsid w:val="00481091"/>
    <w:rsid w:val="004821B2"/>
    <w:rsid w:val="00482391"/>
    <w:rsid w:val="004823B1"/>
    <w:rsid w:val="0048255E"/>
    <w:rsid w:val="00482671"/>
    <w:rsid w:val="00483242"/>
    <w:rsid w:val="00483283"/>
    <w:rsid w:val="00483588"/>
    <w:rsid w:val="004840AB"/>
    <w:rsid w:val="0048425F"/>
    <w:rsid w:val="00484400"/>
    <w:rsid w:val="00484858"/>
    <w:rsid w:val="00484B3B"/>
    <w:rsid w:val="004859E9"/>
    <w:rsid w:val="004862CF"/>
    <w:rsid w:val="00486591"/>
    <w:rsid w:val="0048689F"/>
    <w:rsid w:val="00486BA5"/>
    <w:rsid w:val="00487885"/>
    <w:rsid w:val="00487A64"/>
    <w:rsid w:val="00487E24"/>
    <w:rsid w:val="0049011C"/>
    <w:rsid w:val="00490AC8"/>
    <w:rsid w:val="00490B3F"/>
    <w:rsid w:val="00490D71"/>
    <w:rsid w:val="004914ED"/>
    <w:rsid w:val="00491838"/>
    <w:rsid w:val="00491BD8"/>
    <w:rsid w:val="0049361D"/>
    <w:rsid w:val="00493BB1"/>
    <w:rsid w:val="0049400C"/>
    <w:rsid w:val="004946E8"/>
    <w:rsid w:val="004948A1"/>
    <w:rsid w:val="00494A06"/>
    <w:rsid w:val="00494B56"/>
    <w:rsid w:val="00494C18"/>
    <w:rsid w:val="00494E49"/>
    <w:rsid w:val="00495263"/>
    <w:rsid w:val="0049544B"/>
    <w:rsid w:val="004954E4"/>
    <w:rsid w:val="00495FEA"/>
    <w:rsid w:val="004962D9"/>
    <w:rsid w:val="0049678D"/>
    <w:rsid w:val="00496BD3"/>
    <w:rsid w:val="00497007"/>
    <w:rsid w:val="00497585"/>
    <w:rsid w:val="004978FF"/>
    <w:rsid w:val="004979D3"/>
    <w:rsid w:val="00497D5B"/>
    <w:rsid w:val="004A123D"/>
    <w:rsid w:val="004A1C2B"/>
    <w:rsid w:val="004A1D5A"/>
    <w:rsid w:val="004A219D"/>
    <w:rsid w:val="004A25BF"/>
    <w:rsid w:val="004A2898"/>
    <w:rsid w:val="004A28C1"/>
    <w:rsid w:val="004A39A4"/>
    <w:rsid w:val="004A428A"/>
    <w:rsid w:val="004A464E"/>
    <w:rsid w:val="004A4F7D"/>
    <w:rsid w:val="004A5F38"/>
    <w:rsid w:val="004A6130"/>
    <w:rsid w:val="004A6990"/>
    <w:rsid w:val="004A6D58"/>
    <w:rsid w:val="004A6E9E"/>
    <w:rsid w:val="004A7800"/>
    <w:rsid w:val="004A7ADF"/>
    <w:rsid w:val="004A7B12"/>
    <w:rsid w:val="004A7F84"/>
    <w:rsid w:val="004B0A8B"/>
    <w:rsid w:val="004B0A92"/>
    <w:rsid w:val="004B231A"/>
    <w:rsid w:val="004B25C7"/>
    <w:rsid w:val="004B4066"/>
    <w:rsid w:val="004B4170"/>
    <w:rsid w:val="004B4570"/>
    <w:rsid w:val="004B48DF"/>
    <w:rsid w:val="004B523E"/>
    <w:rsid w:val="004B57E9"/>
    <w:rsid w:val="004B644B"/>
    <w:rsid w:val="004B6F63"/>
    <w:rsid w:val="004B7263"/>
    <w:rsid w:val="004B7B83"/>
    <w:rsid w:val="004B7BB8"/>
    <w:rsid w:val="004B7E23"/>
    <w:rsid w:val="004C011E"/>
    <w:rsid w:val="004C085D"/>
    <w:rsid w:val="004C0EF7"/>
    <w:rsid w:val="004C0F21"/>
    <w:rsid w:val="004C116F"/>
    <w:rsid w:val="004C1398"/>
    <w:rsid w:val="004C142D"/>
    <w:rsid w:val="004C1471"/>
    <w:rsid w:val="004C16F5"/>
    <w:rsid w:val="004C20EB"/>
    <w:rsid w:val="004C257E"/>
    <w:rsid w:val="004C2C55"/>
    <w:rsid w:val="004C2E66"/>
    <w:rsid w:val="004C30D4"/>
    <w:rsid w:val="004C316F"/>
    <w:rsid w:val="004C3A33"/>
    <w:rsid w:val="004C412C"/>
    <w:rsid w:val="004C44D7"/>
    <w:rsid w:val="004C461B"/>
    <w:rsid w:val="004C51CE"/>
    <w:rsid w:val="004C5A37"/>
    <w:rsid w:val="004C5DF6"/>
    <w:rsid w:val="004C6842"/>
    <w:rsid w:val="004C6E80"/>
    <w:rsid w:val="004C7327"/>
    <w:rsid w:val="004C7347"/>
    <w:rsid w:val="004C7BCF"/>
    <w:rsid w:val="004C7D8C"/>
    <w:rsid w:val="004D00A3"/>
    <w:rsid w:val="004D045D"/>
    <w:rsid w:val="004D0642"/>
    <w:rsid w:val="004D0FCF"/>
    <w:rsid w:val="004D1065"/>
    <w:rsid w:val="004D1625"/>
    <w:rsid w:val="004D16DD"/>
    <w:rsid w:val="004D1788"/>
    <w:rsid w:val="004D1AFE"/>
    <w:rsid w:val="004D1FE5"/>
    <w:rsid w:val="004D2230"/>
    <w:rsid w:val="004D237B"/>
    <w:rsid w:val="004D2829"/>
    <w:rsid w:val="004D2F99"/>
    <w:rsid w:val="004D2FE3"/>
    <w:rsid w:val="004D31D5"/>
    <w:rsid w:val="004D3413"/>
    <w:rsid w:val="004D3DAE"/>
    <w:rsid w:val="004D4074"/>
    <w:rsid w:val="004D4923"/>
    <w:rsid w:val="004D5A8E"/>
    <w:rsid w:val="004D5BDE"/>
    <w:rsid w:val="004D62FE"/>
    <w:rsid w:val="004D6C8A"/>
    <w:rsid w:val="004D7590"/>
    <w:rsid w:val="004D77BD"/>
    <w:rsid w:val="004D7AA5"/>
    <w:rsid w:val="004D7C85"/>
    <w:rsid w:val="004E02BA"/>
    <w:rsid w:val="004E0B4E"/>
    <w:rsid w:val="004E14B0"/>
    <w:rsid w:val="004E1540"/>
    <w:rsid w:val="004E18CC"/>
    <w:rsid w:val="004E2724"/>
    <w:rsid w:val="004E39C4"/>
    <w:rsid w:val="004E40F1"/>
    <w:rsid w:val="004E4A48"/>
    <w:rsid w:val="004E4AF2"/>
    <w:rsid w:val="004E4B7E"/>
    <w:rsid w:val="004E5047"/>
    <w:rsid w:val="004E573C"/>
    <w:rsid w:val="004E59E3"/>
    <w:rsid w:val="004E5B48"/>
    <w:rsid w:val="004E5D1E"/>
    <w:rsid w:val="004E6006"/>
    <w:rsid w:val="004E648B"/>
    <w:rsid w:val="004E6670"/>
    <w:rsid w:val="004E6CFA"/>
    <w:rsid w:val="004E7512"/>
    <w:rsid w:val="004E78A5"/>
    <w:rsid w:val="004E79A4"/>
    <w:rsid w:val="004E79B8"/>
    <w:rsid w:val="004E7C6C"/>
    <w:rsid w:val="004F03E0"/>
    <w:rsid w:val="004F0C53"/>
    <w:rsid w:val="004F0D91"/>
    <w:rsid w:val="004F1067"/>
    <w:rsid w:val="004F123E"/>
    <w:rsid w:val="004F128C"/>
    <w:rsid w:val="004F1418"/>
    <w:rsid w:val="004F16BE"/>
    <w:rsid w:val="004F172C"/>
    <w:rsid w:val="004F208B"/>
    <w:rsid w:val="004F2959"/>
    <w:rsid w:val="004F2E38"/>
    <w:rsid w:val="004F3678"/>
    <w:rsid w:val="004F3BF1"/>
    <w:rsid w:val="004F4784"/>
    <w:rsid w:val="004F49D2"/>
    <w:rsid w:val="004F4EB3"/>
    <w:rsid w:val="004F521A"/>
    <w:rsid w:val="004F5236"/>
    <w:rsid w:val="004F53C2"/>
    <w:rsid w:val="004F5727"/>
    <w:rsid w:val="004F5E70"/>
    <w:rsid w:val="004F5FE4"/>
    <w:rsid w:val="004F6268"/>
    <w:rsid w:val="004F6DE7"/>
    <w:rsid w:val="004F6FFC"/>
    <w:rsid w:val="004F7313"/>
    <w:rsid w:val="004F78EB"/>
    <w:rsid w:val="004F7AE5"/>
    <w:rsid w:val="004F7B5C"/>
    <w:rsid w:val="004F7D51"/>
    <w:rsid w:val="004F7F70"/>
    <w:rsid w:val="005000B9"/>
    <w:rsid w:val="00500BCB"/>
    <w:rsid w:val="00501213"/>
    <w:rsid w:val="00501598"/>
    <w:rsid w:val="00501A7F"/>
    <w:rsid w:val="00501B06"/>
    <w:rsid w:val="005021DF"/>
    <w:rsid w:val="005021E6"/>
    <w:rsid w:val="005027D1"/>
    <w:rsid w:val="00502C4C"/>
    <w:rsid w:val="00502CB0"/>
    <w:rsid w:val="00503533"/>
    <w:rsid w:val="00503C9F"/>
    <w:rsid w:val="00504A9D"/>
    <w:rsid w:val="00505A60"/>
    <w:rsid w:val="00505BF6"/>
    <w:rsid w:val="00505F49"/>
    <w:rsid w:val="00506363"/>
    <w:rsid w:val="00506EBD"/>
    <w:rsid w:val="00507B64"/>
    <w:rsid w:val="00507C64"/>
    <w:rsid w:val="0051029B"/>
    <w:rsid w:val="0051072F"/>
    <w:rsid w:val="0051081A"/>
    <w:rsid w:val="005116F7"/>
    <w:rsid w:val="005118BA"/>
    <w:rsid w:val="00511A4A"/>
    <w:rsid w:val="00512328"/>
    <w:rsid w:val="00512750"/>
    <w:rsid w:val="00513218"/>
    <w:rsid w:val="00513276"/>
    <w:rsid w:val="00513522"/>
    <w:rsid w:val="00513C8D"/>
    <w:rsid w:val="00513EE2"/>
    <w:rsid w:val="00514E32"/>
    <w:rsid w:val="00515B52"/>
    <w:rsid w:val="00515F48"/>
    <w:rsid w:val="005161F1"/>
    <w:rsid w:val="0051630F"/>
    <w:rsid w:val="0051637F"/>
    <w:rsid w:val="005165C4"/>
    <w:rsid w:val="00516616"/>
    <w:rsid w:val="00516E4A"/>
    <w:rsid w:val="0051703C"/>
    <w:rsid w:val="005173E0"/>
    <w:rsid w:val="005202EE"/>
    <w:rsid w:val="0052073E"/>
    <w:rsid w:val="0052188E"/>
    <w:rsid w:val="00521C57"/>
    <w:rsid w:val="00522970"/>
    <w:rsid w:val="00522ECB"/>
    <w:rsid w:val="0052312B"/>
    <w:rsid w:val="00523652"/>
    <w:rsid w:val="0052414E"/>
    <w:rsid w:val="00524289"/>
    <w:rsid w:val="005246B7"/>
    <w:rsid w:val="00524811"/>
    <w:rsid w:val="00525076"/>
    <w:rsid w:val="005252CD"/>
    <w:rsid w:val="00525384"/>
    <w:rsid w:val="0052546B"/>
    <w:rsid w:val="005259CD"/>
    <w:rsid w:val="00525EE0"/>
    <w:rsid w:val="005268EC"/>
    <w:rsid w:val="00526D3C"/>
    <w:rsid w:val="00527782"/>
    <w:rsid w:val="005278B6"/>
    <w:rsid w:val="005279BA"/>
    <w:rsid w:val="00527A7B"/>
    <w:rsid w:val="00527BF5"/>
    <w:rsid w:val="00527CA1"/>
    <w:rsid w:val="00527E9D"/>
    <w:rsid w:val="005305CA"/>
    <w:rsid w:val="00530740"/>
    <w:rsid w:val="00531792"/>
    <w:rsid w:val="00531AD0"/>
    <w:rsid w:val="0053211E"/>
    <w:rsid w:val="005323CA"/>
    <w:rsid w:val="00532D25"/>
    <w:rsid w:val="00532DD8"/>
    <w:rsid w:val="00532EE8"/>
    <w:rsid w:val="005333B7"/>
    <w:rsid w:val="005334E8"/>
    <w:rsid w:val="00533CE8"/>
    <w:rsid w:val="00533D00"/>
    <w:rsid w:val="005341A7"/>
    <w:rsid w:val="00536ABB"/>
    <w:rsid w:val="00537156"/>
    <w:rsid w:val="005374A2"/>
    <w:rsid w:val="0054020D"/>
    <w:rsid w:val="00540271"/>
    <w:rsid w:val="005404D7"/>
    <w:rsid w:val="00540509"/>
    <w:rsid w:val="00541766"/>
    <w:rsid w:val="0054177D"/>
    <w:rsid w:val="00541D43"/>
    <w:rsid w:val="00542685"/>
    <w:rsid w:val="00542972"/>
    <w:rsid w:val="00542C8A"/>
    <w:rsid w:val="0054319E"/>
    <w:rsid w:val="00543408"/>
    <w:rsid w:val="005435BB"/>
    <w:rsid w:val="00543796"/>
    <w:rsid w:val="00543D95"/>
    <w:rsid w:val="00543E24"/>
    <w:rsid w:val="005443BA"/>
    <w:rsid w:val="005446EF"/>
    <w:rsid w:val="005451AD"/>
    <w:rsid w:val="0054531D"/>
    <w:rsid w:val="005456D4"/>
    <w:rsid w:val="005458A7"/>
    <w:rsid w:val="00545940"/>
    <w:rsid w:val="005459A8"/>
    <w:rsid w:val="00545BCA"/>
    <w:rsid w:val="00545BEF"/>
    <w:rsid w:val="00545EF4"/>
    <w:rsid w:val="00546084"/>
    <w:rsid w:val="0054631E"/>
    <w:rsid w:val="00546469"/>
    <w:rsid w:val="005467CF"/>
    <w:rsid w:val="00546911"/>
    <w:rsid w:val="0054710B"/>
    <w:rsid w:val="0054734E"/>
    <w:rsid w:val="0055057D"/>
    <w:rsid w:val="00550BF1"/>
    <w:rsid w:val="00550F7A"/>
    <w:rsid w:val="005514CF"/>
    <w:rsid w:val="005519F0"/>
    <w:rsid w:val="005521DE"/>
    <w:rsid w:val="00552569"/>
    <w:rsid w:val="005525C6"/>
    <w:rsid w:val="00552B22"/>
    <w:rsid w:val="00552D6F"/>
    <w:rsid w:val="005532AC"/>
    <w:rsid w:val="00553BB8"/>
    <w:rsid w:val="00554216"/>
    <w:rsid w:val="0055436A"/>
    <w:rsid w:val="00554E01"/>
    <w:rsid w:val="00554F6C"/>
    <w:rsid w:val="00555163"/>
    <w:rsid w:val="00555638"/>
    <w:rsid w:val="00555695"/>
    <w:rsid w:val="0055625A"/>
    <w:rsid w:val="0055629A"/>
    <w:rsid w:val="00556A73"/>
    <w:rsid w:val="00557327"/>
    <w:rsid w:val="00557553"/>
    <w:rsid w:val="005577D0"/>
    <w:rsid w:val="00557B40"/>
    <w:rsid w:val="00557BB1"/>
    <w:rsid w:val="00560403"/>
    <w:rsid w:val="00561198"/>
    <w:rsid w:val="005612DC"/>
    <w:rsid w:val="00561596"/>
    <w:rsid w:val="00561657"/>
    <w:rsid w:val="005618E5"/>
    <w:rsid w:val="00561F30"/>
    <w:rsid w:val="00561FBE"/>
    <w:rsid w:val="00562508"/>
    <w:rsid w:val="0056267F"/>
    <w:rsid w:val="005629F7"/>
    <w:rsid w:val="00563217"/>
    <w:rsid w:val="0056362A"/>
    <w:rsid w:val="0056445A"/>
    <w:rsid w:val="005646FE"/>
    <w:rsid w:val="00565597"/>
    <w:rsid w:val="00565BF0"/>
    <w:rsid w:val="00565DFD"/>
    <w:rsid w:val="005662B1"/>
    <w:rsid w:val="005665D7"/>
    <w:rsid w:val="00566982"/>
    <w:rsid w:val="00566997"/>
    <w:rsid w:val="00567ECE"/>
    <w:rsid w:val="005708DE"/>
    <w:rsid w:val="00570BCC"/>
    <w:rsid w:val="005718AC"/>
    <w:rsid w:val="005719E4"/>
    <w:rsid w:val="00571A92"/>
    <w:rsid w:val="00571B8C"/>
    <w:rsid w:val="005723EE"/>
    <w:rsid w:val="00572536"/>
    <w:rsid w:val="00572B63"/>
    <w:rsid w:val="00572BA3"/>
    <w:rsid w:val="00573369"/>
    <w:rsid w:val="00573647"/>
    <w:rsid w:val="00573731"/>
    <w:rsid w:val="0057417E"/>
    <w:rsid w:val="00574855"/>
    <w:rsid w:val="00574D70"/>
    <w:rsid w:val="00575003"/>
    <w:rsid w:val="005757B6"/>
    <w:rsid w:val="00575D6F"/>
    <w:rsid w:val="00575F12"/>
    <w:rsid w:val="005761DD"/>
    <w:rsid w:val="00576487"/>
    <w:rsid w:val="0057664A"/>
    <w:rsid w:val="005767E7"/>
    <w:rsid w:val="005769EC"/>
    <w:rsid w:val="00576EF6"/>
    <w:rsid w:val="00576F0E"/>
    <w:rsid w:val="00577053"/>
    <w:rsid w:val="00577425"/>
    <w:rsid w:val="00580319"/>
    <w:rsid w:val="00580D6A"/>
    <w:rsid w:val="00582064"/>
    <w:rsid w:val="00582448"/>
    <w:rsid w:val="0058269D"/>
    <w:rsid w:val="00582E33"/>
    <w:rsid w:val="00583224"/>
    <w:rsid w:val="0058353C"/>
    <w:rsid w:val="0058385F"/>
    <w:rsid w:val="0058420A"/>
    <w:rsid w:val="00584293"/>
    <w:rsid w:val="005845DD"/>
    <w:rsid w:val="00584DE2"/>
    <w:rsid w:val="005858F8"/>
    <w:rsid w:val="00585D28"/>
    <w:rsid w:val="00586333"/>
    <w:rsid w:val="00586374"/>
    <w:rsid w:val="0058657B"/>
    <w:rsid w:val="00586667"/>
    <w:rsid w:val="00586886"/>
    <w:rsid w:val="00586C87"/>
    <w:rsid w:val="00586E73"/>
    <w:rsid w:val="005870EF"/>
    <w:rsid w:val="00587CDC"/>
    <w:rsid w:val="00590463"/>
    <w:rsid w:val="005906DF"/>
    <w:rsid w:val="00590AE4"/>
    <w:rsid w:val="0059140E"/>
    <w:rsid w:val="00591C5B"/>
    <w:rsid w:val="00592172"/>
    <w:rsid w:val="0059258D"/>
    <w:rsid w:val="00592955"/>
    <w:rsid w:val="00592C78"/>
    <w:rsid w:val="005935FC"/>
    <w:rsid w:val="005936C8"/>
    <w:rsid w:val="00593968"/>
    <w:rsid w:val="00593978"/>
    <w:rsid w:val="00593B00"/>
    <w:rsid w:val="0059471B"/>
    <w:rsid w:val="0059478F"/>
    <w:rsid w:val="0059498A"/>
    <w:rsid w:val="00594A38"/>
    <w:rsid w:val="005954DD"/>
    <w:rsid w:val="00596451"/>
    <w:rsid w:val="005966F2"/>
    <w:rsid w:val="005977A4"/>
    <w:rsid w:val="0059780C"/>
    <w:rsid w:val="00597ACC"/>
    <w:rsid w:val="005A0350"/>
    <w:rsid w:val="005A0C84"/>
    <w:rsid w:val="005A10A7"/>
    <w:rsid w:val="005A10EB"/>
    <w:rsid w:val="005A17AF"/>
    <w:rsid w:val="005A1A07"/>
    <w:rsid w:val="005A22AA"/>
    <w:rsid w:val="005A264C"/>
    <w:rsid w:val="005A2855"/>
    <w:rsid w:val="005A29DC"/>
    <w:rsid w:val="005A2B87"/>
    <w:rsid w:val="005A3171"/>
    <w:rsid w:val="005A357C"/>
    <w:rsid w:val="005A395E"/>
    <w:rsid w:val="005A3E01"/>
    <w:rsid w:val="005A465A"/>
    <w:rsid w:val="005A4BE9"/>
    <w:rsid w:val="005A5257"/>
    <w:rsid w:val="005A57D2"/>
    <w:rsid w:val="005A5A03"/>
    <w:rsid w:val="005A6060"/>
    <w:rsid w:val="005A6B4E"/>
    <w:rsid w:val="005A6F3F"/>
    <w:rsid w:val="005A7393"/>
    <w:rsid w:val="005A7711"/>
    <w:rsid w:val="005B01EB"/>
    <w:rsid w:val="005B03AC"/>
    <w:rsid w:val="005B0A1E"/>
    <w:rsid w:val="005B0AA3"/>
    <w:rsid w:val="005B0D1B"/>
    <w:rsid w:val="005B1C88"/>
    <w:rsid w:val="005B2321"/>
    <w:rsid w:val="005B283C"/>
    <w:rsid w:val="005B30BD"/>
    <w:rsid w:val="005B3806"/>
    <w:rsid w:val="005B3B02"/>
    <w:rsid w:val="005B3C58"/>
    <w:rsid w:val="005B3FF7"/>
    <w:rsid w:val="005B42E7"/>
    <w:rsid w:val="005B43DE"/>
    <w:rsid w:val="005B47D1"/>
    <w:rsid w:val="005B52C3"/>
    <w:rsid w:val="005B5749"/>
    <w:rsid w:val="005B5786"/>
    <w:rsid w:val="005B5848"/>
    <w:rsid w:val="005B5AED"/>
    <w:rsid w:val="005B5CA0"/>
    <w:rsid w:val="005B5E62"/>
    <w:rsid w:val="005B5EE0"/>
    <w:rsid w:val="005B5FEA"/>
    <w:rsid w:val="005B6F5F"/>
    <w:rsid w:val="005B799C"/>
    <w:rsid w:val="005B7B5B"/>
    <w:rsid w:val="005C052A"/>
    <w:rsid w:val="005C069F"/>
    <w:rsid w:val="005C09DB"/>
    <w:rsid w:val="005C114F"/>
    <w:rsid w:val="005C17DA"/>
    <w:rsid w:val="005C18B3"/>
    <w:rsid w:val="005C1D5B"/>
    <w:rsid w:val="005C2952"/>
    <w:rsid w:val="005C36D0"/>
    <w:rsid w:val="005C3F06"/>
    <w:rsid w:val="005C3FBC"/>
    <w:rsid w:val="005C4174"/>
    <w:rsid w:val="005C4378"/>
    <w:rsid w:val="005C44D7"/>
    <w:rsid w:val="005C4713"/>
    <w:rsid w:val="005C4CB1"/>
    <w:rsid w:val="005C53C7"/>
    <w:rsid w:val="005C5425"/>
    <w:rsid w:val="005C5BCF"/>
    <w:rsid w:val="005C654C"/>
    <w:rsid w:val="005C6CCC"/>
    <w:rsid w:val="005C6E6E"/>
    <w:rsid w:val="005C6F0F"/>
    <w:rsid w:val="005C7827"/>
    <w:rsid w:val="005C7D35"/>
    <w:rsid w:val="005D004F"/>
    <w:rsid w:val="005D0387"/>
    <w:rsid w:val="005D0449"/>
    <w:rsid w:val="005D0537"/>
    <w:rsid w:val="005D09E5"/>
    <w:rsid w:val="005D0DBE"/>
    <w:rsid w:val="005D1861"/>
    <w:rsid w:val="005D1BC7"/>
    <w:rsid w:val="005D23AE"/>
    <w:rsid w:val="005D397D"/>
    <w:rsid w:val="005D39C8"/>
    <w:rsid w:val="005D3C49"/>
    <w:rsid w:val="005D4584"/>
    <w:rsid w:val="005D46BC"/>
    <w:rsid w:val="005D477D"/>
    <w:rsid w:val="005D50C7"/>
    <w:rsid w:val="005D542D"/>
    <w:rsid w:val="005D579A"/>
    <w:rsid w:val="005D5B56"/>
    <w:rsid w:val="005D5E62"/>
    <w:rsid w:val="005D64C4"/>
    <w:rsid w:val="005D6A84"/>
    <w:rsid w:val="005D6D85"/>
    <w:rsid w:val="005D6E64"/>
    <w:rsid w:val="005D7375"/>
    <w:rsid w:val="005D769C"/>
    <w:rsid w:val="005D7B60"/>
    <w:rsid w:val="005D7BC9"/>
    <w:rsid w:val="005E0010"/>
    <w:rsid w:val="005E0307"/>
    <w:rsid w:val="005E051C"/>
    <w:rsid w:val="005E06F7"/>
    <w:rsid w:val="005E0ABE"/>
    <w:rsid w:val="005E11F7"/>
    <w:rsid w:val="005E15DB"/>
    <w:rsid w:val="005E1752"/>
    <w:rsid w:val="005E1910"/>
    <w:rsid w:val="005E1DF9"/>
    <w:rsid w:val="005E2068"/>
    <w:rsid w:val="005E2E38"/>
    <w:rsid w:val="005E30AD"/>
    <w:rsid w:val="005E3459"/>
    <w:rsid w:val="005E3951"/>
    <w:rsid w:val="005E4276"/>
    <w:rsid w:val="005E42E1"/>
    <w:rsid w:val="005E50D6"/>
    <w:rsid w:val="005E59DD"/>
    <w:rsid w:val="005E74ED"/>
    <w:rsid w:val="005E764B"/>
    <w:rsid w:val="005E783C"/>
    <w:rsid w:val="005E78C6"/>
    <w:rsid w:val="005E7CCD"/>
    <w:rsid w:val="005F0789"/>
    <w:rsid w:val="005F0912"/>
    <w:rsid w:val="005F1EC9"/>
    <w:rsid w:val="005F2115"/>
    <w:rsid w:val="005F2C23"/>
    <w:rsid w:val="005F2F7D"/>
    <w:rsid w:val="005F30DB"/>
    <w:rsid w:val="005F343A"/>
    <w:rsid w:val="005F37A8"/>
    <w:rsid w:val="005F37D1"/>
    <w:rsid w:val="005F3BBA"/>
    <w:rsid w:val="005F41E2"/>
    <w:rsid w:val="005F4493"/>
    <w:rsid w:val="005F49A3"/>
    <w:rsid w:val="005F4C13"/>
    <w:rsid w:val="005F56E4"/>
    <w:rsid w:val="005F57A0"/>
    <w:rsid w:val="005F58A2"/>
    <w:rsid w:val="005F604B"/>
    <w:rsid w:val="005F6B5F"/>
    <w:rsid w:val="005F6B6F"/>
    <w:rsid w:val="005F7FB4"/>
    <w:rsid w:val="006009E4"/>
    <w:rsid w:val="00600EDA"/>
    <w:rsid w:val="006010A9"/>
    <w:rsid w:val="006015AB"/>
    <w:rsid w:val="006017B9"/>
    <w:rsid w:val="00601BF3"/>
    <w:rsid w:val="00601C4F"/>
    <w:rsid w:val="0060202D"/>
    <w:rsid w:val="006020FF"/>
    <w:rsid w:val="00602634"/>
    <w:rsid w:val="006026B6"/>
    <w:rsid w:val="00602C02"/>
    <w:rsid w:val="00602F0F"/>
    <w:rsid w:val="00603236"/>
    <w:rsid w:val="0060365A"/>
    <w:rsid w:val="0060401D"/>
    <w:rsid w:val="0060427D"/>
    <w:rsid w:val="00604454"/>
    <w:rsid w:val="00604531"/>
    <w:rsid w:val="00604BF2"/>
    <w:rsid w:val="00604F96"/>
    <w:rsid w:val="00605015"/>
    <w:rsid w:val="0060520B"/>
    <w:rsid w:val="0060669B"/>
    <w:rsid w:val="0060696F"/>
    <w:rsid w:val="00606B34"/>
    <w:rsid w:val="00606DEB"/>
    <w:rsid w:val="006070A8"/>
    <w:rsid w:val="006074EA"/>
    <w:rsid w:val="00607CE9"/>
    <w:rsid w:val="006101BC"/>
    <w:rsid w:val="006110A4"/>
    <w:rsid w:val="006110DE"/>
    <w:rsid w:val="00611A50"/>
    <w:rsid w:val="00611C53"/>
    <w:rsid w:val="00611F76"/>
    <w:rsid w:val="00612A6B"/>
    <w:rsid w:val="00612FB2"/>
    <w:rsid w:val="006144A9"/>
    <w:rsid w:val="00614749"/>
    <w:rsid w:val="00614C7E"/>
    <w:rsid w:val="00614D57"/>
    <w:rsid w:val="00614E61"/>
    <w:rsid w:val="00615395"/>
    <w:rsid w:val="006156D4"/>
    <w:rsid w:val="00615B65"/>
    <w:rsid w:val="00615F49"/>
    <w:rsid w:val="0061610F"/>
    <w:rsid w:val="006163C6"/>
    <w:rsid w:val="00616530"/>
    <w:rsid w:val="00616DAF"/>
    <w:rsid w:val="00616FF3"/>
    <w:rsid w:val="0061725F"/>
    <w:rsid w:val="00617921"/>
    <w:rsid w:val="006208A0"/>
    <w:rsid w:val="00621040"/>
    <w:rsid w:val="00621636"/>
    <w:rsid w:val="00621C62"/>
    <w:rsid w:val="00621C70"/>
    <w:rsid w:val="00621C77"/>
    <w:rsid w:val="00621F24"/>
    <w:rsid w:val="00622194"/>
    <w:rsid w:val="00622278"/>
    <w:rsid w:val="006223BB"/>
    <w:rsid w:val="00622BF3"/>
    <w:rsid w:val="00622D13"/>
    <w:rsid w:val="00622D51"/>
    <w:rsid w:val="006231FA"/>
    <w:rsid w:val="00623368"/>
    <w:rsid w:val="00623918"/>
    <w:rsid w:val="00623D36"/>
    <w:rsid w:val="00623E3D"/>
    <w:rsid w:val="00624015"/>
    <w:rsid w:val="006245E7"/>
    <w:rsid w:val="006249EC"/>
    <w:rsid w:val="00624A26"/>
    <w:rsid w:val="00624E1C"/>
    <w:rsid w:val="006256C7"/>
    <w:rsid w:val="00625989"/>
    <w:rsid w:val="00625CE7"/>
    <w:rsid w:val="00626765"/>
    <w:rsid w:val="0062745D"/>
    <w:rsid w:val="006277E0"/>
    <w:rsid w:val="0062780B"/>
    <w:rsid w:val="006278F6"/>
    <w:rsid w:val="006302C5"/>
    <w:rsid w:val="00630731"/>
    <w:rsid w:val="00630CCA"/>
    <w:rsid w:val="00632E38"/>
    <w:rsid w:val="00633658"/>
    <w:rsid w:val="006337D2"/>
    <w:rsid w:val="00633F25"/>
    <w:rsid w:val="00634333"/>
    <w:rsid w:val="00634624"/>
    <w:rsid w:val="00634887"/>
    <w:rsid w:val="006349CF"/>
    <w:rsid w:val="00634E5A"/>
    <w:rsid w:val="00635DD7"/>
    <w:rsid w:val="00636109"/>
    <w:rsid w:val="0063641F"/>
    <w:rsid w:val="0063648C"/>
    <w:rsid w:val="00636755"/>
    <w:rsid w:val="00636BD2"/>
    <w:rsid w:val="00636C82"/>
    <w:rsid w:val="00637098"/>
    <w:rsid w:val="00637556"/>
    <w:rsid w:val="006376B8"/>
    <w:rsid w:val="00637BDA"/>
    <w:rsid w:val="00637F8A"/>
    <w:rsid w:val="0064017E"/>
    <w:rsid w:val="00640B55"/>
    <w:rsid w:val="00640D42"/>
    <w:rsid w:val="00641348"/>
    <w:rsid w:val="0064142A"/>
    <w:rsid w:val="00641B9C"/>
    <w:rsid w:val="00641B9E"/>
    <w:rsid w:val="00641E8B"/>
    <w:rsid w:val="006420BC"/>
    <w:rsid w:val="006421EB"/>
    <w:rsid w:val="00642C61"/>
    <w:rsid w:val="00643790"/>
    <w:rsid w:val="00643D0A"/>
    <w:rsid w:val="0064428A"/>
    <w:rsid w:val="00644C54"/>
    <w:rsid w:val="006450DC"/>
    <w:rsid w:val="006451A0"/>
    <w:rsid w:val="006452CE"/>
    <w:rsid w:val="00645369"/>
    <w:rsid w:val="0064546A"/>
    <w:rsid w:val="0064557E"/>
    <w:rsid w:val="0064592D"/>
    <w:rsid w:val="0064647C"/>
    <w:rsid w:val="00646E5A"/>
    <w:rsid w:val="00646FD5"/>
    <w:rsid w:val="00647092"/>
    <w:rsid w:val="00647487"/>
    <w:rsid w:val="00647EF8"/>
    <w:rsid w:val="00647EFF"/>
    <w:rsid w:val="006502DD"/>
    <w:rsid w:val="00650667"/>
    <w:rsid w:val="00650DD4"/>
    <w:rsid w:val="00650E05"/>
    <w:rsid w:val="0065146F"/>
    <w:rsid w:val="006519AF"/>
    <w:rsid w:val="0065202A"/>
    <w:rsid w:val="0065225F"/>
    <w:rsid w:val="006530A2"/>
    <w:rsid w:val="00653130"/>
    <w:rsid w:val="006534B4"/>
    <w:rsid w:val="00653A41"/>
    <w:rsid w:val="00653B8C"/>
    <w:rsid w:val="006543C8"/>
    <w:rsid w:val="006548F0"/>
    <w:rsid w:val="00654F5F"/>
    <w:rsid w:val="00655597"/>
    <w:rsid w:val="006559BE"/>
    <w:rsid w:val="00655ACA"/>
    <w:rsid w:val="00655D14"/>
    <w:rsid w:val="00656120"/>
    <w:rsid w:val="006561CD"/>
    <w:rsid w:val="00656454"/>
    <w:rsid w:val="00657323"/>
    <w:rsid w:val="006576ED"/>
    <w:rsid w:val="00657C0E"/>
    <w:rsid w:val="006616BB"/>
    <w:rsid w:val="00661B2B"/>
    <w:rsid w:val="00661CA6"/>
    <w:rsid w:val="00662C46"/>
    <w:rsid w:val="00662D43"/>
    <w:rsid w:val="0066319F"/>
    <w:rsid w:val="00663880"/>
    <w:rsid w:val="00663A89"/>
    <w:rsid w:val="00664E2C"/>
    <w:rsid w:val="0066502A"/>
    <w:rsid w:val="0066511E"/>
    <w:rsid w:val="0066535C"/>
    <w:rsid w:val="00665518"/>
    <w:rsid w:val="00666296"/>
    <w:rsid w:val="0066673B"/>
    <w:rsid w:val="0066733D"/>
    <w:rsid w:val="00667424"/>
    <w:rsid w:val="006675E8"/>
    <w:rsid w:val="00670CCC"/>
    <w:rsid w:val="00671685"/>
    <w:rsid w:val="006719EE"/>
    <w:rsid w:val="00672328"/>
    <w:rsid w:val="0067290E"/>
    <w:rsid w:val="00672FD2"/>
    <w:rsid w:val="006734DB"/>
    <w:rsid w:val="00673556"/>
    <w:rsid w:val="00673CC0"/>
    <w:rsid w:val="006744ED"/>
    <w:rsid w:val="006745E7"/>
    <w:rsid w:val="00674E19"/>
    <w:rsid w:val="00675B88"/>
    <w:rsid w:val="006767D0"/>
    <w:rsid w:val="00676FE3"/>
    <w:rsid w:val="0067779F"/>
    <w:rsid w:val="00680F11"/>
    <w:rsid w:val="00681960"/>
    <w:rsid w:val="006821C4"/>
    <w:rsid w:val="0068251C"/>
    <w:rsid w:val="006833B1"/>
    <w:rsid w:val="00683D73"/>
    <w:rsid w:val="0068420F"/>
    <w:rsid w:val="00684775"/>
    <w:rsid w:val="00684816"/>
    <w:rsid w:val="00684A24"/>
    <w:rsid w:val="0068521C"/>
    <w:rsid w:val="006858C4"/>
    <w:rsid w:val="00685A3D"/>
    <w:rsid w:val="00686150"/>
    <w:rsid w:val="00686534"/>
    <w:rsid w:val="006872D6"/>
    <w:rsid w:val="0068754C"/>
    <w:rsid w:val="006879A7"/>
    <w:rsid w:val="00690292"/>
    <w:rsid w:val="0069080E"/>
    <w:rsid w:val="00690C6B"/>
    <w:rsid w:val="006917C1"/>
    <w:rsid w:val="00691B07"/>
    <w:rsid w:val="006921F7"/>
    <w:rsid w:val="00692421"/>
    <w:rsid w:val="00693698"/>
    <w:rsid w:val="00693D9C"/>
    <w:rsid w:val="00694538"/>
    <w:rsid w:val="006945CC"/>
    <w:rsid w:val="006947C3"/>
    <w:rsid w:val="006954D9"/>
    <w:rsid w:val="006957D7"/>
    <w:rsid w:val="00695AD0"/>
    <w:rsid w:val="00695DC6"/>
    <w:rsid w:val="00696455"/>
    <w:rsid w:val="006969FB"/>
    <w:rsid w:val="00697251"/>
    <w:rsid w:val="0069746A"/>
    <w:rsid w:val="00697711"/>
    <w:rsid w:val="006A02D8"/>
    <w:rsid w:val="006A0734"/>
    <w:rsid w:val="006A07DB"/>
    <w:rsid w:val="006A0B7C"/>
    <w:rsid w:val="006A0F38"/>
    <w:rsid w:val="006A12A7"/>
    <w:rsid w:val="006A1D6E"/>
    <w:rsid w:val="006A1F9D"/>
    <w:rsid w:val="006A233D"/>
    <w:rsid w:val="006A27BD"/>
    <w:rsid w:val="006A2A93"/>
    <w:rsid w:val="006A2B75"/>
    <w:rsid w:val="006A2DA9"/>
    <w:rsid w:val="006A3DC1"/>
    <w:rsid w:val="006A4129"/>
    <w:rsid w:val="006A4723"/>
    <w:rsid w:val="006A53D1"/>
    <w:rsid w:val="006A5CE0"/>
    <w:rsid w:val="006A5D5D"/>
    <w:rsid w:val="006A62E3"/>
    <w:rsid w:val="006A64C8"/>
    <w:rsid w:val="006A6655"/>
    <w:rsid w:val="006A69B5"/>
    <w:rsid w:val="006A6C6D"/>
    <w:rsid w:val="006A7A96"/>
    <w:rsid w:val="006B0B69"/>
    <w:rsid w:val="006B0EE0"/>
    <w:rsid w:val="006B1A64"/>
    <w:rsid w:val="006B250B"/>
    <w:rsid w:val="006B281F"/>
    <w:rsid w:val="006B292F"/>
    <w:rsid w:val="006B3BC3"/>
    <w:rsid w:val="006B3FB1"/>
    <w:rsid w:val="006B47CD"/>
    <w:rsid w:val="006B4E43"/>
    <w:rsid w:val="006B5808"/>
    <w:rsid w:val="006B5DEB"/>
    <w:rsid w:val="006B606C"/>
    <w:rsid w:val="006B63BE"/>
    <w:rsid w:val="006B679F"/>
    <w:rsid w:val="006B711A"/>
    <w:rsid w:val="006B7222"/>
    <w:rsid w:val="006C00A0"/>
    <w:rsid w:val="006C0392"/>
    <w:rsid w:val="006C0CAB"/>
    <w:rsid w:val="006C0DC9"/>
    <w:rsid w:val="006C10A8"/>
    <w:rsid w:val="006C1778"/>
    <w:rsid w:val="006C1801"/>
    <w:rsid w:val="006C180E"/>
    <w:rsid w:val="006C1E70"/>
    <w:rsid w:val="006C21B8"/>
    <w:rsid w:val="006C267E"/>
    <w:rsid w:val="006C2802"/>
    <w:rsid w:val="006C3188"/>
    <w:rsid w:val="006C3253"/>
    <w:rsid w:val="006C3678"/>
    <w:rsid w:val="006C36F2"/>
    <w:rsid w:val="006C3B3D"/>
    <w:rsid w:val="006C4918"/>
    <w:rsid w:val="006C4A39"/>
    <w:rsid w:val="006C4D0C"/>
    <w:rsid w:val="006C500B"/>
    <w:rsid w:val="006C5607"/>
    <w:rsid w:val="006C5A40"/>
    <w:rsid w:val="006C62CE"/>
    <w:rsid w:val="006C64AF"/>
    <w:rsid w:val="006C64B5"/>
    <w:rsid w:val="006C6A35"/>
    <w:rsid w:val="006C6D94"/>
    <w:rsid w:val="006C71A4"/>
    <w:rsid w:val="006C75CD"/>
    <w:rsid w:val="006D0519"/>
    <w:rsid w:val="006D0CE6"/>
    <w:rsid w:val="006D1BBB"/>
    <w:rsid w:val="006D1D3D"/>
    <w:rsid w:val="006D2014"/>
    <w:rsid w:val="006D2500"/>
    <w:rsid w:val="006D2A8F"/>
    <w:rsid w:val="006D2C93"/>
    <w:rsid w:val="006D2D3E"/>
    <w:rsid w:val="006D2D4D"/>
    <w:rsid w:val="006D31D2"/>
    <w:rsid w:val="006D3F45"/>
    <w:rsid w:val="006D3F5F"/>
    <w:rsid w:val="006D44BB"/>
    <w:rsid w:val="006D4A85"/>
    <w:rsid w:val="006D4B9F"/>
    <w:rsid w:val="006D518C"/>
    <w:rsid w:val="006D5371"/>
    <w:rsid w:val="006D56EB"/>
    <w:rsid w:val="006D5743"/>
    <w:rsid w:val="006D5858"/>
    <w:rsid w:val="006D589C"/>
    <w:rsid w:val="006D63DB"/>
    <w:rsid w:val="006D6671"/>
    <w:rsid w:val="006D6834"/>
    <w:rsid w:val="006D6A27"/>
    <w:rsid w:val="006D71AC"/>
    <w:rsid w:val="006D7648"/>
    <w:rsid w:val="006E00CE"/>
    <w:rsid w:val="006E0583"/>
    <w:rsid w:val="006E0F58"/>
    <w:rsid w:val="006E10CD"/>
    <w:rsid w:val="006E13B8"/>
    <w:rsid w:val="006E1879"/>
    <w:rsid w:val="006E2F7F"/>
    <w:rsid w:val="006E3169"/>
    <w:rsid w:val="006E3896"/>
    <w:rsid w:val="006E3CE0"/>
    <w:rsid w:val="006E3E6F"/>
    <w:rsid w:val="006E3FF8"/>
    <w:rsid w:val="006E4433"/>
    <w:rsid w:val="006E46A6"/>
    <w:rsid w:val="006E46DF"/>
    <w:rsid w:val="006E470C"/>
    <w:rsid w:val="006E50A7"/>
    <w:rsid w:val="006E5462"/>
    <w:rsid w:val="006E55C9"/>
    <w:rsid w:val="006E586B"/>
    <w:rsid w:val="006E5896"/>
    <w:rsid w:val="006E58A3"/>
    <w:rsid w:val="006E5C84"/>
    <w:rsid w:val="006E684A"/>
    <w:rsid w:val="006E6867"/>
    <w:rsid w:val="006E69F7"/>
    <w:rsid w:val="006E6B41"/>
    <w:rsid w:val="006F008A"/>
    <w:rsid w:val="006F05F6"/>
    <w:rsid w:val="006F0889"/>
    <w:rsid w:val="006F1566"/>
    <w:rsid w:val="006F1AD3"/>
    <w:rsid w:val="006F1B17"/>
    <w:rsid w:val="006F1B84"/>
    <w:rsid w:val="006F1DCD"/>
    <w:rsid w:val="006F231A"/>
    <w:rsid w:val="006F2370"/>
    <w:rsid w:val="006F306A"/>
    <w:rsid w:val="006F3075"/>
    <w:rsid w:val="006F32A6"/>
    <w:rsid w:val="006F3569"/>
    <w:rsid w:val="006F3B6D"/>
    <w:rsid w:val="006F3C6D"/>
    <w:rsid w:val="006F3C86"/>
    <w:rsid w:val="006F401B"/>
    <w:rsid w:val="006F4681"/>
    <w:rsid w:val="006F46A8"/>
    <w:rsid w:val="006F4BFB"/>
    <w:rsid w:val="006F4EB5"/>
    <w:rsid w:val="006F4EBA"/>
    <w:rsid w:val="006F53AB"/>
    <w:rsid w:val="006F542C"/>
    <w:rsid w:val="006F5576"/>
    <w:rsid w:val="006F57FC"/>
    <w:rsid w:val="006F5CCD"/>
    <w:rsid w:val="006F5D21"/>
    <w:rsid w:val="006F5F50"/>
    <w:rsid w:val="006F6B41"/>
    <w:rsid w:val="00700027"/>
    <w:rsid w:val="0070031F"/>
    <w:rsid w:val="00700416"/>
    <w:rsid w:val="0070072B"/>
    <w:rsid w:val="00700F10"/>
    <w:rsid w:val="00700FFD"/>
    <w:rsid w:val="00701A27"/>
    <w:rsid w:val="00701A51"/>
    <w:rsid w:val="00701C6D"/>
    <w:rsid w:val="0070203B"/>
    <w:rsid w:val="0070318B"/>
    <w:rsid w:val="007034D3"/>
    <w:rsid w:val="007036B8"/>
    <w:rsid w:val="007037C8"/>
    <w:rsid w:val="00703843"/>
    <w:rsid w:val="00703E07"/>
    <w:rsid w:val="007044D4"/>
    <w:rsid w:val="007046B8"/>
    <w:rsid w:val="0070479D"/>
    <w:rsid w:val="00704954"/>
    <w:rsid w:val="00704CF2"/>
    <w:rsid w:val="00705A5E"/>
    <w:rsid w:val="00705FA4"/>
    <w:rsid w:val="00707AE8"/>
    <w:rsid w:val="007101C3"/>
    <w:rsid w:val="00710C11"/>
    <w:rsid w:val="007110A9"/>
    <w:rsid w:val="007113D4"/>
    <w:rsid w:val="00711D2B"/>
    <w:rsid w:val="007121E3"/>
    <w:rsid w:val="007125EE"/>
    <w:rsid w:val="00712A6D"/>
    <w:rsid w:val="00712A80"/>
    <w:rsid w:val="00712FE0"/>
    <w:rsid w:val="00713DB2"/>
    <w:rsid w:val="00713E7C"/>
    <w:rsid w:val="00713ED4"/>
    <w:rsid w:val="00713F54"/>
    <w:rsid w:val="007144B3"/>
    <w:rsid w:val="007148B4"/>
    <w:rsid w:val="00714A30"/>
    <w:rsid w:val="00714CB3"/>
    <w:rsid w:val="00714F9E"/>
    <w:rsid w:val="00715C52"/>
    <w:rsid w:val="00716042"/>
    <w:rsid w:val="0071606F"/>
    <w:rsid w:val="007166EB"/>
    <w:rsid w:val="007167C3"/>
    <w:rsid w:val="00716CDE"/>
    <w:rsid w:val="00716D9E"/>
    <w:rsid w:val="00717580"/>
    <w:rsid w:val="00717D09"/>
    <w:rsid w:val="007205E3"/>
    <w:rsid w:val="00720B9E"/>
    <w:rsid w:val="0072127C"/>
    <w:rsid w:val="00722125"/>
    <w:rsid w:val="00722230"/>
    <w:rsid w:val="0072314E"/>
    <w:rsid w:val="00723C27"/>
    <w:rsid w:val="00723DAF"/>
    <w:rsid w:val="007243DA"/>
    <w:rsid w:val="00724F4D"/>
    <w:rsid w:val="0072515D"/>
    <w:rsid w:val="00725B18"/>
    <w:rsid w:val="00725F24"/>
    <w:rsid w:val="00726332"/>
    <w:rsid w:val="00726691"/>
    <w:rsid w:val="00726CF5"/>
    <w:rsid w:val="007274B9"/>
    <w:rsid w:val="007274E2"/>
    <w:rsid w:val="00727A6C"/>
    <w:rsid w:val="00727DF2"/>
    <w:rsid w:val="007301A6"/>
    <w:rsid w:val="00730294"/>
    <w:rsid w:val="00730365"/>
    <w:rsid w:val="00730746"/>
    <w:rsid w:val="00730A52"/>
    <w:rsid w:val="00730D7D"/>
    <w:rsid w:val="00730F7C"/>
    <w:rsid w:val="007315A5"/>
    <w:rsid w:val="0073208D"/>
    <w:rsid w:val="007320AD"/>
    <w:rsid w:val="00732DA0"/>
    <w:rsid w:val="007331F5"/>
    <w:rsid w:val="007332E9"/>
    <w:rsid w:val="0073374F"/>
    <w:rsid w:val="00734093"/>
    <w:rsid w:val="0073431A"/>
    <w:rsid w:val="00734BBB"/>
    <w:rsid w:val="00734ED8"/>
    <w:rsid w:val="00734EE3"/>
    <w:rsid w:val="007352BE"/>
    <w:rsid w:val="0073554A"/>
    <w:rsid w:val="00735BA8"/>
    <w:rsid w:val="00735BC4"/>
    <w:rsid w:val="00735D7D"/>
    <w:rsid w:val="00736B05"/>
    <w:rsid w:val="00736E9A"/>
    <w:rsid w:val="00736FBD"/>
    <w:rsid w:val="0073770F"/>
    <w:rsid w:val="00737BBE"/>
    <w:rsid w:val="00740F7D"/>
    <w:rsid w:val="00741326"/>
    <w:rsid w:val="00741369"/>
    <w:rsid w:val="00741B71"/>
    <w:rsid w:val="00741B80"/>
    <w:rsid w:val="00742324"/>
    <w:rsid w:val="00743227"/>
    <w:rsid w:val="007438D9"/>
    <w:rsid w:val="00743DAA"/>
    <w:rsid w:val="00744093"/>
    <w:rsid w:val="00745A4F"/>
    <w:rsid w:val="00745EE8"/>
    <w:rsid w:val="00745FEC"/>
    <w:rsid w:val="0074694F"/>
    <w:rsid w:val="007469CA"/>
    <w:rsid w:val="00746E91"/>
    <w:rsid w:val="00746ECC"/>
    <w:rsid w:val="00746FD2"/>
    <w:rsid w:val="007476A3"/>
    <w:rsid w:val="0074785B"/>
    <w:rsid w:val="00747905"/>
    <w:rsid w:val="00747935"/>
    <w:rsid w:val="00750002"/>
    <w:rsid w:val="0075010A"/>
    <w:rsid w:val="00750A7F"/>
    <w:rsid w:val="00750B54"/>
    <w:rsid w:val="00750B63"/>
    <w:rsid w:val="00751611"/>
    <w:rsid w:val="00751996"/>
    <w:rsid w:val="00751CE0"/>
    <w:rsid w:val="00752347"/>
    <w:rsid w:val="00752650"/>
    <w:rsid w:val="00752872"/>
    <w:rsid w:val="007529B6"/>
    <w:rsid w:val="00752C24"/>
    <w:rsid w:val="00753B68"/>
    <w:rsid w:val="00754C53"/>
    <w:rsid w:val="00754E3D"/>
    <w:rsid w:val="007557B6"/>
    <w:rsid w:val="007559A3"/>
    <w:rsid w:val="0075600F"/>
    <w:rsid w:val="007563A9"/>
    <w:rsid w:val="007572AF"/>
    <w:rsid w:val="00757B73"/>
    <w:rsid w:val="0076014A"/>
    <w:rsid w:val="00760485"/>
    <w:rsid w:val="007608C3"/>
    <w:rsid w:val="00760A83"/>
    <w:rsid w:val="00760FAE"/>
    <w:rsid w:val="00761088"/>
    <w:rsid w:val="00761A9D"/>
    <w:rsid w:val="00761C1D"/>
    <w:rsid w:val="0076241E"/>
    <w:rsid w:val="00762E46"/>
    <w:rsid w:val="00763425"/>
    <w:rsid w:val="0076365D"/>
    <w:rsid w:val="00763B2D"/>
    <w:rsid w:val="00763E1B"/>
    <w:rsid w:val="00764AE8"/>
    <w:rsid w:val="007650C0"/>
    <w:rsid w:val="007654BD"/>
    <w:rsid w:val="0076551D"/>
    <w:rsid w:val="007655D2"/>
    <w:rsid w:val="00765605"/>
    <w:rsid w:val="00765668"/>
    <w:rsid w:val="00765A51"/>
    <w:rsid w:val="00765EAE"/>
    <w:rsid w:val="00766074"/>
    <w:rsid w:val="00766169"/>
    <w:rsid w:val="00766357"/>
    <w:rsid w:val="00767972"/>
    <w:rsid w:val="00767A2D"/>
    <w:rsid w:val="00767AA7"/>
    <w:rsid w:val="00767B3C"/>
    <w:rsid w:val="00767CCC"/>
    <w:rsid w:val="0077013D"/>
    <w:rsid w:val="0077017C"/>
    <w:rsid w:val="007705D9"/>
    <w:rsid w:val="00770CE3"/>
    <w:rsid w:val="00770FA2"/>
    <w:rsid w:val="007711CD"/>
    <w:rsid w:val="007720B8"/>
    <w:rsid w:val="007744B6"/>
    <w:rsid w:val="007746D3"/>
    <w:rsid w:val="00774FA3"/>
    <w:rsid w:val="00775447"/>
    <w:rsid w:val="00775B2F"/>
    <w:rsid w:val="00775EA2"/>
    <w:rsid w:val="007772C6"/>
    <w:rsid w:val="00777475"/>
    <w:rsid w:val="007774D4"/>
    <w:rsid w:val="00777634"/>
    <w:rsid w:val="007779C7"/>
    <w:rsid w:val="00777E0D"/>
    <w:rsid w:val="0078094B"/>
    <w:rsid w:val="00780D5C"/>
    <w:rsid w:val="00781001"/>
    <w:rsid w:val="007817F2"/>
    <w:rsid w:val="007818F6"/>
    <w:rsid w:val="00781BE4"/>
    <w:rsid w:val="00781C36"/>
    <w:rsid w:val="00781C3A"/>
    <w:rsid w:val="00782030"/>
    <w:rsid w:val="00782155"/>
    <w:rsid w:val="007833D1"/>
    <w:rsid w:val="007835B6"/>
    <w:rsid w:val="0078366C"/>
    <w:rsid w:val="0078370B"/>
    <w:rsid w:val="007839F6"/>
    <w:rsid w:val="00783BBD"/>
    <w:rsid w:val="00783D8F"/>
    <w:rsid w:val="00785459"/>
    <w:rsid w:val="007857D1"/>
    <w:rsid w:val="00785AC7"/>
    <w:rsid w:val="00785D02"/>
    <w:rsid w:val="00786061"/>
    <w:rsid w:val="00786879"/>
    <w:rsid w:val="00787172"/>
    <w:rsid w:val="007876F8"/>
    <w:rsid w:val="00790056"/>
    <w:rsid w:val="007903C7"/>
    <w:rsid w:val="00790A2E"/>
    <w:rsid w:val="00790B56"/>
    <w:rsid w:val="00790C4A"/>
    <w:rsid w:val="007910BB"/>
    <w:rsid w:val="00791CF5"/>
    <w:rsid w:val="007926FF"/>
    <w:rsid w:val="00793AF3"/>
    <w:rsid w:val="00793BE2"/>
    <w:rsid w:val="00793BF1"/>
    <w:rsid w:val="00794003"/>
    <w:rsid w:val="007944FA"/>
    <w:rsid w:val="007945DA"/>
    <w:rsid w:val="00794656"/>
    <w:rsid w:val="007946EF"/>
    <w:rsid w:val="007949A0"/>
    <w:rsid w:val="007952FF"/>
    <w:rsid w:val="0079543E"/>
    <w:rsid w:val="007956DB"/>
    <w:rsid w:val="00795E14"/>
    <w:rsid w:val="0079615C"/>
    <w:rsid w:val="00796706"/>
    <w:rsid w:val="00796FF2"/>
    <w:rsid w:val="007A0753"/>
    <w:rsid w:val="007A0EA8"/>
    <w:rsid w:val="007A0FFD"/>
    <w:rsid w:val="007A1320"/>
    <w:rsid w:val="007A1A37"/>
    <w:rsid w:val="007A1BCE"/>
    <w:rsid w:val="007A1D19"/>
    <w:rsid w:val="007A1F82"/>
    <w:rsid w:val="007A213A"/>
    <w:rsid w:val="007A23BE"/>
    <w:rsid w:val="007A2C5A"/>
    <w:rsid w:val="007A3812"/>
    <w:rsid w:val="007A3C9C"/>
    <w:rsid w:val="007A404B"/>
    <w:rsid w:val="007A431C"/>
    <w:rsid w:val="007A4B8B"/>
    <w:rsid w:val="007A5714"/>
    <w:rsid w:val="007A5BB9"/>
    <w:rsid w:val="007A6272"/>
    <w:rsid w:val="007A66E2"/>
    <w:rsid w:val="007A6AF8"/>
    <w:rsid w:val="007A76D6"/>
    <w:rsid w:val="007B0287"/>
    <w:rsid w:val="007B0380"/>
    <w:rsid w:val="007B04A2"/>
    <w:rsid w:val="007B0962"/>
    <w:rsid w:val="007B0A0A"/>
    <w:rsid w:val="007B0BD7"/>
    <w:rsid w:val="007B0EA9"/>
    <w:rsid w:val="007B154A"/>
    <w:rsid w:val="007B15CD"/>
    <w:rsid w:val="007B1C0B"/>
    <w:rsid w:val="007B1CD9"/>
    <w:rsid w:val="007B2529"/>
    <w:rsid w:val="007B2744"/>
    <w:rsid w:val="007B28AC"/>
    <w:rsid w:val="007B2B08"/>
    <w:rsid w:val="007B2B6A"/>
    <w:rsid w:val="007B2D9C"/>
    <w:rsid w:val="007B3729"/>
    <w:rsid w:val="007B376A"/>
    <w:rsid w:val="007B3DE3"/>
    <w:rsid w:val="007B42DB"/>
    <w:rsid w:val="007B503F"/>
    <w:rsid w:val="007B5D7D"/>
    <w:rsid w:val="007B62AB"/>
    <w:rsid w:val="007B642A"/>
    <w:rsid w:val="007B68B1"/>
    <w:rsid w:val="007B6C1D"/>
    <w:rsid w:val="007C0555"/>
    <w:rsid w:val="007C0BA7"/>
    <w:rsid w:val="007C0DFC"/>
    <w:rsid w:val="007C1A08"/>
    <w:rsid w:val="007C1B7E"/>
    <w:rsid w:val="007C1D1C"/>
    <w:rsid w:val="007C2BF1"/>
    <w:rsid w:val="007C2EEC"/>
    <w:rsid w:val="007C37AD"/>
    <w:rsid w:val="007C46F0"/>
    <w:rsid w:val="007C49BC"/>
    <w:rsid w:val="007C4C78"/>
    <w:rsid w:val="007C529D"/>
    <w:rsid w:val="007C5560"/>
    <w:rsid w:val="007C58B1"/>
    <w:rsid w:val="007C5A97"/>
    <w:rsid w:val="007C5A99"/>
    <w:rsid w:val="007C5D37"/>
    <w:rsid w:val="007C5F82"/>
    <w:rsid w:val="007C61C9"/>
    <w:rsid w:val="007C6468"/>
    <w:rsid w:val="007C68A2"/>
    <w:rsid w:val="007C6904"/>
    <w:rsid w:val="007C6D0F"/>
    <w:rsid w:val="007C75AF"/>
    <w:rsid w:val="007C7D35"/>
    <w:rsid w:val="007D0220"/>
    <w:rsid w:val="007D03DD"/>
    <w:rsid w:val="007D0BA7"/>
    <w:rsid w:val="007D1A0A"/>
    <w:rsid w:val="007D1E35"/>
    <w:rsid w:val="007D229A"/>
    <w:rsid w:val="007D25AE"/>
    <w:rsid w:val="007D2F2D"/>
    <w:rsid w:val="007D398D"/>
    <w:rsid w:val="007D3B16"/>
    <w:rsid w:val="007D3C7D"/>
    <w:rsid w:val="007D3D3A"/>
    <w:rsid w:val="007D42DE"/>
    <w:rsid w:val="007D4666"/>
    <w:rsid w:val="007D4677"/>
    <w:rsid w:val="007D46CD"/>
    <w:rsid w:val="007D4EAB"/>
    <w:rsid w:val="007D51A1"/>
    <w:rsid w:val="007D634E"/>
    <w:rsid w:val="007D67B0"/>
    <w:rsid w:val="007D7021"/>
    <w:rsid w:val="007D7BFE"/>
    <w:rsid w:val="007D7EBA"/>
    <w:rsid w:val="007E06E6"/>
    <w:rsid w:val="007E0853"/>
    <w:rsid w:val="007E08E0"/>
    <w:rsid w:val="007E0B4B"/>
    <w:rsid w:val="007E11B1"/>
    <w:rsid w:val="007E1F3D"/>
    <w:rsid w:val="007E3A62"/>
    <w:rsid w:val="007E3ADB"/>
    <w:rsid w:val="007E40F0"/>
    <w:rsid w:val="007E4279"/>
    <w:rsid w:val="007E428B"/>
    <w:rsid w:val="007E430A"/>
    <w:rsid w:val="007E4586"/>
    <w:rsid w:val="007E46FC"/>
    <w:rsid w:val="007E4A1C"/>
    <w:rsid w:val="007E4E53"/>
    <w:rsid w:val="007E55ED"/>
    <w:rsid w:val="007E5645"/>
    <w:rsid w:val="007E5B62"/>
    <w:rsid w:val="007E5EF1"/>
    <w:rsid w:val="007E5F98"/>
    <w:rsid w:val="007E60D5"/>
    <w:rsid w:val="007E6B50"/>
    <w:rsid w:val="007E6E9B"/>
    <w:rsid w:val="007E75E7"/>
    <w:rsid w:val="007E7648"/>
    <w:rsid w:val="007E76CF"/>
    <w:rsid w:val="007F0261"/>
    <w:rsid w:val="007F0749"/>
    <w:rsid w:val="007F07DC"/>
    <w:rsid w:val="007F07E5"/>
    <w:rsid w:val="007F09F8"/>
    <w:rsid w:val="007F0ED3"/>
    <w:rsid w:val="007F1B01"/>
    <w:rsid w:val="007F247B"/>
    <w:rsid w:val="007F2722"/>
    <w:rsid w:val="007F273D"/>
    <w:rsid w:val="007F2748"/>
    <w:rsid w:val="007F2BF5"/>
    <w:rsid w:val="007F2C59"/>
    <w:rsid w:val="007F304E"/>
    <w:rsid w:val="007F308B"/>
    <w:rsid w:val="007F31AB"/>
    <w:rsid w:val="007F3420"/>
    <w:rsid w:val="007F36BE"/>
    <w:rsid w:val="007F37E3"/>
    <w:rsid w:val="007F3918"/>
    <w:rsid w:val="007F39A1"/>
    <w:rsid w:val="007F4961"/>
    <w:rsid w:val="007F4E35"/>
    <w:rsid w:val="007F5143"/>
    <w:rsid w:val="007F5295"/>
    <w:rsid w:val="007F532B"/>
    <w:rsid w:val="007F5B7B"/>
    <w:rsid w:val="007F611B"/>
    <w:rsid w:val="007F62B0"/>
    <w:rsid w:val="007F632C"/>
    <w:rsid w:val="007F6D58"/>
    <w:rsid w:val="007F6D95"/>
    <w:rsid w:val="007F72EF"/>
    <w:rsid w:val="007F786E"/>
    <w:rsid w:val="007F7B39"/>
    <w:rsid w:val="007F7C48"/>
    <w:rsid w:val="008002DF"/>
    <w:rsid w:val="008008DD"/>
    <w:rsid w:val="008017BE"/>
    <w:rsid w:val="00801EB2"/>
    <w:rsid w:val="008024CA"/>
    <w:rsid w:val="00802792"/>
    <w:rsid w:val="00802952"/>
    <w:rsid w:val="00802B84"/>
    <w:rsid w:val="008030A4"/>
    <w:rsid w:val="0080312A"/>
    <w:rsid w:val="00803928"/>
    <w:rsid w:val="00803A46"/>
    <w:rsid w:val="00804162"/>
    <w:rsid w:val="008042DD"/>
    <w:rsid w:val="00804E4E"/>
    <w:rsid w:val="00804F15"/>
    <w:rsid w:val="00805076"/>
    <w:rsid w:val="008050D1"/>
    <w:rsid w:val="0080568C"/>
    <w:rsid w:val="008058AF"/>
    <w:rsid w:val="00805C02"/>
    <w:rsid w:val="00806144"/>
    <w:rsid w:val="00806304"/>
    <w:rsid w:val="00806834"/>
    <w:rsid w:val="008070AD"/>
    <w:rsid w:val="00807920"/>
    <w:rsid w:val="00810069"/>
    <w:rsid w:val="008101F8"/>
    <w:rsid w:val="008102D4"/>
    <w:rsid w:val="008104C5"/>
    <w:rsid w:val="008105E8"/>
    <w:rsid w:val="008107BA"/>
    <w:rsid w:val="00810CBF"/>
    <w:rsid w:val="0081108A"/>
    <w:rsid w:val="008111D5"/>
    <w:rsid w:val="00811313"/>
    <w:rsid w:val="008113A3"/>
    <w:rsid w:val="0081147D"/>
    <w:rsid w:val="00812267"/>
    <w:rsid w:val="00812E0A"/>
    <w:rsid w:val="008134C3"/>
    <w:rsid w:val="00814315"/>
    <w:rsid w:val="008144B4"/>
    <w:rsid w:val="008147BE"/>
    <w:rsid w:val="00815034"/>
    <w:rsid w:val="0081567E"/>
    <w:rsid w:val="00815694"/>
    <w:rsid w:val="00815A33"/>
    <w:rsid w:val="00815FED"/>
    <w:rsid w:val="00816037"/>
    <w:rsid w:val="0081638F"/>
    <w:rsid w:val="00816893"/>
    <w:rsid w:val="008169FE"/>
    <w:rsid w:val="00816CA6"/>
    <w:rsid w:val="00816D29"/>
    <w:rsid w:val="00817218"/>
    <w:rsid w:val="0081726E"/>
    <w:rsid w:val="008176D3"/>
    <w:rsid w:val="0082019A"/>
    <w:rsid w:val="00820218"/>
    <w:rsid w:val="008211AD"/>
    <w:rsid w:val="00821323"/>
    <w:rsid w:val="008216AD"/>
    <w:rsid w:val="00821892"/>
    <w:rsid w:val="00821C24"/>
    <w:rsid w:val="00821D27"/>
    <w:rsid w:val="00822212"/>
    <w:rsid w:val="00822994"/>
    <w:rsid w:val="00822E47"/>
    <w:rsid w:val="008231EC"/>
    <w:rsid w:val="00823856"/>
    <w:rsid w:val="00823A24"/>
    <w:rsid w:val="00823BC1"/>
    <w:rsid w:val="00823E1D"/>
    <w:rsid w:val="00823E37"/>
    <w:rsid w:val="00823F6C"/>
    <w:rsid w:val="00824938"/>
    <w:rsid w:val="00824A1A"/>
    <w:rsid w:val="00824CAC"/>
    <w:rsid w:val="00825499"/>
    <w:rsid w:val="008257A1"/>
    <w:rsid w:val="008257A8"/>
    <w:rsid w:val="0082643C"/>
    <w:rsid w:val="00826784"/>
    <w:rsid w:val="00826F67"/>
    <w:rsid w:val="00826F9C"/>
    <w:rsid w:val="00827BA5"/>
    <w:rsid w:val="00830413"/>
    <w:rsid w:val="008306FF"/>
    <w:rsid w:val="0083071F"/>
    <w:rsid w:val="00830847"/>
    <w:rsid w:val="00830913"/>
    <w:rsid w:val="008312C1"/>
    <w:rsid w:val="00831332"/>
    <w:rsid w:val="0083134E"/>
    <w:rsid w:val="0083157D"/>
    <w:rsid w:val="00831D5C"/>
    <w:rsid w:val="00832489"/>
    <w:rsid w:val="0083270F"/>
    <w:rsid w:val="00832AFB"/>
    <w:rsid w:val="00832BAE"/>
    <w:rsid w:val="00832F44"/>
    <w:rsid w:val="0083336A"/>
    <w:rsid w:val="00833C89"/>
    <w:rsid w:val="0083474E"/>
    <w:rsid w:val="00834B2F"/>
    <w:rsid w:val="00834E6A"/>
    <w:rsid w:val="00835DA9"/>
    <w:rsid w:val="00836A56"/>
    <w:rsid w:val="00836DE6"/>
    <w:rsid w:val="00836F38"/>
    <w:rsid w:val="0083737D"/>
    <w:rsid w:val="008376CA"/>
    <w:rsid w:val="00837CC5"/>
    <w:rsid w:val="00840533"/>
    <w:rsid w:val="00841290"/>
    <w:rsid w:val="008412E5"/>
    <w:rsid w:val="008419C9"/>
    <w:rsid w:val="00841ACD"/>
    <w:rsid w:val="00841BD4"/>
    <w:rsid w:val="00841D96"/>
    <w:rsid w:val="00841DAA"/>
    <w:rsid w:val="008420C8"/>
    <w:rsid w:val="008425BB"/>
    <w:rsid w:val="008425E5"/>
    <w:rsid w:val="008428CF"/>
    <w:rsid w:val="008429E1"/>
    <w:rsid w:val="00842E63"/>
    <w:rsid w:val="0084304E"/>
    <w:rsid w:val="008431E5"/>
    <w:rsid w:val="00843612"/>
    <w:rsid w:val="00843646"/>
    <w:rsid w:val="00844714"/>
    <w:rsid w:val="00844BA4"/>
    <w:rsid w:val="00844BAF"/>
    <w:rsid w:val="00844E9A"/>
    <w:rsid w:val="00844F9B"/>
    <w:rsid w:val="008451B0"/>
    <w:rsid w:val="008455B9"/>
    <w:rsid w:val="00845DF8"/>
    <w:rsid w:val="008461F2"/>
    <w:rsid w:val="00846394"/>
    <w:rsid w:val="00846773"/>
    <w:rsid w:val="008469D4"/>
    <w:rsid w:val="00846AC0"/>
    <w:rsid w:val="00850130"/>
    <w:rsid w:val="008508A6"/>
    <w:rsid w:val="008509E8"/>
    <w:rsid w:val="00850A6D"/>
    <w:rsid w:val="00850B62"/>
    <w:rsid w:val="00850D19"/>
    <w:rsid w:val="00850F9B"/>
    <w:rsid w:val="008513B9"/>
    <w:rsid w:val="00851405"/>
    <w:rsid w:val="00851760"/>
    <w:rsid w:val="00852792"/>
    <w:rsid w:val="00852DA8"/>
    <w:rsid w:val="00852EAB"/>
    <w:rsid w:val="00854120"/>
    <w:rsid w:val="0085445D"/>
    <w:rsid w:val="00854F4F"/>
    <w:rsid w:val="00855A1A"/>
    <w:rsid w:val="00855FD7"/>
    <w:rsid w:val="0085652F"/>
    <w:rsid w:val="00856E91"/>
    <w:rsid w:val="0085702B"/>
    <w:rsid w:val="0085718A"/>
    <w:rsid w:val="008577F9"/>
    <w:rsid w:val="00857C41"/>
    <w:rsid w:val="00861844"/>
    <w:rsid w:val="00861A78"/>
    <w:rsid w:val="00861E41"/>
    <w:rsid w:val="0086203E"/>
    <w:rsid w:val="008622AD"/>
    <w:rsid w:val="00862302"/>
    <w:rsid w:val="0086285C"/>
    <w:rsid w:val="008629C2"/>
    <w:rsid w:val="00862AB5"/>
    <w:rsid w:val="00862D3E"/>
    <w:rsid w:val="00862EB0"/>
    <w:rsid w:val="00862EBE"/>
    <w:rsid w:val="00862FEE"/>
    <w:rsid w:val="00863BC2"/>
    <w:rsid w:val="00863D2E"/>
    <w:rsid w:val="00865480"/>
    <w:rsid w:val="00866486"/>
    <w:rsid w:val="00866490"/>
    <w:rsid w:val="00866B7B"/>
    <w:rsid w:val="00866FE6"/>
    <w:rsid w:val="008670A1"/>
    <w:rsid w:val="00867147"/>
    <w:rsid w:val="00867202"/>
    <w:rsid w:val="00867DB0"/>
    <w:rsid w:val="00867EC3"/>
    <w:rsid w:val="008701EE"/>
    <w:rsid w:val="00870511"/>
    <w:rsid w:val="00870A23"/>
    <w:rsid w:val="00870ABD"/>
    <w:rsid w:val="00870C8C"/>
    <w:rsid w:val="0087146D"/>
    <w:rsid w:val="0087191A"/>
    <w:rsid w:val="00871A75"/>
    <w:rsid w:val="00871B52"/>
    <w:rsid w:val="00871D66"/>
    <w:rsid w:val="0087248E"/>
    <w:rsid w:val="0087329E"/>
    <w:rsid w:val="008739BE"/>
    <w:rsid w:val="00873BF6"/>
    <w:rsid w:val="0087498B"/>
    <w:rsid w:val="008755EE"/>
    <w:rsid w:val="008758CD"/>
    <w:rsid w:val="008759F5"/>
    <w:rsid w:val="008762F5"/>
    <w:rsid w:val="008765CC"/>
    <w:rsid w:val="00876F97"/>
    <w:rsid w:val="0087729C"/>
    <w:rsid w:val="0087793F"/>
    <w:rsid w:val="00877E8C"/>
    <w:rsid w:val="008800A9"/>
    <w:rsid w:val="00880CE9"/>
    <w:rsid w:val="00881A0A"/>
    <w:rsid w:val="00882788"/>
    <w:rsid w:val="00882BC6"/>
    <w:rsid w:val="00882F8A"/>
    <w:rsid w:val="00883011"/>
    <w:rsid w:val="0088304F"/>
    <w:rsid w:val="0088350C"/>
    <w:rsid w:val="0088354E"/>
    <w:rsid w:val="00883C23"/>
    <w:rsid w:val="00884792"/>
    <w:rsid w:val="00884952"/>
    <w:rsid w:val="00884C5B"/>
    <w:rsid w:val="00884CD9"/>
    <w:rsid w:val="00885E7E"/>
    <w:rsid w:val="00886012"/>
    <w:rsid w:val="00886368"/>
    <w:rsid w:val="00886DB5"/>
    <w:rsid w:val="00886F5E"/>
    <w:rsid w:val="00886F75"/>
    <w:rsid w:val="0088772A"/>
    <w:rsid w:val="00890301"/>
    <w:rsid w:val="0089063D"/>
    <w:rsid w:val="008919AB"/>
    <w:rsid w:val="00891FC3"/>
    <w:rsid w:val="008921F4"/>
    <w:rsid w:val="0089230E"/>
    <w:rsid w:val="00892317"/>
    <w:rsid w:val="00892621"/>
    <w:rsid w:val="008929F8"/>
    <w:rsid w:val="00892B29"/>
    <w:rsid w:val="00892E3A"/>
    <w:rsid w:val="00893B6B"/>
    <w:rsid w:val="00893BAB"/>
    <w:rsid w:val="00894068"/>
    <w:rsid w:val="00894211"/>
    <w:rsid w:val="008943DD"/>
    <w:rsid w:val="0089463A"/>
    <w:rsid w:val="00895B26"/>
    <w:rsid w:val="00896CBA"/>
    <w:rsid w:val="00896D07"/>
    <w:rsid w:val="00896F03"/>
    <w:rsid w:val="008A01E7"/>
    <w:rsid w:val="008A0500"/>
    <w:rsid w:val="008A0D65"/>
    <w:rsid w:val="008A0FF9"/>
    <w:rsid w:val="008A1443"/>
    <w:rsid w:val="008A15AE"/>
    <w:rsid w:val="008A2563"/>
    <w:rsid w:val="008A2895"/>
    <w:rsid w:val="008A29E6"/>
    <w:rsid w:val="008A39A3"/>
    <w:rsid w:val="008A3EA9"/>
    <w:rsid w:val="008A433E"/>
    <w:rsid w:val="008A4685"/>
    <w:rsid w:val="008A4996"/>
    <w:rsid w:val="008A4BC0"/>
    <w:rsid w:val="008A58FF"/>
    <w:rsid w:val="008A5963"/>
    <w:rsid w:val="008A59B6"/>
    <w:rsid w:val="008A61AE"/>
    <w:rsid w:val="008A6ADD"/>
    <w:rsid w:val="008A6EA0"/>
    <w:rsid w:val="008A7149"/>
    <w:rsid w:val="008A7529"/>
    <w:rsid w:val="008A75B8"/>
    <w:rsid w:val="008A7A44"/>
    <w:rsid w:val="008A7BA1"/>
    <w:rsid w:val="008B0178"/>
    <w:rsid w:val="008B0CA1"/>
    <w:rsid w:val="008B0FEA"/>
    <w:rsid w:val="008B1A4C"/>
    <w:rsid w:val="008B279A"/>
    <w:rsid w:val="008B2A72"/>
    <w:rsid w:val="008B2AE9"/>
    <w:rsid w:val="008B2DD1"/>
    <w:rsid w:val="008B3261"/>
    <w:rsid w:val="008B34DD"/>
    <w:rsid w:val="008B37BD"/>
    <w:rsid w:val="008B3A6E"/>
    <w:rsid w:val="008B3E39"/>
    <w:rsid w:val="008B41D1"/>
    <w:rsid w:val="008B472A"/>
    <w:rsid w:val="008B4AB3"/>
    <w:rsid w:val="008B4C97"/>
    <w:rsid w:val="008B4F1D"/>
    <w:rsid w:val="008B568C"/>
    <w:rsid w:val="008B68A2"/>
    <w:rsid w:val="008B7A1A"/>
    <w:rsid w:val="008B7B7B"/>
    <w:rsid w:val="008B7CD5"/>
    <w:rsid w:val="008C0709"/>
    <w:rsid w:val="008C0779"/>
    <w:rsid w:val="008C0C1E"/>
    <w:rsid w:val="008C0E3E"/>
    <w:rsid w:val="008C1827"/>
    <w:rsid w:val="008C2A2C"/>
    <w:rsid w:val="008C2B30"/>
    <w:rsid w:val="008C44B4"/>
    <w:rsid w:val="008C55E3"/>
    <w:rsid w:val="008C55F0"/>
    <w:rsid w:val="008C5AD7"/>
    <w:rsid w:val="008C5C5C"/>
    <w:rsid w:val="008C5D32"/>
    <w:rsid w:val="008C5E80"/>
    <w:rsid w:val="008C62F6"/>
    <w:rsid w:val="008C667D"/>
    <w:rsid w:val="008C67EC"/>
    <w:rsid w:val="008C6AF4"/>
    <w:rsid w:val="008C6C19"/>
    <w:rsid w:val="008C6F7F"/>
    <w:rsid w:val="008C724C"/>
    <w:rsid w:val="008C7BA1"/>
    <w:rsid w:val="008C7EF7"/>
    <w:rsid w:val="008D0356"/>
    <w:rsid w:val="008D04EB"/>
    <w:rsid w:val="008D0B38"/>
    <w:rsid w:val="008D0BBC"/>
    <w:rsid w:val="008D194D"/>
    <w:rsid w:val="008D1CEA"/>
    <w:rsid w:val="008D2068"/>
    <w:rsid w:val="008D2708"/>
    <w:rsid w:val="008D2AFF"/>
    <w:rsid w:val="008D2BCC"/>
    <w:rsid w:val="008D2C5A"/>
    <w:rsid w:val="008D34A7"/>
    <w:rsid w:val="008D3A58"/>
    <w:rsid w:val="008D428E"/>
    <w:rsid w:val="008D44AA"/>
    <w:rsid w:val="008D456F"/>
    <w:rsid w:val="008D4A96"/>
    <w:rsid w:val="008D4B66"/>
    <w:rsid w:val="008D4E25"/>
    <w:rsid w:val="008D522B"/>
    <w:rsid w:val="008D54D6"/>
    <w:rsid w:val="008D583C"/>
    <w:rsid w:val="008D5933"/>
    <w:rsid w:val="008D5C03"/>
    <w:rsid w:val="008D5DE3"/>
    <w:rsid w:val="008D67DA"/>
    <w:rsid w:val="008D6DE1"/>
    <w:rsid w:val="008D79AF"/>
    <w:rsid w:val="008E0015"/>
    <w:rsid w:val="008E081F"/>
    <w:rsid w:val="008E0ECB"/>
    <w:rsid w:val="008E1511"/>
    <w:rsid w:val="008E20BB"/>
    <w:rsid w:val="008E2320"/>
    <w:rsid w:val="008E2515"/>
    <w:rsid w:val="008E2CAB"/>
    <w:rsid w:val="008E3568"/>
    <w:rsid w:val="008E36A9"/>
    <w:rsid w:val="008E3882"/>
    <w:rsid w:val="008E3B54"/>
    <w:rsid w:val="008E3CB1"/>
    <w:rsid w:val="008E41A2"/>
    <w:rsid w:val="008E4704"/>
    <w:rsid w:val="008E4AE2"/>
    <w:rsid w:val="008E4DEB"/>
    <w:rsid w:val="008E540D"/>
    <w:rsid w:val="008E61DB"/>
    <w:rsid w:val="008E665C"/>
    <w:rsid w:val="008E6A21"/>
    <w:rsid w:val="008E7197"/>
    <w:rsid w:val="008E7807"/>
    <w:rsid w:val="008F0A34"/>
    <w:rsid w:val="008F0FFD"/>
    <w:rsid w:val="008F1685"/>
    <w:rsid w:val="008F1790"/>
    <w:rsid w:val="008F2931"/>
    <w:rsid w:val="008F2E67"/>
    <w:rsid w:val="008F31C8"/>
    <w:rsid w:val="008F3969"/>
    <w:rsid w:val="008F4CFC"/>
    <w:rsid w:val="008F5366"/>
    <w:rsid w:val="008F543F"/>
    <w:rsid w:val="008F54E7"/>
    <w:rsid w:val="008F65F5"/>
    <w:rsid w:val="008F66EB"/>
    <w:rsid w:val="008F6E67"/>
    <w:rsid w:val="008F746B"/>
    <w:rsid w:val="008F7C70"/>
    <w:rsid w:val="00900B93"/>
    <w:rsid w:val="00902223"/>
    <w:rsid w:val="00902489"/>
    <w:rsid w:val="0090285F"/>
    <w:rsid w:val="00902EF7"/>
    <w:rsid w:val="009033B7"/>
    <w:rsid w:val="009035C7"/>
    <w:rsid w:val="00903863"/>
    <w:rsid w:val="009043E9"/>
    <w:rsid w:val="00904458"/>
    <w:rsid w:val="0090490E"/>
    <w:rsid w:val="00904B37"/>
    <w:rsid w:val="00904F53"/>
    <w:rsid w:val="00905953"/>
    <w:rsid w:val="00905B62"/>
    <w:rsid w:val="0090612F"/>
    <w:rsid w:val="00906A63"/>
    <w:rsid w:val="009073C9"/>
    <w:rsid w:val="00907465"/>
    <w:rsid w:val="00907B43"/>
    <w:rsid w:val="00907DE3"/>
    <w:rsid w:val="00910AFD"/>
    <w:rsid w:val="0091232D"/>
    <w:rsid w:val="00912B8C"/>
    <w:rsid w:val="00912E42"/>
    <w:rsid w:val="00912F67"/>
    <w:rsid w:val="0091306E"/>
    <w:rsid w:val="00913136"/>
    <w:rsid w:val="009138A6"/>
    <w:rsid w:val="009139E7"/>
    <w:rsid w:val="00913A93"/>
    <w:rsid w:val="009147D2"/>
    <w:rsid w:val="009154B1"/>
    <w:rsid w:val="00915609"/>
    <w:rsid w:val="00915857"/>
    <w:rsid w:val="00915961"/>
    <w:rsid w:val="00915F0F"/>
    <w:rsid w:val="00916253"/>
    <w:rsid w:val="0091635C"/>
    <w:rsid w:val="00917270"/>
    <w:rsid w:val="009175F6"/>
    <w:rsid w:val="00920664"/>
    <w:rsid w:val="00920970"/>
    <w:rsid w:val="00920B52"/>
    <w:rsid w:val="00921002"/>
    <w:rsid w:val="00921775"/>
    <w:rsid w:val="00921838"/>
    <w:rsid w:val="00921AAC"/>
    <w:rsid w:val="00922588"/>
    <w:rsid w:val="0092265D"/>
    <w:rsid w:val="00922D2F"/>
    <w:rsid w:val="009230C4"/>
    <w:rsid w:val="00923EDC"/>
    <w:rsid w:val="0092404F"/>
    <w:rsid w:val="00924BBE"/>
    <w:rsid w:val="00925748"/>
    <w:rsid w:val="0092595D"/>
    <w:rsid w:val="0092606F"/>
    <w:rsid w:val="00926DA2"/>
    <w:rsid w:val="00927169"/>
    <w:rsid w:val="00930193"/>
    <w:rsid w:val="00930703"/>
    <w:rsid w:val="00930CE0"/>
    <w:rsid w:val="009310B1"/>
    <w:rsid w:val="00931C4F"/>
    <w:rsid w:val="00931CC2"/>
    <w:rsid w:val="00931F62"/>
    <w:rsid w:val="0093324B"/>
    <w:rsid w:val="0093340D"/>
    <w:rsid w:val="009335AF"/>
    <w:rsid w:val="00934273"/>
    <w:rsid w:val="0093460C"/>
    <w:rsid w:val="00934709"/>
    <w:rsid w:val="009347BB"/>
    <w:rsid w:val="009348FD"/>
    <w:rsid w:val="0093534A"/>
    <w:rsid w:val="009353AF"/>
    <w:rsid w:val="009354C4"/>
    <w:rsid w:val="0093588C"/>
    <w:rsid w:val="00935C3B"/>
    <w:rsid w:val="0093622E"/>
    <w:rsid w:val="00936687"/>
    <w:rsid w:val="00936E82"/>
    <w:rsid w:val="00936FBF"/>
    <w:rsid w:val="0093709A"/>
    <w:rsid w:val="0093714B"/>
    <w:rsid w:val="00937890"/>
    <w:rsid w:val="00937D5B"/>
    <w:rsid w:val="00937F24"/>
    <w:rsid w:val="0094037B"/>
    <w:rsid w:val="00940948"/>
    <w:rsid w:val="00940ACC"/>
    <w:rsid w:val="009417D2"/>
    <w:rsid w:val="00941831"/>
    <w:rsid w:val="00941FFD"/>
    <w:rsid w:val="0094213B"/>
    <w:rsid w:val="0094219F"/>
    <w:rsid w:val="009422FA"/>
    <w:rsid w:val="009426C3"/>
    <w:rsid w:val="00942F74"/>
    <w:rsid w:val="00943159"/>
    <w:rsid w:val="0094335C"/>
    <w:rsid w:val="009436D8"/>
    <w:rsid w:val="009436FB"/>
    <w:rsid w:val="00943B3B"/>
    <w:rsid w:val="00943CB2"/>
    <w:rsid w:val="009440BC"/>
    <w:rsid w:val="00944246"/>
    <w:rsid w:val="009443DF"/>
    <w:rsid w:val="009444E0"/>
    <w:rsid w:val="00944AAE"/>
    <w:rsid w:val="00944CB0"/>
    <w:rsid w:val="00945031"/>
    <w:rsid w:val="00945117"/>
    <w:rsid w:val="00945681"/>
    <w:rsid w:val="00945714"/>
    <w:rsid w:val="00945CB3"/>
    <w:rsid w:val="00945F78"/>
    <w:rsid w:val="0094608C"/>
    <w:rsid w:val="00947A26"/>
    <w:rsid w:val="00947FD1"/>
    <w:rsid w:val="00950186"/>
    <w:rsid w:val="00950AD9"/>
    <w:rsid w:val="00950CA4"/>
    <w:rsid w:val="00950D9A"/>
    <w:rsid w:val="00950EE0"/>
    <w:rsid w:val="00951199"/>
    <w:rsid w:val="009512DB"/>
    <w:rsid w:val="0095165C"/>
    <w:rsid w:val="009516E7"/>
    <w:rsid w:val="0095178F"/>
    <w:rsid w:val="00951824"/>
    <w:rsid w:val="00951A85"/>
    <w:rsid w:val="00952F5C"/>
    <w:rsid w:val="00953279"/>
    <w:rsid w:val="00953C00"/>
    <w:rsid w:val="00953D21"/>
    <w:rsid w:val="009544CC"/>
    <w:rsid w:val="00954D2C"/>
    <w:rsid w:val="00954D87"/>
    <w:rsid w:val="009555A8"/>
    <w:rsid w:val="00955900"/>
    <w:rsid w:val="00955939"/>
    <w:rsid w:val="00955941"/>
    <w:rsid w:val="0095595E"/>
    <w:rsid w:val="00955E60"/>
    <w:rsid w:val="00956201"/>
    <w:rsid w:val="009568E7"/>
    <w:rsid w:val="00956963"/>
    <w:rsid w:val="00956EC8"/>
    <w:rsid w:val="00957E09"/>
    <w:rsid w:val="009602A5"/>
    <w:rsid w:val="009604DC"/>
    <w:rsid w:val="00960A81"/>
    <w:rsid w:val="00960AB8"/>
    <w:rsid w:val="00960C64"/>
    <w:rsid w:val="00960F1B"/>
    <w:rsid w:val="009612D1"/>
    <w:rsid w:val="00961668"/>
    <w:rsid w:val="00961E3A"/>
    <w:rsid w:val="009626D0"/>
    <w:rsid w:val="00962DB8"/>
    <w:rsid w:val="00963678"/>
    <w:rsid w:val="00963ECF"/>
    <w:rsid w:val="00964492"/>
    <w:rsid w:val="00964866"/>
    <w:rsid w:val="0096491C"/>
    <w:rsid w:val="00964B9E"/>
    <w:rsid w:val="0096555B"/>
    <w:rsid w:val="00965589"/>
    <w:rsid w:val="00965BC0"/>
    <w:rsid w:val="00965E98"/>
    <w:rsid w:val="00966020"/>
    <w:rsid w:val="00966908"/>
    <w:rsid w:val="00966AD2"/>
    <w:rsid w:val="00966E10"/>
    <w:rsid w:val="00966FA7"/>
    <w:rsid w:val="009675DD"/>
    <w:rsid w:val="00967C02"/>
    <w:rsid w:val="00967DD3"/>
    <w:rsid w:val="0097017F"/>
    <w:rsid w:val="00971272"/>
    <w:rsid w:val="009718DD"/>
    <w:rsid w:val="00971E0C"/>
    <w:rsid w:val="00971E8D"/>
    <w:rsid w:val="0097218D"/>
    <w:rsid w:val="0097292F"/>
    <w:rsid w:val="00972BCB"/>
    <w:rsid w:val="00972D14"/>
    <w:rsid w:val="009736BD"/>
    <w:rsid w:val="00973A58"/>
    <w:rsid w:val="00973EF7"/>
    <w:rsid w:val="009740E9"/>
    <w:rsid w:val="0097419D"/>
    <w:rsid w:val="00974BC6"/>
    <w:rsid w:val="00974C66"/>
    <w:rsid w:val="00974D4D"/>
    <w:rsid w:val="009756CF"/>
    <w:rsid w:val="009757EC"/>
    <w:rsid w:val="0097593E"/>
    <w:rsid w:val="00975A3C"/>
    <w:rsid w:val="00975DC3"/>
    <w:rsid w:val="00976463"/>
    <w:rsid w:val="00976524"/>
    <w:rsid w:val="00976959"/>
    <w:rsid w:val="00976C0C"/>
    <w:rsid w:val="0098022D"/>
    <w:rsid w:val="00980248"/>
    <w:rsid w:val="009811A0"/>
    <w:rsid w:val="00982130"/>
    <w:rsid w:val="00982553"/>
    <w:rsid w:val="00982A42"/>
    <w:rsid w:val="00982CC5"/>
    <w:rsid w:val="00982E0E"/>
    <w:rsid w:val="009835A4"/>
    <w:rsid w:val="009835D9"/>
    <w:rsid w:val="00983DE4"/>
    <w:rsid w:val="0098420F"/>
    <w:rsid w:val="0098479A"/>
    <w:rsid w:val="009854EE"/>
    <w:rsid w:val="00985D72"/>
    <w:rsid w:val="009866B5"/>
    <w:rsid w:val="009867BB"/>
    <w:rsid w:val="0098699C"/>
    <w:rsid w:val="00986C0F"/>
    <w:rsid w:val="0098779F"/>
    <w:rsid w:val="00987B6E"/>
    <w:rsid w:val="00990220"/>
    <w:rsid w:val="00990360"/>
    <w:rsid w:val="0099054B"/>
    <w:rsid w:val="0099058F"/>
    <w:rsid w:val="009908AF"/>
    <w:rsid w:val="00990945"/>
    <w:rsid w:val="00991404"/>
    <w:rsid w:val="0099146D"/>
    <w:rsid w:val="0099157A"/>
    <w:rsid w:val="00991666"/>
    <w:rsid w:val="00991AD9"/>
    <w:rsid w:val="00991E3E"/>
    <w:rsid w:val="00992F5A"/>
    <w:rsid w:val="00993216"/>
    <w:rsid w:val="00993624"/>
    <w:rsid w:val="00993B58"/>
    <w:rsid w:val="00994269"/>
    <w:rsid w:val="00994690"/>
    <w:rsid w:val="00994B6A"/>
    <w:rsid w:val="00994EA0"/>
    <w:rsid w:val="0099534B"/>
    <w:rsid w:val="00995378"/>
    <w:rsid w:val="00995E3B"/>
    <w:rsid w:val="00995F11"/>
    <w:rsid w:val="00995F96"/>
    <w:rsid w:val="00995FF9"/>
    <w:rsid w:val="009961AD"/>
    <w:rsid w:val="00996403"/>
    <w:rsid w:val="00996539"/>
    <w:rsid w:val="009967A1"/>
    <w:rsid w:val="00997B46"/>
    <w:rsid w:val="00997EFB"/>
    <w:rsid w:val="009A0723"/>
    <w:rsid w:val="009A0FD9"/>
    <w:rsid w:val="009A1061"/>
    <w:rsid w:val="009A10AF"/>
    <w:rsid w:val="009A1315"/>
    <w:rsid w:val="009A1415"/>
    <w:rsid w:val="009A16F8"/>
    <w:rsid w:val="009A1A11"/>
    <w:rsid w:val="009A1AAE"/>
    <w:rsid w:val="009A2222"/>
    <w:rsid w:val="009A2394"/>
    <w:rsid w:val="009A270E"/>
    <w:rsid w:val="009A31CE"/>
    <w:rsid w:val="009A322E"/>
    <w:rsid w:val="009A3AFE"/>
    <w:rsid w:val="009A3DFE"/>
    <w:rsid w:val="009A52EA"/>
    <w:rsid w:val="009A53C9"/>
    <w:rsid w:val="009A54D0"/>
    <w:rsid w:val="009A5D52"/>
    <w:rsid w:val="009A6A03"/>
    <w:rsid w:val="009A6D55"/>
    <w:rsid w:val="009A715B"/>
    <w:rsid w:val="009A7250"/>
    <w:rsid w:val="009A73BD"/>
    <w:rsid w:val="009B0285"/>
    <w:rsid w:val="009B0671"/>
    <w:rsid w:val="009B0723"/>
    <w:rsid w:val="009B0F82"/>
    <w:rsid w:val="009B120A"/>
    <w:rsid w:val="009B12EF"/>
    <w:rsid w:val="009B1751"/>
    <w:rsid w:val="009B1B15"/>
    <w:rsid w:val="009B1B53"/>
    <w:rsid w:val="009B2070"/>
    <w:rsid w:val="009B2DEB"/>
    <w:rsid w:val="009B3603"/>
    <w:rsid w:val="009B360C"/>
    <w:rsid w:val="009B3716"/>
    <w:rsid w:val="009B38DD"/>
    <w:rsid w:val="009B3ECD"/>
    <w:rsid w:val="009B3F9C"/>
    <w:rsid w:val="009B3FB2"/>
    <w:rsid w:val="009B445A"/>
    <w:rsid w:val="009B456E"/>
    <w:rsid w:val="009B4A9C"/>
    <w:rsid w:val="009B4F04"/>
    <w:rsid w:val="009B532A"/>
    <w:rsid w:val="009B541E"/>
    <w:rsid w:val="009B56BF"/>
    <w:rsid w:val="009B6C34"/>
    <w:rsid w:val="009B6FD0"/>
    <w:rsid w:val="009B72ED"/>
    <w:rsid w:val="009C037B"/>
    <w:rsid w:val="009C041D"/>
    <w:rsid w:val="009C1418"/>
    <w:rsid w:val="009C1B99"/>
    <w:rsid w:val="009C1CFA"/>
    <w:rsid w:val="009C20CA"/>
    <w:rsid w:val="009C2B95"/>
    <w:rsid w:val="009C2BDC"/>
    <w:rsid w:val="009C2D12"/>
    <w:rsid w:val="009C2E20"/>
    <w:rsid w:val="009C38F6"/>
    <w:rsid w:val="009C3A85"/>
    <w:rsid w:val="009C45BD"/>
    <w:rsid w:val="009C4C0A"/>
    <w:rsid w:val="009C547E"/>
    <w:rsid w:val="009C5528"/>
    <w:rsid w:val="009C58E2"/>
    <w:rsid w:val="009C5A3B"/>
    <w:rsid w:val="009C5B87"/>
    <w:rsid w:val="009C64F6"/>
    <w:rsid w:val="009C6C00"/>
    <w:rsid w:val="009C7042"/>
    <w:rsid w:val="009C739C"/>
    <w:rsid w:val="009C73D5"/>
    <w:rsid w:val="009C785F"/>
    <w:rsid w:val="009C7FB6"/>
    <w:rsid w:val="009D02A5"/>
    <w:rsid w:val="009D0389"/>
    <w:rsid w:val="009D0A53"/>
    <w:rsid w:val="009D0B9F"/>
    <w:rsid w:val="009D12D9"/>
    <w:rsid w:val="009D1432"/>
    <w:rsid w:val="009D162F"/>
    <w:rsid w:val="009D174D"/>
    <w:rsid w:val="009D1CA7"/>
    <w:rsid w:val="009D1F4B"/>
    <w:rsid w:val="009D2511"/>
    <w:rsid w:val="009D30FD"/>
    <w:rsid w:val="009D32C4"/>
    <w:rsid w:val="009D3520"/>
    <w:rsid w:val="009D3617"/>
    <w:rsid w:val="009D3830"/>
    <w:rsid w:val="009D3957"/>
    <w:rsid w:val="009D3A2F"/>
    <w:rsid w:val="009D42BC"/>
    <w:rsid w:val="009D4750"/>
    <w:rsid w:val="009D5F22"/>
    <w:rsid w:val="009D6325"/>
    <w:rsid w:val="009D6524"/>
    <w:rsid w:val="009D6C0C"/>
    <w:rsid w:val="009D7056"/>
    <w:rsid w:val="009D7232"/>
    <w:rsid w:val="009D7387"/>
    <w:rsid w:val="009D7514"/>
    <w:rsid w:val="009D7989"/>
    <w:rsid w:val="009D7DE3"/>
    <w:rsid w:val="009D7F05"/>
    <w:rsid w:val="009E0034"/>
    <w:rsid w:val="009E0703"/>
    <w:rsid w:val="009E099C"/>
    <w:rsid w:val="009E1071"/>
    <w:rsid w:val="009E1DF6"/>
    <w:rsid w:val="009E2103"/>
    <w:rsid w:val="009E2134"/>
    <w:rsid w:val="009E2539"/>
    <w:rsid w:val="009E2B44"/>
    <w:rsid w:val="009E2CD4"/>
    <w:rsid w:val="009E2F5E"/>
    <w:rsid w:val="009E317C"/>
    <w:rsid w:val="009E3570"/>
    <w:rsid w:val="009E3954"/>
    <w:rsid w:val="009E4011"/>
    <w:rsid w:val="009E4321"/>
    <w:rsid w:val="009E4B4C"/>
    <w:rsid w:val="009E4E31"/>
    <w:rsid w:val="009E4F79"/>
    <w:rsid w:val="009E5A00"/>
    <w:rsid w:val="009E63BB"/>
    <w:rsid w:val="009E6484"/>
    <w:rsid w:val="009E664F"/>
    <w:rsid w:val="009E667B"/>
    <w:rsid w:val="009E6695"/>
    <w:rsid w:val="009E6727"/>
    <w:rsid w:val="009E6F1F"/>
    <w:rsid w:val="009E706F"/>
    <w:rsid w:val="009E7102"/>
    <w:rsid w:val="009E7793"/>
    <w:rsid w:val="009E78AF"/>
    <w:rsid w:val="009E7CAA"/>
    <w:rsid w:val="009F0402"/>
    <w:rsid w:val="009F052A"/>
    <w:rsid w:val="009F0BB2"/>
    <w:rsid w:val="009F136F"/>
    <w:rsid w:val="009F13A0"/>
    <w:rsid w:val="009F1D02"/>
    <w:rsid w:val="009F2843"/>
    <w:rsid w:val="009F28EB"/>
    <w:rsid w:val="009F2DE6"/>
    <w:rsid w:val="009F39D8"/>
    <w:rsid w:val="009F45D0"/>
    <w:rsid w:val="009F4B50"/>
    <w:rsid w:val="009F536C"/>
    <w:rsid w:val="009F5451"/>
    <w:rsid w:val="009F5ADD"/>
    <w:rsid w:val="009F5C1C"/>
    <w:rsid w:val="009F64B4"/>
    <w:rsid w:val="009F6B2A"/>
    <w:rsid w:val="009F796E"/>
    <w:rsid w:val="009F7D73"/>
    <w:rsid w:val="00A00958"/>
    <w:rsid w:val="00A00B54"/>
    <w:rsid w:val="00A00E49"/>
    <w:rsid w:val="00A013DC"/>
    <w:rsid w:val="00A01467"/>
    <w:rsid w:val="00A01B6B"/>
    <w:rsid w:val="00A0240A"/>
    <w:rsid w:val="00A02DBE"/>
    <w:rsid w:val="00A02EAE"/>
    <w:rsid w:val="00A0308D"/>
    <w:rsid w:val="00A03194"/>
    <w:rsid w:val="00A033E9"/>
    <w:rsid w:val="00A036A2"/>
    <w:rsid w:val="00A03716"/>
    <w:rsid w:val="00A0464C"/>
    <w:rsid w:val="00A0479A"/>
    <w:rsid w:val="00A04D94"/>
    <w:rsid w:val="00A051B8"/>
    <w:rsid w:val="00A051BE"/>
    <w:rsid w:val="00A05C59"/>
    <w:rsid w:val="00A05E36"/>
    <w:rsid w:val="00A05E71"/>
    <w:rsid w:val="00A05EB5"/>
    <w:rsid w:val="00A06327"/>
    <w:rsid w:val="00A0689A"/>
    <w:rsid w:val="00A06E5A"/>
    <w:rsid w:val="00A07854"/>
    <w:rsid w:val="00A07C7E"/>
    <w:rsid w:val="00A07CC2"/>
    <w:rsid w:val="00A105A8"/>
    <w:rsid w:val="00A107CC"/>
    <w:rsid w:val="00A10EDA"/>
    <w:rsid w:val="00A1105E"/>
    <w:rsid w:val="00A11580"/>
    <w:rsid w:val="00A11DF0"/>
    <w:rsid w:val="00A124EA"/>
    <w:rsid w:val="00A12565"/>
    <w:rsid w:val="00A12C32"/>
    <w:rsid w:val="00A13585"/>
    <w:rsid w:val="00A13822"/>
    <w:rsid w:val="00A13957"/>
    <w:rsid w:val="00A13990"/>
    <w:rsid w:val="00A13DEA"/>
    <w:rsid w:val="00A13E03"/>
    <w:rsid w:val="00A14200"/>
    <w:rsid w:val="00A1446A"/>
    <w:rsid w:val="00A15D9F"/>
    <w:rsid w:val="00A15E9A"/>
    <w:rsid w:val="00A160EE"/>
    <w:rsid w:val="00A16605"/>
    <w:rsid w:val="00A16BD5"/>
    <w:rsid w:val="00A170ED"/>
    <w:rsid w:val="00A177A1"/>
    <w:rsid w:val="00A17803"/>
    <w:rsid w:val="00A17DA7"/>
    <w:rsid w:val="00A2080C"/>
    <w:rsid w:val="00A20C9D"/>
    <w:rsid w:val="00A20E84"/>
    <w:rsid w:val="00A21E80"/>
    <w:rsid w:val="00A2276C"/>
    <w:rsid w:val="00A22C4F"/>
    <w:rsid w:val="00A22D84"/>
    <w:rsid w:val="00A22DCB"/>
    <w:rsid w:val="00A23888"/>
    <w:rsid w:val="00A23FCE"/>
    <w:rsid w:val="00A2413E"/>
    <w:rsid w:val="00A24E3D"/>
    <w:rsid w:val="00A251C5"/>
    <w:rsid w:val="00A25233"/>
    <w:rsid w:val="00A2525C"/>
    <w:rsid w:val="00A25504"/>
    <w:rsid w:val="00A25CD0"/>
    <w:rsid w:val="00A25EA0"/>
    <w:rsid w:val="00A262C9"/>
    <w:rsid w:val="00A264D9"/>
    <w:rsid w:val="00A26D5A"/>
    <w:rsid w:val="00A2711E"/>
    <w:rsid w:val="00A272E8"/>
    <w:rsid w:val="00A27910"/>
    <w:rsid w:val="00A2798C"/>
    <w:rsid w:val="00A27F45"/>
    <w:rsid w:val="00A27FD8"/>
    <w:rsid w:val="00A30230"/>
    <w:rsid w:val="00A30C99"/>
    <w:rsid w:val="00A312C1"/>
    <w:rsid w:val="00A313C7"/>
    <w:rsid w:val="00A316C4"/>
    <w:rsid w:val="00A318F9"/>
    <w:rsid w:val="00A31A23"/>
    <w:rsid w:val="00A31D76"/>
    <w:rsid w:val="00A31EBE"/>
    <w:rsid w:val="00A32898"/>
    <w:rsid w:val="00A32C3D"/>
    <w:rsid w:val="00A32DC6"/>
    <w:rsid w:val="00A335F9"/>
    <w:rsid w:val="00A336EF"/>
    <w:rsid w:val="00A341BF"/>
    <w:rsid w:val="00A3423E"/>
    <w:rsid w:val="00A34844"/>
    <w:rsid w:val="00A349AF"/>
    <w:rsid w:val="00A34F59"/>
    <w:rsid w:val="00A34FAA"/>
    <w:rsid w:val="00A354D5"/>
    <w:rsid w:val="00A359A0"/>
    <w:rsid w:val="00A35D01"/>
    <w:rsid w:val="00A35F33"/>
    <w:rsid w:val="00A36067"/>
    <w:rsid w:val="00A36CBA"/>
    <w:rsid w:val="00A36CBD"/>
    <w:rsid w:val="00A376E7"/>
    <w:rsid w:val="00A40240"/>
    <w:rsid w:val="00A4069B"/>
    <w:rsid w:val="00A408E4"/>
    <w:rsid w:val="00A40A18"/>
    <w:rsid w:val="00A40B5B"/>
    <w:rsid w:val="00A40FAD"/>
    <w:rsid w:val="00A412E6"/>
    <w:rsid w:val="00A418D0"/>
    <w:rsid w:val="00A418E8"/>
    <w:rsid w:val="00A4198A"/>
    <w:rsid w:val="00A42695"/>
    <w:rsid w:val="00A43262"/>
    <w:rsid w:val="00A43951"/>
    <w:rsid w:val="00A43E86"/>
    <w:rsid w:val="00A444C6"/>
    <w:rsid w:val="00A44D5D"/>
    <w:rsid w:val="00A4500F"/>
    <w:rsid w:val="00A4693F"/>
    <w:rsid w:val="00A46A7F"/>
    <w:rsid w:val="00A471D0"/>
    <w:rsid w:val="00A471E0"/>
    <w:rsid w:val="00A474CC"/>
    <w:rsid w:val="00A475D5"/>
    <w:rsid w:val="00A47979"/>
    <w:rsid w:val="00A50352"/>
    <w:rsid w:val="00A51B42"/>
    <w:rsid w:val="00A52BF7"/>
    <w:rsid w:val="00A52E4E"/>
    <w:rsid w:val="00A53661"/>
    <w:rsid w:val="00A53D2A"/>
    <w:rsid w:val="00A545A3"/>
    <w:rsid w:val="00A54921"/>
    <w:rsid w:val="00A54A69"/>
    <w:rsid w:val="00A54DC2"/>
    <w:rsid w:val="00A55149"/>
    <w:rsid w:val="00A55424"/>
    <w:rsid w:val="00A55A3D"/>
    <w:rsid w:val="00A55FF3"/>
    <w:rsid w:val="00A563FD"/>
    <w:rsid w:val="00A563FF"/>
    <w:rsid w:val="00A57A72"/>
    <w:rsid w:val="00A6001A"/>
    <w:rsid w:val="00A60394"/>
    <w:rsid w:val="00A61042"/>
    <w:rsid w:val="00A6137A"/>
    <w:rsid w:val="00A613B2"/>
    <w:rsid w:val="00A619AC"/>
    <w:rsid w:val="00A61AD2"/>
    <w:rsid w:val="00A624D1"/>
    <w:rsid w:val="00A62563"/>
    <w:rsid w:val="00A62AF9"/>
    <w:rsid w:val="00A63CA7"/>
    <w:rsid w:val="00A643FA"/>
    <w:rsid w:val="00A64AB4"/>
    <w:rsid w:val="00A65286"/>
    <w:rsid w:val="00A65510"/>
    <w:rsid w:val="00A66372"/>
    <w:rsid w:val="00A6655D"/>
    <w:rsid w:val="00A665F9"/>
    <w:rsid w:val="00A66871"/>
    <w:rsid w:val="00A6708A"/>
    <w:rsid w:val="00A6711C"/>
    <w:rsid w:val="00A67525"/>
    <w:rsid w:val="00A67A30"/>
    <w:rsid w:val="00A67B4E"/>
    <w:rsid w:val="00A67BCD"/>
    <w:rsid w:val="00A67C65"/>
    <w:rsid w:val="00A70043"/>
    <w:rsid w:val="00A7020B"/>
    <w:rsid w:val="00A70558"/>
    <w:rsid w:val="00A7080D"/>
    <w:rsid w:val="00A70865"/>
    <w:rsid w:val="00A7177E"/>
    <w:rsid w:val="00A727A9"/>
    <w:rsid w:val="00A73716"/>
    <w:rsid w:val="00A739BB"/>
    <w:rsid w:val="00A73D31"/>
    <w:rsid w:val="00A742FF"/>
    <w:rsid w:val="00A74FAD"/>
    <w:rsid w:val="00A752EF"/>
    <w:rsid w:val="00A755A3"/>
    <w:rsid w:val="00A759B6"/>
    <w:rsid w:val="00A768CA"/>
    <w:rsid w:val="00A769DD"/>
    <w:rsid w:val="00A76C55"/>
    <w:rsid w:val="00A770B1"/>
    <w:rsid w:val="00A7723C"/>
    <w:rsid w:val="00A77C78"/>
    <w:rsid w:val="00A80DCF"/>
    <w:rsid w:val="00A81F3F"/>
    <w:rsid w:val="00A82427"/>
    <w:rsid w:val="00A82785"/>
    <w:rsid w:val="00A82882"/>
    <w:rsid w:val="00A83197"/>
    <w:rsid w:val="00A83C46"/>
    <w:rsid w:val="00A840B2"/>
    <w:rsid w:val="00A84283"/>
    <w:rsid w:val="00A847BF"/>
    <w:rsid w:val="00A848A8"/>
    <w:rsid w:val="00A84AF6"/>
    <w:rsid w:val="00A84B93"/>
    <w:rsid w:val="00A8517D"/>
    <w:rsid w:val="00A8532E"/>
    <w:rsid w:val="00A85418"/>
    <w:rsid w:val="00A86071"/>
    <w:rsid w:val="00A862CD"/>
    <w:rsid w:val="00A86314"/>
    <w:rsid w:val="00A8661F"/>
    <w:rsid w:val="00A86BA7"/>
    <w:rsid w:val="00A872F1"/>
    <w:rsid w:val="00A87788"/>
    <w:rsid w:val="00A8793D"/>
    <w:rsid w:val="00A87FD3"/>
    <w:rsid w:val="00A904DB"/>
    <w:rsid w:val="00A90E97"/>
    <w:rsid w:val="00A91871"/>
    <w:rsid w:val="00A92A87"/>
    <w:rsid w:val="00A92EA7"/>
    <w:rsid w:val="00A94BAD"/>
    <w:rsid w:val="00A95A73"/>
    <w:rsid w:val="00A9621E"/>
    <w:rsid w:val="00A9773E"/>
    <w:rsid w:val="00A9783E"/>
    <w:rsid w:val="00AA09EE"/>
    <w:rsid w:val="00AA0B4B"/>
    <w:rsid w:val="00AA0E8E"/>
    <w:rsid w:val="00AA1AB1"/>
    <w:rsid w:val="00AA1B38"/>
    <w:rsid w:val="00AA236E"/>
    <w:rsid w:val="00AA2476"/>
    <w:rsid w:val="00AA2586"/>
    <w:rsid w:val="00AA276F"/>
    <w:rsid w:val="00AA2DC8"/>
    <w:rsid w:val="00AA2F75"/>
    <w:rsid w:val="00AA2F9B"/>
    <w:rsid w:val="00AA383C"/>
    <w:rsid w:val="00AA38BA"/>
    <w:rsid w:val="00AA3A48"/>
    <w:rsid w:val="00AA3E37"/>
    <w:rsid w:val="00AA462A"/>
    <w:rsid w:val="00AA4772"/>
    <w:rsid w:val="00AA47EB"/>
    <w:rsid w:val="00AA4A32"/>
    <w:rsid w:val="00AA4D8C"/>
    <w:rsid w:val="00AA542E"/>
    <w:rsid w:val="00AA5984"/>
    <w:rsid w:val="00AA60E5"/>
    <w:rsid w:val="00AA6A47"/>
    <w:rsid w:val="00AA7118"/>
    <w:rsid w:val="00AA734B"/>
    <w:rsid w:val="00AA7574"/>
    <w:rsid w:val="00AA7863"/>
    <w:rsid w:val="00AA7AA2"/>
    <w:rsid w:val="00AA7B11"/>
    <w:rsid w:val="00AA7D23"/>
    <w:rsid w:val="00AA7D55"/>
    <w:rsid w:val="00AB053C"/>
    <w:rsid w:val="00AB0E5A"/>
    <w:rsid w:val="00AB18EA"/>
    <w:rsid w:val="00AB1BA7"/>
    <w:rsid w:val="00AB2E95"/>
    <w:rsid w:val="00AB2F15"/>
    <w:rsid w:val="00AB33AC"/>
    <w:rsid w:val="00AB3D2D"/>
    <w:rsid w:val="00AB437E"/>
    <w:rsid w:val="00AB4729"/>
    <w:rsid w:val="00AB47EF"/>
    <w:rsid w:val="00AB4966"/>
    <w:rsid w:val="00AB49DF"/>
    <w:rsid w:val="00AB4EDA"/>
    <w:rsid w:val="00AB604B"/>
    <w:rsid w:val="00AB6275"/>
    <w:rsid w:val="00AB6678"/>
    <w:rsid w:val="00AB6D2B"/>
    <w:rsid w:val="00AB6DB9"/>
    <w:rsid w:val="00AB6F29"/>
    <w:rsid w:val="00AB70F0"/>
    <w:rsid w:val="00AB71D6"/>
    <w:rsid w:val="00AB7515"/>
    <w:rsid w:val="00AB76D0"/>
    <w:rsid w:val="00AB7A2B"/>
    <w:rsid w:val="00AB7AC7"/>
    <w:rsid w:val="00AC0923"/>
    <w:rsid w:val="00AC0AF3"/>
    <w:rsid w:val="00AC0BC7"/>
    <w:rsid w:val="00AC0C5A"/>
    <w:rsid w:val="00AC0EAC"/>
    <w:rsid w:val="00AC1106"/>
    <w:rsid w:val="00AC16C2"/>
    <w:rsid w:val="00AC19CC"/>
    <w:rsid w:val="00AC1D5F"/>
    <w:rsid w:val="00AC1F93"/>
    <w:rsid w:val="00AC20A7"/>
    <w:rsid w:val="00AC222F"/>
    <w:rsid w:val="00AC22C3"/>
    <w:rsid w:val="00AC3555"/>
    <w:rsid w:val="00AC389F"/>
    <w:rsid w:val="00AC3B74"/>
    <w:rsid w:val="00AC42A0"/>
    <w:rsid w:val="00AC438F"/>
    <w:rsid w:val="00AC46EB"/>
    <w:rsid w:val="00AC4855"/>
    <w:rsid w:val="00AC4E2F"/>
    <w:rsid w:val="00AC4EB0"/>
    <w:rsid w:val="00AC50F9"/>
    <w:rsid w:val="00AC54F9"/>
    <w:rsid w:val="00AC5862"/>
    <w:rsid w:val="00AC5FF7"/>
    <w:rsid w:val="00AC68E5"/>
    <w:rsid w:val="00AC6B8C"/>
    <w:rsid w:val="00AC72EA"/>
    <w:rsid w:val="00AC73DF"/>
    <w:rsid w:val="00AC749A"/>
    <w:rsid w:val="00AD02D8"/>
    <w:rsid w:val="00AD1347"/>
    <w:rsid w:val="00AD15E9"/>
    <w:rsid w:val="00AD1621"/>
    <w:rsid w:val="00AD174C"/>
    <w:rsid w:val="00AD1BD0"/>
    <w:rsid w:val="00AD1DE7"/>
    <w:rsid w:val="00AD217E"/>
    <w:rsid w:val="00AD2965"/>
    <w:rsid w:val="00AD2A72"/>
    <w:rsid w:val="00AD2E7F"/>
    <w:rsid w:val="00AD3934"/>
    <w:rsid w:val="00AD4195"/>
    <w:rsid w:val="00AD4493"/>
    <w:rsid w:val="00AD4A27"/>
    <w:rsid w:val="00AD4A81"/>
    <w:rsid w:val="00AD4B34"/>
    <w:rsid w:val="00AD4D53"/>
    <w:rsid w:val="00AD4EFE"/>
    <w:rsid w:val="00AD519D"/>
    <w:rsid w:val="00AD5287"/>
    <w:rsid w:val="00AD544C"/>
    <w:rsid w:val="00AD5542"/>
    <w:rsid w:val="00AD563C"/>
    <w:rsid w:val="00AD6231"/>
    <w:rsid w:val="00AD62DD"/>
    <w:rsid w:val="00AD6A0E"/>
    <w:rsid w:val="00AD6CA1"/>
    <w:rsid w:val="00AD6ED3"/>
    <w:rsid w:val="00AD71AE"/>
    <w:rsid w:val="00AD7289"/>
    <w:rsid w:val="00AD74A8"/>
    <w:rsid w:val="00AD7A07"/>
    <w:rsid w:val="00AD7C8F"/>
    <w:rsid w:val="00AE00A2"/>
    <w:rsid w:val="00AE071E"/>
    <w:rsid w:val="00AE077C"/>
    <w:rsid w:val="00AE101B"/>
    <w:rsid w:val="00AE20DC"/>
    <w:rsid w:val="00AE26AA"/>
    <w:rsid w:val="00AE28D5"/>
    <w:rsid w:val="00AE30B9"/>
    <w:rsid w:val="00AE3117"/>
    <w:rsid w:val="00AE329C"/>
    <w:rsid w:val="00AE33BD"/>
    <w:rsid w:val="00AE3520"/>
    <w:rsid w:val="00AE3555"/>
    <w:rsid w:val="00AE3653"/>
    <w:rsid w:val="00AE382F"/>
    <w:rsid w:val="00AE40DB"/>
    <w:rsid w:val="00AE433F"/>
    <w:rsid w:val="00AE4592"/>
    <w:rsid w:val="00AE4C15"/>
    <w:rsid w:val="00AE4DC1"/>
    <w:rsid w:val="00AE5109"/>
    <w:rsid w:val="00AE56FD"/>
    <w:rsid w:val="00AE5981"/>
    <w:rsid w:val="00AE5994"/>
    <w:rsid w:val="00AE5B45"/>
    <w:rsid w:val="00AE6A13"/>
    <w:rsid w:val="00AE7978"/>
    <w:rsid w:val="00AE7C27"/>
    <w:rsid w:val="00AE7FD3"/>
    <w:rsid w:val="00AF01F6"/>
    <w:rsid w:val="00AF07F7"/>
    <w:rsid w:val="00AF1133"/>
    <w:rsid w:val="00AF1859"/>
    <w:rsid w:val="00AF1ADA"/>
    <w:rsid w:val="00AF25AB"/>
    <w:rsid w:val="00AF2D58"/>
    <w:rsid w:val="00AF30F0"/>
    <w:rsid w:val="00AF36C1"/>
    <w:rsid w:val="00AF3958"/>
    <w:rsid w:val="00AF3DFC"/>
    <w:rsid w:val="00AF3FD3"/>
    <w:rsid w:val="00AF462E"/>
    <w:rsid w:val="00AF4E07"/>
    <w:rsid w:val="00AF5499"/>
    <w:rsid w:val="00AF5B14"/>
    <w:rsid w:val="00AF5B17"/>
    <w:rsid w:val="00AF61E4"/>
    <w:rsid w:val="00AF636D"/>
    <w:rsid w:val="00AF69FB"/>
    <w:rsid w:val="00AF6E39"/>
    <w:rsid w:val="00AF7128"/>
    <w:rsid w:val="00AF7D59"/>
    <w:rsid w:val="00B0073F"/>
    <w:rsid w:val="00B00A0D"/>
    <w:rsid w:val="00B01C5C"/>
    <w:rsid w:val="00B02425"/>
    <w:rsid w:val="00B03024"/>
    <w:rsid w:val="00B0316A"/>
    <w:rsid w:val="00B0372D"/>
    <w:rsid w:val="00B0387A"/>
    <w:rsid w:val="00B03E72"/>
    <w:rsid w:val="00B04008"/>
    <w:rsid w:val="00B04A0F"/>
    <w:rsid w:val="00B04DA8"/>
    <w:rsid w:val="00B05274"/>
    <w:rsid w:val="00B052EA"/>
    <w:rsid w:val="00B0533D"/>
    <w:rsid w:val="00B069E8"/>
    <w:rsid w:val="00B06E85"/>
    <w:rsid w:val="00B0702C"/>
    <w:rsid w:val="00B072E0"/>
    <w:rsid w:val="00B07908"/>
    <w:rsid w:val="00B10012"/>
    <w:rsid w:val="00B100CE"/>
    <w:rsid w:val="00B1037B"/>
    <w:rsid w:val="00B108BC"/>
    <w:rsid w:val="00B10E45"/>
    <w:rsid w:val="00B10FAE"/>
    <w:rsid w:val="00B1140D"/>
    <w:rsid w:val="00B115D3"/>
    <w:rsid w:val="00B11DC6"/>
    <w:rsid w:val="00B12018"/>
    <w:rsid w:val="00B1273F"/>
    <w:rsid w:val="00B12740"/>
    <w:rsid w:val="00B127AE"/>
    <w:rsid w:val="00B13015"/>
    <w:rsid w:val="00B135B1"/>
    <w:rsid w:val="00B137E3"/>
    <w:rsid w:val="00B139B2"/>
    <w:rsid w:val="00B13DA1"/>
    <w:rsid w:val="00B13FC1"/>
    <w:rsid w:val="00B1403F"/>
    <w:rsid w:val="00B1413D"/>
    <w:rsid w:val="00B149E4"/>
    <w:rsid w:val="00B14EEF"/>
    <w:rsid w:val="00B15641"/>
    <w:rsid w:val="00B1567F"/>
    <w:rsid w:val="00B1623A"/>
    <w:rsid w:val="00B16824"/>
    <w:rsid w:val="00B17020"/>
    <w:rsid w:val="00B17588"/>
    <w:rsid w:val="00B176EE"/>
    <w:rsid w:val="00B177CE"/>
    <w:rsid w:val="00B17A04"/>
    <w:rsid w:val="00B202FD"/>
    <w:rsid w:val="00B2052D"/>
    <w:rsid w:val="00B20696"/>
    <w:rsid w:val="00B206DD"/>
    <w:rsid w:val="00B20D27"/>
    <w:rsid w:val="00B20D73"/>
    <w:rsid w:val="00B21279"/>
    <w:rsid w:val="00B2132C"/>
    <w:rsid w:val="00B213AE"/>
    <w:rsid w:val="00B22026"/>
    <w:rsid w:val="00B22076"/>
    <w:rsid w:val="00B220F3"/>
    <w:rsid w:val="00B22361"/>
    <w:rsid w:val="00B229A5"/>
    <w:rsid w:val="00B23574"/>
    <w:rsid w:val="00B238F0"/>
    <w:rsid w:val="00B23B99"/>
    <w:rsid w:val="00B23D5E"/>
    <w:rsid w:val="00B24311"/>
    <w:rsid w:val="00B247C5"/>
    <w:rsid w:val="00B24986"/>
    <w:rsid w:val="00B2542F"/>
    <w:rsid w:val="00B26025"/>
    <w:rsid w:val="00B2645E"/>
    <w:rsid w:val="00B264B1"/>
    <w:rsid w:val="00B26A9C"/>
    <w:rsid w:val="00B26E96"/>
    <w:rsid w:val="00B27187"/>
    <w:rsid w:val="00B27634"/>
    <w:rsid w:val="00B276FC"/>
    <w:rsid w:val="00B27711"/>
    <w:rsid w:val="00B27945"/>
    <w:rsid w:val="00B27BB7"/>
    <w:rsid w:val="00B27E04"/>
    <w:rsid w:val="00B3089F"/>
    <w:rsid w:val="00B3164D"/>
    <w:rsid w:val="00B316BE"/>
    <w:rsid w:val="00B321DD"/>
    <w:rsid w:val="00B3278E"/>
    <w:rsid w:val="00B3348D"/>
    <w:rsid w:val="00B337DC"/>
    <w:rsid w:val="00B338AA"/>
    <w:rsid w:val="00B33A8D"/>
    <w:rsid w:val="00B33C0F"/>
    <w:rsid w:val="00B33DEE"/>
    <w:rsid w:val="00B33E82"/>
    <w:rsid w:val="00B3407F"/>
    <w:rsid w:val="00B3486C"/>
    <w:rsid w:val="00B349CC"/>
    <w:rsid w:val="00B34C22"/>
    <w:rsid w:val="00B3560E"/>
    <w:rsid w:val="00B3596A"/>
    <w:rsid w:val="00B35CC3"/>
    <w:rsid w:val="00B36038"/>
    <w:rsid w:val="00B362F1"/>
    <w:rsid w:val="00B36465"/>
    <w:rsid w:val="00B37B3B"/>
    <w:rsid w:val="00B37C99"/>
    <w:rsid w:val="00B40028"/>
    <w:rsid w:val="00B40B9E"/>
    <w:rsid w:val="00B4121F"/>
    <w:rsid w:val="00B417EB"/>
    <w:rsid w:val="00B41BA7"/>
    <w:rsid w:val="00B42B01"/>
    <w:rsid w:val="00B42E91"/>
    <w:rsid w:val="00B43218"/>
    <w:rsid w:val="00B43410"/>
    <w:rsid w:val="00B43648"/>
    <w:rsid w:val="00B4389F"/>
    <w:rsid w:val="00B43998"/>
    <w:rsid w:val="00B44A0B"/>
    <w:rsid w:val="00B44B39"/>
    <w:rsid w:val="00B44B98"/>
    <w:rsid w:val="00B458B3"/>
    <w:rsid w:val="00B4597B"/>
    <w:rsid w:val="00B45A2F"/>
    <w:rsid w:val="00B45DD3"/>
    <w:rsid w:val="00B46104"/>
    <w:rsid w:val="00B46941"/>
    <w:rsid w:val="00B46B80"/>
    <w:rsid w:val="00B46FED"/>
    <w:rsid w:val="00B470D4"/>
    <w:rsid w:val="00B4726F"/>
    <w:rsid w:val="00B4759D"/>
    <w:rsid w:val="00B478E9"/>
    <w:rsid w:val="00B47AC4"/>
    <w:rsid w:val="00B505A7"/>
    <w:rsid w:val="00B51482"/>
    <w:rsid w:val="00B5176E"/>
    <w:rsid w:val="00B518CF"/>
    <w:rsid w:val="00B51B53"/>
    <w:rsid w:val="00B51F24"/>
    <w:rsid w:val="00B523C6"/>
    <w:rsid w:val="00B524CC"/>
    <w:rsid w:val="00B525D1"/>
    <w:rsid w:val="00B52D98"/>
    <w:rsid w:val="00B53390"/>
    <w:rsid w:val="00B53438"/>
    <w:rsid w:val="00B536D1"/>
    <w:rsid w:val="00B53792"/>
    <w:rsid w:val="00B54013"/>
    <w:rsid w:val="00B542D5"/>
    <w:rsid w:val="00B55190"/>
    <w:rsid w:val="00B565F9"/>
    <w:rsid w:val="00B56687"/>
    <w:rsid w:val="00B56963"/>
    <w:rsid w:val="00B56A86"/>
    <w:rsid w:val="00B56FBA"/>
    <w:rsid w:val="00B57372"/>
    <w:rsid w:val="00B57905"/>
    <w:rsid w:val="00B57AC5"/>
    <w:rsid w:val="00B6050F"/>
    <w:rsid w:val="00B6054A"/>
    <w:rsid w:val="00B60BF7"/>
    <w:rsid w:val="00B61222"/>
    <w:rsid w:val="00B61C73"/>
    <w:rsid w:val="00B61CAA"/>
    <w:rsid w:val="00B62597"/>
    <w:rsid w:val="00B633E1"/>
    <w:rsid w:val="00B63742"/>
    <w:rsid w:val="00B645E4"/>
    <w:rsid w:val="00B648BE"/>
    <w:rsid w:val="00B64960"/>
    <w:rsid w:val="00B651B4"/>
    <w:rsid w:val="00B652AA"/>
    <w:rsid w:val="00B6534C"/>
    <w:rsid w:val="00B6536B"/>
    <w:rsid w:val="00B65888"/>
    <w:rsid w:val="00B6607F"/>
    <w:rsid w:val="00B66506"/>
    <w:rsid w:val="00B66611"/>
    <w:rsid w:val="00B66A09"/>
    <w:rsid w:val="00B66C75"/>
    <w:rsid w:val="00B670F5"/>
    <w:rsid w:val="00B67967"/>
    <w:rsid w:val="00B72942"/>
    <w:rsid w:val="00B7298E"/>
    <w:rsid w:val="00B72CD8"/>
    <w:rsid w:val="00B72EF4"/>
    <w:rsid w:val="00B732F6"/>
    <w:rsid w:val="00B734B0"/>
    <w:rsid w:val="00B73614"/>
    <w:rsid w:val="00B7462D"/>
    <w:rsid w:val="00B752F3"/>
    <w:rsid w:val="00B758A9"/>
    <w:rsid w:val="00B75C84"/>
    <w:rsid w:val="00B764B7"/>
    <w:rsid w:val="00B76685"/>
    <w:rsid w:val="00B769D1"/>
    <w:rsid w:val="00B76E91"/>
    <w:rsid w:val="00B7794F"/>
    <w:rsid w:val="00B804FE"/>
    <w:rsid w:val="00B8100F"/>
    <w:rsid w:val="00B8101A"/>
    <w:rsid w:val="00B81154"/>
    <w:rsid w:val="00B8227A"/>
    <w:rsid w:val="00B825AC"/>
    <w:rsid w:val="00B82637"/>
    <w:rsid w:val="00B827D4"/>
    <w:rsid w:val="00B82991"/>
    <w:rsid w:val="00B82D50"/>
    <w:rsid w:val="00B82E6F"/>
    <w:rsid w:val="00B83296"/>
    <w:rsid w:val="00B83497"/>
    <w:rsid w:val="00B8375A"/>
    <w:rsid w:val="00B84387"/>
    <w:rsid w:val="00B84CDF"/>
    <w:rsid w:val="00B84D16"/>
    <w:rsid w:val="00B84F9B"/>
    <w:rsid w:val="00B85556"/>
    <w:rsid w:val="00B85819"/>
    <w:rsid w:val="00B85AFD"/>
    <w:rsid w:val="00B85B1D"/>
    <w:rsid w:val="00B85DC6"/>
    <w:rsid w:val="00B8613C"/>
    <w:rsid w:val="00B8695B"/>
    <w:rsid w:val="00B86A72"/>
    <w:rsid w:val="00B86ADA"/>
    <w:rsid w:val="00B86AE2"/>
    <w:rsid w:val="00B86D4D"/>
    <w:rsid w:val="00B875E9"/>
    <w:rsid w:val="00B87610"/>
    <w:rsid w:val="00B877D6"/>
    <w:rsid w:val="00B87AE2"/>
    <w:rsid w:val="00B87B66"/>
    <w:rsid w:val="00B87D0E"/>
    <w:rsid w:val="00B87E68"/>
    <w:rsid w:val="00B902B8"/>
    <w:rsid w:val="00B9062A"/>
    <w:rsid w:val="00B910D4"/>
    <w:rsid w:val="00B92213"/>
    <w:rsid w:val="00B923D4"/>
    <w:rsid w:val="00B93381"/>
    <w:rsid w:val="00B933BA"/>
    <w:rsid w:val="00B93769"/>
    <w:rsid w:val="00B93F40"/>
    <w:rsid w:val="00B9449F"/>
    <w:rsid w:val="00B94AFE"/>
    <w:rsid w:val="00B955A8"/>
    <w:rsid w:val="00B9593F"/>
    <w:rsid w:val="00B9604B"/>
    <w:rsid w:val="00B961ED"/>
    <w:rsid w:val="00B9642E"/>
    <w:rsid w:val="00B96C1C"/>
    <w:rsid w:val="00B97034"/>
    <w:rsid w:val="00B9704F"/>
    <w:rsid w:val="00B97128"/>
    <w:rsid w:val="00B97419"/>
    <w:rsid w:val="00BA0063"/>
    <w:rsid w:val="00BA01EB"/>
    <w:rsid w:val="00BA0F9D"/>
    <w:rsid w:val="00BA1D92"/>
    <w:rsid w:val="00BA291E"/>
    <w:rsid w:val="00BA2D8D"/>
    <w:rsid w:val="00BA2EB7"/>
    <w:rsid w:val="00BA3393"/>
    <w:rsid w:val="00BA390D"/>
    <w:rsid w:val="00BA3AD6"/>
    <w:rsid w:val="00BA413E"/>
    <w:rsid w:val="00BA4570"/>
    <w:rsid w:val="00BA6143"/>
    <w:rsid w:val="00BA6213"/>
    <w:rsid w:val="00BA67D7"/>
    <w:rsid w:val="00BA69DB"/>
    <w:rsid w:val="00BA69F7"/>
    <w:rsid w:val="00BA6F97"/>
    <w:rsid w:val="00BB0B34"/>
    <w:rsid w:val="00BB15A4"/>
    <w:rsid w:val="00BB1763"/>
    <w:rsid w:val="00BB1D9F"/>
    <w:rsid w:val="00BB23F7"/>
    <w:rsid w:val="00BB2690"/>
    <w:rsid w:val="00BB2872"/>
    <w:rsid w:val="00BB2875"/>
    <w:rsid w:val="00BB3C02"/>
    <w:rsid w:val="00BB4106"/>
    <w:rsid w:val="00BB4423"/>
    <w:rsid w:val="00BB45F9"/>
    <w:rsid w:val="00BB4667"/>
    <w:rsid w:val="00BB5646"/>
    <w:rsid w:val="00BB5AA2"/>
    <w:rsid w:val="00BB6629"/>
    <w:rsid w:val="00BB6CDC"/>
    <w:rsid w:val="00BB6FCD"/>
    <w:rsid w:val="00BB7365"/>
    <w:rsid w:val="00BB73CF"/>
    <w:rsid w:val="00BB7B4F"/>
    <w:rsid w:val="00BC001F"/>
    <w:rsid w:val="00BC0675"/>
    <w:rsid w:val="00BC081A"/>
    <w:rsid w:val="00BC08D7"/>
    <w:rsid w:val="00BC09E6"/>
    <w:rsid w:val="00BC1A7C"/>
    <w:rsid w:val="00BC1F7D"/>
    <w:rsid w:val="00BC3934"/>
    <w:rsid w:val="00BC3FCF"/>
    <w:rsid w:val="00BC4117"/>
    <w:rsid w:val="00BC4CD4"/>
    <w:rsid w:val="00BC53D2"/>
    <w:rsid w:val="00BC5849"/>
    <w:rsid w:val="00BC5AE3"/>
    <w:rsid w:val="00BC6562"/>
    <w:rsid w:val="00BC6A32"/>
    <w:rsid w:val="00BC715A"/>
    <w:rsid w:val="00BC7DD7"/>
    <w:rsid w:val="00BD031D"/>
    <w:rsid w:val="00BD06A2"/>
    <w:rsid w:val="00BD0D6D"/>
    <w:rsid w:val="00BD11FD"/>
    <w:rsid w:val="00BD14B3"/>
    <w:rsid w:val="00BD1BEB"/>
    <w:rsid w:val="00BD1DF0"/>
    <w:rsid w:val="00BD1F13"/>
    <w:rsid w:val="00BD1FC9"/>
    <w:rsid w:val="00BD269B"/>
    <w:rsid w:val="00BD29BC"/>
    <w:rsid w:val="00BD3CA0"/>
    <w:rsid w:val="00BD3F21"/>
    <w:rsid w:val="00BD4621"/>
    <w:rsid w:val="00BD568B"/>
    <w:rsid w:val="00BD57A2"/>
    <w:rsid w:val="00BD5D6D"/>
    <w:rsid w:val="00BD5D80"/>
    <w:rsid w:val="00BD5E91"/>
    <w:rsid w:val="00BD6384"/>
    <w:rsid w:val="00BD63B5"/>
    <w:rsid w:val="00BD6837"/>
    <w:rsid w:val="00BD7AA5"/>
    <w:rsid w:val="00BD7D76"/>
    <w:rsid w:val="00BD7DBA"/>
    <w:rsid w:val="00BD7E29"/>
    <w:rsid w:val="00BD7F51"/>
    <w:rsid w:val="00BE02FD"/>
    <w:rsid w:val="00BE15B9"/>
    <w:rsid w:val="00BE1773"/>
    <w:rsid w:val="00BE1AD7"/>
    <w:rsid w:val="00BE1D08"/>
    <w:rsid w:val="00BE20FC"/>
    <w:rsid w:val="00BE21D5"/>
    <w:rsid w:val="00BE2369"/>
    <w:rsid w:val="00BE23A8"/>
    <w:rsid w:val="00BE271C"/>
    <w:rsid w:val="00BE29A0"/>
    <w:rsid w:val="00BE2B41"/>
    <w:rsid w:val="00BE2BBB"/>
    <w:rsid w:val="00BE4253"/>
    <w:rsid w:val="00BE457E"/>
    <w:rsid w:val="00BE4D18"/>
    <w:rsid w:val="00BE5144"/>
    <w:rsid w:val="00BE52D5"/>
    <w:rsid w:val="00BE542D"/>
    <w:rsid w:val="00BE55D1"/>
    <w:rsid w:val="00BE59A0"/>
    <w:rsid w:val="00BE5B73"/>
    <w:rsid w:val="00BE6988"/>
    <w:rsid w:val="00BE6DE5"/>
    <w:rsid w:val="00BE7A0A"/>
    <w:rsid w:val="00BE7DDD"/>
    <w:rsid w:val="00BF00DC"/>
    <w:rsid w:val="00BF0E19"/>
    <w:rsid w:val="00BF179E"/>
    <w:rsid w:val="00BF1DED"/>
    <w:rsid w:val="00BF1EF9"/>
    <w:rsid w:val="00BF2CBF"/>
    <w:rsid w:val="00BF3B4B"/>
    <w:rsid w:val="00BF3DEB"/>
    <w:rsid w:val="00BF454A"/>
    <w:rsid w:val="00BF5947"/>
    <w:rsid w:val="00BF61B2"/>
    <w:rsid w:val="00BF6652"/>
    <w:rsid w:val="00BF66C5"/>
    <w:rsid w:val="00BF6884"/>
    <w:rsid w:val="00BF7689"/>
    <w:rsid w:val="00BF7FEC"/>
    <w:rsid w:val="00C00030"/>
    <w:rsid w:val="00C00156"/>
    <w:rsid w:val="00C00B1C"/>
    <w:rsid w:val="00C015AB"/>
    <w:rsid w:val="00C02201"/>
    <w:rsid w:val="00C023C7"/>
    <w:rsid w:val="00C02913"/>
    <w:rsid w:val="00C02AEA"/>
    <w:rsid w:val="00C02EA5"/>
    <w:rsid w:val="00C02F5A"/>
    <w:rsid w:val="00C03024"/>
    <w:rsid w:val="00C03060"/>
    <w:rsid w:val="00C031BB"/>
    <w:rsid w:val="00C03242"/>
    <w:rsid w:val="00C042E5"/>
    <w:rsid w:val="00C0437D"/>
    <w:rsid w:val="00C04612"/>
    <w:rsid w:val="00C04875"/>
    <w:rsid w:val="00C05477"/>
    <w:rsid w:val="00C05BE4"/>
    <w:rsid w:val="00C05C53"/>
    <w:rsid w:val="00C05E81"/>
    <w:rsid w:val="00C06EA2"/>
    <w:rsid w:val="00C06F05"/>
    <w:rsid w:val="00C073C3"/>
    <w:rsid w:val="00C07622"/>
    <w:rsid w:val="00C11639"/>
    <w:rsid w:val="00C11B09"/>
    <w:rsid w:val="00C11D54"/>
    <w:rsid w:val="00C12064"/>
    <w:rsid w:val="00C12BBA"/>
    <w:rsid w:val="00C130D8"/>
    <w:rsid w:val="00C13945"/>
    <w:rsid w:val="00C16407"/>
    <w:rsid w:val="00C16B98"/>
    <w:rsid w:val="00C17057"/>
    <w:rsid w:val="00C17A2A"/>
    <w:rsid w:val="00C17C6A"/>
    <w:rsid w:val="00C20A92"/>
    <w:rsid w:val="00C20B47"/>
    <w:rsid w:val="00C2112F"/>
    <w:rsid w:val="00C211A4"/>
    <w:rsid w:val="00C21307"/>
    <w:rsid w:val="00C21423"/>
    <w:rsid w:val="00C214C8"/>
    <w:rsid w:val="00C217DE"/>
    <w:rsid w:val="00C21958"/>
    <w:rsid w:val="00C21B1D"/>
    <w:rsid w:val="00C22058"/>
    <w:rsid w:val="00C220A0"/>
    <w:rsid w:val="00C22EBC"/>
    <w:rsid w:val="00C22F26"/>
    <w:rsid w:val="00C2411D"/>
    <w:rsid w:val="00C2458A"/>
    <w:rsid w:val="00C24D4C"/>
    <w:rsid w:val="00C24E6C"/>
    <w:rsid w:val="00C24F11"/>
    <w:rsid w:val="00C25160"/>
    <w:rsid w:val="00C25409"/>
    <w:rsid w:val="00C2606D"/>
    <w:rsid w:val="00C269AE"/>
    <w:rsid w:val="00C27091"/>
    <w:rsid w:val="00C27105"/>
    <w:rsid w:val="00C277D9"/>
    <w:rsid w:val="00C27CF0"/>
    <w:rsid w:val="00C30665"/>
    <w:rsid w:val="00C31010"/>
    <w:rsid w:val="00C311EC"/>
    <w:rsid w:val="00C31AA9"/>
    <w:rsid w:val="00C31E42"/>
    <w:rsid w:val="00C3228C"/>
    <w:rsid w:val="00C33651"/>
    <w:rsid w:val="00C3395B"/>
    <w:rsid w:val="00C33C4B"/>
    <w:rsid w:val="00C34213"/>
    <w:rsid w:val="00C3423F"/>
    <w:rsid w:val="00C34893"/>
    <w:rsid w:val="00C34F3C"/>
    <w:rsid w:val="00C34FFD"/>
    <w:rsid w:val="00C353E3"/>
    <w:rsid w:val="00C3550C"/>
    <w:rsid w:val="00C366C7"/>
    <w:rsid w:val="00C36A99"/>
    <w:rsid w:val="00C36AD6"/>
    <w:rsid w:val="00C36E7F"/>
    <w:rsid w:val="00C37646"/>
    <w:rsid w:val="00C376D7"/>
    <w:rsid w:val="00C37F83"/>
    <w:rsid w:val="00C4026B"/>
    <w:rsid w:val="00C4056F"/>
    <w:rsid w:val="00C405F2"/>
    <w:rsid w:val="00C4096E"/>
    <w:rsid w:val="00C413E1"/>
    <w:rsid w:val="00C41B89"/>
    <w:rsid w:val="00C43554"/>
    <w:rsid w:val="00C43B36"/>
    <w:rsid w:val="00C44A33"/>
    <w:rsid w:val="00C44C40"/>
    <w:rsid w:val="00C456F3"/>
    <w:rsid w:val="00C45736"/>
    <w:rsid w:val="00C45A82"/>
    <w:rsid w:val="00C45D2F"/>
    <w:rsid w:val="00C45D9F"/>
    <w:rsid w:val="00C46EDD"/>
    <w:rsid w:val="00C47FC9"/>
    <w:rsid w:val="00C50160"/>
    <w:rsid w:val="00C5072F"/>
    <w:rsid w:val="00C5176E"/>
    <w:rsid w:val="00C51E1B"/>
    <w:rsid w:val="00C52266"/>
    <w:rsid w:val="00C5241A"/>
    <w:rsid w:val="00C527E7"/>
    <w:rsid w:val="00C52B5A"/>
    <w:rsid w:val="00C52B7B"/>
    <w:rsid w:val="00C52C04"/>
    <w:rsid w:val="00C52CEF"/>
    <w:rsid w:val="00C52D64"/>
    <w:rsid w:val="00C52DC1"/>
    <w:rsid w:val="00C532F3"/>
    <w:rsid w:val="00C5331E"/>
    <w:rsid w:val="00C53EEB"/>
    <w:rsid w:val="00C543F6"/>
    <w:rsid w:val="00C54408"/>
    <w:rsid w:val="00C5444D"/>
    <w:rsid w:val="00C549FF"/>
    <w:rsid w:val="00C55717"/>
    <w:rsid w:val="00C560C2"/>
    <w:rsid w:val="00C56C70"/>
    <w:rsid w:val="00C56E00"/>
    <w:rsid w:val="00C56E81"/>
    <w:rsid w:val="00C5753D"/>
    <w:rsid w:val="00C57887"/>
    <w:rsid w:val="00C57F64"/>
    <w:rsid w:val="00C60985"/>
    <w:rsid w:val="00C60C40"/>
    <w:rsid w:val="00C6118D"/>
    <w:rsid w:val="00C625E2"/>
    <w:rsid w:val="00C627ED"/>
    <w:rsid w:val="00C6399F"/>
    <w:rsid w:val="00C64104"/>
    <w:rsid w:val="00C64744"/>
    <w:rsid w:val="00C64D65"/>
    <w:rsid w:val="00C64DEE"/>
    <w:rsid w:val="00C653F1"/>
    <w:rsid w:val="00C65799"/>
    <w:rsid w:val="00C6591F"/>
    <w:rsid w:val="00C65936"/>
    <w:rsid w:val="00C65DC3"/>
    <w:rsid w:val="00C65EFA"/>
    <w:rsid w:val="00C664EF"/>
    <w:rsid w:val="00C673DF"/>
    <w:rsid w:val="00C67446"/>
    <w:rsid w:val="00C677DE"/>
    <w:rsid w:val="00C67B81"/>
    <w:rsid w:val="00C67CCC"/>
    <w:rsid w:val="00C67D56"/>
    <w:rsid w:val="00C70566"/>
    <w:rsid w:val="00C70AB7"/>
    <w:rsid w:val="00C7160D"/>
    <w:rsid w:val="00C71A31"/>
    <w:rsid w:val="00C722B3"/>
    <w:rsid w:val="00C72443"/>
    <w:rsid w:val="00C72949"/>
    <w:rsid w:val="00C7296E"/>
    <w:rsid w:val="00C73369"/>
    <w:rsid w:val="00C735D2"/>
    <w:rsid w:val="00C73646"/>
    <w:rsid w:val="00C74541"/>
    <w:rsid w:val="00C746D7"/>
    <w:rsid w:val="00C752F5"/>
    <w:rsid w:val="00C754C8"/>
    <w:rsid w:val="00C7609D"/>
    <w:rsid w:val="00C7695D"/>
    <w:rsid w:val="00C76F12"/>
    <w:rsid w:val="00C770A4"/>
    <w:rsid w:val="00C771E8"/>
    <w:rsid w:val="00C77674"/>
    <w:rsid w:val="00C803E2"/>
    <w:rsid w:val="00C80E64"/>
    <w:rsid w:val="00C80EC2"/>
    <w:rsid w:val="00C80F99"/>
    <w:rsid w:val="00C812E9"/>
    <w:rsid w:val="00C81CA2"/>
    <w:rsid w:val="00C820DC"/>
    <w:rsid w:val="00C828AA"/>
    <w:rsid w:val="00C83409"/>
    <w:rsid w:val="00C835A5"/>
    <w:rsid w:val="00C83803"/>
    <w:rsid w:val="00C8386C"/>
    <w:rsid w:val="00C83BD6"/>
    <w:rsid w:val="00C83E14"/>
    <w:rsid w:val="00C840D1"/>
    <w:rsid w:val="00C84567"/>
    <w:rsid w:val="00C8488B"/>
    <w:rsid w:val="00C84EB8"/>
    <w:rsid w:val="00C856A0"/>
    <w:rsid w:val="00C85989"/>
    <w:rsid w:val="00C85F48"/>
    <w:rsid w:val="00C86533"/>
    <w:rsid w:val="00C865C1"/>
    <w:rsid w:val="00C867B4"/>
    <w:rsid w:val="00C86956"/>
    <w:rsid w:val="00C86B58"/>
    <w:rsid w:val="00C86F46"/>
    <w:rsid w:val="00C87218"/>
    <w:rsid w:val="00C87E95"/>
    <w:rsid w:val="00C906CC"/>
    <w:rsid w:val="00C90773"/>
    <w:rsid w:val="00C90A4E"/>
    <w:rsid w:val="00C9124D"/>
    <w:rsid w:val="00C91ECB"/>
    <w:rsid w:val="00C91F04"/>
    <w:rsid w:val="00C91F0B"/>
    <w:rsid w:val="00C92372"/>
    <w:rsid w:val="00C92617"/>
    <w:rsid w:val="00C929C1"/>
    <w:rsid w:val="00C93698"/>
    <w:rsid w:val="00C94AE1"/>
    <w:rsid w:val="00C94B9D"/>
    <w:rsid w:val="00C94D68"/>
    <w:rsid w:val="00C94E25"/>
    <w:rsid w:val="00C95911"/>
    <w:rsid w:val="00C95B10"/>
    <w:rsid w:val="00C95C01"/>
    <w:rsid w:val="00C96CD6"/>
    <w:rsid w:val="00C96E16"/>
    <w:rsid w:val="00C9799E"/>
    <w:rsid w:val="00CA037B"/>
    <w:rsid w:val="00CA121B"/>
    <w:rsid w:val="00CA1596"/>
    <w:rsid w:val="00CA1CB1"/>
    <w:rsid w:val="00CA2257"/>
    <w:rsid w:val="00CA243C"/>
    <w:rsid w:val="00CA2654"/>
    <w:rsid w:val="00CA2EB8"/>
    <w:rsid w:val="00CA308F"/>
    <w:rsid w:val="00CA356F"/>
    <w:rsid w:val="00CA3670"/>
    <w:rsid w:val="00CA39D2"/>
    <w:rsid w:val="00CA3EC4"/>
    <w:rsid w:val="00CA4822"/>
    <w:rsid w:val="00CA4D58"/>
    <w:rsid w:val="00CA5138"/>
    <w:rsid w:val="00CA52B4"/>
    <w:rsid w:val="00CA5487"/>
    <w:rsid w:val="00CA54EC"/>
    <w:rsid w:val="00CA5AE9"/>
    <w:rsid w:val="00CA67CE"/>
    <w:rsid w:val="00CA67EF"/>
    <w:rsid w:val="00CA681D"/>
    <w:rsid w:val="00CA6932"/>
    <w:rsid w:val="00CA78D6"/>
    <w:rsid w:val="00CA7D93"/>
    <w:rsid w:val="00CB03B1"/>
    <w:rsid w:val="00CB0D0C"/>
    <w:rsid w:val="00CB110D"/>
    <w:rsid w:val="00CB121C"/>
    <w:rsid w:val="00CB167B"/>
    <w:rsid w:val="00CB181F"/>
    <w:rsid w:val="00CB2757"/>
    <w:rsid w:val="00CB2813"/>
    <w:rsid w:val="00CB295D"/>
    <w:rsid w:val="00CB2B53"/>
    <w:rsid w:val="00CB2BF3"/>
    <w:rsid w:val="00CB2CD5"/>
    <w:rsid w:val="00CB2E22"/>
    <w:rsid w:val="00CB2F41"/>
    <w:rsid w:val="00CB35CC"/>
    <w:rsid w:val="00CB363F"/>
    <w:rsid w:val="00CB3F97"/>
    <w:rsid w:val="00CB41A6"/>
    <w:rsid w:val="00CB4992"/>
    <w:rsid w:val="00CB51F6"/>
    <w:rsid w:val="00CB566F"/>
    <w:rsid w:val="00CB5856"/>
    <w:rsid w:val="00CB5BA0"/>
    <w:rsid w:val="00CB5C72"/>
    <w:rsid w:val="00CB660B"/>
    <w:rsid w:val="00CB6CDB"/>
    <w:rsid w:val="00CB6DE9"/>
    <w:rsid w:val="00CB7467"/>
    <w:rsid w:val="00CB74E9"/>
    <w:rsid w:val="00CB7CF4"/>
    <w:rsid w:val="00CC001F"/>
    <w:rsid w:val="00CC0340"/>
    <w:rsid w:val="00CC037C"/>
    <w:rsid w:val="00CC06D1"/>
    <w:rsid w:val="00CC06EE"/>
    <w:rsid w:val="00CC09B4"/>
    <w:rsid w:val="00CC0B29"/>
    <w:rsid w:val="00CC0BE7"/>
    <w:rsid w:val="00CC0E8F"/>
    <w:rsid w:val="00CC175B"/>
    <w:rsid w:val="00CC192A"/>
    <w:rsid w:val="00CC19CF"/>
    <w:rsid w:val="00CC1D04"/>
    <w:rsid w:val="00CC218E"/>
    <w:rsid w:val="00CC2F33"/>
    <w:rsid w:val="00CC3149"/>
    <w:rsid w:val="00CC3345"/>
    <w:rsid w:val="00CC3D21"/>
    <w:rsid w:val="00CC4515"/>
    <w:rsid w:val="00CC46D2"/>
    <w:rsid w:val="00CC47FC"/>
    <w:rsid w:val="00CC4B50"/>
    <w:rsid w:val="00CC4F3B"/>
    <w:rsid w:val="00CC61AF"/>
    <w:rsid w:val="00CC6369"/>
    <w:rsid w:val="00CC63A0"/>
    <w:rsid w:val="00CC74EB"/>
    <w:rsid w:val="00CC78E1"/>
    <w:rsid w:val="00CC7B93"/>
    <w:rsid w:val="00CC7E24"/>
    <w:rsid w:val="00CD067D"/>
    <w:rsid w:val="00CD0836"/>
    <w:rsid w:val="00CD09C2"/>
    <w:rsid w:val="00CD0FA0"/>
    <w:rsid w:val="00CD1082"/>
    <w:rsid w:val="00CD1735"/>
    <w:rsid w:val="00CD1D58"/>
    <w:rsid w:val="00CD1DE8"/>
    <w:rsid w:val="00CD2877"/>
    <w:rsid w:val="00CD2A40"/>
    <w:rsid w:val="00CD3552"/>
    <w:rsid w:val="00CD3C7B"/>
    <w:rsid w:val="00CD3F41"/>
    <w:rsid w:val="00CD4429"/>
    <w:rsid w:val="00CD48A7"/>
    <w:rsid w:val="00CD4F92"/>
    <w:rsid w:val="00CD5379"/>
    <w:rsid w:val="00CD5481"/>
    <w:rsid w:val="00CD5505"/>
    <w:rsid w:val="00CD5DAD"/>
    <w:rsid w:val="00CD6999"/>
    <w:rsid w:val="00CD70C2"/>
    <w:rsid w:val="00CD7BFA"/>
    <w:rsid w:val="00CD7DA2"/>
    <w:rsid w:val="00CD7DD8"/>
    <w:rsid w:val="00CD7DFE"/>
    <w:rsid w:val="00CE0403"/>
    <w:rsid w:val="00CE046E"/>
    <w:rsid w:val="00CE04C5"/>
    <w:rsid w:val="00CE25BA"/>
    <w:rsid w:val="00CE2810"/>
    <w:rsid w:val="00CE34E7"/>
    <w:rsid w:val="00CE3D67"/>
    <w:rsid w:val="00CE3EC7"/>
    <w:rsid w:val="00CE43C1"/>
    <w:rsid w:val="00CE48B5"/>
    <w:rsid w:val="00CE514E"/>
    <w:rsid w:val="00CE5258"/>
    <w:rsid w:val="00CE5706"/>
    <w:rsid w:val="00CE586F"/>
    <w:rsid w:val="00CE5B88"/>
    <w:rsid w:val="00CE5D19"/>
    <w:rsid w:val="00CE5FA4"/>
    <w:rsid w:val="00CE645C"/>
    <w:rsid w:val="00CE6A81"/>
    <w:rsid w:val="00CE6B93"/>
    <w:rsid w:val="00CE6F37"/>
    <w:rsid w:val="00CE7B26"/>
    <w:rsid w:val="00CF0DCC"/>
    <w:rsid w:val="00CF14A0"/>
    <w:rsid w:val="00CF1CDF"/>
    <w:rsid w:val="00CF1D8A"/>
    <w:rsid w:val="00CF23F3"/>
    <w:rsid w:val="00CF26D6"/>
    <w:rsid w:val="00CF27DD"/>
    <w:rsid w:val="00CF2C12"/>
    <w:rsid w:val="00CF385C"/>
    <w:rsid w:val="00CF3CAA"/>
    <w:rsid w:val="00CF3EBC"/>
    <w:rsid w:val="00CF474F"/>
    <w:rsid w:val="00CF4DA3"/>
    <w:rsid w:val="00CF5A60"/>
    <w:rsid w:val="00CF5D5C"/>
    <w:rsid w:val="00CF5E5B"/>
    <w:rsid w:val="00CF617E"/>
    <w:rsid w:val="00CF6939"/>
    <w:rsid w:val="00CF6AB3"/>
    <w:rsid w:val="00CF6BEB"/>
    <w:rsid w:val="00CF71C4"/>
    <w:rsid w:val="00CF73EA"/>
    <w:rsid w:val="00D000B4"/>
    <w:rsid w:val="00D0049F"/>
    <w:rsid w:val="00D004BA"/>
    <w:rsid w:val="00D00F1B"/>
    <w:rsid w:val="00D01672"/>
    <w:rsid w:val="00D0186F"/>
    <w:rsid w:val="00D01B47"/>
    <w:rsid w:val="00D02392"/>
    <w:rsid w:val="00D02C6C"/>
    <w:rsid w:val="00D02D92"/>
    <w:rsid w:val="00D032F4"/>
    <w:rsid w:val="00D032FE"/>
    <w:rsid w:val="00D03867"/>
    <w:rsid w:val="00D03B9C"/>
    <w:rsid w:val="00D044D7"/>
    <w:rsid w:val="00D058AE"/>
    <w:rsid w:val="00D05CB1"/>
    <w:rsid w:val="00D0604E"/>
    <w:rsid w:val="00D0609F"/>
    <w:rsid w:val="00D0616D"/>
    <w:rsid w:val="00D065BC"/>
    <w:rsid w:val="00D0714A"/>
    <w:rsid w:val="00D07B21"/>
    <w:rsid w:val="00D07BA9"/>
    <w:rsid w:val="00D07D84"/>
    <w:rsid w:val="00D1006D"/>
    <w:rsid w:val="00D10193"/>
    <w:rsid w:val="00D10457"/>
    <w:rsid w:val="00D10B56"/>
    <w:rsid w:val="00D110CF"/>
    <w:rsid w:val="00D11210"/>
    <w:rsid w:val="00D112C6"/>
    <w:rsid w:val="00D1180E"/>
    <w:rsid w:val="00D11869"/>
    <w:rsid w:val="00D1186A"/>
    <w:rsid w:val="00D11AEB"/>
    <w:rsid w:val="00D11F50"/>
    <w:rsid w:val="00D11FA5"/>
    <w:rsid w:val="00D123E8"/>
    <w:rsid w:val="00D12A5A"/>
    <w:rsid w:val="00D13788"/>
    <w:rsid w:val="00D13D0D"/>
    <w:rsid w:val="00D13E15"/>
    <w:rsid w:val="00D1476A"/>
    <w:rsid w:val="00D148FE"/>
    <w:rsid w:val="00D14F77"/>
    <w:rsid w:val="00D15062"/>
    <w:rsid w:val="00D15964"/>
    <w:rsid w:val="00D15AB3"/>
    <w:rsid w:val="00D16063"/>
    <w:rsid w:val="00D161C7"/>
    <w:rsid w:val="00D16565"/>
    <w:rsid w:val="00D173C2"/>
    <w:rsid w:val="00D17EA8"/>
    <w:rsid w:val="00D17EB5"/>
    <w:rsid w:val="00D201C3"/>
    <w:rsid w:val="00D20296"/>
    <w:rsid w:val="00D20DD0"/>
    <w:rsid w:val="00D21716"/>
    <w:rsid w:val="00D21A17"/>
    <w:rsid w:val="00D21AD0"/>
    <w:rsid w:val="00D22348"/>
    <w:rsid w:val="00D232CE"/>
    <w:rsid w:val="00D23325"/>
    <w:rsid w:val="00D234A6"/>
    <w:rsid w:val="00D234DD"/>
    <w:rsid w:val="00D238F2"/>
    <w:rsid w:val="00D239A4"/>
    <w:rsid w:val="00D23E0F"/>
    <w:rsid w:val="00D24B70"/>
    <w:rsid w:val="00D24D0F"/>
    <w:rsid w:val="00D25446"/>
    <w:rsid w:val="00D254C9"/>
    <w:rsid w:val="00D25AAD"/>
    <w:rsid w:val="00D26224"/>
    <w:rsid w:val="00D267B6"/>
    <w:rsid w:val="00D26A46"/>
    <w:rsid w:val="00D26B8D"/>
    <w:rsid w:val="00D26CFB"/>
    <w:rsid w:val="00D271B6"/>
    <w:rsid w:val="00D27B20"/>
    <w:rsid w:val="00D30826"/>
    <w:rsid w:val="00D30A18"/>
    <w:rsid w:val="00D31396"/>
    <w:rsid w:val="00D31EC4"/>
    <w:rsid w:val="00D328DE"/>
    <w:rsid w:val="00D32F54"/>
    <w:rsid w:val="00D339B3"/>
    <w:rsid w:val="00D33E4C"/>
    <w:rsid w:val="00D343F5"/>
    <w:rsid w:val="00D34845"/>
    <w:rsid w:val="00D34BE1"/>
    <w:rsid w:val="00D352C4"/>
    <w:rsid w:val="00D35510"/>
    <w:rsid w:val="00D35A75"/>
    <w:rsid w:val="00D35C62"/>
    <w:rsid w:val="00D35C78"/>
    <w:rsid w:val="00D360E9"/>
    <w:rsid w:val="00D365A1"/>
    <w:rsid w:val="00D365FC"/>
    <w:rsid w:val="00D3693E"/>
    <w:rsid w:val="00D37E44"/>
    <w:rsid w:val="00D40184"/>
    <w:rsid w:val="00D4020D"/>
    <w:rsid w:val="00D40292"/>
    <w:rsid w:val="00D40492"/>
    <w:rsid w:val="00D409C1"/>
    <w:rsid w:val="00D40F17"/>
    <w:rsid w:val="00D41204"/>
    <w:rsid w:val="00D412E3"/>
    <w:rsid w:val="00D41A86"/>
    <w:rsid w:val="00D41DC9"/>
    <w:rsid w:val="00D422A1"/>
    <w:rsid w:val="00D429A9"/>
    <w:rsid w:val="00D42EC4"/>
    <w:rsid w:val="00D4346E"/>
    <w:rsid w:val="00D435B4"/>
    <w:rsid w:val="00D43708"/>
    <w:rsid w:val="00D43D19"/>
    <w:rsid w:val="00D441D6"/>
    <w:rsid w:val="00D44326"/>
    <w:rsid w:val="00D44719"/>
    <w:rsid w:val="00D44B76"/>
    <w:rsid w:val="00D44CB3"/>
    <w:rsid w:val="00D452BE"/>
    <w:rsid w:val="00D45B57"/>
    <w:rsid w:val="00D45F49"/>
    <w:rsid w:val="00D45FF9"/>
    <w:rsid w:val="00D46054"/>
    <w:rsid w:val="00D46164"/>
    <w:rsid w:val="00D462FD"/>
    <w:rsid w:val="00D47B35"/>
    <w:rsid w:val="00D47D1B"/>
    <w:rsid w:val="00D47D46"/>
    <w:rsid w:val="00D50C03"/>
    <w:rsid w:val="00D5172B"/>
    <w:rsid w:val="00D5197F"/>
    <w:rsid w:val="00D51AD1"/>
    <w:rsid w:val="00D51FEB"/>
    <w:rsid w:val="00D5212F"/>
    <w:rsid w:val="00D524F7"/>
    <w:rsid w:val="00D53264"/>
    <w:rsid w:val="00D532DA"/>
    <w:rsid w:val="00D5356E"/>
    <w:rsid w:val="00D54B92"/>
    <w:rsid w:val="00D5571B"/>
    <w:rsid w:val="00D55907"/>
    <w:rsid w:val="00D55994"/>
    <w:rsid w:val="00D55FAD"/>
    <w:rsid w:val="00D56D05"/>
    <w:rsid w:val="00D56E80"/>
    <w:rsid w:val="00D571E1"/>
    <w:rsid w:val="00D57638"/>
    <w:rsid w:val="00D57C9A"/>
    <w:rsid w:val="00D57D22"/>
    <w:rsid w:val="00D6008D"/>
    <w:rsid w:val="00D6068C"/>
    <w:rsid w:val="00D6079A"/>
    <w:rsid w:val="00D60CB1"/>
    <w:rsid w:val="00D60F7E"/>
    <w:rsid w:val="00D61571"/>
    <w:rsid w:val="00D61A70"/>
    <w:rsid w:val="00D62348"/>
    <w:rsid w:val="00D63131"/>
    <w:rsid w:val="00D63207"/>
    <w:rsid w:val="00D63C15"/>
    <w:rsid w:val="00D63E4A"/>
    <w:rsid w:val="00D64A3F"/>
    <w:rsid w:val="00D650B0"/>
    <w:rsid w:val="00D65941"/>
    <w:rsid w:val="00D65AA8"/>
    <w:rsid w:val="00D65B94"/>
    <w:rsid w:val="00D66383"/>
    <w:rsid w:val="00D66735"/>
    <w:rsid w:val="00D667AE"/>
    <w:rsid w:val="00D66FE8"/>
    <w:rsid w:val="00D67193"/>
    <w:rsid w:val="00D701E6"/>
    <w:rsid w:val="00D70246"/>
    <w:rsid w:val="00D7044E"/>
    <w:rsid w:val="00D707D4"/>
    <w:rsid w:val="00D70967"/>
    <w:rsid w:val="00D70E0B"/>
    <w:rsid w:val="00D71649"/>
    <w:rsid w:val="00D718BA"/>
    <w:rsid w:val="00D71AC7"/>
    <w:rsid w:val="00D71F87"/>
    <w:rsid w:val="00D72B51"/>
    <w:rsid w:val="00D733DB"/>
    <w:rsid w:val="00D734CD"/>
    <w:rsid w:val="00D7370F"/>
    <w:rsid w:val="00D7374F"/>
    <w:rsid w:val="00D7377F"/>
    <w:rsid w:val="00D73B7C"/>
    <w:rsid w:val="00D74077"/>
    <w:rsid w:val="00D74CF5"/>
    <w:rsid w:val="00D751C3"/>
    <w:rsid w:val="00D751F5"/>
    <w:rsid w:val="00D75D3E"/>
    <w:rsid w:val="00D75F3C"/>
    <w:rsid w:val="00D76019"/>
    <w:rsid w:val="00D76844"/>
    <w:rsid w:val="00D76A57"/>
    <w:rsid w:val="00D77092"/>
    <w:rsid w:val="00D77707"/>
    <w:rsid w:val="00D77AAE"/>
    <w:rsid w:val="00D77C9E"/>
    <w:rsid w:val="00D80355"/>
    <w:rsid w:val="00D806CD"/>
    <w:rsid w:val="00D81BFF"/>
    <w:rsid w:val="00D81F6E"/>
    <w:rsid w:val="00D8217E"/>
    <w:rsid w:val="00D822E7"/>
    <w:rsid w:val="00D8255D"/>
    <w:rsid w:val="00D8283E"/>
    <w:rsid w:val="00D82C97"/>
    <w:rsid w:val="00D83530"/>
    <w:rsid w:val="00D84A58"/>
    <w:rsid w:val="00D85C67"/>
    <w:rsid w:val="00D8623A"/>
    <w:rsid w:val="00D865B4"/>
    <w:rsid w:val="00D86ED6"/>
    <w:rsid w:val="00D8713E"/>
    <w:rsid w:val="00D87F61"/>
    <w:rsid w:val="00D90302"/>
    <w:rsid w:val="00D91EFA"/>
    <w:rsid w:val="00D920A8"/>
    <w:rsid w:val="00D924C4"/>
    <w:rsid w:val="00D929CA"/>
    <w:rsid w:val="00D93325"/>
    <w:rsid w:val="00D93B15"/>
    <w:rsid w:val="00D93D6F"/>
    <w:rsid w:val="00D940D5"/>
    <w:rsid w:val="00D94770"/>
    <w:rsid w:val="00D94A81"/>
    <w:rsid w:val="00D94C18"/>
    <w:rsid w:val="00D9502A"/>
    <w:rsid w:val="00D9504F"/>
    <w:rsid w:val="00D951DA"/>
    <w:rsid w:val="00D951DE"/>
    <w:rsid w:val="00D9532F"/>
    <w:rsid w:val="00D954AD"/>
    <w:rsid w:val="00D95BB9"/>
    <w:rsid w:val="00D95F20"/>
    <w:rsid w:val="00D96719"/>
    <w:rsid w:val="00D96BC3"/>
    <w:rsid w:val="00D96D86"/>
    <w:rsid w:val="00D96DE6"/>
    <w:rsid w:val="00D97408"/>
    <w:rsid w:val="00D97581"/>
    <w:rsid w:val="00D977B3"/>
    <w:rsid w:val="00D97E54"/>
    <w:rsid w:val="00D97ECF"/>
    <w:rsid w:val="00DA04C0"/>
    <w:rsid w:val="00DA07B8"/>
    <w:rsid w:val="00DA0F56"/>
    <w:rsid w:val="00DA155F"/>
    <w:rsid w:val="00DA25FC"/>
    <w:rsid w:val="00DA279B"/>
    <w:rsid w:val="00DA27C9"/>
    <w:rsid w:val="00DA290E"/>
    <w:rsid w:val="00DA2919"/>
    <w:rsid w:val="00DA35F5"/>
    <w:rsid w:val="00DA365E"/>
    <w:rsid w:val="00DA3F9E"/>
    <w:rsid w:val="00DA46B6"/>
    <w:rsid w:val="00DA4DB1"/>
    <w:rsid w:val="00DA5509"/>
    <w:rsid w:val="00DA57EF"/>
    <w:rsid w:val="00DA62CA"/>
    <w:rsid w:val="00DA6424"/>
    <w:rsid w:val="00DA6E36"/>
    <w:rsid w:val="00DA75CA"/>
    <w:rsid w:val="00DA7B42"/>
    <w:rsid w:val="00DA7E2B"/>
    <w:rsid w:val="00DA7EE0"/>
    <w:rsid w:val="00DB0059"/>
    <w:rsid w:val="00DB070B"/>
    <w:rsid w:val="00DB0729"/>
    <w:rsid w:val="00DB07FE"/>
    <w:rsid w:val="00DB1098"/>
    <w:rsid w:val="00DB12C4"/>
    <w:rsid w:val="00DB1556"/>
    <w:rsid w:val="00DB19DC"/>
    <w:rsid w:val="00DB1A6A"/>
    <w:rsid w:val="00DB1E3F"/>
    <w:rsid w:val="00DB21E9"/>
    <w:rsid w:val="00DB242F"/>
    <w:rsid w:val="00DB2A98"/>
    <w:rsid w:val="00DB304D"/>
    <w:rsid w:val="00DB3513"/>
    <w:rsid w:val="00DB3DDE"/>
    <w:rsid w:val="00DB41D8"/>
    <w:rsid w:val="00DB42F6"/>
    <w:rsid w:val="00DB4353"/>
    <w:rsid w:val="00DB4CB8"/>
    <w:rsid w:val="00DB507B"/>
    <w:rsid w:val="00DB5586"/>
    <w:rsid w:val="00DB5D26"/>
    <w:rsid w:val="00DB60EB"/>
    <w:rsid w:val="00DB6610"/>
    <w:rsid w:val="00DB6A43"/>
    <w:rsid w:val="00DB6B20"/>
    <w:rsid w:val="00DB7081"/>
    <w:rsid w:val="00DB719E"/>
    <w:rsid w:val="00DB74BA"/>
    <w:rsid w:val="00DB7560"/>
    <w:rsid w:val="00DB7A15"/>
    <w:rsid w:val="00DB7B0E"/>
    <w:rsid w:val="00DC0007"/>
    <w:rsid w:val="00DC01C5"/>
    <w:rsid w:val="00DC098C"/>
    <w:rsid w:val="00DC13B1"/>
    <w:rsid w:val="00DC1547"/>
    <w:rsid w:val="00DC17A1"/>
    <w:rsid w:val="00DC1805"/>
    <w:rsid w:val="00DC29A6"/>
    <w:rsid w:val="00DC2C8C"/>
    <w:rsid w:val="00DC2F39"/>
    <w:rsid w:val="00DC33BF"/>
    <w:rsid w:val="00DC397C"/>
    <w:rsid w:val="00DC4B10"/>
    <w:rsid w:val="00DC4D2D"/>
    <w:rsid w:val="00DC4D5D"/>
    <w:rsid w:val="00DC5A36"/>
    <w:rsid w:val="00DC5BE6"/>
    <w:rsid w:val="00DC5CFE"/>
    <w:rsid w:val="00DC636E"/>
    <w:rsid w:val="00DC6A10"/>
    <w:rsid w:val="00DC6F5E"/>
    <w:rsid w:val="00DC7789"/>
    <w:rsid w:val="00DC7A24"/>
    <w:rsid w:val="00DD0537"/>
    <w:rsid w:val="00DD06F7"/>
    <w:rsid w:val="00DD0BF0"/>
    <w:rsid w:val="00DD17C9"/>
    <w:rsid w:val="00DD2278"/>
    <w:rsid w:val="00DD240C"/>
    <w:rsid w:val="00DD25A5"/>
    <w:rsid w:val="00DD25ED"/>
    <w:rsid w:val="00DD297F"/>
    <w:rsid w:val="00DD2B04"/>
    <w:rsid w:val="00DD3367"/>
    <w:rsid w:val="00DD37DF"/>
    <w:rsid w:val="00DD3929"/>
    <w:rsid w:val="00DD39E5"/>
    <w:rsid w:val="00DD41FB"/>
    <w:rsid w:val="00DD43B0"/>
    <w:rsid w:val="00DD46A4"/>
    <w:rsid w:val="00DD4C68"/>
    <w:rsid w:val="00DD4F65"/>
    <w:rsid w:val="00DD5347"/>
    <w:rsid w:val="00DD5684"/>
    <w:rsid w:val="00DD58E7"/>
    <w:rsid w:val="00DD5B44"/>
    <w:rsid w:val="00DD60DD"/>
    <w:rsid w:val="00DD62D5"/>
    <w:rsid w:val="00DD65BA"/>
    <w:rsid w:val="00DD6709"/>
    <w:rsid w:val="00DD6B6D"/>
    <w:rsid w:val="00DD70CE"/>
    <w:rsid w:val="00DD7A2A"/>
    <w:rsid w:val="00DE0637"/>
    <w:rsid w:val="00DE0E7B"/>
    <w:rsid w:val="00DE1424"/>
    <w:rsid w:val="00DE1583"/>
    <w:rsid w:val="00DE185E"/>
    <w:rsid w:val="00DE19DE"/>
    <w:rsid w:val="00DE2509"/>
    <w:rsid w:val="00DE2633"/>
    <w:rsid w:val="00DE2695"/>
    <w:rsid w:val="00DE2945"/>
    <w:rsid w:val="00DE2CB5"/>
    <w:rsid w:val="00DE2D46"/>
    <w:rsid w:val="00DE335A"/>
    <w:rsid w:val="00DE3624"/>
    <w:rsid w:val="00DE40AF"/>
    <w:rsid w:val="00DE40D7"/>
    <w:rsid w:val="00DE4FEF"/>
    <w:rsid w:val="00DE51D5"/>
    <w:rsid w:val="00DE56AB"/>
    <w:rsid w:val="00DE57F5"/>
    <w:rsid w:val="00DE5850"/>
    <w:rsid w:val="00DE5A85"/>
    <w:rsid w:val="00DE5E86"/>
    <w:rsid w:val="00DE663F"/>
    <w:rsid w:val="00DE7042"/>
    <w:rsid w:val="00DE7229"/>
    <w:rsid w:val="00DE75C1"/>
    <w:rsid w:val="00DE7667"/>
    <w:rsid w:val="00DE77CF"/>
    <w:rsid w:val="00DE7C79"/>
    <w:rsid w:val="00DE7FD3"/>
    <w:rsid w:val="00DF0399"/>
    <w:rsid w:val="00DF0619"/>
    <w:rsid w:val="00DF12B2"/>
    <w:rsid w:val="00DF14A9"/>
    <w:rsid w:val="00DF14C1"/>
    <w:rsid w:val="00DF14EC"/>
    <w:rsid w:val="00DF1886"/>
    <w:rsid w:val="00DF1900"/>
    <w:rsid w:val="00DF1CC3"/>
    <w:rsid w:val="00DF21DA"/>
    <w:rsid w:val="00DF257A"/>
    <w:rsid w:val="00DF263C"/>
    <w:rsid w:val="00DF2909"/>
    <w:rsid w:val="00DF296F"/>
    <w:rsid w:val="00DF319D"/>
    <w:rsid w:val="00DF35E8"/>
    <w:rsid w:val="00DF3634"/>
    <w:rsid w:val="00DF3AB1"/>
    <w:rsid w:val="00DF5AD2"/>
    <w:rsid w:val="00DF5DDE"/>
    <w:rsid w:val="00DF5FCE"/>
    <w:rsid w:val="00DF6465"/>
    <w:rsid w:val="00DF6509"/>
    <w:rsid w:val="00DF6DC9"/>
    <w:rsid w:val="00DF6FDF"/>
    <w:rsid w:val="00DF70BC"/>
    <w:rsid w:val="00DF713E"/>
    <w:rsid w:val="00DF72F9"/>
    <w:rsid w:val="00DF7335"/>
    <w:rsid w:val="00DF7E21"/>
    <w:rsid w:val="00DF7EE1"/>
    <w:rsid w:val="00E002BD"/>
    <w:rsid w:val="00E0078D"/>
    <w:rsid w:val="00E00853"/>
    <w:rsid w:val="00E0098F"/>
    <w:rsid w:val="00E00E03"/>
    <w:rsid w:val="00E010D2"/>
    <w:rsid w:val="00E012BD"/>
    <w:rsid w:val="00E01CC8"/>
    <w:rsid w:val="00E01DA5"/>
    <w:rsid w:val="00E02326"/>
    <w:rsid w:val="00E0242A"/>
    <w:rsid w:val="00E025A6"/>
    <w:rsid w:val="00E02844"/>
    <w:rsid w:val="00E029EE"/>
    <w:rsid w:val="00E02DC8"/>
    <w:rsid w:val="00E030FC"/>
    <w:rsid w:val="00E03280"/>
    <w:rsid w:val="00E0357C"/>
    <w:rsid w:val="00E03FB8"/>
    <w:rsid w:val="00E05352"/>
    <w:rsid w:val="00E05AE1"/>
    <w:rsid w:val="00E05D7D"/>
    <w:rsid w:val="00E062C8"/>
    <w:rsid w:val="00E064F5"/>
    <w:rsid w:val="00E066DF"/>
    <w:rsid w:val="00E06912"/>
    <w:rsid w:val="00E06CAA"/>
    <w:rsid w:val="00E0707F"/>
    <w:rsid w:val="00E072D2"/>
    <w:rsid w:val="00E074C8"/>
    <w:rsid w:val="00E0752D"/>
    <w:rsid w:val="00E07DF5"/>
    <w:rsid w:val="00E10247"/>
    <w:rsid w:val="00E10334"/>
    <w:rsid w:val="00E11112"/>
    <w:rsid w:val="00E1118F"/>
    <w:rsid w:val="00E111E6"/>
    <w:rsid w:val="00E1172E"/>
    <w:rsid w:val="00E11874"/>
    <w:rsid w:val="00E122FA"/>
    <w:rsid w:val="00E12CCA"/>
    <w:rsid w:val="00E12DAA"/>
    <w:rsid w:val="00E12E53"/>
    <w:rsid w:val="00E138D3"/>
    <w:rsid w:val="00E13E47"/>
    <w:rsid w:val="00E14CDA"/>
    <w:rsid w:val="00E14E12"/>
    <w:rsid w:val="00E151FB"/>
    <w:rsid w:val="00E15492"/>
    <w:rsid w:val="00E15945"/>
    <w:rsid w:val="00E15B3F"/>
    <w:rsid w:val="00E1649D"/>
    <w:rsid w:val="00E16819"/>
    <w:rsid w:val="00E16D57"/>
    <w:rsid w:val="00E16F61"/>
    <w:rsid w:val="00E170EE"/>
    <w:rsid w:val="00E17273"/>
    <w:rsid w:val="00E17599"/>
    <w:rsid w:val="00E17786"/>
    <w:rsid w:val="00E17A27"/>
    <w:rsid w:val="00E17F47"/>
    <w:rsid w:val="00E205DD"/>
    <w:rsid w:val="00E213AC"/>
    <w:rsid w:val="00E2146F"/>
    <w:rsid w:val="00E215EB"/>
    <w:rsid w:val="00E21C43"/>
    <w:rsid w:val="00E220AC"/>
    <w:rsid w:val="00E2313D"/>
    <w:rsid w:val="00E239E0"/>
    <w:rsid w:val="00E2410E"/>
    <w:rsid w:val="00E24312"/>
    <w:rsid w:val="00E24DBC"/>
    <w:rsid w:val="00E24F5C"/>
    <w:rsid w:val="00E25270"/>
    <w:rsid w:val="00E25409"/>
    <w:rsid w:val="00E257C3"/>
    <w:rsid w:val="00E26646"/>
    <w:rsid w:val="00E266E5"/>
    <w:rsid w:val="00E26AEE"/>
    <w:rsid w:val="00E26BBF"/>
    <w:rsid w:val="00E26CF5"/>
    <w:rsid w:val="00E27119"/>
    <w:rsid w:val="00E3004F"/>
    <w:rsid w:val="00E303D9"/>
    <w:rsid w:val="00E3073E"/>
    <w:rsid w:val="00E30866"/>
    <w:rsid w:val="00E30A14"/>
    <w:rsid w:val="00E30EFC"/>
    <w:rsid w:val="00E313A3"/>
    <w:rsid w:val="00E315D7"/>
    <w:rsid w:val="00E31673"/>
    <w:rsid w:val="00E31A8E"/>
    <w:rsid w:val="00E31F61"/>
    <w:rsid w:val="00E320E9"/>
    <w:rsid w:val="00E32531"/>
    <w:rsid w:val="00E328E1"/>
    <w:rsid w:val="00E328EB"/>
    <w:rsid w:val="00E32A2D"/>
    <w:rsid w:val="00E32F97"/>
    <w:rsid w:val="00E3317A"/>
    <w:rsid w:val="00E33EA6"/>
    <w:rsid w:val="00E341A0"/>
    <w:rsid w:val="00E34B4E"/>
    <w:rsid w:val="00E353F4"/>
    <w:rsid w:val="00E35525"/>
    <w:rsid w:val="00E3562C"/>
    <w:rsid w:val="00E35CE7"/>
    <w:rsid w:val="00E366A8"/>
    <w:rsid w:val="00E36CD4"/>
    <w:rsid w:val="00E40E83"/>
    <w:rsid w:val="00E40FAA"/>
    <w:rsid w:val="00E4186B"/>
    <w:rsid w:val="00E418FB"/>
    <w:rsid w:val="00E41B06"/>
    <w:rsid w:val="00E41F03"/>
    <w:rsid w:val="00E420F3"/>
    <w:rsid w:val="00E42FE7"/>
    <w:rsid w:val="00E42FF2"/>
    <w:rsid w:val="00E43BB6"/>
    <w:rsid w:val="00E44368"/>
    <w:rsid w:val="00E446B3"/>
    <w:rsid w:val="00E44EBB"/>
    <w:rsid w:val="00E44F61"/>
    <w:rsid w:val="00E45157"/>
    <w:rsid w:val="00E470D8"/>
    <w:rsid w:val="00E501F6"/>
    <w:rsid w:val="00E502FB"/>
    <w:rsid w:val="00E505CB"/>
    <w:rsid w:val="00E5084A"/>
    <w:rsid w:val="00E50B05"/>
    <w:rsid w:val="00E51273"/>
    <w:rsid w:val="00E514FA"/>
    <w:rsid w:val="00E52538"/>
    <w:rsid w:val="00E5273E"/>
    <w:rsid w:val="00E53DC4"/>
    <w:rsid w:val="00E53EEB"/>
    <w:rsid w:val="00E5513C"/>
    <w:rsid w:val="00E5529D"/>
    <w:rsid w:val="00E556D8"/>
    <w:rsid w:val="00E55705"/>
    <w:rsid w:val="00E55823"/>
    <w:rsid w:val="00E563A4"/>
    <w:rsid w:val="00E568C6"/>
    <w:rsid w:val="00E56B02"/>
    <w:rsid w:val="00E56C95"/>
    <w:rsid w:val="00E572DC"/>
    <w:rsid w:val="00E578B8"/>
    <w:rsid w:val="00E578FD"/>
    <w:rsid w:val="00E57E39"/>
    <w:rsid w:val="00E57FD0"/>
    <w:rsid w:val="00E60245"/>
    <w:rsid w:val="00E608E3"/>
    <w:rsid w:val="00E60B13"/>
    <w:rsid w:val="00E60CCC"/>
    <w:rsid w:val="00E60E9B"/>
    <w:rsid w:val="00E61010"/>
    <w:rsid w:val="00E617A5"/>
    <w:rsid w:val="00E61900"/>
    <w:rsid w:val="00E61F61"/>
    <w:rsid w:val="00E62362"/>
    <w:rsid w:val="00E62E45"/>
    <w:rsid w:val="00E62FFA"/>
    <w:rsid w:val="00E63354"/>
    <w:rsid w:val="00E634EC"/>
    <w:rsid w:val="00E637CE"/>
    <w:rsid w:val="00E63F03"/>
    <w:rsid w:val="00E64329"/>
    <w:rsid w:val="00E646FC"/>
    <w:rsid w:val="00E6520F"/>
    <w:rsid w:val="00E66330"/>
    <w:rsid w:val="00E6659F"/>
    <w:rsid w:val="00E66769"/>
    <w:rsid w:val="00E70134"/>
    <w:rsid w:val="00E705CC"/>
    <w:rsid w:val="00E70751"/>
    <w:rsid w:val="00E70D52"/>
    <w:rsid w:val="00E714F3"/>
    <w:rsid w:val="00E716A2"/>
    <w:rsid w:val="00E72AA6"/>
    <w:rsid w:val="00E72BB6"/>
    <w:rsid w:val="00E7313C"/>
    <w:rsid w:val="00E7327C"/>
    <w:rsid w:val="00E738A8"/>
    <w:rsid w:val="00E73CD8"/>
    <w:rsid w:val="00E74520"/>
    <w:rsid w:val="00E74891"/>
    <w:rsid w:val="00E74D0C"/>
    <w:rsid w:val="00E75011"/>
    <w:rsid w:val="00E75726"/>
    <w:rsid w:val="00E75756"/>
    <w:rsid w:val="00E75E6D"/>
    <w:rsid w:val="00E760A7"/>
    <w:rsid w:val="00E763AE"/>
    <w:rsid w:val="00E767AA"/>
    <w:rsid w:val="00E76A37"/>
    <w:rsid w:val="00E76E07"/>
    <w:rsid w:val="00E76E8E"/>
    <w:rsid w:val="00E76FEA"/>
    <w:rsid w:val="00E77E02"/>
    <w:rsid w:val="00E80B37"/>
    <w:rsid w:val="00E81115"/>
    <w:rsid w:val="00E81356"/>
    <w:rsid w:val="00E813A1"/>
    <w:rsid w:val="00E814A3"/>
    <w:rsid w:val="00E81EAF"/>
    <w:rsid w:val="00E828D2"/>
    <w:rsid w:val="00E83226"/>
    <w:rsid w:val="00E83818"/>
    <w:rsid w:val="00E83B54"/>
    <w:rsid w:val="00E8410E"/>
    <w:rsid w:val="00E8496D"/>
    <w:rsid w:val="00E84B13"/>
    <w:rsid w:val="00E84F08"/>
    <w:rsid w:val="00E8532F"/>
    <w:rsid w:val="00E85430"/>
    <w:rsid w:val="00E85E0B"/>
    <w:rsid w:val="00E85F9C"/>
    <w:rsid w:val="00E866AD"/>
    <w:rsid w:val="00E868E0"/>
    <w:rsid w:val="00E87081"/>
    <w:rsid w:val="00E876D9"/>
    <w:rsid w:val="00E903F4"/>
    <w:rsid w:val="00E904D1"/>
    <w:rsid w:val="00E9081A"/>
    <w:rsid w:val="00E90B60"/>
    <w:rsid w:val="00E9159B"/>
    <w:rsid w:val="00E91D7D"/>
    <w:rsid w:val="00E91FE5"/>
    <w:rsid w:val="00E927ED"/>
    <w:rsid w:val="00E93384"/>
    <w:rsid w:val="00E935E5"/>
    <w:rsid w:val="00E93731"/>
    <w:rsid w:val="00E93866"/>
    <w:rsid w:val="00E939B7"/>
    <w:rsid w:val="00E93D57"/>
    <w:rsid w:val="00E94730"/>
    <w:rsid w:val="00E94780"/>
    <w:rsid w:val="00E948E2"/>
    <w:rsid w:val="00E94B26"/>
    <w:rsid w:val="00E94F8B"/>
    <w:rsid w:val="00E95700"/>
    <w:rsid w:val="00E9573A"/>
    <w:rsid w:val="00E96377"/>
    <w:rsid w:val="00E96638"/>
    <w:rsid w:val="00E9689E"/>
    <w:rsid w:val="00E96A64"/>
    <w:rsid w:val="00E974E6"/>
    <w:rsid w:val="00E97BA1"/>
    <w:rsid w:val="00EA135B"/>
    <w:rsid w:val="00EA1A6E"/>
    <w:rsid w:val="00EA1A99"/>
    <w:rsid w:val="00EA2017"/>
    <w:rsid w:val="00EA22C7"/>
    <w:rsid w:val="00EA262F"/>
    <w:rsid w:val="00EA291A"/>
    <w:rsid w:val="00EA2E18"/>
    <w:rsid w:val="00EA2FD1"/>
    <w:rsid w:val="00EA34C1"/>
    <w:rsid w:val="00EA35A1"/>
    <w:rsid w:val="00EA38CA"/>
    <w:rsid w:val="00EA3F03"/>
    <w:rsid w:val="00EA40F6"/>
    <w:rsid w:val="00EA48A0"/>
    <w:rsid w:val="00EA5299"/>
    <w:rsid w:val="00EA53E1"/>
    <w:rsid w:val="00EA54BD"/>
    <w:rsid w:val="00EA581B"/>
    <w:rsid w:val="00EA58FF"/>
    <w:rsid w:val="00EA590C"/>
    <w:rsid w:val="00EA5A35"/>
    <w:rsid w:val="00EA5B9A"/>
    <w:rsid w:val="00EA5D87"/>
    <w:rsid w:val="00EA6DD0"/>
    <w:rsid w:val="00EA6E69"/>
    <w:rsid w:val="00EA708E"/>
    <w:rsid w:val="00EA7136"/>
    <w:rsid w:val="00EA7275"/>
    <w:rsid w:val="00EA7750"/>
    <w:rsid w:val="00EA7B14"/>
    <w:rsid w:val="00EB0981"/>
    <w:rsid w:val="00EB1654"/>
    <w:rsid w:val="00EB1B01"/>
    <w:rsid w:val="00EB1B85"/>
    <w:rsid w:val="00EB1C6D"/>
    <w:rsid w:val="00EB1D41"/>
    <w:rsid w:val="00EB1E15"/>
    <w:rsid w:val="00EB2226"/>
    <w:rsid w:val="00EB244C"/>
    <w:rsid w:val="00EB2BB6"/>
    <w:rsid w:val="00EB307F"/>
    <w:rsid w:val="00EB30C4"/>
    <w:rsid w:val="00EB30D0"/>
    <w:rsid w:val="00EB3CCD"/>
    <w:rsid w:val="00EB3D29"/>
    <w:rsid w:val="00EB43F0"/>
    <w:rsid w:val="00EB4590"/>
    <w:rsid w:val="00EB4EC0"/>
    <w:rsid w:val="00EB5D6A"/>
    <w:rsid w:val="00EB6854"/>
    <w:rsid w:val="00EB6EC5"/>
    <w:rsid w:val="00EB7887"/>
    <w:rsid w:val="00EB78EB"/>
    <w:rsid w:val="00EC00E4"/>
    <w:rsid w:val="00EC0542"/>
    <w:rsid w:val="00EC0BCC"/>
    <w:rsid w:val="00EC11FC"/>
    <w:rsid w:val="00EC170A"/>
    <w:rsid w:val="00EC1E75"/>
    <w:rsid w:val="00EC1F8B"/>
    <w:rsid w:val="00EC202E"/>
    <w:rsid w:val="00EC2A99"/>
    <w:rsid w:val="00EC3C05"/>
    <w:rsid w:val="00EC4826"/>
    <w:rsid w:val="00EC4C13"/>
    <w:rsid w:val="00EC54E0"/>
    <w:rsid w:val="00EC599E"/>
    <w:rsid w:val="00EC5ABC"/>
    <w:rsid w:val="00EC6CE8"/>
    <w:rsid w:val="00EC6D7E"/>
    <w:rsid w:val="00EC70F2"/>
    <w:rsid w:val="00EC71D3"/>
    <w:rsid w:val="00EC7579"/>
    <w:rsid w:val="00EC78B0"/>
    <w:rsid w:val="00EC79AD"/>
    <w:rsid w:val="00EC79E5"/>
    <w:rsid w:val="00EC7C9C"/>
    <w:rsid w:val="00EC7FB2"/>
    <w:rsid w:val="00ED0236"/>
    <w:rsid w:val="00ED066A"/>
    <w:rsid w:val="00ED0D39"/>
    <w:rsid w:val="00ED1B1B"/>
    <w:rsid w:val="00ED1C44"/>
    <w:rsid w:val="00ED1F0A"/>
    <w:rsid w:val="00ED1FBC"/>
    <w:rsid w:val="00ED2354"/>
    <w:rsid w:val="00ED36B6"/>
    <w:rsid w:val="00ED3B62"/>
    <w:rsid w:val="00ED40A1"/>
    <w:rsid w:val="00ED5557"/>
    <w:rsid w:val="00ED5DAF"/>
    <w:rsid w:val="00ED5EF0"/>
    <w:rsid w:val="00ED5FDD"/>
    <w:rsid w:val="00ED6418"/>
    <w:rsid w:val="00ED6C55"/>
    <w:rsid w:val="00ED7418"/>
    <w:rsid w:val="00EE0DE9"/>
    <w:rsid w:val="00EE1B03"/>
    <w:rsid w:val="00EE21D1"/>
    <w:rsid w:val="00EE24CF"/>
    <w:rsid w:val="00EE2514"/>
    <w:rsid w:val="00EE2635"/>
    <w:rsid w:val="00EE2668"/>
    <w:rsid w:val="00EE276F"/>
    <w:rsid w:val="00EE2C3E"/>
    <w:rsid w:val="00EE306F"/>
    <w:rsid w:val="00EE3A1E"/>
    <w:rsid w:val="00EE49F5"/>
    <w:rsid w:val="00EE538F"/>
    <w:rsid w:val="00EE60E5"/>
    <w:rsid w:val="00EE70F5"/>
    <w:rsid w:val="00EE7309"/>
    <w:rsid w:val="00EE73DE"/>
    <w:rsid w:val="00EE7A02"/>
    <w:rsid w:val="00EF02E3"/>
    <w:rsid w:val="00EF16BA"/>
    <w:rsid w:val="00EF16BF"/>
    <w:rsid w:val="00EF186C"/>
    <w:rsid w:val="00EF1C6C"/>
    <w:rsid w:val="00EF2D49"/>
    <w:rsid w:val="00EF2E64"/>
    <w:rsid w:val="00EF381D"/>
    <w:rsid w:val="00EF3B61"/>
    <w:rsid w:val="00EF4BEE"/>
    <w:rsid w:val="00EF531C"/>
    <w:rsid w:val="00EF5704"/>
    <w:rsid w:val="00EF645C"/>
    <w:rsid w:val="00EF671A"/>
    <w:rsid w:val="00EF6F97"/>
    <w:rsid w:val="00EF74C5"/>
    <w:rsid w:val="00EF76AD"/>
    <w:rsid w:val="00EF7879"/>
    <w:rsid w:val="00EF799D"/>
    <w:rsid w:val="00F00506"/>
    <w:rsid w:val="00F00634"/>
    <w:rsid w:val="00F00E1A"/>
    <w:rsid w:val="00F01274"/>
    <w:rsid w:val="00F01442"/>
    <w:rsid w:val="00F0152E"/>
    <w:rsid w:val="00F01645"/>
    <w:rsid w:val="00F01C98"/>
    <w:rsid w:val="00F020D2"/>
    <w:rsid w:val="00F02437"/>
    <w:rsid w:val="00F0252F"/>
    <w:rsid w:val="00F02C3A"/>
    <w:rsid w:val="00F02EC2"/>
    <w:rsid w:val="00F03127"/>
    <w:rsid w:val="00F03764"/>
    <w:rsid w:val="00F039A5"/>
    <w:rsid w:val="00F039C5"/>
    <w:rsid w:val="00F03B30"/>
    <w:rsid w:val="00F046F7"/>
    <w:rsid w:val="00F04910"/>
    <w:rsid w:val="00F049F8"/>
    <w:rsid w:val="00F05A88"/>
    <w:rsid w:val="00F05A98"/>
    <w:rsid w:val="00F0665C"/>
    <w:rsid w:val="00F068E9"/>
    <w:rsid w:val="00F06F14"/>
    <w:rsid w:val="00F06FB1"/>
    <w:rsid w:val="00F07191"/>
    <w:rsid w:val="00F07773"/>
    <w:rsid w:val="00F10206"/>
    <w:rsid w:val="00F10377"/>
    <w:rsid w:val="00F10B7E"/>
    <w:rsid w:val="00F112A9"/>
    <w:rsid w:val="00F113F1"/>
    <w:rsid w:val="00F11792"/>
    <w:rsid w:val="00F1180A"/>
    <w:rsid w:val="00F13BA3"/>
    <w:rsid w:val="00F14176"/>
    <w:rsid w:val="00F14C4C"/>
    <w:rsid w:val="00F14E78"/>
    <w:rsid w:val="00F152E3"/>
    <w:rsid w:val="00F15AF6"/>
    <w:rsid w:val="00F16A29"/>
    <w:rsid w:val="00F16D6E"/>
    <w:rsid w:val="00F16F90"/>
    <w:rsid w:val="00F171DB"/>
    <w:rsid w:val="00F1745E"/>
    <w:rsid w:val="00F17C9D"/>
    <w:rsid w:val="00F17F1D"/>
    <w:rsid w:val="00F2026E"/>
    <w:rsid w:val="00F2098B"/>
    <w:rsid w:val="00F2159C"/>
    <w:rsid w:val="00F21A2A"/>
    <w:rsid w:val="00F2214A"/>
    <w:rsid w:val="00F22483"/>
    <w:rsid w:val="00F22691"/>
    <w:rsid w:val="00F22847"/>
    <w:rsid w:val="00F22A59"/>
    <w:rsid w:val="00F23055"/>
    <w:rsid w:val="00F23063"/>
    <w:rsid w:val="00F23159"/>
    <w:rsid w:val="00F233F9"/>
    <w:rsid w:val="00F2354A"/>
    <w:rsid w:val="00F23C4C"/>
    <w:rsid w:val="00F24064"/>
    <w:rsid w:val="00F2435F"/>
    <w:rsid w:val="00F2445A"/>
    <w:rsid w:val="00F2475F"/>
    <w:rsid w:val="00F247E7"/>
    <w:rsid w:val="00F250A7"/>
    <w:rsid w:val="00F25463"/>
    <w:rsid w:val="00F259CF"/>
    <w:rsid w:val="00F25BE4"/>
    <w:rsid w:val="00F263F0"/>
    <w:rsid w:val="00F2656A"/>
    <w:rsid w:val="00F2766C"/>
    <w:rsid w:val="00F27B84"/>
    <w:rsid w:val="00F27F3F"/>
    <w:rsid w:val="00F302F9"/>
    <w:rsid w:val="00F3030E"/>
    <w:rsid w:val="00F305D3"/>
    <w:rsid w:val="00F30635"/>
    <w:rsid w:val="00F30664"/>
    <w:rsid w:val="00F30821"/>
    <w:rsid w:val="00F30BC3"/>
    <w:rsid w:val="00F30E05"/>
    <w:rsid w:val="00F3172C"/>
    <w:rsid w:val="00F324C8"/>
    <w:rsid w:val="00F32647"/>
    <w:rsid w:val="00F3328C"/>
    <w:rsid w:val="00F3339A"/>
    <w:rsid w:val="00F334CE"/>
    <w:rsid w:val="00F337AB"/>
    <w:rsid w:val="00F33D51"/>
    <w:rsid w:val="00F343E1"/>
    <w:rsid w:val="00F34AF7"/>
    <w:rsid w:val="00F35040"/>
    <w:rsid w:val="00F350FE"/>
    <w:rsid w:val="00F35546"/>
    <w:rsid w:val="00F357D0"/>
    <w:rsid w:val="00F3590C"/>
    <w:rsid w:val="00F3593A"/>
    <w:rsid w:val="00F35B24"/>
    <w:rsid w:val="00F35DB2"/>
    <w:rsid w:val="00F36144"/>
    <w:rsid w:val="00F3624C"/>
    <w:rsid w:val="00F365BD"/>
    <w:rsid w:val="00F36C1B"/>
    <w:rsid w:val="00F37282"/>
    <w:rsid w:val="00F37F40"/>
    <w:rsid w:val="00F4030C"/>
    <w:rsid w:val="00F40A53"/>
    <w:rsid w:val="00F40FB0"/>
    <w:rsid w:val="00F41185"/>
    <w:rsid w:val="00F418FF"/>
    <w:rsid w:val="00F41ADC"/>
    <w:rsid w:val="00F42267"/>
    <w:rsid w:val="00F4234C"/>
    <w:rsid w:val="00F4283B"/>
    <w:rsid w:val="00F42A66"/>
    <w:rsid w:val="00F42C57"/>
    <w:rsid w:val="00F42D38"/>
    <w:rsid w:val="00F43E5E"/>
    <w:rsid w:val="00F44B23"/>
    <w:rsid w:val="00F44C53"/>
    <w:rsid w:val="00F45554"/>
    <w:rsid w:val="00F45769"/>
    <w:rsid w:val="00F47019"/>
    <w:rsid w:val="00F47938"/>
    <w:rsid w:val="00F47F10"/>
    <w:rsid w:val="00F47FFC"/>
    <w:rsid w:val="00F50656"/>
    <w:rsid w:val="00F507F5"/>
    <w:rsid w:val="00F51084"/>
    <w:rsid w:val="00F5197E"/>
    <w:rsid w:val="00F5239D"/>
    <w:rsid w:val="00F523B7"/>
    <w:rsid w:val="00F52918"/>
    <w:rsid w:val="00F536B8"/>
    <w:rsid w:val="00F5407B"/>
    <w:rsid w:val="00F54441"/>
    <w:rsid w:val="00F54A23"/>
    <w:rsid w:val="00F55B2B"/>
    <w:rsid w:val="00F56970"/>
    <w:rsid w:val="00F56973"/>
    <w:rsid w:val="00F5702C"/>
    <w:rsid w:val="00F6098A"/>
    <w:rsid w:val="00F60CFB"/>
    <w:rsid w:val="00F61216"/>
    <w:rsid w:val="00F6141E"/>
    <w:rsid w:val="00F61804"/>
    <w:rsid w:val="00F62191"/>
    <w:rsid w:val="00F62EBD"/>
    <w:rsid w:val="00F62F37"/>
    <w:rsid w:val="00F6316F"/>
    <w:rsid w:val="00F64538"/>
    <w:rsid w:val="00F645C1"/>
    <w:rsid w:val="00F64BEF"/>
    <w:rsid w:val="00F64CEB"/>
    <w:rsid w:val="00F64DD4"/>
    <w:rsid w:val="00F64E22"/>
    <w:rsid w:val="00F64E88"/>
    <w:rsid w:val="00F6622C"/>
    <w:rsid w:val="00F66336"/>
    <w:rsid w:val="00F668F7"/>
    <w:rsid w:val="00F66B49"/>
    <w:rsid w:val="00F66B5D"/>
    <w:rsid w:val="00F66C69"/>
    <w:rsid w:val="00F66CFD"/>
    <w:rsid w:val="00F66FB9"/>
    <w:rsid w:val="00F67094"/>
    <w:rsid w:val="00F67EFC"/>
    <w:rsid w:val="00F67F99"/>
    <w:rsid w:val="00F7092D"/>
    <w:rsid w:val="00F70A45"/>
    <w:rsid w:val="00F70BDC"/>
    <w:rsid w:val="00F70EE1"/>
    <w:rsid w:val="00F70EEA"/>
    <w:rsid w:val="00F71B70"/>
    <w:rsid w:val="00F72161"/>
    <w:rsid w:val="00F722B1"/>
    <w:rsid w:val="00F72543"/>
    <w:rsid w:val="00F72A27"/>
    <w:rsid w:val="00F72FC3"/>
    <w:rsid w:val="00F73622"/>
    <w:rsid w:val="00F75860"/>
    <w:rsid w:val="00F7606C"/>
    <w:rsid w:val="00F7651F"/>
    <w:rsid w:val="00F77115"/>
    <w:rsid w:val="00F775CD"/>
    <w:rsid w:val="00F77623"/>
    <w:rsid w:val="00F77738"/>
    <w:rsid w:val="00F779C7"/>
    <w:rsid w:val="00F77FCB"/>
    <w:rsid w:val="00F8004A"/>
    <w:rsid w:val="00F805F8"/>
    <w:rsid w:val="00F80CAA"/>
    <w:rsid w:val="00F81FA2"/>
    <w:rsid w:val="00F82232"/>
    <w:rsid w:val="00F823B6"/>
    <w:rsid w:val="00F839E5"/>
    <w:rsid w:val="00F83B8C"/>
    <w:rsid w:val="00F846FB"/>
    <w:rsid w:val="00F84A00"/>
    <w:rsid w:val="00F84FE1"/>
    <w:rsid w:val="00F85183"/>
    <w:rsid w:val="00F85532"/>
    <w:rsid w:val="00F85796"/>
    <w:rsid w:val="00F85F3E"/>
    <w:rsid w:val="00F86662"/>
    <w:rsid w:val="00F86686"/>
    <w:rsid w:val="00F872B8"/>
    <w:rsid w:val="00F874F4"/>
    <w:rsid w:val="00F87686"/>
    <w:rsid w:val="00F87ABE"/>
    <w:rsid w:val="00F87CEB"/>
    <w:rsid w:val="00F87E7F"/>
    <w:rsid w:val="00F904D6"/>
    <w:rsid w:val="00F907DD"/>
    <w:rsid w:val="00F90C46"/>
    <w:rsid w:val="00F90C88"/>
    <w:rsid w:val="00F90F30"/>
    <w:rsid w:val="00F92C75"/>
    <w:rsid w:val="00F93498"/>
    <w:rsid w:val="00F9369F"/>
    <w:rsid w:val="00F937F1"/>
    <w:rsid w:val="00F93FC3"/>
    <w:rsid w:val="00F94044"/>
    <w:rsid w:val="00F94426"/>
    <w:rsid w:val="00F945E2"/>
    <w:rsid w:val="00F94E4D"/>
    <w:rsid w:val="00F9519A"/>
    <w:rsid w:val="00F956A4"/>
    <w:rsid w:val="00F95D6F"/>
    <w:rsid w:val="00F95F76"/>
    <w:rsid w:val="00F9696E"/>
    <w:rsid w:val="00F9764E"/>
    <w:rsid w:val="00F978C5"/>
    <w:rsid w:val="00F97D4D"/>
    <w:rsid w:val="00FA042E"/>
    <w:rsid w:val="00FA05D6"/>
    <w:rsid w:val="00FA06BE"/>
    <w:rsid w:val="00FA078C"/>
    <w:rsid w:val="00FA0846"/>
    <w:rsid w:val="00FA08D3"/>
    <w:rsid w:val="00FA0A12"/>
    <w:rsid w:val="00FA0F91"/>
    <w:rsid w:val="00FA1382"/>
    <w:rsid w:val="00FA1BE9"/>
    <w:rsid w:val="00FA1C82"/>
    <w:rsid w:val="00FA24CD"/>
    <w:rsid w:val="00FA2584"/>
    <w:rsid w:val="00FA296E"/>
    <w:rsid w:val="00FA2EA6"/>
    <w:rsid w:val="00FA34EF"/>
    <w:rsid w:val="00FA38B1"/>
    <w:rsid w:val="00FA45BB"/>
    <w:rsid w:val="00FA55A4"/>
    <w:rsid w:val="00FA5E5F"/>
    <w:rsid w:val="00FA6BB2"/>
    <w:rsid w:val="00FA73A5"/>
    <w:rsid w:val="00FA7807"/>
    <w:rsid w:val="00FA7CA7"/>
    <w:rsid w:val="00FA7E25"/>
    <w:rsid w:val="00FB06EC"/>
    <w:rsid w:val="00FB10CD"/>
    <w:rsid w:val="00FB1367"/>
    <w:rsid w:val="00FB18EA"/>
    <w:rsid w:val="00FB1C88"/>
    <w:rsid w:val="00FB1CDE"/>
    <w:rsid w:val="00FB1F1D"/>
    <w:rsid w:val="00FB254F"/>
    <w:rsid w:val="00FB3234"/>
    <w:rsid w:val="00FB3246"/>
    <w:rsid w:val="00FB33E5"/>
    <w:rsid w:val="00FB44D7"/>
    <w:rsid w:val="00FB49C8"/>
    <w:rsid w:val="00FB4C1B"/>
    <w:rsid w:val="00FB4DBF"/>
    <w:rsid w:val="00FB500D"/>
    <w:rsid w:val="00FB59B7"/>
    <w:rsid w:val="00FB5EC7"/>
    <w:rsid w:val="00FB6333"/>
    <w:rsid w:val="00FB6E4B"/>
    <w:rsid w:val="00FB6F29"/>
    <w:rsid w:val="00FB7084"/>
    <w:rsid w:val="00FB7BCD"/>
    <w:rsid w:val="00FB7EA5"/>
    <w:rsid w:val="00FB7F88"/>
    <w:rsid w:val="00FC030B"/>
    <w:rsid w:val="00FC0477"/>
    <w:rsid w:val="00FC0741"/>
    <w:rsid w:val="00FC18EF"/>
    <w:rsid w:val="00FC1A0C"/>
    <w:rsid w:val="00FC1E3F"/>
    <w:rsid w:val="00FC1EB5"/>
    <w:rsid w:val="00FC2432"/>
    <w:rsid w:val="00FC31DB"/>
    <w:rsid w:val="00FC332B"/>
    <w:rsid w:val="00FC35FB"/>
    <w:rsid w:val="00FC3881"/>
    <w:rsid w:val="00FC3C5E"/>
    <w:rsid w:val="00FC3E53"/>
    <w:rsid w:val="00FC3E7F"/>
    <w:rsid w:val="00FC4716"/>
    <w:rsid w:val="00FC60FB"/>
    <w:rsid w:val="00FC66F7"/>
    <w:rsid w:val="00FC70C9"/>
    <w:rsid w:val="00FC7739"/>
    <w:rsid w:val="00FC788E"/>
    <w:rsid w:val="00FC7AA0"/>
    <w:rsid w:val="00FC7E88"/>
    <w:rsid w:val="00FD0E15"/>
    <w:rsid w:val="00FD139B"/>
    <w:rsid w:val="00FD1B18"/>
    <w:rsid w:val="00FD1B58"/>
    <w:rsid w:val="00FD20F6"/>
    <w:rsid w:val="00FD2578"/>
    <w:rsid w:val="00FD2AA3"/>
    <w:rsid w:val="00FD2B16"/>
    <w:rsid w:val="00FD32F7"/>
    <w:rsid w:val="00FD333B"/>
    <w:rsid w:val="00FD34DA"/>
    <w:rsid w:val="00FD3ECA"/>
    <w:rsid w:val="00FD409E"/>
    <w:rsid w:val="00FD4221"/>
    <w:rsid w:val="00FD42C1"/>
    <w:rsid w:val="00FD4334"/>
    <w:rsid w:val="00FD4AF0"/>
    <w:rsid w:val="00FD52FF"/>
    <w:rsid w:val="00FD6A5C"/>
    <w:rsid w:val="00FD7455"/>
    <w:rsid w:val="00FD7786"/>
    <w:rsid w:val="00FD7965"/>
    <w:rsid w:val="00FE0032"/>
    <w:rsid w:val="00FE0B9F"/>
    <w:rsid w:val="00FE1537"/>
    <w:rsid w:val="00FE1AAF"/>
    <w:rsid w:val="00FE1CBC"/>
    <w:rsid w:val="00FE2F9E"/>
    <w:rsid w:val="00FE3B93"/>
    <w:rsid w:val="00FE3EF7"/>
    <w:rsid w:val="00FE4441"/>
    <w:rsid w:val="00FE48C6"/>
    <w:rsid w:val="00FE4B88"/>
    <w:rsid w:val="00FE52F2"/>
    <w:rsid w:val="00FE5804"/>
    <w:rsid w:val="00FE5A37"/>
    <w:rsid w:val="00FE5AFD"/>
    <w:rsid w:val="00FE5C6D"/>
    <w:rsid w:val="00FE5D79"/>
    <w:rsid w:val="00FE5FA7"/>
    <w:rsid w:val="00FE6571"/>
    <w:rsid w:val="00FE6D0C"/>
    <w:rsid w:val="00FE6F6F"/>
    <w:rsid w:val="00FE6FE7"/>
    <w:rsid w:val="00FE7B07"/>
    <w:rsid w:val="00FF02FB"/>
    <w:rsid w:val="00FF07A2"/>
    <w:rsid w:val="00FF0C50"/>
    <w:rsid w:val="00FF0E15"/>
    <w:rsid w:val="00FF1A6A"/>
    <w:rsid w:val="00FF1B59"/>
    <w:rsid w:val="00FF1DAC"/>
    <w:rsid w:val="00FF2773"/>
    <w:rsid w:val="00FF28E3"/>
    <w:rsid w:val="00FF4AC0"/>
    <w:rsid w:val="00FF4E01"/>
    <w:rsid w:val="00FF5133"/>
    <w:rsid w:val="00FF59B1"/>
    <w:rsid w:val="00FF5BF7"/>
    <w:rsid w:val="00FF5D8D"/>
    <w:rsid w:val="00FF630B"/>
    <w:rsid w:val="00FF6499"/>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20F70715"/>
  <w15:docId w15:val="{5E73AD9D-B258-46BC-85DB-C572BDA0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55"/>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4">
    <w:name w:val="heading 4"/>
    <w:basedOn w:val="Normal"/>
    <w:next w:val="Normal"/>
    <w:link w:val="Heading4Char"/>
    <w:uiPriority w:val="9"/>
    <w:semiHidden/>
    <w:unhideWhenUsed/>
    <w:qFormat/>
    <w:rsid w:val="0021275E"/>
    <w:pPr>
      <w:keepNext/>
      <w:keepLines/>
      <w:spacing w:before="40" w:after="0"/>
      <w:outlineLvl w:val="3"/>
    </w:pPr>
    <w:rPr>
      <w:rFonts w:asciiTheme="majorHAnsi" w:eastAsiaTheme="majorEastAsia" w:hAnsiTheme="majorHAnsi" w:cstheme="majorBidi"/>
      <w:i/>
      <w:iCs/>
      <w:color w:val="4255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04538A"/>
    <w:pPr>
      <w:tabs>
        <w:tab w:val="right" w:leader="dot" w:pos="10070"/>
      </w:tabs>
      <w:spacing w:after="100"/>
    </w:pPr>
    <w:rPr>
      <w:rFonts w:ascii="Garamond" w:eastAsia="Times New Roman" w:hAnsi="Garamond" w:cs="Times New Roman"/>
      <w:noProof/>
    </w:rPr>
  </w:style>
  <w:style w:type="paragraph" w:styleId="TOC2">
    <w:name w:val="toc 2"/>
    <w:basedOn w:val="Normal"/>
    <w:next w:val="Normal"/>
    <w:autoRedefine/>
    <w:uiPriority w:val="39"/>
    <w:unhideWhenUsed/>
    <w:rsid w:val="002E51F3"/>
    <w:pPr>
      <w:tabs>
        <w:tab w:val="right" w:leader="dot" w:pos="10070"/>
      </w:tabs>
      <w:spacing w:after="100"/>
      <w:ind w:left="27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1C1271"/>
    <w:rPr>
      <w:color w:val="605E5C"/>
      <w:shd w:val="clear" w:color="auto" w:fill="E1DFDD"/>
    </w:rPr>
  </w:style>
  <w:style w:type="character" w:customStyle="1" w:styleId="UnresolvedMention7">
    <w:name w:val="Unresolved Mention7"/>
    <w:basedOn w:val="DefaultParagraphFont"/>
    <w:uiPriority w:val="99"/>
    <w:semiHidden/>
    <w:unhideWhenUsed/>
    <w:rsid w:val="000B6844"/>
    <w:rPr>
      <w:color w:val="605E5C"/>
      <w:shd w:val="clear" w:color="auto" w:fill="E1DFDD"/>
    </w:rPr>
  </w:style>
  <w:style w:type="character" w:styleId="Strong">
    <w:name w:val="Strong"/>
    <w:basedOn w:val="DefaultParagraphFont"/>
    <w:uiPriority w:val="22"/>
    <w:qFormat/>
    <w:rsid w:val="00152075"/>
    <w:rPr>
      <w:b/>
      <w:bCs/>
    </w:rPr>
  </w:style>
  <w:style w:type="character" w:customStyle="1" w:styleId="Heading4Char">
    <w:name w:val="Heading 4 Char"/>
    <w:basedOn w:val="DefaultParagraphFont"/>
    <w:link w:val="Heading4"/>
    <w:uiPriority w:val="9"/>
    <w:semiHidden/>
    <w:rsid w:val="0021275E"/>
    <w:rPr>
      <w:rFonts w:asciiTheme="majorHAnsi" w:eastAsiaTheme="majorEastAsia" w:hAnsiTheme="majorHAnsi" w:cstheme="majorBidi"/>
      <w:i/>
      <w:iCs/>
      <w:color w:val="42558C" w:themeColor="accent1" w:themeShade="BF"/>
    </w:rPr>
  </w:style>
  <w:style w:type="character" w:customStyle="1" w:styleId="apple-tab-span">
    <w:name w:val="apple-tab-span"/>
    <w:basedOn w:val="DefaultParagraphFont"/>
    <w:rsid w:val="00826F67"/>
  </w:style>
  <w:style w:type="paragraph" w:styleId="PlainText">
    <w:name w:val="Plain Text"/>
    <w:basedOn w:val="Normal"/>
    <w:link w:val="PlainTextChar"/>
    <w:uiPriority w:val="99"/>
    <w:unhideWhenUsed/>
    <w:rsid w:val="003D503F"/>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D503F"/>
    <w:rPr>
      <w:rFonts w:ascii="Calibri" w:hAnsi="Calibri" w:cs="Calibri"/>
    </w:rPr>
  </w:style>
  <w:style w:type="character" w:styleId="UnresolvedMention">
    <w:name w:val="Unresolved Mention"/>
    <w:basedOn w:val="DefaultParagraphFont"/>
    <w:uiPriority w:val="99"/>
    <w:semiHidden/>
    <w:unhideWhenUsed/>
    <w:rsid w:val="006B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99492372">
      <w:bodyDiv w:val="1"/>
      <w:marLeft w:val="0"/>
      <w:marRight w:val="0"/>
      <w:marTop w:val="0"/>
      <w:marBottom w:val="0"/>
      <w:divBdr>
        <w:top w:val="none" w:sz="0" w:space="0" w:color="auto"/>
        <w:left w:val="none" w:sz="0" w:space="0" w:color="auto"/>
        <w:bottom w:val="none" w:sz="0" w:space="0" w:color="auto"/>
        <w:right w:val="none" w:sz="0" w:space="0" w:color="auto"/>
      </w:divBdr>
    </w:div>
    <w:div w:id="115608499">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55477862">
      <w:bodyDiv w:val="1"/>
      <w:marLeft w:val="0"/>
      <w:marRight w:val="0"/>
      <w:marTop w:val="0"/>
      <w:marBottom w:val="0"/>
      <w:divBdr>
        <w:top w:val="none" w:sz="0" w:space="0" w:color="auto"/>
        <w:left w:val="none" w:sz="0" w:space="0" w:color="auto"/>
        <w:bottom w:val="none" w:sz="0" w:space="0" w:color="auto"/>
        <w:right w:val="none" w:sz="0" w:space="0" w:color="auto"/>
      </w:divBdr>
    </w:div>
    <w:div w:id="267202186">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318004419">
      <w:bodyDiv w:val="1"/>
      <w:marLeft w:val="0"/>
      <w:marRight w:val="0"/>
      <w:marTop w:val="0"/>
      <w:marBottom w:val="0"/>
      <w:divBdr>
        <w:top w:val="none" w:sz="0" w:space="0" w:color="auto"/>
        <w:left w:val="none" w:sz="0" w:space="0" w:color="auto"/>
        <w:bottom w:val="none" w:sz="0" w:space="0" w:color="auto"/>
        <w:right w:val="none" w:sz="0" w:space="0" w:color="auto"/>
      </w:divBdr>
    </w:div>
    <w:div w:id="332227037">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2453055">
      <w:bodyDiv w:val="1"/>
      <w:marLeft w:val="0"/>
      <w:marRight w:val="0"/>
      <w:marTop w:val="0"/>
      <w:marBottom w:val="0"/>
      <w:divBdr>
        <w:top w:val="none" w:sz="0" w:space="0" w:color="auto"/>
        <w:left w:val="none" w:sz="0" w:space="0" w:color="auto"/>
        <w:bottom w:val="none" w:sz="0" w:space="0" w:color="auto"/>
        <w:right w:val="none" w:sz="0" w:space="0" w:color="auto"/>
      </w:divBdr>
    </w:div>
    <w:div w:id="493028912">
      <w:bodyDiv w:val="1"/>
      <w:marLeft w:val="0"/>
      <w:marRight w:val="0"/>
      <w:marTop w:val="0"/>
      <w:marBottom w:val="0"/>
      <w:divBdr>
        <w:top w:val="none" w:sz="0" w:space="0" w:color="auto"/>
        <w:left w:val="none" w:sz="0" w:space="0" w:color="auto"/>
        <w:bottom w:val="none" w:sz="0" w:space="0" w:color="auto"/>
        <w:right w:val="none" w:sz="0" w:space="0" w:color="auto"/>
      </w:divBdr>
    </w:div>
    <w:div w:id="494994953">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59430702">
      <w:bodyDiv w:val="1"/>
      <w:marLeft w:val="0"/>
      <w:marRight w:val="0"/>
      <w:marTop w:val="0"/>
      <w:marBottom w:val="0"/>
      <w:divBdr>
        <w:top w:val="none" w:sz="0" w:space="0" w:color="auto"/>
        <w:left w:val="none" w:sz="0" w:space="0" w:color="auto"/>
        <w:bottom w:val="none" w:sz="0" w:space="0" w:color="auto"/>
        <w:right w:val="none" w:sz="0" w:space="0" w:color="auto"/>
      </w:divBdr>
    </w:div>
    <w:div w:id="701171529">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802961255">
      <w:bodyDiv w:val="1"/>
      <w:marLeft w:val="0"/>
      <w:marRight w:val="0"/>
      <w:marTop w:val="0"/>
      <w:marBottom w:val="0"/>
      <w:divBdr>
        <w:top w:val="none" w:sz="0" w:space="0" w:color="auto"/>
        <w:left w:val="none" w:sz="0" w:space="0" w:color="auto"/>
        <w:bottom w:val="none" w:sz="0" w:space="0" w:color="auto"/>
        <w:right w:val="none" w:sz="0" w:space="0" w:color="auto"/>
      </w:divBdr>
    </w:div>
    <w:div w:id="871653450">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9724939">
      <w:bodyDiv w:val="1"/>
      <w:marLeft w:val="0"/>
      <w:marRight w:val="0"/>
      <w:marTop w:val="0"/>
      <w:marBottom w:val="0"/>
      <w:divBdr>
        <w:top w:val="none" w:sz="0" w:space="0" w:color="auto"/>
        <w:left w:val="none" w:sz="0" w:space="0" w:color="auto"/>
        <w:bottom w:val="none" w:sz="0" w:space="0" w:color="auto"/>
        <w:right w:val="none" w:sz="0" w:space="0" w:color="auto"/>
      </w:divBdr>
    </w:div>
    <w:div w:id="896434057">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1120416436">
      <w:bodyDiv w:val="1"/>
      <w:marLeft w:val="0"/>
      <w:marRight w:val="0"/>
      <w:marTop w:val="0"/>
      <w:marBottom w:val="0"/>
      <w:divBdr>
        <w:top w:val="none" w:sz="0" w:space="0" w:color="auto"/>
        <w:left w:val="none" w:sz="0" w:space="0" w:color="auto"/>
        <w:bottom w:val="none" w:sz="0" w:space="0" w:color="auto"/>
        <w:right w:val="none" w:sz="0" w:space="0" w:color="auto"/>
      </w:divBdr>
    </w:div>
    <w:div w:id="117337149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50718005">
      <w:bodyDiv w:val="1"/>
      <w:marLeft w:val="0"/>
      <w:marRight w:val="0"/>
      <w:marTop w:val="0"/>
      <w:marBottom w:val="0"/>
      <w:divBdr>
        <w:top w:val="none" w:sz="0" w:space="0" w:color="auto"/>
        <w:left w:val="none" w:sz="0" w:space="0" w:color="auto"/>
        <w:bottom w:val="none" w:sz="0" w:space="0" w:color="auto"/>
        <w:right w:val="none" w:sz="0" w:space="0" w:color="auto"/>
      </w:divBdr>
    </w:div>
    <w:div w:id="1361591700">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3983">
      <w:bodyDiv w:val="1"/>
      <w:marLeft w:val="0"/>
      <w:marRight w:val="0"/>
      <w:marTop w:val="0"/>
      <w:marBottom w:val="0"/>
      <w:divBdr>
        <w:top w:val="none" w:sz="0" w:space="0" w:color="auto"/>
        <w:left w:val="none" w:sz="0" w:space="0" w:color="auto"/>
        <w:bottom w:val="none" w:sz="0" w:space="0" w:color="auto"/>
        <w:right w:val="none" w:sz="0" w:space="0" w:color="auto"/>
      </w:divBdr>
    </w:div>
    <w:div w:id="1450468307">
      <w:bodyDiv w:val="1"/>
      <w:marLeft w:val="0"/>
      <w:marRight w:val="0"/>
      <w:marTop w:val="0"/>
      <w:marBottom w:val="0"/>
      <w:divBdr>
        <w:top w:val="none" w:sz="0" w:space="0" w:color="auto"/>
        <w:left w:val="none" w:sz="0" w:space="0" w:color="auto"/>
        <w:bottom w:val="none" w:sz="0" w:space="0" w:color="auto"/>
        <w:right w:val="none" w:sz="0" w:space="0" w:color="auto"/>
      </w:divBdr>
    </w:div>
    <w:div w:id="1532764795">
      <w:bodyDiv w:val="1"/>
      <w:marLeft w:val="0"/>
      <w:marRight w:val="0"/>
      <w:marTop w:val="0"/>
      <w:marBottom w:val="0"/>
      <w:divBdr>
        <w:top w:val="none" w:sz="0" w:space="0" w:color="auto"/>
        <w:left w:val="none" w:sz="0" w:space="0" w:color="auto"/>
        <w:bottom w:val="none" w:sz="0" w:space="0" w:color="auto"/>
        <w:right w:val="none" w:sz="0" w:space="0" w:color="auto"/>
      </w:divBdr>
    </w:div>
    <w:div w:id="1552767650">
      <w:bodyDiv w:val="1"/>
      <w:marLeft w:val="0"/>
      <w:marRight w:val="0"/>
      <w:marTop w:val="0"/>
      <w:marBottom w:val="0"/>
      <w:divBdr>
        <w:top w:val="none" w:sz="0" w:space="0" w:color="auto"/>
        <w:left w:val="none" w:sz="0" w:space="0" w:color="auto"/>
        <w:bottom w:val="none" w:sz="0" w:space="0" w:color="auto"/>
        <w:right w:val="none" w:sz="0" w:space="0" w:color="auto"/>
      </w:divBdr>
    </w:div>
    <w:div w:id="1580557735">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1511">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7591495">
      <w:bodyDiv w:val="1"/>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 w:id="1083063700">
          <w:marLeft w:val="0"/>
          <w:marRight w:val="0"/>
          <w:marTop w:val="0"/>
          <w:marBottom w:val="0"/>
          <w:divBdr>
            <w:top w:val="none" w:sz="0" w:space="0" w:color="auto"/>
            <w:left w:val="none" w:sz="0" w:space="0" w:color="auto"/>
            <w:bottom w:val="none" w:sz="0" w:space="0" w:color="auto"/>
            <w:right w:val="none" w:sz="0" w:space="0" w:color="auto"/>
          </w:divBdr>
        </w:div>
        <w:div w:id="1691299356">
          <w:marLeft w:val="0"/>
          <w:marRight w:val="0"/>
          <w:marTop w:val="0"/>
          <w:marBottom w:val="0"/>
          <w:divBdr>
            <w:top w:val="none" w:sz="0" w:space="0" w:color="auto"/>
            <w:left w:val="none" w:sz="0" w:space="0" w:color="auto"/>
            <w:bottom w:val="none" w:sz="0" w:space="0" w:color="auto"/>
            <w:right w:val="none" w:sz="0" w:space="0" w:color="auto"/>
          </w:divBdr>
        </w:div>
        <w:div w:id="2007895374">
          <w:marLeft w:val="0"/>
          <w:marRight w:val="0"/>
          <w:marTop w:val="0"/>
          <w:marBottom w:val="0"/>
          <w:divBdr>
            <w:top w:val="none" w:sz="0" w:space="0" w:color="auto"/>
            <w:left w:val="none" w:sz="0" w:space="0" w:color="auto"/>
            <w:bottom w:val="none" w:sz="0" w:space="0" w:color="auto"/>
            <w:right w:val="none" w:sz="0" w:space="0" w:color="auto"/>
          </w:divBdr>
        </w:div>
        <w:div w:id="1694917317">
          <w:marLeft w:val="0"/>
          <w:marRight w:val="0"/>
          <w:marTop w:val="0"/>
          <w:marBottom w:val="0"/>
          <w:divBdr>
            <w:top w:val="none" w:sz="0" w:space="0" w:color="auto"/>
            <w:left w:val="none" w:sz="0" w:space="0" w:color="auto"/>
            <w:bottom w:val="none" w:sz="0" w:space="0" w:color="auto"/>
            <w:right w:val="none" w:sz="0" w:space="0" w:color="auto"/>
          </w:divBdr>
        </w:div>
        <w:div w:id="948313931">
          <w:marLeft w:val="0"/>
          <w:marRight w:val="0"/>
          <w:marTop w:val="0"/>
          <w:marBottom w:val="0"/>
          <w:divBdr>
            <w:top w:val="none" w:sz="0" w:space="0" w:color="auto"/>
            <w:left w:val="none" w:sz="0" w:space="0" w:color="auto"/>
            <w:bottom w:val="none" w:sz="0" w:space="0" w:color="auto"/>
            <w:right w:val="none" w:sz="0" w:space="0" w:color="auto"/>
          </w:divBdr>
        </w:div>
        <w:div w:id="416943454">
          <w:marLeft w:val="0"/>
          <w:marRight w:val="0"/>
          <w:marTop w:val="0"/>
          <w:marBottom w:val="0"/>
          <w:divBdr>
            <w:top w:val="none" w:sz="0" w:space="0" w:color="auto"/>
            <w:left w:val="none" w:sz="0" w:space="0" w:color="auto"/>
            <w:bottom w:val="none" w:sz="0" w:space="0" w:color="auto"/>
            <w:right w:val="none" w:sz="0" w:space="0" w:color="auto"/>
          </w:divBdr>
        </w:div>
        <w:div w:id="1399205633">
          <w:marLeft w:val="0"/>
          <w:marRight w:val="0"/>
          <w:marTop w:val="0"/>
          <w:marBottom w:val="0"/>
          <w:divBdr>
            <w:top w:val="none" w:sz="0" w:space="0" w:color="auto"/>
            <w:left w:val="none" w:sz="0" w:space="0" w:color="auto"/>
            <w:bottom w:val="none" w:sz="0" w:space="0" w:color="auto"/>
            <w:right w:val="none" w:sz="0" w:space="0" w:color="auto"/>
          </w:divBdr>
        </w:div>
        <w:div w:id="1018776737">
          <w:marLeft w:val="0"/>
          <w:marRight w:val="0"/>
          <w:marTop w:val="0"/>
          <w:marBottom w:val="0"/>
          <w:divBdr>
            <w:top w:val="none" w:sz="0" w:space="0" w:color="auto"/>
            <w:left w:val="none" w:sz="0" w:space="0" w:color="auto"/>
            <w:bottom w:val="none" w:sz="0" w:space="0" w:color="auto"/>
            <w:right w:val="none" w:sz="0" w:space="0" w:color="auto"/>
          </w:divBdr>
        </w:div>
      </w:divsChild>
    </w:div>
    <w:div w:id="1794129021">
      <w:bodyDiv w:val="1"/>
      <w:marLeft w:val="0"/>
      <w:marRight w:val="0"/>
      <w:marTop w:val="0"/>
      <w:marBottom w:val="0"/>
      <w:divBdr>
        <w:top w:val="none" w:sz="0" w:space="0" w:color="auto"/>
        <w:left w:val="none" w:sz="0" w:space="0" w:color="auto"/>
        <w:bottom w:val="none" w:sz="0" w:space="0" w:color="auto"/>
        <w:right w:val="none" w:sz="0" w:space="0" w:color="auto"/>
      </w:divBdr>
    </w:div>
    <w:div w:id="1849637540">
      <w:bodyDiv w:val="1"/>
      <w:marLeft w:val="0"/>
      <w:marRight w:val="0"/>
      <w:marTop w:val="0"/>
      <w:marBottom w:val="0"/>
      <w:divBdr>
        <w:top w:val="none" w:sz="0" w:space="0" w:color="auto"/>
        <w:left w:val="none" w:sz="0" w:space="0" w:color="auto"/>
        <w:bottom w:val="none" w:sz="0" w:space="0" w:color="auto"/>
        <w:right w:val="none" w:sz="0" w:space="0" w:color="auto"/>
      </w:divBdr>
    </w:div>
    <w:div w:id="1861551285">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2027055256">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65912383">
      <w:bodyDiv w:val="1"/>
      <w:marLeft w:val="0"/>
      <w:marRight w:val="0"/>
      <w:marTop w:val="0"/>
      <w:marBottom w:val="0"/>
      <w:divBdr>
        <w:top w:val="none" w:sz="0" w:space="0" w:color="auto"/>
        <w:left w:val="none" w:sz="0" w:space="0" w:color="auto"/>
        <w:bottom w:val="none" w:sz="0" w:space="0" w:color="auto"/>
        <w:right w:val="none" w:sz="0" w:space="0" w:color="auto"/>
      </w:divBdr>
      <w:divsChild>
        <w:div w:id="1925409339">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0"/>
              <w:marRight w:val="0"/>
              <w:marTop w:val="0"/>
              <w:marBottom w:val="0"/>
              <w:divBdr>
                <w:top w:val="none" w:sz="0" w:space="0" w:color="auto"/>
                <w:left w:val="none" w:sz="0" w:space="0" w:color="auto"/>
                <w:bottom w:val="none" w:sz="0" w:space="0" w:color="auto"/>
                <w:right w:val="none" w:sz="0" w:space="0" w:color="auto"/>
              </w:divBdr>
              <w:divsChild>
                <w:div w:id="420299787">
                  <w:marLeft w:val="0"/>
                  <w:marRight w:val="0"/>
                  <w:marTop w:val="0"/>
                  <w:marBottom w:val="0"/>
                  <w:divBdr>
                    <w:top w:val="none" w:sz="0" w:space="0" w:color="auto"/>
                    <w:left w:val="none" w:sz="0" w:space="0" w:color="auto"/>
                    <w:bottom w:val="none" w:sz="0" w:space="0" w:color="auto"/>
                    <w:right w:val="none" w:sz="0" w:space="0" w:color="auto"/>
                  </w:divBdr>
                  <w:divsChild>
                    <w:div w:id="789395747">
                      <w:marLeft w:val="0"/>
                      <w:marRight w:val="0"/>
                      <w:marTop w:val="0"/>
                      <w:marBottom w:val="0"/>
                      <w:divBdr>
                        <w:top w:val="none" w:sz="0" w:space="0" w:color="auto"/>
                        <w:left w:val="none" w:sz="0" w:space="0" w:color="auto"/>
                        <w:bottom w:val="none" w:sz="0" w:space="0" w:color="auto"/>
                        <w:right w:val="none" w:sz="0" w:space="0" w:color="auto"/>
                      </w:divBdr>
                      <w:divsChild>
                        <w:div w:id="171996016">
                          <w:marLeft w:val="0"/>
                          <w:marRight w:val="0"/>
                          <w:marTop w:val="0"/>
                          <w:marBottom w:val="0"/>
                          <w:divBdr>
                            <w:top w:val="none" w:sz="0" w:space="0" w:color="auto"/>
                            <w:left w:val="none" w:sz="0" w:space="0" w:color="auto"/>
                            <w:bottom w:val="none" w:sz="0" w:space="0" w:color="auto"/>
                            <w:right w:val="none" w:sz="0" w:space="0" w:color="auto"/>
                          </w:divBdr>
                          <w:divsChild>
                            <w:div w:id="2054571180">
                              <w:marLeft w:val="0"/>
                              <w:marRight w:val="0"/>
                              <w:marTop w:val="0"/>
                              <w:marBottom w:val="0"/>
                              <w:divBdr>
                                <w:top w:val="none" w:sz="0" w:space="0" w:color="auto"/>
                                <w:left w:val="none" w:sz="0" w:space="0" w:color="auto"/>
                                <w:bottom w:val="none" w:sz="0" w:space="0" w:color="auto"/>
                                <w:right w:val="none" w:sz="0" w:space="0" w:color="auto"/>
                              </w:divBdr>
                              <w:divsChild>
                                <w:div w:id="1033924929">
                                  <w:marLeft w:val="0"/>
                                  <w:marRight w:val="0"/>
                                  <w:marTop w:val="0"/>
                                  <w:marBottom w:val="0"/>
                                  <w:divBdr>
                                    <w:top w:val="none" w:sz="0" w:space="0" w:color="auto"/>
                                    <w:left w:val="none" w:sz="0" w:space="0" w:color="auto"/>
                                    <w:bottom w:val="none" w:sz="0" w:space="0" w:color="auto"/>
                                    <w:right w:val="none" w:sz="0" w:space="0" w:color="auto"/>
                                  </w:divBdr>
                                  <w:divsChild>
                                    <w:div w:id="311523128">
                                      <w:marLeft w:val="0"/>
                                      <w:marRight w:val="0"/>
                                      <w:marTop w:val="0"/>
                                      <w:marBottom w:val="0"/>
                                      <w:divBdr>
                                        <w:top w:val="none" w:sz="0" w:space="0" w:color="auto"/>
                                        <w:left w:val="none" w:sz="0" w:space="0" w:color="auto"/>
                                        <w:bottom w:val="none" w:sz="0" w:space="0" w:color="auto"/>
                                        <w:right w:val="none" w:sz="0" w:space="0" w:color="auto"/>
                                      </w:divBdr>
                                      <w:divsChild>
                                        <w:div w:id="2058846077">
                                          <w:marLeft w:val="0"/>
                                          <w:marRight w:val="0"/>
                                          <w:marTop w:val="0"/>
                                          <w:marBottom w:val="0"/>
                                          <w:divBdr>
                                            <w:top w:val="none" w:sz="0" w:space="0" w:color="auto"/>
                                            <w:left w:val="none" w:sz="0" w:space="0" w:color="auto"/>
                                            <w:bottom w:val="none" w:sz="0" w:space="0" w:color="auto"/>
                                            <w:right w:val="none" w:sz="0" w:space="0" w:color="auto"/>
                                          </w:divBdr>
                                          <w:divsChild>
                                            <w:div w:id="1684670815">
                                              <w:marLeft w:val="0"/>
                                              <w:marRight w:val="0"/>
                                              <w:marTop w:val="0"/>
                                              <w:marBottom w:val="0"/>
                                              <w:divBdr>
                                                <w:top w:val="none" w:sz="0" w:space="0" w:color="auto"/>
                                                <w:left w:val="none" w:sz="0" w:space="0" w:color="auto"/>
                                                <w:bottom w:val="none" w:sz="0" w:space="0" w:color="auto"/>
                                                <w:right w:val="none" w:sz="0" w:space="0" w:color="auto"/>
                                              </w:divBdr>
                                              <w:divsChild>
                                                <w:div w:id="702755379">
                                                  <w:marLeft w:val="0"/>
                                                  <w:marRight w:val="0"/>
                                                  <w:marTop w:val="0"/>
                                                  <w:marBottom w:val="0"/>
                                                  <w:divBdr>
                                                    <w:top w:val="none" w:sz="0" w:space="0" w:color="auto"/>
                                                    <w:left w:val="none" w:sz="0" w:space="0" w:color="auto"/>
                                                    <w:bottom w:val="none" w:sz="0" w:space="0" w:color="auto"/>
                                                    <w:right w:val="none" w:sz="0" w:space="0" w:color="auto"/>
                                                  </w:divBdr>
                                                  <w:divsChild>
                                                    <w:div w:id="1784499422">
                                                      <w:marLeft w:val="0"/>
                                                      <w:marRight w:val="0"/>
                                                      <w:marTop w:val="0"/>
                                                      <w:marBottom w:val="0"/>
                                                      <w:divBdr>
                                                        <w:top w:val="none" w:sz="0" w:space="0" w:color="auto"/>
                                                        <w:left w:val="none" w:sz="0" w:space="0" w:color="auto"/>
                                                        <w:bottom w:val="none" w:sz="0" w:space="0" w:color="auto"/>
                                                        <w:right w:val="none" w:sz="0" w:space="0" w:color="auto"/>
                                                      </w:divBdr>
                                                    </w:div>
                                                    <w:div w:id="19350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are.gov/procedure-price-looku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healthsystemtracker.org/chart-collection/cost-affect-access-care/" TargetMode="External"/><Relationship Id="rId13" Type="http://schemas.openxmlformats.org/officeDocument/2006/relationships/hyperlink" Target="https://www.iaas-med.com/files/Journal/Volume25/AMB_SURG_25_1-UPPAL.pdf" TargetMode="External"/><Relationship Id="rId18" Type="http://schemas.openxmlformats.org/officeDocument/2006/relationships/hyperlink" Target="https://www.ascaconnect.org/HigherLogic/System/DownloadDocumentFile.ashx?DocumentFileKey=7b33b916-f3f1-42e5-a646-" TargetMode="External"/><Relationship Id="rId26" Type="http://schemas.openxmlformats.org/officeDocument/2006/relationships/hyperlink" Target="https://www.healthaffairs.org/doi/pdf/10.1377/hlthaff.2013.1266" TargetMode="External"/><Relationship Id="rId3" Type="http://schemas.openxmlformats.org/officeDocument/2006/relationships/hyperlink" Target="https://www.cdc.gov/arthritis/basics/risk-factors.htm" TargetMode="External"/><Relationship Id="rId21" Type="http://schemas.openxmlformats.org/officeDocument/2006/relationships/hyperlink" Target="https://www.ascassociation.org/advancingsurgicalcare/reducinghealthcarecosts/costsavings/healthcarebluebookstudy" TargetMode="External"/><Relationship Id="rId7" Type="http://schemas.openxmlformats.org/officeDocument/2006/relationships/hyperlink" Target="https://www.healthaffairs.org/doi/pdf/10.1377/hlthaff.2013.1266" TargetMode="External"/><Relationship Id="rId12" Type="http://schemas.openxmlformats.org/officeDocument/2006/relationships/hyperlink" Target="https://www.beckersasc.com/asc-coding-billing-and-collections/shining-a-light-on-the-value-of-value-based-care-ascs-are-positioned-to-lead-the-way.html" TargetMode="External"/><Relationship Id="rId17" Type="http://schemas.openxmlformats.org/officeDocument/2006/relationships/hyperlink" Target="https://www.mass.gov/files/documents/2018/12/31/jud-lib-105cmr100.pdf" TargetMode="External"/><Relationship Id="rId25" Type="http://schemas.openxmlformats.org/officeDocument/2006/relationships/hyperlink" Target="https://www.ncbi.nlm.nih.gov/pmc/articles/PMC4703913/pdf/or-2015-4-6177.pdf" TargetMode="External"/><Relationship Id="rId2" Type="http://schemas.openxmlformats.org/officeDocument/2006/relationships/hyperlink" Target="https://www.reliasmedia.com/articles/140663-latest-asc-data-highlight-ambulatory-surgical-trends" TargetMode="External"/><Relationship Id="rId16" Type="http://schemas.openxmlformats.org/officeDocument/2006/relationships/hyperlink" Target="https://www.mass.gov/doc/community-engagement-guidelines-for-community-health-planning-pdf/download" TargetMode="External"/><Relationship Id="rId20" Type="http://schemas.openxmlformats.org/officeDocument/2006/relationships/hyperlink" Target="https://www.ascassociation.org/HigherLogic/System/DownloadDocumentFile.ashx?DocumentFileKey=7b33b916-" TargetMode="External"/><Relationship Id="rId1" Type="http://schemas.openxmlformats.org/officeDocument/2006/relationships/hyperlink" Target="http://www.ascaconnect.org/HigherLogic/System/DownloadDocumentFile.ashx?DocumentFileKey=7b33b916-f3f1-42e5-a646-%2035cc2f38fe4d&amp;forceDialog=0" TargetMode="External"/><Relationship Id="rId6" Type="http://schemas.openxmlformats.org/officeDocument/2006/relationships/hyperlink" Target="https://www.ncbi.nlm.nih.gov/pmc/articles/PMC4703913/pdf/or-2015-4-6177.pdf" TargetMode="External"/><Relationship Id="rId11" Type="http://schemas.openxmlformats.org/officeDocument/2006/relationships/hyperlink" Target="https://www.countyhealthrankings.org/explore-health-rankings/measures-data-sources/county-health-rankings-model/health-factors/clinical-care/access-to-care" TargetMode="External"/><Relationship Id="rId24" Type="http://schemas.openxmlformats.org/officeDocument/2006/relationships/hyperlink" Target="https://www.pyapc.com/wp-content/uploads/2019/04/0419_HFM_McMillan.pdf" TargetMode="External"/><Relationship Id="rId5" Type="http://schemas.openxmlformats.org/officeDocument/2006/relationships/hyperlink" Target="https://www.aaos.org/contentassets/1cd7f41417ec4dd4b5c4c48532183b96/1184-the-impact-of-obesity-on-bone-%20and-jointhealth1.pdf" TargetMode="External"/><Relationship Id="rId15" Type="http://schemas.openxmlformats.org/officeDocument/2006/relationships/hyperlink" Target="https://www.beckersasc.com/supply-chain/3-reasons-ascs-adopt-ehr-software.html" TargetMode="External"/><Relationship Id="rId23" Type="http://schemas.openxmlformats.org/officeDocument/2006/relationships/hyperlink" Target="http://www.medpac.gov/docs/default-source/reports/mar19_medpac_ch5_sec.pdf?sfvrsn=0" TargetMode="External"/><Relationship Id="rId10" Type="http://schemas.openxmlformats.org/officeDocument/2006/relationships/hyperlink" Target="https://www.healthypeople.gov/2020/topics-objectives/topic/Access-to-Health-Services" TargetMode="External"/><Relationship Id="rId19" Type="http://schemas.openxmlformats.org/officeDocument/2006/relationships/hyperlink" Target="https://www.beckersasc.com/asc-coding-billing-and-collections/cms-posts-payments-for-ascs-vs-hopds-medicare-pays-ascs-359-less-for-colonoscopy-1-092-less-for-knee-arthroscopy.html" TargetMode="External"/><Relationship Id="rId4" Type="http://schemas.openxmlformats.org/officeDocument/2006/relationships/hyperlink" Target="https://pubmed.ncbi.nlm.nih.gov/27015600/" TargetMode="External"/><Relationship Id="rId9" Type="http://schemas.openxmlformats.org/officeDocument/2006/relationships/hyperlink" Target="https://www.cms.gov/files/document/asc-covered-procedures-list-cpl-nomination-process-cy-2023.pdf" TargetMode="External"/><Relationship Id="rId14" Type="http://schemas.openxmlformats.org/officeDocument/2006/relationships/hyperlink" Target="https://www.ajmc.com/contributor/michael-abrams/2019/05/coming-to-terms-with-care-migration" TargetMode="External"/><Relationship Id="rId22" Type="http://schemas.openxmlformats.org/officeDocument/2006/relationships/hyperlink" Target="https://www.aha.org/system/files/media/file/2019/04/kng-health-aha-analysis-of-hopd-vs-asc-report.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3600-5DC4-46F3-9946-246DF0CC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5923</Words>
  <Characters>33764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19</cp:revision>
  <cp:lastPrinted>2020-12-15T19:03:00Z</cp:lastPrinted>
  <dcterms:created xsi:type="dcterms:W3CDTF">2022-06-07T20:09:00Z</dcterms:created>
  <dcterms:modified xsi:type="dcterms:W3CDTF">2022-06-07T20:33:00Z</dcterms:modified>
</cp:coreProperties>
</file>